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7F5E5" w14:textId="61714AFE" w:rsidR="0058408E" w:rsidRPr="004C70EC" w:rsidRDefault="007A289E" w:rsidP="007A289E">
      <w:pPr>
        <w:pStyle w:val="Pagedecouverture"/>
        <w:rPr>
          <w:noProof/>
        </w:rPr>
      </w:pPr>
      <w:r>
        <w:rPr>
          <w:noProof/>
        </w:rPr>
        <w:pict w14:anchorId="470C09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1AB029CE-FFD4-4CAB-9845-F38D4213939D" style="width:455.25pt;height:416.25pt">
            <v:imagedata r:id="rId8" o:title=""/>
          </v:shape>
        </w:pict>
      </w:r>
    </w:p>
    <w:p w14:paraId="38E1376C" w14:textId="77777777" w:rsidR="0058408E" w:rsidRPr="004C70EC" w:rsidRDefault="0058408E" w:rsidP="00431990">
      <w:pPr>
        <w:rPr>
          <w:noProof/>
          <w:color w:val="000000" w:themeColor="text1"/>
        </w:rPr>
        <w:sectPr w:rsidR="0058408E" w:rsidRPr="004C70EC" w:rsidSect="007A289E">
          <w:footerReference w:type="even" r:id="rId9"/>
          <w:footerReference w:type="default" r:id="rId10"/>
          <w:footnotePr>
            <w:numRestart w:val="eachSect"/>
          </w:footnotePr>
          <w:pgSz w:w="11907" w:h="16839"/>
          <w:pgMar w:top="1134" w:right="1417" w:bottom="1134" w:left="1417" w:header="709" w:footer="709" w:gutter="0"/>
          <w:pgNumType w:start="0"/>
          <w:cols w:space="720"/>
          <w:docGrid w:linePitch="360"/>
        </w:sectPr>
      </w:pPr>
    </w:p>
    <w:p w14:paraId="3317ECFF" w14:textId="77777777" w:rsidR="00E934F2" w:rsidRPr="004C70EC" w:rsidRDefault="00E934F2" w:rsidP="00A93205">
      <w:pPr>
        <w:pStyle w:val="Exposdesmotifstitre"/>
        <w:rPr>
          <w:noProof/>
          <w:color w:val="000000" w:themeColor="text1"/>
          <w:bdr w:val="nil"/>
          <w:lang w:val="en-US" w:eastAsia="en-GB"/>
        </w:rPr>
      </w:pPr>
      <w:bookmarkStart w:id="0" w:name="_GoBack"/>
      <w:bookmarkEnd w:id="0"/>
      <w:r w:rsidRPr="004C70EC">
        <w:rPr>
          <w:noProof/>
          <w:color w:val="000000" w:themeColor="text1"/>
        </w:rPr>
        <w:lastRenderedPageBreak/>
        <w:t>EXPLANATORY MEMORANDUM</w:t>
      </w:r>
    </w:p>
    <w:p w14:paraId="37EBC668" w14:textId="77777777" w:rsidR="00E934F2" w:rsidRPr="004C70EC" w:rsidRDefault="00E934F2" w:rsidP="00A93205">
      <w:pPr>
        <w:pStyle w:val="ManualHeading1"/>
        <w:rPr>
          <w:noProof/>
          <w:color w:val="000000" w:themeColor="text1"/>
          <w:bdr w:val="nil"/>
          <w:lang w:val="en-US" w:eastAsia="en-GB"/>
        </w:rPr>
      </w:pPr>
      <w:r w:rsidRPr="004C70EC">
        <w:rPr>
          <w:noProof/>
          <w:color w:val="000000" w:themeColor="text1"/>
          <w:bdr w:val="nil"/>
          <w:lang w:val="en-US" w:eastAsia="en-GB"/>
        </w:rPr>
        <w:t>1.</w:t>
      </w:r>
      <w:r w:rsidRPr="004C70EC">
        <w:rPr>
          <w:rFonts w:eastAsia="Arial Unicode MS"/>
          <w:noProof/>
          <w:color w:val="000000" w:themeColor="text1"/>
          <w:u w:color="000000"/>
          <w:bdr w:val="nil"/>
          <w:lang w:val="en-US" w:eastAsia="en-GB"/>
        </w:rPr>
        <w:tab/>
      </w:r>
      <w:r w:rsidRPr="004C70EC">
        <w:rPr>
          <w:noProof/>
          <w:color w:val="000000" w:themeColor="text1"/>
          <w:bdr w:val="nil"/>
          <w:lang w:val="en-US" w:eastAsia="en-GB"/>
        </w:rPr>
        <w:t>CONTEXT OF THE PROPOSAL</w:t>
      </w:r>
    </w:p>
    <w:p w14:paraId="6B276077" w14:textId="77777777" w:rsidR="00E934F2" w:rsidRPr="004C70EC" w:rsidRDefault="00E934F2" w:rsidP="00A93205">
      <w:pPr>
        <w:pStyle w:val="ManualHeading2"/>
        <w:rPr>
          <w:noProof/>
          <w:color w:val="000000" w:themeColor="text1"/>
          <w:lang w:val="en-US" w:eastAsia="en-GB"/>
        </w:rPr>
      </w:pPr>
      <w:r w:rsidRPr="004C70EC">
        <w:rPr>
          <w:noProof/>
          <w:color w:val="000000" w:themeColor="text1"/>
          <w:bdr w:val="nil"/>
          <w:lang w:val="en-US" w:eastAsia="en-GB"/>
        </w:rPr>
        <w:t>•</w:t>
      </w:r>
      <w:r w:rsidRPr="004C70EC">
        <w:rPr>
          <w:rFonts w:eastAsia="Arial Unicode MS"/>
          <w:noProof/>
          <w:color w:val="000000" w:themeColor="text1"/>
          <w:u w:color="000000"/>
          <w:bdr w:val="nil"/>
          <w:lang w:val="en-US" w:eastAsia="en-GB"/>
        </w:rPr>
        <w:tab/>
      </w:r>
      <w:r w:rsidRPr="004C70EC">
        <w:rPr>
          <w:noProof/>
          <w:color w:val="000000" w:themeColor="text1"/>
          <w:bdr w:val="nil"/>
          <w:lang w:val="en-US" w:eastAsia="en-GB"/>
        </w:rPr>
        <w:t>Reasons for and objectives of the proposal</w:t>
      </w:r>
    </w:p>
    <w:p w14:paraId="60ACA984" w14:textId="77777777" w:rsidR="008968AB" w:rsidRPr="004C70EC" w:rsidRDefault="008968AB">
      <w:pPr>
        <w:pBdr>
          <w:top w:val="nil"/>
          <w:left w:val="nil"/>
          <w:bottom w:val="nil"/>
          <w:right w:val="nil"/>
          <w:between w:val="nil"/>
        </w:pBdr>
        <w:spacing w:after="240"/>
        <w:rPr>
          <w:rFonts w:eastAsia="Times New Roman"/>
          <w:noProof/>
          <w:color w:val="000000" w:themeColor="text1"/>
        </w:rPr>
      </w:pPr>
      <w:r w:rsidRPr="004C70EC">
        <w:rPr>
          <w:rFonts w:eastAsia="Times New Roman"/>
          <w:noProof/>
          <w:color w:val="000000" w:themeColor="text1"/>
          <w:lang w:eastAsia="en-GB"/>
        </w:rPr>
        <w:t xml:space="preserve">Biotechnology and biomanufacturing are essential to the EU’s competitiveness, strategic autonomy and economic security. They are a pillar of </w:t>
      </w:r>
      <w:r w:rsidR="00DD0C0D" w:rsidRPr="004C70EC">
        <w:rPr>
          <w:rFonts w:eastAsia="Times New Roman"/>
          <w:noProof/>
          <w:color w:val="000000" w:themeColor="text1"/>
          <w:lang w:eastAsia="en-GB"/>
        </w:rPr>
        <w:t xml:space="preserve">the Union’s </w:t>
      </w:r>
      <w:r w:rsidRPr="004C70EC">
        <w:rPr>
          <w:rFonts w:eastAsia="Times New Roman"/>
          <w:noProof/>
          <w:color w:val="000000" w:themeColor="text1"/>
          <w:lang w:eastAsia="en-GB"/>
        </w:rPr>
        <w:t xml:space="preserve">societal wellbeing in key areas such as health and food. </w:t>
      </w:r>
    </w:p>
    <w:p w14:paraId="5AF0298F" w14:textId="77777777" w:rsidR="008968AB" w:rsidRPr="004C70EC" w:rsidRDefault="008968AB">
      <w:pPr>
        <w:pBdr>
          <w:top w:val="nil"/>
          <w:left w:val="nil"/>
          <w:bottom w:val="nil"/>
          <w:right w:val="nil"/>
          <w:between w:val="nil"/>
        </w:pBdr>
        <w:spacing w:after="240"/>
        <w:rPr>
          <w:rFonts w:eastAsia="Times New Roman"/>
          <w:noProof/>
          <w:color w:val="000000" w:themeColor="text1"/>
          <w:lang w:val="en-IE" w:eastAsia="en-GB"/>
        </w:rPr>
      </w:pPr>
      <w:r w:rsidRPr="004C70EC">
        <w:rPr>
          <w:rFonts w:eastAsia="Times New Roman"/>
          <w:noProof/>
          <w:color w:val="000000" w:themeColor="text1"/>
          <w:lang w:eastAsia="en-GB"/>
        </w:rPr>
        <w:t xml:space="preserve">This strategic importance is underscored by the </w:t>
      </w:r>
      <w:r w:rsidR="00B53E77" w:rsidRPr="004C70EC">
        <w:rPr>
          <w:rFonts w:eastAsia="Times New Roman"/>
          <w:noProof/>
          <w:color w:val="000000" w:themeColor="text1"/>
          <w:lang w:eastAsia="en-GB"/>
        </w:rPr>
        <w:t xml:space="preserve">sector’s </w:t>
      </w:r>
      <w:r w:rsidRPr="004C70EC">
        <w:rPr>
          <w:rFonts w:eastAsia="Times New Roman"/>
          <w:noProof/>
          <w:color w:val="000000" w:themeColor="text1"/>
          <w:lang w:eastAsia="en-GB"/>
        </w:rPr>
        <w:t>rapid expansion. Over the last decade,</w:t>
      </w:r>
      <w:r w:rsidRPr="004C70EC">
        <w:rPr>
          <w:rFonts w:eastAsia="Times New Roman"/>
          <w:noProof/>
          <w:color w:val="000000" w:themeColor="text1"/>
          <w:lang w:val="en-US" w:eastAsia="en-GB"/>
        </w:rPr>
        <w:t xml:space="preserve"> </w:t>
      </w:r>
      <w:r w:rsidRPr="004C70EC">
        <w:rPr>
          <w:rFonts w:eastAsia="Times New Roman"/>
          <w:b/>
          <w:noProof/>
          <w:color w:val="000000" w:themeColor="text1"/>
          <w:lang w:val="en-US" w:eastAsia="en-GB"/>
        </w:rPr>
        <w:t>the EU biotechnology industry has grown more than twice as fast as the overall EU economy</w:t>
      </w:r>
      <w:r w:rsidR="007B656B" w:rsidRPr="004C70EC">
        <w:rPr>
          <w:rFonts w:eastAsia="Times New Roman"/>
          <w:b/>
          <w:noProof/>
          <w:color w:val="000000" w:themeColor="text1"/>
          <w:lang w:val="en-US" w:eastAsia="en-GB"/>
        </w:rPr>
        <w:t xml:space="preserve"> </w:t>
      </w:r>
      <w:r w:rsidR="007B656B" w:rsidRPr="002D7694">
        <w:rPr>
          <w:rFonts w:eastAsia="Times New Roman"/>
          <w:bCs/>
          <w:noProof/>
          <w:color w:val="000000" w:themeColor="text1"/>
          <w:lang w:val="en-US" w:eastAsia="en-GB"/>
        </w:rPr>
        <w:t xml:space="preserve">and is </w:t>
      </w:r>
      <w:r w:rsidR="007B656B" w:rsidRPr="004C70EC">
        <w:rPr>
          <w:rFonts w:eastAsia="Times New Roman"/>
          <w:bCs/>
          <w:noProof/>
          <w:color w:val="000000" w:themeColor="text1"/>
          <w:lang w:eastAsia="en-GB"/>
        </w:rPr>
        <w:t>one</w:t>
      </w:r>
      <w:r w:rsidR="007B656B" w:rsidRPr="004C70EC">
        <w:rPr>
          <w:rFonts w:eastAsia="Times New Roman"/>
          <w:noProof/>
          <w:color w:val="000000" w:themeColor="text1"/>
          <w:lang w:eastAsia="en-GB"/>
        </w:rPr>
        <w:t xml:space="preserve"> of the most economically productive industries</w:t>
      </w:r>
      <w:r w:rsidRPr="004C70EC">
        <w:rPr>
          <w:rFonts w:eastAsia="Times New Roman"/>
          <w:b/>
          <w:bCs/>
          <w:noProof/>
          <w:color w:val="000000" w:themeColor="text1"/>
          <w:lang w:val="en-US" w:eastAsia="en-GB"/>
        </w:rPr>
        <w:t>.</w:t>
      </w:r>
      <w:r w:rsidRPr="004C70EC">
        <w:rPr>
          <w:rFonts w:eastAsia="Times New Roman"/>
          <w:noProof/>
          <w:color w:val="000000" w:themeColor="text1"/>
          <w:lang w:val="en-US" w:eastAsia="en-GB"/>
        </w:rPr>
        <w:t xml:space="preserve"> </w:t>
      </w:r>
      <w:r w:rsidR="54F2D3CC" w:rsidRPr="002D7694">
        <w:rPr>
          <w:rFonts w:eastAsia="Times New Roman"/>
          <w:noProof/>
          <w:color w:val="000000" w:themeColor="text1"/>
          <w:lang w:eastAsia="en-GB"/>
        </w:rPr>
        <w:t xml:space="preserve">The spillover effect is also significant, each job in industrial biotechnology generates 3.4 additional jobs in the broader economy. </w:t>
      </w:r>
      <w:r w:rsidR="54F2D3CC" w:rsidRPr="002D7694">
        <w:rPr>
          <w:rFonts w:asciiTheme="minorHAnsi" w:eastAsiaTheme="minorEastAsia" w:hAnsiTheme="minorHAnsi" w:cstheme="minorBidi"/>
          <w:noProof/>
          <w:color w:val="000000" w:themeColor="text1"/>
          <w:lang w:eastAsia="en-GB"/>
        </w:rPr>
        <w:t xml:space="preserve"> </w:t>
      </w:r>
      <w:r w:rsidRPr="004C70EC">
        <w:rPr>
          <w:rFonts w:eastAsia="Times New Roman"/>
          <w:noProof/>
          <w:color w:val="000000" w:themeColor="text1"/>
          <w:lang w:val="en-US" w:eastAsia="en-GB"/>
        </w:rPr>
        <w:t>In 2022, it accounted for EUR</w:t>
      </w:r>
      <w:r w:rsidR="00DC7C98" w:rsidRPr="004C70EC">
        <w:rPr>
          <w:rFonts w:eastAsia="Times New Roman"/>
          <w:noProof/>
          <w:color w:val="000000" w:themeColor="text1"/>
          <w:lang w:val="en-IE" w:eastAsia="en-GB"/>
        </w:rPr>
        <w:t> </w:t>
      </w:r>
      <w:r w:rsidRPr="004C70EC">
        <w:rPr>
          <w:rFonts w:eastAsia="Times New Roman"/>
          <w:noProof/>
          <w:color w:val="000000" w:themeColor="text1"/>
          <w:lang w:val="en-US" w:eastAsia="en-GB"/>
        </w:rPr>
        <w:t xml:space="preserve">38.1 billion </w:t>
      </w:r>
      <w:r w:rsidR="59B0DF39" w:rsidRPr="004C70EC">
        <w:rPr>
          <w:rFonts w:eastAsia="Times New Roman"/>
          <w:noProof/>
          <w:color w:val="000000" w:themeColor="text1"/>
          <w:lang w:val="en-US" w:eastAsia="en-GB"/>
        </w:rPr>
        <w:t xml:space="preserve">of </w:t>
      </w:r>
      <w:r w:rsidRPr="004C70EC">
        <w:rPr>
          <w:rFonts w:eastAsia="Times New Roman"/>
          <w:noProof/>
          <w:color w:val="000000" w:themeColor="text1"/>
          <w:lang w:val="en-US" w:eastAsia="en-GB"/>
        </w:rPr>
        <w:t xml:space="preserve">Union GDP </w:t>
      </w:r>
      <w:r w:rsidRPr="004C70EC">
        <w:rPr>
          <w:rFonts w:eastAsia="Times New Roman"/>
          <w:noProof/>
          <w:color w:val="000000" w:themeColor="text1"/>
          <w:lang w:val="en-IE" w:eastAsia="en-GB"/>
        </w:rPr>
        <w:t>and</w:t>
      </w:r>
      <w:r w:rsidRPr="004C70EC">
        <w:rPr>
          <w:rFonts w:eastAsia="Times New Roman"/>
          <w:noProof/>
          <w:color w:val="000000" w:themeColor="text1"/>
          <w:lang w:val="en-IE"/>
        </w:rPr>
        <w:t xml:space="preserve"> contributed to 913</w:t>
      </w:r>
      <w:r w:rsidR="0006414D" w:rsidRPr="004C70EC">
        <w:rPr>
          <w:rFonts w:eastAsia="Times New Roman"/>
          <w:noProof/>
          <w:color w:val="000000" w:themeColor="text1"/>
          <w:lang w:val="en-IE" w:eastAsia="en-GB"/>
        </w:rPr>
        <w:t> </w:t>
      </w:r>
      <w:r w:rsidRPr="004C70EC">
        <w:rPr>
          <w:rFonts w:eastAsia="Times New Roman"/>
          <w:noProof/>
          <w:color w:val="000000" w:themeColor="text1"/>
          <w:lang w:val="en-IE"/>
        </w:rPr>
        <w:t>160</w:t>
      </w:r>
      <w:r w:rsidRPr="004C70EC">
        <w:rPr>
          <w:rFonts w:eastAsia="Times New Roman"/>
          <w:noProof/>
          <w:color w:val="000000" w:themeColor="text1"/>
          <w:lang w:val="en-IE" w:eastAsia="en-GB"/>
        </w:rPr>
        <w:t xml:space="preserve"> jobs, with more than 75% </w:t>
      </w:r>
      <w:r w:rsidR="004F6841" w:rsidRPr="004C70EC">
        <w:rPr>
          <w:rFonts w:eastAsia="Times New Roman"/>
          <w:noProof/>
          <w:color w:val="000000" w:themeColor="text1"/>
          <w:lang w:val="en-IE" w:eastAsia="en-GB"/>
        </w:rPr>
        <w:t>of those jobs</w:t>
      </w:r>
      <w:r w:rsidRPr="004C70EC">
        <w:rPr>
          <w:rFonts w:eastAsia="Times New Roman"/>
          <w:noProof/>
          <w:color w:val="000000" w:themeColor="text1"/>
          <w:lang w:val="en-IE" w:eastAsia="en-GB"/>
        </w:rPr>
        <w:t xml:space="preserve"> (685</w:t>
      </w:r>
      <w:r w:rsidR="00E26CC0" w:rsidRPr="004C70EC">
        <w:rPr>
          <w:rFonts w:eastAsia="Times New Roman"/>
          <w:noProof/>
          <w:color w:val="000000" w:themeColor="text1"/>
          <w:lang w:val="en-IE" w:eastAsia="en-GB"/>
        </w:rPr>
        <w:t> </w:t>
      </w:r>
      <w:r w:rsidRPr="004C70EC">
        <w:rPr>
          <w:rFonts w:eastAsia="Times New Roman"/>
          <w:noProof/>
          <w:color w:val="000000" w:themeColor="text1"/>
          <w:lang w:val="en-IE" w:eastAsia="en-GB"/>
        </w:rPr>
        <w:t>000</w:t>
      </w:r>
      <w:r w:rsidRPr="004C70EC" w:rsidDel="007206AD">
        <w:rPr>
          <w:rFonts w:eastAsia="Times New Roman"/>
          <w:noProof/>
          <w:color w:val="000000" w:themeColor="text1"/>
          <w:lang w:val="en-IE" w:eastAsia="en-GB"/>
        </w:rPr>
        <w:t>) coming from the health biotechnology secto</w:t>
      </w:r>
      <w:r w:rsidRPr="004C70EC">
        <w:rPr>
          <w:rFonts w:eastAsia="Times New Roman"/>
          <w:noProof/>
          <w:color w:val="000000" w:themeColor="text1"/>
          <w:lang w:val="en-IE" w:eastAsia="en-GB"/>
        </w:rPr>
        <w:t>r</w:t>
      </w:r>
      <w:r w:rsidR="00E26CC0" w:rsidRPr="004C70EC">
        <w:rPr>
          <w:rFonts w:eastAsia="Times New Roman"/>
          <w:noProof/>
          <w:color w:val="000000" w:themeColor="text1"/>
          <w:lang w:val="en-IE" w:eastAsia="en-GB"/>
        </w:rPr>
        <w:t> </w:t>
      </w:r>
      <w:r w:rsidRPr="004C70EC">
        <w:rPr>
          <w:rStyle w:val="FootnoteReference"/>
          <w:noProof/>
          <w:color w:val="000000" w:themeColor="text1"/>
        </w:rPr>
        <w:footnoteReference w:id="2"/>
      </w:r>
      <w:r w:rsidRPr="004C70EC">
        <w:rPr>
          <w:rFonts w:eastAsia="Times New Roman"/>
          <w:noProof/>
          <w:color w:val="000000" w:themeColor="text1"/>
          <w:lang w:val="en-IE" w:eastAsia="en-GB"/>
        </w:rPr>
        <w:t>.</w:t>
      </w:r>
    </w:p>
    <w:p w14:paraId="4A772F69" w14:textId="77777777" w:rsidR="008968AB" w:rsidRPr="004C70EC" w:rsidDel="005D1E7D" w:rsidRDefault="008968AB">
      <w:pPr>
        <w:pBdr>
          <w:top w:val="nil"/>
          <w:left w:val="nil"/>
          <w:bottom w:val="nil"/>
          <w:right w:val="nil"/>
          <w:between w:val="nil"/>
        </w:pBdr>
        <w:spacing w:after="240"/>
        <w:rPr>
          <w:rFonts w:eastAsia="Times New Roman"/>
          <w:noProof/>
          <w:color w:val="000000" w:themeColor="text1"/>
          <w:lang w:eastAsia="en-GB"/>
        </w:rPr>
      </w:pPr>
      <w:r w:rsidRPr="004C70EC">
        <w:rPr>
          <w:rFonts w:eastAsia="Times New Roman"/>
          <w:noProof/>
          <w:color w:val="000000" w:themeColor="text1"/>
          <w:lang w:val="en-US" w:eastAsia="en-GB"/>
        </w:rPr>
        <w:t xml:space="preserve">However, </w:t>
      </w:r>
      <w:r w:rsidR="00DD0C0D" w:rsidRPr="004C70EC">
        <w:rPr>
          <w:rFonts w:eastAsia="Times New Roman"/>
          <w:b/>
          <w:noProof/>
          <w:color w:val="000000" w:themeColor="text1"/>
          <w:lang w:val="en-US" w:eastAsia="en-GB"/>
        </w:rPr>
        <w:t>the EU</w:t>
      </w:r>
      <w:r w:rsidRPr="004C70EC">
        <w:rPr>
          <w:rFonts w:eastAsia="Times New Roman"/>
          <w:b/>
          <w:noProof/>
          <w:color w:val="000000" w:themeColor="text1"/>
          <w:lang w:val="en-US" w:eastAsia="en-GB"/>
        </w:rPr>
        <w:t xml:space="preserve"> lags </w:t>
      </w:r>
      <w:r w:rsidR="00AA1A98" w:rsidRPr="004C70EC">
        <w:rPr>
          <w:rFonts w:eastAsia="Times New Roman"/>
          <w:b/>
          <w:noProof/>
          <w:color w:val="000000" w:themeColor="text1"/>
          <w:lang w:val="en-US" w:eastAsia="en-GB"/>
        </w:rPr>
        <w:t>behind</w:t>
      </w:r>
      <w:r w:rsidRPr="004C70EC">
        <w:rPr>
          <w:rFonts w:eastAsia="Times New Roman"/>
          <w:b/>
          <w:noProof/>
          <w:color w:val="000000" w:themeColor="text1"/>
          <w:lang w:val="en-US" w:eastAsia="en-GB"/>
        </w:rPr>
        <w:t xml:space="preserve"> </w:t>
      </w:r>
      <w:r w:rsidR="008147ED" w:rsidRPr="004C70EC">
        <w:rPr>
          <w:rFonts w:eastAsia="Times New Roman"/>
          <w:b/>
          <w:noProof/>
          <w:color w:val="000000" w:themeColor="text1"/>
          <w:lang w:val="en-US" w:eastAsia="en-GB"/>
        </w:rPr>
        <w:t xml:space="preserve">other </w:t>
      </w:r>
      <w:r w:rsidR="00C445F2" w:rsidRPr="004C70EC">
        <w:rPr>
          <w:rFonts w:eastAsia="Times New Roman"/>
          <w:b/>
          <w:noProof/>
          <w:color w:val="000000" w:themeColor="text1"/>
          <w:lang w:val="en-US" w:eastAsia="en-GB"/>
        </w:rPr>
        <w:t>global regions</w:t>
      </w:r>
      <w:r w:rsidRPr="004C70EC">
        <w:rPr>
          <w:rFonts w:eastAsia="Times New Roman"/>
          <w:b/>
          <w:noProof/>
          <w:color w:val="000000" w:themeColor="text1"/>
          <w:lang w:val="en-US" w:eastAsia="en-GB"/>
        </w:rPr>
        <w:t xml:space="preserve"> when it comes to translating its world-class science and innovation into commercially viable products</w:t>
      </w:r>
      <w:r w:rsidRPr="004C70EC">
        <w:rPr>
          <w:rFonts w:eastAsia="Times New Roman"/>
          <w:noProof/>
          <w:color w:val="000000" w:themeColor="text1"/>
          <w:lang w:val="en-US" w:eastAsia="en-GB"/>
        </w:rPr>
        <w:t xml:space="preserve">, and even more so in manufacturing such products at scale. </w:t>
      </w:r>
      <w:r w:rsidRPr="004C70EC">
        <w:rPr>
          <w:rFonts w:eastAsia="Times New Roman"/>
          <w:noProof/>
          <w:color w:val="000000" w:themeColor="text1"/>
          <w:lang w:val="en-US"/>
        </w:rPr>
        <w:t>Despite world-leading biotech</w:t>
      </w:r>
      <w:r w:rsidR="6C591885" w:rsidRPr="004C70EC">
        <w:rPr>
          <w:rFonts w:eastAsia="Times New Roman"/>
          <w:noProof/>
          <w:color w:val="000000" w:themeColor="text1"/>
          <w:lang w:val="en-US"/>
        </w:rPr>
        <w:t>nology</w:t>
      </w:r>
      <w:r w:rsidRPr="004C70EC">
        <w:rPr>
          <w:rFonts w:eastAsia="Times New Roman"/>
          <w:noProof/>
          <w:color w:val="000000" w:themeColor="text1"/>
          <w:lang w:val="en-US"/>
        </w:rPr>
        <w:t xml:space="preserve"> science, reflected by a publication record comparable to </w:t>
      </w:r>
      <w:r w:rsidR="00C82F15" w:rsidRPr="004C70EC">
        <w:rPr>
          <w:rFonts w:eastAsia="Times New Roman"/>
          <w:noProof/>
          <w:color w:val="000000" w:themeColor="text1"/>
          <w:lang w:val="en-US"/>
        </w:rPr>
        <w:t>that of</w:t>
      </w:r>
      <w:r w:rsidRPr="004C70EC">
        <w:rPr>
          <w:rFonts w:eastAsia="Times New Roman"/>
          <w:noProof/>
          <w:color w:val="000000" w:themeColor="text1"/>
          <w:lang w:val="en-US"/>
        </w:rPr>
        <w:t xml:space="preserve"> the US and China (Figure 1),</w:t>
      </w:r>
      <w:r w:rsidRPr="004C70EC">
        <w:rPr>
          <w:rFonts w:eastAsia="Times New Roman"/>
          <w:noProof/>
          <w:color w:val="000000" w:themeColor="text1"/>
          <w:lang w:val="en-US" w:eastAsia="en-GB"/>
        </w:rPr>
        <w:t xml:space="preserve"> </w:t>
      </w:r>
      <w:r w:rsidR="00DD0C0D" w:rsidRPr="004C70EC">
        <w:rPr>
          <w:rFonts w:eastAsia="Times New Roman"/>
          <w:noProof/>
          <w:color w:val="000000" w:themeColor="text1"/>
          <w:lang w:val="en-US" w:eastAsia="en-GB"/>
        </w:rPr>
        <w:t xml:space="preserve">the EU </w:t>
      </w:r>
      <w:r w:rsidRPr="004C70EC">
        <w:rPr>
          <w:rFonts w:eastAsia="Times New Roman"/>
          <w:noProof/>
          <w:color w:val="000000" w:themeColor="text1"/>
          <w:lang w:val="en-US" w:eastAsia="en-GB"/>
        </w:rPr>
        <w:t xml:space="preserve">faces structural barriers in clinical development, regulation and manufacturing. As a result, </w:t>
      </w:r>
      <w:r w:rsidR="00C82F15" w:rsidRPr="004C70EC">
        <w:rPr>
          <w:rFonts w:eastAsia="Times New Roman"/>
          <w:noProof/>
          <w:color w:val="000000" w:themeColor="text1"/>
          <w:lang w:val="en-US" w:eastAsia="en-GB"/>
        </w:rPr>
        <w:t>too often</w:t>
      </w:r>
      <w:r w:rsidRPr="004C70EC">
        <w:rPr>
          <w:rFonts w:eastAsia="Times New Roman"/>
          <w:noProof/>
          <w:color w:val="000000" w:themeColor="text1"/>
          <w:lang w:val="en-US" w:eastAsia="en-GB"/>
        </w:rPr>
        <w:t xml:space="preserve"> </w:t>
      </w:r>
      <w:r w:rsidR="06E2FD9F" w:rsidRPr="004C70EC">
        <w:rPr>
          <w:rFonts w:eastAsia="Times New Roman"/>
          <w:noProof/>
          <w:color w:val="000000" w:themeColor="text1"/>
          <w:lang w:val="en-US" w:eastAsia="en-GB"/>
        </w:rPr>
        <w:t xml:space="preserve">Union </w:t>
      </w:r>
      <w:r w:rsidRPr="004C70EC">
        <w:rPr>
          <w:rFonts w:eastAsia="Times New Roman"/>
          <w:noProof/>
          <w:color w:val="000000" w:themeColor="text1"/>
          <w:lang w:val="en-US" w:eastAsia="en-GB"/>
        </w:rPr>
        <w:t>start-ups end up investing, growing, employing, creating value and placing their products on the market abroad rather than in the EU. This is especially true for health biotechnology, where</w:t>
      </w:r>
      <w:r w:rsidR="007B745B" w:rsidRPr="004C70EC">
        <w:rPr>
          <w:rFonts w:eastAsia="Times New Roman"/>
          <w:noProof/>
          <w:color w:val="000000" w:themeColor="text1"/>
          <w:lang w:val="en-US" w:eastAsia="en-GB"/>
        </w:rPr>
        <w:t xml:space="preserve"> it is at times challenging </w:t>
      </w:r>
      <w:r w:rsidR="005578D4" w:rsidRPr="004C70EC">
        <w:rPr>
          <w:rFonts w:eastAsia="Times New Roman"/>
          <w:noProof/>
          <w:color w:val="000000" w:themeColor="text1"/>
          <w:lang w:val="en-US" w:eastAsia="en-GB"/>
        </w:rPr>
        <w:t xml:space="preserve">for the legislative frameworks to </w:t>
      </w:r>
      <w:r w:rsidRPr="004C70EC">
        <w:rPr>
          <w:rFonts w:eastAsia="Times New Roman"/>
          <w:noProof/>
          <w:color w:val="000000" w:themeColor="text1"/>
          <w:lang w:val="en-US" w:eastAsia="en-GB"/>
        </w:rPr>
        <w:t xml:space="preserve">keep pace with </w:t>
      </w:r>
      <w:r w:rsidR="001B3609" w:rsidRPr="004C70EC">
        <w:rPr>
          <w:rFonts w:eastAsia="Times New Roman"/>
          <w:noProof/>
          <w:color w:val="000000" w:themeColor="text1"/>
          <w:lang w:val="en-US" w:eastAsia="en-GB"/>
        </w:rPr>
        <w:t xml:space="preserve">the speed of </w:t>
      </w:r>
      <w:r w:rsidRPr="004C70EC">
        <w:rPr>
          <w:rFonts w:eastAsia="Times New Roman"/>
          <w:noProof/>
          <w:color w:val="000000" w:themeColor="text1"/>
          <w:lang w:eastAsia="en-GB"/>
        </w:rPr>
        <w:t>scien</w:t>
      </w:r>
      <w:r w:rsidR="001B3609" w:rsidRPr="004C70EC">
        <w:rPr>
          <w:rFonts w:eastAsia="Times New Roman"/>
          <w:noProof/>
          <w:color w:val="000000" w:themeColor="text1"/>
          <w:lang w:eastAsia="en-GB"/>
        </w:rPr>
        <w:t>tific developments</w:t>
      </w:r>
      <w:r w:rsidRPr="004C70EC">
        <w:rPr>
          <w:rFonts w:eastAsia="Times New Roman"/>
          <w:noProof/>
          <w:color w:val="000000" w:themeColor="text1"/>
          <w:lang w:eastAsia="en-GB"/>
        </w:rPr>
        <w:t>.</w:t>
      </w:r>
    </w:p>
    <w:p w14:paraId="5962AE87" w14:textId="77777777" w:rsidR="0080781D" w:rsidRPr="004C70EC" w:rsidDel="005D1E7D" w:rsidRDefault="0080781D" w:rsidP="008968AB">
      <w:pPr>
        <w:pBdr>
          <w:top w:val="nil"/>
          <w:left w:val="nil"/>
          <w:bottom w:val="nil"/>
          <w:right w:val="nil"/>
          <w:between w:val="nil"/>
        </w:pBdr>
        <w:spacing w:after="240"/>
        <w:rPr>
          <w:rFonts w:eastAsia="Times New Roman"/>
          <w:noProof/>
          <w:color w:val="000000" w:themeColor="text1"/>
          <w:lang w:eastAsia="en-GB"/>
        </w:rPr>
      </w:pPr>
    </w:p>
    <w:p w14:paraId="39CE53A6" w14:textId="77777777" w:rsidR="00E934F2" w:rsidRPr="004C70EC" w:rsidRDefault="00E934F2">
      <w:pPr>
        <w:pBdr>
          <w:top w:val="nil"/>
          <w:left w:val="nil"/>
          <w:bottom w:val="nil"/>
          <w:right w:val="nil"/>
          <w:between w:val="nil"/>
        </w:pBdr>
        <w:spacing w:after="240"/>
        <w:jc w:val="center"/>
        <w:rPr>
          <w:noProof/>
          <w:color w:val="000000" w:themeColor="text1"/>
        </w:rPr>
      </w:pPr>
      <w:r w:rsidRPr="004C70EC">
        <w:rPr>
          <w:noProof/>
          <w:color w:val="000000" w:themeColor="text1"/>
          <w:lang w:eastAsia="en-GB"/>
        </w:rPr>
        <w:drawing>
          <wp:inline distT="0" distB="0" distL="0" distR="0" wp14:anchorId="6F42E2BF" wp14:editId="7401A49B">
            <wp:extent cx="3038475" cy="2564106"/>
            <wp:effectExtent l="0" t="0" r="0" b="8255"/>
            <wp:docPr id="7630975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097522" name="Picture 763097522"/>
                    <pic:cNvPicPr/>
                  </pic:nvPicPr>
                  <pic:blipFill>
                    <a:blip r:embed="rId11">
                      <a:extLst>
                        <a:ext uri="{28A0092B-C50C-407E-A947-70E740481C1C}">
                          <a14:useLocalDpi xmlns:a14="http://schemas.microsoft.com/office/drawing/2010/main"/>
                        </a:ext>
                      </a:extLst>
                    </a:blip>
                    <a:stretch>
                      <a:fillRect/>
                    </a:stretch>
                  </pic:blipFill>
                  <pic:spPr>
                    <a:xfrm>
                      <a:off x="0" y="0"/>
                      <a:ext cx="3062168" cy="2584100"/>
                    </a:xfrm>
                    <a:prstGeom prst="rect">
                      <a:avLst/>
                    </a:prstGeom>
                  </pic:spPr>
                </pic:pic>
              </a:graphicData>
            </a:graphic>
          </wp:inline>
        </w:drawing>
      </w:r>
    </w:p>
    <w:p w14:paraId="3B6BE2A5" w14:textId="77777777" w:rsidR="00E934F2" w:rsidRPr="004C70EC" w:rsidRDefault="00E934F2">
      <w:pPr>
        <w:pBdr>
          <w:top w:val="nil"/>
          <w:left w:val="nil"/>
          <w:bottom w:val="nil"/>
          <w:right w:val="nil"/>
          <w:between w:val="nil"/>
        </w:pBdr>
        <w:spacing w:after="240"/>
        <w:jc w:val="center"/>
        <w:rPr>
          <w:rFonts w:eastAsia="Times New Roman"/>
          <w:noProof/>
          <w:color w:val="000000" w:themeColor="text1"/>
          <w:szCs w:val="24"/>
        </w:rPr>
      </w:pPr>
      <w:r w:rsidRPr="004C70EC">
        <w:rPr>
          <w:rFonts w:eastAsia="Times New Roman"/>
          <w:noProof/>
          <w:color w:val="000000" w:themeColor="text1"/>
          <w:szCs w:val="24"/>
        </w:rPr>
        <w:t xml:space="preserve">Figure 1: </w:t>
      </w:r>
      <w:r w:rsidR="00F450BD" w:rsidRPr="004C70EC">
        <w:rPr>
          <w:rFonts w:eastAsia="Times New Roman"/>
          <w:noProof/>
          <w:color w:val="000000" w:themeColor="text1"/>
          <w:szCs w:val="24"/>
        </w:rPr>
        <w:t>Top tier life science publications</w:t>
      </w:r>
      <w:r w:rsidRPr="004C70EC">
        <w:rPr>
          <w:rFonts w:eastAsia="Times New Roman"/>
          <w:noProof/>
          <w:color w:val="000000" w:themeColor="text1"/>
          <w:szCs w:val="24"/>
        </w:rPr>
        <w:t xml:space="preserve"> of the EU compared to </w:t>
      </w:r>
      <w:r w:rsidR="00C82F15" w:rsidRPr="004C70EC">
        <w:rPr>
          <w:rFonts w:eastAsia="Times New Roman"/>
          <w:noProof/>
          <w:color w:val="000000" w:themeColor="text1"/>
          <w:szCs w:val="24"/>
        </w:rPr>
        <w:t xml:space="preserve">the </w:t>
      </w:r>
      <w:r w:rsidRPr="004C70EC">
        <w:rPr>
          <w:rFonts w:eastAsia="Times New Roman"/>
          <w:noProof/>
          <w:color w:val="000000" w:themeColor="text1"/>
          <w:szCs w:val="24"/>
        </w:rPr>
        <w:t>USA and China</w:t>
      </w:r>
    </w:p>
    <w:p w14:paraId="34E29787" w14:textId="77777777" w:rsidR="00E27D3B" w:rsidRPr="004C70EC" w:rsidRDefault="00E27D3B" w:rsidP="0080781D">
      <w:pPr>
        <w:pBdr>
          <w:top w:val="nil"/>
          <w:left w:val="nil"/>
          <w:bottom w:val="nil"/>
          <w:right w:val="nil"/>
          <w:between w:val="nil"/>
        </w:pBdr>
        <w:spacing w:after="240"/>
        <w:rPr>
          <w:rFonts w:eastAsia="Times New Roman"/>
          <w:b/>
          <w:noProof/>
          <w:color w:val="000000" w:themeColor="text1"/>
        </w:rPr>
      </w:pPr>
    </w:p>
    <w:p w14:paraId="73DBE9BC" w14:textId="77777777" w:rsidR="00E27D3B" w:rsidRPr="004C70EC" w:rsidRDefault="00E27D3B" w:rsidP="0080781D">
      <w:pPr>
        <w:pBdr>
          <w:top w:val="nil"/>
          <w:left w:val="nil"/>
          <w:bottom w:val="nil"/>
          <w:right w:val="nil"/>
          <w:between w:val="nil"/>
        </w:pBdr>
        <w:spacing w:after="240"/>
        <w:rPr>
          <w:rFonts w:eastAsia="Times New Roman"/>
          <w:noProof/>
          <w:color w:val="000000" w:themeColor="text1"/>
          <w:lang w:eastAsia="en-GB"/>
        </w:rPr>
      </w:pPr>
      <w:r w:rsidRPr="004C70EC">
        <w:rPr>
          <w:rFonts w:eastAsia="Times New Roman"/>
          <w:noProof/>
          <w:color w:val="000000" w:themeColor="text1"/>
          <w:lang w:eastAsia="en-GB"/>
        </w:rPr>
        <w:t xml:space="preserve">To remain a biotechnology powerhouse, the EU must make the most of its scale. Fragmented governance and suboptimal coordination across Member States weaken the EU’s ability to deploy industrial facilities at scale, resulting in underused </w:t>
      </w:r>
      <w:r w:rsidRPr="004C70EC">
        <w:rPr>
          <w:rFonts w:eastAsia="Times New Roman"/>
          <w:b/>
          <w:noProof/>
          <w:color w:val="000000" w:themeColor="text1"/>
          <w:lang w:eastAsia="en-GB"/>
        </w:rPr>
        <w:t>biomanufacturing potential</w:t>
      </w:r>
      <w:r w:rsidRPr="004C70EC">
        <w:rPr>
          <w:rFonts w:eastAsia="Times New Roman"/>
          <w:noProof/>
          <w:color w:val="000000" w:themeColor="text1"/>
          <w:lang w:eastAsia="en-GB"/>
        </w:rPr>
        <w:t xml:space="preserve"> - including in strategic areas such as </w:t>
      </w:r>
      <w:r w:rsidRPr="004C70EC">
        <w:rPr>
          <w:rFonts w:eastAsia="Times New Roman"/>
          <w:b/>
          <w:noProof/>
          <w:color w:val="000000" w:themeColor="text1"/>
          <w:lang w:eastAsia="en-GB"/>
        </w:rPr>
        <w:t>biosimilars</w:t>
      </w:r>
      <w:r w:rsidRPr="004C70EC">
        <w:rPr>
          <w:rFonts w:eastAsia="Times New Roman"/>
          <w:noProof/>
          <w:color w:val="000000" w:themeColor="text1"/>
          <w:lang w:eastAsia="en-GB"/>
        </w:rPr>
        <w:t xml:space="preserve">, where the EU has strong expertise but insufficiently exploited capacity. </w:t>
      </w:r>
      <w:r w:rsidRPr="004C70EC" w:rsidDel="00A60186">
        <w:rPr>
          <w:rFonts w:eastAsia="Times New Roman"/>
          <w:noProof/>
          <w:color w:val="000000" w:themeColor="text1"/>
          <w:lang w:eastAsia="en-GB"/>
        </w:rPr>
        <w:t>I</w:t>
      </w:r>
      <w:r w:rsidRPr="004C70EC">
        <w:rPr>
          <w:rFonts w:eastAsia="Times New Roman"/>
          <w:noProof/>
          <w:color w:val="000000" w:themeColor="text1"/>
          <w:lang w:eastAsia="en-GB"/>
        </w:rPr>
        <w:t>t</w:t>
      </w:r>
      <w:r w:rsidRPr="004C70EC">
        <w:rPr>
          <w:rFonts w:eastAsia="Times New Roman"/>
          <w:noProof/>
          <w:color w:val="000000" w:themeColor="text1"/>
        </w:rPr>
        <w:t xml:space="preserve"> should also ensure a strong alignment between the available labour supply and the specialised skills that the biotechnology and biomanufacturing sectors will require in the future. Current skill shortages across key areas including R&amp;D, regulatory affairs, AI, and data analytics further hinder Europe’s competitiveness. At the same time, the widening gender gap and the untapped potential of a diverse workforce represent missed opportunities for innovation and resilience.</w:t>
      </w:r>
    </w:p>
    <w:p w14:paraId="56A2CD61" w14:textId="77777777" w:rsidR="0080781D" w:rsidRPr="004C70EC" w:rsidRDefault="0080781D" w:rsidP="0080781D">
      <w:pPr>
        <w:pBdr>
          <w:top w:val="nil"/>
          <w:left w:val="nil"/>
          <w:bottom w:val="nil"/>
          <w:right w:val="nil"/>
          <w:between w:val="nil"/>
        </w:pBdr>
        <w:spacing w:after="240"/>
        <w:rPr>
          <w:rFonts w:eastAsia="Times New Roman"/>
          <w:noProof/>
          <w:color w:val="000000" w:themeColor="text1"/>
          <w:lang w:val="en-US" w:eastAsia="en-GB"/>
        </w:rPr>
      </w:pPr>
      <w:r w:rsidRPr="004C70EC">
        <w:rPr>
          <w:rFonts w:eastAsia="Times New Roman"/>
          <w:b/>
          <w:noProof/>
          <w:color w:val="000000" w:themeColor="text1"/>
        </w:rPr>
        <w:t>Access to finance</w:t>
      </w:r>
      <w:r w:rsidRPr="004C70EC">
        <w:rPr>
          <w:rFonts w:eastAsia="Times New Roman"/>
          <w:noProof/>
          <w:color w:val="000000" w:themeColor="text1"/>
        </w:rPr>
        <w:t xml:space="preserve"> for scale-up funding in the EU remains limited compared to other</w:t>
      </w:r>
      <w:r w:rsidRPr="004C70EC">
        <w:rPr>
          <w:rFonts w:eastAsia="Times New Roman"/>
          <w:noProof/>
          <w:color w:val="000000" w:themeColor="text1"/>
          <w:lang w:val="en-US" w:eastAsia="en-GB"/>
        </w:rPr>
        <w:t xml:space="preserve"> </w:t>
      </w:r>
      <w:r w:rsidRPr="004C70EC">
        <w:rPr>
          <w:rFonts w:eastAsia="Times New Roman"/>
          <w:noProof/>
          <w:color w:val="000000" w:themeColor="text1"/>
        </w:rPr>
        <w:t>regions. US biopharma start-ups received around nine times more late-stage funding than EU biopharma start-ups, with around EUR</w:t>
      </w:r>
      <w:r w:rsidRPr="004C70EC">
        <w:rPr>
          <w:rFonts w:eastAsia="Times New Roman"/>
          <w:noProof/>
          <w:color w:val="000000" w:themeColor="text1"/>
          <w:lang w:val="en-IE" w:eastAsia="en-GB"/>
        </w:rPr>
        <w:t> </w:t>
      </w:r>
      <w:r w:rsidRPr="004C70EC">
        <w:rPr>
          <w:rFonts w:eastAsia="Times New Roman"/>
          <w:noProof/>
          <w:color w:val="000000" w:themeColor="text1"/>
        </w:rPr>
        <w:t>219 billion of venture capital focused on health biotechnology invested in the US compared to EUR</w:t>
      </w:r>
      <w:r w:rsidRPr="004C70EC">
        <w:rPr>
          <w:rFonts w:eastAsia="Times New Roman"/>
          <w:noProof/>
          <w:color w:val="000000" w:themeColor="text1"/>
          <w:lang w:val="en-IE" w:eastAsia="en-GB"/>
        </w:rPr>
        <w:t> </w:t>
      </w:r>
      <w:r w:rsidRPr="004C70EC">
        <w:rPr>
          <w:rFonts w:eastAsia="Times New Roman"/>
          <w:noProof/>
          <w:color w:val="000000" w:themeColor="text1"/>
        </w:rPr>
        <w:t>25 billion in the EU between 2015 and June 2025 (Figure 2).</w:t>
      </w:r>
      <w:r w:rsidRPr="004C70EC">
        <w:rPr>
          <w:rFonts w:eastAsia="Times New Roman"/>
          <w:noProof/>
          <w:color w:val="000000" w:themeColor="text1"/>
          <w:lang w:val="en-US" w:eastAsia="en-GB"/>
        </w:rPr>
        <w:t xml:space="preserve"> </w:t>
      </w:r>
      <w:r w:rsidRPr="004C70EC">
        <w:rPr>
          <w:rFonts w:eastAsia="Times New Roman"/>
          <w:noProof/>
          <w:color w:val="000000" w:themeColor="text1"/>
        </w:rPr>
        <w:t>EU public equity markets for biotechnology also remain comparatively underdeveloped, with stock exchanges still largely fragmented across EU Member States</w:t>
      </w:r>
      <w:r w:rsidRPr="004C70EC">
        <w:rPr>
          <w:rFonts w:eastAsia="Times New Roman"/>
          <w:noProof/>
          <w:color w:val="000000" w:themeColor="text1"/>
          <w:lang w:val="en-IE" w:eastAsia="en-GB"/>
        </w:rPr>
        <w:t> </w:t>
      </w:r>
      <w:r w:rsidRPr="004C70EC">
        <w:rPr>
          <w:rStyle w:val="FootnoteReference"/>
          <w:rFonts w:eastAsia="Times New Roman"/>
          <w:noProof/>
          <w:color w:val="000000" w:themeColor="text1"/>
          <w:lang w:val="en-US" w:eastAsia="en-GB"/>
        </w:rPr>
        <w:footnoteReference w:id="3"/>
      </w:r>
      <w:r w:rsidRPr="004C70EC">
        <w:rPr>
          <w:rFonts w:eastAsia="Times New Roman"/>
          <w:noProof/>
          <w:color w:val="000000" w:themeColor="text1"/>
        </w:rPr>
        <w:t>. As a result, many EU scale-ups choose to list abroad: over the last six years, 66 out of 67 EU biotechnology companies that went public chose to list on non-EU stock exchanges, illustrating the persistent structural disadvantages faced by EU-based innovators</w:t>
      </w:r>
      <w:r w:rsidRPr="004C70EC">
        <w:rPr>
          <w:rFonts w:eastAsia="Times New Roman"/>
          <w:noProof/>
          <w:color w:val="000000" w:themeColor="text1"/>
          <w:lang w:val="en-IE" w:eastAsia="en-GB"/>
        </w:rPr>
        <w:t> </w:t>
      </w:r>
      <w:r w:rsidRPr="004C70EC">
        <w:rPr>
          <w:rStyle w:val="FootnoteReference"/>
          <w:rFonts w:eastAsia="Times New Roman"/>
          <w:noProof/>
          <w:color w:val="000000" w:themeColor="text1"/>
        </w:rPr>
        <w:footnoteReference w:id="4"/>
      </w:r>
      <w:r w:rsidRPr="004C70EC">
        <w:rPr>
          <w:rFonts w:eastAsia="Times New Roman"/>
          <w:noProof/>
          <w:color w:val="000000" w:themeColor="text1"/>
        </w:rPr>
        <w:t>.</w:t>
      </w:r>
    </w:p>
    <w:p w14:paraId="3EADD449" w14:textId="77777777" w:rsidR="006163AE" w:rsidRPr="004C70EC" w:rsidRDefault="003F10AB" w:rsidP="0080781D">
      <w:pPr>
        <w:pBdr>
          <w:top w:val="nil"/>
          <w:left w:val="nil"/>
          <w:bottom w:val="nil"/>
          <w:right w:val="nil"/>
          <w:between w:val="nil"/>
        </w:pBdr>
        <w:spacing w:after="240"/>
        <w:jc w:val="center"/>
        <w:rPr>
          <w:noProof/>
          <w:color w:val="000000" w:themeColor="text1"/>
          <w:lang w:val="en-IE"/>
        </w:rPr>
      </w:pPr>
      <w:r w:rsidRPr="004C70EC">
        <w:rPr>
          <w:noProof/>
          <w:color w:val="000000" w:themeColor="text1"/>
          <w:szCs w:val="24"/>
          <w:lang w:val="en-IE" w:eastAsia="en-IE"/>
        </w:rPr>
        <w:t xml:space="preserve"> </w:t>
      </w:r>
      <w:r w:rsidRPr="004C70EC">
        <w:rPr>
          <w:noProof/>
          <w:color w:val="000000" w:themeColor="text1"/>
          <w:lang w:eastAsia="en-GB"/>
        </w:rPr>
        <w:drawing>
          <wp:inline distT="0" distB="0" distL="0" distR="0" wp14:anchorId="7E14CBCF" wp14:editId="7EDBCDFD">
            <wp:extent cx="2924175" cy="2924175"/>
            <wp:effectExtent l="0" t="0" r="9525" b="9525"/>
            <wp:docPr id="721039773" name="Picture 8" descr="A graph of growth in a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39773" name="Picture 8" descr="A graph of growth in a compan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2DB5CA64" w14:textId="77777777" w:rsidR="0080781D" w:rsidRPr="004C70EC" w:rsidRDefault="0080781D" w:rsidP="0080781D">
      <w:pPr>
        <w:pBdr>
          <w:top w:val="nil"/>
          <w:left w:val="nil"/>
          <w:bottom w:val="nil"/>
          <w:right w:val="nil"/>
          <w:between w:val="nil"/>
        </w:pBdr>
        <w:spacing w:after="240"/>
        <w:jc w:val="center"/>
        <w:rPr>
          <w:rFonts w:eastAsia="Times New Roman"/>
          <w:noProof/>
          <w:color w:val="000000" w:themeColor="text1"/>
          <w:szCs w:val="24"/>
        </w:rPr>
      </w:pPr>
      <w:r w:rsidRPr="004C70EC">
        <w:rPr>
          <w:rFonts w:eastAsia="Times New Roman"/>
          <w:noProof/>
          <w:color w:val="000000" w:themeColor="text1"/>
          <w:szCs w:val="24"/>
        </w:rPr>
        <w:t xml:space="preserve">Figure 2: </w:t>
      </w:r>
      <w:r w:rsidR="00B306CD" w:rsidRPr="004C70EC">
        <w:rPr>
          <w:rFonts w:eastAsia="Times New Roman"/>
          <w:noProof/>
          <w:color w:val="000000" w:themeColor="text1"/>
          <w:szCs w:val="24"/>
        </w:rPr>
        <w:t xml:space="preserve">Health </w:t>
      </w:r>
      <w:r w:rsidRPr="004C70EC">
        <w:rPr>
          <w:rFonts w:eastAsia="Times New Roman"/>
          <w:noProof/>
          <w:color w:val="000000" w:themeColor="text1"/>
          <w:szCs w:val="24"/>
        </w:rPr>
        <w:t>Biotechnology investment in the EU</w:t>
      </w:r>
      <w:r w:rsidR="00AA4C41" w:rsidRPr="004C70EC">
        <w:rPr>
          <w:rFonts w:eastAsia="Times New Roman"/>
          <w:noProof/>
          <w:color w:val="000000" w:themeColor="text1"/>
          <w:szCs w:val="24"/>
        </w:rPr>
        <w:t xml:space="preserve"> compared to the US and </w:t>
      </w:r>
      <w:r w:rsidR="00B306CD" w:rsidRPr="004C70EC">
        <w:rPr>
          <w:rFonts w:eastAsia="Times New Roman"/>
          <w:noProof/>
          <w:color w:val="000000" w:themeColor="text1"/>
          <w:szCs w:val="24"/>
        </w:rPr>
        <w:t>China</w:t>
      </w:r>
    </w:p>
    <w:p w14:paraId="322217F3" w14:textId="77777777" w:rsidR="0080781D" w:rsidRPr="004C70EC" w:rsidRDefault="66C00F83" w:rsidP="4CF51068">
      <w:pPr>
        <w:pBdr>
          <w:top w:val="nil"/>
          <w:left w:val="nil"/>
          <w:bottom w:val="nil"/>
          <w:right w:val="nil"/>
          <w:between w:val="nil"/>
        </w:pBdr>
        <w:spacing w:after="240"/>
        <w:rPr>
          <w:rFonts w:eastAsia="Times New Roman"/>
          <w:noProof/>
          <w:color w:val="000000" w:themeColor="text1"/>
          <w:lang w:eastAsia="en-GB"/>
        </w:rPr>
      </w:pPr>
      <w:r w:rsidRPr="004C70EC">
        <w:rPr>
          <w:rFonts w:eastAsia="Times New Roman"/>
          <w:noProof/>
          <w:color w:val="000000" w:themeColor="text1"/>
          <w:lang w:eastAsia="en-GB"/>
        </w:rPr>
        <w:t xml:space="preserve">Aligned with the objectives of the AI Continent Action Plan and the Apply AI Strategy, the EU must also tap into the massive </w:t>
      </w:r>
      <w:r w:rsidRPr="004C70EC">
        <w:rPr>
          <w:rFonts w:eastAsia="Times New Roman"/>
          <w:b/>
          <w:bCs/>
          <w:noProof/>
          <w:color w:val="000000" w:themeColor="text1"/>
          <w:lang w:eastAsia="en-GB"/>
        </w:rPr>
        <w:t>potential of AI for biotechnologies</w:t>
      </w:r>
      <w:r w:rsidRPr="004C70EC">
        <w:rPr>
          <w:rFonts w:eastAsia="Times New Roman"/>
          <w:noProof/>
          <w:color w:val="000000" w:themeColor="text1"/>
          <w:lang w:eastAsia="en-GB"/>
        </w:rPr>
        <w:t xml:space="preserve">, addressing obstacles like limited testing environments, fragmented data, and exploiting the full potential of AI across the lifecycle of biotechnology products, in particular for medicines. </w:t>
      </w:r>
      <w:r w:rsidR="1BAE3FBE" w:rsidRPr="004C70EC">
        <w:rPr>
          <w:rFonts w:eastAsia="Times New Roman"/>
          <w:noProof/>
          <w:color w:val="000000" w:themeColor="text1"/>
          <w:lang w:eastAsia="en-GB"/>
        </w:rPr>
        <w:t>Further, Regulation (EU) 2024/1689 (AI Act)</w:t>
      </w:r>
      <w:r w:rsidR="0080781D" w:rsidRPr="004C70EC">
        <w:rPr>
          <w:rStyle w:val="FootnoteReference"/>
          <w:rFonts w:eastAsia="Times New Roman"/>
          <w:noProof/>
          <w:color w:val="000000" w:themeColor="text1"/>
          <w:lang w:eastAsia="en-GB"/>
        </w:rPr>
        <w:footnoteReference w:id="5"/>
      </w:r>
      <w:r w:rsidR="3F967C9B" w:rsidRPr="004C70EC">
        <w:rPr>
          <w:rStyle w:val="FootnoteReference"/>
          <w:rFonts w:eastAsia="Times New Roman"/>
          <w:noProof/>
          <w:color w:val="000000" w:themeColor="text1"/>
          <w:lang w:eastAsia="en-GB"/>
        </w:rPr>
        <w:t xml:space="preserve">, </w:t>
      </w:r>
      <w:r w:rsidR="3F967C9B" w:rsidRPr="002D7694">
        <w:rPr>
          <w:rFonts w:eastAsiaTheme="minorEastAsia"/>
          <w:noProof/>
          <w:szCs w:val="24"/>
        </w:rPr>
        <w:t>which</w:t>
      </w:r>
      <w:r w:rsidR="1BAE3FBE" w:rsidRPr="004C70EC">
        <w:rPr>
          <w:rFonts w:eastAsia="Times New Roman"/>
          <w:noProof/>
          <w:color w:val="000000" w:themeColor="text1"/>
          <w:lang w:eastAsia="en-GB"/>
        </w:rPr>
        <w:t xml:space="preserve"> entered into force in August 2024, lays down a uniform legal framework in particular for the development, the placing on the market, the putting into service and the use of AI systems and models in the Union, in accordance with Union values, to promote the uptake of human centric and trustworthy AI. </w:t>
      </w:r>
      <w:r w:rsidRPr="004C70EC">
        <w:rPr>
          <w:rFonts w:eastAsia="Times New Roman"/>
          <w:noProof/>
          <w:color w:val="000000" w:themeColor="text1"/>
          <w:lang w:eastAsia="en-GB"/>
        </w:rPr>
        <w:t xml:space="preserve">At the same time, biotechnology introduces new </w:t>
      </w:r>
      <w:r w:rsidRPr="004C70EC">
        <w:rPr>
          <w:rFonts w:eastAsia="Times New Roman"/>
          <w:b/>
          <w:bCs/>
          <w:noProof/>
          <w:color w:val="000000" w:themeColor="text1"/>
          <w:lang w:eastAsia="en-GB"/>
        </w:rPr>
        <w:t xml:space="preserve">biosecurity risks </w:t>
      </w:r>
      <w:r w:rsidRPr="004C70EC">
        <w:rPr>
          <w:rFonts w:eastAsia="Times New Roman"/>
          <w:noProof/>
          <w:color w:val="000000" w:themeColor="text1"/>
          <w:lang w:eastAsia="en-GB"/>
        </w:rPr>
        <w:t xml:space="preserve">as the wider accessibility of these technologies increases their potential for misuse, posing significant health threats. However, divergent or absent national rules on screening biotechnology products with significant potential for misuse, such as the synthetic DNA of dangerous pathogens, raise compliance costs, </w:t>
      </w:r>
      <w:r w:rsidR="134F0068" w:rsidRPr="004C70EC">
        <w:rPr>
          <w:rFonts w:eastAsia="Times New Roman"/>
          <w:noProof/>
          <w:color w:val="000000" w:themeColor="text1"/>
          <w:lang w:eastAsia="en-GB"/>
        </w:rPr>
        <w:t>fail to offer a level playing field to competitors</w:t>
      </w:r>
      <w:r w:rsidRPr="004C70EC">
        <w:rPr>
          <w:rFonts w:eastAsia="Times New Roman"/>
          <w:noProof/>
          <w:color w:val="000000" w:themeColor="text1"/>
          <w:lang w:eastAsia="en-GB"/>
        </w:rPr>
        <w:t xml:space="preserve">, and weaken prevention. </w:t>
      </w:r>
    </w:p>
    <w:p w14:paraId="60FD92E7" w14:textId="77777777" w:rsidR="00E934F2" w:rsidRPr="004C70EC" w:rsidRDefault="00E934F2" w:rsidP="0058181D">
      <w:pPr>
        <w:pBdr>
          <w:top w:val="nil"/>
          <w:left w:val="nil"/>
          <w:bottom w:val="nil"/>
          <w:right w:val="nil"/>
          <w:between w:val="nil"/>
        </w:pBdr>
        <w:spacing w:after="240"/>
        <w:rPr>
          <w:rFonts w:eastAsia="Times New Roman"/>
          <w:noProof/>
          <w:color w:val="000000" w:themeColor="text1"/>
          <w:lang w:val="en-US" w:eastAsia="en-GB"/>
        </w:rPr>
      </w:pPr>
      <w:r w:rsidRPr="004C70EC">
        <w:rPr>
          <w:rFonts w:eastAsia="Times New Roman"/>
          <w:b/>
          <w:noProof/>
          <w:color w:val="000000" w:themeColor="text1"/>
          <w:lang w:eastAsia="en-GB"/>
        </w:rPr>
        <w:t>Fragmentation</w:t>
      </w:r>
      <w:r w:rsidRPr="004C70EC" w:rsidDel="42D4602D">
        <w:rPr>
          <w:rFonts w:eastAsia="Times New Roman"/>
          <w:b/>
          <w:noProof/>
          <w:color w:val="000000" w:themeColor="text1"/>
          <w:lang w:eastAsia="en-GB"/>
        </w:rPr>
        <w:t xml:space="preserve"> and </w:t>
      </w:r>
      <w:r w:rsidR="00C82F15" w:rsidRPr="004C70EC">
        <w:rPr>
          <w:rFonts w:eastAsia="Times New Roman"/>
          <w:b/>
          <w:noProof/>
          <w:color w:val="000000" w:themeColor="text1"/>
          <w:lang w:eastAsia="en-GB"/>
        </w:rPr>
        <w:t xml:space="preserve">the </w:t>
      </w:r>
      <w:r w:rsidRPr="004C70EC" w:rsidDel="42D4602D">
        <w:rPr>
          <w:rFonts w:eastAsia="Times New Roman"/>
          <w:b/>
          <w:noProof/>
          <w:color w:val="000000" w:themeColor="text1"/>
          <w:lang w:eastAsia="en-GB"/>
        </w:rPr>
        <w:t xml:space="preserve">complexity </w:t>
      </w:r>
      <w:r w:rsidRPr="004C70EC">
        <w:rPr>
          <w:rFonts w:eastAsia="Times New Roman"/>
          <w:b/>
          <w:noProof/>
          <w:color w:val="000000" w:themeColor="text1"/>
          <w:lang w:eastAsia="en-GB"/>
        </w:rPr>
        <w:t>of the EU regulatory framework</w:t>
      </w:r>
      <w:r w:rsidRPr="004C70EC" w:rsidDel="0F0621EA">
        <w:rPr>
          <w:rFonts w:eastAsia="Times New Roman"/>
          <w:noProof/>
          <w:color w:val="000000" w:themeColor="text1"/>
          <w:lang w:eastAsia="en-GB"/>
        </w:rPr>
        <w:t xml:space="preserve"> </w:t>
      </w:r>
      <w:r w:rsidRPr="004C70EC">
        <w:rPr>
          <w:rFonts w:eastAsia="Times New Roman"/>
          <w:noProof/>
          <w:color w:val="000000" w:themeColor="text1"/>
          <w:lang w:eastAsia="en-GB"/>
        </w:rPr>
        <w:t xml:space="preserve">are factors that </w:t>
      </w:r>
      <w:r w:rsidR="00C82F15" w:rsidRPr="004C70EC">
        <w:rPr>
          <w:rFonts w:eastAsia="Times New Roman"/>
          <w:noProof/>
          <w:color w:val="000000" w:themeColor="text1"/>
          <w:lang w:eastAsia="en-GB"/>
        </w:rPr>
        <w:t>make</w:t>
      </w:r>
      <w:r w:rsidRPr="004C70EC">
        <w:rPr>
          <w:rFonts w:eastAsia="Times New Roman"/>
          <w:noProof/>
          <w:color w:val="000000" w:themeColor="text1"/>
          <w:lang w:eastAsia="en-GB"/>
        </w:rPr>
        <w:t xml:space="preserve"> </w:t>
      </w:r>
      <w:r w:rsidR="00EA3067" w:rsidRPr="004C70EC">
        <w:rPr>
          <w:rFonts w:eastAsia="Times New Roman"/>
          <w:noProof/>
          <w:color w:val="000000" w:themeColor="text1"/>
          <w:lang w:eastAsia="en-GB"/>
        </w:rPr>
        <w:t>the EU</w:t>
      </w:r>
      <w:r w:rsidR="009D7B0B" w:rsidRPr="004C70EC">
        <w:rPr>
          <w:rFonts w:eastAsia="Times New Roman"/>
          <w:noProof/>
          <w:color w:val="000000" w:themeColor="text1"/>
          <w:lang w:eastAsia="en-GB"/>
        </w:rPr>
        <w:t xml:space="preserve"> less </w:t>
      </w:r>
      <w:r w:rsidRPr="004C70EC">
        <w:rPr>
          <w:rFonts w:eastAsia="Times New Roman"/>
          <w:noProof/>
          <w:color w:val="000000" w:themeColor="text1"/>
          <w:lang w:eastAsia="en-GB"/>
        </w:rPr>
        <w:t xml:space="preserve">attractive for translating cutting-edge research and innovation into marketable products. </w:t>
      </w:r>
      <w:r w:rsidR="004C57AE" w:rsidRPr="004C70EC">
        <w:rPr>
          <w:rFonts w:eastAsia="Times New Roman"/>
          <w:noProof/>
          <w:color w:val="000000" w:themeColor="text1"/>
          <w:lang w:eastAsia="en-GB"/>
        </w:rPr>
        <w:t xml:space="preserve">For instance, the global share of </w:t>
      </w:r>
      <w:r w:rsidR="004C57AE" w:rsidRPr="004C70EC">
        <w:rPr>
          <w:rFonts w:eastAsia="Times New Roman"/>
          <w:noProof/>
          <w:color w:val="000000" w:themeColor="text1"/>
          <w:lang w:val="en-US" w:eastAsia="en-GB"/>
        </w:rPr>
        <w:t>commercially sponsored clinical trials in the European Economic Area has declined from 22% in 2013 to 12% in 2023</w:t>
      </w:r>
      <w:r w:rsidR="004C57AE" w:rsidRPr="004C70EC">
        <w:rPr>
          <w:rFonts w:eastAsia="Times New Roman"/>
          <w:noProof/>
          <w:color w:val="000000" w:themeColor="text1"/>
          <w:lang w:eastAsia="en-GB"/>
        </w:rPr>
        <w:t xml:space="preserve">, while </w:t>
      </w:r>
      <w:r w:rsidR="004C57AE" w:rsidRPr="004C70EC" w:rsidDel="42D4602D">
        <w:rPr>
          <w:rFonts w:eastAsia="Times New Roman"/>
          <w:noProof/>
          <w:color w:val="000000" w:themeColor="text1"/>
          <w:lang w:eastAsia="en-GB"/>
        </w:rPr>
        <w:t>C</w:t>
      </w:r>
      <w:r w:rsidR="004C57AE" w:rsidRPr="004C70EC">
        <w:rPr>
          <w:rFonts w:eastAsia="Times New Roman"/>
          <w:noProof/>
          <w:color w:val="000000" w:themeColor="text1"/>
          <w:lang w:val="en-US" w:eastAsia="en-GB"/>
        </w:rPr>
        <w:t xml:space="preserve">hina’s share of commercial clinical trials rose </w:t>
      </w:r>
      <w:r w:rsidR="004C57AE" w:rsidRPr="004C70EC">
        <w:rPr>
          <w:rFonts w:eastAsia="Times New Roman"/>
          <w:noProof/>
          <w:color w:val="000000" w:themeColor="text1"/>
          <w:lang w:eastAsia="en-GB"/>
        </w:rPr>
        <w:t xml:space="preserve">from </w:t>
      </w:r>
      <w:r w:rsidR="3631D998" w:rsidRPr="004C70EC">
        <w:rPr>
          <w:rFonts w:eastAsia="Times New Roman"/>
          <w:noProof/>
          <w:color w:val="000000" w:themeColor="text1"/>
          <w:lang w:eastAsia="en-GB"/>
        </w:rPr>
        <w:t>5</w:t>
      </w:r>
      <w:r w:rsidR="004C57AE" w:rsidRPr="004C70EC">
        <w:rPr>
          <w:rFonts w:eastAsia="Times New Roman"/>
          <w:noProof/>
          <w:color w:val="000000" w:themeColor="text1"/>
          <w:lang w:eastAsia="en-GB"/>
        </w:rPr>
        <w:t xml:space="preserve">% to </w:t>
      </w:r>
      <w:r w:rsidR="4BBA95DC" w:rsidRPr="004C70EC">
        <w:rPr>
          <w:rFonts w:eastAsia="Times New Roman"/>
          <w:noProof/>
          <w:color w:val="000000" w:themeColor="text1"/>
          <w:lang w:eastAsia="en-GB"/>
        </w:rPr>
        <w:t>18</w:t>
      </w:r>
      <w:r w:rsidR="004C57AE" w:rsidRPr="004C70EC">
        <w:rPr>
          <w:rFonts w:eastAsia="Times New Roman"/>
          <w:noProof/>
          <w:color w:val="000000" w:themeColor="text1"/>
          <w:lang w:eastAsia="en-GB"/>
        </w:rPr>
        <w:t>%</w:t>
      </w:r>
      <w:r w:rsidR="3C740D21" w:rsidRPr="004C70EC">
        <w:rPr>
          <w:rFonts w:eastAsia="Times New Roman"/>
          <w:noProof/>
          <w:color w:val="000000" w:themeColor="text1"/>
          <w:lang w:eastAsia="en-GB"/>
        </w:rPr>
        <w:t xml:space="preserve"> in </w:t>
      </w:r>
      <w:r w:rsidR="009D7B0B" w:rsidRPr="004C70EC">
        <w:rPr>
          <w:rFonts w:eastAsia="Times New Roman"/>
          <w:noProof/>
          <w:color w:val="000000" w:themeColor="text1"/>
          <w:lang w:eastAsia="en-GB"/>
        </w:rPr>
        <w:t>the same</w:t>
      </w:r>
      <w:r w:rsidR="3C740D21" w:rsidRPr="004C70EC">
        <w:rPr>
          <w:rFonts w:eastAsia="Times New Roman"/>
          <w:noProof/>
          <w:color w:val="000000" w:themeColor="text1"/>
          <w:lang w:eastAsia="en-GB"/>
        </w:rPr>
        <w:t xml:space="preserve"> period</w:t>
      </w:r>
      <w:r w:rsidR="05711D16" w:rsidRPr="004C70EC">
        <w:rPr>
          <w:rFonts w:eastAsia="Times New Roman"/>
          <w:noProof/>
          <w:color w:val="000000" w:themeColor="text1"/>
          <w:lang w:eastAsia="en-GB"/>
        </w:rPr>
        <w:t>, with the US share remaining considerably more stable</w:t>
      </w:r>
      <w:r w:rsidR="00E26CC0" w:rsidRPr="004C70EC">
        <w:rPr>
          <w:rFonts w:eastAsia="Times New Roman"/>
          <w:noProof/>
          <w:color w:val="000000" w:themeColor="text1"/>
          <w:lang w:val="en-IE" w:eastAsia="en-GB"/>
        </w:rPr>
        <w:t> </w:t>
      </w:r>
      <w:r w:rsidRPr="004C70EC">
        <w:rPr>
          <w:rStyle w:val="FootnoteReference"/>
          <w:rFonts w:eastAsia="Times New Roman"/>
          <w:noProof/>
          <w:color w:val="000000" w:themeColor="text1"/>
          <w:lang w:eastAsia="en-GB"/>
        </w:rPr>
        <w:footnoteReference w:id="6"/>
      </w:r>
      <w:r w:rsidR="004C57AE" w:rsidRPr="004C70EC">
        <w:rPr>
          <w:rFonts w:eastAsia="Times New Roman"/>
          <w:noProof/>
          <w:color w:val="000000" w:themeColor="text1"/>
          <w:lang w:val="en-US" w:eastAsia="en-GB"/>
        </w:rPr>
        <w:t xml:space="preserve">. </w:t>
      </w:r>
      <w:r w:rsidR="5BD658C9" w:rsidRPr="004C70EC">
        <w:rPr>
          <w:rFonts w:eastAsia="Times New Roman"/>
          <w:noProof/>
          <w:color w:val="000000" w:themeColor="text1"/>
          <w:lang w:val="en-US" w:eastAsia="en-GB"/>
        </w:rPr>
        <w:t>I</w:t>
      </w:r>
      <w:r w:rsidR="55D3365D" w:rsidRPr="004C70EC">
        <w:rPr>
          <w:rFonts w:eastAsia="Times New Roman"/>
          <w:noProof/>
          <w:color w:val="000000" w:themeColor="text1"/>
          <w:lang w:val="en-US" w:eastAsia="en-GB"/>
        </w:rPr>
        <w:t>mportantly</w:t>
      </w:r>
      <w:r w:rsidR="5BD658C9" w:rsidRPr="004C70EC">
        <w:rPr>
          <w:rFonts w:eastAsia="Times New Roman"/>
          <w:noProof/>
          <w:color w:val="000000" w:themeColor="text1"/>
          <w:lang w:val="en-US" w:eastAsia="en-GB"/>
        </w:rPr>
        <w:t xml:space="preserve">, the overall reported decline in small molecule trials </w:t>
      </w:r>
      <w:r w:rsidR="3367A42F" w:rsidRPr="004C70EC">
        <w:rPr>
          <w:rFonts w:eastAsia="Times New Roman"/>
          <w:noProof/>
          <w:color w:val="000000" w:themeColor="text1"/>
          <w:lang w:val="en-US" w:eastAsia="en-GB"/>
        </w:rPr>
        <w:t>suggests a strategic shift toward the development of biological medicines at the expense of small molecule programs. The drop in the number of small m</w:t>
      </w:r>
      <w:r w:rsidR="35B67639" w:rsidRPr="004C70EC">
        <w:rPr>
          <w:rFonts w:eastAsia="Times New Roman"/>
          <w:noProof/>
          <w:color w:val="000000" w:themeColor="text1"/>
          <w:lang w:val="en-US" w:eastAsia="en-GB"/>
        </w:rPr>
        <w:t xml:space="preserve">olecule trials </w:t>
      </w:r>
      <w:r w:rsidR="3367A42F" w:rsidRPr="004C70EC">
        <w:rPr>
          <w:rFonts w:eastAsia="Times New Roman"/>
          <w:noProof/>
          <w:color w:val="000000" w:themeColor="text1"/>
          <w:lang w:val="en-US" w:eastAsia="en-GB"/>
        </w:rPr>
        <w:t xml:space="preserve">was </w:t>
      </w:r>
      <w:r w:rsidR="5BD658C9" w:rsidRPr="004C70EC">
        <w:rPr>
          <w:rFonts w:eastAsia="Times New Roman"/>
          <w:noProof/>
          <w:color w:val="000000" w:themeColor="text1"/>
          <w:lang w:val="en-US" w:eastAsia="en-GB"/>
        </w:rPr>
        <w:t>the most significant in Phase II trials from 62% in 2015 to 47% in 2024 and in Phase III trials from 65% to 53% during the same period</w:t>
      </w:r>
      <w:r w:rsidR="00C23C5E" w:rsidRPr="004C70EC">
        <w:rPr>
          <w:rFonts w:eastAsia="Times New Roman"/>
          <w:noProof/>
          <w:color w:val="000000" w:themeColor="text1"/>
          <w:lang w:val="en-IE" w:eastAsia="en-GB"/>
        </w:rPr>
        <w:t> </w:t>
      </w:r>
      <w:r w:rsidRPr="004C70EC">
        <w:rPr>
          <w:rStyle w:val="FootnoteReference"/>
          <w:rFonts w:eastAsia="Times New Roman"/>
          <w:noProof/>
          <w:color w:val="000000" w:themeColor="text1"/>
          <w:lang w:val="en-US" w:eastAsia="en-GB"/>
        </w:rPr>
        <w:footnoteReference w:id="7"/>
      </w:r>
      <w:r w:rsidR="5BD658C9" w:rsidRPr="004C70EC">
        <w:rPr>
          <w:rFonts w:eastAsia="Times New Roman"/>
          <w:noProof/>
          <w:color w:val="000000" w:themeColor="text1"/>
          <w:lang w:val="en-US" w:eastAsia="en-GB"/>
        </w:rPr>
        <w:t xml:space="preserve">. </w:t>
      </w:r>
      <w:r w:rsidR="009073DA" w:rsidRPr="004C70EC">
        <w:rPr>
          <w:rFonts w:eastAsia="Times New Roman"/>
          <w:noProof/>
          <w:color w:val="000000" w:themeColor="text1"/>
          <w:lang w:val="en-US" w:eastAsia="en-GB"/>
        </w:rPr>
        <w:t>In particular, t</w:t>
      </w:r>
      <w:r w:rsidR="004C57AE" w:rsidRPr="004C70EC">
        <w:rPr>
          <w:rFonts w:eastAsia="Times New Roman"/>
          <w:noProof/>
          <w:color w:val="000000" w:themeColor="text1"/>
          <w:lang w:val="en-US" w:eastAsia="en-GB"/>
        </w:rPr>
        <w:t>he EU is losing ground to other regions with increasingly agile regulatory and financial systems. Most of these regions issue decisions on</w:t>
      </w:r>
      <w:r w:rsidR="3823ED8D" w:rsidRPr="004C70EC">
        <w:rPr>
          <w:rFonts w:eastAsia="Times New Roman"/>
          <w:noProof/>
          <w:color w:val="000000" w:themeColor="text1"/>
          <w:lang w:val="en-US" w:eastAsia="en-GB"/>
        </w:rPr>
        <w:t xml:space="preserve"> validated </w:t>
      </w:r>
      <w:r w:rsidR="004C57AE" w:rsidRPr="004C70EC">
        <w:rPr>
          <w:rFonts w:eastAsia="Times New Roman"/>
          <w:noProof/>
          <w:color w:val="000000" w:themeColor="text1"/>
          <w:lang w:val="en-US" w:eastAsia="en-GB"/>
        </w:rPr>
        <w:t xml:space="preserve">clinical trial </w:t>
      </w:r>
      <w:r w:rsidR="1EF2D635" w:rsidRPr="004C70EC">
        <w:rPr>
          <w:rFonts w:eastAsia="Times New Roman"/>
          <w:noProof/>
          <w:color w:val="000000" w:themeColor="text1"/>
          <w:lang w:val="en-US" w:eastAsia="en-GB"/>
        </w:rPr>
        <w:t xml:space="preserve">applications </w:t>
      </w:r>
      <w:r w:rsidR="004C57AE" w:rsidRPr="004C70EC">
        <w:rPr>
          <w:rFonts w:eastAsia="Times New Roman"/>
          <w:noProof/>
          <w:color w:val="000000" w:themeColor="text1"/>
          <w:lang w:val="en-US" w:eastAsia="en-GB"/>
        </w:rPr>
        <w:t xml:space="preserve">within 60 days, whereas in the EU </w:t>
      </w:r>
      <w:r w:rsidR="0E82E91F" w:rsidRPr="004C70EC">
        <w:rPr>
          <w:rFonts w:eastAsia="Times New Roman"/>
          <w:noProof/>
          <w:color w:val="000000" w:themeColor="text1"/>
          <w:lang w:eastAsia="en-GB"/>
        </w:rPr>
        <w:t xml:space="preserve">it </w:t>
      </w:r>
      <w:r w:rsidR="004C57AE" w:rsidRPr="004C70EC">
        <w:rPr>
          <w:rFonts w:eastAsia="Times New Roman"/>
          <w:noProof/>
          <w:color w:val="000000" w:themeColor="text1"/>
          <w:lang w:val="en-US" w:eastAsia="en-GB"/>
        </w:rPr>
        <w:t xml:space="preserve">takes on average 113 days for multinational </w:t>
      </w:r>
      <w:r w:rsidRPr="004C70EC">
        <w:rPr>
          <w:rFonts w:eastAsia="Times New Roman"/>
          <w:noProof/>
          <w:color w:val="000000" w:themeColor="text1"/>
          <w:lang w:val="en-US" w:eastAsia="en-GB"/>
        </w:rPr>
        <w:t xml:space="preserve">trials. </w:t>
      </w:r>
    </w:p>
    <w:p w14:paraId="7AF988A6" w14:textId="77777777" w:rsidR="00751D61" w:rsidRPr="004C70EC" w:rsidRDefault="0029198E" w:rsidP="0058181D">
      <w:pPr>
        <w:pBdr>
          <w:top w:val="single" w:sz="4" w:space="1" w:color="000000"/>
          <w:left w:val="single" w:sz="4" w:space="1" w:color="000000"/>
          <w:bottom w:val="single" w:sz="4" w:space="1" w:color="000000"/>
          <w:right w:val="single" w:sz="4" w:space="1" w:color="000000"/>
          <w:between w:val="nil"/>
        </w:pBdr>
        <w:spacing w:after="240"/>
        <w:rPr>
          <w:rFonts w:eastAsia="Times New Roman"/>
          <w:b/>
          <w:noProof/>
          <w:color w:val="000000" w:themeColor="text1"/>
          <w:lang w:val="en-US" w:eastAsia="en-GB"/>
        </w:rPr>
      </w:pPr>
      <w:r w:rsidRPr="004C70EC">
        <w:rPr>
          <w:rFonts w:eastAsia="Times New Roman"/>
          <w:b/>
          <w:noProof/>
          <w:color w:val="000000" w:themeColor="text1"/>
          <w:lang w:val="en-US" w:eastAsia="en-GB"/>
        </w:rPr>
        <w:t xml:space="preserve">Highlight: the need </w:t>
      </w:r>
      <w:r w:rsidR="009073DA" w:rsidRPr="004C70EC">
        <w:rPr>
          <w:rFonts w:eastAsia="Times New Roman"/>
          <w:b/>
          <w:noProof/>
          <w:color w:val="000000" w:themeColor="text1"/>
          <w:lang w:val="en-US" w:eastAsia="en-GB"/>
        </w:rPr>
        <w:t xml:space="preserve">to </w:t>
      </w:r>
      <w:r w:rsidRPr="004C70EC">
        <w:rPr>
          <w:rFonts w:eastAsia="Times New Roman"/>
          <w:b/>
          <w:noProof/>
          <w:color w:val="000000" w:themeColor="text1"/>
          <w:lang w:val="en-US" w:eastAsia="en-GB"/>
        </w:rPr>
        <w:t>simplify and streamlin</w:t>
      </w:r>
      <w:r w:rsidR="009073DA" w:rsidRPr="004C70EC">
        <w:rPr>
          <w:rFonts w:eastAsia="Times New Roman"/>
          <w:b/>
          <w:noProof/>
          <w:color w:val="000000" w:themeColor="text1"/>
          <w:lang w:val="en-US" w:eastAsia="en-GB"/>
        </w:rPr>
        <w:t>e</w:t>
      </w:r>
      <w:r w:rsidRPr="004C70EC">
        <w:rPr>
          <w:rFonts w:eastAsia="Times New Roman"/>
          <w:b/>
          <w:noProof/>
          <w:color w:val="000000" w:themeColor="text1"/>
          <w:lang w:val="en-US" w:eastAsia="en-GB"/>
        </w:rPr>
        <w:t xml:space="preserve"> the Clinical Trials Regulation (CTR)</w:t>
      </w:r>
    </w:p>
    <w:p w14:paraId="51FC3540" w14:textId="77777777" w:rsidR="000F2BBF" w:rsidRPr="004C70EC" w:rsidRDefault="0029198E" w:rsidP="0058181D">
      <w:pPr>
        <w:pBdr>
          <w:top w:val="single" w:sz="4" w:space="1" w:color="000000"/>
          <w:left w:val="single" w:sz="4" w:space="1" w:color="000000"/>
          <w:bottom w:val="single" w:sz="4" w:space="1" w:color="000000"/>
          <w:right w:val="single" w:sz="4" w:space="1" w:color="000000"/>
          <w:between w:val="nil"/>
        </w:pBdr>
        <w:spacing w:after="240"/>
        <w:rPr>
          <w:rFonts w:eastAsia="Times New Roman"/>
          <w:noProof/>
          <w:color w:val="000000" w:themeColor="text1"/>
          <w:lang w:val="en-US" w:eastAsia="en-GB"/>
        </w:rPr>
      </w:pPr>
      <w:r w:rsidRPr="004C70EC">
        <w:rPr>
          <w:rFonts w:eastAsia="Times New Roman"/>
          <w:noProof/>
          <w:color w:val="000000" w:themeColor="text1"/>
          <w:lang w:val="en-US" w:eastAsia="en-GB"/>
        </w:rPr>
        <w:t xml:space="preserve">Clinical trials in the EU are crucial to provide patients with early and equal access to innovative treatments, uphold scientific excellence, and support the EU’s long-term competitiveness and prosperity. By attracting </w:t>
      </w:r>
      <w:r w:rsidR="00F36338" w:rsidRPr="004C70EC">
        <w:rPr>
          <w:rFonts w:eastAsia="Times New Roman"/>
          <w:noProof/>
          <w:color w:val="000000" w:themeColor="text1"/>
          <w:lang w:val="en-US" w:eastAsia="en-GB"/>
        </w:rPr>
        <w:t>investment in research and development (</w:t>
      </w:r>
      <w:r w:rsidRPr="004C70EC">
        <w:rPr>
          <w:rFonts w:eastAsia="Times New Roman"/>
          <w:noProof/>
          <w:color w:val="000000" w:themeColor="text1"/>
          <w:lang w:val="en-US" w:eastAsia="en-GB"/>
        </w:rPr>
        <w:t>R&amp;D</w:t>
      </w:r>
      <w:r w:rsidR="00F36338"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 creating jobs, and reducing healthcare costs</w:t>
      </w:r>
      <w:r w:rsidR="00C519F8"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 xml:space="preserve"> these trials deliver substantial economic and societal benefits. They also significantly benefit patients by providing earlier access to new therapies, including personalised therapies </w:t>
      </w:r>
      <w:r w:rsidR="005011B9" w:rsidRPr="004C70EC">
        <w:rPr>
          <w:rFonts w:eastAsia="Times New Roman"/>
          <w:noProof/>
          <w:color w:val="000000" w:themeColor="text1"/>
          <w:lang w:val="en-US" w:eastAsia="en-GB"/>
        </w:rPr>
        <w:t>(e.g.</w:t>
      </w:r>
      <w:r w:rsidRPr="004C70EC">
        <w:rPr>
          <w:rFonts w:eastAsia="Times New Roman"/>
          <w:noProof/>
          <w:color w:val="000000" w:themeColor="text1"/>
          <w:lang w:val="en-US" w:eastAsia="en-GB"/>
        </w:rPr>
        <w:t xml:space="preserve"> for rare diseases and cancers</w:t>
      </w:r>
      <w:r w:rsidR="000B226E" w:rsidRPr="004C70EC">
        <w:rPr>
          <w:rFonts w:eastAsia="Times New Roman"/>
          <w:noProof/>
          <w:color w:val="000000" w:themeColor="text1"/>
          <w:lang w:val="en-US" w:eastAsia="en-GB"/>
        </w:rPr>
        <w:t xml:space="preserve">), </w:t>
      </w:r>
      <w:r w:rsidRPr="004C70EC">
        <w:rPr>
          <w:rFonts w:eastAsia="Times New Roman"/>
          <w:noProof/>
          <w:color w:val="000000" w:themeColor="text1"/>
          <w:lang w:val="en-US" w:eastAsia="en-GB"/>
        </w:rPr>
        <w:t>improving quality of life, and strengthening the evidence base for clinical guidelines</w:t>
      </w:r>
      <w:r w:rsidR="470F450F"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 xml:space="preserve"> </w:t>
      </w:r>
      <w:r w:rsidR="470F450F" w:rsidRPr="004C70EC">
        <w:rPr>
          <w:rFonts w:eastAsia="Times New Roman"/>
          <w:noProof/>
          <w:color w:val="000000" w:themeColor="text1"/>
          <w:lang w:val="en-US" w:eastAsia="en-GB"/>
        </w:rPr>
        <w:t>marketing authorisation</w:t>
      </w:r>
      <w:r w:rsidRPr="004C70EC">
        <w:rPr>
          <w:rFonts w:eastAsia="Times New Roman"/>
          <w:noProof/>
          <w:color w:val="000000" w:themeColor="text1"/>
          <w:lang w:val="en-US" w:eastAsia="en-GB"/>
        </w:rPr>
        <w:t xml:space="preserve"> and health technology assessments. </w:t>
      </w:r>
      <w:r w:rsidR="4F45EAF0" w:rsidRPr="004C70EC">
        <w:rPr>
          <w:rFonts w:eastAsia="Times New Roman"/>
          <w:noProof/>
          <w:color w:val="000000" w:themeColor="text1"/>
          <w:lang w:val="en-US" w:eastAsia="en-GB"/>
        </w:rPr>
        <w:t xml:space="preserve">The share of clinical trials with biological medicines seems to be increasing at the expense of low molecule trials. </w:t>
      </w:r>
      <w:r w:rsidR="00DD47A2" w:rsidRPr="004C70EC">
        <w:rPr>
          <w:rFonts w:eastAsia="Times New Roman"/>
          <w:noProof/>
          <w:color w:val="000000" w:themeColor="text1"/>
          <w:lang w:val="en-US" w:eastAsia="en-GB"/>
        </w:rPr>
        <w:t>Biological medicines sales are key drivers of growth. In 2024, the European Union spent €228 Bn on medicines at list prices, including €95 Bn on biological medicines, which now comprise 41% of total pharmaceutical spending.</w:t>
      </w:r>
      <w:r w:rsidR="00F6205C" w:rsidRPr="004C70EC">
        <w:rPr>
          <w:noProof/>
          <w:color w:val="000000" w:themeColor="text1"/>
        </w:rPr>
        <w:t xml:space="preserve"> </w:t>
      </w:r>
      <w:r w:rsidR="00F6205C" w:rsidRPr="004C70EC">
        <w:rPr>
          <w:rFonts w:eastAsia="Times New Roman"/>
          <w:noProof/>
          <w:color w:val="000000" w:themeColor="text1"/>
          <w:lang w:val="en-US" w:eastAsia="en-GB"/>
        </w:rPr>
        <w:t>Increased clinical trials in the Union for biological medicines could potentially contribute to more manufacturing in the Union, higher number and earlier regulatory submission of biological medicines for marketing authorisation applications and a higher percentage of EU clinical data in marketing authorisation applications.</w:t>
      </w:r>
      <w:r w:rsidR="4F45EAF0" w:rsidRPr="004C70EC">
        <w:rPr>
          <w:rFonts w:eastAsia="Times New Roman"/>
          <w:noProof/>
          <w:color w:val="000000" w:themeColor="text1"/>
          <w:lang w:val="en-US" w:eastAsia="en-GB"/>
        </w:rPr>
        <w:t xml:space="preserve"> </w:t>
      </w:r>
      <w:r w:rsidRPr="004C70EC">
        <w:rPr>
          <w:rFonts w:eastAsia="Times New Roman"/>
          <w:noProof/>
          <w:color w:val="000000" w:themeColor="text1"/>
          <w:lang w:val="en-US" w:eastAsia="en-GB"/>
        </w:rPr>
        <w:t xml:space="preserve">A conducive environment for clinical trials is </w:t>
      </w:r>
      <w:r w:rsidR="00706144" w:rsidRPr="004C70EC">
        <w:rPr>
          <w:rFonts w:eastAsia="Times New Roman"/>
          <w:noProof/>
          <w:color w:val="000000" w:themeColor="text1"/>
          <w:lang w:val="en-US" w:eastAsia="en-GB"/>
        </w:rPr>
        <w:t>essential</w:t>
      </w:r>
      <w:r w:rsidRPr="004C70EC">
        <w:rPr>
          <w:rFonts w:eastAsia="Times New Roman"/>
          <w:noProof/>
          <w:color w:val="000000" w:themeColor="text1"/>
          <w:lang w:val="en-US" w:eastAsia="en-GB"/>
        </w:rPr>
        <w:t xml:space="preserve"> </w:t>
      </w:r>
      <w:r w:rsidR="000D55D0" w:rsidRPr="004C70EC">
        <w:rPr>
          <w:rFonts w:eastAsia="Times New Roman"/>
          <w:noProof/>
          <w:color w:val="000000" w:themeColor="text1"/>
          <w:lang w:val="en-US" w:eastAsia="en-GB"/>
        </w:rPr>
        <w:t>to speed-up</w:t>
      </w:r>
      <w:r w:rsidRPr="004C70EC">
        <w:rPr>
          <w:rFonts w:eastAsia="Times New Roman"/>
          <w:noProof/>
          <w:color w:val="000000" w:themeColor="text1"/>
          <w:lang w:val="en-US" w:eastAsia="en-GB"/>
        </w:rPr>
        <w:t xml:space="preserve"> market access for novel medicines, especially against global competition. There are still significant regulatory fragmentations across Member States </w:t>
      </w:r>
      <w:r w:rsidR="00BF42A2" w:rsidRPr="004C70EC">
        <w:rPr>
          <w:rFonts w:eastAsia="Times New Roman"/>
          <w:noProof/>
          <w:color w:val="000000" w:themeColor="text1"/>
          <w:lang w:val="en-US" w:eastAsia="en-GB"/>
        </w:rPr>
        <w:t xml:space="preserve">that </w:t>
      </w:r>
      <w:r w:rsidRPr="004C70EC">
        <w:rPr>
          <w:rFonts w:eastAsia="Times New Roman"/>
          <w:noProof/>
          <w:color w:val="000000" w:themeColor="text1"/>
          <w:lang w:val="en-US" w:eastAsia="en-GB"/>
        </w:rPr>
        <w:t xml:space="preserve">limit the system’s efficiency. Against this background, further regulatory streamlining and simplification of the authorisation and conduct of clinical trials are imperative. This is </w:t>
      </w:r>
      <w:r w:rsidR="00AB068D" w:rsidRPr="004C70EC">
        <w:rPr>
          <w:rFonts w:eastAsia="Times New Roman"/>
          <w:noProof/>
          <w:color w:val="000000" w:themeColor="text1"/>
          <w:lang w:val="en-US" w:eastAsia="en-GB"/>
        </w:rPr>
        <w:t>a key</w:t>
      </w:r>
      <w:r w:rsidR="00863869" w:rsidRPr="004C70EC">
        <w:rPr>
          <w:rFonts w:eastAsia="Times New Roman"/>
          <w:noProof/>
          <w:color w:val="000000" w:themeColor="text1"/>
          <w:lang w:val="en-US" w:eastAsia="en-GB"/>
        </w:rPr>
        <w:t xml:space="preserve"> point </w:t>
      </w:r>
      <w:r w:rsidR="0662D4BA" w:rsidRPr="004C70EC">
        <w:rPr>
          <w:rFonts w:eastAsia="Times New Roman"/>
          <w:noProof/>
          <w:color w:val="000000" w:themeColor="text1"/>
          <w:lang w:val="en-US" w:eastAsia="en-GB"/>
        </w:rPr>
        <w:t>of</w:t>
      </w:r>
      <w:r w:rsidRPr="004C70EC">
        <w:rPr>
          <w:rFonts w:eastAsia="Times New Roman"/>
          <w:noProof/>
          <w:color w:val="000000" w:themeColor="text1"/>
          <w:lang w:val="en-US" w:eastAsia="en-GB"/>
        </w:rPr>
        <w:t xml:space="preserve"> the Draghi report</w:t>
      </w:r>
      <w:r w:rsidR="00C807E7" w:rsidRPr="004C70EC">
        <w:rPr>
          <w:rFonts w:eastAsia="Times New Roman"/>
          <w:noProof/>
          <w:color w:val="000000" w:themeColor="text1"/>
          <w:lang w:val="en-US" w:eastAsia="en-GB"/>
        </w:rPr>
        <w:t xml:space="preserve"> on the future of European Competitiveness</w:t>
      </w:r>
      <w:r w:rsidR="00C23C5E" w:rsidRPr="004C70EC">
        <w:rPr>
          <w:rFonts w:eastAsia="Times New Roman"/>
          <w:noProof/>
          <w:color w:val="000000" w:themeColor="text1"/>
          <w:lang w:val="en-IE" w:eastAsia="en-GB"/>
        </w:rPr>
        <w:t> </w:t>
      </w:r>
      <w:r w:rsidR="000219B2" w:rsidRPr="004C70EC">
        <w:rPr>
          <w:rStyle w:val="FootnoteReference"/>
          <w:rFonts w:eastAsia="Times New Roman"/>
          <w:noProof/>
          <w:color w:val="000000" w:themeColor="text1"/>
          <w:lang w:val="en-US" w:eastAsia="en-GB"/>
        </w:rPr>
        <w:footnoteReference w:id="8"/>
      </w:r>
      <w:r w:rsidRPr="004C70EC">
        <w:rPr>
          <w:rFonts w:eastAsia="Times New Roman"/>
          <w:noProof/>
          <w:color w:val="000000" w:themeColor="text1"/>
          <w:lang w:val="en-US" w:eastAsia="en-GB"/>
        </w:rPr>
        <w:t xml:space="preserve">, which highlights the need to address these inefficiencies, stressing the importance of reducing regulatory delays and administrative burdens. It calls for harmonised templates, stronger coordination between national ethics committees, and a greater emphasis on </w:t>
      </w:r>
      <w:r w:rsidR="003C3216" w:rsidRPr="004C70EC">
        <w:rPr>
          <w:rFonts w:eastAsia="Times New Roman"/>
          <w:noProof/>
          <w:color w:val="000000" w:themeColor="text1"/>
          <w:lang w:val="en-US" w:eastAsia="en-GB"/>
        </w:rPr>
        <w:t xml:space="preserve">using </w:t>
      </w:r>
      <w:r w:rsidR="002E5E17" w:rsidRPr="004C70EC">
        <w:rPr>
          <w:rFonts w:eastAsia="Times New Roman"/>
          <w:noProof/>
          <w:color w:val="000000" w:themeColor="text1"/>
          <w:lang w:val="en-US" w:eastAsia="en-GB"/>
        </w:rPr>
        <w:t>artificial intelligence (</w:t>
      </w:r>
      <w:r w:rsidRPr="004C70EC">
        <w:rPr>
          <w:rFonts w:eastAsia="Times New Roman"/>
          <w:noProof/>
          <w:color w:val="000000" w:themeColor="text1"/>
          <w:lang w:val="en-US" w:eastAsia="en-GB"/>
        </w:rPr>
        <w:t>AI</w:t>
      </w:r>
      <w:r w:rsidR="002E5E17"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 xml:space="preserve"> and digital tools to streamline the process. At a time when global competitors</w:t>
      </w:r>
      <w:r w:rsidR="3BCB68EB" w:rsidRPr="004C70EC">
        <w:rPr>
          <w:rFonts w:eastAsia="Times New Roman"/>
          <w:noProof/>
          <w:color w:val="000000" w:themeColor="text1"/>
          <w:lang w:val="en-US" w:eastAsia="en-GB"/>
        </w:rPr>
        <w:t xml:space="preserve"> – </w:t>
      </w:r>
      <w:r w:rsidRPr="004C70EC">
        <w:rPr>
          <w:rFonts w:eastAsia="Times New Roman"/>
          <w:noProof/>
          <w:color w:val="000000" w:themeColor="text1"/>
          <w:lang w:val="en-US" w:eastAsia="en-GB"/>
        </w:rPr>
        <w:t>particularly the US, China, and Japan</w:t>
      </w:r>
      <w:r w:rsidR="47C38819" w:rsidRPr="004C70EC">
        <w:rPr>
          <w:rFonts w:eastAsia="Times New Roman"/>
          <w:noProof/>
          <w:color w:val="000000" w:themeColor="text1"/>
          <w:lang w:val="en-US" w:eastAsia="en-GB"/>
        </w:rPr>
        <w:t xml:space="preserve"> – </w:t>
      </w:r>
      <w:r w:rsidRPr="004C70EC">
        <w:rPr>
          <w:rFonts w:eastAsia="Times New Roman"/>
          <w:noProof/>
          <w:color w:val="000000" w:themeColor="text1"/>
          <w:lang w:val="en-US" w:eastAsia="en-GB"/>
        </w:rPr>
        <w:t xml:space="preserve">are rapidly </w:t>
      </w:r>
      <w:r w:rsidR="000219B2" w:rsidRPr="004C70EC">
        <w:rPr>
          <w:rFonts w:eastAsia="Times New Roman"/>
          <w:noProof/>
          <w:color w:val="000000" w:themeColor="text1"/>
          <w:lang w:val="en-US" w:eastAsia="en-GB"/>
        </w:rPr>
        <w:t xml:space="preserve">improving </w:t>
      </w:r>
      <w:r w:rsidRPr="004C70EC">
        <w:rPr>
          <w:rFonts w:eastAsia="Times New Roman"/>
          <w:noProof/>
          <w:color w:val="000000" w:themeColor="text1"/>
          <w:lang w:val="en-US" w:eastAsia="en-GB"/>
        </w:rPr>
        <w:t>their R&amp;D incentives and regulatory agility, Europe risks losing its competitive edge in clinical research. The EU’s position in the global clinical trial landscape has already weakened, and immediate action is needed to close this gap</w:t>
      </w:r>
      <w:r w:rsidR="000978E4" w:rsidRPr="004C70EC">
        <w:rPr>
          <w:rFonts w:eastAsia="Times New Roman"/>
          <w:noProof/>
          <w:color w:val="000000" w:themeColor="text1"/>
          <w:lang w:val="en-US" w:eastAsia="en-GB"/>
        </w:rPr>
        <w:t>.</w:t>
      </w:r>
    </w:p>
    <w:p w14:paraId="5393B649" w14:textId="77777777" w:rsidR="00E934F2" w:rsidRPr="004C70EC" w:rsidRDefault="00A60186">
      <w:pPr>
        <w:pBdr>
          <w:top w:val="nil"/>
          <w:left w:val="nil"/>
          <w:bottom w:val="nil"/>
          <w:right w:val="nil"/>
          <w:between w:val="nil"/>
        </w:pBdr>
        <w:spacing w:after="240"/>
        <w:rPr>
          <w:rFonts w:eastAsia="Times New Roman"/>
          <w:noProof/>
          <w:color w:val="000000" w:themeColor="text1"/>
          <w:lang w:eastAsia="en-GB"/>
        </w:rPr>
      </w:pPr>
      <w:r w:rsidRPr="004C70EC">
        <w:rPr>
          <w:rFonts w:eastAsia="Times New Roman"/>
          <w:b/>
          <w:noProof/>
          <w:color w:val="000000" w:themeColor="text1"/>
          <w:lang w:val="en-US" w:eastAsia="en-GB"/>
        </w:rPr>
        <w:t xml:space="preserve">This is why a </w:t>
      </w:r>
      <w:r w:rsidR="00E934F2" w:rsidRPr="004C70EC">
        <w:rPr>
          <w:rFonts w:eastAsia="Times New Roman"/>
          <w:b/>
          <w:noProof/>
          <w:color w:val="000000" w:themeColor="text1"/>
          <w:lang w:val="en-US" w:eastAsia="en-GB"/>
        </w:rPr>
        <w:t xml:space="preserve">European Biotech Act was announced by the </w:t>
      </w:r>
      <w:r w:rsidR="00E45AD7" w:rsidRPr="004C70EC">
        <w:rPr>
          <w:rFonts w:eastAsia="Times New Roman"/>
          <w:b/>
          <w:noProof/>
          <w:color w:val="000000" w:themeColor="text1"/>
          <w:lang w:val="en-US" w:eastAsia="en-GB"/>
        </w:rPr>
        <w:t>President of</w:t>
      </w:r>
      <w:r w:rsidR="00E934F2" w:rsidRPr="004C70EC">
        <w:rPr>
          <w:rFonts w:eastAsia="Times New Roman"/>
          <w:b/>
          <w:noProof/>
          <w:color w:val="000000" w:themeColor="text1"/>
          <w:lang w:val="en-US" w:eastAsia="en-GB"/>
        </w:rPr>
        <w:t xml:space="preserve"> the European Commission in the 2024</w:t>
      </w:r>
      <w:r w:rsidRPr="004C70EC">
        <w:rPr>
          <w:rFonts w:eastAsia="Times New Roman"/>
          <w:b/>
          <w:noProof/>
          <w:color w:val="000000" w:themeColor="text1"/>
          <w:lang w:val="en-US" w:eastAsia="en-GB"/>
        </w:rPr>
        <w:t xml:space="preserve"> </w:t>
      </w:r>
      <w:r w:rsidR="00E934F2" w:rsidRPr="004C70EC">
        <w:rPr>
          <w:rFonts w:eastAsia="Times New Roman"/>
          <w:b/>
          <w:noProof/>
          <w:color w:val="000000" w:themeColor="text1"/>
          <w:lang w:val="en-US" w:eastAsia="en-GB"/>
        </w:rPr>
        <w:t xml:space="preserve">- 2029 Political Guidelines </w:t>
      </w:r>
      <w:r w:rsidR="00E934F2" w:rsidRPr="004C70EC" w:rsidDel="009265A8">
        <w:rPr>
          <w:rFonts w:eastAsia="Times New Roman"/>
          <w:b/>
          <w:noProof/>
          <w:color w:val="000000" w:themeColor="text1"/>
          <w:lang w:val="en-US" w:eastAsia="en-GB"/>
        </w:rPr>
        <w:t>of the</w:t>
      </w:r>
      <w:r w:rsidR="00E934F2" w:rsidRPr="004C70EC">
        <w:rPr>
          <w:rFonts w:eastAsia="Times New Roman"/>
          <w:b/>
          <w:noProof/>
          <w:color w:val="000000" w:themeColor="text1"/>
          <w:lang w:val="en-US" w:eastAsia="en-GB"/>
        </w:rPr>
        <w:t xml:space="preserve"> Commission</w:t>
      </w:r>
      <w:r w:rsidR="00B10AE3" w:rsidRPr="004C70EC">
        <w:rPr>
          <w:rFonts w:eastAsia="Times New Roman"/>
          <w:noProof/>
          <w:color w:val="000000" w:themeColor="text1"/>
          <w:lang w:val="en-IE" w:eastAsia="en-GB"/>
        </w:rPr>
        <w:t> </w:t>
      </w:r>
      <w:r w:rsidR="00E934F2" w:rsidRPr="004C70EC">
        <w:rPr>
          <w:rStyle w:val="FootnoteReference"/>
          <w:noProof/>
          <w:color w:val="000000" w:themeColor="text1"/>
        </w:rPr>
        <w:footnoteReference w:id="9"/>
      </w:r>
      <w:r w:rsidR="00D3276B" w:rsidRPr="004C70EC">
        <w:rPr>
          <w:rFonts w:eastAsia="Times New Roman"/>
          <w:bCs/>
          <w:noProof/>
          <w:color w:val="000000" w:themeColor="text1"/>
          <w:lang w:val="en-US" w:eastAsia="en-GB"/>
        </w:rPr>
        <w:t>,</w:t>
      </w:r>
      <w:r w:rsidR="00E934F2" w:rsidRPr="004C70EC">
        <w:rPr>
          <w:rFonts w:eastAsia="Times New Roman"/>
          <w:noProof/>
          <w:color w:val="000000" w:themeColor="text1"/>
          <w:vertAlign w:val="superscript"/>
          <w:lang w:val="en-US" w:eastAsia="en-GB"/>
        </w:rPr>
        <w:t xml:space="preserve"> </w:t>
      </w:r>
      <w:r w:rsidR="00E934F2" w:rsidRPr="004C70EC">
        <w:rPr>
          <w:rFonts w:eastAsia="Times New Roman"/>
          <w:noProof/>
          <w:color w:val="000000" w:themeColor="text1"/>
          <w:lang w:val="en-US" w:eastAsia="en-GB"/>
        </w:rPr>
        <w:t>with the aim of creating an enabling environment to make it easier to bring biotech</w:t>
      </w:r>
      <w:r w:rsidR="5DE14876" w:rsidRPr="004C70EC">
        <w:rPr>
          <w:rFonts w:eastAsia="Times New Roman"/>
          <w:noProof/>
          <w:color w:val="000000" w:themeColor="text1"/>
          <w:lang w:val="en-US" w:eastAsia="en-GB"/>
        </w:rPr>
        <w:t>nology</w:t>
      </w:r>
      <w:r w:rsidR="00E934F2" w:rsidRPr="004C70EC">
        <w:rPr>
          <w:rFonts w:eastAsia="Times New Roman"/>
          <w:noProof/>
          <w:color w:val="000000" w:themeColor="text1"/>
          <w:lang w:val="en-US" w:eastAsia="en-GB"/>
        </w:rPr>
        <w:t xml:space="preserve"> products from the laboratory to the factory and then onto the market, while maintaining the highest safety standards for the protection of the population and the environment. As previously acknowledged in the Communication on Biotechnology and Biomanufacturing (March 2024) and the reports by Enrico Letta</w:t>
      </w:r>
      <w:r w:rsidR="00B10AE3" w:rsidRPr="004C70EC">
        <w:rPr>
          <w:rFonts w:eastAsia="Times New Roman"/>
          <w:noProof/>
          <w:color w:val="000000" w:themeColor="text1"/>
          <w:lang w:val="en-IE" w:eastAsia="en-GB"/>
        </w:rPr>
        <w:t> </w:t>
      </w:r>
      <w:r w:rsidRPr="004C70EC">
        <w:rPr>
          <w:rStyle w:val="FootnoteReference"/>
          <w:rFonts w:eastAsia="Times New Roman"/>
          <w:noProof/>
          <w:color w:val="000000" w:themeColor="text1"/>
          <w:lang w:val="en-US" w:eastAsia="en-GB"/>
        </w:rPr>
        <w:footnoteReference w:id="10"/>
      </w:r>
      <w:r w:rsidR="00E934F2" w:rsidRPr="004C70EC">
        <w:rPr>
          <w:rFonts w:eastAsia="Times New Roman"/>
          <w:noProof/>
          <w:color w:val="000000" w:themeColor="text1"/>
          <w:lang w:val="en-US" w:eastAsia="en-GB"/>
        </w:rPr>
        <w:t xml:space="preserve"> (April 2024) and Mario Draghi</w:t>
      </w:r>
      <w:r w:rsidR="00B10AE3" w:rsidRPr="004C70EC">
        <w:rPr>
          <w:rFonts w:eastAsia="Times New Roman"/>
          <w:noProof/>
          <w:color w:val="000000" w:themeColor="text1"/>
          <w:lang w:val="en-IE" w:eastAsia="en-GB"/>
        </w:rPr>
        <w:t> </w:t>
      </w:r>
      <w:r w:rsidRPr="004C70EC">
        <w:rPr>
          <w:rStyle w:val="FootnoteReference"/>
          <w:rFonts w:eastAsia="Times New Roman"/>
          <w:noProof/>
          <w:color w:val="000000" w:themeColor="text1"/>
          <w:lang w:val="en-US" w:eastAsia="en-GB"/>
        </w:rPr>
        <w:footnoteReference w:id="11"/>
      </w:r>
      <w:r w:rsidR="00E934F2" w:rsidRPr="004C70EC">
        <w:rPr>
          <w:rFonts w:eastAsia="Times New Roman"/>
          <w:noProof/>
          <w:color w:val="000000" w:themeColor="text1"/>
          <w:lang w:val="en-US" w:eastAsia="en-GB"/>
        </w:rPr>
        <w:t xml:space="preserve"> (September 2024), it is necessary to address the challenges faced by E</w:t>
      </w:r>
      <w:r w:rsidR="00753472" w:rsidRPr="004C70EC">
        <w:rPr>
          <w:rFonts w:eastAsia="Times New Roman"/>
          <w:noProof/>
          <w:color w:val="000000" w:themeColor="text1"/>
          <w:lang w:val="en-US" w:eastAsia="en-GB"/>
        </w:rPr>
        <w:t>U</w:t>
      </w:r>
      <w:r w:rsidR="00E934F2" w:rsidRPr="004C70EC">
        <w:rPr>
          <w:rFonts w:eastAsia="Times New Roman"/>
          <w:noProof/>
          <w:color w:val="000000" w:themeColor="text1"/>
          <w:lang w:val="en-US" w:eastAsia="en-GB"/>
        </w:rPr>
        <w:t xml:space="preserve"> companies, users and consumers to boost the </w:t>
      </w:r>
      <w:r w:rsidR="00753472" w:rsidRPr="004C70EC">
        <w:rPr>
          <w:rFonts w:eastAsia="Times New Roman"/>
          <w:noProof/>
          <w:color w:val="000000" w:themeColor="text1"/>
          <w:lang w:val="en-US" w:eastAsia="en-GB"/>
        </w:rPr>
        <w:t xml:space="preserve">EU’s </w:t>
      </w:r>
      <w:r w:rsidR="00E934F2" w:rsidRPr="004C70EC">
        <w:rPr>
          <w:rFonts w:eastAsia="Times New Roman"/>
          <w:noProof/>
          <w:color w:val="000000" w:themeColor="text1"/>
          <w:lang w:val="en-US" w:eastAsia="en-GB"/>
        </w:rPr>
        <w:t xml:space="preserve">technological advancement, competitiveness and economic growth. </w:t>
      </w:r>
      <w:r w:rsidRPr="004C70EC">
        <w:rPr>
          <w:rFonts w:eastAsia="Times New Roman"/>
          <w:noProof/>
          <w:color w:val="000000" w:themeColor="text1"/>
          <w:lang w:val="en-US" w:eastAsia="en-GB"/>
        </w:rPr>
        <w:t>In</w:t>
      </w:r>
      <w:r w:rsidRPr="004C70EC" w:rsidDel="00115BF0">
        <w:rPr>
          <w:rFonts w:eastAsia="Times New Roman"/>
          <w:noProof/>
          <w:color w:val="000000" w:themeColor="text1"/>
          <w:lang w:val="en-US" w:eastAsia="en-GB"/>
        </w:rPr>
        <w:t xml:space="preserve"> </w:t>
      </w:r>
      <w:r w:rsidRPr="004C70EC">
        <w:rPr>
          <w:rFonts w:eastAsia="Times New Roman"/>
          <w:noProof/>
          <w:color w:val="000000" w:themeColor="text1"/>
          <w:lang w:val="en-US" w:eastAsia="en-GB"/>
        </w:rPr>
        <w:t xml:space="preserve">its </w:t>
      </w:r>
      <w:r w:rsidR="005129F9" w:rsidRPr="004C70EC">
        <w:rPr>
          <w:rFonts w:eastAsia="Times New Roman"/>
          <w:noProof/>
          <w:color w:val="000000" w:themeColor="text1"/>
          <w:lang w:val="en-US" w:eastAsia="en-GB"/>
        </w:rPr>
        <w:t>resolution</w:t>
      </w:r>
      <w:r w:rsidRPr="004C70EC">
        <w:rPr>
          <w:rFonts w:eastAsia="Times New Roman"/>
          <w:noProof/>
          <w:color w:val="000000" w:themeColor="text1"/>
          <w:lang w:val="en-US" w:eastAsia="en-GB"/>
        </w:rPr>
        <w:t xml:space="preserve"> </w:t>
      </w:r>
      <w:r w:rsidR="0086138D"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Future of the</w:t>
      </w:r>
      <w:r w:rsidR="00E934F2" w:rsidRPr="004C70EC">
        <w:rPr>
          <w:rFonts w:eastAsia="Times New Roman"/>
          <w:noProof/>
          <w:color w:val="000000" w:themeColor="text1"/>
          <w:lang w:val="en-US" w:eastAsia="en-GB"/>
        </w:rPr>
        <w:t xml:space="preserve"> EU biotechnology and biomanufacturing sector</w:t>
      </w:r>
      <w:r w:rsidR="0086138D" w:rsidRPr="004C70EC">
        <w:rPr>
          <w:rFonts w:eastAsia="Times New Roman"/>
          <w:noProof/>
          <w:color w:val="000000" w:themeColor="text1"/>
          <w:lang w:val="en-US" w:eastAsia="en-GB"/>
        </w:rPr>
        <w:t>’</w:t>
      </w:r>
      <w:r w:rsidR="00B10AE3" w:rsidRPr="004C70EC">
        <w:rPr>
          <w:rFonts w:eastAsia="Times New Roman"/>
          <w:noProof/>
          <w:color w:val="000000" w:themeColor="text1"/>
          <w:lang w:val="en-IE" w:eastAsia="en-GB"/>
        </w:rPr>
        <w:t> </w:t>
      </w:r>
      <w:r w:rsidRPr="004C70EC">
        <w:rPr>
          <w:rStyle w:val="FootnoteReference"/>
          <w:rFonts w:eastAsia="Times New Roman"/>
          <w:noProof/>
          <w:color w:val="000000" w:themeColor="text1"/>
          <w:lang w:val="en-US" w:eastAsia="en-GB"/>
        </w:rPr>
        <w:footnoteReference w:id="12"/>
      </w:r>
      <w:r w:rsidR="00E934F2" w:rsidRPr="004C70EC">
        <w:rPr>
          <w:rFonts w:eastAsia="Times New Roman"/>
          <w:noProof/>
          <w:color w:val="000000" w:themeColor="text1"/>
          <w:lang w:val="en-US" w:eastAsia="en-GB"/>
        </w:rPr>
        <w:t xml:space="preserve">, the European Parliament recommended </w:t>
      </w:r>
      <w:r w:rsidR="00FA6760" w:rsidRPr="004C70EC">
        <w:rPr>
          <w:rFonts w:eastAsia="Times New Roman"/>
          <w:noProof/>
          <w:color w:val="000000" w:themeColor="text1"/>
          <w:lang w:val="en-US" w:eastAsia="en-GB"/>
        </w:rPr>
        <w:t>‘</w:t>
      </w:r>
      <w:r w:rsidR="00E934F2" w:rsidRPr="004C70EC">
        <w:rPr>
          <w:rFonts w:eastAsia="Times New Roman"/>
          <w:noProof/>
          <w:color w:val="000000" w:themeColor="text1"/>
          <w:lang w:eastAsia="en-GB"/>
        </w:rPr>
        <w:t>facilitating a fast and efficient uptake of biotechnology and biomanufacturing through clear regulatory frameworks</w:t>
      </w:r>
      <w:r w:rsidR="00FA6760" w:rsidRPr="004C70EC">
        <w:rPr>
          <w:rFonts w:eastAsia="Times New Roman"/>
          <w:noProof/>
          <w:color w:val="000000" w:themeColor="text1"/>
          <w:lang w:eastAsia="en-GB"/>
        </w:rPr>
        <w:t>’</w:t>
      </w:r>
      <w:r w:rsidR="00E934F2" w:rsidRPr="004C70EC">
        <w:rPr>
          <w:rFonts w:eastAsia="Times New Roman"/>
          <w:noProof/>
          <w:color w:val="000000" w:themeColor="text1"/>
          <w:lang w:eastAsia="en-GB"/>
        </w:rPr>
        <w:t xml:space="preserve">. </w:t>
      </w:r>
      <w:r w:rsidR="005129F9" w:rsidRPr="004C70EC">
        <w:rPr>
          <w:rFonts w:eastAsia="Times New Roman"/>
          <w:noProof/>
          <w:color w:val="000000" w:themeColor="text1"/>
          <w:lang w:eastAsia="en-GB"/>
        </w:rPr>
        <w:t xml:space="preserve">The European Parliament is now preparing an own-initiative report on </w:t>
      </w:r>
      <w:r w:rsidR="0086138D" w:rsidRPr="004C70EC">
        <w:rPr>
          <w:rFonts w:eastAsia="Times New Roman"/>
          <w:noProof/>
          <w:color w:val="000000" w:themeColor="text1"/>
          <w:lang w:eastAsia="en-GB"/>
        </w:rPr>
        <w:t>‘</w:t>
      </w:r>
      <w:r w:rsidR="005129F9" w:rsidRPr="004C70EC">
        <w:rPr>
          <w:rFonts w:eastAsia="Times New Roman"/>
          <w:noProof/>
          <w:color w:val="000000" w:themeColor="text1"/>
          <w:lang w:eastAsia="en-GB"/>
        </w:rPr>
        <w:t>Public health aspects of biotechnology and life sciences</w:t>
      </w:r>
      <w:r w:rsidR="0086138D" w:rsidRPr="004C70EC">
        <w:rPr>
          <w:rFonts w:eastAsia="Times New Roman"/>
          <w:noProof/>
          <w:color w:val="000000" w:themeColor="text1"/>
          <w:lang w:eastAsia="en-GB"/>
        </w:rPr>
        <w:t>’</w:t>
      </w:r>
      <w:r w:rsidR="00B10AE3" w:rsidRPr="004C70EC">
        <w:rPr>
          <w:rFonts w:eastAsia="Times New Roman"/>
          <w:noProof/>
          <w:color w:val="000000" w:themeColor="text1"/>
          <w:lang w:val="en-IE" w:eastAsia="en-GB"/>
        </w:rPr>
        <w:t> </w:t>
      </w:r>
      <w:r w:rsidR="005129F9" w:rsidRPr="004C70EC">
        <w:rPr>
          <w:rStyle w:val="FootnoteReference"/>
          <w:rFonts w:eastAsia="Times New Roman"/>
          <w:noProof/>
          <w:color w:val="000000" w:themeColor="text1"/>
          <w:lang w:eastAsia="en-GB"/>
        </w:rPr>
        <w:footnoteReference w:id="13"/>
      </w:r>
      <w:r w:rsidR="00D73549" w:rsidRPr="004C70EC">
        <w:rPr>
          <w:rFonts w:eastAsia="Times New Roman"/>
          <w:noProof/>
          <w:color w:val="000000" w:themeColor="text1"/>
          <w:lang w:val="en-IE" w:eastAsia="en-GB"/>
        </w:rPr>
        <w:t>.</w:t>
      </w:r>
      <w:r w:rsidR="005129F9" w:rsidRPr="004C70EC">
        <w:rPr>
          <w:rFonts w:eastAsia="Times New Roman"/>
          <w:noProof/>
          <w:color w:val="000000" w:themeColor="text1"/>
          <w:lang w:eastAsia="en-GB"/>
        </w:rPr>
        <w:t xml:space="preserve"> </w:t>
      </w:r>
      <w:r w:rsidR="00E934F2" w:rsidRPr="004C70EC">
        <w:rPr>
          <w:rFonts w:eastAsia="Times New Roman"/>
          <w:noProof/>
          <w:color w:val="000000" w:themeColor="text1"/>
          <w:lang w:eastAsia="en-GB"/>
        </w:rPr>
        <w:t>More recently, EU Member States</w:t>
      </w:r>
      <w:r w:rsidR="00E934F2" w:rsidRPr="004C70EC">
        <w:rPr>
          <w:rFonts w:eastAsia="Times New Roman"/>
          <w:noProof/>
          <w:color w:val="000000" w:themeColor="text1"/>
          <w:vertAlign w:val="superscript"/>
          <w:lang w:eastAsia="en-GB"/>
        </w:rPr>
        <w:t xml:space="preserve"> </w:t>
      </w:r>
      <w:r w:rsidR="00E934F2" w:rsidRPr="004C70EC">
        <w:rPr>
          <w:rFonts w:eastAsia="Times New Roman"/>
          <w:noProof/>
          <w:color w:val="000000" w:themeColor="text1"/>
          <w:lang w:eastAsia="en-GB"/>
        </w:rPr>
        <w:t>urged the Commission to unlock the potential of biotechnologies, by reducing fragmentation and simplifying the EU regulatory framework across policy areas</w:t>
      </w:r>
      <w:r w:rsidR="009B4E11" w:rsidRPr="004C70EC">
        <w:rPr>
          <w:rStyle w:val="FootnoteReference"/>
          <w:rFonts w:eastAsia="Times New Roman"/>
          <w:noProof/>
          <w:color w:val="000000" w:themeColor="text1"/>
          <w:lang w:eastAsia="en-GB"/>
        </w:rPr>
        <w:footnoteReference w:id="14"/>
      </w:r>
      <w:r w:rsidR="00E934F2" w:rsidRPr="004C70EC">
        <w:rPr>
          <w:rFonts w:eastAsia="Times New Roman"/>
          <w:noProof/>
          <w:color w:val="000000" w:themeColor="text1"/>
          <w:lang w:eastAsia="en-GB"/>
        </w:rPr>
        <w:t>.</w:t>
      </w:r>
    </w:p>
    <w:p w14:paraId="64C4E6C8" w14:textId="77777777" w:rsidR="00E72B56" w:rsidRPr="004C70EC" w:rsidRDefault="00E72B56" w:rsidP="00106A8C">
      <w:pPr>
        <w:pBdr>
          <w:top w:val="nil"/>
          <w:left w:val="nil"/>
          <w:bottom w:val="nil"/>
          <w:right w:val="nil"/>
          <w:between w:val="nil"/>
        </w:pBdr>
        <w:spacing w:after="240"/>
        <w:rPr>
          <w:rFonts w:eastAsia="Times New Roman"/>
          <w:noProof/>
          <w:color w:val="000000" w:themeColor="text1"/>
          <w:shd w:val="clear" w:color="auto" w:fill="FFFFFF"/>
          <w:lang w:val="en-IE" w:eastAsia="de-DE"/>
        </w:rPr>
      </w:pPr>
      <w:r w:rsidRPr="004C70EC">
        <w:rPr>
          <w:rFonts w:eastAsia="Times New Roman"/>
          <w:noProof/>
          <w:color w:val="000000" w:themeColor="text1"/>
          <w:lang w:val="en-IE" w:eastAsia="de-DE"/>
        </w:rPr>
        <w:t xml:space="preserve">Given the importance of health biotechnology amongst the other applications of biotechnology as, it is appropriate that </w:t>
      </w:r>
      <w:r w:rsidR="00E310E4" w:rsidRPr="004C70EC">
        <w:rPr>
          <w:rFonts w:eastAsia="Times New Roman"/>
          <w:noProof/>
          <w:color w:val="000000" w:themeColor="text1"/>
          <w:lang w:val="en-IE" w:eastAsia="de-DE"/>
        </w:rPr>
        <w:t xml:space="preserve">the European Biotech Act </w:t>
      </w:r>
      <w:r w:rsidRPr="004C70EC">
        <w:rPr>
          <w:rFonts w:eastAsia="Times New Roman"/>
          <w:noProof/>
          <w:color w:val="000000" w:themeColor="text1"/>
          <w:lang w:val="en-IE" w:eastAsia="de-DE"/>
        </w:rPr>
        <w:t>focusses on, and sets out specific measures for, the health dimension of biotechnology. To ensure the effectiveness of this</w:t>
      </w:r>
      <w:r w:rsidR="00E310E4" w:rsidRPr="004C70EC">
        <w:rPr>
          <w:rFonts w:eastAsia="Times New Roman"/>
          <w:noProof/>
          <w:color w:val="000000" w:themeColor="text1"/>
          <w:lang w:val="en-IE" w:eastAsia="de-DE"/>
        </w:rPr>
        <w:t xml:space="preserve"> proposal</w:t>
      </w:r>
      <w:r w:rsidRPr="004C70EC">
        <w:rPr>
          <w:rFonts w:eastAsia="Times New Roman"/>
          <w:noProof/>
          <w:color w:val="000000" w:themeColor="text1"/>
          <w:lang w:val="en-IE" w:eastAsia="de-DE"/>
        </w:rPr>
        <w:t>, its scope of application extend</w:t>
      </w:r>
      <w:r w:rsidR="00E310E4" w:rsidRPr="004C70EC">
        <w:rPr>
          <w:rFonts w:eastAsia="Times New Roman"/>
          <w:noProof/>
          <w:color w:val="000000" w:themeColor="text1"/>
          <w:lang w:val="en-IE" w:eastAsia="de-DE"/>
        </w:rPr>
        <w:t>s</w:t>
      </w:r>
      <w:r w:rsidRPr="004C70EC">
        <w:rPr>
          <w:rFonts w:eastAsia="Times New Roman"/>
          <w:noProof/>
          <w:color w:val="000000" w:themeColor="text1"/>
          <w:lang w:val="en-IE" w:eastAsia="de-DE"/>
        </w:rPr>
        <w:t xml:space="preserve"> to health biotechnology in a comprehensive manner and cover health within the wide meaning of Article 168</w:t>
      </w:r>
      <w:r w:rsidR="00E310E4" w:rsidRPr="004C70EC">
        <w:rPr>
          <w:rFonts w:eastAsia="Times New Roman"/>
          <w:noProof/>
          <w:color w:val="000000" w:themeColor="text1"/>
          <w:lang w:val="en-IE" w:eastAsia="de-DE"/>
        </w:rPr>
        <w:t xml:space="preserve"> of the Treaty of the Fun</w:t>
      </w:r>
      <w:r w:rsidR="006653E4" w:rsidRPr="004C70EC">
        <w:rPr>
          <w:rFonts w:eastAsia="Times New Roman"/>
          <w:noProof/>
          <w:color w:val="000000" w:themeColor="text1"/>
          <w:lang w:val="en-IE" w:eastAsia="de-DE"/>
        </w:rPr>
        <w:t>ctioning of the European Union</w:t>
      </w:r>
      <w:r w:rsidRPr="004C70EC">
        <w:rPr>
          <w:rFonts w:eastAsia="Times New Roman"/>
          <w:noProof/>
          <w:color w:val="000000" w:themeColor="text1"/>
          <w:lang w:val="en-IE" w:eastAsia="de-DE"/>
        </w:rPr>
        <w:t xml:space="preserve"> </w:t>
      </w:r>
      <w:r w:rsidR="006653E4" w:rsidRPr="004C70EC">
        <w:rPr>
          <w:rFonts w:eastAsia="Times New Roman"/>
          <w:noProof/>
          <w:color w:val="000000" w:themeColor="text1"/>
          <w:lang w:val="en-IE" w:eastAsia="de-DE"/>
        </w:rPr>
        <w:t>(TFEU)</w:t>
      </w:r>
      <w:r w:rsidRPr="004C70EC">
        <w:rPr>
          <w:rFonts w:eastAsia="Times New Roman"/>
          <w:noProof/>
          <w:color w:val="000000" w:themeColor="text1"/>
          <w:lang w:val="en-IE" w:eastAsia="de-DE"/>
        </w:rPr>
        <w:t xml:space="preserve"> on the protection of public health.</w:t>
      </w:r>
      <w:r w:rsidR="006653E4" w:rsidRPr="004C70EC">
        <w:rPr>
          <w:rFonts w:eastAsia="Times New Roman"/>
          <w:noProof/>
          <w:color w:val="000000" w:themeColor="text1"/>
          <w:lang w:val="en-IE" w:eastAsia="de-DE"/>
        </w:rPr>
        <w:t xml:space="preserve"> In this regard, </w:t>
      </w:r>
      <w:r w:rsidRPr="004C70EC">
        <w:rPr>
          <w:rFonts w:eastAsia="Times New Roman"/>
          <w:noProof/>
          <w:color w:val="000000" w:themeColor="text1"/>
          <w:lang w:eastAsia="de-DE"/>
        </w:rPr>
        <w:t>Article 168(1) TFEU emphasises that a high level of human health protection is to be ensured when defining and implementing all Union policies and activities. Article 168(4) TFEU clarifies that this objective is, amongst others, to be pursued through measures setting high standards of quality and safety for medicinal products and devices for medical use and of organs and substances of human origin, blood and blood derivatives, measures in the veterinary and phytosanitary fields which have as their direct objective the protection of public health.</w:t>
      </w:r>
      <w:r w:rsidR="006653E4" w:rsidRPr="004C70EC">
        <w:rPr>
          <w:rFonts w:eastAsia="Times New Roman"/>
          <w:noProof/>
          <w:color w:val="000000" w:themeColor="text1"/>
          <w:lang w:val="en-IE" w:eastAsia="de-DE"/>
        </w:rPr>
        <w:t xml:space="preserve"> </w:t>
      </w:r>
      <w:r w:rsidRPr="004C70EC">
        <w:rPr>
          <w:rFonts w:eastAsia="Times New Roman"/>
          <w:noProof/>
          <w:color w:val="000000" w:themeColor="text1"/>
          <w:lang w:val="en-IE" w:eastAsia="de-DE"/>
        </w:rPr>
        <w:t>Accordingly, and in line with the One Health approach, this Regulation should apply to health biotechnology, understood as the application of biotechnology in the human medical, veterinary, pharmaceutical and phytosanitary areas for the development of biotechnology products and services. The Regulation should apply to their entire lifecycle, including the related research, access to funding, development, innovation, testing, validation, manufacturing, placing on the market and use activities.</w:t>
      </w:r>
    </w:p>
    <w:p w14:paraId="70D685CF" w14:textId="77777777" w:rsidR="00E934F2" w:rsidRPr="004C70EC" w:rsidRDefault="00E934F2" w:rsidP="00106A8C">
      <w:pPr>
        <w:pBdr>
          <w:top w:val="nil"/>
          <w:left w:val="nil"/>
          <w:bottom w:val="nil"/>
          <w:right w:val="nil"/>
          <w:between w:val="nil"/>
        </w:pBdr>
        <w:spacing w:after="240"/>
        <w:rPr>
          <w:rFonts w:eastAsia="Times New Roman"/>
          <w:noProof/>
          <w:color w:val="000000" w:themeColor="text1"/>
        </w:rPr>
      </w:pPr>
      <w:r w:rsidRPr="004C70EC">
        <w:rPr>
          <w:noProof/>
          <w:color w:val="000000" w:themeColor="text1"/>
        </w:rPr>
        <w:t xml:space="preserve">The proposal for a European Biotech Act acknowledges </w:t>
      </w:r>
      <w:r w:rsidR="3323E23E" w:rsidRPr="004C70EC">
        <w:rPr>
          <w:noProof/>
          <w:color w:val="000000" w:themeColor="text1"/>
        </w:rPr>
        <w:t xml:space="preserve">the EU’s </w:t>
      </w:r>
      <w:r w:rsidRPr="004C70EC">
        <w:rPr>
          <w:noProof/>
          <w:color w:val="000000" w:themeColor="text1"/>
        </w:rPr>
        <w:t xml:space="preserve">potential to be a global leader. The region combines </w:t>
      </w:r>
      <w:r w:rsidR="00A60186" w:rsidRPr="004C70EC">
        <w:rPr>
          <w:noProof/>
          <w:color w:val="000000" w:themeColor="text1"/>
        </w:rPr>
        <w:t xml:space="preserve">a </w:t>
      </w:r>
      <w:r w:rsidRPr="004C70EC">
        <w:rPr>
          <w:noProof/>
          <w:color w:val="000000" w:themeColor="text1"/>
        </w:rPr>
        <w:t>highly skilled workforce, world-class scientific institutes,</w:t>
      </w:r>
      <w:r w:rsidR="189698D3" w:rsidRPr="004C70EC">
        <w:rPr>
          <w:noProof/>
          <w:color w:val="000000" w:themeColor="text1"/>
        </w:rPr>
        <w:t xml:space="preserve"> innovative startups and scaleups,</w:t>
      </w:r>
      <w:r w:rsidRPr="004C70EC">
        <w:rPr>
          <w:noProof/>
          <w:color w:val="000000" w:themeColor="text1"/>
        </w:rPr>
        <w:t xml:space="preserve"> advanced infrastructure and large private capital pools that could be </w:t>
      </w:r>
      <w:r w:rsidR="00B21AAE" w:rsidRPr="004C70EC">
        <w:rPr>
          <w:noProof/>
          <w:color w:val="000000" w:themeColor="text1"/>
        </w:rPr>
        <w:t xml:space="preserve">used </w:t>
      </w:r>
      <w:r w:rsidRPr="004C70EC">
        <w:rPr>
          <w:noProof/>
          <w:color w:val="000000" w:themeColor="text1"/>
        </w:rPr>
        <w:t>to support the domestic scale</w:t>
      </w:r>
      <w:r w:rsidR="00B21AAE" w:rsidRPr="004C70EC">
        <w:rPr>
          <w:noProof/>
          <w:color w:val="000000" w:themeColor="text1"/>
        </w:rPr>
        <w:t>-</w:t>
      </w:r>
      <w:r w:rsidRPr="004C70EC">
        <w:rPr>
          <w:noProof/>
          <w:color w:val="000000" w:themeColor="text1"/>
        </w:rPr>
        <w:t xml:space="preserve">up of promising companies. The proposal therefore seeks to address the barriers hindering the development of the </w:t>
      </w:r>
      <w:r w:rsidR="696E0E70" w:rsidRPr="004C70EC">
        <w:rPr>
          <w:noProof/>
          <w:color w:val="000000" w:themeColor="text1"/>
        </w:rPr>
        <w:t xml:space="preserve">EU’s </w:t>
      </w:r>
      <w:r w:rsidR="003D6A75" w:rsidRPr="004C70EC">
        <w:rPr>
          <w:noProof/>
          <w:color w:val="000000" w:themeColor="text1"/>
        </w:rPr>
        <w:t>health</w:t>
      </w:r>
      <w:r w:rsidRPr="004C70EC">
        <w:rPr>
          <w:noProof/>
          <w:color w:val="000000" w:themeColor="text1"/>
        </w:rPr>
        <w:t xml:space="preserve"> biotechnology sector, starting from early-stage research through to later-stage deployment and scale-up. It introduces facilitation measures in the health </w:t>
      </w:r>
      <w:r w:rsidR="00D94AF3" w:rsidRPr="004C70EC">
        <w:rPr>
          <w:noProof/>
          <w:color w:val="000000" w:themeColor="text1"/>
        </w:rPr>
        <w:t xml:space="preserve">biotechnology </w:t>
      </w:r>
      <w:r w:rsidR="00A60186" w:rsidRPr="004C70EC">
        <w:rPr>
          <w:noProof/>
          <w:color w:val="000000" w:themeColor="text1"/>
        </w:rPr>
        <w:t>areas</w:t>
      </w:r>
      <w:r w:rsidR="00527537" w:rsidRPr="004C70EC">
        <w:rPr>
          <w:noProof/>
          <w:color w:val="000000" w:themeColor="text1"/>
        </w:rPr>
        <w:t xml:space="preserve">, including a framework for the recognition of, and </w:t>
      </w:r>
      <w:r w:rsidR="00B84727" w:rsidRPr="004C70EC">
        <w:rPr>
          <w:noProof/>
          <w:color w:val="000000" w:themeColor="text1"/>
        </w:rPr>
        <w:t xml:space="preserve">support for, health biotechnology strategic projects and high impact </w:t>
      </w:r>
      <w:r w:rsidR="00EF3AE7" w:rsidRPr="004C70EC">
        <w:rPr>
          <w:noProof/>
          <w:color w:val="000000" w:themeColor="text1"/>
        </w:rPr>
        <w:t xml:space="preserve">health biotechnology strategic projects, </w:t>
      </w:r>
      <w:r w:rsidRPr="004C70EC">
        <w:rPr>
          <w:noProof/>
          <w:color w:val="000000" w:themeColor="text1"/>
        </w:rPr>
        <w:t xml:space="preserve">aimed at reducing time-to-market, with particular attention </w:t>
      </w:r>
      <w:r w:rsidR="007E5457" w:rsidRPr="004C70EC">
        <w:rPr>
          <w:noProof/>
          <w:color w:val="000000" w:themeColor="text1"/>
        </w:rPr>
        <w:t>paid</w:t>
      </w:r>
      <w:r w:rsidR="005610D9" w:rsidRPr="004C70EC">
        <w:rPr>
          <w:noProof/>
          <w:color w:val="000000" w:themeColor="text1"/>
        </w:rPr>
        <w:t xml:space="preserve"> </w:t>
      </w:r>
      <w:r w:rsidRPr="004C70EC">
        <w:rPr>
          <w:noProof/>
          <w:color w:val="000000" w:themeColor="text1"/>
        </w:rPr>
        <w:t>to the needs of small and medium-sized enterprises (SMEs</w:t>
      </w:r>
      <w:r w:rsidR="00A60186" w:rsidRPr="004C70EC">
        <w:rPr>
          <w:noProof/>
          <w:color w:val="000000" w:themeColor="text1"/>
        </w:rPr>
        <w:t>)</w:t>
      </w:r>
      <w:r w:rsidR="005610D9" w:rsidRPr="004C70EC">
        <w:rPr>
          <w:noProof/>
          <w:color w:val="000000" w:themeColor="text1"/>
        </w:rPr>
        <w:t>,</w:t>
      </w:r>
      <w:r w:rsidRPr="004C70EC">
        <w:rPr>
          <w:noProof/>
          <w:color w:val="000000" w:themeColor="text1"/>
        </w:rPr>
        <w:t xml:space="preserve"> and includes future-proofing provisions to anticipate the needs of health biotechnologies. </w:t>
      </w:r>
      <w:r w:rsidR="00A4343F" w:rsidRPr="004C70EC">
        <w:rPr>
          <w:rFonts w:eastAsia="Times New Roman"/>
          <w:noProof/>
          <w:color w:val="000000" w:themeColor="text1"/>
        </w:rPr>
        <w:t xml:space="preserve">Acting decisively now will allow the EU to fully harness its fast-moving biotechnology sector, reinforce strategic autonomy and economic security, and lay the foundations for a competitive and forward-looking </w:t>
      </w:r>
      <w:r w:rsidR="63A83CA8" w:rsidRPr="004C70EC">
        <w:rPr>
          <w:noProof/>
          <w:color w:val="000000" w:themeColor="text1"/>
        </w:rPr>
        <w:t xml:space="preserve">EU </w:t>
      </w:r>
      <w:r w:rsidR="00A4343F" w:rsidRPr="004C70EC">
        <w:rPr>
          <w:rFonts w:eastAsia="Times New Roman"/>
          <w:noProof/>
          <w:color w:val="000000" w:themeColor="text1"/>
        </w:rPr>
        <w:t xml:space="preserve">biotechnology sector. </w:t>
      </w:r>
      <w:r w:rsidR="379F5C6D" w:rsidRPr="004C70EC">
        <w:rPr>
          <w:rFonts w:eastAsia="Times New Roman"/>
          <w:noProof/>
          <w:color w:val="000000" w:themeColor="text1"/>
        </w:rPr>
        <w:t xml:space="preserve"> </w:t>
      </w:r>
    </w:p>
    <w:p w14:paraId="70D83967" w14:textId="77777777" w:rsidR="00B55806" w:rsidRPr="004C70EC" w:rsidRDefault="006653E4" w:rsidP="00106A8C">
      <w:pPr>
        <w:pBdr>
          <w:top w:val="nil"/>
          <w:left w:val="nil"/>
          <w:bottom w:val="nil"/>
          <w:right w:val="nil"/>
          <w:between w:val="nil"/>
        </w:pBdr>
        <w:spacing w:after="240"/>
        <w:rPr>
          <w:rFonts w:eastAsia="Times New Roman"/>
          <w:noProof/>
          <w:color w:val="000000" w:themeColor="text1"/>
          <w:shd w:val="clear" w:color="auto" w:fill="FFFFFF"/>
          <w:lang w:val="en-IE" w:eastAsia="de-DE"/>
        </w:rPr>
      </w:pPr>
      <w:r w:rsidRPr="004C70EC">
        <w:rPr>
          <w:rFonts w:eastAsia="Times New Roman"/>
          <w:noProof/>
          <w:color w:val="000000" w:themeColor="text1"/>
          <w:lang w:val="en-IE" w:eastAsia="de-DE"/>
        </w:rPr>
        <w:t xml:space="preserve">With a view to ensure the effectiveness of the substantive provisions </w:t>
      </w:r>
      <w:r w:rsidR="00322E55" w:rsidRPr="004C70EC">
        <w:rPr>
          <w:rFonts w:eastAsia="Times New Roman"/>
          <w:noProof/>
          <w:color w:val="000000" w:themeColor="text1"/>
          <w:lang w:val="en-IE" w:eastAsia="de-DE"/>
        </w:rPr>
        <w:t>put</w:t>
      </w:r>
      <w:r w:rsidRPr="004C70EC">
        <w:rPr>
          <w:rFonts w:eastAsia="Times New Roman"/>
          <w:noProof/>
          <w:color w:val="000000" w:themeColor="text1"/>
          <w:lang w:val="en-IE" w:eastAsia="de-DE"/>
        </w:rPr>
        <w:t xml:space="preserve"> </w:t>
      </w:r>
      <w:r w:rsidR="000E3256" w:rsidRPr="004C70EC">
        <w:rPr>
          <w:rFonts w:eastAsia="Times New Roman"/>
          <w:noProof/>
          <w:color w:val="000000" w:themeColor="text1"/>
          <w:lang w:val="en-IE" w:eastAsia="de-DE"/>
        </w:rPr>
        <w:t xml:space="preserve">forward in </w:t>
      </w:r>
      <w:r w:rsidRPr="004C70EC">
        <w:rPr>
          <w:rFonts w:eastAsia="Times New Roman"/>
          <w:noProof/>
          <w:color w:val="000000" w:themeColor="text1"/>
          <w:lang w:val="en-IE" w:eastAsia="de-DE"/>
        </w:rPr>
        <w:t xml:space="preserve">this </w:t>
      </w:r>
      <w:r w:rsidR="00322E55" w:rsidRPr="004C70EC">
        <w:rPr>
          <w:rFonts w:eastAsia="Times New Roman"/>
          <w:noProof/>
          <w:color w:val="000000" w:themeColor="text1"/>
          <w:lang w:val="en-IE" w:eastAsia="de-DE"/>
        </w:rPr>
        <w:t>proposal</w:t>
      </w:r>
      <w:r w:rsidR="000E3256" w:rsidRPr="004C70EC">
        <w:rPr>
          <w:rFonts w:eastAsia="Times New Roman"/>
          <w:noProof/>
          <w:color w:val="000000" w:themeColor="text1"/>
          <w:lang w:val="en-IE" w:eastAsia="de-DE"/>
        </w:rPr>
        <w:t xml:space="preserve">, </w:t>
      </w:r>
      <w:r w:rsidRPr="004C70EC">
        <w:rPr>
          <w:rFonts w:eastAsia="Times New Roman"/>
          <w:noProof/>
          <w:color w:val="000000" w:themeColor="text1"/>
          <w:lang w:val="en-IE" w:eastAsia="de-DE"/>
        </w:rPr>
        <w:t>amend</w:t>
      </w:r>
      <w:r w:rsidR="00322E55" w:rsidRPr="004C70EC">
        <w:rPr>
          <w:rFonts w:eastAsia="Times New Roman"/>
          <w:noProof/>
          <w:color w:val="000000" w:themeColor="text1"/>
          <w:lang w:val="en-IE" w:eastAsia="de-DE"/>
        </w:rPr>
        <w:t>ments to</w:t>
      </w:r>
      <w:r w:rsidRPr="004C70EC">
        <w:rPr>
          <w:rFonts w:eastAsia="Times New Roman"/>
          <w:noProof/>
          <w:color w:val="000000" w:themeColor="text1"/>
          <w:lang w:val="en-IE" w:eastAsia="de-DE"/>
        </w:rPr>
        <w:t xml:space="preserve"> Union legislation</w:t>
      </w:r>
      <w:r w:rsidRPr="004C70EC">
        <w:rPr>
          <w:rFonts w:eastAsia="Times New Roman"/>
          <w:noProof/>
          <w:color w:val="000000" w:themeColor="text1"/>
          <w:shd w:val="clear" w:color="auto" w:fill="FFFFFF"/>
          <w:lang w:val="en-IE" w:eastAsia="de-DE"/>
        </w:rPr>
        <w:t xml:space="preserve"> </w:t>
      </w:r>
      <w:r w:rsidR="00322E55" w:rsidRPr="004C70EC">
        <w:rPr>
          <w:rFonts w:eastAsia="Times New Roman"/>
          <w:noProof/>
          <w:color w:val="000000" w:themeColor="text1"/>
          <w:lang w:val="en-IE" w:eastAsia="de-DE"/>
        </w:rPr>
        <w:t>in the areas of health and food and feed safety</w:t>
      </w:r>
      <w:r w:rsidR="000E3256" w:rsidRPr="004C70EC">
        <w:rPr>
          <w:rFonts w:eastAsia="Times New Roman"/>
          <w:noProof/>
          <w:color w:val="000000" w:themeColor="text1"/>
          <w:lang w:val="en-IE" w:eastAsia="de-DE"/>
        </w:rPr>
        <w:t xml:space="preserve"> are also established</w:t>
      </w:r>
      <w:r w:rsidRPr="004C70EC">
        <w:rPr>
          <w:rFonts w:eastAsia="Times New Roman"/>
          <w:noProof/>
          <w:color w:val="000000" w:themeColor="text1"/>
          <w:lang w:val="en-IE" w:eastAsia="de-DE"/>
        </w:rPr>
        <w:t xml:space="preserve"> </w:t>
      </w:r>
      <w:r w:rsidR="00322E55" w:rsidRPr="004C70EC">
        <w:rPr>
          <w:rFonts w:eastAsia="Times New Roman"/>
          <w:noProof/>
          <w:color w:val="000000" w:themeColor="text1"/>
          <w:lang w:val="en-IE" w:eastAsia="de-DE"/>
        </w:rPr>
        <w:t xml:space="preserve">for regulatory simplification, </w:t>
      </w:r>
      <w:r w:rsidR="00517345" w:rsidRPr="004C70EC">
        <w:rPr>
          <w:rFonts w:eastAsia="Times New Roman"/>
          <w:noProof/>
          <w:color w:val="000000" w:themeColor="text1"/>
          <w:lang w:val="en-IE" w:eastAsia="de-DE"/>
        </w:rPr>
        <w:t>that have an</w:t>
      </w:r>
      <w:r w:rsidRPr="004C70EC">
        <w:rPr>
          <w:rFonts w:eastAsia="Times New Roman"/>
          <w:noProof/>
          <w:color w:val="000000" w:themeColor="text1"/>
          <w:shd w:val="clear" w:color="auto" w:fill="FFFFFF"/>
          <w:lang w:val="en-IE" w:eastAsia="de-DE"/>
        </w:rPr>
        <w:t xml:space="preserve"> </w:t>
      </w:r>
      <w:r w:rsidRPr="004C70EC">
        <w:rPr>
          <w:rFonts w:eastAsia="Times New Roman"/>
          <w:noProof/>
          <w:color w:val="000000" w:themeColor="text1"/>
          <w:lang w:val="en-IE" w:eastAsia="de-DE"/>
        </w:rPr>
        <w:t xml:space="preserve">impact on innovation and the time to market for biotechnology products and services, including where such legislation also applies to products other than biotechnology products. </w:t>
      </w:r>
      <w:r w:rsidR="00B55806" w:rsidRPr="004C70EC">
        <w:rPr>
          <w:rFonts w:eastAsia="Times New Roman"/>
          <w:noProof/>
          <w:color w:val="000000" w:themeColor="text1"/>
          <w:lang w:eastAsia="en-GB"/>
        </w:rPr>
        <w:t>In this regard, w</w:t>
      </w:r>
      <w:r w:rsidR="00D66FA3" w:rsidRPr="004C70EC">
        <w:rPr>
          <w:rFonts w:eastAsia="Times New Roman"/>
          <w:noProof/>
          <w:color w:val="000000" w:themeColor="text1"/>
          <w:lang w:eastAsia="en-GB"/>
        </w:rPr>
        <w:t>ithout an efficient, accelerated and streamlined legislative framework for clinical trials in the Union, the other measures in this Regulation, and in particular the framework for the recognition and support of health biotechnology strategic projects and high impact biotechnology strategic projects would be deprived of their effectiveness, as all health biotechnology medicinal products require state of the art clinical research and a globally competitive regulatory framework for clinical trials authorisation.</w:t>
      </w:r>
      <w:r w:rsidR="00217004" w:rsidRPr="004C70EC">
        <w:rPr>
          <w:rFonts w:eastAsia="Times New Roman"/>
          <w:noProof/>
          <w:color w:val="000000" w:themeColor="text1"/>
          <w:lang w:eastAsia="en-GB"/>
        </w:rPr>
        <w:t xml:space="preserve"> Simil</w:t>
      </w:r>
      <w:r w:rsidR="00D71423" w:rsidRPr="004C70EC">
        <w:rPr>
          <w:rFonts w:eastAsia="Times New Roman"/>
          <w:noProof/>
          <w:color w:val="000000" w:themeColor="text1"/>
          <w:lang w:eastAsia="en-GB"/>
        </w:rPr>
        <w:t>arly,</w:t>
      </w:r>
      <w:r w:rsidR="00A21F82" w:rsidRPr="004C70EC">
        <w:rPr>
          <w:rFonts w:eastAsia="Times New Roman"/>
          <w:noProof/>
          <w:color w:val="000000" w:themeColor="text1"/>
          <w:lang w:eastAsia="en-GB"/>
        </w:rPr>
        <w:t xml:space="preserve"> a </w:t>
      </w:r>
      <w:r w:rsidR="00434E8E" w:rsidRPr="004C70EC">
        <w:rPr>
          <w:rFonts w:eastAsia="Times New Roman"/>
          <w:noProof/>
          <w:color w:val="000000" w:themeColor="text1"/>
          <w:lang w:eastAsia="en-GB"/>
        </w:rPr>
        <w:t>timelier</w:t>
      </w:r>
      <w:r w:rsidR="00A21F82" w:rsidRPr="004C70EC">
        <w:rPr>
          <w:rFonts w:eastAsia="Times New Roman"/>
          <w:noProof/>
          <w:color w:val="000000" w:themeColor="text1"/>
          <w:lang w:eastAsia="en-GB"/>
        </w:rPr>
        <w:t xml:space="preserve"> risk assessment process </w:t>
      </w:r>
      <w:r w:rsidR="00F53927" w:rsidRPr="004C70EC">
        <w:rPr>
          <w:rFonts w:eastAsia="Times New Roman"/>
          <w:noProof/>
          <w:color w:val="000000" w:themeColor="text1"/>
          <w:lang w:eastAsia="en-GB"/>
        </w:rPr>
        <w:t xml:space="preserve">for </w:t>
      </w:r>
      <w:r w:rsidR="009C0E43" w:rsidRPr="004C70EC">
        <w:rPr>
          <w:rFonts w:eastAsia="Times New Roman"/>
          <w:noProof/>
          <w:color w:val="000000" w:themeColor="text1"/>
          <w:lang w:eastAsia="en-GB"/>
        </w:rPr>
        <w:t xml:space="preserve">products subject to pre-market authorisation in accordance with Union food and feed legislation, </w:t>
      </w:r>
      <w:r w:rsidR="007C32E8" w:rsidRPr="004C70EC">
        <w:rPr>
          <w:rFonts w:eastAsia="Times New Roman"/>
          <w:noProof/>
          <w:color w:val="000000" w:themeColor="text1"/>
          <w:lang w:eastAsia="en-GB"/>
        </w:rPr>
        <w:t xml:space="preserve">including for biotechnology innovations where </w:t>
      </w:r>
      <w:r w:rsidR="000B66E1" w:rsidRPr="004C70EC">
        <w:rPr>
          <w:rFonts w:eastAsia="Times New Roman"/>
          <w:noProof/>
          <w:color w:val="000000" w:themeColor="text1"/>
          <w:lang w:eastAsia="en-GB"/>
        </w:rPr>
        <w:t>pre-submission advice</w:t>
      </w:r>
      <w:r w:rsidR="007C32E8" w:rsidRPr="004C70EC">
        <w:rPr>
          <w:rFonts w:eastAsia="Times New Roman"/>
          <w:noProof/>
          <w:color w:val="000000" w:themeColor="text1"/>
          <w:lang w:eastAsia="en-GB"/>
        </w:rPr>
        <w:t xml:space="preserve"> of </w:t>
      </w:r>
      <w:r w:rsidR="000B66E1" w:rsidRPr="004C70EC">
        <w:rPr>
          <w:rFonts w:eastAsia="Times New Roman"/>
          <w:noProof/>
          <w:color w:val="000000" w:themeColor="text1"/>
          <w:lang w:eastAsia="en-GB"/>
        </w:rPr>
        <w:t>the European Food Safety Authority for</w:t>
      </w:r>
      <w:r w:rsidR="007C32E8" w:rsidRPr="004C70EC">
        <w:rPr>
          <w:rFonts w:eastAsia="Times New Roman"/>
          <w:noProof/>
          <w:color w:val="000000" w:themeColor="text1"/>
          <w:lang w:eastAsia="en-GB"/>
        </w:rPr>
        <w:t xml:space="preserve"> </w:t>
      </w:r>
      <w:r w:rsidR="00F55127" w:rsidRPr="004C70EC">
        <w:rPr>
          <w:rFonts w:eastAsia="Times New Roman"/>
          <w:noProof/>
          <w:color w:val="000000" w:themeColor="text1"/>
          <w:lang w:eastAsia="en-GB"/>
        </w:rPr>
        <w:t>asp</w:t>
      </w:r>
      <w:r w:rsidR="0065113E" w:rsidRPr="004C70EC">
        <w:rPr>
          <w:rFonts w:eastAsia="Times New Roman"/>
          <w:noProof/>
          <w:color w:val="000000" w:themeColor="text1"/>
          <w:lang w:eastAsia="en-GB"/>
        </w:rPr>
        <w:t xml:space="preserve">ects such as </w:t>
      </w:r>
      <w:r w:rsidR="007C32E8" w:rsidRPr="004C70EC">
        <w:rPr>
          <w:rFonts w:eastAsia="Times New Roman"/>
          <w:noProof/>
          <w:color w:val="000000" w:themeColor="text1"/>
          <w:lang w:eastAsia="en-GB"/>
        </w:rPr>
        <w:t xml:space="preserve">study design is paramount, </w:t>
      </w:r>
      <w:r w:rsidR="00445548" w:rsidRPr="004C70EC">
        <w:rPr>
          <w:rFonts w:eastAsia="Times New Roman"/>
          <w:noProof/>
          <w:color w:val="000000" w:themeColor="text1"/>
          <w:lang w:eastAsia="en-GB"/>
        </w:rPr>
        <w:t xml:space="preserve">as well as </w:t>
      </w:r>
      <w:r w:rsidR="0031759E" w:rsidRPr="004C70EC">
        <w:rPr>
          <w:rFonts w:eastAsia="Times New Roman"/>
          <w:noProof/>
          <w:color w:val="000000" w:themeColor="text1"/>
          <w:lang w:eastAsia="en-GB"/>
        </w:rPr>
        <w:t>accelerated procedures</w:t>
      </w:r>
      <w:r w:rsidR="001B6992" w:rsidRPr="004C70EC">
        <w:rPr>
          <w:rFonts w:eastAsia="Times New Roman"/>
          <w:noProof/>
          <w:color w:val="000000" w:themeColor="text1"/>
          <w:lang w:eastAsia="en-GB"/>
        </w:rPr>
        <w:t xml:space="preserve"> </w:t>
      </w:r>
      <w:r w:rsidR="00A55323" w:rsidRPr="004C70EC">
        <w:rPr>
          <w:rFonts w:eastAsia="Times New Roman"/>
          <w:noProof/>
          <w:color w:val="000000" w:themeColor="text1"/>
          <w:lang w:eastAsia="en-GB"/>
        </w:rPr>
        <w:t xml:space="preserve">are needed for the </w:t>
      </w:r>
      <w:r w:rsidR="00546B5D" w:rsidRPr="004C70EC">
        <w:rPr>
          <w:rFonts w:eastAsia="Times New Roman"/>
          <w:noProof/>
          <w:color w:val="000000" w:themeColor="text1"/>
          <w:lang w:eastAsia="en-GB"/>
        </w:rPr>
        <w:t xml:space="preserve">effectiveness of </w:t>
      </w:r>
      <w:r w:rsidR="00A55323" w:rsidRPr="004C70EC">
        <w:rPr>
          <w:rFonts w:eastAsia="Times New Roman"/>
          <w:noProof/>
          <w:color w:val="000000" w:themeColor="text1"/>
          <w:lang w:eastAsia="en-GB"/>
        </w:rPr>
        <w:t>the</w:t>
      </w:r>
      <w:r w:rsidR="001B6992" w:rsidRPr="004C70EC">
        <w:rPr>
          <w:rFonts w:eastAsia="Times New Roman"/>
          <w:noProof/>
          <w:color w:val="000000" w:themeColor="text1"/>
          <w:lang w:eastAsia="en-GB"/>
        </w:rPr>
        <w:t xml:space="preserve"> substantive facilitation measures put forward in this proposal</w:t>
      </w:r>
      <w:r w:rsidR="00546B5D" w:rsidRPr="004C70EC">
        <w:rPr>
          <w:rFonts w:eastAsia="Times New Roman"/>
          <w:noProof/>
          <w:color w:val="000000" w:themeColor="text1"/>
          <w:lang w:eastAsia="en-GB"/>
        </w:rPr>
        <w:t xml:space="preserve">. </w:t>
      </w:r>
    </w:p>
    <w:p w14:paraId="321F1124" w14:textId="77777777" w:rsidR="00E934F2" w:rsidRPr="004C70EC" w:rsidRDefault="35008561" w:rsidP="0058181D">
      <w:pPr>
        <w:spacing w:after="240"/>
        <w:rPr>
          <w:rFonts w:eastAsia="Times New Roman"/>
          <w:noProof/>
          <w:color w:val="000000" w:themeColor="text1"/>
          <w:szCs w:val="24"/>
        </w:rPr>
      </w:pPr>
      <w:r w:rsidRPr="004C70EC">
        <w:rPr>
          <w:rFonts w:eastAsia="Times New Roman"/>
          <w:noProof/>
          <w:color w:val="000000" w:themeColor="text1"/>
        </w:rPr>
        <w:t xml:space="preserve">In a second stage, following this health-focused initiative, the Commission will address </w:t>
      </w:r>
      <w:r w:rsidR="75DA0DF0" w:rsidRPr="004C70EC">
        <w:rPr>
          <w:rFonts w:eastAsia="Times New Roman"/>
          <w:noProof/>
          <w:color w:val="000000" w:themeColor="text1"/>
        </w:rPr>
        <w:t>in 2026</w:t>
      </w:r>
      <w:r w:rsidRPr="004C70EC">
        <w:rPr>
          <w:rFonts w:eastAsia="Times New Roman"/>
          <w:noProof/>
          <w:color w:val="000000" w:themeColor="text1"/>
        </w:rPr>
        <w:t xml:space="preserve"> the wider biotech ecosystem </w:t>
      </w:r>
      <w:r w:rsidR="1D4A496E" w:rsidRPr="004C70EC">
        <w:rPr>
          <w:rFonts w:eastAsia="Times New Roman"/>
          <w:noProof/>
          <w:color w:val="000000" w:themeColor="text1"/>
        </w:rPr>
        <w:t xml:space="preserve">beyond health </w:t>
      </w:r>
      <w:r w:rsidR="24CB6C9F" w:rsidRPr="004C70EC">
        <w:rPr>
          <w:rFonts w:eastAsia="Times New Roman"/>
          <w:noProof/>
          <w:color w:val="000000" w:themeColor="text1"/>
        </w:rPr>
        <w:t>to ensure</w:t>
      </w:r>
      <w:r w:rsidRPr="004C70EC">
        <w:rPr>
          <w:rFonts w:eastAsia="Times New Roman"/>
          <w:noProof/>
          <w:color w:val="000000" w:themeColor="text1"/>
        </w:rPr>
        <w:t xml:space="preserve"> a competitive internal market for </w:t>
      </w:r>
      <w:r w:rsidR="613E0745" w:rsidRPr="004C70EC">
        <w:rPr>
          <w:rFonts w:eastAsia="Times New Roman"/>
          <w:noProof/>
          <w:color w:val="000000" w:themeColor="text1"/>
        </w:rPr>
        <w:t xml:space="preserve">all areas of </w:t>
      </w:r>
      <w:r w:rsidRPr="004C70EC">
        <w:rPr>
          <w:rFonts w:eastAsia="Times New Roman"/>
          <w:noProof/>
          <w:color w:val="000000" w:themeColor="text1"/>
        </w:rPr>
        <w:t>biotechnology.</w:t>
      </w:r>
    </w:p>
    <w:p w14:paraId="6CE15B21" w14:textId="77777777" w:rsidR="003E3F39" w:rsidRPr="004C70EC" w:rsidRDefault="008E46EA">
      <w:pPr>
        <w:pBdr>
          <w:top w:val="nil"/>
          <w:left w:val="nil"/>
          <w:bottom w:val="nil"/>
          <w:right w:val="nil"/>
          <w:between w:val="nil"/>
        </w:pBdr>
        <w:spacing w:after="240"/>
        <w:jc w:val="center"/>
        <w:rPr>
          <w:rFonts w:eastAsia="Times New Roman"/>
          <w:noProof/>
          <w:color w:val="000000" w:themeColor="text1"/>
          <w:szCs w:val="24"/>
        </w:rPr>
      </w:pPr>
      <w:bookmarkStart w:id="1" w:name="_Hlk214369432"/>
      <w:r w:rsidRPr="004C70EC">
        <w:rPr>
          <w:rFonts w:eastAsia="Times New Roman"/>
          <w:noProof/>
          <w:color w:val="000000" w:themeColor="text1"/>
          <w:szCs w:val="24"/>
          <w:lang w:eastAsia="en-GB"/>
        </w:rPr>
        <w:drawing>
          <wp:inline distT="0" distB="0" distL="0" distR="0" wp14:anchorId="517A649C" wp14:editId="5F729EB2">
            <wp:extent cx="5761355" cy="3243580"/>
            <wp:effectExtent l="0" t="0" r="0" b="0"/>
            <wp:docPr id="1526363942" name="Picture 1"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63942" name="Picture 1" descr="A close-up of a diagram&#10;&#10;AI-generated content may be incorrect."/>
                    <pic:cNvPicPr/>
                  </pic:nvPicPr>
                  <pic:blipFill>
                    <a:blip r:embed="rId13"/>
                    <a:stretch>
                      <a:fillRect/>
                    </a:stretch>
                  </pic:blipFill>
                  <pic:spPr>
                    <a:xfrm>
                      <a:off x="0" y="0"/>
                      <a:ext cx="5761355" cy="3243580"/>
                    </a:xfrm>
                    <a:prstGeom prst="rect">
                      <a:avLst/>
                    </a:prstGeom>
                  </pic:spPr>
                </pic:pic>
              </a:graphicData>
            </a:graphic>
          </wp:inline>
        </w:drawing>
      </w:r>
    </w:p>
    <w:p w14:paraId="1C720504" w14:textId="77777777" w:rsidR="003E3F39" w:rsidRPr="004C70EC" w:rsidRDefault="003E3F39">
      <w:pPr>
        <w:pBdr>
          <w:top w:val="nil"/>
          <w:left w:val="nil"/>
          <w:bottom w:val="nil"/>
          <w:right w:val="nil"/>
          <w:between w:val="nil"/>
        </w:pBdr>
        <w:spacing w:after="240"/>
        <w:jc w:val="center"/>
        <w:rPr>
          <w:rFonts w:eastAsia="Times New Roman"/>
          <w:noProof/>
          <w:color w:val="000000" w:themeColor="text1"/>
          <w:szCs w:val="24"/>
        </w:rPr>
      </w:pPr>
    </w:p>
    <w:p w14:paraId="5D372007" w14:textId="77777777" w:rsidR="00E934F2" w:rsidRPr="004C70EC" w:rsidRDefault="00E934F2">
      <w:pPr>
        <w:pBdr>
          <w:top w:val="nil"/>
          <w:left w:val="nil"/>
          <w:bottom w:val="nil"/>
          <w:right w:val="nil"/>
          <w:between w:val="nil"/>
        </w:pBdr>
        <w:spacing w:after="240"/>
        <w:jc w:val="center"/>
        <w:rPr>
          <w:rFonts w:eastAsia="Times New Roman"/>
          <w:noProof/>
          <w:color w:val="000000" w:themeColor="text1"/>
          <w:szCs w:val="24"/>
        </w:rPr>
      </w:pPr>
      <w:r w:rsidRPr="004C70EC">
        <w:rPr>
          <w:rFonts w:eastAsia="Times New Roman"/>
          <w:noProof/>
          <w:color w:val="000000" w:themeColor="text1"/>
          <w:szCs w:val="24"/>
        </w:rPr>
        <w:t>Figure 3: Biotechnology and biomanufacturing sector in Europe, problem tree</w:t>
      </w:r>
      <w:bookmarkEnd w:id="1"/>
    </w:p>
    <w:p w14:paraId="26D48183" w14:textId="77777777" w:rsidR="005257E7" w:rsidRPr="004C70EC" w:rsidRDefault="00B666ED" w:rsidP="00B666ED">
      <w:pPr>
        <w:pStyle w:val="ManualHeading2"/>
        <w:rPr>
          <w:noProof/>
          <w:color w:val="000000" w:themeColor="text1"/>
        </w:rPr>
      </w:pPr>
      <w:r w:rsidRPr="004C70EC">
        <w:rPr>
          <w:noProof/>
          <w:color w:val="000000" w:themeColor="text1"/>
          <w:bdr w:val="nil"/>
          <w:lang w:val="en-US" w:eastAsia="en-GB"/>
        </w:rPr>
        <w:t>•</w:t>
      </w:r>
      <w:r w:rsidRPr="004C70EC">
        <w:rPr>
          <w:rFonts w:eastAsia="Arial Unicode MS"/>
          <w:noProof/>
          <w:color w:val="000000" w:themeColor="text1"/>
          <w:u w:color="000000"/>
          <w:bdr w:val="nil"/>
          <w:lang w:val="en-US" w:eastAsia="en-GB"/>
        </w:rPr>
        <w:tab/>
      </w:r>
      <w:r w:rsidR="32A1760B" w:rsidRPr="004C70EC">
        <w:rPr>
          <w:noProof/>
          <w:color w:val="000000" w:themeColor="text1"/>
          <w:bdr w:val="nil"/>
          <w:lang w:val="en-US" w:eastAsia="en-GB"/>
        </w:rPr>
        <w:t>Consistency with existing provisions in the policy area</w:t>
      </w:r>
    </w:p>
    <w:p w14:paraId="417957AE" w14:textId="77777777" w:rsidR="005257E7" w:rsidRPr="004C70EC" w:rsidDel="00760B51" w:rsidRDefault="32A1760B" w:rsidP="00104B5E">
      <w:pPr>
        <w:pBdr>
          <w:top w:val="nil"/>
          <w:left w:val="nil"/>
          <w:bottom w:val="nil"/>
          <w:right w:val="nil"/>
          <w:between w:val="nil"/>
          <w:bar w:val="nil"/>
        </w:pBdr>
        <w:spacing w:after="240"/>
        <w:rPr>
          <w:rFonts w:eastAsia="Times New Roman"/>
          <w:noProof/>
          <w:color w:val="000000" w:themeColor="text1"/>
          <w:lang w:val="en-US" w:eastAsia="en-GB"/>
        </w:rPr>
      </w:pPr>
      <w:r w:rsidRPr="004C70EC">
        <w:rPr>
          <w:rFonts w:eastAsia="Times New Roman"/>
          <w:noProof/>
          <w:color w:val="000000" w:themeColor="text1"/>
          <w:lang w:val="en-US" w:eastAsia="en-GB"/>
        </w:rPr>
        <w:t>T</w:t>
      </w:r>
      <w:r w:rsidRPr="004C70EC">
        <w:rPr>
          <w:rFonts w:eastAsiaTheme="minorEastAsia"/>
          <w:noProof/>
          <w:color w:val="000000" w:themeColor="text1"/>
          <w:lang w:val="en-US"/>
        </w:rPr>
        <w:t>he European Biotech</w:t>
      </w:r>
      <w:r w:rsidR="67CBBD3B" w:rsidRPr="004C70EC">
        <w:rPr>
          <w:rFonts w:eastAsiaTheme="minorEastAsia"/>
          <w:noProof/>
          <w:color w:val="000000" w:themeColor="text1"/>
          <w:lang w:val="en-US"/>
        </w:rPr>
        <w:t xml:space="preserve"> </w:t>
      </w:r>
      <w:r w:rsidRPr="004C70EC">
        <w:rPr>
          <w:rFonts w:eastAsiaTheme="minorEastAsia"/>
          <w:noProof/>
          <w:color w:val="000000" w:themeColor="text1"/>
          <w:lang w:val="en-US"/>
        </w:rPr>
        <w:t>Act will seek to streamline the relevant EU legislative frameworks to create an enabling environment for innovation and development</w:t>
      </w:r>
      <w:r w:rsidR="5B64B5C4" w:rsidRPr="004C70EC">
        <w:rPr>
          <w:rFonts w:eastAsiaTheme="minorEastAsia"/>
          <w:noProof/>
          <w:color w:val="000000" w:themeColor="text1"/>
          <w:lang w:val="en-US"/>
        </w:rPr>
        <w:t xml:space="preserve"> </w:t>
      </w:r>
      <w:r w:rsidR="3DB43F4A" w:rsidRPr="004C70EC">
        <w:rPr>
          <w:rFonts w:eastAsiaTheme="minorEastAsia"/>
          <w:noProof/>
          <w:color w:val="000000" w:themeColor="text1"/>
          <w:lang w:val="en-US"/>
        </w:rPr>
        <w:t>in order to accelerate time to market</w:t>
      </w:r>
      <w:r w:rsidRPr="004C70EC">
        <w:rPr>
          <w:rFonts w:eastAsiaTheme="minorEastAsia"/>
          <w:noProof/>
          <w:color w:val="000000" w:themeColor="text1"/>
          <w:lang w:val="en-US"/>
        </w:rPr>
        <w:t xml:space="preserve">. With its primary focus on health, the present proposal will amend the </w:t>
      </w:r>
      <w:r w:rsidRPr="004C70EC">
        <w:rPr>
          <w:rFonts w:eastAsiaTheme="minorEastAsia"/>
          <w:b/>
          <w:noProof/>
          <w:color w:val="000000" w:themeColor="text1"/>
          <w:lang w:val="en-US"/>
        </w:rPr>
        <w:t>Regulation on clinical trials (CTR)</w:t>
      </w:r>
      <w:r w:rsidR="005257E7" w:rsidRPr="004C70EC">
        <w:rPr>
          <w:rStyle w:val="FootnoteReference"/>
          <w:rFonts w:eastAsia="Times New Roman"/>
          <w:noProof/>
          <w:color w:val="000000" w:themeColor="text1"/>
          <w:lang w:eastAsia="en-GB"/>
        </w:rPr>
        <w:footnoteReference w:id="15"/>
      </w:r>
      <w:r w:rsidRPr="004C70EC">
        <w:rPr>
          <w:rFonts w:eastAsiaTheme="minorEastAsia"/>
          <w:noProof/>
          <w:color w:val="000000" w:themeColor="text1"/>
          <w:lang w:val="en-US"/>
        </w:rPr>
        <w:t xml:space="preserve">, the </w:t>
      </w:r>
      <w:r w:rsidRPr="004C70EC">
        <w:rPr>
          <w:rFonts w:eastAsiaTheme="minorEastAsia"/>
          <w:b/>
          <w:noProof/>
          <w:color w:val="000000" w:themeColor="text1"/>
          <w:lang w:val="en-US"/>
        </w:rPr>
        <w:t>Regulation on advanced therapy medicinal products (ATMPs)</w:t>
      </w:r>
      <w:r w:rsidR="005257E7" w:rsidRPr="004C70EC">
        <w:rPr>
          <w:rStyle w:val="FootnoteReference"/>
          <w:rFonts w:eastAsia="Times New Roman"/>
          <w:noProof/>
          <w:color w:val="000000" w:themeColor="text1"/>
          <w:lang w:eastAsia="en-GB"/>
        </w:rPr>
        <w:footnoteReference w:id="16"/>
      </w:r>
      <w:r w:rsidR="001011E3" w:rsidRPr="004C70EC">
        <w:rPr>
          <w:rFonts w:eastAsia="Times New Roman"/>
          <w:noProof/>
          <w:color w:val="000000" w:themeColor="text1"/>
          <w:lang w:val="en-IE" w:eastAsia="en-GB"/>
        </w:rPr>
        <w:t>,</w:t>
      </w:r>
      <w:r w:rsidRPr="004C70EC">
        <w:rPr>
          <w:rFonts w:eastAsiaTheme="minorEastAsia"/>
          <w:noProof/>
          <w:color w:val="000000" w:themeColor="text1"/>
          <w:lang w:val="en-US"/>
        </w:rPr>
        <w:t xml:space="preserve"> the </w:t>
      </w:r>
      <w:r w:rsidRPr="004C70EC">
        <w:rPr>
          <w:rFonts w:eastAsiaTheme="minorEastAsia"/>
          <w:b/>
          <w:noProof/>
          <w:color w:val="000000" w:themeColor="text1"/>
          <w:lang w:val="en-US"/>
        </w:rPr>
        <w:t>Regulation on standards of quality and safety for substances of human origin intended for human application (S</w:t>
      </w:r>
      <w:r w:rsidR="00317FF9" w:rsidRPr="004C70EC">
        <w:rPr>
          <w:rFonts w:eastAsiaTheme="minorEastAsia"/>
          <w:b/>
          <w:noProof/>
          <w:color w:val="000000" w:themeColor="text1"/>
          <w:lang w:val="en-US"/>
        </w:rPr>
        <w:t>o</w:t>
      </w:r>
      <w:r w:rsidRPr="004C70EC">
        <w:rPr>
          <w:rFonts w:eastAsiaTheme="minorEastAsia"/>
          <w:b/>
          <w:noProof/>
          <w:color w:val="000000" w:themeColor="text1"/>
          <w:lang w:val="en-US"/>
        </w:rPr>
        <w:t>HO)</w:t>
      </w:r>
      <w:r w:rsidR="005257E7" w:rsidRPr="004C70EC">
        <w:rPr>
          <w:rStyle w:val="FootnoteReference"/>
          <w:rFonts w:eastAsia="Times New Roman"/>
          <w:noProof/>
          <w:color w:val="000000" w:themeColor="text1"/>
          <w:lang w:eastAsia="en-GB"/>
        </w:rPr>
        <w:footnoteReference w:id="17"/>
      </w:r>
      <w:r w:rsidR="00B66CBF" w:rsidRPr="004C70EC">
        <w:rPr>
          <w:rFonts w:eastAsia="Times New Roman"/>
          <w:noProof/>
          <w:color w:val="000000" w:themeColor="text1"/>
          <w:lang w:val="en-IE" w:eastAsia="en-GB"/>
        </w:rPr>
        <w:t xml:space="preserve"> and</w:t>
      </w:r>
      <w:r w:rsidRPr="004C70EC">
        <w:rPr>
          <w:rFonts w:eastAsiaTheme="minorEastAsia"/>
          <w:noProof/>
          <w:color w:val="000000" w:themeColor="text1"/>
          <w:lang w:val="en-US"/>
        </w:rPr>
        <w:t xml:space="preserve"> the </w:t>
      </w:r>
      <w:r w:rsidRPr="004C70EC">
        <w:rPr>
          <w:rFonts w:eastAsiaTheme="minorEastAsia"/>
          <w:b/>
          <w:noProof/>
          <w:color w:val="000000" w:themeColor="text1"/>
          <w:lang w:val="en-US"/>
        </w:rPr>
        <w:t>Regulation on veterinary medicinal products (VMPs)</w:t>
      </w:r>
      <w:r w:rsidR="00F33B72" w:rsidRPr="004C70EC">
        <w:rPr>
          <w:rFonts w:eastAsia="Times New Roman"/>
          <w:b/>
          <w:noProof/>
          <w:color w:val="000000" w:themeColor="text1"/>
          <w:lang w:val="en-IE" w:eastAsia="en-GB"/>
        </w:rPr>
        <w:t> </w:t>
      </w:r>
      <w:r w:rsidR="005257E7" w:rsidRPr="004C70EC">
        <w:rPr>
          <w:rStyle w:val="FootnoteReference"/>
          <w:rFonts w:eastAsia="Times New Roman"/>
          <w:noProof/>
          <w:color w:val="000000" w:themeColor="text1"/>
          <w:lang w:eastAsia="en-GB"/>
        </w:rPr>
        <w:footnoteReference w:id="18"/>
      </w:r>
      <w:r w:rsidR="00F33B72" w:rsidRPr="004C70EC">
        <w:rPr>
          <w:rFonts w:eastAsiaTheme="minorEastAsia"/>
          <w:noProof/>
          <w:color w:val="000000" w:themeColor="text1"/>
        </w:rPr>
        <w:t>.</w:t>
      </w:r>
      <w:r w:rsidRPr="004C70EC">
        <w:rPr>
          <w:rStyle w:val="FootnoteReference"/>
          <w:rFonts w:eastAsia="Times New Roman"/>
          <w:noProof/>
          <w:color w:val="000000" w:themeColor="text1"/>
          <w:lang w:eastAsia="en-GB"/>
        </w:rPr>
        <w:t xml:space="preserve"> </w:t>
      </w:r>
      <w:r w:rsidRPr="004C70EC">
        <w:rPr>
          <w:rFonts w:eastAsiaTheme="minorEastAsia"/>
          <w:noProof/>
          <w:color w:val="000000" w:themeColor="text1"/>
          <w:lang w:val="en-US"/>
        </w:rPr>
        <w:t xml:space="preserve">In the field of food safety, the proposed measures </w:t>
      </w:r>
      <w:r w:rsidR="13F41AB0" w:rsidRPr="004C70EC">
        <w:rPr>
          <w:rFonts w:eastAsiaTheme="minorEastAsia"/>
          <w:noProof/>
          <w:color w:val="000000" w:themeColor="text1"/>
          <w:lang w:val="en-US"/>
        </w:rPr>
        <w:t>are built</w:t>
      </w:r>
      <w:r w:rsidRPr="004C70EC">
        <w:rPr>
          <w:rFonts w:eastAsiaTheme="minorEastAsia"/>
          <w:noProof/>
          <w:color w:val="000000" w:themeColor="text1"/>
          <w:lang w:val="en-US"/>
        </w:rPr>
        <w:t xml:space="preserve"> on the </w:t>
      </w:r>
      <w:r w:rsidRPr="004C70EC">
        <w:rPr>
          <w:rFonts w:eastAsiaTheme="minorEastAsia"/>
          <w:b/>
          <w:noProof/>
          <w:color w:val="000000" w:themeColor="text1"/>
          <w:lang w:val="en-US"/>
        </w:rPr>
        <w:t>General Food Law</w:t>
      </w:r>
      <w:r w:rsidR="005257E7" w:rsidRPr="004C70EC">
        <w:rPr>
          <w:rStyle w:val="FootnoteReference"/>
          <w:noProof/>
          <w:color w:val="000000" w:themeColor="text1"/>
        </w:rPr>
        <w:footnoteReference w:id="19"/>
      </w:r>
      <w:r w:rsidR="00F33B72" w:rsidRPr="004C70EC">
        <w:rPr>
          <w:rFonts w:eastAsiaTheme="minorEastAsia"/>
          <w:noProof/>
          <w:color w:val="000000" w:themeColor="text1"/>
          <w:lang w:val="en-US"/>
        </w:rPr>
        <w:t>.</w:t>
      </w:r>
      <w:r w:rsidRPr="004C70EC">
        <w:rPr>
          <w:rFonts w:eastAsiaTheme="minorEastAsia"/>
          <w:noProof/>
          <w:color w:val="000000" w:themeColor="text1"/>
          <w:lang w:val="en-US"/>
        </w:rPr>
        <w:t xml:space="preserve"> </w:t>
      </w:r>
      <w:r w:rsidR="72C36DC1" w:rsidRPr="004C70EC">
        <w:rPr>
          <w:rFonts w:eastAsiaTheme="minorEastAsia"/>
          <w:noProof/>
          <w:color w:val="000000" w:themeColor="text1"/>
        </w:rPr>
        <w:t>The proposal</w:t>
      </w:r>
      <w:r w:rsidRPr="004C70EC">
        <w:rPr>
          <w:rFonts w:eastAsiaTheme="minorEastAsia"/>
          <w:noProof/>
          <w:color w:val="000000" w:themeColor="text1"/>
        </w:rPr>
        <w:t xml:space="preserve"> will</w:t>
      </w:r>
      <w:r w:rsidR="176A4D22" w:rsidRPr="004C70EC">
        <w:rPr>
          <w:rFonts w:eastAsiaTheme="minorEastAsia"/>
          <w:noProof/>
          <w:color w:val="000000" w:themeColor="text1"/>
        </w:rPr>
        <w:t xml:space="preserve"> also</w:t>
      </w:r>
      <w:r w:rsidRPr="004C70EC">
        <w:rPr>
          <w:rFonts w:eastAsiaTheme="minorEastAsia"/>
          <w:noProof/>
          <w:color w:val="000000" w:themeColor="text1"/>
        </w:rPr>
        <w:t xml:space="preserve"> amend the </w:t>
      </w:r>
      <w:r w:rsidRPr="004C70EC">
        <w:rPr>
          <w:rFonts w:eastAsiaTheme="minorEastAsia"/>
          <w:b/>
          <w:noProof/>
          <w:color w:val="000000" w:themeColor="text1"/>
        </w:rPr>
        <w:t xml:space="preserve">legislation on the </w:t>
      </w:r>
      <w:r w:rsidR="22ECFCF9" w:rsidRPr="004C70EC">
        <w:rPr>
          <w:rFonts w:eastAsiaTheme="minorEastAsia"/>
          <w:b/>
          <w:noProof/>
          <w:color w:val="000000" w:themeColor="text1"/>
        </w:rPr>
        <w:t xml:space="preserve">deliberate </w:t>
      </w:r>
      <w:r w:rsidRPr="004C70EC">
        <w:rPr>
          <w:rFonts w:eastAsiaTheme="minorEastAsia"/>
          <w:b/>
          <w:noProof/>
          <w:color w:val="000000" w:themeColor="text1"/>
        </w:rPr>
        <w:t>release of genetically modified organisms (GMO)</w:t>
      </w:r>
      <w:r w:rsidR="005257E7" w:rsidRPr="004C70EC">
        <w:rPr>
          <w:rStyle w:val="FootnoteReference"/>
          <w:rFonts w:eastAsia="Times New Roman"/>
          <w:noProof/>
          <w:color w:val="000000" w:themeColor="text1"/>
          <w:lang w:eastAsia="en-GB"/>
        </w:rPr>
        <w:footnoteReference w:id="20"/>
      </w:r>
      <w:r w:rsidRPr="004C70EC">
        <w:rPr>
          <w:rFonts w:eastAsia="Times New Roman"/>
          <w:noProof/>
          <w:color w:val="000000" w:themeColor="text1"/>
          <w:lang w:val="en-US" w:eastAsia="en-GB"/>
        </w:rPr>
        <w:t>.</w:t>
      </w:r>
    </w:p>
    <w:p w14:paraId="672586ED" w14:textId="77777777" w:rsidR="005257E7" w:rsidRPr="004C70EC" w:rsidRDefault="32A1760B" w:rsidP="00104B5E">
      <w:pPr>
        <w:pBdr>
          <w:top w:val="nil"/>
          <w:left w:val="nil"/>
          <w:bottom w:val="nil"/>
          <w:right w:val="nil"/>
          <w:between w:val="nil"/>
          <w:bar w:val="nil"/>
        </w:pBdr>
        <w:spacing w:after="240"/>
        <w:rPr>
          <w:rFonts w:eastAsia="Times New Roman"/>
          <w:b/>
          <w:noProof/>
          <w:color w:val="000000" w:themeColor="text1"/>
          <w:lang w:val="en-US" w:eastAsia="en-GB"/>
        </w:rPr>
      </w:pPr>
      <w:r w:rsidRPr="004C70EC">
        <w:rPr>
          <w:rFonts w:eastAsia="Times New Roman"/>
          <w:noProof/>
          <w:color w:val="000000" w:themeColor="text1"/>
          <w:lang w:val="en-US" w:eastAsia="en-GB"/>
        </w:rPr>
        <w:t xml:space="preserve">The proposal also considers other existing legislation that is being revised to ensure </w:t>
      </w:r>
      <w:r w:rsidR="00B10CA8" w:rsidRPr="004C70EC">
        <w:rPr>
          <w:rFonts w:eastAsia="Times New Roman"/>
          <w:noProof/>
          <w:color w:val="000000" w:themeColor="text1"/>
          <w:lang w:val="en-US" w:eastAsia="en-GB"/>
        </w:rPr>
        <w:t xml:space="preserve">the </w:t>
      </w:r>
      <w:r w:rsidRPr="004C70EC">
        <w:rPr>
          <w:rFonts w:eastAsia="Times New Roman"/>
          <w:noProof/>
          <w:color w:val="000000" w:themeColor="text1"/>
          <w:lang w:val="en-US" w:eastAsia="en-GB"/>
        </w:rPr>
        <w:t xml:space="preserve">coherence of the overall EU regulatory system, in particular the </w:t>
      </w:r>
      <w:r w:rsidRPr="004C70EC">
        <w:rPr>
          <w:rFonts w:eastAsia="Times New Roman"/>
          <w:b/>
          <w:noProof/>
          <w:color w:val="000000" w:themeColor="text1"/>
          <w:lang w:val="en-US" w:eastAsia="en-GB"/>
        </w:rPr>
        <w:t xml:space="preserve">Regulation on </w:t>
      </w:r>
      <w:r w:rsidR="002C0656" w:rsidRPr="004C70EC">
        <w:rPr>
          <w:rFonts w:eastAsia="Times New Roman"/>
          <w:b/>
          <w:noProof/>
          <w:color w:val="000000" w:themeColor="text1"/>
          <w:lang w:val="en-US" w:eastAsia="en-GB"/>
        </w:rPr>
        <w:t>m</w:t>
      </w:r>
      <w:r w:rsidRPr="004C70EC">
        <w:rPr>
          <w:rFonts w:eastAsia="Times New Roman"/>
          <w:b/>
          <w:noProof/>
          <w:color w:val="000000" w:themeColor="text1"/>
          <w:lang w:val="en-US" w:eastAsia="en-GB"/>
        </w:rPr>
        <w:t xml:space="preserve">edical </w:t>
      </w:r>
      <w:r w:rsidR="002C0656" w:rsidRPr="004C70EC">
        <w:rPr>
          <w:rFonts w:eastAsia="Times New Roman"/>
          <w:b/>
          <w:noProof/>
          <w:color w:val="000000" w:themeColor="text1"/>
          <w:lang w:val="en-US" w:eastAsia="en-GB"/>
        </w:rPr>
        <w:t>d</w:t>
      </w:r>
      <w:r w:rsidRPr="004C70EC">
        <w:rPr>
          <w:rFonts w:eastAsia="Times New Roman"/>
          <w:b/>
          <w:noProof/>
          <w:color w:val="000000" w:themeColor="text1"/>
          <w:lang w:val="en-US" w:eastAsia="en-GB"/>
        </w:rPr>
        <w:t>evices (MDR)</w:t>
      </w:r>
      <w:r w:rsidRPr="004C70EC">
        <w:rPr>
          <w:rFonts w:eastAsia="Times New Roman"/>
          <w:noProof/>
          <w:color w:val="000000" w:themeColor="text1"/>
          <w:lang w:val="en-US" w:eastAsia="en-GB"/>
        </w:rPr>
        <w:t xml:space="preserve"> and </w:t>
      </w:r>
      <w:r w:rsidR="00BE0AB6" w:rsidRPr="004C70EC">
        <w:rPr>
          <w:rFonts w:eastAsia="Times New Roman"/>
          <w:noProof/>
          <w:color w:val="000000" w:themeColor="text1"/>
          <w:lang w:val="en-US" w:eastAsia="en-GB"/>
        </w:rPr>
        <w:t xml:space="preserve">the </w:t>
      </w:r>
      <w:r w:rsidR="00BE0AB6" w:rsidRPr="004C70EC">
        <w:rPr>
          <w:rFonts w:eastAsia="Times New Roman"/>
          <w:b/>
          <w:noProof/>
          <w:color w:val="000000" w:themeColor="text1"/>
          <w:lang w:val="en-US" w:eastAsia="en-GB"/>
        </w:rPr>
        <w:t>Regulation on i</w:t>
      </w:r>
      <w:r w:rsidRPr="004C70EC">
        <w:rPr>
          <w:rFonts w:eastAsia="Times New Roman"/>
          <w:b/>
          <w:i/>
          <w:noProof/>
          <w:color w:val="000000" w:themeColor="text1"/>
          <w:lang w:val="en-US" w:eastAsia="en-GB"/>
        </w:rPr>
        <w:t xml:space="preserve">n </w:t>
      </w:r>
      <w:r w:rsidR="00BE0AB6" w:rsidRPr="004C70EC">
        <w:rPr>
          <w:rFonts w:eastAsia="Times New Roman"/>
          <w:b/>
          <w:i/>
          <w:noProof/>
          <w:color w:val="000000" w:themeColor="text1"/>
          <w:lang w:val="en-US" w:eastAsia="en-GB"/>
        </w:rPr>
        <w:t>v</w:t>
      </w:r>
      <w:r w:rsidRPr="004C70EC">
        <w:rPr>
          <w:rFonts w:eastAsia="Times New Roman"/>
          <w:b/>
          <w:i/>
          <w:noProof/>
          <w:color w:val="000000" w:themeColor="text1"/>
          <w:lang w:val="en-US" w:eastAsia="en-GB"/>
        </w:rPr>
        <w:t>itro</w:t>
      </w:r>
      <w:r w:rsidRPr="004C70EC">
        <w:rPr>
          <w:rFonts w:eastAsia="Times New Roman"/>
          <w:b/>
          <w:noProof/>
          <w:color w:val="000000" w:themeColor="text1"/>
          <w:lang w:val="en-US" w:eastAsia="en-GB"/>
        </w:rPr>
        <w:t xml:space="preserve"> </w:t>
      </w:r>
      <w:r w:rsidR="00BE0AB6" w:rsidRPr="004C70EC">
        <w:rPr>
          <w:rFonts w:eastAsia="Times New Roman"/>
          <w:b/>
          <w:noProof/>
          <w:color w:val="000000" w:themeColor="text1"/>
          <w:lang w:val="en-US" w:eastAsia="en-GB"/>
        </w:rPr>
        <w:t>d</w:t>
      </w:r>
      <w:r w:rsidRPr="004C70EC">
        <w:rPr>
          <w:rFonts w:eastAsia="Times New Roman"/>
          <w:b/>
          <w:noProof/>
          <w:color w:val="000000" w:themeColor="text1"/>
          <w:lang w:val="en-US" w:eastAsia="en-GB"/>
        </w:rPr>
        <w:t xml:space="preserve">iagnostic </w:t>
      </w:r>
      <w:r w:rsidR="00BE0AB6" w:rsidRPr="004C70EC">
        <w:rPr>
          <w:rFonts w:eastAsia="Times New Roman"/>
          <w:b/>
          <w:noProof/>
          <w:color w:val="000000" w:themeColor="text1"/>
          <w:lang w:val="en-US" w:eastAsia="en-GB"/>
        </w:rPr>
        <w:t>m</w:t>
      </w:r>
      <w:r w:rsidRPr="004C70EC">
        <w:rPr>
          <w:rFonts w:eastAsia="Times New Roman"/>
          <w:b/>
          <w:noProof/>
          <w:color w:val="000000" w:themeColor="text1"/>
          <w:lang w:val="en-US" w:eastAsia="en-GB"/>
        </w:rPr>
        <w:t xml:space="preserve">edical </w:t>
      </w:r>
      <w:r w:rsidR="00BE0AB6" w:rsidRPr="004C70EC">
        <w:rPr>
          <w:rFonts w:eastAsia="Times New Roman"/>
          <w:b/>
          <w:noProof/>
          <w:color w:val="000000" w:themeColor="text1"/>
          <w:lang w:val="en-US" w:eastAsia="en-GB"/>
        </w:rPr>
        <w:t>d</w:t>
      </w:r>
      <w:r w:rsidRPr="004C70EC">
        <w:rPr>
          <w:rFonts w:eastAsia="Times New Roman"/>
          <w:b/>
          <w:noProof/>
          <w:color w:val="000000" w:themeColor="text1"/>
          <w:lang w:val="en-US" w:eastAsia="en-GB"/>
        </w:rPr>
        <w:t>evices (IVDR)</w:t>
      </w:r>
      <w:r w:rsidR="006F2744" w:rsidRPr="004C70EC">
        <w:rPr>
          <w:rFonts w:eastAsia="Times New Roman"/>
          <w:noProof/>
          <w:color w:val="000000" w:themeColor="text1"/>
          <w:lang w:val="en-IE" w:eastAsia="en-GB"/>
        </w:rPr>
        <w:t> </w:t>
      </w:r>
      <w:r w:rsidR="005257E7" w:rsidRPr="004C70EC">
        <w:rPr>
          <w:rStyle w:val="FootnoteReference"/>
          <w:rFonts w:eastAsia="Times New Roman"/>
          <w:noProof/>
          <w:color w:val="000000" w:themeColor="text1"/>
          <w:lang w:val="en-US" w:eastAsia="en-GB"/>
        </w:rPr>
        <w:footnoteReference w:id="21"/>
      </w:r>
      <w:r w:rsidR="00BE0AB6"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 xml:space="preserve"> as well as the </w:t>
      </w:r>
      <w:r w:rsidRPr="004C70EC">
        <w:rPr>
          <w:rFonts w:eastAsia="Times New Roman"/>
          <w:b/>
          <w:noProof/>
          <w:color w:val="000000" w:themeColor="text1"/>
          <w:lang w:val="en-US" w:eastAsia="en-GB"/>
        </w:rPr>
        <w:t xml:space="preserve">proposed simplification measures in food </w:t>
      </w:r>
      <w:r w:rsidR="3F158389" w:rsidRPr="004C70EC">
        <w:rPr>
          <w:rFonts w:eastAsia="Times New Roman"/>
          <w:b/>
          <w:noProof/>
          <w:color w:val="000000" w:themeColor="text1"/>
          <w:lang w:val="en-US" w:eastAsia="en-GB"/>
        </w:rPr>
        <w:t xml:space="preserve">and feed </w:t>
      </w:r>
      <w:r w:rsidRPr="004C70EC">
        <w:rPr>
          <w:rFonts w:eastAsia="Times New Roman"/>
          <w:b/>
          <w:noProof/>
          <w:color w:val="000000" w:themeColor="text1"/>
          <w:lang w:val="en-US" w:eastAsia="en-GB"/>
        </w:rPr>
        <w:t>safety legislation (</w:t>
      </w:r>
      <w:r w:rsidRPr="004C70EC">
        <w:rPr>
          <w:rFonts w:eastAsia="Times New Roman"/>
          <w:b/>
          <w:i/>
          <w:noProof/>
          <w:color w:val="000000" w:themeColor="text1"/>
          <w:lang w:val="en-US" w:eastAsia="en-GB"/>
        </w:rPr>
        <w:t xml:space="preserve">food and feed </w:t>
      </w:r>
      <w:r w:rsidR="5B7C4BBC" w:rsidRPr="004C70EC">
        <w:rPr>
          <w:rFonts w:eastAsia="Times New Roman"/>
          <w:b/>
          <w:i/>
          <w:noProof/>
          <w:color w:val="000000" w:themeColor="text1"/>
          <w:lang w:val="en-US" w:eastAsia="en-GB"/>
        </w:rPr>
        <w:t xml:space="preserve">simplification </w:t>
      </w:r>
      <w:r w:rsidR="71C591C2" w:rsidRPr="004C70EC">
        <w:rPr>
          <w:rFonts w:eastAsia="Times New Roman"/>
          <w:b/>
          <w:i/>
          <w:noProof/>
          <w:color w:val="000000" w:themeColor="text1"/>
          <w:lang w:val="en-US" w:eastAsia="en-GB"/>
        </w:rPr>
        <w:t>package</w:t>
      </w:r>
      <w:r w:rsidRPr="004C70EC">
        <w:rPr>
          <w:rFonts w:eastAsia="Times New Roman"/>
          <w:b/>
          <w:noProof/>
          <w:color w:val="000000" w:themeColor="text1"/>
          <w:lang w:val="en-US" w:eastAsia="en-GB"/>
        </w:rPr>
        <w:t>).</w:t>
      </w:r>
    </w:p>
    <w:p w14:paraId="25B60E56" w14:textId="77777777" w:rsidR="00E934F2" w:rsidRPr="004C70EC" w:rsidRDefault="00321D14" w:rsidP="00104B5E">
      <w:pPr>
        <w:pBdr>
          <w:top w:val="nil"/>
          <w:left w:val="nil"/>
          <w:bottom w:val="nil"/>
          <w:right w:val="nil"/>
          <w:between w:val="nil"/>
          <w:bar w:val="nil"/>
        </w:pBdr>
        <w:spacing w:after="240"/>
        <w:rPr>
          <w:rFonts w:eastAsia="Times New Roman"/>
          <w:noProof/>
          <w:color w:val="000000" w:themeColor="text1"/>
          <w:lang w:val="en-US" w:eastAsia="en-GB"/>
        </w:rPr>
      </w:pPr>
      <w:r w:rsidRPr="004C70EC">
        <w:rPr>
          <w:rFonts w:eastAsia="Times New Roman"/>
          <w:noProof/>
          <w:color w:val="000000" w:themeColor="text1"/>
          <w:lang w:eastAsia="en-GB"/>
        </w:rPr>
        <w:t>T</w:t>
      </w:r>
      <w:r w:rsidR="00E934F2" w:rsidRPr="004C70EC">
        <w:rPr>
          <w:rFonts w:eastAsia="Times New Roman"/>
          <w:noProof/>
          <w:color w:val="000000" w:themeColor="text1"/>
          <w:lang w:eastAsia="en-GB"/>
        </w:rPr>
        <w:t xml:space="preserve">he Biotech Act will </w:t>
      </w:r>
      <w:r w:rsidRPr="004C70EC">
        <w:rPr>
          <w:rFonts w:eastAsia="Times New Roman"/>
          <w:noProof/>
          <w:color w:val="000000" w:themeColor="text1"/>
          <w:lang w:eastAsia="en-GB"/>
        </w:rPr>
        <w:t xml:space="preserve">also </w:t>
      </w:r>
      <w:r w:rsidR="00E934F2" w:rsidRPr="004C70EC">
        <w:rPr>
          <w:rFonts w:eastAsia="Times New Roman"/>
          <w:noProof/>
          <w:color w:val="000000" w:themeColor="text1"/>
          <w:lang w:eastAsia="en-GB"/>
        </w:rPr>
        <w:t xml:space="preserve">exploit synergies with other EU legislation. It will complement the </w:t>
      </w:r>
      <w:r w:rsidR="00E934F2" w:rsidRPr="004C70EC">
        <w:rPr>
          <w:rFonts w:eastAsia="Times New Roman"/>
          <w:b/>
          <w:noProof/>
          <w:color w:val="000000" w:themeColor="text1"/>
          <w:lang w:eastAsia="en-GB"/>
        </w:rPr>
        <w:t>Critical Medicines Act</w:t>
      </w:r>
      <w:r w:rsidR="00083050" w:rsidRPr="004C70EC">
        <w:rPr>
          <w:rFonts w:eastAsia="Times New Roman"/>
          <w:b/>
          <w:noProof/>
          <w:color w:val="000000" w:themeColor="text1"/>
          <w:lang w:eastAsia="en-GB"/>
        </w:rPr>
        <w:t xml:space="preserve"> (CMA)</w:t>
      </w:r>
      <w:r w:rsidR="006F2744" w:rsidRPr="004C70EC">
        <w:rPr>
          <w:rFonts w:eastAsia="Times New Roman"/>
          <w:noProof/>
          <w:color w:val="000000" w:themeColor="text1"/>
          <w:lang w:val="en-IE" w:eastAsia="en-GB"/>
        </w:rPr>
        <w:t> </w:t>
      </w:r>
      <w:r w:rsidR="00E934F2" w:rsidRPr="004C70EC">
        <w:rPr>
          <w:rStyle w:val="FootnoteReference"/>
          <w:rFonts w:eastAsia="Times New Roman"/>
          <w:noProof/>
          <w:color w:val="000000" w:themeColor="text1"/>
          <w:bdr w:val="nil"/>
          <w:lang w:eastAsia="en-GB"/>
        </w:rPr>
        <w:footnoteReference w:id="22"/>
      </w:r>
      <w:r w:rsidR="00E934F2" w:rsidRPr="004C70EC">
        <w:rPr>
          <w:rFonts w:eastAsia="Times New Roman"/>
          <w:noProof/>
          <w:color w:val="000000" w:themeColor="text1"/>
          <w:lang w:eastAsia="en-GB"/>
        </w:rPr>
        <w:t xml:space="preserve"> to strengthen EU-based biotechnology research and manufacturing</w:t>
      </w:r>
      <w:r w:rsidR="00E934F2" w:rsidRPr="004C70EC" w:rsidDel="5B9C006D">
        <w:rPr>
          <w:rFonts w:eastAsia="Times New Roman"/>
          <w:noProof/>
          <w:color w:val="000000" w:themeColor="text1"/>
          <w:lang w:eastAsia="en-GB"/>
        </w:rPr>
        <w:t xml:space="preserve">. </w:t>
      </w:r>
      <w:r w:rsidR="00E934F2" w:rsidRPr="004C70EC">
        <w:rPr>
          <w:rFonts w:eastAsia="Times New Roman"/>
          <w:noProof/>
          <w:color w:val="000000" w:themeColor="text1"/>
          <w:lang w:val="en-US" w:eastAsia="en-GB"/>
        </w:rPr>
        <w:t xml:space="preserve">The Act is also in line with the </w:t>
      </w:r>
      <w:r w:rsidR="00083050" w:rsidRPr="004C70EC">
        <w:rPr>
          <w:rFonts w:eastAsia="Times New Roman"/>
          <w:b/>
          <w:noProof/>
          <w:color w:val="000000" w:themeColor="text1"/>
          <w:lang w:val="en-US" w:eastAsia="en-GB"/>
        </w:rPr>
        <w:t>p</w:t>
      </w:r>
      <w:r w:rsidR="00E934F2" w:rsidRPr="004C70EC">
        <w:rPr>
          <w:rFonts w:eastAsia="Times New Roman"/>
          <w:b/>
          <w:noProof/>
          <w:color w:val="000000" w:themeColor="text1"/>
          <w:lang w:val="en-US" w:eastAsia="en-GB"/>
        </w:rPr>
        <w:t xml:space="preserve">harmaceutical </w:t>
      </w:r>
      <w:r w:rsidR="00083050" w:rsidRPr="004C70EC">
        <w:rPr>
          <w:rFonts w:eastAsia="Times New Roman"/>
          <w:b/>
          <w:noProof/>
          <w:color w:val="000000" w:themeColor="text1"/>
          <w:lang w:val="en-US" w:eastAsia="en-GB"/>
        </w:rPr>
        <w:t>s</w:t>
      </w:r>
      <w:r w:rsidR="00E934F2" w:rsidRPr="004C70EC">
        <w:rPr>
          <w:rFonts w:eastAsia="Times New Roman"/>
          <w:b/>
          <w:noProof/>
          <w:color w:val="000000" w:themeColor="text1"/>
          <w:lang w:val="en-US" w:eastAsia="en-GB"/>
        </w:rPr>
        <w:t>trategy for Europe</w:t>
      </w:r>
      <w:r w:rsidR="00E934F2" w:rsidRPr="004C70EC">
        <w:rPr>
          <w:rStyle w:val="FootnoteReference"/>
          <w:noProof/>
          <w:color w:val="000000" w:themeColor="text1"/>
        </w:rPr>
        <w:footnoteReference w:id="23"/>
      </w:r>
      <w:r w:rsidR="00E934F2" w:rsidRPr="004C70EC">
        <w:rPr>
          <w:rFonts w:eastAsia="Times New Roman"/>
          <w:noProof/>
          <w:color w:val="000000" w:themeColor="text1"/>
          <w:vertAlign w:val="superscript"/>
          <w:lang w:val="en-US" w:eastAsia="en-GB"/>
        </w:rPr>
        <w:t xml:space="preserve"> </w:t>
      </w:r>
      <w:r w:rsidR="00E934F2" w:rsidRPr="004C70EC" w:rsidDel="5B9C006D">
        <w:rPr>
          <w:rFonts w:eastAsia="Times New Roman"/>
          <w:noProof/>
          <w:color w:val="000000" w:themeColor="text1"/>
          <w:lang w:val="en-US" w:eastAsia="en-GB"/>
        </w:rPr>
        <w:t xml:space="preserve">and </w:t>
      </w:r>
      <w:r w:rsidR="00E934F2" w:rsidRPr="004C70EC">
        <w:rPr>
          <w:rFonts w:eastAsia="Times New Roman"/>
          <w:noProof/>
          <w:color w:val="000000" w:themeColor="text1"/>
          <w:lang w:val="en-US" w:eastAsia="en-GB"/>
        </w:rPr>
        <w:t>complements</w:t>
      </w:r>
      <w:r w:rsidR="00E934F2" w:rsidRPr="004C70EC" w:rsidDel="5B9C006D">
        <w:rPr>
          <w:rFonts w:eastAsia="Times New Roman"/>
          <w:noProof/>
          <w:color w:val="000000" w:themeColor="text1"/>
          <w:lang w:val="en-US" w:eastAsia="en-GB"/>
        </w:rPr>
        <w:t xml:space="preserve"> </w:t>
      </w:r>
      <w:r w:rsidR="00E934F2" w:rsidRPr="004C70EC">
        <w:rPr>
          <w:rFonts w:eastAsia="Times New Roman"/>
          <w:noProof/>
          <w:color w:val="000000" w:themeColor="text1"/>
          <w:lang w:val="en-US" w:eastAsia="en-GB"/>
        </w:rPr>
        <w:t xml:space="preserve">the ongoing </w:t>
      </w:r>
      <w:r w:rsidR="00E934F2" w:rsidRPr="004C70EC">
        <w:rPr>
          <w:rFonts w:eastAsia="Times New Roman"/>
          <w:b/>
          <w:noProof/>
          <w:color w:val="000000" w:themeColor="text1"/>
          <w:lang w:val="en-US" w:eastAsia="en-GB"/>
        </w:rPr>
        <w:t>revision of the EU pharmaceutical legislation</w:t>
      </w:r>
      <w:r w:rsidR="00E934F2" w:rsidRPr="004C70EC">
        <w:rPr>
          <w:rStyle w:val="FootnoteReference"/>
          <w:noProof/>
          <w:color w:val="000000" w:themeColor="text1"/>
        </w:rPr>
        <w:footnoteReference w:id="24"/>
      </w:r>
      <w:r w:rsidR="00E934F2" w:rsidRPr="004C70EC">
        <w:rPr>
          <w:rFonts w:eastAsia="Times New Roman"/>
          <w:noProof/>
          <w:color w:val="000000" w:themeColor="text1"/>
          <w:lang w:eastAsia="en-GB"/>
        </w:rPr>
        <w:t xml:space="preserve"> to create the appropriate conditions for biotechnology </w:t>
      </w:r>
      <w:r w:rsidR="00181093" w:rsidRPr="004C70EC">
        <w:rPr>
          <w:rFonts w:eastAsia="Times New Roman"/>
          <w:noProof/>
          <w:color w:val="000000" w:themeColor="text1"/>
          <w:lang w:eastAsia="en-GB"/>
        </w:rPr>
        <w:t>from</w:t>
      </w:r>
      <w:r w:rsidR="00E934F2" w:rsidRPr="004C70EC">
        <w:rPr>
          <w:rFonts w:eastAsia="Times New Roman"/>
          <w:noProof/>
          <w:color w:val="000000" w:themeColor="text1"/>
          <w:lang w:eastAsia="en-GB"/>
        </w:rPr>
        <w:t xml:space="preserve"> the innovation stage. </w:t>
      </w:r>
      <w:r w:rsidR="00E934F2" w:rsidRPr="004C70EC">
        <w:rPr>
          <w:rFonts w:eastAsia="Times New Roman"/>
          <w:noProof/>
          <w:color w:val="000000" w:themeColor="text1"/>
          <w:lang w:val="en-US" w:eastAsia="en-GB"/>
        </w:rPr>
        <w:t xml:space="preserve">Moreover, the proposed measures are complementary to the </w:t>
      </w:r>
      <w:r w:rsidR="005257E7" w:rsidRPr="004C70EC">
        <w:rPr>
          <w:rFonts w:eastAsia="Times New Roman"/>
          <w:b/>
          <w:noProof/>
          <w:color w:val="000000" w:themeColor="text1"/>
          <w:lang w:val="en-US" w:eastAsia="en-GB"/>
        </w:rPr>
        <w:t>proposed regulation</w:t>
      </w:r>
      <w:r w:rsidR="00E934F2" w:rsidRPr="004C70EC">
        <w:rPr>
          <w:rFonts w:eastAsia="Times New Roman"/>
          <w:b/>
          <w:noProof/>
          <w:color w:val="000000" w:themeColor="text1"/>
          <w:lang w:val="en-US" w:eastAsia="en-GB"/>
        </w:rPr>
        <w:t xml:space="preserve"> on plants obtained by certain new genomic techniques </w:t>
      </w:r>
      <w:r w:rsidR="00E934F2" w:rsidRPr="004C70EC">
        <w:rPr>
          <w:rFonts w:eastAsia="Times New Roman"/>
          <w:noProof/>
          <w:color w:val="000000" w:themeColor="text1"/>
          <w:lang w:val="en-US" w:eastAsia="en-GB"/>
        </w:rPr>
        <w:t xml:space="preserve">and their use in food and feed. </w:t>
      </w:r>
    </w:p>
    <w:p w14:paraId="5450C3B8" w14:textId="77777777" w:rsidR="00D35EBA" w:rsidRPr="004C70EC" w:rsidRDefault="00B666ED" w:rsidP="00B666ED">
      <w:pPr>
        <w:pStyle w:val="ManualHeading2"/>
        <w:rPr>
          <w:noProof/>
          <w:color w:val="000000" w:themeColor="text1"/>
          <w:bdr w:val="nil"/>
          <w:lang w:val="en-US" w:eastAsia="en-GB"/>
        </w:rPr>
      </w:pPr>
      <w:r w:rsidRPr="004C70EC">
        <w:rPr>
          <w:noProof/>
          <w:color w:val="000000" w:themeColor="text1"/>
          <w:bdr w:val="nil"/>
          <w:lang w:val="en-US" w:eastAsia="en-GB"/>
        </w:rPr>
        <w:t>•</w:t>
      </w:r>
      <w:r w:rsidRPr="004C70EC">
        <w:rPr>
          <w:rFonts w:eastAsia="Arial Unicode MS"/>
          <w:noProof/>
          <w:color w:val="000000" w:themeColor="text1"/>
          <w:u w:color="000000"/>
          <w:bdr w:val="nil"/>
          <w:lang w:val="en-US" w:eastAsia="en-GB"/>
        </w:rPr>
        <w:tab/>
      </w:r>
      <w:r w:rsidR="00A45EC3" w:rsidRPr="004C70EC">
        <w:rPr>
          <w:noProof/>
          <w:color w:val="000000" w:themeColor="text1"/>
          <w:bdr w:val="nil"/>
          <w:lang w:val="en-US" w:eastAsia="en-GB"/>
        </w:rPr>
        <w:t>Consistency with other Union policies</w:t>
      </w:r>
    </w:p>
    <w:p w14:paraId="397158D0"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lang w:val="en-US" w:eastAsia="en-GB"/>
        </w:rPr>
      </w:pPr>
      <w:r w:rsidRPr="004C70EC">
        <w:rPr>
          <w:rFonts w:eastAsia="Times New Roman"/>
          <w:noProof/>
          <w:color w:val="000000" w:themeColor="text1"/>
        </w:rPr>
        <w:t xml:space="preserve">As one of the flagship initiatives of the </w:t>
      </w:r>
      <w:r w:rsidRPr="004C70EC">
        <w:rPr>
          <w:rFonts w:eastAsia="Times New Roman"/>
          <w:b/>
          <w:noProof/>
          <w:color w:val="000000" w:themeColor="text1"/>
        </w:rPr>
        <w:t>Competitiveness Compass</w:t>
      </w:r>
      <w:r w:rsidRPr="004C70EC">
        <w:rPr>
          <w:rStyle w:val="FootnoteReference"/>
          <w:rFonts w:eastAsia="Times New Roman"/>
          <w:noProof/>
          <w:color w:val="000000" w:themeColor="text1"/>
        </w:rPr>
        <w:footnoteReference w:id="25"/>
      </w:r>
      <w:r w:rsidRPr="004C70EC">
        <w:rPr>
          <w:rFonts w:eastAsia="Times New Roman"/>
          <w:noProof/>
          <w:color w:val="000000" w:themeColor="text1"/>
        </w:rPr>
        <w:t>, the proposed Biotech Act aligns with the EU’s broader innovation and competitiveness agenda, translating the priorities of the Compass into concrete actions within the strategic sector of biotechnology.</w:t>
      </w:r>
    </w:p>
    <w:p w14:paraId="4C68FDC7" w14:textId="77777777" w:rsidR="00E934F2" w:rsidRPr="004C70EC" w:rsidRDefault="00E934F2" w:rsidP="18D3BF3E">
      <w:pPr>
        <w:pBdr>
          <w:top w:val="nil"/>
          <w:left w:val="nil"/>
          <w:bottom w:val="nil"/>
          <w:right w:val="nil"/>
          <w:between w:val="nil"/>
          <w:bar w:val="nil"/>
        </w:pBdr>
        <w:spacing w:after="240"/>
        <w:rPr>
          <w:rFonts w:eastAsia="Times New Roman"/>
          <w:noProof/>
          <w:color w:val="000000" w:themeColor="text1"/>
          <w:lang w:val="en-US" w:eastAsia="en-GB"/>
        </w:rPr>
      </w:pPr>
      <w:r w:rsidRPr="004C70EC">
        <w:rPr>
          <w:rFonts w:eastAsia="Times New Roman"/>
          <w:noProof/>
          <w:color w:val="000000" w:themeColor="text1"/>
          <w:lang w:val="en-US" w:eastAsia="en-GB"/>
        </w:rPr>
        <w:t xml:space="preserve">In particular, the Biotech Act is part of the </w:t>
      </w:r>
      <w:r w:rsidRPr="004C70EC">
        <w:rPr>
          <w:rFonts w:eastAsia="Times New Roman"/>
          <w:b/>
          <w:noProof/>
          <w:color w:val="000000" w:themeColor="text1"/>
          <w:lang w:val="en-US" w:eastAsia="en-GB"/>
        </w:rPr>
        <w:t xml:space="preserve">Commission’s </w:t>
      </w:r>
      <w:r w:rsidR="00A263E1" w:rsidRPr="004C70EC">
        <w:rPr>
          <w:rFonts w:eastAsia="Times New Roman"/>
          <w:b/>
          <w:noProof/>
          <w:color w:val="000000" w:themeColor="text1"/>
          <w:lang w:val="en-US" w:eastAsia="en-GB"/>
        </w:rPr>
        <w:t>l</w:t>
      </w:r>
      <w:r w:rsidRPr="004C70EC">
        <w:rPr>
          <w:rFonts w:eastAsia="Times New Roman"/>
          <w:b/>
          <w:noProof/>
          <w:color w:val="000000" w:themeColor="text1"/>
          <w:lang w:val="en-US" w:eastAsia="en-GB"/>
        </w:rPr>
        <w:t xml:space="preserve">ife </w:t>
      </w:r>
      <w:r w:rsidR="00A263E1" w:rsidRPr="004C70EC">
        <w:rPr>
          <w:rFonts w:eastAsia="Times New Roman"/>
          <w:b/>
          <w:noProof/>
          <w:color w:val="000000" w:themeColor="text1"/>
          <w:lang w:val="en-US" w:eastAsia="en-GB"/>
        </w:rPr>
        <w:t>s</w:t>
      </w:r>
      <w:r w:rsidRPr="004C70EC">
        <w:rPr>
          <w:rFonts w:eastAsia="Times New Roman"/>
          <w:b/>
          <w:noProof/>
          <w:color w:val="000000" w:themeColor="text1"/>
          <w:lang w:val="en-US" w:eastAsia="en-GB"/>
        </w:rPr>
        <w:t xml:space="preserve">ciences </w:t>
      </w:r>
      <w:r w:rsidR="00A263E1" w:rsidRPr="004C70EC">
        <w:rPr>
          <w:rFonts w:eastAsia="Times New Roman"/>
          <w:b/>
          <w:noProof/>
          <w:color w:val="000000" w:themeColor="text1"/>
          <w:lang w:val="en-US" w:eastAsia="en-GB"/>
        </w:rPr>
        <w:t>s</w:t>
      </w:r>
      <w:r w:rsidRPr="004C70EC">
        <w:rPr>
          <w:rFonts w:eastAsia="Times New Roman"/>
          <w:b/>
          <w:noProof/>
          <w:color w:val="000000" w:themeColor="text1"/>
          <w:lang w:val="en-US" w:eastAsia="en-GB"/>
        </w:rPr>
        <w:t>trategy</w:t>
      </w:r>
      <w:r w:rsidRPr="004C70EC">
        <w:rPr>
          <w:rStyle w:val="FootnoteReference"/>
          <w:noProof/>
          <w:color w:val="000000" w:themeColor="text1"/>
        </w:rPr>
        <w:footnoteReference w:id="26"/>
      </w:r>
      <w:r w:rsidR="005257E7"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 xml:space="preserve"> </w:t>
      </w:r>
      <w:r w:rsidR="001D1C47" w:rsidRPr="004C70EC">
        <w:rPr>
          <w:rFonts w:eastAsia="Times New Roman"/>
          <w:noProof/>
          <w:color w:val="000000" w:themeColor="text1"/>
          <w:lang w:val="en-US" w:eastAsia="en-GB"/>
        </w:rPr>
        <w:t>It</w:t>
      </w:r>
      <w:r w:rsidRPr="004C70EC">
        <w:rPr>
          <w:rFonts w:eastAsia="Times New Roman"/>
          <w:noProof/>
          <w:color w:val="000000" w:themeColor="text1"/>
          <w:lang w:val="en-US" w:eastAsia="en-GB"/>
        </w:rPr>
        <w:t xml:space="preserve"> was presented as </w:t>
      </w:r>
      <w:r w:rsidR="00A263E1" w:rsidRPr="004C70EC">
        <w:rPr>
          <w:rFonts w:eastAsia="Times New Roman"/>
          <w:noProof/>
          <w:color w:val="000000" w:themeColor="text1"/>
          <w:lang w:val="en-US" w:eastAsia="en-GB"/>
        </w:rPr>
        <w:t xml:space="preserve">a </w:t>
      </w:r>
      <w:r w:rsidRPr="004C70EC">
        <w:rPr>
          <w:rFonts w:eastAsia="Times New Roman"/>
          <w:noProof/>
          <w:color w:val="000000" w:themeColor="text1"/>
          <w:lang w:val="en-US" w:eastAsia="en-GB"/>
        </w:rPr>
        <w:t xml:space="preserve">central instrument to strengthen the Union’s biotechnology ecosystem, streamline regulatory </w:t>
      </w:r>
      <w:r w:rsidR="3658EE97" w:rsidRPr="004C70EC">
        <w:rPr>
          <w:rFonts w:eastAsia="Times New Roman"/>
          <w:noProof/>
          <w:color w:val="000000" w:themeColor="text1"/>
          <w:lang w:val="en-US" w:eastAsia="en-GB"/>
        </w:rPr>
        <w:t xml:space="preserve">procedural </w:t>
      </w:r>
      <w:r w:rsidRPr="004C70EC">
        <w:rPr>
          <w:rFonts w:eastAsia="Times New Roman"/>
          <w:noProof/>
          <w:color w:val="000000" w:themeColor="text1"/>
          <w:lang w:val="en-US" w:eastAsia="en-GB"/>
        </w:rPr>
        <w:t xml:space="preserve">pathways and </w:t>
      </w:r>
      <w:r w:rsidR="0040426F" w:rsidRPr="004C70EC">
        <w:rPr>
          <w:rFonts w:eastAsia="Times New Roman"/>
          <w:noProof/>
          <w:color w:val="000000" w:themeColor="text1"/>
          <w:lang w:val="en-US" w:eastAsia="en-GB"/>
        </w:rPr>
        <w:t xml:space="preserve">boost </w:t>
      </w:r>
      <w:r w:rsidRPr="004C70EC">
        <w:rPr>
          <w:rFonts w:eastAsia="Times New Roman"/>
          <w:noProof/>
          <w:color w:val="000000" w:themeColor="text1"/>
          <w:lang w:val="en-US" w:eastAsia="en-GB"/>
        </w:rPr>
        <w:t>Europe’s competitiveness in life sciences, recognising biotechnology as a strategically critical and cross-sectoral technology.</w:t>
      </w:r>
    </w:p>
    <w:p w14:paraId="72DC8971" w14:textId="77777777" w:rsidR="00E934F2" w:rsidRPr="004C70EC" w:rsidRDefault="00E934F2" w:rsidP="3FA241E6">
      <w:pPr>
        <w:pBdr>
          <w:top w:val="nil"/>
          <w:left w:val="nil"/>
          <w:bottom w:val="nil"/>
          <w:right w:val="nil"/>
          <w:between w:val="nil"/>
          <w:bar w:val="nil"/>
        </w:pBdr>
        <w:spacing w:after="240"/>
        <w:rPr>
          <w:rFonts w:eastAsia="Times New Roman"/>
          <w:noProof/>
          <w:color w:val="000000" w:themeColor="text1"/>
          <w:lang w:val="en-US"/>
        </w:rPr>
      </w:pPr>
      <w:r w:rsidRPr="004C70EC">
        <w:rPr>
          <w:rFonts w:eastAsia="Times New Roman"/>
          <w:noProof/>
          <w:color w:val="000000" w:themeColor="text1"/>
          <w:lang w:val="en-US" w:eastAsia="en-GB"/>
        </w:rPr>
        <w:t xml:space="preserve">Furthermore, the proposed Act is complementary to the other </w:t>
      </w:r>
      <w:r w:rsidR="61FE7AAF" w:rsidRPr="004C70EC">
        <w:rPr>
          <w:rFonts w:eastAsia="Times New Roman"/>
          <w:noProof/>
          <w:color w:val="000000" w:themeColor="text1"/>
          <w:lang w:val="en-US" w:eastAsia="en-GB"/>
        </w:rPr>
        <w:t xml:space="preserve">policy </w:t>
      </w:r>
      <w:r w:rsidRPr="004C70EC">
        <w:rPr>
          <w:rFonts w:eastAsia="Times New Roman"/>
          <w:noProof/>
          <w:color w:val="000000" w:themeColor="text1"/>
          <w:lang w:val="en-US" w:eastAsia="en-GB"/>
        </w:rPr>
        <w:t xml:space="preserve">initiatives announced in the Compass. First, </w:t>
      </w:r>
      <w:r w:rsidRPr="004C70EC">
        <w:rPr>
          <w:rFonts w:eastAsia="Times New Roman"/>
          <w:noProof/>
          <w:color w:val="000000" w:themeColor="text1"/>
          <w:lang w:val="en-US"/>
        </w:rPr>
        <w:t>it</w:t>
      </w:r>
      <w:r w:rsidRPr="004C70EC" w:rsidDel="006570DD">
        <w:rPr>
          <w:rFonts w:eastAsia="Times New Roman"/>
          <w:noProof/>
          <w:color w:val="000000" w:themeColor="text1"/>
          <w:lang w:val="en-US"/>
        </w:rPr>
        <w:t xml:space="preserve"> </w:t>
      </w:r>
      <w:r w:rsidRPr="004C70EC">
        <w:rPr>
          <w:rFonts w:eastAsia="Times New Roman"/>
          <w:noProof/>
          <w:color w:val="000000" w:themeColor="text1"/>
          <w:lang w:val="en-US"/>
        </w:rPr>
        <w:t>aims to improve access to later-stage capital for biotechnology firms, aligning with the</w:t>
      </w:r>
      <w:r w:rsidRPr="004C70EC">
        <w:rPr>
          <w:rFonts w:eastAsia="Times New Roman"/>
          <w:b/>
          <w:noProof/>
          <w:color w:val="000000" w:themeColor="text1"/>
          <w:lang w:val="en-US"/>
        </w:rPr>
        <w:t xml:space="preserve"> </w:t>
      </w:r>
      <w:r w:rsidR="00A263E1" w:rsidRPr="004C70EC">
        <w:rPr>
          <w:rFonts w:eastAsia="Times New Roman"/>
          <w:b/>
          <w:noProof/>
          <w:color w:val="000000" w:themeColor="text1"/>
          <w:lang w:val="en-US"/>
        </w:rPr>
        <w:t>s</w:t>
      </w:r>
      <w:r w:rsidRPr="004C70EC">
        <w:rPr>
          <w:rFonts w:eastAsia="Times New Roman"/>
          <w:b/>
          <w:noProof/>
          <w:color w:val="000000" w:themeColor="text1"/>
          <w:lang w:val="en-US"/>
        </w:rPr>
        <w:t xml:space="preserve">tart-up and </w:t>
      </w:r>
      <w:r w:rsidR="00A263E1" w:rsidRPr="004C70EC">
        <w:rPr>
          <w:rFonts w:eastAsia="Times New Roman"/>
          <w:b/>
          <w:noProof/>
          <w:color w:val="000000" w:themeColor="text1"/>
          <w:lang w:val="en-US"/>
        </w:rPr>
        <w:t>s</w:t>
      </w:r>
      <w:r w:rsidRPr="004C70EC">
        <w:rPr>
          <w:rFonts w:eastAsia="Times New Roman"/>
          <w:b/>
          <w:noProof/>
          <w:color w:val="000000" w:themeColor="text1"/>
          <w:lang w:val="en-US"/>
        </w:rPr>
        <w:t xml:space="preserve">cale-up </w:t>
      </w:r>
      <w:r w:rsidR="00A263E1" w:rsidRPr="004C70EC">
        <w:rPr>
          <w:rFonts w:eastAsia="Times New Roman"/>
          <w:b/>
          <w:noProof/>
          <w:color w:val="000000" w:themeColor="text1"/>
          <w:lang w:val="en-US"/>
        </w:rPr>
        <w:t>s</w:t>
      </w:r>
      <w:r w:rsidRPr="004C70EC">
        <w:rPr>
          <w:rFonts w:eastAsia="Times New Roman"/>
          <w:b/>
          <w:noProof/>
          <w:color w:val="000000" w:themeColor="text1"/>
          <w:lang w:val="en-US"/>
        </w:rPr>
        <w:t>trategy</w:t>
      </w:r>
      <w:r w:rsidR="006F2744" w:rsidRPr="004C70EC">
        <w:rPr>
          <w:rFonts w:eastAsia="Times New Roman"/>
          <w:noProof/>
          <w:color w:val="000000" w:themeColor="text1"/>
          <w:lang w:val="en-IE" w:eastAsia="en-GB"/>
        </w:rPr>
        <w:t> </w:t>
      </w:r>
      <w:r w:rsidRPr="004C70EC">
        <w:rPr>
          <w:rStyle w:val="FootnoteReference"/>
          <w:rFonts w:eastAsia="Times New Roman"/>
          <w:noProof/>
          <w:color w:val="000000" w:themeColor="text1"/>
          <w:lang w:val="en-US"/>
        </w:rPr>
        <w:footnoteReference w:id="27"/>
      </w:r>
      <w:r w:rsidRPr="004C70EC">
        <w:rPr>
          <w:rFonts w:eastAsia="Times New Roman"/>
          <w:noProof/>
          <w:color w:val="000000" w:themeColor="text1"/>
          <w:lang w:val="en-US"/>
        </w:rPr>
        <w:t xml:space="preserve"> and complementing the </w:t>
      </w:r>
      <w:r w:rsidR="158A02A8" w:rsidRPr="004C70EC">
        <w:rPr>
          <w:rFonts w:eastAsia="Times New Roman"/>
          <w:noProof/>
          <w:color w:val="000000" w:themeColor="text1"/>
          <w:lang w:val="en-US"/>
        </w:rPr>
        <w:t>Scaleup Europe Fund established under that strategy, as well as</w:t>
      </w:r>
      <w:r w:rsidRPr="004C70EC">
        <w:rPr>
          <w:rFonts w:eastAsia="Times New Roman"/>
          <w:noProof/>
          <w:color w:val="000000" w:themeColor="text1"/>
          <w:lang w:val="en-US"/>
        </w:rPr>
        <w:t xml:space="preserve"> the</w:t>
      </w:r>
      <w:r w:rsidRPr="004C70EC">
        <w:rPr>
          <w:rFonts w:eastAsia="Times New Roman"/>
          <w:b/>
          <w:bCs/>
          <w:noProof/>
          <w:color w:val="000000" w:themeColor="text1"/>
          <w:lang w:val="en-US"/>
        </w:rPr>
        <w:t xml:space="preserve"> </w:t>
      </w:r>
      <w:r w:rsidRPr="004C70EC">
        <w:rPr>
          <w:rFonts w:eastAsia="Times New Roman"/>
          <w:b/>
          <w:noProof/>
          <w:color w:val="000000" w:themeColor="text1"/>
          <w:lang w:val="en-US"/>
        </w:rPr>
        <w:t>Savings and Investments Union</w:t>
      </w:r>
      <w:r w:rsidR="006F2744" w:rsidRPr="004C70EC">
        <w:rPr>
          <w:rFonts w:eastAsia="Times New Roman"/>
          <w:noProof/>
          <w:color w:val="000000" w:themeColor="text1"/>
          <w:lang w:val="en-IE" w:eastAsia="en-GB"/>
        </w:rPr>
        <w:t> </w:t>
      </w:r>
      <w:r w:rsidRPr="004C70EC">
        <w:rPr>
          <w:rStyle w:val="FootnoteReference"/>
          <w:rFonts w:eastAsia="Times New Roman"/>
          <w:noProof/>
          <w:color w:val="000000" w:themeColor="text1"/>
          <w:lang w:val="en-US"/>
        </w:rPr>
        <w:footnoteReference w:id="28"/>
      </w:r>
      <w:r w:rsidRPr="004C70EC">
        <w:rPr>
          <w:rFonts w:eastAsia="Times New Roman"/>
          <w:noProof/>
          <w:color w:val="000000" w:themeColor="text1"/>
          <w:lang w:val="en-US"/>
        </w:rPr>
        <w:t xml:space="preserve">, which seeks to mobilise larger pools of private capital, support investment within the </w:t>
      </w:r>
      <w:r w:rsidR="4E31E5FB" w:rsidRPr="004C70EC">
        <w:rPr>
          <w:rFonts w:eastAsia="Times New Roman"/>
          <w:noProof/>
          <w:color w:val="000000" w:themeColor="text1"/>
          <w:lang w:val="en-US"/>
        </w:rPr>
        <w:t>EU</w:t>
      </w:r>
      <w:r w:rsidRPr="004C70EC">
        <w:rPr>
          <w:rFonts w:eastAsia="Times New Roman"/>
          <w:noProof/>
          <w:color w:val="000000" w:themeColor="text1"/>
          <w:lang w:val="en-US"/>
        </w:rPr>
        <w:t xml:space="preserve">, and reduce financing costs for </w:t>
      </w:r>
      <w:r w:rsidR="5B90A277" w:rsidRPr="004C70EC">
        <w:rPr>
          <w:rFonts w:eastAsia="Times New Roman"/>
          <w:noProof/>
          <w:color w:val="000000" w:themeColor="text1"/>
          <w:lang w:val="en-US"/>
        </w:rPr>
        <w:t xml:space="preserve">Union </w:t>
      </w:r>
      <w:r w:rsidRPr="004C70EC">
        <w:rPr>
          <w:rFonts w:eastAsia="Times New Roman"/>
          <w:noProof/>
          <w:color w:val="000000" w:themeColor="text1"/>
          <w:lang w:val="en-US"/>
        </w:rPr>
        <w:t xml:space="preserve">businesses. </w:t>
      </w:r>
    </w:p>
    <w:p w14:paraId="11919F34" w14:textId="77777777" w:rsidR="00E934F2" w:rsidRPr="004C70EC" w:rsidRDefault="00E934F2" w:rsidP="00DC7850">
      <w:pPr>
        <w:pBdr>
          <w:top w:val="nil"/>
          <w:left w:val="nil"/>
          <w:bottom w:val="nil"/>
          <w:right w:val="nil"/>
          <w:between w:val="nil"/>
          <w:bar w:val="nil"/>
        </w:pBdr>
        <w:spacing w:after="240"/>
        <w:rPr>
          <w:rFonts w:eastAsia="Times New Roman"/>
          <w:noProof/>
          <w:color w:val="000000" w:themeColor="text1"/>
          <w:lang w:val="en-US"/>
        </w:rPr>
      </w:pPr>
      <w:r w:rsidRPr="004C70EC">
        <w:rPr>
          <w:rFonts w:eastAsia="Times New Roman"/>
          <w:noProof/>
          <w:color w:val="000000" w:themeColor="text1"/>
          <w:lang w:val="en-US"/>
        </w:rPr>
        <w:t xml:space="preserve">Second, </w:t>
      </w:r>
      <w:r w:rsidRPr="004C70EC" w:rsidDel="007913B7">
        <w:rPr>
          <w:rFonts w:eastAsia="Times New Roman"/>
          <w:noProof/>
          <w:color w:val="000000" w:themeColor="text1"/>
          <w:lang w:val="en-US"/>
        </w:rPr>
        <w:t xml:space="preserve">the </w:t>
      </w:r>
      <w:r w:rsidRPr="004C70EC">
        <w:rPr>
          <w:rFonts w:eastAsia="Times New Roman"/>
          <w:noProof/>
          <w:color w:val="000000" w:themeColor="text1"/>
          <w:lang w:val="en-US"/>
        </w:rPr>
        <w:t>provisions</w:t>
      </w:r>
      <w:r w:rsidRPr="004C70EC" w:rsidDel="007913B7">
        <w:rPr>
          <w:rFonts w:eastAsia="Times New Roman"/>
          <w:noProof/>
          <w:color w:val="000000" w:themeColor="text1"/>
          <w:lang w:val="en-US"/>
        </w:rPr>
        <w:t xml:space="preserve"> </w:t>
      </w:r>
      <w:r w:rsidRPr="004C70EC">
        <w:rPr>
          <w:rFonts w:eastAsia="Times New Roman"/>
          <w:noProof/>
          <w:color w:val="000000" w:themeColor="text1"/>
          <w:lang w:val="en-US"/>
        </w:rPr>
        <w:t>on biosecurity also reflect the Compass’s emphasis on talent as a cornerstone of innovation and on the interdependence between economic strength and security. In this context, the Act is</w:t>
      </w:r>
      <w:r w:rsidR="005257E7" w:rsidRPr="004C70EC">
        <w:rPr>
          <w:rFonts w:eastAsia="Times New Roman"/>
          <w:noProof/>
          <w:color w:val="000000" w:themeColor="text1"/>
          <w:lang w:val="en-US"/>
        </w:rPr>
        <w:t xml:space="preserve"> </w:t>
      </w:r>
      <w:r w:rsidR="001C05B7" w:rsidRPr="004C70EC">
        <w:rPr>
          <w:rFonts w:eastAsia="Times New Roman"/>
          <w:noProof/>
          <w:color w:val="000000" w:themeColor="text1"/>
          <w:lang w:val="en-US"/>
        </w:rPr>
        <w:t>consistent</w:t>
      </w:r>
      <w:r w:rsidRPr="004C70EC">
        <w:rPr>
          <w:rFonts w:eastAsia="Times New Roman"/>
          <w:noProof/>
          <w:color w:val="000000" w:themeColor="text1"/>
          <w:lang w:val="en-US"/>
        </w:rPr>
        <w:t xml:space="preserve"> with the objectives put forward in the </w:t>
      </w:r>
      <w:r w:rsidRPr="004C70EC">
        <w:rPr>
          <w:rFonts w:eastAsia="Times New Roman"/>
          <w:b/>
          <w:noProof/>
          <w:color w:val="000000" w:themeColor="text1"/>
          <w:lang w:val="en-US"/>
        </w:rPr>
        <w:t xml:space="preserve">Union of </w:t>
      </w:r>
      <w:r w:rsidR="00245F73" w:rsidRPr="004C70EC">
        <w:rPr>
          <w:rFonts w:eastAsia="Times New Roman"/>
          <w:b/>
          <w:noProof/>
          <w:color w:val="000000" w:themeColor="text1"/>
          <w:lang w:val="en-US"/>
        </w:rPr>
        <w:t>S</w:t>
      </w:r>
      <w:r w:rsidRPr="004C70EC">
        <w:rPr>
          <w:rFonts w:eastAsia="Times New Roman"/>
          <w:b/>
          <w:noProof/>
          <w:color w:val="000000" w:themeColor="text1"/>
          <w:lang w:val="en-US"/>
        </w:rPr>
        <w:t>kills</w:t>
      </w:r>
      <w:r w:rsidR="006F2744" w:rsidRPr="004C70EC">
        <w:rPr>
          <w:rFonts w:eastAsia="Times New Roman"/>
          <w:noProof/>
          <w:color w:val="000000" w:themeColor="text1"/>
          <w:lang w:val="en-IE" w:eastAsia="en-GB"/>
        </w:rPr>
        <w:t> </w:t>
      </w:r>
      <w:r w:rsidRPr="004C70EC">
        <w:rPr>
          <w:rStyle w:val="FootnoteReference"/>
          <w:rFonts w:eastAsia="Times New Roman"/>
          <w:noProof/>
          <w:color w:val="000000" w:themeColor="text1"/>
          <w:lang w:val="en-US"/>
        </w:rPr>
        <w:footnoteReference w:id="29"/>
      </w:r>
      <w:r w:rsidRPr="004C70EC">
        <w:rPr>
          <w:rFonts w:eastAsia="Times New Roman"/>
          <w:noProof/>
          <w:color w:val="000000" w:themeColor="text1"/>
          <w:lang w:val="en-US"/>
        </w:rPr>
        <w:t xml:space="preserve"> and contributes to</w:t>
      </w:r>
      <w:r w:rsidRPr="004C70EC">
        <w:rPr>
          <w:rFonts w:eastAsia="Times New Roman"/>
          <w:b/>
          <w:noProof/>
          <w:color w:val="000000" w:themeColor="text1"/>
          <w:lang w:val="en-US"/>
        </w:rPr>
        <w:t xml:space="preserve"> </w:t>
      </w:r>
      <w:r w:rsidRPr="004C70EC">
        <w:rPr>
          <w:rFonts w:eastAsia="Times New Roman"/>
          <w:noProof/>
          <w:color w:val="000000" w:themeColor="text1"/>
          <w:lang w:val="en-US"/>
        </w:rPr>
        <w:t>EU security</w:t>
      </w:r>
      <w:r w:rsidRPr="004C70EC">
        <w:rPr>
          <w:rFonts w:eastAsia="Times New Roman"/>
          <w:b/>
          <w:noProof/>
          <w:color w:val="000000" w:themeColor="text1"/>
          <w:lang w:val="en-US"/>
        </w:rPr>
        <w:t xml:space="preserve"> </w:t>
      </w:r>
      <w:r w:rsidRPr="004C70EC">
        <w:rPr>
          <w:rFonts w:eastAsia="Times New Roman"/>
          <w:noProof/>
          <w:color w:val="000000" w:themeColor="text1"/>
          <w:lang w:val="en-US"/>
        </w:rPr>
        <w:t>by reinforcing safeguards for dual-use biotechnologies</w:t>
      </w:r>
      <w:r w:rsidR="00222744" w:rsidRPr="004C70EC">
        <w:rPr>
          <w:rFonts w:eastAsia="Times New Roman"/>
          <w:noProof/>
          <w:color w:val="000000" w:themeColor="text1"/>
          <w:lang w:val="en-US"/>
        </w:rPr>
        <w:t>. It also complements</w:t>
      </w:r>
      <w:r w:rsidRPr="004C70EC">
        <w:rPr>
          <w:rFonts w:eastAsia="Times New Roman"/>
          <w:noProof/>
          <w:color w:val="000000" w:themeColor="text1"/>
          <w:lang w:val="en-US"/>
        </w:rPr>
        <w:t xml:space="preserve"> the </w:t>
      </w:r>
      <w:r w:rsidRPr="004C70EC">
        <w:rPr>
          <w:rFonts w:eastAsia="Times New Roman"/>
          <w:b/>
          <w:noProof/>
          <w:color w:val="000000" w:themeColor="text1"/>
          <w:lang w:val="en-US"/>
        </w:rPr>
        <w:t xml:space="preserve">EU Regulation </w:t>
      </w:r>
      <w:r w:rsidR="00FE134B" w:rsidRPr="004C70EC">
        <w:rPr>
          <w:rFonts w:eastAsia="Times New Roman"/>
          <w:b/>
          <w:noProof/>
          <w:color w:val="000000" w:themeColor="text1"/>
          <w:lang w:val="en-US"/>
        </w:rPr>
        <w:t>(EU) 2022/2371</w:t>
      </w:r>
      <w:r w:rsidRPr="004C70EC">
        <w:rPr>
          <w:rFonts w:eastAsia="Times New Roman"/>
          <w:b/>
          <w:noProof/>
          <w:color w:val="000000" w:themeColor="text1"/>
          <w:lang w:val="en-US"/>
        </w:rPr>
        <w:t xml:space="preserve"> on serious cross-border threats to health</w:t>
      </w:r>
      <w:r w:rsidR="006F2744" w:rsidRPr="004C70EC">
        <w:rPr>
          <w:rFonts w:eastAsia="Times New Roman"/>
          <w:noProof/>
          <w:color w:val="000000" w:themeColor="text1"/>
          <w:lang w:val="en-IE" w:eastAsia="en-GB"/>
        </w:rPr>
        <w:t> </w:t>
      </w:r>
      <w:r w:rsidR="005411FE" w:rsidRPr="004C70EC">
        <w:rPr>
          <w:rStyle w:val="FootnoteReference"/>
          <w:rFonts w:eastAsia="Times New Roman"/>
          <w:noProof/>
          <w:color w:val="000000" w:themeColor="text1"/>
          <w:lang w:val="en-US"/>
        </w:rPr>
        <w:footnoteReference w:id="30"/>
      </w:r>
      <w:r w:rsidRPr="004C70EC">
        <w:rPr>
          <w:rFonts w:eastAsia="Times New Roman"/>
          <w:noProof/>
          <w:color w:val="000000" w:themeColor="text1"/>
          <w:lang w:val="en-US"/>
        </w:rPr>
        <w:t xml:space="preserve">, helping </w:t>
      </w:r>
      <w:r w:rsidR="009B14B3" w:rsidRPr="004C70EC">
        <w:rPr>
          <w:rFonts w:eastAsia="Times New Roman"/>
          <w:noProof/>
          <w:color w:val="000000" w:themeColor="text1"/>
          <w:lang w:val="en-US"/>
        </w:rPr>
        <w:t xml:space="preserve">to </w:t>
      </w:r>
      <w:r w:rsidRPr="004C70EC">
        <w:rPr>
          <w:rFonts w:eastAsia="Times New Roman"/>
          <w:noProof/>
          <w:color w:val="000000" w:themeColor="text1"/>
          <w:lang w:val="en-US"/>
        </w:rPr>
        <w:t xml:space="preserve">ensure a coordinated Union-level </w:t>
      </w:r>
      <w:r w:rsidR="005257E7" w:rsidRPr="004C70EC">
        <w:rPr>
          <w:rFonts w:eastAsia="Times New Roman"/>
          <w:noProof/>
          <w:color w:val="000000" w:themeColor="text1"/>
          <w:lang w:val="en-US"/>
        </w:rPr>
        <w:t xml:space="preserve">response </w:t>
      </w:r>
      <w:r w:rsidRPr="004C70EC">
        <w:rPr>
          <w:rFonts w:eastAsia="Times New Roman"/>
          <w:noProof/>
          <w:color w:val="000000" w:themeColor="text1"/>
          <w:lang w:val="en-US"/>
        </w:rPr>
        <w:t xml:space="preserve">to health risks that may arise from </w:t>
      </w:r>
      <w:r w:rsidR="00222744" w:rsidRPr="004C70EC">
        <w:rPr>
          <w:rFonts w:eastAsia="Times New Roman"/>
          <w:noProof/>
          <w:color w:val="000000" w:themeColor="text1"/>
          <w:lang w:val="en-US"/>
        </w:rPr>
        <w:t>the misu</w:t>
      </w:r>
      <w:r w:rsidR="00234F31" w:rsidRPr="004C70EC">
        <w:rPr>
          <w:rFonts w:eastAsia="Times New Roman"/>
          <w:noProof/>
          <w:color w:val="000000" w:themeColor="text1"/>
          <w:lang w:val="en-US"/>
        </w:rPr>
        <w:t>s</w:t>
      </w:r>
      <w:r w:rsidR="00222744" w:rsidRPr="004C70EC">
        <w:rPr>
          <w:rFonts w:eastAsia="Times New Roman"/>
          <w:noProof/>
          <w:color w:val="000000" w:themeColor="text1"/>
          <w:lang w:val="en-US"/>
        </w:rPr>
        <w:t xml:space="preserve">e of </w:t>
      </w:r>
      <w:r w:rsidRPr="004C70EC">
        <w:rPr>
          <w:rFonts w:eastAsia="Times New Roman"/>
          <w:noProof/>
          <w:color w:val="000000" w:themeColor="text1"/>
          <w:lang w:val="en-US"/>
        </w:rPr>
        <w:t>emerging biotechnologies</w:t>
      </w:r>
      <w:r w:rsidR="00186F73" w:rsidRPr="004C70EC">
        <w:rPr>
          <w:rFonts w:eastAsia="Times New Roman"/>
          <w:noProof/>
          <w:color w:val="000000" w:themeColor="text1"/>
          <w:lang w:val="en-US"/>
        </w:rPr>
        <w:t xml:space="preserve"> and to the </w:t>
      </w:r>
      <w:r w:rsidR="00186F73" w:rsidRPr="004C70EC">
        <w:rPr>
          <w:rFonts w:eastAsia="Times New Roman"/>
          <w:b/>
          <w:noProof/>
          <w:color w:val="000000" w:themeColor="text1"/>
          <w:lang w:val="en-US"/>
        </w:rPr>
        <w:t xml:space="preserve">strategic technologies for </w:t>
      </w:r>
      <w:r w:rsidR="008471AD" w:rsidRPr="004C70EC">
        <w:rPr>
          <w:rFonts w:eastAsia="Times New Roman"/>
          <w:b/>
          <w:noProof/>
          <w:color w:val="000000" w:themeColor="text1"/>
          <w:lang w:val="en-US"/>
        </w:rPr>
        <w:t>Europe</w:t>
      </w:r>
      <w:r w:rsidR="00186F73" w:rsidRPr="004C70EC">
        <w:rPr>
          <w:rFonts w:eastAsia="Times New Roman"/>
          <w:b/>
          <w:noProof/>
          <w:color w:val="000000" w:themeColor="text1"/>
          <w:lang w:val="en-US"/>
        </w:rPr>
        <w:t xml:space="preserve"> platform</w:t>
      </w:r>
      <w:r w:rsidR="00666235" w:rsidRPr="004C70EC">
        <w:rPr>
          <w:rFonts w:eastAsia="Times New Roman"/>
          <w:b/>
          <w:noProof/>
          <w:color w:val="000000" w:themeColor="text1"/>
          <w:lang w:val="en-US"/>
        </w:rPr>
        <w:t xml:space="preserve"> (STEP)</w:t>
      </w:r>
      <w:r w:rsidR="00186F73" w:rsidRPr="004C70EC">
        <w:rPr>
          <w:rFonts w:eastAsia="Times New Roman"/>
          <w:noProof/>
          <w:color w:val="000000" w:themeColor="text1"/>
          <w:lang w:val="en-IE" w:eastAsia="en-GB"/>
        </w:rPr>
        <w:t> </w:t>
      </w:r>
      <w:r w:rsidR="00186F73" w:rsidRPr="004C70EC">
        <w:rPr>
          <w:rStyle w:val="FootnoteReference"/>
          <w:rFonts w:eastAsiaTheme="minorEastAsia"/>
          <w:noProof/>
          <w:color w:val="000000" w:themeColor="text1"/>
          <w:lang w:val="en-US" w:eastAsia="en-GB"/>
        </w:rPr>
        <w:footnoteReference w:id="31"/>
      </w:r>
      <w:r w:rsidR="00186F73" w:rsidRPr="004C70EC">
        <w:rPr>
          <w:rFonts w:eastAsia="Times New Roman"/>
          <w:noProof/>
          <w:color w:val="000000" w:themeColor="text1"/>
          <w:lang w:val="en-US"/>
        </w:rPr>
        <w:t xml:space="preserve"> that also target biotechnologies.</w:t>
      </w:r>
    </w:p>
    <w:p w14:paraId="1A9537C7" w14:textId="77777777" w:rsidR="005257E7" w:rsidRPr="004C70EC" w:rsidRDefault="005257E7" w:rsidP="005257E7">
      <w:pPr>
        <w:pBdr>
          <w:top w:val="nil"/>
          <w:left w:val="nil"/>
          <w:bottom w:val="nil"/>
          <w:right w:val="nil"/>
          <w:between w:val="nil"/>
        </w:pBdr>
        <w:spacing w:after="240"/>
        <w:rPr>
          <w:rFonts w:eastAsia="Times New Roman"/>
          <w:noProof/>
          <w:color w:val="000000" w:themeColor="text1"/>
        </w:rPr>
      </w:pPr>
      <w:r w:rsidRPr="004C70EC">
        <w:rPr>
          <w:rFonts w:eastAsia="Times New Roman"/>
          <w:noProof/>
          <w:color w:val="000000" w:themeColor="text1"/>
          <w:lang w:val="en-US"/>
        </w:rPr>
        <w:t xml:space="preserve">Third, the emphasis on the use of AI </w:t>
      </w:r>
      <w:r w:rsidR="00234F31" w:rsidRPr="004C70EC">
        <w:rPr>
          <w:rFonts w:eastAsia="Times New Roman"/>
          <w:noProof/>
          <w:color w:val="000000" w:themeColor="text1"/>
          <w:lang w:val="en-US"/>
        </w:rPr>
        <w:t>in</w:t>
      </w:r>
      <w:r w:rsidRPr="004C70EC">
        <w:rPr>
          <w:rFonts w:eastAsia="Times New Roman"/>
          <w:noProof/>
          <w:color w:val="000000" w:themeColor="text1"/>
          <w:lang w:val="en-US"/>
        </w:rPr>
        <w:t xml:space="preserve"> the proposed Act also aligns with the Competitiveness Compass, and echoes the recent </w:t>
      </w:r>
      <w:r w:rsidR="007663F5" w:rsidRPr="004C70EC">
        <w:rPr>
          <w:rFonts w:eastAsia="Times New Roman"/>
          <w:b/>
          <w:noProof/>
          <w:color w:val="000000" w:themeColor="text1"/>
          <w:lang w:val="en-US"/>
        </w:rPr>
        <w:t>A</w:t>
      </w:r>
      <w:r w:rsidRPr="004C70EC">
        <w:rPr>
          <w:rFonts w:eastAsia="Times New Roman"/>
          <w:b/>
          <w:noProof/>
          <w:color w:val="000000" w:themeColor="text1"/>
        </w:rPr>
        <w:t xml:space="preserve">pply AI </w:t>
      </w:r>
      <w:r w:rsidR="00116CE4" w:rsidRPr="004C70EC">
        <w:rPr>
          <w:rFonts w:eastAsia="Times New Roman"/>
          <w:b/>
          <w:noProof/>
          <w:color w:val="000000" w:themeColor="text1"/>
        </w:rPr>
        <w:t>s</w:t>
      </w:r>
      <w:r w:rsidRPr="004C70EC">
        <w:rPr>
          <w:rFonts w:eastAsia="Times New Roman"/>
          <w:b/>
          <w:noProof/>
          <w:color w:val="000000" w:themeColor="text1"/>
        </w:rPr>
        <w:t>trategy</w:t>
      </w:r>
      <w:r w:rsidR="006F2744" w:rsidRPr="004C70EC">
        <w:rPr>
          <w:rFonts w:eastAsia="Times New Roman"/>
          <w:noProof/>
          <w:color w:val="000000" w:themeColor="text1"/>
          <w:lang w:val="en-IE" w:eastAsia="en-GB"/>
        </w:rPr>
        <w:t> </w:t>
      </w:r>
      <w:r w:rsidRPr="004C70EC">
        <w:rPr>
          <w:rStyle w:val="FootnoteReference"/>
          <w:rFonts w:eastAsiaTheme="minorEastAsia"/>
          <w:noProof/>
          <w:color w:val="000000" w:themeColor="text1"/>
          <w:lang w:eastAsia="en-GB"/>
        </w:rPr>
        <w:footnoteReference w:id="32"/>
      </w:r>
      <w:r w:rsidRPr="004C70EC">
        <w:rPr>
          <w:rFonts w:eastAsia="Times New Roman"/>
          <w:noProof/>
          <w:color w:val="000000" w:themeColor="text1"/>
        </w:rPr>
        <w:t xml:space="preserve">, the </w:t>
      </w:r>
      <w:r w:rsidR="0022048A" w:rsidRPr="004C70EC">
        <w:rPr>
          <w:rFonts w:eastAsia="Times New Roman"/>
          <w:b/>
          <w:noProof/>
          <w:color w:val="000000" w:themeColor="text1"/>
        </w:rPr>
        <w:t xml:space="preserve">AI </w:t>
      </w:r>
      <w:r w:rsidR="00B46ABD" w:rsidRPr="004C70EC">
        <w:rPr>
          <w:rFonts w:eastAsia="Times New Roman"/>
          <w:b/>
          <w:noProof/>
          <w:color w:val="000000" w:themeColor="text1"/>
        </w:rPr>
        <w:t>c</w:t>
      </w:r>
      <w:r w:rsidR="0022048A" w:rsidRPr="004C70EC">
        <w:rPr>
          <w:rFonts w:eastAsia="Times New Roman"/>
          <w:b/>
          <w:noProof/>
          <w:color w:val="000000" w:themeColor="text1"/>
        </w:rPr>
        <w:t xml:space="preserve">ontinent </w:t>
      </w:r>
      <w:r w:rsidR="00B46ABD" w:rsidRPr="004C70EC">
        <w:rPr>
          <w:rFonts w:eastAsia="Times New Roman"/>
          <w:b/>
          <w:noProof/>
          <w:color w:val="000000" w:themeColor="text1"/>
        </w:rPr>
        <w:t>a</w:t>
      </w:r>
      <w:r w:rsidR="0022048A" w:rsidRPr="004C70EC">
        <w:rPr>
          <w:rFonts w:eastAsia="Times New Roman"/>
          <w:b/>
          <w:noProof/>
          <w:color w:val="000000" w:themeColor="text1"/>
        </w:rPr>
        <w:t xml:space="preserve">ction </w:t>
      </w:r>
      <w:r w:rsidR="00B46ABD" w:rsidRPr="004C70EC">
        <w:rPr>
          <w:rFonts w:eastAsia="Times New Roman"/>
          <w:b/>
          <w:noProof/>
          <w:color w:val="000000" w:themeColor="text1"/>
        </w:rPr>
        <w:t>p</w:t>
      </w:r>
      <w:r w:rsidR="0022048A" w:rsidRPr="004C70EC">
        <w:rPr>
          <w:rFonts w:eastAsia="Times New Roman"/>
          <w:b/>
          <w:noProof/>
          <w:color w:val="000000" w:themeColor="text1"/>
        </w:rPr>
        <w:t>lan</w:t>
      </w:r>
      <w:r w:rsidR="006F2744" w:rsidRPr="004C70EC">
        <w:rPr>
          <w:rFonts w:eastAsia="Times New Roman"/>
          <w:noProof/>
          <w:color w:val="000000" w:themeColor="text1"/>
          <w:lang w:val="en-IE" w:eastAsia="en-GB"/>
        </w:rPr>
        <w:t> </w:t>
      </w:r>
      <w:r w:rsidR="0022048A" w:rsidRPr="004C70EC">
        <w:rPr>
          <w:rStyle w:val="FootnoteReference"/>
          <w:rFonts w:eastAsia="Times New Roman"/>
          <w:noProof/>
          <w:color w:val="000000" w:themeColor="text1"/>
        </w:rPr>
        <w:footnoteReference w:id="33"/>
      </w:r>
      <w:r w:rsidR="0022048A" w:rsidRPr="004C70EC">
        <w:rPr>
          <w:rFonts w:eastAsia="Times New Roman"/>
          <w:b/>
          <w:noProof/>
          <w:color w:val="000000" w:themeColor="text1"/>
        </w:rPr>
        <w:t xml:space="preserve">, </w:t>
      </w:r>
      <w:r w:rsidRPr="004C70EC">
        <w:rPr>
          <w:rFonts w:eastAsia="Times New Roman"/>
          <w:noProof/>
          <w:color w:val="000000" w:themeColor="text1"/>
        </w:rPr>
        <w:t>the</w:t>
      </w:r>
      <w:r w:rsidRPr="004C70EC">
        <w:rPr>
          <w:rFonts w:eastAsia="Times New Roman"/>
          <w:b/>
          <w:noProof/>
          <w:color w:val="000000" w:themeColor="text1"/>
        </w:rPr>
        <w:t xml:space="preserve"> E</w:t>
      </w:r>
      <w:r w:rsidR="46F58157" w:rsidRPr="004C70EC">
        <w:rPr>
          <w:rFonts w:eastAsia="Times New Roman"/>
          <w:b/>
          <w:noProof/>
          <w:color w:val="000000" w:themeColor="text1"/>
        </w:rPr>
        <w:t>uropean</w:t>
      </w:r>
      <w:r w:rsidRPr="004C70EC">
        <w:rPr>
          <w:rFonts w:eastAsia="Times New Roman"/>
          <w:b/>
          <w:noProof/>
          <w:color w:val="000000" w:themeColor="text1"/>
        </w:rPr>
        <w:t xml:space="preserve"> AI Act</w:t>
      </w:r>
      <w:r w:rsidR="006F2744" w:rsidRPr="004C70EC">
        <w:rPr>
          <w:rFonts w:eastAsia="Times New Roman"/>
          <w:noProof/>
          <w:color w:val="000000" w:themeColor="text1"/>
          <w:lang w:val="en-IE" w:eastAsia="en-GB"/>
        </w:rPr>
        <w:t> </w:t>
      </w:r>
      <w:r w:rsidRPr="004C70EC">
        <w:rPr>
          <w:rStyle w:val="FootnoteReference"/>
          <w:rFonts w:eastAsia="Times New Roman"/>
          <w:noProof/>
          <w:color w:val="000000" w:themeColor="text1"/>
        </w:rPr>
        <w:footnoteReference w:id="34"/>
      </w:r>
      <w:r w:rsidR="0022048A" w:rsidRPr="004C70EC">
        <w:rPr>
          <w:rFonts w:eastAsia="Times New Roman"/>
          <w:b/>
          <w:noProof/>
          <w:color w:val="000000" w:themeColor="text1"/>
        </w:rPr>
        <w:t xml:space="preserve"> </w:t>
      </w:r>
      <w:r w:rsidRPr="004C70EC">
        <w:rPr>
          <w:rFonts w:eastAsia="Times New Roman"/>
          <w:noProof/>
          <w:color w:val="000000" w:themeColor="text1"/>
        </w:rPr>
        <w:t xml:space="preserve">and the </w:t>
      </w:r>
      <w:r w:rsidRPr="004C70EC">
        <w:rPr>
          <w:rFonts w:eastAsia="Times New Roman"/>
          <w:b/>
          <w:noProof/>
          <w:color w:val="000000" w:themeColor="text1"/>
        </w:rPr>
        <w:t xml:space="preserve">Data </w:t>
      </w:r>
      <w:r w:rsidRPr="004C70EC" w:rsidDel="00B46ABD">
        <w:rPr>
          <w:rFonts w:eastAsia="Times New Roman"/>
          <w:b/>
          <w:noProof/>
          <w:color w:val="000000" w:themeColor="text1"/>
        </w:rPr>
        <w:t>U</w:t>
      </w:r>
      <w:r w:rsidRPr="004C70EC">
        <w:rPr>
          <w:rFonts w:eastAsia="Times New Roman"/>
          <w:b/>
          <w:noProof/>
          <w:color w:val="000000" w:themeColor="text1"/>
        </w:rPr>
        <w:t xml:space="preserve">nion </w:t>
      </w:r>
      <w:r w:rsidR="00B46ABD" w:rsidRPr="004C70EC">
        <w:rPr>
          <w:rFonts w:eastAsia="Times New Roman"/>
          <w:b/>
          <w:noProof/>
          <w:color w:val="000000" w:themeColor="text1"/>
        </w:rPr>
        <w:t>s</w:t>
      </w:r>
      <w:r w:rsidRPr="004C70EC">
        <w:rPr>
          <w:rFonts w:eastAsia="Times New Roman"/>
          <w:b/>
          <w:noProof/>
          <w:color w:val="000000" w:themeColor="text1"/>
        </w:rPr>
        <w:t>trategy</w:t>
      </w:r>
      <w:r w:rsidR="006F2744" w:rsidRPr="004C70EC">
        <w:rPr>
          <w:rFonts w:eastAsia="Times New Roman"/>
          <w:noProof/>
          <w:color w:val="000000" w:themeColor="text1"/>
          <w:lang w:val="en-IE" w:eastAsia="en-GB"/>
        </w:rPr>
        <w:t> </w:t>
      </w:r>
      <w:r w:rsidRPr="004C70EC">
        <w:rPr>
          <w:rStyle w:val="FootnoteReference"/>
          <w:rFonts w:eastAsia="Times New Roman"/>
          <w:noProof/>
          <w:color w:val="000000" w:themeColor="text1"/>
        </w:rPr>
        <w:footnoteReference w:id="35"/>
      </w:r>
      <w:r w:rsidR="00DD79E5" w:rsidRPr="004C70EC">
        <w:rPr>
          <w:rFonts w:eastAsia="Times New Roman"/>
          <w:b/>
          <w:noProof/>
          <w:color w:val="000000" w:themeColor="text1"/>
        </w:rPr>
        <w:t>,</w:t>
      </w:r>
      <w:r w:rsidRPr="004C70EC">
        <w:rPr>
          <w:rFonts w:eastAsia="Times New Roman"/>
          <w:noProof/>
          <w:color w:val="000000" w:themeColor="text1"/>
        </w:rPr>
        <w:t xml:space="preserve"> which stress the need to strengthen Europe’s innovation capacity, technological competitiveness and secure</w:t>
      </w:r>
      <w:r w:rsidR="00DD79E5" w:rsidRPr="004C70EC">
        <w:rPr>
          <w:rFonts w:eastAsia="Times New Roman"/>
          <w:noProof/>
          <w:color w:val="000000" w:themeColor="text1"/>
        </w:rPr>
        <w:t>,</w:t>
      </w:r>
      <w:r w:rsidRPr="004C70EC">
        <w:rPr>
          <w:rFonts w:eastAsia="Times New Roman"/>
          <w:noProof/>
          <w:color w:val="000000" w:themeColor="text1"/>
        </w:rPr>
        <w:t xml:space="preserve"> data-driven ecosystems while supporting the biotechnology landscape. </w:t>
      </w:r>
    </w:p>
    <w:p w14:paraId="6989955F" w14:textId="77777777" w:rsidR="005257E7" w:rsidRPr="004C70EC" w:rsidRDefault="32A1760B" w:rsidP="33CE1D06">
      <w:pPr>
        <w:pBdr>
          <w:top w:val="nil"/>
          <w:left w:val="nil"/>
          <w:bottom w:val="nil"/>
          <w:right w:val="nil"/>
          <w:between w:val="nil"/>
          <w:bar w:val="nil"/>
        </w:pBdr>
        <w:spacing w:after="240"/>
        <w:rPr>
          <w:rFonts w:eastAsia="Times New Roman"/>
          <w:noProof/>
          <w:color w:val="000000" w:themeColor="text1"/>
          <w:lang w:val="en-US"/>
        </w:rPr>
      </w:pPr>
      <w:r w:rsidRPr="004C70EC">
        <w:rPr>
          <w:rFonts w:eastAsia="Times New Roman"/>
          <w:noProof/>
          <w:color w:val="000000" w:themeColor="text1"/>
          <w:lang w:val="en-US" w:eastAsia="en-GB"/>
        </w:rPr>
        <w:t xml:space="preserve">Overall, the Biotech Act is also consistent with the </w:t>
      </w:r>
      <w:r w:rsidR="00BA3073" w:rsidRPr="004C70EC">
        <w:rPr>
          <w:rFonts w:eastAsia="Times New Roman"/>
          <w:b/>
          <w:noProof/>
          <w:color w:val="000000" w:themeColor="text1"/>
          <w:lang w:val="en-US" w:eastAsia="en-GB"/>
        </w:rPr>
        <w:t>v</w:t>
      </w:r>
      <w:r w:rsidRPr="004C70EC">
        <w:rPr>
          <w:rFonts w:eastAsia="Times New Roman"/>
          <w:b/>
          <w:noProof/>
          <w:color w:val="000000" w:themeColor="text1"/>
          <w:lang w:val="en-US" w:eastAsia="en-GB"/>
        </w:rPr>
        <w:t xml:space="preserve">ision for </w:t>
      </w:r>
      <w:r w:rsidR="00BA3073" w:rsidRPr="004C70EC">
        <w:rPr>
          <w:rFonts w:eastAsia="Times New Roman"/>
          <w:b/>
          <w:noProof/>
          <w:color w:val="000000" w:themeColor="text1"/>
          <w:lang w:val="en-US" w:eastAsia="en-GB"/>
        </w:rPr>
        <w:t>a</w:t>
      </w:r>
      <w:r w:rsidRPr="004C70EC">
        <w:rPr>
          <w:rFonts w:eastAsia="Times New Roman"/>
          <w:b/>
          <w:noProof/>
          <w:color w:val="000000" w:themeColor="text1"/>
          <w:lang w:val="en-US" w:eastAsia="en-GB"/>
        </w:rPr>
        <w:t xml:space="preserve">griculture and </w:t>
      </w:r>
      <w:r w:rsidR="00BA3073" w:rsidRPr="004C70EC">
        <w:rPr>
          <w:rFonts w:eastAsia="Times New Roman"/>
          <w:b/>
          <w:noProof/>
          <w:color w:val="000000" w:themeColor="text1"/>
          <w:lang w:val="en-US" w:eastAsia="en-GB"/>
        </w:rPr>
        <w:t>f</w:t>
      </w:r>
      <w:r w:rsidRPr="004C70EC">
        <w:rPr>
          <w:rFonts w:eastAsia="Times New Roman"/>
          <w:b/>
          <w:noProof/>
          <w:color w:val="000000" w:themeColor="text1"/>
          <w:lang w:val="en-US" w:eastAsia="en-GB"/>
        </w:rPr>
        <w:t>ood</w:t>
      </w:r>
      <w:r w:rsidR="006F2744" w:rsidRPr="004C70EC">
        <w:rPr>
          <w:rFonts w:eastAsia="Times New Roman"/>
          <w:noProof/>
          <w:color w:val="000000" w:themeColor="text1"/>
          <w:lang w:val="en-IE" w:eastAsia="en-GB"/>
        </w:rPr>
        <w:t> </w:t>
      </w:r>
      <w:r w:rsidR="005257E7" w:rsidRPr="004C70EC">
        <w:rPr>
          <w:rStyle w:val="FootnoteReference"/>
          <w:noProof/>
          <w:color w:val="000000" w:themeColor="text1"/>
          <w:bdr w:val="nil"/>
          <w:lang w:eastAsia="en-GB"/>
        </w:rPr>
        <w:footnoteReference w:id="36"/>
      </w:r>
      <w:r w:rsidRPr="004C70EC">
        <w:rPr>
          <w:rStyle w:val="FootnoteReference"/>
          <w:noProof/>
          <w:color w:val="000000" w:themeColor="text1"/>
          <w:bdr w:val="nil"/>
        </w:rPr>
        <w:t>.</w:t>
      </w:r>
      <w:r w:rsidRPr="004C70EC">
        <w:rPr>
          <w:rFonts w:eastAsia="Times New Roman"/>
          <w:noProof/>
          <w:color w:val="000000" w:themeColor="text1"/>
          <w:lang w:val="en-US" w:eastAsia="en-GB"/>
        </w:rPr>
        <w:t xml:space="preserve">, </w:t>
      </w:r>
      <w:r w:rsidR="006B31D4" w:rsidRPr="004C70EC">
        <w:rPr>
          <w:rFonts w:eastAsia="Times New Roman"/>
          <w:noProof/>
          <w:color w:val="000000" w:themeColor="text1"/>
          <w:lang w:val="en-US" w:eastAsia="en-GB"/>
        </w:rPr>
        <w:t>as it</w:t>
      </w:r>
      <w:r w:rsidRPr="004C70EC">
        <w:rPr>
          <w:rFonts w:eastAsia="Times New Roman"/>
          <w:noProof/>
          <w:color w:val="000000" w:themeColor="text1"/>
          <w:lang w:val="en-US" w:eastAsia="en-GB"/>
        </w:rPr>
        <w:t xml:space="preserve"> amend</w:t>
      </w:r>
      <w:r w:rsidR="006B31D4" w:rsidRPr="004C70EC">
        <w:rPr>
          <w:rFonts w:eastAsia="Times New Roman"/>
          <w:noProof/>
          <w:color w:val="000000" w:themeColor="text1"/>
          <w:lang w:val="en-US" w:eastAsia="en-GB"/>
        </w:rPr>
        <w:t>s</w:t>
      </w:r>
      <w:r w:rsidRPr="004C70EC">
        <w:rPr>
          <w:rFonts w:eastAsia="Times New Roman"/>
          <w:noProof/>
          <w:color w:val="000000" w:themeColor="text1"/>
          <w:lang w:val="en-US" w:eastAsia="en-GB"/>
        </w:rPr>
        <w:t xml:space="preserve"> the General Food Law to broaden the scope of pre-submission advice provided by </w:t>
      </w:r>
      <w:r w:rsidR="008B7E33" w:rsidRPr="004C70EC">
        <w:rPr>
          <w:rFonts w:eastAsia="Times New Roman"/>
          <w:noProof/>
          <w:color w:val="000000" w:themeColor="text1"/>
          <w:lang w:val="en-US" w:eastAsia="en-GB"/>
        </w:rPr>
        <w:t xml:space="preserve">the European Food </w:t>
      </w:r>
      <w:r w:rsidR="008471AD" w:rsidRPr="004C70EC">
        <w:rPr>
          <w:rFonts w:eastAsia="Times New Roman"/>
          <w:noProof/>
          <w:color w:val="000000" w:themeColor="text1"/>
          <w:lang w:val="en-US" w:eastAsia="en-GB"/>
        </w:rPr>
        <w:t>S</w:t>
      </w:r>
      <w:r w:rsidR="008B7E33" w:rsidRPr="004C70EC">
        <w:rPr>
          <w:rFonts w:eastAsia="Times New Roman"/>
          <w:noProof/>
          <w:color w:val="000000" w:themeColor="text1"/>
          <w:lang w:val="en-US" w:eastAsia="en-GB"/>
        </w:rPr>
        <w:t xml:space="preserve">afety Authority </w:t>
      </w:r>
      <w:r w:rsidR="00D51650"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EFSA</w:t>
      </w:r>
      <w:r w:rsidR="00D51650"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 xml:space="preserve"> to study design, and reform</w:t>
      </w:r>
      <w:r w:rsidR="00D51650" w:rsidRPr="004C70EC">
        <w:rPr>
          <w:rFonts w:eastAsia="Times New Roman"/>
          <w:noProof/>
          <w:color w:val="000000" w:themeColor="text1"/>
          <w:lang w:val="en-US" w:eastAsia="en-GB"/>
        </w:rPr>
        <w:t>s</w:t>
      </w:r>
      <w:r w:rsidRPr="004C70EC">
        <w:rPr>
          <w:rFonts w:eastAsia="Times New Roman"/>
          <w:noProof/>
          <w:color w:val="000000" w:themeColor="text1"/>
          <w:lang w:val="en-US" w:eastAsia="en-GB"/>
        </w:rPr>
        <w:t xml:space="preserve"> the EFSA Panel system to speed up risk assessment procedures.</w:t>
      </w:r>
    </w:p>
    <w:p w14:paraId="5E3453AC" w14:textId="77777777" w:rsidR="00E934F2" w:rsidRPr="004C70EC" w:rsidRDefault="0048441B">
      <w:pPr>
        <w:rPr>
          <w:rFonts w:eastAsia="Times New Roman"/>
          <w:noProof/>
          <w:color w:val="000000" w:themeColor="text1"/>
          <w:szCs w:val="24"/>
          <w:lang w:val="en-US" w:eastAsia="en-GB"/>
        </w:rPr>
      </w:pPr>
      <w:r w:rsidRPr="004C70EC">
        <w:rPr>
          <w:rFonts w:eastAsia="Times New Roman"/>
          <w:noProof/>
          <w:color w:val="000000" w:themeColor="text1"/>
          <w:lang w:val="en-US" w:eastAsia="en-GB"/>
        </w:rPr>
        <w:t>Lastly</w:t>
      </w:r>
      <w:r w:rsidR="00E934F2" w:rsidRPr="004C70EC">
        <w:rPr>
          <w:rFonts w:eastAsia="Times New Roman"/>
          <w:noProof/>
          <w:color w:val="000000" w:themeColor="text1"/>
          <w:lang w:val="en-US" w:eastAsia="en-GB"/>
        </w:rPr>
        <w:t xml:space="preserve">, the proposed Act was informed by the preparation of </w:t>
      </w:r>
      <w:r w:rsidR="005257E7" w:rsidRPr="004C70EC">
        <w:rPr>
          <w:rFonts w:eastAsia="Times New Roman"/>
          <w:noProof/>
          <w:color w:val="000000" w:themeColor="text1"/>
          <w:lang w:val="en-US" w:eastAsia="en-GB"/>
        </w:rPr>
        <w:t>upcoming and recent</w:t>
      </w:r>
      <w:r w:rsidR="00E934F2" w:rsidRPr="004C70EC">
        <w:rPr>
          <w:rFonts w:eastAsia="Times New Roman"/>
          <w:noProof/>
          <w:color w:val="000000" w:themeColor="text1"/>
          <w:lang w:val="en-US" w:eastAsia="en-GB"/>
        </w:rPr>
        <w:t xml:space="preserve"> initiatives, </w:t>
      </w:r>
      <w:r w:rsidR="005257E7" w:rsidRPr="004C70EC">
        <w:rPr>
          <w:rFonts w:eastAsia="Times New Roman"/>
          <w:noProof/>
          <w:color w:val="000000" w:themeColor="text1"/>
          <w:lang w:val="en-US" w:eastAsia="en-GB"/>
        </w:rPr>
        <w:t>such as</w:t>
      </w:r>
      <w:r w:rsidR="00E934F2" w:rsidRPr="004C70EC">
        <w:rPr>
          <w:rFonts w:eastAsia="Times New Roman"/>
          <w:noProof/>
          <w:color w:val="000000" w:themeColor="text1"/>
          <w:lang w:val="en-US" w:eastAsia="en-GB"/>
        </w:rPr>
        <w:t xml:space="preserve"> the future </w:t>
      </w:r>
      <w:r w:rsidR="00E934F2" w:rsidRPr="004C70EC">
        <w:rPr>
          <w:rFonts w:eastAsia="Times New Roman"/>
          <w:b/>
          <w:noProof/>
          <w:color w:val="000000" w:themeColor="text1"/>
          <w:lang w:val="en-US" w:eastAsia="en-GB"/>
        </w:rPr>
        <w:t>European Innovation Act</w:t>
      </w:r>
      <w:r w:rsidR="006F2744" w:rsidRPr="004C70EC">
        <w:rPr>
          <w:rFonts w:eastAsia="Times New Roman"/>
          <w:noProof/>
          <w:color w:val="000000" w:themeColor="text1"/>
          <w:lang w:val="en-IE" w:eastAsia="en-GB"/>
        </w:rPr>
        <w:t> </w:t>
      </w:r>
      <w:r w:rsidR="00E934F2" w:rsidRPr="004C70EC">
        <w:rPr>
          <w:rStyle w:val="FootnoteReference"/>
          <w:rFonts w:eastAsia="Times New Roman"/>
          <w:noProof/>
          <w:color w:val="000000" w:themeColor="text1"/>
          <w:bdr w:val="nil"/>
          <w:lang w:val="en-US" w:eastAsia="en-GB"/>
        </w:rPr>
        <w:footnoteReference w:id="37"/>
      </w:r>
      <w:r w:rsidR="00E934F2" w:rsidRPr="004C70EC">
        <w:rPr>
          <w:rFonts w:eastAsia="Times New Roman"/>
          <w:noProof/>
          <w:color w:val="000000" w:themeColor="text1"/>
          <w:lang w:val="en-US" w:eastAsia="en-GB"/>
        </w:rPr>
        <w:t xml:space="preserve"> and the </w:t>
      </w:r>
      <w:r w:rsidR="12BA3753" w:rsidRPr="004C70EC">
        <w:rPr>
          <w:rFonts w:eastAsia="Times New Roman"/>
          <w:noProof/>
          <w:color w:val="000000" w:themeColor="text1"/>
          <w:lang w:val="en-US" w:eastAsia="en-GB"/>
        </w:rPr>
        <w:t xml:space="preserve">recently adopted </w:t>
      </w:r>
      <w:r w:rsidR="00DC4468" w:rsidRPr="004C70EC">
        <w:rPr>
          <w:rFonts w:eastAsia="Times New Roman"/>
          <w:b/>
          <w:noProof/>
          <w:color w:val="000000" w:themeColor="text1"/>
          <w:lang w:val="en-US" w:eastAsia="en-GB"/>
        </w:rPr>
        <w:t>b</w:t>
      </w:r>
      <w:r w:rsidR="00E934F2" w:rsidRPr="004C70EC">
        <w:rPr>
          <w:rFonts w:eastAsia="Times New Roman"/>
          <w:b/>
          <w:noProof/>
          <w:color w:val="000000" w:themeColor="text1"/>
          <w:lang w:val="en-US" w:eastAsia="en-GB"/>
        </w:rPr>
        <w:t xml:space="preserve">ioeconomy </w:t>
      </w:r>
      <w:r w:rsidR="00DC4468" w:rsidRPr="004C70EC">
        <w:rPr>
          <w:rFonts w:eastAsia="Times New Roman"/>
          <w:b/>
          <w:noProof/>
          <w:color w:val="000000" w:themeColor="text1"/>
          <w:lang w:val="en-US" w:eastAsia="en-GB"/>
        </w:rPr>
        <w:t>s</w:t>
      </w:r>
      <w:r w:rsidR="00E934F2" w:rsidRPr="004C70EC">
        <w:rPr>
          <w:rFonts w:eastAsia="Times New Roman"/>
          <w:b/>
          <w:noProof/>
          <w:color w:val="000000" w:themeColor="text1"/>
          <w:lang w:val="en-US" w:eastAsia="en-GB"/>
        </w:rPr>
        <w:t>trategy</w:t>
      </w:r>
      <w:r w:rsidR="006F2744" w:rsidRPr="004C70EC">
        <w:rPr>
          <w:rFonts w:eastAsia="Times New Roman"/>
          <w:noProof/>
          <w:color w:val="000000" w:themeColor="text1"/>
          <w:lang w:val="en-IE" w:eastAsia="en-GB"/>
        </w:rPr>
        <w:t> </w:t>
      </w:r>
      <w:r w:rsidR="00E934F2" w:rsidRPr="004C70EC">
        <w:rPr>
          <w:rStyle w:val="FootnoteReference"/>
          <w:rFonts w:eastAsia="Times New Roman"/>
          <w:noProof/>
          <w:color w:val="000000" w:themeColor="text1"/>
          <w:bdr w:val="nil"/>
          <w:lang w:val="en-US" w:eastAsia="en-GB"/>
        </w:rPr>
        <w:footnoteReference w:id="38"/>
      </w:r>
      <w:r w:rsidR="00DC4468" w:rsidRPr="004C70EC">
        <w:rPr>
          <w:rFonts w:eastAsia="Times New Roman"/>
          <w:b/>
          <w:noProof/>
          <w:color w:val="000000" w:themeColor="text1"/>
          <w:lang w:val="en-US" w:eastAsia="en-GB"/>
        </w:rPr>
        <w:t xml:space="preserve">, </w:t>
      </w:r>
      <w:r w:rsidR="00DC4468" w:rsidRPr="004C70EC">
        <w:rPr>
          <w:rFonts w:eastAsia="Times New Roman"/>
          <w:noProof/>
          <w:color w:val="000000" w:themeColor="text1"/>
          <w:lang w:val="en-US" w:eastAsia="en-GB"/>
        </w:rPr>
        <w:t>in order to ensure synergies</w:t>
      </w:r>
      <w:r w:rsidR="00E934F2" w:rsidRPr="004C70EC">
        <w:rPr>
          <w:rFonts w:eastAsia="Times New Roman"/>
          <w:noProof/>
          <w:color w:val="000000" w:themeColor="text1"/>
          <w:lang w:val="en-US" w:eastAsia="en-GB"/>
        </w:rPr>
        <w:t xml:space="preserve">. </w:t>
      </w:r>
    </w:p>
    <w:p w14:paraId="187AD87C" w14:textId="77777777" w:rsidR="008079CD" w:rsidRPr="004C70EC" w:rsidRDefault="64F280F3" w:rsidP="33CE1D06">
      <w:pPr>
        <w:pBdr>
          <w:top w:val="nil"/>
          <w:left w:val="nil"/>
          <w:bottom w:val="nil"/>
          <w:right w:val="nil"/>
          <w:between w:val="nil"/>
          <w:bar w:val="nil"/>
        </w:pBdr>
        <w:spacing w:after="240"/>
        <w:rPr>
          <w:rFonts w:eastAsia="Times New Roman"/>
          <w:noProof/>
          <w:color w:val="000000" w:themeColor="text1"/>
        </w:rPr>
      </w:pPr>
      <w:r w:rsidRPr="004C70EC">
        <w:rPr>
          <w:rFonts w:eastAsia="Times New Roman"/>
          <w:noProof/>
          <w:color w:val="000000" w:themeColor="text1"/>
        </w:rPr>
        <w:t xml:space="preserve">Furthermore, </w:t>
      </w:r>
      <w:r w:rsidR="7CC9676E" w:rsidRPr="004C70EC">
        <w:rPr>
          <w:rFonts w:eastAsia="Times New Roman"/>
          <w:noProof/>
          <w:color w:val="000000" w:themeColor="text1"/>
        </w:rPr>
        <w:t xml:space="preserve">climate change has shown the need to also prioritise the resilience of the Union, including, for instance to focus on sustainable food systems, stronger health prevention and innovative health solutions. In this context, biotechnology has been identified in the </w:t>
      </w:r>
      <w:r w:rsidR="7CC9676E" w:rsidRPr="004C70EC">
        <w:rPr>
          <w:rFonts w:eastAsia="Times New Roman"/>
          <w:b/>
          <w:noProof/>
          <w:color w:val="000000" w:themeColor="text1"/>
        </w:rPr>
        <w:t>Farm to Fork Strategy</w:t>
      </w:r>
      <w:r w:rsidR="0015562D" w:rsidRPr="004C70EC">
        <w:rPr>
          <w:rFonts w:eastAsia="Times New Roman"/>
          <w:noProof/>
          <w:color w:val="000000" w:themeColor="text1"/>
          <w:lang w:val="en-IE" w:eastAsia="en-GB"/>
        </w:rPr>
        <w:t> </w:t>
      </w:r>
      <w:r w:rsidR="008079CD" w:rsidRPr="004C70EC">
        <w:rPr>
          <w:rStyle w:val="FootnoteReference"/>
          <w:rFonts w:eastAsia="Times New Roman"/>
          <w:noProof/>
          <w:color w:val="000000" w:themeColor="text1"/>
        </w:rPr>
        <w:footnoteReference w:id="39"/>
      </w:r>
      <w:r w:rsidR="7CC9676E" w:rsidRPr="004C70EC">
        <w:rPr>
          <w:rFonts w:eastAsia="Times New Roman"/>
          <w:noProof/>
          <w:color w:val="000000" w:themeColor="text1"/>
        </w:rPr>
        <w:t xml:space="preserve">, which is a key component of the </w:t>
      </w:r>
      <w:r w:rsidR="7CC9676E" w:rsidRPr="004C70EC">
        <w:rPr>
          <w:rFonts w:eastAsia="Times New Roman"/>
          <w:b/>
          <w:noProof/>
          <w:color w:val="000000" w:themeColor="text1"/>
        </w:rPr>
        <w:t>European Green Deal</w:t>
      </w:r>
      <w:r w:rsidR="0015562D" w:rsidRPr="004C70EC">
        <w:rPr>
          <w:rFonts w:eastAsia="Times New Roman"/>
          <w:noProof/>
          <w:color w:val="000000" w:themeColor="text1"/>
          <w:lang w:val="en-IE" w:eastAsia="en-GB"/>
        </w:rPr>
        <w:t> </w:t>
      </w:r>
      <w:r w:rsidR="008079CD" w:rsidRPr="004C70EC">
        <w:rPr>
          <w:rStyle w:val="FootnoteReference"/>
          <w:rFonts w:eastAsia="Times New Roman"/>
          <w:noProof/>
          <w:color w:val="000000" w:themeColor="text1"/>
        </w:rPr>
        <w:footnoteReference w:id="40"/>
      </w:r>
      <w:r w:rsidR="7CC9676E" w:rsidRPr="004C70EC">
        <w:rPr>
          <w:rFonts w:eastAsia="Times New Roman"/>
          <w:noProof/>
          <w:color w:val="000000" w:themeColor="text1"/>
        </w:rPr>
        <w:t xml:space="preserve">, as a technique that is safe for consumers and the environment. The proposed Act is also consistent with the European Commission’s objectives to achieve climate neutrality set out in the </w:t>
      </w:r>
      <w:r w:rsidR="7CC9676E" w:rsidRPr="004C70EC">
        <w:rPr>
          <w:rFonts w:eastAsia="Times New Roman"/>
          <w:b/>
          <w:noProof/>
          <w:color w:val="000000" w:themeColor="text1"/>
        </w:rPr>
        <w:t>EU Climate Law</w:t>
      </w:r>
      <w:r w:rsidR="0015562D" w:rsidRPr="004C70EC">
        <w:rPr>
          <w:rFonts w:eastAsia="Times New Roman"/>
          <w:noProof/>
          <w:color w:val="000000" w:themeColor="text1"/>
          <w:lang w:val="en-IE" w:eastAsia="en-GB"/>
        </w:rPr>
        <w:t> </w:t>
      </w:r>
      <w:r w:rsidR="008079CD" w:rsidRPr="004C70EC">
        <w:rPr>
          <w:rStyle w:val="FootnoteReference"/>
          <w:rFonts w:eastAsia="Times New Roman"/>
          <w:noProof/>
          <w:color w:val="000000" w:themeColor="text1"/>
        </w:rPr>
        <w:footnoteReference w:id="41"/>
      </w:r>
      <w:r w:rsidR="7CC9676E" w:rsidRPr="004C70EC">
        <w:rPr>
          <w:rFonts w:eastAsia="Times New Roman"/>
          <w:noProof/>
          <w:color w:val="000000" w:themeColor="text1"/>
        </w:rPr>
        <w:t xml:space="preserve"> and the </w:t>
      </w:r>
      <w:r w:rsidR="7CC9676E" w:rsidRPr="004C70EC">
        <w:rPr>
          <w:rFonts w:eastAsia="Times New Roman"/>
          <w:b/>
          <w:noProof/>
          <w:color w:val="000000" w:themeColor="text1"/>
        </w:rPr>
        <w:t>Union’s Strategy on Adaptation to Climate Change</w:t>
      </w:r>
      <w:r w:rsidR="0015562D" w:rsidRPr="004C70EC">
        <w:rPr>
          <w:rFonts w:eastAsia="Times New Roman"/>
          <w:noProof/>
          <w:color w:val="000000" w:themeColor="text1"/>
          <w:lang w:val="en-IE" w:eastAsia="en-GB"/>
        </w:rPr>
        <w:t> </w:t>
      </w:r>
      <w:r w:rsidR="008079CD" w:rsidRPr="004C70EC">
        <w:rPr>
          <w:rStyle w:val="FootnoteReference"/>
          <w:rFonts w:eastAsia="Times New Roman"/>
          <w:noProof/>
          <w:color w:val="000000" w:themeColor="text1"/>
        </w:rPr>
        <w:footnoteReference w:id="42"/>
      </w:r>
      <w:r w:rsidR="7CC9676E" w:rsidRPr="004C70EC">
        <w:rPr>
          <w:rFonts w:eastAsia="Times New Roman"/>
          <w:noProof/>
          <w:color w:val="000000" w:themeColor="text1"/>
        </w:rPr>
        <w:t xml:space="preserve">. </w:t>
      </w:r>
    </w:p>
    <w:p w14:paraId="3BCFCF36" w14:textId="77777777" w:rsidR="7CC9676E" w:rsidRPr="004C70EC" w:rsidRDefault="7CC9676E" w:rsidP="33CE1D06">
      <w:pPr>
        <w:pBdr>
          <w:top w:val="nil"/>
          <w:left w:val="nil"/>
          <w:bottom w:val="nil"/>
          <w:right w:val="nil"/>
          <w:between w:val="nil"/>
          <w:bar w:val="nil"/>
        </w:pBdr>
        <w:spacing w:after="240"/>
        <w:rPr>
          <w:rFonts w:eastAsia="Times New Roman"/>
          <w:noProof/>
          <w:color w:val="000000" w:themeColor="text1"/>
        </w:rPr>
      </w:pPr>
      <w:r w:rsidRPr="004C70EC">
        <w:rPr>
          <w:rFonts w:eastAsia="Times New Roman"/>
          <w:noProof/>
          <w:color w:val="000000" w:themeColor="text1"/>
        </w:rPr>
        <w:t xml:space="preserve">In this context, the proposed </w:t>
      </w:r>
      <w:r w:rsidR="00D70F08" w:rsidRPr="004C70EC">
        <w:rPr>
          <w:rFonts w:eastAsia="Times New Roman"/>
          <w:noProof/>
          <w:color w:val="000000" w:themeColor="text1"/>
        </w:rPr>
        <w:t xml:space="preserve">European </w:t>
      </w:r>
      <w:r w:rsidRPr="004C70EC">
        <w:rPr>
          <w:rFonts w:eastAsia="Times New Roman"/>
          <w:noProof/>
          <w:color w:val="000000" w:themeColor="text1"/>
        </w:rPr>
        <w:t>Biotech Act, including through its measures supporting innovation, will accelerate the placing on the market</w:t>
      </w:r>
      <w:r w:rsidR="13172069" w:rsidRPr="004C70EC">
        <w:rPr>
          <w:rFonts w:eastAsia="Times New Roman"/>
          <w:noProof/>
          <w:color w:val="000000" w:themeColor="text1"/>
        </w:rPr>
        <w:t xml:space="preserve"> of</w:t>
      </w:r>
      <w:r w:rsidRPr="004C70EC">
        <w:rPr>
          <w:rFonts w:eastAsia="Times New Roman"/>
          <w:noProof/>
          <w:color w:val="000000" w:themeColor="text1"/>
        </w:rPr>
        <w:t xml:space="preserve"> biotechnology products that are adaptable to climate change, that contribute to health and food security through sustainable biomanufacturing and </w:t>
      </w:r>
      <w:r w:rsidR="59415C23" w:rsidRPr="004C70EC">
        <w:rPr>
          <w:rFonts w:eastAsia="Times New Roman"/>
          <w:noProof/>
          <w:color w:val="000000" w:themeColor="text1"/>
        </w:rPr>
        <w:t xml:space="preserve">to </w:t>
      </w:r>
      <w:r w:rsidRPr="004C70EC">
        <w:rPr>
          <w:rFonts w:eastAsia="Times New Roman"/>
          <w:noProof/>
          <w:color w:val="000000" w:themeColor="text1"/>
        </w:rPr>
        <w:t>the protection of biodiversity</w:t>
      </w:r>
      <w:r w:rsidR="7A0A2E11" w:rsidRPr="004C70EC">
        <w:rPr>
          <w:rFonts w:eastAsia="Times New Roman"/>
          <w:noProof/>
          <w:color w:val="000000" w:themeColor="text1"/>
        </w:rPr>
        <w:t xml:space="preserve">. Such biotechnology products </w:t>
      </w:r>
      <w:r w:rsidR="47708420" w:rsidRPr="004C70EC">
        <w:rPr>
          <w:rFonts w:eastAsia="Times New Roman"/>
          <w:noProof/>
          <w:color w:val="000000" w:themeColor="text1"/>
        </w:rPr>
        <w:t>have</w:t>
      </w:r>
      <w:r w:rsidR="07131581" w:rsidRPr="004C70EC">
        <w:rPr>
          <w:rFonts w:eastAsia="Times New Roman"/>
          <w:noProof/>
          <w:color w:val="000000" w:themeColor="text1"/>
        </w:rPr>
        <w:t xml:space="preserve"> also </w:t>
      </w:r>
      <w:r w:rsidR="47708420" w:rsidRPr="004C70EC">
        <w:rPr>
          <w:rFonts w:eastAsia="Times New Roman"/>
          <w:noProof/>
          <w:color w:val="000000" w:themeColor="text1"/>
        </w:rPr>
        <w:t>the potential to replace products potentially more harmful for the environment</w:t>
      </w:r>
      <w:r w:rsidR="33DDC873" w:rsidRPr="004C70EC">
        <w:rPr>
          <w:rFonts w:eastAsia="Times New Roman"/>
          <w:noProof/>
          <w:color w:val="000000" w:themeColor="text1"/>
        </w:rPr>
        <w:t xml:space="preserve"> while providing great benefits for consumers and users</w:t>
      </w:r>
      <w:r w:rsidRPr="004C70EC">
        <w:rPr>
          <w:rFonts w:eastAsia="Times New Roman"/>
          <w:noProof/>
          <w:color w:val="000000" w:themeColor="text1"/>
        </w:rPr>
        <w:t xml:space="preserve">. Biotechnology and biomanufacturing will also need to comply with Union legislation in these areas, such as, the Regulation concerning the </w:t>
      </w:r>
      <w:r w:rsidRPr="004C70EC">
        <w:rPr>
          <w:rFonts w:eastAsia="Times New Roman"/>
          <w:b/>
          <w:noProof/>
          <w:color w:val="000000" w:themeColor="text1"/>
        </w:rPr>
        <w:t>Registration, Evaluation, Authorisation and Restriction of Chemicals (REACH)</w:t>
      </w:r>
      <w:r w:rsidRPr="004C70EC">
        <w:rPr>
          <w:rStyle w:val="FootnoteReference"/>
          <w:rFonts w:eastAsia="Times New Roman"/>
          <w:noProof/>
          <w:color w:val="000000" w:themeColor="text1"/>
        </w:rPr>
        <w:footnoteReference w:id="43"/>
      </w:r>
      <w:r w:rsidRPr="004C70EC">
        <w:rPr>
          <w:rFonts w:eastAsia="Times New Roman"/>
          <w:b/>
          <w:noProof/>
          <w:color w:val="000000" w:themeColor="text1"/>
        </w:rPr>
        <w:t xml:space="preserve"> </w:t>
      </w:r>
      <w:r w:rsidRPr="004C70EC">
        <w:rPr>
          <w:rFonts w:eastAsia="Times New Roman"/>
          <w:noProof/>
          <w:color w:val="000000" w:themeColor="text1"/>
        </w:rPr>
        <w:t>or</w:t>
      </w:r>
      <w:r w:rsidRPr="004C70EC">
        <w:rPr>
          <w:rFonts w:eastAsia="Times New Roman"/>
          <w:noProof/>
          <w:color w:val="000000" w:themeColor="text1"/>
          <w:lang w:val="en-IE" w:eastAsia="de-DE"/>
        </w:rPr>
        <w:t xml:space="preserve"> applying without prejudice to the provisions of </w:t>
      </w:r>
      <w:r w:rsidRPr="004C70EC">
        <w:rPr>
          <w:rFonts w:eastAsia="Times New Roman"/>
          <w:b/>
          <w:noProof/>
          <w:color w:val="000000" w:themeColor="text1"/>
          <w:lang w:val="en-IE" w:eastAsia="de-DE"/>
        </w:rPr>
        <w:t>Regulation (EU) 2024/1735 regarding sustainable biogas and biomethane technologies and biotech</w:t>
      </w:r>
      <w:r w:rsidR="3AB4C343" w:rsidRPr="004C70EC">
        <w:rPr>
          <w:rFonts w:eastAsia="Times New Roman"/>
          <w:b/>
          <w:noProof/>
          <w:color w:val="000000" w:themeColor="text1"/>
          <w:lang w:val="en-IE" w:eastAsia="de-DE"/>
        </w:rPr>
        <w:t>nology</w:t>
      </w:r>
      <w:r w:rsidRPr="004C70EC">
        <w:rPr>
          <w:rFonts w:eastAsia="Times New Roman"/>
          <w:b/>
          <w:noProof/>
          <w:color w:val="000000" w:themeColor="text1"/>
          <w:lang w:val="en-IE" w:eastAsia="de-DE"/>
        </w:rPr>
        <w:t xml:space="preserve"> climate and energy solutions</w:t>
      </w:r>
      <w:r w:rsidRPr="004C70EC">
        <w:rPr>
          <w:rStyle w:val="FootnoteReference"/>
          <w:rFonts w:eastAsia="Times New Roman"/>
          <w:noProof/>
          <w:color w:val="000000" w:themeColor="text1"/>
          <w:lang w:val="en-IE" w:eastAsia="de-DE"/>
        </w:rPr>
        <w:footnoteReference w:id="44"/>
      </w:r>
      <w:r w:rsidRPr="004C70EC">
        <w:rPr>
          <w:rFonts w:eastAsia="Times New Roman"/>
          <w:noProof/>
          <w:color w:val="000000" w:themeColor="text1"/>
          <w:lang w:val="en-IE" w:eastAsia="de-DE"/>
        </w:rPr>
        <w:t>.</w:t>
      </w:r>
    </w:p>
    <w:p w14:paraId="2E4D0D01" w14:textId="77777777" w:rsidR="1F2A523B" w:rsidRPr="004C70EC" w:rsidRDefault="1F2A523B" w:rsidP="00431990">
      <w:pPr>
        <w:spacing w:after="240"/>
        <w:rPr>
          <w:rFonts w:eastAsia="Times New Roman"/>
          <w:noProof/>
          <w:color w:val="000000" w:themeColor="text1"/>
          <w:szCs w:val="24"/>
          <w:lang w:val="en-US"/>
        </w:rPr>
      </w:pPr>
      <w:r w:rsidRPr="004C70EC">
        <w:rPr>
          <w:rFonts w:eastAsia="Times New Roman"/>
          <w:noProof/>
          <w:color w:val="000000" w:themeColor="text1"/>
          <w:szCs w:val="24"/>
          <w:lang w:val="en-US"/>
        </w:rPr>
        <w:t xml:space="preserve">This also shows that the proposed Act is in line with the </w:t>
      </w:r>
      <w:r w:rsidRPr="004C70EC">
        <w:rPr>
          <w:rFonts w:eastAsia="Times New Roman"/>
          <w:b/>
          <w:bCs/>
          <w:noProof/>
          <w:color w:val="000000" w:themeColor="text1"/>
          <w:szCs w:val="24"/>
          <w:lang w:val="en-US"/>
        </w:rPr>
        <w:t>‘do no significant harm’</w:t>
      </w:r>
      <w:r w:rsidRPr="004C70EC">
        <w:rPr>
          <w:rFonts w:eastAsia="Times New Roman"/>
          <w:noProof/>
          <w:color w:val="000000" w:themeColor="text1"/>
          <w:szCs w:val="24"/>
          <w:lang w:val="en-US"/>
        </w:rPr>
        <w:t xml:space="preserve"> principle. The positive environmental impact of biotechnology and biomanufacturing was also recognized by stakeholders in the</w:t>
      </w:r>
      <w:r w:rsidR="036ACA2D" w:rsidRPr="004C70EC">
        <w:rPr>
          <w:rFonts w:eastAsia="Times New Roman"/>
          <w:noProof/>
          <w:color w:val="000000" w:themeColor="text1"/>
          <w:szCs w:val="24"/>
          <w:lang w:val="en-US"/>
        </w:rPr>
        <w:t>ir</w:t>
      </w:r>
      <w:r w:rsidRPr="004C70EC">
        <w:rPr>
          <w:rFonts w:eastAsia="Times New Roman"/>
          <w:noProof/>
          <w:color w:val="000000" w:themeColor="text1"/>
          <w:szCs w:val="24"/>
          <w:lang w:val="en-US"/>
        </w:rPr>
        <w:t xml:space="preserve"> response</w:t>
      </w:r>
      <w:r w:rsidR="5629AF69" w:rsidRPr="004C70EC">
        <w:rPr>
          <w:rFonts w:eastAsia="Times New Roman"/>
          <w:noProof/>
          <w:color w:val="000000" w:themeColor="text1"/>
          <w:szCs w:val="24"/>
          <w:lang w:val="en-US"/>
        </w:rPr>
        <w:t>s</w:t>
      </w:r>
      <w:r w:rsidRPr="004C70EC">
        <w:rPr>
          <w:rFonts w:eastAsia="Times New Roman"/>
          <w:noProof/>
          <w:color w:val="000000" w:themeColor="text1"/>
          <w:szCs w:val="24"/>
          <w:lang w:val="en-US"/>
        </w:rPr>
        <w:t xml:space="preserve"> to the Public Consultation.</w:t>
      </w:r>
    </w:p>
    <w:p w14:paraId="5CF8B6A7" w14:textId="77777777" w:rsidR="1E985F49" w:rsidRPr="004C70EC" w:rsidRDefault="1E985F49" w:rsidP="00431990">
      <w:pPr>
        <w:pBdr>
          <w:top w:val="nil"/>
          <w:left w:val="nil"/>
          <w:bottom w:val="nil"/>
          <w:right w:val="nil"/>
          <w:between w:val="nil"/>
          <w:bar w:val="nil"/>
        </w:pBdr>
        <w:spacing w:after="240"/>
        <w:rPr>
          <w:rFonts w:eastAsia="Times New Roman"/>
          <w:noProof/>
          <w:color w:val="000000" w:themeColor="text1"/>
        </w:rPr>
      </w:pPr>
      <w:r w:rsidRPr="004C70EC">
        <w:rPr>
          <w:noProof/>
          <w:color w:val="000000" w:themeColor="text1"/>
          <w:lang w:val="en-US"/>
        </w:rPr>
        <w:t>Finally, the proposed Biotech Act w</w:t>
      </w:r>
      <w:r w:rsidR="508E89EA" w:rsidRPr="004C70EC">
        <w:rPr>
          <w:noProof/>
          <w:color w:val="000000" w:themeColor="text1"/>
          <w:lang w:val="en-US"/>
        </w:rPr>
        <w:t xml:space="preserve">ill support </w:t>
      </w:r>
      <w:r w:rsidR="508E89EA" w:rsidRPr="004C70EC">
        <w:rPr>
          <w:b/>
          <w:noProof/>
          <w:color w:val="000000" w:themeColor="text1"/>
          <w:lang w:val="en-US"/>
        </w:rPr>
        <w:t>digital transformation</w:t>
      </w:r>
      <w:r w:rsidR="6E1593BE" w:rsidRPr="004C70EC">
        <w:rPr>
          <w:noProof/>
          <w:color w:val="000000" w:themeColor="text1"/>
          <w:lang w:val="en-US"/>
        </w:rPr>
        <w:t xml:space="preserve"> in line with the </w:t>
      </w:r>
      <w:r w:rsidR="6E1593BE" w:rsidRPr="004C70EC">
        <w:rPr>
          <w:b/>
          <w:noProof/>
          <w:color w:val="000000" w:themeColor="text1"/>
          <w:lang w:val="en-US"/>
        </w:rPr>
        <w:t xml:space="preserve">‘digital by default’ </w:t>
      </w:r>
      <w:r w:rsidR="6E1593BE" w:rsidRPr="004C70EC">
        <w:rPr>
          <w:noProof/>
          <w:color w:val="000000" w:themeColor="text1"/>
          <w:lang w:val="en-US"/>
        </w:rPr>
        <w:t>principle. O</w:t>
      </w:r>
      <w:r w:rsidR="49EC5FF3" w:rsidRPr="004C70EC">
        <w:rPr>
          <w:rFonts w:eastAsia="Times New Roman"/>
          <w:noProof/>
          <w:color w:val="000000" w:themeColor="text1"/>
          <w:lang w:val="en-US"/>
        </w:rPr>
        <w:t xml:space="preserve">ne of its specific objectives </w:t>
      </w:r>
      <w:r w:rsidR="19F18241" w:rsidRPr="004C70EC">
        <w:rPr>
          <w:rFonts w:eastAsia="Times New Roman"/>
          <w:noProof/>
          <w:color w:val="000000" w:themeColor="text1"/>
          <w:lang w:val="en-US"/>
        </w:rPr>
        <w:t xml:space="preserve">is </w:t>
      </w:r>
      <w:r w:rsidR="49EC5FF3" w:rsidRPr="004C70EC">
        <w:rPr>
          <w:rFonts w:eastAsia="Times New Roman"/>
          <w:noProof/>
          <w:color w:val="000000" w:themeColor="text1"/>
          <w:lang w:val="en-US"/>
        </w:rPr>
        <w:t>to “f</w:t>
      </w:r>
      <w:r w:rsidR="00BE6BA1" w:rsidRPr="004C70EC">
        <w:rPr>
          <w:rFonts w:eastAsia="Times New Roman"/>
          <w:noProof/>
          <w:color w:val="000000" w:themeColor="text1"/>
          <w:lang w:val="en-US"/>
        </w:rPr>
        <w:t>acilitate</w:t>
      </w:r>
      <w:r w:rsidR="49EC5FF3" w:rsidRPr="004C70EC">
        <w:rPr>
          <w:rFonts w:eastAsia="Times New Roman"/>
          <w:noProof/>
          <w:color w:val="000000" w:themeColor="text1"/>
        </w:rPr>
        <w:t xml:space="preserve"> the application of </w:t>
      </w:r>
      <w:r w:rsidR="00B317FF" w:rsidRPr="004C70EC">
        <w:rPr>
          <w:rFonts w:eastAsia="Times New Roman"/>
          <w:noProof/>
          <w:color w:val="000000" w:themeColor="text1"/>
        </w:rPr>
        <w:t>AI</w:t>
      </w:r>
      <w:r w:rsidR="49EC5FF3" w:rsidRPr="004C70EC">
        <w:rPr>
          <w:rFonts w:eastAsia="Times New Roman"/>
          <w:noProof/>
          <w:color w:val="000000" w:themeColor="text1"/>
        </w:rPr>
        <w:t xml:space="preserve"> into the Union’s biotechnology and health technology manufacturing ecosystems and frameworks</w:t>
      </w:r>
      <w:r w:rsidR="00B317FF" w:rsidRPr="004C70EC">
        <w:rPr>
          <w:rFonts w:eastAsia="Times New Roman"/>
          <w:noProof/>
          <w:color w:val="000000" w:themeColor="text1"/>
        </w:rPr>
        <w:t xml:space="preserve">, </w:t>
      </w:r>
      <w:r w:rsidR="00B317FF" w:rsidRPr="004C70EC">
        <w:rPr>
          <w:noProof/>
          <w:color w:val="000000" w:themeColor="text1"/>
          <w:szCs w:val="24"/>
        </w:rPr>
        <w:t>in line with Regulation (EU) 2024/1689</w:t>
      </w:r>
      <w:r w:rsidR="49EC5FF3" w:rsidRPr="004C70EC">
        <w:rPr>
          <w:rFonts w:eastAsia="Times New Roman"/>
          <w:noProof/>
          <w:color w:val="000000" w:themeColor="text1"/>
        </w:rPr>
        <w:t xml:space="preserve">”. </w:t>
      </w:r>
      <w:r w:rsidR="49EC5FF3" w:rsidRPr="004C70EC">
        <w:rPr>
          <w:rFonts w:eastAsia="Times New Roman"/>
          <w:noProof/>
          <w:color w:val="000000" w:themeColor="text1"/>
          <w:lang w:val="en-US"/>
        </w:rPr>
        <w:t xml:space="preserve">The Act </w:t>
      </w:r>
      <w:r w:rsidR="49EC5FF3" w:rsidRPr="004C70EC">
        <w:rPr>
          <w:rFonts w:eastAsia="Times New Roman"/>
          <w:noProof/>
          <w:color w:val="000000" w:themeColor="text1"/>
        </w:rPr>
        <w:t>is expected, among others, to support the use of data</w:t>
      </w:r>
      <w:r w:rsidR="0054099C" w:rsidRPr="004C70EC">
        <w:rPr>
          <w:rFonts w:eastAsia="Times New Roman"/>
          <w:noProof/>
          <w:color w:val="000000" w:themeColor="text1"/>
        </w:rPr>
        <w:t>,</w:t>
      </w:r>
      <w:r w:rsidR="49EC5FF3" w:rsidRPr="004C70EC">
        <w:rPr>
          <w:rFonts w:eastAsia="Times New Roman"/>
          <w:noProof/>
          <w:color w:val="000000" w:themeColor="text1"/>
        </w:rPr>
        <w:t xml:space="preserve"> digital platforms</w:t>
      </w:r>
      <w:r w:rsidR="0054099C" w:rsidRPr="004C70EC">
        <w:rPr>
          <w:rFonts w:eastAsia="Times New Roman"/>
          <w:noProof/>
          <w:color w:val="000000" w:themeColor="text1"/>
        </w:rPr>
        <w:t xml:space="preserve"> and </w:t>
      </w:r>
      <w:r w:rsidR="49EC5FF3" w:rsidRPr="004C70EC">
        <w:rPr>
          <w:rFonts w:eastAsia="Times New Roman"/>
          <w:noProof/>
          <w:color w:val="000000" w:themeColor="text1"/>
        </w:rPr>
        <w:t>analytical methodologies (e.g. reducing the need for clinical data), in the development of biotechnology and in biomanufacturing</w:t>
      </w:r>
      <w:r w:rsidR="0B2C703B" w:rsidRPr="004C70EC">
        <w:rPr>
          <w:rFonts w:eastAsia="Times New Roman"/>
          <w:noProof/>
          <w:color w:val="000000" w:themeColor="text1"/>
        </w:rPr>
        <w:t>.</w:t>
      </w:r>
      <w:r w:rsidR="49EC5FF3" w:rsidRPr="004C70EC">
        <w:rPr>
          <w:rFonts w:eastAsia="Times New Roman"/>
          <w:noProof/>
          <w:color w:val="000000" w:themeColor="text1"/>
        </w:rPr>
        <w:t xml:space="preserve"> Digitalisation will also be reinforced in networking cooperation of biotechnology clusters (e.g. through the promotion of the development of infrastructure and digital platforms, and AI-enabled technologies). Overall, accelerated digitalisation, in particular through greater data use and AI integration, aims at contributing to the Union’s technological sovereignty.</w:t>
      </w:r>
      <w:r w:rsidR="552AC045" w:rsidRPr="004C70EC">
        <w:rPr>
          <w:rFonts w:eastAsia="Times New Roman"/>
          <w:noProof/>
          <w:color w:val="000000" w:themeColor="text1"/>
        </w:rPr>
        <w:t xml:space="preserve"> </w:t>
      </w:r>
    </w:p>
    <w:p w14:paraId="4C8415F6" w14:textId="77777777" w:rsidR="00264408" w:rsidRPr="004C70EC" w:rsidRDefault="1FFC88CF" w:rsidP="0058181D">
      <w:pPr>
        <w:pBdr>
          <w:top w:val="nil"/>
          <w:left w:val="nil"/>
          <w:bottom w:val="nil"/>
          <w:right w:val="nil"/>
          <w:between w:val="nil"/>
        </w:pBdr>
        <w:spacing w:after="240"/>
        <w:rPr>
          <w:rFonts w:eastAsia="Times New Roman"/>
          <w:noProof/>
          <w:color w:val="000000" w:themeColor="text1"/>
          <w:lang w:val="en-US"/>
        </w:rPr>
      </w:pPr>
      <w:r w:rsidRPr="004C70EC">
        <w:rPr>
          <w:rFonts w:eastAsia="Times New Roman"/>
          <w:noProof/>
          <w:color w:val="000000" w:themeColor="text1"/>
        </w:rPr>
        <w:t xml:space="preserve">Moreover, the proposed </w:t>
      </w:r>
      <w:r w:rsidR="005F1BE6" w:rsidRPr="004C70EC">
        <w:rPr>
          <w:rFonts w:eastAsia="Times New Roman"/>
          <w:noProof/>
          <w:color w:val="000000" w:themeColor="text1"/>
        </w:rPr>
        <w:t xml:space="preserve">European </w:t>
      </w:r>
      <w:r w:rsidRPr="004C70EC">
        <w:rPr>
          <w:rFonts w:eastAsia="Times New Roman"/>
          <w:noProof/>
          <w:color w:val="000000" w:themeColor="text1"/>
        </w:rPr>
        <w:t xml:space="preserve">Biotech Act will ensure coherence with relevant digital policies, such as the </w:t>
      </w:r>
      <w:r w:rsidRPr="004C70EC">
        <w:rPr>
          <w:rFonts w:eastAsia="Times New Roman"/>
          <w:b/>
          <w:noProof/>
          <w:color w:val="000000" w:themeColor="text1"/>
        </w:rPr>
        <w:t>Artificial Intelligence Act</w:t>
      </w:r>
      <w:r w:rsidR="0015562D" w:rsidRPr="004C70EC">
        <w:rPr>
          <w:rStyle w:val="FootnoteReference"/>
          <w:rFonts w:eastAsia="Times New Roman"/>
          <w:b/>
          <w:noProof/>
          <w:color w:val="000000" w:themeColor="text1"/>
        </w:rPr>
        <w:footnoteReference w:id="45"/>
      </w:r>
      <w:r w:rsidRPr="004C70EC">
        <w:rPr>
          <w:rFonts w:eastAsia="Times New Roman"/>
          <w:noProof/>
          <w:color w:val="000000" w:themeColor="text1"/>
        </w:rPr>
        <w:t>, on development and testing</w:t>
      </w:r>
      <w:r w:rsidR="6960A1DF" w:rsidRPr="004C70EC">
        <w:rPr>
          <w:rFonts w:eastAsia="Times New Roman"/>
          <w:noProof/>
          <w:color w:val="000000" w:themeColor="text1"/>
        </w:rPr>
        <w:t xml:space="preserve"> of AI enabled biotechnology solutions, as well as the </w:t>
      </w:r>
      <w:r w:rsidR="6960A1DF" w:rsidRPr="004C70EC">
        <w:rPr>
          <w:rFonts w:eastAsia="Times New Roman"/>
          <w:b/>
          <w:noProof/>
          <w:color w:val="000000" w:themeColor="text1"/>
        </w:rPr>
        <w:t>EU Cybersecurity framework</w:t>
      </w:r>
      <w:r w:rsidR="0015562D" w:rsidRPr="004C70EC">
        <w:rPr>
          <w:rStyle w:val="FootnoteReference"/>
          <w:rFonts w:eastAsia="Times New Roman"/>
          <w:b/>
          <w:noProof/>
          <w:color w:val="000000" w:themeColor="text1"/>
        </w:rPr>
        <w:footnoteReference w:id="46"/>
      </w:r>
      <w:r w:rsidR="6960A1DF" w:rsidRPr="004C70EC">
        <w:rPr>
          <w:rFonts w:eastAsia="Times New Roman"/>
          <w:noProof/>
          <w:color w:val="000000" w:themeColor="text1"/>
        </w:rPr>
        <w:t>, on access principles and security safeguards.</w:t>
      </w:r>
    </w:p>
    <w:p w14:paraId="024B4A6C" w14:textId="77777777" w:rsidR="00E934F2" w:rsidRPr="004C70EC" w:rsidRDefault="00E934F2" w:rsidP="00A93205">
      <w:pPr>
        <w:pStyle w:val="ManualHeading1"/>
        <w:rPr>
          <w:noProof/>
          <w:color w:val="000000" w:themeColor="text1"/>
          <w:bdr w:val="nil"/>
          <w:lang w:val="en-US" w:eastAsia="en-GB"/>
        </w:rPr>
      </w:pPr>
      <w:r w:rsidRPr="004C70EC">
        <w:rPr>
          <w:noProof/>
          <w:color w:val="000000" w:themeColor="text1"/>
          <w:bdr w:val="nil"/>
          <w:lang w:val="en-US" w:eastAsia="en-GB"/>
        </w:rPr>
        <w:t>2.</w:t>
      </w:r>
      <w:r w:rsidRPr="004C70EC">
        <w:rPr>
          <w:rFonts w:eastAsia="Arial Unicode MS"/>
          <w:noProof/>
          <w:color w:val="000000" w:themeColor="text1"/>
          <w:u w:color="000000"/>
          <w:bdr w:val="nil"/>
          <w:lang w:val="en-US" w:eastAsia="en-GB"/>
        </w:rPr>
        <w:tab/>
      </w:r>
      <w:r w:rsidRPr="004C70EC">
        <w:rPr>
          <w:noProof/>
          <w:color w:val="000000" w:themeColor="text1"/>
          <w:bdr w:val="nil"/>
          <w:lang w:val="en-US" w:eastAsia="en-GB"/>
        </w:rPr>
        <w:t>LEGAL BASIS, SUBSIDIARITY AND PROPORTIONALITY</w:t>
      </w:r>
    </w:p>
    <w:p w14:paraId="1D72D2B9" w14:textId="77777777" w:rsidR="00E934F2" w:rsidRPr="004C70EC" w:rsidRDefault="00E934F2" w:rsidP="00A93205">
      <w:pPr>
        <w:pStyle w:val="ManualHeading2"/>
        <w:rPr>
          <w:noProof/>
          <w:color w:val="000000" w:themeColor="text1"/>
          <w:bdr w:val="nil"/>
          <w:lang w:val="en-US" w:eastAsia="en-GB"/>
        </w:rPr>
      </w:pPr>
      <w:r w:rsidRPr="004C70EC">
        <w:rPr>
          <w:noProof/>
          <w:color w:val="000000" w:themeColor="text1"/>
          <w:bdr w:val="nil"/>
          <w:lang w:val="en-US" w:eastAsia="en-GB"/>
        </w:rPr>
        <w:t>•</w:t>
      </w:r>
      <w:r w:rsidRPr="004C70EC">
        <w:rPr>
          <w:rFonts w:eastAsia="Arial Unicode MS"/>
          <w:noProof/>
          <w:color w:val="000000" w:themeColor="text1"/>
          <w:u w:color="000000"/>
          <w:bdr w:val="nil"/>
          <w:lang w:val="en-US" w:eastAsia="en-GB"/>
        </w:rPr>
        <w:tab/>
      </w:r>
      <w:r w:rsidRPr="004C70EC">
        <w:rPr>
          <w:noProof/>
          <w:color w:val="000000" w:themeColor="text1"/>
          <w:bdr w:val="nil"/>
          <w:lang w:val="en-US" w:eastAsia="en-GB"/>
        </w:rPr>
        <w:t xml:space="preserve">Legal </w:t>
      </w:r>
      <w:r w:rsidRPr="004C70EC">
        <w:rPr>
          <w:noProof/>
          <w:color w:val="000000" w:themeColor="text1"/>
          <w:lang w:val="en-US" w:eastAsia="en-GB"/>
        </w:rPr>
        <w:t>basis</w:t>
      </w:r>
    </w:p>
    <w:p w14:paraId="590AD39B"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bdr w:val="nil"/>
          <w:lang w:val="en-US" w:eastAsia="en-GB"/>
        </w:rPr>
      </w:pPr>
      <w:r w:rsidRPr="004C70EC">
        <w:rPr>
          <w:rFonts w:eastAsia="Times New Roman"/>
          <w:noProof/>
          <w:color w:val="000000" w:themeColor="text1"/>
        </w:rPr>
        <w:t xml:space="preserve">The general objective of this Regulation is </w:t>
      </w:r>
      <w:r w:rsidR="00EF39F9" w:rsidRPr="004C70EC">
        <w:rPr>
          <w:rFonts w:eastAsia="Times New Roman"/>
          <w:noProof/>
          <w:color w:val="000000" w:themeColor="text1"/>
        </w:rPr>
        <w:t>threefold: (i)</w:t>
      </w:r>
      <w:r w:rsidRPr="004C70EC">
        <w:rPr>
          <w:rFonts w:eastAsia="Times New Roman"/>
          <w:noProof/>
          <w:color w:val="000000" w:themeColor="text1"/>
        </w:rPr>
        <w:t xml:space="preserve"> to improve the functioning of the internal market by establishing a framework to strengthen the competitiveness of the </w:t>
      </w:r>
      <w:r w:rsidR="006B2E22" w:rsidRPr="004C70EC">
        <w:rPr>
          <w:rFonts w:eastAsia="Times New Roman"/>
          <w:noProof/>
          <w:color w:val="000000" w:themeColor="text1"/>
        </w:rPr>
        <w:t xml:space="preserve">health </w:t>
      </w:r>
      <w:r w:rsidRPr="004C70EC">
        <w:rPr>
          <w:rFonts w:eastAsia="Times New Roman"/>
          <w:noProof/>
          <w:color w:val="000000" w:themeColor="text1"/>
        </w:rPr>
        <w:t xml:space="preserve">biotechnology sector, from research to production, </w:t>
      </w:r>
      <w:r w:rsidR="00FD5874" w:rsidRPr="004C70EC">
        <w:rPr>
          <w:rFonts w:eastAsia="Times New Roman"/>
          <w:noProof/>
          <w:color w:val="000000" w:themeColor="text1"/>
        </w:rPr>
        <w:t xml:space="preserve">(ii) </w:t>
      </w:r>
      <w:r w:rsidRPr="004C70EC">
        <w:rPr>
          <w:rFonts w:eastAsia="Times New Roman"/>
          <w:noProof/>
          <w:color w:val="000000" w:themeColor="text1"/>
        </w:rPr>
        <w:t xml:space="preserve">to create the conditions for the development and timely placing on the </w:t>
      </w:r>
      <w:r w:rsidR="2D9BA8C2" w:rsidRPr="004C70EC">
        <w:rPr>
          <w:rFonts w:eastAsia="Times New Roman"/>
          <w:noProof/>
          <w:color w:val="000000" w:themeColor="text1"/>
        </w:rPr>
        <w:t xml:space="preserve">EU </w:t>
      </w:r>
      <w:r w:rsidRPr="004C70EC">
        <w:rPr>
          <w:rFonts w:eastAsia="Times New Roman"/>
          <w:noProof/>
          <w:color w:val="000000" w:themeColor="text1"/>
        </w:rPr>
        <w:t xml:space="preserve">market, of biotechnology innovations, products and services, </w:t>
      </w:r>
      <w:r w:rsidR="00EF39F9" w:rsidRPr="004C70EC">
        <w:rPr>
          <w:rFonts w:eastAsia="Times New Roman"/>
          <w:noProof/>
          <w:color w:val="000000" w:themeColor="text1"/>
        </w:rPr>
        <w:t xml:space="preserve">(iii) </w:t>
      </w:r>
      <w:r w:rsidRPr="004C70EC">
        <w:rPr>
          <w:rFonts w:eastAsia="Times New Roman"/>
          <w:noProof/>
          <w:color w:val="000000" w:themeColor="text1"/>
        </w:rPr>
        <w:t>while safeguarding high standards for the protection of human health, animal health, patients and consumers, the environment, ethics, quality, food and feed safety</w:t>
      </w:r>
      <w:r w:rsidR="00907779" w:rsidRPr="004C70EC">
        <w:rPr>
          <w:rFonts w:eastAsia="Times New Roman"/>
          <w:noProof/>
          <w:color w:val="000000" w:themeColor="text1"/>
        </w:rPr>
        <w:t>,</w:t>
      </w:r>
      <w:r w:rsidRPr="004C70EC">
        <w:rPr>
          <w:rFonts w:eastAsia="Times New Roman"/>
          <w:noProof/>
          <w:color w:val="000000" w:themeColor="text1"/>
        </w:rPr>
        <w:t xml:space="preserve"> and biosecurity.</w:t>
      </w:r>
    </w:p>
    <w:p w14:paraId="0F64CE55" w14:textId="77777777" w:rsidR="006E03B7" w:rsidRPr="004C70EC" w:rsidRDefault="00E934F2">
      <w:pPr>
        <w:pBdr>
          <w:top w:val="nil"/>
          <w:left w:val="nil"/>
          <w:bottom w:val="nil"/>
          <w:right w:val="nil"/>
          <w:between w:val="nil"/>
          <w:bar w:val="nil"/>
        </w:pBdr>
        <w:spacing w:after="240"/>
        <w:rPr>
          <w:rFonts w:eastAsia="Times New Roman"/>
          <w:noProof/>
          <w:color w:val="000000" w:themeColor="text1"/>
        </w:rPr>
      </w:pPr>
      <w:r w:rsidRPr="004C70EC">
        <w:rPr>
          <w:rFonts w:eastAsia="Times New Roman"/>
          <w:noProof/>
          <w:color w:val="000000" w:themeColor="text1"/>
        </w:rPr>
        <w:t xml:space="preserve">This general objective translates into the establishment of </w:t>
      </w:r>
      <w:r w:rsidR="004958F3" w:rsidRPr="004C70EC">
        <w:rPr>
          <w:rFonts w:eastAsia="Times New Roman"/>
          <w:noProof/>
          <w:color w:val="000000" w:themeColor="text1"/>
        </w:rPr>
        <w:t>measures</w:t>
      </w:r>
      <w:r w:rsidRPr="004C70EC">
        <w:rPr>
          <w:rFonts w:eastAsia="Times New Roman"/>
          <w:noProof/>
          <w:color w:val="000000" w:themeColor="text1"/>
        </w:rPr>
        <w:t xml:space="preserve"> to</w:t>
      </w:r>
      <w:r w:rsidR="006E03B7" w:rsidRPr="004C70EC">
        <w:rPr>
          <w:rFonts w:eastAsia="Times New Roman"/>
          <w:noProof/>
          <w:color w:val="000000" w:themeColor="text1"/>
        </w:rPr>
        <w:t>:</w:t>
      </w:r>
    </w:p>
    <w:p w14:paraId="294C515F" w14:textId="77777777" w:rsidR="006E03B7" w:rsidRPr="004C70EC" w:rsidRDefault="00106A8C" w:rsidP="00106A8C">
      <w:pPr>
        <w:pStyle w:val="Point0"/>
        <w:rPr>
          <w:noProof/>
          <w:color w:val="000000" w:themeColor="text1"/>
          <w:bdr w:val="nil"/>
          <w:lang w:val="en-US"/>
        </w:rPr>
      </w:pPr>
      <w:r w:rsidRPr="004C70EC">
        <w:rPr>
          <w:noProof/>
          <w:color w:val="000000" w:themeColor="text1"/>
        </w:rPr>
        <w:t>(i)</w:t>
      </w:r>
      <w:r w:rsidRPr="004C70EC">
        <w:rPr>
          <w:noProof/>
          <w:color w:val="000000" w:themeColor="text1"/>
        </w:rPr>
        <w:tab/>
      </w:r>
      <w:r w:rsidR="00E934F2" w:rsidRPr="004C70EC">
        <w:rPr>
          <w:noProof/>
          <w:color w:val="000000" w:themeColor="text1"/>
        </w:rPr>
        <w:t xml:space="preserve">strengthen the biotechnology sector and reinforce the </w:t>
      </w:r>
      <w:r w:rsidR="6A099954" w:rsidRPr="004C70EC">
        <w:rPr>
          <w:noProof/>
          <w:color w:val="000000" w:themeColor="text1"/>
        </w:rPr>
        <w:t xml:space="preserve">EU’s </w:t>
      </w:r>
      <w:r w:rsidR="00E934F2" w:rsidRPr="004C70EC">
        <w:rPr>
          <w:noProof/>
          <w:color w:val="000000" w:themeColor="text1"/>
        </w:rPr>
        <w:t xml:space="preserve">research, development and production capabilities, by establishing a framework for the recognition of, and support measures for, </w:t>
      </w:r>
      <w:r w:rsidR="00516123" w:rsidRPr="004C70EC">
        <w:rPr>
          <w:noProof/>
          <w:color w:val="000000" w:themeColor="text1"/>
        </w:rPr>
        <w:t xml:space="preserve">strategic </w:t>
      </w:r>
      <w:r w:rsidR="0025177B" w:rsidRPr="004C70EC">
        <w:rPr>
          <w:noProof/>
          <w:color w:val="000000" w:themeColor="text1"/>
        </w:rPr>
        <w:t xml:space="preserve">health </w:t>
      </w:r>
      <w:r w:rsidR="00E934F2" w:rsidRPr="004C70EC">
        <w:rPr>
          <w:noProof/>
          <w:color w:val="000000" w:themeColor="text1"/>
        </w:rPr>
        <w:t>biotechnology projects</w:t>
      </w:r>
      <w:r w:rsidR="00854B9F" w:rsidRPr="004C70EC">
        <w:rPr>
          <w:noProof/>
          <w:color w:val="000000" w:themeColor="text1"/>
        </w:rPr>
        <w:t xml:space="preserve"> and</w:t>
      </w:r>
      <w:r w:rsidR="00E934F2" w:rsidRPr="004C70EC">
        <w:rPr>
          <w:noProof/>
          <w:color w:val="000000" w:themeColor="text1"/>
        </w:rPr>
        <w:t xml:space="preserve"> high impact </w:t>
      </w:r>
      <w:r w:rsidR="00F20338" w:rsidRPr="004C70EC">
        <w:rPr>
          <w:noProof/>
          <w:color w:val="000000" w:themeColor="text1"/>
        </w:rPr>
        <w:t xml:space="preserve">strategic </w:t>
      </w:r>
      <w:r w:rsidR="0025177B" w:rsidRPr="004C70EC">
        <w:rPr>
          <w:noProof/>
          <w:color w:val="000000" w:themeColor="text1"/>
        </w:rPr>
        <w:t>health</w:t>
      </w:r>
      <w:r w:rsidR="00E934F2" w:rsidRPr="004C70EC">
        <w:rPr>
          <w:noProof/>
          <w:color w:val="000000" w:themeColor="text1"/>
        </w:rPr>
        <w:t xml:space="preserve"> biotechnology projects (pillar </w:t>
      </w:r>
      <w:r w:rsidR="004A6843" w:rsidRPr="004C70EC">
        <w:rPr>
          <w:noProof/>
          <w:color w:val="000000" w:themeColor="text1"/>
        </w:rPr>
        <w:t>1</w:t>
      </w:r>
      <w:r w:rsidR="00E934F2" w:rsidRPr="004C70EC">
        <w:rPr>
          <w:noProof/>
          <w:color w:val="000000" w:themeColor="text1"/>
        </w:rPr>
        <w:t>);</w:t>
      </w:r>
    </w:p>
    <w:p w14:paraId="6FDA6FB8" w14:textId="72C107A7" w:rsidR="006E03B7" w:rsidRPr="004C70EC" w:rsidRDefault="00106A8C" w:rsidP="00106A8C">
      <w:pPr>
        <w:pStyle w:val="Point0"/>
        <w:rPr>
          <w:noProof/>
          <w:color w:val="000000" w:themeColor="text1"/>
          <w:bdr w:val="nil"/>
          <w:lang w:val="en-US"/>
        </w:rPr>
      </w:pPr>
      <w:r w:rsidRPr="004C70EC">
        <w:rPr>
          <w:noProof/>
          <w:color w:val="000000" w:themeColor="text1"/>
        </w:rPr>
        <w:t>(ii)</w:t>
      </w:r>
      <w:r w:rsidRPr="004C70EC">
        <w:rPr>
          <w:noProof/>
        </w:rPr>
        <w:tab/>
      </w:r>
      <w:r w:rsidR="00E934F2" w:rsidRPr="004C70EC">
        <w:rPr>
          <w:noProof/>
          <w:color w:val="000000" w:themeColor="text1"/>
        </w:rPr>
        <w:t xml:space="preserve">support funding of, investments in, and access to capital for, biotechnology companies and projects, including through the </w:t>
      </w:r>
      <w:r w:rsidR="00E92CFC" w:rsidRPr="004C70EC">
        <w:rPr>
          <w:noProof/>
          <w:color w:val="000000" w:themeColor="text1"/>
        </w:rPr>
        <w:t xml:space="preserve">setting up </w:t>
      </w:r>
      <w:r w:rsidR="00E934F2" w:rsidRPr="004C70EC">
        <w:rPr>
          <w:noProof/>
          <w:color w:val="000000" w:themeColor="text1"/>
        </w:rPr>
        <w:t xml:space="preserve">of an EU </w:t>
      </w:r>
      <w:r w:rsidR="0053644E" w:rsidRPr="004C70EC">
        <w:rPr>
          <w:noProof/>
          <w:color w:val="000000" w:themeColor="text1"/>
        </w:rPr>
        <w:t>h</w:t>
      </w:r>
      <w:r w:rsidR="00771077" w:rsidRPr="004C70EC">
        <w:rPr>
          <w:noProof/>
          <w:color w:val="000000" w:themeColor="text1"/>
        </w:rPr>
        <w:t xml:space="preserve">ealth </w:t>
      </w:r>
      <w:r w:rsidR="0053644E" w:rsidRPr="004C70EC">
        <w:rPr>
          <w:noProof/>
          <w:color w:val="000000" w:themeColor="text1"/>
        </w:rPr>
        <w:t>b</w:t>
      </w:r>
      <w:r w:rsidR="00E934F2" w:rsidRPr="004C70EC">
        <w:rPr>
          <w:noProof/>
          <w:color w:val="000000" w:themeColor="text1"/>
        </w:rPr>
        <w:t xml:space="preserve">iotechnology </w:t>
      </w:r>
      <w:r w:rsidR="0053644E" w:rsidRPr="004C70EC">
        <w:rPr>
          <w:noProof/>
          <w:color w:val="000000" w:themeColor="text1"/>
        </w:rPr>
        <w:t>i</w:t>
      </w:r>
      <w:r w:rsidR="00E934F2" w:rsidRPr="004C70EC">
        <w:rPr>
          <w:noProof/>
          <w:color w:val="000000" w:themeColor="text1"/>
        </w:rPr>
        <w:t xml:space="preserve">nvestment </w:t>
      </w:r>
      <w:r>
        <w:rPr>
          <w:noProof/>
          <w:color w:val="000000" w:themeColor="text1"/>
        </w:rPr>
        <w:t>pilot</w:t>
      </w:r>
      <w:r w:rsidR="0053644E" w:rsidRPr="004C70EC">
        <w:rPr>
          <w:noProof/>
          <w:color w:val="000000" w:themeColor="text1"/>
        </w:rPr>
        <w:t xml:space="preserve"> to</w:t>
      </w:r>
      <w:r w:rsidR="00E934F2" w:rsidRPr="004C70EC">
        <w:rPr>
          <w:noProof/>
          <w:color w:val="000000" w:themeColor="text1"/>
        </w:rPr>
        <w:t xml:space="preserve"> fill the gap in spending on biotechnology innovation (pillar </w:t>
      </w:r>
      <w:r w:rsidR="00432DEB" w:rsidRPr="004C70EC">
        <w:rPr>
          <w:noProof/>
          <w:color w:val="000000" w:themeColor="text1"/>
        </w:rPr>
        <w:t>2</w:t>
      </w:r>
      <w:r w:rsidR="00E934F2" w:rsidRPr="004C70EC">
        <w:rPr>
          <w:noProof/>
          <w:color w:val="000000" w:themeColor="text1"/>
        </w:rPr>
        <w:t>);</w:t>
      </w:r>
    </w:p>
    <w:p w14:paraId="29FCC741" w14:textId="77777777" w:rsidR="006E03B7" w:rsidRPr="004C70EC" w:rsidRDefault="00106A8C" w:rsidP="00106A8C">
      <w:pPr>
        <w:pStyle w:val="Point0"/>
        <w:rPr>
          <w:noProof/>
          <w:color w:val="000000" w:themeColor="text1"/>
          <w:szCs w:val="24"/>
          <w:bdr w:val="nil"/>
          <w:lang w:val="en-US"/>
        </w:rPr>
      </w:pPr>
      <w:r w:rsidRPr="004C70EC">
        <w:rPr>
          <w:noProof/>
          <w:color w:val="000000" w:themeColor="text1"/>
          <w:szCs w:val="24"/>
        </w:rPr>
        <w:t>(iii)</w:t>
      </w:r>
      <w:r w:rsidRPr="004C70EC">
        <w:rPr>
          <w:noProof/>
          <w:color w:val="000000" w:themeColor="text1"/>
          <w:szCs w:val="24"/>
        </w:rPr>
        <w:tab/>
      </w:r>
      <w:r w:rsidR="00CA1DE9" w:rsidRPr="004C70EC">
        <w:rPr>
          <w:noProof/>
          <w:color w:val="000000" w:themeColor="text1"/>
          <w:szCs w:val="24"/>
        </w:rPr>
        <w:t xml:space="preserve">improve </w:t>
      </w:r>
      <w:r w:rsidR="00E934F2" w:rsidRPr="004C70EC">
        <w:rPr>
          <w:noProof/>
          <w:color w:val="000000" w:themeColor="text1"/>
          <w:szCs w:val="24"/>
        </w:rPr>
        <w:t xml:space="preserve">the </w:t>
      </w:r>
      <w:r w:rsidR="00CA1DE9" w:rsidRPr="004C70EC">
        <w:rPr>
          <w:noProof/>
          <w:color w:val="000000" w:themeColor="text1"/>
          <w:szCs w:val="24"/>
        </w:rPr>
        <w:t>EU</w:t>
      </w:r>
      <w:r w:rsidR="00E934F2" w:rsidRPr="004C70EC">
        <w:rPr>
          <w:noProof/>
          <w:color w:val="000000" w:themeColor="text1"/>
          <w:szCs w:val="24"/>
        </w:rPr>
        <w:t xml:space="preserve"> manufacturing capacity of, and expertise </w:t>
      </w:r>
      <w:r w:rsidR="00CA1DE9" w:rsidRPr="004C70EC">
        <w:rPr>
          <w:noProof/>
          <w:color w:val="000000" w:themeColor="text1"/>
          <w:szCs w:val="24"/>
        </w:rPr>
        <w:t>in</w:t>
      </w:r>
      <w:r w:rsidR="00E934F2" w:rsidRPr="004C70EC">
        <w:rPr>
          <w:noProof/>
          <w:color w:val="000000" w:themeColor="text1"/>
          <w:szCs w:val="24"/>
        </w:rPr>
        <w:t xml:space="preserve"> biosimilars, including through international cooperation (pillar </w:t>
      </w:r>
      <w:r w:rsidR="00432DEB" w:rsidRPr="004C70EC">
        <w:rPr>
          <w:noProof/>
          <w:color w:val="000000" w:themeColor="text1"/>
          <w:szCs w:val="24"/>
        </w:rPr>
        <w:t>3</w:t>
      </w:r>
      <w:r w:rsidR="00E934F2" w:rsidRPr="004C70EC">
        <w:rPr>
          <w:noProof/>
          <w:color w:val="000000" w:themeColor="text1"/>
          <w:szCs w:val="24"/>
        </w:rPr>
        <w:t>);</w:t>
      </w:r>
    </w:p>
    <w:p w14:paraId="6174C12F" w14:textId="77777777" w:rsidR="006E03B7" w:rsidRPr="004C70EC" w:rsidRDefault="00106A8C" w:rsidP="00106A8C">
      <w:pPr>
        <w:pStyle w:val="Point0"/>
        <w:rPr>
          <w:noProof/>
          <w:color w:val="000000" w:themeColor="text1"/>
          <w:szCs w:val="24"/>
          <w:bdr w:val="nil"/>
          <w:lang w:val="en-US"/>
        </w:rPr>
      </w:pPr>
      <w:r w:rsidRPr="004C70EC">
        <w:rPr>
          <w:noProof/>
          <w:color w:val="000000" w:themeColor="text1"/>
          <w:szCs w:val="24"/>
        </w:rPr>
        <w:t>(iv)</w:t>
      </w:r>
      <w:r w:rsidRPr="004C70EC">
        <w:rPr>
          <w:noProof/>
          <w:color w:val="000000" w:themeColor="text1"/>
          <w:szCs w:val="24"/>
        </w:rPr>
        <w:tab/>
      </w:r>
      <w:r w:rsidR="00CE2FC4" w:rsidRPr="004C70EC">
        <w:rPr>
          <w:noProof/>
          <w:color w:val="000000" w:themeColor="text1"/>
          <w:szCs w:val="24"/>
        </w:rPr>
        <w:t xml:space="preserve">facilitate </w:t>
      </w:r>
      <w:r w:rsidR="00E934F2" w:rsidRPr="004C70EC">
        <w:rPr>
          <w:noProof/>
          <w:color w:val="000000" w:themeColor="text1"/>
          <w:szCs w:val="24"/>
        </w:rPr>
        <w:t xml:space="preserve">the application of </w:t>
      </w:r>
      <w:r w:rsidR="00CA1DE9" w:rsidRPr="004C70EC">
        <w:rPr>
          <w:noProof/>
          <w:color w:val="000000" w:themeColor="text1"/>
          <w:szCs w:val="24"/>
        </w:rPr>
        <w:t>AI</w:t>
      </w:r>
      <w:r w:rsidR="00E934F2" w:rsidRPr="004C70EC">
        <w:rPr>
          <w:noProof/>
          <w:color w:val="000000" w:themeColor="text1"/>
          <w:szCs w:val="24"/>
        </w:rPr>
        <w:t xml:space="preserve"> into the Union’s biotechnology and health technology manufacturing ecosystems and frameworks, </w:t>
      </w:r>
      <w:r w:rsidR="00A62304" w:rsidRPr="004C70EC">
        <w:rPr>
          <w:noProof/>
          <w:color w:val="000000" w:themeColor="text1"/>
          <w:szCs w:val="24"/>
        </w:rPr>
        <w:t>in line with the Regulation (EU) 2024/1689</w:t>
      </w:r>
      <w:r w:rsidR="00A62304" w:rsidRPr="004C70EC" w:rsidDel="00A62304">
        <w:rPr>
          <w:noProof/>
          <w:color w:val="000000" w:themeColor="text1"/>
          <w:szCs w:val="24"/>
        </w:rPr>
        <w:t xml:space="preserve"> </w:t>
      </w:r>
      <w:r w:rsidR="00E934F2" w:rsidRPr="004C70EC">
        <w:rPr>
          <w:noProof/>
          <w:color w:val="000000" w:themeColor="text1"/>
          <w:szCs w:val="24"/>
        </w:rPr>
        <w:t xml:space="preserve">(pillar </w:t>
      </w:r>
      <w:r w:rsidR="00AE09B3" w:rsidRPr="004C70EC">
        <w:rPr>
          <w:noProof/>
          <w:color w:val="000000" w:themeColor="text1"/>
          <w:szCs w:val="24"/>
        </w:rPr>
        <w:t>4</w:t>
      </w:r>
      <w:r w:rsidR="00E934F2" w:rsidRPr="004C70EC">
        <w:rPr>
          <w:noProof/>
          <w:color w:val="000000" w:themeColor="text1"/>
          <w:szCs w:val="24"/>
        </w:rPr>
        <w:t>);</w:t>
      </w:r>
    </w:p>
    <w:p w14:paraId="5724073B" w14:textId="77777777" w:rsidR="00D44665" w:rsidRPr="004C70EC" w:rsidRDefault="00106A8C" w:rsidP="00106A8C">
      <w:pPr>
        <w:pStyle w:val="Point0"/>
        <w:rPr>
          <w:noProof/>
          <w:color w:val="000000" w:themeColor="text1"/>
          <w:szCs w:val="24"/>
          <w:bdr w:val="nil"/>
          <w:lang w:val="en-US"/>
        </w:rPr>
      </w:pPr>
      <w:r w:rsidRPr="004C70EC">
        <w:rPr>
          <w:noProof/>
          <w:color w:val="000000" w:themeColor="text1"/>
          <w:szCs w:val="24"/>
          <w:lang w:val="en-US"/>
        </w:rPr>
        <w:t>(v)</w:t>
      </w:r>
      <w:r w:rsidRPr="004C70EC">
        <w:rPr>
          <w:noProof/>
          <w:color w:val="000000" w:themeColor="text1"/>
          <w:szCs w:val="24"/>
          <w:lang w:val="en-US"/>
        </w:rPr>
        <w:tab/>
      </w:r>
      <w:r w:rsidR="00D44665" w:rsidRPr="004C70EC">
        <w:rPr>
          <w:noProof/>
          <w:color w:val="000000" w:themeColor="text1"/>
          <w:szCs w:val="24"/>
          <w:lang w:val="en-US"/>
        </w:rPr>
        <w:t xml:space="preserve">ensure a legislative framework </w:t>
      </w:r>
      <w:r w:rsidR="00D44665" w:rsidRPr="004C70EC">
        <w:rPr>
          <w:noProof/>
          <w:color w:val="000000" w:themeColor="text1"/>
          <w:szCs w:val="24"/>
        </w:rPr>
        <w:t xml:space="preserve">that encourages innovation and takes account of technological and scientific developments and progress, by establishing provisions for health biotechnology products (pillar 5); </w:t>
      </w:r>
    </w:p>
    <w:p w14:paraId="1C365680" w14:textId="77777777" w:rsidR="00D44665" w:rsidRPr="004C70EC" w:rsidRDefault="00106A8C" w:rsidP="00106A8C">
      <w:pPr>
        <w:pStyle w:val="Point0"/>
        <w:rPr>
          <w:noProof/>
          <w:color w:val="000000" w:themeColor="text1"/>
          <w:bdr w:val="nil"/>
          <w:lang w:val="en-US"/>
        </w:rPr>
      </w:pPr>
      <w:r w:rsidRPr="004C70EC">
        <w:rPr>
          <w:noProof/>
          <w:color w:val="000000" w:themeColor="text1"/>
        </w:rPr>
        <w:t>(vi)</w:t>
      </w:r>
      <w:r w:rsidRPr="004C70EC">
        <w:rPr>
          <w:noProof/>
          <w:color w:val="000000" w:themeColor="text1"/>
        </w:rPr>
        <w:tab/>
      </w:r>
      <w:r w:rsidR="00D44665" w:rsidRPr="004C70EC">
        <w:rPr>
          <w:noProof/>
          <w:color w:val="000000" w:themeColor="text1"/>
        </w:rPr>
        <w:t>prevent the misuse of biotechnologies and strengthen biodefence capabilities (pillar 6).</w:t>
      </w:r>
    </w:p>
    <w:p w14:paraId="6BA12DD6" w14:textId="77777777" w:rsidR="0000195A" w:rsidRPr="004C70EC" w:rsidRDefault="00106A8C" w:rsidP="00106A8C">
      <w:pPr>
        <w:pStyle w:val="Point0"/>
        <w:rPr>
          <w:noProof/>
          <w:color w:val="000000" w:themeColor="text1"/>
          <w:bdr w:val="nil"/>
          <w:lang w:val="en-US"/>
        </w:rPr>
      </w:pPr>
      <w:r w:rsidRPr="004C70EC">
        <w:rPr>
          <w:noProof/>
          <w:color w:val="000000" w:themeColor="text1"/>
          <w:szCs w:val="24"/>
          <w:lang w:val="en-US"/>
        </w:rPr>
        <w:t>(vii)</w:t>
      </w:r>
      <w:r w:rsidRPr="004C70EC">
        <w:rPr>
          <w:noProof/>
          <w:color w:val="000000" w:themeColor="text1"/>
          <w:szCs w:val="24"/>
          <w:lang w:val="en-US"/>
        </w:rPr>
        <w:tab/>
      </w:r>
      <w:r w:rsidR="00715F31" w:rsidRPr="004C70EC">
        <w:rPr>
          <w:noProof/>
          <w:color w:val="000000" w:themeColor="text1"/>
          <w:szCs w:val="24"/>
          <w:lang w:val="en-US"/>
        </w:rPr>
        <w:t xml:space="preserve">enable </w:t>
      </w:r>
      <w:r w:rsidR="00731661" w:rsidRPr="004C70EC">
        <w:rPr>
          <w:noProof/>
          <w:color w:val="000000" w:themeColor="text1"/>
          <w:szCs w:val="24"/>
        </w:rPr>
        <w:t xml:space="preserve">the effectiveness of the </w:t>
      </w:r>
      <w:r w:rsidR="00DE0159" w:rsidRPr="004C70EC">
        <w:rPr>
          <w:noProof/>
          <w:color w:val="000000" w:themeColor="text1"/>
          <w:szCs w:val="24"/>
        </w:rPr>
        <w:t xml:space="preserve">measures under </w:t>
      </w:r>
      <w:r w:rsidR="00731661" w:rsidRPr="004C70EC">
        <w:rPr>
          <w:noProof/>
          <w:color w:val="000000" w:themeColor="text1"/>
          <w:szCs w:val="24"/>
        </w:rPr>
        <w:t>the pillars 1 to 6 through</w:t>
      </w:r>
      <w:r w:rsidR="00C97FB2" w:rsidRPr="004C70EC">
        <w:rPr>
          <w:noProof/>
          <w:color w:val="000000" w:themeColor="text1"/>
          <w:szCs w:val="24"/>
        </w:rPr>
        <w:t xml:space="preserve"> a legislative framework conducive to the use of biotechnology innovations, by amending Union legislation in particular on clinical trials, veterinary medicinal products, food and feed safety and related legislation (pillar </w:t>
      </w:r>
      <w:r w:rsidR="00D90B4C" w:rsidRPr="004C70EC">
        <w:rPr>
          <w:noProof/>
          <w:color w:val="000000" w:themeColor="text1"/>
          <w:szCs w:val="24"/>
        </w:rPr>
        <w:t>7</w:t>
      </w:r>
      <w:r w:rsidR="00C97FB2" w:rsidRPr="004C70EC">
        <w:rPr>
          <w:noProof/>
          <w:color w:val="000000" w:themeColor="text1"/>
          <w:szCs w:val="24"/>
        </w:rPr>
        <w:t>)</w:t>
      </w:r>
      <w:r w:rsidR="00133BB9" w:rsidRPr="004C70EC">
        <w:rPr>
          <w:noProof/>
          <w:color w:val="000000" w:themeColor="text1"/>
          <w:szCs w:val="24"/>
        </w:rPr>
        <w:t>.</w:t>
      </w:r>
      <w:r w:rsidR="00C97FB2" w:rsidRPr="004C70EC">
        <w:rPr>
          <w:noProof/>
          <w:color w:val="000000" w:themeColor="text1"/>
          <w:szCs w:val="24"/>
        </w:rPr>
        <w:t xml:space="preserve"> </w:t>
      </w:r>
    </w:p>
    <w:p w14:paraId="21685392"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bdr w:val="nil"/>
          <w:lang w:val="en-US" w:eastAsia="en-GB"/>
        </w:rPr>
      </w:pPr>
      <w:r w:rsidRPr="004C70EC">
        <w:rPr>
          <w:rFonts w:eastAsia="Times New Roman"/>
          <w:noProof/>
          <w:color w:val="000000" w:themeColor="text1"/>
          <w:szCs w:val="24"/>
          <w:bdr w:val="nil"/>
          <w:lang w:val="en-US" w:eastAsia="en-GB"/>
        </w:rPr>
        <w:t>The appropriate legal basis is therefore</w:t>
      </w:r>
      <w:r w:rsidR="00AC7275" w:rsidRPr="004C70EC">
        <w:rPr>
          <w:rFonts w:eastAsia="Times New Roman"/>
          <w:noProof/>
          <w:color w:val="000000" w:themeColor="text1"/>
          <w:szCs w:val="24"/>
          <w:bdr w:val="nil"/>
          <w:lang w:val="en-US" w:eastAsia="en-GB"/>
        </w:rPr>
        <w:t xml:space="preserve"> as follows</w:t>
      </w:r>
      <w:r w:rsidRPr="004C70EC">
        <w:rPr>
          <w:rFonts w:eastAsia="Times New Roman"/>
          <w:noProof/>
          <w:color w:val="000000" w:themeColor="text1"/>
          <w:szCs w:val="24"/>
          <w:bdr w:val="nil"/>
          <w:lang w:val="en-US" w:eastAsia="en-GB"/>
        </w:rPr>
        <w:t>:</w:t>
      </w:r>
    </w:p>
    <w:p w14:paraId="3A5AC003" w14:textId="77777777" w:rsidR="00E934F2" w:rsidRPr="004C70EC" w:rsidRDefault="00E934F2" w:rsidP="00811FF3">
      <w:pPr>
        <w:pStyle w:val="Tiret0"/>
        <w:numPr>
          <w:ilvl w:val="0"/>
          <w:numId w:val="31"/>
        </w:numPr>
        <w:rPr>
          <w:noProof/>
          <w:color w:val="000000" w:themeColor="text1"/>
          <w:bdr w:val="nil"/>
          <w:lang w:val="en-US"/>
        </w:rPr>
      </w:pPr>
      <w:r w:rsidRPr="004C70EC">
        <w:rPr>
          <w:noProof/>
          <w:color w:val="000000" w:themeColor="text1"/>
          <w:bdr w:val="nil"/>
          <w:lang w:val="en-US"/>
        </w:rPr>
        <w:t xml:space="preserve">Article 114 of the Treaty on the Functioning of the European Union (‘TFEU’) which allows the </w:t>
      </w:r>
      <w:r w:rsidR="7EBC2BB4" w:rsidRPr="004C70EC">
        <w:rPr>
          <w:noProof/>
          <w:color w:val="000000" w:themeColor="text1"/>
          <w:bdr w:val="nil"/>
          <w:lang w:val="en-US"/>
        </w:rPr>
        <w:t xml:space="preserve">EU </w:t>
      </w:r>
      <w:r w:rsidRPr="004C70EC">
        <w:rPr>
          <w:noProof/>
          <w:color w:val="000000" w:themeColor="text1"/>
          <w:bdr w:val="nil"/>
          <w:lang w:val="en-US"/>
        </w:rPr>
        <w:t xml:space="preserve">to take measures that increase harmonisation and remove fragmentation to create a level playing field within, and fully </w:t>
      </w:r>
      <w:r w:rsidR="00AD5E7C" w:rsidRPr="004C70EC">
        <w:rPr>
          <w:noProof/>
          <w:color w:val="000000" w:themeColor="text1"/>
          <w:bdr w:val="nil"/>
          <w:lang w:val="en-US"/>
        </w:rPr>
        <w:t xml:space="preserve">exploit </w:t>
      </w:r>
      <w:r w:rsidRPr="004C70EC">
        <w:rPr>
          <w:noProof/>
          <w:color w:val="000000" w:themeColor="text1"/>
          <w:bdr w:val="nil"/>
          <w:lang w:val="en-US"/>
        </w:rPr>
        <w:t xml:space="preserve">the scale of, the </w:t>
      </w:r>
      <w:r w:rsidR="39039E97" w:rsidRPr="004C70EC">
        <w:rPr>
          <w:noProof/>
          <w:color w:val="000000" w:themeColor="text1"/>
          <w:bdr w:val="nil"/>
          <w:lang w:val="en-US"/>
        </w:rPr>
        <w:t xml:space="preserve">EU </w:t>
      </w:r>
      <w:r w:rsidRPr="004C70EC">
        <w:rPr>
          <w:noProof/>
          <w:color w:val="000000" w:themeColor="text1"/>
          <w:bdr w:val="nil"/>
          <w:lang w:val="en-US"/>
        </w:rPr>
        <w:t>single market,</w:t>
      </w:r>
      <w:r w:rsidRPr="004C70EC">
        <w:rPr>
          <w:noProof/>
          <w:color w:val="000000" w:themeColor="text1"/>
        </w:rPr>
        <w:t xml:space="preserve"> </w:t>
      </w:r>
      <w:r w:rsidRPr="004C70EC">
        <w:rPr>
          <w:noProof/>
          <w:color w:val="000000" w:themeColor="text1"/>
          <w:bdr w:val="nil"/>
          <w:lang w:val="en-US"/>
        </w:rPr>
        <w:t xml:space="preserve">so that the </w:t>
      </w:r>
      <w:r w:rsidR="00FF2E93" w:rsidRPr="004C70EC">
        <w:rPr>
          <w:noProof/>
          <w:color w:val="000000" w:themeColor="text1"/>
          <w:bdr w:val="nil"/>
          <w:lang w:val="en-US"/>
        </w:rPr>
        <w:t xml:space="preserve">health </w:t>
      </w:r>
      <w:r w:rsidRPr="004C70EC">
        <w:rPr>
          <w:noProof/>
          <w:color w:val="000000" w:themeColor="text1"/>
          <w:bdr w:val="nil"/>
          <w:lang w:val="en-US"/>
        </w:rPr>
        <w:t>biotechnology and biomanufacturing sectors can thrive. In accordance with Article 114(3) TFEU, the proposal seeks to achieve the objective of a high level of health and safety protection</w:t>
      </w:r>
      <w:r w:rsidR="00E10470" w:rsidRPr="004C70EC">
        <w:rPr>
          <w:noProof/>
          <w:color w:val="000000" w:themeColor="text1"/>
          <w:bdr w:val="nil"/>
          <w:lang w:val="en-US"/>
        </w:rPr>
        <w:t>.</w:t>
      </w:r>
    </w:p>
    <w:p w14:paraId="468500DE" w14:textId="77777777" w:rsidR="00E934F2" w:rsidRPr="004C70EC" w:rsidRDefault="00E934F2" w:rsidP="00A93205">
      <w:pPr>
        <w:pStyle w:val="Tiret0"/>
        <w:rPr>
          <w:noProof/>
          <w:color w:val="000000" w:themeColor="text1"/>
          <w:szCs w:val="24"/>
          <w:lang w:val="en-US"/>
        </w:rPr>
      </w:pPr>
      <w:r w:rsidRPr="004C70EC">
        <w:rPr>
          <w:noProof/>
          <w:color w:val="000000" w:themeColor="text1"/>
          <w:szCs w:val="24"/>
          <w:bdr w:val="nil"/>
          <w:lang w:val="en-US"/>
        </w:rPr>
        <w:t xml:space="preserve">Article 168(4) TFEU, which mandates the Union to contribute to the achievement </w:t>
      </w:r>
      <w:r w:rsidR="00E10470" w:rsidRPr="004C70EC">
        <w:rPr>
          <w:noProof/>
          <w:color w:val="000000" w:themeColor="text1"/>
          <w:szCs w:val="24"/>
          <w:bdr w:val="nil"/>
          <w:lang w:val="en-US"/>
        </w:rPr>
        <w:t xml:space="preserve">of </w:t>
      </w:r>
      <w:r w:rsidRPr="004C70EC">
        <w:rPr>
          <w:noProof/>
          <w:color w:val="000000" w:themeColor="text1"/>
          <w:szCs w:val="24"/>
          <w:bdr w:val="nil"/>
          <w:lang w:val="en-US"/>
        </w:rPr>
        <w:t>a high level of human health protection through the adoption</w:t>
      </w:r>
      <w:r w:rsidR="00CD2517" w:rsidRPr="004C70EC">
        <w:rPr>
          <w:noProof/>
          <w:color w:val="000000" w:themeColor="text1"/>
          <w:szCs w:val="24"/>
          <w:bdr w:val="nil"/>
          <w:lang w:val="en-US"/>
        </w:rPr>
        <w:t xml:space="preserve"> -</w:t>
      </w:r>
      <w:r w:rsidRPr="004C70EC">
        <w:rPr>
          <w:noProof/>
          <w:color w:val="000000" w:themeColor="text1"/>
          <w:szCs w:val="24"/>
          <w:bdr w:val="nil"/>
          <w:lang w:val="en-US"/>
        </w:rPr>
        <w:t xml:space="preserve"> in order to meet common safety concerns</w:t>
      </w:r>
      <w:r w:rsidR="00194971" w:rsidRPr="004C70EC">
        <w:rPr>
          <w:noProof/>
          <w:color w:val="000000" w:themeColor="text1"/>
          <w:szCs w:val="24"/>
          <w:bdr w:val="nil"/>
          <w:lang w:val="en-US"/>
        </w:rPr>
        <w:t xml:space="preserve"> -</w:t>
      </w:r>
      <w:r w:rsidRPr="004C70EC">
        <w:rPr>
          <w:noProof/>
          <w:color w:val="000000" w:themeColor="text1"/>
          <w:szCs w:val="24"/>
          <w:bdr w:val="nil"/>
          <w:lang w:val="en-US"/>
        </w:rPr>
        <w:t xml:space="preserve"> of </w:t>
      </w:r>
      <w:r w:rsidR="00194971" w:rsidRPr="004C70EC">
        <w:rPr>
          <w:noProof/>
          <w:color w:val="000000" w:themeColor="text1"/>
          <w:szCs w:val="24"/>
          <w:bdr w:val="nil"/>
          <w:lang w:val="en-US"/>
        </w:rPr>
        <w:t>(i)</w:t>
      </w:r>
      <w:r w:rsidRPr="004C70EC">
        <w:rPr>
          <w:noProof/>
          <w:color w:val="000000" w:themeColor="text1"/>
          <w:szCs w:val="24"/>
          <w:bdr w:val="nil"/>
          <w:lang w:val="en-US"/>
        </w:rPr>
        <w:t xml:space="preserve"> measures setting high standards of quality and safety of organs and substances of human origin, blood and blood derivatives;</w:t>
      </w:r>
      <w:r w:rsidR="003A33EC" w:rsidRPr="004C70EC">
        <w:rPr>
          <w:noProof/>
          <w:color w:val="000000" w:themeColor="text1"/>
          <w:szCs w:val="24"/>
          <w:bdr w:val="nil"/>
          <w:lang w:val="en-US"/>
        </w:rPr>
        <w:t xml:space="preserve"> </w:t>
      </w:r>
      <w:r w:rsidR="00240C59" w:rsidRPr="004C70EC">
        <w:rPr>
          <w:noProof/>
          <w:color w:val="000000" w:themeColor="text1"/>
          <w:szCs w:val="24"/>
          <w:bdr w:val="nil"/>
          <w:lang w:val="en-US"/>
        </w:rPr>
        <w:t>(ii) measures</w:t>
      </w:r>
      <w:r w:rsidRPr="004C70EC">
        <w:rPr>
          <w:noProof/>
          <w:color w:val="000000" w:themeColor="text1"/>
          <w:szCs w:val="24"/>
          <w:bdr w:val="nil"/>
          <w:lang w:val="en-US"/>
        </w:rPr>
        <w:t xml:space="preserve"> in the veterinary and phytosanitary fields which have as their direct objective the protection of public health; and </w:t>
      </w:r>
      <w:r w:rsidR="000D5670" w:rsidRPr="004C70EC">
        <w:rPr>
          <w:noProof/>
          <w:color w:val="000000" w:themeColor="text1"/>
          <w:szCs w:val="24"/>
          <w:bdr w:val="nil"/>
          <w:lang w:val="en-US"/>
        </w:rPr>
        <w:t>(iii)</w:t>
      </w:r>
      <w:r w:rsidRPr="004C70EC">
        <w:rPr>
          <w:noProof/>
          <w:color w:val="000000" w:themeColor="text1"/>
          <w:szCs w:val="24"/>
          <w:bdr w:val="nil"/>
          <w:lang w:val="en-US"/>
        </w:rPr>
        <w:t xml:space="preserve"> measures setting high standards of quality and safety for medicinal products and devices for medical use</w:t>
      </w:r>
      <w:r w:rsidR="00E10470" w:rsidRPr="004C70EC">
        <w:rPr>
          <w:noProof/>
          <w:color w:val="000000" w:themeColor="text1"/>
          <w:szCs w:val="24"/>
          <w:bdr w:val="nil"/>
          <w:lang w:val="en-US"/>
        </w:rPr>
        <w:t>.</w:t>
      </w:r>
    </w:p>
    <w:p w14:paraId="777F0CF4" w14:textId="182A161A" w:rsidR="00E934F2" w:rsidRPr="004C70EC" w:rsidRDefault="00E934F2" w:rsidP="00A93205">
      <w:pPr>
        <w:pStyle w:val="Tiret0"/>
        <w:rPr>
          <w:noProof/>
          <w:color w:val="000000" w:themeColor="text1"/>
          <w:lang w:val="en-US"/>
        </w:rPr>
      </w:pPr>
      <w:r w:rsidRPr="004C70EC">
        <w:rPr>
          <w:noProof/>
          <w:color w:val="000000" w:themeColor="text1"/>
          <w:bdr w:val="nil"/>
          <w:lang w:val="en-US"/>
        </w:rPr>
        <w:t>Article 173(3) TFEU</w:t>
      </w:r>
      <w:r w:rsidR="00286C2A" w:rsidRPr="004C70EC">
        <w:rPr>
          <w:noProof/>
          <w:color w:val="000000" w:themeColor="text1"/>
          <w:lang w:val="en-US"/>
        </w:rPr>
        <w:t xml:space="preserve">, </w:t>
      </w:r>
      <w:r w:rsidR="00286C2A" w:rsidRPr="004C70EC">
        <w:rPr>
          <w:noProof/>
          <w:color w:val="000000" w:themeColor="text1"/>
          <w:lang w:val="en-IE"/>
        </w:rPr>
        <w:t xml:space="preserve">which allows the Union to decide on specific measures in support of action taken in the Member States to ensure the conditions necessary for the competitiveness of the Union’s industry, excluding any harmonisation of the laws and regulations of the Member States. This article provides </w:t>
      </w:r>
      <w:r w:rsidR="00CB0C0E" w:rsidRPr="004C70EC">
        <w:rPr>
          <w:noProof/>
          <w:color w:val="000000" w:themeColor="text1"/>
          <w:lang w:val="en-IE"/>
        </w:rPr>
        <w:t>a</w:t>
      </w:r>
      <w:r w:rsidR="00286C2A" w:rsidRPr="004C70EC">
        <w:rPr>
          <w:noProof/>
          <w:color w:val="000000" w:themeColor="text1"/>
          <w:lang w:val="en-IE"/>
        </w:rPr>
        <w:t xml:space="preserve"> legal basis for </w:t>
      </w:r>
      <w:r w:rsidR="00C941F3" w:rsidRPr="004C70EC">
        <w:rPr>
          <w:noProof/>
          <w:color w:val="000000" w:themeColor="text1"/>
          <w:lang w:val="en-IE"/>
        </w:rPr>
        <w:t xml:space="preserve">the provisions in this Regulation regarding the </w:t>
      </w:r>
      <w:r w:rsidRPr="004C70EC">
        <w:rPr>
          <w:noProof/>
          <w:color w:val="000000" w:themeColor="text1"/>
          <w:lang w:val="en-US"/>
        </w:rPr>
        <w:t xml:space="preserve">EU </w:t>
      </w:r>
      <w:r w:rsidR="00BC36E5" w:rsidRPr="004C70EC">
        <w:rPr>
          <w:noProof/>
          <w:color w:val="000000" w:themeColor="text1"/>
          <w:lang w:val="en-US"/>
        </w:rPr>
        <w:t>h</w:t>
      </w:r>
      <w:r w:rsidR="00D52E54" w:rsidRPr="004C70EC">
        <w:rPr>
          <w:noProof/>
          <w:color w:val="000000" w:themeColor="text1"/>
          <w:lang w:val="en-US"/>
        </w:rPr>
        <w:t xml:space="preserve">ealth </w:t>
      </w:r>
      <w:r w:rsidR="00BC36E5" w:rsidRPr="004C70EC">
        <w:rPr>
          <w:noProof/>
          <w:color w:val="000000" w:themeColor="text1"/>
          <w:lang w:val="en-US"/>
        </w:rPr>
        <w:t>b</w:t>
      </w:r>
      <w:r w:rsidRPr="004C70EC">
        <w:rPr>
          <w:noProof/>
          <w:color w:val="000000" w:themeColor="text1"/>
          <w:lang w:val="en-US"/>
        </w:rPr>
        <w:t xml:space="preserve">iotechnology </w:t>
      </w:r>
      <w:r w:rsidR="00BC36E5" w:rsidRPr="004C70EC">
        <w:rPr>
          <w:noProof/>
          <w:color w:val="000000" w:themeColor="text1"/>
          <w:lang w:val="en-US"/>
        </w:rPr>
        <w:t>i</w:t>
      </w:r>
      <w:r w:rsidRPr="004C70EC">
        <w:rPr>
          <w:noProof/>
          <w:color w:val="000000" w:themeColor="text1"/>
          <w:lang w:val="en-US"/>
        </w:rPr>
        <w:t xml:space="preserve">nvestment </w:t>
      </w:r>
      <w:r>
        <w:rPr>
          <w:noProof/>
          <w:color w:val="000000" w:themeColor="text1"/>
          <w:lang w:val="en-US"/>
        </w:rPr>
        <w:t>pilot</w:t>
      </w:r>
      <w:r w:rsidRPr="004C70EC">
        <w:rPr>
          <w:noProof/>
          <w:color w:val="000000" w:themeColor="text1"/>
          <w:lang w:val="en-US"/>
        </w:rPr>
        <w:t xml:space="preserve">, </w:t>
      </w:r>
      <w:r w:rsidR="00BC36E5" w:rsidRPr="004C70EC">
        <w:rPr>
          <w:noProof/>
          <w:color w:val="000000" w:themeColor="text1"/>
          <w:lang w:val="en-US"/>
        </w:rPr>
        <w:t xml:space="preserve">establishing </w:t>
      </w:r>
      <w:r w:rsidRPr="004C70EC">
        <w:rPr>
          <w:noProof/>
          <w:color w:val="000000" w:themeColor="text1"/>
          <w:lang w:val="en-US"/>
        </w:rPr>
        <w:t xml:space="preserve">the </w:t>
      </w:r>
      <w:r w:rsidR="00023F60" w:rsidRPr="004C70EC">
        <w:rPr>
          <w:noProof/>
          <w:color w:val="000000" w:themeColor="text1"/>
          <w:lang w:val="en-US"/>
        </w:rPr>
        <w:t>basis</w:t>
      </w:r>
      <w:r w:rsidRPr="004C70EC">
        <w:rPr>
          <w:noProof/>
          <w:color w:val="000000" w:themeColor="text1"/>
          <w:lang w:val="en-US"/>
        </w:rPr>
        <w:t xml:space="preserve"> for future Union financial support together with implementing partners, to support the financing of, and investments in, companies and projects falling within the scope of the </w:t>
      </w:r>
      <w:r w:rsidR="001E1966" w:rsidRPr="004C70EC">
        <w:rPr>
          <w:noProof/>
          <w:color w:val="000000" w:themeColor="text1"/>
          <w:lang w:val="en-US"/>
        </w:rPr>
        <w:t xml:space="preserve">European </w:t>
      </w:r>
      <w:r w:rsidRPr="004C70EC">
        <w:rPr>
          <w:noProof/>
          <w:color w:val="000000" w:themeColor="text1"/>
          <w:lang w:val="en-US"/>
        </w:rPr>
        <w:t>Biotech Act.</w:t>
      </w:r>
    </w:p>
    <w:p w14:paraId="6020D158" w14:textId="77777777" w:rsidR="00E934F2" w:rsidRPr="004C70EC" w:rsidRDefault="00E934F2" w:rsidP="00A93205">
      <w:pPr>
        <w:pStyle w:val="ManualHeading2"/>
        <w:rPr>
          <w:noProof/>
          <w:color w:val="000000" w:themeColor="text1"/>
          <w:bdr w:val="nil"/>
          <w:lang w:val="en-US" w:eastAsia="en-GB"/>
        </w:rPr>
      </w:pPr>
      <w:r w:rsidRPr="004C70EC">
        <w:rPr>
          <w:noProof/>
          <w:color w:val="000000" w:themeColor="text1"/>
          <w:bdr w:val="nil"/>
          <w:lang w:val="en-US" w:eastAsia="en-GB"/>
        </w:rPr>
        <w:t>•</w:t>
      </w:r>
      <w:r w:rsidRPr="004C70EC">
        <w:rPr>
          <w:rFonts w:eastAsia="Arial Unicode MS"/>
          <w:noProof/>
          <w:color w:val="000000" w:themeColor="text1"/>
          <w:u w:color="000000"/>
          <w:bdr w:val="nil"/>
          <w:lang w:val="en-US" w:eastAsia="en-GB"/>
        </w:rPr>
        <w:tab/>
      </w:r>
      <w:r w:rsidRPr="004C70EC">
        <w:rPr>
          <w:noProof/>
          <w:color w:val="000000" w:themeColor="text1"/>
          <w:bdr w:val="nil"/>
          <w:lang w:val="en-US" w:eastAsia="en-GB"/>
        </w:rPr>
        <w:t>Subsidiarity (for non-exclusive competence)</w:t>
      </w:r>
    </w:p>
    <w:p w14:paraId="660BFB9A"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bdr w:val="nil"/>
          <w:lang w:val="en-US" w:eastAsia="en-GB"/>
        </w:rPr>
      </w:pPr>
      <w:r w:rsidRPr="004C70EC">
        <w:rPr>
          <w:rFonts w:eastAsia="Times New Roman"/>
          <w:noProof/>
          <w:color w:val="000000" w:themeColor="text1"/>
          <w:bdr w:val="nil"/>
          <w:lang w:val="en-US" w:eastAsia="en-GB"/>
        </w:rPr>
        <w:t xml:space="preserve">The objectives of the proposal cannot be achieved by Member States acting alone, as the issues tackled are of a cross-border nature and </w:t>
      </w:r>
      <w:r w:rsidR="0058203B" w:rsidRPr="004C70EC">
        <w:rPr>
          <w:rFonts w:eastAsia="Times New Roman"/>
          <w:noProof/>
          <w:color w:val="000000" w:themeColor="text1"/>
          <w:bdr w:val="nil"/>
          <w:lang w:val="en-US" w:eastAsia="en-GB"/>
        </w:rPr>
        <w:t xml:space="preserve">are </w:t>
      </w:r>
      <w:r w:rsidRPr="004C70EC">
        <w:rPr>
          <w:rFonts w:eastAsia="Times New Roman"/>
          <w:noProof/>
          <w:color w:val="000000" w:themeColor="text1"/>
          <w:bdr w:val="nil"/>
          <w:lang w:val="en-US" w:eastAsia="en-GB"/>
        </w:rPr>
        <w:t xml:space="preserve">not limited to single Member States or to several Member States. The proposed actions focus on areas where there is a demonstrable value added in acting at </w:t>
      </w:r>
      <w:r w:rsidR="790D98D6" w:rsidRPr="004C70EC">
        <w:rPr>
          <w:rFonts w:eastAsia="Times New Roman"/>
          <w:noProof/>
          <w:color w:val="000000" w:themeColor="text1"/>
          <w:bdr w:val="nil"/>
          <w:lang w:val="en-US" w:eastAsia="en-GB"/>
        </w:rPr>
        <w:t xml:space="preserve">EU </w:t>
      </w:r>
      <w:r w:rsidRPr="004C70EC">
        <w:rPr>
          <w:rFonts w:eastAsia="Times New Roman"/>
          <w:noProof/>
          <w:color w:val="000000" w:themeColor="text1"/>
          <w:bdr w:val="nil"/>
          <w:lang w:val="en-US" w:eastAsia="en-GB"/>
        </w:rPr>
        <w:t>level due to the scale, speed</w:t>
      </w:r>
      <w:r w:rsidR="4DDF058A" w:rsidRPr="004C70EC">
        <w:rPr>
          <w:rFonts w:eastAsia="Times New Roman"/>
          <w:noProof/>
          <w:color w:val="000000" w:themeColor="text1"/>
          <w:bdr w:val="nil"/>
          <w:lang w:val="en-US" w:eastAsia="en-GB"/>
        </w:rPr>
        <w:t>,</w:t>
      </w:r>
      <w:r w:rsidRPr="004C70EC">
        <w:rPr>
          <w:rFonts w:eastAsia="Times New Roman"/>
          <w:noProof/>
          <w:color w:val="000000" w:themeColor="text1"/>
          <w:bdr w:val="nil"/>
          <w:lang w:val="en-US" w:eastAsia="en-GB"/>
        </w:rPr>
        <w:t xml:space="preserve"> and scope of the efforts needed. </w:t>
      </w:r>
    </w:p>
    <w:p w14:paraId="74C02C97"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bdr w:val="nil"/>
          <w:lang w:eastAsia="en-GB"/>
        </w:rPr>
      </w:pPr>
      <w:r w:rsidRPr="004C70EC">
        <w:rPr>
          <w:rFonts w:eastAsia="Times New Roman"/>
          <w:noProof/>
          <w:color w:val="000000" w:themeColor="text1"/>
          <w:bdr w:val="nil"/>
          <w:lang w:val="en-US" w:eastAsia="en-GB"/>
        </w:rPr>
        <w:t>Furthermore, the market drivers i</w:t>
      </w:r>
      <w:r w:rsidRPr="004C70EC">
        <w:rPr>
          <w:rFonts w:eastAsia="Times New Roman"/>
          <w:noProof/>
          <w:color w:val="000000" w:themeColor="text1"/>
          <w:bdr w:val="nil"/>
          <w:lang w:eastAsia="en-GB"/>
        </w:rPr>
        <w:t xml:space="preserve">dentified are shared across the Member States, affecting the functioning of the single market and the global competitiveness of </w:t>
      </w:r>
      <w:r w:rsidR="73680680" w:rsidRPr="004C70EC">
        <w:rPr>
          <w:rFonts w:eastAsia="Times New Roman"/>
          <w:noProof/>
          <w:color w:val="000000" w:themeColor="text1"/>
          <w:bdr w:val="nil"/>
          <w:lang w:eastAsia="en-GB"/>
        </w:rPr>
        <w:t xml:space="preserve">EU </w:t>
      </w:r>
      <w:r w:rsidRPr="004C70EC">
        <w:rPr>
          <w:rFonts w:eastAsia="Times New Roman"/>
          <w:noProof/>
          <w:color w:val="000000" w:themeColor="text1"/>
          <w:bdr w:val="nil"/>
          <w:lang w:eastAsia="en-GB"/>
        </w:rPr>
        <w:t xml:space="preserve">companies. </w:t>
      </w:r>
      <w:r w:rsidR="00882036" w:rsidRPr="004C70EC">
        <w:rPr>
          <w:rFonts w:eastAsia="Times New Roman"/>
          <w:noProof/>
          <w:color w:val="000000" w:themeColor="text1"/>
          <w:lang w:eastAsia="en-GB"/>
        </w:rPr>
        <w:t>A</w:t>
      </w:r>
      <w:r w:rsidR="00360D80" w:rsidRPr="004C70EC">
        <w:rPr>
          <w:rFonts w:eastAsia="Times New Roman"/>
          <w:noProof/>
          <w:color w:val="000000" w:themeColor="text1"/>
          <w:lang w:eastAsia="en-GB"/>
        </w:rPr>
        <w:t xml:space="preserve">ccess to finance is scattered across the EU and </w:t>
      </w:r>
      <w:r w:rsidR="00230382" w:rsidRPr="004C70EC">
        <w:rPr>
          <w:rFonts w:eastAsia="Times New Roman"/>
          <w:noProof/>
          <w:color w:val="000000" w:themeColor="text1"/>
          <w:lang w:eastAsia="en-GB"/>
        </w:rPr>
        <w:t xml:space="preserve">EU companies lack </w:t>
      </w:r>
      <w:r w:rsidRPr="004C70EC">
        <w:rPr>
          <w:rFonts w:eastAsia="Times New Roman"/>
          <w:noProof/>
          <w:color w:val="000000" w:themeColor="text1"/>
          <w:bdr w:val="nil"/>
          <w:lang w:eastAsia="en-GB"/>
        </w:rPr>
        <w:t>the capacity to access private finance</w:t>
      </w:r>
      <w:r w:rsidRPr="004C70EC">
        <w:rPr>
          <w:rFonts w:eastAsia="Times New Roman"/>
          <w:noProof/>
          <w:color w:val="000000" w:themeColor="text1"/>
          <w:lang w:eastAsia="en-GB"/>
        </w:rPr>
        <w:t xml:space="preserve"> at a competitive scale</w:t>
      </w:r>
      <w:r w:rsidRPr="004C70EC">
        <w:rPr>
          <w:rFonts w:eastAsia="Times New Roman"/>
          <w:noProof/>
          <w:color w:val="000000" w:themeColor="text1"/>
          <w:bdr w:val="nil"/>
          <w:lang w:eastAsia="en-GB"/>
        </w:rPr>
        <w:t>, including at later stages of development. Similarly, European biotechnology clusters are scattered across the EU, without sufficient continental scale to compete globally</w:t>
      </w:r>
      <w:r w:rsidRPr="004C70EC" w:rsidDel="00C92B5F">
        <w:rPr>
          <w:rFonts w:eastAsia="Times New Roman"/>
          <w:noProof/>
          <w:color w:val="000000" w:themeColor="text1"/>
          <w:bdr w:val="nil"/>
          <w:lang w:eastAsia="en-GB"/>
        </w:rPr>
        <w:t xml:space="preserve">. </w:t>
      </w:r>
      <w:r w:rsidR="00A755FD" w:rsidRPr="004C70EC">
        <w:rPr>
          <w:rFonts w:eastAsia="Times New Roman"/>
          <w:noProof/>
          <w:color w:val="000000" w:themeColor="text1"/>
          <w:bdr w:val="nil"/>
          <w:lang w:eastAsia="en-GB"/>
        </w:rPr>
        <w:t xml:space="preserve">The development and deployment of AI solutions for biotechnology </w:t>
      </w:r>
      <w:r w:rsidR="006700F4" w:rsidRPr="004C70EC">
        <w:rPr>
          <w:rFonts w:eastAsia="Times New Roman"/>
          <w:noProof/>
          <w:color w:val="000000" w:themeColor="text1"/>
          <w:bdr w:val="nil"/>
          <w:lang w:eastAsia="en-GB"/>
        </w:rPr>
        <w:t>remains limited, also due</w:t>
      </w:r>
      <w:r w:rsidRPr="004C70EC">
        <w:rPr>
          <w:rFonts w:eastAsia="Times New Roman"/>
          <w:noProof/>
          <w:color w:val="000000" w:themeColor="text1"/>
          <w:bdr w:val="nil"/>
          <w:lang w:eastAsia="en-GB"/>
        </w:rPr>
        <w:t xml:space="preserve"> </w:t>
      </w:r>
      <w:r w:rsidR="004D7068" w:rsidRPr="004C70EC">
        <w:rPr>
          <w:rFonts w:eastAsia="Times New Roman"/>
          <w:noProof/>
          <w:color w:val="000000" w:themeColor="text1"/>
          <w:bdr w:val="nil"/>
          <w:lang w:eastAsia="en-GB"/>
        </w:rPr>
        <w:t>to</w:t>
      </w:r>
      <w:r w:rsidRPr="004C70EC">
        <w:rPr>
          <w:rFonts w:eastAsia="Times New Roman"/>
          <w:noProof/>
          <w:color w:val="000000" w:themeColor="text1"/>
          <w:bdr w:val="nil"/>
          <w:lang w:eastAsia="en-GB"/>
        </w:rPr>
        <w:t xml:space="preserve"> the low level of storage, access and sharing of data </w:t>
      </w:r>
      <w:r w:rsidR="00256F48" w:rsidRPr="004C70EC">
        <w:rPr>
          <w:rFonts w:eastAsia="Times New Roman"/>
          <w:noProof/>
          <w:color w:val="000000" w:themeColor="text1"/>
          <w:bdr w:val="nil"/>
          <w:lang w:eastAsia="en-GB"/>
        </w:rPr>
        <w:t xml:space="preserve">relevant for biotechnology </w:t>
      </w:r>
      <w:r w:rsidRPr="004C70EC">
        <w:rPr>
          <w:rFonts w:eastAsia="Times New Roman"/>
          <w:noProof/>
          <w:color w:val="000000" w:themeColor="text1"/>
          <w:bdr w:val="nil"/>
          <w:lang w:eastAsia="en-GB"/>
        </w:rPr>
        <w:t>in the EU</w:t>
      </w:r>
      <w:r w:rsidR="003D5AAD" w:rsidRPr="004C70EC">
        <w:rPr>
          <w:rFonts w:eastAsia="Times New Roman"/>
          <w:noProof/>
          <w:color w:val="000000" w:themeColor="text1"/>
          <w:bdr w:val="nil"/>
          <w:lang w:eastAsia="en-GB"/>
        </w:rPr>
        <w:t>,</w:t>
      </w:r>
      <w:r w:rsidRPr="004C70EC">
        <w:rPr>
          <w:rFonts w:eastAsia="Times New Roman"/>
          <w:noProof/>
          <w:color w:val="000000" w:themeColor="text1"/>
          <w:bdr w:val="nil"/>
          <w:lang w:eastAsia="en-GB"/>
        </w:rPr>
        <w:t xml:space="preserve"> including </w:t>
      </w:r>
      <w:r w:rsidR="003D5AAD" w:rsidRPr="004C70EC">
        <w:rPr>
          <w:rFonts w:eastAsia="Times New Roman"/>
          <w:noProof/>
          <w:color w:val="000000" w:themeColor="text1"/>
          <w:bdr w:val="nil"/>
          <w:lang w:eastAsia="en-GB"/>
        </w:rPr>
        <w:t>a</w:t>
      </w:r>
      <w:r w:rsidRPr="004C70EC">
        <w:rPr>
          <w:rFonts w:eastAsia="Times New Roman"/>
          <w:noProof/>
          <w:color w:val="000000" w:themeColor="text1"/>
          <w:bdr w:val="nil"/>
          <w:lang w:eastAsia="en-GB"/>
        </w:rPr>
        <w:t>cross</w:t>
      </w:r>
      <w:r w:rsidR="003D5AAD" w:rsidRPr="004C70EC">
        <w:rPr>
          <w:rFonts w:eastAsia="Times New Roman"/>
          <w:noProof/>
          <w:color w:val="000000" w:themeColor="text1"/>
          <w:bdr w:val="nil"/>
          <w:lang w:eastAsia="en-GB"/>
        </w:rPr>
        <w:t xml:space="preserve"> </w:t>
      </w:r>
      <w:r w:rsidRPr="004C70EC">
        <w:rPr>
          <w:rFonts w:eastAsia="Times New Roman"/>
          <w:noProof/>
          <w:color w:val="000000" w:themeColor="text1"/>
          <w:bdr w:val="nil"/>
          <w:lang w:eastAsia="en-GB"/>
        </w:rPr>
        <w:t>borders.</w:t>
      </w:r>
      <w:r w:rsidRPr="004C70EC">
        <w:rPr>
          <w:rFonts w:eastAsia="Times New Roman"/>
          <w:noProof/>
          <w:color w:val="000000" w:themeColor="text1"/>
          <w:lang w:eastAsia="en-GB"/>
        </w:rPr>
        <w:t xml:space="preserve"> </w:t>
      </w:r>
      <w:r w:rsidR="00525BBE" w:rsidRPr="004C70EC">
        <w:rPr>
          <w:rFonts w:eastAsia="Times New Roman"/>
          <w:noProof/>
          <w:color w:val="000000" w:themeColor="text1"/>
          <w:lang w:eastAsia="en-GB"/>
        </w:rPr>
        <w:t>T</w:t>
      </w:r>
      <w:r w:rsidRPr="004C70EC">
        <w:rPr>
          <w:rFonts w:eastAsia="Times New Roman"/>
          <w:noProof/>
          <w:color w:val="000000" w:themeColor="text1"/>
          <w:lang w:eastAsia="en-GB"/>
        </w:rPr>
        <w:t>he</w:t>
      </w:r>
      <w:r w:rsidR="00C27A9D" w:rsidRPr="004C70EC">
        <w:rPr>
          <w:rFonts w:eastAsia="Times New Roman"/>
          <w:noProof/>
          <w:color w:val="000000" w:themeColor="text1"/>
          <w:lang w:eastAsia="en-GB"/>
        </w:rPr>
        <w:t>re is a</w:t>
      </w:r>
      <w:r w:rsidR="00525BBE" w:rsidRPr="004C70EC">
        <w:rPr>
          <w:rFonts w:eastAsia="Times New Roman"/>
          <w:noProof/>
          <w:color w:val="000000" w:themeColor="text1"/>
          <w:lang w:eastAsia="en-GB"/>
        </w:rPr>
        <w:t>lso a</w:t>
      </w:r>
      <w:r w:rsidR="00C27A9D" w:rsidRPr="004C70EC">
        <w:rPr>
          <w:rFonts w:eastAsia="Times New Roman"/>
          <w:noProof/>
          <w:color w:val="000000" w:themeColor="text1"/>
          <w:lang w:eastAsia="en-GB"/>
        </w:rPr>
        <w:t xml:space="preserve"> clear need across the EU</w:t>
      </w:r>
      <w:r w:rsidRPr="004C70EC">
        <w:rPr>
          <w:rFonts w:eastAsia="Times New Roman"/>
          <w:noProof/>
          <w:color w:val="000000" w:themeColor="text1"/>
          <w:lang w:eastAsia="en-GB"/>
        </w:rPr>
        <w:t xml:space="preserve"> to attract, reskill and upskill the workforce.</w:t>
      </w:r>
    </w:p>
    <w:p w14:paraId="0B7BA168" w14:textId="77777777" w:rsidR="003F2E5F" w:rsidRPr="004C70EC" w:rsidRDefault="003F2E5F" w:rsidP="000D6883">
      <w:pPr>
        <w:pBdr>
          <w:top w:val="nil"/>
          <w:left w:val="nil"/>
          <w:bottom w:val="nil"/>
          <w:right w:val="nil"/>
          <w:between w:val="nil"/>
          <w:bar w:val="nil"/>
        </w:pBdr>
        <w:spacing w:after="240"/>
        <w:rPr>
          <w:rFonts w:eastAsia="Times New Roman"/>
          <w:noProof/>
          <w:color w:val="000000" w:themeColor="text1"/>
          <w:szCs w:val="24"/>
        </w:rPr>
      </w:pPr>
      <w:r w:rsidRPr="004C70EC">
        <w:rPr>
          <w:rFonts w:eastAsia="Times New Roman"/>
          <w:noProof/>
          <w:color w:val="000000" w:themeColor="text1"/>
          <w:szCs w:val="24"/>
        </w:rPr>
        <w:t>Moreover,</w:t>
      </w:r>
      <w:r w:rsidR="00E934F2" w:rsidRPr="004C70EC">
        <w:rPr>
          <w:rFonts w:eastAsia="Times New Roman"/>
          <w:noProof/>
          <w:color w:val="000000" w:themeColor="text1"/>
          <w:szCs w:val="24"/>
        </w:rPr>
        <w:t xml:space="preserve"> </w:t>
      </w:r>
      <w:r w:rsidR="0041196F" w:rsidRPr="004C70EC">
        <w:rPr>
          <w:rFonts w:eastAsia="Times New Roman"/>
          <w:noProof/>
          <w:color w:val="000000" w:themeColor="text1"/>
          <w:szCs w:val="24"/>
        </w:rPr>
        <w:t xml:space="preserve">while </w:t>
      </w:r>
      <w:r w:rsidR="00E934F2" w:rsidRPr="004C70EC">
        <w:rPr>
          <w:rFonts w:eastAsia="Times New Roman"/>
          <w:noProof/>
          <w:color w:val="000000" w:themeColor="text1"/>
          <w:szCs w:val="24"/>
        </w:rPr>
        <w:t xml:space="preserve">several Member States have taken action to boost innovation in </w:t>
      </w:r>
      <w:r w:rsidR="0041196F" w:rsidRPr="004C70EC">
        <w:rPr>
          <w:rFonts w:eastAsia="Times New Roman"/>
          <w:noProof/>
          <w:color w:val="000000" w:themeColor="text1"/>
          <w:szCs w:val="24"/>
        </w:rPr>
        <w:t>biotechnology</w:t>
      </w:r>
      <w:r w:rsidR="00E934F2" w:rsidRPr="004C70EC">
        <w:rPr>
          <w:rFonts w:eastAsia="Times New Roman"/>
          <w:noProof/>
          <w:color w:val="000000" w:themeColor="text1"/>
          <w:szCs w:val="24"/>
        </w:rPr>
        <w:t xml:space="preserve">, the above-mentioned bottlenecks persist; improvements are expected to take considerably more time </w:t>
      </w:r>
      <w:r w:rsidR="0041196F" w:rsidRPr="004C70EC">
        <w:rPr>
          <w:rFonts w:eastAsia="Times New Roman"/>
          <w:noProof/>
          <w:color w:val="000000" w:themeColor="text1"/>
          <w:szCs w:val="24"/>
        </w:rPr>
        <w:t xml:space="preserve">and </w:t>
      </w:r>
      <w:r w:rsidR="00E934F2" w:rsidRPr="004C70EC">
        <w:rPr>
          <w:rFonts w:eastAsia="Times New Roman"/>
          <w:noProof/>
          <w:color w:val="000000" w:themeColor="text1"/>
          <w:szCs w:val="24"/>
        </w:rPr>
        <w:t xml:space="preserve">without achieving the levels </w:t>
      </w:r>
      <w:r w:rsidR="00483ECC" w:rsidRPr="004C70EC">
        <w:rPr>
          <w:rFonts w:eastAsia="Times New Roman"/>
          <w:noProof/>
          <w:color w:val="000000" w:themeColor="text1"/>
          <w:szCs w:val="24"/>
        </w:rPr>
        <w:t xml:space="preserve">needed </w:t>
      </w:r>
      <w:r w:rsidR="00E934F2" w:rsidRPr="004C70EC">
        <w:rPr>
          <w:rFonts w:eastAsia="Times New Roman"/>
          <w:noProof/>
          <w:color w:val="000000" w:themeColor="text1"/>
          <w:szCs w:val="24"/>
        </w:rPr>
        <w:t>to compete at global level. For example, access to finance would remain scattered at EU level. The growth of clusters in the EU would also remain limited, without sufficient benefit</w:t>
      </w:r>
      <w:r w:rsidR="00483ECC" w:rsidRPr="004C70EC">
        <w:rPr>
          <w:rFonts w:eastAsia="Times New Roman"/>
          <w:noProof/>
          <w:color w:val="000000" w:themeColor="text1"/>
          <w:szCs w:val="24"/>
        </w:rPr>
        <w:t>s</w:t>
      </w:r>
      <w:r w:rsidR="00E934F2" w:rsidRPr="004C70EC">
        <w:rPr>
          <w:rFonts w:eastAsia="Times New Roman"/>
          <w:noProof/>
          <w:color w:val="000000" w:themeColor="text1"/>
          <w:szCs w:val="24"/>
        </w:rPr>
        <w:t xml:space="preserve"> from cross-border connections.</w:t>
      </w:r>
    </w:p>
    <w:p w14:paraId="20EBD2B3" w14:textId="77777777" w:rsidR="000D6883" w:rsidRPr="004C70EC" w:rsidRDefault="00F7059D">
      <w:pPr>
        <w:pBdr>
          <w:top w:val="nil"/>
          <w:left w:val="nil"/>
          <w:bottom w:val="nil"/>
          <w:right w:val="nil"/>
          <w:between w:val="nil"/>
          <w:bar w:val="nil"/>
        </w:pBdr>
        <w:spacing w:after="240"/>
        <w:rPr>
          <w:rFonts w:eastAsia="Times New Roman"/>
          <w:noProof/>
          <w:color w:val="000000" w:themeColor="text1"/>
        </w:rPr>
      </w:pPr>
      <w:r w:rsidRPr="004C70EC">
        <w:rPr>
          <w:rFonts w:eastAsia="Times New Roman"/>
          <w:noProof/>
          <w:color w:val="000000" w:themeColor="text1"/>
        </w:rPr>
        <w:t>Lastly</w:t>
      </w:r>
      <w:r w:rsidR="000D6883" w:rsidRPr="004C70EC">
        <w:rPr>
          <w:rFonts w:eastAsia="Times New Roman"/>
          <w:noProof/>
          <w:color w:val="000000" w:themeColor="text1"/>
          <w:bdr w:val="nil"/>
          <w:lang w:val="en-US" w:eastAsia="en-GB"/>
        </w:rPr>
        <w:t xml:space="preserve">, important regulatory barriers faced by </w:t>
      </w:r>
      <w:r w:rsidR="000D6883" w:rsidRPr="004C70EC">
        <w:rPr>
          <w:rFonts w:eastAsia="Times New Roman"/>
          <w:noProof/>
          <w:color w:val="000000" w:themeColor="text1"/>
          <w:lang w:val="en-US" w:eastAsia="en-GB"/>
        </w:rPr>
        <w:t xml:space="preserve">European biotechnology companies </w:t>
      </w:r>
      <w:r w:rsidR="000D6883" w:rsidRPr="004C70EC">
        <w:rPr>
          <w:rFonts w:eastAsia="Times New Roman"/>
          <w:noProof/>
          <w:color w:val="000000" w:themeColor="text1"/>
          <w:bdr w:val="nil"/>
          <w:lang w:val="en-US" w:eastAsia="en-GB"/>
        </w:rPr>
        <w:t xml:space="preserve">stem from </w:t>
      </w:r>
      <w:r w:rsidR="07C494C9" w:rsidRPr="004C70EC">
        <w:rPr>
          <w:rFonts w:eastAsia="Times New Roman"/>
          <w:noProof/>
          <w:color w:val="000000" w:themeColor="text1"/>
          <w:bdr w:val="nil"/>
          <w:lang w:val="en-US" w:eastAsia="en-GB"/>
        </w:rPr>
        <w:t xml:space="preserve">EU </w:t>
      </w:r>
      <w:r w:rsidR="000D6883" w:rsidRPr="004C70EC">
        <w:rPr>
          <w:rFonts w:eastAsia="Times New Roman"/>
          <w:noProof/>
          <w:color w:val="000000" w:themeColor="text1"/>
          <w:bdr w:val="nil"/>
          <w:lang w:val="en-US" w:eastAsia="en-GB"/>
        </w:rPr>
        <w:t xml:space="preserve">legislation. Therefore, </w:t>
      </w:r>
      <w:r w:rsidR="00154B8E" w:rsidRPr="004C70EC">
        <w:rPr>
          <w:rFonts w:eastAsia="Times New Roman"/>
          <w:noProof/>
          <w:color w:val="000000" w:themeColor="text1"/>
          <w:bdr w:val="nil"/>
          <w:lang w:val="en-US" w:eastAsia="en-GB"/>
        </w:rPr>
        <w:t xml:space="preserve">with a view to enable the effectiveness of the substantive measures </w:t>
      </w:r>
      <w:r w:rsidR="00F50378" w:rsidRPr="004C70EC">
        <w:rPr>
          <w:rFonts w:eastAsia="Times New Roman"/>
          <w:noProof/>
          <w:color w:val="000000" w:themeColor="text1"/>
          <w:bdr w:val="nil"/>
          <w:lang w:val="en-US" w:eastAsia="en-GB"/>
        </w:rPr>
        <w:t xml:space="preserve">put forward in this proposal, </w:t>
      </w:r>
      <w:r w:rsidR="000D6883" w:rsidRPr="004C70EC">
        <w:rPr>
          <w:rFonts w:eastAsia="Times New Roman"/>
          <w:noProof/>
          <w:color w:val="000000" w:themeColor="text1"/>
          <w:bdr w:val="nil"/>
          <w:lang w:val="en-US" w:eastAsia="en-GB"/>
        </w:rPr>
        <w:t xml:space="preserve">it is proposed to simplify </w:t>
      </w:r>
      <w:r w:rsidR="24B60F3A" w:rsidRPr="004C70EC">
        <w:rPr>
          <w:rFonts w:eastAsia="Times New Roman"/>
          <w:noProof/>
          <w:color w:val="000000" w:themeColor="text1"/>
          <w:bdr w:val="nil"/>
          <w:lang w:val="en-US" w:eastAsia="en-GB"/>
        </w:rPr>
        <w:t xml:space="preserve">EU </w:t>
      </w:r>
      <w:r w:rsidR="000D6883" w:rsidRPr="004C70EC">
        <w:rPr>
          <w:rFonts w:eastAsia="Times New Roman"/>
          <w:noProof/>
          <w:color w:val="000000" w:themeColor="text1"/>
          <w:bdr w:val="nil"/>
          <w:lang w:val="en-US" w:eastAsia="en-GB"/>
        </w:rPr>
        <w:t xml:space="preserve">legislation </w:t>
      </w:r>
      <w:r w:rsidR="00F50378" w:rsidRPr="004C70EC">
        <w:rPr>
          <w:rFonts w:eastAsia="Times New Roman"/>
          <w:noProof/>
          <w:color w:val="000000" w:themeColor="text1"/>
          <w:bdr w:val="nil"/>
          <w:lang w:val="en-US" w:eastAsia="en-GB"/>
        </w:rPr>
        <w:t xml:space="preserve">in the area of health and </w:t>
      </w:r>
      <w:r w:rsidR="007411BE" w:rsidRPr="004C70EC">
        <w:rPr>
          <w:rFonts w:eastAsia="Times New Roman"/>
          <w:noProof/>
          <w:color w:val="000000" w:themeColor="text1"/>
          <w:bdr w:val="nil"/>
          <w:lang w:val="en-US" w:eastAsia="en-GB"/>
        </w:rPr>
        <w:t xml:space="preserve">of </w:t>
      </w:r>
      <w:r w:rsidR="00F50378" w:rsidRPr="004C70EC">
        <w:rPr>
          <w:rFonts w:eastAsia="Times New Roman"/>
          <w:noProof/>
          <w:color w:val="000000" w:themeColor="text1"/>
          <w:bdr w:val="nil"/>
          <w:lang w:val="en-US" w:eastAsia="en-GB"/>
        </w:rPr>
        <w:t xml:space="preserve">food and feed safety </w:t>
      </w:r>
      <w:r w:rsidR="000D6883" w:rsidRPr="004C70EC">
        <w:rPr>
          <w:rFonts w:eastAsia="Times New Roman"/>
          <w:noProof/>
          <w:color w:val="000000" w:themeColor="text1"/>
          <w:bdr w:val="nil"/>
          <w:lang w:val="en-US" w:eastAsia="en-GB"/>
        </w:rPr>
        <w:t xml:space="preserve">to make it easier to innovate and place biotechnology products and services on the </w:t>
      </w:r>
      <w:r w:rsidR="007411BE" w:rsidRPr="004C70EC">
        <w:rPr>
          <w:rFonts w:eastAsia="Times New Roman"/>
          <w:noProof/>
          <w:color w:val="000000" w:themeColor="text1"/>
          <w:bdr w:val="nil"/>
          <w:lang w:val="en-US" w:eastAsia="en-GB"/>
        </w:rPr>
        <w:t>Union</w:t>
      </w:r>
      <w:r w:rsidR="000D6883" w:rsidRPr="004C70EC">
        <w:rPr>
          <w:rFonts w:eastAsia="Times New Roman"/>
          <w:noProof/>
          <w:color w:val="000000" w:themeColor="text1"/>
          <w:bdr w:val="nil"/>
          <w:lang w:val="en-US" w:eastAsia="en-GB"/>
        </w:rPr>
        <w:t xml:space="preserve"> market and to enhance legal clarity. </w:t>
      </w:r>
    </w:p>
    <w:p w14:paraId="11FECE2F" w14:textId="77777777" w:rsidR="00E934F2" w:rsidRPr="004C70EC" w:rsidRDefault="00E934F2" w:rsidP="00A93205">
      <w:pPr>
        <w:pStyle w:val="ManualHeading2"/>
        <w:rPr>
          <w:rFonts w:eastAsia="Times New Roman"/>
          <w:b w:val="0"/>
          <w:noProof/>
          <w:color w:val="000000" w:themeColor="text1"/>
          <w:bdr w:val="nil"/>
          <w:lang w:val="en-US" w:eastAsia="en-GB"/>
        </w:rPr>
      </w:pPr>
      <w:r w:rsidRPr="004C70EC">
        <w:rPr>
          <w:rFonts w:eastAsia="Times New Roman"/>
          <w:noProof/>
          <w:color w:val="000000" w:themeColor="text1"/>
          <w:bdr w:val="nil"/>
          <w:lang w:val="en-US" w:eastAsia="en-GB"/>
        </w:rPr>
        <w:t>•</w:t>
      </w:r>
      <w:r w:rsidRPr="004C70EC">
        <w:rPr>
          <w:rFonts w:eastAsia="Arial Unicode MS"/>
          <w:noProof/>
          <w:color w:val="000000" w:themeColor="text1"/>
          <w:szCs w:val="24"/>
          <w:u w:color="000000"/>
          <w:bdr w:val="nil"/>
          <w:lang w:val="en-US" w:eastAsia="en-GB"/>
        </w:rPr>
        <w:tab/>
      </w:r>
      <w:r w:rsidRPr="004C70EC">
        <w:rPr>
          <w:rFonts w:eastAsia="Times New Roman"/>
          <w:noProof/>
          <w:color w:val="000000" w:themeColor="text1"/>
          <w:bdr w:val="nil"/>
          <w:lang w:val="en-US" w:eastAsia="en-GB"/>
        </w:rPr>
        <w:t>Proportionality</w:t>
      </w:r>
    </w:p>
    <w:p w14:paraId="77389A8B"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bdr w:val="nil"/>
          <w:lang w:val="en-US" w:eastAsia="en-GB"/>
        </w:rPr>
      </w:pPr>
      <w:r w:rsidRPr="004C70EC">
        <w:rPr>
          <w:rFonts w:eastAsia="Times New Roman"/>
          <w:noProof/>
          <w:color w:val="000000" w:themeColor="text1"/>
          <w:szCs w:val="24"/>
          <w:bdr w:val="nil"/>
          <w:lang w:val="en-US" w:eastAsia="en-GB"/>
        </w:rPr>
        <w:t xml:space="preserve">The selected measures under the industrial policy </w:t>
      </w:r>
      <w:r w:rsidR="00C33F92" w:rsidRPr="004C70EC">
        <w:rPr>
          <w:rFonts w:eastAsia="Times New Roman"/>
          <w:noProof/>
          <w:color w:val="000000" w:themeColor="text1"/>
          <w:szCs w:val="24"/>
          <w:bdr w:val="nil"/>
          <w:lang w:val="en-US" w:eastAsia="en-GB"/>
        </w:rPr>
        <w:t>and substantive</w:t>
      </w:r>
      <w:r w:rsidRPr="004C70EC">
        <w:rPr>
          <w:rFonts w:eastAsia="Times New Roman"/>
          <w:noProof/>
          <w:color w:val="000000" w:themeColor="text1"/>
          <w:szCs w:val="24"/>
          <w:bdr w:val="nil"/>
          <w:lang w:val="en-US" w:eastAsia="en-GB"/>
        </w:rPr>
        <w:t xml:space="preserve"> part of the </w:t>
      </w:r>
      <w:r w:rsidR="00852CB7" w:rsidRPr="004C70EC">
        <w:rPr>
          <w:rFonts w:eastAsia="Times New Roman"/>
          <w:noProof/>
          <w:color w:val="000000" w:themeColor="text1"/>
          <w:szCs w:val="24"/>
          <w:bdr w:val="nil"/>
          <w:lang w:val="en-US" w:eastAsia="en-GB"/>
        </w:rPr>
        <w:t xml:space="preserve">proposal </w:t>
      </w:r>
      <w:r w:rsidRPr="004C70EC">
        <w:rPr>
          <w:rFonts w:eastAsia="Times New Roman"/>
          <w:noProof/>
          <w:color w:val="000000" w:themeColor="text1"/>
          <w:szCs w:val="24"/>
          <w:bdr w:val="nil"/>
          <w:lang w:val="en-US" w:eastAsia="en-GB"/>
        </w:rPr>
        <w:t xml:space="preserve">are targeted </w:t>
      </w:r>
      <w:r w:rsidR="00444F06" w:rsidRPr="004C70EC">
        <w:rPr>
          <w:rFonts w:eastAsia="Times New Roman"/>
          <w:noProof/>
          <w:color w:val="000000" w:themeColor="text1"/>
          <w:szCs w:val="24"/>
          <w:bdr w:val="nil"/>
          <w:lang w:val="en-US" w:eastAsia="en-GB"/>
        </w:rPr>
        <w:t>at the</w:t>
      </w:r>
      <w:r w:rsidRPr="004C70EC">
        <w:rPr>
          <w:rFonts w:eastAsia="Times New Roman"/>
          <w:noProof/>
          <w:color w:val="000000" w:themeColor="text1"/>
          <w:szCs w:val="24"/>
          <w:bdr w:val="nil"/>
          <w:lang w:val="en-US" w:eastAsia="en-GB"/>
        </w:rPr>
        <w:t xml:space="preserve"> specific areas of interventions</w:t>
      </w:r>
      <w:r w:rsidR="00444F06" w:rsidRPr="004C70EC">
        <w:rPr>
          <w:rFonts w:eastAsia="Times New Roman"/>
          <w:noProof/>
          <w:color w:val="000000" w:themeColor="text1"/>
          <w:szCs w:val="24"/>
          <w:bdr w:val="nil"/>
          <w:lang w:val="en-US" w:eastAsia="en-GB"/>
        </w:rPr>
        <w:t xml:space="preserve"> listed below.</w:t>
      </w:r>
      <w:r w:rsidRPr="004C70EC">
        <w:rPr>
          <w:rFonts w:eastAsia="Times New Roman"/>
          <w:noProof/>
          <w:color w:val="000000" w:themeColor="text1"/>
          <w:szCs w:val="24"/>
          <w:bdr w:val="nil"/>
          <w:lang w:val="en-US" w:eastAsia="en-GB"/>
        </w:rPr>
        <w:t xml:space="preserve"> </w:t>
      </w:r>
    </w:p>
    <w:p w14:paraId="518DAC8C" w14:textId="77777777" w:rsidR="00E934F2" w:rsidRPr="004C70EC" w:rsidRDefault="00130EDE" w:rsidP="00A93205">
      <w:pPr>
        <w:pStyle w:val="Tiret0"/>
        <w:rPr>
          <w:noProof/>
          <w:color w:val="000000" w:themeColor="text1"/>
          <w:bdr w:val="nil"/>
          <w:lang w:val="en-US"/>
        </w:rPr>
      </w:pPr>
      <w:r w:rsidRPr="004C70EC">
        <w:rPr>
          <w:noProof/>
          <w:color w:val="000000" w:themeColor="text1"/>
          <w:bdr w:val="nil"/>
          <w:lang w:val="en-US"/>
        </w:rPr>
        <w:t>T</w:t>
      </w:r>
      <w:r w:rsidR="00E934F2" w:rsidRPr="004C70EC">
        <w:rPr>
          <w:noProof/>
          <w:color w:val="000000" w:themeColor="text1"/>
          <w:bdr w:val="nil"/>
          <w:lang w:val="en-US"/>
        </w:rPr>
        <w:t xml:space="preserve">he provisions on </w:t>
      </w:r>
      <w:r w:rsidRPr="004C70EC">
        <w:rPr>
          <w:noProof/>
          <w:color w:val="000000" w:themeColor="text1"/>
          <w:bdr w:val="nil"/>
          <w:lang w:val="en-US"/>
        </w:rPr>
        <w:t>strategic</w:t>
      </w:r>
      <w:r w:rsidR="00E934F2" w:rsidRPr="004C70EC">
        <w:rPr>
          <w:noProof/>
          <w:color w:val="000000" w:themeColor="text1"/>
          <w:bdr w:val="nil"/>
          <w:lang w:val="en-US"/>
        </w:rPr>
        <w:t xml:space="preserve"> </w:t>
      </w:r>
      <w:r w:rsidR="00FA6190" w:rsidRPr="004C70EC">
        <w:rPr>
          <w:rFonts w:eastAsia="Times New Roman"/>
          <w:noProof/>
          <w:color w:val="000000" w:themeColor="text1"/>
        </w:rPr>
        <w:t xml:space="preserve">health </w:t>
      </w:r>
      <w:r w:rsidR="00E934F2" w:rsidRPr="004C70EC">
        <w:rPr>
          <w:noProof/>
          <w:color w:val="000000" w:themeColor="text1"/>
          <w:bdr w:val="nil"/>
          <w:lang w:val="en-US"/>
        </w:rPr>
        <w:t xml:space="preserve">biotechnology projects and high-impact </w:t>
      </w:r>
      <w:r w:rsidR="00BF35AA" w:rsidRPr="004C70EC">
        <w:rPr>
          <w:noProof/>
          <w:color w:val="000000" w:themeColor="text1"/>
          <w:bdr w:val="nil"/>
          <w:lang w:val="en-US"/>
        </w:rPr>
        <w:t>strategic</w:t>
      </w:r>
      <w:r w:rsidR="00E934F2" w:rsidRPr="004C70EC">
        <w:rPr>
          <w:noProof/>
          <w:color w:val="000000" w:themeColor="text1"/>
          <w:bdr w:val="nil"/>
          <w:lang w:val="en-US"/>
        </w:rPr>
        <w:t xml:space="preserve"> </w:t>
      </w:r>
      <w:r w:rsidR="00FA6190" w:rsidRPr="004C70EC">
        <w:rPr>
          <w:rFonts w:eastAsia="Times New Roman"/>
          <w:noProof/>
          <w:color w:val="000000" w:themeColor="text1"/>
        </w:rPr>
        <w:t>health</w:t>
      </w:r>
      <w:r w:rsidR="00E934F2" w:rsidRPr="004C70EC">
        <w:rPr>
          <w:rFonts w:eastAsia="Times New Roman"/>
          <w:noProof/>
          <w:color w:val="000000" w:themeColor="text1"/>
        </w:rPr>
        <w:t xml:space="preserve"> </w:t>
      </w:r>
      <w:r w:rsidR="00E934F2" w:rsidRPr="004C70EC">
        <w:rPr>
          <w:noProof/>
          <w:color w:val="000000" w:themeColor="text1"/>
          <w:bdr w:val="nil"/>
          <w:lang w:val="en-US"/>
        </w:rPr>
        <w:t xml:space="preserve">biotechnology projects are proportionate to the aims pursued, including by </w:t>
      </w:r>
      <w:r w:rsidR="00FA76A8" w:rsidRPr="004C70EC">
        <w:rPr>
          <w:noProof/>
          <w:color w:val="000000" w:themeColor="text1"/>
          <w:bdr w:val="nil"/>
          <w:lang w:val="en-IE"/>
        </w:rPr>
        <w:t xml:space="preserve">recognising the first category of projects </w:t>
      </w:r>
      <w:r w:rsidR="00E934F2" w:rsidRPr="004C70EC">
        <w:rPr>
          <w:noProof/>
          <w:color w:val="000000" w:themeColor="text1"/>
          <w:bdr w:val="nil"/>
          <w:lang w:val="en-US"/>
        </w:rPr>
        <w:t xml:space="preserve">at Member State level, and </w:t>
      </w:r>
      <w:r w:rsidR="003A1C94" w:rsidRPr="004C70EC">
        <w:rPr>
          <w:noProof/>
          <w:color w:val="000000" w:themeColor="text1"/>
          <w:bdr w:val="nil"/>
          <w:lang w:val="en-US"/>
        </w:rPr>
        <w:t>the second category</w:t>
      </w:r>
      <w:r w:rsidR="00E934F2" w:rsidRPr="004C70EC">
        <w:rPr>
          <w:noProof/>
          <w:color w:val="000000" w:themeColor="text1"/>
          <w:bdr w:val="nil"/>
          <w:lang w:val="en-US"/>
        </w:rPr>
        <w:t xml:space="preserve"> at </w:t>
      </w:r>
      <w:r w:rsidR="1832250D" w:rsidRPr="004C70EC">
        <w:rPr>
          <w:noProof/>
          <w:color w:val="000000" w:themeColor="text1"/>
          <w:bdr w:val="nil"/>
          <w:lang w:val="en-US"/>
        </w:rPr>
        <w:t xml:space="preserve">EU </w:t>
      </w:r>
      <w:r w:rsidR="00E934F2" w:rsidRPr="004C70EC">
        <w:rPr>
          <w:noProof/>
          <w:color w:val="000000" w:themeColor="text1"/>
          <w:bdr w:val="nil"/>
          <w:lang w:val="en-US"/>
        </w:rPr>
        <w:t xml:space="preserve">level </w:t>
      </w:r>
      <w:r w:rsidR="00C25608" w:rsidRPr="004C70EC">
        <w:rPr>
          <w:noProof/>
          <w:color w:val="000000" w:themeColor="text1"/>
          <w:bdr w:val="nil"/>
          <w:lang w:val="en-US"/>
        </w:rPr>
        <w:t xml:space="preserve">on the basis of </w:t>
      </w:r>
      <w:r w:rsidR="00E934F2" w:rsidRPr="004C70EC">
        <w:rPr>
          <w:noProof/>
          <w:color w:val="000000" w:themeColor="text1"/>
          <w:bdr w:val="nil"/>
          <w:lang w:val="en-US"/>
        </w:rPr>
        <w:t xml:space="preserve">an assessment at Member State level. Moreover, the recognition of such projects is based on clear criteria tailored to ensure that projects that contribute </w:t>
      </w:r>
      <w:r w:rsidR="00697C72" w:rsidRPr="004C70EC">
        <w:rPr>
          <w:noProof/>
          <w:color w:val="000000" w:themeColor="text1"/>
          <w:bdr w:val="nil"/>
          <w:lang w:val="en-US"/>
        </w:rPr>
        <w:t xml:space="preserve">substantially </w:t>
      </w:r>
      <w:r w:rsidR="00E934F2" w:rsidRPr="004C70EC">
        <w:rPr>
          <w:noProof/>
          <w:color w:val="000000" w:themeColor="text1"/>
          <w:bdr w:val="nil"/>
          <w:lang w:val="en-US"/>
        </w:rPr>
        <w:t>to the Union’s competitiveness, resilience</w:t>
      </w:r>
      <w:r w:rsidR="238B0220" w:rsidRPr="004C70EC">
        <w:rPr>
          <w:noProof/>
          <w:color w:val="000000" w:themeColor="text1"/>
          <w:bdr w:val="nil"/>
          <w:lang w:val="en-US"/>
        </w:rPr>
        <w:t>,</w:t>
      </w:r>
      <w:r w:rsidR="00E934F2" w:rsidRPr="004C70EC">
        <w:rPr>
          <w:noProof/>
          <w:color w:val="000000" w:themeColor="text1"/>
          <w:bdr w:val="nil"/>
          <w:lang w:val="en-US"/>
        </w:rPr>
        <w:t xml:space="preserve"> and security fall within the enhanced support regime. </w:t>
      </w:r>
      <w:r w:rsidR="00697C72" w:rsidRPr="004C70EC">
        <w:rPr>
          <w:noProof/>
          <w:color w:val="000000" w:themeColor="text1"/>
          <w:bdr w:val="nil"/>
          <w:lang w:val="en-US"/>
        </w:rPr>
        <w:t>Moreover</w:t>
      </w:r>
      <w:r w:rsidR="00E934F2" w:rsidRPr="004C70EC">
        <w:rPr>
          <w:noProof/>
          <w:color w:val="000000" w:themeColor="text1"/>
          <w:bdr w:val="nil"/>
          <w:lang w:val="en-US"/>
        </w:rPr>
        <w:t>, the recognition of such projects does not restrict Member States’ ability to support additional projects through other instruments. Member States benefit from flexibility as regards the authorities</w:t>
      </w:r>
      <w:r w:rsidR="000E37A6" w:rsidRPr="004C70EC">
        <w:rPr>
          <w:noProof/>
          <w:color w:val="000000" w:themeColor="text1"/>
          <w:bdr w:val="nil"/>
          <w:lang w:val="en-US"/>
        </w:rPr>
        <w:t xml:space="preserve"> that</w:t>
      </w:r>
      <w:r w:rsidR="00E934F2" w:rsidRPr="004C70EC">
        <w:rPr>
          <w:noProof/>
          <w:color w:val="000000" w:themeColor="text1"/>
          <w:bdr w:val="nil"/>
          <w:lang w:val="en-US"/>
        </w:rPr>
        <w:t xml:space="preserve"> they intend to designate </w:t>
      </w:r>
      <w:r w:rsidR="00FA13FD" w:rsidRPr="004C70EC">
        <w:rPr>
          <w:noProof/>
          <w:color w:val="000000" w:themeColor="text1"/>
          <w:bdr w:val="nil"/>
          <w:lang w:val="en-US"/>
        </w:rPr>
        <w:t>to recogni</w:t>
      </w:r>
      <w:r w:rsidR="00D87210" w:rsidRPr="004C70EC">
        <w:rPr>
          <w:noProof/>
          <w:color w:val="000000" w:themeColor="text1"/>
          <w:bdr w:val="nil"/>
          <w:lang w:val="en-US"/>
        </w:rPr>
        <w:t>s</w:t>
      </w:r>
      <w:r w:rsidR="00FA13FD" w:rsidRPr="004C70EC">
        <w:rPr>
          <w:noProof/>
          <w:color w:val="000000" w:themeColor="text1"/>
          <w:bdr w:val="nil"/>
          <w:lang w:val="en-US"/>
        </w:rPr>
        <w:t>e strategi</w:t>
      </w:r>
      <w:r w:rsidR="00AE5D24" w:rsidRPr="004C70EC">
        <w:rPr>
          <w:noProof/>
          <w:color w:val="000000" w:themeColor="text1"/>
          <w:bdr w:val="nil"/>
          <w:lang w:val="en-US"/>
        </w:rPr>
        <w:t>c</w:t>
      </w:r>
      <w:r w:rsidR="00FA13FD" w:rsidRPr="004C70EC">
        <w:rPr>
          <w:noProof/>
          <w:color w:val="000000" w:themeColor="text1"/>
          <w:bdr w:val="nil"/>
          <w:lang w:val="en-US"/>
        </w:rPr>
        <w:t xml:space="preserve"> </w:t>
      </w:r>
      <w:r w:rsidR="00E934F2" w:rsidRPr="004C70EC">
        <w:rPr>
          <w:noProof/>
          <w:color w:val="000000" w:themeColor="text1"/>
          <w:bdr w:val="nil"/>
          <w:lang w:val="en-US"/>
        </w:rPr>
        <w:t xml:space="preserve"> </w:t>
      </w:r>
      <w:r w:rsidR="001D1568" w:rsidRPr="004C70EC">
        <w:rPr>
          <w:rFonts w:eastAsia="Times New Roman"/>
          <w:noProof/>
          <w:color w:val="000000" w:themeColor="text1"/>
        </w:rPr>
        <w:t xml:space="preserve">health </w:t>
      </w:r>
      <w:r w:rsidR="00E934F2" w:rsidRPr="004C70EC">
        <w:rPr>
          <w:noProof/>
          <w:color w:val="000000" w:themeColor="text1"/>
          <w:bdr w:val="nil"/>
          <w:lang w:val="en-US"/>
        </w:rPr>
        <w:t xml:space="preserve">biotechnology projects and </w:t>
      </w:r>
      <w:r w:rsidR="00D87210" w:rsidRPr="004C70EC">
        <w:rPr>
          <w:noProof/>
          <w:color w:val="000000" w:themeColor="text1"/>
          <w:bdr w:val="nil"/>
          <w:lang w:val="en-US"/>
        </w:rPr>
        <w:t xml:space="preserve">assess </w:t>
      </w:r>
      <w:r w:rsidR="00E934F2" w:rsidRPr="004C70EC">
        <w:rPr>
          <w:noProof/>
          <w:color w:val="000000" w:themeColor="text1"/>
          <w:bdr w:val="nil"/>
          <w:lang w:val="en-US"/>
        </w:rPr>
        <w:t xml:space="preserve">applications </w:t>
      </w:r>
      <w:r w:rsidR="00AD66BC" w:rsidRPr="004C70EC">
        <w:rPr>
          <w:noProof/>
          <w:color w:val="000000" w:themeColor="text1"/>
          <w:bdr w:val="nil"/>
          <w:lang w:val="en-US"/>
        </w:rPr>
        <w:t xml:space="preserve">for </w:t>
      </w:r>
      <w:r w:rsidR="00E934F2" w:rsidRPr="004C70EC">
        <w:rPr>
          <w:noProof/>
          <w:color w:val="000000" w:themeColor="text1"/>
          <w:bdr w:val="nil"/>
          <w:lang w:val="en-US"/>
        </w:rPr>
        <w:t>high</w:t>
      </w:r>
      <w:r w:rsidR="00E82B5D" w:rsidRPr="004C70EC">
        <w:rPr>
          <w:noProof/>
          <w:color w:val="000000" w:themeColor="text1"/>
          <w:bdr w:val="nil"/>
          <w:lang w:val="en-US"/>
        </w:rPr>
        <w:t>-</w:t>
      </w:r>
      <w:r w:rsidR="00E934F2" w:rsidRPr="004C70EC">
        <w:rPr>
          <w:noProof/>
          <w:color w:val="000000" w:themeColor="text1"/>
          <w:bdr w:val="nil"/>
          <w:lang w:val="en-US"/>
        </w:rPr>
        <w:t xml:space="preserve">impact </w:t>
      </w:r>
      <w:r w:rsidR="00E82B5D" w:rsidRPr="004C70EC">
        <w:rPr>
          <w:noProof/>
          <w:color w:val="000000" w:themeColor="text1"/>
          <w:bdr w:val="nil"/>
          <w:lang w:val="en-US"/>
        </w:rPr>
        <w:t xml:space="preserve">strategic </w:t>
      </w:r>
      <w:r w:rsidR="001D1568" w:rsidRPr="004C70EC">
        <w:rPr>
          <w:rFonts w:eastAsia="Times New Roman"/>
          <w:noProof/>
          <w:color w:val="000000" w:themeColor="text1"/>
        </w:rPr>
        <w:t xml:space="preserve">health </w:t>
      </w:r>
      <w:r w:rsidR="00E934F2" w:rsidRPr="004C70EC">
        <w:rPr>
          <w:noProof/>
          <w:color w:val="000000" w:themeColor="text1"/>
          <w:bdr w:val="nil"/>
          <w:lang w:val="en-US"/>
        </w:rPr>
        <w:t xml:space="preserve">biotechnology projects. This flexibility </w:t>
      </w:r>
      <w:r w:rsidR="00622C99" w:rsidRPr="004C70EC">
        <w:rPr>
          <w:noProof/>
          <w:color w:val="000000" w:themeColor="text1"/>
          <w:bdr w:val="nil"/>
          <w:lang w:val="en-US"/>
        </w:rPr>
        <w:t>also</w:t>
      </w:r>
      <w:r w:rsidR="00E934F2" w:rsidRPr="004C70EC">
        <w:rPr>
          <w:noProof/>
          <w:color w:val="000000" w:themeColor="text1"/>
          <w:bdr w:val="nil"/>
          <w:lang w:val="en-US"/>
        </w:rPr>
        <w:t xml:space="preserve"> applies </w:t>
      </w:r>
      <w:r w:rsidR="00622C99" w:rsidRPr="004C70EC">
        <w:rPr>
          <w:noProof/>
          <w:color w:val="000000" w:themeColor="text1"/>
          <w:bdr w:val="nil"/>
          <w:lang w:val="en-US"/>
        </w:rPr>
        <w:t xml:space="preserve">to </w:t>
      </w:r>
      <w:r w:rsidR="00E934F2" w:rsidRPr="004C70EC">
        <w:rPr>
          <w:noProof/>
          <w:color w:val="000000" w:themeColor="text1"/>
          <w:bdr w:val="nil"/>
          <w:lang w:val="en-US"/>
        </w:rPr>
        <w:t>the single points of contact and the provision of administrative, technical</w:t>
      </w:r>
      <w:r w:rsidR="7A1E564F" w:rsidRPr="004C70EC">
        <w:rPr>
          <w:noProof/>
          <w:color w:val="000000" w:themeColor="text1"/>
          <w:bdr w:val="nil"/>
          <w:lang w:val="en-US"/>
        </w:rPr>
        <w:t>,</w:t>
      </w:r>
      <w:r w:rsidR="00E934F2" w:rsidRPr="004C70EC">
        <w:rPr>
          <w:noProof/>
          <w:color w:val="000000" w:themeColor="text1"/>
          <w:bdr w:val="nil"/>
          <w:lang w:val="en-US"/>
        </w:rPr>
        <w:t xml:space="preserve"> and financial support, in line with Union law and the</w:t>
      </w:r>
      <w:r w:rsidR="005D5651" w:rsidRPr="004C70EC">
        <w:rPr>
          <w:noProof/>
          <w:color w:val="000000" w:themeColor="text1"/>
          <w:bdr w:val="nil"/>
          <w:lang w:val="en-US"/>
        </w:rPr>
        <w:t xml:space="preserve"> </w:t>
      </w:r>
      <w:r w:rsidR="00E934F2" w:rsidRPr="004C70EC">
        <w:rPr>
          <w:noProof/>
          <w:color w:val="000000" w:themeColor="text1"/>
          <w:bdr w:val="nil"/>
          <w:lang w:val="en-US"/>
        </w:rPr>
        <w:t>national systems. Accelerated permitting timelines apply only to recognised projects and are designed to streamline procedures without lowering any environmental, health or safety standards.</w:t>
      </w:r>
    </w:p>
    <w:p w14:paraId="43215FFC" w14:textId="77777777" w:rsidR="00E934F2" w:rsidRPr="004C70EC" w:rsidRDefault="00494214" w:rsidP="4142815B">
      <w:pPr>
        <w:pBdr>
          <w:top w:val="nil"/>
          <w:left w:val="nil"/>
          <w:bottom w:val="nil"/>
          <w:right w:val="nil"/>
          <w:between w:val="nil"/>
        </w:pBdr>
        <w:spacing w:after="240"/>
        <w:rPr>
          <w:rFonts w:eastAsia="Times New Roman"/>
          <w:noProof/>
          <w:color w:val="000000" w:themeColor="text1"/>
          <w:lang w:val="en-US" w:eastAsia="en-GB"/>
        </w:rPr>
      </w:pPr>
      <w:r w:rsidRPr="004C70EC">
        <w:rPr>
          <w:noProof/>
          <w:color w:val="000000" w:themeColor="text1"/>
          <w:bdr w:val="nil"/>
          <w:lang w:val="en-US"/>
        </w:rPr>
        <w:t>S</w:t>
      </w:r>
      <w:r w:rsidR="00E934F2" w:rsidRPr="004C70EC">
        <w:rPr>
          <w:noProof/>
          <w:color w:val="000000" w:themeColor="text1"/>
          <w:bdr w:val="nil"/>
          <w:lang w:val="en-US"/>
        </w:rPr>
        <w:t>imilarly, measures aim</w:t>
      </w:r>
      <w:r w:rsidRPr="004C70EC">
        <w:rPr>
          <w:noProof/>
          <w:color w:val="000000" w:themeColor="text1"/>
          <w:bdr w:val="nil"/>
          <w:lang w:val="en-US"/>
        </w:rPr>
        <w:t>ed</w:t>
      </w:r>
      <w:r w:rsidR="00E934F2" w:rsidRPr="004C70EC">
        <w:rPr>
          <w:noProof/>
          <w:color w:val="000000" w:themeColor="text1"/>
          <w:bdr w:val="nil"/>
          <w:lang w:val="en-US"/>
        </w:rPr>
        <w:t xml:space="preserve"> </w:t>
      </w:r>
      <w:r w:rsidRPr="004C70EC">
        <w:rPr>
          <w:noProof/>
          <w:color w:val="000000" w:themeColor="text1"/>
          <w:bdr w:val="nil"/>
          <w:lang w:val="en-US"/>
        </w:rPr>
        <w:t>at</w:t>
      </w:r>
      <w:r w:rsidR="00E934F2" w:rsidRPr="004C70EC">
        <w:rPr>
          <w:noProof/>
          <w:color w:val="000000" w:themeColor="text1"/>
          <w:bdr w:val="nil"/>
          <w:lang w:val="en-US"/>
        </w:rPr>
        <w:t xml:space="preserve"> support</w:t>
      </w:r>
      <w:r w:rsidRPr="004C70EC">
        <w:rPr>
          <w:noProof/>
          <w:color w:val="000000" w:themeColor="text1"/>
          <w:bdr w:val="nil"/>
          <w:lang w:val="en-US"/>
        </w:rPr>
        <w:t>ing</w:t>
      </w:r>
      <w:r w:rsidR="00E934F2" w:rsidRPr="004C70EC">
        <w:rPr>
          <w:noProof/>
          <w:color w:val="000000" w:themeColor="text1"/>
          <w:bdr w:val="nil"/>
          <w:lang w:val="en-US"/>
        </w:rPr>
        <w:t xml:space="preserve"> networking </w:t>
      </w:r>
      <w:r w:rsidR="00FD02C8" w:rsidRPr="004C70EC">
        <w:rPr>
          <w:noProof/>
          <w:color w:val="000000" w:themeColor="text1"/>
          <w:bdr w:val="nil"/>
          <w:lang w:val="en-US"/>
        </w:rPr>
        <w:t>among</w:t>
      </w:r>
      <w:r w:rsidR="00F6127A" w:rsidRPr="004C70EC">
        <w:rPr>
          <w:noProof/>
          <w:color w:val="000000" w:themeColor="text1"/>
          <w:bdr w:val="nil"/>
          <w:lang w:val="en-US"/>
        </w:rPr>
        <w:t xml:space="preserve"> </w:t>
      </w:r>
      <w:r w:rsidR="00124037" w:rsidRPr="004C70EC">
        <w:rPr>
          <w:noProof/>
          <w:color w:val="000000" w:themeColor="text1"/>
          <w:bdr w:val="nil"/>
          <w:lang w:val="en-US"/>
        </w:rPr>
        <w:t xml:space="preserve">health </w:t>
      </w:r>
      <w:r w:rsidR="00E934F2" w:rsidRPr="004C70EC">
        <w:rPr>
          <w:noProof/>
          <w:color w:val="000000" w:themeColor="text1"/>
          <w:bdr w:val="nil"/>
          <w:lang w:val="en-US"/>
        </w:rPr>
        <w:t xml:space="preserve">biotechnology clusters are limited to what is necessary to foster synergies in the internal market, while the EU </w:t>
      </w:r>
      <w:r w:rsidR="00171112" w:rsidRPr="004C70EC">
        <w:rPr>
          <w:noProof/>
          <w:color w:val="000000" w:themeColor="text1"/>
          <w:bdr w:val="nil"/>
          <w:lang w:val="en-US"/>
        </w:rPr>
        <w:t xml:space="preserve">Health </w:t>
      </w:r>
      <w:r w:rsidR="00E934F2" w:rsidRPr="004C70EC">
        <w:rPr>
          <w:noProof/>
          <w:color w:val="000000" w:themeColor="text1"/>
          <w:bdr w:val="nil"/>
          <w:lang w:val="en-US"/>
        </w:rPr>
        <w:t>Biotechnology Support Network is aiming to build on</w:t>
      </w:r>
      <w:r w:rsidR="00E934F2" w:rsidRPr="004C70EC">
        <w:rPr>
          <w:noProof/>
          <w:color w:val="000000" w:themeColor="text1"/>
          <w:lang w:val="en-US"/>
        </w:rPr>
        <w:t xml:space="preserve"> </w:t>
      </w:r>
      <w:r w:rsidR="00F93C0D" w:rsidRPr="004C70EC">
        <w:rPr>
          <w:noProof/>
          <w:color w:val="000000" w:themeColor="text1"/>
          <w:lang w:val="en-US"/>
        </w:rPr>
        <w:t>and complement</w:t>
      </w:r>
      <w:r w:rsidR="00E934F2" w:rsidRPr="004C70EC">
        <w:rPr>
          <w:noProof/>
          <w:color w:val="000000" w:themeColor="text1"/>
          <w:bdr w:val="nil"/>
          <w:lang w:val="en-US"/>
        </w:rPr>
        <w:t xml:space="preserve"> existing national and EU structures</w:t>
      </w:r>
      <w:r w:rsidR="00156A0C" w:rsidRPr="004C70EC">
        <w:rPr>
          <w:noProof/>
          <w:color w:val="000000" w:themeColor="text1"/>
          <w:lang w:val="en-US"/>
        </w:rPr>
        <w:t>, avo</w:t>
      </w:r>
      <w:r w:rsidR="1A34AB89" w:rsidRPr="004C70EC">
        <w:rPr>
          <w:noProof/>
          <w:color w:val="000000" w:themeColor="text1"/>
          <w:lang w:val="en-US"/>
        </w:rPr>
        <w:t>i</w:t>
      </w:r>
      <w:r w:rsidR="00156A0C" w:rsidRPr="004C70EC">
        <w:rPr>
          <w:noProof/>
          <w:color w:val="000000" w:themeColor="text1"/>
          <w:lang w:val="en-US"/>
        </w:rPr>
        <w:t>ding any duplication</w:t>
      </w:r>
      <w:r w:rsidR="00E934F2" w:rsidRPr="004C70EC">
        <w:rPr>
          <w:noProof/>
          <w:color w:val="000000" w:themeColor="text1"/>
          <w:bdr w:val="nil"/>
          <w:lang w:val="en-US"/>
        </w:rPr>
        <w:t>.</w:t>
      </w:r>
    </w:p>
    <w:p w14:paraId="726C1A50" w14:textId="77777777" w:rsidR="00E934F2" w:rsidRPr="004C70EC" w:rsidRDefault="003677DC" w:rsidP="00A93205">
      <w:pPr>
        <w:pStyle w:val="Tiret0"/>
        <w:rPr>
          <w:noProof/>
          <w:color w:val="000000" w:themeColor="text1"/>
          <w:szCs w:val="24"/>
          <w:bdr w:val="nil"/>
          <w:lang w:val="en-US"/>
        </w:rPr>
      </w:pPr>
      <w:r w:rsidRPr="004C70EC">
        <w:rPr>
          <w:noProof/>
          <w:color w:val="000000" w:themeColor="text1"/>
          <w:szCs w:val="24"/>
          <w:bdr w:val="nil"/>
          <w:lang w:val="en-US"/>
        </w:rPr>
        <w:t>O</w:t>
      </w:r>
      <w:r w:rsidR="00E934F2" w:rsidRPr="004C70EC">
        <w:rPr>
          <w:noProof/>
          <w:color w:val="000000" w:themeColor="text1"/>
          <w:szCs w:val="24"/>
          <w:bdr w:val="nil"/>
          <w:lang w:val="en-US"/>
        </w:rPr>
        <w:t>n access to funding, the interventions focus on measures mobilising public funding and private capital</w:t>
      </w:r>
      <w:r w:rsidR="00AF26A9" w:rsidRPr="004C70EC">
        <w:rPr>
          <w:noProof/>
          <w:color w:val="000000" w:themeColor="text1"/>
          <w:szCs w:val="24"/>
          <w:bdr w:val="nil"/>
          <w:lang w:val="en-US"/>
        </w:rPr>
        <w:t>; public funding needs to be in line with State aid rules</w:t>
      </w:r>
      <w:r w:rsidRPr="004C70EC">
        <w:rPr>
          <w:noProof/>
          <w:color w:val="000000" w:themeColor="text1"/>
          <w:szCs w:val="24"/>
          <w:bdr w:val="nil"/>
          <w:lang w:val="en-US"/>
        </w:rPr>
        <w:t>.</w:t>
      </w:r>
    </w:p>
    <w:p w14:paraId="383A721D" w14:textId="77777777" w:rsidR="00E934F2" w:rsidRPr="004C70EC" w:rsidRDefault="003677DC" w:rsidP="00A93205">
      <w:pPr>
        <w:pStyle w:val="Tiret0"/>
        <w:rPr>
          <w:noProof/>
          <w:color w:val="000000" w:themeColor="text1"/>
          <w:szCs w:val="24"/>
          <w:bdr w:val="nil"/>
          <w:lang w:val="en-US"/>
        </w:rPr>
      </w:pPr>
      <w:r w:rsidRPr="004C70EC">
        <w:rPr>
          <w:noProof/>
          <w:color w:val="000000" w:themeColor="text1"/>
          <w:szCs w:val="24"/>
          <w:bdr w:val="nil"/>
          <w:lang w:val="en-US"/>
        </w:rPr>
        <w:t>T</w:t>
      </w:r>
      <w:r w:rsidR="00E934F2" w:rsidRPr="004C70EC">
        <w:rPr>
          <w:noProof/>
          <w:color w:val="000000" w:themeColor="text1"/>
          <w:szCs w:val="24"/>
          <w:bdr w:val="nil"/>
          <w:lang w:val="en-US"/>
        </w:rPr>
        <w:t xml:space="preserve">he proposed </w:t>
      </w:r>
      <w:r w:rsidR="00405539" w:rsidRPr="004C70EC">
        <w:rPr>
          <w:noProof/>
          <w:color w:val="000000" w:themeColor="text1"/>
          <w:szCs w:val="24"/>
          <w:bdr w:val="nil"/>
          <w:lang w:val="en-US"/>
        </w:rPr>
        <w:t xml:space="preserve">interaction modalities with Member States in the context of a </w:t>
      </w:r>
      <w:r w:rsidR="00D77788" w:rsidRPr="004C70EC">
        <w:rPr>
          <w:noProof/>
          <w:color w:val="000000" w:themeColor="text1"/>
          <w:szCs w:val="24"/>
          <w:bdr w:val="nil"/>
          <w:lang w:val="en-US"/>
        </w:rPr>
        <w:t xml:space="preserve">European Health Biotechnology </w:t>
      </w:r>
      <w:r w:rsidR="00405539" w:rsidRPr="004C70EC">
        <w:rPr>
          <w:noProof/>
          <w:color w:val="000000" w:themeColor="text1"/>
          <w:szCs w:val="24"/>
          <w:bdr w:val="nil"/>
          <w:lang w:val="en-US"/>
        </w:rPr>
        <w:t>Steering Group</w:t>
      </w:r>
      <w:r w:rsidR="00E934F2" w:rsidRPr="004C70EC">
        <w:rPr>
          <w:noProof/>
          <w:color w:val="000000" w:themeColor="text1"/>
          <w:szCs w:val="24"/>
          <w:bdr w:val="nil"/>
          <w:lang w:val="en-US"/>
        </w:rPr>
        <w:t xml:space="preserve"> allows for priorities</w:t>
      </w:r>
      <w:r w:rsidR="00D10FD8" w:rsidRPr="004C70EC">
        <w:rPr>
          <w:noProof/>
          <w:color w:val="000000" w:themeColor="text1"/>
          <w:szCs w:val="24"/>
          <w:bdr w:val="nil"/>
          <w:lang w:val="en-US"/>
        </w:rPr>
        <w:t xml:space="preserve"> to be adjusted</w:t>
      </w:r>
      <w:r w:rsidR="00E934F2" w:rsidRPr="004C70EC">
        <w:rPr>
          <w:noProof/>
          <w:color w:val="000000" w:themeColor="text1"/>
          <w:szCs w:val="24"/>
          <w:bdr w:val="nil"/>
          <w:lang w:val="en-US"/>
        </w:rPr>
        <w:t xml:space="preserve">, including by ensuring that the support measures for </w:t>
      </w:r>
      <w:r w:rsidR="008E2668" w:rsidRPr="004C70EC">
        <w:rPr>
          <w:noProof/>
          <w:color w:val="000000" w:themeColor="text1"/>
          <w:szCs w:val="24"/>
          <w:bdr w:val="nil"/>
          <w:lang w:val="en-US"/>
        </w:rPr>
        <w:t xml:space="preserve">strategic </w:t>
      </w:r>
      <w:r w:rsidR="001D1568" w:rsidRPr="004C70EC">
        <w:rPr>
          <w:rFonts w:eastAsia="Times New Roman"/>
          <w:noProof/>
          <w:color w:val="000000" w:themeColor="text1"/>
          <w:szCs w:val="24"/>
        </w:rPr>
        <w:t xml:space="preserve">health </w:t>
      </w:r>
      <w:r w:rsidR="00E934F2" w:rsidRPr="004C70EC">
        <w:rPr>
          <w:noProof/>
          <w:color w:val="000000" w:themeColor="text1"/>
          <w:szCs w:val="24"/>
          <w:bdr w:val="nil"/>
          <w:lang w:val="en-US"/>
        </w:rPr>
        <w:t>biotechnology project and high</w:t>
      </w:r>
      <w:r w:rsidR="00253E63" w:rsidRPr="004C70EC">
        <w:rPr>
          <w:noProof/>
          <w:color w:val="000000" w:themeColor="text1"/>
          <w:szCs w:val="24"/>
          <w:bdr w:val="nil"/>
          <w:lang w:val="en-US"/>
        </w:rPr>
        <w:t>-</w:t>
      </w:r>
      <w:r w:rsidR="00E934F2" w:rsidRPr="004C70EC">
        <w:rPr>
          <w:noProof/>
          <w:color w:val="000000" w:themeColor="text1"/>
          <w:szCs w:val="24"/>
          <w:bdr w:val="nil"/>
          <w:lang w:val="en-US"/>
        </w:rPr>
        <w:t xml:space="preserve">impact </w:t>
      </w:r>
      <w:r w:rsidR="00113260" w:rsidRPr="004C70EC">
        <w:rPr>
          <w:noProof/>
          <w:color w:val="000000" w:themeColor="text1"/>
          <w:szCs w:val="24"/>
          <w:bdr w:val="nil"/>
          <w:lang w:val="en-US"/>
        </w:rPr>
        <w:t>strategic</w:t>
      </w:r>
      <w:r w:rsidR="00E934F2" w:rsidRPr="004C70EC">
        <w:rPr>
          <w:noProof/>
          <w:color w:val="000000" w:themeColor="text1"/>
          <w:szCs w:val="24"/>
          <w:bdr w:val="nil"/>
          <w:lang w:val="en-US"/>
        </w:rPr>
        <w:t xml:space="preserve"> </w:t>
      </w:r>
      <w:r w:rsidR="001D1568" w:rsidRPr="004C70EC">
        <w:rPr>
          <w:rFonts w:eastAsia="Times New Roman"/>
          <w:noProof/>
          <w:color w:val="000000" w:themeColor="text1"/>
          <w:szCs w:val="24"/>
        </w:rPr>
        <w:t xml:space="preserve">health </w:t>
      </w:r>
      <w:r w:rsidR="00E934F2" w:rsidRPr="004C70EC">
        <w:rPr>
          <w:noProof/>
          <w:color w:val="000000" w:themeColor="text1"/>
          <w:szCs w:val="24"/>
          <w:bdr w:val="nil"/>
          <w:lang w:val="en-US"/>
        </w:rPr>
        <w:t>biotechnology projects remain closely aligned with the Regulation’s general objective.</w:t>
      </w:r>
    </w:p>
    <w:p w14:paraId="35389089" w14:textId="77777777" w:rsidR="00C33F92" w:rsidRPr="004C70EC" w:rsidRDefault="00C33F92" w:rsidP="00106A8C">
      <w:pPr>
        <w:pBdr>
          <w:top w:val="nil"/>
          <w:left w:val="nil"/>
          <w:bottom w:val="nil"/>
          <w:right w:val="nil"/>
          <w:between w:val="nil"/>
          <w:bar w:val="nil"/>
        </w:pBdr>
        <w:spacing w:after="240"/>
        <w:rPr>
          <w:noProof/>
          <w:color w:val="000000" w:themeColor="text1"/>
          <w:bdr w:val="nil"/>
          <w:lang w:val="en-US" w:eastAsia="en-GB"/>
        </w:rPr>
      </w:pPr>
      <w:r w:rsidRPr="004C70EC">
        <w:rPr>
          <w:noProof/>
          <w:color w:val="000000" w:themeColor="text1"/>
          <w:bdr w:val="nil"/>
          <w:lang w:val="en-US" w:eastAsia="en-GB"/>
        </w:rPr>
        <w:t>The proposed</w:t>
      </w:r>
      <w:r w:rsidR="00F7737D" w:rsidRPr="004C70EC">
        <w:rPr>
          <w:noProof/>
          <w:color w:val="000000" w:themeColor="text1"/>
          <w:bdr w:val="nil"/>
          <w:lang w:val="en-US" w:eastAsia="en-GB"/>
        </w:rPr>
        <w:t xml:space="preserve"> amending provision</w:t>
      </w:r>
      <w:r w:rsidR="002F1E57" w:rsidRPr="004C70EC">
        <w:rPr>
          <w:noProof/>
          <w:color w:val="000000" w:themeColor="text1"/>
          <w:bdr w:val="nil"/>
          <w:lang w:val="en-US" w:eastAsia="en-GB"/>
        </w:rPr>
        <w:t xml:space="preserve"> </w:t>
      </w:r>
      <w:r w:rsidRPr="004C70EC">
        <w:rPr>
          <w:noProof/>
          <w:color w:val="000000" w:themeColor="text1"/>
          <w:bdr w:val="nil"/>
          <w:lang w:val="en-US" w:eastAsia="en-GB"/>
        </w:rPr>
        <w:t>aim</w:t>
      </w:r>
      <w:r w:rsidRPr="004C70EC">
        <w:rPr>
          <w:noProof/>
          <w:color w:val="000000" w:themeColor="text1"/>
          <w:lang w:val="en-US" w:eastAsia="en-GB"/>
        </w:rPr>
        <w:t>ed</w:t>
      </w:r>
      <w:r w:rsidRPr="004C70EC">
        <w:rPr>
          <w:noProof/>
          <w:color w:val="000000" w:themeColor="text1"/>
          <w:bdr w:val="nil"/>
          <w:lang w:val="en-US" w:eastAsia="en-GB"/>
        </w:rPr>
        <w:t xml:space="preserve"> at reducing the time-to-market of biotechnology products and services focus on certain sectoral Union legislation where room for simplification of regulatory and administrative complexities has been identified. Simplification </w:t>
      </w:r>
      <w:r w:rsidR="000F6C2B" w:rsidRPr="004C70EC">
        <w:rPr>
          <w:noProof/>
          <w:color w:val="000000" w:themeColor="text1"/>
          <w:bdr w:val="nil"/>
          <w:lang w:val="en-US" w:eastAsia="en-GB"/>
        </w:rPr>
        <w:t>relates</w:t>
      </w:r>
      <w:r w:rsidRPr="004C70EC">
        <w:rPr>
          <w:noProof/>
          <w:color w:val="000000" w:themeColor="text1"/>
          <w:bdr w:val="nil"/>
          <w:lang w:val="en-US" w:eastAsia="en-GB"/>
        </w:rPr>
        <w:t xml:space="preserve"> to changes that </w:t>
      </w:r>
      <w:r w:rsidR="00A526BB" w:rsidRPr="004C70EC">
        <w:rPr>
          <w:noProof/>
          <w:color w:val="000000" w:themeColor="text1"/>
          <w:bdr w:val="nil"/>
          <w:lang w:val="en-US" w:eastAsia="en-GB"/>
        </w:rPr>
        <w:t xml:space="preserve">are necessary with a view to </w:t>
      </w:r>
      <w:r w:rsidR="00EE2083" w:rsidRPr="004C70EC">
        <w:rPr>
          <w:noProof/>
          <w:color w:val="000000" w:themeColor="text1"/>
          <w:bdr w:val="nil"/>
          <w:lang w:val="en-US" w:eastAsia="en-GB"/>
        </w:rPr>
        <w:t xml:space="preserve">secure the effectiveness of the substantive provisions </w:t>
      </w:r>
      <w:r w:rsidR="000377C2" w:rsidRPr="004C70EC">
        <w:rPr>
          <w:noProof/>
          <w:color w:val="000000" w:themeColor="text1"/>
          <w:bdr w:val="nil"/>
          <w:lang w:val="en-US" w:eastAsia="en-GB"/>
        </w:rPr>
        <w:t xml:space="preserve">put forward in this proposal and </w:t>
      </w:r>
      <w:r w:rsidRPr="004C70EC">
        <w:rPr>
          <w:noProof/>
          <w:color w:val="000000" w:themeColor="text1"/>
          <w:bdr w:val="nil"/>
          <w:lang w:val="en-US" w:eastAsia="en-GB"/>
        </w:rPr>
        <w:t>will improve the legal clarity, certainty</w:t>
      </w:r>
      <w:r w:rsidRPr="004C70EC">
        <w:rPr>
          <w:noProof/>
          <w:color w:val="000000" w:themeColor="text1"/>
          <w:lang w:val="en-US" w:eastAsia="en-GB"/>
        </w:rPr>
        <w:t xml:space="preserve">, </w:t>
      </w:r>
      <w:r w:rsidRPr="004C70EC">
        <w:rPr>
          <w:noProof/>
          <w:color w:val="000000" w:themeColor="text1"/>
          <w:bdr w:val="nil"/>
          <w:lang w:val="en-US" w:eastAsia="en-GB"/>
        </w:rPr>
        <w:t xml:space="preserve">and overall efficiency of the </w:t>
      </w:r>
      <w:r w:rsidR="000377C2" w:rsidRPr="004C70EC">
        <w:rPr>
          <w:noProof/>
          <w:color w:val="000000" w:themeColor="text1"/>
          <w:bdr w:val="nil"/>
          <w:lang w:val="en-US" w:eastAsia="en-GB"/>
        </w:rPr>
        <w:t xml:space="preserve">concerned </w:t>
      </w:r>
      <w:r w:rsidRPr="004C70EC">
        <w:rPr>
          <w:noProof/>
          <w:color w:val="000000" w:themeColor="text1"/>
          <w:bdr w:val="nil"/>
          <w:lang w:val="en-US" w:eastAsia="en-GB"/>
        </w:rPr>
        <w:t xml:space="preserve">EU </w:t>
      </w:r>
      <w:r w:rsidR="000377C2" w:rsidRPr="004C70EC">
        <w:rPr>
          <w:noProof/>
          <w:color w:val="000000" w:themeColor="text1"/>
          <w:bdr w:val="nil"/>
          <w:lang w:val="en-US" w:eastAsia="en-GB"/>
        </w:rPr>
        <w:t xml:space="preserve">legislative </w:t>
      </w:r>
      <w:r w:rsidRPr="004C70EC">
        <w:rPr>
          <w:noProof/>
          <w:color w:val="000000" w:themeColor="text1"/>
          <w:bdr w:val="nil"/>
          <w:lang w:val="en-US" w:eastAsia="en-GB"/>
        </w:rPr>
        <w:t>framework</w:t>
      </w:r>
      <w:r w:rsidR="000377C2" w:rsidRPr="004C70EC">
        <w:rPr>
          <w:noProof/>
          <w:color w:val="000000" w:themeColor="text1"/>
          <w:bdr w:val="nil"/>
          <w:lang w:val="en-US" w:eastAsia="en-GB"/>
        </w:rPr>
        <w:t>s</w:t>
      </w:r>
      <w:r w:rsidRPr="004C70EC">
        <w:rPr>
          <w:noProof/>
          <w:color w:val="000000" w:themeColor="text1"/>
          <w:bdr w:val="nil"/>
          <w:lang w:val="en-US" w:eastAsia="en-GB"/>
        </w:rPr>
        <w:t xml:space="preserve">. </w:t>
      </w:r>
    </w:p>
    <w:p w14:paraId="560DB4FB" w14:textId="77777777" w:rsidR="00747267" w:rsidRPr="004C70EC" w:rsidRDefault="00A93205" w:rsidP="0058181D">
      <w:pPr>
        <w:pStyle w:val="ManualHeading2"/>
        <w:rPr>
          <w:noProof/>
          <w:color w:val="000000" w:themeColor="text1"/>
          <w:bdr w:val="nil"/>
          <w:lang w:val="en-US" w:eastAsia="en-GB"/>
        </w:rPr>
      </w:pPr>
      <w:r w:rsidRPr="004C70EC">
        <w:rPr>
          <w:noProof/>
          <w:color w:val="000000" w:themeColor="text1"/>
          <w:bdr w:val="nil"/>
          <w:lang w:val="en-US" w:eastAsia="en-GB"/>
        </w:rPr>
        <w:t>•</w:t>
      </w:r>
      <w:r w:rsidRPr="004C70EC">
        <w:rPr>
          <w:noProof/>
          <w:color w:val="000000" w:themeColor="text1"/>
          <w:bdr w:val="nil"/>
          <w:lang w:val="en-US" w:eastAsia="en-GB"/>
        </w:rPr>
        <w:tab/>
      </w:r>
      <w:r w:rsidR="00E934F2" w:rsidRPr="004C70EC">
        <w:rPr>
          <w:noProof/>
          <w:color w:val="000000" w:themeColor="text1"/>
          <w:lang w:val="en-US"/>
        </w:rPr>
        <w:t>Choice of the instrument</w:t>
      </w:r>
    </w:p>
    <w:p w14:paraId="66E4D986" w14:textId="77777777" w:rsidR="00B80CB9" w:rsidRPr="004C70EC" w:rsidRDefault="00B80CB9">
      <w:pPr>
        <w:pBdr>
          <w:top w:val="nil"/>
          <w:left w:val="nil"/>
          <w:bottom w:val="nil"/>
          <w:right w:val="nil"/>
          <w:between w:val="nil"/>
          <w:bar w:val="nil"/>
        </w:pBdr>
        <w:spacing w:after="240"/>
        <w:rPr>
          <w:rFonts w:eastAsia="Times New Roman"/>
          <w:noProof/>
          <w:color w:val="000000" w:themeColor="text1"/>
          <w:szCs w:val="24"/>
          <w:bdr w:val="nil"/>
          <w:lang w:val="en-US" w:eastAsia="en-GB"/>
        </w:rPr>
      </w:pPr>
      <w:r w:rsidRPr="004C70EC">
        <w:rPr>
          <w:rFonts w:eastAsia="Times New Roman"/>
          <w:noProof/>
          <w:color w:val="000000" w:themeColor="text1"/>
          <w:bdr w:val="nil"/>
          <w:lang w:val="en-US" w:eastAsia="en-GB"/>
        </w:rPr>
        <w:t>The proposal takes the form of a regulation of the European Parliament and of the Council.</w:t>
      </w:r>
    </w:p>
    <w:p w14:paraId="7479C96F" w14:textId="77777777" w:rsidR="00747267" w:rsidRPr="004C70EC" w:rsidRDefault="00747267">
      <w:pPr>
        <w:pBdr>
          <w:top w:val="nil"/>
          <w:left w:val="nil"/>
          <w:bottom w:val="nil"/>
          <w:right w:val="nil"/>
          <w:between w:val="nil"/>
          <w:bar w:val="nil"/>
        </w:pBdr>
        <w:spacing w:after="240"/>
        <w:rPr>
          <w:rFonts w:eastAsia="Times New Roman"/>
          <w:noProof/>
          <w:color w:val="000000" w:themeColor="text1"/>
          <w:bdr w:val="nil"/>
          <w:lang w:val="en-US" w:eastAsia="en-GB"/>
        </w:rPr>
      </w:pPr>
      <w:r w:rsidRPr="004C70EC">
        <w:rPr>
          <w:rFonts w:eastAsia="Times New Roman"/>
          <w:noProof/>
          <w:color w:val="000000" w:themeColor="text1"/>
          <w:bdr w:val="nil"/>
          <w:lang w:val="en-US" w:eastAsia="en-GB"/>
        </w:rPr>
        <w:t xml:space="preserve">A regulation is the most suitable legal instrument for Pillars 1 to </w:t>
      </w:r>
      <w:r w:rsidR="00BC1342" w:rsidRPr="004C70EC">
        <w:rPr>
          <w:rFonts w:eastAsia="Times New Roman"/>
          <w:noProof/>
          <w:color w:val="000000" w:themeColor="text1"/>
          <w:bdr w:val="nil"/>
          <w:lang w:val="en-US" w:eastAsia="en-GB"/>
        </w:rPr>
        <w:t>4</w:t>
      </w:r>
      <w:r w:rsidRPr="004C70EC">
        <w:rPr>
          <w:rFonts w:eastAsia="Times New Roman"/>
          <w:noProof/>
          <w:color w:val="000000" w:themeColor="text1"/>
          <w:bdr w:val="nil"/>
          <w:lang w:val="en-US" w:eastAsia="en-GB"/>
        </w:rPr>
        <w:t>, given the need for a uniform application of the new rules, in particular the conditions and procedure for recognising heath biotechnology strategic projects and high</w:t>
      </w:r>
      <w:r w:rsidR="0F93C784" w:rsidRPr="004C70EC">
        <w:rPr>
          <w:rFonts w:eastAsia="Times New Roman"/>
          <w:noProof/>
          <w:color w:val="000000" w:themeColor="text1"/>
          <w:lang w:val="en-US" w:eastAsia="en-GB"/>
        </w:rPr>
        <w:t xml:space="preserve"> </w:t>
      </w:r>
      <w:r w:rsidRPr="004C70EC">
        <w:rPr>
          <w:rFonts w:eastAsia="Times New Roman"/>
          <w:noProof/>
          <w:color w:val="000000" w:themeColor="text1"/>
          <w:bdr w:val="nil"/>
          <w:lang w:val="en-US" w:eastAsia="en-GB"/>
        </w:rPr>
        <w:t>impact health biotechnology strategic projects, and for their administrative, technical and financial support, and also more broadly for companies and non-profit</w:t>
      </w:r>
      <w:r w:rsidR="0FA41852" w:rsidRPr="004C70EC">
        <w:rPr>
          <w:rFonts w:eastAsia="Times New Roman"/>
          <w:noProof/>
          <w:color w:val="000000" w:themeColor="text1"/>
          <w:bdr w:val="nil"/>
          <w:lang w:val="en-US" w:eastAsia="en-GB"/>
        </w:rPr>
        <w:t xml:space="preserve"> organisations</w:t>
      </w:r>
      <w:r w:rsidRPr="004C70EC">
        <w:rPr>
          <w:rFonts w:eastAsia="Times New Roman"/>
          <w:noProof/>
          <w:color w:val="000000" w:themeColor="text1"/>
          <w:bdr w:val="nil"/>
          <w:lang w:val="en-US" w:eastAsia="en-GB"/>
        </w:rPr>
        <w:t xml:space="preserve"> active in the relevant biotechnology sectors across the internal market.</w:t>
      </w:r>
      <w:r w:rsidR="00DC085F" w:rsidRPr="004C70EC">
        <w:rPr>
          <w:noProof/>
          <w:color w:val="000000" w:themeColor="text1"/>
        </w:rPr>
        <w:t xml:space="preserve"> </w:t>
      </w:r>
      <w:r w:rsidR="00BC1342" w:rsidRPr="004C70EC">
        <w:rPr>
          <w:rFonts w:eastAsia="Times New Roman"/>
          <w:noProof/>
          <w:color w:val="000000" w:themeColor="text1"/>
          <w:bdr w:val="nil"/>
          <w:lang w:val="en-US" w:eastAsia="en-GB"/>
        </w:rPr>
        <w:t xml:space="preserve">This is also the case for Pillar 5, regarding the provisions on biotechnology health products, given that they aim to ensure a dialogue and more flexibility across the Union legislative frameworks </w:t>
      </w:r>
      <w:r w:rsidR="006A501F" w:rsidRPr="004C70EC">
        <w:rPr>
          <w:rFonts w:eastAsia="Times New Roman"/>
          <w:noProof/>
          <w:color w:val="000000" w:themeColor="text1"/>
          <w:bdr w:val="nil"/>
          <w:lang w:val="en-US" w:eastAsia="en-GB"/>
        </w:rPr>
        <w:t>in the area of</w:t>
      </w:r>
      <w:r w:rsidR="00BC1342" w:rsidRPr="004C70EC">
        <w:rPr>
          <w:rFonts w:eastAsia="Times New Roman"/>
          <w:noProof/>
          <w:color w:val="000000" w:themeColor="text1"/>
          <w:bdr w:val="nil"/>
          <w:lang w:val="en-US" w:eastAsia="en-GB"/>
        </w:rPr>
        <w:t xml:space="preserve"> health. </w:t>
      </w:r>
      <w:r w:rsidR="00DC085F" w:rsidRPr="004C70EC">
        <w:rPr>
          <w:rFonts w:eastAsia="Times New Roman"/>
          <w:noProof/>
          <w:color w:val="000000" w:themeColor="text1"/>
          <w:bdr w:val="nil"/>
          <w:lang w:val="en-US" w:eastAsia="en-GB"/>
        </w:rPr>
        <w:t xml:space="preserve">The choice of a regulation as a legal instrument </w:t>
      </w:r>
      <w:r w:rsidR="00B80CB9" w:rsidRPr="004C70EC">
        <w:rPr>
          <w:rFonts w:eastAsia="Times New Roman"/>
          <w:noProof/>
          <w:color w:val="000000" w:themeColor="text1"/>
          <w:bdr w:val="nil"/>
          <w:lang w:val="en-US" w:eastAsia="en-GB"/>
        </w:rPr>
        <w:t xml:space="preserve">is also appropriate </w:t>
      </w:r>
      <w:r w:rsidR="00DC085F" w:rsidRPr="004C70EC">
        <w:rPr>
          <w:rFonts w:eastAsia="Times New Roman"/>
          <w:noProof/>
          <w:color w:val="000000" w:themeColor="text1"/>
          <w:bdr w:val="nil"/>
          <w:lang w:val="en-US" w:eastAsia="en-GB"/>
        </w:rPr>
        <w:t xml:space="preserve">for </w:t>
      </w:r>
      <w:r w:rsidR="00D7451E" w:rsidRPr="004C70EC">
        <w:rPr>
          <w:rFonts w:eastAsia="Times New Roman"/>
          <w:noProof/>
          <w:color w:val="000000" w:themeColor="text1"/>
          <w:bdr w:val="nil"/>
          <w:lang w:val="en-US" w:eastAsia="en-GB"/>
        </w:rPr>
        <w:t>P</w:t>
      </w:r>
      <w:r w:rsidR="00DC085F" w:rsidRPr="004C70EC">
        <w:rPr>
          <w:rFonts w:eastAsia="Times New Roman"/>
          <w:noProof/>
          <w:color w:val="000000" w:themeColor="text1"/>
          <w:bdr w:val="nil"/>
          <w:lang w:val="en-US" w:eastAsia="en-GB"/>
        </w:rPr>
        <w:t xml:space="preserve">illar </w:t>
      </w:r>
      <w:r w:rsidR="00706649" w:rsidRPr="004C70EC">
        <w:rPr>
          <w:rFonts w:eastAsia="Times New Roman"/>
          <w:noProof/>
          <w:color w:val="000000" w:themeColor="text1"/>
          <w:bdr w:val="nil"/>
          <w:lang w:val="en-US" w:eastAsia="en-GB"/>
        </w:rPr>
        <w:t>6</w:t>
      </w:r>
      <w:r w:rsidR="00DC085F" w:rsidRPr="004C70EC">
        <w:rPr>
          <w:rFonts w:eastAsia="Times New Roman"/>
          <w:noProof/>
          <w:color w:val="000000" w:themeColor="text1"/>
          <w:bdr w:val="nil"/>
          <w:lang w:val="en-US" w:eastAsia="en-GB"/>
        </w:rPr>
        <w:t xml:space="preserve"> because only a regulation, with its directly applicable legal provisions, can provide the necessary degree of uniformity needed to boost EU biodefence and biosecurity and prevent biotechnology misuse.</w:t>
      </w:r>
    </w:p>
    <w:p w14:paraId="7F31ACC5" w14:textId="77777777" w:rsidR="006A501F" w:rsidRPr="004C70EC" w:rsidRDefault="00721F0B">
      <w:pPr>
        <w:pBdr>
          <w:top w:val="nil"/>
          <w:left w:val="nil"/>
          <w:bottom w:val="nil"/>
          <w:right w:val="nil"/>
          <w:between w:val="nil"/>
          <w:bar w:val="nil"/>
        </w:pBdr>
        <w:spacing w:after="240"/>
        <w:rPr>
          <w:rFonts w:eastAsia="Times New Roman"/>
          <w:noProof/>
          <w:color w:val="000000" w:themeColor="text1"/>
          <w:bdr w:val="nil"/>
          <w:lang w:val="en-US" w:eastAsia="en-GB"/>
        </w:rPr>
      </w:pPr>
      <w:r w:rsidRPr="004C70EC">
        <w:rPr>
          <w:rFonts w:eastAsia="Times New Roman"/>
          <w:noProof/>
          <w:color w:val="000000" w:themeColor="text1"/>
          <w:lang w:val="en-US" w:eastAsia="en-GB"/>
        </w:rPr>
        <w:t xml:space="preserve">In all cases, </w:t>
      </w:r>
      <w:r w:rsidR="006A501F" w:rsidRPr="004C70EC">
        <w:rPr>
          <w:rFonts w:eastAsia="Times New Roman"/>
          <w:noProof/>
          <w:color w:val="000000" w:themeColor="text1"/>
          <w:lang w:val="en-US" w:eastAsia="en-GB"/>
        </w:rPr>
        <w:t xml:space="preserve">the choice of the instrument is justified considering that the </w:t>
      </w:r>
      <w:r w:rsidR="0058132F" w:rsidRPr="004C70EC">
        <w:rPr>
          <w:rFonts w:eastAsia="Times New Roman"/>
          <w:noProof/>
          <w:color w:val="000000" w:themeColor="text1"/>
          <w:lang w:val="en-US" w:eastAsia="en-GB"/>
        </w:rPr>
        <w:t>P</w:t>
      </w:r>
      <w:r w:rsidR="006A501F" w:rsidRPr="004C70EC">
        <w:rPr>
          <w:rFonts w:eastAsia="Times New Roman"/>
          <w:noProof/>
          <w:color w:val="000000" w:themeColor="text1"/>
          <w:lang w:val="en-US" w:eastAsia="en-GB"/>
        </w:rPr>
        <w:t xml:space="preserve">illar 7 establishes provisions amending </w:t>
      </w:r>
      <w:r w:rsidR="108EB56B" w:rsidRPr="004C70EC">
        <w:rPr>
          <w:rFonts w:eastAsia="Times New Roman"/>
          <w:noProof/>
          <w:color w:val="000000" w:themeColor="text1"/>
          <w:lang w:val="en-US" w:eastAsia="en-GB"/>
        </w:rPr>
        <w:t>several existing</w:t>
      </w:r>
      <w:r w:rsidR="006A501F" w:rsidRPr="004C70EC">
        <w:rPr>
          <w:rFonts w:eastAsia="Times New Roman"/>
          <w:noProof/>
          <w:color w:val="000000" w:themeColor="text1"/>
          <w:lang w:val="en-US" w:eastAsia="en-GB"/>
        </w:rPr>
        <w:t xml:space="preserve"> Union regulations in the area of health</w:t>
      </w:r>
      <w:r w:rsidR="00783E43" w:rsidRPr="004C70EC">
        <w:rPr>
          <w:rFonts w:eastAsia="Times New Roman"/>
          <w:noProof/>
          <w:color w:val="000000" w:themeColor="text1"/>
          <w:lang w:val="en-US" w:eastAsia="en-GB"/>
        </w:rPr>
        <w:t xml:space="preserve"> and food and feed safety.</w:t>
      </w:r>
    </w:p>
    <w:p w14:paraId="2FBDEEBD" w14:textId="77777777" w:rsidR="00E934F2" w:rsidRPr="004C70EC" w:rsidRDefault="001F26AA" w:rsidP="0058181D">
      <w:pPr>
        <w:pBdr>
          <w:top w:val="nil"/>
          <w:left w:val="nil"/>
          <w:bottom w:val="nil"/>
          <w:right w:val="nil"/>
          <w:between w:val="nil"/>
          <w:bar w:val="nil"/>
        </w:pBdr>
        <w:spacing w:after="240"/>
        <w:rPr>
          <w:rFonts w:eastAsia="Times New Roman"/>
          <w:noProof/>
          <w:color w:val="000000" w:themeColor="text1"/>
        </w:rPr>
      </w:pPr>
      <w:r w:rsidRPr="004C70EC">
        <w:rPr>
          <w:rFonts w:eastAsia="Times New Roman"/>
          <w:noProof/>
          <w:color w:val="000000" w:themeColor="text1"/>
        </w:rPr>
        <w:t>Lastly</w:t>
      </w:r>
      <w:r w:rsidR="00E934F2" w:rsidRPr="004C70EC">
        <w:rPr>
          <w:rFonts w:eastAsia="Times New Roman"/>
          <w:noProof/>
          <w:color w:val="000000" w:themeColor="text1"/>
        </w:rPr>
        <w:t xml:space="preserve">, a </w:t>
      </w:r>
      <w:r w:rsidR="005E524D" w:rsidRPr="004C70EC">
        <w:rPr>
          <w:rFonts w:eastAsia="Times New Roman"/>
          <w:noProof/>
          <w:color w:val="000000" w:themeColor="text1"/>
        </w:rPr>
        <w:t>r</w:t>
      </w:r>
      <w:r w:rsidR="00E934F2" w:rsidRPr="004C70EC">
        <w:rPr>
          <w:rFonts w:eastAsia="Times New Roman"/>
          <w:noProof/>
          <w:color w:val="000000" w:themeColor="text1"/>
        </w:rPr>
        <w:t xml:space="preserve">egulation is appropriate for the provisions regarding </w:t>
      </w:r>
      <w:r w:rsidR="00E00A8D" w:rsidRPr="004C70EC">
        <w:rPr>
          <w:rFonts w:eastAsia="Times New Roman"/>
          <w:noProof/>
          <w:color w:val="000000" w:themeColor="text1"/>
        </w:rPr>
        <w:t xml:space="preserve">on </w:t>
      </w:r>
      <w:r w:rsidR="00E934F2" w:rsidRPr="004C70EC">
        <w:rPr>
          <w:rFonts w:eastAsia="Times New Roman"/>
          <w:noProof/>
          <w:color w:val="000000" w:themeColor="text1"/>
        </w:rPr>
        <w:t>evaluatin</w:t>
      </w:r>
      <w:r w:rsidR="00E00A8D" w:rsidRPr="004C70EC">
        <w:rPr>
          <w:rFonts w:eastAsia="Times New Roman"/>
          <w:noProof/>
          <w:color w:val="000000" w:themeColor="text1"/>
        </w:rPr>
        <w:t>g</w:t>
      </w:r>
      <w:r w:rsidR="00E934F2" w:rsidRPr="004C70EC">
        <w:rPr>
          <w:rFonts w:eastAsia="Times New Roman"/>
          <w:noProof/>
          <w:color w:val="000000" w:themeColor="text1"/>
        </w:rPr>
        <w:t xml:space="preserve"> this Regulation </w:t>
      </w:r>
      <w:r w:rsidR="004D6E88" w:rsidRPr="004C70EC">
        <w:rPr>
          <w:rFonts w:eastAsia="Times New Roman"/>
          <w:noProof/>
          <w:color w:val="000000" w:themeColor="text1"/>
        </w:rPr>
        <w:t>which</w:t>
      </w:r>
      <w:r w:rsidR="00E934F2" w:rsidRPr="004C70EC">
        <w:rPr>
          <w:rFonts w:eastAsia="Times New Roman"/>
          <w:noProof/>
          <w:color w:val="000000" w:themeColor="text1"/>
        </w:rPr>
        <w:t xml:space="preserve"> do not </w:t>
      </w:r>
      <w:r w:rsidR="00BD1050" w:rsidRPr="004C70EC">
        <w:rPr>
          <w:rFonts w:eastAsia="Times New Roman"/>
          <w:noProof/>
          <w:color w:val="000000" w:themeColor="text1"/>
        </w:rPr>
        <w:t>need to be</w:t>
      </w:r>
      <w:r w:rsidR="00E934F2" w:rsidRPr="004C70EC">
        <w:rPr>
          <w:rFonts w:eastAsia="Times New Roman"/>
          <w:noProof/>
          <w:color w:val="000000" w:themeColor="text1"/>
        </w:rPr>
        <w:t xml:space="preserve"> transpos</w:t>
      </w:r>
      <w:r w:rsidR="00BD1050" w:rsidRPr="004C70EC">
        <w:rPr>
          <w:rFonts w:eastAsia="Times New Roman"/>
          <w:noProof/>
          <w:color w:val="000000" w:themeColor="text1"/>
        </w:rPr>
        <w:t>ed</w:t>
      </w:r>
      <w:r w:rsidR="00E934F2" w:rsidRPr="004C70EC">
        <w:rPr>
          <w:rFonts w:eastAsia="Times New Roman"/>
          <w:noProof/>
          <w:color w:val="000000" w:themeColor="text1"/>
        </w:rPr>
        <w:t xml:space="preserve"> through national measures and are directly applicable.</w:t>
      </w:r>
    </w:p>
    <w:p w14:paraId="247C952A" w14:textId="77777777" w:rsidR="00E934F2" w:rsidRPr="004C70EC" w:rsidRDefault="00E934F2" w:rsidP="00A93205">
      <w:pPr>
        <w:pStyle w:val="ManualHeading1"/>
        <w:rPr>
          <w:noProof/>
          <w:color w:val="000000" w:themeColor="text1"/>
          <w:bdr w:val="nil"/>
          <w:lang w:val="en-US" w:eastAsia="en-GB"/>
        </w:rPr>
      </w:pPr>
      <w:r w:rsidRPr="004C70EC">
        <w:rPr>
          <w:noProof/>
          <w:color w:val="000000" w:themeColor="text1"/>
          <w:bdr w:val="nil"/>
          <w:lang w:val="en-US" w:eastAsia="en-GB"/>
        </w:rPr>
        <w:t>3.</w:t>
      </w:r>
      <w:r w:rsidRPr="004C70EC">
        <w:rPr>
          <w:rFonts w:eastAsia="Arial Unicode MS"/>
          <w:noProof/>
          <w:color w:val="000000" w:themeColor="text1"/>
          <w:u w:color="000000"/>
          <w:bdr w:val="nil"/>
          <w:lang w:val="en-US" w:eastAsia="en-GB"/>
        </w:rPr>
        <w:tab/>
      </w:r>
      <w:r w:rsidRPr="004C70EC">
        <w:rPr>
          <w:noProof/>
          <w:color w:val="000000" w:themeColor="text1"/>
          <w:bdr w:val="nil"/>
          <w:lang w:val="en-US" w:eastAsia="en-GB"/>
        </w:rPr>
        <w:t>RESULTS OF EX-POST EVALUATIONS, STAKEHOLDER CONSULTATIONS AND IMPACT ASSESSMENTS</w:t>
      </w:r>
    </w:p>
    <w:p w14:paraId="5A733131" w14:textId="77777777" w:rsidR="00E934F2" w:rsidRPr="004C70EC" w:rsidRDefault="00A93205" w:rsidP="00A93205">
      <w:pPr>
        <w:pStyle w:val="ManualHeading2"/>
        <w:rPr>
          <w:noProof/>
          <w:color w:val="000000" w:themeColor="text1"/>
          <w:bdr w:val="nil"/>
          <w:lang w:val="en-US"/>
        </w:rPr>
      </w:pPr>
      <w:r w:rsidRPr="004C70EC">
        <w:rPr>
          <w:noProof/>
          <w:color w:val="000000" w:themeColor="text1"/>
          <w:bdr w:val="nil"/>
          <w:lang w:val="en-US" w:eastAsia="en-GB"/>
        </w:rPr>
        <w:t>•</w:t>
      </w:r>
      <w:r w:rsidRPr="004C70EC">
        <w:rPr>
          <w:noProof/>
          <w:color w:val="000000" w:themeColor="text1"/>
          <w:bdr w:val="nil"/>
          <w:lang w:val="en-US" w:eastAsia="en-GB"/>
        </w:rPr>
        <w:tab/>
      </w:r>
      <w:r w:rsidR="00E934F2" w:rsidRPr="004C70EC">
        <w:rPr>
          <w:noProof/>
          <w:color w:val="000000" w:themeColor="text1"/>
        </w:rPr>
        <w:t>Ex-post evaluations/fitness checks of existing legislation</w:t>
      </w:r>
    </w:p>
    <w:p w14:paraId="103302D7"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lang w:val="en-US" w:eastAsia="en-GB"/>
        </w:rPr>
      </w:pPr>
      <w:r w:rsidRPr="004C70EC">
        <w:rPr>
          <w:rFonts w:eastAsia="Times New Roman"/>
          <w:noProof/>
          <w:color w:val="000000" w:themeColor="text1"/>
          <w:szCs w:val="24"/>
          <w:lang w:val="en-US"/>
        </w:rPr>
        <w:t xml:space="preserve">The proposed measures amend several </w:t>
      </w:r>
      <w:r w:rsidR="00D71B2D" w:rsidRPr="004C70EC">
        <w:rPr>
          <w:rFonts w:eastAsia="Times New Roman"/>
          <w:noProof/>
          <w:color w:val="000000" w:themeColor="text1"/>
          <w:szCs w:val="24"/>
          <w:lang w:val="en-US"/>
        </w:rPr>
        <w:t>pieces of</w:t>
      </w:r>
      <w:r w:rsidRPr="004C70EC">
        <w:rPr>
          <w:rFonts w:eastAsia="Times New Roman"/>
          <w:noProof/>
          <w:color w:val="000000" w:themeColor="text1"/>
          <w:szCs w:val="24"/>
          <w:lang w:val="en-US"/>
        </w:rPr>
        <w:t xml:space="preserve"> EU legislation in a targeted manner, without modifying their objectives, the overall regulatory framework put in place </w:t>
      </w:r>
      <w:r w:rsidR="00421D6A" w:rsidRPr="004C70EC">
        <w:rPr>
          <w:rFonts w:eastAsia="Times New Roman"/>
          <w:noProof/>
          <w:color w:val="000000" w:themeColor="text1"/>
          <w:szCs w:val="24"/>
          <w:lang w:val="en-US"/>
        </w:rPr>
        <w:t>or</w:t>
      </w:r>
      <w:r w:rsidRPr="004C70EC">
        <w:rPr>
          <w:rFonts w:eastAsia="Times New Roman"/>
          <w:noProof/>
          <w:color w:val="000000" w:themeColor="text1"/>
          <w:szCs w:val="24"/>
          <w:lang w:val="en-US"/>
        </w:rPr>
        <w:t xml:space="preserve"> their functioning. When relevant, </w:t>
      </w:r>
      <w:r w:rsidR="00421D6A" w:rsidRPr="004C70EC">
        <w:rPr>
          <w:rFonts w:eastAsia="Times New Roman"/>
          <w:noProof/>
          <w:color w:val="000000" w:themeColor="text1"/>
          <w:szCs w:val="24"/>
          <w:lang w:val="en-US"/>
        </w:rPr>
        <w:t xml:space="preserve">these measures </w:t>
      </w:r>
      <w:r w:rsidRPr="004C70EC">
        <w:rPr>
          <w:rFonts w:eastAsia="Times New Roman"/>
          <w:noProof/>
          <w:color w:val="000000" w:themeColor="text1"/>
          <w:szCs w:val="24"/>
          <w:lang w:val="en-US"/>
        </w:rPr>
        <w:t xml:space="preserve">were informed by several studies or ongoing evaluations, such as the ongoing evaluation of the </w:t>
      </w:r>
      <w:r w:rsidR="002448F9" w:rsidRPr="004C70EC">
        <w:rPr>
          <w:rFonts w:eastAsia="Times New Roman"/>
          <w:noProof/>
          <w:color w:val="000000" w:themeColor="text1"/>
          <w:szCs w:val="24"/>
          <w:lang w:val="en-US"/>
        </w:rPr>
        <w:t>EFSA</w:t>
      </w:r>
      <w:r w:rsidRPr="004C70EC">
        <w:rPr>
          <w:rFonts w:eastAsia="Times New Roman"/>
          <w:noProof/>
          <w:color w:val="000000" w:themeColor="text1"/>
          <w:szCs w:val="24"/>
          <w:lang w:val="en-US"/>
        </w:rPr>
        <w:t xml:space="preserve">. </w:t>
      </w:r>
      <w:r w:rsidRPr="004C70EC">
        <w:rPr>
          <w:rFonts w:eastAsia="Times New Roman"/>
          <w:noProof/>
          <w:color w:val="000000" w:themeColor="text1"/>
          <w:szCs w:val="24"/>
        </w:rPr>
        <w:t xml:space="preserve">Regarding the Clinical Trials Regulation, an ongoing study will contribute to the Commission’s report, which will be presented </w:t>
      </w:r>
      <w:r w:rsidR="00B9586C" w:rsidRPr="004C70EC">
        <w:rPr>
          <w:rFonts w:eastAsia="Times New Roman"/>
          <w:noProof/>
          <w:color w:val="000000" w:themeColor="text1"/>
          <w:szCs w:val="24"/>
        </w:rPr>
        <w:t>five</w:t>
      </w:r>
      <w:r w:rsidRPr="004C70EC">
        <w:rPr>
          <w:rFonts w:eastAsia="Times New Roman"/>
          <w:noProof/>
          <w:color w:val="000000" w:themeColor="text1"/>
          <w:szCs w:val="24"/>
        </w:rPr>
        <w:t xml:space="preserve"> years after the application date of the legislation (1</w:t>
      </w:r>
      <w:r w:rsidR="00BE1314" w:rsidRPr="004C70EC">
        <w:rPr>
          <w:rFonts w:eastAsia="Times New Roman"/>
          <w:noProof/>
          <w:color w:val="000000" w:themeColor="text1"/>
          <w:szCs w:val="24"/>
          <w:lang w:val="en-IE"/>
        </w:rPr>
        <w:t> </w:t>
      </w:r>
      <w:r w:rsidRPr="004C70EC">
        <w:rPr>
          <w:rFonts w:eastAsia="Times New Roman"/>
          <w:noProof/>
          <w:color w:val="000000" w:themeColor="text1"/>
          <w:szCs w:val="24"/>
        </w:rPr>
        <w:t>January</w:t>
      </w:r>
      <w:r w:rsidR="00BE1314" w:rsidRPr="004C70EC">
        <w:rPr>
          <w:rFonts w:eastAsia="Times New Roman"/>
          <w:noProof/>
          <w:color w:val="000000" w:themeColor="text1"/>
          <w:szCs w:val="24"/>
          <w:lang w:val="en-IE"/>
        </w:rPr>
        <w:t> </w:t>
      </w:r>
      <w:r w:rsidRPr="004C70EC">
        <w:rPr>
          <w:rFonts w:eastAsia="Times New Roman"/>
          <w:noProof/>
          <w:color w:val="000000" w:themeColor="text1"/>
          <w:szCs w:val="24"/>
        </w:rPr>
        <w:t xml:space="preserve">2022). </w:t>
      </w:r>
    </w:p>
    <w:p w14:paraId="1000A403" w14:textId="77777777" w:rsidR="00E934F2" w:rsidRPr="004C70EC" w:rsidRDefault="00CA6557">
      <w:pPr>
        <w:pBdr>
          <w:top w:val="nil"/>
          <w:left w:val="nil"/>
          <w:bottom w:val="nil"/>
          <w:right w:val="nil"/>
          <w:between w:val="nil"/>
          <w:bar w:val="nil"/>
        </w:pBdr>
        <w:spacing w:after="240"/>
        <w:rPr>
          <w:rFonts w:eastAsia="Times New Roman"/>
          <w:noProof/>
          <w:color w:val="000000" w:themeColor="text1"/>
          <w:szCs w:val="24"/>
          <w:lang w:val="en-US"/>
        </w:rPr>
      </w:pPr>
      <w:r w:rsidRPr="004C70EC">
        <w:rPr>
          <w:rFonts w:eastAsia="Times New Roman"/>
          <w:noProof/>
          <w:color w:val="000000" w:themeColor="text1"/>
          <w:szCs w:val="24"/>
          <w:lang w:val="en-IE"/>
        </w:rPr>
        <w:t xml:space="preserve">The extensive consultation process and a comprehensive supporting study identifying over 200 regulatory challenges stemming from EU legislation have gathered </w:t>
      </w:r>
      <w:r w:rsidR="008F621D" w:rsidRPr="004C70EC">
        <w:rPr>
          <w:rFonts w:eastAsia="Times New Roman"/>
          <w:noProof/>
          <w:color w:val="000000" w:themeColor="text1"/>
          <w:szCs w:val="24"/>
          <w:lang w:val="en-IE"/>
        </w:rPr>
        <w:t>e</w:t>
      </w:r>
      <w:r w:rsidR="00E934F2" w:rsidRPr="004C70EC">
        <w:rPr>
          <w:rFonts w:eastAsia="Times New Roman"/>
          <w:noProof/>
          <w:color w:val="000000" w:themeColor="text1"/>
          <w:szCs w:val="24"/>
          <w:lang w:val="en-US"/>
        </w:rPr>
        <w:t xml:space="preserve">vidence </w:t>
      </w:r>
      <w:r w:rsidR="008F621D" w:rsidRPr="004C70EC">
        <w:rPr>
          <w:rFonts w:eastAsia="Times New Roman"/>
          <w:noProof/>
          <w:color w:val="000000" w:themeColor="text1"/>
          <w:szCs w:val="24"/>
          <w:lang w:val="en-US"/>
        </w:rPr>
        <w:t xml:space="preserve">on </w:t>
      </w:r>
      <w:r w:rsidR="00E934F2" w:rsidRPr="004C70EC">
        <w:rPr>
          <w:rFonts w:eastAsia="Times New Roman"/>
          <w:noProof/>
          <w:color w:val="000000" w:themeColor="text1"/>
          <w:szCs w:val="24"/>
          <w:lang w:val="en-US"/>
        </w:rPr>
        <w:t xml:space="preserve">the challenges and problems, the relevant provisions of the legislation, </w:t>
      </w:r>
      <w:r w:rsidR="008F621D" w:rsidRPr="004C70EC">
        <w:rPr>
          <w:rFonts w:eastAsia="Times New Roman"/>
          <w:noProof/>
          <w:color w:val="000000" w:themeColor="text1"/>
          <w:szCs w:val="24"/>
          <w:lang w:val="en-US"/>
        </w:rPr>
        <w:t>and</w:t>
      </w:r>
      <w:r w:rsidR="00E934F2" w:rsidRPr="004C70EC">
        <w:rPr>
          <w:rFonts w:eastAsia="Times New Roman"/>
          <w:noProof/>
          <w:color w:val="000000" w:themeColor="text1"/>
          <w:szCs w:val="24"/>
          <w:lang w:val="en-US"/>
        </w:rPr>
        <w:t xml:space="preserve"> issues </w:t>
      </w:r>
      <w:r w:rsidR="00EA0497" w:rsidRPr="004C70EC">
        <w:rPr>
          <w:rFonts w:eastAsia="Times New Roman"/>
          <w:noProof/>
          <w:color w:val="000000" w:themeColor="text1"/>
          <w:szCs w:val="24"/>
          <w:lang w:val="en-US"/>
        </w:rPr>
        <w:t xml:space="preserve">for which </w:t>
      </w:r>
      <w:r w:rsidR="00E934F2" w:rsidRPr="004C70EC">
        <w:rPr>
          <w:rFonts w:eastAsia="Times New Roman"/>
          <w:noProof/>
          <w:color w:val="000000" w:themeColor="text1"/>
          <w:szCs w:val="24"/>
          <w:lang w:val="en-US"/>
        </w:rPr>
        <w:t xml:space="preserve">there is no legislation. </w:t>
      </w:r>
    </w:p>
    <w:p w14:paraId="03A0B985" w14:textId="77777777" w:rsidR="00E934F2" w:rsidRPr="004C70EC" w:rsidRDefault="00E934F2" w:rsidP="00A93205">
      <w:pPr>
        <w:pStyle w:val="ManualHeading2"/>
        <w:rPr>
          <w:rFonts w:eastAsia="Times New Roman"/>
          <w:b w:val="0"/>
          <w:noProof/>
          <w:color w:val="000000" w:themeColor="text1"/>
          <w:szCs w:val="24"/>
          <w:bdr w:val="nil"/>
          <w:lang w:val="en-US" w:eastAsia="en-GB"/>
        </w:rPr>
      </w:pPr>
      <w:r w:rsidRPr="004C70EC">
        <w:rPr>
          <w:rFonts w:eastAsia="Times New Roman"/>
          <w:noProof/>
          <w:color w:val="000000" w:themeColor="text1"/>
          <w:szCs w:val="24"/>
          <w:bdr w:val="nil"/>
          <w:lang w:val="en-US" w:eastAsia="en-GB"/>
        </w:rPr>
        <w:t>•</w:t>
      </w:r>
      <w:r w:rsidRPr="004C70EC">
        <w:rPr>
          <w:rFonts w:eastAsia="Arial Unicode MS"/>
          <w:noProof/>
          <w:color w:val="000000" w:themeColor="text1"/>
          <w:szCs w:val="24"/>
          <w:u w:color="000000"/>
          <w:bdr w:val="nil"/>
          <w:lang w:val="en-US" w:eastAsia="en-GB"/>
        </w:rPr>
        <w:tab/>
      </w:r>
      <w:r w:rsidRPr="004C70EC">
        <w:rPr>
          <w:rFonts w:eastAsia="Times New Roman"/>
          <w:noProof/>
          <w:color w:val="000000" w:themeColor="text1"/>
          <w:szCs w:val="24"/>
          <w:bdr w:val="nil"/>
          <w:lang w:val="en-US" w:eastAsia="en-GB"/>
        </w:rPr>
        <w:t xml:space="preserve">Stakeholder </w:t>
      </w:r>
      <w:r w:rsidRPr="004C70EC">
        <w:rPr>
          <w:rFonts w:eastAsia="Times New Roman"/>
          <w:noProof/>
          <w:color w:val="000000" w:themeColor="text1"/>
          <w:szCs w:val="24"/>
          <w:lang w:val="en-US" w:eastAsia="en-GB"/>
        </w:rPr>
        <w:t xml:space="preserve">consultations </w:t>
      </w:r>
    </w:p>
    <w:p w14:paraId="47F9E028" w14:textId="77777777" w:rsidR="00E934F2" w:rsidRPr="004C70EC" w:rsidRDefault="5D5E70DB" w:rsidP="33CE1D06">
      <w:pPr>
        <w:pBdr>
          <w:top w:val="nil"/>
          <w:left w:val="nil"/>
          <w:bottom w:val="nil"/>
          <w:right w:val="nil"/>
          <w:between w:val="nil"/>
          <w:bar w:val="nil"/>
        </w:pBdr>
        <w:spacing w:after="240"/>
        <w:rPr>
          <w:rFonts w:eastAsia="Times New Roman"/>
          <w:noProof/>
          <w:color w:val="000000" w:themeColor="text1"/>
          <w:lang w:eastAsia="en-GB"/>
        </w:rPr>
      </w:pPr>
      <w:r w:rsidRPr="004C70EC">
        <w:rPr>
          <w:rFonts w:eastAsia="Times New Roman"/>
          <w:noProof/>
          <w:color w:val="000000" w:themeColor="text1"/>
          <w:lang w:eastAsia="en-GB"/>
        </w:rPr>
        <w:t xml:space="preserve">Extensive stakeholder consultations were carried out </w:t>
      </w:r>
      <w:r w:rsidR="00EA0497" w:rsidRPr="004C70EC">
        <w:rPr>
          <w:rFonts w:eastAsia="Times New Roman"/>
          <w:noProof/>
          <w:color w:val="000000" w:themeColor="text1"/>
          <w:lang w:eastAsia="en-GB"/>
        </w:rPr>
        <w:t>to</w:t>
      </w:r>
      <w:r w:rsidRPr="004C70EC">
        <w:rPr>
          <w:rFonts w:eastAsia="Times New Roman"/>
          <w:noProof/>
          <w:color w:val="000000" w:themeColor="text1"/>
          <w:lang w:eastAsia="en-GB"/>
        </w:rPr>
        <w:t xml:space="preserve"> prepar</w:t>
      </w:r>
      <w:r w:rsidR="00EA0497" w:rsidRPr="004C70EC">
        <w:rPr>
          <w:rFonts w:eastAsia="Times New Roman"/>
          <w:noProof/>
          <w:color w:val="000000" w:themeColor="text1"/>
          <w:lang w:eastAsia="en-GB"/>
        </w:rPr>
        <w:t>e for</w:t>
      </w:r>
      <w:r w:rsidRPr="004C70EC">
        <w:rPr>
          <w:rFonts w:eastAsia="Times New Roman"/>
          <w:noProof/>
          <w:color w:val="000000" w:themeColor="text1"/>
          <w:lang w:eastAsia="en-GB"/>
        </w:rPr>
        <w:t xml:space="preserve"> the proposal. A</w:t>
      </w:r>
      <w:hyperlink r:id="rId14" w:history="1">
        <w:r w:rsidRPr="004C70EC">
          <w:rPr>
            <w:rStyle w:val="Hyperlink"/>
            <w:rFonts w:eastAsia="Times New Roman"/>
            <w:b/>
            <w:noProof/>
            <w:color w:val="000000" w:themeColor="text1"/>
            <w:lang w:eastAsia="en-GB"/>
          </w:rPr>
          <w:t xml:space="preserve"> call for evidence</w:t>
        </w:r>
      </w:hyperlink>
      <w:r w:rsidR="00D82245" w:rsidRPr="004C70EC">
        <w:rPr>
          <w:noProof/>
          <w:color w:val="000000" w:themeColor="text1"/>
        </w:rPr>
        <w:t> </w:t>
      </w:r>
      <w:r w:rsidR="00E934F2" w:rsidRPr="004C70EC">
        <w:rPr>
          <w:rStyle w:val="FootnoteReference"/>
          <w:rFonts w:eastAsia="Times New Roman"/>
          <w:noProof/>
          <w:color w:val="000000" w:themeColor="text1"/>
          <w:bdr w:val="nil"/>
          <w:lang w:eastAsia="en-GB"/>
        </w:rPr>
        <w:footnoteReference w:id="47"/>
      </w:r>
      <w:r w:rsidRPr="004C70EC">
        <w:rPr>
          <w:rFonts w:eastAsia="Times New Roman"/>
          <w:noProof/>
          <w:color w:val="000000" w:themeColor="text1"/>
          <w:lang w:eastAsia="en-GB"/>
        </w:rPr>
        <w:t>, opened for feedback from 14</w:t>
      </w:r>
      <w:r w:rsidR="00D82245" w:rsidRPr="004C70EC">
        <w:rPr>
          <w:noProof/>
          <w:color w:val="000000" w:themeColor="text1"/>
        </w:rPr>
        <w:t> </w:t>
      </w:r>
      <w:r w:rsidRPr="004C70EC">
        <w:rPr>
          <w:rFonts w:eastAsia="Times New Roman"/>
          <w:noProof/>
          <w:color w:val="000000" w:themeColor="text1"/>
          <w:lang w:eastAsia="en-GB"/>
        </w:rPr>
        <w:t>May to 11</w:t>
      </w:r>
      <w:r w:rsidR="00D82245" w:rsidRPr="004C70EC">
        <w:rPr>
          <w:noProof/>
          <w:color w:val="000000" w:themeColor="text1"/>
        </w:rPr>
        <w:t> </w:t>
      </w:r>
      <w:r w:rsidRPr="004C70EC">
        <w:rPr>
          <w:rFonts w:eastAsia="Times New Roman"/>
          <w:noProof/>
          <w:color w:val="000000" w:themeColor="text1"/>
          <w:lang w:eastAsia="en-GB"/>
        </w:rPr>
        <w:t>June</w:t>
      </w:r>
      <w:r w:rsidR="00D82245" w:rsidRPr="004C70EC">
        <w:rPr>
          <w:noProof/>
          <w:color w:val="000000" w:themeColor="text1"/>
        </w:rPr>
        <w:t> </w:t>
      </w:r>
      <w:r w:rsidRPr="004C70EC">
        <w:rPr>
          <w:rFonts w:eastAsia="Times New Roman"/>
          <w:noProof/>
          <w:color w:val="000000" w:themeColor="text1"/>
          <w:lang w:eastAsia="en-GB"/>
        </w:rPr>
        <w:t>2025, gathered 222 valid individual contributions</w:t>
      </w:r>
      <w:r w:rsidR="00E934F2" w:rsidRPr="004C70EC">
        <w:rPr>
          <w:rStyle w:val="FootnoteReference"/>
          <w:noProof/>
          <w:color w:val="000000" w:themeColor="text1"/>
        </w:rPr>
        <w:footnoteReference w:id="48"/>
      </w:r>
      <w:r w:rsidRPr="004C70EC">
        <w:rPr>
          <w:rFonts w:eastAsia="Times New Roman"/>
          <w:noProof/>
          <w:color w:val="000000" w:themeColor="text1"/>
          <w:lang w:eastAsia="en-GB"/>
        </w:rPr>
        <w:t xml:space="preserve"> from a wide range of stakeholders:</w:t>
      </w:r>
      <w:r w:rsidRPr="004C70EC" w:rsidDel="00A50626">
        <w:rPr>
          <w:rFonts w:eastAsia="Times New Roman"/>
          <w:noProof/>
          <w:color w:val="000000" w:themeColor="text1"/>
          <w:lang w:eastAsia="en-GB"/>
        </w:rPr>
        <w:t xml:space="preserve"> </w:t>
      </w:r>
      <w:r w:rsidRPr="004C70EC">
        <w:rPr>
          <w:rFonts w:eastAsia="Times New Roman"/>
          <w:noProof/>
          <w:color w:val="000000" w:themeColor="text1"/>
          <w:lang w:eastAsia="en-GB"/>
        </w:rPr>
        <w:t>business associations</w:t>
      </w:r>
      <w:r w:rsidR="00D82245" w:rsidRPr="004C70EC">
        <w:rPr>
          <w:noProof/>
          <w:color w:val="000000" w:themeColor="text1"/>
        </w:rPr>
        <w:t> </w:t>
      </w:r>
      <w:r w:rsidR="00E934F2" w:rsidRPr="004C70EC">
        <w:rPr>
          <w:rStyle w:val="FootnoteReference"/>
          <w:rFonts w:eastAsia="Times New Roman"/>
          <w:noProof/>
          <w:color w:val="000000" w:themeColor="text1"/>
          <w:bdr w:val="nil"/>
          <w:lang w:eastAsia="en-GB"/>
        </w:rPr>
        <w:footnoteReference w:id="49"/>
      </w:r>
      <w:r w:rsidRPr="004C70EC">
        <w:rPr>
          <w:rFonts w:eastAsia="Times New Roman"/>
          <w:noProof/>
          <w:color w:val="000000" w:themeColor="text1"/>
          <w:lang w:eastAsia="en-GB"/>
        </w:rPr>
        <w:t xml:space="preserve"> (63), companies (50), non-governmental organisations (</w:t>
      </w:r>
      <w:r w:rsidR="3E5C94D8" w:rsidRPr="004C70EC">
        <w:rPr>
          <w:rFonts w:eastAsia="Times New Roman"/>
          <w:noProof/>
          <w:color w:val="000000" w:themeColor="text1"/>
          <w:lang w:eastAsia="en-GB"/>
        </w:rPr>
        <w:t>NGOs)</w:t>
      </w:r>
      <w:r w:rsidRPr="004C70EC">
        <w:rPr>
          <w:rFonts w:eastAsia="Times New Roman"/>
          <w:noProof/>
          <w:color w:val="000000" w:themeColor="text1"/>
          <w:lang w:eastAsia="en-GB"/>
        </w:rPr>
        <w:t xml:space="preserve"> (44), academic and research institutions (20), public authorities in the EU (14), EU</w:t>
      </w:r>
      <w:r w:rsidR="005B0C13" w:rsidRPr="004C70EC">
        <w:rPr>
          <w:rFonts w:eastAsia="Times New Roman"/>
          <w:noProof/>
          <w:color w:val="000000" w:themeColor="text1"/>
          <w:lang w:eastAsia="en-GB"/>
        </w:rPr>
        <w:t xml:space="preserve"> </w:t>
      </w:r>
      <w:r w:rsidRPr="004C70EC">
        <w:rPr>
          <w:rFonts w:eastAsia="Times New Roman"/>
          <w:noProof/>
          <w:color w:val="000000" w:themeColor="text1"/>
          <w:lang w:eastAsia="en-GB"/>
        </w:rPr>
        <w:t>citizens (14) and other categories (17)</w:t>
      </w:r>
      <w:r w:rsidR="005B0C13" w:rsidRPr="004C70EC">
        <w:rPr>
          <w:noProof/>
          <w:color w:val="000000" w:themeColor="text1"/>
        </w:rPr>
        <w:t> </w:t>
      </w:r>
      <w:r w:rsidR="00E934F2" w:rsidRPr="004C70EC">
        <w:rPr>
          <w:rStyle w:val="FootnoteReference"/>
          <w:rFonts w:eastAsia="Times New Roman"/>
          <w:noProof/>
          <w:color w:val="000000" w:themeColor="text1"/>
          <w:bdr w:val="nil"/>
          <w:lang w:eastAsia="en-GB"/>
        </w:rPr>
        <w:footnoteReference w:id="50"/>
      </w:r>
      <w:r w:rsidRPr="004C70EC">
        <w:rPr>
          <w:rFonts w:eastAsia="Times New Roman"/>
          <w:noProof/>
          <w:color w:val="000000" w:themeColor="text1"/>
          <w:lang w:eastAsia="en-GB"/>
        </w:rPr>
        <w:t xml:space="preserve">. </w:t>
      </w:r>
    </w:p>
    <w:p w14:paraId="58194B40" w14:textId="77777777" w:rsidR="00E934F2" w:rsidRPr="004C70EC" w:rsidRDefault="00E934F2">
      <w:pPr>
        <w:pBdr>
          <w:top w:val="nil"/>
          <w:left w:val="nil"/>
          <w:bottom w:val="nil"/>
          <w:right w:val="nil"/>
          <w:between w:val="nil"/>
          <w:bar w:val="nil"/>
        </w:pBdr>
        <w:spacing w:after="240"/>
        <w:jc w:val="center"/>
        <w:rPr>
          <w:rFonts w:eastAsia="Times New Roman"/>
          <w:noProof/>
          <w:color w:val="000000" w:themeColor="text1"/>
          <w:szCs w:val="24"/>
        </w:rPr>
      </w:pPr>
      <w:r w:rsidRPr="004C70EC">
        <w:rPr>
          <w:rFonts w:eastAsia="Times New Roman"/>
          <w:b/>
          <w:noProof/>
          <w:color w:val="000000" w:themeColor="text1"/>
          <w:szCs w:val="24"/>
          <w:lang w:eastAsia="en-GB"/>
        </w:rPr>
        <w:drawing>
          <wp:inline distT="0" distB="0" distL="0" distR="0" wp14:anchorId="4B3EED54" wp14:editId="33F2472A">
            <wp:extent cx="2833989" cy="2384425"/>
            <wp:effectExtent l="0" t="0" r="5080" b="0"/>
            <wp:docPr id="248712130" name="Picture 2" descr="A pie char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12130" name="Picture 2" descr="A pie chart with numbers and tex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8936" cy="2413828"/>
                    </a:xfrm>
                    <a:prstGeom prst="rect">
                      <a:avLst/>
                    </a:prstGeom>
                    <a:noFill/>
                    <a:ln>
                      <a:noFill/>
                    </a:ln>
                  </pic:spPr>
                </pic:pic>
              </a:graphicData>
            </a:graphic>
          </wp:inline>
        </w:drawing>
      </w:r>
    </w:p>
    <w:p w14:paraId="5D68C598" w14:textId="77777777" w:rsidR="00E934F2" w:rsidRPr="004C70EC" w:rsidRDefault="00E934F2">
      <w:pPr>
        <w:pBdr>
          <w:top w:val="nil"/>
          <w:left w:val="nil"/>
          <w:bottom w:val="nil"/>
          <w:right w:val="nil"/>
          <w:between w:val="nil"/>
          <w:bar w:val="nil"/>
        </w:pBdr>
        <w:spacing w:after="240"/>
        <w:jc w:val="center"/>
        <w:rPr>
          <w:rFonts w:eastAsia="Times New Roman"/>
          <w:noProof/>
          <w:color w:val="000000" w:themeColor="text1"/>
          <w:szCs w:val="24"/>
          <w:lang w:eastAsia="en-GB"/>
        </w:rPr>
      </w:pPr>
      <w:r w:rsidRPr="004C70EC">
        <w:rPr>
          <w:rFonts w:eastAsia="Times New Roman"/>
          <w:noProof/>
          <w:color w:val="000000" w:themeColor="text1"/>
          <w:szCs w:val="24"/>
        </w:rPr>
        <w:t>Figure 4: submissions to the call for evidence</w:t>
      </w:r>
    </w:p>
    <w:p w14:paraId="17712EEA" w14:textId="77777777" w:rsidR="00E934F2" w:rsidRPr="004C70EC" w:rsidRDefault="00E934F2">
      <w:pPr>
        <w:pBdr>
          <w:top w:val="nil"/>
          <w:left w:val="nil"/>
          <w:bottom w:val="nil"/>
          <w:right w:val="nil"/>
          <w:between w:val="nil"/>
          <w:bar w:val="nil"/>
        </w:pBdr>
        <w:spacing w:after="240"/>
        <w:jc w:val="center"/>
        <w:rPr>
          <w:rFonts w:eastAsia="Times New Roman"/>
          <w:b/>
          <w:noProof/>
          <w:color w:val="000000" w:themeColor="text1"/>
          <w:szCs w:val="24"/>
          <w:lang w:eastAsia="en-GB"/>
        </w:rPr>
      </w:pPr>
    </w:p>
    <w:p w14:paraId="6C21808D"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bdr w:val="nil"/>
          <w:lang w:val="en-US" w:eastAsia="en-GB"/>
        </w:rPr>
      </w:pPr>
      <w:r w:rsidRPr="004C70EC">
        <w:rPr>
          <w:rFonts w:eastAsia="Times New Roman"/>
          <w:noProof/>
          <w:color w:val="000000" w:themeColor="text1"/>
          <w:szCs w:val="24"/>
          <w:bdr w:val="nil"/>
          <w:lang w:val="en-US" w:eastAsia="en-GB"/>
        </w:rPr>
        <w:t xml:space="preserve">The respondents were largely based in the EU (197 responses from 15 Member States). Among these, most of the contributions came from Belgium (74), followed by Germany, (29), France (20), the Netherlands (16), Denmark (12) and Spain (11). </w:t>
      </w:r>
      <w:r w:rsidR="005B0C13" w:rsidRPr="004C70EC">
        <w:rPr>
          <w:rFonts w:eastAsia="Times New Roman"/>
          <w:noProof/>
          <w:color w:val="000000" w:themeColor="text1"/>
          <w:szCs w:val="24"/>
          <w:bdr w:val="nil"/>
          <w:lang w:val="en-US" w:eastAsia="en-GB"/>
        </w:rPr>
        <w:t>25</w:t>
      </w:r>
      <w:r w:rsidRPr="004C70EC">
        <w:rPr>
          <w:rFonts w:eastAsia="Times New Roman"/>
          <w:noProof/>
          <w:color w:val="000000" w:themeColor="text1"/>
          <w:szCs w:val="24"/>
          <w:bdr w:val="nil"/>
          <w:lang w:val="en-US" w:eastAsia="en-GB"/>
        </w:rPr>
        <w:t xml:space="preserve"> contributions were received from 7 non-EU countries (</w:t>
      </w:r>
      <w:r w:rsidR="00E700D8" w:rsidRPr="004C70EC">
        <w:rPr>
          <w:rFonts w:eastAsia="Times New Roman"/>
          <w:noProof/>
          <w:color w:val="000000" w:themeColor="text1"/>
          <w:szCs w:val="24"/>
          <w:bdr w:val="nil"/>
          <w:lang w:val="en-US" w:eastAsia="en-GB"/>
        </w:rPr>
        <w:t xml:space="preserve">the </w:t>
      </w:r>
      <w:r w:rsidRPr="004C70EC">
        <w:rPr>
          <w:rFonts w:eastAsia="Times New Roman"/>
          <w:noProof/>
          <w:color w:val="000000" w:themeColor="text1"/>
          <w:szCs w:val="24"/>
          <w:bdr w:val="nil"/>
          <w:lang w:val="en-US" w:eastAsia="en-GB"/>
        </w:rPr>
        <w:t xml:space="preserve">United States, Switzerland, </w:t>
      </w:r>
      <w:r w:rsidR="00E700D8" w:rsidRPr="004C70EC">
        <w:rPr>
          <w:rFonts w:eastAsia="Times New Roman"/>
          <w:noProof/>
          <w:color w:val="000000" w:themeColor="text1"/>
          <w:szCs w:val="24"/>
          <w:bdr w:val="nil"/>
          <w:lang w:val="en-US" w:eastAsia="en-GB"/>
        </w:rPr>
        <w:t>the</w:t>
      </w:r>
      <w:r w:rsidRPr="004C70EC">
        <w:rPr>
          <w:rFonts w:eastAsia="Times New Roman"/>
          <w:noProof/>
          <w:color w:val="000000" w:themeColor="text1"/>
          <w:szCs w:val="24"/>
          <w:bdr w:val="nil"/>
          <w:lang w:val="en-US" w:eastAsia="en-GB"/>
        </w:rPr>
        <w:t xml:space="preserve"> United Kingdom, Norway, Canada, Australia and Argentina).</w:t>
      </w:r>
      <w:r w:rsidRPr="004C70EC">
        <w:rPr>
          <w:rFonts w:eastAsia="Times New Roman"/>
          <w:noProof/>
          <w:color w:val="000000" w:themeColor="text1"/>
          <w:szCs w:val="24"/>
          <w:lang w:val="en-US" w:eastAsia="en-GB"/>
        </w:rPr>
        <w:t xml:space="preserve"> </w:t>
      </w:r>
    </w:p>
    <w:p w14:paraId="5C4D8E3E"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bdr w:val="nil"/>
          <w:lang w:val="en-US" w:eastAsia="en-GB"/>
        </w:rPr>
      </w:pPr>
      <w:r w:rsidRPr="004C70EC">
        <w:rPr>
          <w:rFonts w:eastAsia="Times New Roman"/>
          <w:noProof/>
          <w:color w:val="000000" w:themeColor="text1"/>
          <w:bdr w:val="nil"/>
          <w:lang w:val="en-US" w:eastAsia="en-GB"/>
        </w:rPr>
        <w:t>With regard to current biotechnology</w:t>
      </w:r>
      <w:r w:rsidR="14E7836F" w:rsidRPr="004C70EC">
        <w:rPr>
          <w:rFonts w:eastAsia="Times New Roman"/>
          <w:noProof/>
          <w:color w:val="000000" w:themeColor="text1"/>
          <w:lang w:val="en-US" w:eastAsia="en-GB"/>
        </w:rPr>
        <w:t xml:space="preserve"> related regulation</w:t>
      </w:r>
      <w:r w:rsidRPr="004C70EC">
        <w:rPr>
          <w:rFonts w:eastAsia="Times New Roman"/>
          <w:noProof/>
          <w:color w:val="000000" w:themeColor="text1"/>
          <w:bdr w:val="nil"/>
          <w:lang w:val="en-US" w:eastAsia="en-GB"/>
        </w:rPr>
        <w:t>,</w:t>
      </w:r>
      <w:r w:rsidRPr="004C70EC" w:rsidDel="00870689">
        <w:rPr>
          <w:rFonts w:eastAsia="Times New Roman"/>
          <w:noProof/>
          <w:color w:val="000000" w:themeColor="text1"/>
          <w:bdr w:val="nil"/>
          <w:lang w:val="en-US" w:eastAsia="en-GB"/>
        </w:rPr>
        <w:t xml:space="preserve"> </w:t>
      </w:r>
      <w:r w:rsidRPr="004C70EC">
        <w:rPr>
          <w:rFonts w:eastAsia="Times New Roman"/>
          <w:noProof/>
          <w:color w:val="000000" w:themeColor="text1"/>
          <w:bdr w:val="nil"/>
          <w:lang w:val="en-US" w:eastAsia="en-GB"/>
        </w:rPr>
        <w:t>various stakeholder groups such as academi</w:t>
      </w:r>
      <w:r w:rsidR="00676825" w:rsidRPr="004C70EC">
        <w:rPr>
          <w:rFonts w:eastAsia="Times New Roman"/>
          <w:noProof/>
          <w:color w:val="000000" w:themeColor="text1"/>
          <w:bdr w:val="nil"/>
          <w:lang w:val="en-US" w:eastAsia="en-GB"/>
        </w:rPr>
        <w:t>c</w:t>
      </w:r>
      <w:r w:rsidRPr="004C70EC">
        <w:rPr>
          <w:rFonts w:eastAsia="Times New Roman"/>
          <w:noProof/>
          <w:color w:val="000000" w:themeColor="text1"/>
          <w:bdr w:val="nil"/>
          <w:lang w:val="en-US" w:eastAsia="en-GB"/>
        </w:rPr>
        <w:t>/research institutions, NGOs, representatives</w:t>
      </w:r>
      <w:r w:rsidRPr="004C70EC">
        <w:rPr>
          <w:rFonts w:eastAsia="Times New Roman"/>
          <w:noProof/>
          <w:color w:val="000000" w:themeColor="text1"/>
          <w:lang w:val="en-US" w:eastAsia="en-GB"/>
        </w:rPr>
        <w:t xml:space="preserve"> of companies</w:t>
      </w:r>
      <w:r w:rsidRPr="004C70EC">
        <w:rPr>
          <w:rFonts w:eastAsia="Times New Roman"/>
          <w:noProof/>
          <w:color w:val="000000" w:themeColor="text1"/>
          <w:bdr w:val="nil"/>
          <w:lang w:val="en-US" w:eastAsia="en-GB"/>
        </w:rPr>
        <w:t xml:space="preserve"> (including SMEs)</w:t>
      </w:r>
      <w:r w:rsidR="009529FB" w:rsidRPr="004C70EC">
        <w:rPr>
          <w:rFonts w:eastAsia="Times New Roman"/>
          <w:noProof/>
          <w:color w:val="000000" w:themeColor="text1"/>
          <w:bdr w:val="nil"/>
          <w:lang w:val="en-US" w:eastAsia="en-GB"/>
        </w:rPr>
        <w:t>,</w:t>
      </w:r>
      <w:r w:rsidRPr="004C70EC">
        <w:rPr>
          <w:rFonts w:eastAsia="Times New Roman"/>
          <w:noProof/>
          <w:color w:val="000000" w:themeColor="text1"/>
          <w:bdr w:val="nil"/>
          <w:lang w:val="en-US" w:eastAsia="en-GB"/>
        </w:rPr>
        <w:t xml:space="preserve"> and public authorities underlined </w:t>
      </w:r>
      <w:r w:rsidRPr="004C70EC">
        <w:rPr>
          <w:rFonts w:eastAsia="Times New Roman"/>
          <w:b/>
          <w:noProof/>
          <w:color w:val="000000" w:themeColor="text1"/>
          <w:bdr w:val="nil"/>
          <w:lang w:val="en-US" w:eastAsia="en-GB"/>
        </w:rPr>
        <w:t>slow and complex regulatory frameworks</w:t>
      </w:r>
      <w:r w:rsidR="00733393" w:rsidRPr="004C70EC">
        <w:rPr>
          <w:rFonts w:eastAsia="Times New Roman"/>
          <w:b/>
          <w:noProof/>
          <w:color w:val="000000" w:themeColor="text1"/>
          <w:lang w:val="en-US" w:eastAsia="en-GB"/>
        </w:rPr>
        <w:t xml:space="preserve"> </w:t>
      </w:r>
      <w:r w:rsidR="00733393" w:rsidRPr="004C70EC">
        <w:rPr>
          <w:rFonts w:eastAsia="Times New Roman"/>
          <w:noProof/>
          <w:color w:val="000000" w:themeColor="text1"/>
          <w:lang w:val="en-US" w:eastAsia="en-GB"/>
        </w:rPr>
        <w:t>that</w:t>
      </w:r>
      <w:r w:rsidRPr="004C70EC">
        <w:rPr>
          <w:rFonts w:eastAsia="Times New Roman"/>
          <w:noProof/>
          <w:color w:val="000000" w:themeColor="text1"/>
          <w:bdr w:val="nil"/>
          <w:lang w:val="en-US" w:eastAsia="en-GB"/>
        </w:rPr>
        <w:t xml:space="preserve"> lead to long authorisation/approval processes</w:t>
      </w:r>
      <w:r w:rsidR="2971B82A" w:rsidRPr="004C70EC">
        <w:rPr>
          <w:rFonts w:eastAsia="Times New Roman"/>
          <w:noProof/>
          <w:color w:val="000000" w:themeColor="text1"/>
          <w:lang w:val="en-US" w:eastAsia="en-GB"/>
        </w:rPr>
        <w:t xml:space="preserve">, thereby </w:t>
      </w:r>
      <w:r w:rsidR="2971B82A" w:rsidRPr="004C70EC">
        <w:rPr>
          <w:rFonts w:eastAsia="Times New Roman"/>
          <w:noProof/>
          <w:color w:val="000000" w:themeColor="text1"/>
          <w:lang w:val="en-US"/>
        </w:rPr>
        <w:t>hindering innovation and delaying market access</w:t>
      </w:r>
      <w:r w:rsidRPr="004C70EC">
        <w:rPr>
          <w:rFonts w:eastAsia="Times New Roman"/>
          <w:noProof/>
          <w:color w:val="000000" w:themeColor="text1"/>
          <w:bdr w:val="nil"/>
          <w:lang w:val="en-US" w:eastAsia="en-GB"/>
        </w:rPr>
        <w:t xml:space="preserve">. Representatives from businesses (both associations and large companies) </w:t>
      </w:r>
      <w:r w:rsidR="006339F3" w:rsidRPr="004C70EC">
        <w:rPr>
          <w:rFonts w:eastAsia="Times New Roman"/>
          <w:noProof/>
          <w:color w:val="000000" w:themeColor="text1"/>
          <w:bdr w:val="nil"/>
          <w:lang w:val="en-US" w:eastAsia="en-GB"/>
        </w:rPr>
        <w:t>referred to</w:t>
      </w:r>
      <w:r w:rsidRPr="004C70EC">
        <w:rPr>
          <w:rFonts w:eastAsia="Times New Roman"/>
          <w:noProof/>
          <w:color w:val="000000" w:themeColor="text1"/>
          <w:bdr w:val="nil"/>
          <w:lang w:val="en-US" w:eastAsia="en-GB"/>
        </w:rPr>
        <w:t xml:space="preserve"> the </w:t>
      </w:r>
      <w:r w:rsidRPr="004C70EC">
        <w:rPr>
          <w:rFonts w:eastAsia="Times New Roman"/>
          <w:b/>
          <w:noProof/>
          <w:color w:val="000000" w:themeColor="text1"/>
          <w:bdr w:val="nil"/>
          <w:lang w:val="en-US" w:eastAsia="en-GB"/>
        </w:rPr>
        <w:t>unpredictability of some authorisation procedures</w:t>
      </w:r>
      <w:r w:rsidRPr="004C70EC">
        <w:rPr>
          <w:rFonts w:eastAsia="Times New Roman"/>
          <w:noProof/>
          <w:color w:val="000000" w:themeColor="text1"/>
          <w:bdr w:val="nil"/>
          <w:lang w:val="en-US" w:eastAsia="en-GB"/>
        </w:rPr>
        <w:t xml:space="preserve">. </w:t>
      </w:r>
      <w:r w:rsidR="001F1086" w:rsidRPr="004C70EC">
        <w:rPr>
          <w:rFonts w:eastAsia="Times New Roman"/>
          <w:noProof/>
          <w:color w:val="000000" w:themeColor="text1"/>
          <w:bdr w:val="nil"/>
          <w:lang w:val="en-US" w:eastAsia="en-GB"/>
        </w:rPr>
        <w:t>R</w:t>
      </w:r>
      <w:r w:rsidRPr="004C70EC">
        <w:rPr>
          <w:rFonts w:eastAsia="Times New Roman"/>
          <w:noProof/>
          <w:color w:val="000000" w:themeColor="text1"/>
          <w:bdr w:val="nil"/>
          <w:lang w:val="en-US" w:eastAsia="en-GB"/>
        </w:rPr>
        <w:t>epresentatives from academi</w:t>
      </w:r>
      <w:r w:rsidR="001F1086" w:rsidRPr="004C70EC">
        <w:rPr>
          <w:rFonts w:eastAsia="Times New Roman"/>
          <w:noProof/>
          <w:color w:val="000000" w:themeColor="text1"/>
          <w:bdr w:val="nil"/>
          <w:lang w:val="en-US" w:eastAsia="en-GB"/>
        </w:rPr>
        <w:t>c</w:t>
      </w:r>
      <w:r w:rsidRPr="004C70EC">
        <w:rPr>
          <w:rFonts w:eastAsia="Times New Roman"/>
          <w:noProof/>
          <w:color w:val="000000" w:themeColor="text1"/>
          <w:bdr w:val="nil"/>
          <w:lang w:val="en-US" w:eastAsia="en-GB"/>
        </w:rPr>
        <w:t xml:space="preserve">/research institutions and business associations </w:t>
      </w:r>
      <w:r w:rsidR="001F1086" w:rsidRPr="004C70EC">
        <w:rPr>
          <w:rFonts w:eastAsia="Times New Roman"/>
          <w:noProof/>
          <w:color w:val="000000" w:themeColor="text1"/>
          <w:bdr w:val="nil"/>
          <w:lang w:val="en-US" w:eastAsia="en-GB"/>
        </w:rPr>
        <w:t xml:space="preserve">also </w:t>
      </w:r>
      <w:r w:rsidRPr="004C70EC">
        <w:rPr>
          <w:rFonts w:eastAsia="Times New Roman"/>
          <w:noProof/>
          <w:color w:val="000000" w:themeColor="text1"/>
          <w:bdr w:val="nil"/>
          <w:lang w:val="en-US" w:eastAsia="en-GB"/>
        </w:rPr>
        <w:t xml:space="preserve">expressed concerns </w:t>
      </w:r>
      <w:r w:rsidR="00233747" w:rsidRPr="004C70EC">
        <w:rPr>
          <w:rFonts w:eastAsia="Times New Roman"/>
          <w:noProof/>
          <w:color w:val="000000" w:themeColor="text1"/>
          <w:bdr w:val="nil"/>
          <w:lang w:val="en-US" w:eastAsia="en-GB"/>
        </w:rPr>
        <w:t>regarding</w:t>
      </w:r>
      <w:r w:rsidRPr="004C70EC">
        <w:rPr>
          <w:rFonts w:eastAsia="Times New Roman"/>
          <w:noProof/>
          <w:color w:val="000000" w:themeColor="text1"/>
          <w:bdr w:val="nil"/>
          <w:lang w:val="en-US" w:eastAsia="en-GB"/>
        </w:rPr>
        <w:t xml:space="preserve"> </w:t>
      </w:r>
      <w:r w:rsidRPr="004C70EC">
        <w:rPr>
          <w:rFonts w:eastAsia="Times New Roman"/>
          <w:b/>
          <w:noProof/>
          <w:color w:val="000000" w:themeColor="text1"/>
          <w:bdr w:val="nil"/>
          <w:lang w:val="en-US" w:eastAsia="en-GB"/>
        </w:rPr>
        <w:t>outdated regulatory frameworks</w:t>
      </w:r>
      <w:r w:rsidRPr="004C70EC">
        <w:rPr>
          <w:rFonts w:eastAsia="Times New Roman"/>
          <w:noProof/>
          <w:color w:val="000000" w:themeColor="text1"/>
          <w:bdr w:val="nil"/>
          <w:lang w:val="en-US" w:eastAsia="en-GB"/>
        </w:rPr>
        <w:t xml:space="preserve">, </w:t>
      </w:r>
      <w:r w:rsidR="00890E1A" w:rsidRPr="004C70EC">
        <w:rPr>
          <w:rFonts w:eastAsia="Times New Roman"/>
          <w:noProof/>
          <w:color w:val="000000" w:themeColor="text1"/>
          <w:bdr w:val="nil"/>
          <w:lang w:val="en-US" w:eastAsia="en-GB"/>
        </w:rPr>
        <w:t>while</w:t>
      </w:r>
      <w:r w:rsidRPr="004C70EC">
        <w:rPr>
          <w:rFonts w:eastAsia="Times New Roman"/>
          <w:noProof/>
          <w:color w:val="000000" w:themeColor="text1"/>
          <w:bdr w:val="nil"/>
          <w:lang w:val="en-US" w:eastAsia="en-GB"/>
        </w:rPr>
        <w:t xml:space="preserve"> business associations </w:t>
      </w:r>
      <w:r w:rsidR="005C27FD" w:rsidRPr="004C70EC">
        <w:rPr>
          <w:rFonts w:eastAsia="Times New Roman"/>
          <w:noProof/>
          <w:color w:val="000000" w:themeColor="text1"/>
          <w:bdr w:val="nil"/>
          <w:lang w:val="en-US" w:eastAsia="en-GB"/>
        </w:rPr>
        <w:t>m</w:t>
      </w:r>
      <w:r w:rsidR="0088545E" w:rsidRPr="004C70EC">
        <w:rPr>
          <w:rFonts w:eastAsia="Times New Roman"/>
          <w:noProof/>
          <w:color w:val="000000" w:themeColor="text1"/>
          <w:bdr w:val="nil"/>
          <w:lang w:val="en-US" w:eastAsia="en-GB"/>
        </w:rPr>
        <w:t>entioned in particular</w:t>
      </w:r>
      <w:r w:rsidRPr="004C70EC">
        <w:rPr>
          <w:rFonts w:eastAsia="Times New Roman"/>
          <w:noProof/>
          <w:color w:val="000000" w:themeColor="text1"/>
          <w:bdr w:val="nil"/>
          <w:lang w:val="en-US" w:eastAsia="en-GB"/>
        </w:rPr>
        <w:t xml:space="preserve"> the </w:t>
      </w:r>
      <w:r w:rsidRPr="004C70EC">
        <w:rPr>
          <w:rFonts w:eastAsia="Times New Roman"/>
          <w:b/>
          <w:noProof/>
          <w:color w:val="000000" w:themeColor="text1"/>
          <w:bdr w:val="nil"/>
          <w:lang w:val="en-US" w:eastAsia="en-GB"/>
        </w:rPr>
        <w:t>limited flexibility</w:t>
      </w:r>
      <w:r w:rsidRPr="004C70EC">
        <w:rPr>
          <w:rFonts w:eastAsia="Times New Roman"/>
          <w:noProof/>
          <w:color w:val="000000" w:themeColor="text1"/>
          <w:bdr w:val="nil"/>
          <w:lang w:val="en-US" w:eastAsia="en-GB"/>
        </w:rPr>
        <w:t xml:space="preserve"> of the EU regulatory </w:t>
      </w:r>
      <w:r w:rsidR="61C18814" w:rsidRPr="004C70EC">
        <w:rPr>
          <w:rFonts w:eastAsia="Times New Roman"/>
          <w:noProof/>
          <w:color w:val="000000" w:themeColor="text1"/>
          <w:bdr w:val="nil"/>
          <w:lang w:val="en-US" w:eastAsia="en-GB"/>
        </w:rPr>
        <w:t>framework</w:t>
      </w:r>
      <w:r w:rsidR="0621F04C" w:rsidRPr="004C70EC">
        <w:rPr>
          <w:rFonts w:eastAsia="Times New Roman"/>
          <w:noProof/>
          <w:color w:val="000000" w:themeColor="text1"/>
          <w:lang w:val="en-US" w:eastAsia="en-GB"/>
        </w:rPr>
        <w:t>s</w:t>
      </w:r>
      <w:r w:rsidR="61C18814"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 xml:space="preserve"> </w:t>
      </w:r>
      <w:r w:rsidR="004C3DD5" w:rsidRPr="004C70EC">
        <w:rPr>
          <w:rFonts w:eastAsia="Times New Roman"/>
          <w:noProof/>
          <w:color w:val="000000" w:themeColor="text1"/>
          <w:lang w:val="en-US" w:eastAsia="en-GB"/>
        </w:rPr>
        <w:t xml:space="preserve">In addition, </w:t>
      </w:r>
      <w:r w:rsidR="6A9CBEA0" w:rsidRPr="004C70EC">
        <w:rPr>
          <w:rFonts w:eastAsia="Times New Roman"/>
          <w:noProof/>
          <w:color w:val="000000" w:themeColor="text1"/>
          <w:lang w:val="en-US" w:eastAsia="en-GB"/>
        </w:rPr>
        <w:t>NGOs</w:t>
      </w:r>
      <w:r w:rsidR="0AEDD930" w:rsidRPr="004C70EC">
        <w:rPr>
          <w:rFonts w:eastAsia="Times New Roman"/>
          <w:noProof/>
          <w:color w:val="000000" w:themeColor="text1"/>
          <w:lang w:val="en-US" w:eastAsia="en-GB"/>
        </w:rPr>
        <w:t>/others</w:t>
      </w:r>
      <w:r w:rsidR="6A9CBEA0" w:rsidRPr="004C70EC">
        <w:rPr>
          <w:rFonts w:eastAsia="Times New Roman"/>
          <w:noProof/>
          <w:color w:val="000000" w:themeColor="text1"/>
          <w:lang w:val="en-US" w:eastAsia="en-GB"/>
        </w:rPr>
        <w:t>, large companies</w:t>
      </w:r>
      <w:r w:rsidR="001A5162" w:rsidRPr="004C70EC">
        <w:rPr>
          <w:rFonts w:eastAsia="Times New Roman"/>
          <w:noProof/>
          <w:color w:val="000000" w:themeColor="text1"/>
          <w:lang w:val="en-US" w:eastAsia="en-GB"/>
        </w:rPr>
        <w:t xml:space="preserve"> and SMEs</w:t>
      </w:r>
      <w:r w:rsidR="6A9CBEA0" w:rsidRPr="004C70EC">
        <w:rPr>
          <w:rFonts w:eastAsia="Times New Roman"/>
          <w:noProof/>
          <w:color w:val="000000" w:themeColor="text1"/>
          <w:lang w:val="en-US" w:eastAsia="en-GB"/>
        </w:rPr>
        <w:t xml:space="preserve">, business associations and trade unions </w:t>
      </w:r>
      <w:r w:rsidR="004C3DD5" w:rsidRPr="004C70EC">
        <w:rPr>
          <w:rFonts w:eastAsia="Times New Roman"/>
          <w:noProof/>
          <w:color w:val="000000" w:themeColor="text1"/>
          <w:lang w:val="en-US" w:eastAsia="en-GB"/>
        </w:rPr>
        <w:t xml:space="preserve">agreed </w:t>
      </w:r>
      <w:r w:rsidR="00385545" w:rsidRPr="004C70EC">
        <w:rPr>
          <w:rFonts w:eastAsia="Times New Roman"/>
          <w:noProof/>
          <w:color w:val="000000" w:themeColor="text1"/>
          <w:lang w:val="en-US" w:eastAsia="en-GB"/>
        </w:rPr>
        <w:t>that</w:t>
      </w:r>
      <w:r w:rsidR="00D44669" w:rsidRPr="004C70EC">
        <w:rPr>
          <w:rFonts w:eastAsia="Times New Roman"/>
          <w:noProof/>
          <w:color w:val="000000" w:themeColor="text1"/>
          <w:lang w:val="en-US" w:eastAsia="en-GB"/>
        </w:rPr>
        <w:t xml:space="preserve"> </w:t>
      </w:r>
      <w:r w:rsidR="6A9CBEA0" w:rsidRPr="004C70EC">
        <w:rPr>
          <w:rFonts w:eastAsia="Times New Roman"/>
          <w:b/>
          <w:noProof/>
          <w:color w:val="000000" w:themeColor="text1"/>
          <w:lang w:val="en-US" w:eastAsia="en-GB"/>
        </w:rPr>
        <w:t xml:space="preserve">divergent national rules and interpretation/implementation of EU rules </w:t>
      </w:r>
      <w:r w:rsidR="6A9CBEA0" w:rsidRPr="004C70EC">
        <w:rPr>
          <w:rFonts w:eastAsia="Times New Roman"/>
          <w:noProof/>
          <w:color w:val="000000" w:themeColor="text1"/>
          <w:lang w:val="en-US"/>
        </w:rPr>
        <w:t>create fragmented market entry conditions.</w:t>
      </w:r>
      <w:r w:rsidR="6A9CBEA0" w:rsidRPr="004C70EC">
        <w:rPr>
          <w:rFonts w:eastAsia="Times New Roman"/>
          <w:noProof/>
          <w:color w:val="000000" w:themeColor="text1"/>
          <w:lang w:val="en-US" w:eastAsia="en-GB"/>
        </w:rPr>
        <w:t xml:space="preserve"> </w:t>
      </w:r>
      <w:r w:rsidR="0510BFAA" w:rsidRPr="004C70EC">
        <w:rPr>
          <w:rFonts w:eastAsia="Times New Roman"/>
          <w:noProof/>
          <w:color w:val="000000" w:themeColor="text1"/>
          <w:lang w:val="en-US" w:eastAsia="en-GB"/>
        </w:rPr>
        <w:t>F</w:t>
      </w:r>
      <w:r w:rsidRPr="004C70EC">
        <w:rPr>
          <w:rFonts w:eastAsia="Times New Roman"/>
          <w:noProof/>
          <w:color w:val="000000" w:themeColor="text1"/>
          <w:bdr w:val="nil"/>
          <w:lang w:val="en-US" w:eastAsia="en-GB"/>
        </w:rPr>
        <w:t xml:space="preserve">eedback from small companies indicated </w:t>
      </w:r>
      <w:r w:rsidRPr="004C70EC">
        <w:rPr>
          <w:rFonts w:eastAsia="Times New Roman"/>
          <w:b/>
          <w:noProof/>
          <w:color w:val="000000" w:themeColor="text1"/>
          <w:bdr w:val="nil"/>
          <w:lang w:val="en-US" w:eastAsia="en-GB"/>
        </w:rPr>
        <w:t>high regulatory costs</w:t>
      </w:r>
      <w:r w:rsidR="56613930" w:rsidRPr="004C70EC">
        <w:rPr>
          <w:rFonts w:eastAsia="Times New Roman"/>
          <w:b/>
          <w:noProof/>
          <w:color w:val="000000" w:themeColor="text1"/>
          <w:lang w:val="en-US" w:eastAsia="en-GB"/>
        </w:rPr>
        <w:t xml:space="preserve"> </w:t>
      </w:r>
      <w:r w:rsidR="56613930" w:rsidRPr="004C70EC">
        <w:rPr>
          <w:rFonts w:eastAsia="Times New Roman"/>
          <w:noProof/>
          <w:color w:val="000000" w:themeColor="text1"/>
          <w:lang w:val="en-US" w:eastAsia="en-GB"/>
        </w:rPr>
        <w:t xml:space="preserve">as a result of the regulatory </w:t>
      </w:r>
      <w:r w:rsidR="05AF76AA" w:rsidRPr="004C70EC">
        <w:rPr>
          <w:rFonts w:eastAsia="Times New Roman"/>
          <w:noProof/>
          <w:color w:val="000000" w:themeColor="text1"/>
          <w:lang w:val="en-US" w:eastAsia="en-GB"/>
        </w:rPr>
        <w:t>fragmen</w:t>
      </w:r>
      <w:r w:rsidR="19F1011E" w:rsidRPr="004C70EC">
        <w:rPr>
          <w:rFonts w:eastAsia="Times New Roman"/>
          <w:noProof/>
          <w:color w:val="000000" w:themeColor="text1"/>
          <w:lang w:val="en-US" w:eastAsia="en-GB"/>
        </w:rPr>
        <w:t>tation</w:t>
      </w:r>
      <w:r w:rsidR="00FD7405" w:rsidRPr="004C70EC">
        <w:rPr>
          <w:rFonts w:eastAsia="Times New Roman"/>
          <w:noProof/>
          <w:color w:val="000000" w:themeColor="text1"/>
          <w:lang w:val="en-US" w:eastAsia="en-GB"/>
        </w:rPr>
        <w:t>, while p</w:t>
      </w:r>
      <w:r w:rsidRPr="004C70EC">
        <w:rPr>
          <w:rFonts w:eastAsia="Times New Roman"/>
          <w:noProof/>
          <w:color w:val="000000" w:themeColor="text1"/>
          <w:bdr w:val="nil"/>
          <w:lang w:val="en-US" w:eastAsia="en-GB"/>
        </w:rPr>
        <w:t xml:space="preserve">ublic authorities also acknowledged high </w:t>
      </w:r>
      <w:r w:rsidRPr="004C70EC">
        <w:rPr>
          <w:rFonts w:eastAsia="Times New Roman"/>
          <w:b/>
          <w:noProof/>
          <w:color w:val="000000" w:themeColor="text1"/>
          <w:bdr w:val="nil"/>
          <w:lang w:val="en-US" w:eastAsia="en-GB"/>
        </w:rPr>
        <w:t>compliance costs</w:t>
      </w:r>
      <w:r w:rsidRPr="004C70EC">
        <w:rPr>
          <w:rFonts w:eastAsia="Times New Roman"/>
          <w:noProof/>
          <w:color w:val="000000" w:themeColor="text1"/>
          <w:bdr w:val="nil"/>
          <w:lang w:val="en-US" w:eastAsia="en-GB"/>
        </w:rPr>
        <w:t xml:space="preserve">. </w:t>
      </w:r>
      <w:r w:rsidR="00FD7405" w:rsidRPr="004C70EC">
        <w:rPr>
          <w:rFonts w:eastAsia="Times New Roman"/>
          <w:noProof/>
          <w:color w:val="000000" w:themeColor="text1"/>
          <w:bdr w:val="nil"/>
          <w:lang w:val="en-US" w:eastAsia="en-GB"/>
        </w:rPr>
        <w:t>Lastly</w:t>
      </w:r>
      <w:r w:rsidRPr="004C70EC">
        <w:rPr>
          <w:rFonts w:eastAsia="Times New Roman"/>
          <w:noProof/>
          <w:color w:val="000000" w:themeColor="text1"/>
          <w:bdr w:val="nil"/>
          <w:lang w:val="en-US" w:eastAsia="en-GB"/>
        </w:rPr>
        <w:t>, s</w:t>
      </w:r>
      <w:r w:rsidRPr="004C70EC">
        <w:rPr>
          <w:rFonts w:eastAsia="Times New Roman"/>
          <w:noProof/>
          <w:color w:val="000000" w:themeColor="text1"/>
          <w:lang w:val="en-US" w:eastAsia="en-GB"/>
        </w:rPr>
        <w:t xml:space="preserve">ome feedback pointed to </w:t>
      </w:r>
      <w:r w:rsidRPr="004C70EC">
        <w:rPr>
          <w:rFonts w:eastAsia="Times New Roman"/>
          <w:b/>
          <w:noProof/>
          <w:color w:val="000000" w:themeColor="text1"/>
          <w:lang w:val="en-US" w:eastAsia="en-GB"/>
        </w:rPr>
        <w:t>inconsistencies between EU legislative frameworks</w:t>
      </w:r>
      <w:r w:rsidRPr="004C70EC">
        <w:rPr>
          <w:rFonts w:eastAsia="Times New Roman"/>
          <w:noProof/>
          <w:color w:val="000000" w:themeColor="text1"/>
          <w:bdr w:val="nil"/>
          <w:lang w:val="en-US" w:eastAsia="en-GB"/>
        </w:rPr>
        <w:t>, in particular the CTR, ATMPs Regulation, MDR/IVDR,</w:t>
      </w:r>
      <w:r w:rsidRPr="004C70EC">
        <w:rPr>
          <w:rFonts w:eastAsia="Times New Roman"/>
          <w:noProof/>
          <w:color w:val="000000" w:themeColor="text1"/>
          <w:lang w:val="en-US" w:eastAsia="en-GB"/>
        </w:rPr>
        <w:t xml:space="preserve"> REACH </w:t>
      </w:r>
      <w:r w:rsidR="00FD7405" w:rsidRPr="004C70EC">
        <w:rPr>
          <w:rFonts w:eastAsia="Times New Roman"/>
          <w:noProof/>
          <w:color w:val="000000" w:themeColor="text1"/>
          <w:lang w:val="en-US" w:eastAsia="en-GB"/>
        </w:rPr>
        <w:t xml:space="preserve">Regulation </w:t>
      </w:r>
      <w:r w:rsidR="00A227F2" w:rsidRPr="004C70EC">
        <w:rPr>
          <w:rFonts w:eastAsia="Times New Roman"/>
          <w:noProof/>
          <w:color w:val="000000" w:themeColor="text1"/>
          <w:lang w:val="en-US" w:eastAsia="en-GB"/>
        </w:rPr>
        <w:t>and</w:t>
      </w:r>
      <w:r w:rsidRPr="004C70EC">
        <w:rPr>
          <w:rFonts w:eastAsia="Times New Roman"/>
          <w:noProof/>
          <w:color w:val="000000" w:themeColor="text1"/>
          <w:lang w:val="en-US" w:eastAsia="en-GB"/>
        </w:rPr>
        <w:t xml:space="preserve"> the </w:t>
      </w:r>
      <w:r w:rsidR="006C64BE" w:rsidRPr="004C70EC">
        <w:rPr>
          <w:rFonts w:eastAsia="Times New Roman"/>
          <w:noProof/>
          <w:color w:val="000000" w:themeColor="text1"/>
          <w:lang w:val="en-US" w:eastAsia="en-GB"/>
        </w:rPr>
        <w:t>G</w:t>
      </w:r>
      <w:r w:rsidR="00A227F2" w:rsidRPr="004C70EC">
        <w:rPr>
          <w:rFonts w:eastAsia="Times New Roman"/>
          <w:noProof/>
          <w:color w:val="000000" w:themeColor="text1"/>
          <w:lang w:val="en-US" w:eastAsia="en-GB"/>
        </w:rPr>
        <w:t xml:space="preserve">eneral </w:t>
      </w:r>
      <w:r w:rsidR="006C64BE" w:rsidRPr="004C70EC">
        <w:rPr>
          <w:rFonts w:eastAsia="Times New Roman"/>
          <w:noProof/>
          <w:color w:val="000000" w:themeColor="text1"/>
          <w:lang w:val="en-US" w:eastAsia="en-GB"/>
        </w:rPr>
        <w:t>D</w:t>
      </w:r>
      <w:r w:rsidR="00A227F2" w:rsidRPr="004C70EC">
        <w:rPr>
          <w:rFonts w:eastAsia="Times New Roman"/>
          <w:noProof/>
          <w:color w:val="000000" w:themeColor="text1"/>
          <w:lang w:val="en-US" w:eastAsia="en-GB"/>
        </w:rPr>
        <w:t xml:space="preserve">ata </w:t>
      </w:r>
      <w:r w:rsidR="006C64BE" w:rsidRPr="004C70EC">
        <w:rPr>
          <w:rFonts w:eastAsia="Times New Roman"/>
          <w:noProof/>
          <w:color w:val="000000" w:themeColor="text1"/>
          <w:lang w:val="en-US" w:eastAsia="en-GB"/>
        </w:rPr>
        <w:t>P</w:t>
      </w:r>
      <w:r w:rsidR="00A227F2" w:rsidRPr="004C70EC">
        <w:rPr>
          <w:rFonts w:eastAsia="Times New Roman"/>
          <w:noProof/>
          <w:color w:val="000000" w:themeColor="text1"/>
          <w:lang w:val="en-US" w:eastAsia="en-GB"/>
        </w:rPr>
        <w:t xml:space="preserve">rotection </w:t>
      </w:r>
      <w:r w:rsidR="006C64BE" w:rsidRPr="004C70EC">
        <w:rPr>
          <w:rFonts w:eastAsia="Times New Roman"/>
          <w:noProof/>
          <w:color w:val="000000" w:themeColor="text1"/>
          <w:lang w:val="en-US" w:eastAsia="en-GB"/>
        </w:rPr>
        <w:t>R</w:t>
      </w:r>
      <w:r w:rsidR="00A227F2" w:rsidRPr="004C70EC">
        <w:rPr>
          <w:rFonts w:eastAsia="Times New Roman"/>
          <w:noProof/>
          <w:color w:val="000000" w:themeColor="text1"/>
          <w:lang w:val="en-US" w:eastAsia="en-GB"/>
        </w:rPr>
        <w:t>egulation (</w:t>
      </w:r>
      <w:r w:rsidR="006C64BE" w:rsidRPr="004C70EC">
        <w:rPr>
          <w:rFonts w:eastAsia="Times New Roman"/>
          <w:noProof/>
          <w:color w:val="000000" w:themeColor="text1"/>
          <w:lang w:val="en-US" w:eastAsia="en-GB"/>
        </w:rPr>
        <w:t>GDPR</w:t>
      </w:r>
      <w:r w:rsidR="00A227F2"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w:t>
      </w:r>
    </w:p>
    <w:p w14:paraId="2656C574" w14:textId="77777777" w:rsidR="00E934F2" w:rsidRPr="004C70EC" w:rsidRDefault="6DBDF2C2" w:rsidP="33CE1D06">
      <w:pPr>
        <w:pBdr>
          <w:top w:val="nil"/>
          <w:left w:val="nil"/>
          <w:bottom w:val="nil"/>
          <w:right w:val="nil"/>
          <w:between w:val="nil"/>
          <w:bar w:val="nil"/>
        </w:pBdr>
        <w:spacing w:after="240"/>
        <w:rPr>
          <w:rFonts w:eastAsia="Times New Roman"/>
          <w:noProof/>
          <w:color w:val="000000" w:themeColor="text1"/>
          <w:lang w:eastAsia="en-GB"/>
        </w:rPr>
      </w:pPr>
      <w:r w:rsidRPr="004C70EC">
        <w:rPr>
          <w:rFonts w:eastAsia="Times New Roman"/>
          <w:noProof/>
          <w:color w:val="000000" w:themeColor="text1"/>
          <w:lang w:val="en-US" w:eastAsia="en-GB"/>
        </w:rPr>
        <w:t>Most st</w:t>
      </w:r>
      <w:r w:rsidR="5D5E70DB" w:rsidRPr="004C70EC">
        <w:rPr>
          <w:rFonts w:eastAsia="Times New Roman"/>
          <w:noProof/>
          <w:color w:val="000000" w:themeColor="text1"/>
          <w:bdr w:val="nil"/>
          <w:lang w:val="en-US" w:eastAsia="en-GB"/>
        </w:rPr>
        <w:t xml:space="preserve">akeholders also indicated a </w:t>
      </w:r>
      <w:r w:rsidR="5D5E70DB" w:rsidRPr="004C70EC">
        <w:rPr>
          <w:rFonts w:eastAsia="Times New Roman"/>
          <w:b/>
          <w:noProof/>
          <w:color w:val="000000" w:themeColor="text1"/>
          <w:bdr w:val="nil"/>
          <w:lang w:val="en-US" w:eastAsia="en-GB"/>
        </w:rPr>
        <w:t>shortage of risk-tolerant capital</w:t>
      </w:r>
      <w:r w:rsidR="00A227F2" w:rsidRPr="004C70EC">
        <w:rPr>
          <w:rFonts w:eastAsia="Times New Roman"/>
          <w:b/>
          <w:noProof/>
          <w:color w:val="000000" w:themeColor="text1"/>
          <w:lang w:val="en-US" w:eastAsia="en-GB"/>
        </w:rPr>
        <w:t>.</w:t>
      </w:r>
      <w:r w:rsidR="5D5E70DB" w:rsidRPr="004C70EC">
        <w:rPr>
          <w:rFonts w:eastAsia="Times New Roman"/>
          <w:noProof/>
          <w:color w:val="000000" w:themeColor="text1"/>
          <w:lang w:val="en-US"/>
        </w:rPr>
        <w:t xml:space="preserve"> </w:t>
      </w:r>
      <w:r w:rsidR="725C90C5" w:rsidRPr="004C70EC">
        <w:rPr>
          <w:rFonts w:eastAsia="Times New Roman"/>
          <w:noProof/>
          <w:color w:val="000000" w:themeColor="text1"/>
          <w:lang w:val="en-US"/>
        </w:rPr>
        <w:t>Stakeholders highlight</w:t>
      </w:r>
      <w:r w:rsidR="725C90C5" w:rsidRPr="004C70EC">
        <w:rPr>
          <w:rFonts w:eastAsia="Times New Roman"/>
          <w:b/>
          <w:noProof/>
          <w:color w:val="000000" w:themeColor="text1"/>
          <w:lang w:val="en-US"/>
        </w:rPr>
        <w:t xml:space="preserve"> fragmented funding schemes, limited early-stage financing, and low EU venture capital share </w:t>
      </w:r>
      <w:r w:rsidR="725C90C5" w:rsidRPr="004C70EC">
        <w:rPr>
          <w:rFonts w:eastAsia="Times New Roman"/>
          <w:noProof/>
          <w:color w:val="000000" w:themeColor="text1"/>
          <w:lang w:val="en-US"/>
        </w:rPr>
        <w:t>compared to the US and China.</w:t>
      </w:r>
      <w:r w:rsidR="5D5E70DB" w:rsidRPr="004C70EC">
        <w:rPr>
          <w:rFonts w:eastAsia="Times New Roman"/>
          <w:noProof/>
          <w:color w:val="000000" w:themeColor="text1"/>
          <w:lang w:val="en-US" w:eastAsia="en-GB"/>
        </w:rPr>
        <w:t xml:space="preserve"> </w:t>
      </w:r>
      <w:r w:rsidR="0CC9BDAC" w:rsidRPr="004C70EC">
        <w:rPr>
          <w:rFonts w:eastAsia="Times New Roman"/>
          <w:noProof/>
          <w:color w:val="000000" w:themeColor="text1"/>
          <w:lang w:val="en-US" w:eastAsia="en-GB"/>
        </w:rPr>
        <w:t>For instance</w:t>
      </w:r>
      <w:r w:rsidR="5D5E70DB" w:rsidRPr="004C70EC">
        <w:rPr>
          <w:rFonts w:eastAsia="Times New Roman"/>
          <w:noProof/>
          <w:color w:val="000000" w:themeColor="text1"/>
          <w:lang w:val="en-US" w:eastAsia="en-GB"/>
        </w:rPr>
        <w:t>, representatives from academi</w:t>
      </w:r>
      <w:r w:rsidR="00676825" w:rsidRPr="004C70EC">
        <w:rPr>
          <w:rFonts w:eastAsia="Times New Roman"/>
          <w:noProof/>
          <w:color w:val="000000" w:themeColor="text1"/>
          <w:lang w:val="en-US" w:eastAsia="en-GB"/>
        </w:rPr>
        <w:t>c</w:t>
      </w:r>
      <w:r w:rsidR="61E02FE4" w:rsidRPr="004C70EC">
        <w:rPr>
          <w:rFonts w:eastAsia="Times New Roman"/>
          <w:noProof/>
          <w:color w:val="000000" w:themeColor="text1"/>
          <w:lang w:val="en-US" w:eastAsia="en-GB"/>
        </w:rPr>
        <w:t>/research institutes</w:t>
      </w:r>
      <w:r w:rsidR="5D5E70DB" w:rsidRPr="004C70EC">
        <w:rPr>
          <w:rFonts w:eastAsia="Times New Roman"/>
          <w:noProof/>
          <w:color w:val="000000" w:themeColor="text1"/>
          <w:lang w:val="en-US" w:eastAsia="en-GB"/>
        </w:rPr>
        <w:t xml:space="preserve"> indicated that the EU’s venture capital </w:t>
      </w:r>
      <w:r w:rsidR="00F851D9" w:rsidRPr="004C70EC">
        <w:rPr>
          <w:rFonts w:eastAsia="Times New Roman"/>
          <w:noProof/>
          <w:color w:val="000000" w:themeColor="text1"/>
          <w:lang w:val="en-US" w:eastAsia="en-GB"/>
        </w:rPr>
        <w:t>accounted for only about</w:t>
      </w:r>
      <w:r w:rsidR="5D5E70DB" w:rsidRPr="004C70EC">
        <w:rPr>
          <w:rFonts w:eastAsia="Times New Roman"/>
          <w:noProof/>
          <w:color w:val="000000" w:themeColor="text1"/>
          <w:lang w:val="en-US" w:eastAsia="en-GB"/>
        </w:rPr>
        <w:t xml:space="preserve"> 5% of global </w:t>
      </w:r>
      <w:r w:rsidR="00F851D9" w:rsidRPr="004C70EC">
        <w:rPr>
          <w:rFonts w:eastAsia="Times New Roman"/>
          <w:noProof/>
          <w:color w:val="000000" w:themeColor="text1"/>
          <w:lang w:val="en-US" w:eastAsia="en-GB"/>
        </w:rPr>
        <w:t>venture capital</w:t>
      </w:r>
      <w:r w:rsidR="5D5E70DB" w:rsidRPr="004C70EC">
        <w:rPr>
          <w:rFonts w:eastAsia="Times New Roman"/>
          <w:noProof/>
          <w:color w:val="000000" w:themeColor="text1"/>
          <w:lang w:val="en-US" w:eastAsia="en-GB"/>
        </w:rPr>
        <w:t xml:space="preserve">. Representatives of large companies particularly underlined </w:t>
      </w:r>
      <w:r w:rsidR="5D5E70DB" w:rsidRPr="004C70EC">
        <w:rPr>
          <w:rFonts w:eastAsia="Times New Roman"/>
          <w:b/>
          <w:noProof/>
          <w:color w:val="000000" w:themeColor="text1"/>
          <w:lang w:val="en-US" w:eastAsia="en-GB"/>
        </w:rPr>
        <w:t>public R&amp;D</w:t>
      </w:r>
      <w:r w:rsidR="5D5E70DB" w:rsidRPr="004C70EC">
        <w:rPr>
          <w:rFonts w:eastAsia="Times New Roman"/>
          <w:noProof/>
          <w:color w:val="000000" w:themeColor="text1"/>
          <w:lang w:val="en-US" w:eastAsia="en-GB"/>
        </w:rPr>
        <w:t xml:space="preserve"> under-investment, indicating </w:t>
      </w:r>
      <w:r w:rsidR="1246DD54" w:rsidRPr="004C70EC">
        <w:rPr>
          <w:rFonts w:eastAsia="Times New Roman"/>
          <w:noProof/>
          <w:color w:val="000000" w:themeColor="text1"/>
          <w:lang w:val="en-US" w:eastAsia="en-GB"/>
        </w:rPr>
        <w:t>poor alignment across policies and programmes</w:t>
      </w:r>
      <w:r w:rsidR="54A96905" w:rsidRPr="004C70EC">
        <w:rPr>
          <w:noProof/>
          <w:color w:val="000000" w:themeColor="text1"/>
          <w:lang w:val="en-US" w:eastAsia="en-GB"/>
        </w:rPr>
        <w:t>.</w:t>
      </w:r>
      <w:r w:rsidR="5D5E70DB" w:rsidRPr="004C70EC">
        <w:rPr>
          <w:noProof/>
          <w:color w:val="000000" w:themeColor="text1"/>
          <w:lang w:val="en-US" w:eastAsia="en-GB"/>
        </w:rPr>
        <w:t xml:space="preserve"> </w:t>
      </w:r>
      <w:r w:rsidR="5D5E70DB" w:rsidRPr="004C70EC">
        <w:rPr>
          <w:rFonts w:eastAsia="Times New Roman"/>
          <w:noProof/>
          <w:color w:val="000000" w:themeColor="text1"/>
          <w:bdr w:val="nil"/>
          <w:lang w:val="en-US" w:eastAsia="en-GB"/>
        </w:rPr>
        <w:t>Some contributions</w:t>
      </w:r>
      <w:r w:rsidR="63A92CD3" w:rsidRPr="004C70EC">
        <w:rPr>
          <w:rFonts w:eastAsia="Times New Roman"/>
          <w:noProof/>
          <w:color w:val="000000" w:themeColor="text1"/>
          <w:lang w:val="en-US" w:eastAsia="en-GB"/>
        </w:rPr>
        <w:t xml:space="preserve"> from NGOs</w:t>
      </w:r>
      <w:r w:rsidR="690A4B90" w:rsidRPr="004C70EC">
        <w:rPr>
          <w:rFonts w:eastAsia="Times New Roman"/>
          <w:noProof/>
          <w:color w:val="000000" w:themeColor="text1"/>
          <w:lang w:val="en-US" w:eastAsia="en-GB"/>
        </w:rPr>
        <w:t>/</w:t>
      </w:r>
      <w:r w:rsidR="129E6D76" w:rsidRPr="004C70EC">
        <w:rPr>
          <w:rFonts w:eastAsia="Times New Roman"/>
          <w:noProof/>
          <w:color w:val="000000" w:themeColor="text1"/>
          <w:lang w:val="en-US" w:eastAsia="en-GB"/>
        </w:rPr>
        <w:t>others</w:t>
      </w:r>
      <w:r w:rsidR="5D5E70DB" w:rsidRPr="004C70EC">
        <w:rPr>
          <w:rFonts w:eastAsia="Times New Roman"/>
          <w:noProof/>
          <w:color w:val="000000" w:themeColor="text1"/>
          <w:bdr w:val="nil"/>
          <w:lang w:val="en-US" w:eastAsia="en-GB"/>
        </w:rPr>
        <w:t xml:space="preserve"> also indicated the risk of</w:t>
      </w:r>
      <w:r w:rsidR="5D5E70DB" w:rsidRPr="004C70EC">
        <w:rPr>
          <w:rFonts w:eastAsia="Times New Roman"/>
          <w:noProof/>
          <w:color w:val="000000" w:themeColor="text1"/>
          <w:lang w:val="en-US" w:eastAsia="en-GB"/>
        </w:rPr>
        <w:t xml:space="preserve"> dependence</w:t>
      </w:r>
      <w:r w:rsidR="5D5E70DB" w:rsidRPr="004C70EC">
        <w:rPr>
          <w:rFonts w:eastAsia="Times New Roman"/>
          <w:noProof/>
          <w:color w:val="000000" w:themeColor="text1"/>
          <w:bdr w:val="nil"/>
          <w:lang w:val="en-US" w:eastAsia="en-GB"/>
        </w:rPr>
        <w:t xml:space="preserve"> on foreign capital, particularly in health and defense-related biotech</w:t>
      </w:r>
      <w:r w:rsidR="006D46A7" w:rsidRPr="004C70EC">
        <w:rPr>
          <w:rFonts w:eastAsia="Times New Roman"/>
          <w:noProof/>
          <w:color w:val="000000" w:themeColor="text1"/>
          <w:bdr w:val="nil"/>
          <w:lang w:val="en-US" w:eastAsia="en-GB"/>
        </w:rPr>
        <w:t>nologies</w:t>
      </w:r>
      <w:r w:rsidR="5D5E70DB" w:rsidRPr="004C70EC">
        <w:rPr>
          <w:rFonts w:eastAsia="Times New Roman"/>
          <w:noProof/>
          <w:color w:val="000000" w:themeColor="text1"/>
          <w:lang w:val="en-US" w:eastAsia="en-GB"/>
        </w:rPr>
        <w:t>.</w:t>
      </w:r>
    </w:p>
    <w:p w14:paraId="69E1C051" w14:textId="77777777" w:rsidR="00E934F2" w:rsidRPr="004C70EC" w:rsidRDefault="3C8031FA" w:rsidP="33CE1D06">
      <w:pPr>
        <w:pBdr>
          <w:top w:val="nil"/>
          <w:left w:val="nil"/>
          <w:bottom w:val="nil"/>
          <w:right w:val="nil"/>
          <w:between w:val="nil"/>
          <w:bar w:val="nil"/>
        </w:pBdr>
        <w:spacing w:after="240"/>
        <w:rPr>
          <w:rFonts w:eastAsia="Times New Roman"/>
          <w:noProof/>
          <w:color w:val="000000" w:themeColor="text1"/>
          <w:lang w:val="en-US" w:eastAsia="en-GB"/>
        </w:rPr>
      </w:pPr>
      <w:r w:rsidRPr="004C70EC">
        <w:rPr>
          <w:rFonts w:eastAsia="Times New Roman"/>
          <w:noProof/>
          <w:color w:val="000000" w:themeColor="text1"/>
          <w:lang w:val="en-US" w:eastAsia="en-GB"/>
        </w:rPr>
        <w:t>S</w:t>
      </w:r>
      <w:r w:rsidR="5D5E70DB" w:rsidRPr="004C70EC">
        <w:rPr>
          <w:rFonts w:eastAsia="Times New Roman"/>
          <w:noProof/>
          <w:color w:val="000000" w:themeColor="text1"/>
          <w:lang w:val="en-US" w:eastAsia="en-GB"/>
        </w:rPr>
        <w:t xml:space="preserve">takeholders stressed the fundamental role of </w:t>
      </w:r>
      <w:r w:rsidR="5D5E70DB" w:rsidRPr="004C70EC">
        <w:rPr>
          <w:rFonts w:eastAsia="Times New Roman"/>
          <w:b/>
          <w:noProof/>
          <w:color w:val="000000" w:themeColor="text1"/>
          <w:lang w:val="en-US" w:eastAsia="en-GB"/>
        </w:rPr>
        <w:t>education and skills</w:t>
      </w:r>
      <w:r w:rsidR="5D5E70DB" w:rsidRPr="004C70EC">
        <w:rPr>
          <w:rFonts w:eastAsia="Times New Roman"/>
          <w:noProof/>
          <w:color w:val="000000" w:themeColor="text1"/>
          <w:lang w:val="en-US" w:eastAsia="en-GB"/>
        </w:rPr>
        <w:t xml:space="preserve"> </w:t>
      </w:r>
      <w:r w:rsidRPr="004C70EC">
        <w:rPr>
          <w:rFonts w:eastAsia="Times New Roman"/>
          <w:noProof/>
          <w:color w:val="000000" w:themeColor="text1"/>
          <w:lang w:val="en-US" w:eastAsia="en-GB"/>
        </w:rPr>
        <w:t xml:space="preserve">for the biotechnology and biomanufacturing </w:t>
      </w:r>
      <w:r w:rsidR="313E002E" w:rsidRPr="004C70EC">
        <w:rPr>
          <w:rFonts w:eastAsia="Times New Roman"/>
          <w:noProof/>
          <w:color w:val="000000" w:themeColor="text1"/>
          <w:lang w:val="en-US" w:eastAsia="en-GB"/>
        </w:rPr>
        <w:t>workforce</w:t>
      </w:r>
      <w:r w:rsidR="5D5E70DB" w:rsidRPr="004C70EC">
        <w:rPr>
          <w:rFonts w:eastAsia="Times New Roman"/>
          <w:noProof/>
          <w:color w:val="000000" w:themeColor="text1"/>
          <w:lang w:val="en-US" w:eastAsia="en-GB"/>
        </w:rPr>
        <w:t xml:space="preserve">. </w:t>
      </w:r>
      <w:r w:rsidR="313E002E" w:rsidRPr="004C70EC">
        <w:rPr>
          <w:rFonts w:eastAsia="Times New Roman"/>
          <w:noProof/>
          <w:color w:val="000000" w:themeColor="text1"/>
          <w:lang w:val="en-US" w:eastAsia="en-GB"/>
        </w:rPr>
        <w:t>S</w:t>
      </w:r>
      <w:r w:rsidR="5D5E70DB" w:rsidRPr="004C70EC">
        <w:rPr>
          <w:rFonts w:eastAsia="Times New Roman"/>
          <w:noProof/>
          <w:color w:val="000000" w:themeColor="text1"/>
          <w:lang w:val="en-US" w:eastAsia="en-GB"/>
        </w:rPr>
        <w:t xml:space="preserve">takeholders expressed concerns </w:t>
      </w:r>
      <w:r w:rsidR="00F851D9" w:rsidRPr="004C70EC">
        <w:rPr>
          <w:rFonts w:eastAsia="Times New Roman"/>
          <w:noProof/>
          <w:color w:val="000000" w:themeColor="text1"/>
          <w:lang w:val="en-US" w:eastAsia="en-GB"/>
        </w:rPr>
        <w:t>about</w:t>
      </w:r>
      <w:r w:rsidR="5D5E70DB" w:rsidRPr="004C70EC">
        <w:rPr>
          <w:rFonts w:eastAsia="Times New Roman"/>
          <w:noProof/>
          <w:color w:val="000000" w:themeColor="text1"/>
          <w:lang w:val="en-US" w:eastAsia="en-GB"/>
        </w:rPr>
        <w:t xml:space="preserve"> </w:t>
      </w:r>
      <w:r w:rsidR="5D5E70DB" w:rsidRPr="004C70EC">
        <w:rPr>
          <w:rFonts w:eastAsia="Times New Roman"/>
          <w:b/>
          <w:noProof/>
          <w:color w:val="000000" w:themeColor="text1"/>
          <w:lang w:val="en-US" w:eastAsia="en-GB"/>
        </w:rPr>
        <w:t>talent drain and global competition</w:t>
      </w:r>
      <w:r w:rsidR="5D5E70DB" w:rsidRPr="004C70EC">
        <w:rPr>
          <w:rFonts w:eastAsia="Times New Roman"/>
          <w:noProof/>
          <w:color w:val="000000" w:themeColor="text1"/>
          <w:lang w:val="en-US" w:eastAsia="en-GB"/>
        </w:rPr>
        <w:t xml:space="preserve">. This is exacerbated by existing </w:t>
      </w:r>
      <w:r w:rsidR="5D5E70DB" w:rsidRPr="004C70EC">
        <w:rPr>
          <w:rFonts w:eastAsia="Times New Roman"/>
          <w:b/>
          <w:noProof/>
          <w:color w:val="000000" w:themeColor="text1"/>
          <w:lang w:val="en-US" w:eastAsia="en-GB"/>
        </w:rPr>
        <w:t>regulatory and mobility barriers</w:t>
      </w:r>
      <w:r w:rsidR="5D5E70DB" w:rsidRPr="004C70EC">
        <w:rPr>
          <w:rFonts w:eastAsia="Times New Roman"/>
          <w:noProof/>
          <w:color w:val="000000" w:themeColor="text1"/>
          <w:lang w:val="en-US" w:eastAsia="en-GB"/>
        </w:rPr>
        <w:t xml:space="preserve"> </w:t>
      </w:r>
      <w:r w:rsidR="00B30A51" w:rsidRPr="004C70EC">
        <w:rPr>
          <w:rFonts w:eastAsia="Times New Roman"/>
          <w:noProof/>
          <w:color w:val="000000" w:themeColor="text1"/>
          <w:lang w:val="en-US" w:eastAsia="en-GB"/>
        </w:rPr>
        <w:t xml:space="preserve">that </w:t>
      </w:r>
      <w:r w:rsidR="5D5E70DB" w:rsidRPr="004C70EC">
        <w:rPr>
          <w:rFonts w:eastAsia="Times New Roman"/>
          <w:noProof/>
          <w:color w:val="000000" w:themeColor="text1"/>
          <w:lang w:val="en-US" w:eastAsia="en-GB"/>
        </w:rPr>
        <w:t xml:space="preserve">hamper cross-border and cross-sector mobility, as indicated in feedback from academic/research institutions. </w:t>
      </w:r>
      <w:r w:rsidR="0013390A" w:rsidRPr="004C70EC">
        <w:rPr>
          <w:rFonts w:eastAsia="Times New Roman"/>
          <w:noProof/>
          <w:color w:val="000000" w:themeColor="text1"/>
          <w:lang w:val="en-US" w:eastAsia="en-GB"/>
        </w:rPr>
        <w:t>In addition</w:t>
      </w:r>
      <w:r w:rsidR="5D5E70DB" w:rsidRPr="004C70EC">
        <w:rPr>
          <w:rFonts w:eastAsia="Times New Roman"/>
          <w:noProof/>
          <w:color w:val="000000" w:themeColor="text1"/>
          <w:lang w:val="en-US" w:eastAsia="en-GB"/>
        </w:rPr>
        <w:t xml:space="preserve">, stakeholders underlined the limited </w:t>
      </w:r>
      <w:r w:rsidR="5D5E70DB" w:rsidRPr="004C70EC">
        <w:rPr>
          <w:rFonts w:eastAsia="Times New Roman"/>
          <w:b/>
          <w:noProof/>
          <w:color w:val="000000" w:themeColor="text1"/>
          <w:lang w:val="en-US" w:eastAsia="en-GB"/>
        </w:rPr>
        <w:t>entrepreneurial pathways</w:t>
      </w:r>
      <w:r w:rsidR="5D5E70DB" w:rsidRPr="004C70EC">
        <w:rPr>
          <w:rFonts w:eastAsia="Times New Roman"/>
          <w:noProof/>
          <w:color w:val="000000" w:themeColor="text1"/>
          <w:lang w:val="en-US" w:eastAsia="en-GB"/>
        </w:rPr>
        <w:t xml:space="preserve"> from academi</w:t>
      </w:r>
      <w:r w:rsidR="00B90D00" w:rsidRPr="004C70EC">
        <w:rPr>
          <w:rFonts w:eastAsia="Times New Roman"/>
          <w:noProof/>
          <w:color w:val="000000" w:themeColor="text1"/>
          <w:lang w:val="en-US" w:eastAsia="en-GB"/>
        </w:rPr>
        <w:t>a</w:t>
      </w:r>
      <w:r w:rsidR="5D5E70DB" w:rsidRPr="004C70EC">
        <w:rPr>
          <w:rFonts w:eastAsia="Times New Roman"/>
          <w:noProof/>
          <w:color w:val="000000" w:themeColor="text1"/>
          <w:lang w:val="en-US" w:eastAsia="en-GB"/>
        </w:rPr>
        <w:t xml:space="preserve"> to </w:t>
      </w:r>
      <w:r w:rsidR="00F978BD" w:rsidRPr="004C70EC">
        <w:rPr>
          <w:rFonts w:eastAsia="Times New Roman"/>
          <w:noProof/>
          <w:color w:val="000000" w:themeColor="text1"/>
          <w:lang w:val="en-US" w:eastAsia="en-GB"/>
        </w:rPr>
        <w:t xml:space="preserve">company </w:t>
      </w:r>
      <w:r w:rsidR="5D5E70DB" w:rsidRPr="004C70EC">
        <w:rPr>
          <w:rFonts w:eastAsia="Times New Roman"/>
          <w:noProof/>
          <w:color w:val="000000" w:themeColor="text1"/>
          <w:lang w:val="en-US" w:eastAsia="en-GB"/>
        </w:rPr>
        <w:t>building. Moreover, many stakeholders experience</w:t>
      </w:r>
      <w:r w:rsidR="00320023" w:rsidRPr="004C70EC">
        <w:rPr>
          <w:rFonts w:eastAsia="Times New Roman"/>
          <w:noProof/>
          <w:color w:val="000000" w:themeColor="text1"/>
          <w:lang w:val="en-US" w:eastAsia="en-GB"/>
        </w:rPr>
        <w:t>d</w:t>
      </w:r>
      <w:r w:rsidR="5D5E70DB" w:rsidRPr="004C70EC">
        <w:rPr>
          <w:rFonts w:eastAsia="Times New Roman"/>
          <w:noProof/>
          <w:color w:val="000000" w:themeColor="text1"/>
          <w:lang w:val="en-US" w:eastAsia="en-GB"/>
        </w:rPr>
        <w:t xml:space="preserve"> </w:t>
      </w:r>
      <w:r w:rsidR="5D5E70DB" w:rsidRPr="004C70EC">
        <w:rPr>
          <w:rFonts w:eastAsia="Times New Roman"/>
          <w:b/>
          <w:noProof/>
          <w:color w:val="000000" w:themeColor="text1"/>
          <w:lang w:val="en-US" w:eastAsia="en-GB"/>
        </w:rPr>
        <w:t>shortages in</w:t>
      </w:r>
      <w:r w:rsidR="00320023" w:rsidRPr="004C70EC">
        <w:rPr>
          <w:rFonts w:eastAsia="Times New Roman"/>
          <w:b/>
          <w:noProof/>
          <w:color w:val="000000" w:themeColor="text1"/>
          <w:lang w:val="en-US" w:eastAsia="en-GB"/>
        </w:rPr>
        <w:t xml:space="preserve"> the</w:t>
      </w:r>
      <w:r w:rsidR="5D5E70DB" w:rsidRPr="004C70EC">
        <w:rPr>
          <w:rFonts w:eastAsia="Times New Roman"/>
          <w:b/>
          <w:noProof/>
          <w:color w:val="000000" w:themeColor="text1"/>
          <w:lang w:val="en-US" w:eastAsia="en-GB"/>
        </w:rPr>
        <w:t xml:space="preserve"> specialised and interdisciplinary competences</w:t>
      </w:r>
      <w:r w:rsidR="5D5E70DB" w:rsidRPr="004C70EC">
        <w:rPr>
          <w:rFonts w:eastAsia="Times New Roman"/>
          <w:noProof/>
          <w:color w:val="000000" w:themeColor="text1"/>
          <w:lang w:val="en-US" w:eastAsia="en-GB"/>
        </w:rPr>
        <w:t xml:space="preserve"> needed for </w:t>
      </w:r>
      <w:r w:rsidR="408A73E6" w:rsidRPr="004C70EC">
        <w:rPr>
          <w:rFonts w:eastAsia="Times New Roman"/>
          <w:noProof/>
          <w:color w:val="000000" w:themeColor="text1"/>
          <w:lang w:val="en-US" w:eastAsia="en-GB"/>
        </w:rPr>
        <w:t xml:space="preserve">the </w:t>
      </w:r>
      <w:r w:rsidR="5D5E70DB" w:rsidRPr="004C70EC">
        <w:rPr>
          <w:rFonts w:eastAsia="Times New Roman"/>
          <w:noProof/>
          <w:color w:val="000000" w:themeColor="text1"/>
          <w:lang w:val="en-US" w:eastAsia="en-GB"/>
        </w:rPr>
        <w:t>biotechnology and biomanufacturing</w:t>
      </w:r>
      <w:r w:rsidR="408A73E6" w:rsidRPr="004C70EC">
        <w:rPr>
          <w:rFonts w:eastAsia="Times New Roman"/>
          <w:noProof/>
          <w:color w:val="000000" w:themeColor="text1"/>
          <w:lang w:val="en-US" w:eastAsia="en-GB"/>
        </w:rPr>
        <w:t xml:space="preserve"> workforce</w:t>
      </w:r>
      <w:r w:rsidR="5D5E70DB" w:rsidRPr="004C70EC">
        <w:rPr>
          <w:rFonts w:eastAsia="Times New Roman"/>
          <w:noProof/>
          <w:color w:val="000000" w:themeColor="text1"/>
          <w:lang w:val="en-US" w:eastAsia="en-GB"/>
        </w:rPr>
        <w:t xml:space="preserve">. Other limitations </w:t>
      </w:r>
      <w:r w:rsidR="5763B8F9" w:rsidRPr="004C70EC">
        <w:rPr>
          <w:rFonts w:eastAsia="Times New Roman"/>
          <w:noProof/>
          <w:color w:val="000000" w:themeColor="text1"/>
          <w:lang w:val="en-US" w:eastAsia="en-GB"/>
        </w:rPr>
        <w:t>mentioned</w:t>
      </w:r>
      <w:r w:rsidR="5D5E70DB" w:rsidRPr="004C70EC">
        <w:rPr>
          <w:rFonts w:eastAsia="Times New Roman"/>
          <w:noProof/>
          <w:color w:val="000000" w:themeColor="text1"/>
          <w:lang w:val="en-US" w:eastAsia="en-GB"/>
        </w:rPr>
        <w:t xml:space="preserve"> </w:t>
      </w:r>
      <w:r w:rsidRPr="004C70EC">
        <w:rPr>
          <w:rFonts w:eastAsia="Times New Roman"/>
          <w:noProof/>
          <w:color w:val="000000" w:themeColor="text1"/>
          <w:lang w:val="en-US" w:eastAsia="en-GB"/>
        </w:rPr>
        <w:t>were</w:t>
      </w:r>
      <w:r w:rsidR="5D5E70DB" w:rsidRPr="004C70EC">
        <w:rPr>
          <w:rFonts w:eastAsia="Times New Roman"/>
          <w:noProof/>
          <w:color w:val="000000" w:themeColor="text1"/>
          <w:lang w:val="en-US" w:eastAsia="en-GB"/>
        </w:rPr>
        <w:t xml:space="preserve"> </w:t>
      </w:r>
      <w:r w:rsidR="0B64156B" w:rsidRPr="004C70EC">
        <w:rPr>
          <w:rFonts w:eastAsia="Times New Roman"/>
          <w:noProof/>
          <w:color w:val="000000" w:themeColor="text1"/>
          <w:lang w:val="en-US" w:eastAsia="en-GB"/>
        </w:rPr>
        <w:t xml:space="preserve">an insufficient </w:t>
      </w:r>
      <w:r w:rsidR="2A710ADB" w:rsidRPr="004C70EC">
        <w:rPr>
          <w:rFonts w:eastAsia="Times New Roman"/>
          <w:noProof/>
          <w:color w:val="000000" w:themeColor="text1"/>
          <w:lang w:val="en-US" w:eastAsia="en-GB"/>
        </w:rPr>
        <w:t>number</w:t>
      </w:r>
      <w:r w:rsidR="0B64156B" w:rsidRPr="004C70EC">
        <w:rPr>
          <w:rFonts w:eastAsia="Times New Roman"/>
          <w:noProof/>
          <w:color w:val="000000" w:themeColor="text1"/>
          <w:lang w:val="en-US" w:eastAsia="en-GB"/>
        </w:rPr>
        <w:t xml:space="preserve"> of</w:t>
      </w:r>
      <w:r w:rsidR="6A875658" w:rsidRPr="004C70EC">
        <w:rPr>
          <w:rFonts w:eastAsia="Times New Roman"/>
          <w:noProof/>
          <w:color w:val="000000" w:themeColor="text1"/>
          <w:lang w:val="en-US" w:eastAsia="en-GB"/>
        </w:rPr>
        <w:t xml:space="preserve"> STEM graduates</w:t>
      </w:r>
      <w:r w:rsidRPr="004C70EC">
        <w:rPr>
          <w:rFonts w:eastAsia="Times New Roman"/>
          <w:noProof/>
          <w:color w:val="000000" w:themeColor="text1"/>
          <w:lang w:val="en-US" w:eastAsia="en-GB"/>
        </w:rPr>
        <w:t xml:space="preserve">, </w:t>
      </w:r>
      <w:r w:rsidR="5D5E70DB" w:rsidRPr="004C70EC">
        <w:rPr>
          <w:rFonts w:eastAsia="Times New Roman"/>
          <w:noProof/>
          <w:color w:val="000000" w:themeColor="text1"/>
          <w:lang w:val="en-US" w:eastAsia="en-GB"/>
        </w:rPr>
        <w:t xml:space="preserve">the lack of funding or low investment in life-long learning </w:t>
      </w:r>
      <w:r w:rsidRPr="004C70EC">
        <w:rPr>
          <w:rFonts w:eastAsia="Times New Roman"/>
          <w:noProof/>
          <w:color w:val="000000" w:themeColor="text1"/>
          <w:lang w:val="en-US" w:eastAsia="en-GB"/>
        </w:rPr>
        <w:t>(e.g.</w:t>
      </w:r>
      <w:r w:rsidR="5D5E70DB" w:rsidRPr="004C70EC">
        <w:rPr>
          <w:rFonts w:eastAsia="Times New Roman"/>
          <w:noProof/>
          <w:color w:val="000000" w:themeColor="text1"/>
          <w:lang w:val="en-US" w:eastAsia="en-GB"/>
        </w:rPr>
        <w:t xml:space="preserve"> digital</w:t>
      </w:r>
      <w:r w:rsidRPr="004C70EC">
        <w:rPr>
          <w:rFonts w:eastAsia="Times New Roman"/>
          <w:noProof/>
          <w:color w:val="000000" w:themeColor="text1"/>
          <w:lang w:val="en-US" w:eastAsia="en-GB"/>
        </w:rPr>
        <w:t>,</w:t>
      </w:r>
      <w:r w:rsidR="5D5E70DB" w:rsidRPr="004C70EC">
        <w:rPr>
          <w:rFonts w:eastAsia="Times New Roman"/>
          <w:noProof/>
          <w:color w:val="000000" w:themeColor="text1"/>
          <w:lang w:val="en-US" w:eastAsia="en-GB"/>
        </w:rPr>
        <w:t xml:space="preserve"> AI competencies</w:t>
      </w:r>
      <w:r w:rsidRPr="004C70EC">
        <w:rPr>
          <w:rFonts w:eastAsia="Times New Roman"/>
          <w:noProof/>
          <w:color w:val="000000" w:themeColor="text1"/>
          <w:lang w:val="en-US" w:eastAsia="en-GB"/>
        </w:rPr>
        <w:t>)</w:t>
      </w:r>
      <w:r w:rsidR="2FE5E78E" w:rsidRPr="004C70EC">
        <w:rPr>
          <w:rFonts w:eastAsia="Times New Roman"/>
          <w:noProof/>
          <w:color w:val="000000" w:themeColor="text1"/>
          <w:lang w:val="en-US" w:eastAsia="en-GB"/>
        </w:rPr>
        <w:t>,</w:t>
      </w:r>
      <w:r w:rsidR="5D5E70DB" w:rsidRPr="004C70EC">
        <w:rPr>
          <w:rFonts w:eastAsia="Times New Roman"/>
          <w:noProof/>
          <w:color w:val="000000" w:themeColor="text1"/>
          <w:lang w:val="en-US" w:eastAsia="en-GB"/>
        </w:rPr>
        <w:t xml:space="preserve"> and unequal access to upskilling programmes.</w:t>
      </w:r>
    </w:p>
    <w:p w14:paraId="149BC0B7" w14:textId="77777777" w:rsidR="00FF5210" w:rsidRPr="004C70EC" w:rsidRDefault="00FF5210" w:rsidP="00666972">
      <w:pPr>
        <w:pBdr>
          <w:top w:val="nil"/>
          <w:left w:val="nil"/>
          <w:bottom w:val="nil"/>
          <w:right w:val="nil"/>
          <w:between w:val="nil"/>
          <w:bar w:val="nil"/>
        </w:pBdr>
        <w:spacing w:after="240"/>
        <w:rPr>
          <w:rFonts w:eastAsia="Times New Roman"/>
          <w:noProof/>
          <w:color w:val="000000" w:themeColor="text1"/>
          <w:lang w:val="en-US" w:eastAsia="en-GB"/>
        </w:rPr>
      </w:pPr>
      <w:r w:rsidRPr="004C70EC">
        <w:rPr>
          <w:rFonts w:eastAsia="Times New Roman"/>
          <w:noProof/>
          <w:color w:val="000000" w:themeColor="text1"/>
          <w:lang w:val="en-US" w:eastAsia="en-GB"/>
        </w:rPr>
        <w:t>Stakeholder</w:t>
      </w:r>
      <w:r w:rsidR="372CB77F" w:rsidRPr="004C70EC">
        <w:rPr>
          <w:rFonts w:eastAsia="Times New Roman"/>
          <w:noProof/>
          <w:color w:val="000000" w:themeColor="text1"/>
          <w:lang w:val="en-US" w:eastAsia="en-GB"/>
        </w:rPr>
        <w:t>s</w:t>
      </w:r>
      <w:r w:rsidRPr="004C70EC">
        <w:rPr>
          <w:rFonts w:eastAsia="Times New Roman"/>
          <w:noProof/>
          <w:color w:val="000000" w:themeColor="text1"/>
          <w:lang w:val="en-US" w:eastAsia="en-GB"/>
        </w:rPr>
        <w:t xml:space="preserve"> across all groups (incl</w:t>
      </w:r>
      <w:r w:rsidR="00716945" w:rsidRPr="004C70EC">
        <w:rPr>
          <w:rFonts w:eastAsia="Times New Roman"/>
          <w:noProof/>
          <w:color w:val="000000" w:themeColor="text1"/>
          <w:lang w:val="en-US" w:eastAsia="en-GB"/>
        </w:rPr>
        <w:t>uding</w:t>
      </w:r>
      <w:r w:rsidRPr="004C70EC">
        <w:rPr>
          <w:rFonts w:eastAsia="Times New Roman"/>
          <w:noProof/>
          <w:color w:val="000000" w:themeColor="text1"/>
          <w:lang w:val="en-US" w:eastAsia="en-GB"/>
        </w:rPr>
        <w:t xml:space="preserve"> academi</w:t>
      </w:r>
      <w:r w:rsidR="00676825" w:rsidRPr="004C70EC">
        <w:rPr>
          <w:rFonts w:eastAsia="Times New Roman"/>
          <w:noProof/>
          <w:color w:val="000000" w:themeColor="text1"/>
          <w:lang w:val="en-US" w:eastAsia="en-GB"/>
        </w:rPr>
        <w:t>c</w:t>
      </w:r>
      <w:r w:rsidRPr="004C70EC">
        <w:rPr>
          <w:rFonts w:eastAsia="Times New Roman"/>
          <w:noProof/>
          <w:color w:val="000000" w:themeColor="text1"/>
          <w:lang w:val="en-US" w:eastAsia="en-GB"/>
        </w:rPr>
        <w:t>/research institutions, business associations/trade unions, large companies, citizens, as well as NGOs/other</w:t>
      </w:r>
      <w:r w:rsidR="3BDE7AAF" w:rsidRPr="004C70EC">
        <w:rPr>
          <w:rFonts w:eastAsia="Times New Roman"/>
          <w:noProof/>
          <w:color w:val="000000" w:themeColor="text1"/>
          <w:lang w:val="en-US" w:eastAsia="en-GB"/>
        </w:rPr>
        <w:t>s</w:t>
      </w:r>
      <w:r w:rsidRPr="004C70EC">
        <w:rPr>
          <w:rFonts w:eastAsia="Times New Roman"/>
          <w:noProof/>
          <w:color w:val="000000" w:themeColor="text1"/>
          <w:lang w:val="en-US" w:eastAsia="en-GB"/>
        </w:rPr>
        <w:t xml:space="preserve"> and public authorities) stressed the limited </w:t>
      </w:r>
      <w:r w:rsidRPr="004C70EC">
        <w:rPr>
          <w:rFonts w:eastAsia="Times New Roman"/>
          <w:b/>
          <w:noProof/>
          <w:color w:val="000000" w:themeColor="text1"/>
          <w:lang w:val="en-US" w:eastAsia="en-GB"/>
        </w:rPr>
        <w:t>manufacturing capabilities</w:t>
      </w:r>
      <w:r w:rsidRPr="004C70EC">
        <w:rPr>
          <w:rFonts w:eastAsia="Times New Roman"/>
          <w:noProof/>
          <w:color w:val="000000" w:themeColor="text1"/>
          <w:lang w:val="en-US" w:eastAsia="en-GB"/>
        </w:rPr>
        <w:t xml:space="preserve"> in the Union. Some </w:t>
      </w:r>
      <w:r w:rsidR="00BC45BB" w:rsidRPr="004C70EC">
        <w:rPr>
          <w:rFonts w:eastAsia="Times New Roman"/>
          <w:noProof/>
          <w:color w:val="000000" w:themeColor="text1"/>
          <w:lang w:val="en-US" w:eastAsia="en-GB"/>
        </w:rPr>
        <w:t>of</w:t>
      </w:r>
      <w:r w:rsidRPr="004C70EC">
        <w:rPr>
          <w:rFonts w:eastAsia="Times New Roman"/>
          <w:noProof/>
          <w:color w:val="000000" w:themeColor="text1"/>
          <w:lang w:val="en-US" w:eastAsia="en-GB"/>
        </w:rPr>
        <w:t xml:space="preserve"> the underlying factors </w:t>
      </w:r>
      <w:r w:rsidR="003B00E6" w:rsidRPr="004C70EC">
        <w:rPr>
          <w:rFonts w:eastAsia="Times New Roman"/>
          <w:noProof/>
          <w:color w:val="000000" w:themeColor="text1"/>
          <w:lang w:val="en-US" w:eastAsia="en-GB"/>
        </w:rPr>
        <w:t>mentioned</w:t>
      </w:r>
      <w:r w:rsidRPr="004C70EC">
        <w:rPr>
          <w:rFonts w:eastAsia="Times New Roman"/>
          <w:noProof/>
          <w:color w:val="000000" w:themeColor="text1"/>
          <w:lang w:val="en-US" w:eastAsia="en-GB"/>
        </w:rPr>
        <w:t xml:space="preserve"> were, among others, the high costs, infrastructure and investment gaps, limited digitalisation, supply chain vulnerabilities</w:t>
      </w:r>
      <w:r w:rsidR="61BCA610"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 xml:space="preserve"> and the fragmented regulatory frameworks. SMEs underscored this statement, also </w:t>
      </w:r>
      <w:r w:rsidR="263A754A" w:rsidRPr="004C70EC">
        <w:rPr>
          <w:rFonts w:eastAsia="Times New Roman"/>
          <w:noProof/>
          <w:color w:val="000000" w:themeColor="text1"/>
          <w:lang w:val="en-US" w:eastAsia="en-GB"/>
        </w:rPr>
        <w:t xml:space="preserve">pointing to </w:t>
      </w:r>
      <w:r w:rsidRPr="004C70EC">
        <w:rPr>
          <w:rFonts w:eastAsia="Times New Roman"/>
          <w:noProof/>
          <w:color w:val="000000" w:themeColor="text1"/>
          <w:lang w:val="en-US" w:eastAsia="en-GB"/>
        </w:rPr>
        <w:t>the challenges related to lack of recognition for quality control technologies.</w:t>
      </w:r>
    </w:p>
    <w:p w14:paraId="363CE56D" w14:textId="77777777" w:rsidR="00FF5210" w:rsidRPr="004C70EC" w:rsidRDefault="00C856F9" w:rsidP="00FF5210">
      <w:pPr>
        <w:pBdr>
          <w:top w:val="nil"/>
          <w:left w:val="nil"/>
          <w:bottom w:val="nil"/>
          <w:right w:val="nil"/>
          <w:between w:val="nil"/>
          <w:bar w:val="nil"/>
        </w:pBdr>
        <w:spacing w:after="240"/>
        <w:rPr>
          <w:rFonts w:eastAsia="Times New Roman"/>
          <w:noProof/>
          <w:color w:val="000000" w:themeColor="text1"/>
          <w:lang w:val="en-US" w:eastAsia="en-GB"/>
        </w:rPr>
      </w:pPr>
      <w:r w:rsidRPr="004C70EC">
        <w:rPr>
          <w:rFonts w:eastAsia="Times New Roman"/>
          <w:noProof/>
          <w:color w:val="000000" w:themeColor="text1"/>
          <w:lang w:val="en-US" w:eastAsia="en-GB"/>
        </w:rPr>
        <w:t xml:space="preserve">Furthermore, </w:t>
      </w:r>
      <w:r w:rsidRPr="004C70EC">
        <w:rPr>
          <w:rFonts w:eastAsia="Times New Roman"/>
          <w:b/>
          <w:noProof/>
          <w:color w:val="000000" w:themeColor="text1"/>
          <w:lang w:val="en-US" w:eastAsia="en-GB"/>
        </w:rPr>
        <w:t>incubation and acceleration limitations</w:t>
      </w:r>
      <w:r w:rsidRPr="004C70EC">
        <w:rPr>
          <w:rFonts w:eastAsia="Times New Roman"/>
          <w:noProof/>
          <w:color w:val="000000" w:themeColor="text1"/>
          <w:lang w:val="en-US" w:eastAsia="en-GB"/>
        </w:rPr>
        <w:t xml:space="preserve"> in the </w:t>
      </w:r>
      <w:r w:rsidR="69AD1396" w:rsidRPr="004C70EC">
        <w:rPr>
          <w:rFonts w:eastAsia="Times New Roman"/>
          <w:noProof/>
          <w:color w:val="000000" w:themeColor="text1"/>
          <w:lang w:val="en-US" w:eastAsia="en-GB"/>
        </w:rPr>
        <w:t xml:space="preserve">EU </w:t>
      </w:r>
      <w:r w:rsidRPr="004C70EC">
        <w:rPr>
          <w:rFonts w:eastAsia="Times New Roman"/>
          <w:noProof/>
          <w:color w:val="000000" w:themeColor="text1"/>
          <w:lang w:val="en-US" w:eastAsia="en-GB"/>
        </w:rPr>
        <w:t>were mentioned</w:t>
      </w:r>
      <w:r w:rsidR="002758C5"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 xml:space="preserve"> </w:t>
      </w:r>
      <w:r w:rsidR="00FF5210" w:rsidRPr="004C70EC">
        <w:rPr>
          <w:rFonts w:eastAsia="Times New Roman"/>
          <w:noProof/>
          <w:color w:val="000000" w:themeColor="text1"/>
          <w:lang w:val="en-US" w:eastAsia="en-GB"/>
        </w:rPr>
        <w:t xml:space="preserve">Many stakeholder groups, such as academic/research institutions, large companies, NGOs/others and public authorities, highlighted the need to bridge the gap between research and industry in Europe’s </w:t>
      </w:r>
      <w:r w:rsidR="75F17CEB" w:rsidRPr="004C70EC">
        <w:rPr>
          <w:rFonts w:eastAsia="Times New Roman"/>
          <w:noProof/>
          <w:color w:val="000000" w:themeColor="text1"/>
          <w:lang w:val="en-US" w:eastAsia="en-GB"/>
        </w:rPr>
        <w:t>biotechnology</w:t>
      </w:r>
      <w:r w:rsidRPr="004C70EC" w:rsidDel="00FF5210">
        <w:rPr>
          <w:rFonts w:eastAsia="Times New Roman"/>
          <w:noProof/>
          <w:color w:val="000000" w:themeColor="text1"/>
          <w:lang w:val="en-US" w:eastAsia="en-GB"/>
        </w:rPr>
        <w:t xml:space="preserve"> </w:t>
      </w:r>
      <w:r w:rsidR="00FF5210" w:rsidRPr="004C70EC">
        <w:rPr>
          <w:rFonts w:eastAsia="Times New Roman"/>
          <w:noProof/>
          <w:color w:val="000000" w:themeColor="text1"/>
          <w:lang w:val="en-US" w:eastAsia="en-GB"/>
        </w:rPr>
        <w:t>ecosystem. They expressed concerns on the barriers faced in incubation</w:t>
      </w:r>
      <w:r w:rsidR="00FF5210" w:rsidRPr="004C70EC">
        <w:rPr>
          <w:rFonts w:eastAsia="Times New Roman"/>
          <w:b/>
          <w:noProof/>
          <w:color w:val="000000" w:themeColor="text1"/>
          <w:lang w:val="en-US" w:eastAsia="en-GB"/>
        </w:rPr>
        <w:t xml:space="preserve"> </w:t>
      </w:r>
      <w:r w:rsidR="00FF5210" w:rsidRPr="004C70EC">
        <w:rPr>
          <w:rFonts w:eastAsia="Times New Roman"/>
          <w:noProof/>
          <w:color w:val="000000" w:themeColor="text1"/>
          <w:lang w:val="en-US" w:eastAsia="en-GB"/>
        </w:rPr>
        <w:t>and</w:t>
      </w:r>
      <w:r w:rsidR="00FF5210" w:rsidRPr="004C70EC">
        <w:rPr>
          <w:rFonts w:eastAsia="Times New Roman"/>
          <w:b/>
          <w:noProof/>
          <w:color w:val="000000" w:themeColor="text1"/>
          <w:lang w:val="en-US" w:eastAsia="en-GB"/>
        </w:rPr>
        <w:t xml:space="preserve"> </w:t>
      </w:r>
      <w:r w:rsidR="00FF5210" w:rsidRPr="004C70EC">
        <w:rPr>
          <w:rFonts w:eastAsia="Times New Roman"/>
          <w:noProof/>
          <w:color w:val="000000" w:themeColor="text1"/>
          <w:lang w:val="en-US" w:eastAsia="en-GB"/>
        </w:rPr>
        <w:t>acceleration</w:t>
      </w:r>
      <w:r w:rsidR="008024B0" w:rsidRPr="004C70EC">
        <w:rPr>
          <w:rFonts w:eastAsia="Times New Roman"/>
          <w:noProof/>
          <w:color w:val="000000" w:themeColor="text1"/>
          <w:lang w:val="en-US" w:eastAsia="en-GB"/>
        </w:rPr>
        <w:t xml:space="preserve">, such as </w:t>
      </w:r>
      <w:r w:rsidR="00991BED" w:rsidRPr="004C70EC">
        <w:rPr>
          <w:rFonts w:eastAsia="Times New Roman"/>
          <w:noProof/>
          <w:color w:val="000000" w:themeColor="text1"/>
          <w:lang w:val="en-US" w:eastAsia="en-GB"/>
        </w:rPr>
        <w:t>funding gaps in early stages, a fragmented support landscape, regulatory burdens</w:t>
      </w:r>
      <w:r w:rsidR="00177A88" w:rsidRPr="004C70EC">
        <w:rPr>
          <w:rFonts w:eastAsia="Times New Roman"/>
          <w:noProof/>
          <w:color w:val="000000" w:themeColor="text1"/>
          <w:lang w:val="en-US" w:eastAsia="en-GB"/>
        </w:rPr>
        <w:t>,</w:t>
      </w:r>
      <w:r w:rsidR="00161FCB" w:rsidRPr="004C70EC">
        <w:rPr>
          <w:rFonts w:eastAsia="Times New Roman"/>
          <w:noProof/>
          <w:color w:val="000000" w:themeColor="text1"/>
          <w:lang w:val="en-US" w:eastAsia="en-GB"/>
        </w:rPr>
        <w:t xml:space="preserve"> hindrances in public-private collaboration</w:t>
      </w:r>
      <w:r w:rsidR="00991BED" w:rsidRPr="004C70EC">
        <w:rPr>
          <w:rFonts w:eastAsia="Times New Roman"/>
          <w:noProof/>
          <w:color w:val="000000" w:themeColor="text1"/>
          <w:lang w:val="en-US" w:eastAsia="en-GB"/>
        </w:rPr>
        <w:t xml:space="preserve"> and cultural/skill barriers</w:t>
      </w:r>
      <w:r w:rsidR="00FF5210" w:rsidRPr="004C70EC">
        <w:rPr>
          <w:rFonts w:eastAsia="Times New Roman"/>
          <w:noProof/>
          <w:color w:val="000000" w:themeColor="text1"/>
          <w:lang w:val="en-US" w:eastAsia="en-GB"/>
        </w:rPr>
        <w:t>. Business associations</w:t>
      </w:r>
      <w:r w:rsidR="00C50E79" w:rsidRPr="004C70EC">
        <w:rPr>
          <w:rFonts w:eastAsia="Times New Roman"/>
          <w:noProof/>
          <w:color w:val="000000" w:themeColor="text1"/>
          <w:lang w:val="en-US" w:eastAsia="en-GB"/>
        </w:rPr>
        <w:t>’</w:t>
      </w:r>
      <w:r w:rsidR="00FF5210" w:rsidRPr="004C70EC">
        <w:rPr>
          <w:rFonts w:eastAsia="Times New Roman"/>
          <w:noProof/>
          <w:color w:val="000000" w:themeColor="text1"/>
          <w:lang w:val="en-US" w:eastAsia="en-GB"/>
        </w:rPr>
        <w:t xml:space="preserve"> </w:t>
      </w:r>
      <w:r w:rsidR="00584D00" w:rsidRPr="004C70EC">
        <w:rPr>
          <w:rFonts w:eastAsia="Times New Roman"/>
          <w:noProof/>
          <w:color w:val="000000" w:themeColor="text1"/>
          <w:lang w:val="en-US" w:eastAsia="en-GB"/>
        </w:rPr>
        <w:t>and public authorities</w:t>
      </w:r>
      <w:r w:rsidR="00C50E79" w:rsidRPr="004C70EC">
        <w:rPr>
          <w:rFonts w:eastAsia="Times New Roman"/>
          <w:noProof/>
          <w:color w:val="000000" w:themeColor="text1"/>
          <w:lang w:val="en-US" w:eastAsia="en-GB"/>
        </w:rPr>
        <w:t>’</w:t>
      </w:r>
      <w:r w:rsidR="00FF5210" w:rsidRPr="004C70EC">
        <w:rPr>
          <w:rFonts w:eastAsia="Times New Roman"/>
          <w:noProof/>
          <w:color w:val="000000" w:themeColor="text1"/>
          <w:lang w:val="en-US" w:eastAsia="en-GB"/>
        </w:rPr>
        <w:t xml:space="preserve"> feedback was in line </w:t>
      </w:r>
      <w:r w:rsidR="00B54293" w:rsidRPr="004C70EC">
        <w:rPr>
          <w:rFonts w:eastAsia="Times New Roman"/>
          <w:noProof/>
          <w:color w:val="000000" w:themeColor="text1"/>
          <w:lang w:val="en-US" w:eastAsia="en-GB"/>
        </w:rPr>
        <w:t>with</w:t>
      </w:r>
      <w:r w:rsidR="00FF5210" w:rsidRPr="004C70EC">
        <w:rPr>
          <w:rFonts w:eastAsia="Times New Roman"/>
          <w:noProof/>
          <w:color w:val="000000" w:themeColor="text1"/>
          <w:lang w:val="en-US" w:eastAsia="en-GB"/>
        </w:rPr>
        <w:t xml:space="preserve"> this statement, underlining that the EU lacks </w:t>
      </w:r>
      <w:r w:rsidR="00FF5210" w:rsidRPr="004C70EC">
        <w:rPr>
          <w:rFonts w:eastAsia="Times New Roman"/>
          <w:b/>
          <w:noProof/>
          <w:color w:val="000000" w:themeColor="text1"/>
          <w:lang w:val="en-US" w:eastAsia="en-GB"/>
        </w:rPr>
        <w:t>cohesive pathways to commercialisation</w:t>
      </w:r>
      <w:r w:rsidR="00FF5210" w:rsidRPr="004C70EC">
        <w:rPr>
          <w:rFonts w:eastAsia="Times New Roman"/>
          <w:noProof/>
          <w:color w:val="000000" w:themeColor="text1"/>
          <w:lang w:val="en-US" w:eastAsia="en-GB"/>
        </w:rPr>
        <w:t xml:space="preserve">. </w:t>
      </w:r>
      <w:r w:rsidR="0045086D" w:rsidRPr="004C70EC">
        <w:rPr>
          <w:rFonts w:eastAsia="Times New Roman"/>
          <w:noProof/>
          <w:color w:val="000000" w:themeColor="text1"/>
          <w:lang w:val="en-US" w:eastAsia="en-GB"/>
        </w:rPr>
        <w:t>Large companies specifically pointed out</w:t>
      </w:r>
      <w:r w:rsidR="006A0294" w:rsidRPr="004C70EC">
        <w:rPr>
          <w:rFonts w:eastAsia="Times New Roman"/>
          <w:noProof/>
          <w:color w:val="000000" w:themeColor="text1"/>
          <w:lang w:val="en-US" w:eastAsia="en-GB"/>
        </w:rPr>
        <w:t xml:space="preserve"> the lack of financial and administrative</w:t>
      </w:r>
      <w:r w:rsidR="00FF5210" w:rsidRPr="004C70EC" w:rsidDel="00F33E0E">
        <w:rPr>
          <w:rFonts w:eastAsia="Times New Roman"/>
          <w:noProof/>
          <w:color w:val="000000" w:themeColor="text1"/>
          <w:lang w:val="en-US" w:eastAsia="en-GB"/>
        </w:rPr>
        <w:t xml:space="preserve"> </w:t>
      </w:r>
      <w:r w:rsidR="00515D02" w:rsidRPr="004C70EC">
        <w:rPr>
          <w:rFonts w:eastAsia="Times New Roman"/>
          <w:noProof/>
          <w:color w:val="000000" w:themeColor="text1"/>
          <w:lang w:val="en-US" w:eastAsia="en-GB"/>
        </w:rPr>
        <w:t xml:space="preserve">capacity </w:t>
      </w:r>
      <w:r w:rsidR="00CE4F2C" w:rsidRPr="004C70EC">
        <w:rPr>
          <w:rFonts w:eastAsia="Times New Roman"/>
          <w:noProof/>
          <w:color w:val="000000" w:themeColor="text1"/>
          <w:lang w:val="en-US" w:eastAsia="en-GB"/>
        </w:rPr>
        <w:t xml:space="preserve">of SMEs and start-ups </w:t>
      </w:r>
      <w:r w:rsidR="00515D02" w:rsidRPr="004C70EC">
        <w:rPr>
          <w:rFonts w:eastAsia="Times New Roman"/>
          <w:noProof/>
          <w:color w:val="000000" w:themeColor="text1"/>
          <w:lang w:val="en-US" w:eastAsia="en-GB"/>
        </w:rPr>
        <w:t xml:space="preserve">to </w:t>
      </w:r>
      <w:r w:rsidR="00515D02" w:rsidRPr="004C70EC">
        <w:rPr>
          <w:rFonts w:eastAsia="Times New Roman"/>
          <w:b/>
          <w:noProof/>
          <w:color w:val="000000" w:themeColor="text1"/>
          <w:lang w:val="en-US" w:eastAsia="en-GB"/>
        </w:rPr>
        <w:t>access EU-level funding</w:t>
      </w:r>
      <w:r w:rsidR="00515D02" w:rsidRPr="004C70EC">
        <w:rPr>
          <w:rFonts w:eastAsia="Times New Roman"/>
          <w:noProof/>
          <w:color w:val="000000" w:themeColor="text1"/>
          <w:lang w:val="en-US" w:eastAsia="en-GB"/>
        </w:rPr>
        <w:t xml:space="preserve"> or to protect their</w:t>
      </w:r>
      <w:r w:rsidR="00CE4F2C" w:rsidRPr="004C70EC">
        <w:rPr>
          <w:rFonts w:eastAsia="Times New Roman"/>
          <w:noProof/>
          <w:color w:val="000000" w:themeColor="text1"/>
          <w:lang w:val="en-US" w:eastAsia="en-GB"/>
        </w:rPr>
        <w:t xml:space="preserve"> intellectual property.</w:t>
      </w:r>
    </w:p>
    <w:p w14:paraId="593A623C" w14:textId="77777777" w:rsidR="005B43FC" w:rsidRPr="004C70EC" w:rsidRDefault="00271BA6" w:rsidP="00271BA6">
      <w:pPr>
        <w:rPr>
          <w:noProof/>
          <w:color w:val="000000" w:themeColor="text1"/>
        </w:rPr>
      </w:pPr>
      <w:r w:rsidRPr="004C70EC">
        <w:rPr>
          <w:noProof/>
          <w:color w:val="000000" w:themeColor="text1"/>
          <w:lang w:val="en-IE"/>
        </w:rPr>
        <w:t>Stakeholders overall recogni</w:t>
      </w:r>
      <w:r w:rsidR="007304D4" w:rsidRPr="004C70EC">
        <w:rPr>
          <w:noProof/>
          <w:color w:val="000000" w:themeColor="text1"/>
          <w:lang w:val="en-IE"/>
        </w:rPr>
        <w:t>s</w:t>
      </w:r>
      <w:r w:rsidRPr="004C70EC">
        <w:rPr>
          <w:noProof/>
          <w:color w:val="000000" w:themeColor="text1"/>
          <w:lang w:val="en-IE"/>
        </w:rPr>
        <w:t>ed</w:t>
      </w:r>
      <w:r w:rsidRPr="004C70EC">
        <w:rPr>
          <w:noProof/>
          <w:color w:val="000000" w:themeColor="text1"/>
        </w:rPr>
        <w:t xml:space="preserve"> </w:t>
      </w:r>
      <w:r w:rsidRPr="004C70EC">
        <w:rPr>
          <w:noProof/>
          <w:color w:val="000000" w:themeColor="text1"/>
          <w:lang w:val="en-IE"/>
        </w:rPr>
        <w:t>the pivotal r</w:t>
      </w:r>
      <w:r w:rsidRPr="004C70EC">
        <w:rPr>
          <w:noProof/>
          <w:color w:val="000000" w:themeColor="text1"/>
        </w:rPr>
        <w:t>o</w:t>
      </w:r>
      <w:r w:rsidRPr="004C70EC">
        <w:rPr>
          <w:noProof/>
          <w:color w:val="000000" w:themeColor="text1"/>
          <w:lang w:val="en-IE"/>
        </w:rPr>
        <w:t xml:space="preserve">le </w:t>
      </w:r>
      <w:r w:rsidRPr="004C70EC">
        <w:rPr>
          <w:noProof/>
          <w:color w:val="000000" w:themeColor="text1"/>
        </w:rPr>
        <w:t xml:space="preserve">of </w:t>
      </w:r>
      <w:r w:rsidR="00493617" w:rsidRPr="004C70EC">
        <w:rPr>
          <w:b/>
          <w:noProof/>
          <w:color w:val="000000" w:themeColor="text1"/>
        </w:rPr>
        <w:t>A</w:t>
      </w:r>
      <w:r w:rsidR="00262C53" w:rsidRPr="004C70EC">
        <w:rPr>
          <w:b/>
          <w:noProof/>
          <w:color w:val="000000" w:themeColor="text1"/>
        </w:rPr>
        <w:t>I</w:t>
      </w:r>
      <w:r w:rsidRPr="004C70EC">
        <w:rPr>
          <w:b/>
          <w:noProof/>
          <w:color w:val="000000" w:themeColor="text1"/>
        </w:rPr>
        <w:t xml:space="preserve"> and data</w:t>
      </w:r>
      <w:r w:rsidRPr="004C70EC">
        <w:rPr>
          <w:noProof/>
          <w:color w:val="000000" w:themeColor="text1"/>
        </w:rPr>
        <w:t xml:space="preserve"> to advance biotechnology. As part of the challenges faced however, academi</w:t>
      </w:r>
      <w:r w:rsidR="00676825" w:rsidRPr="004C70EC">
        <w:rPr>
          <w:noProof/>
          <w:color w:val="000000" w:themeColor="text1"/>
        </w:rPr>
        <w:t>c</w:t>
      </w:r>
      <w:r w:rsidRPr="004C70EC">
        <w:rPr>
          <w:noProof/>
          <w:color w:val="000000" w:themeColor="text1"/>
        </w:rPr>
        <w:t xml:space="preserve">/research institutions </w:t>
      </w:r>
      <w:r w:rsidR="00290F56" w:rsidRPr="004C70EC">
        <w:rPr>
          <w:noProof/>
          <w:color w:val="000000" w:themeColor="text1"/>
        </w:rPr>
        <w:t>and large companies</w:t>
      </w:r>
      <w:r w:rsidRPr="004C70EC">
        <w:rPr>
          <w:noProof/>
          <w:color w:val="000000" w:themeColor="text1"/>
        </w:rPr>
        <w:t xml:space="preserve"> indicated </w:t>
      </w:r>
      <w:r w:rsidR="007E4632" w:rsidRPr="004C70EC">
        <w:rPr>
          <w:noProof/>
          <w:color w:val="000000" w:themeColor="text1"/>
        </w:rPr>
        <w:t xml:space="preserve">a </w:t>
      </w:r>
      <w:r w:rsidRPr="004C70EC">
        <w:rPr>
          <w:b/>
          <w:noProof/>
          <w:color w:val="000000" w:themeColor="text1"/>
        </w:rPr>
        <w:t xml:space="preserve">lack of </w:t>
      </w:r>
      <w:r w:rsidR="006873E4" w:rsidRPr="004C70EC">
        <w:rPr>
          <w:b/>
          <w:noProof/>
          <w:color w:val="000000" w:themeColor="text1"/>
        </w:rPr>
        <w:t xml:space="preserve">access to </w:t>
      </w:r>
      <w:r w:rsidRPr="004C70EC">
        <w:rPr>
          <w:b/>
          <w:noProof/>
          <w:color w:val="000000" w:themeColor="text1"/>
        </w:rPr>
        <w:t>data</w:t>
      </w:r>
      <w:r w:rsidR="00290F56" w:rsidRPr="004C70EC">
        <w:rPr>
          <w:b/>
          <w:noProof/>
          <w:color w:val="000000" w:themeColor="text1"/>
        </w:rPr>
        <w:t xml:space="preserve"> </w:t>
      </w:r>
      <w:r w:rsidR="400B36F7" w:rsidRPr="004C70EC">
        <w:rPr>
          <w:b/>
          <w:noProof/>
          <w:color w:val="000000" w:themeColor="text1"/>
        </w:rPr>
        <w:t>and</w:t>
      </w:r>
      <w:r w:rsidR="00290F56" w:rsidRPr="004C70EC">
        <w:rPr>
          <w:b/>
          <w:noProof/>
          <w:color w:val="000000" w:themeColor="text1"/>
        </w:rPr>
        <w:t xml:space="preserve"> </w:t>
      </w:r>
      <w:r w:rsidRPr="004C70EC">
        <w:rPr>
          <w:b/>
          <w:noProof/>
          <w:color w:val="000000" w:themeColor="text1"/>
        </w:rPr>
        <w:t>secure data sharing</w:t>
      </w:r>
      <w:r w:rsidR="00D827D8" w:rsidRPr="004C70EC">
        <w:rPr>
          <w:noProof/>
          <w:color w:val="000000" w:themeColor="text1"/>
        </w:rPr>
        <w:t>,</w:t>
      </w:r>
      <w:r w:rsidR="00D827D8" w:rsidRPr="004C70EC">
        <w:rPr>
          <w:rFonts w:eastAsia="Times New Roman"/>
          <w:noProof/>
          <w:color w:val="000000" w:themeColor="text1"/>
          <w:lang w:val="en-US" w:eastAsia="en-GB"/>
        </w:rPr>
        <w:t xml:space="preserve"> fragmented data ecosystems</w:t>
      </w:r>
      <w:r w:rsidR="008156D4" w:rsidRPr="004C70EC">
        <w:rPr>
          <w:rFonts w:eastAsia="Times New Roman"/>
          <w:noProof/>
          <w:color w:val="000000" w:themeColor="text1"/>
          <w:lang w:val="en-US" w:eastAsia="en-GB"/>
        </w:rPr>
        <w:t xml:space="preserve"> including limited data</w:t>
      </w:r>
      <w:r w:rsidR="00F41409" w:rsidRPr="004C70EC">
        <w:rPr>
          <w:rFonts w:eastAsia="Times New Roman"/>
          <w:noProof/>
          <w:color w:val="000000" w:themeColor="text1"/>
          <w:lang w:val="en-US" w:eastAsia="en-GB"/>
        </w:rPr>
        <w:t xml:space="preserve"> interoperability</w:t>
      </w:r>
      <w:r w:rsidR="00D827D8" w:rsidRPr="004C70EC">
        <w:rPr>
          <w:rFonts w:eastAsia="Times New Roman"/>
          <w:noProof/>
          <w:color w:val="000000" w:themeColor="text1"/>
          <w:lang w:val="en-US" w:eastAsia="en-GB"/>
        </w:rPr>
        <w:t xml:space="preserve">, unclarity on data governance </w:t>
      </w:r>
      <w:r w:rsidR="00DC2393" w:rsidRPr="004C70EC">
        <w:rPr>
          <w:rFonts w:eastAsia="Times New Roman"/>
          <w:noProof/>
          <w:color w:val="000000" w:themeColor="text1"/>
          <w:lang w:val="en-US" w:eastAsia="en-GB"/>
        </w:rPr>
        <w:t>and</w:t>
      </w:r>
      <w:r w:rsidR="00D827D8" w:rsidRPr="004C70EC">
        <w:rPr>
          <w:rFonts w:eastAsia="Times New Roman"/>
          <w:noProof/>
          <w:color w:val="000000" w:themeColor="text1"/>
          <w:lang w:val="en-US" w:eastAsia="en-GB"/>
        </w:rPr>
        <w:t xml:space="preserve"> insufficient coordination</w:t>
      </w:r>
      <w:r w:rsidR="00515E8A" w:rsidRPr="004C70EC">
        <w:rPr>
          <w:noProof/>
          <w:color w:val="000000" w:themeColor="text1"/>
        </w:rPr>
        <w:t>.</w:t>
      </w:r>
      <w:r w:rsidR="006873E4" w:rsidRPr="004C70EC">
        <w:rPr>
          <w:noProof/>
          <w:color w:val="000000" w:themeColor="text1"/>
        </w:rPr>
        <w:t xml:space="preserve"> </w:t>
      </w:r>
      <w:r w:rsidR="00515E8A" w:rsidRPr="004C70EC">
        <w:rPr>
          <w:noProof/>
          <w:color w:val="000000" w:themeColor="text1"/>
        </w:rPr>
        <w:t>B</w:t>
      </w:r>
      <w:r w:rsidR="006873E4" w:rsidRPr="004C70EC">
        <w:rPr>
          <w:noProof/>
          <w:color w:val="000000" w:themeColor="text1"/>
        </w:rPr>
        <w:t xml:space="preserve">usiness associations </w:t>
      </w:r>
      <w:r w:rsidR="006560C8" w:rsidRPr="004C70EC">
        <w:rPr>
          <w:noProof/>
          <w:color w:val="000000" w:themeColor="text1"/>
        </w:rPr>
        <w:t>and public authorities</w:t>
      </w:r>
      <w:r w:rsidR="006873E4" w:rsidRPr="004C70EC">
        <w:rPr>
          <w:noProof/>
          <w:color w:val="000000" w:themeColor="text1"/>
        </w:rPr>
        <w:t xml:space="preserve"> also</w:t>
      </w:r>
      <w:r w:rsidR="00393A51" w:rsidRPr="004C70EC">
        <w:rPr>
          <w:noProof/>
          <w:color w:val="000000" w:themeColor="text1"/>
        </w:rPr>
        <w:t xml:space="preserve"> </w:t>
      </w:r>
      <w:r w:rsidR="00E51140" w:rsidRPr="004C70EC">
        <w:rPr>
          <w:noProof/>
          <w:color w:val="000000" w:themeColor="text1"/>
        </w:rPr>
        <w:t>m</w:t>
      </w:r>
      <w:r w:rsidR="00515E8A" w:rsidRPr="004C70EC">
        <w:rPr>
          <w:noProof/>
          <w:color w:val="000000" w:themeColor="text1"/>
        </w:rPr>
        <w:t>entioned</w:t>
      </w:r>
      <w:r w:rsidR="005B43FC" w:rsidRPr="004C70EC">
        <w:rPr>
          <w:noProof/>
          <w:color w:val="000000" w:themeColor="text1"/>
        </w:rPr>
        <w:t xml:space="preserve"> </w:t>
      </w:r>
      <w:r w:rsidR="005B43FC" w:rsidRPr="004C70EC">
        <w:rPr>
          <w:b/>
          <w:noProof/>
          <w:color w:val="000000" w:themeColor="text1"/>
        </w:rPr>
        <w:t xml:space="preserve">fragmented computing power and </w:t>
      </w:r>
      <w:r w:rsidR="00FE6208" w:rsidRPr="004C70EC">
        <w:rPr>
          <w:b/>
          <w:noProof/>
          <w:color w:val="000000" w:themeColor="text1"/>
        </w:rPr>
        <w:t xml:space="preserve">uneven access to </w:t>
      </w:r>
      <w:r w:rsidR="005B43FC" w:rsidRPr="004C70EC">
        <w:rPr>
          <w:b/>
          <w:noProof/>
          <w:color w:val="000000" w:themeColor="text1"/>
        </w:rPr>
        <w:t>testing infrastructures</w:t>
      </w:r>
      <w:r w:rsidR="00393A51" w:rsidRPr="004C70EC">
        <w:rPr>
          <w:noProof/>
          <w:color w:val="000000" w:themeColor="text1"/>
        </w:rPr>
        <w:t>.</w:t>
      </w:r>
      <w:r w:rsidR="005B43FC" w:rsidRPr="004C70EC">
        <w:rPr>
          <w:noProof/>
          <w:color w:val="000000" w:themeColor="text1"/>
        </w:rPr>
        <w:t xml:space="preserve"> </w:t>
      </w:r>
      <w:r w:rsidR="002A365F" w:rsidRPr="004C70EC">
        <w:rPr>
          <w:noProof/>
          <w:color w:val="000000" w:themeColor="text1"/>
        </w:rPr>
        <w:t>Furthermore, SMEs referred to a lack of information and knowledge among companies about AI implementation and compliance</w:t>
      </w:r>
      <w:r w:rsidR="00B347D6" w:rsidRPr="004C70EC">
        <w:rPr>
          <w:noProof/>
          <w:color w:val="000000" w:themeColor="text1"/>
        </w:rPr>
        <w:t>.</w:t>
      </w:r>
      <w:r w:rsidR="00B67D16" w:rsidRPr="004C70EC">
        <w:rPr>
          <w:noProof/>
          <w:color w:val="000000" w:themeColor="text1"/>
        </w:rPr>
        <w:t xml:space="preserve"> Feedbac</w:t>
      </w:r>
      <w:r w:rsidR="00FE1C3C" w:rsidRPr="004C70EC">
        <w:rPr>
          <w:noProof/>
          <w:color w:val="000000" w:themeColor="text1"/>
        </w:rPr>
        <w:t>k</w:t>
      </w:r>
      <w:r w:rsidR="00B67D16" w:rsidRPr="004C70EC">
        <w:rPr>
          <w:noProof/>
          <w:color w:val="000000" w:themeColor="text1"/>
        </w:rPr>
        <w:t xml:space="preserve"> from NGO</w:t>
      </w:r>
      <w:r w:rsidR="004C4027" w:rsidRPr="004C70EC">
        <w:rPr>
          <w:noProof/>
          <w:color w:val="000000" w:themeColor="text1"/>
        </w:rPr>
        <w:t>s</w:t>
      </w:r>
      <w:r w:rsidR="00CA2257" w:rsidRPr="004C70EC">
        <w:rPr>
          <w:noProof/>
          <w:color w:val="000000" w:themeColor="text1"/>
        </w:rPr>
        <w:t>/</w:t>
      </w:r>
      <w:r w:rsidR="00B67D16" w:rsidRPr="004C70EC">
        <w:rPr>
          <w:noProof/>
          <w:color w:val="000000" w:themeColor="text1"/>
        </w:rPr>
        <w:t>other</w:t>
      </w:r>
      <w:r w:rsidR="00CA2257" w:rsidRPr="004C70EC">
        <w:rPr>
          <w:noProof/>
          <w:color w:val="000000" w:themeColor="text1"/>
        </w:rPr>
        <w:t>s</w:t>
      </w:r>
      <w:r w:rsidR="00B67D16" w:rsidRPr="004C70EC">
        <w:rPr>
          <w:noProof/>
          <w:color w:val="000000" w:themeColor="text1"/>
        </w:rPr>
        <w:t xml:space="preserve"> overall echoed these statements, while also </w:t>
      </w:r>
      <w:r w:rsidR="00143CF3" w:rsidRPr="004C70EC">
        <w:rPr>
          <w:noProof/>
          <w:color w:val="000000" w:themeColor="text1"/>
        </w:rPr>
        <w:t>advocating to take into</w:t>
      </w:r>
      <w:r w:rsidR="00FE1C3C" w:rsidRPr="004C70EC">
        <w:rPr>
          <w:noProof/>
          <w:color w:val="000000" w:themeColor="text1"/>
        </w:rPr>
        <w:t xml:space="preserve"> </w:t>
      </w:r>
      <w:r w:rsidR="00143CF3" w:rsidRPr="004C70EC">
        <w:rPr>
          <w:noProof/>
          <w:color w:val="000000" w:themeColor="text1"/>
        </w:rPr>
        <w:t>consideration the environmental impact of AI infrastructures.</w:t>
      </w:r>
      <w:r w:rsidR="008F6A97" w:rsidRPr="004C70EC">
        <w:rPr>
          <w:noProof/>
          <w:color w:val="000000" w:themeColor="text1"/>
        </w:rPr>
        <w:t xml:space="preserve"> </w:t>
      </w:r>
      <w:r w:rsidR="00434CF0" w:rsidRPr="004C70EC">
        <w:rPr>
          <w:noProof/>
          <w:color w:val="000000" w:themeColor="text1"/>
        </w:rPr>
        <w:t>Most</w:t>
      </w:r>
      <w:r w:rsidR="00E9539A" w:rsidRPr="004C70EC">
        <w:rPr>
          <w:noProof/>
          <w:color w:val="000000" w:themeColor="text1"/>
        </w:rPr>
        <w:t xml:space="preserve"> stakeholders</w:t>
      </w:r>
      <w:r w:rsidR="008F6A97" w:rsidRPr="004C70EC">
        <w:rPr>
          <w:noProof/>
          <w:color w:val="000000" w:themeColor="text1"/>
        </w:rPr>
        <w:t xml:space="preserve"> </w:t>
      </w:r>
      <w:r w:rsidR="00CB19B6" w:rsidRPr="004C70EC">
        <w:rPr>
          <w:noProof/>
          <w:color w:val="000000" w:themeColor="text1"/>
        </w:rPr>
        <w:t>ad</w:t>
      </w:r>
      <w:r w:rsidR="00A021A3" w:rsidRPr="004C70EC">
        <w:rPr>
          <w:noProof/>
          <w:color w:val="000000" w:themeColor="text1"/>
        </w:rPr>
        <w:t>ditionally pointed out</w:t>
      </w:r>
      <w:r w:rsidR="001F4D6B" w:rsidRPr="004C70EC">
        <w:rPr>
          <w:noProof/>
          <w:color w:val="000000" w:themeColor="text1"/>
        </w:rPr>
        <w:t xml:space="preserve"> </w:t>
      </w:r>
      <w:r w:rsidR="001F4D6B" w:rsidRPr="004C70EC">
        <w:rPr>
          <w:b/>
          <w:noProof/>
          <w:color w:val="000000" w:themeColor="text1"/>
        </w:rPr>
        <w:t>regulatory fragmentation</w:t>
      </w:r>
      <w:r w:rsidR="001F4D6B" w:rsidRPr="004C70EC">
        <w:rPr>
          <w:noProof/>
          <w:color w:val="000000" w:themeColor="text1"/>
        </w:rPr>
        <w:t>, technical and legal barriers, innovation barriers</w:t>
      </w:r>
      <w:r w:rsidR="00550537" w:rsidRPr="004C70EC">
        <w:rPr>
          <w:noProof/>
          <w:color w:val="000000" w:themeColor="text1"/>
        </w:rPr>
        <w:t>, and governance gaps</w:t>
      </w:r>
      <w:r w:rsidR="001F4D6B" w:rsidRPr="004C70EC">
        <w:rPr>
          <w:noProof/>
          <w:color w:val="000000" w:themeColor="text1"/>
        </w:rPr>
        <w:t>.</w:t>
      </w:r>
      <w:r w:rsidR="00B73F50" w:rsidRPr="004C70EC">
        <w:rPr>
          <w:noProof/>
          <w:color w:val="000000" w:themeColor="text1"/>
        </w:rPr>
        <w:t xml:space="preserve"> </w:t>
      </w:r>
      <w:r w:rsidR="00891252" w:rsidRPr="004C70EC">
        <w:rPr>
          <w:noProof/>
          <w:color w:val="000000" w:themeColor="text1"/>
        </w:rPr>
        <w:t>AI s</w:t>
      </w:r>
      <w:r w:rsidR="00B73F50" w:rsidRPr="004C70EC">
        <w:rPr>
          <w:noProof/>
          <w:color w:val="000000" w:themeColor="text1"/>
        </w:rPr>
        <w:t>kills shortages</w:t>
      </w:r>
      <w:r w:rsidR="00891252" w:rsidRPr="004C70EC">
        <w:rPr>
          <w:noProof/>
          <w:color w:val="000000" w:themeColor="text1"/>
        </w:rPr>
        <w:t xml:space="preserve"> were </w:t>
      </w:r>
      <w:r w:rsidR="00C4273D" w:rsidRPr="004C70EC">
        <w:rPr>
          <w:noProof/>
          <w:color w:val="000000" w:themeColor="text1"/>
        </w:rPr>
        <w:t>also</w:t>
      </w:r>
      <w:r w:rsidR="00891252" w:rsidRPr="004C70EC">
        <w:rPr>
          <w:noProof/>
          <w:color w:val="000000" w:themeColor="text1"/>
        </w:rPr>
        <w:t xml:space="preserve"> mentioned by </w:t>
      </w:r>
      <w:r w:rsidR="0080373A" w:rsidRPr="004C70EC">
        <w:rPr>
          <w:noProof/>
          <w:color w:val="000000" w:themeColor="text1"/>
        </w:rPr>
        <w:t>several</w:t>
      </w:r>
      <w:r w:rsidR="00891252" w:rsidRPr="004C70EC">
        <w:rPr>
          <w:noProof/>
          <w:color w:val="000000" w:themeColor="text1"/>
        </w:rPr>
        <w:t xml:space="preserve"> stakeholder groups</w:t>
      </w:r>
      <w:r w:rsidR="00F37C3E" w:rsidRPr="004C70EC">
        <w:rPr>
          <w:noProof/>
          <w:color w:val="000000" w:themeColor="text1"/>
        </w:rPr>
        <w:t>, as well as ethical uncertainties</w:t>
      </w:r>
      <w:r w:rsidR="1B1AFB9A" w:rsidRPr="004C70EC">
        <w:rPr>
          <w:noProof/>
          <w:color w:val="000000" w:themeColor="text1"/>
          <w:lang w:val="en-IE"/>
        </w:rPr>
        <w:t>.</w:t>
      </w:r>
    </w:p>
    <w:p w14:paraId="2FD77742" w14:textId="77777777" w:rsidR="00EC199F" w:rsidRPr="004C70EC" w:rsidRDefault="00EC199F" w:rsidP="2B491C31">
      <w:pPr>
        <w:pBdr>
          <w:top w:val="nil"/>
          <w:left w:val="nil"/>
          <w:bottom w:val="nil"/>
          <w:right w:val="nil"/>
          <w:between w:val="nil"/>
          <w:bar w:val="nil"/>
        </w:pBdr>
        <w:spacing w:after="240"/>
        <w:rPr>
          <w:rFonts w:eastAsia="Times New Roman"/>
          <w:noProof/>
          <w:color w:val="000000" w:themeColor="text1"/>
          <w:lang w:val="en-US" w:eastAsia="en-GB"/>
        </w:rPr>
      </w:pPr>
      <w:r w:rsidRPr="004C70EC">
        <w:rPr>
          <w:rFonts w:eastAsia="Times New Roman"/>
          <w:noProof/>
          <w:color w:val="000000" w:themeColor="text1"/>
          <w:lang w:eastAsia="en-GB"/>
        </w:rPr>
        <w:t>Final</w:t>
      </w:r>
      <w:r w:rsidR="004121CD" w:rsidRPr="004C70EC">
        <w:rPr>
          <w:rFonts w:eastAsia="Times New Roman"/>
          <w:noProof/>
          <w:color w:val="000000" w:themeColor="text1"/>
          <w:lang w:eastAsia="en-GB"/>
        </w:rPr>
        <w:t>l</w:t>
      </w:r>
      <w:r w:rsidRPr="004C70EC">
        <w:rPr>
          <w:rFonts w:eastAsia="Times New Roman"/>
          <w:noProof/>
          <w:color w:val="000000" w:themeColor="text1"/>
          <w:lang w:eastAsia="en-GB"/>
        </w:rPr>
        <w:t>y, on bio</w:t>
      </w:r>
      <w:r w:rsidR="09B12739" w:rsidRPr="004C70EC">
        <w:rPr>
          <w:rFonts w:eastAsia="Times New Roman"/>
          <w:noProof/>
          <w:color w:val="000000" w:themeColor="text1"/>
          <w:lang w:eastAsia="en-GB"/>
        </w:rPr>
        <w:t>security</w:t>
      </w:r>
      <w:r w:rsidRPr="004C70EC">
        <w:rPr>
          <w:rFonts w:eastAsia="Times New Roman"/>
          <w:noProof/>
          <w:color w:val="000000" w:themeColor="text1"/>
          <w:lang w:eastAsia="en-GB"/>
        </w:rPr>
        <w:t xml:space="preserve">, </w:t>
      </w:r>
      <w:r w:rsidR="3F8B85B9" w:rsidRPr="004C70EC">
        <w:rPr>
          <w:rFonts w:eastAsia="Times New Roman"/>
          <w:noProof/>
          <w:color w:val="000000" w:themeColor="text1"/>
          <w:lang w:eastAsia="en-GB"/>
        </w:rPr>
        <w:t>stakeholders mentioned</w:t>
      </w:r>
      <w:r w:rsidR="60BC329A" w:rsidRPr="004C70EC">
        <w:rPr>
          <w:rFonts w:eastAsia="Times New Roman"/>
          <w:noProof/>
          <w:color w:val="000000" w:themeColor="text1"/>
          <w:lang w:eastAsia="en-GB"/>
        </w:rPr>
        <w:t xml:space="preserve"> </w:t>
      </w:r>
      <w:r w:rsidR="3F8B85B9" w:rsidRPr="004C70EC">
        <w:rPr>
          <w:rFonts w:eastAsia="Times New Roman"/>
          <w:noProof/>
          <w:color w:val="000000" w:themeColor="text1"/>
          <w:lang w:eastAsia="en-GB"/>
        </w:rPr>
        <w:t xml:space="preserve">that while biotechnology and biomanufacturing offer transformative opportunities across multiple application areas, these must be governed by policies that </w:t>
      </w:r>
      <w:r w:rsidR="3F8B85B9" w:rsidRPr="004C70EC">
        <w:rPr>
          <w:rFonts w:eastAsia="Times New Roman"/>
          <w:noProof/>
          <w:color w:val="000000" w:themeColor="text1"/>
        </w:rPr>
        <w:t>balance innovation with safety, equity, and environmental protection</w:t>
      </w:r>
      <w:r w:rsidR="47BF1F06" w:rsidRPr="004C70EC">
        <w:rPr>
          <w:rFonts w:eastAsia="Times New Roman"/>
          <w:noProof/>
          <w:color w:val="000000" w:themeColor="text1"/>
        </w:rPr>
        <w:t xml:space="preserve">. </w:t>
      </w:r>
      <w:r w:rsidR="664D82FD" w:rsidRPr="004C70EC">
        <w:rPr>
          <w:rFonts w:eastAsia="Times New Roman"/>
          <w:noProof/>
          <w:color w:val="000000" w:themeColor="text1"/>
        </w:rPr>
        <w:t>Various chall</w:t>
      </w:r>
      <w:r w:rsidR="1E973534" w:rsidRPr="004C70EC">
        <w:rPr>
          <w:rFonts w:eastAsia="Times New Roman"/>
          <w:noProof/>
          <w:color w:val="000000" w:themeColor="text1"/>
        </w:rPr>
        <w:t>e</w:t>
      </w:r>
      <w:r w:rsidR="664D82FD" w:rsidRPr="004C70EC">
        <w:rPr>
          <w:rFonts w:eastAsia="Times New Roman"/>
          <w:noProof/>
          <w:color w:val="000000" w:themeColor="text1"/>
        </w:rPr>
        <w:t>nges were pointed out by different stakeholder groups in relation to biosecurity</w:t>
      </w:r>
      <w:r w:rsidR="71DE98FD" w:rsidRPr="004C70EC">
        <w:rPr>
          <w:rFonts w:eastAsia="Times New Roman"/>
          <w:noProof/>
          <w:color w:val="000000" w:themeColor="text1"/>
        </w:rPr>
        <w:t>.</w:t>
      </w:r>
      <w:r w:rsidR="664D82FD" w:rsidRPr="004C70EC">
        <w:rPr>
          <w:rFonts w:eastAsia="Times New Roman"/>
          <w:noProof/>
          <w:color w:val="000000" w:themeColor="text1"/>
        </w:rPr>
        <w:t xml:space="preserve"> </w:t>
      </w:r>
      <w:r w:rsidR="6B959E78" w:rsidRPr="004C70EC">
        <w:rPr>
          <w:rFonts w:eastAsia="Times New Roman"/>
          <w:noProof/>
          <w:color w:val="000000" w:themeColor="text1"/>
        </w:rPr>
        <w:t>F</w:t>
      </w:r>
      <w:r w:rsidR="664D82FD" w:rsidRPr="004C70EC">
        <w:rPr>
          <w:rFonts w:eastAsia="Times New Roman"/>
          <w:noProof/>
          <w:color w:val="000000" w:themeColor="text1"/>
        </w:rPr>
        <w:t xml:space="preserve">or instance, </w:t>
      </w:r>
      <w:r w:rsidR="32917B1D" w:rsidRPr="004C70EC">
        <w:rPr>
          <w:rFonts w:eastAsia="Times New Roman"/>
          <w:noProof/>
          <w:color w:val="000000" w:themeColor="text1"/>
        </w:rPr>
        <w:t>academi</w:t>
      </w:r>
      <w:r w:rsidR="00AD6B93" w:rsidRPr="004C70EC">
        <w:rPr>
          <w:rFonts w:eastAsia="Times New Roman"/>
          <w:noProof/>
          <w:color w:val="000000" w:themeColor="text1"/>
        </w:rPr>
        <w:t>c</w:t>
      </w:r>
      <w:r w:rsidR="32917B1D" w:rsidRPr="004C70EC">
        <w:rPr>
          <w:rFonts w:eastAsia="Times New Roman"/>
          <w:noProof/>
          <w:color w:val="000000" w:themeColor="text1"/>
        </w:rPr>
        <w:t xml:space="preserve">/research institutions, </w:t>
      </w:r>
      <w:r w:rsidR="32CADC36" w:rsidRPr="004C70EC">
        <w:rPr>
          <w:rFonts w:eastAsia="Times New Roman"/>
          <w:noProof/>
          <w:color w:val="000000" w:themeColor="text1"/>
        </w:rPr>
        <w:t xml:space="preserve">NGOs </w:t>
      </w:r>
      <w:r w:rsidR="3CF91F08" w:rsidRPr="004C70EC">
        <w:rPr>
          <w:rFonts w:eastAsia="Times New Roman"/>
          <w:noProof/>
          <w:color w:val="000000" w:themeColor="text1"/>
        </w:rPr>
        <w:t xml:space="preserve">and </w:t>
      </w:r>
      <w:r w:rsidR="584D8419" w:rsidRPr="004C70EC">
        <w:rPr>
          <w:rFonts w:eastAsia="Times New Roman"/>
          <w:noProof/>
          <w:color w:val="000000" w:themeColor="text1"/>
        </w:rPr>
        <w:t>public authorities</w:t>
      </w:r>
      <w:r w:rsidR="17B3BD5D" w:rsidRPr="004C70EC">
        <w:rPr>
          <w:rFonts w:eastAsia="Times New Roman"/>
          <w:noProof/>
          <w:color w:val="000000" w:themeColor="text1"/>
        </w:rPr>
        <w:t xml:space="preserve"> mentioned </w:t>
      </w:r>
      <w:r w:rsidR="4F1D06E8" w:rsidRPr="004C70EC">
        <w:rPr>
          <w:rFonts w:eastAsia="Times New Roman"/>
          <w:noProof/>
          <w:color w:val="000000" w:themeColor="text1"/>
        </w:rPr>
        <w:t xml:space="preserve">a </w:t>
      </w:r>
      <w:r w:rsidR="17B3BD5D" w:rsidRPr="004C70EC">
        <w:rPr>
          <w:rFonts w:eastAsia="Times New Roman"/>
          <w:b/>
          <w:noProof/>
          <w:color w:val="000000" w:themeColor="text1"/>
        </w:rPr>
        <w:t>fragmented</w:t>
      </w:r>
      <w:r w:rsidR="5C47E997" w:rsidRPr="004C70EC">
        <w:rPr>
          <w:rFonts w:eastAsia="Times New Roman"/>
          <w:b/>
          <w:noProof/>
          <w:color w:val="000000" w:themeColor="text1"/>
        </w:rPr>
        <w:t xml:space="preserve"> biosecurity governance and regulatory complexity</w:t>
      </w:r>
      <w:r w:rsidR="3532F8C8" w:rsidRPr="004C70EC">
        <w:rPr>
          <w:rFonts w:eastAsia="Times New Roman"/>
          <w:b/>
          <w:noProof/>
          <w:color w:val="000000" w:themeColor="text1"/>
        </w:rPr>
        <w:t xml:space="preserve"> </w:t>
      </w:r>
      <w:r w:rsidR="3532F8C8" w:rsidRPr="004C70EC">
        <w:rPr>
          <w:rFonts w:eastAsia="Times New Roman"/>
          <w:noProof/>
          <w:color w:val="000000" w:themeColor="text1"/>
        </w:rPr>
        <w:t>as major issues</w:t>
      </w:r>
      <w:r w:rsidR="5C47E997" w:rsidRPr="004C70EC">
        <w:rPr>
          <w:rFonts w:eastAsia="Times New Roman"/>
          <w:noProof/>
          <w:color w:val="000000" w:themeColor="text1"/>
        </w:rPr>
        <w:t>.</w:t>
      </w:r>
      <w:r w:rsidR="0528824D" w:rsidRPr="004C70EC">
        <w:rPr>
          <w:rFonts w:eastAsia="Times New Roman"/>
          <w:noProof/>
          <w:color w:val="000000" w:themeColor="text1"/>
        </w:rPr>
        <w:t xml:space="preserve"> Specifically, </w:t>
      </w:r>
      <w:r w:rsidR="78682A7B" w:rsidRPr="004C70EC">
        <w:rPr>
          <w:rFonts w:eastAsia="Times New Roman"/>
          <w:noProof/>
          <w:color w:val="000000" w:themeColor="text1"/>
        </w:rPr>
        <w:t xml:space="preserve">disjointed EU and national regulations that hinder coherent biosecurity frameworks were </w:t>
      </w:r>
      <w:r w:rsidR="6D79BE51" w:rsidRPr="004C70EC">
        <w:rPr>
          <w:rFonts w:eastAsia="Times New Roman"/>
          <w:noProof/>
          <w:color w:val="000000" w:themeColor="text1"/>
          <w:lang w:eastAsia="en-GB"/>
        </w:rPr>
        <w:t>highlighted</w:t>
      </w:r>
      <w:r w:rsidR="78682A7B" w:rsidRPr="004C70EC">
        <w:rPr>
          <w:rFonts w:eastAsia="Times New Roman"/>
          <w:noProof/>
          <w:color w:val="000000" w:themeColor="text1"/>
        </w:rPr>
        <w:t xml:space="preserve">. </w:t>
      </w:r>
      <w:r w:rsidR="536973D9" w:rsidRPr="004C70EC">
        <w:rPr>
          <w:rFonts w:eastAsia="Times New Roman"/>
          <w:noProof/>
          <w:color w:val="000000" w:themeColor="text1"/>
        </w:rPr>
        <w:t xml:space="preserve">Public authorities furthermore indicated </w:t>
      </w:r>
      <w:r w:rsidR="6DF7E79A" w:rsidRPr="004C70EC">
        <w:rPr>
          <w:rFonts w:eastAsia="Times New Roman"/>
          <w:noProof/>
          <w:color w:val="000000" w:themeColor="text1"/>
        </w:rPr>
        <w:t>limited collaboration as a key chall</w:t>
      </w:r>
      <w:r w:rsidR="0ED59E65" w:rsidRPr="004C70EC">
        <w:rPr>
          <w:rFonts w:eastAsia="Times New Roman"/>
          <w:noProof/>
          <w:color w:val="000000" w:themeColor="text1"/>
        </w:rPr>
        <w:t>e</w:t>
      </w:r>
      <w:r w:rsidR="6DF7E79A" w:rsidRPr="004C70EC">
        <w:rPr>
          <w:rFonts w:eastAsia="Times New Roman"/>
          <w:noProof/>
          <w:color w:val="000000" w:themeColor="text1"/>
        </w:rPr>
        <w:t>nge</w:t>
      </w:r>
      <w:r w:rsidR="546A9BD5" w:rsidRPr="004C70EC">
        <w:rPr>
          <w:rFonts w:eastAsia="Times New Roman"/>
          <w:noProof/>
          <w:color w:val="000000" w:themeColor="text1"/>
        </w:rPr>
        <w:t xml:space="preserve"> </w:t>
      </w:r>
      <w:r w:rsidR="114ECAF5" w:rsidRPr="004C70EC">
        <w:rPr>
          <w:rFonts w:eastAsia="Times New Roman"/>
          <w:noProof/>
          <w:color w:val="000000" w:themeColor="text1"/>
        </w:rPr>
        <w:t>– for instance gaps in cooperation between national authorities</w:t>
      </w:r>
      <w:r w:rsidR="745DD0C6" w:rsidRPr="004C70EC">
        <w:rPr>
          <w:rFonts w:eastAsia="Times New Roman"/>
          <w:noProof/>
          <w:color w:val="000000" w:themeColor="text1"/>
        </w:rPr>
        <w:t xml:space="preserve"> and limited cross-border collaboration</w:t>
      </w:r>
      <w:r w:rsidR="24C82B9D" w:rsidRPr="004C70EC">
        <w:rPr>
          <w:rFonts w:eastAsia="Times New Roman"/>
          <w:noProof/>
          <w:color w:val="000000" w:themeColor="text1"/>
        </w:rPr>
        <w:t>.</w:t>
      </w:r>
      <w:r w:rsidR="114ECAF5" w:rsidRPr="004C70EC">
        <w:rPr>
          <w:rFonts w:eastAsia="Times New Roman"/>
          <w:noProof/>
          <w:color w:val="000000" w:themeColor="text1"/>
        </w:rPr>
        <w:t xml:space="preserve"> </w:t>
      </w:r>
      <w:r w:rsidR="59501C81" w:rsidRPr="004C70EC">
        <w:rPr>
          <w:rFonts w:eastAsia="Times New Roman"/>
          <w:noProof/>
          <w:color w:val="000000" w:themeColor="text1"/>
        </w:rPr>
        <w:t>Regarding</w:t>
      </w:r>
      <w:r w:rsidR="554229B3" w:rsidRPr="004C70EC">
        <w:rPr>
          <w:rFonts w:eastAsia="Times New Roman"/>
          <w:noProof/>
          <w:color w:val="000000" w:themeColor="text1"/>
        </w:rPr>
        <w:t xml:space="preserve"> nucleic acid screening, </w:t>
      </w:r>
      <w:r w:rsidR="3983622D" w:rsidRPr="004C70EC">
        <w:rPr>
          <w:rFonts w:eastAsia="Times New Roman"/>
          <w:noProof/>
          <w:color w:val="000000" w:themeColor="text1"/>
        </w:rPr>
        <w:t>academi</w:t>
      </w:r>
      <w:r w:rsidR="00AD6B93" w:rsidRPr="004C70EC">
        <w:rPr>
          <w:rFonts w:eastAsia="Times New Roman"/>
          <w:noProof/>
          <w:color w:val="000000" w:themeColor="text1"/>
        </w:rPr>
        <w:t>c</w:t>
      </w:r>
      <w:r w:rsidR="3983622D" w:rsidRPr="004C70EC">
        <w:rPr>
          <w:rFonts w:eastAsia="Times New Roman"/>
          <w:noProof/>
          <w:color w:val="000000" w:themeColor="text1"/>
        </w:rPr>
        <w:t xml:space="preserve">/research institutions, </w:t>
      </w:r>
      <w:r w:rsidR="3837C026" w:rsidRPr="004C70EC">
        <w:rPr>
          <w:rFonts w:eastAsia="Times New Roman"/>
          <w:noProof/>
          <w:color w:val="000000" w:themeColor="text1"/>
        </w:rPr>
        <w:t>and</w:t>
      </w:r>
      <w:r w:rsidR="554229B3" w:rsidRPr="004C70EC">
        <w:rPr>
          <w:rFonts w:eastAsia="Times New Roman"/>
          <w:noProof/>
          <w:color w:val="000000" w:themeColor="text1"/>
        </w:rPr>
        <w:t xml:space="preserve"> NGOs </w:t>
      </w:r>
      <w:r w:rsidR="2155046C" w:rsidRPr="004C70EC">
        <w:rPr>
          <w:rFonts w:eastAsia="Times New Roman"/>
          <w:noProof/>
          <w:color w:val="000000" w:themeColor="text1"/>
        </w:rPr>
        <w:t xml:space="preserve">mentioned inconsistent compliance </w:t>
      </w:r>
      <w:r w:rsidR="1093DBFA" w:rsidRPr="004C70EC">
        <w:rPr>
          <w:rFonts w:eastAsia="Times New Roman"/>
          <w:noProof/>
          <w:color w:val="000000" w:themeColor="text1"/>
        </w:rPr>
        <w:t>in screening</w:t>
      </w:r>
      <w:r w:rsidR="2155046C" w:rsidRPr="004C70EC">
        <w:rPr>
          <w:rFonts w:eastAsia="Times New Roman"/>
          <w:noProof/>
          <w:color w:val="000000" w:themeColor="text1"/>
        </w:rPr>
        <w:t xml:space="preserve"> due to current voluntary systems as a th</w:t>
      </w:r>
      <w:r w:rsidR="514FC7A8" w:rsidRPr="004C70EC">
        <w:rPr>
          <w:rFonts w:eastAsia="Times New Roman"/>
          <w:noProof/>
          <w:color w:val="000000" w:themeColor="text1"/>
        </w:rPr>
        <w:t>reat to biosecurity</w:t>
      </w:r>
      <w:r w:rsidR="114ECAF5" w:rsidRPr="004C70EC">
        <w:rPr>
          <w:rFonts w:eastAsia="Times New Roman"/>
          <w:noProof/>
          <w:color w:val="000000" w:themeColor="text1"/>
        </w:rPr>
        <w:t>.</w:t>
      </w:r>
      <w:r w:rsidR="58A56645" w:rsidRPr="004C70EC">
        <w:rPr>
          <w:rFonts w:eastAsia="Times New Roman"/>
          <w:noProof/>
          <w:color w:val="000000" w:themeColor="text1"/>
        </w:rPr>
        <w:t xml:space="preserve"> Finally, dual-use risks were mentioned by </w:t>
      </w:r>
      <w:r w:rsidR="1FAA0FF7" w:rsidRPr="004C70EC">
        <w:rPr>
          <w:rFonts w:eastAsia="Times New Roman"/>
          <w:noProof/>
          <w:color w:val="000000" w:themeColor="text1"/>
        </w:rPr>
        <w:t xml:space="preserve">SMEs and </w:t>
      </w:r>
      <w:r w:rsidR="58A56645" w:rsidRPr="004C70EC">
        <w:rPr>
          <w:rFonts w:eastAsia="Times New Roman"/>
          <w:noProof/>
          <w:color w:val="000000" w:themeColor="text1"/>
        </w:rPr>
        <w:t>NGOs</w:t>
      </w:r>
      <w:r w:rsidR="1584FE48" w:rsidRPr="004C70EC">
        <w:rPr>
          <w:rFonts w:eastAsia="Times New Roman"/>
          <w:noProof/>
          <w:color w:val="000000" w:themeColor="text1"/>
        </w:rPr>
        <w:t>.</w:t>
      </w:r>
    </w:p>
    <w:p w14:paraId="7806E22F" w14:textId="77777777" w:rsidR="00E934F2" w:rsidRPr="004C70EC" w:rsidRDefault="5D5E70DB">
      <w:pPr>
        <w:pBdr>
          <w:top w:val="nil"/>
          <w:left w:val="nil"/>
          <w:bottom w:val="nil"/>
          <w:right w:val="nil"/>
          <w:between w:val="nil"/>
          <w:bar w:val="nil"/>
        </w:pBdr>
        <w:spacing w:after="240"/>
        <w:rPr>
          <w:rFonts w:eastAsia="Times New Roman"/>
          <w:noProof/>
          <w:color w:val="000000" w:themeColor="text1"/>
          <w:szCs w:val="24"/>
          <w:lang w:eastAsia="en-GB"/>
        </w:rPr>
      </w:pPr>
      <w:r w:rsidRPr="004C70EC">
        <w:rPr>
          <w:rFonts w:eastAsia="Times New Roman"/>
          <w:noProof/>
          <w:color w:val="000000" w:themeColor="text1"/>
          <w:lang w:eastAsia="en-GB"/>
        </w:rPr>
        <w:t xml:space="preserve">A </w:t>
      </w:r>
      <w:hyperlink r:id="rId16" w:history="1">
        <w:r w:rsidRPr="004C70EC">
          <w:rPr>
            <w:rStyle w:val="Hyperlink"/>
            <w:b/>
            <w:noProof/>
            <w:color w:val="000000" w:themeColor="text1"/>
          </w:rPr>
          <w:t>public consultation</w:t>
        </w:r>
      </w:hyperlink>
      <w:r w:rsidR="005E7A37" w:rsidRPr="004C70EC">
        <w:rPr>
          <w:noProof/>
          <w:color w:val="000000" w:themeColor="text1"/>
        </w:rPr>
        <w:t> </w:t>
      </w:r>
      <w:r w:rsidR="00E934F2" w:rsidRPr="004C70EC">
        <w:rPr>
          <w:rStyle w:val="FootnoteReference"/>
          <w:rFonts w:eastAsia="Times New Roman"/>
          <w:noProof/>
          <w:color w:val="000000" w:themeColor="text1"/>
          <w:lang w:val="en-US" w:eastAsia="en-GB"/>
        </w:rPr>
        <w:footnoteReference w:id="51"/>
      </w:r>
      <w:r w:rsidRPr="004C70EC">
        <w:rPr>
          <w:rFonts w:eastAsia="Times New Roman"/>
          <w:noProof/>
          <w:color w:val="000000" w:themeColor="text1"/>
          <w:lang w:val="en-US" w:eastAsia="en-GB"/>
        </w:rPr>
        <w:t xml:space="preserve"> was carried out from </w:t>
      </w:r>
      <w:r w:rsidRPr="004C70EC">
        <w:rPr>
          <w:rFonts w:eastAsia="Times New Roman"/>
          <w:noProof/>
          <w:color w:val="000000" w:themeColor="text1"/>
          <w:lang w:eastAsia="en-GB"/>
        </w:rPr>
        <w:t>4</w:t>
      </w:r>
      <w:r w:rsidR="005E7A37" w:rsidRPr="004C70EC">
        <w:rPr>
          <w:noProof/>
          <w:color w:val="000000" w:themeColor="text1"/>
        </w:rPr>
        <w:t> </w:t>
      </w:r>
      <w:r w:rsidRPr="004C70EC">
        <w:rPr>
          <w:rFonts w:eastAsia="Times New Roman"/>
          <w:noProof/>
          <w:color w:val="000000" w:themeColor="text1"/>
          <w:lang w:eastAsia="en-GB"/>
        </w:rPr>
        <w:t>August to 10</w:t>
      </w:r>
      <w:r w:rsidR="005E7A37" w:rsidRPr="004C70EC">
        <w:rPr>
          <w:noProof/>
          <w:color w:val="000000" w:themeColor="text1"/>
        </w:rPr>
        <w:t> </w:t>
      </w:r>
      <w:r w:rsidRPr="004C70EC">
        <w:rPr>
          <w:rFonts w:eastAsia="Times New Roman"/>
          <w:noProof/>
          <w:color w:val="000000" w:themeColor="text1"/>
          <w:lang w:eastAsia="en-GB"/>
        </w:rPr>
        <w:t>November</w:t>
      </w:r>
      <w:r w:rsidR="005E7A37" w:rsidRPr="004C70EC">
        <w:rPr>
          <w:noProof/>
          <w:color w:val="000000" w:themeColor="text1"/>
        </w:rPr>
        <w:t> </w:t>
      </w:r>
      <w:r w:rsidRPr="004C70EC">
        <w:rPr>
          <w:rFonts w:eastAsia="Times New Roman"/>
          <w:noProof/>
          <w:color w:val="000000" w:themeColor="text1"/>
          <w:lang w:eastAsia="en-GB"/>
        </w:rPr>
        <w:t xml:space="preserve">2025. A total of 359 contributions </w:t>
      </w:r>
      <w:r w:rsidR="00DE55EC" w:rsidRPr="004C70EC">
        <w:rPr>
          <w:rFonts w:eastAsia="Times New Roman"/>
          <w:noProof/>
          <w:color w:val="000000" w:themeColor="text1"/>
          <w:lang w:eastAsia="en-GB"/>
        </w:rPr>
        <w:t>were</w:t>
      </w:r>
      <w:r w:rsidRPr="004C70EC">
        <w:rPr>
          <w:rFonts w:eastAsia="Times New Roman"/>
          <w:noProof/>
          <w:color w:val="000000" w:themeColor="text1"/>
          <w:lang w:eastAsia="en-GB"/>
        </w:rPr>
        <w:t xml:space="preserve"> received. No duplicates or campaigns </w:t>
      </w:r>
      <w:r w:rsidR="00B03443" w:rsidRPr="004C70EC">
        <w:rPr>
          <w:rFonts w:eastAsia="Times New Roman"/>
          <w:noProof/>
          <w:color w:val="000000" w:themeColor="text1"/>
          <w:lang w:eastAsia="en-GB"/>
        </w:rPr>
        <w:t>were</w:t>
      </w:r>
      <w:r w:rsidRPr="004C70EC">
        <w:rPr>
          <w:rFonts w:eastAsia="Times New Roman"/>
          <w:noProof/>
          <w:color w:val="000000" w:themeColor="text1"/>
          <w:lang w:eastAsia="en-GB"/>
        </w:rPr>
        <w:t xml:space="preserve"> </w:t>
      </w:r>
      <w:r w:rsidR="65A0D76A" w:rsidRPr="004C70EC">
        <w:rPr>
          <w:rFonts w:eastAsia="Times New Roman"/>
          <w:noProof/>
          <w:color w:val="000000" w:themeColor="text1"/>
          <w:lang w:eastAsia="en-GB"/>
        </w:rPr>
        <w:t>id</w:t>
      </w:r>
      <w:r w:rsidRPr="004C70EC">
        <w:rPr>
          <w:rFonts w:eastAsia="Times New Roman"/>
          <w:noProof/>
          <w:color w:val="000000" w:themeColor="text1"/>
          <w:lang w:eastAsia="en-GB"/>
        </w:rPr>
        <w:t>entified. The contributions considered for the analysis</w:t>
      </w:r>
      <w:r w:rsidR="00B03443" w:rsidRPr="004C70EC">
        <w:rPr>
          <w:noProof/>
          <w:color w:val="000000" w:themeColor="text1"/>
        </w:rPr>
        <w:t> </w:t>
      </w:r>
      <w:r w:rsidR="00E934F2" w:rsidRPr="004C70EC">
        <w:rPr>
          <w:rStyle w:val="FootnoteReference"/>
          <w:rFonts w:eastAsia="Times New Roman"/>
          <w:noProof/>
          <w:color w:val="000000" w:themeColor="text1"/>
          <w:lang w:eastAsia="en-GB"/>
        </w:rPr>
        <w:footnoteReference w:id="52"/>
      </w:r>
      <w:r w:rsidRPr="004C70EC">
        <w:rPr>
          <w:rFonts w:eastAsia="Times New Roman"/>
          <w:noProof/>
          <w:color w:val="000000" w:themeColor="text1"/>
          <w:lang w:eastAsia="en-GB"/>
        </w:rPr>
        <w:t xml:space="preserve"> were submitted by 91 companies/businesses and 61 business associations, 47 </w:t>
      </w:r>
      <w:r w:rsidR="5C007120" w:rsidRPr="004C70EC">
        <w:rPr>
          <w:rFonts w:eastAsia="Times New Roman"/>
          <w:noProof/>
          <w:color w:val="000000" w:themeColor="text1"/>
          <w:lang w:eastAsia="en-GB"/>
        </w:rPr>
        <w:t>NGOs</w:t>
      </w:r>
      <w:r w:rsidRPr="004C70EC">
        <w:rPr>
          <w:rFonts w:eastAsia="Times New Roman"/>
          <w:noProof/>
          <w:color w:val="000000" w:themeColor="text1"/>
          <w:lang w:eastAsia="en-GB"/>
        </w:rPr>
        <w:t xml:space="preserve">, 44 academic/research institutions, 54 EU citizens and 9 non-EU citizens, </w:t>
      </w:r>
      <w:r w:rsidR="0D862CAC" w:rsidRPr="004C70EC">
        <w:rPr>
          <w:rFonts w:eastAsia="Times New Roman"/>
          <w:noProof/>
          <w:color w:val="000000" w:themeColor="text1"/>
          <w:lang w:eastAsia="en-GB"/>
        </w:rPr>
        <w:t>and</w:t>
      </w:r>
      <w:r w:rsidRPr="004C70EC">
        <w:rPr>
          <w:rFonts w:eastAsia="Times New Roman"/>
          <w:noProof/>
          <w:color w:val="000000" w:themeColor="text1"/>
          <w:lang w:eastAsia="en-GB"/>
        </w:rPr>
        <w:t xml:space="preserve"> 21 public authorities. </w:t>
      </w:r>
      <w:r w:rsidR="00B03443" w:rsidRPr="004C70EC">
        <w:rPr>
          <w:rFonts w:eastAsia="Times New Roman"/>
          <w:noProof/>
          <w:color w:val="000000" w:themeColor="text1"/>
          <w:lang w:eastAsia="en-GB"/>
        </w:rPr>
        <w:t>A further 2</w:t>
      </w:r>
      <w:r w:rsidRPr="004C70EC">
        <w:rPr>
          <w:rFonts w:eastAsia="Times New Roman"/>
          <w:noProof/>
          <w:color w:val="000000" w:themeColor="text1"/>
          <w:lang w:eastAsia="en-GB"/>
        </w:rPr>
        <w:t xml:space="preserve"> contributions were submitted by </w:t>
      </w:r>
      <w:r w:rsidR="004873A9" w:rsidRPr="004C70EC">
        <w:rPr>
          <w:rFonts w:eastAsia="Times New Roman"/>
          <w:noProof/>
          <w:color w:val="000000" w:themeColor="text1"/>
          <w:lang w:eastAsia="en-GB"/>
        </w:rPr>
        <w:t xml:space="preserve">2 </w:t>
      </w:r>
      <w:r w:rsidR="5548C280" w:rsidRPr="004C70EC">
        <w:rPr>
          <w:rFonts w:eastAsia="Times New Roman"/>
          <w:noProof/>
          <w:color w:val="000000" w:themeColor="text1"/>
          <w:lang w:eastAsia="en-GB"/>
        </w:rPr>
        <w:t xml:space="preserve">trade unions, </w:t>
      </w:r>
      <w:r w:rsidR="004873A9" w:rsidRPr="004C70EC">
        <w:rPr>
          <w:rFonts w:eastAsia="Times New Roman"/>
          <w:noProof/>
          <w:color w:val="000000" w:themeColor="text1"/>
          <w:lang w:eastAsia="en-GB"/>
        </w:rPr>
        <w:t xml:space="preserve">2 </w:t>
      </w:r>
      <w:r w:rsidRPr="004C70EC">
        <w:rPr>
          <w:rFonts w:eastAsia="Times New Roman"/>
          <w:noProof/>
          <w:color w:val="000000" w:themeColor="text1"/>
          <w:lang w:eastAsia="en-GB"/>
        </w:rPr>
        <w:t xml:space="preserve">consumer associations, and </w:t>
      </w:r>
      <w:r w:rsidR="00B03443" w:rsidRPr="004C70EC">
        <w:rPr>
          <w:rFonts w:eastAsia="Times New Roman"/>
          <w:noProof/>
          <w:color w:val="000000" w:themeColor="text1"/>
          <w:lang w:eastAsia="en-GB"/>
        </w:rPr>
        <w:t xml:space="preserve">1 by an </w:t>
      </w:r>
      <w:r w:rsidRPr="004C70EC">
        <w:rPr>
          <w:rFonts w:eastAsia="Times New Roman"/>
          <w:noProof/>
          <w:color w:val="000000" w:themeColor="text1"/>
          <w:lang w:eastAsia="en-GB"/>
        </w:rPr>
        <w:t>environmental organisation</w:t>
      </w:r>
      <w:r w:rsidR="00B03443" w:rsidRPr="004C70EC">
        <w:rPr>
          <w:noProof/>
          <w:color w:val="000000" w:themeColor="text1"/>
        </w:rPr>
        <w:t> </w:t>
      </w:r>
      <w:r w:rsidR="00E934F2" w:rsidRPr="004C70EC">
        <w:rPr>
          <w:rStyle w:val="FootnoteReference"/>
          <w:rFonts w:eastAsia="Times New Roman"/>
          <w:noProof/>
          <w:color w:val="000000" w:themeColor="text1"/>
          <w:lang w:eastAsia="en-GB"/>
        </w:rPr>
        <w:footnoteReference w:id="53"/>
      </w:r>
      <w:r w:rsidRPr="004C70EC">
        <w:rPr>
          <w:rFonts w:eastAsia="Times New Roman"/>
          <w:noProof/>
          <w:color w:val="000000" w:themeColor="text1"/>
          <w:lang w:eastAsia="en-GB"/>
        </w:rPr>
        <w:t xml:space="preserve">, </w:t>
      </w:r>
      <w:r w:rsidR="00730A62" w:rsidRPr="004C70EC">
        <w:rPr>
          <w:rFonts w:eastAsia="Times New Roman"/>
          <w:noProof/>
          <w:color w:val="000000" w:themeColor="text1"/>
          <w:lang w:eastAsia="en-GB"/>
        </w:rPr>
        <w:t xml:space="preserve">while </w:t>
      </w:r>
      <w:r w:rsidRPr="004C70EC">
        <w:rPr>
          <w:rFonts w:eastAsia="Times New Roman"/>
          <w:noProof/>
          <w:color w:val="000000" w:themeColor="text1"/>
          <w:lang w:eastAsia="en-GB"/>
        </w:rPr>
        <w:t>27 additional respondents identified themselves as ‘Other’.</w:t>
      </w:r>
    </w:p>
    <w:p w14:paraId="3B2022A8" w14:textId="77777777" w:rsidR="00791B17" w:rsidRPr="004C70EC" w:rsidRDefault="00791B17">
      <w:pPr>
        <w:pBdr>
          <w:top w:val="nil"/>
          <w:left w:val="nil"/>
          <w:bottom w:val="nil"/>
          <w:right w:val="nil"/>
          <w:between w:val="nil"/>
          <w:bar w:val="nil"/>
        </w:pBdr>
        <w:spacing w:after="240"/>
        <w:rPr>
          <w:rFonts w:eastAsia="Times New Roman"/>
          <w:noProof/>
          <w:color w:val="000000" w:themeColor="text1"/>
          <w:szCs w:val="24"/>
          <w:lang w:eastAsia="en-GB"/>
        </w:rPr>
      </w:pPr>
    </w:p>
    <w:p w14:paraId="5ADE4AFD" w14:textId="77777777" w:rsidR="00E934F2" w:rsidRPr="004C70EC" w:rsidRDefault="00E934F2">
      <w:pPr>
        <w:pStyle w:val="NormalWeb"/>
        <w:rPr>
          <w:rFonts w:eastAsia="Times New Roman"/>
          <w:noProof/>
          <w:color w:val="000000" w:themeColor="text1"/>
          <w:lang w:val="en-IE" w:eastAsia="en-IE"/>
        </w:rPr>
      </w:pPr>
      <w:r w:rsidRPr="004C70EC">
        <w:rPr>
          <w:rFonts w:eastAsia="Times New Roman"/>
          <w:noProof/>
          <w:color w:val="000000" w:themeColor="text1"/>
          <w:lang w:eastAsia="en-GB"/>
        </w:rPr>
        <w:drawing>
          <wp:inline distT="0" distB="0" distL="0" distR="0" wp14:anchorId="151D07F6" wp14:editId="15C7145A">
            <wp:extent cx="2545492" cy="2545492"/>
            <wp:effectExtent l="0" t="0" r="7620" b="7620"/>
            <wp:docPr id="871230496" name="Picture 4" descr="A pie char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30496" name="Picture 4" descr="A pie chart with tex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041" cy="2552041"/>
                    </a:xfrm>
                    <a:prstGeom prst="rect">
                      <a:avLst/>
                    </a:prstGeom>
                    <a:noFill/>
                    <a:ln>
                      <a:noFill/>
                    </a:ln>
                  </pic:spPr>
                </pic:pic>
              </a:graphicData>
            </a:graphic>
          </wp:inline>
        </w:drawing>
      </w:r>
      <w:r w:rsidRPr="004C70EC">
        <w:rPr>
          <w:rFonts w:eastAsia="Times New Roman"/>
          <w:noProof/>
          <w:color w:val="000000" w:themeColor="text1"/>
          <w:lang w:val="en-IE" w:eastAsia="en-IE"/>
        </w:rPr>
        <w:t xml:space="preserve"> </w:t>
      </w:r>
      <w:r w:rsidRPr="004C70EC">
        <w:rPr>
          <w:rFonts w:eastAsia="Times New Roman"/>
          <w:noProof/>
          <w:color w:val="000000" w:themeColor="text1"/>
          <w:lang w:eastAsia="en-GB"/>
        </w:rPr>
        <w:drawing>
          <wp:inline distT="0" distB="0" distL="0" distR="0" wp14:anchorId="11648C14" wp14:editId="595E8466">
            <wp:extent cx="2562045" cy="2562045"/>
            <wp:effectExtent l="0" t="0" r="0" b="0"/>
            <wp:docPr id="1876571853" name="Picture 5" descr="A pie char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71853" name="Picture 5" descr="A pie chart with text on it&#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9230" cy="2599230"/>
                    </a:xfrm>
                    <a:prstGeom prst="rect">
                      <a:avLst/>
                    </a:prstGeom>
                    <a:noFill/>
                    <a:ln>
                      <a:noFill/>
                    </a:ln>
                  </pic:spPr>
                </pic:pic>
              </a:graphicData>
            </a:graphic>
          </wp:inline>
        </w:drawing>
      </w:r>
    </w:p>
    <w:p w14:paraId="1CEFC273" w14:textId="77777777" w:rsidR="00E934F2" w:rsidRPr="004C70EC" w:rsidRDefault="00E934F2">
      <w:pPr>
        <w:pBdr>
          <w:top w:val="nil"/>
          <w:left w:val="nil"/>
          <w:bottom w:val="nil"/>
          <w:right w:val="nil"/>
          <w:between w:val="nil"/>
          <w:bar w:val="nil"/>
        </w:pBdr>
        <w:spacing w:after="240"/>
        <w:rPr>
          <w:noProof/>
          <w:color w:val="000000" w:themeColor="text1"/>
          <w:lang w:eastAsia="en-GB"/>
        </w:rPr>
      </w:pPr>
    </w:p>
    <w:p w14:paraId="350376E4" w14:textId="77777777" w:rsidR="00E934F2" w:rsidRPr="004C70EC" w:rsidRDefault="00E934F2">
      <w:pPr>
        <w:pBdr>
          <w:top w:val="nil"/>
          <w:left w:val="nil"/>
          <w:bottom w:val="nil"/>
          <w:right w:val="nil"/>
          <w:between w:val="nil"/>
        </w:pBdr>
        <w:spacing w:after="240"/>
        <w:jc w:val="center"/>
        <w:rPr>
          <w:rFonts w:eastAsia="Times New Roman"/>
          <w:noProof/>
          <w:color w:val="000000" w:themeColor="text1"/>
          <w:szCs w:val="24"/>
        </w:rPr>
      </w:pPr>
      <w:r w:rsidRPr="004C70EC">
        <w:rPr>
          <w:rFonts w:eastAsia="Times New Roman"/>
          <w:noProof/>
          <w:color w:val="000000" w:themeColor="text1"/>
          <w:szCs w:val="24"/>
        </w:rPr>
        <w:t xml:space="preserve">Figures 5 and 6: submissions to the public consultations </w:t>
      </w:r>
      <w:r w:rsidR="00277F07" w:rsidRPr="004C70EC">
        <w:rPr>
          <w:rFonts w:eastAsia="Times New Roman"/>
          <w:noProof/>
          <w:color w:val="000000" w:themeColor="text1"/>
          <w:szCs w:val="24"/>
        </w:rPr>
        <w:t>and</w:t>
      </w:r>
      <w:r w:rsidRPr="004C70EC">
        <w:rPr>
          <w:rFonts w:eastAsia="Times New Roman"/>
          <w:noProof/>
          <w:color w:val="000000" w:themeColor="text1"/>
          <w:szCs w:val="24"/>
        </w:rPr>
        <w:t xml:space="preserve"> industry submissions per company size</w:t>
      </w:r>
    </w:p>
    <w:p w14:paraId="60F4DCBF" w14:textId="77777777" w:rsidR="00031F4C" w:rsidRPr="004C70EC" w:rsidRDefault="00E934F2" w:rsidP="00A74563">
      <w:pPr>
        <w:pBdr>
          <w:top w:val="nil"/>
          <w:left w:val="nil"/>
          <w:bottom w:val="nil"/>
          <w:right w:val="nil"/>
          <w:between w:val="nil"/>
          <w:bar w:val="nil"/>
        </w:pBdr>
        <w:spacing w:after="240"/>
        <w:rPr>
          <w:rFonts w:eastAsia="Times New Roman"/>
          <w:noProof/>
          <w:color w:val="000000" w:themeColor="text1"/>
          <w:szCs w:val="24"/>
        </w:rPr>
      </w:pPr>
      <w:r w:rsidRPr="004C70EC">
        <w:rPr>
          <w:rFonts w:eastAsia="Times New Roman"/>
          <w:noProof/>
          <w:color w:val="000000" w:themeColor="text1"/>
          <w:szCs w:val="24"/>
        </w:rPr>
        <w:t xml:space="preserve">Concerning the industry sector, </w:t>
      </w:r>
      <w:r w:rsidR="00277F07" w:rsidRPr="004C70EC">
        <w:rPr>
          <w:rFonts w:eastAsia="Times New Roman"/>
          <w:b/>
          <w:noProof/>
          <w:color w:val="000000" w:themeColor="text1"/>
          <w:szCs w:val="24"/>
        </w:rPr>
        <w:t>most of the</w:t>
      </w:r>
      <w:r w:rsidRPr="004C70EC">
        <w:rPr>
          <w:rFonts w:eastAsia="Times New Roman"/>
          <w:b/>
          <w:noProof/>
          <w:color w:val="000000" w:themeColor="text1"/>
          <w:szCs w:val="24"/>
        </w:rPr>
        <w:t xml:space="preserve"> contributions came from SMEs</w:t>
      </w:r>
      <w:r w:rsidRPr="004C70EC">
        <w:rPr>
          <w:rFonts w:eastAsia="Times New Roman"/>
          <w:noProof/>
          <w:color w:val="000000" w:themeColor="text1"/>
          <w:szCs w:val="24"/>
        </w:rPr>
        <w:t xml:space="preserve"> (</w:t>
      </w:r>
      <w:r w:rsidR="00A74563" w:rsidRPr="004C70EC">
        <w:rPr>
          <w:rFonts w:eastAsia="Times New Roman"/>
          <w:noProof/>
          <w:color w:val="000000" w:themeColor="text1"/>
          <w:szCs w:val="24"/>
        </w:rPr>
        <w:t xml:space="preserve">53 in total out of which </w:t>
      </w:r>
      <w:r w:rsidRPr="004C70EC">
        <w:rPr>
          <w:rFonts w:eastAsia="Times New Roman"/>
          <w:noProof/>
          <w:color w:val="000000" w:themeColor="text1"/>
          <w:szCs w:val="24"/>
        </w:rPr>
        <w:t xml:space="preserve">12 medium-, 17 small-, and 24 micro-sized </w:t>
      </w:r>
      <w:r w:rsidR="00D1088E" w:rsidRPr="004C70EC">
        <w:rPr>
          <w:rFonts w:eastAsia="Times New Roman"/>
          <w:noProof/>
          <w:color w:val="000000" w:themeColor="text1"/>
          <w:szCs w:val="24"/>
        </w:rPr>
        <w:t>SMEs</w:t>
      </w:r>
      <w:r w:rsidR="00A74563" w:rsidRPr="004C70EC">
        <w:rPr>
          <w:rFonts w:eastAsia="Times New Roman"/>
          <w:noProof/>
          <w:color w:val="000000" w:themeColor="text1"/>
          <w:szCs w:val="24"/>
        </w:rPr>
        <w:t>)</w:t>
      </w:r>
      <w:r w:rsidR="00825A95" w:rsidRPr="004C70EC">
        <w:rPr>
          <w:rFonts w:eastAsia="Times New Roman"/>
          <w:noProof/>
          <w:color w:val="000000" w:themeColor="text1"/>
          <w:szCs w:val="24"/>
        </w:rPr>
        <w:t xml:space="preserve"> and</w:t>
      </w:r>
      <w:r w:rsidR="00A74563" w:rsidRPr="004C70EC">
        <w:rPr>
          <w:rFonts w:eastAsia="Times New Roman"/>
          <w:noProof/>
          <w:color w:val="000000" w:themeColor="text1"/>
          <w:szCs w:val="24"/>
        </w:rPr>
        <w:t xml:space="preserve"> </w:t>
      </w:r>
      <w:r w:rsidRPr="004C70EC">
        <w:rPr>
          <w:rFonts w:eastAsia="Times New Roman"/>
          <w:noProof/>
          <w:color w:val="000000" w:themeColor="text1"/>
          <w:szCs w:val="24"/>
        </w:rPr>
        <w:t xml:space="preserve">38 contributions </w:t>
      </w:r>
      <w:r w:rsidR="00825A95" w:rsidRPr="004C70EC">
        <w:rPr>
          <w:rFonts w:eastAsia="Times New Roman"/>
          <w:noProof/>
          <w:color w:val="000000" w:themeColor="text1"/>
          <w:szCs w:val="24"/>
        </w:rPr>
        <w:t xml:space="preserve">came </w:t>
      </w:r>
      <w:r w:rsidRPr="004C70EC">
        <w:rPr>
          <w:rFonts w:eastAsia="Times New Roman"/>
          <w:noProof/>
          <w:color w:val="000000" w:themeColor="text1"/>
          <w:szCs w:val="24"/>
        </w:rPr>
        <w:t xml:space="preserve">from large enterprises. </w:t>
      </w:r>
      <w:r w:rsidR="00825A95" w:rsidRPr="004C70EC">
        <w:rPr>
          <w:rFonts w:eastAsia="Times New Roman"/>
          <w:noProof/>
          <w:color w:val="000000" w:themeColor="text1"/>
          <w:szCs w:val="24"/>
        </w:rPr>
        <w:t>O</w:t>
      </w:r>
      <w:r w:rsidRPr="004C70EC">
        <w:rPr>
          <w:rFonts w:eastAsia="Times New Roman"/>
          <w:noProof/>
          <w:color w:val="000000" w:themeColor="text1"/>
          <w:szCs w:val="24"/>
        </w:rPr>
        <w:t xml:space="preserve">f the contributing </w:t>
      </w:r>
      <w:r w:rsidRPr="004C70EC">
        <w:rPr>
          <w:rFonts w:eastAsia="Times New Roman"/>
          <w:b/>
          <w:noProof/>
          <w:color w:val="000000" w:themeColor="text1"/>
          <w:szCs w:val="24"/>
        </w:rPr>
        <w:t>public authorities</w:t>
      </w:r>
      <w:r w:rsidRPr="004C70EC">
        <w:rPr>
          <w:rFonts w:eastAsia="Times New Roman"/>
          <w:noProof/>
          <w:color w:val="000000" w:themeColor="text1"/>
          <w:szCs w:val="24"/>
        </w:rPr>
        <w:t xml:space="preserve">, 8 had a national remit and 8 </w:t>
      </w:r>
      <w:r w:rsidR="00E067A5" w:rsidRPr="004C70EC">
        <w:rPr>
          <w:rFonts w:eastAsia="Times New Roman"/>
          <w:noProof/>
          <w:color w:val="000000" w:themeColor="text1"/>
          <w:szCs w:val="24"/>
        </w:rPr>
        <w:t xml:space="preserve">had </w:t>
      </w:r>
      <w:r w:rsidRPr="004C70EC">
        <w:rPr>
          <w:rFonts w:eastAsia="Times New Roman"/>
          <w:noProof/>
          <w:color w:val="000000" w:themeColor="text1"/>
          <w:szCs w:val="24"/>
        </w:rPr>
        <w:t xml:space="preserve">a regional scope, 2 of them were local authorities and 3 were international organisations. </w:t>
      </w:r>
    </w:p>
    <w:p w14:paraId="2CC57603" w14:textId="77777777" w:rsidR="00387674" w:rsidRPr="004C70EC" w:rsidRDefault="00E934F2" w:rsidP="00A74563">
      <w:pPr>
        <w:pBdr>
          <w:top w:val="nil"/>
          <w:left w:val="nil"/>
          <w:bottom w:val="nil"/>
          <w:right w:val="nil"/>
          <w:between w:val="nil"/>
          <w:bar w:val="nil"/>
        </w:pBdr>
        <w:spacing w:after="240"/>
        <w:rPr>
          <w:rFonts w:eastAsia="Times New Roman"/>
          <w:noProof/>
          <w:color w:val="000000" w:themeColor="text1"/>
          <w:szCs w:val="24"/>
        </w:rPr>
      </w:pPr>
      <w:r w:rsidRPr="004C70EC">
        <w:rPr>
          <w:rFonts w:eastAsia="Times New Roman"/>
          <w:noProof/>
          <w:color w:val="000000" w:themeColor="text1"/>
          <w:szCs w:val="24"/>
        </w:rPr>
        <w:t xml:space="preserve">As part of </w:t>
      </w:r>
      <w:r w:rsidR="004650CD" w:rsidRPr="004C70EC">
        <w:rPr>
          <w:rFonts w:eastAsia="Times New Roman"/>
          <w:noProof/>
          <w:color w:val="000000" w:themeColor="text1"/>
          <w:szCs w:val="24"/>
        </w:rPr>
        <w:t>all</w:t>
      </w:r>
      <w:r w:rsidRPr="004C70EC">
        <w:rPr>
          <w:rFonts w:eastAsia="Times New Roman"/>
          <w:noProof/>
          <w:color w:val="000000" w:themeColor="text1"/>
          <w:szCs w:val="24"/>
        </w:rPr>
        <w:t xml:space="preserve"> contributions</w:t>
      </w:r>
      <w:r w:rsidR="004650CD" w:rsidRPr="004C70EC">
        <w:rPr>
          <w:rFonts w:eastAsia="Times New Roman"/>
          <w:noProof/>
          <w:color w:val="000000" w:themeColor="text1"/>
          <w:szCs w:val="24"/>
        </w:rPr>
        <w:t xml:space="preserve"> received</w:t>
      </w:r>
      <w:r w:rsidRPr="004C70EC">
        <w:rPr>
          <w:rFonts w:eastAsia="Times New Roman"/>
          <w:noProof/>
          <w:color w:val="000000" w:themeColor="text1"/>
          <w:szCs w:val="24"/>
        </w:rPr>
        <w:t xml:space="preserve">, </w:t>
      </w:r>
      <w:r w:rsidRPr="004C70EC">
        <w:rPr>
          <w:rFonts w:eastAsia="Times New Roman"/>
          <w:b/>
          <w:noProof/>
          <w:color w:val="000000" w:themeColor="text1"/>
          <w:szCs w:val="24"/>
        </w:rPr>
        <w:t>16 respondents identified as private investors</w:t>
      </w:r>
      <w:r w:rsidRPr="004C70EC">
        <w:rPr>
          <w:rFonts w:eastAsia="Times New Roman"/>
          <w:noProof/>
          <w:color w:val="000000" w:themeColor="text1"/>
          <w:szCs w:val="24"/>
        </w:rPr>
        <w:t xml:space="preserve">, including 13 from the EU and 3 from </w:t>
      </w:r>
      <w:r w:rsidR="00E7490D" w:rsidRPr="004C70EC">
        <w:rPr>
          <w:rFonts w:eastAsia="Times New Roman"/>
          <w:noProof/>
          <w:color w:val="000000" w:themeColor="text1"/>
          <w:szCs w:val="24"/>
        </w:rPr>
        <w:t>outside of the EU</w:t>
      </w:r>
      <w:r w:rsidRPr="004C70EC">
        <w:rPr>
          <w:rFonts w:eastAsia="Times New Roman"/>
          <w:noProof/>
          <w:color w:val="000000" w:themeColor="text1"/>
          <w:szCs w:val="24"/>
        </w:rPr>
        <w:t xml:space="preserve"> (Switzerland</w:t>
      </w:r>
      <w:r w:rsidR="00113F3A" w:rsidRPr="004C70EC">
        <w:rPr>
          <w:rFonts w:eastAsia="Times New Roman"/>
          <w:noProof/>
          <w:color w:val="000000" w:themeColor="text1"/>
          <w:szCs w:val="24"/>
        </w:rPr>
        <w:t xml:space="preserve"> and</w:t>
      </w:r>
      <w:r w:rsidRPr="004C70EC">
        <w:rPr>
          <w:rFonts w:eastAsia="Times New Roman"/>
          <w:noProof/>
          <w:color w:val="000000" w:themeColor="text1"/>
          <w:szCs w:val="24"/>
        </w:rPr>
        <w:t xml:space="preserve"> the U</w:t>
      </w:r>
      <w:r w:rsidR="00113F3A" w:rsidRPr="004C70EC">
        <w:rPr>
          <w:rFonts w:eastAsia="Times New Roman"/>
          <w:noProof/>
          <w:color w:val="000000" w:themeColor="text1"/>
          <w:szCs w:val="24"/>
        </w:rPr>
        <w:t>K</w:t>
      </w:r>
      <w:r w:rsidRPr="004C70EC">
        <w:rPr>
          <w:rFonts w:eastAsia="Times New Roman"/>
          <w:noProof/>
          <w:color w:val="000000" w:themeColor="text1"/>
          <w:szCs w:val="24"/>
        </w:rPr>
        <w:t xml:space="preserve">). Most of them identified as company/business. </w:t>
      </w:r>
      <w:r w:rsidR="00A74563" w:rsidRPr="004C70EC">
        <w:rPr>
          <w:rFonts w:eastAsia="Times New Roman"/>
          <w:noProof/>
          <w:color w:val="000000" w:themeColor="text1"/>
          <w:szCs w:val="24"/>
        </w:rPr>
        <w:t>When asked about the type of investmen</w:t>
      </w:r>
      <w:r w:rsidR="000F2D48" w:rsidRPr="004C70EC">
        <w:rPr>
          <w:rFonts w:eastAsia="Times New Roman"/>
          <w:noProof/>
          <w:color w:val="000000" w:themeColor="text1"/>
          <w:szCs w:val="24"/>
        </w:rPr>
        <w:t>t</w:t>
      </w:r>
      <w:r w:rsidR="009D67BF" w:rsidRPr="004C70EC">
        <w:rPr>
          <w:rFonts w:eastAsia="Times New Roman"/>
          <w:noProof/>
          <w:color w:val="000000" w:themeColor="text1"/>
          <w:szCs w:val="24"/>
        </w:rPr>
        <w:t xml:space="preserve"> they provided</w:t>
      </w:r>
      <w:r w:rsidR="000F2D48" w:rsidRPr="004C70EC">
        <w:rPr>
          <w:rFonts w:eastAsia="Times New Roman"/>
          <w:noProof/>
          <w:color w:val="000000" w:themeColor="text1"/>
          <w:szCs w:val="24"/>
        </w:rPr>
        <w:t>,</w:t>
      </w:r>
      <w:r w:rsidR="00A74563" w:rsidRPr="004C70EC">
        <w:rPr>
          <w:rFonts w:eastAsia="Times New Roman"/>
          <w:noProof/>
          <w:color w:val="000000" w:themeColor="text1"/>
          <w:szCs w:val="24"/>
        </w:rPr>
        <w:t xml:space="preserve"> 8 </w:t>
      </w:r>
      <w:r w:rsidR="007A267C" w:rsidRPr="004C70EC">
        <w:rPr>
          <w:rFonts w:eastAsia="Times New Roman"/>
          <w:noProof/>
          <w:color w:val="000000" w:themeColor="text1"/>
          <w:szCs w:val="24"/>
        </w:rPr>
        <w:t>stated that they provided</w:t>
      </w:r>
      <w:r w:rsidR="00A74563" w:rsidRPr="004C70EC">
        <w:rPr>
          <w:rFonts w:eastAsia="Times New Roman"/>
          <w:noProof/>
          <w:color w:val="000000" w:themeColor="text1"/>
          <w:szCs w:val="24"/>
        </w:rPr>
        <w:t xml:space="preserve"> ‘Venture capital’, 5 chose ‘Business Angel’, 4 ‘Private equity’, 3‘Corporate Venture Capital (CVC)’, and </w:t>
      </w:r>
      <w:r w:rsidR="00387674" w:rsidRPr="004C70EC">
        <w:rPr>
          <w:rFonts w:eastAsia="Times New Roman"/>
          <w:noProof/>
          <w:color w:val="000000" w:themeColor="text1"/>
          <w:szCs w:val="24"/>
        </w:rPr>
        <w:t xml:space="preserve">1 </w:t>
      </w:r>
      <w:r w:rsidR="00A74563" w:rsidRPr="004C70EC">
        <w:rPr>
          <w:rFonts w:eastAsia="Times New Roman"/>
          <w:noProof/>
          <w:color w:val="000000" w:themeColor="text1"/>
          <w:szCs w:val="24"/>
        </w:rPr>
        <w:t xml:space="preserve">‘Other’. </w:t>
      </w:r>
    </w:p>
    <w:p w14:paraId="2E4D16C6" w14:textId="77777777" w:rsidR="00A74563" w:rsidRPr="004C70EC" w:rsidRDefault="00387674" w:rsidP="00A74563">
      <w:pPr>
        <w:pBdr>
          <w:top w:val="nil"/>
          <w:left w:val="nil"/>
          <w:bottom w:val="nil"/>
          <w:right w:val="nil"/>
          <w:between w:val="nil"/>
          <w:bar w:val="nil"/>
        </w:pBdr>
        <w:spacing w:after="240"/>
        <w:rPr>
          <w:rFonts w:eastAsia="Times New Roman"/>
          <w:noProof/>
          <w:color w:val="000000" w:themeColor="text1"/>
          <w:szCs w:val="24"/>
        </w:rPr>
      </w:pPr>
      <w:r w:rsidRPr="004C70EC">
        <w:rPr>
          <w:rFonts w:eastAsia="Times New Roman"/>
          <w:noProof/>
          <w:color w:val="000000" w:themeColor="text1"/>
          <w:szCs w:val="24"/>
        </w:rPr>
        <w:t>Lastly,</w:t>
      </w:r>
      <w:r w:rsidR="00A74563" w:rsidRPr="004C70EC">
        <w:rPr>
          <w:rFonts w:eastAsia="Times New Roman"/>
          <w:noProof/>
          <w:color w:val="000000" w:themeColor="text1"/>
          <w:szCs w:val="24"/>
        </w:rPr>
        <w:t xml:space="preserve"> </w:t>
      </w:r>
      <w:r w:rsidR="00067BF5" w:rsidRPr="004C70EC">
        <w:rPr>
          <w:rFonts w:eastAsia="Times New Roman"/>
          <w:b/>
          <w:noProof/>
          <w:color w:val="000000" w:themeColor="text1"/>
          <w:szCs w:val="24"/>
        </w:rPr>
        <w:t xml:space="preserve">43 respondents </w:t>
      </w:r>
      <w:r w:rsidR="004650CD" w:rsidRPr="002D7694">
        <w:rPr>
          <w:rFonts w:eastAsia="Times New Roman"/>
          <w:noProof/>
          <w:color w:val="000000" w:themeColor="text1"/>
          <w:szCs w:val="24"/>
        </w:rPr>
        <w:t>of all contributions received</w:t>
      </w:r>
      <w:r w:rsidR="00067BF5" w:rsidRPr="004C70EC">
        <w:rPr>
          <w:rFonts w:eastAsia="Times New Roman"/>
          <w:noProof/>
          <w:color w:val="000000" w:themeColor="text1"/>
          <w:szCs w:val="24"/>
        </w:rPr>
        <w:t xml:space="preserve"> </w:t>
      </w:r>
      <w:r w:rsidR="00067BF5" w:rsidRPr="002D7694">
        <w:rPr>
          <w:rFonts w:eastAsia="Times New Roman"/>
          <w:noProof/>
          <w:color w:val="000000" w:themeColor="text1"/>
          <w:szCs w:val="24"/>
        </w:rPr>
        <w:t>indicated</w:t>
      </w:r>
      <w:r w:rsidR="00067BF5" w:rsidRPr="004C70EC">
        <w:rPr>
          <w:rFonts w:eastAsia="Times New Roman"/>
          <w:b/>
          <w:bCs/>
          <w:noProof/>
          <w:color w:val="000000" w:themeColor="text1"/>
          <w:szCs w:val="24"/>
        </w:rPr>
        <w:t xml:space="preserve"> being part of a cluster</w:t>
      </w:r>
      <w:r w:rsidR="000C6407" w:rsidRPr="004C70EC">
        <w:rPr>
          <w:rFonts w:eastAsia="Times New Roman"/>
          <w:b/>
          <w:bCs/>
          <w:noProof/>
          <w:color w:val="000000" w:themeColor="text1"/>
          <w:szCs w:val="24"/>
        </w:rPr>
        <w:t xml:space="preserve"> or of a cluster organisation</w:t>
      </w:r>
      <w:r w:rsidR="000C6407" w:rsidRPr="004C70EC">
        <w:rPr>
          <w:rFonts w:eastAsia="Times New Roman"/>
          <w:noProof/>
          <w:color w:val="000000" w:themeColor="text1"/>
          <w:szCs w:val="24"/>
        </w:rPr>
        <w:t xml:space="preserve">. These represented 26 companies/businesses, 15 business associations, </w:t>
      </w:r>
      <w:r w:rsidR="00783222" w:rsidRPr="004C70EC">
        <w:rPr>
          <w:rFonts w:eastAsia="Times New Roman"/>
          <w:noProof/>
          <w:color w:val="000000" w:themeColor="text1"/>
          <w:szCs w:val="24"/>
        </w:rPr>
        <w:t>1</w:t>
      </w:r>
      <w:r w:rsidR="000C6407" w:rsidRPr="004C70EC">
        <w:rPr>
          <w:rFonts w:eastAsia="Times New Roman"/>
          <w:noProof/>
          <w:color w:val="000000" w:themeColor="text1"/>
          <w:szCs w:val="24"/>
        </w:rPr>
        <w:t xml:space="preserve"> NGO and </w:t>
      </w:r>
      <w:r w:rsidR="00783222" w:rsidRPr="004C70EC">
        <w:rPr>
          <w:rFonts w:eastAsia="Times New Roman"/>
          <w:noProof/>
          <w:color w:val="000000" w:themeColor="text1"/>
          <w:szCs w:val="24"/>
        </w:rPr>
        <w:t>1</w:t>
      </w:r>
      <w:r w:rsidR="000C6407" w:rsidRPr="004C70EC">
        <w:rPr>
          <w:rFonts w:eastAsia="Times New Roman"/>
          <w:noProof/>
          <w:color w:val="000000" w:themeColor="text1"/>
          <w:szCs w:val="24"/>
        </w:rPr>
        <w:t xml:space="preserve"> ‘Other’.</w:t>
      </w:r>
    </w:p>
    <w:p w14:paraId="5E6F80EB" w14:textId="77777777" w:rsidR="00A74563" w:rsidRPr="004C70EC" w:rsidDel="00A35A01" w:rsidRDefault="00A74563" w:rsidP="00A65B2D">
      <w:pPr>
        <w:pBdr>
          <w:top w:val="nil"/>
          <w:left w:val="nil"/>
          <w:bottom w:val="nil"/>
          <w:right w:val="nil"/>
          <w:between w:val="nil"/>
          <w:bar w:val="nil"/>
        </w:pBdr>
        <w:spacing w:after="240"/>
        <w:rPr>
          <w:rFonts w:eastAsia="Times New Roman"/>
          <w:noProof/>
          <w:color w:val="000000" w:themeColor="text1"/>
        </w:rPr>
      </w:pPr>
      <w:r w:rsidRPr="004C70EC">
        <w:rPr>
          <w:rFonts w:eastAsia="Times New Roman"/>
          <w:b/>
          <w:noProof/>
          <w:color w:val="000000" w:themeColor="text1"/>
        </w:rPr>
        <w:t xml:space="preserve">There is a strong </w:t>
      </w:r>
      <w:r w:rsidR="004104D0" w:rsidRPr="004C70EC">
        <w:rPr>
          <w:rFonts w:eastAsia="Times New Roman"/>
          <w:b/>
          <w:noProof/>
          <w:color w:val="000000" w:themeColor="text1"/>
        </w:rPr>
        <w:t>overall</w:t>
      </w:r>
      <w:r w:rsidRPr="004C70EC">
        <w:rPr>
          <w:rFonts w:eastAsia="Times New Roman"/>
          <w:b/>
          <w:noProof/>
          <w:color w:val="000000" w:themeColor="text1"/>
        </w:rPr>
        <w:t xml:space="preserve"> interest from stakeholders to the biotechnology sector and acknowledgment of its great potential</w:t>
      </w:r>
      <w:r w:rsidR="001A3CEA" w:rsidRPr="004C70EC">
        <w:rPr>
          <w:rFonts w:eastAsia="Times New Roman"/>
          <w:b/>
          <w:noProof/>
          <w:color w:val="000000" w:themeColor="text1"/>
        </w:rPr>
        <w:t>,</w:t>
      </w:r>
      <w:r w:rsidRPr="004C70EC">
        <w:rPr>
          <w:rFonts w:eastAsia="Times New Roman"/>
          <w:b/>
          <w:noProof/>
          <w:color w:val="000000" w:themeColor="text1"/>
        </w:rPr>
        <w:t xml:space="preserve"> in line with the EU</w:t>
      </w:r>
      <w:r w:rsidR="001A3CEA" w:rsidRPr="004C70EC">
        <w:rPr>
          <w:rFonts w:eastAsia="Times New Roman"/>
          <w:b/>
          <w:noProof/>
          <w:color w:val="000000" w:themeColor="text1"/>
        </w:rPr>
        <w:t>’s</w:t>
      </w:r>
      <w:r w:rsidRPr="004C70EC">
        <w:rPr>
          <w:rFonts w:eastAsia="Times New Roman"/>
          <w:b/>
          <w:noProof/>
          <w:color w:val="000000" w:themeColor="text1"/>
        </w:rPr>
        <w:t xml:space="preserve"> economic, social and environmental policy goals</w:t>
      </w:r>
      <w:r w:rsidRPr="004C70EC">
        <w:rPr>
          <w:rFonts w:eastAsia="Times New Roman"/>
          <w:noProof/>
          <w:color w:val="000000" w:themeColor="text1"/>
        </w:rPr>
        <w:t>. More precisely, a strong majority of respondents agreed that biotechnology and biomanufacturing products c</w:t>
      </w:r>
      <w:r w:rsidR="00040D94" w:rsidRPr="004C70EC">
        <w:rPr>
          <w:rFonts w:eastAsia="Times New Roman"/>
          <w:noProof/>
          <w:color w:val="000000" w:themeColor="text1"/>
        </w:rPr>
        <w:t>ould</w:t>
      </w:r>
      <w:r w:rsidRPr="004C70EC">
        <w:rPr>
          <w:rFonts w:eastAsia="Times New Roman"/>
          <w:noProof/>
          <w:color w:val="000000" w:themeColor="text1"/>
        </w:rPr>
        <w:t xml:space="preserve"> positively impact the EU</w:t>
      </w:r>
      <w:r w:rsidR="00C900FD" w:rsidRPr="004C70EC">
        <w:rPr>
          <w:rFonts w:eastAsia="Times New Roman"/>
          <w:noProof/>
          <w:color w:val="000000" w:themeColor="text1"/>
        </w:rPr>
        <w:t>’s</w:t>
      </w:r>
      <w:r w:rsidRPr="004C70EC">
        <w:rPr>
          <w:rFonts w:eastAsia="Times New Roman"/>
          <w:noProof/>
          <w:color w:val="000000" w:themeColor="text1"/>
        </w:rPr>
        <w:t xml:space="preserve"> economy and the society, also recognizing its contribution to the environment</w:t>
      </w:r>
      <w:r w:rsidR="00584368" w:rsidRPr="004C70EC">
        <w:rPr>
          <w:rFonts w:eastAsia="Times New Roman"/>
          <w:noProof/>
          <w:color w:val="000000" w:themeColor="text1"/>
        </w:rPr>
        <w:t> </w:t>
      </w:r>
      <w:r w:rsidRPr="004C70EC">
        <w:rPr>
          <w:rStyle w:val="FootnoteReference"/>
          <w:noProof/>
          <w:color w:val="000000" w:themeColor="text1"/>
        </w:rPr>
        <w:footnoteReference w:id="54"/>
      </w:r>
      <w:r w:rsidRPr="004C70EC">
        <w:rPr>
          <w:rFonts w:eastAsia="Times New Roman"/>
          <w:noProof/>
          <w:color w:val="000000" w:themeColor="text1"/>
        </w:rPr>
        <w:t>. Respondents considered biotechnology and biomanufacturing products that reach</w:t>
      </w:r>
      <w:r w:rsidR="00EC146D" w:rsidRPr="004C70EC">
        <w:rPr>
          <w:rFonts w:eastAsia="Times New Roman"/>
          <w:noProof/>
          <w:color w:val="000000" w:themeColor="text1"/>
        </w:rPr>
        <w:t>ed</w:t>
      </w:r>
      <w:r w:rsidRPr="004C70EC">
        <w:rPr>
          <w:rFonts w:eastAsia="Times New Roman"/>
          <w:noProof/>
          <w:color w:val="000000" w:themeColor="text1"/>
        </w:rPr>
        <w:t xml:space="preserve"> the EU market </w:t>
      </w:r>
      <w:r w:rsidR="008F4FA1" w:rsidRPr="004C70EC">
        <w:rPr>
          <w:rFonts w:eastAsia="Times New Roman"/>
          <w:noProof/>
          <w:color w:val="000000" w:themeColor="text1"/>
        </w:rPr>
        <w:t>to be</w:t>
      </w:r>
      <w:r w:rsidRPr="004C70EC">
        <w:rPr>
          <w:rFonts w:eastAsia="Times New Roman"/>
          <w:noProof/>
          <w:color w:val="000000" w:themeColor="text1"/>
        </w:rPr>
        <w:t xml:space="preserve"> safe and secure</w:t>
      </w:r>
      <w:r w:rsidR="00584368" w:rsidRPr="004C70EC">
        <w:rPr>
          <w:rFonts w:eastAsia="Times New Roman"/>
          <w:noProof/>
          <w:color w:val="000000" w:themeColor="text1"/>
        </w:rPr>
        <w:t> </w:t>
      </w:r>
      <w:r w:rsidRPr="004C70EC">
        <w:rPr>
          <w:rStyle w:val="FootnoteReference"/>
          <w:noProof/>
          <w:color w:val="000000" w:themeColor="text1"/>
        </w:rPr>
        <w:footnoteReference w:id="55"/>
      </w:r>
      <w:r w:rsidRPr="004C70EC">
        <w:rPr>
          <w:rFonts w:eastAsia="Times New Roman"/>
          <w:noProof/>
          <w:color w:val="000000" w:themeColor="text1"/>
        </w:rPr>
        <w:t xml:space="preserve">. However, </w:t>
      </w:r>
      <w:r w:rsidR="00301F1C" w:rsidRPr="004C70EC">
        <w:rPr>
          <w:rFonts w:eastAsia="Times New Roman"/>
          <w:noProof/>
          <w:color w:val="000000" w:themeColor="text1"/>
        </w:rPr>
        <w:t>they</w:t>
      </w:r>
      <w:r w:rsidRPr="004C70EC">
        <w:rPr>
          <w:rFonts w:eastAsia="Times New Roman"/>
          <w:noProof/>
          <w:color w:val="000000" w:themeColor="text1"/>
        </w:rPr>
        <w:t xml:space="preserve"> d</w:t>
      </w:r>
      <w:r w:rsidR="00086EEB" w:rsidRPr="004C70EC">
        <w:rPr>
          <w:rFonts w:eastAsia="Times New Roman"/>
          <w:noProof/>
          <w:color w:val="000000" w:themeColor="text1"/>
        </w:rPr>
        <w:t>id</w:t>
      </w:r>
      <w:r w:rsidRPr="004C70EC">
        <w:rPr>
          <w:rFonts w:eastAsia="Times New Roman"/>
          <w:noProof/>
          <w:color w:val="000000" w:themeColor="text1"/>
        </w:rPr>
        <w:t xml:space="preserve"> not consider that information to users and consumers</w:t>
      </w:r>
      <w:r w:rsidR="00584368" w:rsidRPr="004C70EC">
        <w:rPr>
          <w:rFonts w:eastAsia="Times New Roman"/>
          <w:noProof/>
          <w:color w:val="000000" w:themeColor="text1"/>
        </w:rPr>
        <w:t> </w:t>
      </w:r>
      <w:r w:rsidRPr="004C70EC">
        <w:rPr>
          <w:rStyle w:val="FootnoteReference"/>
          <w:noProof/>
          <w:color w:val="000000" w:themeColor="text1"/>
        </w:rPr>
        <w:footnoteReference w:id="56"/>
      </w:r>
      <w:r w:rsidRPr="004C70EC">
        <w:rPr>
          <w:rFonts w:eastAsia="Times New Roman"/>
          <w:noProof/>
          <w:color w:val="000000" w:themeColor="text1"/>
        </w:rPr>
        <w:t xml:space="preserve"> on biotechnology and biomanufacturing products in the EU </w:t>
      </w:r>
      <w:r w:rsidR="00301F1C" w:rsidRPr="004C70EC">
        <w:rPr>
          <w:rFonts w:eastAsia="Times New Roman"/>
          <w:noProof/>
          <w:color w:val="000000" w:themeColor="text1"/>
        </w:rPr>
        <w:t>was</w:t>
      </w:r>
      <w:r w:rsidRPr="004C70EC">
        <w:rPr>
          <w:rFonts w:eastAsia="Times New Roman"/>
          <w:noProof/>
          <w:color w:val="000000" w:themeColor="text1"/>
        </w:rPr>
        <w:t xml:space="preserve"> sufficiently accessible and broadly communicated. Moreover, only a minority of respondents w</w:t>
      </w:r>
      <w:r w:rsidR="00175E81" w:rsidRPr="004C70EC">
        <w:rPr>
          <w:rFonts w:eastAsia="Times New Roman"/>
          <w:noProof/>
          <w:color w:val="000000" w:themeColor="text1"/>
        </w:rPr>
        <w:t>ere</w:t>
      </w:r>
      <w:r w:rsidRPr="004C70EC">
        <w:rPr>
          <w:rFonts w:eastAsia="Times New Roman"/>
          <w:noProof/>
          <w:color w:val="000000" w:themeColor="text1"/>
        </w:rPr>
        <w:t xml:space="preserve"> willing to pay a price premium for such products</w:t>
      </w:r>
      <w:r w:rsidRPr="004C70EC">
        <w:rPr>
          <w:rStyle w:val="FootnoteReference"/>
          <w:noProof/>
          <w:color w:val="000000" w:themeColor="text1"/>
        </w:rPr>
        <w:footnoteReference w:id="57"/>
      </w:r>
      <w:r w:rsidRPr="004C70EC">
        <w:rPr>
          <w:rFonts w:eastAsia="Times New Roman"/>
          <w:noProof/>
          <w:color w:val="000000" w:themeColor="text1"/>
        </w:rPr>
        <w:t>.</w:t>
      </w:r>
    </w:p>
    <w:p w14:paraId="76B1B326" w14:textId="77777777" w:rsidR="00A74563" w:rsidRPr="004C70EC" w:rsidRDefault="00965F6E" w:rsidP="00A74563">
      <w:pPr>
        <w:pBdr>
          <w:top w:val="nil"/>
          <w:left w:val="nil"/>
          <w:bottom w:val="nil"/>
          <w:right w:val="nil"/>
          <w:between w:val="nil"/>
          <w:bar w:val="nil"/>
        </w:pBdr>
        <w:spacing w:after="240"/>
        <w:rPr>
          <w:rFonts w:eastAsia="Times New Roman"/>
          <w:noProof/>
          <w:color w:val="000000" w:themeColor="text1"/>
          <w:szCs w:val="24"/>
        </w:rPr>
      </w:pPr>
      <w:r w:rsidRPr="004C70EC">
        <w:rPr>
          <w:rFonts w:eastAsia="Times New Roman"/>
          <w:noProof/>
          <w:color w:val="000000" w:themeColor="text1"/>
          <w:lang w:val="en-IE"/>
        </w:rPr>
        <w:t xml:space="preserve">Answers to the public consultation </w:t>
      </w:r>
      <w:r w:rsidR="00A74563" w:rsidRPr="004C70EC">
        <w:rPr>
          <w:rFonts w:eastAsia="Times New Roman"/>
          <w:noProof/>
          <w:color w:val="000000" w:themeColor="text1"/>
        </w:rPr>
        <w:t>on the</w:t>
      </w:r>
      <w:r w:rsidR="00A74563" w:rsidRPr="004C70EC">
        <w:rPr>
          <w:rFonts w:eastAsia="Times New Roman"/>
          <w:b/>
          <w:noProof/>
          <w:color w:val="000000" w:themeColor="text1"/>
        </w:rPr>
        <w:t xml:space="preserve"> EU regulatory framework</w:t>
      </w:r>
      <w:r w:rsidR="00AC5D3E" w:rsidRPr="004C70EC">
        <w:rPr>
          <w:rFonts w:eastAsia="Times New Roman"/>
          <w:noProof/>
          <w:color w:val="000000" w:themeColor="text1"/>
        </w:rPr>
        <w:t xml:space="preserve"> were in line with </w:t>
      </w:r>
      <w:r w:rsidR="00A74563" w:rsidRPr="004C70EC">
        <w:rPr>
          <w:rFonts w:eastAsia="Times New Roman"/>
          <w:noProof/>
          <w:color w:val="000000" w:themeColor="text1"/>
        </w:rPr>
        <w:t xml:space="preserve">the </w:t>
      </w:r>
      <w:r w:rsidR="00A74563" w:rsidRPr="004C70EC">
        <w:rPr>
          <w:rFonts w:eastAsia="Times New Roman"/>
          <w:b/>
          <w:noProof/>
          <w:color w:val="000000" w:themeColor="text1"/>
        </w:rPr>
        <w:t>focus of the proposed Act</w:t>
      </w:r>
      <w:r w:rsidR="00A74563" w:rsidRPr="004C70EC">
        <w:rPr>
          <w:rFonts w:eastAsia="Times New Roman"/>
          <w:noProof/>
          <w:color w:val="000000" w:themeColor="text1"/>
        </w:rPr>
        <w:t xml:space="preserve">. The </w:t>
      </w:r>
      <w:bookmarkStart w:id="2" w:name="_Hlk214453893"/>
      <w:r w:rsidR="00A74563" w:rsidRPr="004C70EC">
        <w:rPr>
          <w:rFonts w:eastAsia="Times New Roman"/>
          <w:noProof/>
          <w:color w:val="000000" w:themeColor="text1"/>
        </w:rPr>
        <w:t>main regulatory barriers</w:t>
      </w:r>
      <w:r w:rsidR="00584368" w:rsidRPr="004C70EC">
        <w:rPr>
          <w:noProof/>
          <w:color w:val="000000" w:themeColor="text1"/>
        </w:rPr>
        <w:t> </w:t>
      </w:r>
      <w:r w:rsidR="00A74563" w:rsidRPr="004C70EC">
        <w:rPr>
          <w:rStyle w:val="FootnoteReference"/>
          <w:rFonts w:eastAsia="Times New Roman"/>
          <w:noProof/>
          <w:color w:val="000000" w:themeColor="text1"/>
        </w:rPr>
        <w:footnoteReference w:id="58"/>
      </w:r>
      <w:r w:rsidR="00A74563" w:rsidRPr="004C70EC">
        <w:rPr>
          <w:rFonts w:eastAsia="Times New Roman"/>
          <w:noProof/>
          <w:color w:val="000000" w:themeColor="text1"/>
        </w:rPr>
        <w:t xml:space="preserve"> identified by stakeholders </w:t>
      </w:r>
      <w:bookmarkEnd w:id="2"/>
      <w:r w:rsidR="00311029" w:rsidRPr="004C70EC">
        <w:rPr>
          <w:rFonts w:eastAsia="Times New Roman"/>
          <w:noProof/>
          <w:color w:val="000000" w:themeColor="text1"/>
        </w:rPr>
        <w:t>concerned</w:t>
      </w:r>
      <w:r w:rsidR="00A74563" w:rsidRPr="004C70EC">
        <w:rPr>
          <w:rFonts w:eastAsia="Times New Roman"/>
          <w:noProof/>
          <w:color w:val="000000" w:themeColor="text1"/>
        </w:rPr>
        <w:t xml:space="preserve"> the </w:t>
      </w:r>
      <w:r w:rsidR="00A74563" w:rsidRPr="004C70EC">
        <w:rPr>
          <w:rFonts w:eastAsia="Times New Roman"/>
          <w:b/>
          <w:noProof/>
          <w:color w:val="000000" w:themeColor="text1"/>
        </w:rPr>
        <w:t>assessment and obtaining authorisation to market products</w:t>
      </w:r>
      <w:r w:rsidR="00A74563" w:rsidRPr="004C70EC">
        <w:rPr>
          <w:rFonts w:eastAsia="Times New Roman"/>
          <w:noProof/>
          <w:color w:val="000000" w:themeColor="text1"/>
        </w:rPr>
        <w:t xml:space="preserve">, followed by the </w:t>
      </w:r>
      <w:bookmarkStart w:id="3" w:name="_Hlk214453851"/>
      <w:r w:rsidR="00A74563" w:rsidRPr="004C70EC">
        <w:rPr>
          <w:rFonts w:eastAsia="Times New Roman"/>
          <w:b/>
          <w:noProof/>
          <w:color w:val="000000" w:themeColor="text1"/>
        </w:rPr>
        <w:t>pre-commercial testing or clinical trials stage</w:t>
      </w:r>
      <w:bookmarkEnd w:id="3"/>
      <w:r w:rsidR="00A74563" w:rsidRPr="004C70EC">
        <w:rPr>
          <w:rFonts w:eastAsia="Times New Roman"/>
          <w:noProof/>
          <w:color w:val="000000" w:themeColor="text1"/>
        </w:rPr>
        <w:t xml:space="preserve">, </w:t>
      </w:r>
      <w:r w:rsidR="00A74563" w:rsidRPr="004C70EC">
        <w:rPr>
          <w:rFonts w:eastAsia="Times New Roman"/>
          <w:b/>
          <w:noProof/>
          <w:color w:val="000000" w:themeColor="text1"/>
        </w:rPr>
        <w:t xml:space="preserve">in </w:t>
      </w:r>
      <w:bookmarkStart w:id="4" w:name="_Hlk214453867"/>
      <w:r w:rsidR="00A74563" w:rsidRPr="004C70EC">
        <w:rPr>
          <w:rFonts w:eastAsia="Times New Roman"/>
          <w:b/>
          <w:noProof/>
          <w:color w:val="000000" w:themeColor="text1"/>
        </w:rPr>
        <w:t>commercialising products</w:t>
      </w:r>
      <w:bookmarkEnd w:id="4"/>
      <w:r w:rsidR="00A74563" w:rsidRPr="004C70EC">
        <w:rPr>
          <w:rFonts w:eastAsia="Times New Roman"/>
          <w:noProof/>
          <w:color w:val="000000" w:themeColor="text1"/>
        </w:rPr>
        <w:t xml:space="preserve"> as well as in the </w:t>
      </w:r>
      <w:bookmarkStart w:id="5" w:name="_Hlk214453879"/>
      <w:r w:rsidR="00A74563" w:rsidRPr="004C70EC">
        <w:rPr>
          <w:rFonts w:eastAsia="Times New Roman"/>
          <w:b/>
          <w:noProof/>
          <w:color w:val="000000" w:themeColor="text1"/>
        </w:rPr>
        <w:t>scaling-up production or manufacturing</w:t>
      </w:r>
      <w:bookmarkEnd w:id="5"/>
      <w:r w:rsidR="00F44DB2" w:rsidRPr="004C70EC">
        <w:rPr>
          <w:rFonts w:eastAsia="Times New Roman"/>
          <w:b/>
          <w:noProof/>
          <w:color w:val="000000" w:themeColor="text1"/>
        </w:rPr>
        <w:t xml:space="preserve"> </w:t>
      </w:r>
      <w:r w:rsidR="00F44DB2" w:rsidRPr="004C70EC">
        <w:rPr>
          <w:rFonts w:eastAsia="Times New Roman"/>
          <w:noProof/>
          <w:color w:val="000000" w:themeColor="text1"/>
        </w:rPr>
        <w:t xml:space="preserve">and </w:t>
      </w:r>
      <w:r w:rsidR="00F44DB2" w:rsidRPr="004C70EC">
        <w:rPr>
          <w:rFonts w:eastAsia="Times New Roman"/>
          <w:b/>
          <w:noProof/>
          <w:color w:val="000000" w:themeColor="text1"/>
        </w:rPr>
        <w:t>product development</w:t>
      </w:r>
      <w:r w:rsidR="00A74563" w:rsidRPr="004C70EC">
        <w:rPr>
          <w:rFonts w:eastAsia="Times New Roman"/>
          <w:noProof/>
          <w:color w:val="000000" w:themeColor="text1"/>
        </w:rPr>
        <w:t xml:space="preserve">. </w:t>
      </w:r>
    </w:p>
    <w:p w14:paraId="1A32BBB5" w14:textId="77777777" w:rsidR="00A74563" w:rsidRPr="004C70EC" w:rsidRDefault="00A74563" w:rsidP="00A74563">
      <w:pPr>
        <w:pBdr>
          <w:top w:val="nil"/>
          <w:left w:val="nil"/>
          <w:bottom w:val="nil"/>
          <w:right w:val="nil"/>
          <w:between w:val="nil"/>
          <w:bar w:val="nil"/>
        </w:pBdr>
        <w:spacing w:after="240"/>
        <w:rPr>
          <w:rFonts w:eastAsia="Times New Roman"/>
          <w:noProof/>
          <w:color w:val="000000" w:themeColor="text1"/>
          <w:szCs w:val="24"/>
        </w:rPr>
      </w:pPr>
      <w:r w:rsidRPr="004C70EC">
        <w:rPr>
          <w:rFonts w:eastAsia="Times New Roman"/>
          <w:noProof/>
          <w:color w:val="000000" w:themeColor="text1"/>
        </w:rPr>
        <w:t xml:space="preserve">Another finding of the public consultation relates to the </w:t>
      </w:r>
      <w:r w:rsidRPr="004C70EC">
        <w:rPr>
          <w:rFonts w:eastAsia="Times New Roman"/>
          <w:b/>
          <w:noProof/>
          <w:color w:val="000000" w:themeColor="text1"/>
        </w:rPr>
        <w:t xml:space="preserve">perception of the EU regulatory environment compared to </w:t>
      </w:r>
      <w:r w:rsidR="00E30543" w:rsidRPr="004C70EC">
        <w:rPr>
          <w:rFonts w:eastAsia="Times New Roman"/>
          <w:b/>
          <w:noProof/>
          <w:color w:val="000000" w:themeColor="text1"/>
        </w:rPr>
        <w:t>that</w:t>
      </w:r>
      <w:r w:rsidRPr="004C70EC">
        <w:rPr>
          <w:rFonts w:eastAsia="Times New Roman"/>
          <w:b/>
          <w:noProof/>
          <w:color w:val="000000" w:themeColor="text1"/>
        </w:rPr>
        <w:t xml:space="preserve"> of some countries outside the EU</w:t>
      </w:r>
      <w:r w:rsidRPr="004C70EC">
        <w:rPr>
          <w:rFonts w:eastAsia="Times New Roman"/>
          <w:noProof/>
          <w:color w:val="000000" w:themeColor="text1"/>
        </w:rPr>
        <w:t xml:space="preserve">. </w:t>
      </w:r>
      <w:r w:rsidR="00A37318" w:rsidRPr="004C70EC">
        <w:rPr>
          <w:rFonts w:eastAsia="Times New Roman"/>
          <w:noProof/>
          <w:color w:val="000000" w:themeColor="text1"/>
        </w:rPr>
        <w:t xml:space="preserve">The EU regulatory environment is </w:t>
      </w:r>
      <w:r w:rsidRPr="004C70EC">
        <w:rPr>
          <w:rFonts w:eastAsia="Times New Roman"/>
          <w:noProof/>
          <w:color w:val="000000" w:themeColor="text1"/>
        </w:rPr>
        <w:t>perceived</w:t>
      </w:r>
      <w:r w:rsidRPr="004C70EC" w:rsidDel="00E545B7">
        <w:rPr>
          <w:rFonts w:eastAsia="Times New Roman"/>
          <w:noProof/>
          <w:color w:val="000000" w:themeColor="text1"/>
        </w:rPr>
        <w:t xml:space="preserve"> </w:t>
      </w:r>
      <w:r w:rsidR="008548C6" w:rsidRPr="004C70EC">
        <w:rPr>
          <w:rFonts w:eastAsia="Times New Roman"/>
          <w:noProof/>
          <w:color w:val="000000" w:themeColor="text1"/>
        </w:rPr>
        <w:t>by some stakeholders to have a</w:t>
      </w:r>
      <w:r w:rsidR="008548C6" w:rsidRPr="004C70EC">
        <w:rPr>
          <w:rFonts w:eastAsia="Times New Roman"/>
          <w:b/>
          <w:noProof/>
          <w:color w:val="000000" w:themeColor="text1"/>
        </w:rPr>
        <w:t xml:space="preserve"> </w:t>
      </w:r>
      <w:r w:rsidRPr="004C70EC">
        <w:rPr>
          <w:rFonts w:eastAsia="Times New Roman"/>
          <w:b/>
          <w:noProof/>
          <w:color w:val="000000" w:themeColor="text1"/>
        </w:rPr>
        <w:t>low</w:t>
      </w:r>
      <w:r w:rsidR="00B20076" w:rsidRPr="004C70EC">
        <w:rPr>
          <w:rFonts w:eastAsia="Times New Roman"/>
          <w:b/>
          <w:noProof/>
          <w:color w:val="000000" w:themeColor="text1"/>
        </w:rPr>
        <w:t>er</w:t>
      </w:r>
      <w:r w:rsidRPr="004C70EC">
        <w:rPr>
          <w:rFonts w:eastAsia="Times New Roman"/>
          <w:b/>
          <w:noProof/>
          <w:color w:val="000000" w:themeColor="text1"/>
        </w:rPr>
        <w:t xml:space="preserve"> level of predictability</w:t>
      </w:r>
      <w:r w:rsidRPr="004C70EC">
        <w:rPr>
          <w:rStyle w:val="FootnoteReference"/>
          <w:rFonts w:eastAsia="Times New Roman"/>
          <w:noProof/>
          <w:color w:val="000000" w:themeColor="text1"/>
        </w:rPr>
        <w:footnoteReference w:id="59"/>
      </w:r>
      <w:r w:rsidR="00EB54E7" w:rsidRPr="004C70EC">
        <w:rPr>
          <w:rFonts w:eastAsia="Times New Roman"/>
          <w:noProof/>
          <w:color w:val="000000" w:themeColor="text1"/>
        </w:rPr>
        <w:t xml:space="preserve"> and it is </w:t>
      </w:r>
      <w:r w:rsidRPr="004C70EC">
        <w:rPr>
          <w:rFonts w:eastAsia="Times New Roman"/>
          <w:noProof/>
          <w:color w:val="000000" w:themeColor="text1"/>
        </w:rPr>
        <w:t xml:space="preserve">also seen as more </w:t>
      </w:r>
      <w:r w:rsidRPr="004C70EC">
        <w:rPr>
          <w:rFonts w:eastAsia="Times New Roman"/>
          <w:b/>
          <w:noProof/>
          <w:color w:val="000000" w:themeColor="text1"/>
        </w:rPr>
        <w:t>complex and unclear</w:t>
      </w:r>
      <w:r w:rsidR="00584368" w:rsidRPr="004C70EC">
        <w:rPr>
          <w:noProof/>
          <w:color w:val="000000" w:themeColor="text1"/>
        </w:rPr>
        <w:t> </w:t>
      </w:r>
      <w:r w:rsidRPr="004C70EC">
        <w:rPr>
          <w:rStyle w:val="FootnoteReference"/>
          <w:rFonts w:eastAsia="Times New Roman"/>
          <w:noProof/>
          <w:color w:val="000000" w:themeColor="text1"/>
        </w:rPr>
        <w:footnoteReference w:id="60"/>
      </w:r>
      <w:r w:rsidRPr="004C70EC">
        <w:rPr>
          <w:rFonts w:eastAsia="Times New Roman"/>
          <w:noProof/>
          <w:color w:val="000000" w:themeColor="text1"/>
        </w:rPr>
        <w:t xml:space="preserve">, leading to </w:t>
      </w:r>
      <w:r w:rsidRPr="004C70EC">
        <w:rPr>
          <w:rFonts w:eastAsia="Times New Roman"/>
          <w:b/>
          <w:noProof/>
          <w:color w:val="000000" w:themeColor="text1"/>
        </w:rPr>
        <w:t>more compliance costs</w:t>
      </w:r>
      <w:r w:rsidR="00584368" w:rsidRPr="004C70EC">
        <w:rPr>
          <w:noProof/>
          <w:color w:val="000000" w:themeColor="text1"/>
        </w:rPr>
        <w:t> </w:t>
      </w:r>
      <w:r w:rsidRPr="004C70EC">
        <w:rPr>
          <w:rStyle w:val="FootnoteReference"/>
          <w:rFonts w:eastAsia="Times New Roman"/>
          <w:noProof/>
          <w:color w:val="000000" w:themeColor="text1"/>
        </w:rPr>
        <w:footnoteReference w:id="61"/>
      </w:r>
      <w:r w:rsidRPr="004C70EC">
        <w:rPr>
          <w:rFonts w:eastAsia="Times New Roman"/>
          <w:b/>
          <w:noProof/>
          <w:color w:val="000000" w:themeColor="text1"/>
        </w:rPr>
        <w:t xml:space="preserve"> </w:t>
      </w:r>
      <w:r w:rsidRPr="004C70EC">
        <w:rPr>
          <w:rFonts w:eastAsia="Times New Roman"/>
          <w:noProof/>
          <w:color w:val="000000" w:themeColor="text1"/>
        </w:rPr>
        <w:t xml:space="preserve">and </w:t>
      </w:r>
      <w:r w:rsidRPr="004C70EC">
        <w:rPr>
          <w:rFonts w:eastAsia="Times New Roman"/>
          <w:b/>
          <w:noProof/>
          <w:color w:val="000000" w:themeColor="text1"/>
        </w:rPr>
        <w:t>slower access to the market</w:t>
      </w:r>
      <w:r w:rsidR="00584368" w:rsidRPr="004C70EC">
        <w:rPr>
          <w:noProof/>
          <w:color w:val="000000" w:themeColor="text1"/>
        </w:rPr>
        <w:t> </w:t>
      </w:r>
      <w:r w:rsidRPr="004C70EC">
        <w:rPr>
          <w:rStyle w:val="FootnoteReference"/>
          <w:rFonts w:eastAsia="Times New Roman"/>
          <w:noProof/>
          <w:color w:val="000000" w:themeColor="text1"/>
        </w:rPr>
        <w:footnoteReference w:id="62"/>
      </w:r>
      <w:r w:rsidRPr="004C70EC">
        <w:rPr>
          <w:rFonts w:eastAsia="Times New Roman"/>
          <w:noProof/>
          <w:color w:val="000000" w:themeColor="text1"/>
        </w:rPr>
        <w:t xml:space="preserve">. Views on whether the EU regulatory environment ensures a higher </w:t>
      </w:r>
      <w:r w:rsidRPr="004C70EC">
        <w:rPr>
          <w:rFonts w:eastAsia="Times New Roman"/>
          <w:b/>
          <w:noProof/>
          <w:color w:val="000000" w:themeColor="text1"/>
        </w:rPr>
        <w:t xml:space="preserve">level of safety and security </w:t>
      </w:r>
      <w:r w:rsidRPr="004C70EC">
        <w:rPr>
          <w:rFonts w:eastAsia="Times New Roman"/>
          <w:noProof/>
          <w:color w:val="000000" w:themeColor="text1"/>
        </w:rPr>
        <w:t>were rather mixed</w:t>
      </w:r>
      <w:r w:rsidR="00584368" w:rsidRPr="004C70EC">
        <w:rPr>
          <w:noProof/>
          <w:color w:val="000000" w:themeColor="text1"/>
        </w:rPr>
        <w:t> </w:t>
      </w:r>
      <w:r w:rsidRPr="004C70EC">
        <w:rPr>
          <w:rStyle w:val="FootnoteReference"/>
          <w:rFonts w:eastAsia="Times New Roman"/>
          <w:noProof/>
          <w:color w:val="000000" w:themeColor="text1"/>
        </w:rPr>
        <w:footnoteReference w:id="63"/>
      </w:r>
      <w:r w:rsidRPr="004C70EC">
        <w:rPr>
          <w:rFonts w:eastAsia="Times New Roman"/>
          <w:noProof/>
          <w:color w:val="000000" w:themeColor="text1"/>
        </w:rPr>
        <w:t>. Public authorities</w:t>
      </w:r>
      <w:r w:rsidR="00327B1C" w:rsidRPr="004C70EC">
        <w:rPr>
          <w:rFonts w:eastAsia="Times New Roman"/>
          <w:noProof/>
          <w:color w:val="000000" w:themeColor="text1"/>
        </w:rPr>
        <w:t xml:space="preserve"> (57,9%, 11/19)</w:t>
      </w:r>
      <w:r w:rsidRPr="004C70EC">
        <w:rPr>
          <w:rFonts w:eastAsia="Times New Roman"/>
          <w:noProof/>
          <w:color w:val="000000" w:themeColor="text1"/>
        </w:rPr>
        <w:t xml:space="preserve">, NGOs </w:t>
      </w:r>
      <w:r w:rsidR="00327B1C" w:rsidRPr="004C70EC">
        <w:rPr>
          <w:rFonts w:eastAsia="Times New Roman"/>
          <w:noProof/>
          <w:color w:val="000000" w:themeColor="text1"/>
        </w:rPr>
        <w:t>(46,5%, 20/43)</w:t>
      </w:r>
      <w:r w:rsidR="005C5E18" w:rsidRPr="004C70EC">
        <w:rPr>
          <w:rFonts w:eastAsia="Times New Roman"/>
          <w:noProof/>
          <w:color w:val="000000" w:themeColor="text1"/>
        </w:rPr>
        <w:t>,</w:t>
      </w:r>
      <w:r w:rsidRPr="004C70EC">
        <w:rPr>
          <w:rFonts w:eastAsia="Times New Roman"/>
          <w:noProof/>
          <w:color w:val="000000" w:themeColor="text1"/>
        </w:rPr>
        <w:t xml:space="preserve"> other stakeholders </w:t>
      </w:r>
      <w:r w:rsidR="00327B1C" w:rsidRPr="004C70EC">
        <w:rPr>
          <w:rFonts w:eastAsia="Times New Roman"/>
          <w:noProof/>
          <w:color w:val="000000" w:themeColor="text1"/>
        </w:rPr>
        <w:t>(48,5%, 15/31)</w:t>
      </w:r>
      <w:r w:rsidRPr="004C70EC">
        <w:rPr>
          <w:rFonts w:eastAsia="Times New Roman"/>
          <w:noProof/>
          <w:color w:val="000000" w:themeColor="text1"/>
        </w:rPr>
        <w:t xml:space="preserve"> </w:t>
      </w:r>
      <w:r w:rsidR="005C5E18" w:rsidRPr="004C70EC">
        <w:rPr>
          <w:rFonts w:eastAsia="Times New Roman"/>
          <w:noProof/>
          <w:color w:val="000000" w:themeColor="text1"/>
        </w:rPr>
        <w:t>and a</w:t>
      </w:r>
      <w:r w:rsidR="002A17DB" w:rsidRPr="004C70EC">
        <w:rPr>
          <w:rFonts w:eastAsia="Times New Roman"/>
          <w:noProof/>
          <w:color w:val="000000" w:themeColor="text1"/>
        </w:rPr>
        <w:t>cademic/research institutions (42,9%</w:t>
      </w:r>
      <w:r w:rsidR="002F5D9A" w:rsidRPr="004C70EC">
        <w:rPr>
          <w:rFonts w:eastAsia="Times New Roman"/>
          <w:noProof/>
          <w:color w:val="000000" w:themeColor="text1"/>
        </w:rPr>
        <w:t xml:space="preserve">, 18/42) </w:t>
      </w:r>
      <w:r w:rsidRPr="004C70EC">
        <w:rPr>
          <w:rFonts w:eastAsia="Times New Roman"/>
          <w:noProof/>
          <w:color w:val="000000" w:themeColor="text1"/>
        </w:rPr>
        <w:t>ha</w:t>
      </w:r>
      <w:r w:rsidR="00327B1C" w:rsidRPr="004C70EC">
        <w:rPr>
          <w:rFonts w:eastAsia="Times New Roman"/>
          <w:noProof/>
          <w:color w:val="000000" w:themeColor="text1"/>
        </w:rPr>
        <w:t>d</w:t>
      </w:r>
      <w:r w:rsidRPr="004C70EC">
        <w:rPr>
          <w:rFonts w:eastAsia="Times New Roman"/>
          <w:noProof/>
          <w:color w:val="000000" w:themeColor="text1"/>
        </w:rPr>
        <w:t xml:space="preserve"> a positive stance.</w:t>
      </w:r>
    </w:p>
    <w:p w14:paraId="2757CED2" w14:textId="77777777" w:rsidR="00A74563" w:rsidRPr="004C70EC" w:rsidRDefault="00A74563" w:rsidP="00A74563">
      <w:pPr>
        <w:pBdr>
          <w:top w:val="nil"/>
          <w:left w:val="nil"/>
          <w:bottom w:val="nil"/>
          <w:right w:val="nil"/>
          <w:between w:val="nil"/>
          <w:bar w:val="nil"/>
        </w:pBdr>
        <w:spacing w:after="240"/>
        <w:rPr>
          <w:rFonts w:eastAsia="Times New Roman"/>
          <w:noProof/>
          <w:color w:val="000000" w:themeColor="text1"/>
          <w:szCs w:val="24"/>
        </w:rPr>
      </w:pPr>
      <w:r w:rsidRPr="004C70EC">
        <w:rPr>
          <w:rFonts w:eastAsia="Times New Roman"/>
          <w:noProof/>
          <w:color w:val="000000" w:themeColor="text1"/>
          <w:szCs w:val="24"/>
        </w:rPr>
        <w:t>These findings underscore the urgent need to take action to simplify</w:t>
      </w:r>
      <w:r w:rsidR="009A2BFD" w:rsidRPr="004C70EC">
        <w:rPr>
          <w:rFonts w:eastAsia="Times New Roman"/>
          <w:noProof/>
          <w:color w:val="000000" w:themeColor="text1"/>
          <w:szCs w:val="24"/>
        </w:rPr>
        <w:t xml:space="preserve"> and</w:t>
      </w:r>
      <w:r w:rsidRPr="004C70EC">
        <w:rPr>
          <w:rFonts w:eastAsia="Times New Roman"/>
          <w:noProof/>
          <w:color w:val="000000" w:themeColor="text1"/>
          <w:szCs w:val="24"/>
        </w:rPr>
        <w:t xml:space="preserve"> streamline </w:t>
      </w:r>
      <w:r w:rsidR="009A2BFD" w:rsidRPr="004C70EC">
        <w:rPr>
          <w:rFonts w:eastAsia="Times New Roman"/>
          <w:noProof/>
          <w:color w:val="000000" w:themeColor="text1"/>
          <w:szCs w:val="24"/>
        </w:rPr>
        <w:t>the</w:t>
      </w:r>
      <w:r w:rsidRPr="004C70EC">
        <w:rPr>
          <w:rFonts w:eastAsia="Times New Roman"/>
          <w:noProof/>
          <w:color w:val="000000" w:themeColor="text1"/>
          <w:szCs w:val="24"/>
        </w:rPr>
        <w:t xml:space="preserve"> regulatory environment</w:t>
      </w:r>
      <w:r w:rsidR="009A2BFD" w:rsidRPr="004C70EC">
        <w:rPr>
          <w:rFonts w:eastAsia="Times New Roman"/>
          <w:noProof/>
          <w:color w:val="000000" w:themeColor="text1"/>
          <w:szCs w:val="24"/>
        </w:rPr>
        <w:t>, making it flexible and innovation-friendly</w:t>
      </w:r>
      <w:r w:rsidR="009E27C3" w:rsidRPr="004C70EC">
        <w:rPr>
          <w:rFonts w:eastAsia="Times New Roman"/>
          <w:noProof/>
          <w:color w:val="000000" w:themeColor="text1"/>
          <w:szCs w:val="24"/>
        </w:rPr>
        <w:t xml:space="preserve"> </w:t>
      </w:r>
      <w:r w:rsidR="00784204" w:rsidRPr="004C70EC">
        <w:rPr>
          <w:rFonts w:eastAsia="Times New Roman"/>
          <w:noProof/>
          <w:color w:val="000000" w:themeColor="text1"/>
          <w:szCs w:val="24"/>
        </w:rPr>
        <w:t>so that</w:t>
      </w:r>
      <w:r w:rsidRPr="004C70EC">
        <w:rPr>
          <w:rFonts w:eastAsia="Times New Roman"/>
          <w:noProof/>
          <w:color w:val="000000" w:themeColor="text1"/>
          <w:szCs w:val="24"/>
        </w:rPr>
        <w:t xml:space="preserve"> biotechnology </w:t>
      </w:r>
      <w:r w:rsidR="00784204" w:rsidRPr="004C70EC">
        <w:rPr>
          <w:rFonts w:eastAsia="Times New Roman"/>
          <w:noProof/>
          <w:color w:val="000000" w:themeColor="text1"/>
          <w:szCs w:val="24"/>
        </w:rPr>
        <w:t>products and services</w:t>
      </w:r>
      <w:r w:rsidRPr="004C70EC">
        <w:rPr>
          <w:rFonts w:eastAsia="Times New Roman"/>
          <w:noProof/>
          <w:color w:val="000000" w:themeColor="text1"/>
          <w:szCs w:val="24"/>
        </w:rPr>
        <w:t xml:space="preserve"> </w:t>
      </w:r>
      <w:r w:rsidR="009A07AD" w:rsidRPr="004C70EC">
        <w:rPr>
          <w:rFonts w:eastAsia="Times New Roman"/>
          <w:noProof/>
          <w:color w:val="000000" w:themeColor="text1"/>
          <w:szCs w:val="24"/>
        </w:rPr>
        <w:t>can</w:t>
      </w:r>
      <w:r w:rsidRPr="004C70EC">
        <w:rPr>
          <w:rFonts w:eastAsia="Times New Roman"/>
          <w:noProof/>
          <w:color w:val="000000" w:themeColor="text1"/>
          <w:szCs w:val="24"/>
        </w:rPr>
        <w:t xml:space="preserve"> reach the EU market </w:t>
      </w:r>
      <w:r w:rsidR="009A07AD" w:rsidRPr="004C70EC">
        <w:rPr>
          <w:rFonts w:eastAsia="Times New Roman"/>
          <w:noProof/>
          <w:color w:val="000000" w:themeColor="text1"/>
          <w:szCs w:val="24"/>
        </w:rPr>
        <w:t xml:space="preserve">more </w:t>
      </w:r>
      <w:r w:rsidRPr="004C70EC">
        <w:rPr>
          <w:rFonts w:eastAsia="Times New Roman"/>
          <w:noProof/>
          <w:color w:val="000000" w:themeColor="text1"/>
          <w:szCs w:val="24"/>
        </w:rPr>
        <w:t>quickly.</w:t>
      </w:r>
    </w:p>
    <w:p w14:paraId="6EA60D60" w14:textId="77777777" w:rsidR="00A74563" w:rsidRPr="004C70EC" w:rsidRDefault="00A74563" w:rsidP="00A74563">
      <w:pPr>
        <w:pBdr>
          <w:top w:val="nil"/>
          <w:left w:val="nil"/>
          <w:bottom w:val="nil"/>
          <w:right w:val="nil"/>
          <w:between w:val="nil"/>
          <w:bar w:val="nil"/>
        </w:pBdr>
        <w:spacing w:after="240"/>
        <w:rPr>
          <w:rFonts w:eastAsia="Times New Roman"/>
          <w:noProof/>
          <w:color w:val="000000" w:themeColor="text1"/>
          <w:szCs w:val="24"/>
        </w:rPr>
      </w:pPr>
      <w:r w:rsidRPr="004C70EC">
        <w:rPr>
          <w:rFonts w:eastAsia="Times New Roman"/>
          <w:noProof/>
          <w:color w:val="000000" w:themeColor="text1"/>
        </w:rPr>
        <w:t xml:space="preserve">Furthermore, respondents reported </w:t>
      </w:r>
      <w:r w:rsidRPr="004C70EC">
        <w:rPr>
          <w:rFonts w:eastAsia="Times New Roman"/>
          <w:b/>
          <w:noProof/>
          <w:color w:val="000000" w:themeColor="text1"/>
        </w:rPr>
        <w:t>low level of access to private investments</w:t>
      </w:r>
      <w:r w:rsidRPr="004C70EC">
        <w:rPr>
          <w:rFonts w:eastAsia="Times New Roman"/>
          <w:noProof/>
          <w:color w:val="000000" w:themeColor="text1"/>
        </w:rPr>
        <w:t xml:space="preserve"> in the EU, in particular in accessing to publicly listing, private equity, debt financing, venture capital (VC) across series B </w:t>
      </w:r>
      <w:r w:rsidR="00327B1C" w:rsidRPr="004C70EC">
        <w:rPr>
          <w:rFonts w:eastAsia="Times New Roman"/>
          <w:noProof/>
          <w:color w:val="000000" w:themeColor="text1"/>
        </w:rPr>
        <w:t>(expansion stage)</w:t>
      </w:r>
      <w:r w:rsidRPr="004C70EC">
        <w:rPr>
          <w:rFonts w:eastAsia="Times New Roman"/>
          <w:noProof/>
          <w:color w:val="000000" w:themeColor="text1"/>
        </w:rPr>
        <w:t xml:space="preserve"> and C </w:t>
      </w:r>
      <w:bookmarkStart w:id="6" w:name="_Hlk214452282"/>
      <w:r w:rsidR="00327B1C" w:rsidRPr="004C70EC">
        <w:rPr>
          <w:rFonts w:eastAsia="Times New Roman"/>
          <w:noProof/>
          <w:color w:val="000000" w:themeColor="text1"/>
        </w:rPr>
        <w:t xml:space="preserve">(growth stage) </w:t>
      </w:r>
      <w:r w:rsidRPr="004C70EC">
        <w:rPr>
          <w:rFonts w:eastAsia="Times New Roman"/>
          <w:noProof/>
          <w:color w:val="000000" w:themeColor="text1"/>
        </w:rPr>
        <w:t>and capital markets/shareholders</w:t>
      </w:r>
      <w:r w:rsidR="00584368" w:rsidRPr="004C70EC">
        <w:rPr>
          <w:noProof/>
          <w:color w:val="000000" w:themeColor="text1"/>
        </w:rPr>
        <w:t> </w:t>
      </w:r>
      <w:r w:rsidRPr="004C70EC">
        <w:rPr>
          <w:rStyle w:val="FootnoteReference"/>
          <w:noProof/>
          <w:color w:val="000000" w:themeColor="text1"/>
        </w:rPr>
        <w:footnoteReference w:id="64"/>
      </w:r>
      <w:r w:rsidRPr="004C70EC">
        <w:rPr>
          <w:rFonts w:eastAsia="Times New Roman"/>
          <w:noProof/>
          <w:color w:val="000000" w:themeColor="text1"/>
        </w:rPr>
        <w:t xml:space="preserve">. </w:t>
      </w:r>
      <w:bookmarkEnd w:id="6"/>
      <w:r w:rsidRPr="004C70EC">
        <w:rPr>
          <w:rFonts w:eastAsia="Times New Roman"/>
          <w:noProof/>
          <w:color w:val="000000" w:themeColor="text1"/>
        </w:rPr>
        <w:t xml:space="preserve">It should be noted </w:t>
      </w:r>
      <w:r w:rsidR="008451FD" w:rsidRPr="004C70EC">
        <w:rPr>
          <w:rFonts w:eastAsia="Times New Roman"/>
          <w:noProof/>
          <w:color w:val="000000" w:themeColor="text1"/>
        </w:rPr>
        <w:t xml:space="preserve">that </w:t>
      </w:r>
      <w:r w:rsidRPr="004C70EC">
        <w:rPr>
          <w:rFonts w:eastAsia="Times New Roman"/>
          <w:noProof/>
          <w:color w:val="000000" w:themeColor="text1"/>
        </w:rPr>
        <w:t xml:space="preserve">stakeholders also expressed </w:t>
      </w:r>
      <w:r w:rsidRPr="004C70EC">
        <w:rPr>
          <w:rFonts w:eastAsia="Times New Roman"/>
          <w:b/>
          <w:noProof/>
          <w:color w:val="000000" w:themeColor="text1"/>
        </w:rPr>
        <w:t>low level of accessibility to some public funding</w:t>
      </w:r>
      <w:r w:rsidRPr="004C70EC">
        <w:rPr>
          <w:rFonts w:eastAsia="Times New Roman"/>
          <w:noProof/>
          <w:color w:val="000000" w:themeColor="text1"/>
        </w:rPr>
        <w:t xml:space="preserve">, especially for </w:t>
      </w:r>
      <w:r w:rsidR="0027107A" w:rsidRPr="004C70EC">
        <w:rPr>
          <w:rFonts w:eastAsia="Times New Roman"/>
          <w:noProof/>
          <w:color w:val="000000" w:themeColor="text1"/>
        </w:rPr>
        <w:t>support for capacity expansion</w:t>
      </w:r>
      <w:r w:rsidR="0027107A" w:rsidRPr="004C70EC">
        <w:rPr>
          <w:noProof/>
          <w:color w:val="000000" w:themeColor="text1"/>
        </w:rPr>
        <w:t xml:space="preserve">, </w:t>
      </w:r>
      <w:r w:rsidRPr="004C70EC">
        <w:rPr>
          <w:rFonts w:eastAsia="Times New Roman"/>
          <w:noProof/>
          <w:color w:val="000000" w:themeColor="text1"/>
        </w:rPr>
        <w:t>debt/equity instruments</w:t>
      </w:r>
      <w:r w:rsidR="00223B38" w:rsidRPr="004C70EC">
        <w:rPr>
          <w:rFonts w:eastAsia="Times New Roman"/>
          <w:noProof/>
          <w:color w:val="000000" w:themeColor="text1"/>
        </w:rPr>
        <w:t xml:space="preserve">, </w:t>
      </w:r>
      <w:r w:rsidR="0027107A" w:rsidRPr="004C70EC">
        <w:rPr>
          <w:rFonts w:eastAsia="Times New Roman"/>
          <w:noProof/>
          <w:color w:val="000000" w:themeColor="text1"/>
        </w:rPr>
        <w:t xml:space="preserve">and </w:t>
      </w:r>
      <w:r w:rsidR="00223B38" w:rsidRPr="004C70EC">
        <w:rPr>
          <w:rFonts w:eastAsia="Times New Roman"/>
          <w:noProof/>
          <w:color w:val="000000" w:themeColor="text1"/>
        </w:rPr>
        <w:t>c</w:t>
      </w:r>
      <w:r w:rsidRPr="004C70EC">
        <w:rPr>
          <w:rFonts w:eastAsia="Times New Roman"/>
          <w:noProof/>
          <w:color w:val="000000" w:themeColor="text1"/>
        </w:rPr>
        <w:t>ommercialisation support</w:t>
      </w:r>
      <w:r w:rsidRPr="004C70EC">
        <w:rPr>
          <w:rStyle w:val="FootnoteReference"/>
          <w:rFonts w:eastAsia="Times New Roman"/>
          <w:noProof/>
          <w:color w:val="000000" w:themeColor="text1"/>
        </w:rPr>
        <w:footnoteReference w:id="65"/>
      </w:r>
      <w:r w:rsidRPr="004C70EC">
        <w:rPr>
          <w:rFonts w:eastAsia="Times New Roman"/>
          <w:noProof/>
          <w:color w:val="000000" w:themeColor="text1"/>
        </w:rPr>
        <w:t>. Stakeholders indicated less difficulties</w:t>
      </w:r>
      <w:r w:rsidR="00B420DE" w:rsidRPr="004C70EC">
        <w:rPr>
          <w:rFonts w:eastAsia="Times New Roman"/>
          <w:noProof/>
          <w:color w:val="000000" w:themeColor="text1"/>
        </w:rPr>
        <w:t xml:space="preserve"> in</w:t>
      </w:r>
      <w:r w:rsidRPr="004C70EC">
        <w:rPr>
          <w:rFonts w:eastAsia="Times New Roman"/>
          <w:noProof/>
          <w:color w:val="000000" w:themeColor="text1"/>
        </w:rPr>
        <w:t xml:space="preserve"> access</w:t>
      </w:r>
      <w:r w:rsidR="0003111B" w:rsidRPr="004C70EC">
        <w:rPr>
          <w:rFonts w:eastAsia="Times New Roman"/>
          <w:noProof/>
          <w:color w:val="000000" w:themeColor="text1"/>
        </w:rPr>
        <w:t>ing</w:t>
      </w:r>
      <w:r w:rsidR="0028600E" w:rsidRPr="004C70EC">
        <w:rPr>
          <w:rFonts w:eastAsia="Times New Roman"/>
          <w:noProof/>
          <w:color w:val="000000" w:themeColor="text1"/>
        </w:rPr>
        <w:t xml:space="preserve"> </w:t>
      </w:r>
      <w:r w:rsidRPr="004C70EC">
        <w:rPr>
          <w:rFonts w:eastAsia="Times New Roman"/>
          <w:noProof/>
          <w:color w:val="000000" w:themeColor="text1"/>
        </w:rPr>
        <w:t>strategic research or sales partnerships/collaborations, angels, venture capital at start-up/early-stage (series A) and corporate funding</w:t>
      </w:r>
      <w:r w:rsidR="00CB2965" w:rsidRPr="004C70EC">
        <w:rPr>
          <w:noProof/>
          <w:color w:val="000000" w:themeColor="text1"/>
        </w:rPr>
        <w:t> </w:t>
      </w:r>
      <w:r w:rsidRPr="004C70EC">
        <w:rPr>
          <w:rStyle w:val="FootnoteReference"/>
          <w:rFonts w:eastAsia="Times New Roman"/>
          <w:noProof/>
          <w:color w:val="000000" w:themeColor="text1"/>
        </w:rPr>
        <w:footnoteReference w:id="66"/>
      </w:r>
      <w:r w:rsidRPr="004C70EC">
        <w:rPr>
          <w:rFonts w:eastAsia="Times New Roman"/>
          <w:noProof/>
          <w:color w:val="000000" w:themeColor="text1"/>
        </w:rPr>
        <w:t xml:space="preserve"> and public grants and subsidies</w:t>
      </w:r>
      <w:r w:rsidR="00CB2965" w:rsidRPr="004C70EC">
        <w:rPr>
          <w:noProof/>
          <w:color w:val="000000" w:themeColor="text1"/>
        </w:rPr>
        <w:t> </w:t>
      </w:r>
      <w:r w:rsidRPr="004C70EC">
        <w:rPr>
          <w:rStyle w:val="FootnoteReference"/>
          <w:rFonts w:eastAsia="Times New Roman"/>
          <w:noProof/>
          <w:color w:val="000000" w:themeColor="text1"/>
        </w:rPr>
        <w:footnoteReference w:id="67"/>
      </w:r>
      <w:r w:rsidRPr="004C70EC">
        <w:rPr>
          <w:rFonts w:eastAsia="Times New Roman"/>
          <w:noProof/>
          <w:color w:val="000000" w:themeColor="text1"/>
        </w:rPr>
        <w:t>.</w:t>
      </w:r>
    </w:p>
    <w:p w14:paraId="735C19D4" w14:textId="77777777" w:rsidR="00A74563" w:rsidRPr="004C70EC" w:rsidRDefault="00A74563" w:rsidP="00A74563">
      <w:pPr>
        <w:pBdr>
          <w:top w:val="nil"/>
          <w:left w:val="nil"/>
          <w:bottom w:val="nil"/>
          <w:right w:val="nil"/>
          <w:between w:val="nil"/>
          <w:bar w:val="nil"/>
        </w:pBdr>
        <w:spacing w:after="240"/>
        <w:rPr>
          <w:rFonts w:eastAsia="Times New Roman"/>
          <w:noProof/>
          <w:color w:val="000000" w:themeColor="text1"/>
          <w:szCs w:val="24"/>
        </w:rPr>
      </w:pPr>
      <w:r w:rsidRPr="004C70EC">
        <w:rPr>
          <w:rFonts w:eastAsia="Times New Roman"/>
          <w:noProof/>
          <w:color w:val="000000" w:themeColor="text1"/>
        </w:rPr>
        <w:t xml:space="preserve">When asked about the </w:t>
      </w:r>
      <w:r w:rsidRPr="004C70EC">
        <w:rPr>
          <w:rFonts w:eastAsia="Times New Roman"/>
          <w:b/>
          <w:noProof/>
          <w:color w:val="000000" w:themeColor="text1"/>
        </w:rPr>
        <w:t xml:space="preserve">factors driving </w:t>
      </w:r>
      <w:r w:rsidR="005456C5" w:rsidRPr="004C70EC">
        <w:rPr>
          <w:rFonts w:eastAsia="Times New Roman"/>
          <w:b/>
          <w:noProof/>
          <w:color w:val="000000" w:themeColor="text1"/>
        </w:rPr>
        <w:t xml:space="preserve">forward </w:t>
      </w:r>
      <w:r w:rsidRPr="004C70EC">
        <w:rPr>
          <w:rFonts w:eastAsia="Times New Roman"/>
          <w:b/>
          <w:noProof/>
          <w:color w:val="000000" w:themeColor="text1"/>
        </w:rPr>
        <w:t>investments</w:t>
      </w:r>
      <w:r w:rsidRPr="004C70EC">
        <w:rPr>
          <w:rFonts w:eastAsia="Times New Roman"/>
          <w:noProof/>
          <w:color w:val="000000" w:themeColor="text1"/>
        </w:rPr>
        <w:t xml:space="preserve"> in a biotechnology company, </w:t>
      </w:r>
      <w:r w:rsidR="00AA0452" w:rsidRPr="004C70EC">
        <w:rPr>
          <w:rFonts w:eastAsia="Times New Roman"/>
          <w:noProof/>
          <w:color w:val="000000" w:themeColor="text1"/>
        </w:rPr>
        <w:t xml:space="preserve">there were </w:t>
      </w:r>
      <w:r w:rsidRPr="004C70EC">
        <w:rPr>
          <w:rFonts w:eastAsia="Times New Roman"/>
          <w:noProof/>
          <w:color w:val="000000" w:themeColor="text1"/>
        </w:rPr>
        <w:t xml:space="preserve">no major differences </w:t>
      </w:r>
      <w:r w:rsidR="00556B41" w:rsidRPr="004C70EC">
        <w:rPr>
          <w:rFonts w:eastAsia="Times New Roman"/>
          <w:noProof/>
          <w:color w:val="000000" w:themeColor="text1"/>
        </w:rPr>
        <w:t>in</w:t>
      </w:r>
      <w:r w:rsidRPr="004C70EC">
        <w:rPr>
          <w:rFonts w:eastAsia="Times New Roman"/>
          <w:noProof/>
          <w:color w:val="000000" w:themeColor="text1"/>
        </w:rPr>
        <w:t xml:space="preserve"> the answers. Some factors scored high</w:t>
      </w:r>
      <w:r w:rsidR="008C4F91" w:rsidRPr="004C70EC">
        <w:rPr>
          <w:rFonts w:eastAsia="Times New Roman"/>
          <w:noProof/>
          <w:color w:val="000000" w:themeColor="text1"/>
        </w:rPr>
        <w:t>ly</w:t>
      </w:r>
      <w:r w:rsidRPr="004C70EC">
        <w:rPr>
          <w:rFonts w:eastAsia="Times New Roman"/>
          <w:noProof/>
          <w:color w:val="000000" w:themeColor="text1"/>
        </w:rPr>
        <w:t xml:space="preserve">, which are </w:t>
      </w:r>
      <w:r w:rsidR="00EF3276" w:rsidRPr="004C70EC">
        <w:rPr>
          <w:rFonts w:eastAsia="Times New Roman"/>
          <w:noProof/>
          <w:color w:val="000000" w:themeColor="text1"/>
        </w:rPr>
        <w:t>(i)</w:t>
      </w:r>
      <w:r w:rsidRPr="004C70EC">
        <w:rPr>
          <w:rFonts w:eastAsia="Times New Roman"/>
          <w:b/>
          <w:noProof/>
          <w:color w:val="000000" w:themeColor="text1"/>
        </w:rPr>
        <w:t xml:space="preserve"> </w:t>
      </w:r>
      <w:bookmarkStart w:id="7" w:name="_Hlk214453686"/>
      <w:r w:rsidRPr="004C70EC">
        <w:rPr>
          <w:rFonts w:eastAsia="Times New Roman"/>
          <w:noProof/>
          <w:color w:val="000000" w:themeColor="text1"/>
        </w:rPr>
        <w:t>groundbreaking technology</w:t>
      </w:r>
      <w:r w:rsidR="00BB17F0" w:rsidRPr="004C70EC">
        <w:rPr>
          <w:rFonts w:eastAsia="Times New Roman"/>
          <w:noProof/>
          <w:color w:val="000000" w:themeColor="text1"/>
        </w:rPr>
        <w:t>;</w:t>
      </w:r>
      <w:r w:rsidRPr="004C70EC">
        <w:rPr>
          <w:rFonts w:eastAsia="Times New Roman"/>
          <w:noProof/>
          <w:color w:val="000000" w:themeColor="text1"/>
        </w:rPr>
        <w:t xml:space="preserve"> </w:t>
      </w:r>
      <w:r w:rsidR="00EF3276" w:rsidRPr="004C70EC">
        <w:rPr>
          <w:rFonts w:eastAsia="Times New Roman"/>
          <w:noProof/>
          <w:color w:val="000000" w:themeColor="text1"/>
        </w:rPr>
        <w:t xml:space="preserve">(ii) </w:t>
      </w:r>
      <w:r w:rsidRPr="004C70EC">
        <w:rPr>
          <w:rFonts w:eastAsia="Times New Roman"/>
          <w:noProof/>
          <w:color w:val="000000" w:themeColor="text1"/>
        </w:rPr>
        <w:t>regulatory certainty</w:t>
      </w:r>
      <w:r w:rsidR="00BB17F0" w:rsidRPr="004C70EC">
        <w:rPr>
          <w:rFonts w:eastAsia="Times New Roman"/>
          <w:noProof/>
          <w:color w:val="000000" w:themeColor="text1"/>
        </w:rPr>
        <w:t>;</w:t>
      </w:r>
      <w:r w:rsidRPr="004C70EC">
        <w:rPr>
          <w:rFonts w:eastAsia="Times New Roman"/>
          <w:noProof/>
          <w:color w:val="000000" w:themeColor="text1"/>
        </w:rPr>
        <w:t xml:space="preserve"> </w:t>
      </w:r>
      <w:r w:rsidR="00EF3276" w:rsidRPr="004C70EC">
        <w:rPr>
          <w:rFonts w:eastAsia="Times New Roman"/>
          <w:noProof/>
          <w:color w:val="000000" w:themeColor="text1"/>
        </w:rPr>
        <w:t>(iii</w:t>
      </w:r>
      <w:r w:rsidR="0057523C" w:rsidRPr="004C70EC">
        <w:rPr>
          <w:rFonts w:eastAsia="Times New Roman"/>
          <w:noProof/>
          <w:color w:val="000000" w:themeColor="text1"/>
        </w:rPr>
        <w:t xml:space="preserve"> innovative science</w:t>
      </w:r>
      <w:r w:rsidR="00A0127D" w:rsidRPr="004C70EC">
        <w:rPr>
          <w:rFonts w:eastAsia="Times New Roman"/>
          <w:noProof/>
          <w:color w:val="000000" w:themeColor="text1"/>
        </w:rPr>
        <w:t>; (iv)</w:t>
      </w:r>
      <w:r w:rsidR="0057523C" w:rsidRPr="004C70EC">
        <w:rPr>
          <w:rFonts w:eastAsia="Times New Roman"/>
          <w:noProof/>
          <w:color w:val="000000" w:themeColor="text1"/>
        </w:rPr>
        <w:t xml:space="preserve"> </w:t>
      </w:r>
      <w:r w:rsidRPr="004C70EC">
        <w:rPr>
          <w:rFonts w:eastAsia="Times New Roman"/>
          <w:noProof/>
          <w:color w:val="000000" w:themeColor="text1"/>
        </w:rPr>
        <w:t>scientific evidence</w:t>
      </w:r>
      <w:r w:rsidR="00BB17F0" w:rsidRPr="004C70EC">
        <w:rPr>
          <w:rFonts w:eastAsia="Times New Roman"/>
          <w:noProof/>
          <w:color w:val="000000" w:themeColor="text1"/>
        </w:rPr>
        <w:t>;</w:t>
      </w:r>
      <w:r w:rsidRPr="004C70EC">
        <w:rPr>
          <w:rFonts w:eastAsia="Times New Roman"/>
          <w:noProof/>
          <w:color w:val="000000" w:themeColor="text1"/>
        </w:rPr>
        <w:t xml:space="preserve"> </w:t>
      </w:r>
      <w:r w:rsidR="00EF3276" w:rsidRPr="004C70EC">
        <w:rPr>
          <w:rFonts w:eastAsia="Times New Roman"/>
          <w:noProof/>
          <w:color w:val="000000" w:themeColor="text1"/>
        </w:rPr>
        <w:t>(v)</w:t>
      </w:r>
      <w:r w:rsidR="0045734E" w:rsidRPr="004C70EC">
        <w:rPr>
          <w:rFonts w:eastAsia="Times New Roman"/>
          <w:noProof/>
          <w:color w:val="000000" w:themeColor="text1"/>
        </w:rPr>
        <w:t xml:space="preserve"> </w:t>
      </w:r>
      <w:r w:rsidRPr="004C70EC">
        <w:rPr>
          <w:rFonts w:eastAsia="Times New Roman"/>
          <w:noProof/>
          <w:color w:val="000000" w:themeColor="text1"/>
        </w:rPr>
        <w:t>experienced management team</w:t>
      </w:r>
      <w:r w:rsidR="00BB17F0" w:rsidRPr="004C70EC">
        <w:rPr>
          <w:rFonts w:eastAsia="Times New Roman"/>
          <w:noProof/>
          <w:color w:val="000000" w:themeColor="text1"/>
        </w:rPr>
        <w:t>;</w:t>
      </w:r>
      <w:r w:rsidRPr="004C70EC">
        <w:rPr>
          <w:rFonts w:eastAsia="Times New Roman"/>
          <w:noProof/>
          <w:color w:val="000000" w:themeColor="text1"/>
        </w:rPr>
        <w:t xml:space="preserve"> </w:t>
      </w:r>
      <w:r w:rsidR="00D41568" w:rsidRPr="004C70EC">
        <w:rPr>
          <w:rFonts w:eastAsia="Times New Roman"/>
          <w:noProof/>
          <w:color w:val="000000" w:themeColor="text1"/>
        </w:rPr>
        <w:t xml:space="preserve">and </w:t>
      </w:r>
      <w:r w:rsidR="00BB17F0" w:rsidRPr="004C70EC">
        <w:rPr>
          <w:rFonts w:eastAsia="Times New Roman"/>
          <w:noProof/>
          <w:color w:val="000000" w:themeColor="text1"/>
        </w:rPr>
        <w:t>(v</w:t>
      </w:r>
      <w:r w:rsidR="00A0127D" w:rsidRPr="004C70EC">
        <w:rPr>
          <w:rFonts w:eastAsia="Times New Roman"/>
          <w:noProof/>
          <w:color w:val="000000" w:themeColor="text1"/>
        </w:rPr>
        <w:t>i</w:t>
      </w:r>
      <w:r w:rsidR="00BB17F0" w:rsidRPr="004C70EC">
        <w:rPr>
          <w:rFonts w:eastAsia="Times New Roman"/>
          <w:noProof/>
          <w:color w:val="000000" w:themeColor="text1"/>
        </w:rPr>
        <w:t>)</w:t>
      </w:r>
      <w:r w:rsidRPr="004C70EC">
        <w:rPr>
          <w:rFonts w:eastAsia="Times New Roman"/>
          <w:noProof/>
          <w:color w:val="000000" w:themeColor="text1"/>
        </w:rPr>
        <w:t xml:space="preserve"> sufficient protection of intellectual property rights</w:t>
      </w:r>
      <w:r w:rsidR="00CB2965" w:rsidRPr="004C70EC">
        <w:rPr>
          <w:noProof/>
          <w:color w:val="000000" w:themeColor="text1"/>
        </w:rPr>
        <w:t> </w:t>
      </w:r>
      <w:bookmarkEnd w:id="7"/>
      <w:r w:rsidRPr="004C70EC">
        <w:rPr>
          <w:rStyle w:val="FootnoteReference"/>
          <w:rFonts w:eastAsia="Times New Roman"/>
          <w:noProof/>
          <w:color w:val="000000" w:themeColor="text1"/>
        </w:rPr>
        <w:footnoteReference w:id="68"/>
      </w:r>
      <w:r w:rsidRPr="004C70EC">
        <w:rPr>
          <w:rFonts w:eastAsia="Times New Roman"/>
          <w:noProof/>
          <w:color w:val="000000" w:themeColor="text1"/>
        </w:rPr>
        <w:t>.</w:t>
      </w:r>
    </w:p>
    <w:p w14:paraId="2F57C0E5" w14:textId="77777777" w:rsidR="00A74563" w:rsidRPr="004C70EC" w:rsidRDefault="001F0F65" w:rsidP="00A74563">
      <w:pPr>
        <w:pBdr>
          <w:top w:val="nil"/>
          <w:left w:val="nil"/>
          <w:bottom w:val="nil"/>
          <w:right w:val="nil"/>
          <w:between w:val="nil"/>
          <w:bar w:val="nil"/>
        </w:pBdr>
        <w:spacing w:after="240"/>
        <w:rPr>
          <w:rFonts w:eastAsia="Times New Roman"/>
          <w:noProof/>
          <w:color w:val="000000" w:themeColor="text1"/>
          <w:szCs w:val="24"/>
        </w:rPr>
      </w:pPr>
      <w:r w:rsidRPr="004C70EC">
        <w:rPr>
          <w:rFonts w:eastAsia="Times New Roman"/>
          <w:noProof/>
          <w:color w:val="000000" w:themeColor="text1"/>
        </w:rPr>
        <w:t>On</w:t>
      </w:r>
      <w:r w:rsidR="00A74563" w:rsidRPr="004C70EC">
        <w:rPr>
          <w:rFonts w:eastAsia="Times New Roman"/>
          <w:noProof/>
          <w:color w:val="000000" w:themeColor="text1"/>
        </w:rPr>
        <w:t xml:space="preserve"> </w:t>
      </w:r>
      <w:r w:rsidR="00A74563" w:rsidRPr="004C70EC">
        <w:rPr>
          <w:rFonts w:eastAsia="Times New Roman"/>
          <w:b/>
          <w:noProof/>
          <w:color w:val="000000" w:themeColor="text1"/>
        </w:rPr>
        <w:t>clusters</w:t>
      </w:r>
      <w:r w:rsidR="00A74563" w:rsidRPr="004C70EC">
        <w:rPr>
          <w:rFonts w:eastAsia="Times New Roman"/>
          <w:noProof/>
          <w:color w:val="000000" w:themeColor="text1"/>
        </w:rPr>
        <w:t xml:space="preserve">, the five main barriers faced by </w:t>
      </w:r>
      <w:r w:rsidR="00CB2965" w:rsidRPr="004C70EC">
        <w:rPr>
          <w:rFonts w:eastAsia="Times New Roman"/>
          <w:noProof/>
          <w:color w:val="000000" w:themeColor="text1"/>
        </w:rPr>
        <w:t>EU</w:t>
      </w:r>
      <w:r w:rsidR="009E19C2" w:rsidRPr="004C70EC">
        <w:rPr>
          <w:rFonts w:eastAsia="Times New Roman"/>
          <w:noProof/>
          <w:color w:val="000000" w:themeColor="text1"/>
        </w:rPr>
        <w:t xml:space="preserve"> </w:t>
      </w:r>
      <w:r w:rsidR="00A74563" w:rsidRPr="004C70EC">
        <w:rPr>
          <w:rFonts w:eastAsia="Times New Roman"/>
          <w:noProof/>
          <w:color w:val="000000" w:themeColor="text1"/>
        </w:rPr>
        <w:t xml:space="preserve">biotechnology clusters and/or cluster organisations </w:t>
      </w:r>
      <w:r w:rsidR="00CB2965" w:rsidRPr="004C70EC">
        <w:rPr>
          <w:rFonts w:eastAsia="Times New Roman"/>
          <w:noProof/>
          <w:color w:val="000000" w:themeColor="text1"/>
        </w:rPr>
        <w:t>preventing them from reaching</w:t>
      </w:r>
      <w:r w:rsidR="00A74563" w:rsidRPr="004C70EC">
        <w:rPr>
          <w:rFonts w:eastAsia="Times New Roman"/>
          <w:noProof/>
          <w:color w:val="000000" w:themeColor="text1"/>
        </w:rPr>
        <w:t xml:space="preserve"> their full potential were</w:t>
      </w:r>
      <w:r w:rsidR="00E12A4D" w:rsidRPr="004C70EC">
        <w:rPr>
          <w:rFonts w:eastAsia="Times New Roman"/>
          <w:noProof/>
          <w:color w:val="000000" w:themeColor="text1"/>
        </w:rPr>
        <w:t xml:space="preserve"> identified as</w:t>
      </w:r>
      <w:r w:rsidR="00A74563" w:rsidRPr="004C70EC">
        <w:rPr>
          <w:rFonts w:eastAsia="Times New Roman"/>
          <w:noProof/>
          <w:color w:val="000000" w:themeColor="text1"/>
        </w:rPr>
        <w:t xml:space="preserve">: </w:t>
      </w:r>
      <w:r w:rsidR="00BB17F0" w:rsidRPr="004C70EC">
        <w:rPr>
          <w:rFonts w:eastAsia="Times New Roman"/>
          <w:noProof/>
          <w:color w:val="000000" w:themeColor="text1"/>
        </w:rPr>
        <w:t>(i)</w:t>
      </w:r>
      <w:r w:rsidR="00A74563" w:rsidRPr="004C70EC">
        <w:rPr>
          <w:rFonts w:eastAsia="Times New Roman"/>
          <w:noProof/>
          <w:color w:val="000000" w:themeColor="text1"/>
        </w:rPr>
        <w:t xml:space="preserve"> insufficient financial support</w:t>
      </w:r>
      <w:r w:rsidR="00BB17F0" w:rsidRPr="004C70EC">
        <w:rPr>
          <w:rFonts w:eastAsia="Times New Roman"/>
          <w:noProof/>
          <w:color w:val="000000" w:themeColor="text1"/>
        </w:rPr>
        <w:t>; (ii)</w:t>
      </w:r>
      <w:r w:rsidR="00A74563" w:rsidRPr="004C70EC">
        <w:rPr>
          <w:rFonts w:eastAsia="Times New Roman"/>
          <w:noProof/>
          <w:color w:val="000000" w:themeColor="text1"/>
        </w:rPr>
        <w:t xml:space="preserve"> insufficient public support</w:t>
      </w:r>
      <w:r w:rsidR="00BB17F0" w:rsidRPr="004C70EC">
        <w:rPr>
          <w:rFonts w:eastAsia="Times New Roman"/>
          <w:noProof/>
          <w:color w:val="000000" w:themeColor="text1"/>
        </w:rPr>
        <w:t>; (iii)</w:t>
      </w:r>
      <w:r w:rsidR="00A74563" w:rsidRPr="004C70EC">
        <w:rPr>
          <w:rFonts w:eastAsia="Times New Roman"/>
          <w:noProof/>
          <w:color w:val="000000" w:themeColor="text1"/>
        </w:rPr>
        <w:t xml:space="preserve"> incapacity to reach a critical mass of stakeholders</w:t>
      </w:r>
      <w:r w:rsidR="00BB17F0" w:rsidRPr="004C70EC">
        <w:rPr>
          <w:rFonts w:eastAsia="Times New Roman"/>
          <w:noProof/>
          <w:color w:val="000000" w:themeColor="text1"/>
        </w:rPr>
        <w:t>; (iv)</w:t>
      </w:r>
      <w:r w:rsidR="00A74563" w:rsidRPr="004C70EC">
        <w:rPr>
          <w:rFonts w:eastAsia="Times New Roman"/>
          <w:noProof/>
          <w:color w:val="000000" w:themeColor="text1"/>
        </w:rPr>
        <w:t xml:space="preserve"> insufficient start-up incubators or business support infrastructure</w:t>
      </w:r>
      <w:r w:rsidR="00BB17F0" w:rsidRPr="004C70EC">
        <w:rPr>
          <w:rFonts w:eastAsia="Times New Roman"/>
          <w:noProof/>
          <w:color w:val="000000" w:themeColor="text1"/>
        </w:rPr>
        <w:t>;</w:t>
      </w:r>
      <w:r w:rsidR="00A74563" w:rsidRPr="004C70EC">
        <w:rPr>
          <w:rFonts w:eastAsia="Times New Roman"/>
          <w:noProof/>
          <w:color w:val="000000" w:themeColor="text1"/>
        </w:rPr>
        <w:t xml:space="preserve"> and</w:t>
      </w:r>
      <w:r w:rsidR="00BB17F0" w:rsidRPr="004C70EC">
        <w:rPr>
          <w:rFonts w:eastAsia="Times New Roman"/>
          <w:noProof/>
          <w:color w:val="000000" w:themeColor="text1"/>
        </w:rPr>
        <w:t xml:space="preserve"> (v)</w:t>
      </w:r>
      <w:r w:rsidR="00A74563" w:rsidRPr="004C70EC">
        <w:rPr>
          <w:rFonts w:eastAsia="Times New Roman"/>
          <w:noProof/>
          <w:color w:val="000000" w:themeColor="text1"/>
        </w:rPr>
        <w:t xml:space="preserve"> insufficient collaboration among existing clusters</w:t>
      </w:r>
      <w:r w:rsidR="00A74563" w:rsidRPr="004C70EC">
        <w:rPr>
          <w:rStyle w:val="FootnoteReference"/>
          <w:rFonts w:eastAsia="Times New Roman"/>
          <w:noProof/>
          <w:color w:val="000000" w:themeColor="text1"/>
        </w:rPr>
        <w:footnoteReference w:id="69"/>
      </w:r>
      <w:r w:rsidR="00A74563" w:rsidRPr="004C70EC">
        <w:rPr>
          <w:rFonts w:eastAsia="Times New Roman"/>
          <w:noProof/>
          <w:color w:val="000000" w:themeColor="text1"/>
        </w:rPr>
        <w:t xml:space="preserve">. </w:t>
      </w:r>
    </w:p>
    <w:p w14:paraId="548FD3CD" w14:textId="77777777" w:rsidR="00A74563" w:rsidRPr="004C70EC" w:rsidRDefault="00172AA4" w:rsidP="00A74563">
      <w:pPr>
        <w:pBdr>
          <w:top w:val="nil"/>
          <w:left w:val="nil"/>
          <w:bottom w:val="nil"/>
          <w:right w:val="nil"/>
          <w:between w:val="nil"/>
          <w:bar w:val="nil"/>
        </w:pBdr>
        <w:spacing w:after="240"/>
        <w:rPr>
          <w:rFonts w:eastAsia="Times New Roman"/>
          <w:noProof/>
          <w:color w:val="000000" w:themeColor="text1"/>
          <w:szCs w:val="24"/>
        </w:rPr>
      </w:pPr>
      <w:r w:rsidRPr="004C70EC">
        <w:rPr>
          <w:rFonts w:eastAsia="Times New Roman"/>
          <w:noProof/>
          <w:color w:val="000000" w:themeColor="text1"/>
          <w:lang w:val="en-IE"/>
        </w:rPr>
        <w:t>Stakeholders identified the main challenges impacting the EU biomanufacturing sector as</w:t>
      </w:r>
      <w:r w:rsidR="007F01DD" w:rsidRPr="004C70EC">
        <w:rPr>
          <w:rFonts w:eastAsia="Times New Roman"/>
          <w:noProof/>
          <w:color w:val="000000" w:themeColor="text1"/>
          <w:lang w:val="en-IE"/>
        </w:rPr>
        <w:t>:</w:t>
      </w:r>
      <w:r w:rsidRPr="004C70EC">
        <w:rPr>
          <w:rFonts w:eastAsia="Times New Roman"/>
          <w:noProof/>
          <w:color w:val="000000" w:themeColor="text1"/>
          <w:lang w:val="en-IE"/>
        </w:rPr>
        <w:t xml:space="preserve"> </w:t>
      </w:r>
      <w:r w:rsidR="006F488E" w:rsidRPr="004C70EC">
        <w:rPr>
          <w:rFonts w:eastAsia="Times New Roman"/>
          <w:noProof/>
          <w:color w:val="000000" w:themeColor="text1"/>
          <w:lang w:val="en-IE"/>
        </w:rPr>
        <w:t xml:space="preserve">(i) </w:t>
      </w:r>
      <w:r w:rsidRPr="004C70EC">
        <w:rPr>
          <w:rFonts w:eastAsia="Times New Roman"/>
          <w:b/>
          <w:noProof/>
          <w:color w:val="000000" w:themeColor="text1"/>
        </w:rPr>
        <w:t>g</w:t>
      </w:r>
      <w:r w:rsidR="00A74563" w:rsidRPr="004C70EC">
        <w:rPr>
          <w:rFonts w:eastAsia="Times New Roman"/>
          <w:b/>
          <w:noProof/>
          <w:color w:val="000000" w:themeColor="text1"/>
        </w:rPr>
        <w:t>lobal competition</w:t>
      </w:r>
      <w:r w:rsidR="006F488E" w:rsidRPr="004C70EC">
        <w:rPr>
          <w:rFonts w:eastAsia="Times New Roman"/>
          <w:noProof/>
          <w:color w:val="000000" w:themeColor="text1"/>
        </w:rPr>
        <w:t>; (ii)</w:t>
      </w:r>
      <w:r w:rsidR="00A74563" w:rsidRPr="004C70EC">
        <w:rPr>
          <w:rFonts w:eastAsia="Times New Roman"/>
          <w:noProof/>
          <w:color w:val="000000" w:themeColor="text1"/>
        </w:rPr>
        <w:t xml:space="preserve"> length and/or complexity of </w:t>
      </w:r>
      <w:r w:rsidR="00A74563" w:rsidRPr="004C70EC">
        <w:rPr>
          <w:rFonts w:eastAsia="Times New Roman"/>
          <w:b/>
          <w:noProof/>
          <w:color w:val="000000" w:themeColor="text1"/>
        </w:rPr>
        <w:t>permitting</w:t>
      </w:r>
      <w:r w:rsidR="00A74563" w:rsidRPr="004C70EC">
        <w:rPr>
          <w:rFonts w:eastAsia="Times New Roman"/>
          <w:noProof/>
          <w:color w:val="000000" w:themeColor="text1"/>
        </w:rPr>
        <w:t xml:space="preserve"> </w:t>
      </w:r>
      <w:r w:rsidR="00A74563" w:rsidRPr="004C70EC">
        <w:rPr>
          <w:rFonts w:eastAsia="Times New Roman"/>
          <w:b/>
          <w:noProof/>
          <w:color w:val="000000" w:themeColor="text1"/>
        </w:rPr>
        <w:t>processes for new facilities</w:t>
      </w:r>
      <w:r w:rsidR="006F488E" w:rsidRPr="004C70EC">
        <w:rPr>
          <w:rFonts w:eastAsia="Times New Roman"/>
          <w:b/>
          <w:noProof/>
          <w:color w:val="000000" w:themeColor="text1"/>
        </w:rPr>
        <w:t xml:space="preserve">; </w:t>
      </w:r>
      <w:r w:rsidR="006F488E" w:rsidRPr="004C70EC">
        <w:rPr>
          <w:rFonts w:eastAsia="Times New Roman"/>
          <w:noProof/>
          <w:color w:val="000000" w:themeColor="text1"/>
        </w:rPr>
        <w:t>(iii)</w:t>
      </w:r>
      <w:r w:rsidR="00A74563" w:rsidRPr="004C70EC">
        <w:rPr>
          <w:rFonts w:eastAsia="Times New Roman"/>
          <w:noProof/>
          <w:color w:val="000000" w:themeColor="text1"/>
        </w:rPr>
        <w:t xml:space="preserve"> difficulty of</w:t>
      </w:r>
      <w:r w:rsidR="00A74563" w:rsidRPr="004C70EC">
        <w:rPr>
          <w:rFonts w:eastAsia="Times New Roman"/>
          <w:b/>
          <w:noProof/>
          <w:color w:val="000000" w:themeColor="text1"/>
        </w:rPr>
        <w:t xml:space="preserve"> scaling up from pilot to industrial production</w:t>
      </w:r>
      <w:r w:rsidR="006F488E" w:rsidRPr="004C70EC">
        <w:rPr>
          <w:rFonts w:eastAsia="Times New Roman"/>
          <w:noProof/>
          <w:color w:val="000000" w:themeColor="text1"/>
        </w:rPr>
        <w:t>; (iv)</w:t>
      </w:r>
      <w:r w:rsidR="00A74563" w:rsidRPr="004C70EC">
        <w:rPr>
          <w:rFonts w:eastAsia="Times New Roman"/>
          <w:noProof/>
          <w:color w:val="000000" w:themeColor="text1"/>
        </w:rPr>
        <w:t xml:space="preserve"> high energy costs</w:t>
      </w:r>
      <w:r w:rsidR="00DA3A20" w:rsidRPr="004C70EC">
        <w:rPr>
          <w:rFonts w:eastAsia="Times New Roman"/>
          <w:noProof/>
          <w:color w:val="000000" w:themeColor="text1"/>
        </w:rPr>
        <w:t>;</w:t>
      </w:r>
      <w:r w:rsidR="00A74563" w:rsidRPr="004C70EC">
        <w:rPr>
          <w:rFonts w:eastAsia="Times New Roman"/>
          <w:noProof/>
          <w:color w:val="000000" w:themeColor="text1"/>
        </w:rPr>
        <w:t xml:space="preserve"> and</w:t>
      </w:r>
      <w:r w:rsidR="006F488E" w:rsidRPr="004C70EC">
        <w:rPr>
          <w:rFonts w:eastAsia="Times New Roman"/>
          <w:noProof/>
          <w:color w:val="000000" w:themeColor="text1"/>
        </w:rPr>
        <w:t xml:space="preserve"> (v) </w:t>
      </w:r>
      <w:r w:rsidR="00A74563" w:rsidRPr="004C70EC">
        <w:rPr>
          <w:rFonts w:eastAsia="Times New Roman"/>
          <w:noProof/>
          <w:color w:val="000000" w:themeColor="text1"/>
        </w:rPr>
        <w:t>the</w:t>
      </w:r>
      <w:r w:rsidR="00A74563" w:rsidRPr="004C70EC">
        <w:rPr>
          <w:rFonts w:eastAsia="Times New Roman"/>
          <w:b/>
          <w:noProof/>
          <w:color w:val="000000" w:themeColor="text1"/>
        </w:rPr>
        <w:t xml:space="preserve"> </w:t>
      </w:r>
      <w:r w:rsidR="00A74563" w:rsidRPr="004C70EC">
        <w:rPr>
          <w:rFonts w:eastAsia="Times New Roman"/>
          <w:noProof/>
          <w:color w:val="000000" w:themeColor="text1"/>
        </w:rPr>
        <w:t>high cost of raw material</w:t>
      </w:r>
      <w:r w:rsidR="00A7188F" w:rsidRPr="004C70EC">
        <w:rPr>
          <w:rFonts w:eastAsia="Times New Roman"/>
          <w:noProof/>
          <w:color w:val="000000" w:themeColor="text1"/>
        </w:rPr>
        <w:t xml:space="preserve"> and/or of the operations</w:t>
      </w:r>
      <w:r w:rsidR="00A74563" w:rsidRPr="004C70EC">
        <w:rPr>
          <w:rStyle w:val="FootnoteReference"/>
          <w:rFonts w:eastAsia="Times New Roman"/>
          <w:noProof/>
          <w:color w:val="000000" w:themeColor="text1"/>
        </w:rPr>
        <w:footnoteReference w:id="70"/>
      </w:r>
      <w:r w:rsidR="00A74563" w:rsidRPr="004C70EC">
        <w:rPr>
          <w:rFonts w:eastAsia="Times New Roman"/>
          <w:noProof/>
          <w:color w:val="000000" w:themeColor="text1"/>
        </w:rPr>
        <w:t xml:space="preserve">. </w:t>
      </w:r>
      <w:r w:rsidR="007B110A" w:rsidRPr="004C70EC">
        <w:rPr>
          <w:rFonts w:eastAsia="Times New Roman"/>
          <w:noProof/>
          <w:color w:val="000000" w:themeColor="text1"/>
        </w:rPr>
        <w:t xml:space="preserve">A </w:t>
      </w:r>
      <w:r w:rsidR="00B920EE" w:rsidRPr="004C70EC">
        <w:rPr>
          <w:rFonts w:eastAsia="Times New Roman"/>
          <w:noProof/>
          <w:color w:val="000000" w:themeColor="text1"/>
        </w:rPr>
        <w:t xml:space="preserve">majority </w:t>
      </w:r>
      <w:r w:rsidR="007B110A" w:rsidRPr="004C70EC">
        <w:rPr>
          <w:rFonts w:eastAsia="Times New Roman"/>
          <w:noProof/>
          <w:color w:val="000000" w:themeColor="text1"/>
        </w:rPr>
        <w:t>of respondents also agreed</w:t>
      </w:r>
      <w:r w:rsidR="00A74563" w:rsidRPr="004C70EC">
        <w:rPr>
          <w:rFonts w:eastAsia="Times New Roman"/>
          <w:noProof/>
          <w:color w:val="000000" w:themeColor="text1"/>
        </w:rPr>
        <w:t xml:space="preserve"> that </w:t>
      </w:r>
      <w:r w:rsidR="00441191" w:rsidRPr="004C70EC">
        <w:rPr>
          <w:rFonts w:eastAsia="Times New Roman"/>
          <w:noProof/>
          <w:color w:val="000000" w:themeColor="text1"/>
        </w:rPr>
        <w:t>major challenges are also posed by</w:t>
      </w:r>
      <w:r w:rsidR="00D270F2" w:rsidRPr="004C70EC">
        <w:rPr>
          <w:rFonts w:eastAsia="Times New Roman"/>
          <w:noProof/>
          <w:color w:val="000000" w:themeColor="text1"/>
        </w:rPr>
        <w:t xml:space="preserve"> </w:t>
      </w:r>
      <w:r w:rsidR="00A74563" w:rsidRPr="004C70EC">
        <w:rPr>
          <w:rFonts w:eastAsia="Times New Roman"/>
          <w:noProof/>
          <w:color w:val="000000" w:themeColor="text1"/>
        </w:rPr>
        <w:t xml:space="preserve">the inconsistent environmental and sustainability policies, </w:t>
      </w:r>
      <w:r w:rsidR="00955F75" w:rsidRPr="004C70EC">
        <w:rPr>
          <w:rFonts w:eastAsia="Times New Roman"/>
          <w:noProof/>
          <w:color w:val="000000" w:themeColor="text1"/>
        </w:rPr>
        <w:t>vul</w:t>
      </w:r>
      <w:r w:rsidR="00296433" w:rsidRPr="004C70EC">
        <w:rPr>
          <w:rFonts w:eastAsia="Times New Roman"/>
          <w:noProof/>
          <w:color w:val="000000" w:themeColor="text1"/>
        </w:rPr>
        <w:t>nerabilities in the supply chains</w:t>
      </w:r>
      <w:r w:rsidR="00A74563" w:rsidRPr="004C70EC">
        <w:rPr>
          <w:rFonts w:eastAsia="Times New Roman"/>
          <w:noProof/>
          <w:color w:val="000000" w:themeColor="text1"/>
        </w:rPr>
        <w:t xml:space="preserve"> and other operational costs</w:t>
      </w:r>
      <w:r w:rsidR="00A74563" w:rsidRPr="004C70EC">
        <w:rPr>
          <w:rStyle w:val="FootnoteReference"/>
          <w:rFonts w:eastAsia="Times New Roman"/>
          <w:noProof/>
          <w:color w:val="000000" w:themeColor="text1"/>
        </w:rPr>
        <w:footnoteReference w:id="71"/>
      </w:r>
      <w:r w:rsidR="00A74563" w:rsidRPr="004C70EC">
        <w:rPr>
          <w:rFonts w:eastAsia="Times New Roman"/>
          <w:noProof/>
          <w:color w:val="000000" w:themeColor="text1"/>
        </w:rPr>
        <w:t xml:space="preserve">. </w:t>
      </w:r>
    </w:p>
    <w:p w14:paraId="2CBD4BAC" w14:textId="77777777" w:rsidR="00A74563" w:rsidRPr="004C70EC" w:rsidRDefault="00CB3981" w:rsidP="00A74563">
      <w:pPr>
        <w:pBdr>
          <w:top w:val="nil"/>
          <w:left w:val="nil"/>
          <w:bottom w:val="nil"/>
          <w:right w:val="nil"/>
          <w:between w:val="nil"/>
          <w:bar w:val="nil"/>
        </w:pBdr>
        <w:spacing w:after="240"/>
        <w:rPr>
          <w:rFonts w:eastAsia="Times New Roman"/>
          <w:noProof/>
          <w:color w:val="000000" w:themeColor="text1"/>
          <w:szCs w:val="24"/>
        </w:rPr>
      </w:pPr>
      <w:r w:rsidRPr="004C70EC">
        <w:rPr>
          <w:rFonts w:eastAsia="Times New Roman"/>
          <w:noProof/>
          <w:color w:val="000000" w:themeColor="text1"/>
        </w:rPr>
        <w:t>The public consultation also confirmed the challenges faced by</w:t>
      </w:r>
      <w:r w:rsidR="00A74563" w:rsidRPr="004C70EC">
        <w:rPr>
          <w:rFonts w:eastAsia="Times New Roman"/>
          <w:noProof/>
          <w:color w:val="000000" w:themeColor="text1"/>
        </w:rPr>
        <w:t xml:space="preserve"> the </w:t>
      </w:r>
      <w:r w:rsidR="00A74563" w:rsidRPr="004C70EC">
        <w:rPr>
          <w:rFonts w:eastAsia="Times New Roman"/>
          <w:b/>
          <w:noProof/>
          <w:color w:val="000000" w:themeColor="text1"/>
        </w:rPr>
        <w:t>EU workforce</w:t>
      </w:r>
      <w:r w:rsidRPr="004C70EC">
        <w:rPr>
          <w:rFonts w:eastAsia="Times New Roman"/>
          <w:b/>
          <w:noProof/>
          <w:color w:val="000000" w:themeColor="text1"/>
        </w:rPr>
        <w:t>.</w:t>
      </w:r>
      <w:r w:rsidR="00A74563" w:rsidRPr="004C70EC">
        <w:rPr>
          <w:rFonts w:eastAsia="Times New Roman"/>
          <w:noProof/>
          <w:color w:val="000000" w:themeColor="text1"/>
        </w:rPr>
        <w:t xml:space="preserve"> </w:t>
      </w:r>
      <w:r w:rsidR="0017075F" w:rsidRPr="004C70EC">
        <w:rPr>
          <w:rFonts w:eastAsia="Times New Roman"/>
          <w:noProof/>
          <w:color w:val="000000" w:themeColor="text1"/>
        </w:rPr>
        <w:t>S</w:t>
      </w:r>
      <w:r w:rsidR="00A74563" w:rsidRPr="004C70EC">
        <w:rPr>
          <w:rFonts w:eastAsia="Times New Roman"/>
          <w:noProof/>
          <w:color w:val="000000" w:themeColor="text1"/>
        </w:rPr>
        <w:t>takeholders</w:t>
      </w:r>
      <w:r w:rsidR="000F5282" w:rsidRPr="004C70EC">
        <w:rPr>
          <w:rFonts w:eastAsia="Times New Roman"/>
          <w:noProof/>
          <w:color w:val="000000" w:themeColor="text1"/>
        </w:rPr>
        <w:t>’</w:t>
      </w:r>
      <w:r w:rsidR="00A74563" w:rsidRPr="004C70EC">
        <w:rPr>
          <w:rFonts w:eastAsia="Times New Roman"/>
          <w:noProof/>
          <w:color w:val="000000" w:themeColor="text1"/>
        </w:rPr>
        <w:t xml:space="preserve"> </w:t>
      </w:r>
      <w:r w:rsidR="00100CA8" w:rsidRPr="004C70EC">
        <w:rPr>
          <w:rFonts w:eastAsia="Times New Roman"/>
          <w:noProof/>
          <w:color w:val="000000" w:themeColor="text1"/>
        </w:rPr>
        <w:t xml:space="preserve">views were </w:t>
      </w:r>
      <w:r w:rsidR="00A74563" w:rsidRPr="004C70EC">
        <w:rPr>
          <w:rFonts w:eastAsia="Times New Roman"/>
          <w:noProof/>
          <w:color w:val="000000" w:themeColor="text1"/>
        </w:rPr>
        <w:t>alig</w:t>
      </w:r>
      <w:r w:rsidR="0055729D" w:rsidRPr="004C70EC">
        <w:rPr>
          <w:rFonts w:eastAsia="Times New Roman"/>
          <w:noProof/>
          <w:color w:val="000000" w:themeColor="text1"/>
        </w:rPr>
        <w:t>ned</w:t>
      </w:r>
      <w:r w:rsidR="00A74563" w:rsidRPr="004C70EC">
        <w:rPr>
          <w:rFonts w:eastAsia="Times New Roman"/>
          <w:noProof/>
          <w:color w:val="000000" w:themeColor="text1"/>
        </w:rPr>
        <w:t xml:space="preserve"> on three</w:t>
      </w:r>
      <w:r w:rsidR="0055729D" w:rsidRPr="004C70EC">
        <w:rPr>
          <w:rFonts w:eastAsia="Times New Roman"/>
          <w:noProof/>
          <w:color w:val="000000" w:themeColor="text1"/>
        </w:rPr>
        <w:t xml:space="preserve"> main</w:t>
      </w:r>
      <w:r w:rsidR="00A74563" w:rsidRPr="004C70EC">
        <w:rPr>
          <w:rFonts w:eastAsia="Times New Roman"/>
          <w:noProof/>
          <w:color w:val="000000" w:themeColor="text1"/>
        </w:rPr>
        <w:t xml:space="preserve"> challenges: </w:t>
      </w:r>
      <w:bookmarkStart w:id="8" w:name="_Hlk214461989"/>
      <w:r w:rsidR="00F0665F" w:rsidRPr="004C70EC">
        <w:rPr>
          <w:rFonts w:eastAsia="Times New Roman"/>
          <w:noProof/>
          <w:color w:val="000000" w:themeColor="text1"/>
        </w:rPr>
        <w:t xml:space="preserve">(i) </w:t>
      </w:r>
      <w:r w:rsidR="00A74563" w:rsidRPr="004C70EC">
        <w:rPr>
          <w:rFonts w:eastAsia="Times New Roman"/>
          <w:noProof/>
          <w:color w:val="000000" w:themeColor="text1"/>
        </w:rPr>
        <w:t>the limited financial, entrepreneurial skills and mindsets</w:t>
      </w:r>
      <w:r w:rsidR="00F0665F" w:rsidRPr="004C70EC">
        <w:rPr>
          <w:rFonts w:eastAsia="Times New Roman"/>
          <w:noProof/>
          <w:color w:val="000000" w:themeColor="text1"/>
        </w:rPr>
        <w:t xml:space="preserve">; </w:t>
      </w:r>
      <w:r w:rsidR="00576D8F" w:rsidRPr="004C70EC">
        <w:rPr>
          <w:rFonts w:eastAsia="Times New Roman"/>
          <w:noProof/>
          <w:color w:val="000000" w:themeColor="text1"/>
        </w:rPr>
        <w:t>(ii</w:t>
      </w:r>
      <w:r w:rsidR="00F0665F" w:rsidRPr="004C70EC">
        <w:rPr>
          <w:rFonts w:eastAsia="Times New Roman"/>
          <w:noProof/>
          <w:color w:val="000000" w:themeColor="text1"/>
        </w:rPr>
        <w:t>)</w:t>
      </w:r>
      <w:r w:rsidR="00A74563" w:rsidRPr="004C70EC">
        <w:rPr>
          <w:rFonts w:eastAsia="Times New Roman"/>
          <w:noProof/>
          <w:color w:val="000000" w:themeColor="text1"/>
        </w:rPr>
        <w:t xml:space="preserve"> the insufficient regulatory and quality assurance expertise</w:t>
      </w:r>
      <w:r w:rsidR="00576D8F" w:rsidRPr="004C70EC">
        <w:rPr>
          <w:rFonts w:eastAsia="Times New Roman"/>
          <w:noProof/>
          <w:color w:val="000000" w:themeColor="text1"/>
        </w:rPr>
        <w:t>;</w:t>
      </w:r>
      <w:r w:rsidR="00480655" w:rsidRPr="004C70EC">
        <w:rPr>
          <w:rFonts w:eastAsia="Times New Roman"/>
          <w:noProof/>
          <w:color w:val="000000" w:themeColor="text1"/>
        </w:rPr>
        <w:t xml:space="preserve"> and</w:t>
      </w:r>
      <w:r w:rsidR="00A74563" w:rsidRPr="004C70EC">
        <w:rPr>
          <w:rFonts w:eastAsia="Times New Roman"/>
          <w:noProof/>
          <w:color w:val="000000" w:themeColor="text1"/>
        </w:rPr>
        <w:t xml:space="preserve"> </w:t>
      </w:r>
      <w:r w:rsidR="00576D8F" w:rsidRPr="004C70EC">
        <w:rPr>
          <w:rFonts w:eastAsia="Times New Roman"/>
          <w:noProof/>
          <w:color w:val="000000" w:themeColor="text1"/>
        </w:rPr>
        <w:t>(iii)</w:t>
      </w:r>
      <w:r w:rsidR="00A74563" w:rsidRPr="004C70EC">
        <w:rPr>
          <w:rFonts w:eastAsia="Times New Roman"/>
          <w:noProof/>
          <w:color w:val="000000" w:themeColor="text1"/>
        </w:rPr>
        <w:t xml:space="preserve"> the shortage of vocational skills</w:t>
      </w:r>
      <w:bookmarkEnd w:id="8"/>
      <w:r w:rsidR="00100CA8" w:rsidRPr="004C70EC">
        <w:rPr>
          <w:rStyle w:val="FootnoteReference"/>
          <w:rFonts w:eastAsia="Times New Roman"/>
          <w:noProof/>
          <w:color w:val="000000" w:themeColor="text1"/>
        </w:rPr>
        <w:footnoteReference w:id="72"/>
      </w:r>
      <w:r w:rsidR="00A74563" w:rsidRPr="004C70EC">
        <w:rPr>
          <w:rFonts w:eastAsia="Times New Roman"/>
          <w:noProof/>
          <w:color w:val="000000" w:themeColor="text1"/>
        </w:rPr>
        <w:t xml:space="preserve">. </w:t>
      </w:r>
    </w:p>
    <w:p w14:paraId="750CC40C" w14:textId="77777777" w:rsidR="00A74563" w:rsidRPr="004C70EC" w:rsidRDefault="00576D8F" w:rsidP="00A74563">
      <w:pPr>
        <w:pBdr>
          <w:top w:val="nil"/>
          <w:left w:val="nil"/>
          <w:bottom w:val="nil"/>
          <w:right w:val="nil"/>
          <w:between w:val="nil"/>
          <w:bar w:val="nil"/>
        </w:pBdr>
        <w:spacing w:after="240"/>
        <w:rPr>
          <w:rFonts w:eastAsia="Times New Roman"/>
          <w:noProof/>
          <w:color w:val="000000" w:themeColor="text1"/>
        </w:rPr>
      </w:pPr>
      <w:r w:rsidRPr="004C70EC">
        <w:rPr>
          <w:rFonts w:eastAsia="Times New Roman"/>
          <w:noProof/>
          <w:color w:val="000000" w:themeColor="text1"/>
        </w:rPr>
        <w:t>S</w:t>
      </w:r>
      <w:r w:rsidR="00A52008" w:rsidRPr="004C70EC">
        <w:rPr>
          <w:rFonts w:eastAsia="Times New Roman"/>
          <w:noProof/>
          <w:color w:val="000000" w:themeColor="text1"/>
        </w:rPr>
        <w:t>ome</w:t>
      </w:r>
      <w:r w:rsidR="00A74563" w:rsidRPr="004C70EC">
        <w:rPr>
          <w:rFonts w:eastAsia="Times New Roman"/>
          <w:noProof/>
          <w:color w:val="000000" w:themeColor="text1"/>
        </w:rPr>
        <w:t xml:space="preserve"> stakeholders indicated</w:t>
      </w:r>
      <w:r w:rsidR="00A74563" w:rsidRPr="004C70EC" w:rsidDel="00576D8F">
        <w:rPr>
          <w:rFonts w:eastAsia="Times New Roman"/>
          <w:noProof/>
          <w:color w:val="000000" w:themeColor="text1"/>
        </w:rPr>
        <w:t xml:space="preserve"> </w:t>
      </w:r>
      <w:r w:rsidR="00A74563" w:rsidRPr="004C70EC">
        <w:rPr>
          <w:rFonts w:eastAsia="Times New Roman"/>
          <w:noProof/>
          <w:color w:val="000000" w:themeColor="text1"/>
        </w:rPr>
        <w:t xml:space="preserve">having difficulties </w:t>
      </w:r>
      <w:r w:rsidR="00A74563" w:rsidRPr="004C70EC">
        <w:rPr>
          <w:rFonts w:eastAsia="Times New Roman"/>
          <w:b/>
          <w:noProof/>
          <w:color w:val="000000" w:themeColor="text1"/>
        </w:rPr>
        <w:t>accessing or using data</w:t>
      </w:r>
      <w:r w:rsidR="00A74563" w:rsidRPr="004C70EC">
        <w:rPr>
          <w:rFonts w:eastAsia="Times New Roman"/>
          <w:noProof/>
          <w:color w:val="000000" w:themeColor="text1"/>
        </w:rPr>
        <w:t xml:space="preserve"> for the development of biotechnology or biomanufacturing products</w:t>
      </w:r>
      <w:r w:rsidR="00A74563" w:rsidRPr="004C70EC">
        <w:rPr>
          <w:rStyle w:val="FootnoteReference"/>
          <w:rFonts w:eastAsia="Times New Roman"/>
          <w:noProof/>
          <w:color w:val="000000" w:themeColor="text1"/>
        </w:rPr>
        <w:footnoteReference w:id="73"/>
      </w:r>
      <w:r w:rsidR="00A74563" w:rsidRPr="004C70EC">
        <w:rPr>
          <w:rFonts w:eastAsia="Times New Roman"/>
          <w:noProof/>
          <w:color w:val="000000" w:themeColor="text1"/>
        </w:rPr>
        <w:t xml:space="preserve">. Stakeholders also </w:t>
      </w:r>
      <w:r w:rsidR="00BE388E" w:rsidRPr="004C70EC">
        <w:rPr>
          <w:rFonts w:eastAsia="Times New Roman"/>
          <w:noProof/>
          <w:color w:val="000000" w:themeColor="text1"/>
        </w:rPr>
        <w:t>emphasi</w:t>
      </w:r>
      <w:r w:rsidR="00FE080E" w:rsidRPr="004C70EC">
        <w:rPr>
          <w:rFonts w:eastAsia="Times New Roman"/>
          <w:noProof/>
          <w:color w:val="000000" w:themeColor="text1"/>
        </w:rPr>
        <w:t>s</w:t>
      </w:r>
      <w:r w:rsidR="00BE388E" w:rsidRPr="004C70EC">
        <w:rPr>
          <w:rFonts w:eastAsia="Times New Roman"/>
          <w:noProof/>
          <w:color w:val="000000" w:themeColor="text1"/>
        </w:rPr>
        <w:t>ed</w:t>
      </w:r>
      <w:r w:rsidR="00FE080E" w:rsidRPr="004C70EC">
        <w:rPr>
          <w:rFonts w:eastAsia="Times New Roman"/>
          <w:noProof/>
          <w:color w:val="000000" w:themeColor="text1"/>
        </w:rPr>
        <w:t xml:space="preserve"> </w:t>
      </w:r>
      <w:r w:rsidR="00A74563" w:rsidRPr="004C70EC">
        <w:rPr>
          <w:rFonts w:eastAsia="Times New Roman"/>
          <w:noProof/>
          <w:color w:val="000000" w:themeColor="text1"/>
        </w:rPr>
        <w:t xml:space="preserve">that technological challenges and challenges in the implementation of regulatory frameworks were the main barriers to both the </w:t>
      </w:r>
      <w:r w:rsidR="00A74563" w:rsidRPr="004C70EC">
        <w:rPr>
          <w:rFonts w:eastAsia="Times New Roman"/>
          <w:b/>
          <w:noProof/>
          <w:color w:val="000000" w:themeColor="text1"/>
        </w:rPr>
        <w:t xml:space="preserve">use of AI in </w:t>
      </w:r>
      <w:r w:rsidR="00FE080E" w:rsidRPr="004C70EC">
        <w:rPr>
          <w:rFonts w:eastAsia="Times New Roman"/>
          <w:b/>
          <w:noProof/>
          <w:color w:val="000000" w:themeColor="text1"/>
        </w:rPr>
        <w:t>R&amp;D</w:t>
      </w:r>
      <w:r w:rsidR="00A74563" w:rsidRPr="004C70EC">
        <w:rPr>
          <w:rStyle w:val="FootnoteReference"/>
          <w:rFonts w:eastAsia="Times New Roman"/>
          <w:noProof/>
          <w:color w:val="000000" w:themeColor="text1"/>
        </w:rPr>
        <w:footnoteReference w:id="74"/>
      </w:r>
      <w:r w:rsidR="00A74563" w:rsidRPr="004C70EC">
        <w:rPr>
          <w:rFonts w:eastAsia="Times New Roman"/>
          <w:b/>
          <w:noProof/>
          <w:color w:val="000000" w:themeColor="text1"/>
        </w:rPr>
        <w:t xml:space="preserve"> </w:t>
      </w:r>
      <w:r w:rsidR="00A74563" w:rsidRPr="004C70EC">
        <w:rPr>
          <w:rFonts w:eastAsia="Times New Roman"/>
          <w:noProof/>
          <w:color w:val="000000" w:themeColor="text1"/>
        </w:rPr>
        <w:t>and to the</w:t>
      </w:r>
      <w:r w:rsidR="00A74563" w:rsidRPr="004C70EC">
        <w:rPr>
          <w:rFonts w:eastAsia="Times New Roman"/>
          <w:b/>
          <w:noProof/>
          <w:color w:val="000000" w:themeColor="text1"/>
        </w:rPr>
        <w:t xml:space="preserve"> deployment of AI-based </w:t>
      </w:r>
      <w:r w:rsidR="3C699142" w:rsidRPr="004C70EC">
        <w:rPr>
          <w:rFonts w:eastAsia="Times New Roman"/>
          <w:b/>
          <w:noProof/>
          <w:color w:val="000000" w:themeColor="text1"/>
        </w:rPr>
        <w:t xml:space="preserve">biotechnology </w:t>
      </w:r>
      <w:r w:rsidR="00A74563" w:rsidRPr="004C70EC">
        <w:rPr>
          <w:rFonts w:eastAsia="Times New Roman"/>
          <w:b/>
          <w:noProof/>
          <w:color w:val="000000" w:themeColor="text1"/>
        </w:rPr>
        <w:t>products</w:t>
      </w:r>
      <w:r w:rsidR="00FE080E" w:rsidRPr="004C70EC">
        <w:rPr>
          <w:rStyle w:val="FootnoteReference"/>
          <w:rFonts w:eastAsia="Times New Roman"/>
          <w:noProof/>
          <w:color w:val="000000" w:themeColor="text1"/>
        </w:rPr>
        <w:footnoteReference w:id="75"/>
      </w:r>
      <w:r w:rsidR="00A74563" w:rsidRPr="004C70EC">
        <w:rPr>
          <w:rFonts w:eastAsia="Times New Roman"/>
          <w:noProof/>
          <w:color w:val="000000" w:themeColor="text1"/>
        </w:rPr>
        <w:t xml:space="preserve">. When asked about the types of </w:t>
      </w:r>
      <w:r w:rsidR="00A74563" w:rsidRPr="004C70EC">
        <w:rPr>
          <w:rFonts w:eastAsia="Times New Roman"/>
          <w:b/>
          <w:noProof/>
          <w:color w:val="000000" w:themeColor="text1"/>
        </w:rPr>
        <w:t>support need</w:t>
      </w:r>
      <w:r w:rsidR="00FE080E" w:rsidRPr="004C70EC">
        <w:rPr>
          <w:rFonts w:eastAsia="Times New Roman"/>
          <w:b/>
          <w:noProof/>
          <w:color w:val="000000" w:themeColor="text1"/>
        </w:rPr>
        <w:t>ed</w:t>
      </w:r>
      <w:r w:rsidR="00A74563" w:rsidRPr="004C70EC">
        <w:rPr>
          <w:rFonts w:eastAsia="Times New Roman"/>
          <w:b/>
          <w:noProof/>
          <w:color w:val="000000" w:themeColor="text1"/>
        </w:rPr>
        <w:t xml:space="preserve"> for biotech</w:t>
      </w:r>
      <w:r w:rsidR="404BF344" w:rsidRPr="004C70EC">
        <w:rPr>
          <w:rFonts w:eastAsia="Times New Roman"/>
          <w:b/>
          <w:noProof/>
          <w:color w:val="000000" w:themeColor="text1"/>
        </w:rPr>
        <w:t>nology</w:t>
      </w:r>
      <w:r w:rsidR="00A74563" w:rsidRPr="004C70EC">
        <w:rPr>
          <w:rFonts w:eastAsia="Times New Roman"/>
          <w:b/>
          <w:noProof/>
          <w:color w:val="000000" w:themeColor="text1"/>
        </w:rPr>
        <w:t xml:space="preserve"> companies, in particular for SMEs</w:t>
      </w:r>
      <w:r w:rsidR="00A74563" w:rsidRPr="004C70EC">
        <w:rPr>
          <w:rFonts w:eastAsia="Times New Roman"/>
          <w:noProof/>
          <w:color w:val="000000" w:themeColor="text1"/>
        </w:rPr>
        <w:t xml:space="preserve">, </w:t>
      </w:r>
      <w:r w:rsidR="00FE080E" w:rsidRPr="004C70EC">
        <w:rPr>
          <w:rFonts w:eastAsia="Times New Roman"/>
          <w:noProof/>
          <w:color w:val="000000" w:themeColor="text1"/>
        </w:rPr>
        <w:t xml:space="preserve">stakeholders </w:t>
      </w:r>
      <w:r w:rsidR="00E75491" w:rsidRPr="004C70EC">
        <w:rPr>
          <w:rFonts w:eastAsia="Times New Roman"/>
          <w:noProof/>
          <w:color w:val="000000" w:themeColor="text1"/>
        </w:rPr>
        <w:t>stressed</w:t>
      </w:r>
      <w:r w:rsidR="00FE080E" w:rsidRPr="004C70EC">
        <w:rPr>
          <w:rFonts w:eastAsia="Times New Roman"/>
          <w:noProof/>
          <w:color w:val="000000" w:themeColor="text1"/>
        </w:rPr>
        <w:t xml:space="preserve"> (i) </w:t>
      </w:r>
      <w:r w:rsidR="00395B5A" w:rsidRPr="004C70EC">
        <w:rPr>
          <w:rFonts w:eastAsia="Times New Roman"/>
          <w:noProof/>
          <w:color w:val="000000" w:themeColor="text1"/>
        </w:rPr>
        <w:t xml:space="preserve">skills development and AI training; (ii) </w:t>
      </w:r>
      <w:r w:rsidR="00A74563" w:rsidRPr="004C70EC">
        <w:rPr>
          <w:rFonts w:eastAsia="Times New Roman"/>
          <w:noProof/>
          <w:color w:val="000000" w:themeColor="text1"/>
        </w:rPr>
        <w:t>access to annotated datasets</w:t>
      </w:r>
      <w:r w:rsidR="00FE080E" w:rsidRPr="004C70EC">
        <w:rPr>
          <w:rFonts w:eastAsia="Times New Roman"/>
          <w:noProof/>
          <w:color w:val="000000" w:themeColor="text1"/>
        </w:rPr>
        <w:t>; (ii</w:t>
      </w:r>
      <w:r w:rsidR="00395B5A" w:rsidRPr="004C70EC">
        <w:rPr>
          <w:rFonts w:eastAsia="Times New Roman"/>
          <w:noProof/>
          <w:color w:val="000000" w:themeColor="text1"/>
        </w:rPr>
        <w:t>i</w:t>
      </w:r>
      <w:r w:rsidR="00FE080E" w:rsidRPr="004C70EC">
        <w:rPr>
          <w:rFonts w:eastAsia="Times New Roman"/>
          <w:noProof/>
          <w:color w:val="000000" w:themeColor="text1"/>
        </w:rPr>
        <w:t>)</w:t>
      </w:r>
      <w:r w:rsidR="00A74563" w:rsidRPr="004C70EC">
        <w:rPr>
          <w:rFonts w:eastAsia="Times New Roman"/>
          <w:noProof/>
          <w:color w:val="000000" w:themeColor="text1"/>
        </w:rPr>
        <w:t xml:space="preserve"> partnerships with public research institutions or AI hubs/factories</w:t>
      </w:r>
      <w:r w:rsidR="00FE080E" w:rsidRPr="004C70EC">
        <w:rPr>
          <w:rFonts w:eastAsia="Times New Roman"/>
          <w:noProof/>
          <w:color w:val="000000" w:themeColor="text1"/>
        </w:rPr>
        <w:t>; (i</w:t>
      </w:r>
      <w:r w:rsidR="00395B5A" w:rsidRPr="004C70EC">
        <w:rPr>
          <w:rFonts w:eastAsia="Times New Roman"/>
          <w:noProof/>
          <w:color w:val="000000" w:themeColor="text1"/>
        </w:rPr>
        <w:t>v</w:t>
      </w:r>
      <w:r w:rsidR="00E75491" w:rsidRPr="004C70EC">
        <w:rPr>
          <w:rFonts w:eastAsia="Times New Roman"/>
          <w:noProof/>
          <w:color w:val="000000" w:themeColor="text1"/>
        </w:rPr>
        <w:t>)</w:t>
      </w:r>
      <w:r w:rsidR="00A74563" w:rsidRPr="004C70EC">
        <w:rPr>
          <w:rFonts w:eastAsia="Times New Roman"/>
          <w:noProof/>
          <w:color w:val="000000" w:themeColor="text1"/>
        </w:rPr>
        <w:t>, dedicated funding instruments</w:t>
      </w:r>
      <w:r w:rsidR="00E75491" w:rsidRPr="004C70EC">
        <w:rPr>
          <w:rFonts w:eastAsia="Times New Roman"/>
          <w:noProof/>
          <w:color w:val="000000" w:themeColor="text1"/>
        </w:rPr>
        <w:t>;</w:t>
      </w:r>
      <w:r w:rsidR="00A74563" w:rsidRPr="004C70EC">
        <w:rPr>
          <w:rFonts w:eastAsia="Times New Roman"/>
          <w:noProof/>
          <w:color w:val="000000" w:themeColor="text1"/>
        </w:rPr>
        <w:t xml:space="preserve"> </w:t>
      </w:r>
      <w:r w:rsidR="004468FE" w:rsidRPr="004C70EC">
        <w:rPr>
          <w:rFonts w:eastAsia="Times New Roman"/>
          <w:noProof/>
          <w:color w:val="000000" w:themeColor="text1"/>
        </w:rPr>
        <w:t>and (v)</w:t>
      </w:r>
      <w:r w:rsidR="00A74563" w:rsidRPr="004C70EC">
        <w:rPr>
          <w:rFonts w:eastAsia="Times New Roman"/>
          <w:noProof/>
          <w:color w:val="000000" w:themeColor="text1"/>
        </w:rPr>
        <w:t xml:space="preserve"> regulatory sandboxes for testing biotech-related AI models</w:t>
      </w:r>
      <w:r w:rsidR="00A74563" w:rsidRPr="004C70EC">
        <w:rPr>
          <w:rStyle w:val="FootnoteReference"/>
          <w:rFonts w:eastAsia="Times New Roman"/>
          <w:noProof/>
          <w:color w:val="000000" w:themeColor="text1"/>
        </w:rPr>
        <w:footnoteReference w:id="76"/>
      </w:r>
      <w:r w:rsidR="00A74563" w:rsidRPr="004C70EC">
        <w:rPr>
          <w:rFonts w:eastAsia="Times New Roman"/>
          <w:noProof/>
          <w:color w:val="000000" w:themeColor="text1"/>
        </w:rPr>
        <w:t>.</w:t>
      </w:r>
    </w:p>
    <w:p w14:paraId="05C9F3E7" w14:textId="77777777" w:rsidR="00A74563" w:rsidRPr="004C70EC" w:rsidRDefault="00A74563">
      <w:pPr>
        <w:pBdr>
          <w:top w:val="nil"/>
          <w:left w:val="nil"/>
          <w:bottom w:val="nil"/>
          <w:right w:val="nil"/>
          <w:between w:val="nil"/>
          <w:bar w:val="nil"/>
        </w:pBdr>
        <w:spacing w:after="240"/>
        <w:rPr>
          <w:rFonts w:eastAsia="Times New Roman"/>
          <w:noProof/>
          <w:color w:val="000000" w:themeColor="text1"/>
        </w:rPr>
      </w:pPr>
      <w:r w:rsidRPr="004C70EC">
        <w:rPr>
          <w:rFonts w:eastAsia="Times New Roman"/>
          <w:noProof/>
          <w:color w:val="000000" w:themeColor="text1"/>
        </w:rPr>
        <w:t>When it comes to the application of biotechnology in defence and security, the main challenge</w:t>
      </w:r>
      <w:r w:rsidR="00E95539" w:rsidRPr="004C70EC">
        <w:rPr>
          <w:rFonts w:eastAsia="Times New Roman"/>
          <w:noProof/>
          <w:color w:val="000000" w:themeColor="text1"/>
        </w:rPr>
        <w:t>s</w:t>
      </w:r>
      <w:r w:rsidRPr="004C70EC">
        <w:rPr>
          <w:rFonts w:eastAsia="Times New Roman"/>
          <w:noProof/>
          <w:color w:val="000000" w:themeColor="text1"/>
        </w:rPr>
        <w:t xml:space="preserve"> identified by stakeholders were</w:t>
      </w:r>
      <w:r w:rsidR="00E75491" w:rsidRPr="004C70EC">
        <w:rPr>
          <w:rFonts w:eastAsia="Times New Roman"/>
          <w:noProof/>
          <w:color w:val="000000" w:themeColor="text1"/>
        </w:rPr>
        <w:t xml:space="preserve">: (i) </w:t>
      </w:r>
      <w:r w:rsidRPr="004C70EC">
        <w:rPr>
          <w:rFonts w:eastAsia="Times New Roman"/>
          <w:noProof/>
          <w:color w:val="000000" w:themeColor="text1"/>
        </w:rPr>
        <w:t xml:space="preserve">the </w:t>
      </w:r>
      <w:r w:rsidRPr="004C70EC">
        <w:rPr>
          <w:rFonts w:eastAsia="Times New Roman"/>
          <w:b/>
          <w:noProof/>
          <w:color w:val="000000" w:themeColor="text1"/>
        </w:rPr>
        <w:t>risks to strategic autonomy</w:t>
      </w:r>
      <w:r w:rsidRPr="004C70EC">
        <w:rPr>
          <w:rFonts w:eastAsia="Times New Roman"/>
          <w:noProof/>
          <w:color w:val="000000" w:themeColor="text1"/>
        </w:rPr>
        <w:t xml:space="preserve"> in biomanufacturing (and availability of medical and non-medical countermeasures)</w:t>
      </w:r>
      <w:r w:rsidR="00E75491" w:rsidRPr="004C70EC">
        <w:rPr>
          <w:rFonts w:eastAsia="Times New Roman"/>
          <w:noProof/>
          <w:color w:val="000000" w:themeColor="text1"/>
        </w:rPr>
        <w:t>; (ii</w:t>
      </w:r>
      <w:r w:rsidRPr="004C70EC">
        <w:rPr>
          <w:rFonts w:eastAsia="Times New Roman"/>
          <w:noProof/>
          <w:color w:val="000000" w:themeColor="text1"/>
        </w:rPr>
        <w:t xml:space="preserve">) </w:t>
      </w:r>
      <w:r w:rsidRPr="004C70EC">
        <w:rPr>
          <w:rFonts w:eastAsia="Times New Roman"/>
          <w:b/>
          <w:noProof/>
          <w:color w:val="000000" w:themeColor="text1"/>
        </w:rPr>
        <w:t>cybersecurity risks</w:t>
      </w:r>
      <w:r w:rsidRPr="004C70EC">
        <w:rPr>
          <w:rFonts w:eastAsia="Times New Roman"/>
          <w:noProof/>
          <w:color w:val="000000" w:themeColor="text1"/>
        </w:rPr>
        <w:t xml:space="preserve"> to </w:t>
      </w:r>
      <w:r w:rsidR="72E0EA85" w:rsidRPr="004C70EC">
        <w:rPr>
          <w:rFonts w:eastAsia="Times New Roman"/>
          <w:noProof/>
          <w:color w:val="000000" w:themeColor="text1"/>
        </w:rPr>
        <w:t xml:space="preserve">biotechnology </w:t>
      </w:r>
      <w:r w:rsidRPr="004C70EC">
        <w:rPr>
          <w:rFonts w:eastAsia="Times New Roman"/>
          <w:noProof/>
          <w:color w:val="000000" w:themeColor="text1"/>
        </w:rPr>
        <w:t>infrastructure and AI tools used in biotechnology</w:t>
      </w:r>
      <w:r w:rsidR="00E75491" w:rsidRPr="004C70EC">
        <w:rPr>
          <w:rFonts w:eastAsia="Times New Roman"/>
          <w:noProof/>
          <w:color w:val="000000" w:themeColor="text1"/>
        </w:rPr>
        <w:t>; (iii)</w:t>
      </w:r>
      <w:r w:rsidRPr="004C70EC">
        <w:rPr>
          <w:rFonts w:eastAsia="Times New Roman"/>
          <w:noProof/>
          <w:color w:val="000000" w:themeColor="text1"/>
        </w:rPr>
        <w:t xml:space="preserve"> vulnerabilities in the </w:t>
      </w:r>
      <w:r w:rsidRPr="004C70EC">
        <w:rPr>
          <w:rFonts w:eastAsia="Times New Roman"/>
          <w:b/>
          <w:noProof/>
          <w:color w:val="000000" w:themeColor="text1"/>
        </w:rPr>
        <w:t>resilience of biotech</w:t>
      </w:r>
      <w:r w:rsidR="30B99336" w:rsidRPr="004C70EC">
        <w:rPr>
          <w:rFonts w:eastAsia="Times New Roman"/>
          <w:b/>
          <w:noProof/>
          <w:color w:val="000000" w:themeColor="text1"/>
        </w:rPr>
        <w:t>nology</w:t>
      </w:r>
      <w:r w:rsidRPr="004C70EC">
        <w:rPr>
          <w:rFonts w:eastAsia="Times New Roman"/>
          <w:b/>
          <w:noProof/>
          <w:color w:val="000000" w:themeColor="text1"/>
        </w:rPr>
        <w:t xml:space="preserve"> supply chains</w:t>
      </w:r>
      <w:r w:rsidR="00E75491" w:rsidRPr="004C70EC">
        <w:rPr>
          <w:rFonts w:eastAsia="Times New Roman"/>
          <w:b/>
          <w:noProof/>
          <w:color w:val="000000" w:themeColor="text1"/>
        </w:rPr>
        <w:t>;</w:t>
      </w:r>
      <w:r w:rsidRPr="004C70EC">
        <w:rPr>
          <w:rFonts w:eastAsia="Times New Roman"/>
          <w:noProof/>
          <w:color w:val="000000" w:themeColor="text1"/>
        </w:rPr>
        <w:t xml:space="preserve"> and </w:t>
      </w:r>
      <w:r w:rsidR="00E75491" w:rsidRPr="004C70EC">
        <w:rPr>
          <w:rFonts w:eastAsia="Times New Roman"/>
          <w:noProof/>
          <w:color w:val="000000" w:themeColor="text1"/>
        </w:rPr>
        <w:t>(iv)</w:t>
      </w:r>
      <w:r w:rsidRPr="004C70EC">
        <w:rPr>
          <w:rFonts w:eastAsia="Times New Roman"/>
          <w:noProof/>
          <w:color w:val="000000" w:themeColor="text1"/>
        </w:rPr>
        <w:t xml:space="preserve"> threats related to biosecurity and biosafety including </w:t>
      </w:r>
      <w:r w:rsidRPr="004C70EC">
        <w:rPr>
          <w:rFonts w:eastAsia="Times New Roman"/>
          <w:b/>
          <w:noProof/>
          <w:color w:val="000000" w:themeColor="text1"/>
        </w:rPr>
        <w:t>misuse of biotechnology</w:t>
      </w:r>
      <w:r w:rsidRPr="004C70EC">
        <w:rPr>
          <w:rStyle w:val="FootnoteReference"/>
          <w:noProof/>
          <w:color w:val="000000" w:themeColor="text1"/>
        </w:rPr>
        <w:footnoteReference w:id="77"/>
      </w:r>
      <w:r w:rsidRPr="004C70EC">
        <w:rPr>
          <w:noProof/>
          <w:color w:val="000000" w:themeColor="text1"/>
        </w:rPr>
        <w:t xml:space="preserve">. </w:t>
      </w:r>
      <w:r w:rsidRPr="004C70EC">
        <w:rPr>
          <w:rFonts w:eastAsia="Times New Roman"/>
          <w:noProof/>
          <w:color w:val="000000" w:themeColor="text1"/>
        </w:rPr>
        <w:t xml:space="preserve">The </w:t>
      </w:r>
      <w:r w:rsidR="008D603E" w:rsidRPr="004C70EC">
        <w:rPr>
          <w:rFonts w:eastAsia="Times New Roman"/>
          <w:noProof/>
          <w:color w:val="000000" w:themeColor="text1"/>
        </w:rPr>
        <w:t>four main</w:t>
      </w:r>
      <w:r w:rsidRPr="004C70EC">
        <w:rPr>
          <w:rFonts w:eastAsia="Times New Roman"/>
          <w:noProof/>
          <w:color w:val="000000" w:themeColor="text1"/>
        </w:rPr>
        <w:t xml:space="preserve"> </w:t>
      </w:r>
      <w:r w:rsidRPr="004C70EC">
        <w:rPr>
          <w:rFonts w:eastAsia="Times New Roman"/>
          <w:b/>
          <w:noProof/>
          <w:color w:val="000000" w:themeColor="text1"/>
        </w:rPr>
        <w:t>opportunities</w:t>
      </w:r>
      <w:r w:rsidRPr="004C70EC">
        <w:rPr>
          <w:rFonts w:eastAsia="Times New Roman"/>
          <w:noProof/>
          <w:color w:val="000000" w:themeColor="text1"/>
        </w:rPr>
        <w:t xml:space="preserve"> that biotechnology for defence and security </w:t>
      </w:r>
      <w:r w:rsidR="00E75491" w:rsidRPr="004C70EC">
        <w:rPr>
          <w:rFonts w:eastAsia="Times New Roman"/>
          <w:noProof/>
          <w:color w:val="000000" w:themeColor="text1"/>
        </w:rPr>
        <w:t>wer</w:t>
      </w:r>
      <w:r w:rsidRPr="004C70EC">
        <w:rPr>
          <w:rFonts w:eastAsia="Times New Roman"/>
          <w:noProof/>
          <w:color w:val="000000" w:themeColor="text1"/>
        </w:rPr>
        <w:t>e creating were</w:t>
      </w:r>
      <w:r w:rsidR="008D603E" w:rsidRPr="004C70EC">
        <w:rPr>
          <w:rFonts w:eastAsia="Times New Roman"/>
          <w:noProof/>
          <w:color w:val="000000" w:themeColor="text1"/>
        </w:rPr>
        <w:t xml:space="preserve">: (i) </w:t>
      </w:r>
      <w:r w:rsidR="00467BAD" w:rsidRPr="004C70EC">
        <w:rPr>
          <w:rFonts w:eastAsia="Times New Roman"/>
          <w:noProof/>
          <w:color w:val="000000" w:themeColor="text1"/>
        </w:rPr>
        <w:t>to develop</w:t>
      </w:r>
      <w:r w:rsidRPr="004C70EC">
        <w:rPr>
          <w:rFonts w:eastAsia="Times New Roman"/>
          <w:noProof/>
          <w:color w:val="000000" w:themeColor="text1"/>
        </w:rPr>
        <w:t xml:space="preserve"> </w:t>
      </w:r>
      <w:r w:rsidRPr="004C70EC">
        <w:rPr>
          <w:rFonts w:eastAsia="Times New Roman"/>
          <w:b/>
          <w:noProof/>
          <w:color w:val="000000" w:themeColor="text1"/>
        </w:rPr>
        <w:t>new innovative medical countermeasures</w:t>
      </w:r>
      <w:r w:rsidR="008D603E" w:rsidRPr="002D7694">
        <w:rPr>
          <w:rFonts w:eastAsia="Times New Roman"/>
          <w:noProof/>
          <w:color w:val="000000" w:themeColor="text1"/>
        </w:rPr>
        <w:t>;</w:t>
      </w:r>
      <w:r w:rsidR="007D674B" w:rsidRPr="002D7694">
        <w:rPr>
          <w:rFonts w:eastAsia="Times New Roman"/>
          <w:noProof/>
          <w:color w:val="000000" w:themeColor="text1"/>
        </w:rPr>
        <w:t xml:space="preserve"> (ii)</w:t>
      </w:r>
      <w:r w:rsidRPr="004C70EC">
        <w:rPr>
          <w:rFonts w:eastAsia="Times New Roman"/>
          <w:b/>
          <w:noProof/>
          <w:color w:val="000000" w:themeColor="text1"/>
        </w:rPr>
        <w:t xml:space="preserve"> </w:t>
      </w:r>
      <w:r w:rsidRPr="004C70EC">
        <w:rPr>
          <w:rFonts w:eastAsia="Times New Roman"/>
          <w:noProof/>
          <w:color w:val="000000" w:themeColor="text1"/>
        </w:rPr>
        <w:t xml:space="preserve">to facilitate </w:t>
      </w:r>
      <w:r w:rsidRPr="004C70EC">
        <w:rPr>
          <w:rFonts w:eastAsia="Times New Roman"/>
          <w:b/>
          <w:noProof/>
          <w:color w:val="000000" w:themeColor="text1"/>
        </w:rPr>
        <w:t xml:space="preserve">detecting biological </w:t>
      </w:r>
      <w:r w:rsidR="007D674B" w:rsidRPr="004C70EC">
        <w:rPr>
          <w:rFonts w:eastAsia="Times New Roman"/>
          <w:b/>
          <w:noProof/>
          <w:color w:val="000000" w:themeColor="text1"/>
        </w:rPr>
        <w:t xml:space="preserve">and chemical </w:t>
      </w:r>
      <w:r w:rsidRPr="004C70EC">
        <w:rPr>
          <w:rFonts w:eastAsia="Times New Roman"/>
          <w:b/>
          <w:noProof/>
          <w:color w:val="000000" w:themeColor="text1"/>
        </w:rPr>
        <w:t>threats</w:t>
      </w:r>
      <w:r w:rsidRPr="004C70EC">
        <w:rPr>
          <w:rFonts w:eastAsia="Times New Roman"/>
          <w:noProof/>
          <w:color w:val="000000" w:themeColor="text1"/>
        </w:rPr>
        <w:t xml:space="preserve">, </w:t>
      </w:r>
      <w:r w:rsidR="007D674B" w:rsidRPr="004C70EC">
        <w:rPr>
          <w:rFonts w:eastAsia="Times New Roman"/>
          <w:noProof/>
          <w:color w:val="000000" w:themeColor="text1"/>
        </w:rPr>
        <w:t xml:space="preserve">(iii) </w:t>
      </w:r>
      <w:r w:rsidR="00CA0E6D" w:rsidRPr="004C70EC">
        <w:rPr>
          <w:rFonts w:eastAsia="Times New Roman"/>
          <w:noProof/>
          <w:color w:val="000000" w:themeColor="text1"/>
        </w:rPr>
        <w:t>to increase</w:t>
      </w:r>
      <w:r w:rsidRPr="004C70EC">
        <w:rPr>
          <w:rFonts w:eastAsia="Times New Roman"/>
          <w:noProof/>
          <w:color w:val="000000" w:themeColor="text1"/>
        </w:rPr>
        <w:t xml:space="preserve"> </w:t>
      </w:r>
      <w:r w:rsidRPr="004C70EC">
        <w:rPr>
          <w:rFonts w:eastAsia="Times New Roman"/>
          <w:b/>
          <w:noProof/>
          <w:color w:val="000000" w:themeColor="text1"/>
        </w:rPr>
        <w:t>food security</w:t>
      </w:r>
      <w:r w:rsidR="007D674B" w:rsidRPr="002D7694">
        <w:rPr>
          <w:rFonts w:eastAsia="Times New Roman"/>
          <w:noProof/>
          <w:color w:val="000000" w:themeColor="text1"/>
        </w:rPr>
        <w:t>; and (iv) to develop</w:t>
      </w:r>
      <w:r w:rsidR="007D674B" w:rsidRPr="004C70EC">
        <w:rPr>
          <w:rFonts w:eastAsia="Times New Roman"/>
          <w:b/>
          <w:noProof/>
          <w:color w:val="000000" w:themeColor="text1"/>
        </w:rPr>
        <w:t xml:space="preserve"> materials with new functions and / or improved characteristics</w:t>
      </w:r>
      <w:r w:rsidRPr="004C70EC">
        <w:rPr>
          <w:rStyle w:val="FootnoteReference"/>
          <w:rFonts w:eastAsia="Times New Roman"/>
          <w:noProof/>
          <w:color w:val="000000" w:themeColor="text1"/>
        </w:rPr>
        <w:footnoteReference w:id="78"/>
      </w:r>
      <w:r w:rsidRPr="004C70EC">
        <w:rPr>
          <w:rFonts w:eastAsia="Times New Roman"/>
          <w:noProof/>
          <w:color w:val="000000" w:themeColor="text1"/>
        </w:rPr>
        <w:t>.</w:t>
      </w:r>
    </w:p>
    <w:p w14:paraId="2F9E9BFE"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lang w:val="en-US" w:eastAsia="en-GB"/>
        </w:rPr>
      </w:pPr>
      <w:r w:rsidRPr="004C70EC">
        <w:rPr>
          <w:rFonts w:eastAsia="Times New Roman"/>
          <w:noProof/>
          <w:color w:val="000000" w:themeColor="text1"/>
        </w:rPr>
        <w:t>In addition,</w:t>
      </w:r>
      <w:r w:rsidRPr="004C70EC">
        <w:rPr>
          <w:rFonts w:eastAsia="Times New Roman"/>
          <w:b/>
          <w:noProof/>
          <w:color w:val="000000" w:themeColor="text1"/>
        </w:rPr>
        <w:t xml:space="preserve"> </w:t>
      </w:r>
      <w:r w:rsidRPr="004C70EC">
        <w:rPr>
          <w:rFonts w:eastAsia="Times New Roman"/>
          <w:b/>
          <w:noProof/>
          <w:color w:val="000000" w:themeColor="text1"/>
          <w:u w:val="single"/>
        </w:rPr>
        <w:t>targeted consultation activities</w:t>
      </w:r>
      <w:r w:rsidRPr="004C70EC">
        <w:rPr>
          <w:rFonts w:eastAsia="Times New Roman"/>
          <w:noProof/>
          <w:color w:val="000000" w:themeColor="text1"/>
        </w:rPr>
        <w:t xml:space="preserve"> </w:t>
      </w:r>
      <w:r w:rsidR="0081271B" w:rsidRPr="004C70EC">
        <w:rPr>
          <w:rFonts w:eastAsia="Times New Roman"/>
          <w:noProof/>
          <w:color w:val="000000" w:themeColor="text1"/>
        </w:rPr>
        <w:t>were carried out, as detailed below</w:t>
      </w:r>
      <w:r w:rsidR="00582C79" w:rsidRPr="004C70EC">
        <w:rPr>
          <w:rFonts w:eastAsia="Times New Roman"/>
          <w:noProof/>
          <w:color w:val="000000" w:themeColor="text1"/>
        </w:rPr>
        <w:t>, including</w:t>
      </w:r>
      <w:r w:rsidR="00544669" w:rsidRPr="004C70EC">
        <w:rPr>
          <w:rFonts w:eastAsia="Times New Roman"/>
          <w:noProof/>
          <w:color w:val="000000" w:themeColor="text1"/>
        </w:rPr>
        <w:t xml:space="preserve"> in the context of an external study</w:t>
      </w:r>
      <w:r w:rsidR="00AD20DD" w:rsidRPr="004C70EC">
        <w:rPr>
          <w:rFonts w:eastAsia="Times New Roman"/>
          <w:noProof/>
          <w:color w:val="000000" w:themeColor="text1"/>
        </w:rPr>
        <w:t xml:space="preserve"> </w:t>
      </w:r>
      <w:r w:rsidR="006F64EB" w:rsidRPr="004C70EC">
        <w:rPr>
          <w:rFonts w:eastAsia="Times New Roman"/>
          <w:noProof/>
          <w:color w:val="000000" w:themeColor="text1"/>
        </w:rPr>
        <w:t>announced in the Commission Communication ‘</w:t>
      </w:r>
      <w:r w:rsidR="008E1ADC" w:rsidRPr="004C70EC">
        <w:rPr>
          <w:rFonts w:eastAsia="Times New Roman"/>
          <w:noProof/>
          <w:color w:val="000000" w:themeColor="text1"/>
        </w:rPr>
        <w:t>B</w:t>
      </w:r>
      <w:r w:rsidR="006F64EB" w:rsidRPr="004C70EC">
        <w:rPr>
          <w:rFonts w:eastAsia="Times New Roman"/>
          <w:noProof/>
          <w:color w:val="000000" w:themeColor="text1"/>
        </w:rPr>
        <w:t>uilding the future with natur</w:t>
      </w:r>
      <w:r w:rsidR="008E1ADC" w:rsidRPr="004C70EC">
        <w:rPr>
          <w:rFonts w:eastAsia="Times New Roman"/>
          <w:noProof/>
          <w:color w:val="000000" w:themeColor="text1"/>
        </w:rPr>
        <w:t xml:space="preserve">e: </w:t>
      </w:r>
      <w:r w:rsidRPr="004C70EC">
        <w:rPr>
          <w:rFonts w:eastAsia="Times New Roman"/>
          <w:noProof/>
          <w:color w:val="000000" w:themeColor="text1"/>
        </w:rPr>
        <w:t>Boosting Biotechnology and Biomanufacturing in the EU</w:t>
      </w:r>
      <w:r w:rsidR="006F64EB" w:rsidRPr="004C70EC">
        <w:rPr>
          <w:rFonts w:eastAsia="Times New Roman"/>
          <w:noProof/>
          <w:color w:val="000000" w:themeColor="text1"/>
        </w:rPr>
        <w:t>’</w:t>
      </w:r>
      <w:r w:rsidR="00B474A5" w:rsidRPr="004C70EC">
        <w:rPr>
          <w:rFonts w:eastAsia="Times New Roman"/>
          <w:noProof/>
          <w:color w:val="000000" w:themeColor="text1"/>
        </w:rPr>
        <w:t xml:space="preserve"> </w:t>
      </w:r>
      <w:r w:rsidR="006F64EB" w:rsidRPr="004C70EC">
        <w:rPr>
          <w:rFonts w:eastAsia="Times New Roman"/>
          <w:noProof/>
          <w:color w:val="000000" w:themeColor="text1"/>
        </w:rPr>
        <w:t>(Action 1)</w:t>
      </w:r>
      <w:r w:rsidR="006F64EB" w:rsidRPr="004C70EC">
        <w:rPr>
          <w:rStyle w:val="FootnoteReference"/>
          <w:rFonts w:eastAsia="Times New Roman"/>
          <w:noProof/>
          <w:color w:val="000000" w:themeColor="text1"/>
        </w:rPr>
        <w:footnoteReference w:id="79"/>
      </w:r>
      <w:r w:rsidR="00544669" w:rsidRPr="004C70EC">
        <w:rPr>
          <w:rFonts w:eastAsia="Times New Roman"/>
          <w:noProof/>
          <w:color w:val="000000" w:themeColor="text1"/>
        </w:rPr>
        <w:t>.</w:t>
      </w:r>
    </w:p>
    <w:p w14:paraId="72D32627" w14:textId="77777777" w:rsidR="00E934F2" w:rsidRPr="004C70EC" w:rsidRDefault="5D5E70DB" w:rsidP="33CE1D06">
      <w:pPr>
        <w:pBdr>
          <w:top w:val="nil"/>
          <w:left w:val="nil"/>
          <w:bottom w:val="nil"/>
          <w:right w:val="nil"/>
          <w:between w:val="nil"/>
          <w:bar w:val="nil"/>
        </w:pBdr>
        <w:spacing w:after="240"/>
        <w:rPr>
          <w:rFonts w:eastAsia="Times New Roman"/>
          <w:noProof/>
          <w:color w:val="000000" w:themeColor="text1"/>
          <w:bdr w:val="nil"/>
          <w:lang w:val="en-US" w:eastAsia="en-GB"/>
        </w:rPr>
      </w:pPr>
      <w:r w:rsidRPr="004C70EC">
        <w:rPr>
          <w:rFonts w:eastAsia="Times New Roman"/>
          <w:noProof/>
          <w:color w:val="000000" w:themeColor="text1"/>
        </w:rPr>
        <w:t xml:space="preserve">First, </w:t>
      </w:r>
      <w:r w:rsidR="0081271B" w:rsidRPr="004C70EC">
        <w:rPr>
          <w:rFonts w:eastAsia="Times New Roman"/>
          <w:noProof/>
          <w:color w:val="000000" w:themeColor="text1"/>
        </w:rPr>
        <w:t xml:space="preserve">the following </w:t>
      </w:r>
      <w:r w:rsidRPr="004C70EC">
        <w:rPr>
          <w:rFonts w:eastAsia="Times New Roman"/>
          <w:noProof/>
          <w:color w:val="000000" w:themeColor="text1"/>
        </w:rPr>
        <w:t xml:space="preserve">consultation activities </w:t>
      </w:r>
      <w:r w:rsidR="0081271B" w:rsidRPr="004C70EC">
        <w:rPr>
          <w:rFonts w:eastAsia="Times New Roman"/>
          <w:noProof/>
          <w:color w:val="000000" w:themeColor="text1"/>
        </w:rPr>
        <w:t>took place on</w:t>
      </w:r>
      <w:r w:rsidRPr="004C70EC">
        <w:rPr>
          <w:rFonts w:eastAsia="Times New Roman"/>
          <w:noProof/>
          <w:color w:val="000000" w:themeColor="text1"/>
        </w:rPr>
        <w:t xml:space="preserve"> the analysis of </w:t>
      </w:r>
      <w:r w:rsidR="154C20DA" w:rsidRPr="004C70EC">
        <w:rPr>
          <w:rFonts w:eastAsia="Times New Roman"/>
          <w:noProof/>
          <w:color w:val="000000" w:themeColor="text1"/>
        </w:rPr>
        <w:t xml:space="preserve">regulatory </w:t>
      </w:r>
      <w:r w:rsidRPr="004C70EC">
        <w:rPr>
          <w:rFonts w:eastAsia="Times New Roman"/>
          <w:noProof/>
          <w:color w:val="000000" w:themeColor="text1"/>
        </w:rPr>
        <w:t>problems and challenges faced by the biotechnology sector and on the mapping of applicable EU and national legislations to biotechnologies:</w:t>
      </w:r>
    </w:p>
    <w:p w14:paraId="296B9FEE" w14:textId="77777777" w:rsidR="00E934F2" w:rsidRPr="004C70EC" w:rsidRDefault="00A93205" w:rsidP="00A93205">
      <w:pPr>
        <w:pStyle w:val="Point0"/>
        <w:rPr>
          <w:noProof/>
          <w:color w:val="000000" w:themeColor="text1"/>
          <w:bdr w:val="nil"/>
          <w:lang w:val="en-US"/>
        </w:rPr>
      </w:pPr>
      <w:r w:rsidRPr="004C70EC">
        <w:rPr>
          <w:b/>
          <w:noProof/>
          <w:color w:val="000000" w:themeColor="text1"/>
          <w:bdr w:val="nil"/>
          <w:lang w:val="en-US" w:eastAsia="en-GB"/>
        </w:rPr>
        <w:t>•</w:t>
      </w:r>
      <w:r w:rsidRPr="004C70EC">
        <w:rPr>
          <w:b/>
          <w:noProof/>
          <w:color w:val="000000" w:themeColor="text1"/>
          <w:bdr w:val="nil"/>
          <w:lang w:val="en-US" w:eastAsia="en-GB"/>
        </w:rPr>
        <w:tab/>
      </w:r>
      <w:r w:rsidR="0081271B" w:rsidRPr="004C70EC">
        <w:rPr>
          <w:b/>
          <w:noProof/>
          <w:color w:val="000000" w:themeColor="text1"/>
          <w:bdr w:val="nil"/>
          <w:lang w:val="en-US"/>
        </w:rPr>
        <w:t>s</w:t>
      </w:r>
      <w:r w:rsidR="00E934F2" w:rsidRPr="004C70EC">
        <w:rPr>
          <w:b/>
          <w:noProof/>
          <w:color w:val="000000" w:themeColor="text1"/>
          <w:bdr w:val="nil"/>
          <w:lang w:val="en-US"/>
        </w:rPr>
        <w:t>urvey for public authorities</w:t>
      </w:r>
      <w:r w:rsidR="0081271B" w:rsidRPr="004C70EC">
        <w:rPr>
          <w:b/>
          <w:noProof/>
          <w:color w:val="000000" w:themeColor="text1"/>
          <w:bdr w:val="nil"/>
          <w:lang w:val="en-US"/>
        </w:rPr>
        <w:t>;</w:t>
      </w:r>
    </w:p>
    <w:p w14:paraId="20E32762" w14:textId="77777777" w:rsidR="00E934F2" w:rsidRPr="004C70EC" w:rsidRDefault="00A93205" w:rsidP="00A93205">
      <w:pPr>
        <w:pStyle w:val="Point0"/>
        <w:rPr>
          <w:noProof/>
          <w:color w:val="000000" w:themeColor="text1"/>
          <w:szCs w:val="24"/>
          <w:bdr w:val="nil"/>
          <w:lang w:val="en-US"/>
        </w:rPr>
      </w:pPr>
      <w:r w:rsidRPr="004C70EC">
        <w:rPr>
          <w:b/>
          <w:noProof/>
          <w:color w:val="000000" w:themeColor="text1"/>
          <w:bdr w:val="nil"/>
          <w:lang w:val="en-US" w:eastAsia="en-GB"/>
        </w:rPr>
        <w:t>•</w:t>
      </w:r>
      <w:r w:rsidRPr="004C70EC">
        <w:rPr>
          <w:b/>
          <w:noProof/>
          <w:color w:val="000000" w:themeColor="text1"/>
          <w:bdr w:val="nil"/>
          <w:lang w:val="en-US" w:eastAsia="en-GB"/>
        </w:rPr>
        <w:tab/>
      </w:r>
      <w:r w:rsidR="0081271B" w:rsidRPr="004C70EC">
        <w:rPr>
          <w:b/>
          <w:noProof/>
          <w:color w:val="000000" w:themeColor="text1"/>
          <w:bdr w:val="nil"/>
          <w:lang w:val="en-US" w:eastAsia="en-GB"/>
        </w:rPr>
        <w:t>s</w:t>
      </w:r>
      <w:r w:rsidR="00E934F2" w:rsidRPr="004C70EC">
        <w:rPr>
          <w:b/>
          <w:bCs/>
          <w:noProof/>
          <w:color w:val="000000" w:themeColor="text1"/>
          <w:szCs w:val="24"/>
        </w:rPr>
        <w:t>urvey for other stakeholders,</w:t>
      </w:r>
      <w:r w:rsidR="00E934F2" w:rsidRPr="004C70EC">
        <w:rPr>
          <w:noProof/>
          <w:color w:val="000000" w:themeColor="text1"/>
          <w:szCs w:val="24"/>
        </w:rPr>
        <w:t xml:space="preserve"> including industry representatives and patient organisations</w:t>
      </w:r>
      <w:r w:rsidR="0081271B" w:rsidRPr="004C70EC">
        <w:rPr>
          <w:noProof/>
          <w:color w:val="000000" w:themeColor="text1"/>
          <w:szCs w:val="24"/>
        </w:rPr>
        <w:t>;</w:t>
      </w:r>
      <w:r w:rsidR="00E934F2" w:rsidRPr="004C70EC">
        <w:rPr>
          <w:noProof/>
          <w:color w:val="000000" w:themeColor="text1"/>
          <w:szCs w:val="24"/>
        </w:rPr>
        <w:t xml:space="preserve"> </w:t>
      </w:r>
    </w:p>
    <w:p w14:paraId="456A9DBD" w14:textId="77777777" w:rsidR="00E934F2" w:rsidRPr="004C70EC" w:rsidRDefault="00A93205" w:rsidP="00A93205">
      <w:pPr>
        <w:pStyle w:val="Point0"/>
        <w:rPr>
          <w:noProof/>
          <w:color w:val="000000" w:themeColor="text1"/>
          <w:bdr w:val="nil"/>
          <w:lang w:val="en-US"/>
        </w:rPr>
      </w:pPr>
      <w:r w:rsidRPr="004C70EC">
        <w:rPr>
          <w:b/>
          <w:noProof/>
          <w:color w:val="000000" w:themeColor="text1"/>
          <w:bdr w:val="nil"/>
          <w:lang w:val="en-US" w:eastAsia="en-GB"/>
        </w:rPr>
        <w:t>•</w:t>
      </w:r>
      <w:r w:rsidRPr="004C70EC">
        <w:rPr>
          <w:b/>
          <w:noProof/>
          <w:color w:val="000000" w:themeColor="text1"/>
          <w:bdr w:val="nil"/>
          <w:lang w:val="en-US" w:eastAsia="en-GB"/>
        </w:rPr>
        <w:tab/>
      </w:r>
      <w:r w:rsidR="0081271B" w:rsidRPr="004C70EC">
        <w:rPr>
          <w:b/>
          <w:noProof/>
          <w:color w:val="000000" w:themeColor="text1"/>
          <w:lang w:val="en-US"/>
        </w:rPr>
        <w:t>i</w:t>
      </w:r>
      <w:r w:rsidR="00E934F2" w:rsidRPr="004C70EC">
        <w:rPr>
          <w:b/>
          <w:noProof/>
          <w:color w:val="000000" w:themeColor="text1"/>
          <w:bdr w:val="nil"/>
          <w:lang w:val="en-US"/>
        </w:rPr>
        <w:t>nterviews</w:t>
      </w:r>
      <w:r w:rsidR="00E934F2" w:rsidRPr="004C70EC">
        <w:rPr>
          <w:noProof/>
          <w:color w:val="000000" w:themeColor="text1"/>
          <w:bdr w:val="nil"/>
          <w:lang w:val="en-US"/>
        </w:rPr>
        <w:t xml:space="preserve"> with representatives of SMEs and large enterprises, </w:t>
      </w:r>
      <w:r w:rsidR="005808F9" w:rsidRPr="004C70EC">
        <w:rPr>
          <w:noProof/>
          <w:color w:val="000000" w:themeColor="text1"/>
          <w:lang w:val="en-US"/>
        </w:rPr>
        <w:t>an</w:t>
      </w:r>
      <w:r w:rsidR="00E33C9C" w:rsidRPr="004C70EC">
        <w:rPr>
          <w:noProof/>
          <w:color w:val="000000" w:themeColor="text1"/>
          <w:lang w:val="en-US"/>
        </w:rPr>
        <w:t>d representatives of</w:t>
      </w:r>
      <w:r w:rsidR="00E934F2" w:rsidRPr="004C70EC">
        <w:rPr>
          <w:noProof/>
          <w:color w:val="000000" w:themeColor="text1"/>
          <w:bdr w:val="nil"/>
          <w:lang w:val="en-US"/>
        </w:rPr>
        <w:t xml:space="preserve"> the spin-off, alliance/platform, scale-up and EU association sector</w:t>
      </w:r>
      <w:r w:rsidR="00E33C9C" w:rsidRPr="004C70EC">
        <w:rPr>
          <w:noProof/>
          <w:color w:val="000000" w:themeColor="text1"/>
          <w:lang w:val="en-US"/>
        </w:rPr>
        <w:t>s</w:t>
      </w:r>
      <w:r w:rsidR="0081271B" w:rsidRPr="004C70EC">
        <w:rPr>
          <w:noProof/>
          <w:color w:val="000000" w:themeColor="text1"/>
          <w:lang w:val="en-US"/>
        </w:rPr>
        <w:t>;</w:t>
      </w:r>
      <w:r w:rsidR="00E934F2" w:rsidRPr="004C70EC">
        <w:rPr>
          <w:noProof/>
          <w:color w:val="000000" w:themeColor="text1"/>
          <w:bdr w:val="nil"/>
          <w:lang w:val="en-US"/>
        </w:rPr>
        <w:t xml:space="preserve"> </w:t>
      </w:r>
    </w:p>
    <w:p w14:paraId="26322BE9" w14:textId="77777777" w:rsidR="00E934F2" w:rsidRPr="004C70EC" w:rsidRDefault="00A93205" w:rsidP="00A93205">
      <w:pPr>
        <w:pStyle w:val="Point0"/>
        <w:rPr>
          <w:noProof/>
          <w:color w:val="000000" w:themeColor="text1"/>
          <w:bdr w:val="nil"/>
          <w:lang w:val="en-US"/>
        </w:rPr>
      </w:pPr>
      <w:r w:rsidRPr="004C70EC">
        <w:rPr>
          <w:b/>
          <w:noProof/>
          <w:color w:val="000000" w:themeColor="text1"/>
          <w:bdr w:val="nil"/>
          <w:lang w:val="en-US" w:eastAsia="en-GB"/>
        </w:rPr>
        <w:t>•</w:t>
      </w:r>
      <w:r w:rsidRPr="004C70EC">
        <w:rPr>
          <w:b/>
          <w:noProof/>
          <w:color w:val="000000" w:themeColor="text1"/>
          <w:bdr w:val="nil"/>
          <w:lang w:val="en-US" w:eastAsia="en-GB"/>
        </w:rPr>
        <w:tab/>
      </w:r>
      <w:r w:rsidR="0081271B" w:rsidRPr="004C70EC">
        <w:rPr>
          <w:b/>
          <w:noProof/>
          <w:color w:val="000000" w:themeColor="text1"/>
          <w:bdr w:val="nil"/>
          <w:lang w:val="en-US"/>
        </w:rPr>
        <w:t>f</w:t>
      </w:r>
      <w:r w:rsidR="00E934F2" w:rsidRPr="004C70EC">
        <w:rPr>
          <w:b/>
          <w:noProof/>
          <w:color w:val="000000" w:themeColor="text1"/>
          <w:bdr w:val="nil"/>
          <w:lang w:val="en-US"/>
        </w:rPr>
        <w:t>ive thematic workshops</w:t>
      </w:r>
      <w:r w:rsidR="00E934F2" w:rsidRPr="004C70EC">
        <w:rPr>
          <w:noProof/>
          <w:color w:val="000000" w:themeColor="text1"/>
          <w:bdr w:val="nil"/>
          <w:lang w:val="en-US"/>
        </w:rPr>
        <w:t xml:space="preserve"> covering</w:t>
      </w:r>
      <w:r w:rsidR="00E934F2" w:rsidRPr="004C70EC">
        <w:rPr>
          <w:noProof/>
          <w:color w:val="000000" w:themeColor="text1"/>
          <w:szCs w:val="24"/>
          <w:bdr w:val="nil"/>
        </w:rPr>
        <w:t xml:space="preserve"> </w:t>
      </w:r>
      <w:r w:rsidR="00E33C9C" w:rsidRPr="004C70EC">
        <w:rPr>
          <w:noProof/>
          <w:color w:val="000000" w:themeColor="text1"/>
          <w:bdr w:val="nil"/>
        </w:rPr>
        <w:t xml:space="preserve">(i) </w:t>
      </w:r>
      <w:r w:rsidR="00E934F2" w:rsidRPr="004C70EC">
        <w:rPr>
          <w:noProof/>
          <w:color w:val="000000" w:themeColor="text1"/>
          <w:bdr w:val="nil"/>
        </w:rPr>
        <w:t>health/pharma</w:t>
      </w:r>
      <w:r w:rsidR="00E33C9C" w:rsidRPr="004C70EC">
        <w:rPr>
          <w:noProof/>
          <w:color w:val="000000" w:themeColor="text1"/>
          <w:szCs w:val="24"/>
          <w:bdr w:val="nil"/>
        </w:rPr>
        <w:t>;</w:t>
      </w:r>
      <w:r w:rsidR="00E934F2" w:rsidRPr="004C70EC">
        <w:rPr>
          <w:noProof/>
          <w:color w:val="000000" w:themeColor="text1"/>
          <w:szCs w:val="24"/>
          <w:bdr w:val="nil"/>
        </w:rPr>
        <w:t xml:space="preserve"> </w:t>
      </w:r>
      <w:r w:rsidR="00E33C9C" w:rsidRPr="004C70EC">
        <w:rPr>
          <w:noProof/>
          <w:color w:val="000000" w:themeColor="text1"/>
          <w:bdr w:val="nil"/>
        </w:rPr>
        <w:t>(ii)</w:t>
      </w:r>
      <w:r w:rsidR="00E934F2" w:rsidRPr="004C70EC">
        <w:rPr>
          <w:noProof/>
          <w:color w:val="000000" w:themeColor="text1"/>
          <w:bdr w:val="nil"/>
        </w:rPr>
        <w:t xml:space="preserve"> agriculture/environment</w:t>
      </w:r>
      <w:r w:rsidR="00E33C9C" w:rsidRPr="004C70EC">
        <w:rPr>
          <w:noProof/>
          <w:color w:val="000000" w:themeColor="text1"/>
          <w:szCs w:val="24"/>
          <w:bdr w:val="nil"/>
        </w:rPr>
        <w:t>;</w:t>
      </w:r>
      <w:r w:rsidR="00E934F2" w:rsidRPr="004C70EC">
        <w:rPr>
          <w:noProof/>
          <w:color w:val="000000" w:themeColor="text1"/>
          <w:szCs w:val="24"/>
          <w:bdr w:val="nil"/>
        </w:rPr>
        <w:t xml:space="preserve"> </w:t>
      </w:r>
      <w:r w:rsidR="00E33C9C" w:rsidRPr="004C70EC">
        <w:rPr>
          <w:noProof/>
          <w:color w:val="000000" w:themeColor="text1"/>
          <w:bdr w:val="nil"/>
        </w:rPr>
        <w:t>(iii)</w:t>
      </w:r>
      <w:r w:rsidR="00E934F2" w:rsidRPr="004C70EC">
        <w:rPr>
          <w:noProof/>
          <w:color w:val="000000" w:themeColor="text1"/>
          <w:bdr w:val="nil"/>
        </w:rPr>
        <w:t xml:space="preserve"> food and feed</w:t>
      </w:r>
      <w:r w:rsidR="00E33C9C" w:rsidRPr="004C70EC">
        <w:rPr>
          <w:noProof/>
          <w:color w:val="000000" w:themeColor="text1"/>
          <w:szCs w:val="24"/>
          <w:bdr w:val="nil"/>
        </w:rPr>
        <w:t>;</w:t>
      </w:r>
      <w:r w:rsidR="00E934F2" w:rsidRPr="004C70EC">
        <w:rPr>
          <w:noProof/>
          <w:color w:val="000000" w:themeColor="text1"/>
          <w:szCs w:val="24"/>
          <w:bdr w:val="nil"/>
        </w:rPr>
        <w:t xml:space="preserve"> </w:t>
      </w:r>
      <w:r w:rsidR="00E33C9C" w:rsidRPr="004C70EC">
        <w:rPr>
          <w:noProof/>
          <w:color w:val="000000" w:themeColor="text1"/>
          <w:bdr w:val="nil"/>
        </w:rPr>
        <w:t>(iv)</w:t>
      </w:r>
      <w:r w:rsidR="00E934F2" w:rsidRPr="004C70EC">
        <w:rPr>
          <w:noProof/>
          <w:color w:val="000000" w:themeColor="text1"/>
          <w:bdr w:val="nil"/>
        </w:rPr>
        <w:t xml:space="preserve"> bio-based chemicals and plastics</w:t>
      </w:r>
      <w:r w:rsidR="00E33C9C" w:rsidRPr="004C70EC">
        <w:rPr>
          <w:noProof/>
          <w:color w:val="000000" w:themeColor="text1"/>
          <w:szCs w:val="24"/>
          <w:bdr w:val="nil"/>
        </w:rPr>
        <w:t>;</w:t>
      </w:r>
      <w:r w:rsidR="00E934F2" w:rsidRPr="004C70EC">
        <w:rPr>
          <w:noProof/>
          <w:color w:val="000000" w:themeColor="text1"/>
          <w:szCs w:val="24"/>
          <w:bdr w:val="nil"/>
        </w:rPr>
        <w:t xml:space="preserve"> </w:t>
      </w:r>
      <w:r w:rsidR="00F32DCE" w:rsidRPr="004C70EC">
        <w:rPr>
          <w:noProof/>
          <w:color w:val="000000" w:themeColor="text1"/>
          <w:bdr w:val="nil"/>
        </w:rPr>
        <w:t xml:space="preserve">and </w:t>
      </w:r>
      <w:r w:rsidR="00E33C9C" w:rsidRPr="004C70EC">
        <w:rPr>
          <w:noProof/>
          <w:color w:val="000000" w:themeColor="text1"/>
          <w:bdr w:val="nil"/>
        </w:rPr>
        <w:t>(v)</w:t>
      </w:r>
      <w:r w:rsidR="00E934F2" w:rsidRPr="004C70EC">
        <w:rPr>
          <w:noProof/>
          <w:color w:val="000000" w:themeColor="text1"/>
          <w:bdr w:val="nil"/>
        </w:rPr>
        <w:t xml:space="preserve"> bio-based materials.</w:t>
      </w:r>
    </w:p>
    <w:p w14:paraId="6DCB51B9"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bdr w:val="nil"/>
          <w:lang w:val="en-US" w:eastAsia="en-GB"/>
        </w:rPr>
      </w:pPr>
      <w:r w:rsidRPr="004C70EC">
        <w:rPr>
          <w:rFonts w:eastAsia="Times New Roman"/>
          <w:noProof/>
          <w:color w:val="000000" w:themeColor="text1"/>
          <w:szCs w:val="24"/>
          <w:lang w:val="en-US" w:eastAsia="en-GB"/>
        </w:rPr>
        <w:t xml:space="preserve">Second, </w:t>
      </w:r>
      <w:r w:rsidR="00F32DCE" w:rsidRPr="004C70EC">
        <w:rPr>
          <w:rFonts w:eastAsia="Times New Roman"/>
          <w:noProof/>
          <w:color w:val="000000" w:themeColor="text1"/>
          <w:szCs w:val="24"/>
          <w:lang w:val="en-US" w:eastAsia="en-GB"/>
        </w:rPr>
        <w:t>to analyse</w:t>
      </w:r>
      <w:r w:rsidRPr="004C70EC">
        <w:rPr>
          <w:rFonts w:eastAsia="Times New Roman"/>
          <w:noProof/>
          <w:color w:val="000000" w:themeColor="text1"/>
          <w:szCs w:val="24"/>
          <w:lang w:val="en-US" w:eastAsia="en-GB"/>
        </w:rPr>
        <w:t xml:space="preserve"> the impacts of identified policy provisions, </w:t>
      </w:r>
      <w:r w:rsidRPr="004C70EC">
        <w:rPr>
          <w:rFonts w:eastAsia="Times New Roman"/>
          <w:noProof/>
          <w:color w:val="000000" w:themeColor="text1"/>
          <w:szCs w:val="24"/>
          <w:bdr w:val="nil"/>
          <w:lang w:val="en-US" w:eastAsia="en-GB"/>
        </w:rPr>
        <w:t xml:space="preserve">evidence </w:t>
      </w:r>
      <w:r w:rsidR="00163691" w:rsidRPr="004C70EC">
        <w:rPr>
          <w:rFonts w:eastAsia="Times New Roman"/>
          <w:noProof/>
          <w:color w:val="000000" w:themeColor="text1"/>
          <w:szCs w:val="24"/>
          <w:bdr w:val="nil"/>
          <w:lang w:val="en-US" w:eastAsia="en-GB"/>
        </w:rPr>
        <w:t xml:space="preserve">was collected </w:t>
      </w:r>
      <w:r w:rsidRPr="004C70EC">
        <w:rPr>
          <w:rFonts w:eastAsia="Times New Roman"/>
          <w:noProof/>
          <w:color w:val="000000" w:themeColor="text1"/>
          <w:szCs w:val="24"/>
          <w:bdr w:val="nil"/>
          <w:lang w:val="en-US" w:eastAsia="en-GB"/>
        </w:rPr>
        <w:t xml:space="preserve">on the impacts </w:t>
      </w:r>
      <w:r w:rsidR="00163691" w:rsidRPr="004C70EC">
        <w:rPr>
          <w:rFonts w:eastAsia="Times New Roman"/>
          <w:noProof/>
          <w:color w:val="000000" w:themeColor="text1"/>
          <w:szCs w:val="24"/>
          <w:lang w:val="en-US" w:eastAsia="en-GB"/>
        </w:rPr>
        <w:t>of these provisions</w:t>
      </w:r>
      <w:r w:rsidRPr="004C70EC">
        <w:rPr>
          <w:rFonts w:eastAsia="Times New Roman"/>
          <w:noProof/>
          <w:color w:val="000000" w:themeColor="text1"/>
          <w:szCs w:val="24"/>
          <w:bdr w:val="nil"/>
          <w:lang w:val="en-US" w:eastAsia="en-GB"/>
        </w:rPr>
        <w:t xml:space="preserve">. </w:t>
      </w:r>
    </w:p>
    <w:p w14:paraId="2C0B1C5F"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bdr w:val="nil"/>
          <w:lang w:val="en-US" w:eastAsia="en-GB"/>
        </w:rPr>
      </w:pPr>
      <w:r w:rsidRPr="004C70EC">
        <w:rPr>
          <w:rFonts w:eastAsia="Times New Roman"/>
          <w:noProof/>
          <w:color w:val="000000" w:themeColor="text1"/>
          <w:szCs w:val="24"/>
          <w:bdr w:val="nil"/>
          <w:lang w:val="en-US" w:eastAsia="en-GB"/>
        </w:rPr>
        <w:t xml:space="preserve">On </w:t>
      </w:r>
      <w:r w:rsidRPr="004C70EC">
        <w:rPr>
          <w:rFonts w:eastAsia="Times New Roman"/>
          <w:b/>
          <w:noProof/>
          <w:color w:val="000000" w:themeColor="text1"/>
          <w:szCs w:val="24"/>
          <w:bdr w:val="nil"/>
          <w:lang w:val="en-US" w:eastAsia="en-GB"/>
        </w:rPr>
        <w:t xml:space="preserve">clinical </w:t>
      </w:r>
      <w:r w:rsidRPr="004C70EC">
        <w:rPr>
          <w:rFonts w:eastAsia="Times New Roman"/>
          <w:b/>
          <w:bCs/>
          <w:noProof/>
          <w:color w:val="000000" w:themeColor="text1"/>
          <w:szCs w:val="24"/>
          <w:bdr w:val="nil"/>
          <w:lang w:val="en-US" w:eastAsia="en-GB"/>
        </w:rPr>
        <w:t>trials</w:t>
      </w:r>
      <w:r w:rsidRPr="004C70EC">
        <w:rPr>
          <w:rFonts w:eastAsia="Times New Roman"/>
          <w:noProof/>
          <w:color w:val="000000" w:themeColor="text1"/>
          <w:szCs w:val="24"/>
          <w:bdr w:val="nil"/>
          <w:lang w:val="en-US" w:eastAsia="en-GB"/>
        </w:rPr>
        <w:t xml:space="preserve">, evidence has been </w:t>
      </w:r>
      <w:r w:rsidRPr="004C70EC">
        <w:rPr>
          <w:rFonts w:eastAsia="Times New Roman"/>
          <w:noProof/>
          <w:color w:val="000000" w:themeColor="text1"/>
          <w:szCs w:val="24"/>
          <w:lang w:val="en-US" w:eastAsia="en-GB"/>
        </w:rPr>
        <w:t xml:space="preserve">collected </w:t>
      </w:r>
      <w:r w:rsidR="006C64BE" w:rsidRPr="004C70EC">
        <w:rPr>
          <w:rFonts w:eastAsia="Times New Roman"/>
          <w:noProof/>
          <w:color w:val="000000" w:themeColor="text1"/>
          <w:szCs w:val="24"/>
          <w:lang w:val="en-US" w:eastAsia="en-GB"/>
        </w:rPr>
        <w:t xml:space="preserve">(by November 2025) </w:t>
      </w:r>
      <w:r w:rsidRPr="004C70EC">
        <w:rPr>
          <w:rFonts w:eastAsia="Times New Roman"/>
          <w:noProof/>
          <w:color w:val="000000" w:themeColor="text1"/>
          <w:szCs w:val="24"/>
          <w:lang w:val="en-US" w:eastAsia="en-GB"/>
        </w:rPr>
        <w:t>through:</w:t>
      </w:r>
    </w:p>
    <w:p w14:paraId="414C2D39" w14:textId="77777777" w:rsidR="00E934F2" w:rsidRPr="004C70EC" w:rsidRDefault="36ACABCC" w:rsidP="00CB57CA">
      <w:pPr>
        <w:pStyle w:val="Point0"/>
        <w:rPr>
          <w:noProof/>
          <w:color w:val="000000" w:themeColor="text1"/>
          <w:szCs w:val="24"/>
          <w:lang w:val="en-US"/>
        </w:rPr>
      </w:pPr>
      <w:r w:rsidRPr="004C70EC">
        <w:rPr>
          <w:b/>
          <w:noProof/>
          <w:color w:val="000000" w:themeColor="text1"/>
          <w:bdr w:val="nil"/>
          <w:lang w:val="en-US" w:eastAsia="en-GB"/>
        </w:rPr>
        <w:t>•</w:t>
      </w:r>
      <w:r w:rsidR="00CB57CA" w:rsidRPr="004C70EC">
        <w:rPr>
          <w:b/>
          <w:noProof/>
          <w:color w:val="000000" w:themeColor="text1"/>
          <w:bdr w:val="nil"/>
          <w:lang w:val="en-US" w:eastAsia="en-GB"/>
        </w:rPr>
        <w:tab/>
      </w:r>
      <w:r w:rsidR="00CC6036" w:rsidRPr="004C70EC">
        <w:rPr>
          <w:b/>
          <w:noProof/>
          <w:color w:val="000000" w:themeColor="text1"/>
          <w:lang w:val="en-US"/>
        </w:rPr>
        <w:t>t</w:t>
      </w:r>
      <w:r w:rsidR="5D5E70DB" w:rsidRPr="004C70EC">
        <w:rPr>
          <w:b/>
          <w:noProof/>
          <w:color w:val="000000" w:themeColor="text1"/>
          <w:lang w:val="en-US"/>
        </w:rPr>
        <w:t>hree workshops organised by the European Commission</w:t>
      </w:r>
      <w:r w:rsidR="5D5E70DB" w:rsidRPr="004C70EC">
        <w:rPr>
          <w:noProof/>
          <w:color w:val="000000" w:themeColor="text1"/>
          <w:lang w:val="en-US"/>
        </w:rPr>
        <w:t xml:space="preserve"> in June, September, and November 2025</w:t>
      </w:r>
      <w:r w:rsidR="00E934F2" w:rsidRPr="004C70EC">
        <w:rPr>
          <w:rStyle w:val="FootnoteReference"/>
          <w:noProof/>
          <w:color w:val="000000" w:themeColor="text1"/>
          <w:lang w:val="en-US"/>
        </w:rPr>
        <w:footnoteReference w:id="80"/>
      </w:r>
      <w:r w:rsidR="5D5E70DB" w:rsidRPr="004C70EC">
        <w:rPr>
          <w:noProof/>
          <w:color w:val="000000" w:themeColor="text1"/>
          <w:lang w:val="en-US"/>
        </w:rPr>
        <w:t>, with representatives of national competent authorities and ethics committee members from across the EU</w:t>
      </w:r>
      <w:r w:rsidR="00B8160F" w:rsidRPr="004C70EC">
        <w:rPr>
          <w:noProof/>
          <w:color w:val="000000" w:themeColor="text1"/>
          <w:lang w:val="en-US"/>
        </w:rPr>
        <w:t xml:space="preserve"> </w:t>
      </w:r>
      <w:r w:rsidR="5D5E70DB" w:rsidRPr="004C70EC">
        <w:rPr>
          <w:noProof/>
          <w:color w:val="000000" w:themeColor="text1"/>
          <w:lang w:val="en-US"/>
        </w:rPr>
        <w:t xml:space="preserve">to exchange views with experts to inform </w:t>
      </w:r>
      <w:r w:rsidR="00B41DB6" w:rsidRPr="004C70EC">
        <w:rPr>
          <w:noProof/>
          <w:color w:val="000000" w:themeColor="text1"/>
          <w:lang w:val="en-US"/>
        </w:rPr>
        <w:t xml:space="preserve">how </w:t>
      </w:r>
      <w:r w:rsidR="5D5E70DB" w:rsidRPr="004C70EC">
        <w:rPr>
          <w:noProof/>
          <w:color w:val="000000" w:themeColor="text1"/>
          <w:lang w:val="en-US"/>
        </w:rPr>
        <w:t>policy options</w:t>
      </w:r>
      <w:r w:rsidR="00B41DB6" w:rsidRPr="004C70EC">
        <w:rPr>
          <w:noProof/>
          <w:color w:val="000000" w:themeColor="text1"/>
          <w:lang w:val="en-US"/>
        </w:rPr>
        <w:t xml:space="preserve"> would be defined</w:t>
      </w:r>
      <w:r w:rsidR="002D5A73" w:rsidRPr="004C70EC">
        <w:rPr>
          <w:noProof/>
          <w:color w:val="000000" w:themeColor="text1"/>
          <w:lang w:val="en-US"/>
        </w:rPr>
        <w:t>;</w:t>
      </w:r>
    </w:p>
    <w:p w14:paraId="226FACD7" w14:textId="77777777" w:rsidR="00E934F2" w:rsidRPr="004C70EC" w:rsidRDefault="00CB57CA" w:rsidP="00CB57CA">
      <w:pPr>
        <w:pStyle w:val="Point0"/>
        <w:rPr>
          <w:b/>
          <w:bCs/>
          <w:noProof/>
          <w:color w:val="000000" w:themeColor="text1"/>
          <w:szCs w:val="24"/>
          <w:bdr w:val="nil"/>
          <w:lang w:val="en-US"/>
        </w:rPr>
      </w:pPr>
      <w:r w:rsidRPr="004C70EC">
        <w:rPr>
          <w:b/>
          <w:noProof/>
          <w:color w:val="000000" w:themeColor="text1"/>
          <w:bdr w:val="nil"/>
          <w:lang w:val="en-US" w:eastAsia="en-GB"/>
        </w:rPr>
        <w:t>•</w:t>
      </w:r>
      <w:r w:rsidRPr="004C70EC">
        <w:rPr>
          <w:b/>
          <w:noProof/>
          <w:color w:val="000000" w:themeColor="text1"/>
          <w:bdr w:val="nil"/>
          <w:lang w:val="en-US" w:eastAsia="en-GB"/>
        </w:rPr>
        <w:tab/>
      </w:r>
      <w:r w:rsidR="00CC6036" w:rsidRPr="004C70EC">
        <w:rPr>
          <w:b/>
          <w:bCs/>
          <w:noProof/>
          <w:color w:val="000000" w:themeColor="text1"/>
          <w:szCs w:val="24"/>
        </w:rPr>
        <w:t>t</w:t>
      </w:r>
      <w:r w:rsidR="00E934F2" w:rsidRPr="004C70EC">
        <w:rPr>
          <w:b/>
          <w:bCs/>
          <w:noProof/>
          <w:color w:val="000000" w:themeColor="text1"/>
          <w:szCs w:val="24"/>
        </w:rPr>
        <w:t>argeted interviews</w:t>
      </w:r>
      <w:r w:rsidR="002D5A73" w:rsidRPr="004C70EC">
        <w:rPr>
          <w:b/>
          <w:bCs/>
          <w:noProof/>
          <w:color w:val="000000" w:themeColor="text1"/>
          <w:szCs w:val="24"/>
        </w:rPr>
        <w:t>;</w:t>
      </w:r>
      <w:r w:rsidR="00E934F2" w:rsidRPr="004C70EC">
        <w:rPr>
          <w:noProof/>
          <w:color w:val="000000" w:themeColor="text1"/>
          <w:szCs w:val="24"/>
        </w:rPr>
        <w:t xml:space="preserve"> </w:t>
      </w:r>
    </w:p>
    <w:p w14:paraId="3146725F" w14:textId="77777777" w:rsidR="00E934F2" w:rsidRPr="004C70EC" w:rsidRDefault="00CB57CA" w:rsidP="00CB57CA">
      <w:pPr>
        <w:pStyle w:val="Point0"/>
        <w:rPr>
          <w:noProof/>
          <w:color w:val="000000" w:themeColor="text1"/>
          <w:bdr w:val="nil"/>
          <w:lang w:val="en-US"/>
        </w:rPr>
      </w:pPr>
      <w:r w:rsidRPr="004C70EC">
        <w:rPr>
          <w:b/>
          <w:noProof/>
          <w:color w:val="000000" w:themeColor="text1"/>
          <w:bdr w:val="nil"/>
          <w:lang w:val="en-US" w:eastAsia="en-GB"/>
        </w:rPr>
        <w:t>•</w:t>
      </w:r>
      <w:r w:rsidRPr="004C70EC">
        <w:rPr>
          <w:b/>
          <w:noProof/>
          <w:color w:val="000000" w:themeColor="text1"/>
          <w:bdr w:val="nil"/>
          <w:lang w:val="en-US" w:eastAsia="en-GB"/>
        </w:rPr>
        <w:tab/>
      </w:r>
      <w:r w:rsidR="00CC6036" w:rsidRPr="004C70EC">
        <w:rPr>
          <w:b/>
          <w:noProof/>
          <w:color w:val="000000" w:themeColor="text1"/>
        </w:rPr>
        <w:t>t</w:t>
      </w:r>
      <w:r w:rsidR="00E934F2" w:rsidRPr="004C70EC">
        <w:rPr>
          <w:b/>
          <w:noProof/>
          <w:color w:val="000000" w:themeColor="text1"/>
        </w:rPr>
        <w:t>argeted survey</w:t>
      </w:r>
      <w:r w:rsidR="00E934F2" w:rsidRPr="004C70EC">
        <w:rPr>
          <w:noProof/>
          <w:color w:val="000000" w:themeColor="text1"/>
        </w:rPr>
        <w:t xml:space="preserve"> to various stakeholder groups: </w:t>
      </w:r>
    </w:p>
    <w:p w14:paraId="769E7E2D" w14:textId="77777777" w:rsidR="00E934F2" w:rsidRPr="004C70EC" w:rsidRDefault="36ACABCC" w:rsidP="00CB57CA">
      <w:pPr>
        <w:pStyle w:val="Point1"/>
        <w:rPr>
          <w:noProof/>
          <w:color w:val="000000" w:themeColor="text1"/>
          <w:bdr w:val="nil"/>
          <w:lang w:val="en-US"/>
        </w:rPr>
      </w:pPr>
      <w:r w:rsidRPr="004C70EC">
        <w:rPr>
          <w:b/>
          <w:noProof/>
          <w:color w:val="000000" w:themeColor="text1"/>
          <w:bdr w:val="nil"/>
          <w:lang w:val="en-US" w:eastAsia="en-GB"/>
        </w:rPr>
        <w:t>•</w:t>
      </w:r>
      <w:r w:rsidR="00CB57CA" w:rsidRPr="004C70EC">
        <w:rPr>
          <w:b/>
          <w:noProof/>
          <w:color w:val="000000" w:themeColor="text1"/>
          <w:bdr w:val="nil"/>
          <w:lang w:val="en-US" w:eastAsia="en-GB"/>
        </w:rPr>
        <w:tab/>
      </w:r>
      <w:r w:rsidR="004D4B6C" w:rsidRPr="004C70EC">
        <w:rPr>
          <w:b/>
          <w:noProof/>
          <w:color w:val="000000" w:themeColor="text1"/>
        </w:rPr>
        <w:t>a</w:t>
      </w:r>
      <w:r w:rsidR="5D5E70DB" w:rsidRPr="004C70EC">
        <w:rPr>
          <w:b/>
          <w:noProof/>
          <w:color w:val="000000" w:themeColor="text1"/>
        </w:rPr>
        <w:t xml:space="preserve"> survey targeted to sponsors and clinical research organisations</w:t>
      </w:r>
      <w:r w:rsidR="5D5E70DB" w:rsidRPr="004C70EC">
        <w:rPr>
          <w:noProof/>
          <w:color w:val="000000" w:themeColor="text1"/>
        </w:rPr>
        <w:t xml:space="preserve"> received 48 response</w:t>
      </w:r>
      <w:r w:rsidR="7FFDFAA0" w:rsidRPr="004C70EC">
        <w:rPr>
          <w:noProof/>
          <w:color w:val="000000" w:themeColor="text1"/>
        </w:rPr>
        <w:t xml:space="preserve">s </w:t>
      </w:r>
      <w:r w:rsidR="00E934F2" w:rsidRPr="004C70EC">
        <w:rPr>
          <w:rStyle w:val="FootnoteReference"/>
          <w:noProof/>
          <w:color w:val="000000" w:themeColor="text1"/>
        </w:rPr>
        <w:footnoteReference w:id="81"/>
      </w:r>
      <w:r w:rsidR="5D5E70DB" w:rsidRPr="004C70EC">
        <w:rPr>
          <w:noProof/>
          <w:color w:val="000000" w:themeColor="text1"/>
        </w:rPr>
        <w:t xml:space="preserve">. </w:t>
      </w:r>
    </w:p>
    <w:p w14:paraId="395B721E" w14:textId="77777777" w:rsidR="00E934F2" w:rsidRPr="004C70EC" w:rsidRDefault="36ACABCC" w:rsidP="00CB57CA">
      <w:pPr>
        <w:pStyle w:val="Point1"/>
        <w:rPr>
          <w:noProof/>
          <w:color w:val="000000" w:themeColor="text1"/>
          <w:bdr w:val="nil"/>
          <w:lang w:val="en-US"/>
        </w:rPr>
      </w:pPr>
      <w:r w:rsidRPr="004C70EC">
        <w:rPr>
          <w:b/>
          <w:noProof/>
          <w:color w:val="000000" w:themeColor="text1"/>
          <w:bdr w:val="nil"/>
          <w:lang w:val="en-US" w:eastAsia="en-GB"/>
        </w:rPr>
        <w:t>•</w:t>
      </w:r>
      <w:r w:rsidR="00CB57CA" w:rsidRPr="004C70EC">
        <w:rPr>
          <w:b/>
          <w:noProof/>
          <w:color w:val="000000" w:themeColor="text1"/>
          <w:bdr w:val="nil"/>
          <w:lang w:val="en-US" w:eastAsia="en-GB"/>
        </w:rPr>
        <w:tab/>
      </w:r>
      <w:r w:rsidR="5D5E70DB" w:rsidRPr="004C70EC">
        <w:rPr>
          <w:noProof/>
          <w:color w:val="000000" w:themeColor="text1"/>
        </w:rPr>
        <w:t>another</w:t>
      </w:r>
      <w:r w:rsidR="5D5E70DB" w:rsidRPr="004C70EC">
        <w:rPr>
          <w:b/>
          <w:noProof/>
          <w:color w:val="000000" w:themeColor="text1"/>
        </w:rPr>
        <w:t xml:space="preserve"> targeted survey</w:t>
      </w:r>
      <w:r w:rsidR="004D4B6C" w:rsidRPr="004C70EC">
        <w:rPr>
          <w:b/>
          <w:noProof/>
          <w:color w:val="000000" w:themeColor="text1"/>
        </w:rPr>
        <w:t xml:space="preserve"> collected</w:t>
      </w:r>
      <w:r w:rsidR="5D5E70DB" w:rsidRPr="004C70EC">
        <w:rPr>
          <w:b/>
          <w:noProof/>
          <w:color w:val="000000" w:themeColor="text1"/>
        </w:rPr>
        <w:t xml:space="preserve"> views from 44 public authorities </w:t>
      </w:r>
      <w:r w:rsidR="2BDE794A" w:rsidRPr="004C70EC">
        <w:rPr>
          <w:noProof/>
          <w:color w:val="000000" w:themeColor="text1"/>
        </w:rPr>
        <w:t>representing 25 EU/EEA countries</w:t>
      </w:r>
      <w:r w:rsidR="00E934F2" w:rsidRPr="004C70EC">
        <w:rPr>
          <w:rStyle w:val="FootnoteReference"/>
          <w:noProof/>
          <w:color w:val="000000" w:themeColor="text1"/>
        </w:rPr>
        <w:footnoteReference w:id="82"/>
      </w:r>
      <w:r w:rsidR="5D5E70DB" w:rsidRPr="004C70EC">
        <w:rPr>
          <w:noProof/>
          <w:color w:val="000000" w:themeColor="text1"/>
          <w:szCs w:val="24"/>
        </w:rPr>
        <w:t>.</w:t>
      </w:r>
    </w:p>
    <w:p w14:paraId="0435C6CA" w14:textId="77777777" w:rsidR="00E934F2" w:rsidRPr="004C70EC" w:rsidRDefault="00CB57CA" w:rsidP="00CB57CA">
      <w:pPr>
        <w:pStyle w:val="Point1"/>
        <w:rPr>
          <w:noProof/>
          <w:color w:val="000000" w:themeColor="text1"/>
          <w:bdr w:val="nil"/>
          <w:lang w:val="en-US"/>
        </w:rPr>
      </w:pPr>
      <w:r w:rsidRPr="004C70EC">
        <w:rPr>
          <w:b/>
          <w:noProof/>
          <w:color w:val="000000" w:themeColor="text1"/>
          <w:bdr w:val="nil"/>
          <w:lang w:val="en-US" w:eastAsia="en-GB"/>
        </w:rPr>
        <w:t>•</w:t>
      </w:r>
      <w:r w:rsidRPr="004C70EC">
        <w:rPr>
          <w:b/>
          <w:noProof/>
          <w:color w:val="000000" w:themeColor="text1"/>
          <w:bdr w:val="nil"/>
          <w:lang w:val="en-US" w:eastAsia="en-GB"/>
        </w:rPr>
        <w:tab/>
      </w:r>
      <w:r w:rsidR="00F64EE6" w:rsidRPr="004C70EC">
        <w:rPr>
          <w:noProof/>
          <w:color w:val="000000" w:themeColor="text1"/>
        </w:rPr>
        <w:t>a</w:t>
      </w:r>
      <w:r w:rsidR="00E934F2" w:rsidRPr="004C70EC">
        <w:rPr>
          <w:noProof/>
          <w:color w:val="000000" w:themeColor="text1"/>
        </w:rPr>
        <w:t xml:space="preserve"> </w:t>
      </w:r>
      <w:r w:rsidR="00E934F2" w:rsidRPr="004C70EC">
        <w:rPr>
          <w:b/>
          <w:noProof/>
          <w:color w:val="000000" w:themeColor="text1"/>
        </w:rPr>
        <w:t xml:space="preserve">survey tailored to patient representatives </w:t>
      </w:r>
      <w:r w:rsidR="00E934F2" w:rsidRPr="004C70EC">
        <w:rPr>
          <w:noProof/>
          <w:color w:val="000000" w:themeColor="text1"/>
        </w:rPr>
        <w:t xml:space="preserve">received </w:t>
      </w:r>
      <w:r w:rsidR="00F64EE6" w:rsidRPr="004C70EC">
        <w:rPr>
          <w:noProof/>
          <w:color w:val="000000" w:themeColor="text1"/>
        </w:rPr>
        <w:t>1</w:t>
      </w:r>
      <w:r w:rsidR="00E934F2" w:rsidRPr="004C70EC">
        <w:rPr>
          <w:noProof/>
          <w:color w:val="000000" w:themeColor="text1"/>
        </w:rPr>
        <w:t xml:space="preserve"> response from a disease-specific patient representing </w:t>
      </w:r>
      <w:r w:rsidR="00583164" w:rsidRPr="004C70EC">
        <w:rPr>
          <w:noProof/>
          <w:color w:val="000000" w:themeColor="text1"/>
        </w:rPr>
        <w:t>an</w:t>
      </w:r>
      <w:r w:rsidR="00E934F2" w:rsidRPr="004C70EC">
        <w:rPr>
          <w:noProof/>
          <w:color w:val="000000" w:themeColor="text1"/>
        </w:rPr>
        <w:t xml:space="preserve"> organisation at national level.</w:t>
      </w:r>
    </w:p>
    <w:p w14:paraId="1E17D75A"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bdr w:val="nil"/>
          <w:lang w:val="en-US" w:eastAsia="en-GB"/>
        </w:rPr>
      </w:pPr>
      <w:r w:rsidRPr="004C70EC">
        <w:rPr>
          <w:rFonts w:eastAsia="Times New Roman"/>
          <w:noProof/>
          <w:color w:val="000000" w:themeColor="text1"/>
          <w:bdr w:val="nil"/>
          <w:lang w:val="en-US" w:eastAsia="en-GB"/>
        </w:rPr>
        <w:t xml:space="preserve">Evidence on the impacts of options on </w:t>
      </w:r>
      <w:r w:rsidRPr="004C70EC">
        <w:rPr>
          <w:rFonts w:eastAsia="Times New Roman"/>
          <w:b/>
          <w:noProof/>
          <w:color w:val="000000" w:themeColor="text1"/>
          <w:bdr w:val="nil"/>
          <w:lang w:eastAsia="en-GB"/>
        </w:rPr>
        <w:t>genetically modified microorganisms</w:t>
      </w:r>
      <w:r w:rsidRPr="004C70EC">
        <w:rPr>
          <w:rFonts w:eastAsia="Times New Roman"/>
          <w:noProof/>
          <w:color w:val="000000" w:themeColor="text1"/>
          <w:bdr w:val="nil"/>
          <w:lang w:val="en-US" w:eastAsia="en-GB"/>
        </w:rPr>
        <w:t xml:space="preserve"> </w:t>
      </w:r>
      <w:r w:rsidR="00F64EE6" w:rsidRPr="004C70EC">
        <w:rPr>
          <w:rFonts w:eastAsia="Times New Roman"/>
          <w:noProof/>
          <w:color w:val="000000" w:themeColor="text1"/>
          <w:bdr w:val="nil"/>
          <w:lang w:val="en-US" w:eastAsia="en-GB"/>
        </w:rPr>
        <w:t>was</w:t>
      </w:r>
      <w:r w:rsidRPr="004C70EC">
        <w:rPr>
          <w:rFonts w:eastAsia="Times New Roman"/>
          <w:noProof/>
          <w:color w:val="000000" w:themeColor="text1"/>
          <w:bdr w:val="nil"/>
          <w:lang w:val="en-US" w:eastAsia="en-GB"/>
        </w:rPr>
        <w:t xml:space="preserve"> collected through </w:t>
      </w:r>
      <w:r w:rsidRPr="004C70EC">
        <w:rPr>
          <w:rFonts w:eastAsia="Times New Roman"/>
          <w:b/>
          <w:noProof/>
          <w:color w:val="000000" w:themeColor="text1"/>
          <w:bdr w:val="nil"/>
          <w:lang w:val="en-US" w:eastAsia="en-GB"/>
        </w:rPr>
        <w:t>25 interviews</w:t>
      </w:r>
      <w:r w:rsidR="006C64BE" w:rsidRPr="004C70EC">
        <w:rPr>
          <w:rFonts w:eastAsia="Times New Roman"/>
          <w:b/>
          <w:noProof/>
          <w:color w:val="000000" w:themeColor="text1"/>
          <w:lang w:val="en-US" w:eastAsia="en-GB"/>
        </w:rPr>
        <w:t xml:space="preserve"> </w:t>
      </w:r>
      <w:r w:rsidR="006C64BE" w:rsidRPr="004C70EC">
        <w:rPr>
          <w:rFonts w:eastAsia="Times New Roman"/>
          <w:noProof/>
          <w:color w:val="000000" w:themeColor="text1"/>
          <w:lang w:val="en-US" w:eastAsia="en-GB"/>
        </w:rPr>
        <w:t>(by November 2025)</w:t>
      </w:r>
      <w:r w:rsidRPr="004C70EC">
        <w:rPr>
          <w:rFonts w:eastAsia="Times New Roman"/>
          <w:noProof/>
          <w:color w:val="000000" w:themeColor="text1"/>
          <w:bdr w:val="nil"/>
          <w:lang w:val="en-US" w:eastAsia="en-GB"/>
        </w:rPr>
        <w:t>.</w:t>
      </w:r>
    </w:p>
    <w:p w14:paraId="13AD525E"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bdr w:val="nil"/>
          <w:lang w:val="en-US" w:eastAsia="en-GB"/>
        </w:rPr>
      </w:pPr>
      <w:r w:rsidRPr="004C70EC">
        <w:rPr>
          <w:rFonts w:eastAsia="Times New Roman"/>
          <w:noProof/>
          <w:color w:val="000000" w:themeColor="text1"/>
          <w:szCs w:val="24"/>
        </w:rPr>
        <w:t xml:space="preserve">Finally, targeted consultation activities </w:t>
      </w:r>
      <w:r w:rsidR="00931DF9" w:rsidRPr="004C70EC">
        <w:rPr>
          <w:rFonts w:eastAsia="Times New Roman"/>
          <w:noProof/>
          <w:color w:val="000000" w:themeColor="text1"/>
          <w:szCs w:val="24"/>
        </w:rPr>
        <w:t>were also</w:t>
      </w:r>
      <w:r w:rsidRPr="004C70EC">
        <w:rPr>
          <w:rFonts w:eastAsia="Times New Roman"/>
          <w:noProof/>
          <w:color w:val="000000" w:themeColor="text1"/>
          <w:szCs w:val="24"/>
        </w:rPr>
        <w:t xml:space="preserve"> conducted </w:t>
      </w:r>
      <w:r w:rsidR="00F64EE6" w:rsidRPr="004C70EC">
        <w:rPr>
          <w:rFonts w:eastAsia="Times New Roman"/>
          <w:noProof/>
          <w:color w:val="000000" w:themeColor="text1"/>
          <w:szCs w:val="24"/>
        </w:rPr>
        <w:t>as part</w:t>
      </w:r>
      <w:r w:rsidRPr="004C70EC">
        <w:rPr>
          <w:rFonts w:eastAsia="Times New Roman"/>
          <w:noProof/>
          <w:color w:val="000000" w:themeColor="text1"/>
          <w:szCs w:val="24"/>
        </w:rPr>
        <w:t xml:space="preserve"> of the </w:t>
      </w:r>
      <w:r w:rsidRPr="004C70EC">
        <w:rPr>
          <w:rFonts w:eastAsia="Times New Roman"/>
          <w:b/>
          <w:noProof/>
          <w:color w:val="000000" w:themeColor="text1"/>
          <w:szCs w:val="24"/>
        </w:rPr>
        <w:t xml:space="preserve">supporting study for the evaluation of </w:t>
      </w:r>
      <w:r w:rsidR="002C56F7" w:rsidRPr="004C70EC">
        <w:rPr>
          <w:rFonts w:eastAsia="Times New Roman"/>
          <w:b/>
          <w:noProof/>
          <w:color w:val="000000" w:themeColor="text1"/>
          <w:szCs w:val="24"/>
        </w:rPr>
        <w:t>EFSA</w:t>
      </w:r>
      <w:r w:rsidRPr="004C70EC">
        <w:rPr>
          <w:rFonts w:eastAsia="Times New Roman"/>
          <w:noProof/>
          <w:color w:val="000000" w:themeColor="text1"/>
          <w:szCs w:val="24"/>
        </w:rPr>
        <w:t>.</w:t>
      </w:r>
    </w:p>
    <w:p w14:paraId="7B3D9C3D" w14:textId="77777777" w:rsidR="00E934F2" w:rsidRPr="004C70EC" w:rsidRDefault="00E934F2" w:rsidP="00CB57CA">
      <w:pPr>
        <w:pStyle w:val="ManualHeading2"/>
        <w:rPr>
          <w:noProof/>
          <w:color w:val="000000" w:themeColor="text1"/>
          <w:bdr w:val="nil"/>
          <w:lang w:val="en-US" w:eastAsia="en-GB"/>
        </w:rPr>
      </w:pPr>
      <w:r w:rsidRPr="004C70EC">
        <w:rPr>
          <w:noProof/>
          <w:color w:val="000000" w:themeColor="text1"/>
          <w:bdr w:val="nil"/>
          <w:lang w:val="en-US" w:eastAsia="en-GB"/>
        </w:rPr>
        <w:t>•</w:t>
      </w:r>
      <w:r w:rsidRPr="004C70EC">
        <w:rPr>
          <w:rFonts w:eastAsia="Arial Unicode MS"/>
          <w:noProof/>
          <w:color w:val="000000" w:themeColor="text1"/>
          <w:u w:color="000000"/>
          <w:bdr w:val="nil"/>
          <w:lang w:val="en-US" w:eastAsia="en-GB"/>
        </w:rPr>
        <w:tab/>
      </w:r>
      <w:r w:rsidRPr="004C70EC">
        <w:rPr>
          <w:noProof/>
          <w:color w:val="000000" w:themeColor="text1"/>
          <w:bdr w:val="nil"/>
          <w:lang w:val="en-US" w:eastAsia="en-GB"/>
        </w:rPr>
        <w:t xml:space="preserve">Collection and use of expertise </w:t>
      </w:r>
    </w:p>
    <w:p w14:paraId="059FC3EE" w14:textId="77777777" w:rsidR="00E934F2" w:rsidRPr="004C70EC" w:rsidRDefault="5D5E70DB">
      <w:pPr>
        <w:pBdr>
          <w:top w:val="nil"/>
          <w:left w:val="nil"/>
          <w:bottom w:val="nil"/>
          <w:right w:val="nil"/>
          <w:between w:val="nil"/>
          <w:bar w:val="nil"/>
        </w:pBdr>
        <w:spacing w:after="240"/>
        <w:rPr>
          <w:rFonts w:eastAsia="Times New Roman"/>
          <w:noProof/>
          <w:color w:val="000000" w:themeColor="text1"/>
          <w:bdr w:val="nil"/>
          <w:lang w:eastAsia="en-GB"/>
        </w:rPr>
      </w:pPr>
      <w:r w:rsidRPr="004C70EC">
        <w:rPr>
          <w:rFonts w:eastAsia="Times New Roman"/>
          <w:noProof/>
          <w:color w:val="000000" w:themeColor="text1"/>
          <w:lang w:val="en-US" w:eastAsia="en-GB"/>
        </w:rPr>
        <w:t xml:space="preserve">The major competitiveness gap in biotechnology and the market and regulatory barriers faced by European companies </w:t>
      </w:r>
      <w:r w:rsidR="00892867" w:rsidRPr="004C70EC">
        <w:rPr>
          <w:rFonts w:eastAsia="Times New Roman"/>
          <w:noProof/>
          <w:color w:val="000000" w:themeColor="text1"/>
          <w:lang w:val="en-US" w:eastAsia="en-GB"/>
        </w:rPr>
        <w:t>were</w:t>
      </w:r>
      <w:r w:rsidRPr="004C70EC">
        <w:rPr>
          <w:rFonts w:eastAsia="Times New Roman"/>
          <w:noProof/>
          <w:color w:val="000000" w:themeColor="text1"/>
          <w:lang w:val="en-US" w:eastAsia="en-GB"/>
        </w:rPr>
        <w:t xml:space="preserve"> identified in the Commission Communication </w:t>
      </w:r>
      <w:r w:rsidR="00617894"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Building the future with nature: Boosting Biotechnology and Biomanufacturing in the EU</w:t>
      </w:r>
      <w:r w:rsidR="00617894" w:rsidRPr="004C70EC">
        <w:rPr>
          <w:rFonts w:eastAsia="Times New Roman"/>
          <w:noProof/>
          <w:color w:val="000000" w:themeColor="text1"/>
          <w:lang w:val="en-US" w:eastAsia="en-GB"/>
        </w:rPr>
        <w:t>’</w:t>
      </w:r>
      <w:r w:rsidR="00E934F2" w:rsidRPr="004C70EC">
        <w:rPr>
          <w:rStyle w:val="FootnoteReference"/>
          <w:rFonts w:eastAsia="Times New Roman"/>
          <w:noProof/>
          <w:color w:val="000000" w:themeColor="text1"/>
          <w:bdr w:val="nil"/>
          <w:lang w:val="en-US" w:eastAsia="en-GB"/>
        </w:rPr>
        <w:footnoteReference w:id="83"/>
      </w:r>
      <w:r w:rsidRPr="004C70EC">
        <w:rPr>
          <w:rFonts w:eastAsia="Times New Roman"/>
          <w:noProof/>
          <w:color w:val="000000" w:themeColor="text1"/>
          <w:lang w:val="en-US" w:eastAsia="en-GB"/>
        </w:rPr>
        <w:t xml:space="preserve"> and in the Draghi</w:t>
      </w:r>
      <w:r w:rsidR="00E934F2" w:rsidRPr="004C70EC">
        <w:rPr>
          <w:rStyle w:val="FootnoteReference"/>
          <w:rFonts w:eastAsia="Times New Roman"/>
          <w:noProof/>
          <w:color w:val="000000" w:themeColor="text1"/>
          <w:bdr w:val="nil"/>
          <w:lang w:val="en-US" w:eastAsia="en-GB"/>
        </w:rPr>
        <w:footnoteReference w:id="84"/>
      </w:r>
      <w:r w:rsidRPr="004C70EC">
        <w:rPr>
          <w:rFonts w:eastAsia="Times New Roman"/>
          <w:noProof/>
          <w:color w:val="000000" w:themeColor="text1"/>
          <w:lang w:val="en-US" w:eastAsia="en-GB"/>
        </w:rPr>
        <w:t xml:space="preserve"> and Letta</w:t>
      </w:r>
      <w:r w:rsidR="00E934F2" w:rsidRPr="004C70EC">
        <w:rPr>
          <w:rStyle w:val="FootnoteReference"/>
          <w:rFonts w:eastAsia="Times New Roman"/>
          <w:noProof/>
          <w:color w:val="000000" w:themeColor="text1"/>
          <w:bdr w:val="nil"/>
          <w:lang w:val="en-US" w:eastAsia="en-GB"/>
        </w:rPr>
        <w:footnoteReference w:id="85"/>
      </w:r>
      <w:r w:rsidR="00892867" w:rsidRPr="004C70EC">
        <w:rPr>
          <w:rFonts w:eastAsia="Times New Roman"/>
          <w:noProof/>
          <w:color w:val="000000" w:themeColor="text1"/>
          <w:lang w:val="en-US" w:eastAsia="en-GB"/>
        </w:rPr>
        <w:t xml:space="preserve"> reports</w:t>
      </w:r>
      <w:r w:rsidRPr="004C70EC">
        <w:rPr>
          <w:rFonts w:eastAsia="Times New Roman"/>
          <w:noProof/>
          <w:color w:val="000000" w:themeColor="text1"/>
          <w:lang w:val="en-US" w:eastAsia="en-GB"/>
        </w:rPr>
        <w:t>.</w:t>
      </w:r>
    </w:p>
    <w:p w14:paraId="5D2C2700"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bdr w:val="nil"/>
          <w:lang w:val="en-US" w:eastAsia="en-GB"/>
        </w:rPr>
      </w:pPr>
      <w:r w:rsidRPr="004C70EC">
        <w:rPr>
          <w:rFonts w:eastAsia="Times New Roman"/>
          <w:noProof/>
          <w:color w:val="000000" w:themeColor="text1"/>
          <w:szCs w:val="24"/>
          <w:bdr w:val="nil"/>
          <w:lang w:val="en-US" w:eastAsia="en-GB"/>
        </w:rPr>
        <w:t xml:space="preserve">In addition, the above-mentioned external study commissioned by the European Commission </w:t>
      </w:r>
      <w:r w:rsidRPr="004C70EC">
        <w:rPr>
          <w:rFonts w:eastAsia="Times New Roman"/>
          <w:noProof/>
          <w:color w:val="000000" w:themeColor="text1"/>
          <w:szCs w:val="24"/>
          <w:lang w:val="en-US" w:eastAsia="en-GB"/>
        </w:rPr>
        <w:t>(</w:t>
      </w:r>
      <w:r w:rsidRPr="004C70EC">
        <w:rPr>
          <w:rFonts w:eastAsia="Times New Roman"/>
          <w:b/>
          <w:noProof/>
          <w:color w:val="000000" w:themeColor="text1"/>
          <w:szCs w:val="24"/>
          <w:bdr w:val="nil"/>
          <w:lang w:val="en-US" w:eastAsia="en-GB"/>
        </w:rPr>
        <w:t>‘Analysis of the Regulatory Framework for Biotechnology and Biomanufacturing in the EU’)</w:t>
      </w:r>
      <w:r w:rsidRPr="004C70EC">
        <w:rPr>
          <w:rFonts w:eastAsia="Times New Roman"/>
          <w:b/>
          <w:bCs/>
          <w:noProof/>
          <w:color w:val="000000" w:themeColor="text1"/>
          <w:szCs w:val="24"/>
          <w:bdr w:val="nil"/>
          <w:lang w:val="en-US" w:eastAsia="en-GB"/>
        </w:rPr>
        <w:t xml:space="preserve"> </w:t>
      </w:r>
      <w:r w:rsidRPr="004C70EC">
        <w:rPr>
          <w:rFonts w:eastAsia="Times New Roman"/>
          <w:noProof/>
          <w:color w:val="000000" w:themeColor="text1"/>
          <w:szCs w:val="24"/>
          <w:lang w:val="en-US" w:eastAsia="en-GB"/>
        </w:rPr>
        <w:t xml:space="preserve">provides an extensive </w:t>
      </w:r>
      <w:r w:rsidRPr="004C70EC" w:rsidDel="00F56EC3">
        <w:rPr>
          <w:rFonts w:eastAsia="Times New Roman"/>
          <w:noProof/>
          <w:color w:val="000000" w:themeColor="text1"/>
          <w:szCs w:val="24"/>
          <w:lang w:val="en-US" w:eastAsia="en-GB"/>
        </w:rPr>
        <w:t xml:space="preserve">mapping </w:t>
      </w:r>
      <w:r w:rsidRPr="004C70EC">
        <w:rPr>
          <w:rFonts w:eastAsia="Times New Roman"/>
          <w:noProof/>
          <w:color w:val="000000" w:themeColor="text1"/>
          <w:szCs w:val="24"/>
          <w:bdr w:val="nil"/>
          <w:lang w:val="en-US" w:eastAsia="en-GB"/>
        </w:rPr>
        <w:t xml:space="preserve">of the main </w:t>
      </w:r>
      <w:r w:rsidR="00270779" w:rsidRPr="004C70EC">
        <w:rPr>
          <w:rFonts w:eastAsia="Times New Roman"/>
          <w:noProof/>
          <w:color w:val="000000" w:themeColor="text1"/>
          <w:szCs w:val="24"/>
          <w:bdr w:val="nil"/>
          <w:lang w:val="en-US" w:eastAsia="en-GB"/>
        </w:rPr>
        <w:t xml:space="preserve">pieces of </w:t>
      </w:r>
      <w:r w:rsidRPr="004C70EC">
        <w:rPr>
          <w:rFonts w:eastAsia="Times New Roman"/>
          <w:noProof/>
          <w:color w:val="000000" w:themeColor="text1"/>
          <w:szCs w:val="24"/>
          <w:bdr w:val="nil"/>
          <w:lang w:val="en-US" w:eastAsia="en-GB"/>
        </w:rPr>
        <w:t>EU and national legislation that apply to biotechnology and biomanufacturing products and processes</w:t>
      </w:r>
      <w:r w:rsidRPr="004C70EC">
        <w:rPr>
          <w:rFonts w:eastAsia="Times New Roman"/>
          <w:noProof/>
          <w:color w:val="000000" w:themeColor="text1"/>
          <w:szCs w:val="24"/>
          <w:lang w:val="en-US" w:eastAsia="en-GB"/>
        </w:rPr>
        <w:t xml:space="preserve"> – whether they are horizontal or sector-specific – and identifies the challenges, their causes and </w:t>
      </w:r>
      <w:r w:rsidR="00270779" w:rsidRPr="004C70EC">
        <w:rPr>
          <w:rFonts w:eastAsia="Times New Roman"/>
          <w:noProof/>
          <w:color w:val="000000" w:themeColor="text1"/>
          <w:szCs w:val="24"/>
          <w:lang w:val="en-US" w:eastAsia="en-GB"/>
        </w:rPr>
        <w:t xml:space="preserve">the </w:t>
      </w:r>
      <w:r w:rsidRPr="004C70EC">
        <w:rPr>
          <w:rFonts w:eastAsia="Times New Roman"/>
          <w:noProof/>
          <w:color w:val="000000" w:themeColor="text1"/>
          <w:szCs w:val="24"/>
          <w:lang w:val="en-US" w:eastAsia="en-GB"/>
        </w:rPr>
        <w:t>consequences for stakeholders. The study also assesses the impacts of policy options related to the EU regulatory framework.</w:t>
      </w:r>
    </w:p>
    <w:p w14:paraId="01E104EB" w14:textId="77777777" w:rsidR="00E934F2" w:rsidRPr="004C70EC" w:rsidRDefault="00E934F2" w:rsidP="00CB57CA">
      <w:pPr>
        <w:pStyle w:val="ManualHeading2"/>
        <w:rPr>
          <w:rFonts w:eastAsia="Times New Roman"/>
          <w:b w:val="0"/>
          <w:noProof/>
          <w:color w:val="000000" w:themeColor="text1"/>
          <w:szCs w:val="24"/>
          <w:bdr w:val="nil"/>
          <w:lang w:val="en-US" w:eastAsia="en-GB"/>
        </w:rPr>
      </w:pPr>
      <w:r w:rsidRPr="004C70EC">
        <w:rPr>
          <w:rFonts w:eastAsia="Times New Roman"/>
          <w:noProof/>
          <w:color w:val="000000" w:themeColor="text1"/>
          <w:szCs w:val="24"/>
          <w:bdr w:val="nil"/>
          <w:lang w:val="en-US" w:eastAsia="en-GB"/>
        </w:rPr>
        <w:t>•</w:t>
      </w:r>
      <w:r w:rsidRPr="004C70EC">
        <w:rPr>
          <w:rFonts w:eastAsia="Arial Unicode MS"/>
          <w:noProof/>
          <w:color w:val="000000" w:themeColor="text1"/>
          <w:szCs w:val="24"/>
          <w:u w:color="000000"/>
          <w:bdr w:val="nil"/>
          <w:lang w:val="en-US" w:eastAsia="en-GB"/>
        </w:rPr>
        <w:tab/>
      </w:r>
      <w:r w:rsidRPr="004C70EC">
        <w:rPr>
          <w:rFonts w:eastAsia="Times New Roman"/>
          <w:noProof/>
          <w:color w:val="000000" w:themeColor="text1"/>
          <w:szCs w:val="24"/>
          <w:bdr w:val="nil"/>
          <w:lang w:val="en-US" w:eastAsia="en-GB"/>
        </w:rPr>
        <w:t>Impact assessments</w:t>
      </w:r>
    </w:p>
    <w:p w14:paraId="30865DA6" w14:textId="77777777" w:rsidR="00E934F2" w:rsidRPr="004C70EC" w:rsidRDefault="5D5E70DB" w:rsidP="642D1666">
      <w:pPr>
        <w:pBdr>
          <w:top w:val="nil"/>
          <w:left w:val="nil"/>
          <w:bottom w:val="nil"/>
          <w:right w:val="nil"/>
          <w:between w:val="nil"/>
          <w:bar w:val="nil"/>
        </w:pBdr>
        <w:spacing w:after="240"/>
        <w:rPr>
          <w:rFonts w:eastAsia="Times New Roman"/>
          <w:noProof/>
          <w:color w:val="000000" w:themeColor="text1"/>
          <w:lang w:val="en-US" w:eastAsia="en-GB"/>
        </w:rPr>
      </w:pPr>
      <w:r w:rsidRPr="004C70EC">
        <w:rPr>
          <w:rFonts w:eastAsia="Times New Roman"/>
          <w:noProof/>
          <w:color w:val="000000" w:themeColor="text1"/>
          <w:bdr w:val="nil"/>
          <w:lang w:val="en-US" w:eastAsia="en-GB"/>
        </w:rPr>
        <w:t xml:space="preserve">Considering the </w:t>
      </w:r>
      <w:r w:rsidRPr="004C70EC">
        <w:rPr>
          <w:rFonts w:eastAsia="Times New Roman"/>
          <w:noProof/>
          <w:color w:val="000000" w:themeColor="text1"/>
          <w:lang w:val="en-US" w:eastAsia="en-GB"/>
        </w:rPr>
        <w:t>political</w:t>
      </w:r>
      <w:r w:rsidR="00270779" w:rsidRPr="004C70EC">
        <w:rPr>
          <w:rFonts w:eastAsia="Times New Roman"/>
          <w:noProof/>
          <w:color w:val="000000" w:themeColor="text1"/>
          <w:lang w:val="en-US" w:eastAsia="en-GB"/>
        </w:rPr>
        <w:t>ly</w:t>
      </w:r>
      <w:r w:rsidRPr="004C70EC">
        <w:rPr>
          <w:rFonts w:eastAsia="Times New Roman"/>
          <w:noProof/>
          <w:color w:val="000000" w:themeColor="text1"/>
          <w:lang w:val="en-US" w:eastAsia="en-GB"/>
        </w:rPr>
        <w:t xml:space="preserve"> </w:t>
      </w:r>
      <w:r w:rsidRPr="004C70EC">
        <w:rPr>
          <w:rFonts w:eastAsia="Times New Roman"/>
          <w:noProof/>
          <w:color w:val="000000" w:themeColor="text1"/>
          <w:bdr w:val="nil"/>
          <w:lang w:val="en-US" w:eastAsia="en-GB"/>
        </w:rPr>
        <w:t>urgen</w:t>
      </w:r>
      <w:r w:rsidR="00270779" w:rsidRPr="004C70EC">
        <w:rPr>
          <w:rFonts w:eastAsia="Times New Roman"/>
          <w:noProof/>
          <w:color w:val="000000" w:themeColor="text1"/>
          <w:bdr w:val="nil"/>
          <w:lang w:val="en-US" w:eastAsia="en-GB"/>
        </w:rPr>
        <w:t>t need to</w:t>
      </w:r>
      <w:r w:rsidRPr="004C70EC">
        <w:rPr>
          <w:rFonts w:eastAsia="Times New Roman"/>
          <w:noProof/>
          <w:color w:val="000000" w:themeColor="text1"/>
          <w:bdr w:val="nil"/>
          <w:lang w:val="en-US" w:eastAsia="en-GB"/>
        </w:rPr>
        <w:t xml:space="preserve"> address the policy challenges identified, an impact assessment could not have been delivered in the timeframe available </w:t>
      </w:r>
      <w:r w:rsidR="00270779" w:rsidRPr="004C70EC">
        <w:rPr>
          <w:rFonts w:eastAsia="Times New Roman"/>
          <w:noProof/>
          <w:color w:val="000000" w:themeColor="text1"/>
          <w:bdr w:val="nil"/>
          <w:lang w:val="en-US" w:eastAsia="en-GB"/>
        </w:rPr>
        <w:t>before</w:t>
      </w:r>
      <w:r w:rsidRPr="004C70EC">
        <w:rPr>
          <w:rFonts w:eastAsia="Times New Roman"/>
          <w:noProof/>
          <w:color w:val="000000" w:themeColor="text1"/>
          <w:bdr w:val="nil"/>
          <w:lang w:val="en-US" w:eastAsia="en-GB"/>
        </w:rPr>
        <w:t xml:space="preserve"> the </w:t>
      </w:r>
      <w:r w:rsidR="00270779" w:rsidRPr="004C70EC">
        <w:rPr>
          <w:rFonts w:eastAsia="Times New Roman"/>
          <w:noProof/>
          <w:color w:val="000000" w:themeColor="text1"/>
          <w:bdr w:val="nil"/>
          <w:lang w:val="en-US" w:eastAsia="en-GB"/>
        </w:rPr>
        <w:t xml:space="preserve">proposal’s </w:t>
      </w:r>
      <w:r w:rsidRPr="004C70EC">
        <w:rPr>
          <w:rFonts w:eastAsia="Times New Roman"/>
          <w:noProof/>
          <w:color w:val="000000" w:themeColor="text1"/>
          <w:bdr w:val="nil"/>
          <w:lang w:val="en-US" w:eastAsia="en-GB"/>
        </w:rPr>
        <w:t xml:space="preserve">adoption. </w:t>
      </w:r>
      <w:r w:rsidR="3C5B0FA2" w:rsidRPr="004C70EC">
        <w:rPr>
          <w:rFonts w:eastAsia="Times New Roman"/>
          <w:noProof/>
          <w:color w:val="000000" w:themeColor="text1"/>
          <w:lang w:val="en-US" w:eastAsia="en-GB"/>
        </w:rPr>
        <w:t xml:space="preserve">Instead, an analytical </w:t>
      </w:r>
      <w:r w:rsidR="00F81FF7" w:rsidRPr="004C70EC">
        <w:rPr>
          <w:rFonts w:eastAsia="Times New Roman"/>
          <w:noProof/>
          <w:color w:val="000000" w:themeColor="text1"/>
          <w:lang w:val="en-US" w:eastAsia="en-GB"/>
        </w:rPr>
        <w:t>staff working document (</w:t>
      </w:r>
      <w:r w:rsidR="3C5B0FA2" w:rsidRPr="004C70EC">
        <w:rPr>
          <w:rFonts w:eastAsia="Times New Roman"/>
          <w:noProof/>
          <w:color w:val="000000" w:themeColor="text1"/>
          <w:lang w:val="en-US" w:eastAsia="en-GB"/>
        </w:rPr>
        <w:t>SWD</w:t>
      </w:r>
      <w:r w:rsidR="00F81FF7" w:rsidRPr="004C70EC">
        <w:rPr>
          <w:rFonts w:eastAsia="Times New Roman"/>
          <w:noProof/>
          <w:color w:val="000000" w:themeColor="text1"/>
          <w:lang w:val="en-US" w:eastAsia="en-GB"/>
        </w:rPr>
        <w:t>)</w:t>
      </w:r>
      <w:r w:rsidR="3C5B0FA2" w:rsidRPr="004C70EC">
        <w:rPr>
          <w:rFonts w:eastAsia="Times New Roman"/>
          <w:noProof/>
          <w:color w:val="000000" w:themeColor="text1"/>
          <w:lang w:val="en-US" w:eastAsia="en-GB"/>
        </w:rPr>
        <w:t xml:space="preserve"> will be prepared. The analytical SWD will explain the proposal and will present the underlying evidence and impact analysis, including cost</w:t>
      </w:r>
      <w:r w:rsidR="6C6057B2" w:rsidRPr="004C70EC">
        <w:rPr>
          <w:rFonts w:eastAsia="Times New Roman"/>
          <w:noProof/>
          <w:color w:val="000000" w:themeColor="text1"/>
          <w:lang w:val="en-US" w:eastAsia="en-GB"/>
        </w:rPr>
        <w:t>-</w:t>
      </w:r>
      <w:r w:rsidR="3C5B0FA2" w:rsidRPr="004C70EC">
        <w:rPr>
          <w:rFonts w:eastAsia="Times New Roman"/>
          <w:noProof/>
          <w:color w:val="000000" w:themeColor="text1"/>
          <w:lang w:val="en-US" w:eastAsia="en-GB"/>
        </w:rPr>
        <w:t>benefit analysis. A</w:t>
      </w:r>
      <w:r w:rsidRPr="004C70EC">
        <w:rPr>
          <w:rFonts w:eastAsia="Times New Roman"/>
          <w:noProof/>
          <w:color w:val="000000" w:themeColor="text1"/>
          <w:bdr w:val="nil"/>
          <w:lang w:val="en-US" w:eastAsia="en-GB"/>
        </w:rPr>
        <w:t xml:space="preserve"> large number of provisions of the proposal concern simplification measures</w:t>
      </w:r>
      <w:r w:rsidR="00B81379" w:rsidRPr="004C70EC">
        <w:rPr>
          <w:rFonts w:eastAsia="Times New Roman"/>
          <w:noProof/>
          <w:color w:val="000000" w:themeColor="text1"/>
          <w:bdr w:val="nil"/>
          <w:lang w:val="en-US" w:eastAsia="en-GB"/>
        </w:rPr>
        <w:t xml:space="preserve"> which</w:t>
      </w:r>
      <w:r w:rsidRPr="004C70EC">
        <w:rPr>
          <w:rFonts w:eastAsia="Times New Roman"/>
          <w:noProof/>
          <w:color w:val="000000" w:themeColor="text1"/>
          <w:bdr w:val="nil"/>
          <w:lang w:val="en-US" w:eastAsia="en-GB"/>
        </w:rPr>
        <w:t xml:space="preserve"> typically</w:t>
      </w:r>
      <w:r w:rsidRPr="004C70EC">
        <w:rPr>
          <w:rFonts w:eastAsia="Times New Roman"/>
          <w:noProof/>
          <w:color w:val="000000" w:themeColor="text1"/>
          <w:lang w:val="en-US" w:eastAsia="en-GB"/>
        </w:rPr>
        <w:t xml:space="preserve"> do not offer viable</w:t>
      </w:r>
      <w:r w:rsidRPr="004C70EC">
        <w:rPr>
          <w:rFonts w:eastAsia="Times New Roman"/>
          <w:noProof/>
          <w:color w:val="000000" w:themeColor="text1"/>
          <w:bdr w:val="nil"/>
          <w:lang w:val="en-US" w:eastAsia="en-GB"/>
        </w:rPr>
        <w:t xml:space="preserve"> alternatives and </w:t>
      </w:r>
      <w:r w:rsidRPr="004C70EC">
        <w:rPr>
          <w:rFonts w:eastAsia="Times New Roman"/>
          <w:noProof/>
          <w:color w:val="000000" w:themeColor="text1"/>
          <w:lang w:val="en-US" w:eastAsia="en-GB"/>
        </w:rPr>
        <w:t>do not modify the objectives</w:t>
      </w:r>
      <w:r w:rsidRPr="004C70EC">
        <w:rPr>
          <w:rFonts w:eastAsia="Times New Roman"/>
          <w:noProof/>
          <w:color w:val="000000" w:themeColor="text1"/>
          <w:bdr w:val="nil"/>
          <w:lang w:val="en-US" w:eastAsia="en-GB"/>
        </w:rPr>
        <w:t xml:space="preserve"> of the amended legislation. </w:t>
      </w:r>
      <w:r w:rsidR="00FB766B" w:rsidRPr="004C70EC">
        <w:rPr>
          <w:rFonts w:eastAsia="Times New Roman"/>
          <w:noProof/>
          <w:color w:val="000000" w:themeColor="text1"/>
          <w:bdr w:val="nil"/>
          <w:lang w:val="en-US" w:eastAsia="en-GB"/>
        </w:rPr>
        <w:t>Nevertheless, t</w:t>
      </w:r>
      <w:r w:rsidRPr="004C70EC">
        <w:rPr>
          <w:rFonts w:eastAsia="Times New Roman"/>
          <w:noProof/>
          <w:color w:val="000000" w:themeColor="text1"/>
          <w:bdr w:val="nil"/>
          <w:lang w:val="en-US" w:eastAsia="en-GB"/>
        </w:rPr>
        <w:t xml:space="preserve">he proposed measures are based on </w:t>
      </w:r>
      <w:r w:rsidRPr="004C70EC">
        <w:rPr>
          <w:rFonts w:eastAsia="Times New Roman"/>
          <w:noProof/>
          <w:color w:val="000000" w:themeColor="text1"/>
          <w:lang w:val="en-US" w:eastAsia="en-GB"/>
        </w:rPr>
        <w:t xml:space="preserve">extensive </w:t>
      </w:r>
      <w:r w:rsidRPr="004C70EC">
        <w:rPr>
          <w:rFonts w:eastAsia="Times New Roman"/>
          <w:noProof/>
          <w:color w:val="000000" w:themeColor="text1"/>
          <w:bdr w:val="nil"/>
          <w:lang w:val="en-US" w:eastAsia="en-GB"/>
        </w:rPr>
        <w:t xml:space="preserve">stakeholder consultations, </w:t>
      </w:r>
      <w:r w:rsidRPr="004C70EC">
        <w:rPr>
          <w:rFonts w:eastAsia="Times New Roman"/>
          <w:noProof/>
          <w:color w:val="000000" w:themeColor="text1"/>
          <w:lang w:val="en-US" w:eastAsia="en-GB"/>
        </w:rPr>
        <w:t xml:space="preserve">complemented with an </w:t>
      </w:r>
      <w:r w:rsidRPr="004C70EC">
        <w:rPr>
          <w:rFonts w:eastAsia="Times New Roman"/>
          <w:noProof/>
          <w:color w:val="000000" w:themeColor="text1"/>
          <w:bdr w:val="nil"/>
          <w:lang w:val="en-US" w:eastAsia="en-GB"/>
        </w:rPr>
        <w:t>analysis of the current</w:t>
      </w:r>
      <w:r w:rsidRPr="004C70EC">
        <w:rPr>
          <w:rFonts w:eastAsia="Times New Roman"/>
          <w:noProof/>
          <w:color w:val="000000" w:themeColor="text1"/>
          <w:lang w:val="en-US" w:eastAsia="en-GB"/>
        </w:rPr>
        <w:t xml:space="preserve"> situation </w:t>
      </w:r>
      <w:r w:rsidRPr="004C70EC">
        <w:rPr>
          <w:rFonts w:eastAsia="Times New Roman"/>
          <w:noProof/>
          <w:color w:val="000000" w:themeColor="text1"/>
          <w:bdr w:val="nil"/>
          <w:lang w:val="en-US" w:eastAsia="en-GB"/>
        </w:rPr>
        <w:t xml:space="preserve">to ensure a </w:t>
      </w:r>
      <w:r w:rsidRPr="004C70EC">
        <w:rPr>
          <w:rFonts w:eastAsia="Times New Roman"/>
          <w:noProof/>
          <w:color w:val="000000" w:themeColor="text1"/>
          <w:lang w:val="en-US" w:eastAsia="en-GB"/>
        </w:rPr>
        <w:t>transparent, proportionate</w:t>
      </w:r>
      <w:r w:rsidR="4F0F5358"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 xml:space="preserve"> and evidence-based approach. </w:t>
      </w:r>
    </w:p>
    <w:p w14:paraId="2DC37E94" w14:textId="77777777" w:rsidR="00E934F2" w:rsidRPr="004C70EC" w:rsidRDefault="00E934F2" w:rsidP="00CB57CA">
      <w:pPr>
        <w:pStyle w:val="ManualHeading2"/>
        <w:rPr>
          <w:rFonts w:eastAsia="Times New Roman"/>
          <w:b w:val="0"/>
          <w:noProof/>
          <w:color w:val="000000" w:themeColor="text1"/>
          <w:szCs w:val="24"/>
          <w:bdr w:val="nil"/>
          <w:lang w:val="en-US" w:eastAsia="en-GB"/>
        </w:rPr>
      </w:pPr>
      <w:r w:rsidRPr="004C70EC">
        <w:rPr>
          <w:rFonts w:eastAsia="Times New Roman"/>
          <w:noProof/>
          <w:color w:val="000000" w:themeColor="text1"/>
          <w:szCs w:val="24"/>
          <w:bdr w:val="nil"/>
          <w:lang w:val="en-US" w:eastAsia="en-GB"/>
        </w:rPr>
        <w:t>•</w:t>
      </w:r>
      <w:r w:rsidRPr="004C70EC">
        <w:rPr>
          <w:rFonts w:eastAsia="Arial Unicode MS"/>
          <w:noProof/>
          <w:color w:val="000000" w:themeColor="text1"/>
          <w:szCs w:val="24"/>
          <w:u w:color="000000"/>
          <w:bdr w:val="nil"/>
          <w:lang w:val="en-US" w:eastAsia="en-GB"/>
        </w:rPr>
        <w:tab/>
      </w:r>
      <w:r w:rsidRPr="004C70EC">
        <w:rPr>
          <w:rFonts w:eastAsia="Times New Roman"/>
          <w:noProof/>
          <w:color w:val="000000" w:themeColor="text1"/>
          <w:szCs w:val="24"/>
          <w:lang w:val="en-US" w:eastAsia="en-GB"/>
        </w:rPr>
        <w:t>Regulatory fitness and simplification</w:t>
      </w:r>
    </w:p>
    <w:p w14:paraId="3FDBB301"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bdr w:val="nil"/>
          <w:lang w:val="en-US" w:eastAsia="en-GB"/>
        </w:rPr>
      </w:pPr>
      <w:r w:rsidRPr="004C70EC">
        <w:rPr>
          <w:rFonts w:eastAsia="Times New Roman"/>
          <w:noProof/>
          <w:color w:val="000000" w:themeColor="text1"/>
          <w:szCs w:val="24"/>
          <w:bdr w:val="nil"/>
          <w:lang w:val="en-US" w:eastAsia="en-GB"/>
        </w:rPr>
        <w:t xml:space="preserve">The proposal lays down measures </w:t>
      </w:r>
      <w:r w:rsidR="00114AB4" w:rsidRPr="004C70EC">
        <w:rPr>
          <w:rFonts w:eastAsia="Times New Roman"/>
          <w:noProof/>
          <w:color w:val="000000" w:themeColor="text1"/>
          <w:szCs w:val="24"/>
          <w:bdr w:val="nil"/>
          <w:lang w:val="en-US" w:eastAsia="en-GB"/>
        </w:rPr>
        <w:t>to</w:t>
      </w:r>
      <w:r w:rsidRPr="004C70EC">
        <w:rPr>
          <w:rFonts w:eastAsia="Times New Roman"/>
          <w:noProof/>
          <w:color w:val="000000" w:themeColor="text1"/>
          <w:szCs w:val="24"/>
          <w:bdr w:val="nil"/>
          <w:lang w:val="en-US" w:eastAsia="en-GB"/>
        </w:rPr>
        <w:t xml:space="preserve"> strength the EU biotechnology and biomanufacturing ecosystem and reduc</w:t>
      </w:r>
      <w:r w:rsidR="00670739" w:rsidRPr="004C70EC">
        <w:rPr>
          <w:rFonts w:eastAsia="Times New Roman"/>
          <w:noProof/>
          <w:color w:val="000000" w:themeColor="text1"/>
          <w:szCs w:val="24"/>
          <w:bdr w:val="nil"/>
          <w:lang w:val="en-US" w:eastAsia="en-GB"/>
        </w:rPr>
        <w:t>e</w:t>
      </w:r>
      <w:r w:rsidRPr="004C70EC">
        <w:rPr>
          <w:rFonts w:eastAsia="Times New Roman"/>
          <w:noProof/>
          <w:color w:val="000000" w:themeColor="text1"/>
          <w:szCs w:val="24"/>
          <w:bdr w:val="nil"/>
          <w:lang w:val="en-US" w:eastAsia="en-GB"/>
        </w:rPr>
        <w:t xml:space="preserve"> time-to-market for biotechnology products in the EU. </w:t>
      </w:r>
    </w:p>
    <w:p w14:paraId="6A6F12E4"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bdr w:val="nil"/>
          <w:lang w:eastAsia="en-GB"/>
        </w:rPr>
      </w:pPr>
      <w:r w:rsidRPr="004C70EC">
        <w:rPr>
          <w:rFonts w:eastAsia="Times New Roman"/>
          <w:noProof/>
          <w:color w:val="000000" w:themeColor="text1"/>
          <w:szCs w:val="24"/>
          <w:lang w:val="en-US" w:eastAsia="en-GB"/>
        </w:rPr>
        <w:t>T</w:t>
      </w:r>
      <w:r w:rsidRPr="004C70EC">
        <w:rPr>
          <w:rFonts w:eastAsia="Times New Roman"/>
          <w:noProof/>
          <w:color w:val="000000" w:themeColor="text1"/>
          <w:szCs w:val="24"/>
          <w:bdr w:val="nil"/>
          <w:lang w:val="en-US" w:eastAsia="en-GB"/>
        </w:rPr>
        <w:t xml:space="preserve">he </w:t>
      </w:r>
      <w:r w:rsidRPr="004C70EC">
        <w:rPr>
          <w:rFonts w:eastAsia="Times New Roman"/>
          <w:noProof/>
          <w:color w:val="000000" w:themeColor="text1"/>
          <w:szCs w:val="24"/>
          <w:lang w:val="en-US" w:eastAsia="en-GB"/>
        </w:rPr>
        <w:t xml:space="preserve">proposed Act aims to </w:t>
      </w:r>
      <w:r w:rsidRPr="004C70EC">
        <w:rPr>
          <w:rFonts w:eastAsia="Times New Roman"/>
          <w:b/>
          <w:bCs/>
          <w:noProof/>
          <w:color w:val="000000" w:themeColor="text1"/>
          <w:szCs w:val="24"/>
          <w:lang w:val="en-US" w:eastAsia="en-GB"/>
        </w:rPr>
        <w:t>simplify the existing regulatory framework</w:t>
      </w:r>
      <w:r w:rsidRPr="004C70EC">
        <w:rPr>
          <w:rFonts w:eastAsia="Times New Roman"/>
          <w:noProof/>
          <w:color w:val="000000" w:themeColor="text1"/>
          <w:szCs w:val="24"/>
          <w:lang w:val="en-US" w:eastAsia="en-GB"/>
        </w:rPr>
        <w:t xml:space="preserve"> and </w:t>
      </w:r>
      <w:r w:rsidRPr="004C70EC">
        <w:rPr>
          <w:rFonts w:eastAsia="Times New Roman"/>
          <w:b/>
          <w:bCs/>
          <w:noProof/>
          <w:color w:val="000000" w:themeColor="text1"/>
          <w:szCs w:val="24"/>
          <w:lang w:val="en-US" w:eastAsia="en-GB"/>
        </w:rPr>
        <w:t xml:space="preserve">remove regulatory burdens hampering </w:t>
      </w:r>
      <w:r w:rsidR="00670739" w:rsidRPr="004C70EC">
        <w:rPr>
          <w:rFonts w:eastAsia="Times New Roman"/>
          <w:b/>
          <w:bCs/>
          <w:noProof/>
          <w:color w:val="000000" w:themeColor="text1"/>
          <w:szCs w:val="24"/>
          <w:lang w:val="en-US" w:eastAsia="en-GB"/>
        </w:rPr>
        <w:t>the</w:t>
      </w:r>
      <w:r w:rsidRPr="004C70EC">
        <w:rPr>
          <w:rFonts w:eastAsia="Times New Roman"/>
          <w:b/>
          <w:bCs/>
          <w:noProof/>
          <w:color w:val="000000" w:themeColor="text1"/>
          <w:szCs w:val="24"/>
          <w:lang w:val="en-US" w:eastAsia="en-GB"/>
        </w:rPr>
        <w:t xml:space="preserve"> innovation and competitiveness of EU operators</w:t>
      </w:r>
      <w:r w:rsidRPr="004C70EC">
        <w:rPr>
          <w:rFonts w:eastAsia="Times New Roman"/>
          <w:noProof/>
          <w:color w:val="000000" w:themeColor="text1"/>
          <w:szCs w:val="24"/>
          <w:lang w:val="en-US" w:eastAsia="en-GB"/>
        </w:rPr>
        <w:t>.</w:t>
      </w:r>
      <w:r w:rsidRPr="004C70EC">
        <w:rPr>
          <w:rFonts w:eastAsia="Times New Roman"/>
          <w:noProof/>
          <w:color w:val="000000" w:themeColor="text1"/>
          <w:szCs w:val="24"/>
          <w:bdr w:val="nil"/>
          <w:lang w:val="en-US" w:eastAsia="en-GB"/>
        </w:rPr>
        <w:t xml:space="preserve"> </w:t>
      </w:r>
      <w:r w:rsidRPr="004C70EC">
        <w:rPr>
          <w:rFonts w:eastAsia="Times New Roman"/>
          <w:noProof/>
          <w:color w:val="000000" w:themeColor="text1"/>
          <w:szCs w:val="24"/>
          <w:lang w:val="en-US" w:eastAsia="en-GB"/>
        </w:rPr>
        <w:t>In particular, the measures seek to clarify and</w:t>
      </w:r>
      <w:r w:rsidRPr="004C70EC">
        <w:rPr>
          <w:rFonts w:eastAsia="Times New Roman"/>
          <w:noProof/>
          <w:color w:val="000000" w:themeColor="text1"/>
          <w:szCs w:val="24"/>
          <w:bdr w:val="nil"/>
          <w:lang w:val="en-US" w:eastAsia="en-GB"/>
        </w:rPr>
        <w:t xml:space="preserve"> reduce procedural timelines </w:t>
      </w:r>
      <w:r w:rsidRPr="004C70EC">
        <w:rPr>
          <w:rFonts w:eastAsia="Times New Roman"/>
          <w:noProof/>
          <w:color w:val="000000" w:themeColor="text1"/>
          <w:szCs w:val="24"/>
          <w:bdr w:val="nil"/>
          <w:lang w:eastAsia="en-GB"/>
        </w:rPr>
        <w:t>across the full development cycle</w:t>
      </w:r>
      <w:r w:rsidRPr="004C70EC" w:rsidDel="00A235B1">
        <w:rPr>
          <w:rFonts w:eastAsia="Times New Roman"/>
          <w:noProof/>
          <w:color w:val="000000" w:themeColor="text1"/>
          <w:szCs w:val="24"/>
          <w:bdr w:val="nil"/>
          <w:lang w:val="en-US" w:eastAsia="en-GB"/>
        </w:rPr>
        <w:t xml:space="preserve"> </w:t>
      </w:r>
      <w:r w:rsidR="005A0B74" w:rsidRPr="004C70EC">
        <w:rPr>
          <w:rFonts w:eastAsia="Times New Roman"/>
          <w:noProof/>
          <w:color w:val="000000" w:themeColor="text1"/>
          <w:szCs w:val="24"/>
          <w:bdr w:val="nil"/>
          <w:lang w:val="en-US" w:eastAsia="en-GB"/>
        </w:rPr>
        <w:t>(</w:t>
      </w:r>
      <w:r w:rsidRPr="004C70EC">
        <w:rPr>
          <w:rFonts w:eastAsia="Times New Roman"/>
          <w:noProof/>
          <w:color w:val="000000" w:themeColor="text1"/>
          <w:szCs w:val="24"/>
          <w:bdr w:val="nil"/>
          <w:lang w:val="en-US" w:eastAsia="en-GB"/>
        </w:rPr>
        <w:t>e.g. by alleviating complex and disproportionate requirements</w:t>
      </w:r>
      <w:r w:rsidR="005A0B74" w:rsidRPr="004C70EC">
        <w:rPr>
          <w:rFonts w:eastAsia="Times New Roman"/>
          <w:noProof/>
          <w:color w:val="000000" w:themeColor="text1"/>
          <w:szCs w:val="24"/>
          <w:bdr w:val="nil"/>
          <w:lang w:val="en-US" w:eastAsia="en-GB"/>
        </w:rPr>
        <w:t>)</w:t>
      </w:r>
      <w:r w:rsidRPr="004C70EC">
        <w:rPr>
          <w:rFonts w:eastAsia="Times New Roman"/>
          <w:noProof/>
          <w:color w:val="000000" w:themeColor="text1"/>
          <w:szCs w:val="24"/>
          <w:bdr w:val="nil"/>
          <w:lang w:val="en-US" w:eastAsia="en-GB"/>
        </w:rPr>
        <w:t xml:space="preserve"> and provide a flexible regulatory environment </w:t>
      </w:r>
      <w:r w:rsidR="00052D85" w:rsidRPr="004C70EC">
        <w:rPr>
          <w:rFonts w:eastAsia="Times New Roman"/>
          <w:noProof/>
          <w:color w:val="000000" w:themeColor="text1"/>
          <w:szCs w:val="24"/>
          <w:bdr w:val="nil"/>
          <w:lang w:val="en-US" w:eastAsia="en-GB"/>
        </w:rPr>
        <w:t>for</w:t>
      </w:r>
      <w:r w:rsidRPr="004C70EC">
        <w:rPr>
          <w:rFonts w:eastAsia="Times New Roman"/>
          <w:noProof/>
          <w:color w:val="000000" w:themeColor="text1"/>
          <w:szCs w:val="24"/>
          <w:bdr w:val="nil"/>
          <w:lang w:val="en-US" w:eastAsia="en-GB"/>
        </w:rPr>
        <w:t xml:space="preserve"> a fast-growing innovative sector </w:t>
      </w:r>
      <w:r w:rsidR="007D44D7" w:rsidRPr="004C70EC">
        <w:rPr>
          <w:rFonts w:eastAsia="Times New Roman"/>
          <w:noProof/>
          <w:color w:val="000000" w:themeColor="text1"/>
          <w:szCs w:val="24"/>
          <w:bdr w:val="nil"/>
          <w:lang w:val="en-US" w:eastAsia="en-GB"/>
        </w:rPr>
        <w:t>(</w:t>
      </w:r>
      <w:r w:rsidRPr="004C70EC">
        <w:rPr>
          <w:rFonts w:eastAsia="Times New Roman"/>
          <w:noProof/>
          <w:color w:val="000000" w:themeColor="text1"/>
          <w:szCs w:val="24"/>
          <w:bdr w:val="nil"/>
          <w:lang w:val="en-US" w:eastAsia="en-GB"/>
        </w:rPr>
        <w:t>e.g. through regulatory sandboxes and by enabling an increasing use of data and AI</w:t>
      </w:r>
      <w:r w:rsidR="007D44D7" w:rsidRPr="004C70EC">
        <w:rPr>
          <w:rFonts w:eastAsia="Times New Roman"/>
          <w:noProof/>
          <w:color w:val="000000" w:themeColor="text1"/>
          <w:szCs w:val="24"/>
          <w:bdr w:val="nil"/>
          <w:lang w:val="en-US" w:eastAsia="en-GB"/>
        </w:rPr>
        <w:t>)</w:t>
      </w:r>
      <w:r w:rsidRPr="004C70EC">
        <w:rPr>
          <w:rFonts w:eastAsia="Times New Roman"/>
          <w:noProof/>
          <w:color w:val="000000" w:themeColor="text1"/>
          <w:szCs w:val="24"/>
          <w:bdr w:val="nil"/>
          <w:lang w:val="en-US" w:eastAsia="en-GB"/>
        </w:rPr>
        <w:t>.</w:t>
      </w:r>
      <w:r w:rsidRPr="004C70EC" w:rsidDel="0098413D">
        <w:rPr>
          <w:rFonts w:eastAsia="Times New Roman"/>
          <w:noProof/>
          <w:color w:val="000000" w:themeColor="text1"/>
          <w:szCs w:val="24"/>
          <w:lang w:val="en-US" w:eastAsia="en-GB"/>
        </w:rPr>
        <w:t xml:space="preserve"> </w:t>
      </w:r>
      <w:r w:rsidRPr="004C70EC">
        <w:rPr>
          <w:rFonts w:eastAsia="Times New Roman"/>
          <w:noProof/>
          <w:color w:val="000000" w:themeColor="text1"/>
          <w:szCs w:val="24"/>
          <w:bdr w:val="nil"/>
          <w:lang w:val="en-US" w:eastAsia="en-GB"/>
        </w:rPr>
        <w:t xml:space="preserve">As such, all </w:t>
      </w:r>
      <w:r w:rsidR="00247CAD" w:rsidRPr="004C70EC">
        <w:rPr>
          <w:rFonts w:eastAsia="Times New Roman"/>
          <w:noProof/>
          <w:color w:val="000000" w:themeColor="text1"/>
          <w:szCs w:val="24"/>
          <w:bdr w:val="nil"/>
          <w:lang w:val="en-US" w:eastAsia="en-GB"/>
        </w:rPr>
        <w:t>actors</w:t>
      </w:r>
      <w:r w:rsidRPr="004C70EC">
        <w:rPr>
          <w:rFonts w:eastAsia="Times New Roman"/>
          <w:noProof/>
          <w:color w:val="000000" w:themeColor="text1"/>
          <w:szCs w:val="24"/>
          <w:lang w:val="en-US" w:eastAsia="en-GB"/>
        </w:rPr>
        <w:t xml:space="preserve">, in particular </w:t>
      </w:r>
      <w:r w:rsidRPr="004C70EC">
        <w:rPr>
          <w:rFonts w:eastAsia="Times New Roman"/>
          <w:b/>
          <w:noProof/>
          <w:color w:val="000000" w:themeColor="text1"/>
          <w:szCs w:val="24"/>
          <w:lang w:val="en-US" w:eastAsia="en-GB"/>
        </w:rPr>
        <w:t>companies</w:t>
      </w:r>
      <w:r w:rsidRPr="004C70EC">
        <w:rPr>
          <w:rFonts w:eastAsia="Times New Roman"/>
          <w:noProof/>
          <w:color w:val="000000" w:themeColor="text1"/>
          <w:szCs w:val="24"/>
          <w:lang w:val="en-US" w:eastAsia="en-GB"/>
        </w:rPr>
        <w:t>,</w:t>
      </w:r>
      <w:r w:rsidRPr="004C70EC">
        <w:rPr>
          <w:rFonts w:eastAsia="Times New Roman"/>
          <w:noProof/>
          <w:color w:val="000000" w:themeColor="text1"/>
          <w:szCs w:val="24"/>
          <w:bdr w:val="nil"/>
          <w:lang w:val="en-US" w:eastAsia="en-GB"/>
        </w:rPr>
        <w:t xml:space="preserve"> will benefit from </w:t>
      </w:r>
      <w:r w:rsidRPr="004C70EC">
        <w:rPr>
          <w:rFonts w:eastAsia="Times New Roman"/>
          <w:noProof/>
          <w:color w:val="000000" w:themeColor="text1"/>
          <w:szCs w:val="24"/>
          <w:lang w:eastAsia="en-GB"/>
        </w:rPr>
        <w:t xml:space="preserve">a </w:t>
      </w:r>
      <w:r w:rsidRPr="004C70EC">
        <w:rPr>
          <w:rFonts w:eastAsia="Times New Roman"/>
          <w:noProof/>
          <w:color w:val="000000" w:themeColor="text1"/>
          <w:szCs w:val="24"/>
          <w:bdr w:val="nil"/>
          <w:lang w:eastAsia="en-GB"/>
        </w:rPr>
        <w:t>more predictable EU regulatory framework</w:t>
      </w:r>
      <w:r w:rsidRPr="004C70EC">
        <w:rPr>
          <w:rFonts w:eastAsia="Times New Roman"/>
          <w:noProof/>
          <w:color w:val="000000" w:themeColor="text1"/>
          <w:szCs w:val="24"/>
          <w:lang w:eastAsia="en-GB"/>
        </w:rPr>
        <w:t xml:space="preserve">, i.e. increased legal certainty, reduced procedural timelines, </w:t>
      </w:r>
      <w:r w:rsidR="00A0297B" w:rsidRPr="004C70EC">
        <w:rPr>
          <w:rFonts w:eastAsia="Times New Roman"/>
          <w:noProof/>
          <w:color w:val="000000" w:themeColor="text1"/>
          <w:szCs w:val="24"/>
          <w:lang w:eastAsia="en-GB"/>
        </w:rPr>
        <w:t>and</w:t>
      </w:r>
      <w:r w:rsidRPr="004C70EC">
        <w:rPr>
          <w:rFonts w:eastAsia="Times New Roman"/>
          <w:noProof/>
          <w:color w:val="000000" w:themeColor="text1"/>
          <w:szCs w:val="24"/>
          <w:lang w:eastAsia="en-GB"/>
        </w:rPr>
        <w:t xml:space="preserve"> a flexible and</w:t>
      </w:r>
      <w:r w:rsidRPr="004C70EC">
        <w:rPr>
          <w:rFonts w:eastAsia="Times New Roman"/>
          <w:noProof/>
          <w:color w:val="000000" w:themeColor="text1"/>
          <w:szCs w:val="24"/>
          <w:bdr w:val="nil"/>
          <w:lang w:eastAsia="en-GB"/>
        </w:rPr>
        <w:t xml:space="preserve"> collaborative regulatory environment</w:t>
      </w:r>
      <w:r w:rsidRPr="004C70EC">
        <w:rPr>
          <w:rFonts w:eastAsia="Times New Roman"/>
          <w:noProof/>
          <w:color w:val="000000" w:themeColor="text1"/>
          <w:szCs w:val="24"/>
          <w:lang w:eastAsia="en-GB"/>
        </w:rPr>
        <w:t>. Overall, these measures are</w:t>
      </w:r>
      <w:r w:rsidRPr="004C70EC">
        <w:rPr>
          <w:rFonts w:eastAsia="Times New Roman"/>
          <w:noProof/>
          <w:color w:val="000000" w:themeColor="text1"/>
          <w:szCs w:val="24"/>
          <w:bdr w:val="nil"/>
          <w:lang w:eastAsia="en-GB"/>
        </w:rPr>
        <w:t xml:space="preserve"> expected to enable </w:t>
      </w:r>
      <w:r w:rsidRPr="004C70EC">
        <w:rPr>
          <w:rFonts w:eastAsia="Times New Roman"/>
          <w:noProof/>
          <w:color w:val="000000" w:themeColor="text1"/>
          <w:szCs w:val="24"/>
          <w:lang w:eastAsia="en-GB"/>
        </w:rPr>
        <w:t>companies to bring</w:t>
      </w:r>
      <w:r w:rsidRPr="004C70EC">
        <w:rPr>
          <w:rFonts w:eastAsia="Times New Roman"/>
          <w:noProof/>
          <w:color w:val="000000" w:themeColor="text1"/>
          <w:szCs w:val="24"/>
          <w:bdr w:val="nil"/>
          <w:lang w:eastAsia="en-GB"/>
        </w:rPr>
        <w:t xml:space="preserve"> innovation to the market. </w:t>
      </w:r>
      <w:r w:rsidRPr="004C70EC">
        <w:rPr>
          <w:rFonts w:eastAsia="Times New Roman"/>
          <w:noProof/>
          <w:color w:val="000000" w:themeColor="text1"/>
          <w:szCs w:val="24"/>
          <w:lang w:eastAsia="en-GB"/>
        </w:rPr>
        <w:t xml:space="preserve">SMEs </w:t>
      </w:r>
      <w:r w:rsidR="00A0297B" w:rsidRPr="004C70EC">
        <w:rPr>
          <w:rFonts w:eastAsia="Times New Roman"/>
          <w:noProof/>
          <w:color w:val="000000" w:themeColor="text1"/>
          <w:szCs w:val="24"/>
          <w:lang w:eastAsia="en-GB"/>
        </w:rPr>
        <w:t>in particular</w:t>
      </w:r>
      <w:r w:rsidRPr="004C70EC">
        <w:rPr>
          <w:rFonts w:eastAsia="Times New Roman"/>
          <w:noProof/>
          <w:color w:val="000000" w:themeColor="text1"/>
          <w:szCs w:val="24"/>
          <w:lang w:eastAsia="en-GB"/>
        </w:rPr>
        <w:t xml:space="preserve"> are expected to benefit from these measures through reduced entry barriers in the field of biotechnology. The supporting measures also target the needs of SMEs, start-ups and scale-ups.</w:t>
      </w:r>
    </w:p>
    <w:p w14:paraId="42349363"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bdr w:val="nil"/>
          <w:lang w:val="en-US" w:eastAsia="en-GB"/>
        </w:rPr>
      </w:pPr>
      <w:r w:rsidRPr="004C70EC">
        <w:rPr>
          <w:rFonts w:eastAsia="Times New Roman"/>
          <w:b/>
          <w:noProof/>
          <w:color w:val="000000" w:themeColor="text1"/>
          <w:lang w:val="en-US" w:eastAsia="en-GB"/>
        </w:rPr>
        <w:t>National and regional authorities</w:t>
      </w:r>
      <w:r w:rsidRPr="004C70EC">
        <w:rPr>
          <w:rFonts w:eastAsia="Times New Roman"/>
          <w:noProof/>
          <w:color w:val="000000" w:themeColor="text1"/>
          <w:lang w:val="en-US" w:eastAsia="en-GB"/>
        </w:rPr>
        <w:t xml:space="preserve"> will benefit from streamlined, more coherent procedures and improved coordination, reducing duplication of work</w:t>
      </w:r>
      <w:r w:rsidR="49433FD0"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 xml:space="preserve"> and supporting more consistent regulatory decisions across the Union.</w:t>
      </w:r>
      <w:r w:rsidRPr="004C70EC">
        <w:rPr>
          <w:rFonts w:eastAsia="Times New Roman"/>
          <w:noProof/>
          <w:color w:val="000000" w:themeColor="text1"/>
          <w:bdr w:val="nil"/>
          <w:lang w:val="en-US" w:eastAsia="en-GB"/>
        </w:rPr>
        <w:t xml:space="preserve"> </w:t>
      </w:r>
    </w:p>
    <w:p w14:paraId="76071FA4"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lang w:val="en-US" w:eastAsia="en-GB"/>
        </w:rPr>
      </w:pPr>
      <w:r w:rsidRPr="004C70EC">
        <w:rPr>
          <w:rFonts w:eastAsia="Times New Roman"/>
          <w:noProof/>
          <w:color w:val="000000" w:themeColor="text1"/>
          <w:szCs w:val="24"/>
          <w:bdr w:val="nil"/>
          <w:lang w:val="en-US" w:eastAsia="en-GB"/>
        </w:rPr>
        <w:t xml:space="preserve">The proposed measures are targeted amendments that preserve the objectives of the existing regulations </w:t>
      </w:r>
      <w:r w:rsidR="00A0297B" w:rsidRPr="004C70EC">
        <w:rPr>
          <w:rFonts w:eastAsia="Times New Roman"/>
          <w:noProof/>
          <w:color w:val="000000" w:themeColor="text1"/>
          <w:szCs w:val="24"/>
          <w:bdr w:val="nil"/>
          <w:lang w:val="en-US" w:eastAsia="en-GB"/>
        </w:rPr>
        <w:t>to</w:t>
      </w:r>
      <w:r w:rsidRPr="004C70EC">
        <w:rPr>
          <w:rFonts w:eastAsia="Times New Roman"/>
          <w:noProof/>
          <w:color w:val="000000" w:themeColor="text1"/>
          <w:szCs w:val="24"/>
          <w:bdr w:val="nil"/>
          <w:lang w:val="en-US" w:eastAsia="en-GB"/>
        </w:rPr>
        <w:t xml:space="preserve"> maintain and safeguard a high level of </w:t>
      </w:r>
      <w:r w:rsidRPr="004C70EC">
        <w:rPr>
          <w:rFonts w:eastAsia="Times New Roman"/>
          <w:b/>
          <w:noProof/>
          <w:color w:val="000000" w:themeColor="text1"/>
          <w:szCs w:val="24"/>
          <w:bdr w:val="nil"/>
          <w:lang w:val="en-US" w:eastAsia="en-GB"/>
        </w:rPr>
        <w:t>protection of health and the environment.</w:t>
      </w:r>
      <w:r w:rsidRPr="004C70EC">
        <w:rPr>
          <w:rFonts w:eastAsia="Times New Roman"/>
          <w:noProof/>
          <w:color w:val="000000" w:themeColor="text1"/>
          <w:szCs w:val="24"/>
          <w:bdr w:val="nil"/>
          <w:lang w:val="en-US" w:eastAsia="en-GB"/>
        </w:rPr>
        <w:t xml:space="preserve"> </w:t>
      </w:r>
      <w:r w:rsidRPr="004C70EC">
        <w:rPr>
          <w:rFonts w:eastAsia="Times New Roman"/>
          <w:noProof/>
          <w:color w:val="000000" w:themeColor="text1"/>
          <w:szCs w:val="24"/>
          <w:lang w:val="en-US" w:eastAsia="en-GB"/>
        </w:rPr>
        <w:t xml:space="preserve">Similarly, measures to prevent the misuse of biotechnologies and strengthen EU biodefence capabilities, including </w:t>
      </w:r>
      <w:r w:rsidR="00954E67" w:rsidRPr="004C70EC">
        <w:rPr>
          <w:rFonts w:eastAsia="Times New Roman"/>
          <w:noProof/>
          <w:color w:val="000000" w:themeColor="text1"/>
          <w:szCs w:val="24"/>
          <w:lang w:val="en-US" w:eastAsia="en-GB"/>
        </w:rPr>
        <w:t xml:space="preserve">monitoring </w:t>
      </w:r>
      <w:r w:rsidRPr="004C70EC">
        <w:rPr>
          <w:rFonts w:eastAsia="Times New Roman"/>
          <w:noProof/>
          <w:color w:val="000000" w:themeColor="text1"/>
          <w:szCs w:val="24"/>
          <w:lang w:val="en-US" w:eastAsia="en-GB"/>
        </w:rPr>
        <w:t>AI-enabled biological risks, will ensure that innovation is accompanied by robust safeguards for public health and security.</w:t>
      </w:r>
    </w:p>
    <w:p w14:paraId="0A55DF40"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bdr w:val="nil"/>
          <w:lang w:val="en-US" w:eastAsia="en-GB"/>
        </w:rPr>
      </w:pPr>
      <w:r w:rsidRPr="004C70EC">
        <w:rPr>
          <w:rFonts w:eastAsia="Times New Roman"/>
          <w:noProof/>
          <w:color w:val="000000" w:themeColor="text1"/>
          <w:szCs w:val="24"/>
          <w:bdr w:val="nil"/>
          <w:lang w:val="en-US" w:eastAsia="en-GB"/>
        </w:rPr>
        <w:t xml:space="preserve">Furthermore, </w:t>
      </w:r>
      <w:r w:rsidRPr="004C70EC">
        <w:rPr>
          <w:rFonts w:eastAsia="Times New Roman"/>
          <w:b/>
          <w:noProof/>
          <w:color w:val="000000" w:themeColor="text1"/>
          <w:szCs w:val="24"/>
          <w:bdr w:val="nil"/>
          <w:lang w:val="en-US" w:eastAsia="en-GB"/>
        </w:rPr>
        <w:t>EU biotechnology businesses</w:t>
      </w:r>
      <w:r w:rsidRPr="004C70EC">
        <w:rPr>
          <w:rFonts w:eastAsia="Times New Roman"/>
          <w:noProof/>
          <w:color w:val="000000" w:themeColor="text1"/>
          <w:szCs w:val="24"/>
          <w:bdr w:val="nil"/>
          <w:lang w:val="en-US" w:eastAsia="en-GB"/>
        </w:rPr>
        <w:t xml:space="preserve">, and in particular those with the potential </w:t>
      </w:r>
      <w:r w:rsidR="00E3022E" w:rsidRPr="004C70EC">
        <w:rPr>
          <w:rFonts w:eastAsia="Times New Roman"/>
          <w:noProof/>
          <w:color w:val="000000" w:themeColor="text1"/>
          <w:szCs w:val="24"/>
          <w:bdr w:val="nil"/>
          <w:lang w:val="en-US" w:eastAsia="en-GB"/>
        </w:rPr>
        <w:t>to be</w:t>
      </w:r>
      <w:r w:rsidRPr="004C70EC">
        <w:rPr>
          <w:rFonts w:eastAsia="Times New Roman"/>
          <w:noProof/>
          <w:color w:val="000000" w:themeColor="text1"/>
          <w:szCs w:val="24"/>
          <w:bdr w:val="nil"/>
          <w:lang w:val="en-US" w:eastAsia="en-GB"/>
        </w:rPr>
        <w:t xml:space="preserve"> transformative for the biotechnology ecosystem are expected to have improved access to capital throughout the different stages of their development and better access to the infrastructure </w:t>
      </w:r>
      <w:r w:rsidR="007646C1" w:rsidRPr="004C70EC">
        <w:rPr>
          <w:rFonts w:eastAsia="Times New Roman"/>
          <w:noProof/>
          <w:color w:val="000000" w:themeColor="text1"/>
          <w:szCs w:val="24"/>
          <w:bdr w:val="nil"/>
          <w:lang w:val="en-US" w:eastAsia="en-GB"/>
        </w:rPr>
        <w:t xml:space="preserve">needed </w:t>
      </w:r>
      <w:r w:rsidRPr="004C70EC">
        <w:rPr>
          <w:rFonts w:eastAsia="Times New Roman"/>
          <w:noProof/>
          <w:color w:val="000000" w:themeColor="text1"/>
          <w:szCs w:val="24"/>
          <w:bdr w:val="nil"/>
          <w:lang w:val="en-US" w:eastAsia="en-GB"/>
        </w:rPr>
        <w:t xml:space="preserve">to assess the industrial potential of their innovation, thus contributing to a thriving biotechnology and biomanufacturing ecosystem in the EU. </w:t>
      </w:r>
      <w:r w:rsidR="00E25416" w:rsidRPr="004C70EC">
        <w:rPr>
          <w:rFonts w:eastAsia="Times New Roman"/>
          <w:noProof/>
          <w:color w:val="000000" w:themeColor="text1"/>
          <w:szCs w:val="24"/>
          <w:bdr w:val="nil"/>
          <w:lang w:val="en-US" w:eastAsia="en-GB"/>
        </w:rPr>
        <w:t>Strategic biotechnology projects</w:t>
      </w:r>
      <w:r w:rsidR="00577EFB" w:rsidRPr="004C70EC">
        <w:rPr>
          <w:rFonts w:eastAsia="Times New Roman"/>
          <w:noProof/>
          <w:color w:val="000000" w:themeColor="text1"/>
          <w:szCs w:val="24"/>
          <w:bdr w:val="nil"/>
          <w:lang w:val="en-US" w:eastAsia="en-GB"/>
        </w:rPr>
        <w:t>,</w:t>
      </w:r>
      <w:r w:rsidR="00E25416" w:rsidRPr="004C70EC">
        <w:rPr>
          <w:rFonts w:eastAsia="Times New Roman"/>
          <w:noProof/>
          <w:color w:val="000000" w:themeColor="text1"/>
          <w:szCs w:val="24"/>
          <w:bdr w:val="nil"/>
          <w:lang w:val="en-US" w:eastAsia="en-GB"/>
        </w:rPr>
        <w:t xml:space="preserve"> </w:t>
      </w:r>
      <w:r w:rsidR="00637918" w:rsidRPr="004C70EC">
        <w:rPr>
          <w:rFonts w:eastAsia="Times New Roman"/>
          <w:noProof/>
          <w:color w:val="000000" w:themeColor="text1"/>
          <w:szCs w:val="24"/>
          <w:bdr w:val="nil"/>
          <w:lang w:val="en-US" w:eastAsia="en-GB"/>
        </w:rPr>
        <w:t>which</w:t>
      </w:r>
      <w:r w:rsidR="00D51C58" w:rsidRPr="004C70EC">
        <w:rPr>
          <w:rFonts w:eastAsia="Times New Roman"/>
          <w:noProof/>
          <w:color w:val="000000" w:themeColor="text1"/>
          <w:szCs w:val="24"/>
          <w:bdr w:val="nil"/>
          <w:lang w:val="en-US" w:eastAsia="en-GB"/>
        </w:rPr>
        <w:t xml:space="preserve"> </w:t>
      </w:r>
      <w:r w:rsidR="00D51C58" w:rsidRPr="004C70EC">
        <w:rPr>
          <w:rFonts w:eastAsia="Times New Roman"/>
          <w:noProof/>
          <w:color w:val="000000" w:themeColor="text1"/>
          <w:szCs w:val="24"/>
        </w:rPr>
        <w:t>t</w:t>
      </w:r>
      <w:r w:rsidR="00D922C7" w:rsidRPr="004C70EC">
        <w:rPr>
          <w:rFonts w:eastAsia="Times New Roman"/>
          <w:noProof/>
          <w:color w:val="000000" w:themeColor="text1"/>
          <w:szCs w:val="24"/>
        </w:rPr>
        <w:t xml:space="preserve">he proposal </w:t>
      </w:r>
      <w:r w:rsidR="00637918" w:rsidRPr="004C70EC">
        <w:rPr>
          <w:rFonts w:eastAsia="Times New Roman"/>
          <w:noProof/>
          <w:color w:val="000000" w:themeColor="text1"/>
          <w:szCs w:val="24"/>
        </w:rPr>
        <w:t>aims to foster</w:t>
      </w:r>
      <w:r w:rsidR="00577EFB" w:rsidRPr="004C70EC">
        <w:rPr>
          <w:rFonts w:eastAsia="Times New Roman"/>
          <w:noProof/>
          <w:color w:val="000000" w:themeColor="text1"/>
          <w:szCs w:val="24"/>
        </w:rPr>
        <w:t>,</w:t>
      </w:r>
      <w:r w:rsidR="00637918" w:rsidRPr="004C70EC">
        <w:rPr>
          <w:rFonts w:eastAsia="Times New Roman"/>
          <w:noProof/>
          <w:color w:val="000000" w:themeColor="text1"/>
          <w:szCs w:val="24"/>
        </w:rPr>
        <w:t xml:space="preserve"> may also inc</w:t>
      </w:r>
      <w:r w:rsidR="00F0151E" w:rsidRPr="004C70EC">
        <w:rPr>
          <w:rFonts w:eastAsia="Times New Roman"/>
          <w:noProof/>
          <w:color w:val="000000" w:themeColor="text1"/>
          <w:szCs w:val="24"/>
        </w:rPr>
        <w:t xml:space="preserve">lude activities </w:t>
      </w:r>
      <w:r w:rsidR="00D922C7" w:rsidRPr="004C70EC">
        <w:rPr>
          <w:rFonts w:eastAsia="Times New Roman"/>
          <w:noProof/>
          <w:color w:val="000000" w:themeColor="text1"/>
          <w:szCs w:val="24"/>
        </w:rPr>
        <w:t>addressing the growing skills gap in biotechnology and biomanufacturing</w:t>
      </w:r>
      <w:r w:rsidR="00F0151E" w:rsidRPr="004C70EC">
        <w:rPr>
          <w:rFonts w:eastAsia="Times New Roman"/>
          <w:noProof/>
          <w:color w:val="000000" w:themeColor="text1"/>
          <w:szCs w:val="24"/>
        </w:rPr>
        <w:t xml:space="preserve"> and </w:t>
      </w:r>
      <w:r w:rsidR="00C434D1" w:rsidRPr="004C70EC">
        <w:rPr>
          <w:rFonts w:eastAsia="Times New Roman"/>
          <w:noProof/>
          <w:color w:val="000000" w:themeColor="text1"/>
          <w:szCs w:val="24"/>
        </w:rPr>
        <w:t>are expected to contribute to a</w:t>
      </w:r>
      <w:r w:rsidR="00D922C7" w:rsidRPr="004C70EC">
        <w:rPr>
          <w:rFonts w:eastAsia="Times New Roman"/>
          <w:noProof/>
          <w:color w:val="000000" w:themeColor="text1"/>
          <w:szCs w:val="24"/>
        </w:rPr>
        <w:t xml:space="preserve"> workforce capable of supporting innovation, industrial scale-up and long-term competitiveness. </w:t>
      </w:r>
      <w:r w:rsidRPr="004C70EC">
        <w:rPr>
          <w:rFonts w:eastAsia="Times New Roman"/>
          <w:b/>
          <w:noProof/>
          <w:color w:val="000000" w:themeColor="text1"/>
          <w:szCs w:val="24"/>
          <w:bdr w:val="nil"/>
          <w:lang w:val="en-US" w:eastAsia="en-GB"/>
        </w:rPr>
        <w:t>Investors and financial</w:t>
      </w:r>
      <w:r w:rsidRPr="004C70EC">
        <w:rPr>
          <w:rFonts w:eastAsia="Times New Roman"/>
          <w:noProof/>
          <w:color w:val="000000" w:themeColor="text1"/>
          <w:szCs w:val="24"/>
          <w:bdr w:val="nil"/>
          <w:lang w:val="en-US" w:eastAsia="en-GB"/>
        </w:rPr>
        <w:t xml:space="preserve"> intermediaries will benefit from a more predictable pipeline of projects and clearer regulatory certainty, supporting greater availability of risk-tolerant capital in the EU.</w:t>
      </w:r>
    </w:p>
    <w:p w14:paraId="1B6259B8"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lang w:val="en-US" w:eastAsia="en-GB"/>
        </w:rPr>
      </w:pPr>
      <w:r w:rsidRPr="004C70EC">
        <w:rPr>
          <w:rFonts w:eastAsia="Times New Roman"/>
          <w:noProof/>
          <w:color w:val="000000" w:themeColor="text1"/>
          <w:szCs w:val="24"/>
        </w:rPr>
        <w:t>The initiative will foster</w:t>
      </w:r>
      <w:r w:rsidR="00683953" w:rsidRPr="004C70EC">
        <w:rPr>
          <w:rFonts w:eastAsia="Times New Roman"/>
          <w:noProof/>
          <w:color w:val="000000" w:themeColor="text1"/>
          <w:szCs w:val="24"/>
        </w:rPr>
        <w:t xml:space="preserve">, in line with the Union policy and legislation on </w:t>
      </w:r>
      <w:r w:rsidR="00AB4B31" w:rsidRPr="004C70EC">
        <w:rPr>
          <w:rFonts w:eastAsia="Times New Roman"/>
          <w:noProof/>
          <w:color w:val="000000" w:themeColor="text1"/>
          <w:szCs w:val="24"/>
        </w:rPr>
        <w:t>AI</w:t>
      </w:r>
      <w:r w:rsidR="00683953" w:rsidRPr="004C70EC">
        <w:rPr>
          <w:rFonts w:eastAsia="Times New Roman"/>
          <w:noProof/>
          <w:color w:val="000000" w:themeColor="text1"/>
          <w:szCs w:val="24"/>
        </w:rPr>
        <w:t>,</w:t>
      </w:r>
      <w:r w:rsidRPr="004C70EC">
        <w:rPr>
          <w:rFonts w:eastAsia="Times New Roman"/>
          <w:noProof/>
          <w:color w:val="000000" w:themeColor="text1"/>
          <w:szCs w:val="24"/>
        </w:rPr>
        <w:t xml:space="preserve"> the use of </w:t>
      </w:r>
      <w:r w:rsidR="00AB4B31" w:rsidRPr="004C70EC">
        <w:rPr>
          <w:rFonts w:eastAsia="Times New Roman"/>
          <w:noProof/>
          <w:color w:val="000000" w:themeColor="text1"/>
          <w:szCs w:val="24"/>
        </w:rPr>
        <w:t>AI</w:t>
      </w:r>
      <w:r w:rsidRPr="004C70EC">
        <w:rPr>
          <w:rFonts w:eastAsia="Times New Roman"/>
          <w:noProof/>
          <w:color w:val="000000" w:themeColor="text1"/>
          <w:szCs w:val="24"/>
        </w:rPr>
        <w:t xml:space="preserve"> across the biotechnology ecosystem, giving </w:t>
      </w:r>
      <w:r w:rsidRPr="004C70EC">
        <w:rPr>
          <w:rFonts w:eastAsia="Times New Roman"/>
          <w:b/>
          <w:noProof/>
          <w:color w:val="000000" w:themeColor="text1"/>
          <w:szCs w:val="24"/>
        </w:rPr>
        <w:t>companies – and more particularly SMEs</w:t>
      </w:r>
      <w:r w:rsidRPr="004C70EC">
        <w:rPr>
          <w:rFonts w:eastAsia="Times New Roman"/>
          <w:noProof/>
          <w:color w:val="000000" w:themeColor="text1"/>
          <w:szCs w:val="24"/>
        </w:rPr>
        <w:t xml:space="preserve"> – more guidance and opportunities to integrate trustworthy, high-quality AI </w:t>
      </w:r>
      <w:r w:rsidR="007D0C16" w:rsidRPr="004C70EC">
        <w:rPr>
          <w:rFonts w:eastAsia="Times New Roman"/>
          <w:noProof/>
          <w:color w:val="000000" w:themeColor="text1"/>
          <w:szCs w:val="24"/>
        </w:rPr>
        <w:t xml:space="preserve">solutions </w:t>
      </w:r>
      <w:r w:rsidRPr="004C70EC">
        <w:rPr>
          <w:rFonts w:eastAsia="Times New Roman"/>
          <w:noProof/>
          <w:color w:val="000000" w:themeColor="text1"/>
          <w:szCs w:val="24"/>
        </w:rPr>
        <w:t>into research, testing and production processes.</w:t>
      </w:r>
    </w:p>
    <w:p w14:paraId="2718958D"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lang w:eastAsia="en-GB"/>
        </w:rPr>
      </w:pPr>
      <w:r w:rsidRPr="004C70EC">
        <w:rPr>
          <w:rFonts w:eastAsia="Times New Roman"/>
          <w:noProof/>
          <w:color w:val="000000" w:themeColor="text1"/>
          <w:szCs w:val="24"/>
        </w:rPr>
        <w:t>End-users, including</w:t>
      </w:r>
      <w:r w:rsidR="00CF4306" w:rsidRPr="004C70EC">
        <w:rPr>
          <w:rFonts w:eastAsia="Times New Roman"/>
          <w:noProof/>
          <w:color w:val="000000" w:themeColor="text1"/>
          <w:szCs w:val="24"/>
        </w:rPr>
        <w:t xml:space="preserve"> </w:t>
      </w:r>
      <w:r w:rsidRPr="004C70EC">
        <w:rPr>
          <w:rFonts w:eastAsia="Times New Roman"/>
          <w:b/>
          <w:noProof/>
          <w:color w:val="000000" w:themeColor="text1"/>
          <w:szCs w:val="24"/>
        </w:rPr>
        <w:t>patients and</w:t>
      </w:r>
      <w:r w:rsidR="00CF4306" w:rsidRPr="004C70EC">
        <w:rPr>
          <w:rFonts w:eastAsia="Times New Roman"/>
          <w:b/>
          <w:noProof/>
          <w:color w:val="000000" w:themeColor="text1"/>
          <w:szCs w:val="24"/>
        </w:rPr>
        <w:t xml:space="preserve"> </w:t>
      </w:r>
      <w:r w:rsidRPr="004C70EC">
        <w:rPr>
          <w:rFonts w:eastAsia="Times New Roman"/>
          <w:b/>
          <w:noProof/>
          <w:color w:val="000000" w:themeColor="text1"/>
          <w:szCs w:val="24"/>
        </w:rPr>
        <w:t>citizens</w:t>
      </w:r>
      <w:r w:rsidR="00CF4306" w:rsidRPr="004C70EC">
        <w:rPr>
          <w:rFonts w:eastAsia="Times New Roman"/>
          <w:noProof/>
          <w:color w:val="000000" w:themeColor="text1"/>
          <w:szCs w:val="24"/>
        </w:rPr>
        <w:t xml:space="preserve"> </w:t>
      </w:r>
      <w:r w:rsidR="003474CB" w:rsidRPr="004C70EC">
        <w:rPr>
          <w:rFonts w:eastAsia="Times New Roman"/>
          <w:noProof/>
          <w:color w:val="000000" w:themeColor="text1"/>
          <w:szCs w:val="24"/>
        </w:rPr>
        <w:t xml:space="preserve">will </w:t>
      </w:r>
      <w:r w:rsidRPr="004C70EC">
        <w:rPr>
          <w:rFonts w:eastAsia="Times New Roman"/>
          <w:noProof/>
          <w:color w:val="000000" w:themeColor="text1"/>
          <w:szCs w:val="24"/>
        </w:rPr>
        <w:t>benefit</w:t>
      </w:r>
      <w:r w:rsidR="00CF4306" w:rsidRPr="004C70EC">
        <w:rPr>
          <w:rFonts w:eastAsia="Times New Roman"/>
          <w:noProof/>
          <w:color w:val="000000" w:themeColor="text1"/>
          <w:szCs w:val="24"/>
        </w:rPr>
        <w:t xml:space="preserve"> </w:t>
      </w:r>
      <w:r w:rsidRPr="004C70EC">
        <w:rPr>
          <w:rFonts w:eastAsia="Times New Roman"/>
          <w:noProof/>
          <w:color w:val="000000" w:themeColor="text1"/>
          <w:szCs w:val="24"/>
        </w:rPr>
        <w:t xml:space="preserve">from biotechnology products </w:t>
      </w:r>
      <w:r w:rsidR="003474CB" w:rsidRPr="004C70EC">
        <w:rPr>
          <w:rFonts w:eastAsia="Times New Roman"/>
          <w:noProof/>
          <w:color w:val="000000" w:themeColor="text1"/>
          <w:szCs w:val="24"/>
        </w:rPr>
        <w:t>that</w:t>
      </w:r>
      <w:r w:rsidRPr="004C70EC">
        <w:rPr>
          <w:rFonts w:eastAsia="Times New Roman"/>
          <w:noProof/>
          <w:color w:val="000000" w:themeColor="text1"/>
          <w:szCs w:val="24"/>
        </w:rPr>
        <w:t xml:space="preserve"> meet their needs.</w:t>
      </w:r>
      <w:r w:rsidR="00CF4306" w:rsidRPr="004C70EC">
        <w:rPr>
          <w:rFonts w:eastAsia="Times New Roman"/>
          <w:noProof/>
          <w:color w:val="000000" w:themeColor="text1"/>
          <w:szCs w:val="24"/>
        </w:rPr>
        <w:t xml:space="preserve"> </w:t>
      </w:r>
      <w:r w:rsidRPr="004C70EC">
        <w:rPr>
          <w:rFonts w:eastAsia="Times New Roman"/>
          <w:noProof/>
          <w:color w:val="000000" w:themeColor="text1"/>
          <w:szCs w:val="24"/>
        </w:rPr>
        <w:t xml:space="preserve">Faster time-to-market </w:t>
      </w:r>
      <w:r w:rsidR="00091632" w:rsidRPr="004C70EC">
        <w:rPr>
          <w:rFonts w:eastAsia="Times New Roman"/>
          <w:noProof/>
          <w:color w:val="000000" w:themeColor="text1"/>
          <w:szCs w:val="24"/>
        </w:rPr>
        <w:t>and</w:t>
      </w:r>
      <w:r w:rsidR="00AE272B" w:rsidRPr="004C70EC">
        <w:rPr>
          <w:rFonts w:eastAsia="Times New Roman"/>
          <w:noProof/>
          <w:color w:val="000000" w:themeColor="text1"/>
          <w:szCs w:val="24"/>
        </w:rPr>
        <w:t>,</w:t>
      </w:r>
      <w:r w:rsidRPr="004C70EC">
        <w:rPr>
          <w:rFonts w:eastAsia="Times New Roman"/>
          <w:noProof/>
          <w:color w:val="000000" w:themeColor="text1"/>
          <w:szCs w:val="24"/>
        </w:rPr>
        <w:t xml:space="preserve"> improved clinical-trial performance</w:t>
      </w:r>
      <w:r w:rsidR="00CF4306" w:rsidRPr="004C70EC">
        <w:rPr>
          <w:rFonts w:eastAsia="Times New Roman"/>
          <w:noProof/>
          <w:color w:val="000000" w:themeColor="text1"/>
          <w:szCs w:val="24"/>
        </w:rPr>
        <w:t xml:space="preserve"> </w:t>
      </w:r>
      <w:r w:rsidRPr="004C70EC">
        <w:rPr>
          <w:rFonts w:eastAsia="Times New Roman"/>
          <w:noProof/>
          <w:color w:val="000000" w:themeColor="text1"/>
          <w:szCs w:val="24"/>
        </w:rPr>
        <w:t>are expected to result in earlier access to safe,</w:t>
      </w:r>
      <w:r w:rsidR="00CF4306" w:rsidRPr="004C70EC">
        <w:rPr>
          <w:rFonts w:eastAsia="Times New Roman"/>
          <w:noProof/>
          <w:color w:val="000000" w:themeColor="text1"/>
          <w:szCs w:val="24"/>
        </w:rPr>
        <w:t xml:space="preserve"> </w:t>
      </w:r>
      <w:r w:rsidRPr="004C70EC">
        <w:rPr>
          <w:rFonts w:eastAsia="Times New Roman"/>
          <w:noProof/>
          <w:color w:val="000000" w:themeColor="text1"/>
          <w:szCs w:val="24"/>
        </w:rPr>
        <w:t>effective,</w:t>
      </w:r>
      <w:r w:rsidR="00CF4306" w:rsidRPr="004C70EC">
        <w:rPr>
          <w:rFonts w:eastAsia="Times New Roman"/>
          <w:noProof/>
          <w:color w:val="000000" w:themeColor="text1"/>
          <w:szCs w:val="24"/>
        </w:rPr>
        <w:t xml:space="preserve"> </w:t>
      </w:r>
      <w:r w:rsidRPr="004C70EC">
        <w:rPr>
          <w:rFonts w:eastAsia="Times New Roman"/>
          <w:noProof/>
          <w:color w:val="000000" w:themeColor="text1"/>
          <w:szCs w:val="24"/>
        </w:rPr>
        <w:t>high-quality and</w:t>
      </w:r>
      <w:r w:rsidR="00E82613" w:rsidRPr="004C70EC">
        <w:rPr>
          <w:rFonts w:eastAsia="Times New Roman"/>
          <w:noProof/>
          <w:color w:val="000000" w:themeColor="text1"/>
          <w:szCs w:val="24"/>
        </w:rPr>
        <w:t xml:space="preserve"> </w:t>
      </w:r>
      <w:r w:rsidRPr="004C70EC">
        <w:rPr>
          <w:rFonts w:eastAsia="Times New Roman"/>
          <w:noProof/>
          <w:color w:val="000000" w:themeColor="text1"/>
          <w:szCs w:val="24"/>
        </w:rPr>
        <w:t>affordable</w:t>
      </w:r>
      <w:r w:rsidR="00CF4306" w:rsidRPr="004C70EC">
        <w:rPr>
          <w:rFonts w:eastAsia="Times New Roman"/>
          <w:noProof/>
          <w:color w:val="000000" w:themeColor="text1"/>
          <w:szCs w:val="24"/>
        </w:rPr>
        <w:t xml:space="preserve"> </w:t>
      </w:r>
      <w:r w:rsidRPr="004C70EC">
        <w:rPr>
          <w:rFonts w:eastAsia="Times New Roman"/>
          <w:noProof/>
          <w:color w:val="000000" w:themeColor="text1"/>
          <w:szCs w:val="24"/>
        </w:rPr>
        <w:t>biotechnology products</w:t>
      </w:r>
      <w:r w:rsidR="00E82613" w:rsidRPr="004C70EC">
        <w:rPr>
          <w:rFonts w:eastAsia="Times New Roman"/>
          <w:noProof/>
          <w:color w:val="000000" w:themeColor="text1"/>
          <w:szCs w:val="24"/>
        </w:rPr>
        <w:t>,</w:t>
      </w:r>
      <w:r w:rsidRPr="004C70EC">
        <w:rPr>
          <w:rFonts w:eastAsia="Times New Roman"/>
          <w:noProof/>
          <w:color w:val="000000" w:themeColor="text1"/>
          <w:szCs w:val="24"/>
        </w:rPr>
        <w:t xml:space="preserve"> including advanced therapies, diagnostics, biosimilars and innovative biomanufactured products</w:t>
      </w:r>
      <w:r w:rsidR="0046508B" w:rsidRPr="004C70EC">
        <w:rPr>
          <w:rFonts w:eastAsia="Times New Roman"/>
          <w:noProof/>
          <w:color w:val="000000" w:themeColor="text1"/>
          <w:szCs w:val="24"/>
        </w:rPr>
        <w:t xml:space="preserve"> which</w:t>
      </w:r>
      <w:r w:rsidRPr="004C70EC">
        <w:rPr>
          <w:rFonts w:eastAsia="Times New Roman"/>
          <w:noProof/>
          <w:color w:val="000000" w:themeColor="text1"/>
          <w:szCs w:val="24"/>
        </w:rPr>
        <w:t xml:space="preserve"> will also</w:t>
      </w:r>
      <w:r w:rsidR="00CF4306" w:rsidRPr="004C70EC">
        <w:rPr>
          <w:rFonts w:eastAsia="Times New Roman"/>
          <w:noProof/>
          <w:color w:val="000000" w:themeColor="text1"/>
          <w:szCs w:val="24"/>
        </w:rPr>
        <w:t xml:space="preserve"> </w:t>
      </w:r>
      <w:r w:rsidRPr="004C70EC">
        <w:rPr>
          <w:rFonts w:eastAsia="Times New Roman"/>
          <w:noProof/>
          <w:color w:val="000000" w:themeColor="text1"/>
          <w:szCs w:val="24"/>
        </w:rPr>
        <w:t xml:space="preserve">benefit </w:t>
      </w:r>
      <w:r w:rsidRPr="004C70EC">
        <w:rPr>
          <w:rFonts w:eastAsia="Times New Roman"/>
          <w:b/>
          <w:noProof/>
          <w:color w:val="000000" w:themeColor="text1"/>
          <w:szCs w:val="24"/>
        </w:rPr>
        <w:t>healthcare systems</w:t>
      </w:r>
      <w:r w:rsidRPr="004C70EC">
        <w:rPr>
          <w:rFonts w:eastAsia="Times New Roman"/>
          <w:noProof/>
          <w:color w:val="000000" w:themeColor="text1"/>
          <w:szCs w:val="24"/>
        </w:rPr>
        <w:t>.</w:t>
      </w:r>
    </w:p>
    <w:p w14:paraId="752E146B"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rPr>
      </w:pPr>
      <w:r w:rsidRPr="004C70EC">
        <w:rPr>
          <w:rFonts w:eastAsia="Times New Roman"/>
          <w:noProof/>
          <w:color w:val="000000" w:themeColor="text1"/>
          <w:szCs w:val="24"/>
        </w:rPr>
        <w:t xml:space="preserve">Overall, these targeted measures </w:t>
      </w:r>
      <w:r w:rsidR="00156CB1" w:rsidRPr="004C70EC">
        <w:rPr>
          <w:rFonts w:eastAsia="Times New Roman"/>
          <w:noProof/>
          <w:color w:val="000000" w:themeColor="text1"/>
          <w:szCs w:val="24"/>
        </w:rPr>
        <w:t>combined are</w:t>
      </w:r>
      <w:r w:rsidRPr="004C70EC">
        <w:rPr>
          <w:rFonts w:eastAsia="Times New Roman"/>
          <w:noProof/>
          <w:color w:val="000000" w:themeColor="text1"/>
          <w:szCs w:val="24"/>
        </w:rPr>
        <w:t xml:space="preserve"> expected to </w:t>
      </w:r>
      <w:r w:rsidR="00156CB1" w:rsidRPr="004C70EC">
        <w:rPr>
          <w:rFonts w:eastAsia="Times New Roman"/>
          <w:noProof/>
          <w:color w:val="000000" w:themeColor="text1"/>
          <w:szCs w:val="24"/>
        </w:rPr>
        <w:t xml:space="preserve">(i) </w:t>
      </w:r>
      <w:r w:rsidRPr="004C70EC">
        <w:rPr>
          <w:rFonts w:eastAsia="Times New Roman"/>
          <w:noProof/>
          <w:color w:val="000000" w:themeColor="text1"/>
          <w:szCs w:val="24"/>
        </w:rPr>
        <w:t>facilitate the growth</w:t>
      </w:r>
      <w:r w:rsidRPr="004C70EC" w:rsidDel="00B25059">
        <w:rPr>
          <w:rFonts w:eastAsia="Times New Roman"/>
          <w:noProof/>
          <w:color w:val="000000" w:themeColor="text1"/>
          <w:szCs w:val="24"/>
        </w:rPr>
        <w:t xml:space="preserve"> </w:t>
      </w:r>
      <w:r w:rsidRPr="004C70EC">
        <w:rPr>
          <w:rFonts w:eastAsia="Times New Roman"/>
          <w:noProof/>
          <w:color w:val="000000" w:themeColor="text1"/>
          <w:szCs w:val="24"/>
        </w:rPr>
        <w:t xml:space="preserve">of the </w:t>
      </w:r>
      <w:r w:rsidR="00156CB1" w:rsidRPr="004C70EC">
        <w:rPr>
          <w:rFonts w:eastAsia="Times New Roman"/>
          <w:noProof/>
          <w:color w:val="000000" w:themeColor="text1"/>
          <w:szCs w:val="24"/>
        </w:rPr>
        <w:t xml:space="preserve">EU </w:t>
      </w:r>
      <w:r w:rsidRPr="004C70EC">
        <w:rPr>
          <w:rFonts w:eastAsia="Times New Roman"/>
          <w:noProof/>
          <w:color w:val="000000" w:themeColor="text1"/>
          <w:szCs w:val="24"/>
        </w:rPr>
        <w:t>biotechnology and biomanufacturing industry in the EU</w:t>
      </w:r>
      <w:r w:rsidR="00156CB1" w:rsidRPr="004C70EC">
        <w:rPr>
          <w:rFonts w:eastAsia="Times New Roman"/>
          <w:noProof/>
          <w:color w:val="000000" w:themeColor="text1"/>
          <w:szCs w:val="24"/>
        </w:rPr>
        <w:t xml:space="preserve">; </w:t>
      </w:r>
      <w:r w:rsidR="0004047B" w:rsidRPr="004C70EC">
        <w:rPr>
          <w:rFonts w:eastAsia="Times New Roman"/>
          <w:noProof/>
          <w:color w:val="000000" w:themeColor="text1"/>
          <w:szCs w:val="24"/>
        </w:rPr>
        <w:t>(ii)</w:t>
      </w:r>
      <w:r w:rsidR="00156CB1" w:rsidRPr="004C70EC">
        <w:rPr>
          <w:rFonts w:eastAsia="Times New Roman"/>
          <w:noProof/>
          <w:color w:val="000000" w:themeColor="text1"/>
          <w:szCs w:val="24"/>
        </w:rPr>
        <w:t xml:space="preserve"> </w:t>
      </w:r>
      <w:r w:rsidR="0004047B" w:rsidRPr="004C70EC">
        <w:rPr>
          <w:rFonts w:eastAsia="Times New Roman"/>
          <w:noProof/>
          <w:color w:val="000000" w:themeColor="text1"/>
          <w:szCs w:val="24"/>
          <w:lang w:val="en-IE"/>
        </w:rPr>
        <w:t>improve the global competitiveness and innovation capacity of the</w:t>
      </w:r>
      <w:r w:rsidRPr="004C70EC">
        <w:rPr>
          <w:rFonts w:eastAsia="Times New Roman"/>
          <w:noProof/>
          <w:color w:val="000000" w:themeColor="text1"/>
          <w:szCs w:val="24"/>
        </w:rPr>
        <w:t xml:space="preserve"> EU’s biotechnology companies</w:t>
      </w:r>
      <w:r w:rsidR="0021574F" w:rsidRPr="004C70EC">
        <w:rPr>
          <w:rFonts w:eastAsia="Times New Roman"/>
          <w:noProof/>
          <w:color w:val="000000" w:themeColor="text1"/>
          <w:szCs w:val="24"/>
        </w:rPr>
        <w:t xml:space="preserve">; </w:t>
      </w:r>
      <w:r w:rsidR="000A7B33" w:rsidRPr="004C70EC">
        <w:rPr>
          <w:rFonts w:eastAsia="Times New Roman"/>
          <w:noProof/>
          <w:color w:val="000000" w:themeColor="text1"/>
          <w:szCs w:val="24"/>
        </w:rPr>
        <w:t xml:space="preserve">and (iii) increase the </w:t>
      </w:r>
      <w:r w:rsidRPr="004C70EC">
        <w:rPr>
          <w:rFonts w:eastAsia="Times New Roman"/>
          <w:noProof/>
          <w:color w:val="000000" w:themeColor="text1"/>
          <w:szCs w:val="24"/>
        </w:rPr>
        <w:t xml:space="preserve">EU’s strategic autonomy in critical technological areas. </w:t>
      </w:r>
    </w:p>
    <w:p w14:paraId="03D230AE" w14:textId="77777777" w:rsidR="00E934F2" w:rsidRPr="004C70EC" w:rsidRDefault="00E934F2" w:rsidP="00CB57CA">
      <w:pPr>
        <w:pStyle w:val="ManualHeading2"/>
        <w:rPr>
          <w:rFonts w:eastAsia="Times New Roman"/>
          <w:b w:val="0"/>
          <w:noProof/>
          <w:color w:val="000000" w:themeColor="text1"/>
          <w:szCs w:val="24"/>
          <w:bdr w:val="nil"/>
          <w:lang w:val="en-US" w:eastAsia="en-GB"/>
        </w:rPr>
      </w:pPr>
      <w:r w:rsidRPr="004C70EC">
        <w:rPr>
          <w:rFonts w:eastAsia="Times New Roman"/>
          <w:noProof/>
          <w:color w:val="000000" w:themeColor="text1"/>
          <w:szCs w:val="24"/>
          <w:bdr w:val="nil"/>
          <w:lang w:val="en-US" w:eastAsia="en-GB"/>
        </w:rPr>
        <w:t>•</w:t>
      </w:r>
      <w:r w:rsidRPr="004C70EC">
        <w:rPr>
          <w:rFonts w:eastAsia="Arial Unicode MS"/>
          <w:noProof/>
          <w:color w:val="000000" w:themeColor="text1"/>
          <w:szCs w:val="24"/>
          <w:u w:color="000000"/>
          <w:bdr w:val="nil"/>
          <w:lang w:val="en-US" w:eastAsia="en-GB"/>
        </w:rPr>
        <w:tab/>
      </w:r>
      <w:r w:rsidRPr="004C70EC">
        <w:rPr>
          <w:rFonts w:eastAsia="Times New Roman"/>
          <w:noProof/>
          <w:color w:val="000000" w:themeColor="text1"/>
          <w:szCs w:val="24"/>
          <w:bdr w:val="nil"/>
          <w:lang w:val="en-US" w:eastAsia="en-GB"/>
        </w:rPr>
        <w:t>Fundamental rights</w:t>
      </w:r>
    </w:p>
    <w:p w14:paraId="31A23497" w14:textId="77777777" w:rsidR="00E934F2" w:rsidRPr="004C70EC" w:rsidRDefault="5D5E70DB">
      <w:pPr>
        <w:pBdr>
          <w:top w:val="nil"/>
          <w:left w:val="nil"/>
          <w:bottom w:val="nil"/>
          <w:right w:val="nil"/>
          <w:between w:val="nil"/>
          <w:bar w:val="nil"/>
        </w:pBdr>
        <w:spacing w:after="240"/>
        <w:rPr>
          <w:rFonts w:eastAsia="Times New Roman"/>
          <w:noProof/>
          <w:color w:val="000000" w:themeColor="text1"/>
          <w:szCs w:val="24"/>
          <w:bdr w:val="nil"/>
          <w:lang w:val="en-US" w:eastAsia="en-GB"/>
        </w:rPr>
      </w:pPr>
      <w:r w:rsidRPr="004C70EC">
        <w:rPr>
          <w:rFonts w:eastAsia="Times New Roman"/>
          <w:noProof/>
          <w:color w:val="000000" w:themeColor="text1"/>
          <w:bdr w:val="nil"/>
          <w:lang w:val="en-US" w:eastAsia="en-GB"/>
        </w:rPr>
        <w:t xml:space="preserve">The Act respects the fundamental rights and principles </w:t>
      </w:r>
      <w:r w:rsidRPr="004C70EC">
        <w:rPr>
          <w:rFonts w:eastAsia="Times New Roman"/>
          <w:noProof/>
          <w:color w:val="000000" w:themeColor="text1"/>
          <w:lang w:val="en-US" w:eastAsia="en-GB"/>
        </w:rPr>
        <w:t>laid</w:t>
      </w:r>
      <w:r w:rsidRPr="004C70EC">
        <w:rPr>
          <w:rFonts w:eastAsia="Times New Roman"/>
          <w:noProof/>
          <w:color w:val="000000" w:themeColor="text1"/>
          <w:bdr w:val="nil"/>
          <w:lang w:val="en-US" w:eastAsia="en-GB"/>
        </w:rPr>
        <w:t xml:space="preserve"> </w:t>
      </w:r>
      <w:r w:rsidR="00FF3FA8" w:rsidRPr="004C70EC">
        <w:rPr>
          <w:rFonts w:eastAsia="Times New Roman"/>
          <w:noProof/>
          <w:color w:val="000000" w:themeColor="text1"/>
          <w:bdr w:val="nil"/>
          <w:lang w:val="en-US" w:eastAsia="en-GB"/>
        </w:rPr>
        <w:t>down</w:t>
      </w:r>
      <w:r w:rsidRPr="004C70EC">
        <w:rPr>
          <w:rFonts w:eastAsia="Times New Roman"/>
          <w:noProof/>
          <w:color w:val="000000" w:themeColor="text1"/>
          <w:bdr w:val="nil"/>
          <w:lang w:val="en-US" w:eastAsia="en-GB"/>
        </w:rPr>
        <w:t xml:space="preserve"> in the Charter of Fundamental Rights of the European Union</w:t>
      </w:r>
      <w:r w:rsidR="00E934F2" w:rsidRPr="004C70EC">
        <w:rPr>
          <w:rStyle w:val="FootnoteReference"/>
          <w:rFonts w:eastAsia="Times New Roman"/>
          <w:noProof/>
          <w:color w:val="000000" w:themeColor="text1"/>
          <w:bdr w:val="nil"/>
          <w:lang w:val="en-US" w:eastAsia="en-GB"/>
        </w:rPr>
        <w:footnoteReference w:id="86"/>
      </w:r>
      <w:r w:rsidRPr="004C70EC">
        <w:rPr>
          <w:rFonts w:eastAsia="Times New Roman"/>
          <w:noProof/>
          <w:color w:val="000000" w:themeColor="text1"/>
          <w:bdr w:val="nil"/>
          <w:lang w:val="en-US" w:eastAsia="en-GB"/>
        </w:rPr>
        <w:t xml:space="preserve">. </w:t>
      </w:r>
    </w:p>
    <w:p w14:paraId="36C8533B"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bdr w:val="nil"/>
          <w:lang w:val="en-US" w:eastAsia="en-GB"/>
        </w:rPr>
      </w:pPr>
      <w:r w:rsidRPr="004C70EC">
        <w:rPr>
          <w:rFonts w:eastAsia="Times New Roman"/>
          <w:noProof/>
          <w:color w:val="000000" w:themeColor="text1"/>
          <w:szCs w:val="24"/>
          <w:bdr w:val="nil"/>
          <w:lang w:val="en-US" w:eastAsia="en-GB"/>
        </w:rPr>
        <w:t>The proposed measures simplifying EU legislation and the new initiatives on EU industrial policy are expected to contribute to the smooth functioning of the internal market and</w:t>
      </w:r>
      <w:r w:rsidR="00CB22C9" w:rsidRPr="004C70EC">
        <w:rPr>
          <w:rFonts w:eastAsia="Times New Roman"/>
          <w:noProof/>
          <w:color w:val="000000" w:themeColor="text1"/>
          <w:szCs w:val="24"/>
          <w:bdr w:val="nil"/>
          <w:lang w:val="en-US" w:eastAsia="en-GB"/>
        </w:rPr>
        <w:t>, in</w:t>
      </w:r>
      <w:r w:rsidRPr="004C70EC">
        <w:rPr>
          <w:rFonts w:eastAsia="Times New Roman"/>
          <w:noProof/>
          <w:color w:val="000000" w:themeColor="text1"/>
          <w:szCs w:val="24"/>
          <w:bdr w:val="nil"/>
          <w:lang w:val="en-US" w:eastAsia="en-GB"/>
        </w:rPr>
        <w:t xml:space="preserve"> particular</w:t>
      </w:r>
      <w:r w:rsidR="00077224" w:rsidRPr="004C70EC">
        <w:rPr>
          <w:rFonts w:eastAsia="Times New Roman"/>
          <w:noProof/>
          <w:color w:val="000000" w:themeColor="text1"/>
          <w:szCs w:val="24"/>
          <w:bdr w:val="nil"/>
          <w:lang w:val="en-US" w:eastAsia="en-GB"/>
        </w:rPr>
        <w:t>,</w:t>
      </w:r>
      <w:r w:rsidRPr="004C70EC">
        <w:rPr>
          <w:rFonts w:eastAsia="Times New Roman"/>
          <w:noProof/>
          <w:color w:val="000000" w:themeColor="text1"/>
          <w:szCs w:val="24"/>
          <w:bdr w:val="nil"/>
          <w:lang w:val="en-US" w:eastAsia="en-GB"/>
        </w:rPr>
        <w:t xml:space="preserve"> support the freedom to </w:t>
      </w:r>
      <w:r w:rsidRPr="004C70EC">
        <w:rPr>
          <w:rFonts w:eastAsia="Times New Roman"/>
          <w:noProof/>
          <w:color w:val="000000" w:themeColor="text1"/>
          <w:szCs w:val="24"/>
          <w:bdr w:val="nil"/>
          <w:lang w:eastAsia="en-GB"/>
        </w:rPr>
        <w:t xml:space="preserve">conduct a business (Article 16 of the Charter). The measures under this proposal seek to enable innovation, </w:t>
      </w:r>
      <w:r w:rsidR="00296EBB" w:rsidRPr="004C70EC">
        <w:rPr>
          <w:rFonts w:eastAsia="Times New Roman"/>
          <w:noProof/>
          <w:color w:val="000000" w:themeColor="text1"/>
          <w:szCs w:val="24"/>
          <w:bdr w:val="nil"/>
          <w:lang w:eastAsia="en-GB"/>
        </w:rPr>
        <w:t>expand</w:t>
      </w:r>
      <w:r w:rsidRPr="004C70EC">
        <w:rPr>
          <w:rFonts w:eastAsia="Times New Roman"/>
          <w:noProof/>
          <w:color w:val="000000" w:themeColor="text1"/>
          <w:szCs w:val="24"/>
          <w:bdr w:val="nil"/>
          <w:lang w:eastAsia="en-GB"/>
        </w:rPr>
        <w:t xml:space="preserve"> the EU’s manufacturing capacity and clarify procedures for biotechnolog</w:t>
      </w:r>
      <w:r w:rsidR="000E7319" w:rsidRPr="004C70EC">
        <w:rPr>
          <w:rFonts w:eastAsia="Times New Roman"/>
          <w:noProof/>
          <w:color w:val="000000" w:themeColor="text1"/>
          <w:szCs w:val="24"/>
          <w:bdr w:val="nil"/>
          <w:lang w:eastAsia="en-GB"/>
        </w:rPr>
        <w:t>ies</w:t>
      </w:r>
      <w:r w:rsidRPr="004C70EC">
        <w:rPr>
          <w:rFonts w:eastAsia="Times New Roman"/>
          <w:noProof/>
          <w:color w:val="000000" w:themeColor="text1"/>
          <w:szCs w:val="24"/>
          <w:bdr w:val="nil"/>
          <w:lang w:eastAsia="en-GB"/>
        </w:rPr>
        <w:t xml:space="preserve"> to reach the market. The proposed measures will also ensure a</w:t>
      </w:r>
      <w:r w:rsidRPr="004C70EC">
        <w:rPr>
          <w:rFonts w:eastAsia="Times New Roman"/>
          <w:noProof/>
          <w:color w:val="000000" w:themeColor="text1"/>
          <w:szCs w:val="24"/>
        </w:rPr>
        <w:t xml:space="preserve"> high level of human health protection and will enhance the right of access to preventive healthcare and the right to benefit from medical treatment under the conditions </w:t>
      </w:r>
      <w:r w:rsidR="000E7319" w:rsidRPr="004C70EC">
        <w:rPr>
          <w:rFonts w:eastAsia="Times New Roman"/>
          <w:noProof/>
          <w:color w:val="000000" w:themeColor="text1"/>
          <w:szCs w:val="24"/>
        </w:rPr>
        <w:t xml:space="preserve">laid down </w:t>
      </w:r>
      <w:r w:rsidRPr="004C70EC">
        <w:rPr>
          <w:rFonts w:eastAsia="Times New Roman"/>
          <w:noProof/>
          <w:color w:val="000000" w:themeColor="text1"/>
          <w:szCs w:val="24"/>
        </w:rPr>
        <w:t xml:space="preserve">by national laws and practices, as provided in Article 35 of the Charter. Similarly, the proposal will </w:t>
      </w:r>
      <w:r w:rsidR="002866B9" w:rsidRPr="004C70EC">
        <w:rPr>
          <w:rFonts w:eastAsia="Times New Roman"/>
          <w:noProof/>
          <w:color w:val="000000" w:themeColor="text1"/>
          <w:szCs w:val="24"/>
        </w:rPr>
        <w:t>help</w:t>
      </w:r>
      <w:r w:rsidRPr="004C70EC">
        <w:rPr>
          <w:rFonts w:eastAsia="Times New Roman"/>
          <w:noProof/>
          <w:color w:val="000000" w:themeColor="text1"/>
          <w:szCs w:val="24"/>
        </w:rPr>
        <w:t xml:space="preserve"> ensur</w:t>
      </w:r>
      <w:r w:rsidR="002866B9" w:rsidRPr="004C70EC">
        <w:rPr>
          <w:rFonts w:eastAsia="Times New Roman"/>
          <w:noProof/>
          <w:color w:val="000000" w:themeColor="text1"/>
          <w:szCs w:val="24"/>
        </w:rPr>
        <w:t>e</w:t>
      </w:r>
      <w:r w:rsidRPr="004C70EC">
        <w:rPr>
          <w:rFonts w:eastAsia="Times New Roman"/>
          <w:noProof/>
          <w:color w:val="000000" w:themeColor="text1"/>
          <w:szCs w:val="24"/>
        </w:rPr>
        <w:t xml:space="preserve"> a high level of environmental protection and improve the quality of the environment, in line with Article 37 of the Charter.</w:t>
      </w:r>
    </w:p>
    <w:p w14:paraId="3E2DD820" w14:textId="77777777" w:rsidR="00E934F2" w:rsidRPr="004C70EC" w:rsidRDefault="00E934F2" w:rsidP="00CB57CA">
      <w:pPr>
        <w:pStyle w:val="ManualHeading1"/>
        <w:rPr>
          <w:noProof/>
          <w:color w:val="000000" w:themeColor="text1"/>
          <w:bdr w:val="nil"/>
          <w:lang w:val="en-US" w:eastAsia="en-GB"/>
        </w:rPr>
      </w:pPr>
      <w:r w:rsidRPr="004C70EC">
        <w:rPr>
          <w:noProof/>
          <w:color w:val="000000" w:themeColor="text1"/>
          <w:bdr w:val="nil"/>
          <w:lang w:val="en-US" w:eastAsia="en-GB"/>
        </w:rPr>
        <w:t>4.</w:t>
      </w:r>
      <w:r w:rsidRPr="004C70EC">
        <w:rPr>
          <w:rFonts w:eastAsia="Arial Unicode MS"/>
          <w:noProof/>
          <w:color w:val="000000" w:themeColor="text1"/>
          <w:u w:color="000000"/>
          <w:bdr w:val="nil"/>
          <w:lang w:val="en-US" w:eastAsia="en-GB"/>
        </w:rPr>
        <w:tab/>
      </w:r>
      <w:r w:rsidRPr="004C70EC">
        <w:rPr>
          <w:noProof/>
          <w:color w:val="000000" w:themeColor="text1"/>
          <w:bdr w:val="nil"/>
          <w:lang w:val="en-US" w:eastAsia="en-GB"/>
        </w:rPr>
        <w:t>BUDGETARY IMPLICATIONS</w:t>
      </w:r>
      <w:r w:rsidRPr="004C70EC">
        <w:rPr>
          <w:noProof/>
          <w:color w:val="000000" w:themeColor="text1"/>
          <w:lang w:val="en-US" w:eastAsia="en-GB"/>
        </w:rPr>
        <w:t xml:space="preserve"> </w:t>
      </w:r>
    </w:p>
    <w:p w14:paraId="7FC9075B" w14:textId="77777777" w:rsidR="0092439A" w:rsidRPr="004C70EC" w:rsidRDefault="0092439A" w:rsidP="0092439A">
      <w:pPr>
        <w:spacing w:before="0" w:after="0"/>
        <w:rPr>
          <w:rFonts w:eastAsia="Times New Roman"/>
          <w:noProof/>
          <w:color w:val="000000" w:themeColor="text1"/>
        </w:rPr>
      </w:pPr>
      <w:r w:rsidRPr="004C70EC">
        <w:rPr>
          <w:rFonts w:eastAsia="Times New Roman"/>
          <w:noProof/>
          <w:color w:val="000000" w:themeColor="text1"/>
        </w:rPr>
        <w:t>Without prejudice to the outcome of the negotiations on the next M</w:t>
      </w:r>
      <w:r w:rsidR="00060D16" w:rsidRPr="004C70EC">
        <w:rPr>
          <w:rFonts w:eastAsia="Times New Roman"/>
          <w:noProof/>
          <w:color w:val="000000" w:themeColor="text1"/>
        </w:rPr>
        <w:t>ultiannual financial framework (M</w:t>
      </w:r>
      <w:r w:rsidRPr="004C70EC">
        <w:rPr>
          <w:rFonts w:eastAsia="Times New Roman"/>
          <w:noProof/>
          <w:color w:val="000000" w:themeColor="text1"/>
        </w:rPr>
        <w:t>FF</w:t>
      </w:r>
      <w:r w:rsidR="00060D16" w:rsidRPr="004C70EC">
        <w:rPr>
          <w:rFonts w:eastAsia="Times New Roman"/>
          <w:noProof/>
          <w:color w:val="000000" w:themeColor="text1"/>
        </w:rPr>
        <w:t>)</w:t>
      </w:r>
      <w:r w:rsidRPr="004C70EC">
        <w:rPr>
          <w:rFonts w:eastAsia="Times New Roman"/>
          <w:noProof/>
          <w:color w:val="000000" w:themeColor="text1"/>
        </w:rPr>
        <w:t xml:space="preserve"> proposal, </w:t>
      </w:r>
      <w:r w:rsidR="00BE6F8D" w:rsidRPr="004C70EC">
        <w:rPr>
          <w:rFonts w:eastAsia="Times New Roman"/>
          <w:noProof/>
          <w:color w:val="000000" w:themeColor="text1"/>
        </w:rPr>
        <w:t>strategic h</w:t>
      </w:r>
      <w:r w:rsidR="00AE1163" w:rsidRPr="004C70EC">
        <w:rPr>
          <w:rFonts w:eastAsia="Times New Roman"/>
          <w:noProof/>
          <w:color w:val="000000" w:themeColor="text1"/>
        </w:rPr>
        <w:t>ealth</w:t>
      </w:r>
      <w:r w:rsidRPr="004C70EC">
        <w:rPr>
          <w:rFonts w:eastAsia="Times New Roman"/>
          <w:noProof/>
          <w:color w:val="000000" w:themeColor="text1"/>
        </w:rPr>
        <w:t xml:space="preserve"> </w:t>
      </w:r>
      <w:r w:rsidR="00BE6F8D" w:rsidRPr="004C70EC">
        <w:rPr>
          <w:rFonts w:eastAsia="Times New Roman"/>
          <w:noProof/>
          <w:color w:val="000000" w:themeColor="text1"/>
        </w:rPr>
        <w:t>b</w:t>
      </w:r>
      <w:r w:rsidRPr="004C70EC">
        <w:rPr>
          <w:rFonts w:eastAsia="Times New Roman"/>
          <w:noProof/>
          <w:color w:val="000000" w:themeColor="text1"/>
        </w:rPr>
        <w:t xml:space="preserve">iotechnology </w:t>
      </w:r>
      <w:r w:rsidR="00BE6F8D" w:rsidRPr="004C70EC">
        <w:rPr>
          <w:rFonts w:eastAsia="Times New Roman"/>
          <w:noProof/>
          <w:color w:val="000000" w:themeColor="text1"/>
        </w:rPr>
        <w:t>p</w:t>
      </w:r>
      <w:r w:rsidRPr="004C70EC">
        <w:rPr>
          <w:rFonts w:eastAsia="Times New Roman"/>
          <w:noProof/>
          <w:color w:val="000000" w:themeColor="text1"/>
        </w:rPr>
        <w:t>rojects</w:t>
      </w:r>
      <w:r w:rsidR="00B74888" w:rsidRPr="004C70EC">
        <w:rPr>
          <w:rFonts w:eastAsia="Times New Roman"/>
          <w:noProof/>
          <w:color w:val="000000" w:themeColor="text1"/>
        </w:rPr>
        <w:t xml:space="preserve"> and</w:t>
      </w:r>
      <w:r w:rsidRPr="004C70EC">
        <w:rPr>
          <w:rFonts w:eastAsia="Times New Roman"/>
          <w:noProof/>
          <w:color w:val="000000" w:themeColor="text1"/>
        </w:rPr>
        <w:t xml:space="preserve"> </w:t>
      </w:r>
      <w:r w:rsidR="00BE6F8D" w:rsidRPr="004C70EC">
        <w:rPr>
          <w:rFonts w:eastAsia="Times New Roman"/>
          <w:noProof/>
          <w:color w:val="000000" w:themeColor="text1"/>
        </w:rPr>
        <w:t>h</w:t>
      </w:r>
      <w:r w:rsidRPr="004C70EC">
        <w:rPr>
          <w:rFonts w:eastAsia="Times New Roman"/>
          <w:noProof/>
          <w:color w:val="000000" w:themeColor="text1"/>
        </w:rPr>
        <w:t>igh</w:t>
      </w:r>
      <w:r w:rsidR="00BE6F8D" w:rsidRPr="004C70EC">
        <w:rPr>
          <w:rFonts w:eastAsia="Times New Roman"/>
          <w:noProof/>
          <w:color w:val="000000" w:themeColor="text1"/>
        </w:rPr>
        <w:t>-i</w:t>
      </w:r>
      <w:r w:rsidRPr="004C70EC">
        <w:rPr>
          <w:rFonts w:eastAsia="Times New Roman"/>
          <w:noProof/>
          <w:color w:val="000000" w:themeColor="text1"/>
        </w:rPr>
        <w:t xml:space="preserve">mpact </w:t>
      </w:r>
      <w:r w:rsidR="00EA70BB" w:rsidRPr="004C70EC">
        <w:rPr>
          <w:rFonts w:eastAsia="Times New Roman"/>
          <w:noProof/>
          <w:color w:val="000000" w:themeColor="text1"/>
        </w:rPr>
        <w:t>strategic b</w:t>
      </w:r>
      <w:r w:rsidRPr="004C70EC">
        <w:rPr>
          <w:rFonts w:eastAsia="Times New Roman"/>
          <w:noProof/>
          <w:color w:val="000000" w:themeColor="text1"/>
        </w:rPr>
        <w:t xml:space="preserve">iotechnology </w:t>
      </w:r>
      <w:r w:rsidR="00EA70BB" w:rsidRPr="004C70EC">
        <w:rPr>
          <w:rFonts w:eastAsia="Times New Roman"/>
          <w:noProof/>
          <w:color w:val="000000" w:themeColor="text1"/>
        </w:rPr>
        <w:t>p</w:t>
      </w:r>
      <w:r w:rsidRPr="004C70EC">
        <w:rPr>
          <w:rFonts w:eastAsia="Times New Roman"/>
          <w:noProof/>
          <w:color w:val="000000" w:themeColor="text1"/>
        </w:rPr>
        <w:t xml:space="preserve">rojects may be supported by Union programmes, funds and instruments, in accordance with the objectives set out in the regulations establishing those funds and programmes. A  contribution is expected to come from the </w:t>
      </w:r>
      <w:r w:rsidR="007A6EF6" w:rsidRPr="004C70EC">
        <w:rPr>
          <w:rFonts w:eastAsia="Times New Roman"/>
          <w:noProof/>
          <w:color w:val="000000" w:themeColor="text1"/>
        </w:rPr>
        <w:t>“</w:t>
      </w:r>
      <w:r w:rsidR="00A40F21" w:rsidRPr="004C70EC">
        <w:rPr>
          <w:rFonts w:eastAsia="Times New Roman"/>
          <w:noProof/>
          <w:color w:val="000000" w:themeColor="text1"/>
        </w:rPr>
        <w:t>health</w:t>
      </w:r>
      <w:r w:rsidRPr="004C70EC">
        <w:rPr>
          <w:rFonts w:eastAsia="Times New Roman"/>
          <w:noProof/>
          <w:color w:val="000000" w:themeColor="text1"/>
        </w:rPr>
        <w:t xml:space="preserve">, </w:t>
      </w:r>
      <w:r w:rsidR="7AC6C040" w:rsidRPr="004C70EC">
        <w:rPr>
          <w:rFonts w:eastAsia="Times New Roman"/>
          <w:noProof/>
          <w:color w:val="000000" w:themeColor="text1"/>
        </w:rPr>
        <w:t>biotechnology</w:t>
      </w:r>
      <w:r w:rsidR="00A40F21" w:rsidRPr="004C70EC">
        <w:rPr>
          <w:rFonts w:eastAsia="Times New Roman"/>
          <w:noProof/>
          <w:color w:val="000000" w:themeColor="text1"/>
        </w:rPr>
        <w:t>,</w:t>
      </w:r>
      <w:r w:rsidR="005821CB" w:rsidRPr="004C70EC">
        <w:rPr>
          <w:rFonts w:eastAsia="Times New Roman"/>
          <w:noProof/>
          <w:color w:val="000000" w:themeColor="text1"/>
        </w:rPr>
        <w:t xml:space="preserve"> </w:t>
      </w:r>
      <w:r w:rsidR="00A40F21" w:rsidRPr="004C70EC">
        <w:rPr>
          <w:rFonts w:eastAsia="Times New Roman"/>
          <w:noProof/>
          <w:color w:val="000000" w:themeColor="text1"/>
        </w:rPr>
        <w:t>a</w:t>
      </w:r>
      <w:r w:rsidRPr="004C70EC">
        <w:rPr>
          <w:rFonts w:eastAsia="Times New Roman"/>
          <w:noProof/>
          <w:color w:val="000000" w:themeColor="text1"/>
        </w:rPr>
        <w:t xml:space="preserve">griculture and </w:t>
      </w:r>
      <w:r w:rsidR="00A40F21" w:rsidRPr="004C70EC">
        <w:rPr>
          <w:rFonts w:eastAsia="Times New Roman"/>
          <w:noProof/>
          <w:color w:val="000000" w:themeColor="text1"/>
        </w:rPr>
        <w:t>b</w:t>
      </w:r>
      <w:r w:rsidRPr="004C70EC">
        <w:rPr>
          <w:rFonts w:eastAsia="Times New Roman"/>
          <w:noProof/>
          <w:color w:val="000000" w:themeColor="text1"/>
        </w:rPr>
        <w:t>ioeconomy</w:t>
      </w:r>
      <w:r w:rsidR="007A6EF6" w:rsidRPr="004C70EC">
        <w:rPr>
          <w:rFonts w:eastAsia="Times New Roman"/>
          <w:noProof/>
          <w:color w:val="000000" w:themeColor="text1"/>
        </w:rPr>
        <w:t>”</w:t>
      </w:r>
      <w:r w:rsidRPr="004C70EC">
        <w:rPr>
          <w:rFonts w:eastAsia="Times New Roman"/>
          <w:noProof/>
          <w:color w:val="000000" w:themeColor="text1"/>
        </w:rPr>
        <w:t xml:space="preserve"> window under the European Competitiveness Fund which, according to the proposal of the Commission, would receive a total allocation of EUR 20.4 billion over the MFF 2028-2034.</w:t>
      </w:r>
      <w:r w:rsidR="00146E0C" w:rsidRPr="004C70EC">
        <w:rPr>
          <w:rFonts w:eastAsia="Times New Roman"/>
          <w:noProof/>
          <w:color w:val="000000" w:themeColor="text1"/>
        </w:rPr>
        <w:t xml:space="preserve"> </w:t>
      </w:r>
      <w:r w:rsidRPr="004C70EC">
        <w:rPr>
          <w:rFonts w:eastAsia="Times New Roman"/>
          <w:noProof/>
          <w:color w:val="000000" w:themeColor="text1"/>
        </w:rPr>
        <w:t xml:space="preserve">Two agencies, EMA and EFSA are proposed to be reinforced in staff and financially to conduct tasks related to these projects. The necessary financial resources will be compensated from applicable programmes under the agencies' headings in the 2028-2034 MFF and </w:t>
      </w:r>
      <w:r w:rsidR="00146E0C" w:rsidRPr="004C70EC">
        <w:rPr>
          <w:rFonts w:eastAsia="Times New Roman"/>
          <w:noProof/>
          <w:color w:val="000000" w:themeColor="text1"/>
        </w:rPr>
        <w:t xml:space="preserve">where possible </w:t>
      </w:r>
      <w:r w:rsidRPr="004C70EC">
        <w:rPr>
          <w:rFonts w:eastAsia="Times New Roman"/>
          <w:noProof/>
          <w:color w:val="000000" w:themeColor="text1"/>
        </w:rPr>
        <w:t xml:space="preserve">by additional income to be generated from third parties. The </w:t>
      </w:r>
      <w:r w:rsidR="7699DD8F" w:rsidRPr="004C70EC">
        <w:rPr>
          <w:rFonts w:eastAsia="Times New Roman"/>
          <w:noProof/>
          <w:color w:val="000000" w:themeColor="text1"/>
        </w:rPr>
        <w:t>Legislative Financial and Digital Statement (</w:t>
      </w:r>
      <w:r w:rsidRPr="004C70EC">
        <w:rPr>
          <w:rFonts w:eastAsia="Times New Roman"/>
          <w:noProof/>
          <w:color w:val="000000" w:themeColor="text1"/>
        </w:rPr>
        <w:t>LFDS</w:t>
      </w:r>
      <w:r w:rsidR="65936309" w:rsidRPr="004C70EC">
        <w:rPr>
          <w:rFonts w:eastAsia="Times New Roman"/>
          <w:noProof/>
          <w:color w:val="000000" w:themeColor="text1"/>
        </w:rPr>
        <w:t>)</w:t>
      </w:r>
      <w:r w:rsidRPr="004C70EC">
        <w:rPr>
          <w:rFonts w:eastAsia="Times New Roman"/>
          <w:noProof/>
          <w:color w:val="000000" w:themeColor="text1"/>
        </w:rPr>
        <w:t xml:space="preserve"> also presents estimated budgetary impact under Heading 4 including related human and administrative resources.</w:t>
      </w:r>
    </w:p>
    <w:p w14:paraId="5E2C360D" w14:textId="77777777" w:rsidR="00E934F2" w:rsidRPr="004C70EC" w:rsidRDefault="00E934F2" w:rsidP="00CB57CA">
      <w:pPr>
        <w:pStyle w:val="ManualHeading1"/>
        <w:rPr>
          <w:rFonts w:eastAsia="Times New Roman"/>
          <w:b w:val="0"/>
          <w:noProof/>
          <w:color w:val="000000" w:themeColor="text1"/>
          <w:szCs w:val="24"/>
          <w:bdr w:val="nil"/>
          <w:lang w:val="en-US" w:eastAsia="en-GB"/>
        </w:rPr>
      </w:pPr>
      <w:r w:rsidRPr="004C70EC">
        <w:rPr>
          <w:rFonts w:eastAsia="Times New Roman"/>
          <w:noProof/>
          <w:color w:val="000000" w:themeColor="text1"/>
          <w:szCs w:val="24"/>
          <w:bdr w:val="nil"/>
          <w:lang w:val="en-US" w:eastAsia="en-GB"/>
        </w:rPr>
        <w:t>5.</w:t>
      </w:r>
      <w:r w:rsidRPr="004C70EC">
        <w:rPr>
          <w:rFonts w:eastAsia="Arial Unicode MS"/>
          <w:noProof/>
          <w:color w:val="000000" w:themeColor="text1"/>
          <w:szCs w:val="24"/>
          <w:u w:color="000000"/>
          <w:bdr w:val="nil"/>
          <w:lang w:val="en-US" w:eastAsia="en-GB"/>
        </w:rPr>
        <w:tab/>
      </w:r>
      <w:r w:rsidRPr="004C70EC">
        <w:rPr>
          <w:rFonts w:eastAsia="Times New Roman"/>
          <w:noProof/>
          <w:color w:val="000000" w:themeColor="text1"/>
          <w:szCs w:val="24"/>
          <w:bdr w:val="nil"/>
          <w:lang w:val="en-US" w:eastAsia="en-GB"/>
        </w:rPr>
        <w:t>OTHER ELEMENTS</w:t>
      </w:r>
    </w:p>
    <w:p w14:paraId="612284A3" w14:textId="77777777" w:rsidR="00E934F2" w:rsidRPr="004C70EC" w:rsidRDefault="00E934F2" w:rsidP="00CB57CA">
      <w:pPr>
        <w:pStyle w:val="ManualHeading2"/>
        <w:rPr>
          <w:noProof/>
          <w:color w:val="000000" w:themeColor="text1"/>
          <w:bdr w:val="nil"/>
          <w:lang w:val="en-US" w:eastAsia="en-GB"/>
        </w:rPr>
      </w:pPr>
      <w:r w:rsidRPr="004C70EC">
        <w:rPr>
          <w:noProof/>
          <w:color w:val="000000" w:themeColor="text1"/>
          <w:bdr w:val="nil"/>
          <w:lang w:val="en-US" w:eastAsia="en-GB"/>
        </w:rPr>
        <w:t>•</w:t>
      </w:r>
      <w:r w:rsidRPr="004C70EC">
        <w:rPr>
          <w:rFonts w:eastAsia="Arial Unicode MS"/>
          <w:noProof/>
          <w:color w:val="000000" w:themeColor="text1"/>
          <w:u w:color="000000"/>
          <w:bdr w:val="nil"/>
          <w:lang w:val="en-US" w:eastAsia="en-GB"/>
        </w:rPr>
        <w:tab/>
      </w:r>
      <w:r w:rsidRPr="004C70EC">
        <w:rPr>
          <w:noProof/>
          <w:color w:val="000000" w:themeColor="text1"/>
          <w:bdr w:val="nil"/>
          <w:lang w:val="en-US" w:eastAsia="en-GB"/>
        </w:rPr>
        <w:t xml:space="preserve">Implementation plans and monitoring, evaluation and reporting arrangements </w:t>
      </w:r>
    </w:p>
    <w:p w14:paraId="04473AFC"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bdr w:val="nil"/>
          <w:lang w:val="en-US" w:eastAsia="en-GB"/>
        </w:rPr>
      </w:pPr>
      <w:r w:rsidRPr="004C70EC">
        <w:rPr>
          <w:rFonts w:eastAsia="Times New Roman"/>
          <w:noProof/>
          <w:color w:val="000000" w:themeColor="text1"/>
        </w:rPr>
        <w:t xml:space="preserve">In the short term, implementation will focus on completing the strategic mapping of the Union’s biotechnology ecosystem within six months of </w:t>
      </w:r>
      <w:r w:rsidR="00A82317" w:rsidRPr="004C70EC">
        <w:rPr>
          <w:rFonts w:eastAsia="Times New Roman"/>
          <w:noProof/>
          <w:color w:val="000000" w:themeColor="text1"/>
        </w:rPr>
        <w:t>the Regulation’s</w:t>
      </w:r>
      <w:r w:rsidRPr="004C70EC">
        <w:rPr>
          <w:rFonts w:eastAsia="Times New Roman"/>
          <w:noProof/>
          <w:color w:val="000000" w:themeColor="text1"/>
        </w:rPr>
        <w:t xml:space="preserve"> entry into force</w:t>
      </w:r>
      <w:r w:rsidR="00A82317" w:rsidRPr="004C70EC">
        <w:rPr>
          <w:rFonts w:eastAsia="Times New Roman"/>
          <w:noProof/>
          <w:color w:val="000000" w:themeColor="text1"/>
        </w:rPr>
        <w:t>,</w:t>
      </w:r>
      <w:r w:rsidRPr="004C70EC">
        <w:rPr>
          <w:rFonts w:eastAsia="Times New Roman"/>
          <w:noProof/>
          <w:color w:val="000000" w:themeColor="text1"/>
        </w:rPr>
        <w:t xml:space="preserve"> and on setting up the new governance and support structures, including the </w:t>
      </w:r>
      <w:r w:rsidR="00053BDB" w:rsidRPr="004C70EC">
        <w:rPr>
          <w:rFonts w:eastAsia="Times New Roman"/>
          <w:noProof/>
          <w:color w:val="000000" w:themeColor="text1"/>
        </w:rPr>
        <w:t>EU Health Biotechnology Support Network</w:t>
      </w:r>
      <w:r w:rsidRPr="004C70EC">
        <w:rPr>
          <w:rFonts w:eastAsia="Times New Roman"/>
          <w:noProof/>
          <w:color w:val="000000" w:themeColor="text1"/>
        </w:rPr>
        <w:t xml:space="preserve">, the </w:t>
      </w:r>
      <w:r w:rsidR="00605279" w:rsidRPr="004C70EC">
        <w:rPr>
          <w:rFonts w:eastAsia="Times New Roman"/>
          <w:noProof/>
          <w:color w:val="000000" w:themeColor="text1"/>
        </w:rPr>
        <w:t>Foresight Panel for Emerging Health Innovation</w:t>
      </w:r>
      <w:r w:rsidR="12948465" w:rsidRPr="004C70EC">
        <w:rPr>
          <w:rFonts w:eastAsia="Times New Roman"/>
          <w:noProof/>
          <w:color w:val="000000" w:themeColor="text1"/>
        </w:rPr>
        <w:t xml:space="preserve"> and</w:t>
      </w:r>
      <w:r w:rsidRPr="004C70EC">
        <w:rPr>
          <w:rFonts w:eastAsia="Times New Roman"/>
          <w:noProof/>
          <w:color w:val="000000" w:themeColor="text1"/>
        </w:rPr>
        <w:t xml:space="preserve"> the </w:t>
      </w:r>
      <w:r w:rsidR="00053BDB" w:rsidRPr="004C70EC">
        <w:rPr>
          <w:rFonts w:eastAsia="Times New Roman"/>
          <w:noProof/>
          <w:color w:val="000000" w:themeColor="text1"/>
        </w:rPr>
        <w:t>European Health Biotechnology Steering Group</w:t>
      </w:r>
      <w:r w:rsidRPr="004C70EC">
        <w:rPr>
          <w:rFonts w:eastAsia="Times New Roman"/>
          <w:noProof/>
          <w:color w:val="000000" w:themeColor="text1"/>
        </w:rPr>
        <w:t xml:space="preserve">. </w:t>
      </w:r>
      <w:r w:rsidR="006E59AC" w:rsidRPr="004C70EC">
        <w:rPr>
          <w:rFonts w:eastAsia="Times New Roman"/>
          <w:noProof/>
          <w:color w:val="000000" w:themeColor="text1"/>
        </w:rPr>
        <w:t xml:space="preserve">To support Member States in implementing the Regulation, to promote a uniform application of the Regulation and to clarify technical or operational elements where needed, the Commission may issue guidance on specific matters, including </w:t>
      </w:r>
      <w:r w:rsidRPr="004C70EC">
        <w:rPr>
          <w:rFonts w:eastAsia="Times New Roman"/>
          <w:noProof/>
          <w:color w:val="000000" w:themeColor="text1"/>
        </w:rPr>
        <w:t xml:space="preserve">the criteria and procedures for recognising </w:t>
      </w:r>
      <w:r w:rsidR="00A82317" w:rsidRPr="004C70EC">
        <w:rPr>
          <w:rFonts w:eastAsia="Times New Roman"/>
          <w:noProof/>
          <w:color w:val="000000" w:themeColor="text1"/>
        </w:rPr>
        <w:t xml:space="preserve">strategic </w:t>
      </w:r>
      <w:r w:rsidR="0010301B" w:rsidRPr="004C70EC">
        <w:rPr>
          <w:rFonts w:eastAsia="Times New Roman"/>
          <w:noProof/>
          <w:color w:val="000000" w:themeColor="text1"/>
        </w:rPr>
        <w:t xml:space="preserve">health </w:t>
      </w:r>
      <w:r w:rsidRPr="004C70EC">
        <w:rPr>
          <w:rFonts w:eastAsia="Times New Roman"/>
          <w:noProof/>
          <w:color w:val="000000" w:themeColor="text1"/>
        </w:rPr>
        <w:t xml:space="preserve">biotechnology projects and high-impact </w:t>
      </w:r>
      <w:r w:rsidR="0010301B" w:rsidRPr="004C70EC">
        <w:rPr>
          <w:rFonts w:eastAsia="Times New Roman"/>
          <w:noProof/>
          <w:color w:val="000000" w:themeColor="text1"/>
        </w:rPr>
        <w:t xml:space="preserve">health </w:t>
      </w:r>
      <w:r w:rsidR="00041518" w:rsidRPr="004C70EC">
        <w:rPr>
          <w:rFonts w:eastAsia="Times New Roman"/>
          <w:noProof/>
          <w:color w:val="000000" w:themeColor="text1"/>
        </w:rPr>
        <w:t xml:space="preserve">biotechnology strategic </w:t>
      </w:r>
      <w:r w:rsidRPr="004C70EC">
        <w:rPr>
          <w:rFonts w:eastAsia="Times New Roman"/>
          <w:noProof/>
          <w:color w:val="000000" w:themeColor="text1"/>
        </w:rPr>
        <w:t>projects</w:t>
      </w:r>
      <w:r w:rsidR="00665EE3" w:rsidRPr="004C70EC">
        <w:rPr>
          <w:rFonts w:eastAsia="Times New Roman"/>
          <w:noProof/>
          <w:color w:val="000000" w:themeColor="text1"/>
        </w:rPr>
        <w:t>,</w:t>
      </w:r>
      <w:r w:rsidR="00041518" w:rsidRPr="004C70EC">
        <w:rPr>
          <w:rFonts w:eastAsia="Times New Roman"/>
          <w:noProof/>
          <w:color w:val="000000" w:themeColor="text1"/>
        </w:rPr>
        <w:t xml:space="preserve"> and</w:t>
      </w:r>
      <w:r w:rsidR="00665EE3" w:rsidRPr="004C70EC">
        <w:rPr>
          <w:rFonts w:eastAsia="Times New Roman"/>
          <w:noProof/>
          <w:color w:val="000000" w:themeColor="text1"/>
        </w:rPr>
        <w:t xml:space="preserve"> the coordination between the EU </w:t>
      </w:r>
      <w:r w:rsidR="00053BDB" w:rsidRPr="004C70EC">
        <w:rPr>
          <w:rFonts w:eastAsia="Times New Roman"/>
          <w:noProof/>
          <w:color w:val="000000" w:themeColor="text1"/>
        </w:rPr>
        <w:t>Health Biotechnology Support Network</w:t>
      </w:r>
      <w:r w:rsidR="00665EE3" w:rsidRPr="004C70EC">
        <w:rPr>
          <w:rFonts w:eastAsia="Times New Roman"/>
          <w:noProof/>
          <w:color w:val="000000" w:themeColor="text1"/>
        </w:rPr>
        <w:t xml:space="preserve"> and other relevant networks</w:t>
      </w:r>
      <w:r w:rsidRPr="004C70EC">
        <w:rPr>
          <w:rFonts w:eastAsia="Times New Roman"/>
          <w:noProof/>
          <w:color w:val="000000" w:themeColor="text1"/>
        </w:rPr>
        <w:t>. Member States will be required to designate national single points of contact and begin applying the streamlined regulatory procedures.</w:t>
      </w:r>
    </w:p>
    <w:p w14:paraId="3BAE79E3"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bdr w:val="nil"/>
          <w:lang w:val="en-US" w:eastAsia="en-GB"/>
        </w:rPr>
      </w:pPr>
      <w:r w:rsidRPr="004C70EC">
        <w:rPr>
          <w:rFonts w:eastAsia="Times New Roman"/>
          <w:noProof/>
          <w:color w:val="000000" w:themeColor="text1"/>
          <w:szCs w:val="24"/>
        </w:rPr>
        <w:t xml:space="preserve">Monitoring will rely on the strategic mapping as a continuous evidence base, complemented by regularly updated information on the list of </w:t>
      </w:r>
      <w:r w:rsidR="00C27A4E" w:rsidRPr="004C70EC">
        <w:rPr>
          <w:rFonts w:eastAsia="Times New Roman"/>
          <w:noProof/>
          <w:color w:val="000000" w:themeColor="text1"/>
          <w:szCs w:val="24"/>
        </w:rPr>
        <w:t xml:space="preserve">strategic </w:t>
      </w:r>
      <w:r w:rsidR="0010301B" w:rsidRPr="004C70EC">
        <w:rPr>
          <w:rFonts w:eastAsia="Times New Roman"/>
          <w:noProof/>
          <w:color w:val="000000" w:themeColor="text1"/>
          <w:szCs w:val="24"/>
        </w:rPr>
        <w:t xml:space="preserve">health </w:t>
      </w:r>
      <w:r w:rsidRPr="004C70EC">
        <w:rPr>
          <w:rFonts w:eastAsia="Times New Roman"/>
          <w:noProof/>
          <w:color w:val="000000" w:themeColor="text1"/>
          <w:szCs w:val="24"/>
        </w:rPr>
        <w:t xml:space="preserve">biotechnology projects and high-impact </w:t>
      </w:r>
      <w:r w:rsidR="0010301B" w:rsidRPr="004C70EC">
        <w:rPr>
          <w:rFonts w:eastAsia="Times New Roman"/>
          <w:noProof/>
          <w:color w:val="000000" w:themeColor="text1"/>
          <w:szCs w:val="24"/>
        </w:rPr>
        <w:t>health biotechnology</w:t>
      </w:r>
      <w:r w:rsidRPr="004C70EC">
        <w:rPr>
          <w:rFonts w:eastAsia="Times New Roman"/>
          <w:noProof/>
          <w:color w:val="000000" w:themeColor="text1"/>
          <w:szCs w:val="24"/>
        </w:rPr>
        <w:t xml:space="preserve"> projects. </w:t>
      </w:r>
    </w:p>
    <w:p w14:paraId="2F86D6FA"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bdr w:val="nil"/>
          <w:lang w:val="en-US" w:eastAsia="en-GB"/>
        </w:rPr>
      </w:pPr>
      <w:r w:rsidRPr="004C70EC">
        <w:rPr>
          <w:rFonts w:eastAsia="Times New Roman"/>
          <w:noProof/>
          <w:color w:val="000000" w:themeColor="text1"/>
          <w:szCs w:val="24"/>
          <w:bdr w:val="nil"/>
          <w:lang w:val="en-US" w:eastAsia="en-GB"/>
        </w:rPr>
        <w:t xml:space="preserve">In the medium term, the strategic mapping of the biotechnology ecosystem will be updated </w:t>
      </w:r>
      <w:r w:rsidR="00F06A03" w:rsidRPr="004C70EC">
        <w:rPr>
          <w:rFonts w:eastAsia="Times New Roman"/>
          <w:noProof/>
          <w:color w:val="000000" w:themeColor="text1"/>
          <w:szCs w:val="24"/>
          <w:bdr w:val="nil"/>
          <w:lang w:val="en-US" w:eastAsia="en-GB"/>
        </w:rPr>
        <w:t>periodically</w:t>
      </w:r>
      <w:r w:rsidRPr="004C70EC">
        <w:rPr>
          <w:rFonts w:eastAsia="Times New Roman"/>
          <w:noProof/>
          <w:color w:val="000000" w:themeColor="text1"/>
          <w:szCs w:val="24"/>
          <w:bdr w:val="nil"/>
          <w:lang w:val="en-US" w:eastAsia="en-GB"/>
        </w:rPr>
        <w:t xml:space="preserve"> and used to inform </w:t>
      </w:r>
      <w:r w:rsidR="00F06A03" w:rsidRPr="004C70EC">
        <w:rPr>
          <w:rFonts w:eastAsia="Times New Roman"/>
          <w:noProof/>
          <w:color w:val="000000" w:themeColor="text1"/>
          <w:szCs w:val="24"/>
          <w:bdr w:val="nil"/>
          <w:lang w:val="en-US" w:eastAsia="en-GB"/>
        </w:rPr>
        <w:t>project</w:t>
      </w:r>
      <w:r w:rsidRPr="004C70EC">
        <w:rPr>
          <w:rFonts w:eastAsia="Times New Roman"/>
          <w:noProof/>
          <w:color w:val="000000" w:themeColor="text1"/>
          <w:szCs w:val="24"/>
          <w:bdr w:val="nil"/>
          <w:lang w:val="en-US" w:eastAsia="en-GB"/>
        </w:rPr>
        <w:t xml:space="preserve"> selection and guide the deployment of Union support. Five years after the Regulation’s entry into application, and every five years thereafter, the Commission will evaluate </w:t>
      </w:r>
      <w:r w:rsidR="003E0E34" w:rsidRPr="004C70EC">
        <w:rPr>
          <w:rFonts w:eastAsia="Times New Roman"/>
          <w:noProof/>
          <w:color w:val="000000" w:themeColor="text1"/>
          <w:szCs w:val="24"/>
          <w:bdr w:val="nil"/>
          <w:lang w:val="en-US" w:eastAsia="en-GB"/>
        </w:rPr>
        <w:t>the Regulation’s</w:t>
      </w:r>
      <w:r w:rsidRPr="004C70EC">
        <w:rPr>
          <w:rFonts w:eastAsia="Times New Roman"/>
          <w:noProof/>
          <w:color w:val="000000" w:themeColor="text1"/>
          <w:szCs w:val="24"/>
          <w:bdr w:val="nil"/>
          <w:lang w:val="en-US" w:eastAsia="en-GB"/>
        </w:rPr>
        <w:t xml:space="preserve"> effectiveness and impact, and report its findings to the European Parliament, the Council, the European Economic and Social Committee and the Committee of the Regions.</w:t>
      </w:r>
    </w:p>
    <w:p w14:paraId="62F202AB" w14:textId="77777777" w:rsidR="00E934F2" w:rsidRPr="004C70EC" w:rsidRDefault="00E934F2" w:rsidP="00CB57CA">
      <w:pPr>
        <w:pStyle w:val="ManualHeading2"/>
        <w:rPr>
          <w:rFonts w:eastAsia="Times New Roman"/>
          <w:b w:val="0"/>
          <w:noProof/>
          <w:color w:val="000000" w:themeColor="text1"/>
          <w:szCs w:val="24"/>
          <w:lang w:val="en-US" w:eastAsia="en-GB"/>
        </w:rPr>
      </w:pPr>
      <w:r w:rsidRPr="004C70EC">
        <w:rPr>
          <w:rFonts w:eastAsia="Times New Roman"/>
          <w:noProof/>
          <w:color w:val="000000" w:themeColor="text1"/>
          <w:szCs w:val="24"/>
          <w:bdr w:val="nil"/>
          <w:lang w:val="en-US" w:eastAsia="en-GB"/>
        </w:rPr>
        <w:t>•</w:t>
      </w:r>
      <w:r w:rsidRPr="004C70EC">
        <w:rPr>
          <w:rFonts w:eastAsia="Arial Unicode MS"/>
          <w:noProof/>
          <w:color w:val="000000" w:themeColor="text1"/>
          <w:szCs w:val="24"/>
          <w:u w:color="000000"/>
          <w:bdr w:val="nil"/>
          <w:lang w:val="en-US" w:eastAsia="en-GB"/>
        </w:rPr>
        <w:tab/>
      </w:r>
      <w:r w:rsidRPr="004C70EC">
        <w:rPr>
          <w:rFonts w:eastAsia="Times New Roman"/>
          <w:noProof/>
          <w:color w:val="000000" w:themeColor="text1"/>
          <w:szCs w:val="24"/>
          <w:bdr w:val="nil"/>
          <w:lang w:val="en-US" w:eastAsia="en-GB"/>
        </w:rPr>
        <w:t>Detailed explanation of the specific provisions of the proposal</w:t>
      </w:r>
      <w:r w:rsidRPr="004C70EC">
        <w:rPr>
          <w:rFonts w:eastAsia="Times New Roman"/>
          <w:noProof/>
          <w:color w:val="000000" w:themeColor="text1"/>
          <w:szCs w:val="24"/>
          <w:lang w:val="en-US" w:eastAsia="en-GB"/>
        </w:rPr>
        <w:t xml:space="preserve"> </w:t>
      </w:r>
    </w:p>
    <w:p w14:paraId="795D4FC1" w14:textId="77777777" w:rsidR="00E934F2" w:rsidRPr="004C70EC" w:rsidRDefault="00E934F2">
      <w:pPr>
        <w:pBdr>
          <w:top w:val="nil"/>
          <w:left w:val="nil"/>
          <w:bottom w:val="nil"/>
          <w:right w:val="nil"/>
          <w:between w:val="nil"/>
          <w:bar w:val="nil"/>
        </w:pBdr>
        <w:spacing w:after="240"/>
        <w:rPr>
          <w:rFonts w:eastAsia="Times New Roman"/>
          <w:b/>
          <w:noProof/>
          <w:color w:val="000000" w:themeColor="text1"/>
          <w:szCs w:val="24"/>
          <w:lang w:eastAsia="en-GB"/>
        </w:rPr>
      </w:pPr>
      <w:r w:rsidRPr="004C70EC">
        <w:rPr>
          <w:rFonts w:eastAsia="Times New Roman"/>
          <w:b/>
          <w:noProof/>
          <w:color w:val="000000" w:themeColor="text1"/>
          <w:szCs w:val="24"/>
        </w:rPr>
        <w:t>Chapter I – Subject Matter, Scope and Definitions</w:t>
      </w:r>
    </w:p>
    <w:p w14:paraId="0BC9A610"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rPr>
      </w:pPr>
      <w:r w:rsidRPr="004C70EC">
        <w:rPr>
          <w:rFonts w:eastAsia="Times New Roman"/>
          <w:noProof/>
          <w:color w:val="000000" w:themeColor="text1"/>
          <w:szCs w:val="24"/>
        </w:rPr>
        <w:t xml:space="preserve">This Chapter </w:t>
      </w:r>
      <w:r w:rsidR="00FE2085" w:rsidRPr="004C70EC">
        <w:rPr>
          <w:rFonts w:eastAsia="Times New Roman"/>
          <w:noProof/>
          <w:color w:val="000000" w:themeColor="text1"/>
          <w:szCs w:val="24"/>
        </w:rPr>
        <w:t xml:space="preserve">sets out </w:t>
      </w:r>
      <w:r w:rsidRPr="004C70EC">
        <w:rPr>
          <w:rFonts w:eastAsia="Times New Roman"/>
          <w:noProof/>
          <w:color w:val="000000" w:themeColor="text1"/>
          <w:szCs w:val="24"/>
        </w:rPr>
        <w:t>the subject matter of this proposal,</w:t>
      </w:r>
      <w:r w:rsidR="00FE2085" w:rsidRPr="004C70EC">
        <w:rPr>
          <w:rFonts w:eastAsia="Times New Roman"/>
          <w:noProof/>
          <w:color w:val="000000" w:themeColor="text1"/>
          <w:szCs w:val="24"/>
        </w:rPr>
        <w:t xml:space="preserve"> which consist</w:t>
      </w:r>
      <w:r w:rsidR="00B96E2A" w:rsidRPr="004C70EC">
        <w:rPr>
          <w:rFonts w:eastAsia="Times New Roman"/>
          <w:noProof/>
          <w:color w:val="000000" w:themeColor="text1"/>
          <w:szCs w:val="24"/>
        </w:rPr>
        <w:t>s of</w:t>
      </w:r>
      <w:r w:rsidRPr="004C70EC">
        <w:rPr>
          <w:rFonts w:eastAsia="Times New Roman"/>
          <w:noProof/>
          <w:color w:val="000000" w:themeColor="text1"/>
          <w:szCs w:val="24"/>
        </w:rPr>
        <w:t xml:space="preserve"> measures that articulate its overall objective </w:t>
      </w:r>
      <w:r w:rsidR="00B72499" w:rsidRPr="004C70EC">
        <w:rPr>
          <w:rFonts w:eastAsia="Times New Roman"/>
          <w:noProof/>
          <w:color w:val="000000" w:themeColor="text1"/>
          <w:szCs w:val="24"/>
        </w:rPr>
        <w:t>(i) to improve the functioning of the internal market by establishing a framework to strengthen the competitiveness of the biotechnology sector, from research to production, (ii) to create the conditions for the development and timely placing on the Union market, of biotechnology innovations, products and services, (iii) while safeguarding high standards for the protection of human health, animal health, patients and consumers, the environment, ethics, quality, food and feed safety, and biosecurity.</w:t>
      </w:r>
      <w:r w:rsidRPr="004C70EC">
        <w:rPr>
          <w:rFonts w:eastAsia="Times New Roman"/>
          <w:noProof/>
          <w:color w:val="000000" w:themeColor="text1"/>
          <w:szCs w:val="24"/>
        </w:rPr>
        <w:t xml:space="preserve"> </w:t>
      </w:r>
      <w:r w:rsidR="00005912" w:rsidRPr="004C70EC">
        <w:rPr>
          <w:rFonts w:eastAsia="Times New Roman"/>
          <w:noProof/>
          <w:color w:val="000000" w:themeColor="text1"/>
          <w:szCs w:val="24"/>
        </w:rPr>
        <w:t>T</w:t>
      </w:r>
      <w:r w:rsidRPr="004C70EC">
        <w:rPr>
          <w:rFonts w:eastAsia="Times New Roman"/>
          <w:noProof/>
          <w:color w:val="000000" w:themeColor="text1"/>
          <w:szCs w:val="24"/>
        </w:rPr>
        <w:t>h</w:t>
      </w:r>
      <w:r w:rsidR="00005912" w:rsidRPr="004C70EC">
        <w:rPr>
          <w:rFonts w:eastAsia="Times New Roman"/>
          <w:noProof/>
          <w:color w:val="000000" w:themeColor="text1"/>
          <w:szCs w:val="24"/>
        </w:rPr>
        <w:t>is</w:t>
      </w:r>
      <w:r w:rsidRPr="004C70EC">
        <w:rPr>
          <w:rFonts w:eastAsia="Times New Roman"/>
          <w:noProof/>
          <w:color w:val="000000" w:themeColor="text1"/>
          <w:szCs w:val="24"/>
        </w:rPr>
        <w:t xml:space="preserve"> Chapter </w:t>
      </w:r>
      <w:r w:rsidR="00005912" w:rsidRPr="004C70EC">
        <w:rPr>
          <w:rFonts w:eastAsia="Times New Roman"/>
          <w:noProof/>
          <w:color w:val="000000" w:themeColor="text1"/>
          <w:szCs w:val="24"/>
        </w:rPr>
        <w:t xml:space="preserve">also </w:t>
      </w:r>
      <w:r w:rsidRPr="004C70EC">
        <w:rPr>
          <w:rFonts w:eastAsia="Times New Roman"/>
          <w:noProof/>
          <w:color w:val="000000" w:themeColor="text1"/>
          <w:szCs w:val="24"/>
        </w:rPr>
        <w:t>specifies the scope of the proposal</w:t>
      </w:r>
      <w:r w:rsidR="00005912" w:rsidRPr="004C70EC">
        <w:rPr>
          <w:rFonts w:eastAsia="Times New Roman"/>
          <w:noProof/>
          <w:color w:val="000000" w:themeColor="text1"/>
          <w:szCs w:val="24"/>
        </w:rPr>
        <w:t xml:space="preserve">, which applies </w:t>
      </w:r>
      <w:r w:rsidRPr="004C70EC">
        <w:rPr>
          <w:rFonts w:eastAsia="Times New Roman"/>
          <w:noProof/>
          <w:color w:val="000000" w:themeColor="text1"/>
          <w:szCs w:val="24"/>
        </w:rPr>
        <w:t xml:space="preserve">to </w:t>
      </w:r>
      <w:r w:rsidR="004E527A" w:rsidRPr="004C70EC">
        <w:rPr>
          <w:rFonts w:eastAsia="Times New Roman"/>
          <w:noProof/>
          <w:color w:val="000000" w:themeColor="text1"/>
          <w:szCs w:val="24"/>
        </w:rPr>
        <w:t xml:space="preserve">health </w:t>
      </w:r>
      <w:r w:rsidRPr="004C70EC">
        <w:rPr>
          <w:rFonts w:eastAsia="Times New Roman"/>
          <w:noProof/>
          <w:color w:val="000000" w:themeColor="text1"/>
          <w:szCs w:val="24"/>
        </w:rPr>
        <w:t xml:space="preserve">biotechnology products and services during their entire lifecycle, including related </w:t>
      </w:r>
      <w:r w:rsidR="009A0EDA" w:rsidRPr="004C70EC">
        <w:rPr>
          <w:rFonts w:eastAsia="Times New Roman"/>
          <w:noProof/>
          <w:color w:val="000000" w:themeColor="text1"/>
          <w:szCs w:val="24"/>
        </w:rPr>
        <w:t>activities on</w:t>
      </w:r>
      <w:r w:rsidRPr="004C70EC">
        <w:rPr>
          <w:rFonts w:eastAsia="Times New Roman"/>
          <w:noProof/>
          <w:color w:val="000000" w:themeColor="text1"/>
          <w:szCs w:val="24"/>
        </w:rPr>
        <w:t xml:space="preserve"> research, funding, development, innovation, testing, validation, manufacturing, placing on the market and use</w:t>
      </w:r>
      <w:r w:rsidRPr="004C70EC">
        <w:rPr>
          <w:rFonts w:eastAsia="Times New Roman"/>
          <w:noProof/>
          <w:color w:val="000000" w:themeColor="text1"/>
        </w:rPr>
        <w:t>.</w:t>
      </w:r>
      <w:r w:rsidRPr="004C70EC">
        <w:rPr>
          <w:rFonts w:eastAsia="Times New Roman"/>
          <w:noProof/>
          <w:color w:val="000000" w:themeColor="text1"/>
          <w:szCs w:val="24"/>
        </w:rPr>
        <w:t xml:space="preserve"> </w:t>
      </w:r>
      <w:r w:rsidR="009A0EDA" w:rsidRPr="004C70EC">
        <w:rPr>
          <w:rFonts w:eastAsia="Times New Roman"/>
          <w:noProof/>
          <w:color w:val="000000" w:themeColor="text1"/>
          <w:szCs w:val="24"/>
        </w:rPr>
        <w:t>Lastly</w:t>
      </w:r>
      <w:r w:rsidRPr="004C70EC">
        <w:rPr>
          <w:rFonts w:eastAsia="Times New Roman"/>
          <w:noProof/>
          <w:color w:val="000000" w:themeColor="text1"/>
          <w:szCs w:val="24"/>
        </w:rPr>
        <w:t>, th</w:t>
      </w:r>
      <w:r w:rsidR="009A0EDA" w:rsidRPr="004C70EC">
        <w:rPr>
          <w:rFonts w:eastAsia="Times New Roman"/>
          <w:noProof/>
          <w:color w:val="000000" w:themeColor="text1"/>
          <w:szCs w:val="24"/>
        </w:rPr>
        <w:t>is</w:t>
      </w:r>
      <w:r w:rsidRPr="004C70EC">
        <w:rPr>
          <w:rFonts w:eastAsia="Times New Roman"/>
          <w:noProof/>
          <w:color w:val="000000" w:themeColor="text1"/>
          <w:szCs w:val="24"/>
        </w:rPr>
        <w:t xml:space="preserve"> Chapter establishes definitions for key terms used throughout the proposal, including ‘biotechnology’, </w:t>
      </w:r>
      <w:r w:rsidR="004E527A" w:rsidRPr="004C70EC">
        <w:rPr>
          <w:rFonts w:eastAsia="Times New Roman"/>
          <w:noProof/>
          <w:color w:val="000000" w:themeColor="text1"/>
          <w:szCs w:val="24"/>
        </w:rPr>
        <w:t>‘health biotechnology’</w:t>
      </w:r>
      <w:r w:rsidR="00960C16" w:rsidRPr="004C70EC">
        <w:rPr>
          <w:rFonts w:eastAsia="Times New Roman"/>
          <w:noProof/>
          <w:color w:val="000000" w:themeColor="text1"/>
          <w:szCs w:val="24"/>
        </w:rPr>
        <w:t>,</w:t>
      </w:r>
      <w:r w:rsidR="004E527A" w:rsidRPr="004C70EC">
        <w:rPr>
          <w:rFonts w:eastAsia="Times New Roman"/>
          <w:noProof/>
          <w:color w:val="000000" w:themeColor="text1"/>
          <w:szCs w:val="24"/>
        </w:rPr>
        <w:t xml:space="preserve"> </w:t>
      </w:r>
      <w:r w:rsidRPr="004C70EC">
        <w:rPr>
          <w:rFonts w:eastAsia="Times New Roman"/>
          <w:noProof/>
          <w:color w:val="000000" w:themeColor="text1"/>
          <w:szCs w:val="24"/>
        </w:rPr>
        <w:t xml:space="preserve">‘biotechnology product’, ‘biotechnology service’ and ‘biomanufacturing’. </w:t>
      </w:r>
    </w:p>
    <w:p w14:paraId="51F46C88" w14:textId="77777777" w:rsidR="004A1163" w:rsidRPr="004C70EC" w:rsidRDefault="004A1163">
      <w:pPr>
        <w:pBdr>
          <w:top w:val="nil"/>
          <w:left w:val="nil"/>
          <w:bottom w:val="nil"/>
          <w:right w:val="nil"/>
          <w:between w:val="nil"/>
          <w:bar w:val="nil"/>
        </w:pBdr>
        <w:spacing w:after="240"/>
        <w:rPr>
          <w:rFonts w:eastAsia="Times New Roman"/>
          <w:noProof/>
          <w:color w:val="000000" w:themeColor="text1"/>
          <w:szCs w:val="24"/>
        </w:rPr>
      </w:pPr>
    </w:p>
    <w:p w14:paraId="28F48A81" w14:textId="77777777" w:rsidR="00E934F2" w:rsidRPr="004C70EC" w:rsidRDefault="00E934F2">
      <w:pPr>
        <w:pBdr>
          <w:top w:val="nil"/>
          <w:left w:val="nil"/>
          <w:bottom w:val="nil"/>
          <w:right w:val="nil"/>
          <w:between w:val="nil"/>
          <w:bar w:val="nil"/>
        </w:pBdr>
        <w:spacing w:after="240"/>
        <w:rPr>
          <w:rFonts w:eastAsia="Times New Roman"/>
          <w:b/>
          <w:noProof/>
          <w:color w:val="000000" w:themeColor="text1"/>
          <w:szCs w:val="24"/>
          <w:lang w:eastAsia="en-GB"/>
        </w:rPr>
      </w:pPr>
      <w:r w:rsidRPr="004C70EC">
        <w:rPr>
          <w:rFonts w:eastAsia="Times New Roman"/>
          <w:b/>
          <w:noProof/>
          <w:color w:val="000000" w:themeColor="text1"/>
          <w:szCs w:val="24"/>
        </w:rPr>
        <w:t>Chapter II –</w:t>
      </w:r>
      <w:r w:rsidR="004A1163" w:rsidRPr="004C70EC">
        <w:rPr>
          <w:rFonts w:eastAsia="Times New Roman"/>
          <w:b/>
          <w:noProof/>
          <w:color w:val="000000" w:themeColor="text1"/>
          <w:szCs w:val="24"/>
        </w:rPr>
        <w:t xml:space="preserve"> </w:t>
      </w:r>
      <w:r w:rsidRPr="004C70EC">
        <w:rPr>
          <w:rFonts w:eastAsia="Times New Roman"/>
          <w:b/>
          <w:noProof/>
          <w:color w:val="000000" w:themeColor="text1"/>
          <w:szCs w:val="24"/>
        </w:rPr>
        <w:t xml:space="preserve">Union </w:t>
      </w:r>
      <w:r w:rsidR="004427FC" w:rsidRPr="004C70EC">
        <w:rPr>
          <w:rFonts w:eastAsia="Times New Roman"/>
          <w:b/>
          <w:noProof/>
          <w:color w:val="000000" w:themeColor="text1"/>
          <w:szCs w:val="24"/>
        </w:rPr>
        <w:t>h</w:t>
      </w:r>
      <w:r w:rsidR="00816668" w:rsidRPr="004C70EC">
        <w:rPr>
          <w:rFonts w:eastAsia="Times New Roman"/>
          <w:b/>
          <w:noProof/>
          <w:color w:val="000000" w:themeColor="text1"/>
          <w:szCs w:val="24"/>
        </w:rPr>
        <w:t>ealth</w:t>
      </w:r>
      <w:r w:rsidRPr="004C70EC">
        <w:rPr>
          <w:rFonts w:eastAsia="Times New Roman"/>
          <w:b/>
          <w:noProof/>
          <w:color w:val="000000" w:themeColor="text1"/>
          <w:szCs w:val="24"/>
        </w:rPr>
        <w:t xml:space="preserve"> </w:t>
      </w:r>
      <w:r w:rsidR="004427FC" w:rsidRPr="004C70EC">
        <w:rPr>
          <w:rFonts w:eastAsia="Times New Roman"/>
          <w:b/>
          <w:noProof/>
          <w:color w:val="000000" w:themeColor="text1"/>
          <w:szCs w:val="24"/>
        </w:rPr>
        <w:t>b</w:t>
      </w:r>
      <w:r w:rsidRPr="004C70EC">
        <w:rPr>
          <w:rFonts w:eastAsia="Times New Roman"/>
          <w:b/>
          <w:noProof/>
          <w:color w:val="000000" w:themeColor="text1"/>
          <w:szCs w:val="24"/>
        </w:rPr>
        <w:t xml:space="preserve">iotechnology and </w:t>
      </w:r>
      <w:r w:rsidR="004427FC" w:rsidRPr="004C70EC">
        <w:rPr>
          <w:rFonts w:eastAsia="Times New Roman"/>
          <w:b/>
          <w:noProof/>
          <w:color w:val="000000" w:themeColor="text1"/>
          <w:szCs w:val="24"/>
        </w:rPr>
        <w:t>b</w:t>
      </w:r>
      <w:r w:rsidRPr="004C70EC">
        <w:rPr>
          <w:rFonts w:eastAsia="Times New Roman"/>
          <w:b/>
          <w:noProof/>
          <w:color w:val="000000" w:themeColor="text1"/>
          <w:szCs w:val="24"/>
        </w:rPr>
        <w:t>iomanufacturing</w:t>
      </w:r>
    </w:p>
    <w:p w14:paraId="48723C52" w14:textId="77777777" w:rsidR="00E934F2" w:rsidRPr="004C70EC" w:rsidRDefault="00E934F2" w:rsidP="18D3BF3E">
      <w:pPr>
        <w:pBdr>
          <w:top w:val="nil"/>
          <w:left w:val="nil"/>
          <w:bottom w:val="nil"/>
          <w:right w:val="nil"/>
          <w:between w:val="nil"/>
        </w:pBdr>
        <w:spacing w:after="240"/>
        <w:rPr>
          <w:rFonts w:eastAsia="Times New Roman"/>
          <w:noProof/>
          <w:color w:val="000000" w:themeColor="text1"/>
          <w:lang w:eastAsia="en-GB"/>
        </w:rPr>
      </w:pPr>
      <w:r w:rsidRPr="004C70EC">
        <w:rPr>
          <w:rFonts w:eastAsia="Times New Roman"/>
          <w:noProof/>
          <w:color w:val="000000" w:themeColor="text1"/>
        </w:rPr>
        <w:t xml:space="preserve">This </w:t>
      </w:r>
      <w:r w:rsidR="00A845A5" w:rsidRPr="004C70EC">
        <w:rPr>
          <w:rFonts w:eastAsia="Times New Roman"/>
          <w:noProof/>
          <w:color w:val="000000" w:themeColor="text1"/>
        </w:rPr>
        <w:t>C</w:t>
      </w:r>
      <w:r w:rsidRPr="004C70EC">
        <w:rPr>
          <w:rFonts w:eastAsia="Times New Roman"/>
          <w:noProof/>
          <w:color w:val="000000" w:themeColor="text1"/>
        </w:rPr>
        <w:t>hapter introduces the concept</w:t>
      </w:r>
      <w:r w:rsidR="00CA6C1A" w:rsidRPr="004C70EC">
        <w:rPr>
          <w:rFonts w:eastAsia="Times New Roman"/>
          <w:noProof/>
          <w:color w:val="000000" w:themeColor="text1"/>
        </w:rPr>
        <w:t>s</w:t>
      </w:r>
      <w:r w:rsidRPr="004C70EC">
        <w:rPr>
          <w:rFonts w:eastAsia="Times New Roman"/>
          <w:noProof/>
          <w:color w:val="000000" w:themeColor="text1"/>
        </w:rPr>
        <w:t xml:space="preserve"> of </w:t>
      </w:r>
      <w:r w:rsidR="006176F2" w:rsidRPr="004C70EC">
        <w:rPr>
          <w:rFonts w:eastAsia="Times New Roman"/>
          <w:noProof/>
          <w:color w:val="000000" w:themeColor="text1"/>
        </w:rPr>
        <w:t>health</w:t>
      </w:r>
      <w:r w:rsidRPr="004C70EC">
        <w:rPr>
          <w:rFonts w:eastAsia="Times New Roman"/>
          <w:noProof/>
          <w:color w:val="000000" w:themeColor="text1"/>
        </w:rPr>
        <w:t xml:space="preserve"> biotechnology </w:t>
      </w:r>
      <w:r w:rsidR="30DC87B1" w:rsidRPr="004C70EC">
        <w:rPr>
          <w:rFonts w:eastAsia="Times New Roman"/>
          <w:noProof/>
          <w:color w:val="000000" w:themeColor="text1"/>
        </w:rPr>
        <w:t>s</w:t>
      </w:r>
      <w:r w:rsidRPr="004C70EC">
        <w:rPr>
          <w:rFonts w:eastAsia="Times New Roman"/>
          <w:noProof/>
          <w:color w:val="000000" w:themeColor="text1"/>
        </w:rPr>
        <w:t xml:space="preserve">trategic </w:t>
      </w:r>
      <w:r w:rsidR="30C3CA2A" w:rsidRPr="004C70EC">
        <w:rPr>
          <w:rFonts w:eastAsia="Times New Roman"/>
          <w:noProof/>
          <w:color w:val="000000" w:themeColor="text1"/>
        </w:rPr>
        <w:t>p</w:t>
      </w:r>
      <w:r w:rsidRPr="004C70EC">
        <w:rPr>
          <w:rFonts w:eastAsia="Times New Roman"/>
          <w:noProof/>
          <w:color w:val="000000" w:themeColor="text1"/>
        </w:rPr>
        <w:t xml:space="preserve">rojects and </w:t>
      </w:r>
      <w:r w:rsidR="00BC5F87" w:rsidRPr="004C70EC">
        <w:rPr>
          <w:rFonts w:eastAsia="Times New Roman"/>
          <w:noProof/>
          <w:color w:val="000000" w:themeColor="text1"/>
        </w:rPr>
        <w:t xml:space="preserve">high impact </w:t>
      </w:r>
      <w:r w:rsidR="002053A7" w:rsidRPr="004C70EC">
        <w:rPr>
          <w:rFonts w:eastAsia="Times New Roman"/>
          <w:noProof/>
          <w:color w:val="000000" w:themeColor="text1"/>
        </w:rPr>
        <w:t>health</w:t>
      </w:r>
      <w:r w:rsidR="00BC5F87" w:rsidRPr="004C70EC">
        <w:rPr>
          <w:rFonts w:eastAsia="Times New Roman"/>
          <w:noProof/>
          <w:color w:val="000000" w:themeColor="text1"/>
        </w:rPr>
        <w:t xml:space="preserve"> biotechnology strategic projects</w:t>
      </w:r>
      <w:r w:rsidRPr="004C70EC">
        <w:rPr>
          <w:rFonts w:eastAsia="Times New Roman"/>
          <w:noProof/>
          <w:color w:val="000000" w:themeColor="text1"/>
        </w:rPr>
        <w:t xml:space="preserve"> </w:t>
      </w:r>
      <w:r w:rsidR="00A00DD5" w:rsidRPr="004C70EC">
        <w:rPr>
          <w:rFonts w:eastAsia="Times New Roman"/>
          <w:noProof/>
          <w:color w:val="000000" w:themeColor="text1"/>
        </w:rPr>
        <w:t xml:space="preserve">and </w:t>
      </w:r>
      <w:r w:rsidR="00BC5F87" w:rsidRPr="004C70EC">
        <w:rPr>
          <w:rFonts w:eastAsia="Times New Roman"/>
          <w:noProof/>
          <w:color w:val="000000" w:themeColor="text1"/>
        </w:rPr>
        <w:t xml:space="preserve">establishes a framework for the recognition and </w:t>
      </w:r>
      <w:r w:rsidR="00A00DD5" w:rsidRPr="004C70EC">
        <w:rPr>
          <w:rFonts w:eastAsia="Times New Roman"/>
          <w:noProof/>
          <w:color w:val="000000" w:themeColor="text1"/>
        </w:rPr>
        <w:t xml:space="preserve">the </w:t>
      </w:r>
      <w:r w:rsidR="00BC5F87" w:rsidRPr="004C70EC">
        <w:rPr>
          <w:rFonts w:eastAsia="Times New Roman"/>
          <w:noProof/>
          <w:color w:val="000000" w:themeColor="text1"/>
        </w:rPr>
        <w:t xml:space="preserve">support of </w:t>
      </w:r>
      <w:r w:rsidR="00A00DD5" w:rsidRPr="004C70EC">
        <w:rPr>
          <w:rFonts w:eastAsia="Times New Roman"/>
          <w:noProof/>
          <w:color w:val="000000" w:themeColor="text1"/>
        </w:rPr>
        <w:t xml:space="preserve">such projects </w:t>
      </w:r>
      <w:r w:rsidRPr="004C70EC">
        <w:rPr>
          <w:rFonts w:eastAsia="Times New Roman"/>
          <w:noProof/>
          <w:color w:val="000000" w:themeColor="text1"/>
        </w:rPr>
        <w:t xml:space="preserve">aimed at strengthening the EU’s industrial biomanufacturing capacity and value chains. Strategic projects should mobilise and focus action at Union and Member State level, including on public and private investments and accelerated permitting and other support measures, to </w:t>
      </w:r>
      <w:r w:rsidR="00DF3848" w:rsidRPr="004C70EC">
        <w:rPr>
          <w:rFonts w:eastAsia="Times New Roman"/>
          <w:noProof/>
          <w:color w:val="000000" w:themeColor="text1"/>
        </w:rPr>
        <w:t xml:space="preserve">boost </w:t>
      </w:r>
      <w:r w:rsidRPr="004C70EC">
        <w:rPr>
          <w:rFonts w:eastAsia="Times New Roman"/>
          <w:noProof/>
          <w:color w:val="000000" w:themeColor="text1"/>
        </w:rPr>
        <w:t xml:space="preserve">Europe's competitiveness and resilience in biotechnology. To build a strong EU biotechnology ecosystem, provisions are included to encourage </w:t>
      </w:r>
      <w:r w:rsidR="1AB060C4" w:rsidRPr="004C70EC">
        <w:rPr>
          <w:rFonts w:eastAsia="Times New Roman"/>
          <w:noProof/>
          <w:color w:val="000000" w:themeColor="text1"/>
        </w:rPr>
        <w:t xml:space="preserve">pro-competitive </w:t>
      </w:r>
      <w:r w:rsidRPr="004C70EC">
        <w:rPr>
          <w:rFonts w:eastAsia="Times New Roman"/>
          <w:noProof/>
          <w:color w:val="000000" w:themeColor="text1"/>
        </w:rPr>
        <w:t xml:space="preserve">collaboration </w:t>
      </w:r>
      <w:r w:rsidR="00234579" w:rsidRPr="004C70EC">
        <w:rPr>
          <w:rFonts w:eastAsia="Times New Roman"/>
          <w:noProof/>
          <w:color w:val="000000" w:themeColor="text1"/>
        </w:rPr>
        <w:t xml:space="preserve">between </w:t>
      </w:r>
      <w:r w:rsidRPr="004C70EC">
        <w:rPr>
          <w:rFonts w:eastAsia="Times New Roman"/>
          <w:noProof/>
          <w:color w:val="000000" w:themeColor="text1"/>
        </w:rPr>
        <w:t xml:space="preserve">projects, networks and clusters. These measures are to be underpinned by a strategic mapping of the Union’s biotechnology ecosystem to identify capacities, gaps, dependencies and investment needs, thereby guiding the prioritisation of strategic and high-impact projects and informing Union policy and funding decisions. </w:t>
      </w:r>
      <w:r w:rsidR="00064B39" w:rsidRPr="004C70EC">
        <w:rPr>
          <w:rFonts w:eastAsia="Times New Roman"/>
          <w:noProof/>
          <w:color w:val="000000" w:themeColor="text1"/>
        </w:rPr>
        <w:t>This Chapter</w:t>
      </w:r>
      <w:r w:rsidRPr="004C70EC">
        <w:rPr>
          <w:rFonts w:eastAsia="Times New Roman"/>
          <w:noProof/>
          <w:color w:val="000000" w:themeColor="text1"/>
        </w:rPr>
        <w:t xml:space="preserve"> also </w:t>
      </w:r>
      <w:r w:rsidR="00F97AF3" w:rsidRPr="004C70EC">
        <w:rPr>
          <w:rFonts w:eastAsia="Times New Roman"/>
          <w:noProof/>
          <w:color w:val="000000" w:themeColor="text1"/>
        </w:rPr>
        <w:t>sets up</w:t>
      </w:r>
      <w:r w:rsidRPr="004C70EC">
        <w:rPr>
          <w:rFonts w:eastAsia="Times New Roman"/>
          <w:noProof/>
          <w:color w:val="000000" w:themeColor="text1"/>
        </w:rPr>
        <w:t xml:space="preserve"> an EU </w:t>
      </w:r>
      <w:r w:rsidR="004A0827" w:rsidRPr="004C70EC">
        <w:rPr>
          <w:rFonts w:eastAsia="Times New Roman"/>
          <w:noProof/>
          <w:color w:val="000000" w:themeColor="text1"/>
        </w:rPr>
        <w:t>h</w:t>
      </w:r>
      <w:r w:rsidR="00187EE3" w:rsidRPr="004C70EC">
        <w:rPr>
          <w:rFonts w:eastAsia="Times New Roman"/>
          <w:noProof/>
          <w:color w:val="000000" w:themeColor="text1"/>
        </w:rPr>
        <w:t>ealth</w:t>
      </w:r>
      <w:r w:rsidRPr="004C70EC">
        <w:rPr>
          <w:rFonts w:eastAsia="Times New Roman"/>
          <w:noProof/>
          <w:color w:val="000000" w:themeColor="text1"/>
        </w:rPr>
        <w:t xml:space="preserve"> </w:t>
      </w:r>
      <w:r w:rsidR="004A0827" w:rsidRPr="004C70EC">
        <w:rPr>
          <w:rFonts w:eastAsia="Times New Roman"/>
          <w:noProof/>
          <w:color w:val="000000" w:themeColor="text1"/>
        </w:rPr>
        <w:t>b</w:t>
      </w:r>
      <w:r w:rsidRPr="004C70EC">
        <w:rPr>
          <w:rFonts w:eastAsia="Times New Roman"/>
          <w:noProof/>
          <w:color w:val="000000" w:themeColor="text1"/>
        </w:rPr>
        <w:t xml:space="preserve">iotechnology </w:t>
      </w:r>
      <w:r w:rsidR="004A0827" w:rsidRPr="004C70EC">
        <w:rPr>
          <w:rFonts w:eastAsia="Times New Roman"/>
          <w:noProof/>
          <w:color w:val="000000" w:themeColor="text1"/>
        </w:rPr>
        <w:t>s</w:t>
      </w:r>
      <w:r w:rsidRPr="004C70EC">
        <w:rPr>
          <w:rFonts w:eastAsia="Times New Roman"/>
          <w:noProof/>
          <w:color w:val="000000" w:themeColor="text1"/>
        </w:rPr>
        <w:t xml:space="preserve">upport </w:t>
      </w:r>
      <w:r w:rsidR="004A0827" w:rsidRPr="004C70EC">
        <w:rPr>
          <w:rFonts w:eastAsia="Times New Roman"/>
          <w:noProof/>
          <w:color w:val="000000" w:themeColor="text1"/>
        </w:rPr>
        <w:t>n</w:t>
      </w:r>
      <w:r w:rsidRPr="004C70EC">
        <w:rPr>
          <w:rFonts w:eastAsia="Times New Roman"/>
          <w:noProof/>
          <w:color w:val="000000" w:themeColor="text1"/>
        </w:rPr>
        <w:t xml:space="preserve">etwork of national and regional antennas to support biotechnology projects and innovators </w:t>
      </w:r>
      <w:r w:rsidR="001E0E3A" w:rsidRPr="004C70EC">
        <w:rPr>
          <w:rFonts w:eastAsia="Times New Roman"/>
          <w:noProof/>
          <w:color w:val="000000" w:themeColor="text1"/>
        </w:rPr>
        <w:t>in</w:t>
      </w:r>
      <w:r w:rsidRPr="004C70EC">
        <w:rPr>
          <w:rFonts w:eastAsia="Times New Roman"/>
          <w:noProof/>
          <w:color w:val="000000" w:themeColor="text1"/>
        </w:rPr>
        <w:t xml:space="preserve"> </w:t>
      </w:r>
      <w:r w:rsidR="007932DD" w:rsidRPr="004C70EC">
        <w:rPr>
          <w:rFonts w:eastAsia="Times New Roman"/>
          <w:noProof/>
          <w:color w:val="000000" w:themeColor="text1"/>
        </w:rPr>
        <w:t>navigating</w:t>
      </w:r>
      <w:r w:rsidRPr="004C70EC">
        <w:rPr>
          <w:rFonts w:eastAsia="Times New Roman"/>
          <w:noProof/>
          <w:color w:val="000000" w:themeColor="text1"/>
        </w:rPr>
        <w:t xml:space="preserve"> </w:t>
      </w:r>
      <w:r w:rsidR="001E0E3A" w:rsidRPr="004C70EC">
        <w:rPr>
          <w:rFonts w:eastAsia="Times New Roman"/>
          <w:noProof/>
          <w:color w:val="000000" w:themeColor="text1"/>
        </w:rPr>
        <w:t>regulatory</w:t>
      </w:r>
      <w:r w:rsidR="65BAC933" w:rsidRPr="004C70EC">
        <w:rPr>
          <w:rFonts w:eastAsia="Times New Roman"/>
          <w:noProof/>
          <w:color w:val="000000" w:themeColor="text1"/>
        </w:rPr>
        <w:t xml:space="preserve"> procedural</w:t>
      </w:r>
      <w:r w:rsidR="001E0E3A" w:rsidRPr="004C70EC">
        <w:rPr>
          <w:rFonts w:eastAsia="Times New Roman"/>
          <w:noProof/>
          <w:color w:val="000000" w:themeColor="text1"/>
        </w:rPr>
        <w:t xml:space="preserve"> pathways </w:t>
      </w:r>
      <w:r w:rsidR="00586E3B" w:rsidRPr="004C70EC">
        <w:rPr>
          <w:rFonts w:eastAsia="Times New Roman"/>
          <w:noProof/>
          <w:color w:val="000000" w:themeColor="text1"/>
        </w:rPr>
        <w:t>relevant</w:t>
      </w:r>
      <w:r w:rsidR="00CF4B12" w:rsidRPr="004C70EC">
        <w:rPr>
          <w:rFonts w:eastAsia="Times New Roman"/>
          <w:noProof/>
          <w:color w:val="000000" w:themeColor="text1"/>
        </w:rPr>
        <w:t xml:space="preserve"> to health biotechnologies</w:t>
      </w:r>
      <w:r w:rsidR="001E0E3A" w:rsidRPr="004C70EC">
        <w:rPr>
          <w:rFonts w:eastAsia="Times New Roman"/>
          <w:noProof/>
          <w:color w:val="000000" w:themeColor="text1"/>
        </w:rPr>
        <w:t xml:space="preserve"> </w:t>
      </w:r>
      <w:r w:rsidR="007932DD" w:rsidRPr="004C70EC">
        <w:rPr>
          <w:rFonts w:eastAsia="Times New Roman"/>
          <w:noProof/>
          <w:color w:val="000000" w:themeColor="text1"/>
        </w:rPr>
        <w:t xml:space="preserve">and identifying </w:t>
      </w:r>
      <w:r w:rsidR="00262186" w:rsidRPr="004C70EC">
        <w:rPr>
          <w:rFonts w:eastAsia="Times New Roman"/>
          <w:noProof/>
          <w:color w:val="000000" w:themeColor="text1"/>
        </w:rPr>
        <w:t>opportunities for</w:t>
      </w:r>
      <w:r w:rsidRPr="004C70EC">
        <w:rPr>
          <w:rFonts w:eastAsia="Times New Roman"/>
          <w:noProof/>
          <w:color w:val="000000" w:themeColor="text1"/>
        </w:rPr>
        <w:t xml:space="preserve"> funding, scaling up and networking</w:t>
      </w:r>
      <w:r w:rsidR="004F7723" w:rsidRPr="004C70EC">
        <w:rPr>
          <w:rFonts w:eastAsia="Times New Roman"/>
          <w:noProof/>
          <w:color w:val="000000" w:themeColor="text1"/>
        </w:rPr>
        <w:t xml:space="preserve">, </w:t>
      </w:r>
      <w:r w:rsidR="004F7723" w:rsidRPr="004C70EC">
        <w:rPr>
          <w:rFonts w:eastAsiaTheme="minorEastAsia"/>
          <w:noProof/>
          <w:color w:val="000000" w:themeColor="text1"/>
          <w:lang w:eastAsia="ja-JP"/>
        </w:rPr>
        <w:t>leveraging</w:t>
      </w:r>
      <w:r w:rsidR="006C63F7" w:rsidRPr="004C70EC">
        <w:rPr>
          <w:rFonts w:eastAsiaTheme="minorEastAsia"/>
          <w:noProof/>
          <w:color w:val="000000" w:themeColor="text1"/>
          <w:lang w:eastAsia="ja-JP"/>
        </w:rPr>
        <w:t xml:space="preserve"> and complementing the activities of</w:t>
      </w:r>
      <w:r w:rsidR="004F7723" w:rsidRPr="004C70EC">
        <w:rPr>
          <w:rFonts w:eastAsiaTheme="minorEastAsia"/>
          <w:noProof/>
          <w:color w:val="000000" w:themeColor="text1"/>
          <w:lang w:eastAsia="ja-JP"/>
        </w:rPr>
        <w:t xml:space="preserve"> existing national and European networks that support SMEs</w:t>
      </w:r>
      <w:r w:rsidR="004F7723" w:rsidRPr="004C70EC">
        <w:rPr>
          <w:rFonts w:eastAsiaTheme="majorEastAsia"/>
          <w:noProof/>
          <w:color w:val="000000" w:themeColor="text1"/>
          <w:lang w:eastAsia="ja-JP"/>
        </w:rPr>
        <w:t>, start-ups and scale-ups,</w:t>
      </w:r>
      <w:r w:rsidR="004F7723" w:rsidRPr="004C70EC">
        <w:rPr>
          <w:rFonts w:eastAsiaTheme="minorEastAsia"/>
          <w:noProof/>
          <w:color w:val="000000" w:themeColor="text1"/>
          <w:lang w:eastAsia="ja-JP"/>
        </w:rPr>
        <w:t xml:space="preserve"> and innovators</w:t>
      </w:r>
      <w:r w:rsidR="644A50AC" w:rsidRPr="004C70EC">
        <w:rPr>
          <w:rFonts w:eastAsiaTheme="minorEastAsia"/>
          <w:noProof/>
          <w:color w:val="000000" w:themeColor="text1"/>
          <w:lang w:eastAsia="ja-JP"/>
        </w:rPr>
        <w:t>.</w:t>
      </w:r>
    </w:p>
    <w:p w14:paraId="6180FE3D" w14:textId="77777777" w:rsidR="00062C36" w:rsidRPr="004C70EC" w:rsidRDefault="00411780" w:rsidP="00062C36">
      <w:pPr>
        <w:spacing w:after="240"/>
        <w:rPr>
          <w:rFonts w:eastAsia="Times New Roman"/>
          <w:noProof/>
          <w:color w:val="000000" w:themeColor="text1"/>
        </w:rPr>
      </w:pPr>
      <w:r w:rsidRPr="004C70EC">
        <w:rPr>
          <w:rFonts w:eastAsia="Times New Roman"/>
          <w:noProof/>
          <w:color w:val="000000" w:themeColor="text1"/>
        </w:rPr>
        <w:t>Finally, t</w:t>
      </w:r>
      <w:r w:rsidR="00062C36" w:rsidRPr="004C70EC">
        <w:rPr>
          <w:rFonts w:eastAsia="Times New Roman"/>
          <w:noProof/>
          <w:color w:val="000000" w:themeColor="text1"/>
        </w:rPr>
        <w:t xml:space="preserve">his </w:t>
      </w:r>
      <w:r w:rsidR="001463D3" w:rsidRPr="004C70EC">
        <w:rPr>
          <w:rFonts w:eastAsia="Times New Roman"/>
          <w:noProof/>
          <w:color w:val="000000" w:themeColor="text1"/>
        </w:rPr>
        <w:t>C</w:t>
      </w:r>
      <w:r w:rsidR="00062C36" w:rsidRPr="004C70EC">
        <w:rPr>
          <w:rFonts w:eastAsia="Times New Roman"/>
          <w:noProof/>
          <w:color w:val="000000" w:themeColor="text1"/>
        </w:rPr>
        <w:t xml:space="preserve">hapter establishes the </w:t>
      </w:r>
      <w:r w:rsidR="00705E76" w:rsidRPr="004C70EC">
        <w:rPr>
          <w:rFonts w:eastAsia="Times New Roman"/>
          <w:noProof/>
          <w:color w:val="000000" w:themeColor="text1"/>
        </w:rPr>
        <w:t xml:space="preserve">European </w:t>
      </w:r>
      <w:r w:rsidR="5E02901A" w:rsidRPr="004C70EC">
        <w:rPr>
          <w:rFonts w:eastAsia="Times New Roman"/>
          <w:noProof/>
          <w:color w:val="000000" w:themeColor="text1"/>
        </w:rPr>
        <w:t>H</w:t>
      </w:r>
      <w:r w:rsidR="00705E76" w:rsidRPr="004C70EC">
        <w:rPr>
          <w:rFonts w:eastAsia="Times New Roman"/>
          <w:noProof/>
          <w:color w:val="000000" w:themeColor="text1"/>
        </w:rPr>
        <w:t xml:space="preserve">ealth </w:t>
      </w:r>
      <w:r w:rsidR="0A02D22A" w:rsidRPr="004C70EC">
        <w:rPr>
          <w:rFonts w:eastAsia="Times New Roman"/>
          <w:noProof/>
          <w:color w:val="000000" w:themeColor="text1"/>
        </w:rPr>
        <w:t>B</w:t>
      </w:r>
      <w:r w:rsidR="00062C36" w:rsidRPr="004C70EC">
        <w:rPr>
          <w:rFonts w:eastAsia="Times New Roman"/>
          <w:noProof/>
          <w:color w:val="000000" w:themeColor="text1"/>
        </w:rPr>
        <w:t xml:space="preserve">iotechnology </w:t>
      </w:r>
      <w:r w:rsidR="55B9FA11" w:rsidRPr="004C70EC">
        <w:rPr>
          <w:rFonts w:eastAsia="Times New Roman"/>
          <w:noProof/>
          <w:color w:val="000000" w:themeColor="text1"/>
        </w:rPr>
        <w:t>S</w:t>
      </w:r>
      <w:r w:rsidR="00062C36" w:rsidRPr="004C70EC">
        <w:rPr>
          <w:rFonts w:eastAsia="Times New Roman"/>
          <w:noProof/>
          <w:color w:val="000000" w:themeColor="text1"/>
        </w:rPr>
        <w:t xml:space="preserve">teering </w:t>
      </w:r>
      <w:r w:rsidR="6C889784" w:rsidRPr="004C70EC">
        <w:rPr>
          <w:rFonts w:eastAsia="Times New Roman"/>
          <w:noProof/>
          <w:color w:val="000000" w:themeColor="text1"/>
        </w:rPr>
        <w:t>G</w:t>
      </w:r>
      <w:r w:rsidR="00062C36" w:rsidRPr="004C70EC">
        <w:rPr>
          <w:rFonts w:eastAsia="Times New Roman"/>
          <w:noProof/>
          <w:color w:val="000000" w:themeColor="text1"/>
        </w:rPr>
        <w:t xml:space="preserve">roup, </w:t>
      </w:r>
      <w:r w:rsidR="00634771" w:rsidRPr="004C70EC">
        <w:rPr>
          <w:rFonts w:eastAsia="Times New Roman"/>
          <w:noProof/>
          <w:color w:val="000000" w:themeColor="text1"/>
        </w:rPr>
        <w:t xml:space="preserve">composed of representatives </w:t>
      </w:r>
      <w:r w:rsidR="00A845A5" w:rsidRPr="004C70EC">
        <w:rPr>
          <w:rFonts w:eastAsia="Times New Roman"/>
          <w:noProof/>
          <w:color w:val="000000" w:themeColor="text1"/>
        </w:rPr>
        <w:t>of Member States</w:t>
      </w:r>
      <w:r w:rsidR="00DA5BA6" w:rsidRPr="004C70EC">
        <w:rPr>
          <w:rFonts w:eastAsia="Times New Roman"/>
          <w:noProof/>
          <w:color w:val="000000" w:themeColor="text1"/>
        </w:rPr>
        <w:t xml:space="preserve"> and the Commission </w:t>
      </w:r>
      <w:r w:rsidR="00634771" w:rsidRPr="004C70EC">
        <w:rPr>
          <w:rFonts w:eastAsia="Times New Roman"/>
          <w:noProof/>
          <w:color w:val="000000" w:themeColor="text1"/>
        </w:rPr>
        <w:t xml:space="preserve">and </w:t>
      </w:r>
      <w:r w:rsidR="00062C36" w:rsidRPr="004C70EC">
        <w:rPr>
          <w:rFonts w:eastAsia="Times New Roman"/>
          <w:noProof/>
          <w:color w:val="000000" w:themeColor="text1"/>
        </w:rPr>
        <w:t>its tasks</w:t>
      </w:r>
      <w:r w:rsidR="00634771" w:rsidRPr="004C70EC">
        <w:rPr>
          <w:rFonts w:eastAsia="Times New Roman"/>
          <w:noProof/>
          <w:color w:val="000000" w:themeColor="text1"/>
        </w:rPr>
        <w:t>, which</w:t>
      </w:r>
      <w:r w:rsidR="00062C36" w:rsidRPr="004C70EC">
        <w:rPr>
          <w:rFonts w:eastAsia="Times New Roman"/>
          <w:noProof/>
          <w:color w:val="000000" w:themeColor="text1"/>
        </w:rPr>
        <w:t xml:space="preserve"> include facilitating communication among </w:t>
      </w:r>
      <w:r w:rsidR="000F4C8E" w:rsidRPr="004C70EC">
        <w:rPr>
          <w:rFonts w:eastAsia="Times New Roman"/>
          <w:noProof/>
          <w:color w:val="000000" w:themeColor="text1"/>
        </w:rPr>
        <w:t>M</w:t>
      </w:r>
      <w:r w:rsidR="00062C36" w:rsidRPr="004C70EC">
        <w:rPr>
          <w:rFonts w:eastAsia="Times New Roman"/>
          <w:noProof/>
          <w:color w:val="000000" w:themeColor="text1"/>
        </w:rPr>
        <w:t xml:space="preserve">ember </w:t>
      </w:r>
      <w:r w:rsidR="000F4C8E" w:rsidRPr="004C70EC">
        <w:rPr>
          <w:rFonts w:eastAsia="Times New Roman"/>
          <w:noProof/>
          <w:color w:val="000000" w:themeColor="text1"/>
        </w:rPr>
        <w:t>S</w:t>
      </w:r>
      <w:r w:rsidR="00062C36" w:rsidRPr="004C70EC">
        <w:rPr>
          <w:rFonts w:eastAsia="Times New Roman"/>
          <w:noProof/>
          <w:color w:val="000000" w:themeColor="text1"/>
        </w:rPr>
        <w:t>tates, the Commission, and various stakeholders to ensure biotechnology projects are recogni</w:t>
      </w:r>
      <w:r w:rsidR="36501477" w:rsidRPr="004C70EC">
        <w:rPr>
          <w:rFonts w:eastAsia="Times New Roman"/>
          <w:noProof/>
          <w:color w:val="000000" w:themeColor="text1"/>
        </w:rPr>
        <w:t>s</w:t>
      </w:r>
      <w:r w:rsidR="00062C36" w:rsidRPr="004C70EC">
        <w:rPr>
          <w:rFonts w:eastAsia="Times New Roman"/>
          <w:noProof/>
          <w:color w:val="000000" w:themeColor="text1"/>
        </w:rPr>
        <w:t>ed and implemented effectively</w:t>
      </w:r>
      <w:r w:rsidR="00634771" w:rsidRPr="004C70EC">
        <w:rPr>
          <w:rFonts w:eastAsia="Times New Roman"/>
          <w:noProof/>
          <w:color w:val="000000" w:themeColor="text1"/>
        </w:rPr>
        <w:t>.</w:t>
      </w:r>
    </w:p>
    <w:p w14:paraId="2CA64BF1" w14:textId="77777777" w:rsidR="00E934F2" w:rsidRPr="004C70EC" w:rsidRDefault="00E934F2">
      <w:pPr>
        <w:pBdr>
          <w:top w:val="nil"/>
          <w:left w:val="nil"/>
          <w:bottom w:val="nil"/>
          <w:right w:val="nil"/>
          <w:between w:val="nil"/>
          <w:bar w:val="nil"/>
        </w:pBdr>
        <w:spacing w:after="240"/>
        <w:rPr>
          <w:rFonts w:eastAsia="Times New Roman"/>
          <w:b/>
          <w:noProof/>
          <w:color w:val="000000" w:themeColor="text1"/>
          <w:szCs w:val="24"/>
          <w:lang w:eastAsia="en-GB"/>
        </w:rPr>
      </w:pPr>
      <w:r w:rsidRPr="004C70EC">
        <w:rPr>
          <w:rFonts w:eastAsia="Times New Roman"/>
          <w:b/>
          <w:noProof/>
          <w:color w:val="000000" w:themeColor="text1"/>
          <w:szCs w:val="24"/>
        </w:rPr>
        <w:t>Chapter I</w:t>
      </w:r>
      <w:r w:rsidR="00D006EF" w:rsidRPr="004C70EC">
        <w:rPr>
          <w:rFonts w:eastAsia="Times New Roman"/>
          <w:b/>
          <w:noProof/>
          <w:color w:val="000000" w:themeColor="text1"/>
          <w:szCs w:val="24"/>
        </w:rPr>
        <w:t>II</w:t>
      </w:r>
      <w:r w:rsidRPr="004C70EC">
        <w:rPr>
          <w:rFonts w:eastAsia="Times New Roman"/>
          <w:b/>
          <w:noProof/>
          <w:color w:val="000000" w:themeColor="text1"/>
          <w:szCs w:val="24"/>
        </w:rPr>
        <w:t xml:space="preserve"> – Access to </w:t>
      </w:r>
      <w:r w:rsidR="007C159D" w:rsidRPr="004C70EC">
        <w:rPr>
          <w:rFonts w:eastAsia="Times New Roman"/>
          <w:b/>
          <w:noProof/>
          <w:color w:val="000000" w:themeColor="text1"/>
          <w:szCs w:val="24"/>
        </w:rPr>
        <w:t>f</w:t>
      </w:r>
      <w:r w:rsidRPr="004C70EC">
        <w:rPr>
          <w:rFonts w:eastAsia="Times New Roman"/>
          <w:b/>
          <w:noProof/>
          <w:color w:val="000000" w:themeColor="text1"/>
          <w:szCs w:val="24"/>
        </w:rPr>
        <w:t>unding</w:t>
      </w:r>
    </w:p>
    <w:p w14:paraId="02BC37F8" w14:textId="01E29E56" w:rsidR="00E934F2" w:rsidRPr="004C70EC" w:rsidRDefault="00E934F2">
      <w:pPr>
        <w:pBdr>
          <w:top w:val="nil"/>
          <w:left w:val="nil"/>
          <w:bottom w:val="nil"/>
          <w:right w:val="nil"/>
          <w:between w:val="nil"/>
          <w:bar w:val="nil"/>
        </w:pBdr>
        <w:spacing w:after="240"/>
        <w:rPr>
          <w:rFonts w:eastAsia="Times New Roman"/>
          <w:noProof/>
          <w:color w:val="000000" w:themeColor="text1"/>
          <w:szCs w:val="24"/>
          <w:lang w:eastAsia="en-GB"/>
        </w:rPr>
      </w:pPr>
      <w:r w:rsidRPr="004C70EC">
        <w:rPr>
          <w:rFonts w:eastAsia="Times New Roman"/>
          <w:noProof/>
          <w:color w:val="000000" w:themeColor="text1"/>
          <w:szCs w:val="24"/>
        </w:rPr>
        <w:t xml:space="preserve">This Chapter establishes an EU </w:t>
      </w:r>
      <w:r w:rsidR="007C159D" w:rsidRPr="004C70EC">
        <w:rPr>
          <w:rFonts w:eastAsia="Times New Roman"/>
          <w:noProof/>
          <w:color w:val="000000" w:themeColor="text1"/>
          <w:szCs w:val="24"/>
        </w:rPr>
        <w:t>h</w:t>
      </w:r>
      <w:r w:rsidR="00D52E54" w:rsidRPr="004C70EC">
        <w:rPr>
          <w:rFonts w:eastAsia="Times New Roman"/>
          <w:noProof/>
          <w:color w:val="000000" w:themeColor="text1"/>
          <w:szCs w:val="24"/>
        </w:rPr>
        <w:t xml:space="preserve">ealth </w:t>
      </w:r>
      <w:r w:rsidR="007C159D" w:rsidRPr="004C70EC">
        <w:rPr>
          <w:rFonts w:eastAsia="Times New Roman"/>
          <w:noProof/>
          <w:color w:val="000000" w:themeColor="text1"/>
          <w:szCs w:val="24"/>
        </w:rPr>
        <w:t>b</w:t>
      </w:r>
      <w:r w:rsidRPr="004C70EC">
        <w:rPr>
          <w:rFonts w:eastAsia="Times New Roman"/>
          <w:noProof/>
          <w:color w:val="000000" w:themeColor="text1"/>
          <w:szCs w:val="24"/>
        </w:rPr>
        <w:t xml:space="preserve">iotechnology </w:t>
      </w:r>
      <w:r w:rsidR="007C159D" w:rsidRPr="004C70EC">
        <w:rPr>
          <w:rFonts w:eastAsia="Times New Roman"/>
          <w:noProof/>
          <w:color w:val="000000" w:themeColor="text1"/>
          <w:szCs w:val="24"/>
        </w:rPr>
        <w:t>i</w:t>
      </w:r>
      <w:r w:rsidRPr="004C70EC">
        <w:rPr>
          <w:rFonts w:eastAsia="Times New Roman"/>
          <w:noProof/>
          <w:color w:val="000000" w:themeColor="text1"/>
          <w:szCs w:val="24"/>
        </w:rPr>
        <w:t xml:space="preserve">nvestment </w:t>
      </w:r>
      <w:r>
        <w:rPr>
          <w:rFonts w:eastAsia="Times New Roman"/>
          <w:noProof/>
          <w:color w:val="000000" w:themeColor="text1"/>
          <w:szCs w:val="24"/>
        </w:rPr>
        <w:t>pilot</w:t>
      </w:r>
      <w:r w:rsidRPr="004C70EC">
        <w:rPr>
          <w:rFonts w:eastAsia="Times New Roman"/>
          <w:noProof/>
          <w:color w:val="000000" w:themeColor="text1"/>
          <w:szCs w:val="24"/>
        </w:rPr>
        <w:t xml:space="preserve"> in partnership with the European Investment Bank Group</w:t>
      </w:r>
      <w:r w:rsidR="00BA56BE" w:rsidRPr="004C70EC">
        <w:rPr>
          <w:rFonts w:eastAsia="Times New Roman"/>
          <w:noProof/>
          <w:color w:val="000000" w:themeColor="text1"/>
          <w:szCs w:val="24"/>
        </w:rPr>
        <w:t xml:space="preserve"> </w:t>
      </w:r>
      <w:r w:rsidR="00BA56BE" w:rsidRPr="004C70EC">
        <w:rPr>
          <w:rFonts w:eastAsia="Times New Roman"/>
          <w:noProof/>
          <w:color w:val="000000" w:themeColor="text1"/>
        </w:rPr>
        <w:t>and other implementing partners</w:t>
      </w:r>
      <w:r w:rsidRPr="004C70EC">
        <w:rPr>
          <w:rFonts w:eastAsia="Times New Roman"/>
          <w:noProof/>
          <w:color w:val="000000" w:themeColor="text1"/>
          <w:szCs w:val="24"/>
        </w:rPr>
        <w:t xml:space="preserve">, </w:t>
      </w:r>
      <w:r w:rsidR="007C159D" w:rsidRPr="004C70EC">
        <w:rPr>
          <w:rFonts w:eastAsia="Times New Roman"/>
          <w:noProof/>
          <w:color w:val="000000" w:themeColor="text1"/>
          <w:szCs w:val="24"/>
        </w:rPr>
        <w:t>which bring</w:t>
      </w:r>
      <w:r w:rsidR="00326440" w:rsidRPr="004C70EC">
        <w:rPr>
          <w:rFonts w:eastAsia="Times New Roman"/>
          <w:noProof/>
          <w:color w:val="000000" w:themeColor="text1"/>
          <w:szCs w:val="24"/>
        </w:rPr>
        <w:t>s together</w:t>
      </w:r>
      <w:r w:rsidRPr="004C70EC">
        <w:rPr>
          <w:rFonts w:eastAsia="Times New Roman"/>
          <w:noProof/>
          <w:color w:val="000000" w:themeColor="text1"/>
          <w:szCs w:val="24"/>
        </w:rPr>
        <w:t xml:space="preserve"> equity instruments </w:t>
      </w:r>
      <w:r w:rsidR="00326440" w:rsidRPr="004C70EC">
        <w:rPr>
          <w:rFonts w:eastAsia="Times New Roman"/>
          <w:noProof/>
          <w:color w:val="000000" w:themeColor="text1"/>
          <w:szCs w:val="24"/>
        </w:rPr>
        <w:t>and</w:t>
      </w:r>
      <w:r w:rsidRPr="004C70EC">
        <w:rPr>
          <w:rFonts w:eastAsia="Times New Roman"/>
          <w:noProof/>
          <w:color w:val="000000" w:themeColor="text1"/>
          <w:szCs w:val="24"/>
        </w:rPr>
        <w:t xml:space="preserve"> venture-style debt tailored to biotechnology-specific risk profiles</w:t>
      </w:r>
      <w:r w:rsidR="00E35D85" w:rsidRPr="004C70EC">
        <w:rPr>
          <w:rFonts w:eastAsia="Times New Roman"/>
          <w:noProof/>
          <w:color w:val="000000" w:themeColor="text1"/>
          <w:szCs w:val="24"/>
        </w:rPr>
        <w:t>, in order</w:t>
      </w:r>
      <w:r w:rsidRPr="004C70EC">
        <w:rPr>
          <w:rFonts w:eastAsia="Times New Roman"/>
          <w:noProof/>
          <w:color w:val="000000" w:themeColor="text1"/>
          <w:szCs w:val="24"/>
        </w:rPr>
        <w:t xml:space="preserve"> to mobilise private investment into the sector. Projects contributing to an EU </w:t>
      </w:r>
      <w:r w:rsidR="00D52E54" w:rsidRPr="004C70EC">
        <w:rPr>
          <w:rFonts w:eastAsia="Times New Roman"/>
          <w:noProof/>
          <w:color w:val="000000" w:themeColor="text1"/>
          <w:szCs w:val="24"/>
        </w:rPr>
        <w:t>l</w:t>
      </w:r>
      <w:r w:rsidR="00B72EF0" w:rsidRPr="004C70EC">
        <w:rPr>
          <w:rFonts w:eastAsia="Times New Roman"/>
          <w:noProof/>
          <w:color w:val="000000" w:themeColor="text1"/>
          <w:szCs w:val="24"/>
        </w:rPr>
        <w:t>ate</w:t>
      </w:r>
      <w:r w:rsidR="00D52E54" w:rsidRPr="004C70EC">
        <w:rPr>
          <w:rFonts w:eastAsia="Times New Roman"/>
          <w:noProof/>
          <w:color w:val="000000" w:themeColor="text1"/>
          <w:szCs w:val="24"/>
        </w:rPr>
        <w:t>-s</w:t>
      </w:r>
      <w:r w:rsidR="00B72EF0" w:rsidRPr="004C70EC">
        <w:rPr>
          <w:rFonts w:eastAsia="Times New Roman"/>
          <w:noProof/>
          <w:color w:val="000000" w:themeColor="text1"/>
          <w:szCs w:val="24"/>
        </w:rPr>
        <w:t xml:space="preserve">tage Capital Booster </w:t>
      </w:r>
      <w:r w:rsidRPr="004C70EC">
        <w:rPr>
          <w:rFonts w:eastAsia="Times New Roman"/>
          <w:noProof/>
          <w:color w:val="000000" w:themeColor="text1"/>
          <w:szCs w:val="24"/>
        </w:rPr>
        <w:t xml:space="preserve">Pilot will be recognised by the Commission as high-impact </w:t>
      </w:r>
      <w:r w:rsidR="009733F1" w:rsidRPr="004C70EC">
        <w:rPr>
          <w:rFonts w:eastAsia="Times New Roman"/>
          <w:noProof/>
          <w:color w:val="000000" w:themeColor="text1"/>
          <w:szCs w:val="24"/>
        </w:rPr>
        <w:t xml:space="preserve">strategic </w:t>
      </w:r>
      <w:r w:rsidR="006176F2" w:rsidRPr="004C70EC">
        <w:rPr>
          <w:rFonts w:eastAsia="Times New Roman"/>
          <w:noProof/>
          <w:color w:val="000000" w:themeColor="text1"/>
          <w:szCs w:val="24"/>
        </w:rPr>
        <w:t xml:space="preserve">health </w:t>
      </w:r>
      <w:r w:rsidRPr="004C70EC">
        <w:rPr>
          <w:rFonts w:eastAsia="Times New Roman"/>
          <w:noProof/>
          <w:color w:val="000000" w:themeColor="text1"/>
          <w:szCs w:val="24"/>
        </w:rPr>
        <w:t xml:space="preserve">biotechnology projects. </w:t>
      </w:r>
      <w:r w:rsidR="00312F8C" w:rsidRPr="004C70EC">
        <w:rPr>
          <w:rFonts w:eastAsia="Times New Roman"/>
          <w:noProof/>
          <w:color w:val="000000" w:themeColor="text1"/>
        </w:rPr>
        <w:t>Companies, projects and initiatives falling within the scope of this Regulation may be considered for Union and Member State financial support, in line with applicable State aid rules.</w:t>
      </w:r>
    </w:p>
    <w:p w14:paraId="09BBC94A" w14:textId="77777777" w:rsidR="00C8309B" w:rsidRPr="004C70EC" w:rsidRDefault="00E934F2">
      <w:pPr>
        <w:pBdr>
          <w:top w:val="nil"/>
          <w:left w:val="nil"/>
          <w:bottom w:val="nil"/>
          <w:right w:val="nil"/>
          <w:between w:val="nil"/>
          <w:bar w:val="nil"/>
        </w:pBdr>
        <w:spacing w:after="240"/>
        <w:rPr>
          <w:rFonts w:eastAsia="Times New Roman"/>
          <w:b/>
          <w:noProof/>
          <w:color w:val="000000" w:themeColor="text1"/>
          <w:szCs w:val="24"/>
        </w:rPr>
      </w:pPr>
      <w:r w:rsidRPr="004C70EC">
        <w:rPr>
          <w:rFonts w:eastAsia="Times New Roman"/>
          <w:b/>
          <w:noProof/>
          <w:color w:val="000000" w:themeColor="text1"/>
          <w:szCs w:val="24"/>
        </w:rPr>
        <w:t xml:space="preserve">Chapter </w:t>
      </w:r>
      <w:r w:rsidR="00D006EF" w:rsidRPr="004C70EC">
        <w:rPr>
          <w:rFonts w:eastAsia="Times New Roman"/>
          <w:b/>
          <w:noProof/>
          <w:color w:val="000000" w:themeColor="text1"/>
          <w:szCs w:val="24"/>
        </w:rPr>
        <w:t>I</w:t>
      </w:r>
      <w:r w:rsidRPr="004C70EC">
        <w:rPr>
          <w:rFonts w:eastAsia="Times New Roman"/>
          <w:b/>
          <w:noProof/>
          <w:color w:val="000000" w:themeColor="text1"/>
          <w:szCs w:val="24"/>
        </w:rPr>
        <w:t xml:space="preserve">V – </w:t>
      </w:r>
      <w:r w:rsidR="00C8309B" w:rsidRPr="004C70EC">
        <w:rPr>
          <w:rFonts w:eastAsia="Times New Roman"/>
          <w:b/>
          <w:noProof/>
          <w:color w:val="000000" w:themeColor="text1"/>
          <w:szCs w:val="24"/>
        </w:rPr>
        <w:t xml:space="preserve">Extension of the </w:t>
      </w:r>
      <w:r w:rsidR="009F1EA9" w:rsidRPr="004C70EC">
        <w:rPr>
          <w:rFonts w:eastAsia="Times New Roman"/>
          <w:b/>
          <w:noProof/>
          <w:color w:val="000000" w:themeColor="text1"/>
          <w:szCs w:val="24"/>
        </w:rPr>
        <w:t>s</w:t>
      </w:r>
      <w:r w:rsidR="00C8309B" w:rsidRPr="004C70EC">
        <w:rPr>
          <w:rFonts w:eastAsia="Times New Roman"/>
          <w:b/>
          <w:noProof/>
          <w:color w:val="000000" w:themeColor="text1"/>
          <w:szCs w:val="24"/>
        </w:rPr>
        <w:t>uppleme</w:t>
      </w:r>
      <w:r w:rsidR="00C11B0D" w:rsidRPr="004C70EC">
        <w:rPr>
          <w:rFonts w:eastAsia="Times New Roman"/>
          <w:b/>
          <w:noProof/>
          <w:color w:val="000000" w:themeColor="text1"/>
          <w:szCs w:val="24"/>
        </w:rPr>
        <w:t>n</w:t>
      </w:r>
      <w:r w:rsidR="00C8309B" w:rsidRPr="004C70EC">
        <w:rPr>
          <w:rFonts w:eastAsia="Times New Roman"/>
          <w:b/>
          <w:noProof/>
          <w:color w:val="000000" w:themeColor="text1"/>
          <w:szCs w:val="24"/>
        </w:rPr>
        <w:t xml:space="preserve">tary protection </w:t>
      </w:r>
      <w:r w:rsidR="009F1EA9" w:rsidRPr="004C70EC">
        <w:rPr>
          <w:rFonts w:eastAsia="Times New Roman"/>
          <w:b/>
          <w:noProof/>
          <w:color w:val="000000" w:themeColor="text1"/>
          <w:szCs w:val="24"/>
        </w:rPr>
        <w:t>c</w:t>
      </w:r>
      <w:r w:rsidR="00C8309B" w:rsidRPr="004C70EC">
        <w:rPr>
          <w:rFonts w:eastAsia="Times New Roman"/>
          <w:b/>
          <w:noProof/>
          <w:color w:val="000000" w:themeColor="text1"/>
          <w:szCs w:val="24"/>
        </w:rPr>
        <w:t>ertificate</w:t>
      </w:r>
    </w:p>
    <w:p w14:paraId="0425C51A" w14:textId="77777777" w:rsidR="00C8309B" w:rsidRPr="004C70EC" w:rsidRDefault="00170C50" w:rsidP="642D1666">
      <w:pPr>
        <w:pBdr>
          <w:top w:val="nil"/>
          <w:left w:val="nil"/>
          <w:bottom w:val="nil"/>
          <w:right w:val="nil"/>
          <w:between w:val="nil"/>
          <w:bar w:val="nil"/>
        </w:pBdr>
        <w:spacing w:after="240"/>
        <w:rPr>
          <w:rFonts w:eastAsia="Times New Roman"/>
          <w:noProof/>
          <w:color w:val="000000" w:themeColor="text1"/>
          <w:u w:val="single"/>
        </w:rPr>
      </w:pPr>
      <w:r w:rsidRPr="004C70EC">
        <w:rPr>
          <w:rFonts w:eastAsia="Times New Roman"/>
          <w:noProof/>
          <w:color w:val="000000" w:themeColor="text1"/>
        </w:rPr>
        <w:t>This chapter introduce</w:t>
      </w:r>
      <w:r w:rsidR="5F0F1D2F" w:rsidRPr="004C70EC">
        <w:rPr>
          <w:rFonts w:eastAsia="Times New Roman"/>
          <w:noProof/>
          <w:color w:val="000000" w:themeColor="text1"/>
        </w:rPr>
        <w:t>s</w:t>
      </w:r>
      <w:r w:rsidRPr="004C70EC">
        <w:rPr>
          <w:rFonts w:eastAsia="Times New Roman"/>
          <w:noProof/>
          <w:color w:val="000000" w:themeColor="text1"/>
        </w:rPr>
        <w:t xml:space="preserve"> an extension of 12</w:t>
      </w:r>
      <w:r w:rsidR="004E47CE" w:rsidRPr="004C70EC">
        <w:rPr>
          <w:rFonts w:eastAsia="Times New Roman"/>
          <w:noProof/>
          <w:color w:val="000000" w:themeColor="text1"/>
        </w:rPr>
        <w:t xml:space="preserve"> </w:t>
      </w:r>
      <w:r w:rsidR="00381E11" w:rsidRPr="004C70EC">
        <w:rPr>
          <w:rFonts w:eastAsia="Times New Roman"/>
          <w:noProof/>
          <w:color w:val="000000" w:themeColor="text1"/>
        </w:rPr>
        <w:t xml:space="preserve">months of </w:t>
      </w:r>
      <w:r w:rsidR="0058165C" w:rsidRPr="004C70EC">
        <w:rPr>
          <w:rFonts w:eastAsia="Times New Roman"/>
          <w:noProof/>
          <w:color w:val="000000" w:themeColor="text1"/>
        </w:rPr>
        <w:t xml:space="preserve">the Supplementary Protection </w:t>
      </w:r>
      <w:r w:rsidR="0054399B" w:rsidRPr="004C70EC">
        <w:rPr>
          <w:rFonts w:eastAsia="Times New Roman"/>
          <w:noProof/>
          <w:color w:val="000000" w:themeColor="text1"/>
        </w:rPr>
        <w:t>C</w:t>
      </w:r>
      <w:r w:rsidR="0058165C" w:rsidRPr="004C70EC">
        <w:rPr>
          <w:rFonts w:eastAsia="Times New Roman"/>
          <w:noProof/>
          <w:color w:val="000000" w:themeColor="text1"/>
        </w:rPr>
        <w:t xml:space="preserve">ertificate (SPC) for </w:t>
      </w:r>
      <w:r w:rsidR="00FE1A03" w:rsidRPr="004C70EC">
        <w:rPr>
          <w:rFonts w:eastAsia="Times New Roman"/>
          <w:noProof/>
          <w:color w:val="000000" w:themeColor="text1"/>
        </w:rPr>
        <w:t xml:space="preserve">medicinal products </w:t>
      </w:r>
      <w:r w:rsidR="00655456" w:rsidRPr="004C70EC">
        <w:rPr>
          <w:rFonts w:eastAsia="Times New Roman"/>
          <w:noProof/>
          <w:color w:val="000000" w:themeColor="text1"/>
        </w:rPr>
        <w:t xml:space="preserve">developed by means of biotechnology </w:t>
      </w:r>
      <w:r w:rsidR="00584783" w:rsidRPr="004C70EC">
        <w:rPr>
          <w:rFonts w:eastAsia="Times New Roman"/>
          <w:noProof/>
          <w:color w:val="000000" w:themeColor="text1"/>
        </w:rPr>
        <w:t xml:space="preserve">processes and for Advanced </w:t>
      </w:r>
      <w:r w:rsidR="0077740F" w:rsidRPr="004C70EC">
        <w:rPr>
          <w:rFonts w:eastAsia="Times New Roman"/>
          <w:noProof/>
          <w:color w:val="000000" w:themeColor="text1"/>
        </w:rPr>
        <w:t>Therapy Medicinal Products</w:t>
      </w:r>
      <w:r w:rsidR="00C34E0C" w:rsidRPr="004C70EC">
        <w:rPr>
          <w:rFonts w:eastAsia="Times New Roman"/>
          <w:noProof/>
          <w:color w:val="000000" w:themeColor="text1"/>
        </w:rPr>
        <w:t>.</w:t>
      </w:r>
      <w:r w:rsidR="00D667A5" w:rsidRPr="004C70EC">
        <w:rPr>
          <w:rFonts w:eastAsia="Times New Roman"/>
          <w:noProof/>
          <w:color w:val="000000" w:themeColor="text1"/>
        </w:rPr>
        <w:t xml:space="preserve"> </w:t>
      </w:r>
      <w:r w:rsidR="002D00D4" w:rsidRPr="004C70EC">
        <w:rPr>
          <w:rFonts w:eastAsia="Times New Roman"/>
          <w:noProof/>
          <w:color w:val="000000" w:themeColor="text1"/>
        </w:rPr>
        <w:t>This</w:t>
      </w:r>
      <w:r w:rsidR="00D667A5" w:rsidRPr="004C70EC">
        <w:rPr>
          <w:rFonts w:eastAsia="Times New Roman"/>
          <w:noProof/>
          <w:color w:val="000000" w:themeColor="text1"/>
        </w:rPr>
        <w:t xml:space="preserve"> provision aims at </w:t>
      </w:r>
      <w:r w:rsidR="001312A6" w:rsidRPr="004C70EC">
        <w:rPr>
          <w:rFonts w:eastAsia="Times New Roman"/>
          <w:noProof/>
          <w:color w:val="000000" w:themeColor="text1"/>
        </w:rPr>
        <w:t>incentivising</w:t>
      </w:r>
      <w:r w:rsidR="00D667A5" w:rsidRPr="004C70EC">
        <w:rPr>
          <w:rFonts w:eastAsia="Times New Roman"/>
          <w:noProof/>
          <w:color w:val="000000" w:themeColor="text1"/>
        </w:rPr>
        <w:t xml:space="preserve"> the development of products </w:t>
      </w:r>
      <w:r w:rsidR="00B05054" w:rsidRPr="004C70EC">
        <w:rPr>
          <w:rFonts w:eastAsia="Times New Roman"/>
          <w:noProof/>
          <w:color w:val="000000" w:themeColor="text1"/>
        </w:rPr>
        <w:t xml:space="preserve">developed with innovative biotechnology technologies </w:t>
      </w:r>
      <w:r w:rsidR="00176581" w:rsidRPr="004C70EC">
        <w:rPr>
          <w:rFonts w:eastAsia="Times New Roman"/>
          <w:noProof/>
          <w:color w:val="000000" w:themeColor="text1"/>
        </w:rPr>
        <w:t>which will bring</w:t>
      </w:r>
      <w:r w:rsidR="00A32E81" w:rsidRPr="004C70EC">
        <w:rPr>
          <w:rFonts w:eastAsia="Times New Roman"/>
          <w:noProof/>
          <w:color w:val="000000" w:themeColor="text1"/>
        </w:rPr>
        <w:t xml:space="preserve"> a therapeutic advantage to patient</w:t>
      </w:r>
      <w:r w:rsidR="00110EE9" w:rsidRPr="004C70EC">
        <w:rPr>
          <w:rFonts w:eastAsia="Times New Roman"/>
          <w:noProof/>
          <w:color w:val="000000" w:themeColor="text1"/>
        </w:rPr>
        <w:t>s</w:t>
      </w:r>
      <w:r w:rsidR="00A32E81" w:rsidRPr="004C70EC">
        <w:rPr>
          <w:rFonts w:eastAsia="Times New Roman"/>
          <w:noProof/>
          <w:color w:val="000000" w:themeColor="text1"/>
        </w:rPr>
        <w:t xml:space="preserve">. This </w:t>
      </w:r>
      <w:r w:rsidR="004829A6" w:rsidRPr="004C70EC">
        <w:rPr>
          <w:rFonts w:eastAsia="Times New Roman"/>
          <w:noProof/>
          <w:color w:val="000000" w:themeColor="text1"/>
        </w:rPr>
        <w:t>incentive</w:t>
      </w:r>
      <w:r w:rsidR="00A32E81" w:rsidRPr="004C70EC">
        <w:rPr>
          <w:rFonts w:eastAsia="Times New Roman"/>
          <w:noProof/>
          <w:color w:val="000000" w:themeColor="text1"/>
        </w:rPr>
        <w:t xml:space="preserve"> will also support the </w:t>
      </w:r>
      <w:r w:rsidR="004829A6" w:rsidRPr="004C70EC">
        <w:rPr>
          <w:rFonts w:eastAsia="Times New Roman"/>
          <w:noProof/>
          <w:color w:val="000000" w:themeColor="text1"/>
        </w:rPr>
        <w:t>clinical development and the manufacturing of these products in the Union</w:t>
      </w:r>
      <w:r w:rsidR="2FEBB65E" w:rsidRPr="004C70EC">
        <w:rPr>
          <w:rFonts w:eastAsia="Times New Roman"/>
          <w:noProof/>
          <w:color w:val="000000" w:themeColor="text1"/>
        </w:rPr>
        <w:t>, subject to compliance with applicable competition rules</w:t>
      </w:r>
      <w:r w:rsidR="00FB68C6" w:rsidRPr="004C70EC">
        <w:rPr>
          <w:rFonts w:eastAsia="Times New Roman"/>
          <w:noProof/>
          <w:color w:val="000000" w:themeColor="text1"/>
        </w:rPr>
        <w:t>.</w:t>
      </w:r>
    </w:p>
    <w:p w14:paraId="380716CE" w14:textId="77777777" w:rsidR="00E934F2" w:rsidRPr="004C70EC" w:rsidRDefault="00C8309B">
      <w:pPr>
        <w:pBdr>
          <w:top w:val="nil"/>
          <w:left w:val="nil"/>
          <w:bottom w:val="nil"/>
          <w:right w:val="nil"/>
          <w:between w:val="nil"/>
          <w:bar w:val="nil"/>
        </w:pBdr>
        <w:spacing w:after="240"/>
        <w:rPr>
          <w:rFonts w:eastAsia="Times New Roman"/>
          <w:b/>
          <w:noProof/>
          <w:color w:val="000000" w:themeColor="text1"/>
          <w:szCs w:val="24"/>
          <w:lang w:eastAsia="en-GB"/>
        </w:rPr>
      </w:pPr>
      <w:r w:rsidRPr="004C70EC">
        <w:rPr>
          <w:rFonts w:eastAsia="Times New Roman"/>
          <w:b/>
          <w:noProof/>
          <w:color w:val="000000" w:themeColor="text1"/>
          <w:szCs w:val="24"/>
        </w:rPr>
        <w:t xml:space="preserve">Chapter V - </w:t>
      </w:r>
      <w:r w:rsidR="004A1163" w:rsidRPr="004C70EC">
        <w:rPr>
          <w:rFonts w:eastAsia="Times New Roman"/>
          <w:b/>
          <w:noProof/>
          <w:color w:val="000000" w:themeColor="text1"/>
          <w:szCs w:val="24"/>
        </w:rPr>
        <w:t>Enhancing</w:t>
      </w:r>
      <w:r w:rsidR="00FA4E60" w:rsidRPr="004C70EC">
        <w:rPr>
          <w:rFonts w:eastAsia="Times New Roman"/>
          <w:b/>
          <w:noProof/>
          <w:color w:val="000000" w:themeColor="text1"/>
          <w:szCs w:val="24"/>
        </w:rPr>
        <w:t xml:space="preserve"> c</w:t>
      </w:r>
      <w:r w:rsidR="00E934F2" w:rsidRPr="004C70EC">
        <w:rPr>
          <w:rFonts w:eastAsia="Times New Roman"/>
          <w:b/>
          <w:noProof/>
          <w:color w:val="000000" w:themeColor="text1"/>
          <w:szCs w:val="24"/>
        </w:rPr>
        <w:t xml:space="preserve">ompetitiveness in </w:t>
      </w:r>
      <w:r w:rsidR="00FA4E60" w:rsidRPr="004C70EC">
        <w:rPr>
          <w:rFonts w:eastAsia="Times New Roman"/>
          <w:b/>
          <w:noProof/>
          <w:color w:val="000000" w:themeColor="text1"/>
          <w:szCs w:val="24"/>
        </w:rPr>
        <w:t>b</w:t>
      </w:r>
      <w:r w:rsidR="00E934F2" w:rsidRPr="004C70EC">
        <w:rPr>
          <w:rFonts w:eastAsia="Times New Roman"/>
          <w:b/>
          <w:noProof/>
          <w:color w:val="000000" w:themeColor="text1"/>
          <w:szCs w:val="24"/>
        </w:rPr>
        <w:t>iosimilars</w:t>
      </w:r>
    </w:p>
    <w:p w14:paraId="0302B968" w14:textId="77777777" w:rsidR="00E934F2" w:rsidRPr="004C70EC" w:rsidRDefault="00E934F2">
      <w:pPr>
        <w:pBdr>
          <w:top w:val="nil"/>
          <w:left w:val="nil"/>
          <w:bottom w:val="nil"/>
          <w:right w:val="nil"/>
          <w:between w:val="nil"/>
          <w:bar w:val="nil"/>
        </w:pBdr>
        <w:spacing w:after="240"/>
        <w:rPr>
          <w:rFonts w:eastAsia="Times New Roman"/>
          <w:b/>
          <w:noProof/>
          <w:color w:val="000000" w:themeColor="text1"/>
          <w:lang w:eastAsia="en-GB"/>
        </w:rPr>
      </w:pPr>
      <w:r w:rsidRPr="004C70EC">
        <w:rPr>
          <w:rFonts w:eastAsia="Times New Roman"/>
          <w:noProof/>
          <w:color w:val="000000" w:themeColor="text1"/>
        </w:rPr>
        <w:t xml:space="preserve">This </w:t>
      </w:r>
      <w:r w:rsidR="00FA4E60" w:rsidRPr="004C70EC">
        <w:rPr>
          <w:rFonts w:eastAsia="Times New Roman"/>
          <w:noProof/>
          <w:color w:val="000000" w:themeColor="text1"/>
        </w:rPr>
        <w:t>C</w:t>
      </w:r>
      <w:r w:rsidRPr="004C70EC">
        <w:rPr>
          <w:rFonts w:eastAsia="Times New Roman"/>
          <w:noProof/>
          <w:color w:val="000000" w:themeColor="text1"/>
        </w:rPr>
        <w:t>hapter supports EU competitiveness in the field of biosimilars by encouraging the development of EMA guidelines on facilitating the authorisation of biosimilar medicinal products. Th</w:t>
      </w:r>
      <w:r w:rsidR="00FA4E60" w:rsidRPr="004C70EC">
        <w:rPr>
          <w:rFonts w:eastAsia="Times New Roman"/>
          <w:noProof/>
          <w:color w:val="000000" w:themeColor="text1"/>
        </w:rPr>
        <w:t>is</w:t>
      </w:r>
      <w:r w:rsidRPr="004C70EC">
        <w:rPr>
          <w:rFonts w:eastAsia="Times New Roman"/>
          <w:noProof/>
          <w:color w:val="000000" w:themeColor="text1"/>
        </w:rPr>
        <w:t xml:space="preserve"> </w:t>
      </w:r>
      <w:r w:rsidR="00FA4E60" w:rsidRPr="004C70EC">
        <w:rPr>
          <w:rFonts w:eastAsia="Times New Roman"/>
          <w:noProof/>
          <w:color w:val="000000" w:themeColor="text1"/>
        </w:rPr>
        <w:t>C</w:t>
      </w:r>
      <w:r w:rsidRPr="004C70EC">
        <w:rPr>
          <w:rFonts w:eastAsia="Times New Roman"/>
          <w:noProof/>
          <w:color w:val="000000" w:themeColor="text1"/>
        </w:rPr>
        <w:t xml:space="preserve">hapter </w:t>
      </w:r>
      <w:r w:rsidR="00FA4E60" w:rsidRPr="004C70EC">
        <w:rPr>
          <w:rFonts w:eastAsia="Times New Roman"/>
          <w:noProof/>
          <w:color w:val="000000" w:themeColor="text1"/>
        </w:rPr>
        <w:t xml:space="preserve">also </w:t>
      </w:r>
      <w:r w:rsidRPr="004C70EC">
        <w:rPr>
          <w:rFonts w:eastAsia="Times New Roman"/>
          <w:noProof/>
          <w:color w:val="000000" w:themeColor="text1"/>
        </w:rPr>
        <w:t xml:space="preserve">includes measures supporting </w:t>
      </w:r>
      <w:r w:rsidR="00A20356" w:rsidRPr="004C70EC">
        <w:rPr>
          <w:rFonts w:eastAsia="Times New Roman"/>
          <w:noProof/>
          <w:color w:val="000000" w:themeColor="text1"/>
        </w:rPr>
        <w:t xml:space="preserve">strategic </w:t>
      </w:r>
      <w:r w:rsidR="006176F2" w:rsidRPr="004C70EC">
        <w:rPr>
          <w:rFonts w:eastAsia="Times New Roman"/>
          <w:noProof/>
          <w:color w:val="000000" w:themeColor="text1"/>
        </w:rPr>
        <w:t xml:space="preserve">health </w:t>
      </w:r>
      <w:r w:rsidRPr="004C70EC">
        <w:rPr>
          <w:rFonts w:eastAsia="Times New Roman"/>
          <w:noProof/>
          <w:color w:val="000000" w:themeColor="text1"/>
        </w:rPr>
        <w:t xml:space="preserve">biotechnology </w:t>
      </w:r>
      <w:r w:rsidR="00A20356" w:rsidRPr="004C70EC">
        <w:rPr>
          <w:rFonts w:eastAsia="Times New Roman"/>
          <w:noProof/>
          <w:color w:val="000000" w:themeColor="text1"/>
        </w:rPr>
        <w:t>p</w:t>
      </w:r>
      <w:r w:rsidRPr="004C70EC">
        <w:rPr>
          <w:rFonts w:eastAsia="Times New Roman"/>
          <w:noProof/>
          <w:color w:val="000000" w:themeColor="text1"/>
        </w:rPr>
        <w:t>rojects focused on biosimilar research, development, manufacturing</w:t>
      </w:r>
      <w:r w:rsidRPr="004C70EC" w:rsidDel="00296B46">
        <w:rPr>
          <w:rFonts w:eastAsia="Times New Roman"/>
          <w:noProof/>
          <w:color w:val="000000" w:themeColor="text1"/>
        </w:rPr>
        <w:t xml:space="preserve"> and marketing authorisation</w:t>
      </w:r>
      <w:r w:rsidRPr="004C70EC">
        <w:rPr>
          <w:rFonts w:eastAsia="Times New Roman"/>
          <w:noProof/>
          <w:color w:val="000000" w:themeColor="text1"/>
        </w:rPr>
        <w:t xml:space="preserve"> and promotes international cooperation </w:t>
      </w:r>
      <w:r w:rsidR="00A20356" w:rsidRPr="004C70EC">
        <w:rPr>
          <w:rFonts w:eastAsia="Times New Roman"/>
          <w:noProof/>
          <w:color w:val="000000" w:themeColor="text1"/>
        </w:rPr>
        <w:t xml:space="preserve">between </w:t>
      </w:r>
      <w:r w:rsidRPr="004C70EC">
        <w:rPr>
          <w:rFonts w:eastAsia="Times New Roman"/>
          <w:noProof/>
          <w:color w:val="000000" w:themeColor="text1"/>
        </w:rPr>
        <w:t>economic operators and biotechnology clusters in this area</w:t>
      </w:r>
      <w:r w:rsidR="00785842" w:rsidRPr="004C70EC">
        <w:rPr>
          <w:rFonts w:eastAsia="Times New Roman"/>
          <w:noProof/>
          <w:color w:val="000000" w:themeColor="text1"/>
        </w:rPr>
        <w:t>, subject to compliance with applicable competition rules.</w:t>
      </w:r>
      <w:r w:rsidRPr="004C70EC">
        <w:rPr>
          <w:rFonts w:eastAsia="Times New Roman"/>
          <w:noProof/>
          <w:color w:val="000000" w:themeColor="text1"/>
        </w:rPr>
        <w:t xml:space="preserve"> </w:t>
      </w:r>
      <w:r w:rsidR="06DAB6F4" w:rsidRPr="004C70EC">
        <w:rPr>
          <w:rFonts w:eastAsia="Times New Roman"/>
          <w:noProof/>
          <w:color w:val="000000" w:themeColor="text1"/>
          <w:szCs w:val="24"/>
        </w:rPr>
        <w:t xml:space="preserve">Any funding from Member States should be in line with applicable State aid rules.  </w:t>
      </w:r>
    </w:p>
    <w:p w14:paraId="1A8F6BD4" w14:textId="77777777" w:rsidR="00E934F2" w:rsidRPr="004C70EC" w:rsidRDefault="00E934F2">
      <w:pPr>
        <w:pBdr>
          <w:top w:val="nil"/>
          <w:left w:val="nil"/>
          <w:bottom w:val="nil"/>
          <w:right w:val="nil"/>
          <w:between w:val="nil"/>
          <w:bar w:val="nil"/>
        </w:pBdr>
        <w:spacing w:after="240"/>
        <w:rPr>
          <w:rFonts w:eastAsia="Times New Roman"/>
          <w:b/>
          <w:noProof/>
          <w:color w:val="000000" w:themeColor="text1"/>
          <w:szCs w:val="24"/>
          <w:lang w:eastAsia="en-GB"/>
        </w:rPr>
      </w:pPr>
      <w:r w:rsidRPr="004C70EC">
        <w:rPr>
          <w:rFonts w:eastAsia="Times New Roman"/>
          <w:b/>
          <w:noProof/>
          <w:color w:val="000000" w:themeColor="text1"/>
          <w:szCs w:val="24"/>
        </w:rPr>
        <w:t>Chapter VI – A</w:t>
      </w:r>
      <w:r w:rsidR="004A1163" w:rsidRPr="004C70EC">
        <w:rPr>
          <w:rFonts w:eastAsia="Times New Roman"/>
          <w:b/>
          <w:noProof/>
          <w:color w:val="000000" w:themeColor="text1"/>
          <w:szCs w:val="24"/>
        </w:rPr>
        <w:t>rtificial intelligence</w:t>
      </w:r>
      <w:r w:rsidRPr="004C70EC">
        <w:rPr>
          <w:rFonts w:eastAsia="Times New Roman"/>
          <w:b/>
          <w:noProof/>
          <w:color w:val="000000" w:themeColor="text1"/>
          <w:szCs w:val="24"/>
        </w:rPr>
        <w:t xml:space="preserve"> and </w:t>
      </w:r>
      <w:r w:rsidR="00AB593F" w:rsidRPr="004C70EC">
        <w:rPr>
          <w:rFonts w:eastAsia="Times New Roman"/>
          <w:b/>
          <w:noProof/>
          <w:color w:val="000000" w:themeColor="text1"/>
          <w:szCs w:val="24"/>
        </w:rPr>
        <w:t>d</w:t>
      </w:r>
      <w:r w:rsidRPr="004C70EC">
        <w:rPr>
          <w:rFonts w:eastAsia="Times New Roman"/>
          <w:b/>
          <w:noProof/>
          <w:color w:val="000000" w:themeColor="text1"/>
          <w:szCs w:val="24"/>
        </w:rPr>
        <w:t xml:space="preserve">ata as </w:t>
      </w:r>
      <w:r w:rsidR="00AB593F" w:rsidRPr="004C70EC">
        <w:rPr>
          <w:rFonts w:eastAsia="Times New Roman"/>
          <w:b/>
          <w:noProof/>
          <w:color w:val="000000" w:themeColor="text1"/>
          <w:szCs w:val="24"/>
        </w:rPr>
        <w:t>b</w:t>
      </w:r>
      <w:r w:rsidRPr="004C70EC">
        <w:rPr>
          <w:rFonts w:eastAsia="Times New Roman"/>
          <w:b/>
          <w:noProof/>
          <w:color w:val="000000" w:themeColor="text1"/>
          <w:szCs w:val="24"/>
        </w:rPr>
        <w:t xml:space="preserve">iotechnology </w:t>
      </w:r>
      <w:r w:rsidR="00AB593F" w:rsidRPr="004C70EC">
        <w:rPr>
          <w:rFonts w:eastAsia="Times New Roman"/>
          <w:b/>
          <w:noProof/>
          <w:color w:val="000000" w:themeColor="text1"/>
          <w:szCs w:val="24"/>
        </w:rPr>
        <w:t>e</w:t>
      </w:r>
      <w:r w:rsidRPr="004C70EC">
        <w:rPr>
          <w:rFonts w:eastAsia="Times New Roman"/>
          <w:b/>
          <w:noProof/>
          <w:color w:val="000000" w:themeColor="text1"/>
          <w:szCs w:val="24"/>
        </w:rPr>
        <w:t>nablers</w:t>
      </w:r>
      <w:r w:rsidR="004A1163" w:rsidRPr="004C70EC">
        <w:rPr>
          <w:noProof/>
        </w:rPr>
        <w:t xml:space="preserve"> </w:t>
      </w:r>
    </w:p>
    <w:p w14:paraId="0B285B78" w14:textId="77777777" w:rsidR="00E934F2" w:rsidRPr="004C70EC" w:rsidRDefault="00E934F2">
      <w:pPr>
        <w:pBdr>
          <w:top w:val="nil"/>
          <w:left w:val="nil"/>
          <w:bottom w:val="nil"/>
          <w:right w:val="nil"/>
          <w:between w:val="nil"/>
          <w:bar w:val="nil"/>
        </w:pBdr>
        <w:spacing w:after="240"/>
        <w:rPr>
          <w:rFonts w:eastAsia="Times New Roman"/>
          <w:noProof/>
          <w:color w:val="000000" w:themeColor="text1"/>
          <w:szCs w:val="24"/>
          <w:lang w:eastAsia="en-GB"/>
        </w:rPr>
      </w:pPr>
      <w:r w:rsidRPr="004C70EC">
        <w:rPr>
          <w:rFonts w:eastAsia="Times New Roman"/>
          <w:noProof/>
          <w:color w:val="000000" w:themeColor="text1"/>
          <w:szCs w:val="24"/>
        </w:rPr>
        <w:t xml:space="preserve">This </w:t>
      </w:r>
      <w:r w:rsidR="00AB593F" w:rsidRPr="004C70EC">
        <w:rPr>
          <w:rFonts w:eastAsia="Times New Roman"/>
          <w:noProof/>
          <w:color w:val="000000" w:themeColor="text1"/>
          <w:szCs w:val="24"/>
        </w:rPr>
        <w:t>C</w:t>
      </w:r>
      <w:r w:rsidRPr="004C70EC">
        <w:rPr>
          <w:rFonts w:eastAsia="Times New Roman"/>
          <w:noProof/>
          <w:color w:val="000000" w:themeColor="text1"/>
          <w:szCs w:val="24"/>
        </w:rPr>
        <w:t xml:space="preserve">hapter </w:t>
      </w:r>
      <w:r w:rsidR="00B357F7" w:rsidRPr="004C70EC">
        <w:rPr>
          <w:rFonts w:eastAsia="Times New Roman"/>
          <w:noProof/>
          <w:color w:val="000000" w:themeColor="text1"/>
        </w:rPr>
        <w:t>aligns with the</w:t>
      </w:r>
      <w:r w:rsidRPr="004C70EC">
        <w:rPr>
          <w:rFonts w:eastAsia="Times New Roman"/>
          <w:noProof/>
          <w:color w:val="000000" w:themeColor="text1"/>
          <w:szCs w:val="24"/>
        </w:rPr>
        <w:t xml:space="preserve"> AI-</w:t>
      </w:r>
      <w:r w:rsidR="00AB593F" w:rsidRPr="004C70EC">
        <w:rPr>
          <w:rFonts w:eastAsia="Times New Roman"/>
          <w:noProof/>
          <w:color w:val="000000" w:themeColor="text1"/>
          <w:szCs w:val="24"/>
        </w:rPr>
        <w:t>f</w:t>
      </w:r>
      <w:r w:rsidRPr="004C70EC">
        <w:rPr>
          <w:rFonts w:eastAsia="Times New Roman"/>
          <w:noProof/>
          <w:color w:val="000000" w:themeColor="text1"/>
          <w:szCs w:val="24"/>
        </w:rPr>
        <w:t xml:space="preserve">irst </w:t>
      </w:r>
      <w:r w:rsidR="00EA6E32" w:rsidRPr="004C70EC">
        <w:rPr>
          <w:rFonts w:eastAsia="Times New Roman"/>
          <w:noProof/>
          <w:color w:val="000000" w:themeColor="text1"/>
        </w:rPr>
        <w:t>policy introduced in the Apply AI Strategy</w:t>
      </w:r>
      <w:r w:rsidRPr="004C70EC">
        <w:rPr>
          <w:rFonts w:eastAsia="Times New Roman"/>
          <w:noProof/>
          <w:color w:val="000000" w:themeColor="text1"/>
          <w:szCs w:val="24"/>
        </w:rPr>
        <w:t xml:space="preserve"> and </w:t>
      </w:r>
      <w:r w:rsidR="00D92B26" w:rsidRPr="004C70EC">
        <w:rPr>
          <w:rFonts w:eastAsia="Times New Roman"/>
          <w:noProof/>
          <w:color w:val="000000" w:themeColor="text1"/>
          <w:szCs w:val="24"/>
        </w:rPr>
        <w:t xml:space="preserve">encourages the adoption and integration of </w:t>
      </w:r>
      <w:r w:rsidRPr="004C70EC">
        <w:rPr>
          <w:rFonts w:eastAsia="Times New Roman"/>
          <w:noProof/>
          <w:color w:val="000000" w:themeColor="text1"/>
          <w:szCs w:val="24"/>
        </w:rPr>
        <w:t xml:space="preserve">AI in actions supporting biotechnology, </w:t>
      </w:r>
      <w:r w:rsidR="00AB593F" w:rsidRPr="004C70EC">
        <w:rPr>
          <w:rFonts w:eastAsia="Times New Roman"/>
          <w:noProof/>
          <w:color w:val="000000" w:themeColor="text1"/>
          <w:szCs w:val="24"/>
        </w:rPr>
        <w:t xml:space="preserve">in order </w:t>
      </w:r>
      <w:r w:rsidRPr="004C70EC">
        <w:rPr>
          <w:rFonts w:eastAsia="Times New Roman"/>
          <w:noProof/>
          <w:color w:val="000000" w:themeColor="text1"/>
          <w:szCs w:val="24"/>
        </w:rPr>
        <w:t xml:space="preserve">to foster innovation, efficiency and technological sovereignty in biotechnology and biomanufacturing. It </w:t>
      </w:r>
      <w:r w:rsidR="00D92043" w:rsidRPr="004C70EC">
        <w:rPr>
          <w:rFonts w:eastAsia="Times New Roman"/>
          <w:noProof/>
          <w:color w:val="000000" w:themeColor="text1"/>
          <w:szCs w:val="24"/>
        </w:rPr>
        <w:t>also</w:t>
      </w:r>
      <w:r w:rsidRPr="004C70EC">
        <w:rPr>
          <w:rFonts w:eastAsia="Times New Roman"/>
          <w:noProof/>
          <w:color w:val="000000" w:themeColor="text1"/>
          <w:szCs w:val="24"/>
        </w:rPr>
        <w:t xml:space="preserve"> provides for guidance to be issued by the </w:t>
      </w:r>
      <w:r w:rsidR="00D92043" w:rsidRPr="004C70EC">
        <w:rPr>
          <w:rFonts w:eastAsia="Times New Roman"/>
          <w:noProof/>
          <w:color w:val="000000" w:themeColor="text1"/>
          <w:szCs w:val="24"/>
        </w:rPr>
        <w:t>EMA</w:t>
      </w:r>
      <w:r w:rsidRPr="004C70EC">
        <w:rPr>
          <w:rFonts w:eastAsia="Times New Roman"/>
          <w:noProof/>
          <w:color w:val="000000" w:themeColor="text1"/>
          <w:szCs w:val="24"/>
        </w:rPr>
        <w:t xml:space="preserve"> on the use of AI across the medicinal-product lifecycle and creates trusted AI testing environments and data-quality accelerators as high-impact </w:t>
      </w:r>
      <w:r w:rsidR="00B22262" w:rsidRPr="004C70EC">
        <w:rPr>
          <w:rFonts w:eastAsia="Times New Roman"/>
          <w:noProof/>
          <w:color w:val="000000" w:themeColor="text1"/>
          <w:szCs w:val="24"/>
        </w:rPr>
        <w:t xml:space="preserve">strategic </w:t>
      </w:r>
      <w:r w:rsidR="006176F2" w:rsidRPr="004C70EC">
        <w:rPr>
          <w:rFonts w:eastAsia="Times New Roman"/>
          <w:noProof/>
          <w:color w:val="000000" w:themeColor="text1"/>
          <w:szCs w:val="24"/>
        </w:rPr>
        <w:t xml:space="preserve">health </w:t>
      </w:r>
      <w:r w:rsidRPr="004C70EC">
        <w:rPr>
          <w:rFonts w:eastAsia="Times New Roman"/>
          <w:noProof/>
          <w:color w:val="000000" w:themeColor="text1"/>
          <w:szCs w:val="24"/>
        </w:rPr>
        <w:t xml:space="preserve">biotechnology projects to advance safe AI-enabled biotechnology. </w:t>
      </w:r>
    </w:p>
    <w:p w14:paraId="2649BE99" w14:textId="77777777" w:rsidR="00E934F2" w:rsidRPr="004C70EC" w:rsidRDefault="4BD937EF" w:rsidP="642D1666">
      <w:pPr>
        <w:pBdr>
          <w:bar w:val="nil"/>
        </w:pBdr>
        <w:rPr>
          <w:rFonts w:eastAsia="Times New Roman"/>
          <w:b/>
          <w:noProof/>
          <w:color w:val="000000" w:themeColor="text1"/>
          <w:lang w:val="en-US" w:eastAsia="en-GB"/>
        </w:rPr>
      </w:pPr>
      <w:r w:rsidRPr="004C70EC">
        <w:rPr>
          <w:rFonts w:eastAsia="Times New Roman"/>
          <w:b/>
          <w:noProof/>
          <w:color w:val="000000" w:themeColor="text1"/>
          <w:lang w:val="en-US" w:eastAsia="en-GB"/>
        </w:rPr>
        <w:t>Chapter VII – Regulatory tools for</w:t>
      </w:r>
      <w:r w:rsidR="004A1163" w:rsidRPr="004C70EC">
        <w:rPr>
          <w:rFonts w:eastAsia="Times New Roman"/>
          <w:b/>
          <w:noProof/>
          <w:color w:val="000000" w:themeColor="text1"/>
          <w:lang w:val="en-US" w:eastAsia="en-GB"/>
        </w:rPr>
        <w:t xml:space="preserve"> novel</w:t>
      </w:r>
      <w:r w:rsidRPr="004C70EC">
        <w:rPr>
          <w:rFonts w:eastAsia="Times New Roman"/>
          <w:b/>
          <w:noProof/>
          <w:color w:val="000000" w:themeColor="text1"/>
          <w:lang w:val="en-US" w:eastAsia="en-GB"/>
        </w:rPr>
        <w:t xml:space="preserve"> health biotechnology products </w:t>
      </w:r>
    </w:p>
    <w:p w14:paraId="7621A94D" w14:textId="77777777" w:rsidR="00E934F2" w:rsidRPr="004C70EC" w:rsidRDefault="5D5E70DB" w:rsidP="004A1163">
      <w:pPr>
        <w:spacing w:after="240"/>
        <w:rPr>
          <w:rFonts w:eastAsia="Times New Roman"/>
          <w:noProof/>
          <w:color w:val="000000" w:themeColor="text1"/>
          <w:lang w:eastAsia="en-IE"/>
        </w:rPr>
      </w:pPr>
      <w:r w:rsidRPr="004C70EC">
        <w:rPr>
          <w:rFonts w:eastAsia="Times New Roman"/>
          <w:noProof/>
          <w:color w:val="000000" w:themeColor="text1"/>
        </w:rPr>
        <w:t xml:space="preserve">This Chapter </w:t>
      </w:r>
      <w:r w:rsidR="001A6A65" w:rsidRPr="004C70EC">
        <w:rPr>
          <w:rFonts w:eastAsia="Times New Roman"/>
          <w:noProof/>
          <w:color w:val="000000" w:themeColor="text1"/>
        </w:rPr>
        <w:t xml:space="preserve">sets out </w:t>
      </w:r>
      <w:r w:rsidRPr="004C70EC">
        <w:rPr>
          <w:rFonts w:eastAsia="Times New Roman"/>
          <w:noProof/>
          <w:color w:val="000000" w:themeColor="text1"/>
        </w:rPr>
        <w:t xml:space="preserve">a flexible, collaborative and anticipatory approach to regulate novel health biotechnology products by reinforcing and complementing existing mechanisms in Union law, notably </w:t>
      </w:r>
      <w:r w:rsidR="001A6A65" w:rsidRPr="004C70EC">
        <w:rPr>
          <w:rFonts w:eastAsia="Times New Roman"/>
          <w:noProof/>
          <w:color w:val="000000" w:themeColor="text1"/>
        </w:rPr>
        <w:t xml:space="preserve">(i) </w:t>
      </w:r>
      <w:r w:rsidRPr="004C70EC">
        <w:rPr>
          <w:rFonts w:eastAsia="Times New Roman"/>
          <w:noProof/>
          <w:color w:val="000000" w:themeColor="text1"/>
        </w:rPr>
        <w:t xml:space="preserve">those introduced in the revised Directive 2001/83/EC </w:t>
      </w:r>
      <w:r w:rsidR="00DA3F84" w:rsidRPr="004C70EC">
        <w:rPr>
          <w:rFonts w:eastAsia="Times New Roman"/>
          <w:noProof/>
          <w:color w:val="000000" w:themeColor="text1"/>
        </w:rPr>
        <w:t xml:space="preserve">on </w:t>
      </w:r>
      <w:r w:rsidRPr="004C70EC">
        <w:rPr>
          <w:rFonts w:eastAsia="Times New Roman"/>
          <w:noProof/>
          <w:color w:val="000000" w:themeColor="text1"/>
        </w:rPr>
        <w:t xml:space="preserve">the interaction and combinations between medicinal products and medical devices, and </w:t>
      </w:r>
      <w:r w:rsidR="00DA3F84" w:rsidRPr="004C70EC">
        <w:rPr>
          <w:rFonts w:eastAsia="Times New Roman"/>
          <w:noProof/>
          <w:color w:val="000000" w:themeColor="text1"/>
        </w:rPr>
        <w:t xml:space="preserve">on </w:t>
      </w:r>
      <w:r w:rsidRPr="004C70EC">
        <w:rPr>
          <w:rFonts w:eastAsia="Times New Roman"/>
          <w:noProof/>
          <w:color w:val="000000" w:themeColor="text1"/>
        </w:rPr>
        <w:t xml:space="preserve">regulatory sandboxes; and </w:t>
      </w:r>
      <w:r w:rsidR="002B33A2" w:rsidRPr="004C70EC">
        <w:rPr>
          <w:rFonts w:eastAsia="Times New Roman"/>
          <w:noProof/>
          <w:color w:val="000000" w:themeColor="text1"/>
        </w:rPr>
        <w:t xml:space="preserve">(ii) </w:t>
      </w:r>
      <w:r w:rsidRPr="004C70EC">
        <w:rPr>
          <w:rFonts w:eastAsia="Times New Roman"/>
          <w:noProof/>
          <w:color w:val="000000" w:themeColor="text1"/>
        </w:rPr>
        <w:t xml:space="preserve">the mechanisms provided under the [revised] MDR, IVDR, the revised Pharmaceutical Regulation and the SoHO Regulation, which allow for the provision of opinions, recommendations or binding decisions on the regulatory status of products. This </w:t>
      </w:r>
      <w:r w:rsidR="003B415E" w:rsidRPr="004C70EC">
        <w:rPr>
          <w:rFonts w:eastAsia="Times New Roman"/>
          <w:noProof/>
          <w:color w:val="000000" w:themeColor="text1"/>
        </w:rPr>
        <w:t>C</w:t>
      </w:r>
      <w:r w:rsidRPr="004C70EC">
        <w:rPr>
          <w:rFonts w:eastAsia="Times New Roman"/>
          <w:noProof/>
          <w:color w:val="000000" w:themeColor="text1"/>
        </w:rPr>
        <w:t xml:space="preserve">hapter </w:t>
      </w:r>
      <w:r w:rsidR="003B415E" w:rsidRPr="004C70EC">
        <w:rPr>
          <w:rFonts w:eastAsia="Times New Roman"/>
          <w:noProof/>
          <w:color w:val="000000" w:themeColor="text1"/>
        </w:rPr>
        <w:t>lays down</w:t>
      </w:r>
      <w:r w:rsidRPr="004C70EC">
        <w:rPr>
          <w:rFonts w:eastAsia="Times New Roman"/>
          <w:noProof/>
          <w:color w:val="000000" w:themeColor="text1"/>
        </w:rPr>
        <w:t xml:space="preserve"> a Union-wide</w:t>
      </w:r>
      <w:r w:rsidR="00C549D4" w:rsidRPr="004C70EC">
        <w:rPr>
          <w:rFonts w:eastAsia="Times New Roman"/>
          <w:noProof/>
          <w:color w:val="000000" w:themeColor="text1"/>
        </w:rPr>
        <w:t>,</w:t>
      </w:r>
      <w:r w:rsidRPr="004C70EC">
        <w:rPr>
          <w:rFonts w:eastAsia="Times New Roman"/>
          <w:noProof/>
          <w:color w:val="000000" w:themeColor="text1"/>
        </w:rPr>
        <w:t xml:space="preserve"> cross-framework </w:t>
      </w:r>
      <w:r w:rsidR="00C549D4" w:rsidRPr="004C70EC">
        <w:rPr>
          <w:rFonts w:eastAsia="Times New Roman"/>
          <w:noProof/>
          <w:color w:val="000000" w:themeColor="text1"/>
        </w:rPr>
        <w:t>r</w:t>
      </w:r>
      <w:r w:rsidRPr="004C70EC">
        <w:rPr>
          <w:rFonts w:eastAsia="Times New Roman"/>
          <w:noProof/>
          <w:color w:val="000000" w:themeColor="text1"/>
        </w:rPr>
        <w:t xml:space="preserve">egulatory </w:t>
      </w:r>
      <w:r w:rsidR="00C549D4" w:rsidRPr="004C70EC">
        <w:rPr>
          <w:rFonts w:eastAsia="Times New Roman"/>
          <w:noProof/>
          <w:color w:val="000000" w:themeColor="text1"/>
        </w:rPr>
        <w:t>s</w:t>
      </w:r>
      <w:r w:rsidRPr="004C70EC">
        <w:rPr>
          <w:rFonts w:eastAsia="Times New Roman"/>
          <w:noProof/>
          <w:color w:val="000000" w:themeColor="text1"/>
        </w:rPr>
        <w:t xml:space="preserve">tatus </w:t>
      </w:r>
      <w:r w:rsidR="00C549D4" w:rsidRPr="004C70EC">
        <w:rPr>
          <w:rFonts w:eastAsia="Times New Roman"/>
          <w:noProof/>
          <w:color w:val="000000" w:themeColor="text1"/>
        </w:rPr>
        <w:t>r</w:t>
      </w:r>
      <w:r w:rsidRPr="004C70EC">
        <w:rPr>
          <w:rFonts w:eastAsia="Times New Roman"/>
          <w:noProof/>
          <w:color w:val="000000" w:themeColor="text1"/>
        </w:rPr>
        <w:t>epository</w:t>
      </w:r>
      <w:r w:rsidR="00EE6CD6" w:rsidRPr="004C70EC">
        <w:rPr>
          <w:rFonts w:eastAsia="Times New Roman"/>
          <w:noProof/>
          <w:color w:val="000000" w:themeColor="text1"/>
        </w:rPr>
        <w:t>,</w:t>
      </w:r>
      <w:r w:rsidRPr="004C70EC">
        <w:rPr>
          <w:rFonts w:eastAsia="Times New Roman"/>
          <w:noProof/>
          <w:color w:val="000000" w:themeColor="text1"/>
        </w:rPr>
        <w:t xml:space="preserve"> which will compile relevant opinions, recommendations, decisions and guidance, </w:t>
      </w:r>
      <w:r w:rsidR="009C6EDB" w:rsidRPr="004C70EC">
        <w:rPr>
          <w:rFonts w:eastAsia="Times New Roman"/>
          <w:noProof/>
          <w:color w:val="000000" w:themeColor="text1"/>
        </w:rPr>
        <w:t xml:space="preserve">thus </w:t>
      </w:r>
      <w:r w:rsidRPr="004C70EC">
        <w:rPr>
          <w:rFonts w:eastAsia="Times New Roman"/>
          <w:noProof/>
          <w:color w:val="000000" w:themeColor="text1"/>
        </w:rPr>
        <w:t xml:space="preserve">fostering transparency, consistency and mutual learning across Union and national authorities. Recognising the need for anticipatory governance, this Chapter also </w:t>
      </w:r>
      <w:r w:rsidR="008556B5" w:rsidRPr="004C70EC">
        <w:rPr>
          <w:rFonts w:eastAsia="Times New Roman"/>
          <w:noProof/>
          <w:color w:val="000000" w:themeColor="text1"/>
        </w:rPr>
        <w:t>se</w:t>
      </w:r>
      <w:r w:rsidR="00D46372" w:rsidRPr="004C70EC">
        <w:rPr>
          <w:rFonts w:eastAsia="Times New Roman"/>
          <w:noProof/>
          <w:color w:val="000000" w:themeColor="text1"/>
        </w:rPr>
        <w:t>t</w:t>
      </w:r>
      <w:r w:rsidR="008556B5" w:rsidRPr="004C70EC">
        <w:rPr>
          <w:rFonts w:eastAsia="Times New Roman"/>
          <w:noProof/>
          <w:color w:val="000000" w:themeColor="text1"/>
        </w:rPr>
        <w:t>s up</w:t>
      </w:r>
      <w:r w:rsidRPr="004C70EC">
        <w:rPr>
          <w:rFonts w:eastAsia="Times New Roman"/>
          <w:noProof/>
          <w:color w:val="000000" w:themeColor="text1"/>
        </w:rPr>
        <w:t xml:space="preserve"> a</w:t>
      </w:r>
      <w:r w:rsidR="40B33E12" w:rsidRPr="004C70EC">
        <w:rPr>
          <w:rFonts w:eastAsia="Times New Roman"/>
          <w:noProof/>
          <w:color w:val="000000" w:themeColor="text1"/>
        </w:rPr>
        <w:t xml:space="preserve"> </w:t>
      </w:r>
      <w:r w:rsidR="00D46372" w:rsidRPr="004C70EC">
        <w:rPr>
          <w:rFonts w:eastAsia="Times New Roman"/>
          <w:noProof/>
          <w:color w:val="000000" w:themeColor="text1"/>
        </w:rPr>
        <w:t>f</w:t>
      </w:r>
      <w:r w:rsidR="40B33E12" w:rsidRPr="004C70EC">
        <w:rPr>
          <w:rFonts w:eastAsia="Times New Roman"/>
          <w:noProof/>
          <w:color w:val="000000" w:themeColor="text1"/>
        </w:rPr>
        <w:t xml:space="preserve">oresight </w:t>
      </w:r>
      <w:r w:rsidR="00D46372" w:rsidRPr="004C70EC">
        <w:rPr>
          <w:rFonts w:eastAsia="Times New Roman"/>
          <w:noProof/>
          <w:color w:val="000000" w:themeColor="text1"/>
        </w:rPr>
        <w:t>p</w:t>
      </w:r>
      <w:r w:rsidR="40B33E12" w:rsidRPr="004C70EC">
        <w:rPr>
          <w:rFonts w:eastAsia="Times New Roman"/>
          <w:noProof/>
          <w:color w:val="000000" w:themeColor="text1"/>
        </w:rPr>
        <w:t xml:space="preserve">anel for </w:t>
      </w:r>
      <w:r w:rsidR="00D46372" w:rsidRPr="004C70EC">
        <w:rPr>
          <w:rFonts w:eastAsia="Times New Roman"/>
          <w:noProof/>
          <w:color w:val="000000" w:themeColor="text1"/>
        </w:rPr>
        <w:t>e</w:t>
      </w:r>
      <w:r w:rsidR="40B33E12" w:rsidRPr="004C70EC">
        <w:rPr>
          <w:rFonts w:eastAsia="Times New Roman"/>
          <w:noProof/>
          <w:color w:val="000000" w:themeColor="text1"/>
        </w:rPr>
        <w:t xml:space="preserve">merging </w:t>
      </w:r>
      <w:r w:rsidR="00D46372" w:rsidRPr="004C70EC">
        <w:rPr>
          <w:rFonts w:eastAsia="Times New Roman"/>
          <w:noProof/>
          <w:color w:val="000000" w:themeColor="text1"/>
        </w:rPr>
        <w:t>h</w:t>
      </w:r>
      <w:r w:rsidR="40B33E12" w:rsidRPr="004C70EC">
        <w:rPr>
          <w:rFonts w:eastAsia="Times New Roman"/>
          <w:noProof/>
          <w:color w:val="000000" w:themeColor="text1"/>
        </w:rPr>
        <w:t xml:space="preserve">ealth </w:t>
      </w:r>
      <w:r w:rsidR="00D46372" w:rsidRPr="004C70EC">
        <w:rPr>
          <w:rFonts w:eastAsia="Times New Roman"/>
          <w:noProof/>
          <w:color w:val="000000" w:themeColor="text1"/>
        </w:rPr>
        <w:t>i</w:t>
      </w:r>
      <w:r w:rsidR="40B33E12" w:rsidRPr="004C70EC">
        <w:rPr>
          <w:rFonts w:eastAsia="Times New Roman"/>
          <w:noProof/>
          <w:color w:val="000000" w:themeColor="text1"/>
        </w:rPr>
        <w:t>nnovation</w:t>
      </w:r>
      <w:r w:rsidRPr="004C70EC">
        <w:rPr>
          <w:rFonts w:eastAsia="Times New Roman"/>
          <w:noProof/>
          <w:color w:val="000000" w:themeColor="text1"/>
        </w:rPr>
        <w:t xml:space="preserve"> to </w:t>
      </w:r>
      <w:r w:rsidR="00D54F29" w:rsidRPr="004C70EC">
        <w:rPr>
          <w:rFonts w:eastAsia="Times New Roman"/>
          <w:noProof/>
          <w:color w:val="000000" w:themeColor="text1"/>
        </w:rPr>
        <w:t xml:space="preserve">advice the Commission and </w:t>
      </w:r>
      <w:r w:rsidRPr="004C70EC">
        <w:rPr>
          <w:rFonts w:eastAsia="Times New Roman"/>
          <w:noProof/>
          <w:color w:val="000000" w:themeColor="text1"/>
        </w:rPr>
        <w:t xml:space="preserve">conduct structured horizon-scanning and cross-framework dialogue on forthcoming scientific and technological developments. </w:t>
      </w:r>
      <w:r w:rsidR="001342B1" w:rsidRPr="004C70EC">
        <w:rPr>
          <w:rFonts w:eastAsia="Times New Roman"/>
          <w:noProof/>
          <w:color w:val="000000" w:themeColor="text1"/>
        </w:rPr>
        <w:t>Lastly</w:t>
      </w:r>
      <w:r w:rsidRPr="004C70EC">
        <w:rPr>
          <w:rFonts w:eastAsia="Times New Roman"/>
          <w:noProof/>
          <w:color w:val="000000" w:themeColor="text1"/>
        </w:rPr>
        <w:t>, th</w:t>
      </w:r>
      <w:r w:rsidR="001342B1" w:rsidRPr="004C70EC">
        <w:rPr>
          <w:rFonts w:eastAsia="Times New Roman"/>
          <w:noProof/>
          <w:color w:val="000000" w:themeColor="text1"/>
        </w:rPr>
        <w:t>is</w:t>
      </w:r>
      <w:r w:rsidRPr="004C70EC">
        <w:rPr>
          <w:rFonts w:eastAsia="Times New Roman"/>
          <w:noProof/>
          <w:color w:val="000000" w:themeColor="text1"/>
        </w:rPr>
        <w:t xml:space="preserve"> Chapter provides for the establishment of a Union level regulatory sandbox for health biotechnology products at an early stage of development that fall outside existing </w:t>
      </w:r>
      <w:r w:rsidR="00391B2D" w:rsidRPr="004C70EC">
        <w:rPr>
          <w:rFonts w:eastAsia="Times New Roman"/>
          <w:noProof/>
          <w:color w:val="000000" w:themeColor="text1"/>
        </w:rPr>
        <w:t xml:space="preserve">health </w:t>
      </w:r>
      <w:r w:rsidR="58B5ABCD" w:rsidRPr="004C70EC">
        <w:rPr>
          <w:rFonts w:eastAsia="Times New Roman"/>
          <w:noProof/>
          <w:color w:val="000000" w:themeColor="text1"/>
        </w:rPr>
        <w:t xml:space="preserve">legal </w:t>
      </w:r>
      <w:r w:rsidRPr="004C70EC">
        <w:rPr>
          <w:rFonts w:eastAsia="Times New Roman"/>
          <w:noProof/>
          <w:color w:val="000000" w:themeColor="text1"/>
        </w:rPr>
        <w:t xml:space="preserve">frameworks. </w:t>
      </w:r>
    </w:p>
    <w:p w14:paraId="0468F83F" w14:textId="77777777" w:rsidR="00E52054" w:rsidRPr="004C70EC" w:rsidRDefault="004E527A" w:rsidP="00E52054">
      <w:pPr>
        <w:pBdr>
          <w:top w:val="nil"/>
          <w:left w:val="nil"/>
          <w:bottom w:val="nil"/>
          <w:right w:val="nil"/>
          <w:between w:val="nil"/>
          <w:bar w:val="nil"/>
        </w:pBdr>
        <w:spacing w:after="240"/>
        <w:rPr>
          <w:rFonts w:eastAsia="Times New Roman"/>
          <w:b/>
          <w:noProof/>
          <w:color w:val="000000" w:themeColor="text1"/>
          <w:lang w:eastAsia="en-GB"/>
        </w:rPr>
      </w:pPr>
      <w:r w:rsidRPr="004C70EC">
        <w:rPr>
          <w:rFonts w:eastAsia="Times New Roman"/>
          <w:b/>
          <w:noProof/>
          <w:color w:val="000000" w:themeColor="text1"/>
        </w:rPr>
        <w:t xml:space="preserve">Chapter VIII </w:t>
      </w:r>
      <w:r w:rsidR="00534A22" w:rsidRPr="004C70EC">
        <w:rPr>
          <w:rFonts w:eastAsia="Times New Roman"/>
          <w:b/>
          <w:noProof/>
          <w:color w:val="000000" w:themeColor="text1"/>
        </w:rPr>
        <w:t>–</w:t>
      </w:r>
      <w:r w:rsidR="004A1163" w:rsidRPr="004C70EC">
        <w:rPr>
          <w:rFonts w:eastAsia="Times New Roman"/>
          <w:b/>
          <w:noProof/>
          <w:color w:val="000000" w:themeColor="text1"/>
        </w:rPr>
        <w:t xml:space="preserve"> B</w:t>
      </w:r>
      <w:r w:rsidR="00E52054" w:rsidRPr="004C70EC">
        <w:rPr>
          <w:rFonts w:eastAsia="Times New Roman"/>
          <w:b/>
          <w:noProof/>
          <w:color w:val="000000" w:themeColor="text1"/>
        </w:rPr>
        <w:t xml:space="preserve">iodefence and </w:t>
      </w:r>
      <w:r w:rsidR="3E9A1979" w:rsidRPr="004C70EC">
        <w:rPr>
          <w:rFonts w:eastAsia="Times New Roman"/>
          <w:b/>
          <w:noProof/>
          <w:color w:val="000000" w:themeColor="text1"/>
        </w:rPr>
        <w:t>p</w:t>
      </w:r>
      <w:r w:rsidR="00E52054" w:rsidRPr="004C70EC">
        <w:rPr>
          <w:rFonts w:eastAsia="Times New Roman"/>
          <w:b/>
          <w:noProof/>
          <w:color w:val="000000" w:themeColor="text1"/>
        </w:rPr>
        <w:t xml:space="preserve">reventing </w:t>
      </w:r>
      <w:r w:rsidR="70590813" w:rsidRPr="004C70EC">
        <w:rPr>
          <w:rFonts w:eastAsia="Times New Roman"/>
          <w:b/>
          <w:noProof/>
          <w:color w:val="000000" w:themeColor="text1"/>
        </w:rPr>
        <w:t>b</w:t>
      </w:r>
      <w:r w:rsidR="00E52054" w:rsidRPr="004C70EC">
        <w:rPr>
          <w:rFonts w:eastAsia="Times New Roman"/>
          <w:b/>
          <w:noProof/>
          <w:color w:val="000000" w:themeColor="text1"/>
        </w:rPr>
        <w:t xml:space="preserve">iotechnology </w:t>
      </w:r>
      <w:r w:rsidR="3B53899C" w:rsidRPr="004C70EC">
        <w:rPr>
          <w:rFonts w:eastAsia="Times New Roman"/>
          <w:b/>
          <w:noProof/>
          <w:color w:val="000000" w:themeColor="text1"/>
        </w:rPr>
        <w:t>m</w:t>
      </w:r>
      <w:r w:rsidR="00E52054" w:rsidRPr="004C70EC">
        <w:rPr>
          <w:rFonts w:eastAsia="Times New Roman"/>
          <w:b/>
          <w:noProof/>
          <w:color w:val="000000" w:themeColor="text1"/>
        </w:rPr>
        <w:t>isuse</w:t>
      </w:r>
    </w:p>
    <w:p w14:paraId="4A08335F" w14:textId="77777777" w:rsidR="00E934F2" w:rsidRPr="002D7694" w:rsidRDefault="00E52054" w:rsidP="002D7694">
      <w:pPr>
        <w:spacing w:beforeAutospacing="1" w:after="240" w:afterAutospacing="1"/>
        <w:rPr>
          <w:rFonts w:eastAsia="Times New Roman"/>
          <w:b/>
          <w:noProof/>
          <w:color w:val="000000" w:themeColor="text1"/>
          <w:lang w:val="es-ES" w:eastAsia="en-GB"/>
        </w:rPr>
      </w:pPr>
      <w:r w:rsidRPr="004C70EC">
        <w:rPr>
          <w:rFonts w:eastAsia="Times New Roman"/>
          <w:noProof/>
          <w:color w:val="000000" w:themeColor="text1"/>
          <w:szCs w:val="24"/>
        </w:rPr>
        <w:t xml:space="preserve">This </w:t>
      </w:r>
      <w:r w:rsidR="009F452E" w:rsidRPr="004C70EC">
        <w:rPr>
          <w:rFonts w:eastAsia="Times New Roman"/>
          <w:noProof/>
          <w:color w:val="000000" w:themeColor="text1"/>
          <w:szCs w:val="24"/>
        </w:rPr>
        <w:t>C</w:t>
      </w:r>
      <w:r w:rsidRPr="004C70EC">
        <w:rPr>
          <w:rFonts w:eastAsia="Times New Roman"/>
          <w:noProof/>
          <w:color w:val="000000" w:themeColor="text1"/>
          <w:szCs w:val="24"/>
        </w:rPr>
        <w:t xml:space="preserve">hapter establishes a framework for preventing the misuse of biotechnology products of concern. It includes provisions for screening, reporting, and tracking suspicious transactions of biotechnology products of concern, </w:t>
      </w:r>
      <w:r w:rsidR="009F452E" w:rsidRPr="004C70EC">
        <w:rPr>
          <w:rFonts w:eastAsia="Times New Roman"/>
          <w:noProof/>
          <w:color w:val="000000" w:themeColor="text1"/>
          <w:szCs w:val="24"/>
        </w:rPr>
        <w:t>and</w:t>
      </w:r>
      <w:r w:rsidRPr="004C70EC">
        <w:rPr>
          <w:rFonts w:eastAsia="Times New Roman"/>
          <w:noProof/>
          <w:color w:val="000000" w:themeColor="text1"/>
          <w:szCs w:val="24"/>
        </w:rPr>
        <w:t xml:space="preserve"> enforcement mechanisms to ensure compliance. </w:t>
      </w:r>
      <w:r w:rsidR="00013708" w:rsidRPr="004C70EC">
        <w:rPr>
          <w:rFonts w:eastAsia="Times New Roman"/>
          <w:noProof/>
          <w:color w:val="000000" w:themeColor="text1"/>
          <w:szCs w:val="24"/>
        </w:rPr>
        <w:t xml:space="preserve">This </w:t>
      </w:r>
      <w:r w:rsidRPr="004C70EC">
        <w:rPr>
          <w:rFonts w:eastAsia="Times New Roman"/>
          <w:noProof/>
          <w:color w:val="000000" w:themeColor="text1"/>
          <w:szCs w:val="24"/>
        </w:rPr>
        <w:t>Chapter</w:t>
      </w:r>
      <w:r w:rsidR="007057AF" w:rsidRPr="004C70EC">
        <w:rPr>
          <w:rFonts w:eastAsia="Times New Roman"/>
          <w:noProof/>
          <w:color w:val="000000" w:themeColor="text1"/>
          <w:szCs w:val="24"/>
        </w:rPr>
        <w:t xml:space="preserve"> sets out</w:t>
      </w:r>
      <w:r w:rsidRPr="004C70EC">
        <w:rPr>
          <w:rFonts w:eastAsia="Times New Roman"/>
          <w:noProof/>
          <w:color w:val="000000" w:themeColor="text1"/>
          <w:szCs w:val="24"/>
        </w:rPr>
        <w:t xml:space="preserve"> specific conditions </w:t>
      </w:r>
      <w:r w:rsidR="00D94BBA" w:rsidRPr="004C70EC">
        <w:rPr>
          <w:rFonts w:eastAsia="Times New Roman"/>
          <w:noProof/>
          <w:color w:val="000000" w:themeColor="text1"/>
          <w:szCs w:val="24"/>
        </w:rPr>
        <w:t>for the</w:t>
      </w:r>
      <w:r w:rsidRPr="004C70EC">
        <w:rPr>
          <w:rFonts w:eastAsia="Times New Roman"/>
          <w:noProof/>
          <w:color w:val="000000" w:themeColor="text1"/>
          <w:szCs w:val="24"/>
        </w:rPr>
        <w:t xml:space="preserve"> Commission </w:t>
      </w:r>
      <w:r w:rsidR="007832EE" w:rsidRPr="004C70EC">
        <w:rPr>
          <w:rFonts w:eastAsia="Times New Roman"/>
          <w:noProof/>
          <w:color w:val="000000" w:themeColor="text1"/>
          <w:szCs w:val="24"/>
        </w:rPr>
        <w:t xml:space="preserve">to recognise </w:t>
      </w:r>
      <w:r w:rsidRPr="004C70EC">
        <w:rPr>
          <w:rFonts w:eastAsia="Times New Roman"/>
          <w:noProof/>
          <w:color w:val="000000" w:themeColor="text1"/>
          <w:szCs w:val="24"/>
        </w:rPr>
        <w:t>high</w:t>
      </w:r>
      <w:r w:rsidR="00BA434E" w:rsidRPr="004C70EC">
        <w:rPr>
          <w:rFonts w:eastAsia="Times New Roman"/>
          <w:noProof/>
          <w:color w:val="000000" w:themeColor="text1"/>
          <w:szCs w:val="24"/>
        </w:rPr>
        <w:t>-</w:t>
      </w:r>
      <w:r w:rsidRPr="004C70EC">
        <w:rPr>
          <w:rFonts w:eastAsia="Times New Roman"/>
          <w:noProof/>
          <w:color w:val="000000" w:themeColor="text1"/>
          <w:szCs w:val="24"/>
        </w:rPr>
        <w:t xml:space="preserve">impact </w:t>
      </w:r>
      <w:r w:rsidR="00FD5ED2" w:rsidRPr="004C70EC">
        <w:rPr>
          <w:rFonts w:eastAsia="Times New Roman"/>
          <w:noProof/>
          <w:color w:val="000000" w:themeColor="text1"/>
          <w:szCs w:val="24"/>
        </w:rPr>
        <w:t xml:space="preserve">strategic </w:t>
      </w:r>
      <w:r w:rsidRPr="004C70EC">
        <w:rPr>
          <w:rFonts w:eastAsia="Times New Roman"/>
          <w:noProof/>
          <w:color w:val="000000" w:themeColor="text1"/>
          <w:szCs w:val="24"/>
        </w:rPr>
        <w:t>health biotechnology projects in the form of EU biodefence capability projects, that may be given particular consideration for funding under Union basic acts</w:t>
      </w:r>
      <w:r w:rsidR="00F343FD" w:rsidRPr="004C70EC">
        <w:rPr>
          <w:rFonts w:eastAsia="Times New Roman"/>
          <w:noProof/>
          <w:color w:val="000000" w:themeColor="text1"/>
          <w:szCs w:val="24"/>
        </w:rPr>
        <w:t xml:space="preserve">, subject to compliance with </w:t>
      </w:r>
      <w:r w:rsidRPr="004C70EC">
        <w:rPr>
          <w:rFonts w:eastAsia="Times New Roman"/>
          <w:noProof/>
          <w:color w:val="000000" w:themeColor="text1"/>
          <w:szCs w:val="24"/>
        </w:rPr>
        <w:t>applicable State aid rules.</w:t>
      </w:r>
      <w:r w:rsidR="00835C3E" w:rsidRPr="004C70EC">
        <w:rPr>
          <w:rFonts w:eastAsia="Times New Roman"/>
          <w:noProof/>
          <w:color w:val="000000" w:themeColor="text1"/>
          <w:szCs w:val="24"/>
        </w:rPr>
        <w:t xml:space="preserve"> </w:t>
      </w:r>
      <w:r w:rsidRPr="004C70EC">
        <w:rPr>
          <w:rFonts w:eastAsia="Times New Roman"/>
          <w:noProof/>
          <w:color w:val="000000" w:themeColor="text1"/>
          <w:szCs w:val="24"/>
        </w:rPr>
        <w:t>Ultimately, the Regulation seeks to promote a high level of protection against biotechnological threats, while fostering innovation and competitiveness in the biotechnology sector.</w:t>
      </w:r>
      <w:r w:rsidR="00E934F2" w:rsidRPr="002D7694">
        <w:rPr>
          <w:rFonts w:eastAsia="Times New Roman"/>
          <w:b/>
          <w:noProof/>
          <w:color w:val="000000" w:themeColor="text1"/>
          <w:lang w:val="es-ES"/>
        </w:rPr>
        <w:t xml:space="preserve">Chapter </w:t>
      </w:r>
      <w:r w:rsidR="00806DA7" w:rsidRPr="002D7694">
        <w:rPr>
          <w:rFonts w:eastAsia="Times New Roman"/>
          <w:b/>
          <w:noProof/>
          <w:color w:val="000000" w:themeColor="text1"/>
          <w:lang w:val="es-ES"/>
        </w:rPr>
        <w:t>I</w:t>
      </w:r>
      <w:r w:rsidR="004E527A" w:rsidRPr="002D7694">
        <w:rPr>
          <w:rFonts w:eastAsia="Times New Roman"/>
          <w:b/>
          <w:noProof/>
          <w:color w:val="000000" w:themeColor="text1"/>
          <w:lang w:val="es-ES"/>
        </w:rPr>
        <w:t xml:space="preserve">X </w:t>
      </w:r>
      <w:r w:rsidR="00E934F2" w:rsidRPr="002D7694">
        <w:rPr>
          <w:rFonts w:eastAsia="Times New Roman"/>
          <w:b/>
          <w:noProof/>
          <w:color w:val="000000" w:themeColor="text1"/>
          <w:lang w:val="es-ES"/>
        </w:rPr>
        <w:t xml:space="preserve">– </w:t>
      </w:r>
      <w:r w:rsidR="004A1163" w:rsidRPr="002D7694">
        <w:rPr>
          <w:rFonts w:eastAsia="Times New Roman"/>
          <w:b/>
          <w:noProof/>
          <w:color w:val="000000" w:themeColor="text1"/>
          <w:lang w:val="es-ES"/>
        </w:rPr>
        <w:t xml:space="preserve"> Amendments to Regulations (EC) No 178/2002, (EC) No 1394/2007, (EU) No 536/2014, (EU) 2019/6, (EU) 2024/795 and (EU) 2024/1938</w:t>
      </w:r>
    </w:p>
    <w:p w14:paraId="37A79CFA" w14:textId="77777777" w:rsidR="006C2C13" w:rsidRPr="004C70EC" w:rsidRDefault="00E934F2">
      <w:pPr>
        <w:pBdr>
          <w:top w:val="nil"/>
          <w:left w:val="nil"/>
          <w:bottom w:val="nil"/>
          <w:right w:val="nil"/>
          <w:between w:val="nil"/>
          <w:bar w:val="nil"/>
        </w:pBdr>
        <w:spacing w:after="240"/>
        <w:rPr>
          <w:rFonts w:eastAsia="Times New Roman"/>
          <w:noProof/>
          <w:color w:val="000000" w:themeColor="text1"/>
        </w:rPr>
      </w:pPr>
      <w:r w:rsidRPr="004C70EC">
        <w:rPr>
          <w:rFonts w:eastAsia="Times New Roman"/>
          <w:noProof/>
          <w:color w:val="000000" w:themeColor="text1"/>
        </w:rPr>
        <w:t xml:space="preserve">This </w:t>
      </w:r>
      <w:r w:rsidR="00F3471B" w:rsidRPr="004C70EC">
        <w:rPr>
          <w:rFonts w:eastAsia="Times New Roman"/>
          <w:noProof/>
          <w:color w:val="000000" w:themeColor="text1"/>
        </w:rPr>
        <w:t>C</w:t>
      </w:r>
      <w:r w:rsidRPr="004C70EC">
        <w:rPr>
          <w:rFonts w:eastAsia="Times New Roman"/>
          <w:noProof/>
          <w:color w:val="000000" w:themeColor="text1"/>
        </w:rPr>
        <w:t xml:space="preserve">hapter introduces amendments to EU legislative frameworks in the </w:t>
      </w:r>
      <w:r w:rsidR="00EB69C6" w:rsidRPr="004C70EC">
        <w:rPr>
          <w:rFonts w:eastAsia="Times New Roman"/>
          <w:noProof/>
          <w:color w:val="000000" w:themeColor="text1"/>
        </w:rPr>
        <w:t xml:space="preserve">areas of </w:t>
      </w:r>
      <w:r w:rsidRPr="004C70EC">
        <w:rPr>
          <w:rFonts w:eastAsia="Times New Roman"/>
          <w:noProof/>
          <w:color w:val="000000" w:themeColor="text1"/>
        </w:rPr>
        <w:t xml:space="preserve">health and food </w:t>
      </w:r>
      <w:r w:rsidR="00EB69C6" w:rsidRPr="004C70EC">
        <w:rPr>
          <w:rFonts w:eastAsia="Times New Roman"/>
          <w:noProof/>
          <w:color w:val="000000" w:themeColor="text1"/>
        </w:rPr>
        <w:t xml:space="preserve">and feed safety </w:t>
      </w:r>
      <w:r w:rsidRPr="004C70EC">
        <w:rPr>
          <w:rFonts w:eastAsia="Times New Roman"/>
          <w:noProof/>
          <w:color w:val="000000" w:themeColor="text1"/>
        </w:rPr>
        <w:t>with the aim of simplifying procedures</w:t>
      </w:r>
      <w:r w:rsidR="00706949" w:rsidRPr="004C70EC">
        <w:rPr>
          <w:rFonts w:eastAsia="Times New Roman"/>
          <w:noProof/>
          <w:color w:val="000000" w:themeColor="text1"/>
        </w:rPr>
        <w:t xml:space="preserve"> and accelerating time to market </w:t>
      </w:r>
      <w:r w:rsidR="00EB69C6" w:rsidRPr="004C70EC">
        <w:rPr>
          <w:rFonts w:eastAsia="Times New Roman"/>
          <w:noProof/>
          <w:color w:val="000000" w:themeColor="text1"/>
        </w:rPr>
        <w:t>that are necessary to ensure the effectiveness of the substantive provisions established in this proposal</w:t>
      </w:r>
      <w:r w:rsidRPr="004C70EC">
        <w:rPr>
          <w:rFonts w:eastAsia="Times New Roman"/>
          <w:noProof/>
          <w:color w:val="000000" w:themeColor="text1"/>
        </w:rPr>
        <w:t xml:space="preserve"> by creating </w:t>
      </w:r>
      <w:r w:rsidR="00EB69C6" w:rsidRPr="004C70EC">
        <w:rPr>
          <w:rFonts w:eastAsia="Times New Roman"/>
          <w:noProof/>
          <w:color w:val="000000" w:themeColor="text1"/>
        </w:rPr>
        <w:t>legislative</w:t>
      </w:r>
      <w:r w:rsidRPr="004C70EC">
        <w:rPr>
          <w:rFonts w:eastAsia="Times New Roman"/>
          <w:noProof/>
          <w:color w:val="000000" w:themeColor="text1"/>
        </w:rPr>
        <w:t xml:space="preserve"> </w:t>
      </w:r>
      <w:r w:rsidR="00EB69C6" w:rsidRPr="004C70EC">
        <w:rPr>
          <w:rFonts w:eastAsia="Times New Roman"/>
          <w:noProof/>
          <w:color w:val="000000" w:themeColor="text1"/>
        </w:rPr>
        <w:t xml:space="preserve">frameworks </w:t>
      </w:r>
      <w:r w:rsidRPr="004C70EC">
        <w:rPr>
          <w:rFonts w:eastAsia="Times New Roman"/>
          <w:noProof/>
          <w:color w:val="000000" w:themeColor="text1"/>
        </w:rPr>
        <w:t xml:space="preserve">conducive to innovation. </w:t>
      </w:r>
      <w:r w:rsidR="000378B5" w:rsidRPr="004C70EC">
        <w:rPr>
          <w:rFonts w:eastAsia="Times New Roman"/>
          <w:noProof/>
          <w:color w:val="000000" w:themeColor="text1"/>
        </w:rPr>
        <w:t>Further, it establishes amendments to Regulation (EU) 2024/795 (STEP Regulation)</w:t>
      </w:r>
      <w:r w:rsidRPr="004C70EC">
        <w:rPr>
          <w:rStyle w:val="FootnoteReference"/>
          <w:rFonts w:eastAsia="Times New Roman"/>
          <w:noProof/>
          <w:color w:val="000000" w:themeColor="text1"/>
        </w:rPr>
        <w:footnoteReference w:id="87"/>
      </w:r>
      <w:r w:rsidR="000378B5" w:rsidRPr="004C70EC">
        <w:rPr>
          <w:rFonts w:eastAsia="Times New Roman"/>
          <w:noProof/>
          <w:color w:val="000000" w:themeColor="text1"/>
        </w:rPr>
        <w:t xml:space="preserve"> regarding the</w:t>
      </w:r>
      <w:r w:rsidR="002C7D80" w:rsidRPr="004C70EC">
        <w:rPr>
          <w:rFonts w:eastAsia="Times New Roman"/>
          <w:noProof/>
          <w:color w:val="000000" w:themeColor="text1"/>
        </w:rPr>
        <w:t xml:space="preserve"> status of health biotechnology strategic projects and of high impact </w:t>
      </w:r>
      <w:r w:rsidR="006313CC" w:rsidRPr="004C70EC">
        <w:rPr>
          <w:rFonts w:eastAsia="Times New Roman"/>
          <w:noProof/>
          <w:color w:val="000000" w:themeColor="text1"/>
        </w:rPr>
        <w:t xml:space="preserve">health </w:t>
      </w:r>
      <w:r w:rsidR="002C7D80" w:rsidRPr="004C70EC">
        <w:rPr>
          <w:rFonts w:eastAsia="Times New Roman"/>
          <w:noProof/>
          <w:color w:val="000000" w:themeColor="text1"/>
        </w:rPr>
        <w:t xml:space="preserve">biotechnology strategic </w:t>
      </w:r>
      <w:r w:rsidR="006313CC" w:rsidRPr="004C70EC">
        <w:rPr>
          <w:rFonts w:eastAsia="Times New Roman"/>
          <w:noProof/>
          <w:color w:val="000000" w:themeColor="text1"/>
        </w:rPr>
        <w:t xml:space="preserve">projects under that Regulation. </w:t>
      </w:r>
    </w:p>
    <w:p w14:paraId="343DF804" w14:textId="77777777" w:rsidR="006C2C13" w:rsidRPr="004C70EC" w:rsidRDefault="006C2C13" w:rsidP="006C2C13">
      <w:pPr>
        <w:pBdr>
          <w:top w:val="nil"/>
          <w:left w:val="nil"/>
          <w:bottom w:val="nil"/>
          <w:right w:val="nil"/>
          <w:between w:val="nil"/>
          <w:bar w:val="nil"/>
        </w:pBdr>
        <w:spacing w:after="240"/>
        <w:rPr>
          <w:rFonts w:eastAsia="Times New Roman"/>
          <w:i/>
          <w:noProof/>
          <w:color w:val="000000" w:themeColor="text1"/>
          <w:szCs w:val="24"/>
          <w:lang w:val="en-US" w:eastAsia="en-GB"/>
        </w:rPr>
      </w:pPr>
      <w:r w:rsidRPr="004C70EC">
        <w:rPr>
          <w:rFonts w:eastAsia="Times New Roman"/>
          <w:i/>
          <w:noProof/>
          <w:color w:val="000000" w:themeColor="text1"/>
          <w:szCs w:val="24"/>
        </w:rPr>
        <w:t xml:space="preserve">Amendments to Regulation (EC) No 178/2002 (General Food Law) </w:t>
      </w:r>
    </w:p>
    <w:p w14:paraId="48607916" w14:textId="597CA973" w:rsidR="006C2C13" w:rsidRPr="004C70EC" w:rsidRDefault="006C2C13" w:rsidP="006C2C13">
      <w:pPr>
        <w:spacing w:after="240"/>
        <w:rPr>
          <w:rFonts w:eastAsia="Times New Roman"/>
          <w:noProof/>
          <w:color w:val="000000" w:themeColor="text1"/>
        </w:rPr>
      </w:pPr>
      <w:r w:rsidRPr="004C70EC">
        <w:rPr>
          <w:rFonts w:eastAsia="Times New Roman"/>
          <w:noProof/>
          <w:color w:val="000000" w:themeColor="text1"/>
        </w:rPr>
        <w:t>This Regulation proposes amendments to Regulation (EC) No 178/2002</w:t>
      </w:r>
      <w:r w:rsidRPr="004C70EC">
        <w:rPr>
          <w:rStyle w:val="FootnoteReference"/>
          <w:rFonts w:eastAsia="Times New Roman"/>
          <w:noProof/>
          <w:color w:val="000000" w:themeColor="text1"/>
        </w:rPr>
        <w:footnoteReference w:id="88"/>
      </w:r>
      <w:r w:rsidRPr="004C70EC">
        <w:rPr>
          <w:rFonts w:eastAsia="Times New Roman"/>
          <w:noProof/>
          <w:color w:val="000000" w:themeColor="text1"/>
        </w:rPr>
        <w:t xml:space="preserve"> laying down the general principles and requirements of food law, in order to streamline risk assessment processes. Key changes include (i) broadening pre-submission advice to include scientific matters, such as study design and testing strategies, while merging it with the renewal-related advice into a single, unified procedure to simplify application procedures; (ii) shortening the procedural delay for non-compliance with the study notification requirements at pre</w:t>
      </w:r>
      <w:r w:rsidR="0084207B" w:rsidRPr="004C70EC">
        <w:rPr>
          <w:rFonts w:eastAsia="Times New Roman"/>
          <w:noProof/>
          <w:color w:val="000000" w:themeColor="text1"/>
        </w:rPr>
        <w:t>-</w:t>
      </w:r>
      <w:r w:rsidRPr="004C70EC">
        <w:rPr>
          <w:rFonts w:eastAsia="Times New Roman"/>
          <w:noProof/>
          <w:color w:val="000000" w:themeColor="text1"/>
        </w:rPr>
        <w:t>submission phase from six to three months to reduce time-to-market; (iii) requiring EFSA staff to chair panels and serve as vice-chairs of the Scientific Committee (without voting rights) to improve efficiency and coherence across Panels; and (iv) introducing provisions for regulatory sandboxes, allowing Member States to test innovative</w:t>
      </w:r>
      <w:r w:rsidR="008C5E72" w:rsidRPr="004C70EC">
        <w:rPr>
          <w:rFonts w:eastAsia="Times New Roman"/>
          <w:noProof/>
          <w:color w:val="000000" w:themeColor="text1"/>
        </w:rPr>
        <w:t xml:space="preserve"> </w:t>
      </w:r>
      <w:r w:rsidRPr="004C70EC">
        <w:rPr>
          <w:rFonts w:eastAsia="Times New Roman"/>
          <w:noProof/>
          <w:color w:val="000000" w:themeColor="text1"/>
        </w:rPr>
        <w:t>technologies under harmonised conditions that foster innovation while safeguarding consumer health and safety. Such amendments should contribute, amongst others, to accelerating the risk assessment process carried out by EFSA for products that are subject to pre-market authorisation in accordance with Union food and feed law and foster innovation in the sector. As such, those are necessary amendments with a view to ensure the effectiveness of the substantive measures put forward in this proposal towards the strengthening of an innovative biotechnology sector in food and feed safety.</w:t>
      </w:r>
    </w:p>
    <w:p w14:paraId="38120D58" w14:textId="77777777" w:rsidR="006C2C13" w:rsidRPr="004C70EC" w:rsidRDefault="006C2C13" w:rsidP="006C2C13">
      <w:pPr>
        <w:pBdr>
          <w:top w:val="nil"/>
          <w:left w:val="nil"/>
          <w:bottom w:val="nil"/>
          <w:right w:val="nil"/>
          <w:between w:val="nil"/>
          <w:bar w:val="nil"/>
        </w:pBdr>
        <w:spacing w:after="240"/>
        <w:rPr>
          <w:rFonts w:eastAsia="Times New Roman"/>
          <w:i/>
          <w:noProof/>
          <w:color w:val="000000" w:themeColor="text1"/>
          <w:lang w:val="en-US" w:eastAsia="en-GB"/>
        </w:rPr>
      </w:pPr>
      <w:r w:rsidRPr="004C70EC">
        <w:rPr>
          <w:rFonts w:eastAsia="Times New Roman"/>
          <w:i/>
          <w:noProof/>
          <w:color w:val="000000" w:themeColor="text1"/>
        </w:rPr>
        <w:t xml:space="preserve">Amendments to Regulation (EC) No 1394/2007 </w:t>
      </w:r>
      <w:r w:rsidR="6179B48E" w:rsidRPr="004C70EC">
        <w:rPr>
          <w:rFonts w:eastAsia="Times New Roman"/>
          <w:i/>
          <w:iCs/>
          <w:noProof/>
          <w:color w:val="000000" w:themeColor="text1"/>
        </w:rPr>
        <w:t>(Advanced Therapy Medicinal Products Regulation)</w:t>
      </w:r>
    </w:p>
    <w:p w14:paraId="4AB7E04E" w14:textId="2A85B112" w:rsidR="00D67E17" w:rsidRDefault="00D67E17" w:rsidP="00D67E17">
      <w:pPr>
        <w:pStyle w:val="Rfrenceinterinstitutionnelle"/>
        <w:rPr>
          <w:noProof/>
          <w:lang w:val="en-IE"/>
        </w:rPr>
      </w:pPr>
      <w:r>
        <w:rPr>
          <w:noProof/>
        </w:rPr>
        <w:t>2025/0406 (COD)</w:t>
      </w:r>
    </w:p>
    <w:p w14:paraId="7823BC79" w14:textId="62B880B8" w:rsidR="00D67E17" w:rsidRDefault="00D67E17" w:rsidP="00D67E17">
      <w:pPr>
        <w:pStyle w:val="Statut"/>
        <w:rPr>
          <w:noProof/>
          <w:lang w:val="en-IE"/>
        </w:rPr>
      </w:pPr>
      <w:r w:rsidRPr="00D67E17">
        <w:rPr>
          <w:noProof/>
        </w:rPr>
        <w:t>Proposal for a</w:t>
      </w:r>
    </w:p>
    <w:p w14:paraId="32051CFB" w14:textId="37B58823" w:rsidR="00D67E17" w:rsidRDefault="00D67E17" w:rsidP="00D67E17">
      <w:pPr>
        <w:pStyle w:val="Typedudocument"/>
        <w:rPr>
          <w:noProof/>
          <w:lang w:val="en-IE"/>
        </w:rPr>
      </w:pPr>
      <w:r w:rsidRPr="00D67E17">
        <w:rPr>
          <w:noProof/>
        </w:rPr>
        <w:t>REGULATION OF THE EUROPEAN PARLIAMENT AND OF THE COUNCIL</w:t>
      </w:r>
    </w:p>
    <w:p w14:paraId="1CF400A8" w14:textId="6AD87EA3" w:rsidR="00D67E17" w:rsidRDefault="00D67E17" w:rsidP="00D67E17">
      <w:pPr>
        <w:pStyle w:val="Titreobjet"/>
        <w:rPr>
          <w:noProof/>
          <w:lang w:val="en-IE"/>
        </w:rPr>
      </w:pPr>
      <w:r w:rsidRPr="00D67E17">
        <w:rPr>
          <w:noProof/>
        </w:rPr>
        <w:t>on establishing a framework of measures for strengthening Union’s biotechnology and biomanufacturing sectors particularly in the area of health and amending Regulations (EC) No 178/2002, (EC) No 1394/2007, (EU) No 536/2014, (EU) 2019/6, (EU) 2024/795 and (EU) 2024/1938 (European Biotech Act)</w:t>
      </w:r>
    </w:p>
    <w:p w14:paraId="0EBCFE3D" w14:textId="3E2FA0DC" w:rsidR="00D67E17" w:rsidRDefault="00D67E17" w:rsidP="00D67E17">
      <w:pPr>
        <w:pStyle w:val="IntrtEEE"/>
        <w:rPr>
          <w:noProof/>
          <w:lang w:val="en-IE"/>
        </w:rPr>
      </w:pPr>
      <w:r w:rsidRPr="00D67E17">
        <w:rPr>
          <w:noProof/>
        </w:rPr>
        <w:t>(Text with EEA relevance)</w:t>
      </w:r>
    </w:p>
    <w:p w14:paraId="54E008E4" w14:textId="2FB00503" w:rsidR="0066444B" w:rsidRDefault="00D00B68">
      <w:pPr>
        <w:pStyle w:val="Considrant"/>
        <w:numPr>
          <w:ilvl w:val="0"/>
          <w:numId w:val="0"/>
        </w:numPr>
        <w:rPr>
          <w:noProof/>
          <w:lang w:val="en-IE"/>
        </w:rPr>
      </w:pPr>
      <w:r>
        <w:rPr>
          <w:noProof/>
          <w:lang w:val="en-IE"/>
        </w:rPr>
        <w:t>To speed up access to advanced investigational therapy medicinal products that consist or contain GMOs that are complex innovative products, this Regulation proposes special provisions for facilitating related clinical trials. In this regard, it is proposedto amend Regulation (EC) No 1394/2007</w:t>
      </w:r>
      <w:r>
        <w:rPr>
          <w:rFonts w:eastAsia="Times New Roman"/>
          <w:noProof/>
          <w:color w:val="000000" w:themeColor="text1"/>
        </w:rPr>
        <w:t xml:space="preserve"> to provide that when controlling under Regulation (EU) No 536/2014 for risks from the deliberate release into the environment of GMOs, </w:t>
      </w:r>
      <w:r>
        <w:rPr>
          <w:noProof/>
        </w:rPr>
        <w:t xml:space="preserve">sponsors are to be </w:t>
      </w:r>
      <w:r>
        <w:rPr>
          <w:rFonts w:eastAsia="Times New Roman"/>
          <w:noProof/>
          <w:color w:val="000000" w:themeColor="text1"/>
        </w:rPr>
        <w:t>exempted from the requirement to submit an environmental risk assessment in respect of certain clearly delineated categories of advanced investigational therapy medicinal products that consist or contain GMOs which present no or negligible risks to human health and the environment</w:t>
      </w:r>
      <w:r>
        <w:rPr>
          <w:noProof/>
        </w:rPr>
        <w:t xml:space="preserve">. </w:t>
      </w:r>
      <w:r>
        <w:rPr>
          <w:rFonts w:eastAsia="Times New Roman"/>
          <w:noProof/>
          <w:color w:val="000000" w:themeColor="text1"/>
        </w:rPr>
        <w:t xml:space="preserve">Sponsors of clinical trials are, however, to submit a declaration as part of the clinical trial application that explains why the advanced investigational therapy medicinal products concerned fall into one or more of the specific categories of products presenting no or negligible risks to human health and the environment. The Committee for Medicinal Products for Human Use (CHMP) referred to in Article [148] of Regulation […] [revised Regulation No (EC) 726/2004] is to verify this declaration. For the same considerations of a risk-proportionate approach, this Regulation also proposes that the above-mentioned categories of advanced investigational therapy medicinal products be exempted from the GMO related requirements of Regulation (EU) No 536/2014 regarding manufacturing and import. </w:t>
      </w:r>
    </w:p>
    <w:p w14:paraId="2796C655" w14:textId="218DB832" w:rsidR="006C2C13" w:rsidRDefault="006C2C13">
      <w:pPr>
        <w:pBdr>
          <w:top w:val="nil"/>
          <w:left w:val="nil"/>
          <w:bottom w:val="nil"/>
          <w:right w:val="nil"/>
          <w:between w:val="nil"/>
          <w:bar w:val="nil"/>
        </w:pBdr>
        <w:spacing w:after="240"/>
        <w:rPr>
          <w:rFonts w:eastAsia="Times New Roman"/>
          <w:noProof/>
          <w:color w:val="000000" w:themeColor="text1"/>
        </w:rPr>
      </w:pPr>
      <w:r w:rsidRPr="004C70EC">
        <w:rPr>
          <w:rFonts w:eastAsia="Times New Roman"/>
          <w:noProof/>
          <w:color w:val="000000" w:themeColor="text1"/>
        </w:rPr>
        <w:t xml:space="preserve">Scientific and technological advances are driving forward the development of ATMPs. To future-proof the ATMP regulatory framework and ensure that it can encompass certain innovative products that could benefit from the ATMP framework, without them falling under other EU legal frameworks, the [revised Directive 2001/83/EC] empowers the Commission to adopt delegated acts to amend the definitions laid down in the ATMP Regulation of a gene therapy medicinal product and a somatic cell therapy medicinal product, without extending the scope of these definitions. It should be also possible to amend the definition of a tissue engineered product in the light of technical and scientific advancements. </w:t>
      </w:r>
    </w:p>
    <w:p w14:paraId="14311856" w14:textId="65261336" w:rsidR="00400C0D" w:rsidRDefault="0066444B">
      <w:pPr>
        <w:pBdr>
          <w:top w:val="nil"/>
          <w:left w:val="nil"/>
          <w:bottom w:val="nil"/>
          <w:right w:val="nil"/>
          <w:between w:val="nil"/>
          <w:bar w:val="nil"/>
        </w:pBdr>
        <w:spacing w:after="240"/>
        <w:rPr>
          <w:rFonts w:eastAsia="Times New Roman"/>
          <w:i/>
          <w:iCs/>
          <w:noProof/>
          <w:color w:val="000000" w:themeColor="text1"/>
          <w:lang w:val="en-US" w:eastAsia="en-GB"/>
        </w:rPr>
      </w:pPr>
      <w:r w:rsidRPr="004C70EC">
        <w:rPr>
          <w:rFonts w:eastAsia="Times New Roman"/>
          <w:i/>
          <w:iCs/>
          <w:noProof/>
          <w:color w:val="000000" w:themeColor="text1"/>
        </w:rPr>
        <w:t xml:space="preserve">Amendments to Regulation (EU) No 536/2014 (Clinical Trials Regulation) </w:t>
      </w:r>
    </w:p>
    <w:p w14:paraId="5B64C543" w14:textId="57422902" w:rsidR="00E934F2" w:rsidRPr="004C70EC" w:rsidRDefault="00E934F2" w:rsidP="002D7694">
      <w:pPr>
        <w:pBdr>
          <w:top w:val="nil"/>
          <w:left w:val="nil"/>
          <w:bottom w:val="nil"/>
          <w:right w:val="nil"/>
          <w:between w:val="nil"/>
          <w:bar w:val="nil"/>
        </w:pBdr>
        <w:spacing w:after="240"/>
        <w:rPr>
          <w:noProof/>
          <w:color w:val="000000" w:themeColor="text1"/>
        </w:rPr>
      </w:pPr>
      <w:r w:rsidRPr="004C70EC">
        <w:rPr>
          <w:rFonts w:eastAsia="Times New Roman"/>
          <w:noProof/>
          <w:color w:val="000000" w:themeColor="text1"/>
        </w:rPr>
        <w:t xml:space="preserve">This </w:t>
      </w:r>
      <w:r w:rsidR="00776EC5" w:rsidRPr="004C70EC">
        <w:rPr>
          <w:rFonts w:eastAsia="Times New Roman"/>
          <w:noProof/>
          <w:color w:val="000000" w:themeColor="text1"/>
        </w:rPr>
        <w:t>C</w:t>
      </w:r>
      <w:r w:rsidRPr="004C70EC">
        <w:rPr>
          <w:rFonts w:eastAsia="Times New Roman"/>
          <w:noProof/>
          <w:color w:val="000000" w:themeColor="text1"/>
        </w:rPr>
        <w:t>hapter, critical to improving Europe’s clinical</w:t>
      </w:r>
      <w:r w:rsidR="00EC417D" w:rsidRPr="004C70EC">
        <w:rPr>
          <w:rFonts w:eastAsia="Times New Roman"/>
          <w:noProof/>
          <w:color w:val="000000" w:themeColor="text1"/>
        </w:rPr>
        <w:t>-</w:t>
      </w:r>
      <w:r w:rsidRPr="004C70EC">
        <w:rPr>
          <w:rFonts w:eastAsia="Times New Roman"/>
          <w:noProof/>
          <w:color w:val="000000" w:themeColor="text1"/>
        </w:rPr>
        <w:t xml:space="preserve">trial framework, aims to cut approval timelines, foster greater collaboration across borders, and </w:t>
      </w:r>
      <w:r w:rsidR="00EC417D" w:rsidRPr="004C70EC">
        <w:rPr>
          <w:rFonts w:eastAsia="Times New Roman"/>
          <w:noProof/>
          <w:color w:val="000000" w:themeColor="text1"/>
        </w:rPr>
        <w:t xml:space="preserve">improve </w:t>
      </w:r>
      <w:r w:rsidRPr="004C70EC">
        <w:rPr>
          <w:rFonts w:eastAsia="Times New Roman"/>
          <w:noProof/>
          <w:color w:val="000000" w:themeColor="text1"/>
        </w:rPr>
        <w:t xml:space="preserve">regulatory efficiency, without compromising safety, quality, or ethical standards. </w:t>
      </w:r>
      <w:r w:rsidR="00EB489F" w:rsidRPr="004C70EC">
        <w:rPr>
          <w:rFonts w:eastAsia="Times New Roman"/>
          <w:noProof/>
          <w:color w:val="000000" w:themeColor="text1"/>
        </w:rPr>
        <w:t>Simplification and acceleration of procedures are</w:t>
      </w:r>
      <w:r w:rsidR="001D0E12" w:rsidRPr="004C70EC">
        <w:rPr>
          <w:rFonts w:eastAsia="Times New Roman"/>
          <w:noProof/>
          <w:color w:val="000000" w:themeColor="text1"/>
        </w:rPr>
        <w:t xml:space="preserve"> necessary</w:t>
      </w:r>
      <w:r w:rsidR="00EB489F" w:rsidRPr="004C70EC">
        <w:rPr>
          <w:rFonts w:eastAsia="Times New Roman"/>
          <w:noProof/>
          <w:color w:val="000000" w:themeColor="text1"/>
        </w:rPr>
        <w:t xml:space="preserve"> for ensuring the effecti</w:t>
      </w:r>
      <w:r w:rsidR="001D0E12" w:rsidRPr="004C70EC">
        <w:rPr>
          <w:rFonts w:eastAsia="Times New Roman"/>
          <w:noProof/>
          <w:color w:val="000000" w:themeColor="text1"/>
        </w:rPr>
        <w:t xml:space="preserve">veness of the enabling substantive measures put forward in this proposal. </w:t>
      </w:r>
      <w:r w:rsidRPr="004C70EC">
        <w:rPr>
          <w:rFonts w:eastAsia="Times New Roman"/>
          <w:noProof/>
          <w:color w:val="000000" w:themeColor="text1"/>
        </w:rPr>
        <w:t>Authorisation timelines will be shortened for multinational clinical trials from 10</w:t>
      </w:r>
      <w:r w:rsidR="389392CB" w:rsidRPr="004C70EC">
        <w:rPr>
          <w:rFonts w:eastAsia="Times New Roman"/>
          <w:noProof/>
          <w:color w:val="000000" w:themeColor="text1"/>
        </w:rPr>
        <w:t>6</w:t>
      </w:r>
      <w:r w:rsidRPr="004C70EC">
        <w:rPr>
          <w:rFonts w:eastAsia="Times New Roman"/>
          <w:noProof/>
          <w:color w:val="000000" w:themeColor="text1"/>
        </w:rPr>
        <w:t xml:space="preserve"> days to 7</w:t>
      </w:r>
      <w:r w:rsidR="075F7A5A" w:rsidRPr="004C70EC">
        <w:rPr>
          <w:rFonts w:eastAsia="Times New Roman"/>
          <w:noProof/>
          <w:color w:val="000000" w:themeColor="text1"/>
        </w:rPr>
        <w:t>5</w:t>
      </w:r>
      <w:r w:rsidRPr="004C70EC">
        <w:rPr>
          <w:rFonts w:eastAsia="Times New Roman"/>
          <w:noProof/>
          <w:color w:val="000000" w:themeColor="text1"/>
        </w:rPr>
        <w:t xml:space="preserve"> days, including validation and ethical review. </w:t>
      </w:r>
      <w:r w:rsidR="73F39BB7" w:rsidRPr="004C70EC">
        <w:rPr>
          <w:rFonts w:eastAsia="Times New Roman"/>
          <w:noProof/>
          <w:color w:val="000000" w:themeColor="text1"/>
        </w:rPr>
        <w:t xml:space="preserve">When there is no request for information to the sponsor, timelines </w:t>
      </w:r>
      <w:r w:rsidR="09A5F16C" w:rsidRPr="004C70EC">
        <w:rPr>
          <w:rFonts w:eastAsia="Times New Roman"/>
          <w:noProof/>
          <w:color w:val="000000" w:themeColor="text1"/>
        </w:rPr>
        <w:t>for initial clinical trial author</w:t>
      </w:r>
      <w:r w:rsidR="40ED24A2" w:rsidRPr="004C70EC">
        <w:rPr>
          <w:rFonts w:eastAsia="Times New Roman"/>
          <w:noProof/>
          <w:color w:val="000000" w:themeColor="text1"/>
        </w:rPr>
        <w:t>i</w:t>
      </w:r>
      <w:r w:rsidR="09A5F16C" w:rsidRPr="004C70EC">
        <w:rPr>
          <w:rFonts w:eastAsia="Times New Roman"/>
          <w:noProof/>
          <w:color w:val="000000" w:themeColor="text1"/>
        </w:rPr>
        <w:t xml:space="preserve">sations </w:t>
      </w:r>
      <w:r w:rsidR="73F39BB7" w:rsidRPr="004C70EC">
        <w:rPr>
          <w:rFonts w:eastAsia="Times New Roman"/>
          <w:noProof/>
          <w:color w:val="000000" w:themeColor="text1"/>
        </w:rPr>
        <w:t>will be reduced from 75 days to 47 days</w:t>
      </w:r>
      <w:r w:rsidR="7D420F2C" w:rsidRPr="004C70EC">
        <w:rPr>
          <w:rFonts w:eastAsia="Times New Roman"/>
          <w:noProof/>
          <w:color w:val="000000" w:themeColor="text1"/>
        </w:rPr>
        <w:t xml:space="preserve"> from submission to decision</w:t>
      </w:r>
      <w:r w:rsidR="73F39BB7" w:rsidRPr="004C70EC">
        <w:rPr>
          <w:rFonts w:eastAsia="Times New Roman"/>
          <w:noProof/>
          <w:color w:val="000000" w:themeColor="text1"/>
        </w:rPr>
        <w:t xml:space="preserve">. </w:t>
      </w:r>
      <w:r w:rsidR="007D2E05" w:rsidRPr="004C70EC">
        <w:rPr>
          <w:rFonts w:eastAsia="Times New Roman"/>
          <w:noProof/>
          <w:color w:val="000000" w:themeColor="text1"/>
        </w:rPr>
        <w:t>Given</w:t>
      </w:r>
      <w:r w:rsidRPr="004C70EC">
        <w:rPr>
          <w:rFonts w:eastAsia="Times New Roman"/>
          <w:noProof/>
          <w:color w:val="000000" w:themeColor="text1"/>
        </w:rPr>
        <w:t xml:space="preserve"> the growing scientific and regulatory expertise </w:t>
      </w:r>
      <w:r w:rsidR="00AF1618" w:rsidRPr="004C70EC">
        <w:rPr>
          <w:rFonts w:eastAsia="Times New Roman"/>
          <w:noProof/>
          <w:color w:val="000000" w:themeColor="text1"/>
        </w:rPr>
        <w:t xml:space="preserve">in </w:t>
      </w:r>
      <w:r w:rsidRPr="004C70EC">
        <w:rPr>
          <w:rFonts w:eastAsia="Times New Roman"/>
          <w:noProof/>
          <w:color w:val="000000" w:themeColor="text1"/>
        </w:rPr>
        <w:t xml:space="preserve">ATMPs, the additional 50 days for assessing these products will be eliminated. The </w:t>
      </w:r>
      <w:r w:rsidR="003506C9" w:rsidRPr="004C70EC">
        <w:rPr>
          <w:rFonts w:eastAsia="Times New Roman"/>
          <w:noProof/>
          <w:color w:val="000000" w:themeColor="text1"/>
        </w:rPr>
        <w:t>a</w:t>
      </w:r>
      <w:r w:rsidRPr="004C70EC">
        <w:rPr>
          <w:rFonts w:eastAsia="Times New Roman"/>
          <w:noProof/>
          <w:color w:val="000000" w:themeColor="text1"/>
        </w:rPr>
        <w:t>ssessment period for substantial modifications will be reduced from 9</w:t>
      </w:r>
      <w:r w:rsidR="6CA79E16" w:rsidRPr="004C70EC">
        <w:rPr>
          <w:rFonts w:eastAsia="Times New Roman"/>
          <w:noProof/>
          <w:color w:val="000000" w:themeColor="text1"/>
        </w:rPr>
        <w:t>6</w:t>
      </w:r>
      <w:r w:rsidRPr="004C70EC">
        <w:rPr>
          <w:rFonts w:eastAsia="Times New Roman"/>
          <w:noProof/>
          <w:color w:val="000000" w:themeColor="text1"/>
        </w:rPr>
        <w:t xml:space="preserve"> days to 4</w:t>
      </w:r>
      <w:r w:rsidR="4E8857C1" w:rsidRPr="004C70EC">
        <w:rPr>
          <w:rFonts w:eastAsia="Times New Roman"/>
          <w:noProof/>
          <w:color w:val="000000" w:themeColor="text1"/>
        </w:rPr>
        <w:t>7</w:t>
      </w:r>
      <w:r w:rsidRPr="004C70EC">
        <w:rPr>
          <w:rFonts w:eastAsia="Times New Roman"/>
          <w:noProof/>
          <w:color w:val="000000" w:themeColor="text1"/>
        </w:rPr>
        <w:t xml:space="preserve"> days, with options for parallel substantial modifications. </w:t>
      </w:r>
      <w:r w:rsidR="4E8F7B68" w:rsidRPr="004C70EC">
        <w:rPr>
          <w:rFonts w:eastAsia="Times New Roman"/>
          <w:noProof/>
          <w:color w:val="000000" w:themeColor="text1"/>
        </w:rPr>
        <w:t xml:space="preserve">If there is no request for information to sponsor, the timelines </w:t>
      </w:r>
      <w:r w:rsidR="6CC347F7" w:rsidRPr="004C70EC">
        <w:rPr>
          <w:rFonts w:eastAsia="Times New Roman"/>
          <w:noProof/>
          <w:color w:val="000000" w:themeColor="text1"/>
        </w:rPr>
        <w:t xml:space="preserve">for the assessment of substantial modifications </w:t>
      </w:r>
      <w:r w:rsidR="4E8F7B68" w:rsidRPr="004C70EC">
        <w:rPr>
          <w:rFonts w:eastAsia="Times New Roman"/>
          <w:noProof/>
          <w:color w:val="000000" w:themeColor="text1"/>
        </w:rPr>
        <w:t>will be reduced from</w:t>
      </w:r>
      <w:r w:rsidRPr="004C70EC">
        <w:rPr>
          <w:rFonts w:eastAsia="Times New Roman"/>
          <w:noProof/>
          <w:color w:val="000000" w:themeColor="text1"/>
        </w:rPr>
        <w:t xml:space="preserve"> </w:t>
      </w:r>
      <w:r w:rsidR="26499397" w:rsidRPr="004C70EC">
        <w:rPr>
          <w:rFonts w:eastAsia="Times New Roman"/>
          <w:noProof/>
          <w:color w:val="000000" w:themeColor="text1"/>
        </w:rPr>
        <w:t>64 days to 33 days from submission till decision.</w:t>
      </w:r>
      <w:r w:rsidRPr="004C70EC">
        <w:rPr>
          <w:rFonts w:eastAsia="Times New Roman"/>
          <w:noProof/>
          <w:color w:val="000000" w:themeColor="text1"/>
        </w:rPr>
        <w:t xml:space="preserve"> The </w:t>
      </w:r>
      <w:r w:rsidR="00911D1C" w:rsidRPr="004C70EC">
        <w:rPr>
          <w:rFonts w:eastAsia="Times New Roman"/>
          <w:noProof/>
          <w:color w:val="000000" w:themeColor="text1"/>
        </w:rPr>
        <w:t>r</w:t>
      </w:r>
      <w:r w:rsidRPr="004C70EC">
        <w:rPr>
          <w:rFonts w:eastAsia="Times New Roman"/>
          <w:noProof/>
          <w:color w:val="000000" w:themeColor="text1"/>
        </w:rPr>
        <w:t>eporting Member State</w:t>
      </w:r>
      <w:r w:rsidR="00911D1C" w:rsidRPr="004C70EC">
        <w:rPr>
          <w:rFonts w:eastAsia="Times New Roman"/>
          <w:noProof/>
          <w:color w:val="000000" w:themeColor="text1"/>
        </w:rPr>
        <w:t>’s role</w:t>
      </w:r>
      <w:r w:rsidRPr="004C70EC">
        <w:rPr>
          <w:rFonts w:eastAsia="Times New Roman"/>
          <w:noProof/>
          <w:color w:val="000000" w:themeColor="text1"/>
        </w:rPr>
        <w:t xml:space="preserve"> will be strengthened </w:t>
      </w:r>
      <w:r w:rsidR="00F6563B" w:rsidRPr="004C70EC">
        <w:rPr>
          <w:rFonts w:eastAsia="Times New Roman"/>
          <w:noProof/>
          <w:color w:val="000000" w:themeColor="text1"/>
        </w:rPr>
        <w:t>so that it can</w:t>
      </w:r>
      <w:r w:rsidRPr="004C70EC">
        <w:rPr>
          <w:rFonts w:eastAsia="Times New Roman"/>
          <w:noProof/>
          <w:color w:val="000000" w:themeColor="text1"/>
        </w:rPr>
        <w:t xml:space="preserve"> lead the scientific, ethical, and regulatory assessment </w:t>
      </w:r>
      <w:r w:rsidR="00C77653" w:rsidRPr="004C70EC">
        <w:rPr>
          <w:rFonts w:eastAsia="Times New Roman"/>
          <w:noProof/>
          <w:color w:val="000000" w:themeColor="text1"/>
        </w:rPr>
        <w:t xml:space="preserve">harnessing </w:t>
      </w:r>
      <w:r w:rsidRPr="004C70EC">
        <w:rPr>
          <w:rFonts w:eastAsia="Times New Roman"/>
          <w:noProof/>
          <w:color w:val="000000" w:themeColor="text1"/>
        </w:rPr>
        <w:t xml:space="preserve">mutual trust </w:t>
      </w:r>
      <w:r w:rsidR="00C77653" w:rsidRPr="004C70EC">
        <w:rPr>
          <w:rFonts w:eastAsia="Times New Roman"/>
          <w:noProof/>
          <w:color w:val="000000" w:themeColor="text1"/>
        </w:rPr>
        <w:t xml:space="preserve">between </w:t>
      </w:r>
      <w:r w:rsidRPr="004C70EC">
        <w:rPr>
          <w:rFonts w:eastAsia="Times New Roman"/>
          <w:noProof/>
          <w:color w:val="000000" w:themeColor="text1"/>
        </w:rPr>
        <w:t>Member States</w:t>
      </w:r>
      <w:r w:rsidR="00FC3B7E" w:rsidRPr="004C70EC">
        <w:rPr>
          <w:rFonts w:eastAsia="Times New Roman"/>
          <w:noProof/>
          <w:color w:val="000000" w:themeColor="text1"/>
        </w:rPr>
        <w:t xml:space="preserve"> and reliance on the assessment of </w:t>
      </w:r>
      <w:r w:rsidR="00BD6B9E" w:rsidRPr="004C70EC">
        <w:rPr>
          <w:rFonts w:eastAsia="Times New Roman"/>
          <w:noProof/>
          <w:color w:val="000000" w:themeColor="text1"/>
        </w:rPr>
        <w:t>the reporting Member State</w:t>
      </w:r>
      <w:r w:rsidRPr="004C70EC">
        <w:rPr>
          <w:rFonts w:eastAsia="Times New Roman"/>
          <w:noProof/>
          <w:color w:val="000000" w:themeColor="text1"/>
        </w:rPr>
        <w:t>. Communication between sponsors and Member States will be improved during assessments. A single</w:t>
      </w:r>
      <w:r w:rsidR="00040387" w:rsidRPr="004C70EC">
        <w:rPr>
          <w:rFonts w:eastAsia="Times New Roman"/>
          <w:noProof/>
          <w:color w:val="000000" w:themeColor="text1"/>
        </w:rPr>
        <w:t xml:space="preserve">, core dossier for </w:t>
      </w:r>
      <w:r w:rsidRPr="004C70EC">
        <w:rPr>
          <w:rFonts w:eastAsia="Times New Roman"/>
          <w:noProof/>
          <w:color w:val="000000" w:themeColor="text1"/>
        </w:rPr>
        <w:t>investigational product</w:t>
      </w:r>
      <w:r w:rsidR="008F335D" w:rsidRPr="004C70EC">
        <w:rPr>
          <w:rFonts w:eastAsia="Times New Roman"/>
          <w:noProof/>
          <w:color w:val="000000" w:themeColor="text1"/>
        </w:rPr>
        <w:t>s</w:t>
      </w:r>
      <w:r w:rsidRPr="004C70EC" w:rsidDel="008F335D">
        <w:rPr>
          <w:rFonts w:eastAsia="Times New Roman"/>
          <w:noProof/>
          <w:color w:val="000000" w:themeColor="text1"/>
        </w:rPr>
        <w:t xml:space="preserve"> </w:t>
      </w:r>
      <w:r w:rsidRPr="004C70EC">
        <w:rPr>
          <w:rFonts w:eastAsia="Times New Roman"/>
          <w:noProof/>
          <w:color w:val="000000" w:themeColor="text1"/>
        </w:rPr>
        <w:t xml:space="preserve">will simplify clinical trials using the same investigational medicine </w:t>
      </w:r>
      <w:r w:rsidR="005B79E6" w:rsidRPr="004C70EC">
        <w:rPr>
          <w:rFonts w:eastAsia="Times New Roman"/>
          <w:noProof/>
          <w:color w:val="000000" w:themeColor="text1"/>
        </w:rPr>
        <w:t xml:space="preserve">and </w:t>
      </w:r>
      <w:r w:rsidRPr="004C70EC">
        <w:rPr>
          <w:rFonts w:eastAsia="Times New Roman"/>
          <w:noProof/>
          <w:color w:val="000000" w:themeColor="text1"/>
        </w:rPr>
        <w:t>help the conduct of registration trials and the preparation of marketing authorisation applications in Europe. Simplifications for low-intervention clinical trials will be further supported by introducing a new category of ‘minimal-intervention’ clinical trials. Mandatory EU harmonised templates will enable harmonisation. A single assessment process will be defined for combined studies involving the investigation of a medicine together with a medical device or an in-vitro diagnostic. The legal basis for</w:t>
      </w:r>
      <w:r w:rsidRPr="004C70EC" w:rsidDel="00747114">
        <w:rPr>
          <w:rFonts w:eastAsia="Times New Roman"/>
          <w:noProof/>
          <w:color w:val="000000" w:themeColor="text1"/>
        </w:rPr>
        <w:t xml:space="preserve"> </w:t>
      </w:r>
      <w:r w:rsidRPr="004C70EC">
        <w:rPr>
          <w:rFonts w:eastAsia="Times New Roman"/>
          <w:noProof/>
          <w:color w:val="000000" w:themeColor="text1"/>
        </w:rPr>
        <w:t>processing</w:t>
      </w:r>
      <w:r w:rsidRPr="004C70EC" w:rsidDel="00747114">
        <w:rPr>
          <w:rFonts w:eastAsia="Times New Roman"/>
          <w:noProof/>
          <w:color w:val="000000" w:themeColor="text1"/>
        </w:rPr>
        <w:t xml:space="preserve"> </w:t>
      </w:r>
      <w:r w:rsidRPr="004C70EC">
        <w:rPr>
          <w:rFonts w:eastAsia="Times New Roman"/>
          <w:noProof/>
          <w:color w:val="000000" w:themeColor="text1"/>
        </w:rPr>
        <w:t xml:space="preserve">personal data in clinical trials in accordance with </w:t>
      </w:r>
      <w:r w:rsidR="56E47189" w:rsidRPr="004C70EC">
        <w:rPr>
          <w:rFonts w:eastAsia="Times New Roman"/>
          <w:noProof/>
          <w:color w:val="000000" w:themeColor="text1"/>
        </w:rPr>
        <w:t xml:space="preserve">Regulation (EU) 2016/679 </w:t>
      </w:r>
      <w:r w:rsidRPr="004C70EC">
        <w:rPr>
          <w:rFonts w:eastAsia="Times New Roman"/>
          <w:noProof/>
          <w:color w:val="000000" w:themeColor="text1"/>
        </w:rPr>
        <w:t xml:space="preserve"> requirements will be harmonised. Accelerated and simplified procedures will enable multinational clinical trials </w:t>
      </w:r>
      <w:r w:rsidR="00747114" w:rsidRPr="004C70EC">
        <w:rPr>
          <w:rFonts w:eastAsia="Times New Roman"/>
          <w:noProof/>
          <w:color w:val="000000" w:themeColor="text1"/>
        </w:rPr>
        <w:t xml:space="preserve">to be carried out on </w:t>
      </w:r>
      <w:r w:rsidR="00C61A56" w:rsidRPr="004C70EC">
        <w:rPr>
          <w:rFonts w:eastAsia="Times New Roman"/>
          <w:noProof/>
          <w:color w:val="000000" w:themeColor="text1"/>
        </w:rPr>
        <w:t xml:space="preserve">in relation </w:t>
      </w:r>
      <w:r w:rsidRPr="004C70EC">
        <w:rPr>
          <w:rFonts w:eastAsia="Times New Roman"/>
          <w:noProof/>
          <w:color w:val="000000" w:themeColor="text1"/>
        </w:rPr>
        <w:t xml:space="preserve">to public health emergencies. The uptake of the use of </w:t>
      </w:r>
      <w:r w:rsidR="00C61A56" w:rsidRPr="004C70EC">
        <w:rPr>
          <w:rFonts w:eastAsia="Times New Roman"/>
          <w:noProof/>
          <w:color w:val="000000" w:themeColor="text1"/>
        </w:rPr>
        <w:t>AI</w:t>
      </w:r>
      <w:r w:rsidRPr="004C70EC">
        <w:rPr>
          <w:rFonts w:eastAsia="Times New Roman"/>
          <w:noProof/>
          <w:color w:val="000000" w:themeColor="text1"/>
        </w:rPr>
        <w:t xml:space="preserve"> systems and digitalisation in clinical trials will be fostered. Clinical trial sandboxes will be created to test innovative approaches.</w:t>
      </w:r>
      <w:r>
        <w:rPr>
          <w:rFonts w:eastAsia="Times New Roman"/>
          <w:noProof/>
          <w:color w:val="000000" w:themeColor="text1"/>
        </w:rPr>
        <w:t xml:space="preserve"> Annex I to Regulation (EU) No 536/2014 is also amended to ensure consistency with the amendments to Regulation (EC) No 1394/2007 proposed in this Regulation, regarding certain categories of advanced investigational therapy medicinal products containing or consisting of GMOs. </w:t>
      </w:r>
    </w:p>
    <w:p w14:paraId="43F07B2C" w14:textId="77777777" w:rsidR="00E934F2" w:rsidRPr="004C70EC" w:rsidRDefault="00E934F2">
      <w:pPr>
        <w:spacing w:after="240"/>
        <w:rPr>
          <w:rFonts w:eastAsia="Times New Roman"/>
          <w:i/>
          <w:noProof/>
          <w:color w:val="000000" w:themeColor="text1"/>
          <w:szCs w:val="24"/>
          <w:lang w:val="en-US" w:eastAsia="en-GB"/>
        </w:rPr>
      </w:pPr>
      <w:r w:rsidRPr="004C70EC">
        <w:rPr>
          <w:rFonts w:eastAsia="Times New Roman"/>
          <w:i/>
          <w:noProof/>
          <w:color w:val="000000" w:themeColor="text1"/>
          <w:szCs w:val="24"/>
        </w:rPr>
        <w:t xml:space="preserve">Amendments to Regulation (EU) 2019/6 (Veterinary Medicine Products Regulation) </w:t>
      </w:r>
    </w:p>
    <w:p w14:paraId="7BB22D09" w14:textId="77777777" w:rsidR="00E934F2" w:rsidRPr="004C70EC" w:rsidRDefault="5D5E70DB">
      <w:pPr>
        <w:spacing w:after="240"/>
        <w:rPr>
          <w:rFonts w:eastAsia="Times New Roman"/>
          <w:noProof/>
          <w:color w:val="000000" w:themeColor="text1"/>
          <w:lang w:eastAsia="en-GB"/>
        </w:rPr>
      </w:pPr>
      <w:r w:rsidRPr="004C70EC">
        <w:rPr>
          <w:rFonts w:eastAsia="Times New Roman"/>
          <w:noProof/>
          <w:color w:val="000000" w:themeColor="text1"/>
        </w:rPr>
        <w:t>Biological veterinary medicinal products, derived from living sources, have more complex lifecycle and variation handling than chemically synthesised medicines. Regulation (EU) 2019/6</w:t>
      </w:r>
      <w:r w:rsidRPr="004C70EC">
        <w:rPr>
          <w:rStyle w:val="FootnoteReference"/>
          <w:rFonts w:eastAsia="Times New Roman"/>
          <w:noProof/>
          <w:color w:val="000000" w:themeColor="text1"/>
        </w:rPr>
        <w:footnoteReference w:id="89"/>
      </w:r>
      <w:r w:rsidRPr="004C70EC">
        <w:rPr>
          <w:rFonts w:eastAsia="Times New Roman"/>
          <w:noProof/>
          <w:color w:val="000000" w:themeColor="text1"/>
        </w:rPr>
        <w:t xml:space="preserve"> introduced variations</w:t>
      </w:r>
      <w:r w:rsidR="002F5CE6" w:rsidRPr="004C70EC">
        <w:rPr>
          <w:rFonts w:eastAsia="Times New Roman"/>
          <w:noProof/>
          <w:color w:val="000000" w:themeColor="text1"/>
        </w:rPr>
        <w:t xml:space="preserve"> </w:t>
      </w:r>
      <w:r w:rsidRPr="004C70EC">
        <w:rPr>
          <w:rFonts w:eastAsia="Times New Roman"/>
          <w:noProof/>
          <w:color w:val="000000" w:themeColor="text1"/>
        </w:rPr>
        <w:t xml:space="preserve">not requiring assessment to </w:t>
      </w:r>
      <w:r w:rsidRPr="004C70EC" w:rsidDel="002F5CE6">
        <w:rPr>
          <w:rFonts w:eastAsia="Times New Roman"/>
          <w:noProof/>
          <w:color w:val="000000" w:themeColor="text1"/>
        </w:rPr>
        <w:t xml:space="preserve">reduce </w:t>
      </w:r>
      <w:r w:rsidRPr="004C70EC" w:rsidDel="00125640">
        <w:rPr>
          <w:rFonts w:eastAsia="Times New Roman"/>
          <w:noProof/>
          <w:color w:val="000000" w:themeColor="text1"/>
        </w:rPr>
        <w:t xml:space="preserve">administrative burden, which </w:t>
      </w:r>
      <w:r w:rsidRPr="004C70EC">
        <w:rPr>
          <w:rFonts w:eastAsia="Times New Roman"/>
          <w:noProof/>
          <w:color w:val="000000" w:themeColor="text1"/>
        </w:rPr>
        <w:t xml:space="preserve">will be further optimised in this section without affecting quality, safety, or efficacy. To cut </w:t>
      </w:r>
      <w:r w:rsidRPr="004C70EC" w:rsidDel="00125640">
        <w:rPr>
          <w:rFonts w:eastAsia="Times New Roman"/>
          <w:noProof/>
          <w:color w:val="000000" w:themeColor="text1"/>
        </w:rPr>
        <w:t>administrative burden</w:t>
      </w:r>
      <w:r w:rsidRPr="004C70EC">
        <w:rPr>
          <w:rFonts w:eastAsia="Times New Roman"/>
          <w:noProof/>
          <w:color w:val="000000" w:themeColor="text1"/>
        </w:rPr>
        <w:t xml:space="preserve"> for innovations, this section </w:t>
      </w:r>
      <w:r w:rsidRPr="004C70EC" w:rsidDel="002C19DE">
        <w:rPr>
          <w:rFonts w:eastAsia="Times New Roman"/>
          <w:noProof/>
          <w:color w:val="000000" w:themeColor="text1"/>
        </w:rPr>
        <w:t xml:space="preserve">foresees </w:t>
      </w:r>
      <w:r w:rsidRPr="004C70EC">
        <w:rPr>
          <w:rFonts w:eastAsia="Times New Roman"/>
          <w:noProof/>
          <w:color w:val="000000" w:themeColor="text1"/>
        </w:rPr>
        <w:t xml:space="preserve">that </w:t>
      </w:r>
      <w:r w:rsidRPr="004C70EC" w:rsidDel="00D65B54">
        <w:rPr>
          <w:rFonts w:eastAsia="Times New Roman"/>
          <w:noProof/>
          <w:color w:val="000000" w:themeColor="text1"/>
        </w:rPr>
        <w:t>the assessment of human health and environmental</w:t>
      </w:r>
      <w:r w:rsidRPr="004C70EC">
        <w:rPr>
          <w:rFonts w:eastAsia="Times New Roman"/>
          <w:noProof/>
          <w:color w:val="000000" w:themeColor="text1"/>
        </w:rPr>
        <w:t xml:space="preserve"> impacts of veterinary medicinal products containing genetically modified organisms should be made</w:t>
      </w:r>
      <w:r w:rsidR="006A6D2F" w:rsidRPr="004C70EC">
        <w:rPr>
          <w:rFonts w:eastAsia="Times New Roman"/>
          <w:noProof/>
          <w:color w:val="000000" w:themeColor="text1"/>
        </w:rPr>
        <w:t xml:space="preserve"> </w:t>
      </w:r>
      <w:r w:rsidRPr="004C70EC">
        <w:rPr>
          <w:rFonts w:eastAsia="Times New Roman"/>
          <w:noProof/>
          <w:color w:val="000000" w:themeColor="text1"/>
        </w:rPr>
        <w:t xml:space="preserve">solely under </w:t>
      </w:r>
      <w:r w:rsidR="005600A6" w:rsidRPr="004C70EC">
        <w:rPr>
          <w:rFonts w:eastAsia="Times New Roman"/>
          <w:noProof/>
          <w:color w:val="000000" w:themeColor="text1"/>
        </w:rPr>
        <w:t>the Environmental Risk Assessment</w:t>
      </w:r>
      <w:r w:rsidR="00233F36" w:rsidRPr="004C70EC">
        <w:rPr>
          <w:rFonts w:eastAsia="Times New Roman"/>
          <w:noProof/>
          <w:color w:val="000000" w:themeColor="text1"/>
        </w:rPr>
        <w:t xml:space="preserve"> (</w:t>
      </w:r>
      <w:r w:rsidR="005600A6" w:rsidRPr="004C70EC">
        <w:rPr>
          <w:rFonts w:eastAsia="Times New Roman"/>
          <w:noProof/>
          <w:color w:val="000000" w:themeColor="text1"/>
        </w:rPr>
        <w:t>ERA)</w:t>
      </w:r>
      <w:r w:rsidR="005600A6" w:rsidRPr="004C70EC">
        <w:rPr>
          <w:rFonts w:eastAsia="Times New Roman"/>
          <w:noProof/>
          <w:color w:val="000000" w:themeColor="text1"/>
          <w:u w:val="single"/>
        </w:rPr>
        <w:t xml:space="preserve"> pursuant to</w:t>
      </w:r>
      <w:r w:rsidR="005600A6" w:rsidRPr="004C70EC">
        <w:rPr>
          <w:rFonts w:eastAsia="Times New Roman"/>
          <w:noProof/>
          <w:color w:val="000000" w:themeColor="text1"/>
        </w:rPr>
        <w:t xml:space="preserve"> </w:t>
      </w:r>
      <w:r w:rsidRPr="004C70EC">
        <w:rPr>
          <w:rFonts w:eastAsia="Times New Roman"/>
          <w:noProof/>
          <w:color w:val="000000" w:themeColor="text1"/>
        </w:rPr>
        <w:t xml:space="preserve">Regulation (EU) 2019/6, removing the need for assessment under </w:t>
      </w:r>
      <w:r w:rsidR="6694E430" w:rsidRPr="004C70EC">
        <w:rPr>
          <w:rFonts w:eastAsia="Times New Roman"/>
          <w:noProof/>
          <w:color w:val="000000" w:themeColor="text1"/>
        </w:rPr>
        <w:t xml:space="preserve">the </w:t>
      </w:r>
      <w:r w:rsidR="59BE2AE4" w:rsidRPr="004C70EC">
        <w:rPr>
          <w:rFonts w:eastAsia="Times New Roman"/>
          <w:noProof/>
          <w:color w:val="000000" w:themeColor="text1"/>
        </w:rPr>
        <w:t xml:space="preserve">Union </w:t>
      </w:r>
      <w:r w:rsidR="6694E430" w:rsidRPr="004C70EC">
        <w:rPr>
          <w:rFonts w:eastAsia="Times New Roman"/>
          <w:noProof/>
          <w:color w:val="000000" w:themeColor="text1"/>
        </w:rPr>
        <w:t xml:space="preserve">GMO </w:t>
      </w:r>
      <w:r w:rsidR="4229FC3D" w:rsidRPr="004C70EC">
        <w:rPr>
          <w:rFonts w:eastAsia="Times New Roman"/>
          <w:noProof/>
          <w:color w:val="000000" w:themeColor="text1"/>
        </w:rPr>
        <w:t>legislation</w:t>
      </w:r>
      <w:r w:rsidRPr="004C70EC">
        <w:rPr>
          <w:rFonts w:eastAsia="Times New Roman"/>
          <w:noProof/>
          <w:color w:val="000000" w:themeColor="text1"/>
        </w:rPr>
        <w:t xml:space="preserve">, while reinforcing obligations under Regulation 2019/6. The section also clarifies that administering veterinary medicinal products does not place treated animals or their products under </w:t>
      </w:r>
      <w:r w:rsidR="74671FD9" w:rsidRPr="004C70EC">
        <w:rPr>
          <w:rFonts w:eastAsia="Times New Roman"/>
          <w:noProof/>
          <w:color w:val="000000" w:themeColor="text1"/>
        </w:rPr>
        <w:t xml:space="preserve">the </w:t>
      </w:r>
      <w:r w:rsidR="649F709A" w:rsidRPr="004C70EC">
        <w:rPr>
          <w:rFonts w:eastAsia="Times New Roman"/>
          <w:noProof/>
          <w:color w:val="000000" w:themeColor="text1"/>
        </w:rPr>
        <w:t xml:space="preserve">Union </w:t>
      </w:r>
      <w:r w:rsidR="74671FD9" w:rsidRPr="004C70EC">
        <w:rPr>
          <w:rFonts w:eastAsia="Times New Roman"/>
          <w:noProof/>
          <w:color w:val="000000" w:themeColor="text1"/>
        </w:rPr>
        <w:t xml:space="preserve">GMO </w:t>
      </w:r>
      <w:r w:rsidR="52D2EF50" w:rsidRPr="004C70EC">
        <w:rPr>
          <w:rFonts w:eastAsia="Times New Roman"/>
          <w:noProof/>
          <w:color w:val="000000" w:themeColor="text1"/>
        </w:rPr>
        <w:t>legislation</w:t>
      </w:r>
      <w:r w:rsidRPr="004C70EC">
        <w:rPr>
          <w:rFonts w:eastAsia="Times New Roman"/>
          <w:noProof/>
          <w:color w:val="000000" w:themeColor="text1"/>
        </w:rPr>
        <w:t>.</w:t>
      </w:r>
      <w:r w:rsidR="763E4029" w:rsidRPr="004C70EC">
        <w:rPr>
          <w:rFonts w:eastAsia="Times New Roman"/>
          <w:noProof/>
          <w:color w:val="000000" w:themeColor="text1"/>
        </w:rPr>
        <w:t xml:space="preserve"> </w:t>
      </w:r>
      <w:r w:rsidRPr="004C70EC">
        <w:rPr>
          <w:rFonts w:eastAsia="Times New Roman"/>
          <w:noProof/>
          <w:color w:val="000000" w:themeColor="text1"/>
        </w:rPr>
        <w:t xml:space="preserve">Also, </w:t>
      </w:r>
      <w:r w:rsidR="004AF5DB" w:rsidRPr="004C70EC">
        <w:rPr>
          <w:rFonts w:eastAsia="Times New Roman"/>
          <w:noProof/>
          <w:color w:val="000000" w:themeColor="text1"/>
        </w:rPr>
        <w:t>the Commission is empowered</w:t>
      </w:r>
      <w:r w:rsidRPr="004C70EC">
        <w:rPr>
          <w:rFonts w:eastAsia="Times New Roman"/>
          <w:noProof/>
          <w:color w:val="000000" w:themeColor="text1"/>
        </w:rPr>
        <w:t xml:space="preserve"> t</w:t>
      </w:r>
      <w:r w:rsidR="004AF5DB" w:rsidRPr="004C70EC">
        <w:rPr>
          <w:rFonts w:eastAsia="Times New Roman"/>
          <w:noProof/>
          <w:color w:val="000000" w:themeColor="text1"/>
        </w:rPr>
        <w:t xml:space="preserve">o adapt </w:t>
      </w:r>
      <w:r w:rsidRPr="004C70EC">
        <w:rPr>
          <w:rFonts w:eastAsia="Times New Roman"/>
          <w:noProof/>
          <w:color w:val="000000" w:themeColor="text1"/>
        </w:rPr>
        <w:t xml:space="preserve">technical requirements in Annex II to Regulation 2019/6 to scientific and technical progress. </w:t>
      </w:r>
      <w:r w:rsidR="00C63654" w:rsidRPr="004C70EC">
        <w:rPr>
          <w:rFonts w:eastAsia="Times New Roman"/>
          <w:noProof/>
          <w:color w:val="000000" w:themeColor="text1"/>
        </w:rPr>
        <w:t xml:space="preserve">Veterinary medicinal products developed </w:t>
      </w:r>
      <w:r w:rsidR="00CC4822" w:rsidRPr="004C70EC">
        <w:rPr>
          <w:rFonts w:eastAsia="Times New Roman"/>
          <w:noProof/>
          <w:color w:val="000000" w:themeColor="text1"/>
        </w:rPr>
        <w:t xml:space="preserve">by means of biotechnology processes to </w:t>
      </w:r>
      <w:r w:rsidR="00950916" w:rsidRPr="004C70EC">
        <w:rPr>
          <w:noProof/>
          <w:color w:val="000000" w:themeColor="text1"/>
          <w:lang w:val="en-IE"/>
        </w:rPr>
        <w:t>diagnose, treat or prevent zoonotic diseases</w:t>
      </w:r>
      <w:r w:rsidR="00C63654" w:rsidRPr="004C70EC">
        <w:rPr>
          <w:rFonts w:eastAsia="Times New Roman"/>
          <w:noProof/>
          <w:color w:val="000000" w:themeColor="text1"/>
        </w:rPr>
        <w:t xml:space="preserve"> </w:t>
      </w:r>
      <w:r w:rsidR="00950916" w:rsidRPr="004C70EC">
        <w:rPr>
          <w:rFonts w:eastAsia="Times New Roman"/>
          <w:noProof/>
          <w:color w:val="000000" w:themeColor="text1"/>
        </w:rPr>
        <w:t>are entitled to an extra year of SPC.</w:t>
      </w:r>
      <w:r w:rsidR="00C63654" w:rsidRPr="004C70EC">
        <w:rPr>
          <w:rFonts w:eastAsia="Times New Roman"/>
          <w:noProof/>
          <w:color w:val="000000" w:themeColor="text1"/>
        </w:rPr>
        <w:t xml:space="preserve"> </w:t>
      </w:r>
      <w:r w:rsidRPr="004C70EC" w:rsidDel="00725E4F">
        <w:rPr>
          <w:rFonts w:eastAsia="Times New Roman"/>
          <w:noProof/>
          <w:color w:val="000000" w:themeColor="text1"/>
        </w:rPr>
        <w:t>Finally</w:t>
      </w:r>
      <w:r w:rsidRPr="004C70EC">
        <w:rPr>
          <w:rFonts w:eastAsia="Times New Roman"/>
          <w:noProof/>
          <w:color w:val="000000" w:themeColor="text1"/>
        </w:rPr>
        <w:t>, the introduction of regulatory sandboxes for animal health innovation will allow new technologies, methods, or products to be tested, marketed</w:t>
      </w:r>
      <w:r w:rsidRPr="004C70EC" w:rsidDel="00896C82">
        <w:rPr>
          <w:rFonts w:eastAsia="Times New Roman"/>
          <w:noProof/>
          <w:color w:val="000000" w:themeColor="text1"/>
        </w:rPr>
        <w:t>,</w:t>
      </w:r>
      <w:r w:rsidRPr="004C70EC">
        <w:rPr>
          <w:rFonts w:eastAsia="Times New Roman"/>
          <w:noProof/>
          <w:color w:val="000000" w:themeColor="text1"/>
        </w:rPr>
        <w:t xml:space="preserve"> or used </w:t>
      </w:r>
      <w:r w:rsidRPr="004C70EC" w:rsidDel="00896C82">
        <w:rPr>
          <w:rFonts w:eastAsia="Times New Roman"/>
          <w:noProof/>
          <w:color w:val="000000" w:themeColor="text1"/>
        </w:rPr>
        <w:t xml:space="preserve">under </w:t>
      </w:r>
      <w:r w:rsidRPr="004C70EC">
        <w:rPr>
          <w:rFonts w:eastAsia="Times New Roman"/>
          <w:noProof/>
          <w:color w:val="000000" w:themeColor="text1"/>
        </w:rPr>
        <w:t>proportionate oversight where no specific EU legislation exists, fostering responsible innovation in veterinary medicine</w:t>
      </w:r>
    </w:p>
    <w:p w14:paraId="7D769B3E" w14:textId="77777777" w:rsidR="12ADD3F6" w:rsidRPr="004C70EC" w:rsidRDefault="00806DA7" w:rsidP="004A1163">
      <w:pPr>
        <w:spacing w:beforeAutospacing="1" w:after="240" w:afterAutospacing="1"/>
        <w:rPr>
          <w:rFonts w:eastAsia="Times New Roman"/>
          <w:i/>
          <w:noProof/>
          <w:color w:val="000000" w:themeColor="text1"/>
        </w:rPr>
      </w:pPr>
      <w:r w:rsidRPr="004C70EC">
        <w:rPr>
          <w:rFonts w:eastAsia="Times New Roman"/>
          <w:i/>
          <w:noProof/>
          <w:color w:val="000000" w:themeColor="text1"/>
        </w:rPr>
        <w:t>Amendments to Regulation (EU) 2024/795</w:t>
      </w:r>
      <w:r w:rsidR="00763385" w:rsidRPr="004C70EC">
        <w:rPr>
          <w:rFonts w:eastAsia="Times New Roman"/>
          <w:i/>
          <w:noProof/>
          <w:color w:val="000000" w:themeColor="text1"/>
        </w:rPr>
        <w:t xml:space="preserve"> (STEP Regulation)</w:t>
      </w:r>
    </w:p>
    <w:p w14:paraId="4A2E85CB" w14:textId="4D78347C" w:rsidR="5EF1E453" w:rsidRPr="004C70EC" w:rsidRDefault="00806DA7" w:rsidP="004A1163">
      <w:pPr>
        <w:spacing w:beforeAutospacing="1" w:after="240" w:afterAutospacing="1"/>
        <w:rPr>
          <w:rFonts w:eastAsia="Times New Roman"/>
          <w:b/>
          <w:noProof/>
          <w:color w:val="000000" w:themeColor="text1"/>
        </w:rPr>
      </w:pPr>
      <w:r w:rsidRPr="004C70EC">
        <w:rPr>
          <w:rFonts w:eastAsia="Times New Roman"/>
          <w:noProof/>
          <w:color w:val="000000" w:themeColor="text1"/>
        </w:rPr>
        <w:t xml:space="preserve">This provision introduce amendments to Regulation (EU) 2024/795 to establish that health biotechnology strategic projects, including high-impact health biotechnology strategic projects recognised in accordance with this Regulation are to be deemed to contribute to the STEP objectives referred to in </w:t>
      </w:r>
      <w:r w:rsidR="00F13E74" w:rsidRPr="004C70EC">
        <w:rPr>
          <w:rFonts w:eastAsia="Times New Roman"/>
          <w:noProof/>
          <w:color w:val="000000" w:themeColor="text1"/>
        </w:rPr>
        <w:t>Arti</w:t>
      </w:r>
      <w:r w:rsidR="00A37148" w:rsidRPr="004C70EC">
        <w:rPr>
          <w:rFonts w:eastAsia="Times New Roman"/>
          <w:noProof/>
          <w:color w:val="000000" w:themeColor="text1"/>
        </w:rPr>
        <w:t>cle 2</w:t>
      </w:r>
      <w:r w:rsidRPr="004C70EC">
        <w:rPr>
          <w:rFonts w:eastAsia="Times New Roman"/>
          <w:noProof/>
          <w:color w:val="000000" w:themeColor="text1"/>
        </w:rPr>
        <w:t xml:space="preserve"> paragraph 1, point (a)(iii) or point (b) of the STEP </w:t>
      </w:r>
      <w:r w:rsidR="0084207B" w:rsidRPr="004C70EC">
        <w:rPr>
          <w:rFonts w:eastAsia="Times New Roman"/>
          <w:noProof/>
          <w:color w:val="000000" w:themeColor="text1"/>
        </w:rPr>
        <w:t>Regulation, as</w:t>
      </w:r>
      <w:r w:rsidRPr="004C70EC">
        <w:rPr>
          <w:rFonts w:eastAsia="Times New Roman"/>
          <w:noProof/>
          <w:color w:val="000000" w:themeColor="text1"/>
        </w:rPr>
        <w:t xml:space="preserve"> appropriate. </w:t>
      </w:r>
    </w:p>
    <w:p w14:paraId="75CFA8B7" w14:textId="77777777" w:rsidR="00806DA7" w:rsidRPr="004C70EC" w:rsidRDefault="00806DA7" w:rsidP="00806DA7">
      <w:pPr>
        <w:pBdr>
          <w:top w:val="nil"/>
          <w:left w:val="nil"/>
          <w:bottom w:val="nil"/>
          <w:right w:val="nil"/>
          <w:between w:val="nil"/>
          <w:bar w:val="nil"/>
        </w:pBdr>
        <w:spacing w:after="240"/>
        <w:rPr>
          <w:rFonts w:eastAsia="Times New Roman"/>
          <w:i/>
          <w:noProof/>
          <w:color w:val="000000" w:themeColor="text1"/>
          <w:szCs w:val="24"/>
          <w:lang w:val="en-US" w:eastAsia="en-GB"/>
        </w:rPr>
      </w:pPr>
      <w:r w:rsidRPr="004C70EC">
        <w:rPr>
          <w:rFonts w:eastAsia="Times New Roman"/>
          <w:i/>
          <w:noProof/>
          <w:color w:val="000000" w:themeColor="text1"/>
          <w:szCs w:val="24"/>
        </w:rPr>
        <w:t xml:space="preserve">Amendment to Regulation (EU) 2024/1938 (SoHO) </w:t>
      </w:r>
    </w:p>
    <w:p w14:paraId="3A886ADE" w14:textId="77777777" w:rsidR="00806DA7" w:rsidRPr="004C70EC" w:rsidRDefault="00806DA7">
      <w:pPr>
        <w:spacing w:after="240"/>
        <w:rPr>
          <w:rFonts w:eastAsia="Times New Roman"/>
          <w:noProof/>
          <w:color w:val="000000" w:themeColor="text1"/>
          <w:lang w:eastAsia="en-GB"/>
        </w:rPr>
      </w:pPr>
      <w:r w:rsidRPr="004C70EC">
        <w:rPr>
          <w:rFonts w:eastAsia="Times New Roman"/>
          <w:noProof/>
          <w:color w:val="000000" w:themeColor="text1"/>
        </w:rPr>
        <w:t xml:space="preserve">Substances of human origin (SoHO) are a key pillar of biotechnology as they can become starting materials for innovative medicinal products. This section introduces a regulatory sandbox in the SoHO framework. It enables access to very innovative but regulatory challenging therapies and products while generating insights that can inform updates to regulatory frameworks, ensuring that they remain flexible, adaptive and fit for purpose in the face of evolving scientific and technological advancements. </w:t>
      </w:r>
    </w:p>
    <w:p w14:paraId="1E78A031" w14:textId="77777777" w:rsidR="00E934F2" w:rsidRPr="004C70EC" w:rsidRDefault="00E934F2">
      <w:pPr>
        <w:pBdr>
          <w:top w:val="nil"/>
          <w:left w:val="nil"/>
          <w:bottom w:val="nil"/>
          <w:right w:val="nil"/>
          <w:between w:val="nil"/>
          <w:bar w:val="nil"/>
        </w:pBdr>
        <w:spacing w:after="240"/>
        <w:rPr>
          <w:rFonts w:eastAsia="Times New Roman"/>
          <w:b/>
          <w:noProof/>
          <w:color w:val="000000" w:themeColor="text1"/>
          <w:szCs w:val="24"/>
          <w:lang w:eastAsia="en-GB"/>
        </w:rPr>
      </w:pPr>
      <w:r w:rsidRPr="004C70EC">
        <w:rPr>
          <w:rFonts w:eastAsia="Times New Roman"/>
          <w:b/>
          <w:noProof/>
          <w:color w:val="000000" w:themeColor="text1"/>
          <w:szCs w:val="24"/>
        </w:rPr>
        <w:t>Chapter X</w:t>
      </w:r>
      <w:r w:rsidR="00D006EF" w:rsidRPr="004C70EC">
        <w:rPr>
          <w:rFonts w:eastAsia="Times New Roman"/>
          <w:b/>
          <w:noProof/>
          <w:color w:val="000000" w:themeColor="text1"/>
          <w:szCs w:val="24"/>
        </w:rPr>
        <w:t xml:space="preserve"> </w:t>
      </w:r>
      <w:r w:rsidRPr="004C70EC">
        <w:rPr>
          <w:rFonts w:eastAsia="Times New Roman"/>
          <w:b/>
          <w:noProof/>
          <w:color w:val="000000" w:themeColor="text1"/>
          <w:szCs w:val="24"/>
        </w:rPr>
        <w:t xml:space="preserve">– Final </w:t>
      </w:r>
      <w:r w:rsidR="00681DC1" w:rsidRPr="004C70EC">
        <w:rPr>
          <w:rFonts w:eastAsia="Times New Roman"/>
          <w:b/>
          <w:noProof/>
          <w:color w:val="000000" w:themeColor="text1"/>
          <w:szCs w:val="24"/>
        </w:rPr>
        <w:t>p</w:t>
      </w:r>
      <w:r w:rsidRPr="004C70EC">
        <w:rPr>
          <w:rFonts w:eastAsia="Times New Roman"/>
          <w:b/>
          <w:noProof/>
          <w:color w:val="000000" w:themeColor="text1"/>
          <w:szCs w:val="24"/>
        </w:rPr>
        <w:t>rovisions</w:t>
      </w:r>
    </w:p>
    <w:p w14:paraId="14A62D9A" w14:textId="77777777" w:rsidR="00E934F2" w:rsidRPr="004C70EC" w:rsidRDefault="00E934F2">
      <w:pPr>
        <w:pBdr>
          <w:top w:val="nil"/>
          <w:left w:val="nil"/>
          <w:bottom w:val="nil"/>
          <w:right w:val="nil"/>
          <w:between w:val="nil"/>
          <w:bar w:val="nil"/>
        </w:pBdr>
        <w:spacing w:after="240"/>
        <w:rPr>
          <w:rFonts w:eastAsia="Times New Roman"/>
          <w:b/>
          <w:noProof/>
          <w:color w:val="000000" w:themeColor="text1"/>
          <w:szCs w:val="24"/>
          <w:lang w:eastAsia="en-GB"/>
        </w:rPr>
      </w:pPr>
      <w:r w:rsidRPr="004C70EC">
        <w:rPr>
          <w:rFonts w:eastAsia="Times New Roman"/>
          <w:noProof/>
          <w:color w:val="000000" w:themeColor="text1"/>
          <w:szCs w:val="24"/>
        </w:rPr>
        <w:t xml:space="preserve">This </w:t>
      </w:r>
      <w:r w:rsidR="000C774C" w:rsidRPr="004C70EC">
        <w:rPr>
          <w:rFonts w:eastAsia="Times New Roman"/>
          <w:noProof/>
          <w:color w:val="000000" w:themeColor="text1"/>
          <w:szCs w:val="24"/>
        </w:rPr>
        <w:t>C</w:t>
      </w:r>
      <w:r w:rsidRPr="004C70EC">
        <w:rPr>
          <w:rFonts w:eastAsia="Times New Roman"/>
          <w:noProof/>
          <w:color w:val="000000" w:themeColor="text1"/>
          <w:szCs w:val="24"/>
        </w:rPr>
        <w:t xml:space="preserve">hapter contains provisions on </w:t>
      </w:r>
      <w:r w:rsidR="000C774C" w:rsidRPr="004C70EC">
        <w:rPr>
          <w:rFonts w:eastAsia="Times New Roman"/>
          <w:noProof/>
          <w:color w:val="000000" w:themeColor="text1"/>
          <w:szCs w:val="24"/>
        </w:rPr>
        <w:t xml:space="preserve">(i) </w:t>
      </w:r>
      <w:r w:rsidRPr="004C70EC">
        <w:rPr>
          <w:rFonts w:eastAsia="Times New Roman"/>
          <w:noProof/>
          <w:color w:val="000000" w:themeColor="text1"/>
          <w:szCs w:val="24"/>
        </w:rPr>
        <w:t>monitoring</w:t>
      </w:r>
      <w:r w:rsidR="000C774C" w:rsidRPr="004C70EC">
        <w:rPr>
          <w:rFonts w:eastAsia="Times New Roman"/>
          <w:noProof/>
          <w:color w:val="000000" w:themeColor="text1"/>
          <w:szCs w:val="24"/>
        </w:rPr>
        <w:t xml:space="preserve">; (ii) </w:t>
      </w:r>
      <w:r w:rsidRPr="004C70EC">
        <w:rPr>
          <w:rFonts w:eastAsia="Times New Roman"/>
          <w:noProof/>
          <w:color w:val="000000" w:themeColor="text1"/>
          <w:szCs w:val="24"/>
        </w:rPr>
        <w:t>delegation of power</w:t>
      </w:r>
      <w:r w:rsidR="000C774C" w:rsidRPr="004C70EC">
        <w:rPr>
          <w:rFonts w:eastAsia="Times New Roman"/>
          <w:noProof/>
          <w:color w:val="000000" w:themeColor="text1"/>
          <w:szCs w:val="24"/>
        </w:rPr>
        <w:t>; (iii)</w:t>
      </w:r>
      <w:r w:rsidRPr="004C70EC">
        <w:rPr>
          <w:rFonts w:eastAsia="Times New Roman"/>
          <w:noProof/>
          <w:color w:val="000000" w:themeColor="text1"/>
          <w:szCs w:val="24"/>
        </w:rPr>
        <w:t xml:space="preserve"> committee procedure, </w:t>
      </w:r>
      <w:r w:rsidR="000C774C" w:rsidRPr="004C70EC">
        <w:rPr>
          <w:rFonts w:eastAsia="Times New Roman"/>
          <w:noProof/>
          <w:color w:val="000000" w:themeColor="text1"/>
          <w:szCs w:val="24"/>
        </w:rPr>
        <w:t xml:space="preserve">(iv) </w:t>
      </w:r>
      <w:r w:rsidRPr="004C70EC">
        <w:rPr>
          <w:rFonts w:eastAsia="Times New Roman"/>
          <w:noProof/>
          <w:color w:val="000000" w:themeColor="text1"/>
          <w:szCs w:val="24"/>
        </w:rPr>
        <w:t>an obligation for the Commission to prepare regular reports to the European Parliament and to the Council for the evaluation of this Regulation</w:t>
      </w:r>
      <w:r w:rsidR="00C30F71" w:rsidRPr="004C70EC">
        <w:rPr>
          <w:rFonts w:eastAsia="Times New Roman"/>
          <w:noProof/>
          <w:color w:val="000000" w:themeColor="text1"/>
          <w:szCs w:val="24"/>
        </w:rPr>
        <w:t>; (v)</w:t>
      </w:r>
      <w:r w:rsidRPr="004C70EC">
        <w:rPr>
          <w:rFonts w:eastAsia="Times New Roman"/>
          <w:noProof/>
          <w:color w:val="000000" w:themeColor="text1"/>
          <w:szCs w:val="24"/>
        </w:rPr>
        <w:t xml:space="preserve"> handling of confidential information, and entry into force and application.</w:t>
      </w:r>
    </w:p>
    <w:p w14:paraId="46303075" w14:textId="77777777" w:rsidR="00CB57CA" w:rsidRPr="004C70EC" w:rsidRDefault="00CB57CA" w:rsidP="00CB57CA">
      <w:pPr>
        <w:pBdr>
          <w:top w:val="nil"/>
          <w:left w:val="nil"/>
          <w:bottom w:val="nil"/>
          <w:right w:val="nil"/>
          <w:between w:val="nil"/>
          <w:bar w:val="nil"/>
        </w:pBdr>
        <w:spacing w:after="240"/>
        <w:rPr>
          <w:noProof/>
          <w:color w:val="000000" w:themeColor="text1"/>
          <w:szCs w:val="24"/>
        </w:rPr>
        <w:sectPr w:rsidR="00CB57CA" w:rsidRPr="004C70EC" w:rsidSect="007A289E">
          <w:headerReference w:type="even" r:id="rId19"/>
          <w:footerReference w:type="even" r:id="rId20"/>
          <w:footerReference w:type="default" r:id="rId21"/>
          <w:headerReference w:type="first" r:id="rId22"/>
          <w:footerReference w:type="first" r:id="rId23"/>
          <w:footnotePr>
            <w:numRestart w:val="eachSect"/>
          </w:footnotePr>
          <w:pgSz w:w="11907" w:h="16839"/>
          <w:pgMar w:top="1134" w:right="1417" w:bottom="1134" w:left="1417" w:header="709" w:footer="709" w:gutter="0"/>
          <w:cols w:space="720"/>
          <w:docGrid w:linePitch="360"/>
        </w:sectPr>
      </w:pPr>
    </w:p>
    <w:p w14:paraId="41BFC53B" w14:textId="77777777" w:rsidR="00CF0A9C" w:rsidRPr="004C70EC" w:rsidRDefault="00695939" w:rsidP="00CF0A9C">
      <w:pPr>
        <w:pStyle w:val="Rfrenceinterinstitutionnelle"/>
        <w:rPr>
          <w:noProof/>
        </w:rPr>
      </w:pPr>
      <w:r w:rsidRPr="00FE0790">
        <w:rPr>
          <w:noProof/>
        </w:rPr>
        <w:t>2025/0406 (COD)</w:t>
      </w:r>
    </w:p>
    <w:p w14:paraId="74FE4245" w14:textId="77777777" w:rsidR="002A2DB6" w:rsidRPr="004C70EC" w:rsidRDefault="00CF0A9C" w:rsidP="00CF0A9C">
      <w:pPr>
        <w:pStyle w:val="Statut"/>
        <w:rPr>
          <w:noProof/>
        </w:rPr>
      </w:pPr>
      <w:r w:rsidRPr="004C70EC">
        <w:rPr>
          <w:noProof/>
        </w:rPr>
        <w:t>Proposal for a</w:t>
      </w:r>
    </w:p>
    <w:p w14:paraId="5941491A" w14:textId="77777777" w:rsidR="002A2DB6" w:rsidRPr="004C70EC" w:rsidRDefault="00CF0A9C" w:rsidP="00CF0A9C">
      <w:pPr>
        <w:pStyle w:val="Typedudocument"/>
        <w:rPr>
          <w:noProof/>
          <w:bdr w:val="nil"/>
          <w:lang w:val="en-US" w:eastAsia="en-GB"/>
        </w:rPr>
      </w:pPr>
      <w:r w:rsidRPr="004C70EC">
        <w:rPr>
          <w:noProof/>
        </w:rPr>
        <w:t>REGULATION OF THE EUROPEAN PARLIAMENT AND OF THE COUNCIL</w:t>
      </w:r>
    </w:p>
    <w:p w14:paraId="389E43FC" w14:textId="77777777" w:rsidR="002A2DB6" w:rsidRPr="004C70EC" w:rsidRDefault="00CF0A9C" w:rsidP="00CF0A9C">
      <w:pPr>
        <w:pStyle w:val="Titreobjet"/>
        <w:rPr>
          <w:noProof/>
        </w:rPr>
      </w:pPr>
      <w:r w:rsidRPr="004C70EC">
        <w:rPr>
          <w:noProof/>
        </w:rPr>
        <w:t>on establishing a framework of measures for strengthening Union’s biotechnology and biomanufacturing sectors particularly in the area of health and amending Regulations (EC) No 178/2002, (EC) No 1394/2007, (EU) No 536/2014, (EU) 2019/6, (EU) 2024/795 and (EU) 2024/1938 (European Biotech Act)</w:t>
      </w:r>
    </w:p>
    <w:p w14:paraId="2AA2F6B6" w14:textId="77777777" w:rsidR="00273F36" w:rsidRPr="004C70EC" w:rsidRDefault="00CF0A9C" w:rsidP="00CF0A9C">
      <w:pPr>
        <w:pStyle w:val="IntrtEEE"/>
        <w:rPr>
          <w:noProof/>
        </w:rPr>
      </w:pPr>
      <w:r w:rsidRPr="004C70EC">
        <w:rPr>
          <w:noProof/>
        </w:rPr>
        <w:t>(Text with EEA relevance)</w:t>
      </w:r>
    </w:p>
    <w:p w14:paraId="48DF67A1" w14:textId="77777777" w:rsidR="001807CA" w:rsidRPr="004C70EC" w:rsidRDefault="001807CA" w:rsidP="001807CA">
      <w:pPr>
        <w:pStyle w:val="Institutionquiagit"/>
        <w:rPr>
          <w:noProof/>
          <w:color w:val="000000" w:themeColor="text1"/>
        </w:rPr>
      </w:pPr>
      <w:r w:rsidRPr="004C70EC">
        <w:rPr>
          <w:noProof/>
          <w:color w:val="000000" w:themeColor="text1"/>
        </w:rPr>
        <w:t>THE EUROPEAN PARLIAMENT AND THE COUNCIL OF THE EUROPEAN UNION,</w:t>
      </w:r>
    </w:p>
    <w:p w14:paraId="3D975837" w14:textId="77777777" w:rsidR="00273F36" w:rsidRPr="004C70EC" w:rsidRDefault="00273F36" w:rsidP="00273F36">
      <w:pPr>
        <w:rPr>
          <w:noProof/>
          <w:color w:val="000000" w:themeColor="text1"/>
          <w:szCs w:val="24"/>
        </w:rPr>
      </w:pPr>
      <w:r w:rsidRPr="004C70EC">
        <w:rPr>
          <w:noProof/>
          <w:color w:val="000000" w:themeColor="text1"/>
          <w:szCs w:val="24"/>
        </w:rPr>
        <w:t xml:space="preserve">Having regard to the Treaty on the Functioning of the European Union, and in particular Articles 114, 168(4) and 173(3) thereof, </w:t>
      </w:r>
    </w:p>
    <w:p w14:paraId="72200FD1" w14:textId="77777777" w:rsidR="00273F36" w:rsidRPr="004C70EC" w:rsidRDefault="00273F36" w:rsidP="00273F36">
      <w:pPr>
        <w:rPr>
          <w:noProof/>
          <w:color w:val="000000" w:themeColor="text1"/>
          <w:szCs w:val="24"/>
        </w:rPr>
      </w:pPr>
      <w:r w:rsidRPr="004C70EC">
        <w:rPr>
          <w:noProof/>
          <w:color w:val="000000" w:themeColor="text1"/>
          <w:szCs w:val="24"/>
        </w:rPr>
        <w:t>Having regard to the proposal from the European Commission,</w:t>
      </w:r>
    </w:p>
    <w:p w14:paraId="530BBCF6" w14:textId="77777777" w:rsidR="00273F36" w:rsidRPr="004C70EC" w:rsidRDefault="00273F36" w:rsidP="00273F36">
      <w:pPr>
        <w:rPr>
          <w:noProof/>
          <w:color w:val="000000" w:themeColor="text1"/>
          <w:szCs w:val="24"/>
        </w:rPr>
      </w:pPr>
      <w:r w:rsidRPr="004C70EC">
        <w:rPr>
          <w:noProof/>
          <w:color w:val="000000" w:themeColor="text1"/>
          <w:szCs w:val="24"/>
        </w:rPr>
        <w:t>After transmission of the draft legislative act to the national parliaments,</w:t>
      </w:r>
    </w:p>
    <w:p w14:paraId="045D02E9" w14:textId="77777777" w:rsidR="00273F36" w:rsidRPr="004C70EC" w:rsidRDefault="00273F36" w:rsidP="00273F36">
      <w:pPr>
        <w:rPr>
          <w:noProof/>
          <w:color w:val="000000" w:themeColor="text1"/>
          <w:szCs w:val="24"/>
        </w:rPr>
      </w:pPr>
      <w:r w:rsidRPr="004C70EC">
        <w:rPr>
          <w:noProof/>
          <w:color w:val="000000" w:themeColor="text1"/>
          <w:szCs w:val="24"/>
        </w:rPr>
        <w:t xml:space="preserve">Having regard to the opinion of the European Economic and Social Committee, </w:t>
      </w:r>
    </w:p>
    <w:p w14:paraId="7F455A71" w14:textId="77777777" w:rsidR="00273F36" w:rsidRPr="004C70EC" w:rsidRDefault="00273F36" w:rsidP="00273F36">
      <w:pPr>
        <w:rPr>
          <w:noProof/>
          <w:color w:val="000000" w:themeColor="text1"/>
          <w:szCs w:val="24"/>
        </w:rPr>
      </w:pPr>
      <w:r w:rsidRPr="004C70EC">
        <w:rPr>
          <w:noProof/>
          <w:color w:val="000000" w:themeColor="text1"/>
          <w:szCs w:val="24"/>
        </w:rPr>
        <w:t xml:space="preserve">Having regard to the opinion of the Committee of the Regions, </w:t>
      </w:r>
    </w:p>
    <w:p w14:paraId="22AB8AED" w14:textId="77777777" w:rsidR="00273F36" w:rsidRPr="004C70EC" w:rsidRDefault="00273F36" w:rsidP="00273F36">
      <w:pPr>
        <w:rPr>
          <w:noProof/>
          <w:color w:val="000000" w:themeColor="text1"/>
          <w:szCs w:val="24"/>
        </w:rPr>
      </w:pPr>
      <w:r w:rsidRPr="004C70EC">
        <w:rPr>
          <w:noProof/>
          <w:color w:val="000000" w:themeColor="text1"/>
          <w:szCs w:val="24"/>
        </w:rPr>
        <w:t>Acting in accordance with the ordinary legislative procedure,</w:t>
      </w:r>
    </w:p>
    <w:p w14:paraId="29FD72E7" w14:textId="77777777" w:rsidR="00273F36" w:rsidRPr="004C70EC" w:rsidRDefault="00273F36" w:rsidP="00273F36">
      <w:pPr>
        <w:rPr>
          <w:noProof/>
          <w:color w:val="000000" w:themeColor="text1"/>
          <w:szCs w:val="24"/>
        </w:rPr>
      </w:pPr>
      <w:r w:rsidRPr="004C70EC">
        <w:rPr>
          <w:noProof/>
          <w:color w:val="000000" w:themeColor="text1"/>
          <w:szCs w:val="24"/>
        </w:rPr>
        <w:t>Whereas:</w:t>
      </w:r>
    </w:p>
    <w:p w14:paraId="7B2DC25C" w14:textId="3D053F60" w:rsidR="00431990" w:rsidRPr="004C70EC" w:rsidRDefault="00C03A23" w:rsidP="00C03A23">
      <w:pPr>
        <w:pStyle w:val="ManualConsidrant"/>
        <w:rPr>
          <w:noProof/>
          <w:shd w:val="clear" w:color="auto" w:fill="FFFFFF"/>
          <w:lang w:eastAsia="de-DE"/>
        </w:rPr>
      </w:pPr>
      <w:r w:rsidRPr="00C03A23">
        <w:rPr>
          <w:noProof/>
        </w:rPr>
        <w:t>(1)</w:t>
      </w:r>
      <w:r w:rsidRPr="00C03A23">
        <w:rPr>
          <w:noProof/>
        </w:rPr>
        <w:tab/>
      </w:r>
      <w:r w:rsidR="00273F36" w:rsidRPr="004C70EC">
        <w:rPr>
          <w:noProof/>
          <w:shd w:val="clear" w:color="auto" w:fill="FFFFFF"/>
          <w:lang w:eastAsia="de-DE"/>
        </w:rPr>
        <w:t>Biotechnology is a strategic technology central for the Union’s competitiveness, strategic autonomy and innovation leadership.</w:t>
      </w:r>
      <w:r w:rsidR="00273F36" w:rsidRPr="004C70EC">
        <w:rPr>
          <w:noProof/>
          <w:lang w:eastAsia="de-DE"/>
        </w:rPr>
        <w:t xml:space="preserve"> It has applications across several sectors, with prominence in the health area.  </w:t>
      </w:r>
      <w:r w:rsidR="00273F36" w:rsidRPr="004C70EC">
        <w:rPr>
          <w:noProof/>
          <w:shd w:val="clear" w:color="auto" w:fill="FFFFFF"/>
          <w:lang w:eastAsia="de-DE"/>
        </w:rPr>
        <w:t xml:space="preserve">In 2021, the </w:t>
      </w:r>
      <w:r w:rsidR="00605F92" w:rsidRPr="004C70EC">
        <w:rPr>
          <w:noProof/>
          <w:shd w:val="clear" w:color="auto" w:fill="FFFFFF"/>
          <w:lang w:eastAsia="de-DE"/>
        </w:rPr>
        <w:t xml:space="preserve">Union </w:t>
      </w:r>
      <w:r w:rsidR="00273F36" w:rsidRPr="004C70EC">
        <w:rPr>
          <w:noProof/>
          <w:shd w:val="clear" w:color="auto" w:fill="FFFFFF"/>
          <w:lang w:eastAsia="de-DE"/>
        </w:rPr>
        <w:t>was the second largest contributor to the global value of biotechnologies.</w:t>
      </w:r>
      <w:r w:rsidR="00273F36" w:rsidRPr="004C70EC">
        <w:rPr>
          <w:noProof/>
          <w:lang w:eastAsia="de-DE"/>
        </w:rPr>
        <w:t xml:space="preserve"> </w:t>
      </w:r>
      <w:r w:rsidR="00273F36" w:rsidRPr="004C70EC">
        <w:rPr>
          <w:noProof/>
          <w:shd w:val="clear" w:color="auto" w:fill="FFFFFF"/>
          <w:lang w:eastAsia="de-DE"/>
        </w:rPr>
        <w:t xml:space="preserve">Between 2008 and 2018, the biotechnology industry in the </w:t>
      </w:r>
      <w:r w:rsidR="00605F92" w:rsidRPr="004C70EC">
        <w:rPr>
          <w:noProof/>
          <w:shd w:val="clear" w:color="auto" w:fill="FFFFFF"/>
          <w:lang w:eastAsia="de-DE"/>
        </w:rPr>
        <w:t xml:space="preserve">Union </w:t>
      </w:r>
      <w:r w:rsidR="00273F36" w:rsidRPr="004C70EC">
        <w:rPr>
          <w:noProof/>
          <w:shd w:val="clear" w:color="auto" w:fill="FFFFFF"/>
          <w:lang w:eastAsia="de-DE"/>
        </w:rPr>
        <w:t xml:space="preserve">grew more than twice as fast as the overall economy, making it one of the fastest growing innovative industries in the </w:t>
      </w:r>
      <w:r w:rsidR="00605F92" w:rsidRPr="004C70EC">
        <w:rPr>
          <w:noProof/>
          <w:shd w:val="clear" w:color="auto" w:fill="FFFFFF"/>
          <w:lang w:eastAsia="de-DE"/>
        </w:rPr>
        <w:t>Union</w:t>
      </w:r>
      <w:r w:rsidR="00273F36" w:rsidRPr="004C70EC">
        <w:rPr>
          <w:noProof/>
          <w:shd w:val="clear" w:color="auto" w:fill="FFFFFF"/>
          <w:lang w:eastAsia="de-DE"/>
        </w:rPr>
        <w:t xml:space="preserve">. Health biotechnology specifically contributes over 80% to the value of the overall biotechnology market and it is a key driver of today’s innovative medical industry. Biological medicines, including biosimilars count for 40% of overall pharmaceutical sales in the </w:t>
      </w:r>
      <w:r w:rsidR="00605F92" w:rsidRPr="004C70EC">
        <w:rPr>
          <w:noProof/>
          <w:shd w:val="clear" w:color="auto" w:fill="FFFFFF"/>
          <w:lang w:eastAsia="de-DE"/>
        </w:rPr>
        <w:t>Union</w:t>
      </w:r>
      <w:r w:rsidR="00273F36" w:rsidRPr="004C70EC">
        <w:rPr>
          <w:noProof/>
          <w:shd w:val="clear" w:color="auto" w:fill="FFFFFF"/>
          <w:lang w:eastAsia="de-DE"/>
        </w:rPr>
        <w:t>.</w:t>
      </w:r>
    </w:p>
    <w:p w14:paraId="25863756" w14:textId="3C810763" w:rsidR="00BC5799" w:rsidRPr="004C70EC" w:rsidRDefault="00C03A23" w:rsidP="00C03A23">
      <w:pPr>
        <w:pStyle w:val="ManualConsidrant"/>
        <w:rPr>
          <w:noProof/>
          <w:shd w:val="clear" w:color="auto" w:fill="FFFFFF"/>
          <w:lang w:val="en-IE" w:eastAsia="de-DE"/>
        </w:rPr>
      </w:pPr>
      <w:r w:rsidRPr="00C03A23">
        <w:rPr>
          <w:noProof/>
        </w:rPr>
        <w:t>(2)</w:t>
      </w:r>
      <w:r w:rsidRPr="00C03A23">
        <w:rPr>
          <w:noProof/>
        </w:rPr>
        <w:tab/>
      </w:r>
      <w:r w:rsidR="430AD4AF" w:rsidRPr="004C70EC">
        <w:rPr>
          <w:noProof/>
          <w:lang w:val="en-IE" w:eastAsia="de-DE"/>
        </w:rPr>
        <w:t xml:space="preserve">While recognised globally for its scientific excellence, the Union continues to face structural challenges in translating cutting-edge research and innovation into large-scale development, testing, manufacturing and deployment of biotechnology. As a result, the significant potential of biotechnology applications across several sectors to contribute to major societal challenges, modernise the Union economy and strengthen Union strategic autonomy and security remains largely underexploited. </w:t>
      </w:r>
    </w:p>
    <w:p w14:paraId="2905B815" w14:textId="156771AF" w:rsidR="00A01F85" w:rsidRPr="004C70EC" w:rsidRDefault="00C03A23" w:rsidP="00C03A23">
      <w:pPr>
        <w:pStyle w:val="ManualConsidrant"/>
        <w:rPr>
          <w:noProof/>
          <w:shd w:val="clear" w:color="auto" w:fill="FFFFFF"/>
          <w:lang w:val="en-IE" w:eastAsia="de-DE"/>
        </w:rPr>
      </w:pPr>
      <w:r w:rsidRPr="00C03A23">
        <w:rPr>
          <w:noProof/>
        </w:rPr>
        <w:t>(3)</w:t>
      </w:r>
      <w:r w:rsidRPr="00C03A23">
        <w:rPr>
          <w:noProof/>
        </w:rPr>
        <w:tab/>
      </w:r>
      <w:r w:rsidR="430AD4AF" w:rsidRPr="004C70EC">
        <w:rPr>
          <w:noProof/>
          <w:lang w:val="en-IE" w:eastAsia="de-DE"/>
        </w:rPr>
        <w:t xml:space="preserve">This is due in particular to limited access to risk capital and other sources of funding, skills shortages within the internal </w:t>
      </w:r>
      <w:r w:rsidR="2CA9D94D" w:rsidRPr="004C70EC">
        <w:rPr>
          <w:noProof/>
          <w:lang w:val="en-IE" w:eastAsia="de-DE"/>
        </w:rPr>
        <w:t>market, slow</w:t>
      </w:r>
      <w:r w:rsidR="430AD4AF" w:rsidRPr="004C70EC">
        <w:rPr>
          <w:noProof/>
          <w:lang w:val="en-IE" w:eastAsia="de-DE"/>
        </w:rPr>
        <w:t xml:space="preserve"> permitting processes that hinder the timely deployment of projects and initiatives aiming to bring biotechnology innovations to the market</w:t>
      </w:r>
      <w:r w:rsidR="37516D27" w:rsidRPr="004C70EC">
        <w:rPr>
          <w:noProof/>
          <w:lang w:val="en-IE" w:eastAsia="de-DE"/>
        </w:rPr>
        <w:t xml:space="preserve">, as well as fragmented and at times complex regulatory frameworks. </w:t>
      </w:r>
    </w:p>
    <w:p w14:paraId="5B73CF4D" w14:textId="62C407AD" w:rsidR="00BC5799" w:rsidRPr="004C70EC" w:rsidRDefault="00C03A23" w:rsidP="00C03A23">
      <w:pPr>
        <w:pStyle w:val="ManualConsidrant"/>
        <w:rPr>
          <w:noProof/>
          <w:shd w:val="clear" w:color="auto" w:fill="FFFFFF"/>
          <w:lang w:val="en-IE" w:eastAsia="de-DE"/>
        </w:rPr>
      </w:pPr>
      <w:r w:rsidRPr="00C03A23">
        <w:rPr>
          <w:noProof/>
        </w:rPr>
        <w:t>(4)</w:t>
      </w:r>
      <w:r w:rsidRPr="00C03A23">
        <w:rPr>
          <w:noProof/>
        </w:rPr>
        <w:tab/>
      </w:r>
      <w:r w:rsidR="430AD4AF" w:rsidRPr="004C70EC">
        <w:rPr>
          <w:noProof/>
          <w:lang w:val="en-IE" w:eastAsia="de-DE"/>
        </w:rPr>
        <w:t xml:space="preserve">To address this competitiveness gap, this Regulation should aim to improve the functioning of the internal market by establishing a framework to strengthen the competitiveness of the health biotechnology sector from research </w:t>
      </w:r>
      <w:r w:rsidR="197C2D03" w:rsidRPr="004C70EC">
        <w:rPr>
          <w:noProof/>
          <w:lang w:val="en-IE" w:eastAsia="de-DE"/>
        </w:rPr>
        <w:t>and innovation</w:t>
      </w:r>
      <w:r w:rsidR="430AD4AF" w:rsidRPr="004C70EC">
        <w:rPr>
          <w:noProof/>
          <w:lang w:val="en-IE" w:eastAsia="de-DE"/>
        </w:rPr>
        <w:t xml:space="preserve"> to production, to create the conditions for </w:t>
      </w:r>
      <w:r w:rsidR="15C3A224" w:rsidRPr="004C70EC">
        <w:rPr>
          <w:noProof/>
          <w:lang w:val="en-IE" w:eastAsia="de-DE"/>
        </w:rPr>
        <w:t>resear</w:t>
      </w:r>
      <w:r w:rsidR="3BD83734" w:rsidRPr="004C70EC">
        <w:rPr>
          <w:noProof/>
          <w:lang w:val="en-IE" w:eastAsia="de-DE"/>
        </w:rPr>
        <w:t xml:space="preserve">ch, </w:t>
      </w:r>
      <w:r w:rsidR="430AD4AF" w:rsidRPr="004C70EC">
        <w:rPr>
          <w:noProof/>
          <w:lang w:val="en-IE" w:eastAsia="de-DE"/>
        </w:rPr>
        <w:t>development</w:t>
      </w:r>
      <w:r w:rsidR="3BD83734" w:rsidRPr="004C70EC">
        <w:rPr>
          <w:noProof/>
          <w:lang w:val="en-IE" w:eastAsia="de-DE"/>
        </w:rPr>
        <w:t xml:space="preserve">, </w:t>
      </w:r>
      <w:r w:rsidR="430AD4AF" w:rsidRPr="004C70EC">
        <w:rPr>
          <w:noProof/>
          <w:lang w:val="en-IE" w:eastAsia="de-DE"/>
        </w:rPr>
        <w:t xml:space="preserve">timely placing on the Union market </w:t>
      </w:r>
      <w:r w:rsidR="3BD83734" w:rsidRPr="004C70EC">
        <w:rPr>
          <w:noProof/>
          <w:lang w:val="en-IE" w:eastAsia="de-DE"/>
        </w:rPr>
        <w:t xml:space="preserve">and production </w:t>
      </w:r>
      <w:r w:rsidR="430AD4AF" w:rsidRPr="004C70EC">
        <w:rPr>
          <w:noProof/>
          <w:lang w:val="en-IE" w:eastAsia="de-DE"/>
        </w:rPr>
        <w:t xml:space="preserve">of </w:t>
      </w:r>
      <w:r w:rsidR="02FD2C88" w:rsidRPr="004C70EC">
        <w:rPr>
          <w:noProof/>
          <w:lang w:val="en-IE" w:eastAsia="de-DE"/>
        </w:rPr>
        <w:t xml:space="preserve">health </w:t>
      </w:r>
      <w:r w:rsidR="430AD4AF" w:rsidRPr="004C70EC">
        <w:rPr>
          <w:noProof/>
          <w:lang w:val="en-IE" w:eastAsia="de-DE"/>
        </w:rPr>
        <w:t>biotechnology innovations, products and services, including by simplifying and streamlining the Union legislative framework</w:t>
      </w:r>
      <w:r w:rsidR="41F06F8C" w:rsidRPr="004C70EC">
        <w:rPr>
          <w:noProof/>
          <w:lang w:val="en-IE" w:eastAsia="de-DE"/>
        </w:rPr>
        <w:t>s</w:t>
      </w:r>
      <w:r w:rsidR="430AD4AF" w:rsidRPr="004C70EC">
        <w:rPr>
          <w:noProof/>
          <w:lang w:val="en-IE" w:eastAsia="de-DE"/>
        </w:rPr>
        <w:t>, while safeguarding high standards for the protection of human and animal health, patients, the environment, ethics, quality, food and feed safety and biosecurity.</w:t>
      </w:r>
    </w:p>
    <w:p w14:paraId="04E4965E" w14:textId="0FC7102B" w:rsidR="00B92347" w:rsidRPr="004C70EC" w:rsidRDefault="00C03A23" w:rsidP="00C03A23">
      <w:pPr>
        <w:pStyle w:val="ManualConsidrant"/>
        <w:rPr>
          <w:noProof/>
          <w:shd w:val="clear" w:color="auto" w:fill="FFFFFF"/>
          <w:lang w:val="en-IE" w:eastAsia="de-DE"/>
        </w:rPr>
      </w:pPr>
      <w:r w:rsidRPr="00C03A23">
        <w:rPr>
          <w:noProof/>
        </w:rPr>
        <w:t>(5)</w:t>
      </w:r>
      <w:r w:rsidRPr="00C03A23">
        <w:rPr>
          <w:noProof/>
        </w:rPr>
        <w:tab/>
      </w:r>
      <w:r w:rsidR="6B5E9F5F" w:rsidRPr="004C70EC">
        <w:rPr>
          <w:noProof/>
          <w:shd w:val="clear" w:color="auto" w:fill="FFFFFF"/>
          <w:lang w:val="en-IE" w:eastAsia="de-DE"/>
        </w:rPr>
        <w:t xml:space="preserve">Given </w:t>
      </w:r>
      <w:r w:rsidR="3E8CDC57" w:rsidRPr="004C70EC">
        <w:rPr>
          <w:noProof/>
          <w:shd w:val="clear" w:color="auto" w:fill="FFFFFF"/>
          <w:lang w:val="en-IE" w:eastAsia="de-DE"/>
        </w:rPr>
        <w:t xml:space="preserve">the </w:t>
      </w:r>
      <w:r w:rsidR="6B5E9F5F" w:rsidRPr="004C70EC">
        <w:rPr>
          <w:noProof/>
          <w:shd w:val="clear" w:color="auto" w:fill="FFFFFF"/>
          <w:lang w:val="en-IE" w:eastAsia="de-DE"/>
        </w:rPr>
        <w:t>importance</w:t>
      </w:r>
      <w:r w:rsidR="3E8CDC57" w:rsidRPr="004C70EC">
        <w:rPr>
          <w:noProof/>
          <w:shd w:val="clear" w:color="auto" w:fill="FFFFFF"/>
          <w:lang w:val="en-IE" w:eastAsia="de-DE"/>
        </w:rPr>
        <w:t xml:space="preserve"> of health biotechnology </w:t>
      </w:r>
      <w:r w:rsidR="0F3AE09F" w:rsidRPr="004C70EC">
        <w:rPr>
          <w:noProof/>
          <w:shd w:val="clear" w:color="auto" w:fill="FFFFFF"/>
          <w:lang w:val="en-IE" w:eastAsia="de-DE"/>
        </w:rPr>
        <w:t>amongst the other applications of biotechnology as referred to in recital (1)</w:t>
      </w:r>
      <w:r w:rsidR="6B5E9F5F" w:rsidRPr="004C70EC">
        <w:rPr>
          <w:noProof/>
          <w:shd w:val="clear" w:color="auto" w:fill="FFFFFF"/>
          <w:lang w:val="en-IE" w:eastAsia="de-DE"/>
        </w:rPr>
        <w:t>, it is appropriate that this Regulation focusses on</w:t>
      </w:r>
      <w:r w:rsidR="5CB98091" w:rsidRPr="004C70EC">
        <w:rPr>
          <w:noProof/>
          <w:shd w:val="clear" w:color="auto" w:fill="FFFFFF"/>
          <w:lang w:val="en-IE" w:eastAsia="de-DE"/>
        </w:rPr>
        <w:t>,</w:t>
      </w:r>
      <w:r w:rsidR="6B5E9F5F" w:rsidRPr="004C70EC">
        <w:rPr>
          <w:noProof/>
          <w:shd w:val="clear" w:color="auto" w:fill="FFFFFF"/>
          <w:lang w:val="en-IE" w:eastAsia="de-DE"/>
        </w:rPr>
        <w:t xml:space="preserve"> and sets out specific measures for</w:t>
      </w:r>
      <w:r w:rsidR="5CB98091" w:rsidRPr="004C70EC">
        <w:rPr>
          <w:noProof/>
          <w:shd w:val="clear" w:color="auto" w:fill="FFFFFF"/>
          <w:lang w:val="en-IE" w:eastAsia="de-DE"/>
        </w:rPr>
        <w:t>,</w:t>
      </w:r>
      <w:r w:rsidR="6B5E9F5F" w:rsidRPr="004C70EC">
        <w:rPr>
          <w:noProof/>
          <w:shd w:val="clear" w:color="auto" w:fill="FFFFFF"/>
          <w:lang w:val="en-IE" w:eastAsia="de-DE"/>
        </w:rPr>
        <w:t xml:space="preserve"> the health dimension of biotechnology. To ensure the effectiveness of this Regulation, its scope of application should extend to health biotechnology in a comprehensive manner and cover health within the wide meaning of Article 168 TFEU on the protection of public health.</w:t>
      </w:r>
    </w:p>
    <w:p w14:paraId="50693C02" w14:textId="288BA1B3" w:rsidR="00B92347" w:rsidRPr="004C70EC" w:rsidRDefault="00C03A23" w:rsidP="00C03A23">
      <w:pPr>
        <w:pStyle w:val="ManualConsidrant"/>
        <w:rPr>
          <w:noProof/>
          <w:shd w:val="clear" w:color="auto" w:fill="FFFFFF"/>
          <w:lang w:val="en-IE" w:eastAsia="de-DE"/>
        </w:rPr>
      </w:pPr>
      <w:r w:rsidRPr="00C03A23">
        <w:rPr>
          <w:noProof/>
        </w:rPr>
        <w:t>(6)</w:t>
      </w:r>
      <w:r w:rsidRPr="00C03A23">
        <w:rPr>
          <w:noProof/>
        </w:rPr>
        <w:tab/>
      </w:r>
      <w:r w:rsidR="6B5E9F5F" w:rsidRPr="004C70EC">
        <w:rPr>
          <w:noProof/>
          <w:shd w:val="clear" w:color="auto" w:fill="FFFFFF"/>
          <w:lang w:eastAsia="de-DE"/>
        </w:rPr>
        <w:t>Article 168(1) TFEU emphasises that a high level of human health protection is to be ensured when defining and implementing all Union policies and activities. Article 168(4) TFEU clarifies that this objective is, amongst others, to be pursued through measures setting high standards of quality and safety for medicinal products and devices for medical use and of organs and substances of human origin, blood and blood derivatives, measures in the veterinary and phytosanitary fields which have as their direct objective the protection of public health.</w:t>
      </w:r>
    </w:p>
    <w:p w14:paraId="70300AD7" w14:textId="34E3F71B" w:rsidR="00467F95" w:rsidRPr="004C70EC" w:rsidRDefault="00C03A23" w:rsidP="00C03A23">
      <w:pPr>
        <w:pStyle w:val="ManualConsidrant"/>
        <w:rPr>
          <w:noProof/>
          <w:shd w:val="clear" w:color="auto" w:fill="FFFFFF"/>
          <w:lang w:val="en-IE" w:eastAsia="de-DE"/>
        </w:rPr>
      </w:pPr>
      <w:r w:rsidRPr="00C03A23">
        <w:rPr>
          <w:noProof/>
        </w:rPr>
        <w:t>(7)</w:t>
      </w:r>
      <w:r w:rsidRPr="00C03A23">
        <w:rPr>
          <w:noProof/>
        </w:rPr>
        <w:tab/>
      </w:r>
      <w:r w:rsidR="59C6EF4F" w:rsidRPr="004C70EC">
        <w:rPr>
          <w:noProof/>
          <w:shd w:val="clear" w:color="auto" w:fill="FFFFFF"/>
          <w:lang w:val="en-IE" w:eastAsia="de-DE"/>
        </w:rPr>
        <w:t>Accordingly, and in line with the One Health approach,</w:t>
      </w:r>
      <w:r w:rsidR="33A161EB" w:rsidRPr="004C70EC">
        <w:rPr>
          <w:noProof/>
          <w:lang w:val="en-IE"/>
        </w:rPr>
        <w:t xml:space="preserve"> </w:t>
      </w:r>
      <w:r w:rsidR="33A161EB" w:rsidRPr="004C70EC">
        <w:rPr>
          <w:noProof/>
          <w:shd w:val="clear" w:color="auto" w:fill="FFFFFF"/>
          <w:lang w:val="en-IE" w:eastAsia="de-DE"/>
        </w:rPr>
        <w:t xml:space="preserve">that aims to </w:t>
      </w:r>
      <w:r w:rsidR="1080B1BB" w:rsidRPr="004C70EC">
        <w:rPr>
          <w:noProof/>
          <w:shd w:val="clear" w:color="auto" w:fill="FFFFFF"/>
          <w:lang w:val="en-IE" w:eastAsia="de-DE"/>
        </w:rPr>
        <w:t xml:space="preserve">comprehensively and </w:t>
      </w:r>
      <w:r w:rsidR="33A161EB" w:rsidRPr="004C70EC">
        <w:rPr>
          <w:noProof/>
          <w:shd w:val="clear" w:color="auto" w:fill="FFFFFF"/>
          <w:lang w:val="en-IE" w:eastAsia="de-DE"/>
        </w:rPr>
        <w:t>sustainably balance and optimise the health of people, animals, and ecosystems</w:t>
      </w:r>
      <w:r w:rsidR="00F3724E" w:rsidRPr="004C70EC">
        <w:rPr>
          <w:rStyle w:val="FootnoteReference"/>
          <w:rFonts w:eastAsia="Times New Roman"/>
          <w:noProof/>
          <w:color w:val="000000" w:themeColor="text1"/>
          <w:lang w:val="en-IE" w:eastAsia="de-DE"/>
        </w:rPr>
        <w:footnoteReference w:id="90"/>
      </w:r>
      <w:r w:rsidR="0F8A6B95" w:rsidRPr="004C70EC">
        <w:rPr>
          <w:noProof/>
          <w:shd w:val="clear" w:color="auto" w:fill="FFFFFF"/>
          <w:lang w:val="en-IE" w:eastAsia="de-DE"/>
        </w:rPr>
        <w:t>,</w:t>
      </w:r>
      <w:r w:rsidR="59C6EF4F" w:rsidRPr="004C70EC">
        <w:rPr>
          <w:noProof/>
          <w:shd w:val="clear" w:color="auto" w:fill="FFFFFF"/>
          <w:lang w:val="en-IE" w:eastAsia="de-DE"/>
        </w:rPr>
        <w:t xml:space="preserve"> this Regulation should apply to health biotechnology, understood as the application of biotechnology in the human medical, veterinary, pharmaceutical and phytosanitary areas for the development of biotechnology products and services. Th</w:t>
      </w:r>
      <w:r w:rsidR="212CBEA7" w:rsidRPr="004C70EC">
        <w:rPr>
          <w:noProof/>
          <w:lang w:val="en-IE" w:eastAsia="de-DE"/>
        </w:rPr>
        <w:t>is</w:t>
      </w:r>
      <w:r w:rsidR="59C6EF4F" w:rsidRPr="004C70EC">
        <w:rPr>
          <w:noProof/>
          <w:shd w:val="clear" w:color="auto" w:fill="FFFFFF"/>
          <w:lang w:val="en-IE" w:eastAsia="de-DE"/>
        </w:rPr>
        <w:t xml:space="preserve"> Regulation should apply to their entire lifecycle, including the related research, access to funding, development, innovation, testing, validation, manufacturing, placing on the market and use activities</w:t>
      </w:r>
      <w:r w:rsidR="7716B003" w:rsidRPr="004C70EC">
        <w:rPr>
          <w:noProof/>
          <w:lang w:val="en-IE" w:eastAsia="de-DE"/>
        </w:rPr>
        <w:t>.</w:t>
      </w:r>
      <w:r w:rsidR="7575C4CA" w:rsidRPr="004C70EC">
        <w:rPr>
          <w:noProof/>
          <w:lang w:val="en-IE" w:eastAsia="de-DE"/>
        </w:rPr>
        <w:t xml:space="preserve"> </w:t>
      </w:r>
    </w:p>
    <w:p w14:paraId="7E1CCC71" w14:textId="190D78E7" w:rsidR="00431990" w:rsidRPr="004C70EC" w:rsidRDefault="00C03A23" w:rsidP="00C03A23">
      <w:pPr>
        <w:pStyle w:val="ManualConsidrant"/>
        <w:rPr>
          <w:noProof/>
          <w:shd w:val="clear" w:color="auto" w:fill="FFFFFF"/>
          <w:lang w:val="en-IE" w:eastAsia="de-DE"/>
        </w:rPr>
      </w:pPr>
      <w:r w:rsidRPr="00C03A23">
        <w:rPr>
          <w:noProof/>
        </w:rPr>
        <w:t>(8)</w:t>
      </w:r>
      <w:r w:rsidRPr="00C03A23">
        <w:rPr>
          <w:noProof/>
        </w:rPr>
        <w:tab/>
      </w:r>
      <w:r w:rsidR="31A8D020" w:rsidRPr="004C70EC">
        <w:rPr>
          <w:noProof/>
          <w:shd w:val="clear" w:color="auto" w:fill="FFFFFF"/>
          <w:lang w:val="en-IE" w:eastAsia="de-DE"/>
        </w:rPr>
        <w:t>With a view to ensur</w:t>
      </w:r>
      <w:r w:rsidR="61CF1603" w:rsidRPr="004C70EC">
        <w:rPr>
          <w:noProof/>
          <w:shd w:val="clear" w:color="auto" w:fill="FFFFFF"/>
          <w:lang w:val="en-IE" w:eastAsia="de-DE"/>
        </w:rPr>
        <w:t>ing</w:t>
      </w:r>
      <w:r w:rsidR="31A8D020" w:rsidRPr="004C70EC">
        <w:rPr>
          <w:noProof/>
          <w:shd w:val="clear" w:color="auto" w:fill="FFFFFF"/>
          <w:lang w:val="en-IE" w:eastAsia="de-DE"/>
        </w:rPr>
        <w:t xml:space="preserve"> </w:t>
      </w:r>
      <w:r w:rsidR="724946C4" w:rsidRPr="004C70EC">
        <w:rPr>
          <w:noProof/>
          <w:shd w:val="clear" w:color="auto" w:fill="FFFFFF"/>
          <w:lang w:val="en-IE" w:eastAsia="de-DE"/>
        </w:rPr>
        <w:t>the effecti</w:t>
      </w:r>
      <w:r w:rsidR="1DE71EFA" w:rsidRPr="004C70EC">
        <w:rPr>
          <w:noProof/>
          <w:shd w:val="clear" w:color="auto" w:fill="FFFFFF"/>
          <w:lang w:val="en-IE" w:eastAsia="de-DE"/>
        </w:rPr>
        <w:t>veness</w:t>
      </w:r>
      <w:r w:rsidR="51C07A2B" w:rsidRPr="004C70EC">
        <w:rPr>
          <w:noProof/>
          <w:shd w:val="clear" w:color="auto" w:fill="FFFFFF"/>
          <w:lang w:val="en-IE" w:eastAsia="de-DE"/>
        </w:rPr>
        <w:t>, consist</w:t>
      </w:r>
      <w:r w:rsidR="7DE8534F" w:rsidRPr="004C70EC">
        <w:rPr>
          <w:noProof/>
          <w:shd w:val="clear" w:color="auto" w:fill="FFFFFF"/>
          <w:lang w:val="en-IE" w:eastAsia="de-DE"/>
        </w:rPr>
        <w:t xml:space="preserve">ence </w:t>
      </w:r>
      <w:r w:rsidR="51C07A2B" w:rsidRPr="004C70EC">
        <w:rPr>
          <w:noProof/>
          <w:shd w:val="clear" w:color="auto" w:fill="FFFFFF"/>
          <w:lang w:val="en-IE" w:eastAsia="de-DE"/>
        </w:rPr>
        <w:t xml:space="preserve">and </w:t>
      </w:r>
      <w:r w:rsidR="36E14455" w:rsidRPr="004C70EC">
        <w:rPr>
          <w:noProof/>
          <w:shd w:val="clear" w:color="auto" w:fill="FFFFFF"/>
          <w:lang w:val="en-IE" w:eastAsia="de-DE"/>
        </w:rPr>
        <w:t xml:space="preserve">unity of </w:t>
      </w:r>
      <w:r w:rsidR="4FC4F229" w:rsidRPr="004C70EC">
        <w:rPr>
          <w:noProof/>
          <w:shd w:val="clear" w:color="auto" w:fill="FFFFFF"/>
          <w:lang w:val="en-IE" w:eastAsia="de-DE"/>
        </w:rPr>
        <w:t xml:space="preserve">some of the </w:t>
      </w:r>
      <w:r w:rsidR="36E14455" w:rsidRPr="004C70EC">
        <w:rPr>
          <w:noProof/>
          <w:shd w:val="clear" w:color="auto" w:fill="FFFFFF"/>
          <w:lang w:val="en-IE" w:eastAsia="de-DE"/>
        </w:rPr>
        <w:t xml:space="preserve">legal acts that this Regulation </w:t>
      </w:r>
      <w:r w:rsidR="4FC4F229" w:rsidRPr="004C70EC">
        <w:rPr>
          <w:noProof/>
          <w:shd w:val="clear" w:color="auto" w:fill="FFFFFF"/>
          <w:lang w:val="en-IE" w:eastAsia="de-DE"/>
        </w:rPr>
        <w:t xml:space="preserve">should amend to foster </w:t>
      </w:r>
      <w:r w:rsidR="78D285DF" w:rsidRPr="004C70EC">
        <w:rPr>
          <w:noProof/>
          <w:shd w:val="clear" w:color="auto" w:fill="FFFFFF"/>
          <w:lang w:val="en-IE" w:eastAsia="de-DE"/>
        </w:rPr>
        <w:t xml:space="preserve">the Union’s competitiveness in biotechnology, </w:t>
      </w:r>
      <w:r w:rsidR="31A8D020" w:rsidRPr="004C70EC">
        <w:rPr>
          <w:noProof/>
          <w:shd w:val="clear" w:color="auto" w:fill="FFFFFF"/>
          <w:lang w:val="en-IE" w:eastAsia="de-DE"/>
        </w:rPr>
        <w:t xml:space="preserve">this Regulation should </w:t>
      </w:r>
      <w:r w:rsidR="358D2FCE" w:rsidRPr="004C70EC">
        <w:rPr>
          <w:noProof/>
          <w:shd w:val="clear" w:color="auto" w:fill="FFFFFF"/>
          <w:lang w:val="en-IE" w:eastAsia="de-DE"/>
        </w:rPr>
        <w:t xml:space="preserve">in certain cases </w:t>
      </w:r>
      <w:r w:rsidR="31A8D020" w:rsidRPr="004C70EC">
        <w:rPr>
          <w:noProof/>
          <w:shd w:val="clear" w:color="auto" w:fill="FFFFFF"/>
          <w:lang w:val="en-IE" w:eastAsia="de-DE"/>
        </w:rPr>
        <w:t>also appl</w:t>
      </w:r>
      <w:r w:rsidR="211B652A" w:rsidRPr="004C70EC">
        <w:rPr>
          <w:noProof/>
          <w:shd w:val="clear" w:color="auto" w:fill="FFFFFF"/>
          <w:lang w:val="en-IE" w:eastAsia="de-DE"/>
        </w:rPr>
        <w:t xml:space="preserve">y </w:t>
      </w:r>
      <w:r w:rsidR="31A8D020" w:rsidRPr="004C70EC">
        <w:rPr>
          <w:noProof/>
          <w:shd w:val="clear" w:color="auto" w:fill="FFFFFF"/>
          <w:lang w:val="en-IE" w:eastAsia="de-DE"/>
        </w:rPr>
        <w:t xml:space="preserve">to products </w:t>
      </w:r>
      <w:r w:rsidR="211B652A" w:rsidRPr="004C70EC">
        <w:rPr>
          <w:noProof/>
          <w:shd w:val="clear" w:color="auto" w:fill="FFFFFF"/>
          <w:lang w:val="en-IE" w:eastAsia="de-DE"/>
        </w:rPr>
        <w:t>an</w:t>
      </w:r>
      <w:r w:rsidR="1AAA340C" w:rsidRPr="004C70EC">
        <w:rPr>
          <w:noProof/>
          <w:shd w:val="clear" w:color="auto" w:fill="FFFFFF"/>
          <w:lang w:val="en-IE" w:eastAsia="de-DE"/>
        </w:rPr>
        <w:t xml:space="preserve">d activities </w:t>
      </w:r>
      <w:r w:rsidR="31A8D020" w:rsidRPr="004C70EC">
        <w:rPr>
          <w:noProof/>
          <w:shd w:val="clear" w:color="auto" w:fill="FFFFFF"/>
          <w:lang w:val="en-IE" w:eastAsia="de-DE"/>
        </w:rPr>
        <w:t>other than biotechnology products</w:t>
      </w:r>
      <w:r w:rsidR="73450F19" w:rsidRPr="004C70EC">
        <w:rPr>
          <w:noProof/>
          <w:shd w:val="clear" w:color="auto" w:fill="FFFFFF"/>
          <w:lang w:val="en-IE" w:eastAsia="de-DE"/>
        </w:rPr>
        <w:t xml:space="preserve"> </w:t>
      </w:r>
      <w:r w:rsidR="1AAA340C" w:rsidRPr="004C70EC">
        <w:rPr>
          <w:noProof/>
          <w:shd w:val="clear" w:color="auto" w:fill="FFFFFF"/>
          <w:lang w:val="en-IE" w:eastAsia="de-DE"/>
        </w:rPr>
        <w:t>and activities</w:t>
      </w:r>
      <w:r w:rsidR="488F9617" w:rsidRPr="004C70EC">
        <w:rPr>
          <w:noProof/>
          <w:shd w:val="clear" w:color="auto" w:fill="FFFFFF"/>
          <w:lang w:val="en-IE" w:eastAsia="de-DE"/>
        </w:rPr>
        <w:t>,</w:t>
      </w:r>
      <w:r w:rsidR="0797C2A7" w:rsidRPr="004C70EC">
        <w:rPr>
          <w:noProof/>
          <w:shd w:val="clear" w:color="auto" w:fill="FFFFFF"/>
          <w:lang w:val="en-IE" w:eastAsia="de-DE"/>
        </w:rPr>
        <w:t xml:space="preserve"> </w:t>
      </w:r>
      <w:r w:rsidR="28D0E421" w:rsidRPr="004C70EC">
        <w:rPr>
          <w:noProof/>
          <w:shd w:val="clear" w:color="auto" w:fill="FFFFFF"/>
          <w:lang w:val="en-IE" w:eastAsia="de-DE"/>
        </w:rPr>
        <w:t xml:space="preserve">so as to </w:t>
      </w:r>
      <w:r w:rsidR="7AEB3DDC" w:rsidRPr="004C70EC">
        <w:rPr>
          <w:noProof/>
          <w:shd w:val="clear" w:color="auto" w:fill="FFFFFF"/>
          <w:lang w:val="en-IE" w:eastAsia="de-DE"/>
        </w:rPr>
        <w:t xml:space="preserve">avoid </w:t>
      </w:r>
      <w:r w:rsidR="0E23B21B" w:rsidRPr="004C70EC">
        <w:rPr>
          <w:noProof/>
          <w:shd w:val="clear" w:color="auto" w:fill="FFFFFF"/>
          <w:lang w:val="en-IE" w:eastAsia="de-DE"/>
        </w:rPr>
        <w:t xml:space="preserve">the creation </w:t>
      </w:r>
      <w:r w:rsidR="285BCC03" w:rsidRPr="004C70EC">
        <w:rPr>
          <w:noProof/>
          <w:shd w:val="clear" w:color="auto" w:fill="FFFFFF"/>
          <w:lang w:val="en-IE" w:eastAsia="de-DE"/>
        </w:rPr>
        <w:t xml:space="preserve">of different </w:t>
      </w:r>
      <w:r w:rsidR="7D325ED5" w:rsidRPr="004C70EC">
        <w:rPr>
          <w:noProof/>
          <w:shd w:val="clear" w:color="auto" w:fill="FFFFFF"/>
          <w:lang w:val="en-IE" w:eastAsia="de-DE"/>
        </w:rPr>
        <w:t>set</w:t>
      </w:r>
      <w:r w:rsidR="285BCC03" w:rsidRPr="004C70EC">
        <w:rPr>
          <w:noProof/>
          <w:shd w:val="clear" w:color="auto" w:fill="FFFFFF"/>
          <w:lang w:val="en-IE" w:eastAsia="de-DE"/>
        </w:rPr>
        <w:t>s</w:t>
      </w:r>
      <w:r w:rsidR="7D325ED5" w:rsidRPr="004C70EC">
        <w:rPr>
          <w:noProof/>
          <w:shd w:val="clear" w:color="auto" w:fill="FFFFFF"/>
          <w:lang w:val="en-IE" w:eastAsia="de-DE"/>
        </w:rPr>
        <w:t xml:space="preserve"> of rules</w:t>
      </w:r>
      <w:r w:rsidR="285BCC03" w:rsidRPr="004C70EC">
        <w:rPr>
          <w:noProof/>
          <w:shd w:val="clear" w:color="auto" w:fill="FFFFFF"/>
          <w:lang w:val="en-IE" w:eastAsia="de-DE"/>
        </w:rPr>
        <w:t xml:space="preserve"> for biotechnology and non-biotechnology products and activities</w:t>
      </w:r>
      <w:r w:rsidR="31A8D020" w:rsidRPr="004C70EC">
        <w:rPr>
          <w:noProof/>
          <w:shd w:val="clear" w:color="auto" w:fill="FFFFFF"/>
          <w:lang w:val="en-IE" w:eastAsia="de-DE"/>
        </w:rPr>
        <w:t>. This is in particular the case in the area of health for Union legislation regarding clinical trials</w:t>
      </w:r>
      <w:r w:rsidR="3164C547" w:rsidRPr="004C70EC">
        <w:rPr>
          <w:noProof/>
          <w:shd w:val="clear" w:color="auto" w:fill="FFFFFF"/>
          <w:lang w:val="en-IE" w:eastAsia="de-DE"/>
        </w:rPr>
        <w:t xml:space="preserve">, </w:t>
      </w:r>
      <w:r w:rsidR="31A8D020" w:rsidRPr="004C70EC">
        <w:rPr>
          <w:noProof/>
          <w:shd w:val="clear" w:color="auto" w:fill="FFFFFF"/>
          <w:lang w:val="en-IE" w:eastAsia="de-DE"/>
        </w:rPr>
        <w:t>and in the food and feed safety area</w:t>
      </w:r>
      <w:r w:rsidR="3164C547" w:rsidRPr="004C70EC">
        <w:rPr>
          <w:noProof/>
          <w:shd w:val="clear" w:color="auto" w:fill="FFFFFF"/>
          <w:lang w:val="en-IE" w:eastAsia="de-DE"/>
        </w:rPr>
        <w:t>,</w:t>
      </w:r>
      <w:r w:rsidR="31A8D020" w:rsidRPr="004C70EC">
        <w:rPr>
          <w:noProof/>
          <w:shd w:val="clear" w:color="auto" w:fill="FFFFFF"/>
          <w:lang w:val="en-IE" w:eastAsia="de-DE"/>
        </w:rPr>
        <w:t xml:space="preserve"> for </w:t>
      </w:r>
      <w:r w:rsidR="31A8D020" w:rsidRPr="004C70EC">
        <w:rPr>
          <w:noProof/>
          <w:lang w:eastAsia="en-GB"/>
        </w:rPr>
        <w:t>Regulation (EC) No 178/2002 of the European Parliament and of the Council</w:t>
      </w:r>
      <w:r w:rsidR="00383708" w:rsidRPr="004C70EC">
        <w:rPr>
          <w:rStyle w:val="FootnoteReference"/>
          <w:noProof/>
          <w:color w:val="000000" w:themeColor="text1"/>
        </w:rPr>
        <w:footnoteReference w:id="91"/>
      </w:r>
      <w:r w:rsidR="31A8D020" w:rsidRPr="004C70EC">
        <w:rPr>
          <w:noProof/>
          <w:lang w:eastAsia="en-GB"/>
        </w:rPr>
        <w:t xml:space="preserve">. </w:t>
      </w:r>
    </w:p>
    <w:p w14:paraId="31DC1273" w14:textId="64EDFCF0" w:rsidR="00431990" w:rsidRPr="004C70EC" w:rsidRDefault="00C03A23" w:rsidP="00C03A23">
      <w:pPr>
        <w:pStyle w:val="ManualConsidrant"/>
        <w:rPr>
          <w:noProof/>
          <w:shd w:val="clear" w:color="auto" w:fill="FFFFFF"/>
          <w:lang w:val="en-IE" w:eastAsia="de-DE"/>
        </w:rPr>
      </w:pPr>
      <w:r w:rsidRPr="00C03A23">
        <w:rPr>
          <w:noProof/>
        </w:rPr>
        <w:t>(9)</w:t>
      </w:r>
      <w:r w:rsidRPr="00C03A23">
        <w:rPr>
          <w:noProof/>
        </w:rPr>
        <w:tab/>
      </w:r>
      <w:r w:rsidR="03E5BB1F" w:rsidRPr="004C70EC">
        <w:rPr>
          <w:noProof/>
          <w:lang w:val="en-IE"/>
        </w:rPr>
        <w:t>This Regulation should apply without prejudice to the</w:t>
      </w:r>
      <w:r w:rsidR="056EC339" w:rsidRPr="004C70EC">
        <w:rPr>
          <w:noProof/>
          <w:lang w:val="en-IE"/>
        </w:rPr>
        <w:t xml:space="preserve"> harmonised</w:t>
      </w:r>
      <w:r w:rsidR="03E5BB1F" w:rsidRPr="004C70EC">
        <w:rPr>
          <w:noProof/>
          <w:lang w:val="en-IE"/>
        </w:rPr>
        <w:t xml:space="preserve"> legal framework for the development, the placing on the market, the putting into service and the use of artificial intelligence</w:t>
      </w:r>
      <w:r w:rsidR="425724D9" w:rsidRPr="004C70EC">
        <w:rPr>
          <w:noProof/>
          <w:lang w:val="en-IE"/>
        </w:rPr>
        <w:t xml:space="preserve"> (AI)</w:t>
      </w:r>
      <w:r w:rsidR="03E5BB1F" w:rsidRPr="004C70EC">
        <w:rPr>
          <w:noProof/>
          <w:lang w:val="en-IE"/>
        </w:rPr>
        <w:t xml:space="preserve">, </w:t>
      </w:r>
      <w:r w:rsidR="17DE0B49" w:rsidRPr="004C70EC">
        <w:rPr>
          <w:noProof/>
          <w:lang w:val="en-IE"/>
        </w:rPr>
        <w:t>laid down</w:t>
      </w:r>
      <w:r w:rsidR="03E5BB1F" w:rsidRPr="004C70EC">
        <w:rPr>
          <w:noProof/>
          <w:lang w:val="en-IE"/>
        </w:rPr>
        <w:t xml:space="preserve"> by Regulation (EU) 2024/1689</w:t>
      </w:r>
      <w:r w:rsidR="650E7F05" w:rsidRPr="004C70EC">
        <w:rPr>
          <w:noProof/>
          <w:lang w:val="en-IE"/>
        </w:rPr>
        <w:t>1689 of the European Parliament and of the Council</w:t>
      </w:r>
      <w:r w:rsidR="00C831FE" w:rsidRPr="004C70EC">
        <w:rPr>
          <w:rStyle w:val="FootnoteReference"/>
          <w:rFonts w:eastAsia="Times New Roman"/>
          <w:noProof/>
          <w:color w:val="000000" w:themeColor="text1"/>
          <w:lang w:val="en-IE"/>
        </w:rPr>
        <w:footnoteReference w:id="92"/>
      </w:r>
      <w:r w:rsidR="728FAA28" w:rsidRPr="004C70EC">
        <w:rPr>
          <w:noProof/>
          <w:lang w:val="en-IE"/>
        </w:rPr>
        <w:t>.</w:t>
      </w:r>
    </w:p>
    <w:p w14:paraId="62BC81F1" w14:textId="725FEC02" w:rsidR="00431990" w:rsidRPr="004C70EC" w:rsidRDefault="00C03A23" w:rsidP="00C03A23">
      <w:pPr>
        <w:pStyle w:val="ManualConsidrant"/>
        <w:rPr>
          <w:noProof/>
          <w:shd w:val="clear" w:color="auto" w:fill="FFFFFF"/>
          <w:lang w:val="en-IE" w:eastAsia="de-DE"/>
        </w:rPr>
      </w:pPr>
      <w:r w:rsidRPr="00C03A23">
        <w:rPr>
          <w:noProof/>
        </w:rPr>
        <w:t>(10)</w:t>
      </w:r>
      <w:r w:rsidRPr="00C03A23">
        <w:rPr>
          <w:noProof/>
        </w:rPr>
        <w:tab/>
      </w:r>
      <w:r w:rsidR="461D9877" w:rsidRPr="004C70EC">
        <w:rPr>
          <w:noProof/>
          <w:lang w:val="en-IE"/>
        </w:rPr>
        <w:t xml:space="preserve">This Regulation </w:t>
      </w:r>
      <w:r w:rsidR="2CA9D94D" w:rsidRPr="004C70EC">
        <w:rPr>
          <w:noProof/>
          <w:lang w:val="en-IE"/>
        </w:rPr>
        <w:t>should</w:t>
      </w:r>
      <w:r w:rsidR="461D9877" w:rsidRPr="004C70EC">
        <w:rPr>
          <w:noProof/>
          <w:lang w:val="en-IE"/>
        </w:rPr>
        <w:t xml:space="preserve"> not affect to the application of the Directive 2010/63/EU of the European Parliament and of the Council</w:t>
      </w:r>
      <w:r w:rsidR="661644EC" w:rsidRPr="004C70EC">
        <w:rPr>
          <w:rStyle w:val="FootnoteReference"/>
          <w:rFonts w:eastAsia="Times New Roman"/>
          <w:noProof/>
          <w:color w:val="000000" w:themeColor="text1"/>
          <w:lang w:val="en-IE"/>
        </w:rPr>
        <w:footnoteReference w:id="93"/>
      </w:r>
      <w:r w:rsidR="461D9877" w:rsidRPr="004C70EC">
        <w:rPr>
          <w:noProof/>
          <w:lang w:val="en-IE"/>
        </w:rPr>
        <w:t xml:space="preserve"> on the protection of animals used for scientific purposes</w:t>
      </w:r>
      <w:r w:rsidR="2CA9D94D" w:rsidRPr="004C70EC">
        <w:rPr>
          <w:noProof/>
          <w:lang w:val="en-IE"/>
        </w:rPr>
        <w:t xml:space="preserve"> and of </w:t>
      </w:r>
      <w:r w:rsidR="4969B307" w:rsidRPr="004C70EC">
        <w:rPr>
          <w:noProof/>
          <w:lang w:val="en-IE"/>
        </w:rPr>
        <w:t>Regulation (EC) 2006/1907</w:t>
      </w:r>
      <w:r w:rsidR="2CA9D94D" w:rsidRPr="004C70EC">
        <w:rPr>
          <w:noProof/>
          <w:lang w:val="en-IE"/>
        </w:rPr>
        <w:t xml:space="preserve"> of the European Parliament and of the Council</w:t>
      </w:r>
      <w:r w:rsidR="661644EC" w:rsidRPr="004C70EC">
        <w:rPr>
          <w:rStyle w:val="FootnoteReference"/>
          <w:noProof/>
          <w:color w:val="000000" w:themeColor="text1"/>
          <w:lang w:val="en-IE"/>
        </w:rPr>
        <w:footnoteReference w:id="94"/>
      </w:r>
      <w:r w:rsidR="4969B307" w:rsidRPr="004C70EC">
        <w:rPr>
          <w:noProof/>
          <w:lang w:val="en-IE"/>
        </w:rPr>
        <w:t xml:space="preserve">. </w:t>
      </w:r>
    </w:p>
    <w:p w14:paraId="74D1F548" w14:textId="04816081" w:rsidR="00431990" w:rsidRPr="004C70EC" w:rsidRDefault="00C03A23" w:rsidP="00C03A23">
      <w:pPr>
        <w:pStyle w:val="ManualConsidrant"/>
        <w:rPr>
          <w:noProof/>
          <w:shd w:val="clear" w:color="auto" w:fill="FFFFFF"/>
          <w:lang w:val="en-IE" w:eastAsia="de-DE"/>
        </w:rPr>
      </w:pPr>
      <w:r w:rsidRPr="00C03A23">
        <w:rPr>
          <w:noProof/>
        </w:rPr>
        <w:t>(11)</w:t>
      </w:r>
      <w:r w:rsidRPr="00C03A23">
        <w:rPr>
          <w:noProof/>
        </w:rPr>
        <w:tab/>
      </w:r>
      <w:r w:rsidR="212FC6E9" w:rsidRPr="004C70EC">
        <w:rPr>
          <w:noProof/>
          <w:lang w:val="en-IE" w:eastAsia="de-DE"/>
        </w:rPr>
        <w:t xml:space="preserve">The </w:t>
      </w:r>
      <w:r w:rsidR="5D649E68" w:rsidRPr="004C70EC">
        <w:rPr>
          <w:noProof/>
          <w:lang w:val="en-IE" w:eastAsia="de-DE"/>
        </w:rPr>
        <w:t xml:space="preserve">Union has adopted other </w:t>
      </w:r>
      <w:r w:rsidR="212FC6E9" w:rsidRPr="004C70EC">
        <w:rPr>
          <w:noProof/>
          <w:lang w:val="en-IE" w:eastAsia="de-DE"/>
        </w:rPr>
        <w:t>initiatives to strengthen the competitiveness of particular sectors of the Union economy. In this regard, Regulation (EU) 2024/1735 of the European Parliament and of the Council</w:t>
      </w:r>
      <w:r w:rsidR="00273F36" w:rsidRPr="004C70EC">
        <w:rPr>
          <w:rStyle w:val="FootnoteReference"/>
          <w:noProof/>
          <w:color w:val="000000" w:themeColor="text1"/>
        </w:rPr>
        <w:footnoteReference w:id="95"/>
      </w:r>
      <w:r w:rsidR="212FC6E9" w:rsidRPr="004C70EC">
        <w:rPr>
          <w:noProof/>
          <w:lang w:val="en-IE" w:eastAsia="de-DE"/>
        </w:rPr>
        <w:t xml:space="preserve"> focuses on clean and resource-efficient technologies which include, in particular, net-zero technologies. That Regulation </w:t>
      </w:r>
      <w:r w:rsidR="212FC6E9" w:rsidRPr="004C70EC">
        <w:rPr>
          <w:noProof/>
          <w:shd w:val="clear" w:color="auto" w:fill="FFFFFF"/>
          <w:lang w:val="en-IE" w:eastAsia="de-DE"/>
        </w:rPr>
        <w:t xml:space="preserve">establishes a framework to ensure the Union’s access to a secure and sustainable supply of net-zero technologies listed in Article 4 thereof. Such technologies include </w:t>
      </w:r>
      <w:bookmarkStart w:id="9" w:name="_Hlk213360198"/>
      <w:r w:rsidR="212FC6E9" w:rsidRPr="004C70EC">
        <w:rPr>
          <w:noProof/>
          <w:shd w:val="clear" w:color="auto" w:fill="FFFFFF"/>
          <w:lang w:val="en-IE" w:eastAsia="de-DE"/>
        </w:rPr>
        <w:t xml:space="preserve">sustainable biogas and biomethane technologies </w:t>
      </w:r>
      <w:bookmarkEnd w:id="9"/>
      <w:r w:rsidR="212FC6E9" w:rsidRPr="004C70EC">
        <w:rPr>
          <w:noProof/>
          <w:shd w:val="clear" w:color="auto" w:fill="FFFFFF"/>
          <w:lang w:val="en-IE" w:eastAsia="de-DE"/>
        </w:rPr>
        <w:t xml:space="preserve">and </w:t>
      </w:r>
      <w:r w:rsidR="212FC6E9" w:rsidRPr="004C70EC">
        <w:rPr>
          <w:noProof/>
          <w:lang w:val="en-IE" w:eastAsia="de-DE"/>
        </w:rPr>
        <w:t>biotechnology climate and energy solutions. However, as acknowledged</w:t>
      </w:r>
      <w:r w:rsidR="69249B7A" w:rsidRPr="004C70EC">
        <w:rPr>
          <w:noProof/>
          <w:lang w:val="en-IE" w:eastAsia="de-DE"/>
        </w:rPr>
        <w:t xml:space="preserve"> </w:t>
      </w:r>
      <w:r w:rsidR="4034F63D" w:rsidRPr="004C70EC">
        <w:rPr>
          <w:noProof/>
          <w:lang w:val="en-IE" w:eastAsia="de-DE"/>
        </w:rPr>
        <w:t xml:space="preserve">by </w:t>
      </w:r>
      <w:r w:rsidR="69249B7A" w:rsidRPr="004C70EC">
        <w:rPr>
          <w:noProof/>
          <w:lang w:val="en-IE" w:eastAsia="de-DE"/>
        </w:rPr>
        <w:t xml:space="preserve">Regulation (EU) 2024/795 </w:t>
      </w:r>
      <w:r w:rsidR="4034F63D" w:rsidRPr="004C70EC">
        <w:rPr>
          <w:noProof/>
          <w:lang w:val="en-IE" w:eastAsia="de-DE"/>
        </w:rPr>
        <w:t>of the European Parliament and of the Council</w:t>
      </w:r>
      <w:r w:rsidR="003D3E51" w:rsidRPr="004C70EC">
        <w:rPr>
          <w:rStyle w:val="FootnoteReference"/>
          <w:noProof/>
          <w:color w:val="000000" w:themeColor="text1"/>
        </w:rPr>
        <w:footnoteReference w:id="96"/>
      </w:r>
      <w:r w:rsidR="212FC6E9" w:rsidRPr="004C70EC">
        <w:rPr>
          <w:noProof/>
          <w:lang w:val="en-IE" w:eastAsia="de-DE"/>
        </w:rPr>
        <w:t>, biotechnologies have applications beyond the clean and resource-efficient technologies. It is therefore appropriate that this Regulation applies without prejudice to the provisions of Regulation (EU) 2024/1735 regarding sustainable biogas and biomethane technologies and biotech</w:t>
      </w:r>
      <w:r w:rsidR="086ACC93" w:rsidRPr="004C70EC">
        <w:rPr>
          <w:noProof/>
          <w:lang w:val="en-IE" w:eastAsia="de-DE"/>
        </w:rPr>
        <w:t>nol</w:t>
      </w:r>
      <w:r w:rsidR="78B17312" w:rsidRPr="004C70EC">
        <w:rPr>
          <w:noProof/>
          <w:lang w:val="en-IE" w:eastAsia="de-DE"/>
        </w:rPr>
        <w:t>o</w:t>
      </w:r>
      <w:r w:rsidR="086ACC93" w:rsidRPr="004C70EC">
        <w:rPr>
          <w:noProof/>
          <w:lang w:val="en-IE" w:eastAsia="de-DE"/>
        </w:rPr>
        <w:t>gy</w:t>
      </w:r>
      <w:r w:rsidR="212FC6E9" w:rsidRPr="004C70EC">
        <w:rPr>
          <w:noProof/>
          <w:lang w:val="en-IE" w:eastAsia="de-DE"/>
        </w:rPr>
        <w:t xml:space="preserve"> climate and energy solutions.</w:t>
      </w:r>
    </w:p>
    <w:p w14:paraId="35BBB93A" w14:textId="5E30783B" w:rsidR="00431990" w:rsidRPr="004C70EC" w:rsidRDefault="00C03A23" w:rsidP="00C03A23">
      <w:pPr>
        <w:pStyle w:val="ManualConsidrant"/>
        <w:rPr>
          <w:noProof/>
          <w:shd w:val="clear" w:color="auto" w:fill="FFFFFF"/>
          <w:lang w:val="en-IE" w:eastAsia="de-DE"/>
        </w:rPr>
      </w:pPr>
      <w:r w:rsidRPr="00C03A23">
        <w:rPr>
          <w:noProof/>
        </w:rPr>
        <w:t>(12)</w:t>
      </w:r>
      <w:r w:rsidRPr="00C03A23">
        <w:rPr>
          <w:noProof/>
        </w:rPr>
        <w:tab/>
      </w:r>
      <w:r w:rsidR="74B031E2" w:rsidRPr="004C70EC">
        <w:rPr>
          <w:noProof/>
          <w:lang w:val="en-IE" w:eastAsia="de-DE"/>
        </w:rPr>
        <w:t>Health b</w:t>
      </w:r>
      <w:r w:rsidR="249CF78E" w:rsidRPr="004C70EC">
        <w:rPr>
          <w:noProof/>
          <w:lang w:val="en-IE" w:eastAsia="de-DE"/>
        </w:rPr>
        <w:t xml:space="preserve">iotechnology strategic projects should serve as targeted instruments to mobilise public and private investments through coordinated action among the Union, the Member States, the industry, the research community and other relevant actors. They should contribute to the Union’s biotechnology objectives, by strengthening industrial capacity and value chains, scaling up critical research and technology infrastructures, accelerating innovation and technology deployment such as </w:t>
      </w:r>
      <w:r w:rsidR="6376E990" w:rsidRPr="004C70EC">
        <w:rPr>
          <w:noProof/>
          <w:lang w:val="en-IE" w:eastAsia="de-DE"/>
        </w:rPr>
        <w:t>N</w:t>
      </w:r>
      <w:r w:rsidR="249CF78E" w:rsidRPr="004C70EC">
        <w:rPr>
          <w:noProof/>
          <w:lang w:val="en-IE" w:eastAsia="de-DE"/>
        </w:rPr>
        <w:t xml:space="preserve">ew </w:t>
      </w:r>
      <w:r w:rsidR="73E22EAB" w:rsidRPr="004C70EC">
        <w:rPr>
          <w:noProof/>
          <w:lang w:val="en-IE" w:eastAsia="de-DE"/>
        </w:rPr>
        <w:t>A</w:t>
      </w:r>
      <w:r w:rsidR="249CF78E" w:rsidRPr="004C70EC">
        <w:rPr>
          <w:noProof/>
          <w:lang w:val="en-IE" w:eastAsia="de-DE"/>
        </w:rPr>
        <w:t xml:space="preserve">pproach </w:t>
      </w:r>
      <w:r w:rsidR="5E0D4467" w:rsidRPr="004C70EC">
        <w:rPr>
          <w:noProof/>
          <w:lang w:val="en-IE" w:eastAsia="de-DE"/>
        </w:rPr>
        <w:t>M</w:t>
      </w:r>
      <w:r w:rsidR="249CF78E" w:rsidRPr="004C70EC">
        <w:rPr>
          <w:noProof/>
          <w:lang w:val="en-IE" w:eastAsia="de-DE"/>
        </w:rPr>
        <w:t>ethodologies (NAMs), or advanced data and digital platforms</w:t>
      </w:r>
      <w:r w:rsidR="034CB3DD" w:rsidRPr="004C70EC">
        <w:rPr>
          <w:noProof/>
          <w:lang w:val="en-IE" w:eastAsia="de-DE"/>
        </w:rPr>
        <w:t>.</w:t>
      </w:r>
      <w:r w:rsidR="249CF78E" w:rsidRPr="004C70EC">
        <w:rPr>
          <w:noProof/>
          <w:lang w:val="en-IE" w:eastAsia="de-DE"/>
        </w:rPr>
        <w:t xml:space="preserve"> Accordingly, this Regulation should </w:t>
      </w:r>
      <w:r w:rsidR="19855CE4" w:rsidRPr="004C70EC">
        <w:rPr>
          <w:noProof/>
          <w:lang w:val="en-IE" w:eastAsia="de-DE"/>
        </w:rPr>
        <w:t>lay down</w:t>
      </w:r>
      <w:r w:rsidR="249CF78E" w:rsidRPr="004C70EC">
        <w:rPr>
          <w:noProof/>
          <w:lang w:val="en-IE" w:eastAsia="de-DE"/>
        </w:rPr>
        <w:t xml:space="preserve"> provisions for the recognition and support of such projects by the Member States and should establish criteria for such recognition. With a view to </w:t>
      </w:r>
      <w:r w:rsidR="5C7C65A6" w:rsidRPr="004C70EC">
        <w:rPr>
          <w:noProof/>
          <w:lang w:val="en-IE" w:eastAsia="de-DE"/>
        </w:rPr>
        <w:t xml:space="preserve">facilitate the implementation and </w:t>
      </w:r>
      <w:r w:rsidR="249CF78E" w:rsidRPr="004C70EC">
        <w:rPr>
          <w:noProof/>
          <w:lang w:val="en-IE" w:eastAsia="de-DE"/>
        </w:rPr>
        <w:t xml:space="preserve">ensure a consistent approach across the Union, the Commission </w:t>
      </w:r>
      <w:r w:rsidR="5C7C65A6" w:rsidRPr="004C70EC">
        <w:rPr>
          <w:noProof/>
          <w:lang w:val="en-IE" w:eastAsia="de-DE"/>
        </w:rPr>
        <w:t xml:space="preserve">could </w:t>
      </w:r>
      <w:r w:rsidR="249CF78E" w:rsidRPr="004C70EC">
        <w:rPr>
          <w:noProof/>
          <w:lang w:val="en-IE" w:eastAsia="de-DE"/>
        </w:rPr>
        <w:t>issue guidance on the application of those criteria.</w:t>
      </w:r>
      <w:r w:rsidR="49753096" w:rsidRPr="004C70EC">
        <w:rPr>
          <w:noProof/>
          <w:lang w:eastAsia="de-DE"/>
        </w:rPr>
        <w:t xml:space="preserve"> Recognition of health biotechnology strategic projects would deliver clear benefits for the most innovative businesses by accelerating permitting, reducing administrative burden, improving legal certainty and facilitating access to financial support. It would thus strengthen their capacity to scale biotechnology innovations faster. For authorities, the framework streamlines coordination, avoids duplication of assessments, and supports consistent, efficient decision-making.</w:t>
      </w:r>
    </w:p>
    <w:p w14:paraId="7DBDB976" w14:textId="305C40D8" w:rsidR="715CDE0C" w:rsidRPr="004C70EC" w:rsidRDefault="00C03A23" w:rsidP="00C03A23">
      <w:pPr>
        <w:pStyle w:val="ManualConsidrant"/>
        <w:rPr>
          <w:noProof/>
          <w:szCs w:val="24"/>
        </w:rPr>
      </w:pPr>
      <w:r w:rsidRPr="00C03A23">
        <w:rPr>
          <w:noProof/>
        </w:rPr>
        <w:t>(13)</w:t>
      </w:r>
      <w:r w:rsidRPr="00C03A23">
        <w:rPr>
          <w:noProof/>
        </w:rPr>
        <w:tab/>
      </w:r>
      <w:r w:rsidR="35F6FE8F" w:rsidRPr="004C70EC">
        <w:rPr>
          <w:noProof/>
          <w:lang w:val="en-IE" w:eastAsia="de-DE"/>
        </w:rPr>
        <w:t>NAMs applied in  biological research, early discovery, preclinical development, and the regulatory and quality testing of medicinal products and medical technologies, have the potential to generate scientific and technological data that are comparable to, or in some cases more informative and generated more rapidly than, those obtained through current standard methods. The resulting advantage will contribute to strengthen the innovation ecosystem and enhanced European competitiveness in biotechnology.</w:t>
      </w:r>
      <w:r w:rsidR="35F6FE8F" w:rsidRPr="002D7694">
        <w:rPr>
          <w:rFonts w:eastAsia="Segoe UI"/>
          <w:noProof/>
          <w:lang w:eastAsia="en-GB"/>
        </w:rPr>
        <w:t xml:space="preserve"> </w:t>
      </w:r>
      <w:r w:rsidR="35F6FE8F" w:rsidRPr="004C70EC">
        <w:rPr>
          <w:noProof/>
        </w:rPr>
        <w:t xml:space="preserve"> </w:t>
      </w:r>
    </w:p>
    <w:p w14:paraId="7280EA70" w14:textId="217C15C7" w:rsidR="00431990" w:rsidRPr="004C70EC" w:rsidRDefault="00C03A23" w:rsidP="00C03A23">
      <w:pPr>
        <w:pStyle w:val="ManualConsidrant"/>
        <w:rPr>
          <w:noProof/>
          <w:shd w:val="clear" w:color="auto" w:fill="FFFFFF"/>
          <w:lang w:val="en-IE" w:eastAsia="de-DE"/>
        </w:rPr>
      </w:pPr>
      <w:r w:rsidRPr="00C03A23">
        <w:rPr>
          <w:noProof/>
        </w:rPr>
        <w:t>(14)</w:t>
      </w:r>
      <w:r w:rsidRPr="00C03A23">
        <w:rPr>
          <w:noProof/>
        </w:rPr>
        <w:tab/>
      </w:r>
      <w:r w:rsidR="249CF78E" w:rsidRPr="004C70EC">
        <w:rPr>
          <w:noProof/>
          <w:lang w:val="en-IE" w:eastAsia="de-DE"/>
        </w:rPr>
        <w:t xml:space="preserve">Certain </w:t>
      </w:r>
      <w:r w:rsidR="74B031E2" w:rsidRPr="004C70EC">
        <w:rPr>
          <w:noProof/>
          <w:lang w:val="en-IE" w:eastAsia="de-DE"/>
        </w:rPr>
        <w:t>health</w:t>
      </w:r>
      <w:r w:rsidR="249CF78E" w:rsidRPr="004C70EC">
        <w:rPr>
          <w:noProof/>
          <w:lang w:val="en-IE" w:eastAsia="de-DE"/>
        </w:rPr>
        <w:t xml:space="preserve"> </w:t>
      </w:r>
      <w:r w:rsidR="4CF0C7DB" w:rsidRPr="004C70EC">
        <w:rPr>
          <w:noProof/>
          <w:lang w:val="en-IE" w:eastAsia="de-DE"/>
        </w:rPr>
        <w:t xml:space="preserve">biotechnology strategic </w:t>
      </w:r>
      <w:r w:rsidR="249CF78E" w:rsidRPr="004C70EC">
        <w:rPr>
          <w:noProof/>
          <w:lang w:val="en-IE" w:eastAsia="de-DE"/>
        </w:rPr>
        <w:t xml:space="preserve">projects have the potential to contribute to the Union’s objectives in biotechnology in a manner that is systemic and can produce a multiplier effect. Such projects act as catalysts for cooperation between academia, industry and public authorities, and can serve as anchors for regional biotechnology clusters and innovation ecosystems across Member States. Experience in several Member States has shown that such projects can quickly raise industrial capability, attract investment and strengthen </w:t>
      </w:r>
      <w:r w:rsidR="547635D6" w:rsidRPr="004C70EC">
        <w:rPr>
          <w:noProof/>
          <w:lang w:val="en-IE" w:eastAsia="de-DE"/>
        </w:rPr>
        <w:t>the Union</w:t>
      </w:r>
      <w:r w:rsidR="249CF78E" w:rsidRPr="004C70EC">
        <w:rPr>
          <w:noProof/>
          <w:lang w:val="en-IE" w:eastAsia="de-DE"/>
        </w:rPr>
        <w:t>’s position in global value chains. Accordingly, such projects should be recognised as high impact</w:t>
      </w:r>
      <w:r w:rsidR="2F54E484" w:rsidRPr="004C70EC">
        <w:rPr>
          <w:noProof/>
          <w:lang w:val="en-IE" w:eastAsia="de-DE"/>
        </w:rPr>
        <w:t xml:space="preserve"> health</w:t>
      </w:r>
      <w:r w:rsidR="249CF78E" w:rsidRPr="004C70EC">
        <w:rPr>
          <w:noProof/>
          <w:lang w:val="en-IE" w:eastAsia="de-DE"/>
        </w:rPr>
        <w:t xml:space="preserve"> biotechnology strategic projects by the Commission and </w:t>
      </w:r>
      <w:r w:rsidR="00D22130" w:rsidRPr="004C70EC">
        <w:rPr>
          <w:noProof/>
          <w:lang w:val="en-IE" w:eastAsia="de-DE"/>
        </w:rPr>
        <w:t xml:space="preserve">could </w:t>
      </w:r>
      <w:r w:rsidR="60A67003" w:rsidRPr="004C70EC">
        <w:rPr>
          <w:noProof/>
          <w:lang w:val="en-IE" w:eastAsia="de-DE"/>
        </w:rPr>
        <w:t xml:space="preserve">be given particular consideration for </w:t>
      </w:r>
      <w:r w:rsidR="249CF78E" w:rsidRPr="004C70EC">
        <w:rPr>
          <w:noProof/>
          <w:lang w:val="en-IE" w:eastAsia="de-DE"/>
        </w:rPr>
        <w:t>Union funding, priority access to administrative support and fast-tracked procedures at Member State level.</w:t>
      </w:r>
      <w:r w:rsidR="54E1FDEB" w:rsidRPr="004C70EC">
        <w:rPr>
          <w:noProof/>
          <w:lang w:val="en-IE" w:eastAsia="de-DE"/>
        </w:rPr>
        <w:t xml:space="preserve"> As regards national funding of such projects, Regulation (EU) 2024/795</w:t>
      </w:r>
      <w:r w:rsidR="00273F36" w:rsidRPr="004C70EC">
        <w:rPr>
          <w:rStyle w:val="FootnoteReference"/>
          <w:rFonts w:eastAsia="Times New Roman"/>
          <w:noProof/>
          <w:color w:val="000000" w:themeColor="text1"/>
          <w:lang w:val="en-IE" w:eastAsia="de-DE"/>
        </w:rPr>
        <w:footnoteReference w:id="97"/>
      </w:r>
      <w:r w:rsidR="54E1FDEB" w:rsidRPr="004C70EC">
        <w:rPr>
          <w:noProof/>
          <w:lang w:val="en-IE" w:eastAsia="de-DE"/>
        </w:rPr>
        <w:t xml:space="preserve"> provides </w:t>
      </w:r>
      <w:r w:rsidR="00C9294E" w:rsidRPr="004C70EC">
        <w:rPr>
          <w:noProof/>
          <w:lang w:val="en-IE" w:eastAsia="de-DE"/>
        </w:rPr>
        <w:t xml:space="preserve">measures </w:t>
      </w:r>
      <w:r w:rsidR="54E1FDEB" w:rsidRPr="004C70EC">
        <w:rPr>
          <w:noProof/>
          <w:lang w:val="en-IE" w:eastAsia="de-DE"/>
        </w:rPr>
        <w:t xml:space="preserve">for </w:t>
      </w:r>
      <w:r w:rsidR="00C9294E" w:rsidRPr="004C70EC">
        <w:rPr>
          <w:noProof/>
          <w:lang w:val="en-IE" w:eastAsia="de-DE"/>
        </w:rPr>
        <w:t xml:space="preserve">the support of critical and emerging strategic technologies and their respective value chains </w:t>
      </w:r>
      <w:r w:rsidR="54E1FDEB" w:rsidRPr="004C70EC">
        <w:rPr>
          <w:noProof/>
          <w:lang w:val="en-IE" w:eastAsia="de-DE"/>
        </w:rPr>
        <w:t>within programmes implemented under shared management. That Regulation amends the basic acts of several shared-management funds</w:t>
      </w:r>
      <w:r w:rsidR="63368B86" w:rsidRPr="004C70EC">
        <w:rPr>
          <w:noProof/>
          <w:lang w:val="en-IE" w:eastAsia="de-DE"/>
        </w:rPr>
        <w:t>,</w:t>
      </w:r>
      <w:r w:rsidR="0002673B" w:rsidRPr="004C70EC">
        <w:rPr>
          <w:noProof/>
          <w:lang w:val="en-IE" w:eastAsia="de-DE"/>
        </w:rPr>
        <w:t xml:space="preserve"> </w:t>
      </w:r>
      <w:r w:rsidR="54E1FDEB" w:rsidRPr="004C70EC">
        <w:rPr>
          <w:noProof/>
          <w:lang w:val="en-IE" w:eastAsia="de-DE"/>
        </w:rPr>
        <w:t>namely Regulation</w:t>
      </w:r>
      <w:r w:rsidR="2CFDEA44" w:rsidRPr="004C70EC">
        <w:rPr>
          <w:noProof/>
          <w:lang w:val="en-IE" w:eastAsia="de-DE"/>
        </w:rPr>
        <w:t xml:space="preserve">s </w:t>
      </w:r>
      <w:r w:rsidR="54E1FDEB" w:rsidRPr="004C70EC">
        <w:rPr>
          <w:noProof/>
          <w:lang w:val="en-IE" w:eastAsia="de-DE"/>
        </w:rPr>
        <w:t>(EU) 2021/1056</w:t>
      </w:r>
      <w:r w:rsidR="007B5EFC" w:rsidRPr="004C70EC">
        <w:rPr>
          <w:rStyle w:val="FootnoteReference"/>
          <w:rFonts w:eastAsia="Times New Roman"/>
          <w:noProof/>
          <w:color w:val="000000" w:themeColor="text1"/>
          <w:lang w:val="en-IE" w:eastAsia="de-DE"/>
        </w:rPr>
        <w:footnoteReference w:id="98"/>
      </w:r>
      <w:r w:rsidR="5C0E25A5" w:rsidRPr="004C70EC">
        <w:rPr>
          <w:noProof/>
          <w:lang w:val="en-IE" w:eastAsia="de-DE"/>
        </w:rPr>
        <w:t>,</w:t>
      </w:r>
      <w:r w:rsidR="54E1FDEB" w:rsidRPr="004C70EC">
        <w:rPr>
          <w:noProof/>
          <w:lang w:val="en-IE" w:eastAsia="de-DE"/>
        </w:rPr>
        <w:t xml:space="preserve"> (EU) 2021/1057</w:t>
      </w:r>
      <w:r w:rsidR="00D63742" w:rsidRPr="004C70EC">
        <w:rPr>
          <w:rStyle w:val="FootnoteReference"/>
          <w:rFonts w:eastAsia="Times New Roman"/>
          <w:noProof/>
          <w:color w:val="000000" w:themeColor="text1"/>
          <w:lang w:val="en-IE" w:eastAsia="de-DE"/>
        </w:rPr>
        <w:footnoteReference w:id="99"/>
      </w:r>
      <w:r w:rsidR="5E18BAE5" w:rsidRPr="004C70EC">
        <w:rPr>
          <w:noProof/>
          <w:lang w:val="en-IE" w:eastAsia="de-DE"/>
        </w:rPr>
        <w:t xml:space="preserve"> </w:t>
      </w:r>
      <w:r w:rsidR="54E1FDEB" w:rsidRPr="004C70EC">
        <w:rPr>
          <w:noProof/>
          <w:lang w:val="en-IE" w:eastAsia="de-DE"/>
        </w:rPr>
        <w:t xml:space="preserve"> </w:t>
      </w:r>
      <w:r w:rsidR="68A1E6C1" w:rsidRPr="004C70EC">
        <w:rPr>
          <w:noProof/>
          <w:lang w:val="en-IE" w:eastAsia="de-DE"/>
        </w:rPr>
        <w:t>and (EU) 2021/1058</w:t>
      </w:r>
      <w:r w:rsidR="66D947BF" w:rsidRPr="004C70EC">
        <w:rPr>
          <w:noProof/>
          <w:lang w:val="en-IE" w:eastAsia="de-DE"/>
        </w:rPr>
        <w:t xml:space="preserve"> </w:t>
      </w:r>
      <w:r w:rsidR="68A1E6C1" w:rsidRPr="004C70EC">
        <w:rPr>
          <w:noProof/>
          <w:lang w:val="en-IE" w:eastAsia="de-DE"/>
        </w:rPr>
        <w:t>of the European Parliament and of the Council</w:t>
      </w:r>
      <w:r w:rsidR="001E62F0" w:rsidRPr="004C70EC">
        <w:rPr>
          <w:rStyle w:val="FootnoteReference"/>
          <w:rFonts w:eastAsia="Times New Roman"/>
          <w:noProof/>
          <w:color w:val="000000" w:themeColor="text1"/>
          <w:lang w:val="en-IE" w:eastAsia="de-DE"/>
        </w:rPr>
        <w:footnoteReference w:id="100"/>
      </w:r>
      <w:r w:rsidR="54E1FDEB" w:rsidRPr="004C70EC">
        <w:rPr>
          <w:noProof/>
          <w:lang w:val="en-IE" w:eastAsia="de-DE"/>
        </w:rPr>
        <w:t xml:space="preserve"> </w:t>
      </w:r>
      <w:r w:rsidR="066049CD" w:rsidRPr="004C70EC">
        <w:rPr>
          <w:noProof/>
          <w:lang w:val="en-IE" w:eastAsia="de-DE"/>
        </w:rPr>
        <w:t xml:space="preserve">, </w:t>
      </w:r>
      <w:r w:rsidR="54E1FDEB" w:rsidRPr="004C70EC">
        <w:rPr>
          <w:noProof/>
          <w:lang w:val="en-IE" w:eastAsia="de-DE"/>
        </w:rPr>
        <w:t xml:space="preserve">in order to enable Member States to steer their national and regional programmes towards investments in critical technologies, including biotechnologies. </w:t>
      </w:r>
      <w:r w:rsidR="301CD314" w:rsidRPr="004C70EC">
        <w:rPr>
          <w:noProof/>
          <w:lang w:val="en-IE" w:eastAsia="de-DE"/>
        </w:rPr>
        <w:t xml:space="preserve">Without prejudice to the applicable rules governing each such funding instrument, </w:t>
      </w:r>
      <w:r w:rsidR="332EA5F4" w:rsidRPr="004C70EC">
        <w:rPr>
          <w:noProof/>
          <w:lang w:val="en-IE" w:eastAsia="de-DE"/>
        </w:rPr>
        <w:t>and in line with applicable State aid rules</w:t>
      </w:r>
      <w:r w:rsidR="68F734A8" w:rsidRPr="004C70EC">
        <w:rPr>
          <w:noProof/>
          <w:lang w:val="en-IE" w:eastAsia="de-DE"/>
        </w:rPr>
        <w:t>,</w:t>
      </w:r>
      <w:r w:rsidR="301CD314" w:rsidRPr="004C70EC">
        <w:rPr>
          <w:noProof/>
          <w:lang w:val="en-IE" w:eastAsia="de-DE"/>
        </w:rPr>
        <w:t xml:space="preserve"> this </w:t>
      </w:r>
      <w:r w:rsidR="54E1FDEB" w:rsidRPr="004C70EC">
        <w:rPr>
          <w:noProof/>
          <w:lang w:val="en-IE" w:eastAsia="de-DE"/>
        </w:rPr>
        <w:t xml:space="preserve">approach </w:t>
      </w:r>
      <w:r w:rsidR="00E163E1" w:rsidRPr="004C70EC">
        <w:rPr>
          <w:noProof/>
          <w:lang w:val="en-IE" w:eastAsia="de-DE"/>
        </w:rPr>
        <w:t xml:space="preserve">may </w:t>
      </w:r>
      <w:r w:rsidR="54E1FDEB" w:rsidRPr="004C70EC">
        <w:rPr>
          <w:noProof/>
          <w:lang w:val="en-IE" w:eastAsia="de-DE"/>
        </w:rPr>
        <w:t xml:space="preserve"> therefore be </w:t>
      </w:r>
      <w:r w:rsidR="301CD314" w:rsidRPr="004C70EC">
        <w:rPr>
          <w:noProof/>
          <w:lang w:val="en-IE" w:eastAsia="de-DE"/>
        </w:rPr>
        <w:t>applied to</w:t>
      </w:r>
      <w:r w:rsidR="54E1FDEB" w:rsidRPr="004C70EC">
        <w:rPr>
          <w:noProof/>
          <w:lang w:val="en-IE" w:eastAsia="de-DE"/>
        </w:rPr>
        <w:t xml:space="preserve"> high-impact </w:t>
      </w:r>
      <w:r w:rsidR="2F54E484" w:rsidRPr="004C70EC">
        <w:rPr>
          <w:noProof/>
          <w:lang w:val="en-IE" w:eastAsia="de-DE"/>
        </w:rPr>
        <w:t xml:space="preserve">health </w:t>
      </w:r>
      <w:r w:rsidR="54E1FDEB" w:rsidRPr="004C70EC">
        <w:rPr>
          <w:noProof/>
          <w:lang w:val="en-IE" w:eastAsia="de-DE"/>
        </w:rPr>
        <w:t>biotechnology strategic projects</w:t>
      </w:r>
      <w:r w:rsidR="301CD314" w:rsidRPr="004C70EC">
        <w:rPr>
          <w:noProof/>
          <w:lang w:val="en-IE" w:eastAsia="de-DE"/>
        </w:rPr>
        <w:t xml:space="preserve">, which </w:t>
      </w:r>
      <w:r w:rsidR="64C494EB" w:rsidRPr="004C70EC">
        <w:rPr>
          <w:noProof/>
          <w:lang w:val="en-IE" w:eastAsia="de-DE"/>
        </w:rPr>
        <w:t>are</w:t>
      </w:r>
      <w:r w:rsidR="301CD314" w:rsidRPr="004C70EC">
        <w:rPr>
          <w:noProof/>
          <w:lang w:val="en-IE" w:eastAsia="de-DE"/>
        </w:rPr>
        <w:t xml:space="preserve"> deemed in accordance with this Regulation as to contribute to the STEP objectives</w:t>
      </w:r>
      <w:r w:rsidR="725C72B3" w:rsidRPr="004C70EC">
        <w:rPr>
          <w:noProof/>
          <w:lang w:val="en-IE" w:eastAsia="de-DE"/>
        </w:rPr>
        <w:t>.</w:t>
      </w:r>
    </w:p>
    <w:p w14:paraId="56AEAD38" w14:textId="1F1FC959" w:rsidR="00431990" w:rsidRPr="004C70EC" w:rsidRDefault="00C03A23" w:rsidP="00C03A23">
      <w:pPr>
        <w:pStyle w:val="ManualConsidrant"/>
        <w:rPr>
          <w:noProof/>
          <w:shd w:val="clear" w:color="auto" w:fill="FFFFFF"/>
          <w:lang w:val="en-IE" w:eastAsia="de-DE"/>
        </w:rPr>
      </w:pPr>
      <w:r w:rsidRPr="00C03A23">
        <w:rPr>
          <w:noProof/>
        </w:rPr>
        <w:t>(15)</w:t>
      </w:r>
      <w:r w:rsidRPr="00C03A23">
        <w:rPr>
          <w:noProof/>
        </w:rPr>
        <w:tab/>
      </w:r>
      <w:r w:rsidR="0747D900" w:rsidRPr="004C70EC">
        <w:rPr>
          <w:noProof/>
          <w:lang w:val="en-IE" w:eastAsia="de-DE"/>
        </w:rPr>
        <w:t>The strategic importance of biotechnology for European competitiveness has already been established, including through the proposed a European Competitiveness Fund (ECF)</w:t>
      </w:r>
      <w:r w:rsidR="5502E3C0" w:rsidRPr="004C70EC">
        <w:rPr>
          <w:noProof/>
          <w:lang w:val="en-IE" w:eastAsia="de-DE"/>
        </w:rPr>
        <w:t xml:space="preserve"> </w:t>
      </w:r>
      <w:r w:rsidR="0747D900" w:rsidRPr="004C70EC">
        <w:rPr>
          <w:noProof/>
          <w:lang w:val="en-IE" w:eastAsia="de-DE"/>
        </w:rPr>
        <w:t xml:space="preserve">for the Multiannual Financial Framework </w:t>
      </w:r>
      <w:r w:rsidR="5799112D" w:rsidRPr="004C70EC">
        <w:rPr>
          <w:noProof/>
          <w:lang w:val="en-IE" w:eastAsia="de-DE"/>
        </w:rPr>
        <w:t xml:space="preserve">(MFF) </w:t>
      </w:r>
      <w:r w:rsidR="0747D900" w:rsidRPr="004C70EC">
        <w:rPr>
          <w:noProof/>
          <w:lang w:val="en-IE" w:eastAsia="de-DE"/>
        </w:rPr>
        <w:t xml:space="preserve">period 2028-2034, which includes a </w:t>
      </w:r>
      <w:r w:rsidR="00EE5375" w:rsidRPr="004C70EC">
        <w:rPr>
          <w:noProof/>
          <w:lang w:val="en-IE" w:eastAsia="de-DE"/>
        </w:rPr>
        <w:t xml:space="preserve">dedicated </w:t>
      </w:r>
      <w:r w:rsidR="0747D900" w:rsidRPr="004C70EC">
        <w:rPr>
          <w:noProof/>
          <w:lang w:val="en-IE" w:eastAsia="de-DE"/>
        </w:rPr>
        <w:t>‘Health, Biotech, Agriculture and Bioeconomy’ window. T</w:t>
      </w:r>
      <w:r w:rsidR="212FC6E9" w:rsidRPr="004C70EC">
        <w:rPr>
          <w:noProof/>
          <w:lang w:val="en-IE" w:eastAsia="de-DE"/>
        </w:rPr>
        <w:t>he Draghi Report on the Future of European Competitiveness</w:t>
      </w:r>
      <w:r w:rsidR="00273F36" w:rsidRPr="004C70EC">
        <w:rPr>
          <w:rStyle w:val="FootnoteReference"/>
          <w:noProof/>
          <w:color w:val="000000" w:themeColor="text1"/>
        </w:rPr>
        <w:footnoteReference w:id="101"/>
      </w:r>
      <w:r w:rsidR="0747D900" w:rsidRPr="004C70EC">
        <w:rPr>
          <w:noProof/>
          <w:lang w:val="en-IE" w:eastAsia="de-DE"/>
        </w:rPr>
        <w:t xml:space="preserve"> recommends that</w:t>
      </w:r>
      <w:r w:rsidR="212FC6E9" w:rsidRPr="004C70EC">
        <w:rPr>
          <w:noProof/>
          <w:lang w:val="en-IE" w:eastAsia="de-DE"/>
        </w:rPr>
        <w:t xml:space="preserve"> the Union should focus resources on a limited number of world-class centres of excellence in life sciences and biotechnology. High impact biotechnology</w:t>
      </w:r>
      <w:r w:rsidR="696D0F1D" w:rsidRPr="004C70EC">
        <w:rPr>
          <w:noProof/>
          <w:lang w:val="en-IE" w:eastAsia="de-DE"/>
        </w:rPr>
        <w:t xml:space="preserve"> health</w:t>
      </w:r>
      <w:r w:rsidR="212FC6E9" w:rsidRPr="004C70EC">
        <w:rPr>
          <w:noProof/>
          <w:lang w:val="en-IE" w:eastAsia="de-DE"/>
        </w:rPr>
        <w:t xml:space="preserve"> strategic projects</w:t>
      </w:r>
      <w:r w:rsidR="212FC6E9" w:rsidRPr="004C70EC" w:rsidDel="0009464A">
        <w:rPr>
          <w:noProof/>
          <w:lang w:val="en-IE" w:eastAsia="de-DE"/>
        </w:rPr>
        <w:t xml:space="preserve"> </w:t>
      </w:r>
      <w:r w:rsidR="212FC6E9" w:rsidRPr="004C70EC">
        <w:rPr>
          <w:noProof/>
          <w:lang w:val="en-IE" w:eastAsia="de-DE"/>
        </w:rPr>
        <w:t xml:space="preserve">have the potential to contribute to this focus of efforts and </w:t>
      </w:r>
      <w:r w:rsidR="148899FC" w:rsidRPr="004C70EC">
        <w:rPr>
          <w:noProof/>
          <w:lang w:val="en-IE" w:eastAsia="de-DE"/>
        </w:rPr>
        <w:t xml:space="preserve">be </w:t>
      </w:r>
      <w:r w:rsidR="483D63EA" w:rsidRPr="004C70EC">
        <w:rPr>
          <w:noProof/>
          <w:lang w:val="en-IE" w:eastAsia="de-DE"/>
        </w:rPr>
        <w:t xml:space="preserve">a </w:t>
      </w:r>
      <w:r w:rsidR="148899FC" w:rsidRPr="004C70EC">
        <w:rPr>
          <w:noProof/>
          <w:lang w:val="en-IE" w:eastAsia="de-DE"/>
        </w:rPr>
        <w:t xml:space="preserve">tool </w:t>
      </w:r>
      <w:r w:rsidR="483D63EA" w:rsidRPr="004C70EC">
        <w:rPr>
          <w:noProof/>
          <w:lang w:val="en-IE" w:eastAsia="de-DE"/>
        </w:rPr>
        <w:t>for an impactful use of resources</w:t>
      </w:r>
      <w:r w:rsidR="148899FC" w:rsidRPr="004C70EC">
        <w:rPr>
          <w:noProof/>
          <w:lang w:val="en-IE" w:eastAsia="de-DE"/>
        </w:rPr>
        <w:t xml:space="preserve"> in</w:t>
      </w:r>
      <w:r w:rsidR="212FC6E9" w:rsidRPr="004C70EC">
        <w:rPr>
          <w:noProof/>
          <w:lang w:val="en-IE" w:eastAsia="de-DE"/>
        </w:rPr>
        <w:t xml:space="preserve"> the </w:t>
      </w:r>
      <w:r w:rsidR="08BD816D" w:rsidRPr="004C70EC">
        <w:rPr>
          <w:noProof/>
          <w:lang w:val="en-IE" w:eastAsia="de-DE"/>
        </w:rPr>
        <w:t>MFF</w:t>
      </w:r>
      <w:r w:rsidR="483D63EA" w:rsidRPr="004C70EC">
        <w:rPr>
          <w:noProof/>
          <w:lang w:val="en-IE" w:eastAsia="de-DE"/>
        </w:rPr>
        <w:t xml:space="preserve"> period 2028-2034</w:t>
      </w:r>
      <w:r w:rsidR="25103658" w:rsidRPr="004C70EC">
        <w:rPr>
          <w:noProof/>
          <w:lang w:val="en-IE" w:eastAsia="de-DE"/>
        </w:rPr>
        <w:t xml:space="preserve">, </w:t>
      </w:r>
      <w:r w:rsidR="62350AD9" w:rsidRPr="004C70EC">
        <w:rPr>
          <w:noProof/>
          <w:lang w:val="en-IE" w:eastAsia="de-DE"/>
        </w:rPr>
        <w:t>to</w:t>
      </w:r>
      <w:r w:rsidR="212FC6E9" w:rsidRPr="004C70EC">
        <w:rPr>
          <w:noProof/>
          <w:lang w:val="en-IE" w:eastAsia="de-DE"/>
        </w:rPr>
        <w:t xml:space="preserve"> help position the Union among the leading regions for biotechnology. </w:t>
      </w:r>
      <w:r w:rsidR="00D40753" w:rsidRPr="004C70EC">
        <w:rPr>
          <w:noProof/>
          <w:lang w:val="en-IE" w:eastAsia="de-DE"/>
        </w:rPr>
        <w:t>E</w:t>
      </w:r>
      <w:r w:rsidR="212FC6E9" w:rsidRPr="004C70EC">
        <w:rPr>
          <w:noProof/>
          <w:lang w:val="en-IE" w:eastAsia="de-DE"/>
        </w:rPr>
        <w:t xml:space="preserve">xamples of categories of such high impact projects and specific criteria </w:t>
      </w:r>
      <w:r w:rsidR="4208C6E0" w:rsidRPr="004C70EC">
        <w:rPr>
          <w:noProof/>
          <w:lang w:val="en-IE" w:eastAsia="de-DE"/>
        </w:rPr>
        <w:t xml:space="preserve">should be established </w:t>
      </w:r>
      <w:r w:rsidR="212FC6E9" w:rsidRPr="004C70EC">
        <w:rPr>
          <w:noProof/>
          <w:lang w:val="en-IE" w:eastAsia="de-DE"/>
        </w:rPr>
        <w:t xml:space="preserve">for their recognition by the Commission. </w:t>
      </w:r>
      <w:r w:rsidR="249CF78E" w:rsidRPr="004C70EC">
        <w:rPr>
          <w:noProof/>
          <w:lang w:val="en-IE" w:eastAsia="de-DE"/>
        </w:rPr>
        <w:t>Amongst those categories</w:t>
      </w:r>
      <w:r w:rsidR="76D5935B" w:rsidRPr="004C70EC">
        <w:rPr>
          <w:noProof/>
          <w:lang w:val="en-IE" w:eastAsia="de-DE"/>
        </w:rPr>
        <w:t>,</w:t>
      </w:r>
      <w:r w:rsidR="41CA2F62" w:rsidRPr="004C70EC">
        <w:rPr>
          <w:noProof/>
          <w:lang w:val="en-IE" w:eastAsia="de-DE"/>
        </w:rPr>
        <w:t xml:space="preserve"> high impact </w:t>
      </w:r>
      <w:r w:rsidR="2F54E484" w:rsidRPr="004C70EC">
        <w:rPr>
          <w:noProof/>
          <w:lang w:val="en-IE" w:eastAsia="de-DE"/>
        </w:rPr>
        <w:t>health</w:t>
      </w:r>
      <w:r w:rsidR="41CA2F62" w:rsidRPr="004C70EC">
        <w:rPr>
          <w:noProof/>
          <w:lang w:val="en-IE" w:eastAsia="de-DE"/>
        </w:rPr>
        <w:t xml:space="preserve"> biotechnology strategic projects</w:t>
      </w:r>
      <w:r w:rsidR="76D5935B" w:rsidRPr="004C70EC">
        <w:rPr>
          <w:noProof/>
          <w:lang w:val="en-IE" w:eastAsia="de-DE"/>
        </w:rPr>
        <w:t xml:space="preserve"> in the form of</w:t>
      </w:r>
      <w:r w:rsidR="249CF78E" w:rsidRPr="004C70EC">
        <w:rPr>
          <w:noProof/>
          <w:lang w:val="en-IE" w:eastAsia="de-DE"/>
        </w:rPr>
        <w:t xml:space="preserve"> biotechnology development accelerators</w:t>
      </w:r>
      <w:r w:rsidR="348C8065" w:rsidRPr="004C70EC">
        <w:rPr>
          <w:noProof/>
          <w:lang w:val="en-IE" w:eastAsia="de-DE"/>
        </w:rPr>
        <w:t xml:space="preserve"> </w:t>
      </w:r>
      <w:r w:rsidR="63280FEC" w:rsidRPr="004C70EC">
        <w:rPr>
          <w:noProof/>
          <w:lang w:val="en-IE" w:eastAsia="de-DE"/>
        </w:rPr>
        <w:t>providing, amongst other</w:t>
      </w:r>
      <w:r w:rsidR="03C40704" w:rsidRPr="004C70EC">
        <w:rPr>
          <w:noProof/>
          <w:lang w:val="en-IE" w:eastAsia="de-DE"/>
        </w:rPr>
        <w:t>s</w:t>
      </w:r>
      <w:r w:rsidR="63280FEC" w:rsidRPr="004C70EC">
        <w:rPr>
          <w:noProof/>
          <w:lang w:val="en-IE" w:eastAsia="de-DE"/>
        </w:rPr>
        <w:t xml:space="preserve">, </w:t>
      </w:r>
      <w:r w:rsidR="2EB639C0" w:rsidRPr="004C70EC">
        <w:rPr>
          <w:noProof/>
          <w:lang w:val="en-IE" w:eastAsia="de-DE"/>
        </w:rPr>
        <w:t xml:space="preserve">trusted </w:t>
      </w:r>
      <w:r w:rsidR="4776B24E" w:rsidRPr="004C70EC">
        <w:rPr>
          <w:noProof/>
          <w:lang w:val="en-IE" w:eastAsia="de-DE"/>
        </w:rPr>
        <w:t xml:space="preserve">testing or demonstration facilities </w:t>
      </w:r>
      <w:r w:rsidR="5B578E5B" w:rsidRPr="004C70EC">
        <w:rPr>
          <w:noProof/>
          <w:lang w:val="en-IE" w:eastAsia="de-DE"/>
        </w:rPr>
        <w:t xml:space="preserve">replicating real-world </w:t>
      </w:r>
      <w:r w:rsidR="03C40704" w:rsidRPr="004C70EC">
        <w:rPr>
          <w:noProof/>
          <w:lang w:val="en-IE" w:eastAsia="de-DE"/>
        </w:rPr>
        <w:t xml:space="preserve">biomanufacturing processes, </w:t>
      </w:r>
      <w:r w:rsidR="249CF78E" w:rsidRPr="004C70EC">
        <w:rPr>
          <w:noProof/>
          <w:lang w:val="en-IE" w:eastAsia="de-DE"/>
        </w:rPr>
        <w:t xml:space="preserve">should play a key role in translating Europe’s scientific excellence into productive industrial capacity. By pooling advanced equipment and expertise and offering criteria-based access, including for small and medium-sized enterprises, start-ups and scale-ups, </w:t>
      </w:r>
      <w:r w:rsidR="03C40704" w:rsidRPr="004C70EC">
        <w:rPr>
          <w:noProof/>
          <w:lang w:val="en-IE" w:eastAsia="de-DE"/>
        </w:rPr>
        <w:t xml:space="preserve">such projects </w:t>
      </w:r>
      <w:r w:rsidR="249CF78E" w:rsidRPr="004C70EC">
        <w:rPr>
          <w:noProof/>
          <w:lang w:val="en-IE" w:eastAsia="de-DE"/>
        </w:rPr>
        <w:t xml:space="preserve">should reduce duplication of efforts, lower entry barriers, and foster the specialised skills required for advanced biomanufacturing. Similarly, </w:t>
      </w:r>
      <w:r w:rsidR="0A66CBBA" w:rsidRPr="004C70EC">
        <w:rPr>
          <w:noProof/>
          <w:lang w:val="en-IE" w:eastAsia="de-DE"/>
        </w:rPr>
        <w:t xml:space="preserve">high impact </w:t>
      </w:r>
      <w:r w:rsidR="2ECB7E38" w:rsidRPr="004C70EC">
        <w:rPr>
          <w:noProof/>
          <w:lang w:val="en-IE" w:eastAsia="de-DE"/>
        </w:rPr>
        <w:t>health</w:t>
      </w:r>
      <w:r w:rsidR="0A66CBBA" w:rsidRPr="004C70EC">
        <w:rPr>
          <w:noProof/>
          <w:lang w:val="en-IE" w:eastAsia="de-DE"/>
        </w:rPr>
        <w:t xml:space="preserve"> biotechnology strategic projects in the form of </w:t>
      </w:r>
      <w:r w:rsidR="249CF78E" w:rsidRPr="004C70EC">
        <w:rPr>
          <w:noProof/>
          <w:lang w:val="en-IE" w:eastAsia="de-DE"/>
        </w:rPr>
        <w:t>centres of excellence for advanced therapies</w:t>
      </w:r>
      <w:r w:rsidR="51DF68B9" w:rsidRPr="004C70EC">
        <w:rPr>
          <w:noProof/>
          <w:lang w:val="en-IE" w:eastAsia="de-DE"/>
        </w:rPr>
        <w:t>, including for advanced therapy medicinal products,</w:t>
      </w:r>
      <w:r w:rsidR="249CF78E" w:rsidRPr="004C70EC">
        <w:rPr>
          <w:noProof/>
          <w:lang w:val="en-IE" w:eastAsia="de-DE"/>
        </w:rPr>
        <w:t xml:space="preserve"> should combine research, regulatory science and manufacturing capabilities, enabling faster, safer and more efficient development of innovative therapies. When connected to digital and data infrastructures, they should have the potential to accelerate clinical translation, improve quality control and facilitate patient access across the Union. </w:t>
      </w:r>
    </w:p>
    <w:p w14:paraId="063811CB" w14:textId="6BFEA198" w:rsidR="00431990" w:rsidRPr="004C70EC" w:rsidRDefault="00C03A23" w:rsidP="00C03A23">
      <w:pPr>
        <w:pStyle w:val="ManualConsidrant"/>
        <w:rPr>
          <w:noProof/>
          <w:shd w:val="clear" w:color="auto" w:fill="FFFFFF"/>
          <w:lang w:val="en-IE" w:eastAsia="de-DE"/>
        </w:rPr>
      </w:pPr>
      <w:r w:rsidRPr="00C03A23">
        <w:rPr>
          <w:noProof/>
        </w:rPr>
        <w:t>(16)</w:t>
      </w:r>
      <w:r w:rsidRPr="00C03A23">
        <w:rPr>
          <w:noProof/>
        </w:rPr>
        <w:tab/>
      </w:r>
      <w:r w:rsidR="249CF78E" w:rsidRPr="004C70EC">
        <w:rPr>
          <w:noProof/>
          <w:lang w:val="en-IE" w:eastAsia="de-DE"/>
        </w:rPr>
        <w:t xml:space="preserve">To maximise the Union-wide benefits of investments </w:t>
      </w:r>
      <w:bookmarkStart w:id="10" w:name="_Hlk214003787"/>
      <w:r w:rsidR="249CF78E" w:rsidRPr="004C70EC">
        <w:rPr>
          <w:noProof/>
          <w:lang w:val="en-IE" w:eastAsia="de-DE"/>
        </w:rPr>
        <w:t xml:space="preserve">made in projects or entities operating infrastructures, facilities and services supported and established or recognised in accordance with this Regulation, such projects or entities should provide </w:t>
      </w:r>
      <w:r w:rsidR="249CF78E" w:rsidRPr="004C70EC">
        <w:rPr>
          <w:rFonts w:eastAsiaTheme="majorEastAsia"/>
          <w:noProof/>
          <w:lang w:val="en-IE" w:eastAsia="de-DE"/>
        </w:rPr>
        <w:t>open, non-discriminatory,</w:t>
      </w:r>
      <w:r w:rsidR="249CF78E" w:rsidRPr="004C70EC">
        <w:rPr>
          <w:rFonts w:eastAsiaTheme="majorEastAsia"/>
          <w:b/>
          <w:bCs/>
          <w:noProof/>
          <w:lang w:val="en-IE" w:eastAsia="de-DE"/>
        </w:rPr>
        <w:t xml:space="preserve"> </w:t>
      </w:r>
      <w:r w:rsidR="249CF78E" w:rsidRPr="004C70EC">
        <w:rPr>
          <w:rFonts w:eastAsiaTheme="majorEastAsia"/>
          <w:noProof/>
          <w:lang w:val="en-IE" w:eastAsia="de-DE"/>
        </w:rPr>
        <w:t>transparent and criteria-based access</w:t>
      </w:r>
      <w:r w:rsidR="249CF78E" w:rsidRPr="004C70EC">
        <w:rPr>
          <w:noProof/>
          <w:lang w:val="en-IE" w:eastAsia="de-DE"/>
        </w:rPr>
        <w:t xml:space="preserve"> to users from all Member States, including academic institutions, industrial undertakings, </w:t>
      </w:r>
      <w:r w:rsidR="249CF78E" w:rsidRPr="004C70EC">
        <w:rPr>
          <w:rFonts w:eastAsiaTheme="majorEastAsia"/>
          <w:noProof/>
          <w:lang w:val="en-IE" w:eastAsia="de-DE"/>
        </w:rPr>
        <w:t>with particular attention to SMEs, start-ups</w:t>
      </w:r>
      <w:r w:rsidR="249CF78E" w:rsidRPr="004C70EC">
        <w:rPr>
          <w:rFonts w:eastAsiaTheme="majorEastAsia"/>
          <w:noProof/>
          <w:lang w:val="en-IE" w:eastAsia="ja-JP"/>
        </w:rPr>
        <w:t xml:space="preserve"> and scale-ups</w:t>
      </w:r>
      <w:r w:rsidR="249CF78E" w:rsidRPr="004C70EC">
        <w:rPr>
          <w:rFonts w:eastAsiaTheme="majorEastAsia"/>
          <w:noProof/>
          <w:lang w:val="en-IE" w:eastAsia="de-DE"/>
        </w:rPr>
        <w:t xml:space="preserve">, </w:t>
      </w:r>
      <w:r w:rsidR="249CF78E" w:rsidRPr="004C70EC">
        <w:rPr>
          <w:noProof/>
          <w:lang w:val="en-IE" w:eastAsia="de-DE"/>
        </w:rPr>
        <w:t xml:space="preserve">and public research bodies. Access conditions should be </w:t>
      </w:r>
      <w:r w:rsidR="249CF78E" w:rsidRPr="004C70EC">
        <w:rPr>
          <w:rFonts w:eastAsiaTheme="majorEastAsia"/>
          <w:noProof/>
          <w:lang w:val="en-IE" w:eastAsia="de-DE"/>
        </w:rPr>
        <w:t>proportionate</w:t>
      </w:r>
      <w:r w:rsidR="249CF78E" w:rsidRPr="004C70EC">
        <w:rPr>
          <w:noProof/>
          <w:lang w:val="en-IE" w:eastAsia="de-DE"/>
        </w:rPr>
        <w:t xml:space="preserve"> and ensure </w:t>
      </w:r>
      <w:r w:rsidR="249CF78E" w:rsidRPr="004C70EC">
        <w:rPr>
          <w:rFonts w:eastAsiaTheme="majorEastAsia"/>
          <w:noProof/>
          <w:lang w:val="en-IE" w:eastAsia="de-DE"/>
        </w:rPr>
        <w:t>fair treatment</w:t>
      </w:r>
      <w:r w:rsidR="249CF78E" w:rsidRPr="004C70EC">
        <w:rPr>
          <w:noProof/>
          <w:lang w:val="en-IE" w:eastAsia="de-DE"/>
        </w:rPr>
        <w:t xml:space="preserve"> among users, taking into account the </w:t>
      </w:r>
      <w:r w:rsidR="249CF78E" w:rsidRPr="004C70EC">
        <w:rPr>
          <w:rFonts w:eastAsiaTheme="majorEastAsia"/>
          <w:noProof/>
          <w:lang w:val="en-IE" w:eastAsia="de-DE"/>
        </w:rPr>
        <w:t>objectives and capacity</w:t>
      </w:r>
      <w:r w:rsidR="249CF78E" w:rsidRPr="004C70EC">
        <w:rPr>
          <w:noProof/>
          <w:lang w:val="en-IE" w:eastAsia="de-DE"/>
        </w:rPr>
        <w:t xml:space="preserve"> of each infrastructure, the need to </w:t>
      </w:r>
      <w:r w:rsidR="249CF78E" w:rsidRPr="004C70EC">
        <w:rPr>
          <w:rFonts w:eastAsiaTheme="majorEastAsia"/>
          <w:noProof/>
          <w:lang w:val="en-IE" w:eastAsia="de-DE"/>
        </w:rPr>
        <w:t>guarantee equitable opportunities</w:t>
      </w:r>
      <w:r w:rsidR="249CF78E" w:rsidRPr="004C70EC">
        <w:rPr>
          <w:noProof/>
          <w:lang w:val="en-IE" w:eastAsia="de-DE"/>
        </w:rPr>
        <w:t xml:space="preserve"> for SMEs, start-ups</w:t>
      </w:r>
      <w:r w:rsidR="249CF78E" w:rsidRPr="004C70EC">
        <w:rPr>
          <w:rFonts w:eastAsiaTheme="majorEastAsia"/>
          <w:noProof/>
          <w:lang w:val="en-IE" w:eastAsia="ja-JP"/>
        </w:rPr>
        <w:t xml:space="preserve"> and scale-ups,</w:t>
      </w:r>
      <w:r w:rsidR="249CF78E" w:rsidRPr="004C70EC">
        <w:rPr>
          <w:noProof/>
          <w:lang w:val="en-IE" w:eastAsia="de-DE"/>
        </w:rPr>
        <w:t xml:space="preserve"> and research actors, and </w:t>
      </w:r>
      <w:r w:rsidR="249CF78E" w:rsidRPr="004C70EC">
        <w:rPr>
          <w:rFonts w:eastAsiaTheme="majorEastAsia"/>
          <w:noProof/>
          <w:lang w:val="en-IE" w:eastAsia="de-DE"/>
        </w:rPr>
        <w:t>appropriate safeguards</w:t>
      </w:r>
      <w:r w:rsidR="249CF78E" w:rsidRPr="004C70EC">
        <w:rPr>
          <w:noProof/>
          <w:lang w:val="en-IE" w:eastAsia="de-DE"/>
        </w:rPr>
        <w:t xml:space="preserve"> to protect security, confidentiality, intellectual property and economic-security interests.</w:t>
      </w:r>
    </w:p>
    <w:p w14:paraId="300F410F" w14:textId="33D420E4" w:rsidR="00431990" w:rsidRPr="004C70EC" w:rsidRDefault="00C03A23" w:rsidP="00C03A23">
      <w:pPr>
        <w:pStyle w:val="ManualConsidrant"/>
        <w:rPr>
          <w:rFonts w:eastAsia="Times New Roman"/>
          <w:noProof/>
          <w:shd w:val="clear" w:color="auto" w:fill="FFFFFF"/>
          <w:lang w:val="en-IE" w:eastAsia="de-DE"/>
        </w:rPr>
      </w:pPr>
      <w:r w:rsidRPr="00C03A23">
        <w:rPr>
          <w:noProof/>
        </w:rPr>
        <w:t>(17)</w:t>
      </w:r>
      <w:r w:rsidRPr="00C03A23">
        <w:rPr>
          <w:noProof/>
        </w:rPr>
        <w:tab/>
      </w:r>
      <w:r w:rsidR="355F25F8" w:rsidRPr="004C70EC">
        <w:rPr>
          <w:noProof/>
          <w:lang w:val="en-IE" w:eastAsia="de-DE"/>
        </w:rPr>
        <w:t>Effective implementation of objectives pursued in this Regulation relies on good governance and partnership between all actors at the relevant territorial levels and socio-economic actors. In</w:t>
      </w:r>
      <w:r w:rsidR="7794DEBB" w:rsidRPr="004C70EC">
        <w:rPr>
          <w:noProof/>
          <w:lang w:val="en-IE" w:eastAsia="de-DE"/>
        </w:rPr>
        <w:t xml:space="preserve"> particular</w:t>
      </w:r>
      <w:r w:rsidR="4C731A3F" w:rsidRPr="004C70EC">
        <w:rPr>
          <w:noProof/>
          <w:lang w:val="en-IE" w:eastAsia="de-DE"/>
        </w:rPr>
        <w:t>,</w:t>
      </w:r>
      <w:r w:rsidR="355F25F8" w:rsidRPr="004C70EC">
        <w:rPr>
          <w:noProof/>
          <w:lang w:val="en-IE" w:eastAsia="de-DE"/>
        </w:rPr>
        <w:t xml:space="preserve"> biotechnology strategic projects aimed at targeting talent and skills shortages vital to supporting biotechnology and biomanufacturing industries and to ensuring a workforce capable to supporting innovation, industrial scale-up and long-term competitiveness should be designed and developed with the full involvement of the relevant social partners. Such active engagement is essential to ensure that social implications are addressed from the outset and to foster responsible innovation</w:t>
      </w:r>
      <w:r w:rsidR="355F25F8" w:rsidRPr="004C70EC">
        <w:rPr>
          <w:rFonts w:eastAsiaTheme="minorEastAsia"/>
          <w:noProof/>
          <w:lang w:eastAsia="de-DE"/>
        </w:rPr>
        <w:t xml:space="preserve">.  </w:t>
      </w:r>
    </w:p>
    <w:p w14:paraId="543FABA6" w14:textId="3F9E37EC" w:rsidR="00431990" w:rsidRPr="004C70EC" w:rsidRDefault="00C03A23" w:rsidP="00C03A23">
      <w:pPr>
        <w:pStyle w:val="ManualConsidrant"/>
        <w:rPr>
          <w:noProof/>
          <w:shd w:val="clear" w:color="auto" w:fill="FFFFFF"/>
          <w:lang w:val="en-IE" w:eastAsia="de-DE"/>
        </w:rPr>
      </w:pPr>
      <w:r w:rsidRPr="00C03A23">
        <w:rPr>
          <w:noProof/>
        </w:rPr>
        <w:t>(18)</w:t>
      </w:r>
      <w:r w:rsidRPr="00C03A23">
        <w:rPr>
          <w:noProof/>
        </w:rPr>
        <w:tab/>
      </w:r>
      <w:r w:rsidR="212FC6E9" w:rsidRPr="004C70EC">
        <w:rPr>
          <w:noProof/>
          <w:lang w:val="en-IE" w:eastAsia="de-DE"/>
        </w:rPr>
        <w:t>Directive (EU) 2022/2555 of the European Parliament and of the Council</w:t>
      </w:r>
      <w:r w:rsidR="003C2A5C" w:rsidRPr="004C70EC">
        <w:rPr>
          <w:rStyle w:val="FootnoteReference"/>
          <w:noProof/>
          <w:color w:val="000000" w:themeColor="text1"/>
        </w:rPr>
        <w:footnoteReference w:id="102"/>
      </w:r>
      <w:r w:rsidR="212FC6E9" w:rsidRPr="004C70EC">
        <w:rPr>
          <w:noProof/>
          <w:lang w:val="en-IE" w:eastAsia="de-DE"/>
        </w:rPr>
        <w:t xml:space="preserve"> lays down obligations for essential and important entities to ensure a high common level of cybersecurity throughout the Union, including requirements on risk management, incident reporting and the protection of network and information systems.  </w:t>
      </w:r>
      <w:r w:rsidR="70B2AD67" w:rsidRPr="004C70EC">
        <w:rPr>
          <w:noProof/>
          <w:lang w:val="en-IE" w:eastAsia="de-DE"/>
        </w:rPr>
        <w:t xml:space="preserve">Therefore, </w:t>
      </w:r>
      <w:r w:rsidR="00230AF0" w:rsidRPr="004C70EC">
        <w:rPr>
          <w:noProof/>
          <w:lang w:val="en-IE" w:eastAsia="de-DE"/>
        </w:rPr>
        <w:t>entities</w:t>
      </w:r>
      <w:r w:rsidR="212FC6E9" w:rsidRPr="004C70EC">
        <w:rPr>
          <w:noProof/>
          <w:lang w:val="en-IE" w:eastAsia="de-DE"/>
        </w:rPr>
        <w:t xml:space="preserve"> established or supported under this Regulation </w:t>
      </w:r>
      <w:r w:rsidR="5136F5B3" w:rsidRPr="004C70EC">
        <w:rPr>
          <w:noProof/>
          <w:lang w:val="en-IE" w:eastAsia="de-DE"/>
        </w:rPr>
        <w:t xml:space="preserve">and </w:t>
      </w:r>
      <w:r w:rsidR="212FC6E9" w:rsidRPr="004C70EC">
        <w:rPr>
          <w:noProof/>
          <w:lang w:val="en-IE" w:eastAsia="de-DE"/>
        </w:rPr>
        <w:t xml:space="preserve">falling within the scope of the Directive </w:t>
      </w:r>
      <w:r w:rsidR="09178C4D" w:rsidRPr="004C70EC">
        <w:rPr>
          <w:noProof/>
          <w:lang w:val="en-IE" w:eastAsia="de-DE"/>
        </w:rPr>
        <w:t xml:space="preserve">(EU) 2022/2555 </w:t>
      </w:r>
      <w:r w:rsidR="15F351B3" w:rsidRPr="004C70EC">
        <w:rPr>
          <w:noProof/>
          <w:lang w:val="en-IE" w:eastAsia="de-DE"/>
        </w:rPr>
        <w:t xml:space="preserve">should </w:t>
      </w:r>
      <w:r w:rsidR="212FC6E9" w:rsidRPr="004C70EC">
        <w:rPr>
          <w:noProof/>
          <w:lang w:val="en-IE" w:eastAsia="de-DE"/>
        </w:rPr>
        <w:t>comply with the requirements set out in that Directive.</w:t>
      </w:r>
      <w:bookmarkEnd w:id="10"/>
    </w:p>
    <w:p w14:paraId="29A8D8EC" w14:textId="0AFDA48C" w:rsidR="00431990" w:rsidRPr="004C70EC" w:rsidRDefault="00C03A23" w:rsidP="00C03A23">
      <w:pPr>
        <w:pStyle w:val="ManualConsidrant"/>
        <w:rPr>
          <w:noProof/>
          <w:shd w:val="clear" w:color="auto" w:fill="FFFFFF"/>
          <w:lang w:val="en-IE" w:eastAsia="de-DE"/>
        </w:rPr>
      </w:pPr>
      <w:r w:rsidRPr="00C03A23">
        <w:rPr>
          <w:noProof/>
        </w:rPr>
        <w:t>(19)</w:t>
      </w:r>
      <w:r w:rsidRPr="00C03A23">
        <w:rPr>
          <w:noProof/>
        </w:rPr>
        <w:tab/>
      </w:r>
      <w:r w:rsidR="212FC6E9" w:rsidRPr="004C70EC">
        <w:rPr>
          <w:noProof/>
          <w:lang w:val="en-IE" w:eastAsia="de-DE"/>
        </w:rPr>
        <w:t xml:space="preserve">In order to </w:t>
      </w:r>
      <w:r w:rsidR="212FC6E9" w:rsidRPr="004C70EC">
        <w:rPr>
          <w:rFonts w:eastAsiaTheme="majorEastAsia"/>
          <w:noProof/>
          <w:lang w:val="en-IE" w:eastAsia="de-DE"/>
        </w:rPr>
        <w:t>safeguard the Union’s security, public order and strategic interests</w:t>
      </w:r>
      <w:r w:rsidR="212FC6E9" w:rsidRPr="004C70EC">
        <w:rPr>
          <w:b/>
          <w:bCs/>
          <w:noProof/>
          <w:lang w:val="en-IE" w:eastAsia="de-DE"/>
        </w:rPr>
        <w:t>,</w:t>
      </w:r>
      <w:r w:rsidR="212FC6E9" w:rsidRPr="004C70EC">
        <w:rPr>
          <w:noProof/>
          <w:lang w:val="en-IE" w:eastAsia="de-DE"/>
        </w:rPr>
        <w:t xml:space="preserve"> access to biotechnology infrastructures and datasets </w:t>
      </w:r>
      <w:r w:rsidR="3D597F15" w:rsidRPr="004C70EC">
        <w:rPr>
          <w:noProof/>
          <w:lang w:val="en-IE" w:eastAsia="de-DE"/>
        </w:rPr>
        <w:t xml:space="preserve">of </w:t>
      </w:r>
      <w:r w:rsidR="73FE9880" w:rsidRPr="004C70EC">
        <w:rPr>
          <w:noProof/>
          <w:lang w:val="en-IE" w:eastAsia="de-DE"/>
        </w:rPr>
        <w:t xml:space="preserve">health biotechnology strategic projects </w:t>
      </w:r>
      <w:r w:rsidR="3A2638F7" w:rsidRPr="004C70EC">
        <w:rPr>
          <w:noProof/>
          <w:lang w:val="en-IE" w:eastAsia="de-DE"/>
        </w:rPr>
        <w:t xml:space="preserve">and of </w:t>
      </w:r>
      <w:r w:rsidR="73FE9880" w:rsidRPr="004C70EC">
        <w:rPr>
          <w:noProof/>
          <w:lang w:val="en-IE" w:eastAsia="de-DE"/>
        </w:rPr>
        <w:t>high impact health biotechnology strategic projects recognised in accordance</w:t>
      </w:r>
      <w:r w:rsidR="57B7D6E6" w:rsidRPr="004C70EC">
        <w:rPr>
          <w:noProof/>
          <w:lang w:val="en-IE" w:eastAsia="de-DE"/>
        </w:rPr>
        <w:t xml:space="preserve"> with this Regulation</w:t>
      </w:r>
      <w:r w:rsidR="38F11D7E" w:rsidRPr="004C70EC">
        <w:rPr>
          <w:noProof/>
          <w:lang w:val="en-IE" w:eastAsia="de-DE"/>
        </w:rPr>
        <w:t xml:space="preserve"> a</w:t>
      </w:r>
      <w:r w:rsidR="65900CFC" w:rsidRPr="004C70EC">
        <w:rPr>
          <w:noProof/>
          <w:lang w:val="en-IE" w:eastAsia="de-DE"/>
        </w:rPr>
        <w:t>nd that receive funding in accordance with Union programmes</w:t>
      </w:r>
      <w:r w:rsidR="3A2638F7" w:rsidRPr="004C70EC">
        <w:rPr>
          <w:noProof/>
          <w:lang w:val="en-IE" w:eastAsia="de-DE"/>
        </w:rPr>
        <w:t xml:space="preserve">, </w:t>
      </w:r>
      <w:r w:rsidR="1AEE1BA0" w:rsidRPr="004C70EC">
        <w:rPr>
          <w:noProof/>
          <w:lang w:val="en-IE" w:eastAsia="de-DE"/>
        </w:rPr>
        <w:t>in relation to such infrastructures or datasets</w:t>
      </w:r>
      <w:r w:rsidR="212FC6E9" w:rsidRPr="004C70EC">
        <w:rPr>
          <w:noProof/>
          <w:lang w:val="en-IE" w:eastAsia="de-DE"/>
        </w:rPr>
        <w:t>, should</w:t>
      </w:r>
      <w:r w:rsidR="00FF3F6D" w:rsidRPr="004C70EC">
        <w:rPr>
          <w:noProof/>
          <w:lang w:val="en-IE" w:eastAsia="de-DE"/>
        </w:rPr>
        <w:t xml:space="preserve"> be governed by the rules established in those programmes. </w:t>
      </w:r>
      <w:r w:rsidR="212FC6E9" w:rsidRPr="004C70EC">
        <w:rPr>
          <w:noProof/>
          <w:lang w:val="en-IE" w:eastAsia="de-DE"/>
        </w:rPr>
        <w:t>This addresses risks linked to unlawful technology transfer, hostile interference or strategic dependency.</w:t>
      </w:r>
    </w:p>
    <w:p w14:paraId="4D969280" w14:textId="65B92642" w:rsidR="00431990" w:rsidRPr="004C70EC" w:rsidRDefault="00C03A23" w:rsidP="00C03A23">
      <w:pPr>
        <w:pStyle w:val="ManualConsidrant"/>
        <w:rPr>
          <w:noProof/>
          <w:shd w:val="clear" w:color="auto" w:fill="FFFFFF"/>
          <w:lang w:val="en-IE" w:eastAsia="de-DE"/>
        </w:rPr>
      </w:pPr>
      <w:r w:rsidRPr="00C03A23">
        <w:rPr>
          <w:noProof/>
        </w:rPr>
        <w:t>(20)</w:t>
      </w:r>
      <w:r w:rsidRPr="00C03A23">
        <w:rPr>
          <w:noProof/>
        </w:rPr>
        <w:tab/>
      </w:r>
      <w:r w:rsidR="212FC6E9" w:rsidRPr="004C70EC">
        <w:rPr>
          <w:noProof/>
          <w:lang w:val="en-IE" w:eastAsia="de-DE"/>
        </w:rPr>
        <w:t>To provide an evidence base for future Union action to further strengthen the biotechnology and biomanufacturing sectors, the Commission should carry out a strategic mapping of the Union’s biotechnology ecosystem. That mapping should analyse industrial capacities, infrastructures and facilities relevant to biotechnology research, development, testing and manufacturing, and assess factors affecting the Union’s ability to attract and retain investment in biomanufacturing, including  access to public and private risk-tolerant capital across all stages of the innovation cycle, the development and coordination of biotechnology clusters and biomanufacturing ecosystems across the Union,  and assess challenges and needs in terms of the workforce.</w:t>
      </w:r>
    </w:p>
    <w:p w14:paraId="247F1E41" w14:textId="5CD4AB36" w:rsidR="00431990" w:rsidRPr="004C70EC" w:rsidRDefault="00C03A23" w:rsidP="00C03A23">
      <w:pPr>
        <w:pStyle w:val="ManualConsidrant"/>
        <w:rPr>
          <w:noProof/>
          <w:shd w:val="clear" w:color="auto" w:fill="FFFFFF"/>
          <w:lang w:val="en-IE" w:eastAsia="de-DE"/>
        </w:rPr>
      </w:pPr>
      <w:r w:rsidRPr="00C03A23">
        <w:rPr>
          <w:noProof/>
        </w:rPr>
        <w:t>(21)</w:t>
      </w:r>
      <w:r w:rsidRPr="00C03A23">
        <w:rPr>
          <w:noProof/>
        </w:rPr>
        <w:tab/>
      </w:r>
      <w:r w:rsidR="212FC6E9" w:rsidRPr="004C70EC">
        <w:rPr>
          <w:noProof/>
          <w:lang w:val="en-IE" w:eastAsia="de-DE"/>
        </w:rPr>
        <w:t xml:space="preserve">Recognising the transformative role of data and </w:t>
      </w:r>
      <w:r w:rsidR="6A9B2F71" w:rsidRPr="004C70EC">
        <w:rPr>
          <w:noProof/>
          <w:lang w:val="en-IE" w:eastAsia="de-DE"/>
        </w:rPr>
        <w:t>AI</w:t>
      </w:r>
      <w:r w:rsidR="212FC6E9" w:rsidRPr="004C70EC">
        <w:rPr>
          <w:noProof/>
          <w:lang w:val="en-IE" w:eastAsia="de-DE"/>
        </w:rPr>
        <w:t xml:space="preserve"> in the area of biotechnology and biomanufacturing, that mapping should also assess access to data, computing capacity and digital infrastructure for the </w:t>
      </w:r>
      <w:r w:rsidR="231B4EE3" w:rsidRPr="004C70EC">
        <w:rPr>
          <w:noProof/>
          <w:lang w:val="en-IE" w:eastAsia="de-DE"/>
        </w:rPr>
        <w:t xml:space="preserve">health </w:t>
      </w:r>
      <w:r w:rsidR="212FC6E9" w:rsidRPr="004C70EC">
        <w:rPr>
          <w:noProof/>
          <w:lang w:val="en-IE" w:eastAsia="de-DE"/>
        </w:rPr>
        <w:t>biotechnology sector and identify measures to foster responsible AI-enabled biotechnology innovation and</w:t>
      </w:r>
      <w:r w:rsidR="00A8695C" w:rsidRPr="004C70EC">
        <w:rPr>
          <w:noProof/>
          <w:lang w:val="en-IE" w:eastAsia="de-DE"/>
        </w:rPr>
        <w:t xml:space="preserve"> possible measures to</w:t>
      </w:r>
      <w:r w:rsidR="212FC6E9" w:rsidRPr="004C70EC">
        <w:rPr>
          <w:noProof/>
          <w:lang w:val="en-IE" w:eastAsia="de-DE"/>
        </w:rPr>
        <w:t xml:space="preserve"> mitigate related risks, building on analyses done in the context of existing Union initiatives such as the European Health Data Space</w:t>
      </w:r>
      <w:r w:rsidR="006F0C9D" w:rsidRPr="004C70EC">
        <w:rPr>
          <w:rStyle w:val="FootnoteReference"/>
          <w:rFonts w:eastAsia="Times New Roman"/>
          <w:noProof/>
          <w:color w:val="000000" w:themeColor="text1"/>
        </w:rPr>
        <w:footnoteReference w:id="103"/>
      </w:r>
      <w:r w:rsidR="212FC6E9" w:rsidRPr="004C70EC">
        <w:rPr>
          <w:noProof/>
          <w:lang w:val="en-IE" w:eastAsia="de-DE"/>
        </w:rPr>
        <w:t xml:space="preserve"> </w:t>
      </w:r>
      <w:r w:rsidR="267F0054" w:rsidRPr="004C70EC">
        <w:rPr>
          <w:noProof/>
          <w:lang w:val="en-IE" w:eastAsia="de-DE"/>
        </w:rPr>
        <w:t xml:space="preserve">, </w:t>
      </w:r>
      <w:r w:rsidR="212FC6E9" w:rsidRPr="004C70EC">
        <w:rPr>
          <w:noProof/>
          <w:lang w:val="en-IE" w:eastAsia="de-DE"/>
        </w:rPr>
        <w:t xml:space="preserve">the </w:t>
      </w:r>
      <w:r w:rsidR="07AAD6E5" w:rsidRPr="004C70EC">
        <w:rPr>
          <w:noProof/>
          <w:lang w:val="en-IE" w:eastAsia="de-DE"/>
        </w:rPr>
        <w:t>Apply AI Strategy</w:t>
      </w:r>
      <w:r w:rsidR="00C45EEE" w:rsidRPr="004C70EC">
        <w:rPr>
          <w:rStyle w:val="FootnoteReference"/>
          <w:rFonts w:eastAsia="Times New Roman"/>
          <w:noProof/>
          <w:color w:val="000000" w:themeColor="text1"/>
          <w:lang w:val="en-IE" w:eastAsia="de-DE"/>
        </w:rPr>
        <w:footnoteReference w:id="104"/>
      </w:r>
      <w:r w:rsidR="07AAD6E5" w:rsidRPr="004C70EC">
        <w:rPr>
          <w:noProof/>
          <w:lang w:val="en-IE" w:eastAsia="de-DE"/>
        </w:rPr>
        <w:t>, the Data Union Strategy</w:t>
      </w:r>
      <w:r w:rsidR="00C45EEE" w:rsidRPr="004C70EC">
        <w:rPr>
          <w:rStyle w:val="FootnoteReference"/>
          <w:rFonts w:eastAsia="Times New Roman"/>
          <w:noProof/>
          <w:color w:val="000000" w:themeColor="text1"/>
          <w:lang w:val="en-IE" w:eastAsia="de-DE"/>
        </w:rPr>
        <w:footnoteReference w:id="105"/>
      </w:r>
      <w:r w:rsidR="07AAD6E5" w:rsidRPr="004C70EC">
        <w:rPr>
          <w:noProof/>
          <w:lang w:val="en-IE" w:eastAsia="de-DE"/>
        </w:rPr>
        <w:t>, the AI Continent Action Plan</w:t>
      </w:r>
      <w:r w:rsidR="00C45EEE" w:rsidRPr="004C70EC">
        <w:rPr>
          <w:rStyle w:val="FootnoteReference"/>
          <w:rFonts w:eastAsia="Times New Roman"/>
          <w:noProof/>
          <w:color w:val="000000" w:themeColor="text1"/>
          <w:lang w:val="en-IE" w:eastAsia="de-DE"/>
        </w:rPr>
        <w:footnoteReference w:id="106"/>
      </w:r>
      <w:r w:rsidR="07AAD6E5" w:rsidRPr="004C70EC">
        <w:rPr>
          <w:noProof/>
          <w:lang w:val="en-IE" w:eastAsia="de-DE"/>
        </w:rPr>
        <w:t xml:space="preserve"> and </w:t>
      </w:r>
      <w:r w:rsidR="212FC6E9" w:rsidRPr="004C70EC">
        <w:rPr>
          <w:noProof/>
          <w:lang w:val="en-IE" w:eastAsia="de-DE"/>
        </w:rPr>
        <w:t>the European Strategy for AI in Science</w:t>
      </w:r>
      <w:r w:rsidR="00273F36" w:rsidRPr="004C70EC">
        <w:rPr>
          <w:rStyle w:val="FootnoteReference"/>
          <w:noProof/>
          <w:color w:val="000000" w:themeColor="text1"/>
        </w:rPr>
        <w:footnoteReference w:id="107"/>
      </w:r>
      <w:r w:rsidR="212FC6E9" w:rsidRPr="004C70EC">
        <w:rPr>
          <w:noProof/>
          <w:lang w:val="en-IE" w:eastAsia="de-DE"/>
        </w:rPr>
        <w:t>. With a view to ensur</w:t>
      </w:r>
      <w:r w:rsidR="1EEDE6EA" w:rsidRPr="004C70EC">
        <w:rPr>
          <w:noProof/>
          <w:lang w:val="en-IE" w:eastAsia="de-DE"/>
        </w:rPr>
        <w:t>ing</w:t>
      </w:r>
      <w:r w:rsidR="212FC6E9" w:rsidRPr="004C70EC">
        <w:rPr>
          <w:noProof/>
          <w:lang w:val="en-IE" w:eastAsia="de-DE"/>
        </w:rPr>
        <w:t xml:space="preserve"> appropriate cooperation with the Member States and optimis</w:t>
      </w:r>
      <w:r w:rsidR="1EEDE6EA" w:rsidRPr="004C70EC">
        <w:rPr>
          <w:noProof/>
          <w:lang w:val="en-IE" w:eastAsia="de-DE"/>
        </w:rPr>
        <w:t>ing</w:t>
      </w:r>
      <w:r w:rsidR="212FC6E9" w:rsidRPr="004C70EC">
        <w:rPr>
          <w:noProof/>
          <w:lang w:val="en-IE" w:eastAsia="de-DE"/>
        </w:rPr>
        <w:t xml:space="preserve"> the use of relevant knowledge and expertise available at </w:t>
      </w:r>
      <w:r w:rsidR="16332DCA" w:rsidRPr="004C70EC">
        <w:rPr>
          <w:noProof/>
          <w:lang w:val="en-IE" w:eastAsia="de-DE"/>
        </w:rPr>
        <w:t xml:space="preserve">Union </w:t>
      </w:r>
      <w:r w:rsidR="212FC6E9" w:rsidRPr="004C70EC">
        <w:rPr>
          <w:noProof/>
          <w:lang w:val="en-IE" w:eastAsia="de-DE"/>
        </w:rPr>
        <w:t xml:space="preserve">level, such mapping should be conducted by the Commission in cooperation with </w:t>
      </w:r>
      <w:r w:rsidR="1C8F11A5" w:rsidRPr="004C70EC">
        <w:rPr>
          <w:noProof/>
          <w:lang w:val="en-IE" w:eastAsia="de-DE"/>
        </w:rPr>
        <w:t>relevant Union agencies and bodies</w:t>
      </w:r>
      <w:r w:rsidR="33411128" w:rsidRPr="004C70EC">
        <w:rPr>
          <w:noProof/>
          <w:lang w:val="en-IE" w:eastAsia="de-DE"/>
        </w:rPr>
        <w:t>, including</w:t>
      </w:r>
      <w:r w:rsidR="5D97147C" w:rsidRPr="004C70EC">
        <w:rPr>
          <w:noProof/>
          <w:lang w:val="en-IE" w:eastAsia="de-DE"/>
        </w:rPr>
        <w:t>,</w:t>
      </w:r>
      <w:r w:rsidR="33411128" w:rsidRPr="004C70EC">
        <w:rPr>
          <w:noProof/>
          <w:lang w:val="en-IE" w:eastAsia="de-DE"/>
        </w:rPr>
        <w:t xml:space="preserve"> where relevant</w:t>
      </w:r>
      <w:r w:rsidR="482BF54B" w:rsidRPr="004C70EC">
        <w:rPr>
          <w:noProof/>
          <w:lang w:val="en-IE" w:eastAsia="de-DE"/>
        </w:rPr>
        <w:t>,</w:t>
      </w:r>
      <w:r w:rsidR="33411128" w:rsidRPr="004C70EC">
        <w:rPr>
          <w:noProof/>
          <w:lang w:val="en-IE" w:eastAsia="de-DE"/>
        </w:rPr>
        <w:t xml:space="preserve"> the AI Board established under the Regulation (EU) 2024/1689, </w:t>
      </w:r>
      <w:r w:rsidR="1C8F11A5" w:rsidRPr="004C70EC">
        <w:rPr>
          <w:noProof/>
          <w:lang w:val="en-IE" w:eastAsia="de-DE"/>
        </w:rPr>
        <w:t xml:space="preserve"> and with</w:t>
      </w:r>
      <w:r w:rsidR="212FC6E9" w:rsidRPr="004C70EC">
        <w:rPr>
          <w:noProof/>
          <w:lang w:val="en-IE" w:eastAsia="de-DE"/>
        </w:rPr>
        <w:t xml:space="preserve"> the </w:t>
      </w:r>
      <w:r w:rsidR="4A533597" w:rsidRPr="004C70EC">
        <w:rPr>
          <w:noProof/>
        </w:rPr>
        <w:t xml:space="preserve">European </w:t>
      </w:r>
      <w:r w:rsidR="77B4F1B1" w:rsidRPr="004C70EC">
        <w:rPr>
          <w:noProof/>
        </w:rPr>
        <w:t xml:space="preserve">Health </w:t>
      </w:r>
      <w:r w:rsidR="4A533597" w:rsidRPr="004C70EC">
        <w:rPr>
          <w:noProof/>
        </w:rPr>
        <w:t xml:space="preserve">Biotechnology </w:t>
      </w:r>
      <w:r w:rsidR="73274EA9" w:rsidRPr="004C70EC">
        <w:rPr>
          <w:noProof/>
        </w:rPr>
        <w:t>Steering Group</w:t>
      </w:r>
      <w:r w:rsidR="4A533597" w:rsidRPr="004C70EC">
        <w:rPr>
          <w:noProof/>
        </w:rPr>
        <w:t xml:space="preserve"> (‘the </w:t>
      </w:r>
      <w:r w:rsidR="074E6A03" w:rsidRPr="004C70EC">
        <w:rPr>
          <w:noProof/>
        </w:rPr>
        <w:t>Steering Group</w:t>
      </w:r>
      <w:r w:rsidR="4A533597" w:rsidRPr="004C70EC">
        <w:rPr>
          <w:noProof/>
        </w:rPr>
        <w:t xml:space="preserve">’) </w:t>
      </w:r>
      <w:r w:rsidR="212FC6E9" w:rsidRPr="004C70EC">
        <w:rPr>
          <w:noProof/>
          <w:lang w:val="en-IE" w:eastAsia="de-DE"/>
        </w:rPr>
        <w:t>established in accordance with this Regulation</w:t>
      </w:r>
      <w:r w:rsidR="5D4F6FD9" w:rsidRPr="004C70EC">
        <w:rPr>
          <w:noProof/>
          <w:lang w:val="en-IE" w:eastAsia="de-DE"/>
        </w:rPr>
        <w:t>,</w:t>
      </w:r>
      <w:r w:rsidR="212FC6E9" w:rsidRPr="004C70EC">
        <w:rPr>
          <w:noProof/>
          <w:lang w:val="en-IE" w:eastAsia="de-DE"/>
        </w:rPr>
        <w:t xml:space="preserve"> </w:t>
      </w:r>
      <w:r w:rsidR="73274EA9" w:rsidRPr="004C70EC">
        <w:rPr>
          <w:noProof/>
          <w:lang w:val="en-IE" w:eastAsia="de-DE"/>
        </w:rPr>
        <w:t>to</w:t>
      </w:r>
      <w:r w:rsidR="14B082B8" w:rsidRPr="004C70EC">
        <w:rPr>
          <w:noProof/>
          <w:lang w:val="en-IE" w:eastAsia="de-DE"/>
        </w:rPr>
        <w:t xml:space="preserve"> facilitate </w:t>
      </w:r>
      <w:r w:rsidR="1C8F11A5" w:rsidRPr="004C70EC">
        <w:rPr>
          <w:noProof/>
          <w:lang w:val="en-IE" w:eastAsia="de-DE"/>
        </w:rPr>
        <w:t>its</w:t>
      </w:r>
      <w:r w:rsidR="14B082B8" w:rsidRPr="004C70EC">
        <w:rPr>
          <w:noProof/>
          <w:lang w:val="en-IE" w:eastAsia="de-DE"/>
        </w:rPr>
        <w:t xml:space="preserve"> implementation</w:t>
      </w:r>
      <w:r w:rsidR="0A3AE631" w:rsidRPr="004C70EC">
        <w:rPr>
          <w:noProof/>
          <w:lang w:val="en-IE" w:eastAsia="de-DE"/>
        </w:rPr>
        <w:t>, provide</w:t>
      </w:r>
      <w:r w:rsidR="14B082B8" w:rsidRPr="004C70EC">
        <w:rPr>
          <w:noProof/>
          <w:lang w:val="en-IE" w:eastAsia="de-DE"/>
        </w:rPr>
        <w:t xml:space="preserve"> advice to the Commission and to the Member States</w:t>
      </w:r>
      <w:r w:rsidR="0A3AE631" w:rsidRPr="004C70EC">
        <w:rPr>
          <w:noProof/>
          <w:lang w:val="en-IE" w:eastAsia="de-DE"/>
        </w:rPr>
        <w:t>, and ensure</w:t>
      </w:r>
      <w:r w:rsidR="73274EA9" w:rsidRPr="004C70EC">
        <w:rPr>
          <w:noProof/>
          <w:lang w:val="en-IE" w:eastAsia="de-DE"/>
        </w:rPr>
        <w:t xml:space="preserve"> coordinat</w:t>
      </w:r>
      <w:r w:rsidR="15A1276D" w:rsidRPr="004C70EC">
        <w:rPr>
          <w:noProof/>
          <w:lang w:val="en-IE" w:eastAsia="de-DE"/>
        </w:rPr>
        <w:t>ed action in particular</w:t>
      </w:r>
      <w:r w:rsidR="212FC6E9" w:rsidRPr="004C70EC">
        <w:rPr>
          <w:noProof/>
          <w:lang w:val="en-IE" w:eastAsia="de-DE"/>
        </w:rPr>
        <w:t xml:space="preserve"> with </w:t>
      </w:r>
      <w:r w:rsidR="25961F7F" w:rsidRPr="004C70EC">
        <w:rPr>
          <w:noProof/>
          <w:lang w:val="en-IE" w:eastAsia="de-DE"/>
        </w:rPr>
        <w:t>regard to health biotechnology strategic projects and high impact health biotechnology strategic projects</w:t>
      </w:r>
      <w:r w:rsidR="212FC6E9" w:rsidRPr="004C70EC">
        <w:rPr>
          <w:noProof/>
          <w:lang w:val="en-IE" w:eastAsia="de-DE"/>
        </w:rPr>
        <w:t xml:space="preserve">. </w:t>
      </w:r>
    </w:p>
    <w:p w14:paraId="3BB870B7" w14:textId="3701D853" w:rsidR="00431990" w:rsidRPr="004C70EC" w:rsidRDefault="00C03A23" w:rsidP="00C03A23">
      <w:pPr>
        <w:pStyle w:val="ManualConsidrant"/>
        <w:rPr>
          <w:noProof/>
          <w:shd w:val="clear" w:color="auto" w:fill="FFFFFF"/>
          <w:lang w:val="en-IE" w:eastAsia="de-DE"/>
        </w:rPr>
      </w:pPr>
      <w:r w:rsidRPr="00C03A23">
        <w:rPr>
          <w:noProof/>
        </w:rPr>
        <w:t>(22)</w:t>
      </w:r>
      <w:r w:rsidRPr="00C03A23">
        <w:rPr>
          <w:noProof/>
        </w:rPr>
        <w:tab/>
      </w:r>
      <w:r w:rsidR="249CF78E" w:rsidRPr="004C70EC">
        <w:rPr>
          <w:noProof/>
          <w:lang w:val="en-IE" w:eastAsia="de-DE"/>
        </w:rPr>
        <w:t xml:space="preserve">In order to ensure a transparent, coherent and efficient process for the identification of </w:t>
      </w:r>
      <w:r w:rsidR="2ECB7E38" w:rsidRPr="004C70EC">
        <w:rPr>
          <w:noProof/>
          <w:lang w:val="en-IE" w:eastAsia="de-DE"/>
        </w:rPr>
        <w:t xml:space="preserve">health </w:t>
      </w:r>
      <w:r w:rsidR="249CF78E" w:rsidRPr="004C70EC">
        <w:rPr>
          <w:noProof/>
          <w:lang w:val="en-IE" w:eastAsia="de-DE"/>
        </w:rPr>
        <w:t xml:space="preserve">biotechnology strategic projects, each Member State should designate a competent authority responsible for assessing and verifying whether a project fulfils the conditions set out in this Regulation for its recognition as a </w:t>
      </w:r>
      <w:r w:rsidR="0F2A2B32" w:rsidRPr="004C70EC">
        <w:rPr>
          <w:noProof/>
          <w:lang w:val="en-IE" w:eastAsia="de-DE"/>
        </w:rPr>
        <w:t xml:space="preserve">health </w:t>
      </w:r>
      <w:r w:rsidR="249CF78E" w:rsidRPr="004C70EC">
        <w:rPr>
          <w:noProof/>
          <w:lang w:val="en-IE" w:eastAsia="de-DE"/>
        </w:rPr>
        <w:t xml:space="preserve">biotechnology </w:t>
      </w:r>
      <w:r w:rsidR="62350AD9" w:rsidRPr="004C70EC">
        <w:rPr>
          <w:noProof/>
          <w:lang w:val="en-IE" w:eastAsia="de-DE"/>
        </w:rPr>
        <w:t>strategic project</w:t>
      </w:r>
      <w:r w:rsidR="249CF78E" w:rsidRPr="004C70EC">
        <w:rPr>
          <w:noProof/>
          <w:lang w:val="en-IE" w:eastAsia="de-DE"/>
        </w:rPr>
        <w:t>. The designated authority should carry out the assessment through a fair, transparent and time-bound process. Where a project is found to fulfil the co</w:t>
      </w:r>
      <w:r w:rsidR="69471DD9" w:rsidRPr="004C70EC">
        <w:rPr>
          <w:noProof/>
          <w:lang w:val="en-IE" w:eastAsia="de-DE"/>
        </w:rPr>
        <w:t>nd</w:t>
      </w:r>
      <w:r w:rsidR="249CF78E" w:rsidRPr="004C70EC">
        <w:rPr>
          <w:noProof/>
          <w:lang w:val="en-IE" w:eastAsia="de-DE"/>
        </w:rPr>
        <w:t>itions for recognition as a biotechnology strategic project, the designated authority should issue a formal recognition decision.</w:t>
      </w:r>
    </w:p>
    <w:p w14:paraId="2DC8F2CD" w14:textId="573212A3" w:rsidR="00431990" w:rsidRPr="004C70EC" w:rsidRDefault="00C03A23" w:rsidP="00C03A23">
      <w:pPr>
        <w:pStyle w:val="ManualConsidrant"/>
        <w:rPr>
          <w:noProof/>
          <w:shd w:val="clear" w:color="auto" w:fill="FFFFFF"/>
          <w:lang w:val="en-IE" w:eastAsia="de-DE"/>
        </w:rPr>
      </w:pPr>
      <w:r w:rsidRPr="00C03A23">
        <w:rPr>
          <w:noProof/>
        </w:rPr>
        <w:t>(23)</w:t>
      </w:r>
      <w:r w:rsidRPr="00C03A23">
        <w:rPr>
          <w:noProof/>
        </w:rPr>
        <w:tab/>
      </w:r>
      <w:r w:rsidR="249CF78E" w:rsidRPr="004C70EC">
        <w:rPr>
          <w:noProof/>
          <w:lang w:val="en-IE" w:eastAsia="de-DE"/>
        </w:rPr>
        <w:t xml:space="preserve">Considering their systemic and cross-border relevance and the benefits associated with their status as high impact </w:t>
      </w:r>
      <w:r w:rsidR="2ECB7E38" w:rsidRPr="004C70EC">
        <w:rPr>
          <w:noProof/>
          <w:lang w:val="en-IE" w:eastAsia="de-DE"/>
        </w:rPr>
        <w:t>health</w:t>
      </w:r>
      <w:r w:rsidR="249CF78E" w:rsidRPr="004C70EC">
        <w:rPr>
          <w:noProof/>
          <w:lang w:val="en-IE" w:eastAsia="de-DE"/>
        </w:rPr>
        <w:t xml:space="preserve"> biotechnology strategic project, the recognition of such projects should take place through a two-tier process, involving authorities designated by the Member States for that purpose and the Commission. Such authorities should assess and transmit the applications and their assessment to the Commission in view of the adoption of a Commission decision. This two-tier process should ensure that such projects are subject to an additional Union-level verification and benefit from consistent recognition standards across the Union. With a view to ensure peer review, cooperation with the Member States and coherent implementation across the Union, in adopting its decision the Commission should take into account the views of </w:t>
      </w:r>
      <w:r w:rsidR="2D0B30B0" w:rsidRPr="004C70EC">
        <w:rPr>
          <w:noProof/>
          <w:lang w:val="en-IE" w:eastAsia="de-DE"/>
        </w:rPr>
        <w:t xml:space="preserve">the </w:t>
      </w:r>
      <w:r w:rsidR="3F5D2E48" w:rsidRPr="004C70EC">
        <w:rPr>
          <w:noProof/>
          <w:lang w:val="en-IE" w:eastAsia="de-DE"/>
        </w:rPr>
        <w:t>European Health Biotechnology Steering Group established by this Regulation</w:t>
      </w:r>
      <w:r w:rsidR="249CF78E" w:rsidRPr="004C70EC">
        <w:rPr>
          <w:noProof/>
          <w:lang w:val="en-IE" w:eastAsia="de-DE"/>
        </w:rPr>
        <w:t xml:space="preserve">. </w:t>
      </w:r>
    </w:p>
    <w:p w14:paraId="11175F8B" w14:textId="0CB3578A" w:rsidR="00431990" w:rsidRPr="004C70EC" w:rsidRDefault="00C03A23" w:rsidP="00C03A23">
      <w:pPr>
        <w:pStyle w:val="ManualConsidrant"/>
        <w:rPr>
          <w:noProof/>
          <w:shd w:val="clear" w:color="auto" w:fill="FFFFFF"/>
          <w:lang w:val="en-IE" w:eastAsia="de-DE"/>
        </w:rPr>
      </w:pPr>
      <w:r w:rsidRPr="00C03A23">
        <w:rPr>
          <w:noProof/>
        </w:rPr>
        <w:t>(24)</w:t>
      </w:r>
      <w:r w:rsidRPr="00C03A23">
        <w:rPr>
          <w:noProof/>
        </w:rPr>
        <w:tab/>
      </w:r>
      <w:r w:rsidR="249CF78E" w:rsidRPr="004C70EC">
        <w:rPr>
          <w:noProof/>
          <w:lang w:val="en-IE" w:eastAsia="de-DE"/>
        </w:rPr>
        <w:t>With a view to enabl</w:t>
      </w:r>
      <w:r w:rsidR="1F212BA8" w:rsidRPr="004C70EC">
        <w:rPr>
          <w:noProof/>
          <w:lang w:val="en-IE" w:eastAsia="de-DE"/>
        </w:rPr>
        <w:t>ing</w:t>
      </w:r>
      <w:r w:rsidR="249CF78E" w:rsidRPr="004C70EC">
        <w:rPr>
          <w:noProof/>
          <w:lang w:val="en-IE" w:eastAsia="de-DE"/>
        </w:rPr>
        <w:t xml:space="preserve"> the efficient alignment between the Union funding procedures and the objectives of this Regulation regarding the support to high impact strategic </w:t>
      </w:r>
      <w:r w:rsidR="6565165B" w:rsidRPr="004C70EC">
        <w:rPr>
          <w:noProof/>
          <w:lang w:val="en-IE" w:eastAsia="de-DE"/>
        </w:rPr>
        <w:t xml:space="preserve">health </w:t>
      </w:r>
      <w:r w:rsidR="249CF78E" w:rsidRPr="004C70EC">
        <w:rPr>
          <w:noProof/>
          <w:lang w:val="en-IE" w:eastAsia="de-DE"/>
        </w:rPr>
        <w:t xml:space="preserve">biotechnology projects, and to ensure that projects with the highest Union added value can rapidly benefit from priority support, </w:t>
      </w:r>
      <w:r w:rsidR="48176D9E" w:rsidRPr="004C70EC">
        <w:rPr>
          <w:noProof/>
          <w:lang w:val="en-IE" w:eastAsia="de-DE"/>
        </w:rPr>
        <w:t xml:space="preserve">in addition to the recognition of such projects through a Commission decision, </w:t>
      </w:r>
      <w:r w:rsidR="249CF78E" w:rsidRPr="004C70EC">
        <w:rPr>
          <w:noProof/>
          <w:lang w:val="en-IE" w:eastAsia="de-DE"/>
        </w:rPr>
        <w:t xml:space="preserve">the Commission </w:t>
      </w:r>
      <w:r w:rsidR="74325EF1" w:rsidRPr="004C70EC">
        <w:rPr>
          <w:noProof/>
          <w:lang w:val="en-IE" w:eastAsia="de-DE"/>
        </w:rPr>
        <w:t>could</w:t>
      </w:r>
      <w:r w:rsidR="249CF78E" w:rsidRPr="004C70EC">
        <w:rPr>
          <w:noProof/>
          <w:lang w:val="en-IE" w:eastAsia="de-DE"/>
        </w:rPr>
        <w:t xml:space="preserve"> have the possibility to recognise such projects </w:t>
      </w:r>
      <w:r w:rsidR="48176D9E" w:rsidRPr="004C70EC">
        <w:rPr>
          <w:noProof/>
          <w:lang w:val="en-IE" w:eastAsia="de-DE"/>
        </w:rPr>
        <w:t xml:space="preserve">also </w:t>
      </w:r>
      <w:r w:rsidR="249CF78E" w:rsidRPr="004C70EC">
        <w:rPr>
          <w:noProof/>
          <w:lang w:val="en-IE" w:eastAsia="de-DE"/>
        </w:rPr>
        <w:t xml:space="preserve">in the context of calls for proposals launched under </w:t>
      </w:r>
      <w:r w:rsidR="46CD7D8B" w:rsidRPr="004C70EC">
        <w:rPr>
          <w:noProof/>
          <w:lang w:val="en-IE" w:eastAsia="de-DE"/>
        </w:rPr>
        <w:t xml:space="preserve">the </w:t>
      </w:r>
      <w:r w:rsidR="249CF78E" w:rsidRPr="004C70EC">
        <w:rPr>
          <w:noProof/>
          <w:lang w:val="en-IE" w:eastAsia="de-DE"/>
        </w:rPr>
        <w:t xml:space="preserve">relevant Union funding programmes. </w:t>
      </w:r>
    </w:p>
    <w:p w14:paraId="48B90C65" w14:textId="09513D8F" w:rsidR="00431990" w:rsidRPr="004C70EC" w:rsidRDefault="00C03A23" w:rsidP="00C03A23">
      <w:pPr>
        <w:pStyle w:val="ManualConsidrant"/>
        <w:rPr>
          <w:noProof/>
          <w:shd w:val="clear" w:color="auto" w:fill="FFFFFF"/>
          <w:lang w:eastAsia="de-DE"/>
        </w:rPr>
      </w:pPr>
      <w:r w:rsidRPr="00C03A23">
        <w:rPr>
          <w:noProof/>
        </w:rPr>
        <w:t>(25)</w:t>
      </w:r>
      <w:r w:rsidRPr="00C03A23">
        <w:rPr>
          <w:noProof/>
        </w:rPr>
        <w:tab/>
      </w:r>
      <w:r w:rsidR="249CF78E" w:rsidRPr="004C70EC">
        <w:rPr>
          <w:noProof/>
          <w:lang w:val="en-IE" w:eastAsia="de-DE"/>
        </w:rPr>
        <w:t xml:space="preserve">To achieve critical mass and ensure that strategic investments deliver wider benefits, creating positive spill-over effects that reinforce the Union’s competitiveness, networking and cooperation among </w:t>
      </w:r>
      <w:r w:rsidR="2314A520" w:rsidRPr="004C70EC">
        <w:rPr>
          <w:noProof/>
          <w:lang w:val="en-IE" w:eastAsia="de-DE"/>
        </w:rPr>
        <w:t xml:space="preserve">health </w:t>
      </w:r>
      <w:r w:rsidR="249CF78E" w:rsidRPr="004C70EC">
        <w:rPr>
          <w:noProof/>
          <w:lang w:val="en-IE" w:eastAsia="de-DE"/>
        </w:rPr>
        <w:t xml:space="preserve">biotechnology strategic projects, high impact </w:t>
      </w:r>
      <w:r w:rsidR="2314A520" w:rsidRPr="004C70EC">
        <w:rPr>
          <w:noProof/>
          <w:lang w:val="en-IE" w:eastAsia="de-DE"/>
        </w:rPr>
        <w:t xml:space="preserve">health </w:t>
      </w:r>
      <w:r w:rsidR="249CF78E" w:rsidRPr="004C70EC">
        <w:rPr>
          <w:noProof/>
          <w:lang w:val="en-IE" w:eastAsia="de-DE"/>
        </w:rPr>
        <w:t xml:space="preserve">biotechnology strategic projects, research organisations, industrial clusters and other relevant actors across borders, should be promoted and facilitated by the Commission and the Member States, with a view to help pooling national and Union resources and facilities, promote the development of interoperable infrastructures and digital platforms and facilitate knowledge transfer. </w:t>
      </w:r>
      <w:r w:rsidR="2A288B65" w:rsidRPr="004C70EC">
        <w:rPr>
          <w:noProof/>
          <w:lang w:val="en-IE" w:eastAsia="de-DE"/>
        </w:rPr>
        <w:t>This</w:t>
      </w:r>
      <w:r w:rsidR="2A288B65" w:rsidRPr="004C70EC">
        <w:rPr>
          <w:noProof/>
        </w:rPr>
        <w:t xml:space="preserve"> cooperation should be in compliance with Union competition law</w:t>
      </w:r>
      <w:r w:rsidR="7BDEC63B" w:rsidRPr="004C70EC">
        <w:rPr>
          <w:noProof/>
        </w:rPr>
        <w:t>.</w:t>
      </w:r>
    </w:p>
    <w:p w14:paraId="7E1D61AB" w14:textId="44F1016B" w:rsidR="00431990" w:rsidRPr="004C70EC" w:rsidRDefault="00C03A23" w:rsidP="00C03A23">
      <w:pPr>
        <w:pStyle w:val="ManualConsidrant"/>
        <w:rPr>
          <w:noProof/>
          <w:shd w:val="clear" w:color="auto" w:fill="FFFFFF"/>
          <w:lang w:val="en-IE" w:eastAsia="de-DE"/>
        </w:rPr>
      </w:pPr>
      <w:r w:rsidRPr="00C03A23">
        <w:rPr>
          <w:noProof/>
        </w:rPr>
        <w:t>(26)</w:t>
      </w:r>
      <w:r w:rsidRPr="00C03A23">
        <w:rPr>
          <w:noProof/>
        </w:rPr>
        <w:tab/>
      </w:r>
      <w:r w:rsidR="212FC6E9" w:rsidRPr="004C70EC">
        <w:rPr>
          <w:noProof/>
          <w:lang w:val="en-IE" w:eastAsia="de-DE"/>
        </w:rPr>
        <w:t xml:space="preserve">Such networking and cooperation </w:t>
      </w:r>
      <w:r w:rsidR="3E8640BC" w:rsidRPr="004C70EC">
        <w:rPr>
          <w:noProof/>
          <w:lang w:val="en-IE" w:eastAsia="de-DE"/>
        </w:rPr>
        <w:t xml:space="preserve">should </w:t>
      </w:r>
      <w:r w:rsidR="212FC6E9" w:rsidRPr="004C70EC">
        <w:rPr>
          <w:noProof/>
          <w:lang w:val="en-IE" w:eastAsia="de-DE"/>
        </w:rPr>
        <w:t xml:space="preserve">integrate, collaborate with, or build upon, existing networks emerging from other Union initiatives relevant for biotechnology, including those operating under the European Cluster Collaboration Platform, the European Cluster Alliance, </w:t>
      </w:r>
      <w:r w:rsidR="09030C0C" w:rsidRPr="004C70EC">
        <w:rPr>
          <w:noProof/>
          <w:lang w:val="en-IE" w:eastAsia="de-DE"/>
        </w:rPr>
        <w:t>networks supported under Horizon Europe,</w:t>
      </w:r>
      <w:r w:rsidR="212FC6E9" w:rsidRPr="004C70EC">
        <w:rPr>
          <w:noProof/>
          <w:lang w:val="en-IE" w:eastAsia="de-DE"/>
        </w:rPr>
        <w:t xml:space="preserve"> the Smart Specialisation Partnerships, and the European Network of Centres of Excellence for Advanced Therapy Medicinal Products (ATMPs) announced by the Commission in the European Strategy for Life Sciences</w:t>
      </w:r>
      <w:r w:rsidR="00273F36" w:rsidRPr="004C70EC">
        <w:rPr>
          <w:rStyle w:val="FootnoteReference"/>
          <w:noProof/>
          <w:color w:val="000000" w:themeColor="text1"/>
        </w:rPr>
        <w:footnoteReference w:id="108"/>
      </w:r>
      <w:r w:rsidR="5334186C" w:rsidRPr="004C70EC">
        <w:rPr>
          <w:noProof/>
          <w:lang w:val="en-IE" w:eastAsia="de-DE"/>
        </w:rPr>
        <w:t>, the European Reference Network</w:t>
      </w:r>
      <w:r w:rsidR="17660AC7" w:rsidRPr="004C70EC">
        <w:rPr>
          <w:noProof/>
          <w:lang w:val="en-IE" w:eastAsia="de-DE"/>
        </w:rPr>
        <w:t>s</w:t>
      </w:r>
      <w:r w:rsidR="750B5285" w:rsidRPr="004C70EC">
        <w:rPr>
          <w:noProof/>
          <w:lang w:val="en-IE" w:eastAsia="de-DE"/>
        </w:rPr>
        <w:t xml:space="preserve"> as defined in </w:t>
      </w:r>
      <w:r w:rsidR="058FE081" w:rsidRPr="004C70EC">
        <w:rPr>
          <w:noProof/>
          <w:lang w:val="en-IE" w:eastAsia="de-DE"/>
        </w:rPr>
        <w:t>Directive</w:t>
      </w:r>
      <w:r w:rsidR="71243402" w:rsidRPr="004C70EC">
        <w:rPr>
          <w:noProof/>
          <w:lang w:val="en-IE" w:eastAsia="de-DE"/>
        </w:rPr>
        <w:t xml:space="preserve"> 2011/24/EU</w:t>
      </w:r>
      <w:r w:rsidR="543863C0" w:rsidRPr="004C70EC">
        <w:rPr>
          <w:noProof/>
        </w:rPr>
        <w:t xml:space="preserve"> </w:t>
      </w:r>
      <w:r w:rsidR="543863C0" w:rsidRPr="004C70EC">
        <w:rPr>
          <w:noProof/>
          <w:lang w:val="en-IE" w:eastAsia="de-DE"/>
        </w:rPr>
        <w:t>of the European Parliament and of the Council</w:t>
      </w:r>
      <w:r w:rsidR="00FE4177" w:rsidRPr="004C70EC">
        <w:rPr>
          <w:rStyle w:val="FootnoteReference"/>
          <w:rFonts w:eastAsia="Times New Roman"/>
          <w:noProof/>
          <w:color w:val="000000" w:themeColor="text1"/>
          <w:lang w:val="en-IE" w:eastAsia="de-DE"/>
        </w:rPr>
        <w:footnoteReference w:id="109"/>
      </w:r>
      <w:r w:rsidR="71243402" w:rsidRPr="004C70EC">
        <w:rPr>
          <w:noProof/>
          <w:lang w:val="en-IE" w:eastAsia="de-DE"/>
        </w:rPr>
        <w:t xml:space="preserve"> and </w:t>
      </w:r>
      <w:r w:rsidR="38D9AB95" w:rsidRPr="004C70EC">
        <w:rPr>
          <w:noProof/>
          <w:lang w:val="en-IE" w:eastAsia="de-DE"/>
        </w:rPr>
        <w:t xml:space="preserve">the </w:t>
      </w:r>
      <w:r w:rsidR="38D9AB95" w:rsidRPr="004C70EC">
        <w:rPr>
          <w:noProof/>
          <w:lang w:eastAsia="de-DE"/>
        </w:rPr>
        <w:t>EU Network of Comprehensive Cancer Centres</w:t>
      </w:r>
      <w:r w:rsidR="26E99CA2" w:rsidRPr="004C70EC">
        <w:rPr>
          <w:noProof/>
          <w:lang w:eastAsia="de-DE"/>
        </w:rPr>
        <w:t xml:space="preserve"> announced </w:t>
      </w:r>
      <w:r w:rsidR="2E900F59" w:rsidRPr="004C70EC">
        <w:rPr>
          <w:noProof/>
          <w:lang w:eastAsia="de-DE"/>
        </w:rPr>
        <w:t>by</w:t>
      </w:r>
      <w:r w:rsidR="26E99CA2" w:rsidRPr="004C70EC">
        <w:rPr>
          <w:noProof/>
          <w:lang w:eastAsia="de-DE"/>
        </w:rPr>
        <w:t xml:space="preserve"> Europe’s Beating Cancer Plan</w:t>
      </w:r>
      <w:r w:rsidR="007615FB" w:rsidRPr="004C70EC">
        <w:rPr>
          <w:rStyle w:val="FootnoteReference"/>
          <w:rFonts w:eastAsia="Times New Roman"/>
          <w:noProof/>
          <w:color w:val="000000" w:themeColor="text1"/>
          <w:lang w:eastAsia="de-DE"/>
        </w:rPr>
        <w:footnoteReference w:id="110"/>
      </w:r>
      <w:r w:rsidR="212FC6E9" w:rsidRPr="004C70EC">
        <w:rPr>
          <w:noProof/>
          <w:lang w:val="en-IE" w:eastAsia="de-DE"/>
        </w:rPr>
        <w:t xml:space="preserve">. Such cooperation should aim to reinforce synergies, facilitate access to regional and </w:t>
      </w:r>
      <w:r w:rsidR="7D4DF9FA" w:rsidRPr="004C70EC">
        <w:rPr>
          <w:noProof/>
          <w:lang w:val="en-IE" w:eastAsia="de-DE"/>
        </w:rPr>
        <w:t xml:space="preserve">Union </w:t>
      </w:r>
      <w:r w:rsidR="212FC6E9" w:rsidRPr="004C70EC">
        <w:rPr>
          <w:noProof/>
          <w:lang w:val="en-IE" w:eastAsia="de-DE"/>
        </w:rPr>
        <w:t>level funding, and enhance the coordination of biotechnology-related innovation ecosystems across the Union</w:t>
      </w:r>
      <w:r w:rsidR="38FCC4F5" w:rsidRPr="004C70EC">
        <w:rPr>
          <w:noProof/>
          <w:lang w:val="en-IE" w:eastAsia="de-DE"/>
        </w:rPr>
        <w:t>.</w:t>
      </w:r>
    </w:p>
    <w:p w14:paraId="4838DB4D" w14:textId="5C445801" w:rsidR="000E6622" w:rsidRPr="004C70EC" w:rsidRDefault="00C03A23" w:rsidP="00C03A23">
      <w:pPr>
        <w:pStyle w:val="ManualConsidrant"/>
        <w:rPr>
          <w:noProof/>
          <w:shd w:val="clear" w:color="auto" w:fill="FFFFFF"/>
          <w:lang w:val="en-IE" w:eastAsia="de-DE"/>
        </w:rPr>
      </w:pPr>
      <w:r w:rsidRPr="00C03A23">
        <w:rPr>
          <w:noProof/>
        </w:rPr>
        <w:t>(27)</w:t>
      </w:r>
      <w:r w:rsidRPr="00C03A23">
        <w:rPr>
          <w:noProof/>
        </w:rPr>
        <w:tab/>
      </w:r>
      <w:r w:rsidR="249CF78E" w:rsidRPr="004C70EC">
        <w:rPr>
          <w:noProof/>
          <w:lang w:val="en-IE" w:eastAsia="de-DE"/>
        </w:rPr>
        <w:t>In order to reduce complexity and increase efficiency</w:t>
      </w:r>
      <w:r w:rsidR="0A149683" w:rsidRPr="004C70EC">
        <w:rPr>
          <w:noProof/>
          <w:lang w:val="en-IE" w:eastAsia="de-DE"/>
        </w:rPr>
        <w:t>,</w:t>
      </w:r>
      <w:r w:rsidR="249CF78E" w:rsidRPr="004C70EC">
        <w:rPr>
          <w:noProof/>
          <w:lang w:val="en-IE" w:eastAsia="de-DE"/>
        </w:rPr>
        <w:t xml:space="preserve"> transparency </w:t>
      </w:r>
      <w:r w:rsidR="0A149683" w:rsidRPr="004C70EC">
        <w:rPr>
          <w:noProof/>
          <w:lang w:val="en-IE" w:eastAsia="de-DE"/>
        </w:rPr>
        <w:t xml:space="preserve">and consistency </w:t>
      </w:r>
      <w:r w:rsidR="249CF78E" w:rsidRPr="004C70EC">
        <w:rPr>
          <w:noProof/>
          <w:lang w:val="en-IE" w:eastAsia="de-DE"/>
        </w:rPr>
        <w:t>in the permit-granting process</w:t>
      </w:r>
      <w:r w:rsidR="269E1DBF" w:rsidRPr="004C70EC">
        <w:rPr>
          <w:noProof/>
          <w:lang w:val="en-IE" w:eastAsia="de-DE"/>
        </w:rPr>
        <w:t xml:space="preserve"> for </w:t>
      </w:r>
      <w:r w:rsidR="3B5A526E" w:rsidRPr="004C70EC">
        <w:rPr>
          <w:noProof/>
          <w:lang w:val="en-IE" w:eastAsia="de-DE"/>
        </w:rPr>
        <w:t xml:space="preserve">health </w:t>
      </w:r>
      <w:r w:rsidR="269E1DBF" w:rsidRPr="004C70EC">
        <w:rPr>
          <w:noProof/>
          <w:lang w:val="en-IE" w:eastAsia="de-DE"/>
        </w:rPr>
        <w:t xml:space="preserve">biotechnology </w:t>
      </w:r>
      <w:r w:rsidR="3F354337" w:rsidRPr="004C70EC">
        <w:rPr>
          <w:noProof/>
          <w:lang w:val="en-IE" w:eastAsia="de-DE"/>
        </w:rPr>
        <w:t xml:space="preserve">strategic </w:t>
      </w:r>
      <w:r w:rsidR="269E1DBF" w:rsidRPr="004C70EC">
        <w:rPr>
          <w:noProof/>
          <w:lang w:val="en-IE" w:eastAsia="de-DE"/>
        </w:rPr>
        <w:t>projects</w:t>
      </w:r>
      <w:r w:rsidR="3F354337" w:rsidRPr="004C70EC">
        <w:rPr>
          <w:noProof/>
          <w:lang w:val="en-IE" w:eastAsia="de-DE"/>
        </w:rPr>
        <w:t xml:space="preserve"> and high impact</w:t>
      </w:r>
      <w:r w:rsidR="0A1F5913" w:rsidRPr="004C70EC">
        <w:rPr>
          <w:noProof/>
          <w:lang w:val="en-IE" w:eastAsia="de-DE"/>
        </w:rPr>
        <w:t xml:space="preserve"> </w:t>
      </w:r>
      <w:r w:rsidR="3B5A526E" w:rsidRPr="004C70EC">
        <w:rPr>
          <w:noProof/>
          <w:lang w:val="en-IE" w:eastAsia="de-DE"/>
        </w:rPr>
        <w:t>health</w:t>
      </w:r>
      <w:r w:rsidR="0A1F5913" w:rsidRPr="004C70EC">
        <w:rPr>
          <w:noProof/>
          <w:lang w:val="en-IE" w:eastAsia="de-DE"/>
        </w:rPr>
        <w:t xml:space="preserve"> biotechnology strategic projects</w:t>
      </w:r>
      <w:r w:rsidR="249CF78E" w:rsidRPr="004C70EC">
        <w:rPr>
          <w:noProof/>
          <w:lang w:val="en-IE" w:eastAsia="de-DE"/>
        </w:rPr>
        <w:t xml:space="preserve">, </w:t>
      </w:r>
      <w:r w:rsidR="1B657541" w:rsidRPr="004C70EC">
        <w:rPr>
          <w:noProof/>
          <w:lang w:val="en-IE" w:eastAsia="de-DE"/>
        </w:rPr>
        <w:t xml:space="preserve">there should be </w:t>
      </w:r>
      <w:r w:rsidR="249CF78E" w:rsidRPr="004C70EC">
        <w:rPr>
          <w:noProof/>
          <w:lang w:val="en-IE" w:eastAsia="de-DE"/>
        </w:rPr>
        <w:t xml:space="preserve">a single point of contact </w:t>
      </w:r>
      <w:r w:rsidR="15E0A2BC" w:rsidRPr="004C70EC">
        <w:rPr>
          <w:noProof/>
          <w:lang w:val="en-IE" w:eastAsia="de-DE"/>
        </w:rPr>
        <w:t xml:space="preserve">at national level </w:t>
      </w:r>
      <w:r w:rsidR="249CF78E" w:rsidRPr="004C70EC">
        <w:rPr>
          <w:noProof/>
          <w:lang w:val="en-IE" w:eastAsia="de-DE"/>
        </w:rPr>
        <w:t xml:space="preserve">that is responsible for facilitating and coordinating the entire permit-granting process. </w:t>
      </w:r>
      <w:r w:rsidR="0A149683" w:rsidRPr="004C70EC">
        <w:rPr>
          <w:noProof/>
          <w:lang w:val="en-IE" w:eastAsia="de-DE"/>
        </w:rPr>
        <w:t>The</w:t>
      </w:r>
      <w:r w:rsidR="249CF78E" w:rsidRPr="004C70EC">
        <w:rPr>
          <w:noProof/>
          <w:lang w:val="en-IE" w:eastAsia="de-DE"/>
        </w:rPr>
        <w:t xml:space="preserve"> single point of contact should be the interface between </w:t>
      </w:r>
      <w:r w:rsidR="0A149683" w:rsidRPr="004C70EC">
        <w:rPr>
          <w:noProof/>
          <w:lang w:val="en-IE" w:eastAsia="de-DE"/>
        </w:rPr>
        <w:t xml:space="preserve">the promoters of </w:t>
      </w:r>
      <w:r w:rsidR="092E97D6" w:rsidRPr="004C70EC">
        <w:rPr>
          <w:noProof/>
          <w:lang w:val="en-IE" w:eastAsia="de-DE"/>
        </w:rPr>
        <w:t xml:space="preserve">health </w:t>
      </w:r>
      <w:r w:rsidR="0A149683" w:rsidRPr="004C70EC">
        <w:rPr>
          <w:noProof/>
          <w:lang w:val="en-IE" w:eastAsia="de-DE"/>
        </w:rPr>
        <w:t xml:space="preserve">biotechnology </w:t>
      </w:r>
      <w:r w:rsidR="51F5B840" w:rsidRPr="004C70EC">
        <w:rPr>
          <w:noProof/>
          <w:lang w:val="en-IE" w:eastAsia="de-DE"/>
        </w:rPr>
        <w:t xml:space="preserve">strategic </w:t>
      </w:r>
      <w:r w:rsidR="0A149683" w:rsidRPr="004C70EC">
        <w:rPr>
          <w:noProof/>
          <w:lang w:val="en-IE" w:eastAsia="de-DE"/>
        </w:rPr>
        <w:t>projects</w:t>
      </w:r>
      <w:r w:rsidR="7072223A" w:rsidRPr="004C70EC">
        <w:rPr>
          <w:noProof/>
          <w:lang w:val="en-IE" w:eastAsia="de-DE"/>
        </w:rPr>
        <w:t xml:space="preserve"> or</w:t>
      </w:r>
      <w:r w:rsidR="485182A2" w:rsidRPr="004C70EC">
        <w:rPr>
          <w:noProof/>
          <w:lang w:val="en-IE" w:eastAsia="de-DE"/>
        </w:rPr>
        <w:t xml:space="preserve"> of</w:t>
      </w:r>
      <w:r w:rsidR="0A149683" w:rsidRPr="004C70EC">
        <w:rPr>
          <w:noProof/>
          <w:lang w:val="en-IE" w:eastAsia="de-DE"/>
        </w:rPr>
        <w:t xml:space="preserve"> high impact </w:t>
      </w:r>
      <w:r w:rsidR="092E97D6" w:rsidRPr="004C70EC">
        <w:rPr>
          <w:noProof/>
          <w:lang w:val="en-IE" w:eastAsia="de-DE"/>
        </w:rPr>
        <w:t xml:space="preserve">health </w:t>
      </w:r>
      <w:r w:rsidR="0A149683" w:rsidRPr="004C70EC">
        <w:rPr>
          <w:noProof/>
          <w:lang w:val="en-IE" w:eastAsia="de-DE"/>
        </w:rPr>
        <w:t xml:space="preserve">biotechnology </w:t>
      </w:r>
      <w:r w:rsidR="0A149683" w:rsidRPr="004C70EC">
        <w:rPr>
          <w:rFonts w:eastAsiaTheme="minorEastAsia"/>
          <w:noProof/>
          <w:lang w:val="en-IE" w:eastAsia="de-DE"/>
        </w:rPr>
        <w:t>strategic</w:t>
      </w:r>
      <w:r w:rsidR="0A149683" w:rsidRPr="004C70EC">
        <w:rPr>
          <w:noProof/>
          <w:lang w:val="en-IE" w:eastAsia="de-DE"/>
        </w:rPr>
        <w:t xml:space="preserve"> projects</w:t>
      </w:r>
      <w:r w:rsidR="706CF998" w:rsidRPr="004C70EC">
        <w:rPr>
          <w:noProof/>
          <w:lang w:val="en-IE" w:eastAsia="de-DE"/>
        </w:rPr>
        <w:t xml:space="preserve"> and</w:t>
      </w:r>
      <w:r w:rsidR="0A149683" w:rsidRPr="004C70EC">
        <w:rPr>
          <w:noProof/>
          <w:lang w:val="en-IE" w:eastAsia="de-DE"/>
        </w:rPr>
        <w:t xml:space="preserve"> </w:t>
      </w:r>
      <w:r w:rsidR="249CF78E" w:rsidRPr="004C70EC">
        <w:rPr>
          <w:noProof/>
          <w:lang w:val="en-IE" w:eastAsia="de-DE"/>
        </w:rPr>
        <w:t xml:space="preserve">the relevant permitting authorities. To that end, Member States should establish or designate one or more authorities as single points of contact. </w:t>
      </w:r>
      <w:r w:rsidR="009D0C79" w:rsidRPr="004C70EC">
        <w:rPr>
          <w:noProof/>
          <w:lang w:val="en-IE" w:eastAsia="de-DE"/>
        </w:rPr>
        <w:t xml:space="preserve">With a view to ensure streamlined processes, that single point of contact </w:t>
      </w:r>
      <w:r w:rsidR="000207ED" w:rsidRPr="004C70EC">
        <w:rPr>
          <w:noProof/>
          <w:lang w:val="en-IE" w:eastAsia="de-DE"/>
        </w:rPr>
        <w:t>should be the same as the single point of contact referred to in Regulation (EU) ../.. [Regulation on speeding-up environmental impact assessmentsc -</w:t>
      </w:r>
      <w:r w:rsidR="00051B54" w:rsidRPr="004C70EC">
        <w:rPr>
          <w:noProof/>
          <w:lang w:val="en-IE" w:eastAsia="de-DE"/>
        </w:rPr>
        <w:t xml:space="preserve"> </w:t>
      </w:r>
      <w:r w:rsidR="000207ED" w:rsidRPr="004C70EC">
        <w:rPr>
          <w:noProof/>
          <w:lang w:val="en-IE" w:eastAsia="de-DE"/>
        </w:rPr>
        <w:t xml:space="preserve">permitting regulation], responsible for facilitating and coordinating all aspects of the environmental assessments. </w:t>
      </w:r>
      <w:r w:rsidR="249CF78E" w:rsidRPr="004C70EC">
        <w:rPr>
          <w:noProof/>
          <w:lang w:val="en-IE" w:eastAsia="de-DE"/>
        </w:rPr>
        <w:t>It should be for Member States to decide whether a single point of contact is also an authority that makes permitting decisions. To ensure the effective implementation of their responsibilities, Member States should provide their single points of contact, as well as any authority involved in the permit-granting process with sufficient personnel and resources.</w:t>
      </w:r>
    </w:p>
    <w:p w14:paraId="4841EE51" w14:textId="30F258C5" w:rsidR="00F94617" w:rsidRPr="002D7694" w:rsidRDefault="00C03A23" w:rsidP="00C03A23">
      <w:pPr>
        <w:pStyle w:val="ManualConsidrant"/>
        <w:rPr>
          <w:rFonts w:eastAsia="Times New Roman"/>
          <w:noProof/>
          <w:color w:val="000000" w:themeColor="text1"/>
          <w:lang w:val="en-US" w:eastAsia="en-GB"/>
        </w:rPr>
      </w:pPr>
      <w:r w:rsidRPr="00C03A23">
        <w:rPr>
          <w:noProof/>
        </w:rPr>
        <w:t>(28)</w:t>
      </w:r>
      <w:r w:rsidRPr="00C03A23">
        <w:rPr>
          <w:noProof/>
        </w:rPr>
        <w:tab/>
      </w:r>
      <w:r w:rsidR="00F94617" w:rsidRPr="004C70EC">
        <w:rPr>
          <w:noProof/>
        </w:rPr>
        <w:t xml:space="preserve">The Union has progressively recognised health biotechnology as a strategic sector contributing to </w:t>
      </w:r>
      <w:r w:rsidR="000207ED" w:rsidRPr="004C70EC">
        <w:rPr>
          <w:noProof/>
        </w:rPr>
        <w:t xml:space="preserve">Union’s </w:t>
      </w:r>
      <w:r w:rsidR="00F94617" w:rsidRPr="004C70EC">
        <w:rPr>
          <w:noProof/>
        </w:rPr>
        <w:t xml:space="preserve">overall resilience. Regulation (EU) 2024/795 identifies biotechnology among the strategic technologies essential for reducing the Union’s strategic dependencies and strengthening its economic and industrial resilience. The </w:t>
      </w:r>
      <w:r w:rsidR="00B90E32" w:rsidRPr="004C70EC">
        <w:rPr>
          <w:noProof/>
        </w:rPr>
        <w:t xml:space="preserve">Commission </w:t>
      </w:r>
      <w:r w:rsidR="00F94617" w:rsidRPr="004C70EC">
        <w:rPr>
          <w:noProof/>
        </w:rPr>
        <w:t xml:space="preserve">Communication </w:t>
      </w:r>
      <w:r w:rsidR="00B90E32" w:rsidRPr="004C70EC">
        <w:rPr>
          <w:noProof/>
        </w:rPr>
        <w:t xml:space="preserve">Commission Communication </w:t>
      </w:r>
      <w:r w:rsidR="00B90E32" w:rsidRPr="004C70EC">
        <w:rPr>
          <w:rFonts w:eastAsia="Times New Roman"/>
          <w:noProof/>
          <w:color w:val="000000" w:themeColor="text1"/>
        </w:rPr>
        <w:t xml:space="preserve">‘Building the future with nature: Boosting Biotechnology and Biomanufacturing in the EU’ </w:t>
      </w:r>
      <w:r w:rsidR="000E6622" w:rsidRPr="004C70EC">
        <w:rPr>
          <w:noProof/>
        </w:rPr>
        <w:t xml:space="preserve">further identifies </w:t>
      </w:r>
      <w:r w:rsidR="00F94617" w:rsidRPr="004C70EC">
        <w:rPr>
          <w:noProof/>
        </w:rPr>
        <w:t xml:space="preserve">biotechnology and biomanufacturing as strategic technologies for Europe’s competitiveness, resilience and autonomy, and furthermore explicitly recognises that health biotechnology is essential for health-system resilience. In view of this consistent Union framework confirming biotechnology’s systemic contribution to resilience, </w:t>
      </w:r>
      <w:r w:rsidR="00F94617" w:rsidRPr="002D7694">
        <w:rPr>
          <w:noProof/>
        </w:rPr>
        <w:t xml:space="preserve">health biotechnology strategic projects and high impact health biotechnology strategic projects should therefore be </w:t>
      </w:r>
      <w:r w:rsidR="00F94617" w:rsidRPr="002D7694">
        <w:rPr>
          <w:noProof/>
          <w:lang w:val="en-US"/>
        </w:rPr>
        <w:t>deemed to contribute to the objective</w:t>
      </w:r>
      <w:r w:rsidR="002A0B6F" w:rsidRPr="004C70EC">
        <w:rPr>
          <w:noProof/>
          <w:lang w:val="en-US"/>
        </w:rPr>
        <w:t xml:space="preserve">s referred to in Article 14 </w:t>
      </w:r>
      <w:r w:rsidR="00EB4AC0" w:rsidRPr="002D7694">
        <w:rPr>
          <w:noProof/>
          <w:lang w:val="en-US"/>
        </w:rPr>
        <w:t xml:space="preserve">of Regulation </w:t>
      </w:r>
      <w:r w:rsidR="00EB4AC0" w:rsidRPr="004C70EC">
        <w:rPr>
          <w:rFonts w:ascii="Aptos Narrow" w:hAnsi="Aptos Narrow"/>
          <w:noProof/>
          <w:lang w:val="en-US"/>
        </w:rPr>
        <w:t>[</w:t>
      </w:r>
      <w:r w:rsidR="00EB4AC0" w:rsidRPr="002D7694">
        <w:rPr>
          <w:rFonts w:ascii="Aptos Narrow" w:hAnsi="Aptos Narrow"/>
          <w:noProof/>
          <w:lang w:val="en-US"/>
        </w:rPr>
        <w:t>…</w:t>
      </w:r>
      <w:r w:rsidR="00EB4AC0" w:rsidRPr="004C70EC">
        <w:rPr>
          <w:rFonts w:ascii="Aptos Narrow" w:hAnsi="Aptos Narrow"/>
          <w:noProof/>
          <w:lang w:val="en-US"/>
        </w:rPr>
        <w:t>] [</w:t>
      </w:r>
      <w:r w:rsidR="00F94617" w:rsidRPr="004C70EC">
        <w:rPr>
          <w:noProof/>
        </w:rPr>
        <w:t>Regulation on speeding-up environmental assessments</w:t>
      </w:r>
      <w:r w:rsidR="00EB4AC0" w:rsidRPr="004C70EC">
        <w:rPr>
          <w:noProof/>
        </w:rPr>
        <w:t xml:space="preserve"> – permitting regulation</w:t>
      </w:r>
      <w:r w:rsidR="00F94617" w:rsidRPr="004C70EC">
        <w:rPr>
          <w:noProof/>
        </w:rPr>
        <w:t>].</w:t>
      </w:r>
    </w:p>
    <w:p w14:paraId="24606EFF" w14:textId="5E8F0CFE" w:rsidR="00431990" w:rsidRPr="004C70EC" w:rsidRDefault="00C03A23" w:rsidP="00C03A23">
      <w:pPr>
        <w:pStyle w:val="ManualConsidrant"/>
        <w:rPr>
          <w:noProof/>
          <w:shd w:val="clear" w:color="auto" w:fill="FFFFFF"/>
          <w:lang w:val="en-IE" w:eastAsia="de-DE"/>
        </w:rPr>
      </w:pPr>
      <w:r w:rsidRPr="00C03A23">
        <w:rPr>
          <w:noProof/>
        </w:rPr>
        <w:t>(29)</w:t>
      </w:r>
      <w:r w:rsidRPr="00C03A23">
        <w:rPr>
          <w:noProof/>
        </w:rPr>
        <w:tab/>
      </w:r>
      <w:r w:rsidR="249CF78E" w:rsidRPr="004C70EC">
        <w:rPr>
          <w:noProof/>
          <w:lang w:val="en-IE" w:eastAsia="de-DE"/>
        </w:rPr>
        <w:t xml:space="preserve">In light of their contribution to the Union’s competitiveness, resilience and preparedness, </w:t>
      </w:r>
      <w:r w:rsidR="092E97D6" w:rsidRPr="004C70EC">
        <w:rPr>
          <w:noProof/>
          <w:lang w:val="en-IE" w:eastAsia="de-DE"/>
        </w:rPr>
        <w:t xml:space="preserve">health </w:t>
      </w:r>
      <w:r w:rsidR="249CF78E" w:rsidRPr="004C70EC">
        <w:rPr>
          <w:noProof/>
          <w:lang w:val="en-IE" w:eastAsia="de-DE"/>
        </w:rPr>
        <w:t xml:space="preserve">biotechnology strategic projects recognised by the Member States in accordance with this Regulation should be considered to be in the public interest. Similarly, Member States should grant such projects the highest national significance </w:t>
      </w:r>
      <w:r w:rsidR="36A55283" w:rsidRPr="004C70EC">
        <w:rPr>
          <w:noProof/>
          <w:lang w:val="en-IE" w:eastAsia="de-DE"/>
        </w:rPr>
        <w:t>available under their national law, meaning the strongest designation applicable to major strategic projects,</w:t>
      </w:r>
      <w:r w:rsidR="249CF78E" w:rsidRPr="004C70EC">
        <w:rPr>
          <w:noProof/>
          <w:lang w:val="en-IE" w:eastAsia="de-DE"/>
        </w:rPr>
        <w:t xml:space="preserve"> </w:t>
      </w:r>
      <w:r w:rsidR="68689CD0" w:rsidRPr="004C70EC">
        <w:rPr>
          <w:noProof/>
          <w:lang w:val="en-IE" w:eastAsia="de-DE"/>
        </w:rPr>
        <w:t xml:space="preserve">and should apply the corresponding procedural advantages, including priority </w:t>
      </w:r>
      <w:r w:rsidR="570A089D" w:rsidRPr="004C70EC">
        <w:rPr>
          <w:noProof/>
          <w:lang w:val="en-IE" w:eastAsia="de-DE"/>
        </w:rPr>
        <w:t xml:space="preserve">treatment and </w:t>
      </w:r>
      <w:r w:rsidR="249CF78E" w:rsidRPr="004C70EC">
        <w:rPr>
          <w:noProof/>
          <w:lang w:val="en-IE" w:eastAsia="de-DE"/>
        </w:rPr>
        <w:t>coordinated and accelerated permit-granting</w:t>
      </w:r>
      <w:r w:rsidR="4F92DD7C" w:rsidRPr="004C70EC">
        <w:rPr>
          <w:noProof/>
          <w:lang w:val="en-IE" w:eastAsia="de-DE"/>
        </w:rPr>
        <w:t>,</w:t>
      </w:r>
      <w:r w:rsidR="249CF78E" w:rsidRPr="004C70EC">
        <w:rPr>
          <w:noProof/>
          <w:lang w:val="en-IE" w:eastAsia="de-DE"/>
        </w:rPr>
        <w:t xml:space="preserve"> and adopt facilitation measures in compliance with Union law. </w:t>
      </w:r>
    </w:p>
    <w:p w14:paraId="228EF0C0" w14:textId="48B18D85" w:rsidR="00431990" w:rsidRPr="004C70EC" w:rsidRDefault="00C03A23" w:rsidP="00C03A23">
      <w:pPr>
        <w:pStyle w:val="ManualConsidrant"/>
        <w:rPr>
          <w:noProof/>
          <w:shd w:val="clear" w:color="auto" w:fill="FFFFFF"/>
          <w:lang w:val="en-IE" w:eastAsia="de-DE"/>
        </w:rPr>
      </w:pPr>
      <w:r w:rsidRPr="00C03A23">
        <w:rPr>
          <w:noProof/>
        </w:rPr>
        <w:t>(30)</w:t>
      </w:r>
      <w:r w:rsidRPr="00C03A23">
        <w:rPr>
          <w:noProof/>
        </w:rPr>
        <w:tab/>
      </w:r>
      <w:r w:rsidR="249CF78E" w:rsidRPr="004C70EC">
        <w:rPr>
          <w:noProof/>
          <w:lang w:val="en-IE" w:eastAsia="de-DE"/>
        </w:rPr>
        <w:t xml:space="preserve">In view of the potential for cross-border and systemic benefits of high impact </w:t>
      </w:r>
      <w:r w:rsidR="74E98795" w:rsidRPr="004C70EC">
        <w:rPr>
          <w:noProof/>
          <w:lang w:val="en-IE" w:eastAsia="de-DE"/>
        </w:rPr>
        <w:t xml:space="preserve">health </w:t>
      </w:r>
      <w:r w:rsidR="249CF78E" w:rsidRPr="004C70EC">
        <w:rPr>
          <w:noProof/>
          <w:lang w:val="en-IE" w:eastAsia="de-DE"/>
        </w:rPr>
        <w:t>biotechnology strategic projects, on the basis of its case-by-case assessment,</w:t>
      </w:r>
      <w:r w:rsidR="7BDEC63B" w:rsidRPr="004C70EC">
        <w:rPr>
          <w:noProof/>
          <w:lang w:val="en-IE" w:eastAsia="de-DE"/>
        </w:rPr>
        <w:t xml:space="preserve"> </w:t>
      </w:r>
      <w:r w:rsidR="249CF78E" w:rsidRPr="004C70EC">
        <w:rPr>
          <w:noProof/>
          <w:lang w:val="en-IE" w:eastAsia="de-DE"/>
        </w:rPr>
        <w:t>a permitting authority can conclude that the public interest served by the project overrides the public interests related to nature and environmental protection and that consequently the project can be authorised, provided that all relevant conditions set out in Directive</w:t>
      </w:r>
      <w:r w:rsidR="7E3CF70F" w:rsidRPr="004C70EC">
        <w:rPr>
          <w:noProof/>
          <w:lang w:val="en-IE" w:eastAsia="de-DE"/>
        </w:rPr>
        <w:t>s</w:t>
      </w:r>
      <w:r w:rsidR="249CF78E" w:rsidRPr="004C70EC">
        <w:rPr>
          <w:noProof/>
          <w:lang w:val="en-IE" w:eastAsia="de-DE"/>
        </w:rPr>
        <w:t xml:space="preserve"> 2000/60/EC</w:t>
      </w:r>
      <w:r w:rsidR="00585683" w:rsidRPr="004C70EC">
        <w:rPr>
          <w:rStyle w:val="FootnoteReference"/>
          <w:rFonts w:eastAsia="Times New Roman"/>
          <w:noProof/>
          <w:color w:val="000000" w:themeColor="text1"/>
          <w:lang w:val="en-IE" w:eastAsia="de-DE"/>
        </w:rPr>
        <w:footnoteReference w:id="111"/>
      </w:r>
      <w:r w:rsidR="249CF78E" w:rsidRPr="004C70EC">
        <w:rPr>
          <w:noProof/>
          <w:lang w:val="en-IE" w:eastAsia="de-DE"/>
        </w:rPr>
        <w:t>, 2009/147/EC</w:t>
      </w:r>
      <w:r w:rsidR="006108C1" w:rsidRPr="004C70EC">
        <w:rPr>
          <w:rStyle w:val="FootnoteReference"/>
          <w:rFonts w:eastAsia="Times New Roman"/>
          <w:noProof/>
          <w:color w:val="000000" w:themeColor="text1"/>
          <w:lang w:val="en-IE" w:eastAsia="de-DE"/>
        </w:rPr>
        <w:footnoteReference w:id="112"/>
      </w:r>
      <w:r w:rsidR="249CF78E" w:rsidRPr="004C70EC">
        <w:rPr>
          <w:noProof/>
          <w:lang w:val="en-IE" w:eastAsia="de-DE"/>
        </w:rPr>
        <w:t xml:space="preserve"> or 92/43/EEC</w:t>
      </w:r>
      <w:r w:rsidR="006F1C12" w:rsidRPr="004C70EC">
        <w:rPr>
          <w:rStyle w:val="FootnoteReference"/>
          <w:rFonts w:eastAsia="Times New Roman"/>
          <w:noProof/>
          <w:color w:val="000000" w:themeColor="text1"/>
          <w:lang w:val="en-IE" w:eastAsia="de-DE"/>
        </w:rPr>
        <w:footnoteReference w:id="113"/>
      </w:r>
      <w:r w:rsidR="3DB84FEC" w:rsidRPr="004C70EC">
        <w:rPr>
          <w:noProof/>
        </w:rPr>
        <w:t xml:space="preserve"> </w:t>
      </w:r>
      <w:r w:rsidR="3DB84FEC" w:rsidRPr="004C70EC">
        <w:rPr>
          <w:noProof/>
          <w:lang w:val="en-IE" w:eastAsia="de-DE"/>
        </w:rPr>
        <w:t>of the European Parliament and of the Council</w:t>
      </w:r>
      <w:r w:rsidR="249CF78E" w:rsidRPr="004C70EC">
        <w:rPr>
          <w:noProof/>
          <w:lang w:val="en-IE" w:eastAsia="de-DE"/>
        </w:rPr>
        <w:t>, or in Union legislative acts on nature restoration, are met.</w:t>
      </w:r>
    </w:p>
    <w:p w14:paraId="60B6AD7F" w14:textId="606974C5" w:rsidR="00431990" w:rsidRPr="004C70EC" w:rsidRDefault="00C03A23" w:rsidP="00C03A23">
      <w:pPr>
        <w:pStyle w:val="ManualConsidrant"/>
        <w:rPr>
          <w:noProof/>
          <w:shd w:val="clear" w:color="auto" w:fill="FFFFFF"/>
          <w:lang w:val="en-IE" w:eastAsia="de-DE"/>
        </w:rPr>
      </w:pPr>
      <w:r w:rsidRPr="00C03A23">
        <w:rPr>
          <w:noProof/>
        </w:rPr>
        <w:t>(31)</w:t>
      </w:r>
      <w:r w:rsidRPr="00C03A23">
        <w:rPr>
          <w:noProof/>
        </w:rPr>
        <w:tab/>
      </w:r>
      <w:r w:rsidR="249CF78E" w:rsidRPr="004C70EC">
        <w:rPr>
          <w:noProof/>
          <w:lang w:val="en-IE" w:eastAsia="de-DE"/>
        </w:rPr>
        <w:t>To ensure predictability and administrative efficiency, the overall duration of the permit-granting process should be limited to</w:t>
      </w:r>
      <w:r w:rsidR="7BDEC63B" w:rsidRPr="004C70EC">
        <w:rPr>
          <w:noProof/>
          <w:lang w:val="en-IE" w:eastAsia="de-DE"/>
        </w:rPr>
        <w:t xml:space="preserve"> </w:t>
      </w:r>
      <w:r w:rsidR="2EF648F7" w:rsidRPr="004C70EC">
        <w:rPr>
          <w:noProof/>
          <w:lang w:val="en-IE" w:eastAsia="de-DE"/>
        </w:rPr>
        <w:t>ten</w:t>
      </w:r>
      <w:r w:rsidR="249CF78E" w:rsidRPr="004C70EC">
        <w:rPr>
          <w:noProof/>
          <w:lang w:val="en-IE" w:eastAsia="de-DE"/>
        </w:rPr>
        <w:t xml:space="preserve"> months from the acknowledgement of a complete application, for biotechnology </w:t>
      </w:r>
      <w:r w:rsidR="74E98795" w:rsidRPr="004C70EC">
        <w:rPr>
          <w:noProof/>
          <w:lang w:val="en-IE" w:eastAsia="de-DE"/>
        </w:rPr>
        <w:t>health</w:t>
      </w:r>
      <w:r w:rsidR="249CF78E" w:rsidRPr="004C70EC">
        <w:rPr>
          <w:noProof/>
          <w:lang w:val="en-IE" w:eastAsia="de-DE"/>
        </w:rPr>
        <w:t xml:space="preserve"> strategic projects, and to eight months, for high impact </w:t>
      </w:r>
      <w:r w:rsidR="74E98795" w:rsidRPr="004C70EC">
        <w:rPr>
          <w:noProof/>
          <w:lang w:val="en-IE" w:eastAsia="de-DE"/>
        </w:rPr>
        <w:t xml:space="preserve">health </w:t>
      </w:r>
      <w:r w:rsidR="249CF78E" w:rsidRPr="004C70EC">
        <w:rPr>
          <w:noProof/>
          <w:lang w:val="en-IE" w:eastAsia="de-DE"/>
        </w:rPr>
        <w:t xml:space="preserve">biotechnology strategic projects, given the need to prioritise the speed of their implementation over any other type of biotechnology project. In exceptional and duly justified circumstances an extension </w:t>
      </w:r>
      <w:r w:rsidR="227CB228" w:rsidRPr="004C70EC">
        <w:rPr>
          <w:noProof/>
          <w:lang w:val="en-IE" w:eastAsia="de-DE"/>
        </w:rPr>
        <w:t xml:space="preserve">of up to three months </w:t>
      </w:r>
      <w:r w:rsidR="249CF78E" w:rsidRPr="004C70EC">
        <w:rPr>
          <w:noProof/>
          <w:lang w:val="en-IE" w:eastAsia="de-DE"/>
        </w:rPr>
        <w:t>should be permitted</w:t>
      </w:r>
      <w:r w:rsidR="3E165975" w:rsidRPr="004C70EC">
        <w:rPr>
          <w:noProof/>
          <w:lang w:val="en-IE" w:eastAsia="de-DE"/>
        </w:rPr>
        <w:t>.</w:t>
      </w:r>
    </w:p>
    <w:p w14:paraId="5B2AC05F" w14:textId="2C875F8D" w:rsidR="00431990" w:rsidRPr="004C70EC" w:rsidRDefault="00C03A23" w:rsidP="00C03A23">
      <w:pPr>
        <w:pStyle w:val="ManualConsidrant"/>
        <w:rPr>
          <w:noProof/>
          <w:shd w:val="clear" w:color="auto" w:fill="FFFFFF"/>
          <w:lang w:val="en-IE" w:eastAsia="de-DE"/>
        </w:rPr>
      </w:pPr>
      <w:r w:rsidRPr="00C03A23">
        <w:rPr>
          <w:noProof/>
        </w:rPr>
        <w:t>(32)</w:t>
      </w:r>
      <w:r w:rsidRPr="00C03A23">
        <w:rPr>
          <w:noProof/>
        </w:rPr>
        <w:tab/>
      </w:r>
      <w:r w:rsidR="249CF78E" w:rsidRPr="004C70EC">
        <w:rPr>
          <w:noProof/>
          <w:lang w:val="en-IE" w:eastAsia="de-DE"/>
        </w:rPr>
        <w:t xml:space="preserve">Member States whose territories are concerned by </w:t>
      </w:r>
      <w:r w:rsidR="74E98795" w:rsidRPr="004C70EC">
        <w:rPr>
          <w:noProof/>
          <w:lang w:val="en-IE" w:eastAsia="de-DE"/>
        </w:rPr>
        <w:t>health</w:t>
      </w:r>
      <w:r w:rsidR="249CF78E" w:rsidRPr="004C70EC">
        <w:rPr>
          <w:noProof/>
          <w:lang w:val="en-IE" w:eastAsia="de-DE"/>
        </w:rPr>
        <w:t xml:space="preserve"> biotechnology strategic projects </w:t>
      </w:r>
      <w:r w:rsidR="749B1EAC" w:rsidRPr="004C70EC">
        <w:rPr>
          <w:noProof/>
          <w:lang w:val="en-IE" w:eastAsia="de-DE"/>
        </w:rPr>
        <w:t>or</w:t>
      </w:r>
      <w:r w:rsidR="00C941F3" w:rsidRPr="004C70EC">
        <w:rPr>
          <w:noProof/>
          <w:lang w:val="en-IE" w:eastAsia="de-DE"/>
        </w:rPr>
        <w:t xml:space="preserve"> </w:t>
      </w:r>
      <w:r w:rsidR="249CF78E" w:rsidRPr="004C70EC">
        <w:rPr>
          <w:noProof/>
          <w:lang w:val="en-IE" w:eastAsia="de-DE"/>
        </w:rPr>
        <w:t xml:space="preserve">high impact </w:t>
      </w:r>
      <w:r w:rsidR="74E98795" w:rsidRPr="004C70EC">
        <w:rPr>
          <w:noProof/>
          <w:lang w:val="en-IE" w:eastAsia="de-DE"/>
        </w:rPr>
        <w:t xml:space="preserve">health </w:t>
      </w:r>
      <w:r w:rsidR="249CF78E" w:rsidRPr="004C70EC">
        <w:rPr>
          <w:noProof/>
          <w:lang w:val="en-IE" w:eastAsia="de-DE"/>
        </w:rPr>
        <w:t>biotechnology strategic projects should take all appropriate measures to facilitate their timely and effective development and deployment. Such measures should include the provision of administrative support, upon the request of project promoters, as well as, without prejudice to Union competition law, of public financial and technical support, with a particular attention paid to SMEs, start-ups and scale-ups.</w:t>
      </w:r>
    </w:p>
    <w:p w14:paraId="1222D12F" w14:textId="7730F72D" w:rsidR="00431990" w:rsidRPr="004C70EC" w:rsidRDefault="00C03A23" w:rsidP="00C03A23">
      <w:pPr>
        <w:pStyle w:val="ManualConsidrant"/>
        <w:rPr>
          <w:noProof/>
          <w:shd w:val="clear" w:color="auto" w:fill="FFFFFF"/>
          <w:lang w:val="en-IE" w:eastAsia="de-DE"/>
        </w:rPr>
      </w:pPr>
      <w:r w:rsidRPr="00C03A23">
        <w:rPr>
          <w:noProof/>
        </w:rPr>
        <w:t>(33)</w:t>
      </w:r>
      <w:r w:rsidRPr="00C03A23">
        <w:rPr>
          <w:noProof/>
        </w:rPr>
        <w:tab/>
      </w:r>
      <w:r w:rsidR="249CF78E" w:rsidRPr="004C70EC">
        <w:rPr>
          <w:noProof/>
          <w:lang w:val="en-IE" w:eastAsia="de-DE"/>
        </w:rPr>
        <w:t xml:space="preserve">The Commission should complement the action of the Member States in support of </w:t>
      </w:r>
      <w:r w:rsidR="74E98795" w:rsidRPr="004C70EC">
        <w:rPr>
          <w:noProof/>
          <w:lang w:val="en-IE" w:eastAsia="de-DE"/>
        </w:rPr>
        <w:t xml:space="preserve">health </w:t>
      </w:r>
      <w:r w:rsidR="249CF78E" w:rsidRPr="004C70EC">
        <w:rPr>
          <w:noProof/>
          <w:lang w:val="en-IE" w:eastAsia="de-DE"/>
        </w:rPr>
        <w:t xml:space="preserve">biotechnology strategic projects, closely cooperating with them, including through </w:t>
      </w:r>
      <w:r w:rsidR="2D0B30B0" w:rsidRPr="004C70EC">
        <w:rPr>
          <w:noProof/>
          <w:lang w:val="en-IE" w:eastAsia="de-DE"/>
        </w:rPr>
        <w:t xml:space="preserve">the </w:t>
      </w:r>
      <w:r w:rsidR="75603653" w:rsidRPr="004C70EC">
        <w:rPr>
          <w:noProof/>
          <w:lang w:val="en-IE" w:eastAsia="de-DE"/>
        </w:rPr>
        <w:t xml:space="preserve">European Health Biotechnology </w:t>
      </w:r>
      <w:r w:rsidR="2D0B30B0" w:rsidRPr="004C70EC">
        <w:rPr>
          <w:noProof/>
          <w:lang w:val="en-IE" w:eastAsia="de-DE"/>
        </w:rPr>
        <w:t>Steering Group</w:t>
      </w:r>
      <w:r w:rsidR="3F5D2E48" w:rsidRPr="004C70EC">
        <w:rPr>
          <w:noProof/>
          <w:lang w:val="en-IE" w:eastAsia="de-DE"/>
        </w:rPr>
        <w:t xml:space="preserve"> established by this Regulation</w:t>
      </w:r>
      <w:r w:rsidR="249CF78E" w:rsidRPr="004C70EC">
        <w:rPr>
          <w:noProof/>
          <w:lang w:val="en-IE" w:eastAsia="de-DE"/>
        </w:rPr>
        <w:t>, to ensure synergy and optimal outcomes. In particular, the Commission</w:t>
      </w:r>
      <w:r w:rsidR="75A88688" w:rsidRPr="004C70EC">
        <w:rPr>
          <w:noProof/>
          <w:lang w:val="en-IE" w:eastAsia="de-DE"/>
        </w:rPr>
        <w:t xml:space="preserve"> </w:t>
      </w:r>
      <w:r w:rsidR="249CF78E" w:rsidRPr="004C70EC">
        <w:rPr>
          <w:noProof/>
          <w:lang w:val="en-IE" w:eastAsia="de-DE"/>
        </w:rPr>
        <w:t>should assist project promoters in identifying relevant funding opportunities available under existing Union funding programmes</w:t>
      </w:r>
      <w:r w:rsidR="75A88688" w:rsidRPr="004C70EC">
        <w:rPr>
          <w:noProof/>
          <w:lang w:val="en-IE" w:eastAsia="de-DE"/>
        </w:rPr>
        <w:t xml:space="preserve">, including through actions of the </w:t>
      </w:r>
      <w:r w:rsidR="636CAF29" w:rsidRPr="004C70EC">
        <w:rPr>
          <w:noProof/>
          <w:lang w:val="en-IE" w:eastAsia="de-DE"/>
        </w:rPr>
        <w:t>EU Health Biotechnology Support Network</w:t>
      </w:r>
      <w:r w:rsidR="4934DDBA" w:rsidRPr="004C70EC">
        <w:rPr>
          <w:noProof/>
          <w:lang w:val="en-IE" w:eastAsia="de-DE"/>
        </w:rPr>
        <w:t xml:space="preserve"> establis</w:t>
      </w:r>
      <w:r w:rsidR="10C1D2FA" w:rsidRPr="004C70EC">
        <w:rPr>
          <w:noProof/>
          <w:lang w:val="en-IE" w:eastAsia="de-DE"/>
        </w:rPr>
        <w:t>hed in this Regulation</w:t>
      </w:r>
      <w:r w:rsidR="459D4A12" w:rsidRPr="004C70EC">
        <w:rPr>
          <w:noProof/>
          <w:lang w:val="en-IE" w:eastAsia="de-DE"/>
        </w:rPr>
        <w:t xml:space="preserve"> with the purpose of </w:t>
      </w:r>
      <w:r w:rsidR="459D4A12" w:rsidRPr="004C70EC">
        <w:rPr>
          <w:noProof/>
          <w:lang w:eastAsia="de-DE"/>
        </w:rPr>
        <w:t>assisting biotechnology actors in navigating regulatory</w:t>
      </w:r>
      <w:r w:rsidR="207AA70F" w:rsidRPr="004C70EC">
        <w:rPr>
          <w:noProof/>
          <w:lang w:eastAsia="de-DE"/>
        </w:rPr>
        <w:t xml:space="preserve"> </w:t>
      </w:r>
      <w:r w:rsidR="008C0F0A" w:rsidRPr="004C70EC">
        <w:rPr>
          <w:noProof/>
          <w:lang w:eastAsia="de-DE"/>
        </w:rPr>
        <w:t xml:space="preserve">health biotechnology </w:t>
      </w:r>
      <w:r w:rsidR="207AA70F" w:rsidRPr="004C70EC">
        <w:rPr>
          <w:noProof/>
          <w:lang w:eastAsia="de-DE"/>
        </w:rPr>
        <w:t>procedural</w:t>
      </w:r>
      <w:r w:rsidR="459D4A12" w:rsidRPr="004C70EC">
        <w:rPr>
          <w:noProof/>
          <w:lang w:eastAsia="de-DE"/>
        </w:rPr>
        <w:t xml:space="preserve"> </w:t>
      </w:r>
      <w:r w:rsidR="2EFE0128" w:rsidRPr="004C70EC">
        <w:rPr>
          <w:noProof/>
          <w:lang w:eastAsia="de-DE"/>
        </w:rPr>
        <w:t xml:space="preserve">pathways </w:t>
      </w:r>
      <w:r w:rsidR="459D4A12" w:rsidRPr="004C70EC">
        <w:rPr>
          <w:noProof/>
          <w:lang w:eastAsia="de-DE"/>
        </w:rPr>
        <w:t xml:space="preserve">and </w:t>
      </w:r>
      <w:r w:rsidR="2EFE0128" w:rsidRPr="004C70EC">
        <w:rPr>
          <w:noProof/>
          <w:lang w:eastAsia="de-DE"/>
        </w:rPr>
        <w:t>identifying</w:t>
      </w:r>
      <w:r w:rsidR="459D4A12" w:rsidRPr="004C70EC">
        <w:rPr>
          <w:noProof/>
          <w:lang w:eastAsia="de-DE"/>
        </w:rPr>
        <w:t xml:space="preserve"> funding</w:t>
      </w:r>
      <w:r w:rsidR="2EFE0128" w:rsidRPr="004C70EC">
        <w:rPr>
          <w:noProof/>
          <w:lang w:eastAsia="de-DE"/>
        </w:rPr>
        <w:t>, scaling up and networking opportunities</w:t>
      </w:r>
      <w:r w:rsidR="459D4A12" w:rsidRPr="004C70EC">
        <w:rPr>
          <w:noProof/>
          <w:lang w:eastAsia="de-DE"/>
        </w:rPr>
        <w:t xml:space="preserve"> across the Union</w:t>
      </w:r>
      <w:r w:rsidR="249CF78E" w:rsidRPr="004C70EC">
        <w:rPr>
          <w:noProof/>
          <w:lang w:val="en-IE" w:eastAsia="de-DE"/>
        </w:rPr>
        <w:t>. Further, to strengthen the Union’s biotechnology innovation ecosystem, the Commission should also promote measures that enhance access of small and medium-sized enterprises, start-ups and scale-ups to research and technological infrastructures, including those funded through Union programmes.</w:t>
      </w:r>
    </w:p>
    <w:p w14:paraId="5CBFB54A" w14:textId="295D3117" w:rsidR="00431990" w:rsidRPr="004C70EC" w:rsidRDefault="00C03A23" w:rsidP="00C03A23">
      <w:pPr>
        <w:pStyle w:val="ManualConsidrant"/>
        <w:rPr>
          <w:rFonts w:eastAsia="Times New Roman"/>
          <w:noProof/>
          <w:shd w:val="clear" w:color="auto" w:fill="FFFFFF"/>
          <w:lang w:val="en-IE" w:eastAsia="de-DE"/>
        </w:rPr>
      </w:pPr>
      <w:r w:rsidRPr="00C03A23">
        <w:rPr>
          <w:noProof/>
        </w:rPr>
        <w:t>(34)</w:t>
      </w:r>
      <w:r w:rsidRPr="00C03A23">
        <w:rPr>
          <w:noProof/>
        </w:rPr>
        <w:tab/>
      </w:r>
      <w:r w:rsidR="40EDD1D4" w:rsidRPr="004C70EC">
        <w:rPr>
          <w:noProof/>
          <w:lang w:val="en-IE" w:eastAsia="de-DE"/>
        </w:rPr>
        <w:t xml:space="preserve">High impact </w:t>
      </w:r>
      <w:r w:rsidR="61CA52BD" w:rsidRPr="004C70EC">
        <w:rPr>
          <w:rFonts w:eastAsia="Times New Roman"/>
          <w:noProof/>
          <w:lang w:val="en-IE" w:eastAsia="de-DE"/>
        </w:rPr>
        <w:t>health</w:t>
      </w:r>
      <w:r w:rsidR="40EDD1D4" w:rsidRPr="004C70EC">
        <w:rPr>
          <w:noProof/>
          <w:lang w:val="en-IE" w:eastAsia="de-DE"/>
        </w:rPr>
        <w:t xml:space="preserve"> biotechnology strategic </w:t>
      </w:r>
      <w:r w:rsidR="40EDD1D4" w:rsidRPr="004C70EC">
        <w:rPr>
          <w:rFonts w:eastAsia="Times New Roman"/>
          <w:noProof/>
          <w:lang w:val="en-IE" w:eastAsia="de-DE"/>
        </w:rPr>
        <w:t xml:space="preserve">projects should benefit from </w:t>
      </w:r>
      <w:r w:rsidR="40EDD1D4" w:rsidRPr="004C70EC">
        <w:rPr>
          <w:rFonts w:eastAsia="Times New Roman"/>
          <w:noProof/>
          <w:lang w:eastAsia="de-DE"/>
        </w:rPr>
        <w:t xml:space="preserve">financial, technical and administrative support measures. In addition, in order to </w:t>
      </w:r>
      <w:r w:rsidR="40EDD1D4" w:rsidRPr="004C70EC">
        <w:rPr>
          <w:noProof/>
          <w:lang w:val="en-IE" w:eastAsia="de-DE"/>
        </w:rPr>
        <w:t xml:space="preserve">ensure </w:t>
      </w:r>
      <w:r w:rsidR="18974550" w:rsidRPr="004C70EC">
        <w:rPr>
          <w:noProof/>
          <w:lang w:val="en-IE" w:eastAsia="de-DE"/>
        </w:rPr>
        <w:t xml:space="preserve">that </w:t>
      </w:r>
      <w:r w:rsidR="40EDD1D4" w:rsidRPr="004C70EC">
        <w:rPr>
          <w:noProof/>
          <w:lang w:val="en-IE" w:eastAsia="de-DE"/>
        </w:rPr>
        <w:t xml:space="preserve">Union resources for biotechnology are channelled towards the actions that have the potential to deliver the most benefits at Union level, high impact </w:t>
      </w:r>
      <w:r w:rsidR="2A7124C0" w:rsidRPr="004C70EC">
        <w:rPr>
          <w:rFonts w:eastAsia="Times New Roman"/>
          <w:noProof/>
          <w:lang w:val="en-IE" w:eastAsia="de-DE"/>
        </w:rPr>
        <w:t xml:space="preserve">health </w:t>
      </w:r>
      <w:r w:rsidR="40EDD1D4" w:rsidRPr="004C70EC">
        <w:rPr>
          <w:noProof/>
          <w:lang w:val="en-IE" w:eastAsia="de-DE"/>
        </w:rPr>
        <w:t xml:space="preserve">biotechnology strategic </w:t>
      </w:r>
      <w:r w:rsidR="40EDD1D4" w:rsidRPr="004C70EC">
        <w:rPr>
          <w:rFonts w:eastAsia="Times New Roman"/>
          <w:noProof/>
          <w:lang w:val="en-IE" w:eastAsia="de-DE"/>
        </w:rPr>
        <w:t xml:space="preserve">projects  </w:t>
      </w:r>
      <w:r w:rsidR="0002673B" w:rsidRPr="004C70EC">
        <w:rPr>
          <w:rFonts w:eastAsia="Times New Roman"/>
          <w:noProof/>
          <w:lang w:val="en-IE" w:eastAsia="de-DE"/>
        </w:rPr>
        <w:t xml:space="preserve">could be </w:t>
      </w:r>
      <w:r w:rsidR="01D6582D" w:rsidRPr="004C70EC">
        <w:rPr>
          <w:rFonts w:eastAsia="Times New Roman"/>
          <w:noProof/>
          <w:lang w:val="en-IE" w:eastAsia="de-DE"/>
        </w:rPr>
        <w:t xml:space="preserve">given </w:t>
      </w:r>
      <w:r w:rsidR="319A5A9B" w:rsidRPr="004C70EC">
        <w:rPr>
          <w:rFonts w:eastAsia="Times New Roman"/>
          <w:noProof/>
          <w:lang w:val="en-IE" w:eastAsia="de-DE"/>
        </w:rPr>
        <w:t xml:space="preserve">particular </w:t>
      </w:r>
      <w:r w:rsidR="01D6582D" w:rsidRPr="004C70EC">
        <w:rPr>
          <w:rFonts w:eastAsia="Times New Roman"/>
          <w:noProof/>
          <w:lang w:val="en-IE" w:eastAsia="de-DE"/>
        </w:rPr>
        <w:t xml:space="preserve">consideration </w:t>
      </w:r>
      <w:r w:rsidR="40EDD1D4" w:rsidRPr="004C70EC">
        <w:rPr>
          <w:rFonts w:eastAsia="Times New Roman"/>
          <w:noProof/>
          <w:lang w:val="en-IE" w:eastAsia="de-DE"/>
        </w:rPr>
        <w:t>for financial support, in the context of the preparation</w:t>
      </w:r>
      <w:r w:rsidR="0ACEF9E1" w:rsidRPr="004C70EC">
        <w:rPr>
          <w:rFonts w:eastAsia="Times New Roman"/>
          <w:noProof/>
          <w:lang w:val="en-IE" w:eastAsia="de-DE"/>
        </w:rPr>
        <w:t>, adoption</w:t>
      </w:r>
      <w:r w:rsidR="40EDD1D4" w:rsidRPr="004C70EC">
        <w:rPr>
          <w:rFonts w:eastAsia="Times New Roman"/>
          <w:noProof/>
          <w:lang w:val="en-IE" w:eastAsia="de-DE"/>
        </w:rPr>
        <w:t xml:space="preserve"> and implementation by the Commission of work programmes for the relevant Union programmes</w:t>
      </w:r>
      <w:r w:rsidR="0042180F" w:rsidRPr="004C70EC">
        <w:rPr>
          <w:rFonts w:eastAsia="Times New Roman"/>
          <w:noProof/>
          <w:lang w:val="en-IE" w:eastAsia="de-DE"/>
        </w:rPr>
        <w:t>, funds</w:t>
      </w:r>
      <w:r w:rsidR="40EDD1D4" w:rsidRPr="004C70EC">
        <w:rPr>
          <w:rFonts w:eastAsia="Times New Roman"/>
          <w:noProof/>
          <w:lang w:val="en-IE" w:eastAsia="de-DE"/>
        </w:rPr>
        <w:t xml:space="preserve"> and instruments. </w:t>
      </w:r>
    </w:p>
    <w:p w14:paraId="419AC115" w14:textId="19F00E31" w:rsidR="00431990" w:rsidRPr="004C70EC" w:rsidRDefault="00C03A23" w:rsidP="00C03A23">
      <w:pPr>
        <w:pStyle w:val="ManualConsidrant"/>
        <w:rPr>
          <w:noProof/>
          <w:lang w:val="en-IE" w:eastAsia="de-DE"/>
        </w:rPr>
      </w:pPr>
      <w:r w:rsidRPr="00C03A23">
        <w:rPr>
          <w:noProof/>
        </w:rPr>
        <w:t>(35)</w:t>
      </w:r>
      <w:r w:rsidRPr="00C03A23">
        <w:rPr>
          <w:noProof/>
        </w:rPr>
        <w:tab/>
      </w:r>
      <w:r w:rsidR="212FC6E9" w:rsidRPr="004C70EC">
        <w:rPr>
          <w:noProof/>
          <w:lang w:val="en-IE" w:eastAsia="de-DE"/>
        </w:rPr>
        <w:t xml:space="preserve">The scale and nature of the Union support for high impact </w:t>
      </w:r>
      <w:r w:rsidR="05BDB4FB" w:rsidRPr="004C70EC">
        <w:rPr>
          <w:noProof/>
          <w:lang w:val="en-IE" w:eastAsia="de-DE"/>
        </w:rPr>
        <w:t xml:space="preserve">health </w:t>
      </w:r>
      <w:r w:rsidR="212FC6E9" w:rsidRPr="004C70EC">
        <w:rPr>
          <w:noProof/>
          <w:lang w:val="en-IE" w:eastAsia="de-DE"/>
        </w:rPr>
        <w:t xml:space="preserve">biotechnology strategic projects </w:t>
      </w:r>
      <w:r w:rsidR="45CCB55C" w:rsidRPr="004C70EC">
        <w:rPr>
          <w:noProof/>
          <w:lang w:val="en-IE" w:eastAsia="de-DE"/>
        </w:rPr>
        <w:t>might</w:t>
      </w:r>
      <w:r w:rsidR="212FC6E9" w:rsidRPr="004C70EC">
        <w:rPr>
          <w:noProof/>
          <w:lang w:val="en-IE" w:eastAsia="de-DE"/>
        </w:rPr>
        <w:t xml:space="preserve"> require long-term coordination and large-scale public and private investment. </w:t>
      </w:r>
      <w:r w:rsidR="3AEB198C" w:rsidRPr="004C70EC">
        <w:rPr>
          <w:noProof/>
          <w:lang w:val="en-IE" w:eastAsia="de-DE"/>
        </w:rPr>
        <w:t>In this context, public-private partnerships play a key role in pooling expertise, sharing risks and accelerating the uptake of innovation</w:t>
      </w:r>
      <w:r w:rsidR="09D16E01" w:rsidRPr="004C70EC">
        <w:rPr>
          <w:noProof/>
          <w:lang w:val="en-IE" w:eastAsia="de-DE"/>
        </w:rPr>
        <w:t>.</w:t>
      </w:r>
      <w:r w:rsidR="3AEB198C" w:rsidRPr="004C70EC">
        <w:rPr>
          <w:strike/>
          <w:noProof/>
          <w:lang w:val="en-IE" w:eastAsia="de-DE"/>
        </w:rPr>
        <w:t xml:space="preserve"> </w:t>
      </w:r>
      <w:r w:rsidR="212FC6E9" w:rsidRPr="004C70EC">
        <w:rPr>
          <w:noProof/>
          <w:lang w:val="en-IE" w:eastAsia="de-DE"/>
        </w:rPr>
        <w:t>Consequently, the Commission could envisage to propose in the future the establishment of appropriate legal entities to mobilise investments, coordinate research and innovation activities and support for the industrial deployment of biotechnology and biomanufacturing capacities across Member States, while ensuring close alignment with Union policy objectives. Those legal arrangements could take the form of</w:t>
      </w:r>
      <w:r w:rsidR="212FC6E9" w:rsidRPr="004C70EC">
        <w:rPr>
          <w:b/>
          <w:bCs/>
          <w:noProof/>
          <w:lang w:val="en-IE" w:eastAsia="de-DE"/>
        </w:rPr>
        <w:t xml:space="preserve"> </w:t>
      </w:r>
      <w:r w:rsidR="235DB1ED" w:rsidRPr="004C70EC">
        <w:rPr>
          <w:noProof/>
          <w:lang w:val="en-IE" w:eastAsia="de-DE"/>
        </w:rPr>
        <w:t>European Partnerships</w:t>
      </w:r>
      <w:r w:rsidR="7C74A0C0" w:rsidRPr="004C70EC">
        <w:rPr>
          <w:noProof/>
          <w:lang w:val="en-IE" w:eastAsia="de-DE"/>
        </w:rPr>
        <w:t xml:space="preserve"> </w:t>
      </w:r>
      <w:r w:rsidR="7C74A0C0" w:rsidRPr="004C70EC">
        <w:rPr>
          <w:noProof/>
          <w:lang w:eastAsia="de-DE"/>
        </w:rPr>
        <w:t>where the Union together with private and/or public partners</w:t>
      </w:r>
      <w:r w:rsidR="576F2CFA" w:rsidRPr="004C70EC">
        <w:rPr>
          <w:noProof/>
          <w:lang w:eastAsia="de-DE"/>
        </w:rPr>
        <w:t>, acting in full compliance with competition rules,</w:t>
      </w:r>
      <w:r w:rsidR="7C74A0C0" w:rsidRPr="004C70EC">
        <w:rPr>
          <w:noProof/>
          <w:lang w:eastAsia="de-DE"/>
        </w:rPr>
        <w:t xml:space="preserve"> commit to jointly supporting the development and implementation of a programme </w:t>
      </w:r>
      <w:r w:rsidR="2D2CB84D" w:rsidRPr="004C70EC">
        <w:rPr>
          <w:noProof/>
          <w:lang w:eastAsia="de-DE"/>
        </w:rPr>
        <w:t>of</w:t>
      </w:r>
      <w:r w:rsidR="7C74A0C0" w:rsidRPr="004C70EC">
        <w:rPr>
          <w:noProof/>
          <w:lang w:eastAsia="de-DE"/>
        </w:rPr>
        <w:t xml:space="preserve"> activities, including those related to market, regulatory or policy uptake</w:t>
      </w:r>
      <w:r w:rsidR="7716B003" w:rsidRPr="004C70EC">
        <w:rPr>
          <w:noProof/>
          <w:lang w:eastAsia="de-DE"/>
        </w:rPr>
        <w:t>.</w:t>
      </w:r>
    </w:p>
    <w:p w14:paraId="68EE1D5D" w14:textId="654818E6" w:rsidR="00431990" w:rsidRPr="004C70EC" w:rsidRDefault="00C03A23" w:rsidP="00C03A23">
      <w:pPr>
        <w:pStyle w:val="ManualConsidrant"/>
        <w:rPr>
          <w:noProof/>
          <w:lang w:val="en-IE" w:eastAsia="de-DE"/>
        </w:rPr>
      </w:pPr>
      <w:r w:rsidRPr="00C03A23">
        <w:rPr>
          <w:noProof/>
        </w:rPr>
        <w:t>(36)</w:t>
      </w:r>
      <w:r w:rsidRPr="00C03A23">
        <w:rPr>
          <w:noProof/>
        </w:rPr>
        <w:tab/>
      </w:r>
      <w:r w:rsidR="249CF78E" w:rsidRPr="004C70EC">
        <w:rPr>
          <w:noProof/>
          <w:lang w:val="en-IE" w:eastAsia="de-DE"/>
        </w:rPr>
        <w:t>With a view to ensur</w:t>
      </w:r>
      <w:r w:rsidR="0C262132" w:rsidRPr="004C70EC">
        <w:rPr>
          <w:noProof/>
          <w:lang w:val="en-IE" w:eastAsia="de-DE"/>
        </w:rPr>
        <w:t>ing</w:t>
      </w:r>
      <w:r w:rsidR="249CF78E" w:rsidRPr="004C70EC">
        <w:rPr>
          <w:noProof/>
          <w:lang w:val="en-IE" w:eastAsia="de-DE"/>
        </w:rPr>
        <w:t xml:space="preserve"> that the most favourable provisions apply cross-frameworks, the provisions of this Regulation regarding the permit granting process, the priority status of </w:t>
      </w:r>
      <w:r w:rsidR="053A9E12" w:rsidRPr="004C70EC">
        <w:rPr>
          <w:noProof/>
          <w:lang w:val="en-IE" w:eastAsia="de-DE"/>
        </w:rPr>
        <w:t>health</w:t>
      </w:r>
      <w:r w:rsidR="249CF78E" w:rsidRPr="004C70EC">
        <w:rPr>
          <w:noProof/>
          <w:lang w:val="en-IE" w:eastAsia="de-DE"/>
        </w:rPr>
        <w:t xml:space="preserve"> biotechnology strategic projects and of high impact </w:t>
      </w:r>
      <w:r w:rsidR="053A9E12" w:rsidRPr="004C70EC">
        <w:rPr>
          <w:noProof/>
          <w:lang w:val="en-IE" w:eastAsia="de-DE"/>
        </w:rPr>
        <w:t xml:space="preserve">health </w:t>
      </w:r>
      <w:r w:rsidR="249CF78E" w:rsidRPr="004C70EC">
        <w:rPr>
          <w:noProof/>
          <w:lang w:val="en-IE" w:eastAsia="de-DE"/>
        </w:rPr>
        <w:t xml:space="preserve">biotechnology strategic projects and </w:t>
      </w:r>
      <w:r w:rsidR="05ACB658" w:rsidRPr="004C70EC">
        <w:rPr>
          <w:noProof/>
          <w:lang w:val="en-IE" w:eastAsia="de-DE"/>
        </w:rPr>
        <w:t xml:space="preserve">the </w:t>
      </w:r>
      <w:r w:rsidR="249CF78E" w:rsidRPr="004C70EC">
        <w:rPr>
          <w:noProof/>
          <w:lang w:val="en-IE" w:eastAsia="de-DE"/>
        </w:rPr>
        <w:t>administrative, technical or financial support for such projects should apply without prejudice to more favourable provisions laid down in other Union legislation.</w:t>
      </w:r>
    </w:p>
    <w:p w14:paraId="11E977B8" w14:textId="76563BFC" w:rsidR="00431990" w:rsidRPr="004C70EC" w:rsidRDefault="00C03A23" w:rsidP="00C03A23">
      <w:pPr>
        <w:pStyle w:val="ManualConsidrant"/>
        <w:rPr>
          <w:noProof/>
          <w:lang w:val="en-IE" w:eastAsia="de-DE"/>
        </w:rPr>
      </w:pPr>
      <w:r w:rsidRPr="00C03A23">
        <w:rPr>
          <w:noProof/>
        </w:rPr>
        <w:t>(37)</w:t>
      </w:r>
      <w:r w:rsidRPr="00C03A23">
        <w:rPr>
          <w:noProof/>
        </w:rPr>
        <w:tab/>
      </w:r>
      <w:r w:rsidR="212FC6E9" w:rsidRPr="004C70EC">
        <w:rPr>
          <w:noProof/>
          <w:lang w:val="en-IE" w:eastAsia="de-DE"/>
        </w:rPr>
        <w:t xml:space="preserve">Biotechnology undertakings, especially SMEs, start-ups </w:t>
      </w:r>
      <w:r w:rsidR="212FC6E9" w:rsidRPr="004C70EC">
        <w:rPr>
          <w:rFonts w:eastAsiaTheme="majorEastAsia"/>
          <w:noProof/>
          <w:lang w:val="en-IE" w:eastAsia="ja-JP"/>
        </w:rPr>
        <w:t>and scale-ups</w:t>
      </w:r>
      <w:r w:rsidR="212FC6E9" w:rsidRPr="004C70EC">
        <w:rPr>
          <w:noProof/>
          <w:lang w:val="en-IE" w:eastAsia="de-DE"/>
        </w:rPr>
        <w:t xml:space="preserve">, and non-profits face challenges in navigating the regulatory processes, financing, scaling up and networking opportunities in </w:t>
      </w:r>
      <w:r w:rsidR="046B665C" w:rsidRPr="004C70EC">
        <w:rPr>
          <w:noProof/>
          <w:lang w:val="en-IE" w:eastAsia="de-DE"/>
        </w:rPr>
        <w:t>the Union</w:t>
      </w:r>
      <w:r w:rsidR="212FC6E9" w:rsidRPr="004C70EC">
        <w:rPr>
          <w:noProof/>
          <w:lang w:val="en-IE" w:eastAsia="de-DE"/>
        </w:rPr>
        <w:t xml:space="preserve">. To address those challenges, the Commission should manage, coordinate and support an </w:t>
      </w:r>
      <w:r w:rsidR="77B4F1B1" w:rsidRPr="004C70EC">
        <w:rPr>
          <w:noProof/>
          <w:lang w:val="en-IE" w:eastAsia="de-DE"/>
        </w:rPr>
        <w:t>EU Health Biotechnology Support Network</w:t>
      </w:r>
      <w:r w:rsidR="212FC6E9" w:rsidRPr="004C70EC">
        <w:rPr>
          <w:noProof/>
          <w:lang w:val="en-IE" w:eastAsia="de-DE"/>
        </w:rPr>
        <w:t xml:space="preserve">, composed of national and regional antennas, leveraging </w:t>
      </w:r>
      <w:r w:rsidR="006021BD" w:rsidRPr="004C70EC">
        <w:rPr>
          <w:noProof/>
          <w:lang w:val="en-IE" w:eastAsia="de-DE"/>
        </w:rPr>
        <w:t>and complementing</w:t>
      </w:r>
      <w:r w:rsidR="212FC6E9" w:rsidRPr="004C70EC">
        <w:rPr>
          <w:noProof/>
          <w:lang w:val="en-IE" w:eastAsia="de-DE"/>
        </w:rPr>
        <w:t xml:space="preserve"> existing structures such as the European Enterprise Network. The Network should assist developers and project promoters, in particular SMEs, start-ups, and scale-ups, in navigating more efficiently the legislative framework</w:t>
      </w:r>
      <w:r w:rsidR="00A7239D" w:rsidRPr="004C70EC">
        <w:rPr>
          <w:noProof/>
          <w:lang w:val="en-IE" w:eastAsia="de-DE"/>
        </w:rPr>
        <w:t xml:space="preserve">, </w:t>
      </w:r>
      <w:r w:rsidR="00657D60" w:rsidRPr="004C70EC">
        <w:rPr>
          <w:noProof/>
          <w:lang w:val="en-IE" w:eastAsia="de-DE"/>
        </w:rPr>
        <w:t xml:space="preserve">health biotechnologies regulatory </w:t>
      </w:r>
      <w:r w:rsidR="212FC6E9" w:rsidRPr="004C70EC">
        <w:rPr>
          <w:noProof/>
          <w:lang w:val="en-IE" w:eastAsia="de-DE"/>
        </w:rPr>
        <w:t>pathways</w:t>
      </w:r>
      <w:r w:rsidR="006831E6" w:rsidRPr="004C70EC">
        <w:rPr>
          <w:noProof/>
          <w:lang w:val="en-IE" w:eastAsia="de-DE"/>
        </w:rPr>
        <w:t xml:space="preserve"> </w:t>
      </w:r>
      <w:r w:rsidR="212FC6E9" w:rsidRPr="004C70EC">
        <w:rPr>
          <w:noProof/>
          <w:lang w:val="en-IE" w:eastAsia="de-DE"/>
        </w:rPr>
        <w:t xml:space="preserve">and funding opportunities at </w:t>
      </w:r>
      <w:r w:rsidR="60150E6F" w:rsidRPr="004C70EC">
        <w:rPr>
          <w:noProof/>
          <w:lang w:val="en-IE" w:eastAsia="de-DE"/>
        </w:rPr>
        <w:t xml:space="preserve">Union </w:t>
      </w:r>
      <w:r w:rsidR="212FC6E9" w:rsidRPr="004C70EC">
        <w:rPr>
          <w:noProof/>
          <w:lang w:val="en-IE" w:eastAsia="de-DE"/>
        </w:rPr>
        <w:t>and national</w:t>
      </w:r>
      <w:r w:rsidR="60150E6F" w:rsidRPr="004C70EC">
        <w:rPr>
          <w:noProof/>
          <w:lang w:val="en-IE" w:eastAsia="de-DE"/>
        </w:rPr>
        <w:t xml:space="preserve"> level</w:t>
      </w:r>
      <w:r w:rsidR="212FC6E9" w:rsidRPr="004C70EC">
        <w:rPr>
          <w:noProof/>
          <w:lang w:val="en-IE" w:eastAsia="de-DE"/>
        </w:rPr>
        <w:t>.</w:t>
      </w:r>
      <w:r w:rsidR="212FC6E9" w:rsidRPr="004C70EC">
        <w:rPr>
          <w:noProof/>
          <w:lang w:val="en-IE" w:eastAsia="en-GB"/>
        </w:rPr>
        <w:t xml:space="preserve"> Moreover, the </w:t>
      </w:r>
      <w:r w:rsidR="77B4F1B1" w:rsidRPr="004C70EC">
        <w:rPr>
          <w:noProof/>
          <w:lang w:val="en-IE" w:eastAsia="en-GB"/>
        </w:rPr>
        <w:t>EU Health Biotechnology Support Network</w:t>
      </w:r>
      <w:r w:rsidR="212FC6E9" w:rsidRPr="004C70EC">
        <w:rPr>
          <w:noProof/>
          <w:lang w:val="en-IE" w:eastAsia="en-GB"/>
        </w:rPr>
        <w:t xml:space="preserve"> should provide support for </w:t>
      </w:r>
      <w:r w:rsidR="05BDB4FB" w:rsidRPr="004C70EC">
        <w:rPr>
          <w:noProof/>
          <w:lang w:val="en-IE" w:eastAsia="de-DE"/>
        </w:rPr>
        <w:t>health</w:t>
      </w:r>
      <w:r w:rsidR="212FC6E9" w:rsidRPr="004C70EC">
        <w:rPr>
          <w:noProof/>
          <w:lang w:val="en-IE" w:eastAsia="en-GB"/>
        </w:rPr>
        <w:t xml:space="preserve"> biotechnology strategic projects and </w:t>
      </w:r>
      <w:r w:rsidR="0C00760F" w:rsidRPr="004C70EC">
        <w:rPr>
          <w:noProof/>
          <w:lang w:val="en-IE" w:eastAsia="en-GB"/>
        </w:rPr>
        <w:t>enhanced assistance</w:t>
      </w:r>
      <w:r w:rsidR="212FC6E9" w:rsidRPr="004C70EC">
        <w:rPr>
          <w:noProof/>
          <w:lang w:val="en-IE" w:eastAsia="en-GB"/>
        </w:rPr>
        <w:t xml:space="preserve"> for high impact </w:t>
      </w:r>
      <w:r w:rsidR="5048E2DB" w:rsidRPr="004C70EC">
        <w:rPr>
          <w:noProof/>
          <w:lang w:val="en-IE" w:eastAsia="de-DE"/>
        </w:rPr>
        <w:t xml:space="preserve">health </w:t>
      </w:r>
      <w:r w:rsidR="212FC6E9" w:rsidRPr="004C70EC">
        <w:rPr>
          <w:noProof/>
          <w:lang w:val="en-IE" w:eastAsia="en-GB"/>
        </w:rPr>
        <w:t xml:space="preserve">biotechnology strategic projects. </w:t>
      </w:r>
      <w:r w:rsidR="55DEE38C" w:rsidRPr="004C70EC">
        <w:rPr>
          <w:noProof/>
          <w:lang w:eastAsia="en-GB"/>
        </w:rPr>
        <w:t>The Commission should make available to the Network an AI powered interactive tool to assist developers and project promoters, in particular SMEs, start-ups, and scale-ups, in navigating more efficiently the regulatory framework and pathways and funding opportunities at EU and national</w:t>
      </w:r>
      <w:r w:rsidR="38F0F04C" w:rsidRPr="004C70EC">
        <w:rPr>
          <w:noProof/>
          <w:lang w:eastAsia="en-GB"/>
        </w:rPr>
        <w:t xml:space="preserve"> level</w:t>
      </w:r>
      <w:r w:rsidR="4C0D1AF6" w:rsidRPr="004C70EC">
        <w:rPr>
          <w:noProof/>
          <w:lang w:eastAsia="en-GB"/>
        </w:rPr>
        <w:t>.</w:t>
      </w:r>
      <w:r w:rsidR="212FC6E9" w:rsidRPr="004C70EC">
        <w:rPr>
          <w:rFonts w:eastAsiaTheme="majorEastAsia"/>
          <w:b/>
          <w:bCs/>
          <w:smallCaps/>
          <w:noProof/>
        </w:rPr>
        <w:t xml:space="preserve"> </w:t>
      </w:r>
    </w:p>
    <w:p w14:paraId="44A275C8" w14:textId="61B1A00F" w:rsidR="00431990" w:rsidRPr="004C70EC" w:rsidRDefault="00C03A23" w:rsidP="00C03A23">
      <w:pPr>
        <w:pStyle w:val="ManualConsidrant"/>
        <w:rPr>
          <w:noProof/>
          <w:lang w:val="en-IE" w:eastAsia="de-DE"/>
        </w:rPr>
      </w:pPr>
      <w:r w:rsidRPr="00C03A23">
        <w:rPr>
          <w:noProof/>
        </w:rPr>
        <w:t>(38)</w:t>
      </w:r>
      <w:r w:rsidRPr="00C03A23">
        <w:rPr>
          <w:noProof/>
        </w:rPr>
        <w:tab/>
      </w:r>
      <w:r w:rsidR="438607E0" w:rsidRPr="004C70EC">
        <w:rPr>
          <w:noProof/>
          <w:lang w:eastAsia="de-DE"/>
        </w:rPr>
        <w:t xml:space="preserve">The European </w:t>
      </w:r>
      <w:r w:rsidR="7170AB96" w:rsidRPr="004C70EC">
        <w:rPr>
          <w:noProof/>
          <w:lang w:eastAsia="de-DE"/>
        </w:rPr>
        <w:t>H</w:t>
      </w:r>
      <w:r w:rsidR="438607E0" w:rsidRPr="004C70EC">
        <w:rPr>
          <w:noProof/>
          <w:lang w:eastAsia="de-DE"/>
        </w:rPr>
        <w:t>ealth Biotechnology Steering Group (‘the Steering Group’) should be established to provide advice to the Commission and to the Member States with a view to facilitate the implementation of this Regulation, foster cooperation with the Commission and among the Member States</w:t>
      </w:r>
      <w:r w:rsidR="79812B42" w:rsidRPr="004C70EC">
        <w:rPr>
          <w:noProof/>
          <w:lang w:eastAsia="de-DE"/>
        </w:rPr>
        <w:t>,</w:t>
      </w:r>
      <w:r w:rsidR="438607E0" w:rsidRPr="004C70EC">
        <w:rPr>
          <w:noProof/>
          <w:lang w:eastAsia="de-DE"/>
        </w:rPr>
        <w:t xml:space="preserve"> and the exchange of best practice. The Steering Group should be composed of representatives from all Member States and the Commission. </w:t>
      </w:r>
    </w:p>
    <w:p w14:paraId="278D4C61" w14:textId="24C982F4" w:rsidR="00431990" w:rsidRPr="004C70EC" w:rsidRDefault="00C03A23" w:rsidP="00C03A23">
      <w:pPr>
        <w:pStyle w:val="ManualConsidrant"/>
        <w:rPr>
          <w:noProof/>
          <w:lang w:val="en-IE" w:eastAsia="de-DE"/>
        </w:rPr>
      </w:pPr>
      <w:r w:rsidRPr="00C03A23">
        <w:rPr>
          <w:noProof/>
        </w:rPr>
        <w:t>(39)</w:t>
      </w:r>
      <w:r w:rsidRPr="00C03A23">
        <w:rPr>
          <w:noProof/>
        </w:rPr>
        <w:tab/>
      </w:r>
      <w:r w:rsidR="438607E0" w:rsidRPr="004C70EC">
        <w:rPr>
          <w:noProof/>
          <w:lang w:val="en-IE" w:eastAsia="de-DE"/>
        </w:rPr>
        <w:t>Member States</w:t>
      </w:r>
      <w:r w:rsidR="0443A638" w:rsidRPr="004C70EC">
        <w:rPr>
          <w:noProof/>
          <w:lang w:val="en-IE" w:eastAsia="de-DE"/>
        </w:rPr>
        <w:t xml:space="preserve"> </w:t>
      </w:r>
      <w:r w:rsidR="438607E0" w:rsidRPr="004C70EC">
        <w:rPr>
          <w:noProof/>
          <w:lang w:val="en-IE" w:eastAsia="de-DE"/>
        </w:rPr>
        <w:t>should provide to the Steering Group</w:t>
      </w:r>
      <w:r w:rsidR="2C131B5B" w:rsidRPr="004C70EC">
        <w:rPr>
          <w:noProof/>
          <w:lang w:val="en-IE" w:eastAsia="de-DE"/>
        </w:rPr>
        <w:t>,</w:t>
      </w:r>
      <w:r w:rsidR="438607E0" w:rsidRPr="004C70EC">
        <w:rPr>
          <w:noProof/>
          <w:lang w:val="en-IE" w:eastAsia="de-DE"/>
        </w:rPr>
        <w:t xml:space="preserve"> on an annual basis</w:t>
      </w:r>
      <w:r w:rsidR="2DA318A5" w:rsidRPr="004C70EC">
        <w:rPr>
          <w:noProof/>
          <w:lang w:val="en-IE" w:eastAsia="de-DE"/>
        </w:rPr>
        <w:t>,</w:t>
      </w:r>
      <w:r w:rsidR="438607E0" w:rsidRPr="004C70EC">
        <w:rPr>
          <w:noProof/>
          <w:lang w:val="en-IE" w:eastAsia="de-DE"/>
        </w:rPr>
        <w:t xml:space="preserve"> an overview of the health biotechnology strategic projects and of the high impact health biotechnology strategic projects that they recognise, as well as of the existing and emerging cooperation initiatives and networks among such projects</w:t>
      </w:r>
      <w:r w:rsidR="52817FCD" w:rsidRPr="004C70EC">
        <w:rPr>
          <w:noProof/>
          <w:lang w:val="en-IE" w:eastAsia="de-DE"/>
        </w:rPr>
        <w:t xml:space="preserve">. </w:t>
      </w:r>
      <w:r w:rsidR="6F351F86" w:rsidRPr="004C70EC">
        <w:rPr>
          <w:noProof/>
          <w:lang w:val="en-IE" w:eastAsia="de-DE"/>
        </w:rPr>
        <w:t>Such</w:t>
      </w:r>
      <w:r w:rsidR="52817FCD" w:rsidRPr="004C70EC">
        <w:rPr>
          <w:noProof/>
          <w:lang w:val="en-IE" w:eastAsia="de-DE"/>
        </w:rPr>
        <w:t xml:space="preserve"> overview is aimed at informing </w:t>
      </w:r>
      <w:r w:rsidR="3E36B521" w:rsidRPr="004C70EC">
        <w:rPr>
          <w:noProof/>
          <w:lang w:val="en-IE" w:eastAsia="de-DE"/>
        </w:rPr>
        <w:t>monitoring</w:t>
      </w:r>
      <w:r w:rsidR="52817FCD" w:rsidRPr="004C70EC">
        <w:rPr>
          <w:noProof/>
          <w:lang w:val="en-IE" w:eastAsia="de-DE"/>
        </w:rPr>
        <w:t xml:space="preserve"> of</w:t>
      </w:r>
      <w:r w:rsidR="50B1A1C3" w:rsidRPr="004C70EC">
        <w:rPr>
          <w:noProof/>
          <w:lang w:val="en-IE" w:eastAsia="de-DE"/>
        </w:rPr>
        <w:t xml:space="preserve"> progress in the implementation of this Regulation, </w:t>
      </w:r>
      <w:r w:rsidR="52817FCD" w:rsidRPr="004C70EC">
        <w:rPr>
          <w:noProof/>
          <w:lang w:val="en-IE" w:eastAsia="de-DE"/>
        </w:rPr>
        <w:t>supporting</w:t>
      </w:r>
      <w:r w:rsidR="50B1A1C3" w:rsidRPr="004C70EC">
        <w:rPr>
          <w:noProof/>
          <w:lang w:val="en-IE" w:eastAsia="de-DE"/>
        </w:rPr>
        <w:t xml:space="preserve"> coordination</w:t>
      </w:r>
      <w:r w:rsidR="5B02E9E9" w:rsidRPr="004C70EC">
        <w:rPr>
          <w:noProof/>
          <w:lang w:val="en-IE" w:eastAsia="de-DE"/>
        </w:rPr>
        <w:t xml:space="preserve"> and proposal</w:t>
      </w:r>
      <w:r w:rsidR="28C339E7" w:rsidRPr="004C70EC">
        <w:rPr>
          <w:noProof/>
          <w:lang w:val="en-IE" w:eastAsia="de-DE"/>
        </w:rPr>
        <w:t>s</w:t>
      </w:r>
      <w:r w:rsidR="5B02E9E9" w:rsidRPr="004C70EC">
        <w:rPr>
          <w:noProof/>
          <w:lang w:val="en-IE" w:eastAsia="de-DE"/>
        </w:rPr>
        <w:t xml:space="preserve"> of</w:t>
      </w:r>
      <w:r w:rsidR="50B1A1C3" w:rsidRPr="004C70EC">
        <w:rPr>
          <w:noProof/>
          <w:lang w:val="en-IE" w:eastAsia="de-DE"/>
        </w:rPr>
        <w:t xml:space="preserve"> measures to enhance the Union’s biotechnology and biomanufacturing ecosystem and facilitate exchange of best practices</w:t>
      </w:r>
      <w:r w:rsidR="74429088" w:rsidRPr="004C70EC">
        <w:rPr>
          <w:noProof/>
          <w:lang w:val="en-IE" w:eastAsia="de-DE"/>
        </w:rPr>
        <w:t>.</w:t>
      </w:r>
      <w:r w:rsidR="438607E0" w:rsidRPr="004C70EC">
        <w:rPr>
          <w:noProof/>
          <w:lang w:val="en-IE" w:eastAsia="de-DE"/>
        </w:rPr>
        <w:t xml:space="preserve"> In such overview, Member States should identify progress, obstacles and best practices. </w:t>
      </w:r>
    </w:p>
    <w:p w14:paraId="72B7ED17" w14:textId="1739F06F" w:rsidR="00431990" w:rsidRPr="004C70EC" w:rsidRDefault="00C03A23" w:rsidP="00C03A23">
      <w:pPr>
        <w:pStyle w:val="ManualConsidrant"/>
        <w:rPr>
          <w:noProof/>
          <w:lang w:val="en-IE" w:eastAsia="de-DE"/>
        </w:rPr>
      </w:pPr>
      <w:r w:rsidRPr="00C03A23">
        <w:rPr>
          <w:noProof/>
        </w:rPr>
        <w:t>(40)</w:t>
      </w:r>
      <w:r w:rsidRPr="00C03A23">
        <w:rPr>
          <w:noProof/>
        </w:rPr>
        <w:tab/>
      </w:r>
      <w:r w:rsidR="438607E0" w:rsidRPr="004C70EC">
        <w:rPr>
          <w:noProof/>
          <w:lang w:val="en-IE" w:eastAsia="de-DE"/>
        </w:rPr>
        <w:t xml:space="preserve">To ensure effective governance and learning across the Union, the Steering Group should periodically review systemic challenges in the financing and deployment in particular for high impact health biotechnology </w:t>
      </w:r>
      <w:r w:rsidR="438607E0" w:rsidRPr="004C70EC">
        <w:rPr>
          <w:rFonts w:eastAsiaTheme="minorEastAsia"/>
          <w:noProof/>
          <w:lang w:val="en-IE" w:eastAsia="de-DE"/>
        </w:rPr>
        <w:t>strategic</w:t>
      </w:r>
      <w:r w:rsidR="438607E0" w:rsidRPr="004C70EC">
        <w:rPr>
          <w:noProof/>
          <w:lang w:val="en-IE" w:eastAsia="de-DE"/>
        </w:rPr>
        <w:t xml:space="preserve"> projects and recommend corrective measures to the Commission and to Member States.</w:t>
      </w:r>
    </w:p>
    <w:p w14:paraId="150F92FB" w14:textId="53FFCBCA" w:rsidR="0076750A" w:rsidRPr="004C70EC" w:rsidRDefault="00C03A23" w:rsidP="00C03A23">
      <w:pPr>
        <w:pStyle w:val="ManualConsidrant"/>
        <w:rPr>
          <w:noProof/>
          <w:lang w:val="en-IE" w:eastAsia="de-DE"/>
        </w:rPr>
      </w:pPr>
      <w:r w:rsidRPr="00C03A23">
        <w:rPr>
          <w:noProof/>
        </w:rPr>
        <w:t>(41)</w:t>
      </w:r>
      <w:r w:rsidRPr="00C03A23">
        <w:rPr>
          <w:noProof/>
        </w:rPr>
        <w:tab/>
      </w:r>
      <w:r w:rsidR="249CF78E" w:rsidRPr="004C70EC">
        <w:rPr>
          <w:noProof/>
          <w:lang w:val="en-IE" w:eastAsia="de-DE"/>
        </w:rPr>
        <w:t xml:space="preserve">Given the capital-intensive nature of biotechnology and the high probability of non-commercialisation of individual projects, access to finance is a structural bottleneck for the sector. To boost the potential of biotechnology to contribute to the Union’s competitiveness, resilience and </w:t>
      </w:r>
      <w:r w:rsidR="006568A7" w:rsidRPr="004C70EC">
        <w:rPr>
          <w:noProof/>
          <w:lang w:val="en-IE" w:eastAsia="de-DE"/>
        </w:rPr>
        <w:t>the creation and maintenance of</w:t>
      </w:r>
      <w:r w:rsidR="249CF78E" w:rsidRPr="004C70EC">
        <w:rPr>
          <w:noProof/>
          <w:lang w:val="en-IE" w:eastAsia="de-DE"/>
        </w:rPr>
        <w:t xml:space="preserve"> quality jobs, sufficient funding tailored to the sector’s risk profile needs to be mobilised across the financing life cycle. </w:t>
      </w:r>
    </w:p>
    <w:p w14:paraId="118651F9" w14:textId="52A2B1E2" w:rsidR="0076750A" w:rsidRPr="004C70EC" w:rsidRDefault="00C03A23" w:rsidP="00C03A23">
      <w:pPr>
        <w:pStyle w:val="ManualConsidrant"/>
        <w:rPr>
          <w:noProof/>
          <w:lang w:val="en-IE" w:eastAsia="de-DE"/>
        </w:rPr>
      </w:pPr>
      <w:r w:rsidRPr="00C03A23">
        <w:rPr>
          <w:noProof/>
        </w:rPr>
        <w:t>(42)</w:t>
      </w:r>
      <w:r w:rsidRPr="00C03A23">
        <w:rPr>
          <w:noProof/>
        </w:rPr>
        <w:tab/>
      </w:r>
      <w:r w:rsidR="4CA6113B" w:rsidRPr="004C70EC">
        <w:rPr>
          <w:noProof/>
          <w:lang w:val="en-IE" w:eastAsia="de-DE"/>
        </w:rPr>
        <w:t xml:space="preserve">To address key challenges in the functioning of </w:t>
      </w:r>
      <w:r w:rsidR="7556C292" w:rsidRPr="004C70EC">
        <w:rPr>
          <w:noProof/>
          <w:lang w:val="en-IE" w:eastAsia="de-DE"/>
        </w:rPr>
        <w:t>Union</w:t>
      </w:r>
      <w:r w:rsidR="4CA6113B" w:rsidRPr="004C70EC">
        <w:rPr>
          <w:noProof/>
          <w:lang w:val="en-IE" w:eastAsia="de-DE"/>
        </w:rPr>
        <w:t xml:space="preserve"> capital markets, the Commission is implementing the Savings and Investment Union (SIU) </w:t>
      </w:r>
      <w:r w:rsidR="170B60B9" w:rsidRPr="004C70EC">
        <w:rPr>
          <w:noProof/>
          <w:lang w:val="en-IE" w:eastAsia="de-DE"/>
        </w:rPr>
        <w:t>S</w:t>
      </w:r>
      <w:r w:rsidR="4CA6113B" w:rsidRPr="004C70EC">
        <w:rPr>
          <w:noProof/>
          <w:lang w:val="en-IE" w:eastAsia="de-DE"/>
        </w:rPr>
        <w:t xml:space="preserve">trategy. The SIU will reduce market fragmentation, create better investment opportunities for citizens and help to expand funding options for businesses. In particular, it will seek to improve access to equity and debt financing for all companies, including startups and scaleups, strengthen the role of venture capital and institutional investors and better align </w:t>
      </w:r>
      <w:r w:rsidR="14B4BFC5" w:rsidRPr="004C70EC">
        <w:rPr>
          <w:noProof/>
          <w:lang w:val="en-IE" w:eastAsia="de-DE"/>
        </w:rPr>
        <w:t>Union</w:t>
      </w:r>
      <w:r w:rsidR="4CA6113B" w:rsidRPr="004C70EC">
        <w:rPr>
          <w:noProof/>
          <w:lang w:val="en-IE" w:eastAsia="de-DE"/>
        </w:rPr>
        <w:t xml:space="preserve"> public funding instruments with SIU objectives.</w:t>
      </w:r>
      <w:r w:rsidR="4CA6113B" w:rsidRPr="004C70EC">
        <w:rPr>
          <w:rStyle w:val="CommentReference"/>
          <w:rFonts w:eastAsia="Times New Roman"/>
          <w:noProof/>
          <w:color w:val="000000" w:themeColor="text1"/>
          <w:sz w:val="24"/>
          <w:szCs w:val="24"/>
          <w:lang w:val="en-IE" w:eastAsia="de-DE"/>
        </w:rPr>
        <w:t xml:space="preserve"> </w:t>
      </w:r>
      <w:r w:rsidR="0C29F5A0" w:rsidRPr="004C70EC">
        <w:rPr>
          <w:rStyle w:val="CommentReference"/>
          <w:rFonts w:eastAsia="Times New Roman"/>
          <w:noProof/>
          <w:color w:val="000000" w:themeColor="text1"/>
          <w:sz w:val="24"/>
          <w:szCs w:val="24"/>
          <w:lang w:val="en-IE" w:eastAsia="de-DE"/>
        </w:rPr>
        <w:t xml:space="preserve">Recent Commission guidance on </w:t>
      </w:r>
      <w:r w:rsidR="07679B15" w:rsidRPr="004C70EC">
        <w:rPr>
          <w:noProof/>
          <w:lang w:val="en-IE" w:eastAsia="de-DE"/>
        </w:rPr>
        <w:t>legislative programmes</w:t>
      </w:r>
      <w:r w:rsidR="00F1684A" w:rsidRPr="004C70EC">
        <w:rPr>
          <w:rStyle w:val="FootnoteReference"/>
          <w:rFonts w:eastAsia="Times New Roman"/>
          <w:noProof/>
          <w:color w:val="000000" w:themeColor="text1"/>
          <w:lang w:val="en-IE" w:eastAsia="de-DE"/>
        </w:rPr>
        <w:footnoteReference w:id="114"/>
      </w:r>
      <w:r w:rsidR="0C29F5A0" w:rsidRPr="004C70EC">
        <w:rPr>
          <w:noProof/>
          <w:lang w:val="en-IE" w:eastAsia="de-DE"/>
        </w:rPr>
        <w:t xml:space="preserve"> also </w:t>
      </w:r>
      <w:r w:rsidR="0C29F5A0" w:rsidRPr="004C70EC">
        <w:rPr>
          <w:noProof/>
          <w:lang w:eastAsia="de-DE"/>
        </w:rPr>
        <w:t>clarifie</w:t>
      </w:r>
      <w:r w:rsidR="6746E460" w:rsidRPr="004C70EC">
        <w:rPr>
          <w:noProof/>
          <w:lang w:eastAsia="de-DE"/>
        </w:rPr>
        <w:t>s</w:t>
      </w:r>
      <w:r w:rsidR="0C29F5A0" w:rsidRPr="004C70EC">
        <w:rPr>
          <w:noProof/>
          <w:lang w:eastAsia="de-DE"/>
        </w:rPr>
        <w:t xml:space="preserve"> that the </w:t>
      </w:r>
      <w:r w:rsidR="7066C178" w:rsidRPr="004C70EC">
        <w:rPr>
          <w:noProof/>
          <w:lang w:eastAsia="de-DE"/>
        </w:rPr>
        <w:t xml:space="preserve">biotechnology </w:t>
      </w:r>
      <w:r w:rsidR="0C29F5A0" w:rsidRPr="004C70EC">
        <w:rPr>
          <w:noProof/>
          <w:lang w:eastAsia="de-DE"/>
        </w:rPr>
        <w:t xml:space="preserve">sector can be the target of </w:t>
      </w:r>
      <w:r w:rsidR="14B4BFC5" w:rsidRPr="004C70EC">
        <w:rPr>
          <w:noProof/>
          <w:lang w:eastAsia="de-DE"/>
        </w:rPr>
        <w:t>Union</w:t>
      </w:r>
      <w:r w:rsidR="4D3980FF" w:rsidRPr="004C70EC">
        <w:rPr>
          <w:noProof/>
          <w:lang w:eastAsia="de-DE"/>
        </w:rPr>
        <w:t>,</w:t>
      </w:r>
      <w:r w:rsidR="0C29F5A0" w:rsidRPr="004C70EC">
        <w:rPr>
          <w:noProof/>
          <w:lang w:eastAsia="de-DE"/>
        </w:rPr>
        <w:t xml:space="preserve"> national and regional legislative programmes via reference to the </w:t>
      </w:r>
      <w:r w:rsidR="21F532AF" w:rsidRPr="004C70EC">
        <w:rPr>
          <w:noProof/>
          <w:lang w:eastAsia="de-DE"/>
        </w:rPr>
        <w:t>C</w:t>
      </w:r>
      <w:r w:rsidR="0C29F5A0" w:rsidRPr="004C70EC">
        <w:rPr>
          <w:noProof/>
          <w:lang w:eastAsia="de-DE"/>
        </w:rPr>
        <w:t xml:space="preserve">ompetitiveness </w:t>
      </w:r>
      <w:r w:rsidR="21F532AF" w:rsidRPr="004C70EC">
        <w:rPr>
          <w:noProof/>
          <w:lang w:eastAsia="de-DE"/>
        </w:rPr>
        <w:t>C</w:t>
      </w:r>
      <w:r w:rsidR="0C29F5A0" w:rsidRPr="004C70EC">
        <w:rPr>
          <w:noProof/>
          <w:lang w:eastAsia="de-DE"/>
        </w:rPr>
        <w:t>ompass</w:t>
      </w:r>
      <w:r w:rsidR="4D3980FF" w:rsidRPr="004C70EC">
        <w:rPr>
          <w:noProof/>
          <w:lang w:eastAsia="de-DE"/>
        </w:rPr>
        <w:t>,</w:t>
      </w:r>
      <w:r w:rsidR="07679B15" w:rsidRPr="004C70EC">
        <w:rPr>
          <w:noProof/>
          <w:lang w:val="en-IE" w:eastAsia="de-DE"/>
        </w:rPr>
        <w:t xml:space="preserve"> support</w:t>
      </w:r>
      <w:r w:rsidR="4D3980FF" w:rsidRPr="004C70EC">
        <w:rPr>
          <w:noProof/>
          <w:lang w:val="en-IE" w:eastAsia="de-DE"/>
        </w:rPr>
        <w:t>ing</w:t>
      </w:r>
      <w:r w:rsidR="07679B15" w:rsidRPr="004C70EC">
        <w:rPr>
          <w:noProof/>
          <w:lang w:val="en-IE" w:eastAsia="de-DE"/>
        </w:rPr>
        <w:t xml:space="preserve"> favourable prudential treatment</w:t>
      </w:r>
      <w:r w:rsidR="4D3980FF" w:rsidRPr="004C70EC">
        <w:rPr>
          <w:noProof/>
          <w:lang w:val="en-IE" w:eastAsia="de-DE"/>
        </w:rPr>
        <w:t xml:space="preserve"> of investments made under such </w:t>
      </w:r>
      <w:r w:rsidR="21F532AF" w:rsidRPr="004C70EC">
        <w:rPr>
          <w:noProof/>
          <w:lang w:val="en-IE" w:eastAsia="de-DE"/>
        </w:rPr>
        <w:t>programmes</w:t>
      </w:r>
      <w:r w:rsidR="0076750A" w:rsidRPr="004C70EC">
        <w:rPr>
          <w:noProof/>
        </w:rPr>
        <w:t xml:space="preserve">. </w:t>
      </w:r>
      <w:bookmarkStart w:id="11" w:name="_Hlk213318808"/>
    </w:p>
    <w:p w14:paraId="69036611" w14:textId="42625D51" w:rsidR="00431990" w:rsidRPr="002D7694" w:rsidRDefault="00C03A23" w:rsidP="00C03A23">
      <w:pPr>
        <w:pStyle w:val="ManualConsidrant"/>
        <w:rPr>
          <w:rFonts w:eastAsia="Times New Roman"/>
          <w:noProof/>
          <w:lang w:val="en-IE" w:eastAsia="de-DE"/>
        </w:rPr>
      </w:pPr>
      <w:r w:rsidRPr="00C03A23">
        <w:rPr>
          <w:noProof/>
        </w:rPr>
        <w:t>(43)</w:t>
      </w:r>
      <w:r w:rsidRPr="00C03A23">
        <w:rPr>
          <w:noProof/>
        </w:rPr>
        <w:tab/>
      </w:r>
      <w:r w:rsidR="3C5A8307" w:rsidRPr="004C70EC">
        <w:rPr>
          <w:noProof/>
        </w:rPr>
        <w:t xml:space="preserve">The Union’s biotechnology sector faces a persistent financing gap compared with other leading regions, particularly for the scale-up and industrial deployment stages. </w:t>
      </w:r>
      <w:r w:rsidR="70CE551F" w:rsidRPr="004C70EC">
        <w:rPr>
          <w:rFonts w:eastAsia="Times New Roman"/>
          <w:noProof/>
          <w:lang w:val="en-IE" w:eastAsia="de-DE"/>
        </w:rPr>
        <w:t xml:space="preserve">The Union </w:t>
      </w:r>
      <w:r w:rsidR="3FC6BD83" w:rsidRPr="004C70EC">
        <w:rPr>
          <w:rFonts w:eastAsia="Times New Roman"/>
          <w:noProof/>
          <w:lang w:val="en-IE" w:eastAsia="de-DE"/>
        </w:rPr>
        <w:t xml:space="preserve">has </w:t>
      </w:r>
      <w:r w:rsidR="148BA1A4" w:rsidRPr="004C70EC">
        <w:rPr>
          <w:rFonts w:eastAsia="Times New Roman"/>
          <w:noProof/>
          <w:lang w:val="en-IE" w:eastAsia="de-DE"/>
        </w:rPr>
        <w:t xml:space="preserve">been </w:t>
      </w:r>
      <w:r w:rsidR="19A0BB84" w:rsidRPr="004C70EC">
        <w:rPr>
          <w:rFonts w:eastAsia="Times New Roman"/>
          <w:noProof/>
          <w:lang w:val="en-IE" w:eastAsia="de-DE"/>
        </w:rPr>
        <w:t>acting to address this</w:t>
      </w:r>
      <w:r w:rsidR="5F60F2FF" w:rsidRPr="004C70EC">
        <w:rPr>
          <w:rFonts w:eastAsia="Times New Roman"/>
          <w:noProof/>
          <w:lang w:val="en-IE" w:eastAsia="de-DE"/>
        </w:rPr>
        <w:t xml:space="preserve">, including </w:t>
      </w:r>
      <w:r w:rsidR="66D29DF9" w:rsidRPr="004C70EC">
        <w:rPr>
          <w:rFonts w:eastAsia="Times New Roman"/>
          <w:noProof/>
          <w:lang w:val="en-IE" w:eastAsia="de-DE"/>
        </w:rPr>
        <w:t>through</w:t>
      </w:r>
      <w:r w:rsidR="5F60F2FF" w:rsidRPr="004C70EC">
        <w:rPr>
          <w:rFonts w:eastAsia="Times New Roman"/>
          <w:noProof/>
          <w:lang w:val="en-IE" w:eastAsia="de-DE"/>
        </w:rPr>
        <w:t xml:space="preserve"> </w:t>
      </w:r>
      <w:r w:rsidR="70CE551F" w:rsidRPr="004C70EC">
        <w:rPr>
          <w:rFonts w:eastAsia="Times New Roman"/>
          <w:noProof/>
          <w:lang w:val="en-IE" w:eastAsia="de-DE"/>
        </w:rPr>
        <w:t xml:space="preserve">the </w:t>
      </w:r>
      <w:r w:rsidR="1B3EC48C" w:rsidRPr="004C70EC">
        <w:rPr>
          <w:rFonts w:eastAsia="Times New Roman"/>
          <w:noProof/>
          <w:lang w:val="en-IE" w:eastAsia="de-DE"/>
        </w:rPr>
        <w:t xml:space="preserve">flagship </w:t>
      </w:r>
      <w:r w:rsidR="70CE551F" w:rsidRPr="004C70EC">
        <w:rPr>
          <w:rFonts w:eastAsia="Times New Roman"/>
          <w:noProof/>
          <w:lang w:val="en-IE" w:eastAsia="de-DE"/>
        </w:rPr>
        <w:t>InvestEU programme</w:t>
      </w:r>
      <w:r w:rsidR="71068876" w:rsidRPr="004C70EC">
        <w:rPr>
          <w:rFonts w:eastAsia="Times New Roman"/>
          <w:noProof/>
          <w:lang w:val="en-IE" w:eastAsia="de-DE"/>
        </w:rPr>
        <w:t xml:space="preserve"> established by Regulation (EU) 2021/523 of the European Parliament and of the Council</w:t>
      </w:r>
      <w:r w:rsidR="008A2C45" w:rsidRPr="004C70EC">
        <w:rPr>
          <w:rStyle w:val="FootnoteReference"/>
          <w:rFonts w:eastAsiaTheme="minorEastAsia"/>
          <w:noProof/>
          <w:color w:val="000000" w:themeColor="text1"/>
        </w:rPr>
        <w:footnoteReference w:id="115"/>
      </w:r>
      <w:r w:rsidR="70CE551F" w:rsidRPr="004C70EC">
        <w:rPr>
          <w:rFonts w:eastAsia="Times New Roman"/>
          <w:noProof/>
          <w:lang w:val="en-IE" w:eastAsia="de-DE"/>
        </w:rPr>
        <w:t xml:space="preserve">. InvestEU supports </w:t>
      </w:r>
      <w:r w:rsidR="2AB40FB7" w:rsidRPr="004C70EC">
        <w:rPr>
          <w:rFonts w:eastAsia="Times New Roman"/>
          <w:noProof/>
          <w:lang w:val="en-IE" w:eastAsia="de-DE"/>
        </w:rPr>
        <w:t xml:space="preserve">biotechnology </w:t>
      </w:r>
      <w:r w:rsidR="70CE551F" w:rsidRPr="004C70EC">
        <w:rPr>
          <w:rFonts w:eastAsia="Times New Roman"/>
          <w:noProof/>
          <w:lang w:val="en-IE" w:eastAsia="de-DE"/>
        </w:rPr>
        <w:t>investments in a transversal manner, enabling investment in biotech</w:t>
      </w:r>
      <w:r w:rsidR="76668C81" w:rsidRPr="004C70EC">
        <w:rPr>
          <w:rFonts w:eastAsia="Times New Roman"/>
          <w:noProof/>
          <w:lang w:val="en-IE" w:eastAsia="de-DE"/>
        </w:rPr>
        <w:t>nology</w:t>
      </w:r>
      <w:r w:rsidR="70CE551F" w:rsidRPr="004C70EC">
        <w:rPr>
          <w:rFonts w:eastAsia="Times New Roman"/>
          <w:noProof/>
          <w:lang w:val="en-IE" w:eastAsia="de-DE"/>
        </w:rPr>
        <w:t xml:space="preserve"> projects and enterprises targeting all stages of development, including start-up to scale-up stage</w:t>
      </w:r>
      <w:r w:rsidR="1F9185A5" w:rsidRPr="004C70EC">
        <w:rPr>
          <w:rFonts w:eastAsia="Times New Roman"/>
          <w:noProof/>
          <w:lang w:val="en-IE" w:eastAsia="de-DE"/>
        </w:rPr>
        <w:t>s</w:t>
      </w:r>
      <w:r w:rsidR="70CE551F" w:rsidRPr="004C70EC">
        <w:rPr>
          <w:rFonts w:eastAsia="Times New Roman"/>
          <w:noProof/>
          <w:lang w:val="en-IE" w:eastAsia="de-DE"/>
        </w:rPr>
        <w:t xml:space="preserve"> as well as deployment. The recent agreement between the Council and the European Parliament on enhancing the InvestEU programme increases the </w:t>
      </w:r>
      <w:r w:rsidR="2BDC6585" w:rsidRPr="004C70EC">
        <w:rPr>
          <w:rFonts w:eastAsia="Times New Roman"/>
          <w:noProof/>
          <w:lang w:val="en-IE" w:eastAsia="de-DE"/>
        </w:rPr>
        <w:t>Union</w:t>
      </w:r>
      <w:r w:rsidR="70CE551F" w:rsidRPr="004C70EC">
        <w:rPr>
          <w:rFonts w:eastAsia="Times New Roman"/>
          <w:noProof/>
          <w:lang w:val="en-IE" w:eastAsia="de-DE"/>
        </w:rPr>
        <w:t xml:space="preserve"> guarantee by EUR 2.9 billion unlocking nearly EUR 55 billion in additional public and private investments, including investment in</w:t>
      </w:r>
      <w:r w:rsidR="24095F63" w:rsidRPr="004C70EC">
        <w:rPr>
          <w:rFonts w:eastAsia="Times New Roman"/>
          <w:noProof/>
          <w:lang w:val="en-IE" w:eastAsia="de-DE"/>
        </w:rPr>
        <w:t>to</w:t>
      </w:r>
      <w:r w:rsidR="70CE551F" w:rsidRPr="004C70EC">
        <w:rPr>
          <w:rFonts w:eastAsia="Times New Roman"/>
          <w:noProof/>
          <w:lang w:val="en-IE" w:eastAsia="de-DE"/>
        </w:rPr>
        <w:t xml:space="preserve"> biotech</w:t>
      </w:r>
      <w:r w:rsidR="24095F63" w:rsidRPr="004C70EC">
        <w:rPr>
          <w:rFonts w:eastAsia="Times New Roman"/>
          <w:noProof/>
          <w:lang w:val="en-IE" w:eastAsia="de-DE"/>
        </w:rPr>
        <w:t>nology</w:t>
      </w:r>
      <w:r w:rsidR="70CE551F" w:rsidRPr="004C70EC">
        <w:rPr>
          <w:rFonts w:eastAsia="Times New Roman"/>
          <w:noProof/>
          <w:lang w:val="en-IE" w:eastAsia="de-DE"/>
        </w:rPr>
        <w:t xml:space="preserve">. </w:t>
      </w:r>
      <w:r w:rsidR="4FAA4818" w:rsidRPr="002D7694">
        <w:rPr>
          <w:rFonts w:eastAsiaTheme="minorEastAsia"/>
          <w:noProof/>
          <w:lang w:val="en-IE" w:eastAsia="de-DE"/>
        </w:rPr>
        <w:t>Overall, InvestEU has already mobilized EUR 7.5 billion of biotech</w:t>
      </w:r>
      <w:r w:rsidR="0EF9E6AE" w:rsidRPr="002D7694">
        <w:rPr>
          <w:rFonts w:eastAsiaTheme="minorEastAsia"/>
          <w:noProof/>
          <w:lang w:val="en-IE" w:eastAsia="de-DE"/>
        </w:rPr>
        <w:t>nology</w:t>
      </w:r>
      <w:r w:rsidR="4FAA4818" w:rsidRPr="002D7694">
        <w:rPr>
          <w:rFonts w:eastAsiaTheme="minorEastAsia"/>
          <w:noProof/>
          <w:lang w:val="en-IE" w:eastAsia="de-DE"/>
        </w:rPr>
        <w:t xml:space="preserve"> investments. During the 2026-2027 period, mobilization of at least EUR 4 billion of additional biotech</w:t>
      </w:r>
      <w:r w:rsidR="1DFE2B25" w:rsidRPr="002D7694">
        <w:rPr>
          <w:rFonts w:eastAsiaTheme="minorEastAsia"/>
          <w:noProof/>
          <w:lang w:val="en-IE" w:eastAsia="de-DE"/>
        </w:rPr>
        <w:t>nology</w:t>
      </w:r>
      <w:r w:rsidR="4FAA4818" w:rsidRPr="002D7694">
        <w:rPr>
          <w:rFonts w:eastAsiaTheme="minorEastAsia"/>
          <w:noProof/>
          <w:lang w:val="en-IE" w:eastAsia="de-DE"/>
        </w:rPr>
        <w:t xml:space="preserve"> investments is expected. InvestEU </w:t>
      </w:r>
      <w:r w:rsidR="5A0B4ADF" w:rsidRPr="002D7694">
        <w:rPr>
          <w:rFonts w:eastAsiaTheme="minorEastAsia"/>
          <w:noProof/>
          <w:lang w:val="en-IE" w:eastAsia="de-DE"/>
        </w:rPr>
        <w:t>i</w:t>
      </w:r>
      <w:r w:rsidR="4FAA4818" w:rsidRPr="002D7694">
        <w:rPr>
          <w:rFonts w:eastAsiaTheme="minorEastAsia"/>
          <w:noProof/>
          <w:lang w:val="en-IE" w:eastAsia="de-DE"/>
        </w:rPr>
        <w:t xml:space="preserve">mplementing </w:t>
      </w:r>
      <w:r w:rsidR="060DB668" w:rsidRPr="002D7694">
        <w:rPr>
          <w:rFonts w:eastAsiaTheme="minorEastAsia"/>
          <w:noProof/>
          <w:lang w:val="en-IE" w:eastAsia="de-DE"/>
        </w:rPr>
        <w:t>p</w:t>
      </w:r>
      <w:r w:rsidR="4FAA4818" w:rsidRPr="002D7694">
        <w:rPr>
          <w:rFonts w:eastAsiaTheme="minorEastAsia"/>
          <w:noProof/>
          <w:lang w:val="en-IE" w:eastAsia="de-DE"/>
        </w:rPr>
        <w:t>artners play a key role in helping to stimulate investment in biotech</w:t>
      </w:r>
      <w:r w:rsidR="0D877398" w:rsidRPr="002D7694">
        <w:rPr>
          <w:rFonts w:eastAsiaTheme="minorEastAsia"/>
          <w:noProof/>
          <w:lang w:val="en-IE" w:eastAsia="de-DE"/>
        </w:rPr>
        <w:t>nology</w:t>
      </w:r>
      <w:r w:rsidR="4FAA4818" w:rsidRPr="002D7694">
        <w:rPr>
          <w:rFonts w:eastAsiaTheme="minorEastAsia"/>
          <w:noProof/>
          <w:lang w:val="en-IE" w:eastAsia="de-DE"/>
        </w:rPr>
        <w:t xml:space="preserve"> projects and enterprises</w:t>
      </w:r>
      <w:r w:rsidR="484C2D07" w:rsidRPr="002D7694">
        <w:rPr>
          <w:rFonts w:eastAsiaTheme="minorEastAsia"/>
          <w:noProof/>
          <w:lang w:val="en-IE" w:eastAsia="de-DE"/>
        </w:rPr>
        <w:t>.</w:t>
      </w:r>
      <w:r w:rsidR="4FAA4818" w:rsidRPr="002D7694">
        <w:rPr>
          <w:rFonts w:eastAsiaTheme="minorEastAsia"/>
          <w:noProof/>
          <w:lang w:val="en-IE" w:eastAsia="de-DE"/>
        </w:rPr>
        <w:t xml:space="preserve"> Both the EIB as well as EIF support biotech</w:t>
      </w:r>
      <w:r w:rsidR="0666037B" w:rsidRPr="002D7694">
        <w:rPr>
          <w:rFonts w:eastAsiaTheme="minorEastAsia"/>
          <w:noProof/>
          <w:lang w:val="en-IE" w:eastAsia="de-DE"/>
        </w:rPr>
        <w:t>nology</w:t>
      </w:r>
      <w:r w:rsidR="4FAA4818" w:rsidRPr="002D7694">
        <w:rPr>
          <w:rFonts w:eastAsiaTheme="minorEastAsia"/>
          <w:noProof/>
          <w:lang w:val="en-IE" w:eastAsia="de-DE"/>
        </w:rPr>
        <w:t xml:space="preserve"> – including </w:t>
      </w:r>
      <w:r w:rsidR="5EFBEEA6" w:rsidRPr="002D7694">
        <w:rPr>
          <w:rFonts w:eastAsiaTheme="minorEastAsia"/>
          <w:noProof/>
          <w:lang w:eastAsia="de-DE"/>
        </w:rPr>
        <w:t xml:space="preserve">health </w:t>
      </w:r>
      <w:r w:rsidR="4FAA4818" w:rsidRPr="002D7694">
        <w:rPr>
          <w:rFonts w:eastAsiaTheme="minorEastAsia"/>
          <w:noProof/>
          <w:lang w:val="en-IE" w:eastAsia="de-DE"/>
        </w:rPr>
        <w:t>biotech</w:t>
      </w:r>
      <w:r w:rsidR="6C9314F6" w:rsidRPr="002D7694">
        <w:rPr>
          <w:rFonts w:eastAsiaTheme="minorEastAsia"/>
          <w:noProof/>
          <w:lang w:val="en-IE" w:eastAsia="de-DE"/>
        </w:rPr>
        <w:t>nology</w:t>
      </w:r>
      <w:r w:rsidR="4FAA4818" w:rsidRPr="002D7694">
        <w:rPr>
          <w:rFonts w:eastAsiaTheme="minorEastAsia"/>
          <w:noProof/>
          <w:lang w:val="en-IE" w:eastAsia="de-DE"/>
        </w:rPr>
        <w:t xml:space="preserve"> – via several InvestEU financial products. </w:t>
      </w:r>
      <w:r w:rsidR="5076C6DB" w:rsidRPr="002D7694">
        <w:rPr>
          <w:rFonts w:eastAsiaTheme="minorEastAsia"/>
          <w:noProof/>
          <w:lang w:val="en-IE" w:eastAsia="de-DE"/>
        </w:rPr>
        <w:t>HERA</w:t>
      </w:r>
      <w:r w:rsidR="3C5A8307">
        <w:rPr>
          <w:rFonts w:eastAsiaTheme="minorEastAsia"/>
          <w:noProof/>
          <w:lang w:val="en-IE" w:eastAsia="de-DE"/>
        </w:rPr>
        <w:t xml:space="preserve"> </w:t>
      </w:r>
      <w:r w:rsidR="5076C6DB" w:rsidRPr="002D7694">
        <w:rPr>
          <w:rFonts w:eastAsiaTheme="minorEastAsia"/>
          <w:noProof/>
          <w:lang w:val="en-IE" w:eastAsia="de-DE"/>
        </w:rPr>
        <w:t>Invest</w:t>
      </w:r>
      <w:r w:rsidR="427F26B2" w:rsidRPr="002D7694">
        <w:rPr>
          <w:rFonts w:eastAsiaTheme="minorEastAsia"/>
          <w:noProof/>
          <w:lang w:val="en-IE" w:eastAsia="de-DE"/>
        </w:rPr>
        <w:t xml:space="preserve"> further </w:t>
      </w:r>
      <w:r w:rsidR="52BD5ADF" w:rsidRPr="002D7694">
        <w:rPr>
          <w:rFonts w:eastAsiaTheme="minorEastAsia"/>
          <w:noProof/>
          <w:lang w:eastAsia="de-DE"/>
        </w:rPr>
        <w:t xml:space="preserve">boosts </w:t>
      </w:r>
      <w:r w:rsidR="5EF130ED" w:rsidRPr="002D7694">
        <w:rPr>
          <w:rFonts w:eastAsiaTheme="minorEastAsia"/>
          <w:noProof/>
          <w:lang w:eastAsia="de-DE"/>
        </w:rPr>
        <w:t>investments</w:t>
      </w:r>
      <w:r w:rsidR="52BD5ADF" w:rsidRPr="002D7694">
        <w:rPr>
          <w:rFonts w:eastAsiaTheme="minorEastAsia"/>
          <w:noProof/>
          <w:lang w:eastAsia="de-DE"/>
        </w:rPr>
        <w:t xml:space="preserve"> in health biotechnology.</w:t>
      </w:r>
      <w:r w:rsidR="53D14082" w:rsidRPr="002D7694">
        <w:rPr>
          <w:rFonts w:eastAsiaTheme="minorEastAsia"/>
          <w:noProof/>
          <w:lang w:eastAsia="de-DE"/>
        </w:rPr>
        <w:t xml:space="preserve"> </w:t>
      </w:r>
      <w:r w:rsidR="4FAA4818" w:rsidRPr="002D7694">
        <w:rPr>
          <w:rFonts w:eastAsiaTheme="minorEastAsia"/>
          <w:noProof/>
          <w:lang w:val="en-IE" w:eastAsia="de-DE"/>
        </w:rPr>
        <w:t xml:space="preserve">The project pipeline is strengthened </w:t>
      </w:r>
      <w:r w:rsidR="35EAD856" w:rsidRPr="002D7694">
        <w:rPr>
          <w:rFonts w:eastAsiaTheme="minorEastAsia"/>
          <w:noProof/>
          <w:lang w:eastAsia="de-DE"/>
        </w:rPr>
        <w:t>through</w:t>
      </w:r>
      <w:r w:rsidR="4FAA4818" w:rsidRPr="002D7694">
        <w:rPr>
          <w:rFonts w:eastAsiaTheme="minorEastAsia"/>
          <w:noProof/>
          <w:lang w:eastAsia="de-DE"/>
        </w:rPr>
        <w:t xml:space="preserve"> </w:t>
      </w:r>
      <w:r w:rsidR="4FAA4818" w:rsidRPr="002D7694">
        <w:rPr>
          <w:rFonts w:eastAsiaTheme="minorEastAsia"/>
          <w:noProof/>
          <w:lang w:val="en-IE" w:eastAsia="de-DE"/>
        </w:rPr>
        <w:t>InvestEU advisory, supporting initiatives such as the European Tech Championship Initiative of the European Investment Bank.</w:t>
      </w:r>
    </w:p>
    <w:p w14:paraId="426F8540" w14:textId="2FDCBD99" w:rsidR="00431990" w:rsidRPr="004C70EC" w:rsidRDefault="00C03A23" w:rsidP="00C03A23">
      <w:pPr>
        <w:pStyle w:val="ManualConsidrant"/>
        <w:rPr>
          <w:noProof/>
          <w:lang w:val="en-IE" w:eastAsia="de-DE"/>
        </w:rPr>
      </w:pPr>
      <w:r w:rsidRPr="00C03A23">
        <w:rPr>
          <w:noProof/>
        </w:rPr>
        <w:t>(44)</w:t>
      </w:r>
      <w:r w:rsidRPr="00C03A23">
        <w:rPr>
          <w:noProof/>
        </w:rPr>
        <w:tab/>
      </w:r>
      <w:r w:rsidR="70CE551F" w:rsidRPr="004C70EC">
        <w:rPr>
          <w:noProof/>
          <w:lang w:val="en-IE" w:eastAsia="de-DE"/>
        </w:rPr>
        <w:t xml:space="preserve"> </w:t>
      </w:r>
      <w:r w:rsidR="5E6B94E8" w:rsidRPr="004C70EC">
        <w:rPr>
          <w:noProof/>
        </w:rPr>
        <w:t>C</w:t>
      </w:r>
      <w:r w:rsidR="722668EA" w:rsidRPr="004C70EC">
        <w:rPr>
          <w:noProof/>
          <w:lang w:val="en-IE" w:eastAsia="de-DE"/>
        </w:rPr>
        <w:t>omplementing</w:t>
      </w:r>
      <w:r w:rsidR="2A99C66D" w:rsidRPr="004C70EC">
        <w:rPr>
          <w:noProof/>
          <w:lang w:val="en-IE" w:eastAsia="de-DE"/>
        </w:rPr>
        <w:t xml:space="preserve"> the European Innovation Council support for deep tech and disruptive innovators in the area of biotechnology</w:t>
      </w:r>
      <w:r w:rsidR="7BEBD48C" w:rsidRPr="004C70EC">
        <w:rPr>
          <w:noProof/>
          <w:lang w:val="en-IE" w:eastAsia="de-DE"/>
        </w:rPr>
        <w:t>, a</w:t>
      </w:r>
      <w:r w:rsidR="3A37933A" w:rsidRPr="004C70EC">
        <w:rPr>
          <w:noProof/>
          <w:lang w:val="en-IE" w:eastAsia="de-DE"/>
        </w:rPr>
        <w:t xml:space="preserve">n EU </w:t>
      </w:r>
      <w:r w:rsidR="24095F63" w:rsidRPr="004C70EC">
        <w:rPr>
          <w:noProof/>
          <w:lang w:val="en-IE" w:eastAsia="de-DE"/>
        </w:rPr>
        <w:t>Health</w:t>
      </w:r>
      <w:r w:rsidR="3A37933A" w:rsidRPr="004C70EC">
        <w:rPr>
          <w:noProof/>
          <w:lang w:val="en-IE" w:eastAsia="de-DE"/>
        </w:rPr>
        <w:t xml:space="preserve"> Biotechnology Investment </w:t>
      </w:r>
      <w:r w:rsidR="70CE551F">
        <w:rPr>
          <w:noProof/>
          <w:lang w:val="en-IE" w:eastAsia="de-DE"/>
        </w:rPr>
        <w:t>Pilot</w:t>
      </w:r>
      <w:r w:rsidR="3D08A9B2" w:rsidRPr="004C70EC">
        <w:rPr>
          <w:noProof/>
          <w:lang w:val="en-IE" w:eastAsia="de-DE"/>
        </w:rPr>
        <w:t xml:space="preserve"> </w:t>
      </w:r>
      <w:r w:rsidR="3A37933A" w:rsidRPr="004C70EC">
        <w:rPr>
          <w:noProof/>
        </w:rPr>
        <w:t>to mobilise public and private investment and strengthen the Union’s competitiveness and resilience sh</w:t>
      </w:r>
      <w:r w:rsidR="288961A7" w:rsidRPr="004C70EC">
        <w:rPr>
          <w:noProof/>
        </w:rPr>
        <w:t xml:space="preserve">ould </w:t>
      </w:r>
      <w:r w:rsidR="3A37933A" w:rsidRPr="004C70EC">
        <w:rPr>
          <w:noProof/>
        </w:rPr>
        <w:t>be created in partnership with the European Investment Bank Group (EIBG)</w:t>
      </w:r>
      <w:r w:rsidR="1657BF63" w:rsidRPr="004C70EC">
        <w:rPr>
          <w:noProof/>
        </w:rPr>
        <w:t xml:space="preserve"> or other implementing partners</w:t>
      </w:r>
      <w:r w:rsidR="3A37933A" w:rsidRPr="004C70EC">
        <w:rPr>
          <w:noProof/>
        </w:rPr>
        <w:t xml:space="preserve">, </w:t>
      </w:r>
      <w:r w:rsidR="07D79EC9" w:rsidRPr="004C70EC">
        <w:rPr>
          <w:noProof/>
        </w:rPr>
        <w:t xml:space="preserve">for implementation in indirect management, </w:t>
      </w:r>
      <w:r w:rsidR="3A37933A" w:rsidRPr="004C70EC">
        <w:rPr>
          <w:noProof/>
        </w:rPr>
        <w:t xml:space="preserve">linking equity and guarantee instruments with venture debt tailored to biotech-specific risk profiles. </w:t>
      </w:r>
    </w:p>
    <w:p w14:paraId="4B57B161" w14:textId="682A0A5F" w:rsidR="00431990" w:rsidRPr="004C70EC" w:rsidRDefault="00C03A23" w:rsidP="00C03A23">
      <w:pPr>
        <w:pStyle w:val="ManualConsidrant"/>
        <w:rPr>
          <w:rFonts w:eastAsia="Times New Roman"/>
          <w:noProof/>
          <w:lang w:val="en-IE" w:eastAsia="de-DE"/>
        </w:rPr>
      </w:pPr>
      <w:r w:rsidRPr="00C03A23">
        <w:rPr>
          <w:noProof/>
        </w:rPr>
        <w:t>(45)</w:t>
      </w:r>
      <w:r w:rsidRPr="00C03A23">
        <w:rPr>
          <w:noProof/>
        </w:rPr>
        <w:tab/>
      </w:r>
      <w:r w:rsidR="3C5A8307" w:rsidRPr="004C70EC">
        <w:rPr>
          <w:noProof/>
        </w:rPr>
        <w:t xml:space="preserve">The </w:t>
      </w:r>
      <w:r w:rsidR="5A372CED" w:rsidRPr="004C70EC">
        <w:rPr>
          <w:noProof/>
        </w:rPr>
        <w:t>Health</w:t>
      </w:r>
      <w:r w:rsidR="3C5A8307" w:rsidRPr="004C70EC">
        <w:rPr>
          <w:noProof/>
        </w:rPr>
        <w:t xml:space="preserve"> </w:t>
      </w:r>
      <w:r w:rsidR="3C5A8307" w:rsidRPr="004C70EC">
        <w:rPr>
          <w:rFonts w:eastAsia="Times New Roman"/>
          <w:noProof/>
          <w:lang w:val="en-IE" w:eastAsia="de-DE"/>
        </w:rPr>
        <w:t xml:space="preserve">Biotechnology Investment </w:t>
      </w:r>
      <w:r w:rsidR="3C5A8307">
        <w:rPr>
          <w:rFonts w:eastAsia="Times New Roman"/>
          <w:noProof/>
          <w:lang w:val="en-IE" w:eastAsia="de-DE"/>
        </w:rPr>
        <w:t>Pilot</w:t>
      </w:r>
      <w:r w:rsidR="3C5A8307" w:rsidRPr="004C70EC">
        <w:rPr>
          <w:noProof/>
        </w:rPr>
        <w:t xml:space="preserve"> would aim to mobilise a substantial amount of capital, from the EIBG, </w:t>
      </w:r>
      <w:r w:rsidR="6BAE3D44" w:rsidRPr="004C70EC">
        <w:rPr>
          <w:noProof/>
        </w:rPr>
        <w:t>Union budge</w:t>
      </w:r>
      <w:r w:rsidR="254A1654" w:rsidRPr="004C70EC">
        <w:rPr>
          <w:noProof/>
        </w:rPr>
        <w:t>t</w:t>
      </w:r>
      <w:r w:rsidR="3C5A8307" w:rsidRPr="004C70EC">
        <w:rPr>
          <w:noProof/>
        </w:rPr>
        <w:t xml:space="preserve">, public national schemes and private sector investors (including institutional investors), to narrow the sector investment gap, currently estimated at EUR </w:t>
      </w:r>
      <w:r w:rsidR="4A69680E" w:rsidRPr="004C70EC">
        <w:rPr>
          <w:noProof/>
        </w:rPr>
        <w:t>4</w:t>
      </w:r>
      <w:r w:rsidR="3C5A8307" w:rsidRPr="004C70EC">
        <w:rPr>
          <w:noProof/>
        </w:rPr>
        <w:t>0 billion annually</w:t>
      </w:r>
      <w:r w:rsidR="2B9E6731" w:rsidRPr="004C70EC">
        <w:rPr>
          <w:noProof/>
        </w:rPr>
        <w:t>,</w:t>
      </w:r>
      <w:r w:rsidR="3C5A8307" w:rsidRPr="004C70EC">
        <w:rPr>
          <w:noProof/>
        </w:rPr>
        <w:t xml:space="preserve"> amounting to EUR </w:t>
      </w:r>
      <w:r w:rsidR="70E2BF6F" w:rsidRPr="004C70EC">
        <w:rPr>
          <w:noProof/>
        </w:rPr>
        <w:t>4</w:t>
      </w:r>
      <w:r w:rsidR="3C5A8307" w:rsidRPr="004C70EC">
        <w:rPr>
          <w:noProof/>
        </w:rPr>
        <w:t>00 billion for the next 10 years</w:t>
      </w:r>
      <w:r w:rsidR="00001D37" w:rsidRPr="004C70EC">
        <w:rPr>
          <w:noProof/>
        </w:rPr>
        <w:t>,</w:t>
      </w:r>
      <w:r w:rsidR="3C5A8307" w:rsidRPr="004C70EC">
        <w:rPr>
          <w:noProof/>
        </w:rPr>
        <w:t xml:space="preserve"> and ensure the sector's long term competitiveness and strategic autonomy.</w:t>
      </w:r>
    </w:p>
    <w:p w14:paraId="7E3CBADD" w14:textId="55B05141" w:rsidR="00431990" w:rsidRPr="004C70EC" w:rsidRDefault="00C03A23" w:rsidP="00C03A23">
      <w:pPr>
        <w:pStyle w:val="ManualConsidrant"/>
        <w:rPr>
          <w:rFonts w:eastAsia="Times New Roman"/>
          <w:noProof/>
          <w:lang w:val="en-IE" w:eastAsia="de-DE"/>
        </w:rPr>
      </w:pPr>
      <w:r w:rsidRPr="00C03A23">
        <w:rPr>
          <w:noProof/>
        </w:rPr>
        <w:t>(46)</w:t>
      </w:r>
      <w:r w:rsidRPr="00C03A23">
        <w:rPr>
          <w:noProof/>
        </w:rPr>
        <w:tab/>
      </w:r>
      <w:r w:rsidR="3C5A8307" w:rsidRPr="004C70EC">
        <w:rPr>
          <w:noProof/>
        </w:rPr>
        <w:t xml:space="preserve">The </w:t>
      </w:r>
      <w:r w:rsidR="33B92451" w:rsidRPr="004C70EC">
        <w:rPr>
          <w:noProof/>
        </w:rPr>
        <w:t>Health</w:t>
      </w:r>
      <w:r w:rsidR="3C5A8307" w:rsidRPr="004C70EC">
        <w:rPr>
          <w:noProof/>
        </w:rPr>
        <w:t xml:space="preserve"> </w:t>
      </w:r>
      <w:r w:rsidR="3C5A8307" w:rsidRPr="004C70EC">
        <w:rPr>
          <w:rFonts w:eastAsia="Times New Roman"/>
          <w:noProof/>
          <w:lang w:val="en-IE" w:eastAsia="de-DE"/>
        </w:rPr>
        <w:t xml:space="preserve">Biotechnology Investment </w:t>
      </w:r>
      <w:r w:rsidR="3C5A8307">
        <w:rPr>
          <w:rFonts w:eastAsia="Times New Roman"/>
          <w:noProof/>
          <w:lang w:val="en-IE" w:eastAsia="de-DE"/>
        </w:rPr>
        <w:t>Pilot</w:t>
      </w:r>
      <w:r w:rsidR="3C5A8307" w:rsidRPr="004C70EC">
        <w:rPr>
          <w:noProof/>
        </w:rPr>
        <w:t xml:space="preserve"> should </w:t>
      </w:r>
      <w:r w:rsidR="2E2C9C69" w:rsidRPr="004C70EC">
        <w:rPr>
          <w:noProof/>
        </w:rPr>
        <w:t>be</w:t>
      </w:r>
      <w:r w:rsidR="3C5A8307" w:rsidRPr="004C70EC">
        <w:rPr>
          <w:noProof/>
        </w:rPr>
        <w:t xml:space="preserve"> tailored to biotechnology risk profiles and lifecycle needs on the </w:t>
      </w:r>
      <w:r w:rsidR="0D66FB55" w:rsidRPr="004C70EC">
        <w:rPr>
          <w:noProof/>
        </w:rPr>
        <w:t>Union</w:t>
      </w:r>
      <w:r w:rsidR="3C5A8307" w:rsidRPr="004C70EC">
        <w:rPr>
          <w:noProof/>
        </w:rPr>
        <w:t xml:space="preserve"> market. It should </w:t>
      </w:r>
      <w:r w:rsidR="02773037" w:rsidRPr="004C70EC">
        <w:rPr>
          <w:noProof/>
        </w:rPr>
        <w:t xml:space="preserve">be possible </w:t>
      </w:r>
      <w:r w:rsidR="340F8724" w:rsidRPr="004C70EC">
        <w:rPr>
          <w:noProof/>
        </w:rPr>
        <w:t xml:space="preserve">to </w:t>
      </w:r>
      <w:r w:rsidR="3C5A8307" w:rsidRPr="004C70EC">
        <w:rPr>
          <w:noProof/>
        </w:rPr>
        <w:t xml:space="preserve">include newly created and established instruments, encompassing advisory services, direct and indirect individual investments, direct and indirect intermediated financing or portfolio financing. The detailed instruments, eligibility and risk parameters, and indicative allocations </w:t>
      </w:r>
      <w:r w:rsidR="62350AD9" w:rsidRPr="004C70EC">
        <w:rPr>
          <w:noProof/>
        </w:rPr>
        <w:t>should be</w:t>
      </w:r>
      <w:r w:rsidR="3C5A8307" w:rsidRPr="004C70EC">
        <w:rPr>
          <w:noProof/>
        </w:rPr>
        <w:t xml:space="preserve"> specified in the operational design of the </w:t>
      </w:r>
      <w:r w:rsidR="3C5A8307">
        <w:rPr>
          <w:noProof/>
        </w:rPr>
        <w:t>Pilot</w:t>
      </w:r>
      <w:r w:rsidR="3C5A8307" w:rsidRPr="004C70EC">
        <w:rPr>
          <w:noProof/>
        </w:rPr>
        <w:t>.</w:t>
      </w:r>
    </w:p>
    <w:p w14:paraId="7AD9AE50" w14:textId="6EB62D2E" w:rsidR="00431990" w:rsidRPr="004C70EC" w:rsidRDefault="00C03A23" w:rsidP="00C03A23">
      <w:pPr>
        <w:pStyle w:val="ManualConsidrant"/>
        <w:rPr>
          <w:rFonts w:eastAsia="Times New Roman"/>
          <w:noProof/>
          <w:lang w:val="en-IE" w:eastAsia="de-DE"/>
        </w:rPr>
      </w:pPr>
      <w:r w:rsidRPr="00C03A23">
        <w:rPr>
          <w:noProof/>
        </w:rPr>
        <w:t>(47)</w:t>
      </w:r>
      <w:r w:rsidRPr="00C03A23">
        <w:rPr>
          <w:noProof/>
        </w:rPr>
        <w:tab/>
      </w:r>
      <w:r w:rsidR="7570ABAF" w:rsidRPr="004C70EC">
        <w:rPr>
          <w:noProof/>
        </w:rPr>
        <w:t xml:space="preserve">The </w:t>
      </w:r>
      <w:r w:rsidR="7570ABAF">
        <w:rPr>
          <w:noProof/>
        </w:rPr>
        <w:t>Pilot</w:t>
      </w:r>
      <w:r w:rsidR="7570ABAF" w:rsidRPr="004C70EC">
        <w:rPr>
          <w:noProof/>
        </w:rPr>
        <w:t xml:space="preserve"> may</w:t>
      </w:r>
      <w:r w:rsidR="56D6EFCA" w:rsidRPr="004C70EC">
        <w:rPr>
          <w:noProof/>
        </w:rPr>
        <w:t xml:space="preserve"> </w:t>
      </w:r>
      <w:r w:rsidR="7570ABAF" w:rsidRPr="004C70EC">
        <w:rPr>
          <w:noProof/>
        </w:rPr>
        <w:t>receive Union financial support</w:t>
      </w:r>
      <w:r w:rsidR="00771C46" w:rsidRPr="004C70EC">
        <w:rPr>
          <w:noProof/>
        </w:rPr>
        <w:t xml:space="preserve"> through Union programmes</w:t>
      </w:r>
      <w:r w:rsidR="74DDA783" w:rsidRPr="004C70EC">
        <w:rPr>
          <w:noProof/>
        </w:rPr>
        <w:t xml:space="preserve">. </w:t>
      </w:r>
      <w:r w:rsidR="3A37933A" w:rsidRPr="004C70EC">
        <w:rPr>
          <w:noProof/>
        </w:rPr>
        <w:t xml:space="preserve">Pending </w:t>
      </w:r>
      <w:r w:rsidR="74DDA783" w:rsidRPr="004C70EC">
        <w:rPr>
          <w:noProof/>
        </w:rPr>
        <w:t xml:space="preserve"> </w:t>
      </w:r>
      <w:r w:rsidR="3A37933A" w:rsidRPr="004C70EC">
        <w:rPr>
          <w:noProof/>
        </w:rPr>
        <w:t xml:space="preserve">the establishment of the </w:t>
      </w:r>
      <w:r w:rsidR="7570ABAF">
        <w:rPr>
          <w:noProof/>
        </w:rPr>
        <w:t>Pilot</w:t>
      </w:r>
      <w:r w:rsidR="3A37933A" w:rsidRPr="004C70EC">
        <w:rPr>
          <w:noProof/>
        </w:rPr>
        <w:t>, a scheme</w:t>
      </w:r>
      <w:r w:rsidR="2C9CC5A7" w:rsidRPr="004C70EC">
        <w:rPr>
          <w:noProof/>
        </w:rPr>
        <w:t>, also covering ongoing investment activities</w:t>
      </w:r>
      <w:r w:rsidR="15D7EB6E" w:rsidRPr="004C70EC">
        <w:rPr>
          <w:noProof/>
        </w:rPr>
        <w:t>,</w:t>
      </w:r>
      <w:r w:rsidR="32C330A7" w:rsidRPr="004C70EC">
        <w:rPr>
          <w:noProof/>
        </w:rPr>
        <w:t xml:space="preserve"> </w:t>
      </w:r>
      <w:r w:rsidR="3A37933A" w:rsidRPr="004C70EC">
        <w:rPr>
          <w:noProof/>
        </w:rPr>
        <w:t>launched with the support of the EIBG</w:t>
      </w:r>
      <w:r w:rsidR="32C330A7" w:rsidRPr="004C70EC">
        <w:rPr>
          <w:noProof/>
        </w:rPr>
        <w:t xml:space="preserve"> </w:t>
      </w:r>
      <w:r w:rsidR="2A157526" w:rsidRPr="004C70EC">
        <w:rPr>
          <w:noProof/>
        </w:rPr>
        <w:t xml:space="preserve">under </w:t>
      </w:r>
      <w:r w:rsidR="32C330A7" w:rsidRPr="004C70EC">
        <w:rPr>
          <w:noProof/>
        </w:rPr>
        <w:t>the current M</w:t>
      </w:r>
      <w:r w:rsidR="196B4CA6" w:rsidRPr="004C70EC">
        <w:rPr>
          <w:noProof/>
        </w:rPr>
        <w:t xml:space="preserve">ultiannual </w:t>
      </w:r>
      <w:r w:rsidR="32C330A7" w:rsidRPr="004C70EC">
        <w:rPr>
          <w:noProof/>
        </w:rPr>
        <w:t>F</w:t>
      </w:r>
      <w:r w:rsidR="435C8AC4" w:rsidRPr="004C70EC">
        <w:rPr>
          <w:noProof/>
        </w:rPr>
        <w:t xml:space="preserve">inancial </w:t>
      </w:r>
      <w:r w:rsidR="32C330A7" w:rsidRPr="004C70EC">
        <w:rPr>
          <w:noProof/>
        </w:rPr>
        <w:t>F</w:t>
      </w:r>
      <w:r w:rsidR="3E9D0938" w:rsidRPr="004C70EC">
        <w:rPr>
          <w:noProof/>
        </w:rPr>
        <w:t>ramework</w:t>
      </w:r>
      <w:r w:rsidR="32C330A7" w:rsidRPr="004C70EC">
        <w:rPr>
          <w:noProof/>
        </w:rPr>
        <w:t xml:space="preserve"> </w:t>
      </w:r>
      <w:r w:rsidR="19FC4B21" w:rsidRPr="004C70EC">
        <w:rPr>
          <w:noProof/>
        </w:rPr>
        <w:t>2021-2027 and supported</w:t>
      </w:r>
      <w:r w:rsidR="1380525D" w:rsidRPr="004C70EC">
        <w:rPr>
          <w:noProof/>
        </w:rPr>
        <w:t xml:space="preserve"> under </w:t>
      </w:r>
      <w:r w:rsidR="3F65A390" w:rsidRPr="004C70EC">
        <w:rPr>
          <w:noProof/>
        </w:rPr>
        <w:t>the</w:t>
      </w:r>
      <w:r w:rsidR="3A37933A" w:rsidRPr="004C70EC">
        <w:rPr>
          <w:noProof/>
        </w:rPr>
        <w:t xml:space="preserve"> InvestEU</w:t>
      </w:r>
      <w:r w:rsidR="2C7C7565" w:rsidRPr="004C70EC">
        <w:rPr>
          <w:noProof/>
        </w:rPr>
        <w:t xml:space="preserve"> programme</w:t>
      </w:r>
      <w:r w:rsidR="51E23815" w:rsidRPr="002D7694">
        <w:rPr>
          <w:noProof/>
        </w:rPr>
        <w:t>,</w:t>
      </w:r>
      <w:r w:rsidR="2C7C7565" w:rsidRPr="004C70EC">
        <w:rPr>
          <w:noProof/>
        </w:rPr>
        <w:t xml:space="preserve"> will mobilise up to 10 billion in investments in the biotechnology sector in 2026 and 2027</w:t>
      </w:r>
      <w:r w:rsidR="3A37933A" w:rsidRPr="004C70EC">
        <w:rPr>
          <w:noProof/>
        </w:rPr>
        <w:t xml:space="preserve"> .</w:t>
      </w:r>
      <w:bookmarkStart w:id="12" w:name="_Hlk213342518"/>
      <w:bookmarkEnd w:id="11"/>
    </w:p>
    <w:p w14:paraId="0C0120FC" w14:textId="0AAECB33" w:rsidR="00431990" w:rsidRPr="004C70EC" w:rsidRDefault="00C03A23" w:rsidP="00C03A23">
      <w:pPr>
        <w:pStyle w:val="ManualConsidrant"/>
        <w:rPr>
          <w:noProof/>
          <w:lang w:val="en-IE" w:eastAsia="de-DE"/>
        </w:rPr>
      </w:pPr>
      <w:r w:rsidRPr="00C03A23">
        <w:rPr>
          <w:noProof/>
        </w:rPr>
        <w:t>(48)</w:t>
      </w:r>
      <w:r w:rsidRPr="00C03A23">
        <w:rPr>
          <w:noProof/>
        </w:rPr>
        <w:tab/>
      </w:r>
      <w:r w:rsidR="217A502F" w:rsidRPr="004C70EC">
        <w:rPr>
          <w:noProof/>
          <w:lang w:val="en-IE" w:eastAsia="en-IE"/>
        </w:rPr>
        <w:t>Union</w:t>
      </w:r>
      <w:r w:rsidR="249CF78E" w:rsidRPr="004C70EC">
        <w:rPr>
          <w:noProof/>
          <w:lang w:val="en-IE" w:eastAsia="en-IE"/>
        </w:rPr>
        <w:t xml:space="preserve"> public equity markets for biotechnology remain shallow relative to global peers, which constrains late-stage financing and exit options for European start-ups and scale-ups. Stock exchanges are still largely fragmented across Member States, with limited specialised research coverage and dedicated market-making, prompting European scale-ups to list abroad. To address this bottleneck for a competitive Union biotechnology sector</w:t>
      </w:r>
      <w:r w:rsidR="53D12DBE" w:rsidRPr="004C70EC">
        <w:rPr>
          <w:noProof/>
          <w:lang w:val="en-IE" w:eastAsia="en-IE"/>
        </w:rPr>
        <w:t xml:space="preserve"> and </w:t>
      </w:r>
      <w:r w:rsidR="04F0FC17" w:rsidRPr="004C70EC">
        <w:rPr>
          <w:noProof/>
          <w:lang w:val="en-IE" w:eastAsia="en-IE"/>
        </w:rPr>
        <w:t xml:space="preserve">complement the </w:t>
      </w:r>
      <w:r w:rsidR="4E1858C8" w:rsidRPr="004C70EC">
        <w:rPr>
          <w:noProof/>
          <w:lang w:val="en-IE" w:eastAsia="en-IE"/>
        </w:rPr>
        <w:t>SIU</w:t>
      </w:r>
      <w:r w:rsidR="04F0FC17" w:rsidRPr="004C70EC">
        <w:rPr>
          <w:noProof/>
          <w:lang w:val="en-IE" w:eastAsia="en-IE"/>
        </w:rPr>
        <w:t xml:space="preserve"> </w:t>
      </w:r>
      <w:r w:rsidR="1FE57EE9" w:rsidRPr="004C70EC">
        <w:rPr>
          <w:noProof/>
          <w:lang w:val="en-IE" w:eastAsia="en-IE"/>
        </w:rPr>
        <w:t>strategy</w:t>
      </w:r>
      <w:r w:rsidR="72D86A2E" w:rsidRPr="004C70EC">
        <w:rPr>
          <w:noProof/>
          <w:lang w:val="en-IE" w:eastAsia="en-IE"/>
        </w:rPr>
        <w:t>,</w:t>
      </w:r>
      <w:r w:rsidR="13DF66C9" w:rsidRPr="004C70EC">
        <w:rPr>
          <w:noProof/>
          <w:lang w:val="en-IE" w:eastAsia="en-IE"/>
        </w:rPr>
        <w:t xml:space="preserve"> which seeks to promote integration and increase the depth of </w:t>
      </w:r>
      <w:r w:rsidR="0DAFCF53" w:rsidRPr="004C70EC">
        <w:rPr>
          <w:noProof/>
          <w:lang w:val="en-IE" w:eastAsia="en-IE"/>
        </w:rPr>
        <w:t>Union</w:t>
      </w:r>
      <w:r w:rsidR="13DF66C9" w:rsidRPr="004C70EC">
        <w:rPr>
          <w:noProof/>
          <w:lang w:val="en-IE" w:eastAsia="en-IE"/>
        </w:rPr>
        <w:t xml:space="preserve"> capital markets</w:t>
      </w:r>
      <w:r w:rsidR="249CF78E" w:rsidRPr="004C70EC">
        <w:rPr>
          <w:noProof/>
          <w:lang w:val="en-IE" w:eastAsia="en-IE"/>
        </w:rPr>
        <w:t xml:space="preserve">, projects contributing to a </w:t>
      </w:r>
      <w:r w:rsidR="5B3CA1A8" w:rsidRPr="004C70EC">
        <w:rPr>
          <w:noProof/>
          <w:lang w:val="en-IE" w:eastAsia="en-IE"/>
        </w:rPr>
        <w:t xml:space="preserve">Union </w:t>
      </w:r>
      <w:r w:rsidR="1898045B" w:rsidRPr="004C70EC">
        <w:rPr>
          <w:noProof/>
          <w:lang w:val="en-IE" w:eastAsia="en-IE"/>
        </w:rPr>
        <w:t>l</w:t>
      </w:r>
      <w:r w:rsidR="73821B60" w:rsidRPr="004C70EC">
        <w:rPr>
          <w:noProof/>
          <w:lang w:val="en-IE" w:eastAsia="en-IE"/>
        </w:rPr>
        <w:t>ate-stage capital booster</w:t>
      </w:r>
      <w:r w:rsidR="249CF78E" w:rsidRPr="004C70EC">
        <w:rPr>
          <w:noProof/>
          <w:lang w:val="en-IE" w:eastAsia="en-IE"/>
        </w:rPr>
        <w:t xml:space="preserve"> </w:t>
      </w:r>
      <w:r w:rsidR="1B196FC9" w:rsidRPr="004C70EC">
        <w:rPr>
          <w:noProof/>
          <w:lang w:val="en-IE" w:eastAsia="en-IE"/>
        </w:rPr>
        <w:t>p</w:t>
      </w:r>
      <w:r w:rsidR="249CF78E" w:rsidRPr="004C70EC">
        <w:rPr>
          <w:noProof/>
          <w:lang w:val="en-IE" w:eastAsia="en-IE"/>
        </w:rPr>
        <w:t xml:space="preserve">ilot should be recognised by the Commission as high-impact </w:t>
      </w:r>
      <w:r w:rsidR="35BCD12A" w:rsidRPr="004C70EC">
        <w:rPr>
          <w:noProof/>
          <w:lang w:val="en-IE" w:eastAsia="de-DE"/>
        </w:rPr>
        <w:t>health</w:t>
      </w:r>
      <w:r w:rsidR="249CF78E" w:rsidRPr="004C70EC">
        <w:rPr>
          <w:noProof/>
          <w:lang w:val="en-IE" w:eastAsia="en-IE"/>
        </w:rPr>
        <w:t xml:space="preserve"> biotechnology strategic projects in accordance with the conditions laid down in this Regulation. </w:t>
      </w:r>
      <w:bookmarkEnd w:id="12"/>
    </w:p>
    <w:p w14:paraId="225B2902" w14:textId="66ACB529" w:rsidR="00431990" w:rsidRPr="004C70EC" w:rsidRDefault="00C03A23" w:rsidP="00C03A23">
      <w:pPr>
        <w:pStyle w:val="ManualConsidrant"/>
        <w:rPr>
          <w:noProof/>
          <w:lang w:val="en-IE" w:eastAsia="de-DE"/>
        </w:rPr>
      </w:pPr>
      <w:r w:rsidRPr="00C03A23">
        <w:rPr>
          <w:noProof/>
        </w:rPr>
        <w:t>(49)</w:t>
      </w:r>
      <w:r w:rsidRPr="00C03A23">
        <w:rPr>
          <w:noProof/>
        </w:rPr>
        <w:tab/>
      </w:r>
      <w:r w:rsidR="212FC6E9" w:rsidRPr="004C70EC">
        <w:rPr>
          <w:noProof/>
          <w:lang w:val="en-IE" w:eastAsia="de-DE"/>
        </w:rPr>
        <w:t xml:space="preserve">Biotechnology is central for the Union’s sovereignty, strategic autonomy and innovation leadership. In this regard, </w:t>
      </w:r>
      <w:r w:rsidR="37BB5C9D" w:rsidRPr="004C70EC">
        <w:rPr>
          <w:noProof/>
          <w:lang w:val="en-IE" w:eastAsia="de-DE"/>
        </w:rPr>
        <w:t xml:space="preserve">the Union </w:t>
      </w:r>
      <w:r w:rsidR="3D5BA487" w:rsidRPr="004C70EC">
        <w:rPr>
          <w:noProof/>
          <w:lang w:val="en-IE" w:eastAsia="de-DE"/>
        </w:rPr>
        <w:t>is taking action to pursue its</w:t>
      </w:r>
      <w:r w:rsidR="37BB5C9D" w:rsidRPr="004C70EC">
        <w:rPr>
          <w:noProof/>
          <w:lang w:val="en-IE" w:eastAsia="de-DE"/>
        </w:rPr>
        <w:t xml:space="preserve"> policy objectives</w:t>
      </w:r>
      <w:r w:rsidR="3D5BA487" w:rsidRPr="004C70EC">
        <w:rPr>
          <w:noProof/>
          <w:lang w:val="en-IE" w:eastAsia="de-DE"/>
        </w:rPr>
        <w:t xml:space="preserve"> in biotechnology</w:t>
      </w:r>
      <w:r w:rsidR="14001206" w:rsidRPr="004C70EC">
        <w:rPr>
          <w:noProof/>
          <w:lang w:val="en-IE" w:eastAsia="de-DE"/>
        </w:rPr>
        <w:t xml:space="preserve">, </w:t>
      </w:r>
      <w:r w:rsidR="0BE54460" w:rsidRPr="004C70EC">
        <w:rPr>
          <w:noProof/>
          <w:lang w:val="en-IE" w:eastAsia="de-DE"/>
        </w:rPr>
        <w:t>including through</w:t>
      </w:r>
      <w:r w:rsidR="212FC6E9" w:rsidRPr="004C70EC">
        <w:rPr>
          <w:noProof/>
          <w:lang w:val="en-IE" w:eastAsia="de-DE"/>
        </w:rPr>
        <w:t xml:space="preserve"> the Framework Programme for Research and Innovation</w:t>
      </w:r>
      <w:r w:rsidR="64C9537E" w:rsidRPr="004C70EC">
        <w:rPr>
          <w:noProof/>
          <w:lang w:val="en-IE" w:eastAsia="de-DE"/>
        </w:rPr>
        <w:t xml:space="preserve"> established by Regulation (EU) 2021/695</w:t>
      </w:r>
      <w:r w:rsidR="64C9537E" w:rsidRPr="004C70EC">
        <w:rPr>
          <w:noProof/>
        </w:rPr>
        <w:t xml:space="preserve"> </w:t>
      </w:r>
      <w:r w:rsidR="64C9537E" w:rsidRPr="004C70EC">
        <w:rPr>
          <w:noProof/>
          <w:lang w:val="en-IE" w:eastAsia="de-DE"/>
        </w:rPr>
        <w:t>of the European Parliament and of the Council</w:t>
      </w:r>
      <w:r w:rsidR="00273F36" w:rsidRPr="004C70EC">
        <w:rPr>
          <w:rStyle w:val="FootnoteReference"/>
          <w:noProof/>
          <w:color w:val="000000" w:themeColor="text1"/>
        </w:rPr>
        <w:footnoteReference w:id="116"/>
      </w:r>
      <w:r w:rsidR="212FC6E9" w:rsidRPr="004C70EC">
        <w:rPr>
          <w:noProof/>
          <w:lang w:val="en-IE" w:eastAsia="de-DE"/>
        </w:rPr>
        <w:t xml:space="preserve"> </w:t>
      </w:r>
      <w:r w:rsidR="14001206" w:rsidRPr="004C70EC">
        <w:rPr>
          <w:noProof/>
          <w:lang w:val="en-IE" w:eastAsia="de-DE"/>
        </w:rPr>
        <w:t>which is</w:t>
      </w:r>
      <w:r w:rsidR="212FC6E9" w:rsidRPr="004C70EC">
        <w:rPr>
          <w:noProof/>
          <w:lang w:val="en-IE" w:eastAsia="de-DE"/>
        </w:rPr>
        <w:t xml:space="preserve"> support</w:t>
      </w:r>
      <w:r w:rsidR="14001206" w:rsidRPr="004C70EC">
        <w:rPr>
          <w:noProof/>
          <w:lang w:val="en-IE" w:eastAsia="de-DE"/>
        </w:rPr>
        <w:t>ing</w:t>
      </w:r>
      <w:r w:rsidR="212FC6E9" w:rsidRPr="004C70EC">
        <w:rPr>
          <w:noProof/>
          <w:lang w:val="en-IE" w:eastAsia="de-DE"/>
        </w:rPr>
        <w:t xml:space="preserve"> the implementation of the Life Sciences Strategy</w:t>
      </w:r>
      <w:r w:rsidR="14001206" w:rsidRPr="004C70EC">
        <w:rPr>
          <w:noProof/>
          <w:lang w:val="en-IE" w:eastAsia="de-DE"/>
        </w:rPr>
        <w:t xml:space="preserve">, </w:t>
      </w:r>
      <w:r w:rsidR="5932A5D1" w:rsidRPr="004C70EC">
        <w:rPr>
          <w:noProof/>
          <w:lang w:val="en-IE" w:eastAsia="de-DE"/>
        </w:rPr>
        <w:t>and</w:t>
      </w:r>
      <w:r w:rsidR="14001206" w:rsidRPr="004C70EC">
        <w:rPr>
          <w:noProof/>
          <w:lang w:val="en-IE" w:eastAsia="de-DE"/>
        </w:rPr>
        <w:t xml:space="preserve"> </w:t>
      </w:r>
      <w:r w:rsidR="212FC6E9" w:rsidRPr="004C70EC">
        <w:rPr>
          <w:noProof/>
          <w:lang w:val="en-IE" w:eastAsia="de-DE"/>
        </w:rPr>
        <w:t xml:space="preserve">other relevant ‘Choose Europe’ initiatives. </w:t>
      </w:r>
    </w:p>
    <w:p w14:paraId="1E40F3D1" w14:textId="3651440F" w:rsidR="00431990" w:rsidRPr="004C70EC" w:rsidRDefault="00C03A23" w:rsidP="00C03A23">
      <w:pPr>
        <w:pStyle w:val="ManualConsidrant"/>
        <w:rPr>
          <w:noProof/>
          <w:lang w:val="en-IE" w:eastAsia="de-DE"/>
        </w:rPr>
      </w:pPr>
      <w:r w:rsidRPr="00C03A23">
        <w:rPr>
          <w:noProof/>
        </w:rPr>
        <w:t>(50)</w:t>
      </w:r>
      <w:r w:rsidRPr="00C03A23">
        <w:rPr>
          <w:noProof/>
        </w:rPr>
        <w:tab/>
      </w:r>
      <w:r w:rsidR="36790D33" w:rsidRPr="004C70EC">
        <w:rPr>
          <w:noProof/>
          <w:lang w:val="en-IE" w:eastAsia="de-DE"/>
        </w:rPr>
        <w:t>T</w:t>
      </w:r>
      <w:r w:rsidR="212FC6E9" w:rsidRPr="004C70EC">
        <w:rPr>
          <w:noProof/>
          <w:lang w:val="en-IE" w:eastAsia="de-DE"/>
        </w:rPr>
        <w:t xml:space="preserve">he </w:t>
      </w:r>
      <w:r w:rsidR="36790D33" w:rsidRPr="004C70EC">
        <w:rPr>
          <w:noProof/>
          <w:lang w:val="en-IE" w:eastAsia="de-DE"/>
        </w:rPr>
        <w:t xml:space="preserve">Commission </w:t>
      </w:r>
      <w:r w:rsidR="1EBBF912" w:rsidRPr="004C70EC">
        <w:rPr>
          <w:noProof/>
          <w:lang w:val="en-IE" w:eastAsia="de-DE"/>
        </w:rPr>
        <w:t>has proposed</w:t>
      </w:r>
      <w:r w:rsidR="36790D33" w:rsidRPr="004C70EC">
        <w:rPr>
          <w:noProof/>
          <w:lang w:val="en-IE" w:eastAsia="de-DE"/>
        </w:rPr>
        <w:t xml:space="preserve"> a </w:t>
      </w:r>
      <w:r w:rsidR="212FC6E9" w:rsidRPr="004C70EC">
        <w:rPr>
          <w:noProof/>
          <w:lang w:val="en-IE" w:eastAsia="de-DE"/>
        </w:rPr>
        <w:t>European Competitiveness Fund (ECF)</w:t>
      </w:r>
      <w:r w:rsidR="00273F36" w:rsidRPr="004C70EC">
        <w:rPr>
          <w:rStyle w:val="FootnoteReference"/>
          <w:noProof/>
          <w:color w:val="000000" w:themeColor="text1"/>
        </w:rPr>
        <w:footnoteReference w:id="117"/>
      </w:r>
      <w:r w:rsidR="212FC6E9" w:rsidRPr="004C70EC">
        <w:rPr>
          <w:noProof/>
          <w:lang w:val="en-IE" w:eastAsia="de-DE"/>
        </w:rPr>
        <w:t xml:space="preserve"> </w:t>
      </w:r>
      <w:r w:rsidR="36790D33" w:rsidRPr="004C70EC">
        <w:rPr>
          <w:noProof/>
          <w:lang w:val="en-IE" w:eastAsia="de-DE"/>
        </w:rPr>
        <w:t xml:space="preserve">for the </w:t>
      </w:r>
      <w:r w:rsidR="185F7F91" w:rsidRPr="004C70EC">
        <w:rPr>
          <w:noProof/>
          <w:lang w:val="en-IE" w:eastAsia="de-DE"/>
        </w:rPr>
        <w:t>MFF</w:t>
      </w:r>
      <w:r w:rsidR="1EBBF912" w:rsidRPr="004C70EC">
        <w:rPr>
          <w:noProof/>
          <w:lang w:val="en-IE" w:eastAsia="de-DE"/>
        </w:rPr>
        <w:t xml:space="preserve"> period 2028-2034</w:t>
      </w:r>
      <w:r w:rsidR="36790D33" w:rsidRPr="004C70EC">
        <w:rPr>
          <w:noProof/>
          <w:lang w:val="en-IE" w:eastAsia="de-DE"/>
        </w:rPr>
        <w:t xml:space="preserve">, aiming </w:t>
      </w:r>
      <w:r w:rsidR="212FC6E9" w:rsidRPr="004C70EC">
        <w:rPr>
          <w:noProof/>
          <w:lang w:val="en-IE" w:eastAsia="de-DE"/>
        </w:rPr>
        <w:t>to increase European competitiveness, notably in strategic sectors and technologies along the investment journey</w:t>
      </w:r>
      <w:r w:rsidR="7DAF67E1" w:rsidRPr="004C70EC">
        <w:rPr>
          <w:noProof/>
          <w:lang w:val="en-IE" w:eastAsia="de-DE"/>
        </w:rPr>
        <w:t>.</w:t>
      </w:r>
      <w:r w:rsidR="0D62823F" w:rsidRPr="004C70EC">
        <w:rPr>
          <w:noProof/>
          <w:lang w:val="en-IE" w:eastAsia="de-DE"/>
        </w:rPr>
        <w:t xml:space="preserve"> </w:t>
      </w:r>
      <w:r w:rsidR="7DAF67E1" w:rsidRPr="004C70EC">
        <w:rPr>
          <w:noProof/>
          <w:lang w:val="en-IE" w:eastAsia="de-DE"/>
        </w:rPr>
        <w:t xml:space="preserve">It is proposed to be </w:t>
      </w:r>
      <w:r w:rsidR="212FC6E9" w:rsidRPr="004C70EC">
        <w:rPr>
          <w:noProof/>
          <w:lang w:val="en-IE" w:eastAsia="de-DE"/>
        </w:rPr>
        <w:t>structured along four policy windows reflecting strategic priorities crucial to Union competitiveness and resilience</w:t>
      </w:r>
      <w:r w:rsidR="3AD6BBB8" w:rsidRPr="004C70EC">
        <w:rPr>
          <w:noProof/>
          <w:lang w:val="en-IE" w:eastAsia="de-DE"/>
        </w:rPr>
        <w:t xml:space="preserve">. It </w:t>
      </w:r>
      <w:r w:rsidR="78D69AA4" w:rsidRPr="004C70EC">
        <w:rPr>
          <w:noProof/>
          <w:lang w:val="en-IE" w:eastAsia="de-DE"/>
        </w:rPr>
        <w:t xml:space="preserve">proposes funding to support the </w:t>
      </w:r>
      <w:r w:rsidR="0D1AA93D" w:rsidRPr="004C70EC">
        <w:rPr>
          <w:noProof/>
          <w:lang w:val="en-IE" w:eastAsia="de-DE"/>
        </w:rPr>
        <w:t>b</w:t>
      </w:r>
      <w:r w:rsidR="78D69AA4" w:rsidRPr="004C70EC">
        <w:rPr>
          <w:noProof/>
          <w:lang w:val="en-IE" w:eastAsia="de-DE"/>
        </w:rPr>
        <w:t>iotech</w:t>
      </w:r>
      <w:r w:rsidR="1EBBF912" w:rsidRPr="004C70EC">
        <w:rPr>
          <w:noProof/>
          <w:lang w:val="en-IE" w:eastAsia="de-DE"/>
        </w:rPr>
        <w:t>nology</w:t>
      </w:r>
      <w:r w:rsidR="78D69AA4" w:rsidRPr="004C70EC">
        <w:rPr>
          <w:noProof/>
          <w:lang w:val="en-IE" w:eastAsia="de-DE"/>
        </w:rPr>
        <w:t xml:space="preserve"> sector through </w:t>
      </w:r>
      <w:r w:rsidR="212FC6E9" w:rsidRPr="004C70EC">
        <w:rPr>
          <w:noProof/>
          <w:lang w:val="en-IE" w:eastAsia="de-DE"/>
        </w:rPr>
        <w:t>a ‘Health, Biotech, Agriculture and Bioeconomy’ window.</w:t>
      </w:r>
    </w:p>
    <w:p w14:paraId="3CD65458" w14:textId="697E88C1" w:rsidR="00431990" w:rsidRPr="004C70EC" w:rsidRDefault="00C03A23" w:rsidP="00C03A23">
      <w:pPr>
        <w:pStyle w:val="ManualConsidrant"/>
        <w:rPr>
          <w:noProof/>
          <w:lang w:val="en-IE" w:eastAsia="de-DE"/>
        </w:rPr>
      </w:pPr>
      <w:r w:rsidRPr="00C03A23">
        <w:rPr>
          <w:noProof/>
        </w:rPr>
        <w:t>(51)</w:t>
      </w:r>
      <w:r w:rsidRPr="00C03A23">
        <w:rPr>
          <w:noProof/>
        </w:rPr>
        <w:tab/>
      </w:r>
      <w:r w:rsidR="212FC6E9" w:rsidRPr="004C70EC">
        <w:rPr>
          <w:noProof/>
          <w:lang w:val="en-IE" w:eastAsia="de-DE"/>
        </w:rPr>
        <w:t xml:space="preserve">Companies, projects and initiatives falling within the scope of this Regulation </w:t>
      </w:r>
      <w:r w:rsidR="00BA7742" w:rsidRPr="004C70EC">
        <w:rPr>
          <w:noProof/>
          <w:lang w:val="en-IE" w:eastAsia="de-DE"/>
        </w:rPr>
        <w:t xml:space="preserve">could </w:t>
      </w:r>
      <w:r w:rsidR="212FC6E9" w:rsidRPr="004C70EC">
        <w:rPr>
          <w:noProof/>
          <w:lang w:val="en-IE" w:eastAsia="de-DE"/>
        </w:rPr>
        <w:t xml:space="preserve">be </w:t>
      </w:r>
      <w:r w:rsidR="302AC7A8" w:rsidRPr="004C70EC">
        <w:rPr>
          <w:noProof/>
          <w:lang w:val="en-IE" w:eastAsia="de-DE"/>
        </w:rPr>
        <w:t xml:space="preserve">given </w:t>
      </w:r>
      <w:r w:rsidR="56DD87F7" w:rsidRPr="004C70EC">
        <w:rPr>
          <w:noProof/>
          <w:lang w:val="en-IE" w:eastAsia="de-DE"/>
        </w:rPr>
        <w:t xml:space="preserve">particular </w:t>
      </w:r>
      <w:r w:rsidR="212FC6E9" w:rsidRPr="004C70EC">
        <w:rPr>
          <w:noProof/>
          <w:lang w:val="en-IE" w:eastAsia="de-DE"/>
        </w:rPr>
        <w:t>consider</w:t>
      </w:r>
      <w:r w:rsidR="302AC7A8" w:rsidRPr="004C70EC">
        <w:rPr>
          <w:noProof/>
          <w:lang w:val="en-IE" w:eastAsia="de-DE"/>
        </w:rPr>
        <w:t>ation</w:t>
      </w:r>
      <w:r w:rsidR="212FC6E9" w:rsidRPr="004C70EC">
        <w:rPr>
          <w:noProof/>
          <w:lang w:val="en-IE" w:eastAsia="de-DE"/>
        </w:rPr>
        <w:t xml:space="preserve"> for financial support from Union led initiatives, including those that aim to leverage private capital, and from Union funding programmes and instruments, as projects in a strategic technology and, </w:t>
      </w:r>
      <w:r w:rsidR="0D3C9317" w:rsidRPr="004C70EC">
        <w:rPr>
          <w:noProof/>
          <w:lang w:val="en-IE" w:eastAsia="de-DE"/>
        </w:rPr>
        <w:t>where</w:t>
      </w:r>
      <w:r w:rsidR="212FC6E9" w:rsidRPr="004C70EC">
        <w:rPr>
          <w:noProof/>
          <w:lang w:val="en-IE" w:eastAsia="de-DE"/>
        </w:rPr>
        <w:t xml:space="preserve"> appropriate, in a strategic deep tech area. Such initiatives, programmes and instruments include the cohesion policy programmes, the InvestEU </w:t>
      </w:r>
      <w:r w:rsidR="42811E21" w:rsidRPr="004C70EC">
        <w:rPr>
          <w:noProof/>
          <w:lang w:val="en-IE" w:eastAsia="de-DE"/>
        </w:rPr>
        <w:t>p</w:t>
      </w:r>
      <w:r w:rsidR="6934459D" w:rsidRPr="004C70EC">
        <w:rPr>
          <w:noProof/>
          <w:lang w:val="en-IE" w:eastAsia="de-DE"/>
        </w:rPr>
        <w:t>rogramme</w:t>
      </w:r>
      <w:r w:rsidR="2D594F1B" w:rsidRPr="004C70EC">
        <w:rPr>
          <w:noProof/>
          <w:lang w:val="en-IE" w:eastAsia="de-DE"/>
        </w:rPr>
        <w:t xml:space="preserve">, </w:t>
      </w:r>
      <w:r w:rsidR="6EDE192F" w:rsidRPr="004C70EC">
        <w:rPr>
          <w:noProof/>
          <w:lang w:val="en-IE" w:eastAsia="de-DE"/>
        </w:rPr>
        <w:t xml:space="preserve">the </w:t>
      </w:r>
      <w:r w:rsidR="6AD33F9D" w:rsidRPr="004C70EC">
        <w:rPr>
          <w:noProof/>
          <w:lang w:val="en-IE" w:eastAsia="de-DE"/>
        </w:rPr>
        <w:t>EIBG’s</w:t>
      </w:r>
      <w:r w:rsidR="6EDE192F" w:rsidRPr="004C70EC">
        <w:rPr>
          <w:noProof/>
          <w:lang w:val="en-IE" w:eastAsia="de-DE"/>
        </w:rPr>
        <w:t xml:space="preserve"> TechEU programme and </w:t>
      </w:r>
      <w:r w:rsidR="212FC6E9" w:rsidRPr="004C70EC">
        <w:rPr>
          <w:noProof/>
          <w:lang w:val="en-IE" w:eastAsia="de-DE"/>
        </w:rPr>
        <w:t>the European Tech Champions Initiative</w:t>
      </w:r>
      <w:r w:rsidR="05B04587" w:rsidRPr="004C70EC">
        <w:rPr>
          <w:noProof/>
          <w:lang w:val="en-IE" w:eastAsia="de-DE"/>
        </w:rPr>
        <w:t>,</w:t>
      </w:r>
      <w:r w:rsidR="212FC6E9" w:rsidRPr="004C70EC">
        <w:rPr>
          <w:noProof/>
          <w:lang w:val="en-IE" w:eastAsia="de-DE"/>
        </w:rPr>
        <w:t xml:space="preserve"> </w:t>
      </w:r>
      <w:r w:rsidR="05B04587" w:rsidRPr="004C70EC">
        <w:rPr>
          <w:noProof/>
          <w:lang w:val="en-IE" w:eastAsia="de-DE"/>
        </w:rPr>
        <w:t>supported by InvestEU, and</w:t>
      </w:r>
      <w:r w:rsidR="212FC6E9" w:rsidRPr="004C70EC">
        <w:rPr>
          <w:noProof/>
          <w:lang w:val="en-IE" w:eastAsia="de-DE"/>
        </w:rPr>
        <w:t xml:space="preserve"> launched by the </w:t>
      </w:r>
      <w:r w:rsidR="797DC513" w:rsidRPr="004C70EC">
        <w:rPr>
          <w:noProof/>
          <w:lang w:val="en-IE" w:eastAsia="de-DE"/>
        </w:rPr>
        <w:t xml:space="preserve">EIBG </w:t>
      </w:r>
      <w:r w:rsidR="6D6BE7EA" w:rsidRPr="004C70EC">
        <w:rPr>
          <w:noProof/>
          <w:lang w:val="en-IE" w:eastAsia="de-DE"/>
        </w:rPr>
        <w:t>with</w:t>
      </w:r>
      <w:r w:rsidR="212FC6E9" w:rsidRPr="004C70EC">
        <w:rPr>
          <w:noProof/>
          <w:lang w:val="en-IE" w:eastAsia="de-DE"/>
        </w:rPr>
        <w:t xml:space="preserve"> several Member States</w:t>
      </w:r>
      <w:r w:rsidR="698044B3" w:rsidRPr="004C70EC">
        <w:rPr>
          <w:noProof/>
          <w:lang w:val="en-IE" w:eastAsia="de-DE"/>
        </w:rPr>
        <w:t>,</w:t>
      </w:r>
      <w:r w:rsidR="212FC6E9" w:rsidRPr="004C70EC">
        <w:rPr>
          <w:noProof/>
          <w:lang w:val="en-IE" w:eastAsia="de-DE"/>
        </w:rPr>
        <w:t xml:space="preserve"> and the European Innovation Council established under the Horizon Europe Programme</w:t>
      </w:r>
      <w:r w:rsidR="1C8DE76B" w:rsidRPr="004C70EC">
        <w:rPr>
          <w:noProof/>
          <w:lang w:val="en-IE" w:eastAsia="de-DE"/>
        </w:rPr>
        <w:t>, as well</w:t>
      </w:r>
      <w:r w:rsidR="40131086" w:rsidRPr="004C70EC">
        <w:rPr>
          <w:noProof/>
          <w:lang w:val="en-IE" w:eastAsia="de-DE"/>
        </w:rPr>
        <w:t xml:space="preserve"> </w:t>
      </w:r>
      <w:r w:rsidR="42A17AAD" w:rsidRPr="004C70EC">
        <w:rPr>
          <w:noProof/>
          <w:lang w:val="en-IE" w:eastAsia="de-DE"/>
        </w:rPr>
        <w:t xml:space="preserve">instruments </w:t>
      </w:r>
      <w:r w:rsidR="7C541BF5" w:rsidRPr="004C70EC">
        <w:rPr>
          <w:noProof/>
          <w:lang w:val="en-IE" w:eastAsia="de-DE"/>
        </w:rPr>
        <w:t xml:space="preserve">for the duration of the </w:t>
      </w:r>
      <w:r w:rsidR="76ED0ED6" w:rsidRPr="004C70EC">
        <w:rPr>
          <w:noProof/>
          <w:lang w:val="en-IE" w:eastAsia="de-DE"/>
        </w:rPr>
        <w:t>MFF</w:t>
      </w:r>
      <w:r w:rsidR="3F59D40E" w:rsidRPr="004C70EC">
        <w:rPr>
          <w:noProof/>
          <w:lang w:val="en-IE" w:eastAsia="de-DE"/>
        </w:rPr>
        <w:t xml:space="preserve"> 2028-2034</w:t>
      </w:r>
      <w:r w:rsidR="7716B003" w:rsidRPr="004C70EC">
        <w:rPr>
          <w:noProof/>
          <w:lang w:val="en-IE" w:eastAsia="de-DE"/>
        </w:rPr>
        <w:t>.</w:t>
      </w:r>
    </w:p>
    <w:p w14:paraId="056E8F63" w14:textId="4EA6A115" w:rsidR="00431990" w:rsidRPr="004C70EC" w:rsidRDefault="00C03A23" w:rsidP="00C03A23">
      <w:pPr>
        <w:pStyle w:val="ManualConsidrant"/>
        <w:rPr>
          <w:noProof/>
          <w:lang w:val="en-IE" w:eastAsia="de-DE"/>
        </w:rPr>
      </w:pPr>
      <w:r w:rsidRPr="00C03A23">
        <w:rPr>
          <w:noProof/>
        </w:rPr>
        <w:t>(52)</w:t>
      </w:r>
      <w:r w:rsidRPr="00C03A23">
        <w:rPr>
          <w:noProof/>
        </w:rPr>
        <w:tab/>
      </w:r>
      <w:r w:rsidR="40EDD1D4" w:rsidRPr="004C70EC">
        <w:rPr>
          <w:noProof/>
          <w:lang w:val="en-IE" w:eastAsia="de-DE"/>
        </w:rPr>
        <w:t xml:space="preserve">Further, high-impact </w:t>
      </w:r>
      <w:r w:rsidR="7F9EF87D" w:rsidRPr="004C70EC">
        <w:rPr>
          <w:noProof/>
          <w:lang w:val="en-IE" w:eastAsia="de-DE"/>
        </w:rPr>
        <w:t xml:space="preserve">health </w:t>
      </w:r>
      <w:r w:rsidR="40EDD1D4" w:rsidRPr="004C70EC">
        <w:rPr>
          <w:noProof/>
          <w:lang w:val="en-IE" w:eastAsia="de-DE"/>
        </w:rPr>
        <w:t xml:space="preserve">biotechnology strategic projects </w:t>
      </w:r>
      <w:r w:rsidR="13891C62" w:rsidRPr="004C70EC">
        <w:rPr>
          <w:noProof/>
          <w:lang w:val="en-IE" w:eastAsia="de-DE"/>
        </w:rPr>
        <w:t xml:space="preserve">are </w:t>
      </w:r>
      <w:r w:rsidR="542BE51B" w:rsidRPr="004C70EC">
        <w:rPr>
          <w:noProof/>
          <w:lang w:val="en-IE" w:eastAsia="de-DE"/>
        </w:rPr>
        <w:t xml:space="preserve">projects with </w:t>
      </w:r>
      <w:r w:rsidR="67CD2BD6" w:rsidRPr="004C70EC">
        <w:rPr>
          <w:noProof/>
          <w:lang w:val="en-IE" w:eastAsia="de-DE"/>
        </w:rPr>
        <w:t xml:space="preserve">a </w:t>
      </w:r>
      <w:r w:rsidR="13891C62" w:rsidRPr="004C70EC">
        <w:rPr>
          <w:noProof/>
          <w:lang w:val="en-IE" w:eastAsia="de-DE"/>
        </w:rPr>
        <w:t xml:space="preserve">high European added value, </w:t>
      </w:r>
      <w:r w:rsidR="542BE51B" w:rsidRPr="004C70EC">
        <w:rPr>
          <w:noProof/>
          <w:lang w:val="en-IE" w:eastAsia="de-DE"/>
        </w:rPr>
        <w:t xml:space="preserve">including </w:t>
      </w:r>
      <w:r w:rsidR="13891C62" w:rsidRPr="004C70EC">
        <w:rPr>
          <w:noProof/>
          <w:lang w:val="en-IE" w:eastAsia="de-DE"/>
        </w:rPr>
        <w:t xml:space="preserve">cross-border projects, </w:t>
      </w:r>
      <w:r w:rsidR="542BE51B" w:rsidRPr="004C70EC">
        <w:rPr>
          <w:noProof/>
          <w:lang w:val="en-IE" w:eastAsia="de-DE"/>
        </w:rPr>
        <w:t>expected to bring</w:t>
      </w:r>
      <w:r w:rsidR="13891C62" w:rsidRPr="004C70EC">
        <w:rPr>
          <w:noProof/>
          <w:lang w:val="en-IE" w:eastAsia="de-DE"/>
        </w:rPr>
        <w:t xml:space="preserve"> structural economic transformation, productivity, long-term growth and quality jobs</w:t>
      </w:r>
      <w:r w:rsidR="027B593E" w:rsidRPr="004C70EC">
        <w:rPr>
          <w:noProof/>
          <w:lang w:val="en-IE" w:eastAsia="de-DE"/>
        </w:rPr>
        <w:t xml:space="preserve"> in the biotechnology sector</w:t>
      </w:r>
      <w:r w:rsidR="13891C62" w:rsidRPr="004C70EC">
        <w:rPr>
          <w:noProof/>
          <w:lang w:val="en-IE" w:eastAsia="de-DE"/>
        </w:rPr>
        <w:t xml:space="preserve">, and benefiting the </w:t>
      </w:r>
      <w:r w:rsidR="3C8F0F1B" w:rsidRPr="004C70EC">
        <w:rPr>
          <w:noProof/>
          <w:lang w:val="en-IE" w:eastAsia="de-DE"/>
        </w:rPr>
        <w:t>S</w:t>
      </w:r>
      <w:r w:rsidR="13891C62" w:rsidRPr="004C70EC">
        <w:rPr>
          <w:noProof/>
          <w:lang w:val="en-IE" w:eastAsia="de-DE"/>
        </w:rPr>
        <w:t>ingle Market</w:t>
      </w:r>
      <w:r w:rsidR="1EA1E729" w:rsidRPr="004C70EC">
        <w:rPr>
          <w:noProof/>
          <w:lang w:val="en-IE" w:eastAsia="de-DE"/>
        </w:rPr>
        <w:t>. Considering the</w:t>
      </w:r>
      <w:r w:rsidR="027B593E" w:rsidRPr="004C70EC">
        <w:rPr>
          <w:noProof/>
          <w:lang w:val="en-IE" w:eastAsia="de-DE"/>
        </w:rPr>
        <w:t xml:space="preserve"> </w:t>
      </w:r>
      <w:r w:rsidR="489FACAC" w:rsidRPr="004C70EC">
        <w:rPr>
          <w:noProof/>
          <w:lang w:val="en-IE" w:eastAsia="de-DE"/>
        </w:rPr>
        <w:t xml:space="preserve">necessity to align Union, public and private spending with </w:t>
      </w:r>
      <w:r w:rsidR="097033F5" w:rsidRPr="004C70EC">
        <w:rPr>
          <w:noProof/>
          <w:lang w:val="en-IE" w:eastAsia="de-DE"/>
        </w:rPr>
        <w:t>Union</w:t>
      </w:r>
      <w:r w:rsidR="489FACAC" w:rsidRPr="004C70EC">
        <w:rPr>
          <w:noProof/>
          <w:lang w:val="en-IE" w:eastAsia="de-DE"/>
        </w:rPr>
        <w:t xml:space="preserve"> competitiveness priorities</w:t>
      </w:r>
      <w:r w:rsidR="00A0348E" w:rsidRPr="004C70EC">
        <w:rPr>
          <w:rStyle w:val="FootnoteReference"/>
          <w:rFonts w:eastAsia="Times New Roman"/>
          <w:noProof/>
          <w:color w:val="000000" w:themeColor="text1"/>
          <w:lang w:val="en-IE" w:eastAsia="de-DE"/>
        </w:rPr>
        <w:footnoteReference w:id="118"/>
      </w:r>
      <w:r w:rsidR="489FACAC" w:rsidRPr="004C70EC">
        <w:rPr>
          <w:noProof/>
          <w:lang w:val="en-IE" w:eastAsia="de-DE"/>
        </w:rPr>
        <w:t xml:space="preserve">, </w:t>
      </w:r>
      <w:r w:rsidR="7D0D40EC" w:rsidRPr="004C70EC">
        <w:rPr>
          <w:noProof/>
          <w:lang w:val="en-IE" w:eastAsia="de-DE"/>
        </w:rPr>
        <w:t xml:space="preserve">such projects </w:t>
      </w:r>
      <w:r w:rsidR="00A12335" w:rsidRPr="004C70EC">
        <w:rPr>
          <w:noProof/>
          <w:lang w:val="en-IE" w:eastAsia="de-DE"/>
        </w:rPr>
        <w:t>could be given</w:t>
      </w:r>
      <w:r w:rsidR="7D0D40EC" w:rsidRPr="004C70EC">
        <w:rPr>
          <w:noProof/>
          <w:lang w:val="en-IE" w:eastAsia="de-DE"/>
        </w:rPr>
        <w:t xml:space="preserve"> </w:t>
      </w:r>
      <w:r w:rsidR="5BD0788A" w:rsidRPr="004C70EC">
        <w:rPr>
          <w:noProof/>
          <w:lang w:val="en-IE" w:eastAsia="de-DE"/>
        </w:rPr>
        <w:t xml:space="preserve">particular </w:t>
      </w:r>
      <w:r w:rsidR="40C0A5D9" w:rsidRPr="004C70EC">
        <w:rPr>
          <w:noProof/>
          <w:lang w:val="en-IE" w:eastAsia="de-DE"/>
        </w:rPr>
        <w:t>consider</w:t>
      </w:r>
      <w:r w:rsidR="6647A620" w:rsidRPr="004C70EC">
        <w:rPr>
          <w:noProof/>
          <w:lang w:val="en-IE" w:eastAsia="de-DE"/>
        </w:rPr>
        <w:t>ation</w:t>
      </w:r>
      <w:r w:rsidR="40C0A5D9" w:rsidRPr="004C70EC">
        <w:rPr>
          <w:noProof/>
          <w:lang w:val="en-IE" w:eastAsia="de-DE"/>
        </w:rPr>
        <w:t xml:space="preserve"> </w:t>
      </w:r>
      <w:r w:rsidR="40EDD1D4" w:rsidRPr="004C70EC">
        <w:rPr>
          <w:noProof/>
          <w:lang w:val="en-IE" w:eastAsia="de-DE"/>
        </w:rPr>
        <w:t xml:space="preserve">for </w:t>
      </w:r>
      <w:r w:rsidR="133C1A22" w:rsidRPr="004C70EC">
        <w:rPr>
          <w:noProof/>
          <w:lang w:val="en-IE" w:eastAsia="de-DE"/>
        </w:rPr>
        <w:t>Union</w:t>
      </w:r>
      <w:r w:rsidR="40EDD1D4" w:rsidRPr="004C70EC">
        <w:rPr>
          <w:noProof/>
          <w:lang w:val="en-IE" w:eastAsia="de-DE"/>
        </w:rPr>
        <w:t xml:space="preserve"> financial support including in the form of blended financing, under Union programmes, funds and financial instruments. </w:t>
      </w:r>
    </w:p>
    <w:p w14:paraId="7D7F6D27" w14:textId="5A64232F" w:rsidR="00D95433" w:rsidRPr="004C70EC" w:rsidRDefault="00C03A23" w:rsidP="00C03A23">
      <w:pPr>
        <w:pStyle w:val="ManualConsidrant"/>
        <w:rPr>
          <w:rFonts w:eastAsia="Times New Roman"/>
          <w:noProof/>
          <w:lang w:val="en-IE" w:eastAsia="de-DE"/>
        </w:rPr>
      </w:pPr>
      <w:r w:rsidRPr="00C03A23">
        <w:rPr>
          <w:noProof/>
        </w:rPr>
        <w:t>(53)</w:t>
      </w:r>
      <w:r w:rsidRPr="00C03A23">
        <w:rPr>
          <w:noProof/>
        </w:rPr>
        <w:tab/>
      </w:r>
      <w:r w:rsidR="212FC6E9" w:rsidRPr="004C70EC">
        <w:rPr>
          <w:noProof/>
          <w:lang w:val="en-IE" w:eastAsia="de-DE"/>
        </w:rPr>
        <w:t xml:space="preserve">Regulation (EU) 2024/795 establishes that the </w:t>
      </w:r>
      <w:r w:rsidR="75169309" w:rsidRPr="004C70EC">
        <w:rPr>
          <w:noProof/>
          <w:lang w:val="en-IE" w:eastAsia="de-DE"/>
        </w:rPr>
        <w:t>development and manufacturing</w:t>
      </w:r>
      <w:r w:rsidR="212FC6E9" w:rsidRPr="004C70EC">
        <w:rPr>
          <w:noProof/>
          <w:lang w:val="en-IE" w:eastAsia="de-DE"/>
        </w:rPr>
        <w:t xml:space="preserve"> in the Union of biotechnologies, together with digital technologies and deep tech innovation, clean and resource-efficient technologies are essential for the purpose of reducing the Union’s strategic dependencies, and for the green and digital transitions, thus ensuring the sovereignty and strategic autonomy of the Union and promoting the competitiveness and sustainability of the Union’s industry. Accordingly, that Regulation establishes a Strategic Technologies for Europe Platform (STEP) to better channel and mobilise resources within the existing Union programmes towards critical investment, including in Union-wide and cross-border projects, that have the aim of supporting the development or manufacturing of critical and emerging technologies and their respective value chains, in strategic sectors, including in biotechnology.</w:t>
      </w:r>
      <w:r w:rsidR="46C81C08" w:rsidRPr="004C70EC">
        <w:rPr>
          <w:noProof/>
          <w:lang w:val="en-IE" w:eastAsia="de-DE"/>
        </w:rPr>
        <w:t xml:space="preserve"> </w:t>
      </w:r>
    </w:p>
    <w:p w14:paraId="1C8B671C" w14:textId="6A5BAF62" w:rsidR="004E527A" w:rsidRPr="004C70EC" w:rsidRDefault="00C03A23" w:rsidP="00C03A23">
      <w:pPr>
        <w:pStyle w:val="ManualConsidrant"/>
        <w:rPr>
          <w:noProof/>
          <w:lang w:val="en-IE" w:eastAsia="de-DE"/>
        </w:rPr>
      </w:pPr>
      <w:r w:rsidRPr="00C03A23">
        <w:rPr>
          <w:noProof/>
        </w:rPr>
        <w:t>(54)</w:t>
      </w:r>
      <w:r w:rsidRPr="00C03A23">
        <w:rPr>
          <w:noProof/>
        </w:rPr>
        <w:tab/>
      </w:r>
      <w:r w:rsidR="2D72D38A" w:rsidRPr="004C70EC">
        <w:rPr>
          <w:noProof/>
          <w:lang w:val="en-IE" w:eastAsia="de-DE"/>
        </w:rPr>
        <w:t xml:space="preserve">Union-level funding may be leveraged to facilitate investments in </w:t>
      </w:r>
      <w:r w:rsidR="51B7B15B" w:rsidRPr="004C70EC">
        <w:rPr>
          <w:noProof/>
          <w:lang w:val="en-IE" w:eastAsia="de-DE"/>
        </w:rPr>
        <w:t xml:space="preserve">health </w:t>
      </w:r>
      <w:r w:rsidR="2807986C" w:rsidRPr="004C70EC">
        <w:rPr>
          <w:noProof/>
          <w:lang w:val="en-IE" w:eastAsia="de-DE"/>
        </w:rPr>
        <w:t xml:space="preserve">biotechnology </w:t>
      </w:r>
      <w:r w:rsidR="2D72D38A" w:rsidRPr="004C70EC">
        <w:rPr>
          <w:noProof/>
          <w:lang w:val="en-IE" w:eastAsia="de-DE"/>
        </w:rPr>
        <w:t>strategic projects</w:t>
      </w:r>
      <w:r w:rsidR="2807986C" w:rsidRPr="004C70EC">
        <w:rPr>
          <w:noProof/>
          <w:lang w:val="en-IE" w:eastAsia="de-DE"/>
        </w:rPr>
        <w:t xml:space="preserve"> and high impact </w:t>
      </w:r>
      <w:r w:rsidR="5048E2DB" w:rsidRPr="004C70EC">
        <w:rPr>
          <w:noProof/>
          <w:lang w:val="en-IE" w:eastAsia="de-DE"/>
        </w:rPr>
        <w:t xml:space="preserve">health </w:t>
      </w:r>
      <w:r w:rsidR="2807986C" w:rsidRPr="004C70EC">
        <w:rPr>
          <w:noProof/>
          <w:lang w:val="en-IE" w:eastAsia="de-DE"/>
        </w:rPr>
        <w:t>biotechnology strategic projects recognised in accordance with this Regulation</w:t>
      </w:r>
      <w:r w:rsidR="7A8AF3C7" w:rsidRPr="004C70EC">
        <w:rPr>
          <w:noProof/>
          <w:lang w:val="en-IE" w:eastAsia="de-DE"/>
        </w:rPr>
        <w:t>. Such</w:t>
      </w:r>
      <w:r w:rsidR="2D72D38A" w:rsidRPr="004C70EC">
        <w:rPr>
          <w:noProof/>
          <w:lang w:val="en-IE" w:eastAsia="de-DE"/>
        </w:rPr>
        <w:t xml:space="preserve"> projects may benefit from access to existing </w:t>
      </w:r>
      <w:r w:rsidR="0510BFF0" w:rsidRPr="004C70EC">
        <w:rPr>
          <w:noProof/>
          <w:lang w:val="en-IE" w:eastAsia="de-DE"/>
        </w:rPr>
        <w:t>Union</w:t>
      </w:r>
      <w:r w:rsidR="2D72D38A" w:rsidRPr="004C70EC">
        <w:rPr>
          <w:noProof/>
          <w:lang w:val="en-IE" w:eastAsia="de-DE"/>
        </w:rPr>
        <w:t xml:space="preserve"> funding instruments, </w:t>
      </w:r>
      <w:r w:rsidR="16E61712" w:rsidRPr="004C70EC">
        <w:rPr>
          <w:noProof/>
          <w:lang w:val="en-IE" w:eastAsia="de-DE"/>
        </w:rPr>
        <w:t>whe</w:t>
      </w:r>
      <w:r w:rsidR="7A2E2835" w:rsidRPr="004C70EC">
        <w:rPr>
          <w:noProof/>
          <w:lang w:val="en-IE" w:eastAsia="de-DE"/>
        </w:rPr>
        <w:t>re</w:t>
      </w:r>
      <w:r w:rsidR="16E61712" w:rsidRPr="004C70EC">
        <w:rPr>
          <w:noProof/>
          <w:lang w:val="en-IE" w:eastAsia="de-DE"/>
        </w:rPr>
        <w:t xml:space="preserve"> they fulfil the criteria established in th</w:t>
      </w:r>
      <w:r w:rsidR="769394C7" w:rsidRPr="004C70EC">
        <w:rPr>
          <w:noProof/>
          <w:lang w:val="en-IE" w:eastAsia="de-DE"/>
        </w:rPr>
        <w:t>o</w:t>
      </w:r>
      <w:r w:rsidR="16E61712" w:rsidRPr="004C70EC">
        <w:rPr>
          <w:noProof/>
          <w:lang w:val="en-IE" w:eastAsia="de-DE"/>
        </w:rPr>
        <w:t xml:space="preserve">se instruments. </w:t>
      </w:r>
      <w:r w:rsidR="1DBAE59C" w:rsidRPr="004C70EC">
        <w:rPr>
          <w:noProof/>
          <w:lang w:val="en-IE" w:eastAsia="de-DE"/>
        </w:rPr>
        <w:t xml:space="preserve">Authorities in charge of the Union programmes covered by Regulation </w:t>
      </w:r>
      <w:r w:rsidR="6A7578D0" w:rsidRPr="004C70EC">
        <w:rPr>
          <w:noProof/>
          <w:lang w:val="en-IE"/>
        </w:rPr>
        <w:t xml:space="preserve">(EU) 2024/795 </w:t>
      </w:r>
      <w:r w:rsidR="1DBAE59C" w:rsidRPr="004C70EC">
        <w:rPr>
          <w:noProof/>
          <w:lang w:val="en-IE" w:eastAsia="de-DE"/>
        </w:rPr>
        <w:t>should consider supporting</w:t>
      </w:r>
      <w:r w:rsidR="61A129B9" w:rsidRPr="004C70EC">
        <w:rPr>
          <w:noProof/>
        </w:rPr>
        <w:t xml:space="preserve"> </w:t>
      </w:r>
      <w:r w:rsidR="61A129B9" w:rsidRPr="004C70EC">
        <w:rPr>
          <w:noProof/>
          <w:lang w:val="en-IE" w:eastAsia="de-DE"/>
        </w:rPr>
        <w:t>biotechnology</w:t>
      </w:r>
      <w:r w:rsidR="7DC3A2BC" w:rsidRPr="004C70EC">
        <w:rPr>
          <w:noProof/>
          <w:lang w:val="en-IE" w:eastAsia="de-DE"/>
        </w:rPr>
        <w:t xml:space="preserve"> health </w:t>
      </w:r>
      <w:r w:rsidR="61A129B9" w:rsidRPr="004C70EC">
        <w:rPr>
          <w:noProof/>
          <w:lang w:val="en-IE" w:eastAsia="de-DE"/>
        </w:rPr>
        <w:t xml:space="preserve">strategic projects and high impact </w:t>
      </w:r>
      <w:r w:rsidR="7DC3A2BC" w:rsidRPr="004C70EC">
        <w:rPr>
          <w:noProof/>
          <w:lang w:val="en-IE" w:eastAsia="de-DE"/>
        </w:rPr>
        <w:t xml:space="preserve">health </w:t>
      </w:r>
      <w:r w:rsidR="61A129B9" w:rsidRPr="004C70EC">
        <w:rPr>
          <w:noProof/>
          <w:lang w:val="en-IE" w:eastAsia="de-DE"/>
        </w:rPr>
        <w:t>biotechnology strategic projects recognised in accordance with this Regulation. Ther</w:t>
      </w:r>
      <w:r w:rsidR="74EC7182" w:rsidRPr="004C70EC">
        <w:rPr>
          <w:noProof/>
          <w:lang w:val="en-IE" w:eastAsia="de-DE"/>
        </w:rPr>
        <w:t>efore,</w:t>
      </w:r>
      <w:r w:rsidR="370FAEAE" w:rsidRPr="004C70EC">
        <w:rPr>
          <w:noProof/>
          <w:lang w:val="en-IE" w:eastAsia="de-DE"/>
        </w:rPr>
        <w:t xml:space="preserve"> Regulation (EU) 2024/795 should be amended to provide that </w:t>
      </w:r>
      <w:r w:rsidR="7DC3A2BC" w:rsidRPr="004C70EC">
        <w:rPr>
          <w:noProof/>
          <w:lang w:val="en-IE" w:eastAsia="de-DE"/>
        </w:rPr>
        <w:t xml:space="preserve">health </w:t>
      </w:r>
      <w:r w:rsidR="370FAEAE" w:rsidRPr="004C70EC">
        <w:rPr>
          <w:noProof/>
          <w:lang w:val="en-IE" w:eastAsia="de-DE"/>
        </w:rPr>
        <w:t xml:space="preserve">biotechnology strategic projects and high-impact </w:t>
      </w:r>
      <w:r w:rsidR="7DC3A2BC" w:rsidRPr="004C70EC">
        <w:rPr>
          <w:noProof/>
          <w:lang w:val="en-IE" w:eastAsia="de-DE"/>
        </w:rPr>
        <w:t xml:space="preserve">health </w:t>
      </w:r>
      <w:r w:rsidR="370FAEAE" w:rsidRPr="004C70EC">
        <w:rPr>
          <w:noProof/>
          <w:lang w:val="en-IE" w:eastAsia="de-DE"/>
        </w:rPr>
        <w:t xml:space="preserve">biotechnology strategic projects recognised in accordance with this Regulation should be deemed to contribute to the STEP objectives </w:t>
      </w:r>
      <w:r w:rsidR="1648EE38" w:rsidRPr="004C70EC">
        <w:rPr>
          <w:noProof/>
          <w:lang w:val="en-IE" w:eastAsia="de-DE"/>
        </w:rPr>
        <w:t xml:space="preserve">of </w:t>
      </w:r>
      <w:r w:rsidR="370FAEAE" w:rsidRPr="004C70EC">
        <w:rPr>
          <w:noProof/>
          <w:lang w:val="en-IE" w:eastAsia="de-DE"/>
        </w:rPr>
        <w:t xml:space="preserve">supporting the development or manufacturing of critical technologies in biotechnologies throughout the Union, or safeguarding and strengthening their respective value chains and also in addressing shortages of labour and skills critical to all kinds of quality jobs in support of that objective, </w:t>
      </w:r>
      <w:r w:rsidR="39C9C960" w:rsidRPr="004C70EC">
        <w:rPr>
          <w:noProof/>
          <w:lang w:val="en-IE" w:eastAsia="de-DE"/>
        </w:rPr>
        <w:t>as</w:t>
      </w:r>
      <w:r w:rsidR="370FAEAE" w:rsidRPr="004C70EC">
        <w:rPr>
          <w:noProof/>
          <w:lang w:val="en-IE" w:eastAsia="de-DE"/>
        </w:rPr>
        <w:t xml:space="preserve"> appropriate.</w:t>
      </w:r>
    </w:p>
    <w:p w14:paraId="2AFF4D0D" w14:textId="79E3AB24" w:rsidR="004E527A" w:rsidRPr="004C70EC" w:rsidRDefault="00C03A23" w:rsidP="00C03A23">
      <w:pPr>
        <w:pStyle w:val="ManualConsidrant"/>
        <w:rPr>
          <w:noProof/>
          <w:lang w:val="en-IE" w:eastAsia="de-DE"/>
        </w:rPr>
      </w:pPr>
      <w:r w:rsidRPr="00C03A23">
        <w:rPr>
          <w:noProof/>
        </w:rPr>
        <w:t>(55)</w:t>
      </w:r>
      <w:r w:rsidRPr="00C03A23">
        <w:rPr>
          <w:noProof/>
        </w:rPr>
        <w:tab/>
      </w:r>
      <w:r w:rsidR="212FC6E9" w:rsidRPr="004C70EC">
        <w:rPr>
          <w:noProof/>
          <w:lang w:val="en-IE" w:eastAsia="de-DE"/>
        </w:rPr>
        <w:t xml:space="preserve">Member States </w:t>
      </w:r>
      <w:r w:rsidR="1BF9204F" w:rsidRPr="004C70EC">
        <w:rPr>
          <w:noProof/>
          <w:lang w:val="en-IE" w:eastAsia="de-DE"/>
        </w:rPr>
        <w:t>may</w:t>
      </w:r>
      <w:r w:rsidR="212FC6E9" w:rsidRPr="004C70EC">
        <w:rPr>
          <w:noProof/>
          <w:lang w:val="en-IE" w:eastAsia="de-DE"/>
        </w:rPr>
        <w:t xml:space="preserve"> provide financial support to biotechnology as a strategic technology for the Union’s innovation capacity, sovereignty, resilience and leadership, including in the implementation of the relevant Union programmes. In this regard, Member States sh</w:t>
      </w:r>
      <w:r w:rsidR="26BEA905" w:rsidRPr="004C70EC">
        <w:rPr>
          <w:noProof/>
          <w:lang w:val="en-IE" w:eastAsia="de-DE"/>
        </w:rPr>
        <w:t>ould</w:t>
      </w:r>
      <w:r w:rsidR="212FC6E9" w:rsidRPr="004C70EC">
        <w:rPr>
          <w:noProof/>
          <w:lang w:val="en-IE" w:eastAsia="de-DE"/>
        </w:rPr>
        <w:t xml:space="preserve"> act in compliance with Union competition law and make use as appropriate of the relevant frameworks. This includes the criteria for the analysis of the compatibility with the internal market of State aid to promote the execution of important projects of common European interest</w:t>
      </w:r>
      <w:r w:rsidR="00273F36" w:rsidRPr="004C70EC">
        <w:rPr>
          <w:rStyle w:val="FootnoteReference"/>
          <w:noProof/>
          <w:color w:val="000000" w:themeColor="text1"/>
        </w:rPr>
        <w:footnoteReference w:id="119"/>
      </w:r>
      <w:r w:rsidR="212FC6E9" w:rsidRPr="004C70EC">
        <w:rPr>
          <w:noProof/>
          <w:lang w:val="en-IE" w:eastAsia="de-DE"/>
        </w:rPr>
        <w:t xml:space="preserve"> (IPCEIs), the guidance on the basis of a compatibility assessment conducted by the Commission regarding aid to promote research, development and innovation</w:t>
      </w:r>
      <w:r w:rsidR="00273F36" w:rsidRPr="004C70EC">
        <w:rPr>
          <w:rStyle w:val="FootnoteReference"/>
          <w:noProof/>
          <w:color w:val="000000" w:themeColor="text1"/>
        </w:rPr>
        <w:footnoteReference w:id="120"/>
      </w:r>
      <w:r w:rsidR="212FC6E9" w:rsidRPr="004C70EC">
        <w:rPr>
          <w:noProof/>
          <w:lang w:val="en-IE" w:eastAsia="de-DE"/>
        </w:rPr>
        <w:t>, the Commission Regulation (EU) No 651/2014</w:t>
      </w:r>
      <w:r w:rsidR="00273F36" w:rsidRPr="004C70EC">
        <w:rPr>
          <w:rStyle w:val="FootnoteReference"/>
          <w:noProof/>
          <w:color w:val="000000" w:themeColor="text1"/>
        </w:rPr>
        <w:footnoteReference w:id="121"/>
      </w:r>
      <w:r w:rsidR="212FC6E9" w:rsidRPr="004C70EC">
        <w:rPr>
          <w:noProof/>
          <w:lang w:val="en-IE" w:eastAsia="de-DE"/>
        </w:rPr>
        <w:t xml:space="preserve"> </w:t>
      </w:r>
      <w:r w:rsidR="4A109F4E" w:rsidRPr="004C70EC">
        <w:rPr>
          <w:noProof/>
          <w:lang w:val="en-IE" w:eastAsia="de-DE"/>
        </w:rPr>
        <w:t xml:space="preserve">and </w:t>
      </w:r>
      <w:r w:rsidR="212FC6E9" w:rsidRPr="004C70EC">
        <w:rPr>
          <w:noProof/>
          <w:lang w:val="en-IE" w:eastAsia="de-DE"/>
        </w:rPr>
        <w:t>the Clean Industrial Deal State Aid Framework</w:t>
      </w:r>
      <w:r w:rsidR="00273F36" w:rsidRPr="004C70EC">
        <w:rPr>
          <w:rStyle w:val="FootnoteReference"/>
          <w:noProof/>
          <w:color w:val="000000" w:themeColor="text1"/>
        </w:rPr>
        <w:footnoteReference w:id="122"/>
      </w:r>
      <w:r w:rsidR="212FC6E9" w:rsidRPr="004C70EC">
        <w:rPr>
          <w:noProof/>
          <w:lang w:val="en-IE" w:eastAsia="de-DE"/>
        </w:rPr>
        <w:t>.</w:t>
      </w:r>
    </w:p>
    <w:p w14:paraId="1F3BC830" w14:textId="2F520DAE" w:rsidR="004E527A" w:rsidRPr="004C70EC" w:rsidRDefault="00C03A23" w:rsidP="00C03A23">
      <w:pPr>
        <w:pStyle w:val="ManualConsidrant"/>
        <w:rPr>
          <w:noProof/>
          <w:lang w:val="en-IE" w:eastAsia="de-DE"/>
        </w:rPr>
      </w:pPr>
      <w:r w:rsidRPr="00C03A23">
        <w:rPr>
          <w:noProof/>
        </w:rPr>
        <w:t>(56)</w:t>
      </w:r>
      <w:r w:rsidRPr="00C03A23">
        <w:rPr>
          <w:noProof/>
        </w:rPr>
        <w:tab/>
      </w:r>
      <w:r w:rsidR="249CF78E" w:rsidRPr="004C70EC">
        <w:rPr>
          <w:noProof/>
          <w:lang w:val="en-IE" w:eastAsia="de-DE"/>
        </w:rPr>
        <w:t xml:space="preserve">Strategic projects in </w:t>
      </w:r>
      <w:r w:rsidR="2259E1BC" w:rsidRPr="004C70EC">
        <w:rPr>
          <w:noProof/>
          <w:lang w:val="en-IE" w:eastAsia="de-DE"/>
        </w:rPr>
        <w:t>health</w:t>
      </w:r>
      <w:r w:rsidR="249CF78E" w:rsidRPr="004C70EC">
        <w:rPr>
          <w:noProof/>
          <w:lang w:val="en-IE" w:eastAsia="de-DE"/>
        </w:rPr>
        <w:t xml:space="preserve"> biotechnology </w:t>
      </w:r>
      <w:r w:rsidR="57C7DD2D" w:rsidRPr="004C70EC">
        <w:rPr>
          <w:noProof/>
          <w:lang w:val="en-IE" w:eastAsia="de-DE"/>
        </w:rPr>
        <w:t xml:space="preserve">may </w:t>
      </w:r>
      <w:r w:rsidR="249CF78E" w:rsidRPr="004C70EC">
        <w:rPr>
          <w:noProof/>
          <w:lang w:val="en-IE" w:eastAsia="de-DE"/>
        </w:rPr>
        <w:t xml:space="preserve">require blended financing from private, national and Union sources. </w:t>
      </w:r>
      <w:r w:rsidR="1C4C772B" w:rsidRPr="004C70EC">
        <w:rPr>
          <w:noProof/>
          <w:lang w:val="en-IE" w:eastAsia="de-DE"/>
        </w:rPr>
        <w:t xml:space="preserve">National funding </w:t>
      </w:r>
      <w:r w:rsidR="7A052008" w:rsidRPr="004C70EC">
        <w:rPr>
          <w:noProof/>
          <w:lang w:val="en-IE" w:eastAsia="de-DE"/>
        </w:rPr>
        <w:t>should be in full</w:t>
      </w:r>
      <w:r w:rsidR="1C4C772B" w:rsidRPr="004C70EC">
        <w:rPr>
          <w:noProof/>
          <w:lang w:val="en-IE" w:eastAsia="de-DE"/>
        </w:rPr>
        <w:t xml:space="preserve"> compliance with S</w:t>
      </w:r>
      <w:r w:rsidR="43EC5A78" w:rsidRPr="004C70EC">
        <w:rPr>
          <w:noProof/>
          <w:lang w:val="en-IE" w:eastAsia="de-DE"/>
        </w:rPr>
        <w:t>tate Aid</w:t>
      </w:r>
      <w:r w:rsidR="1C4C772B" w:rsidRPr="004C70EC">
        <w:rPr>
          <w:noProof/>
          <w:lang w:val="en-IE" w:eastAsia="de-DE"/>
        </w:rPr>
        <w:t xml:space="preserve"> rules.</w:t>
      </w:r>
      <w:r w:rsidR="43EC5A78" w:rsidRPr="004C70EC">
        <w:rPr>
          <w:noProof/>
          <w:lang w:val="en-IE" w:eastAsia="de-DE"/>
        </w:rPr>
        <w:t xml:space="preserve"> </w:t>
      </w:r>
      <w:r w:rsidR="249CF78E" w:rsidRPr="004C70EC">
        <w:rPr>
          <w:noProof/>
          <w:lang w:val="en-IE" w:eastAsia="de-DE"/>
        </w:rPr>
        <w:t xml:space="preserve">The Commission, including through the European Biotechnology Support Network, should support project promoters in liaising with potential investors. Similarly, </w:t>
      </w:r>
      <w:r w:rsidR="2D0B30B0" w:rsidRPr="004C70EC">
        <w:rPr>
          <w:noProof/>
          <w:lang w:val="en-IE" w:eastAsia="de-DE"/>
        </w:rPr>
        <w:t xml:space="preserve">the </w:t>
      </w:r>
      <w:r w:rsidR="75603653" w:rsidRPr="004C70EC">
        <w:rPr>
          <w:noProof/>
          <w:lang w:val="en-IE" w:eastAsia="de-DE"/>
        </w:rPr>
        <w:t xml:space="preserve">European Health Biotechnology </w:t>
      </w:r>
      <w:r w:rsidR="2D0B30B0" w:rsidRPr="004C70EC">
        <w:rPr>
          <w:noProof/>
          <w:lang w:val="en-IE" w:eastAsia="de-DE"/>
        </w:rPr>
        <w:t>Steering Group</w:t>
      </w:r>
      <w:r w:rsidR="75603653" w:rsidRPr="004C70EC">
        <w:rPr>
          <w:noProof/>
          <w:lang w:val="en-IE" w:eastAsia="de-DE"/>
        </w:rPr>
        <w:t xml:space="preserve"> established by this Regulation</w:t>
      </w:r>
      <w:r w:rsidR="249CF78E" w:rsidRPr="004C70EC">
        <w:rPr>
          <w:noProof/>
          <w:lang w:val="en-IE" w:eastAsia="de-DE"/>
        </w:rPr>
        <w:t xml:space="preserve"> should coordinate financing for biotechnology </w:t>
      </w:r>
      <w:r w:rsidR="2259E1BC" w:rsidRPr="004C70EC">
        <w:rPr>
          <w:noProof/>
          <w:lang w:val="en-IE" w:eastAsia="de-DE"/>
        </w:rPr>
        <w:t xml:space="preserve">health </w:t>
      </w:r>
      <w:r w:rsidR="249CF78E" w:rsidRPr="004C70EC">
        <w:rPr>
          <w:noProof/>
          <w:lang w:val="en-IE" w:eastAsia="de-DE"/>
        </w:rPr>
        <w:t>strategic projects</w:t>
      </w:r>
      <w:r w:rsidR="2259E1BC" w:rsidRPr="004C70EC">
        <w:rPr>
          <w:noProof/>
          <w:lang w:val="en-IE" w:eastAsia="de-DE"/>
        </w:rPr>
        <w:t xml:space="preserve"> and</w:t>
      </w:r>
      <w:r w:rsidR="249CF78E" w:rsidRPr="004C70EC">
        <w:rPr>
          <w:noProof/>
          <w:lang w:val="en-IE" w:eastAsia="de-DE"/>
        </w:rPr>
        <w:t xml:space="preserve"> high-impact </w:t>
      </w:r>
      <w:r w:rsidR="2259E1BC" w:rsidRPr="004C70EC">
        <w:rPr>
          <w:noProof/>
          <w:lang w:val="en-IE" w:eastAsia="de-DE"/>
        </w:rPr>
        <w:t xml:space="preserve">health biotechnology </w:t>
      </w:r>
      <w:r w:rsidR="249CF78E" w:rsidRPr="004C70EC">
        <w:rPr>
          <w:noProof/>
          <w:lang w:val="en-IE" w:eastAsia="de-DE"/>
        </w:rPr>
        <w:t>strategic projects.</w:t>
      </w:r>
    </w:p>
    <w:p w14:paraId="537B9275" w14:textId="729DEB20" w:rsidR="004E527A" w:rsidRPr="004C70EC" w:rsidRDefault="00C03A23" w:rsidP="00C03A23">
      <w:pPr>
        <w:pStyle w:val="ManualConsidrant"/>
        <w:rPr>
          <w:noProof/>
          <w:lang w:val="en-IE" w:eastAsia="de-DE"/>
        </w:rPr>
      </w:pPr>
      <w:r w:rsidRPr="00C03A23">
        <w:rPr>
          <w:noProof/>
        </w:rPr>
        <w:t>(57)</w:t>
      </w:r>
      <w:r w:rsidRPr="00C03A23">
        <w:rPr>
          <w:noProof/>
        </w:rPr>
        <w:tab/>
      </w:r>
      <w:r w:rsidR="5356932F" w:rsidRPr="004C70EC">
        <w:rPr>
          <w:noProof/>
        </w:rPr>
        <w:t>Medicinal products developed with innovative biotechnology technologies which will bring a therapeutic advantage to patients should be incentivised</w:t>
      </w:r>
      <w:r w:rsidR="1BFA9432" w:rsidRPr="004C70EC">
        <w:rPr>
          <w:noProof/>
        </w:rPr>
        <w:t xml:space="preserve"> with an extension of the Supplementary Protection Certificate</w:t>
      </w:r>
      <w:r w:rsidR="54AE5847" w:rsidRPr="004C70EC">
        <w:rPr>
          <w:noProof/>
        </w:rPr>
        <w:t>.</w:t>
      </w:r>
      <w:r w:rsidR="008228E9" w:rsidRPr="004C70EC">
        <w:rPr>
          <w:noProof/>
        </w:rPr>
        <w:t xml:space="preserve"> </w:t>
      </w:r>
    </w:p>
    <w:p w14:paraId="46AE751C" w14:textId="43ECE870" w:rsidR="004E527A" w:rsidRPr="004C70EC" w:rsidRDefault="00C03A23" w:rsidP="00C03A23">
      <w:pPr>
        <w:pStyle w:val="ManualConsidrant"/>
        <w:rPr>
          <w:noProof/>
          <w:lang w:val="en-IE" w:eastAsia="de-DE"/>
        </w:rPr>
      </w:pPr>
      <w:r w:rsidRPr="00C03A23">
        <w:rPr>
          <w:noProof/>
        </w:rPr>
        <w:t>(58)</w:t>
      </w:r>
      <w:r w:rsidRPr="00C03A23">
        <w:rPr>
          <w:noProof/>
        </w:rPr>
        <w:tab/>
      </w:r>
      <w:r w:rsidR="212FC6E9" w:rsidRPr="004C70EC">
        <w:rPr>
          <w:noProof/>
          <w:lang w:val="en-IE" w:eastAsia="en-GB"/>
        </w:rPr>
        <w:t>The significant advances in analytical methodologies and biocompatibility assessment tools enable more precise demonstration of comparability between biosimilar medicines (‘biosimilars’) and their reference biological medicinal products. Building on its ongoing</w:t>
      </w:r>
      <w:r w:rsidR="4B502D3E" w:rsidRPr="004C70EC">
        <w:rPr>
          <w:noProof/>
          <w:lang w:val="en-IE" w:eastAsia="en-GB"/>
        </w:rPr>
        <w:t xml:space="preserve"> </w:t>
      </w:r>
      <w:r w:rsidR="212FC6E9" w:rsidRPr="004C70EC">
        <w:rPr>
          <w:noProof/>
          <w:lang w:val="en-IE" w:eastAsia="en-GB"/>
        </w:rPr>
        <w:t>work</w:t>
      </w:r>
      <w:r w:rsidR="37DAA941" w:rsidRPr="004C70EC">
        <w:rPr>
          <w:noProof/>
          <w:lang w:val="en-IE" w:eastAsia="en-GB"/>
        </w:rPr>
        <w:t xml:space="preserve"> </w:t>
      </w:r>
      <w:r w:rsidR="1A747314" w:rsidRPr="004C70EC">
        <w:rPr>
          <w:noProof/>
          <w:lang w:val="en-IE" w:eastAsia="en-GB"/>
        </w:rPr>
        <w:t>on</w:t>
      </w:r>
      <w:r w:rsidR="38666CDD" w:rsidRPr="004C70EC">
        <w:rPr>
          <w:noProof/>
          <w:lang w:val="en-IE" w:eastAsia="en-GB"/>
        </w:rPr>
        <w:t xml:space="preserve"> a Reflection paper</w:t>
      </w:r>
      <w:r w:rsidR="11A8D560" w:rsidRPr="004C70EC">
        <w:rPr>
          <w:noProof/>
          <w:lang w:val="en-IE" w:eastAsia="en-GB"/>
        </w:rPr>
        <w:t xml:space="preserve"> </w:t>
      </w:r>
      <w:r w:rsidR="38666CDD" w:rsidRPr="004C70EC">
        <w:rPr>
          <w:noProof/>
          <w:lang w:val="en-IE" w:eastAsia="en-GB"/>
        </w:rPr>
        <w:t>on a tailored clinical approach in biosimilar development</w:t>
      </w:r>
      <w:r w:rsidR="00742441" w:rsidRPr="004C70EC">
        <w:rPr>
          <w:rStyle w:val="FootnoteReference"/>
          <w:rFonts w:eastAsia="Times New Roman"/>
          <w:noProof/>
          <w:color w:val="000000" w:themeColor="text1"/>
          <w:lang w:val="en-IE" w:eastAsia="en-GB"/>
        </w:rPr>
        <w:footnoteReference w:id="123"/>
      </w:r>
      <w:r w:rsidR="212FC6E9" w:rsidRPr="004C70EC">
        <w:rPr>
          <w:noProof/>
          <w:lang w:val="en-IE" w:eastAsia="en-GB"/>
        </w:rPr>
        <w:t>, the European Medicines Agency</w:t>
      </w:r>
      <w:r w:rsidR="00273F36" w:rsidRPr="004C70EC">
        <w:rPr>
          <w:rStyle w:val="FootnoteReference"/>
          <w:noProof/>
          <w:color w:val="000000" w:themeColor="text1"/>
        </w:rPr>
        <w:footnoteReference w:id="124"/>
      </w:r>
      <w:r w:rsidR="212FC6E9" w:rsidRPr="004C70EC">
        <w:rPr>
          <w:noProof/>
          <w:lang w:val="en-IE" w:eastAsia="en-GB"/>
        </w:rPr>
        <w:t xml:space="preserve"> (‘the Agency’) should develop </w:t>
      </w:r>
      <w:r w:rsidR="1DDE6FAA" w:rsidRPr="004C70EC">
        <w:rPr>
          <w:noProof/>
          <w:lang w:val="en-IE" w:eastAsia="en-GB"/>
        </w:rPr>
        <w:t xml:space="preserve">non-binding </w:t>
      </w:r>
      <w:r w:rsidR="212FC6E9" w:rsidRPr="004C70EC">
        <w:rPr>
          <w:noProof/>
          <w:lang w:val="en-IE" w:eastAsia="en-GB"/>
        </w:rPr>
        <w:t>guidance giving consideration to a potential reduction of the clinical data required for the development and marketing authorisation procedures for biosimilars, based on robust analytical and other non-clinical evidence.</w:t>
      </w:r>
    </w:p>
    <w:p w14:paraId="2DCF8E83" w14:textId="61603C0F" w:rsidR="004E527A" w:rsidRPr="004C70EC" w:rsidRDefault="00C03A23" w:rsidP="00C03A23">
      <w:pPr>
        <w:pStyle w:val="ManualConsidrant"/>
        <w:rPr>
          <w:noProof/>
          <w:lang w:val="en-IE" w:eastAsia="de-DE"/>
        </w:rPr>
      </w:pPr>
      <w:r w:rsidRPr="00C03A23">
        <w:rPr>
          <w:noProof/>
        </w:rPr>
        <w:t>(59)</w:t>
      </w:r>
      <w:r w:rsidRPr="00C03A23">
        <w:rPr>
          <w:noProof/>
        </w:rPr>
        <w:tab/>
      </w:r>
      <w:r w:rsidR="249CF78E" w:rsidRPr="004C70EC">
        <w:rPr>
          <w:noProof/>
          <w:lang w:val="en-IE" w:eastAsia="en-GB"/>
        </w:rPr>
        <w:t xml:space="preserve">The manufacturing capacity and expertise for biosimilars in the </w:t>
      </w:r>
      <w:r w:rsidR="121F9557" w:rsidRPr="004C70EC">
        <w:rPr>
          <w:noProof/>
          <w:lang w:val="en-IE" w:eastAsia="de-DE"/>
        </w:rPr>
        <w:t xml:space="preserve">Union </w:t>
      </w:r>
      <w:r w:rsidR="249CF78E" w:rsidRPr="004C70EC">
        <w:rPr>
          <w:noProof/>
          <w:lang w:val="en-IE" w:eastAsia="en-GB"/>
        </w:rPr>
        <w:t xml:space="preserve">can greatly contribute to ensure Union competitiveness, strategic autonomy and resilience, both from a health and sustainability perspective. Therefore, Member States should recognise, and support projects that fulfil the conditions laid down in this Regulation for strategic projects for biosimilars manufacturing. </w:t>
      </w:r>
    </w:p>
    <w:p w14:paraId="0E9AFB2E" w14:textId="028C748F" w:rsidR="004E527A" w:rsidRPr="004C70EC" w:rsidRDefault="00C03A23" w:rsidP="00C03A23">
      <w:pPr>
        <w:pStyle w:val="ManualConsidrant"/>
        <w:rPr>
          <w:noProof/>
          <w:lang w:val="en-IE" w:eastAsia="de-DE"/>
        </w:rPr>
      </w:pPr>
      <w:r w:rsidRPr="00C03A23">
        <w:rPr>
          <w:noProof/>
        </w:rPr>
        <w:t>(60)</w:t>
      </w:r>
      <w:r w:rsidRPr="00C03A23">
        <w:rPr>
          <w:noProof/>
        </w:rPr>
        <w:tab/>
      </w:r>
      <w:r w:rsidR="249CF78E" w:rsidRPr="004C70EC">
        <w:rPr>
          <w:noProof/>
          <w:lang w:val="en-IE" w:eastAsia="en-GB"/>
        </w:rPr>
        <w:t>Biosimilars can play an important role in diversifying and strengthening supply chains, promoting competition and foster</w:t>
      </w:r>
      <w:r w:rsidR="67D6D7B7" w:rsidRPr="004C70EC">
        <w:rPr>
          <w:noProof/>
          <w:lang w:val="en-IE" w:eastAsia="en-GB"/>
        </w:rPr>
        <w:t>ing</w:t>
      </w:r>
      <w:r w:rsidR="249CF78E" w:rsidRPr="004C70EC">
        <w:rPr>
          <w:noProof/>
          <w:lang w:val="en-IE" w:eastAsia="en-GB"/>
        </w:rPr>
        <w:t xml:space="preserve"> economic growth in the </w:t>
      </w:r>
      <w:r w:rsidR="121F9557" w:rsidRPr="004C70EC">
        <w:rPr>
          <w:noProof/>
          <w:lang w:val="en-IE" w:eastAsia="de-DE"/>
        </w:rPr>
        <w:t xml:space="preserve">Union </w:t>
      </w:r>
      <w:r w:rsidR="249CF78E" w:rsidRPr="004C70EC">
        <w:rPr>
          <w:noProof/>
          <w:lang w:val="en-IE" w:eastAsia="en-GB"/>
        </w:rPr>
        <w:t xml:space="preserve">and for its global partners. Accordingly, the promoters of strategic projects for biosimilars and the companies active in this area should be encouraged to establish or strengthen cooperation with international biotechnology clusters. </w:t>
      </w:r>
    </w:p>
    <w:p w14:paraId="6AA2C10A" w14:textId="52E6FD33" w:rsidR="004E527A" w:rsidRPr="004C70EC" w:rsidRDefault="00C03A23" w:rsidP="00C03A23">
      <w:pPr>
        <w:pStyle w:val="ManualConsidrant"/>
        <w:rPr>
          <w:rFonts w:eastAsia="Times New Roman"/>
          <w:noProof/>
          <w:lang w:val="en-IE" w:eastAsia="de-DE"/>
        </w:rPr>
      </w:pPr>
      <w:r w:rsidRPr="00C03A23">
        <w:rPr>
          <w:noProof/>
        </w:rPr>
        <w:t>(61)</w:t>
      </w:r>
      <w:r w:rsidRPr="00C03A23">
        <w:rPr>
          <w:noProof/>
        </w:rPr>
        <w:tab/>
      </w:r>
      <w:r w:rsidR="212FC6E9" w:rsidRPr="004C70EC">
        <w:rPr>
          <w:noProof/>
        </w:rPr>
        <w:t xml:space="preserve">AI can enhance the development, safety, efficiency and scale-up </w:t>
      </w:r>
      <w:r w:rsidR="1A9B0810" w:rsidRPr="004C70EC">
        <w:rPr>
          <w:noProof/>
        </w:rPr>
        <w:t xml:space="preserve">of </w:t>
      </w:r>
      <w:r w:rsidR="212FC6E9" w:rsidRPr="004C70EC">
        <w:rPr>
          <w:noProof/>
        </w:rPr>
        <w:t xml:space="preserve">biotechnology and biomanufacturing, provided that its use is responsible and aligned with Union legislation. </w:t>
      </w:r>
      <w:r w:rsidR="1DF0F291" w:rsidRPr="004C70EC">
        <w:rPr>
          <w:noProof/>
        </w:rPr>
        <w:t>To pursue this</w:t>
      </w:r>
      <w:r w:rsidR="0D630089" w:rsidRPr="004C70EC">
        <w:rPr>
          <w:noProof/>
        </w:rPr>
        <w:t>,</w:t>
      </w:r>
      <w:r w:rsidR="1DF0F291" w:rsidRPr="004C70EC">
        <w:rPr>
          <w:noProof/>
        </w:rPr>
        <w:t xml:space="preserve"> </w:t>
      </w:r>
      <w:r w:rsidR="2E226DE6" w:rsidRPr="004C70EC">
        <w:rPr>
          <w:noProof/>
        </w:rPr>
        <w:t>t</w:t>
      </w:r>
      <w:r w:rsidR="2E226DE6" w:rsidRPr="004C70EC">
        <w:rPr>
          <w:rFonts w:eastAsia="Times New Roman"/>
          <w:noProof/>
        </w:rPr>
        <w:t xml:space="preserve">he Commission and the Member States </w:t>
      </w:r>
      <w:r w:rsidR="26BEA905" w:rsidRPr="004C70EC">
        <w:rPr>
          <w:rFonts w:eastAsia="Times New Roman"/>
          <w:noProof/>
        </w:rPr>
        <w:t>should</w:t>
      </w:r>
      <w:r w:rsidR="2E226DE6" w:rsidRPr="004C70EC">
        <w:rPr>
          <w:rFonts w:eastAsia="Times New Roman"/>
          <w:noProof/>
        </w:rPr>
        <w:t xml:space="preserve"> promote an AI-first policy approach </w:t>
      </w:r>
      <w:r w:rsidR="2E226DE6" w:rsidRPr="004C70EC">
        <w:rPr>
          <w:noProof/>
          <w:lang w:val="en-IE"/>
        </w:rPr>
        <w:t>as introduced in the Apply AI Strategy when implementing</w:t>
      </w:r>
      <w:r w:rsidR="2E226DE6" w:rsidRPr="004C70EC">
        <w:rPr>
          <w:strike/>
          <w:noProof/>
          <w:lang w:val="en-IE"/>
        </w:rPr>
        <w:t xml:space="preserve"> </w:t>
      </w:r>
      <w:r w:rsidR="2E226DE6" w:rsidRPr="004C70EC">
        <w:rPr>
          <w:noProof/>
        </w:rPr>
        <w:t>this Regulation</w:t>
      </w:r>
      <w:r w:rsidR="2E226DE6" w:rsidRPr="004C70EC">
        <w:rPr>
          <w:noProof/>
          <w:lang w:val="en-IE"/>
        </w:rPr>
        <w:t xml:space="preserve"> and </w:t>
      </w:r>
      <w:r w:rsidR="2E226DE6" w:rsidRPr="004C70EC">
        <w:rPr>
          <w:noProof/>
        </w:rPr>
        <w:t xml:space="preserve">the exchange of knowledge, standards and best practices relevant to the responsible application of the AI-First </w:t>
      </w:r>
      <w:r w:rsidR="2E226DE6" w:rsidRPr="004C70EC">
        <w:rPr>
          <w:noProof/>
          <w:lang w:val="en-IE"/>
        </w:rPr>
        <w:t>Policy Approach</w:t>
      </w:r>
      <w:r w:rsidR="00273F36" w:rsidRPr="004C70EC">
        <w:rPr>
          <w:rStyle w:val="FootnoteReference"/>
          <w:noProof/>
          <w:color w:val="000000" w:themeColor="text1"/>
        </w:rPr>
        <w:footnoteReference w:id="125"/>
      </w:r>
      <w:r w:rsidR="79AC3721" w:rsidRPr="004C70EC">
        <w:rPr>
          <w:noProof/>
        </w:rPr>
        <w:t xml:space="preserve">. </w:t>
      </w:r>
      <w:r w:rsidR="49FAF95C" w:rsidRPr="004C70EC">
        <w:rPr>
          <w:noProof/>
        </w:rPr>
        <w:t xml:space="preserve">The responsible and effective integration of </w:t>
      </w:r>
      <w:r w:rsidR="43F5BBAD" w:rsidRPr="004C70EC">
        <w:rPr>
          <w:noProof/>
        </w:rPr>
        <w:t>AI</w:t>
      </w:r>
      <w:r w:rsidR="49FAF95C" w:rsidRPr="004C70EC">
        <w:rPr>
          <w:noProof/>
        </w:rPr>
        <w:t xml:space="preserve"> can enhance research, development and regulatory processes and thereby support the competitiveness of Union innovators in biotechn</w:t>
      </w:r>
      <w:r w:rsidR="198017B8" w:rsidRPr="004C70EC">
        <w:rPr>
          <w:noProof/>
        </w:rPr>
        <w:t>ology</w:t>
      </w:r>
      <w:r w:rsidR="49FAF95C" w:rsidRPr="004C70EC">
        <w:rPr>
          <w:noProof/>
        </w:rPr>
        <w:t xml:space="preserve">. The Commission and the Member States should therefore encourage the uptake of such approaches and facilitate the exchange of knowledge, standards and best practices relevant to their application. </w:t>
      </w:r>
      <w:r w:rsidR="74FD47ED" w:rsidRPr="004C70EC">
        <w:rPr>
          <w:noProof/>
        </w:rPr>
        <w:t>That cooperation should remain fully compliant with Union competition rules.</w:t>
      </w:r>
    </w:p>
    <w:p w14:paraId="00D498B8" w14:textId="51D77D19" w:rsidR="004E527A" w:rsidRPr="004C70EC" w:rsidRDefault="00C03A23" w:rsidP="00C03A23">
      <w:pPr>
        <w:pStyle w:val="ManualConsidrant"/>
        <w:rPr>
          <w:rFonts w:eastAsia="Times New Roman"/>
          <w:noProof/>
          <w:lang w:val="en-IE" w:eastAsia="de-DE"/>
        </w:rPr>
      </w:pPr>
      <w:r w:rsidRPr="00C03A23">
        <w:rPr>
          <w:noProof/>
        </w:rPr>
        <w:t>(62)</w:t>
      </w:r>
      <w:r w:rsidRPr="00C03A23">
        <w:rPr>
          <w:noProof/>
        </w:rPr>
        <w:tab/>
      </w:r>
      <w:r w:rsidR="249CF78E" w:rsidRPr="004C70EC">
        <w:rPr>
          <w:noProof/>
        </w:rPr>
        <w:t xml:space="preserve">The rapid expansion and increasing complexity of AI applications throughout the medicinal-product lifecycle requires structured and coherent guidance to ensure their safe, effective and trustworthy use. The Agency is developing expertise in this area through initiatives such as the Good Manufacturing Practice (GMP) Annex 22 – Artificial Intelligence, Q&amp;A in AI in Pharmacovigilance, the GCP Annex to the Guideline on computerised systems and electronic data in clinical trials and AI in Clinical Development. It is therefore appropriate for the Agency to develop </w:t>
      </w:r>
      <w:r w:rsidR="62258431" w:rsidRPr="004C70EC">
        <w:rPr>
          <w:noProof/>
        </w:rPr>
        <w:t xml:space="preserve">non-binding </w:t>
      </w:r>
      <w:r w:rsidR="249CF78E" w:rsidRPr="004C70EC">
        <w:rPr>
          <w:noProof/>
        </w:rPr>
        <w:t>guidance on the deployment and use of systems based on advanced technologies, including of AI systems and of general-purpose AI models across development, manufacturing, clinical trials, and post-authorisation activities</w:t>
      </w:r>
      <w:r w:rsidR="6781508A" w:rsidRPr="004C70EC">
        <w:rPr>
          <w:noProof/>
        </w:rPr>
        <w:t xml:space="preserve"> for compliance with applicable Union legislation in the health area</w:t>
      </w:r>
      <w:r w:rsidR="249CF78E" w:rsidRPr="004C70EC">
        <w:rPr>
          <w:noProof/>
        </w:rPr>
        <w:t>. To ensure consistency across the health and digital domains, when developing or updating such guidance, the Agency should cooperate with the Commission</w:t>
      </w:r>
      <w:r w:rsidR="029B2AF5" w:rsidRPr="004C70EC">
        <w:rPr>
          <w:noProof/>
        </w:rPr>
        <w:t>, including the AI office</w:t>
      </w:r>
      <w:r w:rsidR="249CF78E" w:rsidRPr="004C70EC">
        <w:rPr>
          <w:noProof/>
        </w:rPr>
        <w:t xml:space="preserve"> and should consult relevant national competent authorities and stakeholders, and relevant expert coordination groups established under Union </w:t>
      </w:r>
      <w:r w:rsidR="1E9DE18D" w:rsidRPr="004C70EC">
        <w:rPr>
          <w:noProof/>
        </w:rPr>
        <w:t xml:space="preserve">legislation in the </w:t>
      </w:r>
      <w:r w:rsidR="249CF78E" w:rsidRPr="004C70EC">
        <w:rPr>
          <w:noProof/>
        </w:rPr>
        <w:t xml:space="preserve">health and digital </w:t>
      </w:r>
      <w:r w:rsidR="1E9DE18D" w:rsidRPr="004C70EC">
        <w:rPr>
          <w:noProof/>
        </w:rPr>
        <w:t>areas</w:t>
      </w:r>
      <w:r w:rsidR="249CF78E" w:rsidRPr="004C70EC">
        <w:rPr>
          <w:noProof/>
        </w:rPr>
        <w:t>, as appropriate.</w:t>
      </w:r>
    </w:p>
    <w:p w14:paraId="76F37686" w14:textId="1369831C" w:rsidR="004E527A" w:rsidRPr="004C70EC" w:rsidRDefault="00C03A23" w:rsidP="00C03A23">
      <w:pPr>
        <w:pStyle w:val="ManualConsidrant"/>
        <w:rPr>
          <w:rFonts w:eastAsia="Times New Roman"/>
          <w:noProof/>
          <w:lang w:val="en-IE" w:eastAsia="de-DE"/>
        </w:rPr>
      </w:pPr>
      <w:r w:rsidRPr="00C03A23">
        <w:rPr>
          <w:noProof/>
        </w:rPr>
        <w:t>(63)</w:t>
      </w:r>
      <w:r w:rsidRPr="00C03A23">
        <w:rPr>
          <w:noProof/>
        </w:rPr>
        <w:tab/>
      </w:r>
      <w:r w:rsidR="249CF78E" w:rsidRPr="004C70EC">
        <w:rPr>
          <w:noProof/>
        </w:rPr>
        <w:t xml:space="preserve">Moreover, the Agency should develop </w:t>
      </w:r>
      <w:r w:rsidR="67683800" w:rsidRPr="004C70EC">
        <w:rPr>
          <w:noProof/>
        </w:rPr>
        <w:t>non-bin</w:t>
      </w:r>
      <w:r w:rsidR="5A37F259" w:rsidRPr="004C70EC">
        <w:rPr>
          <w:noProof/>
        </w:rPr>
        <w:t xml:space="preserve">ding </w:t>
      </w:r>
      <w:r w:rsidR="249CF78E" w:rsidRPr="004C70EC">
        <w:rPr>
          <w:noProof/>
        </w:rPr>
        <w:t>guidance on the deployment and use of AI systems and of general-purpose AI models also in the procedures for the authorisation of medicin</w:t>
      </w:r>
      <w:r w:rsidR="00106C3B" w:rsidRPr="004C70EC">
        <w:rPr>
          <w:noProof/>
        </w:rPr>
        <w:t>al</w:t>
      </w:r>
      <w:r w:rsidR="249CF78E" w:rsidRPr="004C70EC">
        <w:rPr>
          <w:noProof/>
        </w:rPr>
        <w:t xml:space="preserve"> products, with a view to optimising processes and increasing efficiency of regulatory activities. Such guidance should be developed</w:t>
      </w:r>
      <w:r w:rsidR="00106C3B" w:rsidRPr="004C70EC">
        <w:rPr>
          <w:noProof/>
        </w:rPr>
        <w:t xml:space="preserve"> and published</w:t>
      </w:r>
      <w:r w:rsidR="249CF78E" w:rsidRPr="004C70EC">
        <w:rPr>
          <w:noProof/>
        </w:rPr>
        <w:t xml:space="preserve"> in </w:t>
      </w:r>
      <w:r w:rsidR="00106C3B" w:rsidRPr="004C70EC">
        <w:rPr>
          <w:noProof/>
        </w:rPr>
        <w:t>agreement</w:t>
      </w:r>
      <w:r w:rsidR="249CF78E" w:rsidRPr="004C70EC">
        <w:rPr>
          <w:noProof/>
        </w:rPr>
        <w:t xml:space="preserve"> with the Commission</w:t>
      </w:r>
      <w:r w:rsidR="00D00797" w:rsidRPr="004C70EC">
        <w:rPr>
          <w:noProof/>
        </w:rPr>
        <w:t>, the AI Board</w:t>
      </w:r>
      <w:r w:rsidR="249CF78E" w:rsidRPr="004C70EC">
        <w:rPr>
          <w:noProof/>
        </w:rPr>
        <w:t xml:space="preserve"> and the competent authorities.</w:t>
      </w:r>
    </w:p>
    <w:p w14:paraId="7516EEE9" w14:textId="4B68ED6E" w:rsidR="004E527A" w:rsidRPr="004C70EC" w:rsidRDefault="00C03A23" w:rsidP="00C03A23">
      <w:pPr>
        <w:pStyle w:val="ManualConsidrant"/>
        <w:rPr>
          <w:rFonts w:eastAsia="Times New Roman"/>
          <w:noProof/>
          <w:lang w:val="en-IE" w:eastAsia="de-DE"/>
        </w:rPr>
      </w:pPr>
      <w:r w:rsidRPr="00C03A23">
        <w:rPr>
          <w:noProof/>
        </w:rPr>
        <w:t>(64)</w:t>
      </w:r>
      <w:r w:rsidRPr="00C03A23">
        <w:rPr>
          <w:noProof/>
        </w:rPr>
        <w:tab/>
      </w:r>
      <w:r w:rsidR="249CF78E" w:rsidRPr="004C70EC">
        <w:rPr>
          <w:noProof/>
          <w:lang w:val="en-IE"/>
        </w:rPr>
        <w:t xml:space="preserve">In order to accelerate the development and scale-up of biotechnology innovations that are enabled, enhanced or significantly supported by </w:t>
      </w:r>
      <w:r w:rsidR="376E10E3" w:rsidRPr="004C70EC">
        <w:rPr>
          <w:noProof/>
          <w:lang w:val="en-IE"/>
        </w:rPr>
        <w:t>AI</w:t>
      </w:r>
      <w:r w:rsidR="249CF78E" w:rsidRPr="004C70EC">
        <w:rPr>
          <w:noProof/>
          <w:lang w:val="en-IE"/>
        </w:rPr>
        <w:t xml:space="preserve"> and advanced computational methods, the Union requires dedicated testing environments that combine experimental, computational and data-driven capabilities. Given their essential role for supporting AI-enabled biotechnology innovations, </w:t>
      </w:r>
      <w:r w:rsidR="004D6096" w:rsidRPr="004C70EC">
        <w:rPr>
          <w:noProof/>
          <w:lang w:val="en-IE"/>
        </w:rPr>
        <w:t xml:space="preserve">it is appropriate to establish requirements in </w:t>
      </w:r>
      <w:r w:rsidR="5D41D099" w:rsidRPr="004C70EC">
        <w:rPr>
          <w:noProof/>
          <w:lang w:val="en-IE"/>
        </w:rPr>
        <w:t xml:space="preserve">this Regulation </w:t>
      </w:r>
      <w:r w:rsidR="249CF78E" w:rsidRPr="004C70EC">
        <w:rPr>
          <w:noProof/>
          <w:lang w:val="en-IE"/>
        </w:rPr>
        <w:t>for the recognition</w:t>
      </w:r>
      <w:r w:rsidR="5D41D099" w:rsidRPr="004C70EC">
        <w:rPr>
          <w:noProof/>
          <w:lang w:val="en-IE"/>
        </w:rPr>
        <w:t xml:space="preserve"> </w:t>
      </w:r>
      <w:r w:rsidR="17DFF298" w:rsidRPr="004C70EC">
        <w:rPr>
          <w:noProof/>
          <w:lang w:val="en-IE"/>
        </w:rPr>
        <w:t xml:space="preserve">by the Commission and </w:t>
      </w:r>
      <w:r w:rsidR="5D41D099" w:rsidRPr="004C70EC">
        <w:rPr>
          <w:noProof/>
          <w:lang w:val="en-IE"/>
        </w:rPr>
        <w:t xml:space="preserve">the support </w:t>
      </w:r>
      <w:r w:rsidR="3CE3AB21" w:rsidRPr="004C70EC">
        <w:rPr>
          <w:noProof/>
          <w:lang w:val="en-IE"/>
        </w:rPr>
        <w:t>for</w:t>
      </w:r>
      <w:r w:rsidR="17DFF298" w:rsidRPr="004C70EC">
        <w:rPr>
          <w:noProof/>
          <w:lang w:val="en-IE"/>
        </w:rPr>
        <w:t xml:space="preserve"> </w:t>
      </w:r>
      <w:r w:rsidR="3CE3AB21" w:rsidRPr="004C70EC">
        <w:rPr>
          <w:noProof/>
          <w:lang w:val="en-IE"/>
        </w:rPr>
        <w:t>high-impact health biotechnology strategic projects</w:t>
      </w:r>
      <w:r w:rsidR="249CF78E" w:rsidRPr="004C70EC">
        <w:rPr>
          <w:noProof/>
          <w:lang w:val="en-IE"/>
        </w:rPr>
        <w:t xml:space="preserve"> </w:t>
      </w:r>
      <w:r w:rsidR="3CE3AB21" w:rsidRPr="004C70EC">
        <w:rPr>
          <w:noProof/>
          <w:lang w:val="en-IE"/>
        </w:rPr>
        <w:t xml:space="preserve">in the form </w:t>
      </w:r>
      <w:r w:rsidR="249CF78E" w:rsidRPr="004C70EC">
        <w:rPr>
          <w:noProof/>
          <w:lang w:val="en-IE"/>
        </w:rPr>
        <w:t>of biotechnology testing environments</w:t>
      </w:r>
      <w:r w:rsidR="3CE3AB21" w:rsidRPr="004C70EC">
        <w:rPr>
          <w:noProof/>
          <w:lang w:val="en-IE"/>
        </w:rPr>
        <w:t xml:space="preserve">, </w:t>
      </w:r>
      <w:r w:rsidR="249CF78E" w:rsidRPr="004C70EC">
        <w:rPr>
          <w:noProof/>
          <w:lang w:val="en-IE"/>
        </w:rPr>
        <w:t>under certain conditions</w:t>
      </w:r>
      <w:r w:rsidR="0B272CB5" w:rsidRPr="004C70EC">
        <w:rPr>
          <w:noProof/>
          <w:lang w:val="en-IE"/>
        </w:rPr>
        <w:t>.</w:t>
      </w:r>
    </w:p>
    <w:p w14:paraId="0BD84C2C" w14:textId="2400BD3F" w:rsidR="004E527A" w:rsidRPr="004C70EC" w:rsidRDefault="00C03A23" w:rsidP="00C03A23">
      <w:pPr>
        <w:pStyle w:val="ManualConsidrant"/>
        <w:rPr>
          <w:rFonts w:eastAsia="Times New Roman"/>
          <w:noProof/>
          <w:lang w:val="en-IE" w:eastAsia="de-DE"/>
        </w:rPr>
      </w:pPr>
      <w:r w:rsidRPr="00C03A23">
        <w:rPr>
          <w:noProof/>
        </w:rPr>
        <w:t>(65)</w:t>
      </w:r>
      <w:r w:rsidRPr="00C03A23">
        <w:rPr>
          <w:noProof/>
        </w:rPr>
        <w:tab/>
      </w:r>
      <w:r w:rsidR="249CF78E" w:rsidRPr="004C70EC">
        <w:rPr>
          <w:noProof/>
          <w:lang w:val="en-IE"/>
        </w:rPr>
        <w:t xml:space="preserve">Such environments could provide the wet-lab, bioprocess, pilot-line and translational validation capacities necessary for AI-enabled biotechnology development, and should complement, without duplicating, the functions of regulatory sandboxes established under Union or national law as well as the testing and experimentation facilities established in accordance with Regulation (EU) 2024/1689. Where relevant, they should also leverage health data and the European Health Data Space in accordance with Union legislation. These infrastructures should support the development of biotechnology applications where the use of AI has the potential to accelerate progress, in particular in health-related areas such as advanced therapies, where AI can improve efficacy and safety — for example through optimised CRISPR site prediction, tumour antigen identification, sequence engineering, delivery-vehicle design, or </w:t>
      </w:r>
      <w:r w:rsidR="249CF78E" w:rsidRPr="004C70EC">
        <w:rPr>
          <w:rFonts w:eastAsia="Times New Roman"/>
          <w:noProof/>
          <w:shd w:val="clear" w:color="auto" w:fill="FFFFFF"/>
          <w:lang w:val="en-IE" w:eastAsia="de-DE"/>
        </w:rPr>
        <w:t>the</w:t>
      </w:r>
      <w:r w:rsidR="249CF78E" w:rsidRPr="004C70EC">
        <w:rPr>
          <w:noProof/>
          <w:lang w:val="en-IE"/>
        </w:rPr>
        <w:t xml:space="preserve"> matching of diverse patient cancer-cell variants with CAR-T cell types.</w:t>
      </w:r>
    </w:p>
    <w:p w14:paraId="03EEDA47" w14:textId="2239F1DF" w:rsidR="00F26520" w:rsidRPr="004C70EC" w:rsidRDefault="00C03A23" w:rsidP="00C03A23">
      <w:pPr>
        <w:pStyle w:val="ManualConsidrant"/>
        <w:rPr>
          <w:noProof/>
          <w:lang w:val="en-US"/>
        </w:rPr>
      </w:pPr>
      <w:r w:rsidRPr="00C03A23">
        <w:rPr>
          <w:noProof/>
        </w:rPr>
        <w:t>(66)</w:t>
      </w:r>
      <w:r w:rsidRPr="00C03A23">
        <w:rPr>
          <w:noProof/>
        </w:rPr>
        <w:tab/>
      </w:r>
      <w:r w:rsidR="56493E55" w:rsidRPr="004C70EC">
        <w:rPr>
          <w:noProof/>
        </w:rPr>
        <w:t xml:space="preserve">Having high-quality, interoperable, provenance-verified and well-annotated datasets is essential for the development, </w:t>
      </w:r>
      <w:r w:rsidR="56493E55" w:rsidRPr="004C70EC">
        <w:rPr>
          <w:noProof/>
          <w:lang w:val="en-US"/>
        </w:rPr>
        <w:t xml:space="preserve">testing and validation of trustworthy and competitive AI systems and models used in biotechnology applications. </w:t>
      </w:r>
      <w:r w:rsidR="02BBB894" w:rsidRPr="004C70EC">
        <w:rPr>
          <w:noProof/>
          <w:lang w:val="en-US"/>
        </w:rPr>
        <w:t>For example, d</w:t>
      </w:r>
      <w:r w:rsidR="56493E55" w:rsidRPr="004C70EC">
        <w:rPr>
          <w:noProof/>
          <w:lang w:val="en-US"/>
        </w:rPr>
        <w:t>atasets generated in the course of provision of healthcare are usually recorded in a way t</w:t>
      </w:r>
      <w:r w:rsidR="02BBB894" w:rsidRPr="004C70EC">
        <w:rPr>
          <w:noProof/>
          <w:lang w:val="en-US"/>
        </w:rPr>
        <w:t>hat</w:t>
      </w:r>
      <w:r w:rsidR="56493E55" w:rsidRPr="004C70EC">
        <w:rPr>
          <w:noProof/>
          <w:lang w:val="en-US"/>
        </w:rPr>
        <w:t xml:space="preserve"> support</w:t>
      </w:r>
      <w:r w:rsidR="02BBB894" w:rsidRPr="004C70EC">
        <w:rPr>
          <w:noProof/>
          <w:lang w:val="en-US"/>
        </w:rPr>
        <w:t>s</w:t>
      </w:r>
      <w:r w:rsidR="56493E55" w:rsidRPr="004C70EC">
        <w:rPr>
          <w:noProof/>
          <w:lang w:val="en-US"/>
        </w:rPr>
        <w:t xml:space="preserve"> their initial purpose, such as diagnosis or treatment. Often, they are technically not easily usable and fit for training</w:t>
      </w:r>
      <w:r w:rsidR="56493E55" w:rsidRPr="004C70EC">
        <w:rPr>
          <w:noProof/>
        </w:rPr>
        <w:t xml:space="preserve">, </w:t>
      </w:r>
      <w:r w:rsidR="56493E55" w:rsidRPr="004C70EC">
        <w:rPr>
          <w:noProof/>
          <w:lang w:val="en-US"/>
        </w:rPr>
        <w:t>testing and validation of AI systems, for example due to the use of different data standards or lacking annotations. Given the potential of AI systems and models to support research and innovation in biotechnology applications, it is important to ensure that high-quality data are available for training, testing and validating AI systems and models</w:t>
      </w:r>
      <w:r w:rsidR="00B027F1" w:rsidRPr="004C70EC">
        <w:rPr>
          <w:noProof/>
          <w:lang w:val="en-US"/>
        </w:rPr>
        <w:t xml:space="preserve"> used in </w:t>
      </w:r>
      <w:r w:rsidR="00770895" w:rsidRPr="004C70EC">
        <w:rPr>
          <w:noProof/>
          <w:lang w:val="en-US"/>
        </w:rPr>
        <w:t>health biotechnology applications</w:t>
      </w:r>
      <w:r w:rsidR="56493E55" w:rsidRPr="004C70EC">
        <w:rPr>
          <w:noProof/>
          <w:lang w:val="en-US"/>
        </w:rPr>
        <w:t>. To make such data more easily usable for th</w:t>
      </w:r>
      <w:r w:rsidR="30266F3C" w:rsidRPr="004C70EC">
        <w:rPr>
          <w:noProof/>
          <w:lang w:val="en-US"/>
        </w:rPr>
        <w:t>o</w:t>
      </w:r>
      <w:r w:rsidR="56493E55" w:rsidRPr="004C70EC">
        <w:rPr>
          <w:noProof/>
          <w:lang w:val="en-US"/>
        </w:rPr>
        <w:t>se purposes, it is appropriate</w:t>
      </w:r>
      <w:r w:rsidR="007B375E" w:rsidRPr="004C70EC">
        <w:rPr>
          <w:noProof/>
          <w:lang w:val="en-US"/>
        </w:rPr>
        <w:t xml:space="preserve"> to facilitate the enhancement of the quality of that data</w:t>
      </w:r>
      <w:r w:rsidR="56493E55" w:rsidRPr="004C70EC">
        <w:rPr>
          <w:noProof/>
          <w:lang w:val="en-US"/>
        </w:rPr>
        <w:t xml:space="preserve">. </w:t>
      </w:r>
      <w:bookmarkStart w:id="13" w:name="_Hlk215758196"/>
      <w:r w:rsidR="3A37DD26" w:rsidRPr="004C70EC">
        <w:rPr>
          <w:noProof/>
          <w:lang w:val="en-US"/>
        </w:rPr>
        <w:t xml:space="preserve">Therefore, this Regulation </w:t>
      </w:r>
      <w:r w:rsidR="7A1BCA18" w:rsidRPr="004C70EC">
        <w:rPr>
          <w:noProof/>
          <w:lang w:val="en-US"/>
        </w:rPr>
        <w:t xml:space="preserve">should </w:t>
      </w:r>
      <w:r w:rsidR="3937FF97" w:rsidRPr="004C70EC">
        <w:rPr>
          <w:noProof/>
          <w:lang w:val="en-US"/>
        </w:rPr>
        <w:t>lay down</w:t>
      </w:r>
      <w:r w:rsidR="7A1BCA18" w:rsidRPr="004C70EC">
        <w:rPr>
          <w:noProof/>
          <w:lang w:val="en-US"/>
        </w:rPr>
        <w:t xml:space="preserve"> provisions for the recognition </w:t>
      </w:r>
      <w:r w:rsidR="767C85EF" w:rsidRPr="004C70EC">
        <w:rPr>
          <w:noProof/>
          <w:lang w:val="en-US"/>
        </w:rPr>
        <w:t xml:space="preserve">by the Commission of high impact </w:t>
      </w:r>
      <w:r w:rsidR="00F26520" w:rsidRPr="004C70EC">
        <w:rPr>
          <w:noProof/>
          <w:lang w:val="en-US"/>
        </w:rPr>
        <w:t xml:space="preserve">health </w:t>
      </w:r>
      <w:r w:rsidR="767C85EF" w:rsidRPr="004C70EC">
        <w:rPr>
          <w:noProof/>
          <w:lang w:val="en-US"/>
        </w:rPr>
        <w:t>biotechnology strategic projects in the form of b</w:t>
      </w:r>
      <w:r w:rsidR="56493E55" w:rsidRPr="004C70EC">
        <w:rPr>
          <w:noProof/>
          <w:lang w:val="en-US"/>
        </w:rPr>
        <w:t>iotechnology data quality accelerators</w:t>
      </w:r>
      <w:r w:rsidR="2DF2BA60" w:rsidRPr="004C70EC">
        <w:rPr>
          <w:noProof/>
          <w:lang w:val="en-US"/>
        </w:rPr>
        <w:t xml:space="preserve">, to </w:t>
      </w:r>
      <w:bookmarkEnd w:id="13"/>
      <w:r w:rsidR="56493E55" w:rsidRPr="004C70EC">
        <w:rPr>
          <w:noProof/>
          <w:lang w:val="en-US"/>
        </w:rPr>
        <w:t>provid</w:t>
      </w:r>
      <w:r w:rsidR="2DF2BA60" w:rsidRPr="004C70EC">
        <w:rPr>
          <w:noProof/>
          <w:lang w:val="en-US"/>
        </w:rPr>
        <w:t>e</w:t>
      </w:r>
      <w:r w:rsidR="56493E55" w:rsidRPr="004C70EC">
        <w:rPr>
          <w:noProof/>
          <w:lang w:val="en-US"/>
        </w:rPr>
        <w:t xml:space="preserve"> assistance to </w:t>
      </w:r>
      <w:r w:rsidR="007C79B8" w:rsidRPr="004C70EC">
        <w:rPr>
          <w:noProof/>
          <w:lang w:val="en-US"/>
        </w:rPr>
        <w:t xml:space="preserve">entities that lawfully </w:t>
      </w:r>
      <w:r w:rsidR="00FF5CCD" w:rsidRPr="004C70EC">
        <w:rPr>
          <w:noProof/>
          <w:lang w:val="en-US"/>
        </w:rPr>
        <w:t xml:space="preserve">hold </w:t>
      </w:r>
      <w:r w:rsidR="004050D0" w:rsidRPr="004C70EC">
        <w:rPr>
          <w:noProof/>
          <w:lang w:val="en-US"/>
        </w:rPr>
        <w:t>relevant data to improve data quality</w:t>
      </w:r>
      <w:r w:rsidR="56493E55" w:rsidRPr="004C70EC">
        <w:rPr>
          <w:noProof/>
          <w:lang w:val="en-US"/>
        </w:rPr>
        <w:t xml:space="preserve">, </w:t>
      </w:r>
      <w:r w:rsidR="326F41C9" w:rsidRPr="004C70EC">
        <w:rPr>
          <w:noProof/>
          <w:lang w:val="en-US"/>
        </w:rPr>
        <w:t>standardize such data and make</w:t>
      </w:r>
      <w:r w:rsidR="56493E55" w:rsidRPr="004C70EC">
        <w:rPr>
          <w:noProof/>
          <w:lang w:val="en-US"/>
        </w:rPr>
        <w:t xml:space="preserve"> further improvements.</w:t>
      </w:r>
      <w:r w:rsidR="00F26520" w:rsidRPr="004C70EC">
        <w:rPr>
          <w:rFonts w:eastAsia="Times New Roman"/>
          <w:noProof/>
        </w:rPr>
        <w:t xml:space="preserve"> </w:t>
      </w:r>
    </w:p>
    <w:p w14:paraId="7D38824C" w14:textId="35BCACB2" w:rsidR="000E079C" w:rsidRPr="004C70EC" w:rsidRDefault="00C03A23" w:rsidP="00C03A23">
      <w:pPr>
        <w:pStyle w:val="ManualConsidrant"/>
        <w:rPr>
          <w:noProof/>
          <w:lang w:val="en-US"/>
        </w:rPr>
      </w:pPr>
      <w:r w:rsidRPr="00C03A23">
        <w:rPr>
          <w:noProof/>
        </w:rPr>
        <w:t>(67)</w:t>
      </w:r>
      <w:r w:rsidRPr="00C03A23">
        <w:rPr>
          <w:noProof/>
        </w:rPr>
        <w:tab/>
      </w:r>
      <w:r w:rsidR="3937FF97" w:rsidRPr="004C70EC">
        <w:rPr>
          <w:rFonts w:eastAsia="Times New Roman"/>
          <w:noProof/>
        </w:rPr>
        <w:t>Such b</w:t>
      </w:r>
      <w:r w:rsidR="212FC6E9" w:rsidRPr="004C70EC">
        <w:rPr>
          <w:rFonts w:eastAsia="Times New Roman"/>
          <w:noProof/>
        </w:rPr>
        <w:t xml:space="preserve">iotechnology data quality accelerator projects </w:t>
      </w:r>
      <w:r w:rsidR="16AE49B1" w:rsidRPr="004C70EC">
        <w:rPr>
          <w:rFonts w:eastAsia="Times New Roman"/>
          <w:noProof/>
        </w:rPr>
        <w:t>should</w:t>
      </w:r>
      <w:r w:rsidR="212FC6E9" w:rsidRPr="004C70EC">
        <w:rPr>
          <w:rFonts w:eastAsia="Times New Roman"/>
          <w:noProof/>
        </w:rPr>
        <w:t xml:space="preserve"> </w:t>
      </w:r>
      <w:r w:rsidR="212FC6E9" w:rsidRPr="004C70EC">
        <w:rPr>
          <w:noProof/>
        </w:rPr>
        <w:t>complement Union initiatives such as data labs</w:t>
      </w:r>
      <w:r w:rsidR="00273F36" w:rsidRPr="004C70EC">
        <w:rPr>
          <w:rStyle w:val="FootnoteReference"/>
          <w:noProof/>
          <w:color w:val="000000" w:themeColor="text1"/>
        </w:rPr>
        <w:footnoteReference w:id="126"/>
      </w:r>
      <w:r w:rsidR="212FC6E9" w:rsidRPr="004C70EC">
        <w:rPr>
          <w:noProof/>
        </w:rPr>
        <w:t xml:space="preserve"> and by addressing the specific data-quality requirements of biotechnology, ensuring that biological and health datasets are reliable, interoperable and usable for the development of advanced AI models. </w:t>
      </w:r>
    </w:p>
    <w:p w14:paraId="7BEB99C3" w14:textId="2143811B" w:rsidR="003C71AE" w:rsidRPr="004C70EC" w:rsidRDefault="00C03A23" w:rsidP="00C03A23">
      <w:pPr>
        <w:pStyle w:val="ManualConsidrant"/>
        <w:rPr>
          <w:noProof/>
          <w:lang w:val="en-US"/>
        </w:rPr>
      </w:pPr>
      <w:r w:rsidRPr="00C03A23">
        <w:rPr>
          <w:noProof/>
        </w:rPr>
        <w:t>(68)</w:t>
      </w:r>
      <w:r w:rsidRPr="00C03A23">
        <w:rPr>
          <w:noProof/>
        </w:rPr>
        <w:tab/>
      </w:r>
      <w:r w:rsidR="003C71AE" w:rsidRPr="004C70EC">
        <w:rPr>
          <w:noProof/>
          <w:lang w:val="en-US"/>
        </w:rPr>
        <w:t xml:space="preserve">The processing of personal data by the entities that lawfully hold the relevant data and by the biotechnology data quality accelerators, in the context of biotechnology data quality accelerators projects, takes place in the public interest. The Commission should specify in the decision recognising the project as a high impact health biotechnology strategic project, the specific provisions concerning the processing of personal data necessary in order to achieve the objectives of the project. Such provision may in particular include the categories of data, the specific roles of the parties engaged in the processing, and the entities to which the personal data may be disclosed. Where biotechnology data quality accelerators are recognised by the Commission through calls for proposals, </w:t>
      </w:r>
      <w:r w:rsidR="003C71AE">
        <w:rPr>
          <w:noProof/>
          <w:lang w:val="en-US"/>
        </w:rPr>
        <w:t xml:space="preserve">the Commission should be empowered to adopt, by means of an implementing act, </w:t>
      </w:r>
      <w:r w:rsidR="00B77DBA" w:rsidRPr="004C70EC">
        <w:rPr>
          <w:noProof/>
          <w:lang w:val="en-US"/>
        </w:rPr>
        <w:t xml:space="preserve">specific provisions concerning </w:t>
      </w:r>
      <w:r w:rsidR="003C71AE">
        <w:rPr>
          <w:noProof/>
          <w:lang w:val="en-US"/>
        </w:rPr>
        <w:t xml:space="preserve">the </w:t>
      </w:r>
      <w:r w:rsidR="00B77DBA" w:rsidRPr="004C70EC">
        <w:rPr>
          <w:noProof/>
          <w:lang w:val="en-US"/>
        </w:rPr>
        <w:t>processing of personal data</w:t>
      </w:r>
      <w:r w:rsidR="003C71AE">
        <w:rPr>
          <w:noProof/>
          <w:lang w:val="en-US"/>
        </w:rPr>
        <w:t xml:space="preserve">, through </w:t>
      </w:r>
      <w:r w:rsidR="00B77DBA" w:rsidRPr="004C70EC">
        <w:rPr>
          <w:noProof/>
          <w:lang w:val="en-US"/>
        </w:rPr>
        <w:t>a decision prior to the launch of the call</w:t>
      </w:r>
      <w:r w:rsidR="009B59E5" w:rsidRPr="004C70EC">
        <w:rPr>
          <w:noProof/>
          <w:lang w:val="en-US"/>
        </w:rPr>
        <w:t xml:space="preserve"> and the </w:t>
      </w:r>
      <w:r w:rsidR="003C71AE">
        <w:rPr>
          <w:noProof/>
          <w:lang w:val="en-US"/>
        </w:rPr>
        <w:t>beneficiaries</w:t>
      </w:r>
      <w:r w:rsidR="009B59E5" w:rsidRPr="004C70EC">
        <w:rPr>
          <w:noProof/>
          <w:lang w:val="en-US"/>
        </w:rPr>
        <w:t xml:space="preserve"> of the call should be subject to the obligations laid down in that decision</w:t>
      </w:r>
      <w:r w:rsidR="003C71AE" w:rsidRPr="004C70EC">
        <w:rPr>
          <w:noProof/>
          <w:lang w:val="en-US"/>
        </w:rPr>
        <w:t>.</w:t>
      </w:r>
    </w:p>
    <w:p w14:paraId="1876CD4C" w14:textId="69529C4F" w:rsidR="000E079C" w:rsidRPr="004C70EC" w:rsidRDefault="00C03A23" w:rsidP="00C03A23">
      <w:pPr>
        <w:pStyle w:val="ManualConsidrant"/>
        <w:rPr>
          <w:rFonts w:eastAsia="Times New Roman"/>
          <w:noProof/>
          <w:lang w:val="en-IE" w:eastAsia="de-DE"/>
        </w:rPr>
      </w:pPr>
      <w:r w:rsidRPr="00C03A23">
        <w:rPr>
          <w:noProof/>
        </w:rPr>
        <w:t>(69)</w:t>
      </w:r>
      <w:r w:rsidRPr="00C03A23">
        <w:rPr>
          <w:noProof/>
        </w:rPr>
        <w:tab/>
      </w:r>
      <w:r w:rsidR="1C45511A" w:rsidRPr="004C70EC">
        <w:rPr>
          <w:noProof/>
        </w:rPr>
        <w:t>Electronic health data referred to in</w:t>
      </w:r>
      <w:r w:rsidR="761A057C" w:rsidRPr="004C70EC">
        <w:rPr>
          <w:noProof/>
        </w:rPr>
        <w:t xml:space="preserve"> Article 51 of </w:t>
      </w:r>
      <w:r w:rsidR="47ACF1E4" w:rsidRPr="004C70EC">
        <w:rPr>
          <w:noProof/>
        </w:rPr>
        <w:t>Regulation (EU) 2025/327</w:t>
      </w:r>
      <w:r w:rsidR="6042105A" w:rsidRPr="004C70EC">
        <w:rPr>
          <w:noProof/>
        </w:rPr>
        <w:t xml:space="preserve"> of the European Parliament and of the Council</w:t>
      </w:r>
      <w:r w:rsidR="00487262" w:rsidRPr="004C70EC">
        <w:rPr>
          <w:rStyle w:val="FootnoteReference"/>
          <w:noProof/>
          <w:color w:val="000000" w:themeColor="text1"/>
        </w:rPr>
        <w:footnoteReference w:id="127"/>
      </w:r>
      <w:r w:rsidR="761A057C" w:rsidRPr="004C70EC">
        <w:rPr>
          <w:noProof/>
        </w:rPr>
        <w:t xml:space="preserve">, </w:t>
      </w:r>
      <w:r w:rsidR="1C45511A" w:rsidRPr="004C70EC">
        <w:rPr>
          <w:noProof/>
        </w:rPr>
        <w:t xml:space="preserve">enhanced by biotechnology data quality accelerators </w:t>
      </w:r>
      <w:r w:rsidR="761A057C" w:rsidRPr="004C70EC">
        <w:rPr>
          <w:noProof/>
        </w:rPr>
        <w:t xml:space="preserve">should be made available in </w:t>
      </w:r>
      <w:r w:rsidR="1C45511A" w:rsidRPr="004C70EC">
        <w:rPr>
          <w:noProof/>
        </w:rPr>
        <w:t xml:space="preserve">accordance with </w:t>
      </w:r>
      <w:r w:rsidR="00F26520" w:rsidRPr="004C70EC">
        <w:rPr>
          <w:noProof/>
        </w:rPr>
        <w:t xml:space="preserve">that </w:t>
      </w:r>
      <w:r w:rsidR="00F50C9E" w:rsidRPr="004C70EC">
        <w:rPr>
          <w:noProof/>
        </w:rPr>
        <w:t>Regulation</w:t>
      </w:r>
      <w:r w:rsidR="001C2DDD" w:rsidRPr="004C70EC">
        <w:rPr>
          <w:noProof/>
        </w:rPr>
        <w:t>.</w:t>
      </w:r>
      <w:r w:rsidR="00F50C9E" w:rsidRPr="004C70EC">
        <w:rPr>
          <w:noProof/>
        </w:rPr>
        <w:t xml:space="preserve"> </w:t>
      </w:r>
      <w:r w:rsidR="761A057C" w:rsidRPr="004C70EC">
        <w:rPr>
          <w:noProof/>
        </w:rPr>
        <w:t xml:space="preserve">The </w:t>
      </w:r>
      <w:r w:rsidR="1C45511A" w:rsidRPr="004C70EC">
        <w:rPr>
          <w:noProof/>
        </w:rPr>
        <w:t>b</w:t>
      </w:r>
      <w:r w:rsidR="761A057C" w:rsidRPr="004C70EC">
        <w:rPr>
          <w:noProof/>
        </w:rPr>
        <w:t xml:space="preserve">iotechnology data quality accelerators support the objectives of the </w:t>
      </w:r>
      <w:r w:rsidR="001C2DDD" w:rsidRPr="004C70EC">
        <w:rPr>
          <w:noProof/>
        </w:rPr>
        <w:t xml:space="preserve">European Health Data Space </w:t>
      </w:r>
      <w:r w:rsidR="761A057C" w:rsidRPr="004C70EC">
        <w:rPr>
          <w:noProof/>
        </w:rPr>
        <w:t>by contributing to improving the quality of data that is to be made available under th</w:t>
      </w:r>
      <w:r w:rsidR="001C2DDD" w:rsidRPr="004C70EC">
        <w:rPr>
          <w:noProof/>
        </w:rPr>
        <w:t>at space</w:t>
      </w:r>
      <w:r w:rsidR="761A057C" w:rsidRPr="004C70EC">
        <w:rPr>
          <w:noProof/>
        </w:rPr>
        <w:t>.</w:t>
      </w:r>
    </w:p>
    <w:p w14:paraId="20AE8F0A" w14:textId="10061193" w:rsidR="004E527A" w:rsidRPr="004C70EC" w:rsidRDefault="00C03A23" w:rsidP="00C03A23">
      <w:pPr>
        <w:pStyle w:val="ManualConsidrant"/>
        <w:rPr>
          <w:rFonts w:eastAsia="Times New Roman"/>
          <w:noProof/>
          <w:lang w:val="en-IE" w:eastAsia="de-DE"/>
        </w:rPr>
      </w:pPr>
      <w:r w:rsidRPr="00C03A23">
        <w:rPr>
          <w:noProof/>
        </w:rPr>
        <w:t>(70)</w:t>
      </w:r>
      <w:r w:rsidRPr="00C03A23">
        <w:rPr>
          <w:noProof/>
        </w:rPr>
        <w:tab/>
      </w:r>
      <w:r w:rsidR="249CF78E" w:rsidRPr="004C70EC">
        <w:rPr>
          <w:noProof/>
        </w:rPr>
        <w:t>To enable innovation and competitiveness in biotechnology, it is necessary to ensure that SMEs, start-ups and scale-ups, and research organisations can access the high computing capacity and AI resources</w:t>
      </w:r>
      <w:r w:rsidR="249CF78E" w:rsidRPr="004C70EC">
        <w:rPr>
          <w:b/>
          <w:bCs/>
          <w:noProof/>
        </w:rPr>
        <w:t xml:space="preserve"> </w:t>
      </w:r>
      <w:r w:rsidR="249CF78E" w:rsidRPr="004C70EC">
        <w:rPr>
          <w:noProof/>
        </w:rPr>
        <w:t>required for advanced research, development and biomanufacturing. Th</w:t>
      </w:r>
      <w:r w:rsidR="009B59E5" w:rsidRPr="004C70EC">
        <w:rPr>
          <w:noProof/>
        </w:rPr>
        <w:t>o</w:t>
      </w:r>
      <w:r w:rsidR="249CF78E" w:rsidRPr="004C70EC">
        <w:rPr>
          <w:noProof/>
        </w:rPr>
        <w:t>se actions may be supported through Union funding programmes, funds and financial instruments, in accordance with the regulations governing them. The Commission should ensure effective coordination with other Union initiatives offering computing capacities to maximise efficiency and avoid duplication.</w:t>
      </w:r>
      <w:r w:rsidR="249CF78E" w:rsidRPr="004C70EC">
        <w:rPr>
          <w:noProof/>
          <w:lang w:val="en-IE" w:eastAsia="de-DE"/>
        </w:rPr>
        <w:t xml:space="preserve"> The Commission, including through the European Biotechnology Support Network, should provide information and support, in particular to SMEs, start-ups and scale-ups, for accessing high computing capacity and AI resources relevant to biotechnology and biomanufacturing activities.</w:t>
      </w:r>
      <w:bookmarkStart w:id="14" w:name="_Hlk214404115"/>
    </w:p>
    <w:p w14:paraId="63B22F79" w14:textId="150F88F6" w:rsidR="004E527A" w:rsidRPr="004C70EC" w:rsidRDefault="00C03A23" w:rsidP="00C03A23">
      <w:pPr>
        <w:pStyle w:val="ManualConsidrant"/>
        <w:rPr>
          <w:noProof/>
          <w:lang w:val="en-IE" w:eastAsia="de-DE"/>
        </w:rPr>
      </w:pPr>
      <w:r w:rsidRPr="00C03A23">
        <w:rPr>
          <w:noProof/>
        </w:rPr>
        <w:t>(71)</w:t>
      </w:r>
      <w:r w:rsidRPr="00C03A23">
        <w:rPr>
          <w:noProof/>
        </w:rPr>
        <w:tab/>
      </w:r>
      <w:r w:rsidR="249CF78E" w:rsidRPr="004C70EC">
        <w:rPr>
          <w:noProof/>
          <w:shd w:val="clear" w:color="auto" w:fill="FFFFFF"/>
          <w:lang w:eastAsia="en-GB"/>
        </w:rPr>
        <w:t xml:space="preserve">Very innovative health biotechnology products or services vary significantly in the degree to which they align or can align with existing Union legislative frameworks and </w:t>
      </w:r>
      <w:r w:rsidR="7A0BB288" w:rsidRPr="004C70EC">
        <w:rPr>
          <w:noProof/>
          <w:lang w:eastAsia="en-GB"/>
        </w:rPr>
        <w:t>procedures</w:t>
      </w:r>
      <w:r w:rsidR="249CF78E" w:rsidRPr="004C70EC">
        <w:rPr>
          <w:noProof/>
          <w:shd w:val="clear" w:color="auto" w:fill="FFFFFF"/>
          <w:lang w:eastAsia="en-GB"/>
        </w:rPr>
        <w:t>. These products, despite their</w:t>
      </w:r>
      <w:r w:rsidR="35840929" w:rsidRPr="004C70EC">
        <w:rPr>
          <w:noProof/>
          <w:lang w:eastAsia="en-GB"/>
        </w:rPr>
        <w:t xml:space="preserve"> </w:t>
      </w:r>
      <w:r w:rsidR="249CF78E" w:rsidRPr="004C70EC">
        <w:rPr>
          <w:noProof/>
          <w:shd w:val="clear" w:color="auto" w:fill="FFFFFF"/>
          <w:lang w:eastAsia="en-GB"/>
        </w:rPr>
        <w:t>complexity,</w:t>
      </w:r>
      <w:r w:rsidR="35840929" w:rsidRPr="004C70EC">
        <w:rPr>
          <w:noProof/>
          <w:lang w:eastAsia="en-GB"/>
        </w:rPr>
        <w:t xml:space="preserve"> </w:t>
      </w:r>
      <w:r w:rsidR="249CF78E" w:rsidRPr="004C70EC">
        <w:rPr>
          <w:noProof/>
          <w:shd w:val="clear" w:color="auto" w:fill="FFFFFF"/>
          <w:lang w:eastAsia="en-GB"/>
        </w:rPr>
        <w:t xml:space="preserve">should </w:t>
      </w:r>
      <w:r w:rsidR="06EC72C0" w:rsidRPr="004C70EC">
        <w:rPr>
          <w:noProof/>
          <w:lang w:eastAsia="en-GB"/>
        </w:rPr>
        <w:t>however</w:t>
      </w:r>
      <w:r w:rsidR="249CF78E" w:rsidRPr="004C70EC">
        <w:rPr>
          <w:noProof/>
          <w:lang w:eastAsia="en-GB"/>
        </w:rPr>
        <w:t xml:space="preserve"> </w:t>
      </w:r>
      <w:r w:rsidR="249CF78E" w:rsidRPr="004C70EC">
        <w:rPr>
          <w:noProof/>
          <w:shd w:val="clear" w:color="auto" w:fill="FFFFFF"/>
          <w:lang w:eastAsia="en-GB"/>
        </w:rPr>
        <w:t xml:space="preserve">be </w:t>
      </w:r>
      <w:r w:rsidR="7A0BB288" w:rsidRPr="004C70EC">
        <w:rPr>
          <w:noProof/>
          <w:lang w:eastAsia="en-GB"/>
        </w:rPr>
        <w:t>efficiently and</w:t>
      </w:r>
      <w:r w:rsidR="249CF78E" w:rsidRPr="004C70EC">
        <w:rPr>
          <w:noProof/>
          <w:lang w:eastAsia="en-GB"/>
        </w:rPr>
        <w:t xml:space="preserve"> </w:t>
      </w:r>
      <w:r w:rsidR="249CF78E" w:rsidRPr="004C70EC">
        <w:rPr>
          <w:noProof/>
          <w:shd w:val="clear" w:color="auto" w:fill="FFFFFF"/>
          <w:lang w:eastAsia="en-GB"/>
        </w:rPr>
        <w:t>adequately assessed within a single regulatory pathway, possibly through a combination pathway. This is notwithstanding the fact that such health biotechnology products or services, in the form of preparations, devices, diagnostics, or other, for human use, exhibit characteristics that challenge the Union legislative frameworks</w:t>
      </w:r>
      <w:r w:rsidR="6ED69577" w:rsidRPr="004C70EC">
        <w:rPr>
          <w:noProof/>
          <w:lang w:eastAsia="en-GB"/>
        </w:rPr>
        <w:t xml:space="preserve"> </w:t>
      </w:r>
      <w:r w:rsidR="249CF78E" w:rsidRPr="004C70EC">
        <w:rPr>
          <w:noProof/>
          <w:shd w:val="clear" w:color="auto" w:fill="FFFFFF"/>
          <w:lang w:eastAsia="en-GB"/>
        </w:rPr>
        <w:t xml:space="preserve">in the area of health (‘health biotechnology products’), for example because they are under development and could potentially fall under the scope of an </w:t>
      </w:r>
      <w:r w:rsidR="691E616A" w:rsidRPr="004C70EC">
        <w:rPr>
          <w:noProof/>
          <w:lang w:eastAsia="en-GB"/>
        </w:rPr>
        <w:t xml:space="preserve">Union </w:t>
      </w:r>
      <w:r w:rsidR="249CF78E" w:rsidRPr="004C70EC">
        <w:rPr>
          <w:noProof/>
          <w:shd w:val="clear" w:color="auto" w:fill="FFFFFF"/>
          <w:lang w:eastAsia="en-GB"/>
        </w:rPr>
        <w:t>legislative framework but there are questions related to the relevance of other Union legislative</w:t>
      </w:r>
      <w:r w:rsidR="249CF78E" w:rsidRPr="004C70EC">
        <w:rPr>
          <w:noProof/>
          <w:lang w:eastAsia="en-GB"/>
        </w:rPr>
        <w:t xml:space="preserve"> </w:t>
      </w:r>
      <w:r w:rsidR="249CF78E" w:rsidRPr="004C70EC">
        <w:rPr>
          <w:noProof/>
          <w:shd w:val="clear" w:color="auto" w:fill="FFFFFF"/>
          <w:lang w:eastAsia="en-GB"/>
        </w:rPr>
        <w:t>frameworks; and/or because they combine different products, technologies, processes, or components regulated under different Union legislative frameworks; and/or because they require targeted adaptations of certain requirements of the applicable Union legislative frameworks, ideally at an early stage of development.</w:t>
      </w:r>
      <w:r w:rsidR="59B8A247" w:rsidRPr="004C70EC">
        <w:rPr>
          <w:noProof/>
          <w:lang w:eastAsia="en-GB"/>
        </w:rPr>
        <w:t xml:space="preserve"> </w:t>
      </w:r>
      <w:r w:rsidR="249CF78E" w:rsidRPr="004C70EC">
        <w:rPr>
          <w:noProof/>
          <w:shd w:val="clear" w:color="auto" w:fill="FFFFFF"/>
          <w:lang w:eastAsia="en-GB"/>
        </w:rPr>
        <w:t xml:space="preserve">These characteristics are not mutually exclusive and may overlap. </w:t>
      </w:r>
    </w:p>
    <w:p w14:paraId="45D421AE" w14:textId="0608A787" w:rsidR="004E527A" w:rsidRPr="004C70EC" w:rsidRDefault="00C03A23" w:rsidP="00C03A23">
      <w:pPr>
        <w:pStyle w:val="ManualConsidrant"/>
        <w:rPr>
          <w:noProof/>
          <w:lang w:val="en-IE" w:eastAsia="de-DE"/>
        </w:rPr>
      </w:pPr>
      <w:r w:rsidRPr="00C03A23">
        <w:rPr>
          <w:noProof/>
        </w:rPr>
        <w:t>(72)</w:t>
      </w:r>
      <w:r w:rsidRPr="00C03A23">
        <w:rPr>
          <w:noProof/>
        </w:rPr>
        <w:tab/>
      </w:r>
      <w:r w:rsidR="249CF78E" w:rsidRPr="004C70EC">
        <w:rPr>
          <w:noProof/>
          <w:shd w:val="clear" w:color="auto" w:fill="FFFFFF"/>
          <w:lang w:eastAsia="en-GB"/>
        </w:rPr>
        <w:t xml:space="preserve">Developers of such health biotechnology products can consequently face regulatory uncertainty, potentially delaying or preventing patient access to beneficial technologies and creating barriers to innovation and access to finance, hampering competitiveness. To offer developers efficient and predictable regulatory </w:t>
      </w:r>
      <w:r w:rsidR="06EC72C0" w:rsidRPr="004C70EC">
        <w:rPr>
          <w:noProof/>
          <w:lang w:eastAsia="en-GB"/>
        </w:rPr>
        <w:t>procedu</w:t>
      </w:r>
      <w:r w:rsidR="46152B17" w:rsidRPr="004C70EC">
        <w:rPr>
          <w:noProof/>
          <w:lang w:eastAsia="en-GB"/>
        </w:rPr>
        <w:t>ral pathways</w:t>
      </w:r>
      <w:r w:rsidR="249CF78E" w:rsidRPr="004C70EC">
        <w:rPr>
          <w:noProof/>
          <w:shd w:val="clear" w:color="auto" w:fill="FFFFFF"/>
          <w:lang w:eastAsia="en-GB"/>
        </w:rPr>
        <w:t>, the Union legislative frameworks in the health area should be equipped with the right tools and should integrate consultative and collaborative approaches, to be able to assess these health biotechnology products efficiently and</w:t>
      </w:r>
      <w:r w:rsidR="0079B742" w:rsidRPr="004C70EC">
        <w:rPr>
          <w:noProof/>
          <w:lang w:eastAsia="en-GB"/>
        </w:rPr>
        <w:t xml:space="preserve"> </w:t>
      </w:r>
      <w:r w:rsidR="249CF78E" w:rsidRPr="004C70EC">
        <w:rPr>
          <w:noProof/>
          <w:shd w:val="clear" w:color="auto" w:fill="FFFFFF"/>
          <w:lang w:eastAsia="en-GB"/>
        </w:rPr>
        <w:t xml:space="preserve">timely. In addition, developers of health biotechnology products should be supported in navigating regulatory </w:t>
      </w:r>
      <w:r w:rsidR="73C28568" w:rsidRPr="004C70EC">
        <w:rPr>
          <w:noProof/>
          <w:lang w:eastAsia="en-GB"/>
        </w:rPr>
        <w:t>procedur</w:t>
      </w:r>
      <w:r w:rsidR="5BDC2AFB" w:rsidRPr="004C70EC">
        <w:rPr>
          <w:noProof/>
          <w:lang w:eastAsia="en-GB"/>
        </w:rPr>
        <w:t>al pathways</w:t>
      </w:r>
      <w:r w:rsidR="73C28568" w:rsidRPr="004C70EC">
        <w:rPr>
          <w:noProof/>
          <w:lang w:eastAsia="en-GB"/>
        </w:rPr>
        <w:t xml:space="preserve"> </w:t>
      </w:r>
      <w:r w:rsidR="249CF78E" w:rsidRPr="004C70EC">
        <w:rPr>
          <w:noProof/>
          <w:shd w:val="clear" w:color="auto" w:fill="FFFFFF"/>
          <w:lang w:eastAsia="en-GB"/>
        </w:rPr>
        <w:t>for their products in the best possible way. This Regulation</w:t>
      </w:r>
      <w:r w:rsidR="76DC1773" w:rsidRPr="004C70EC">
        <w:rPr>
          <w:noProof/>
          <w:shd w:val="clear" w:color="auto" w:fill="FFFFFF"/>
          <w:lang w:eastAsia="en-GB"/>
        </w:rPr>
        <w:t xml:space="preserve"> should</w:t>
      </w:r>
      <w:r w:rsidR="249CF78E" w:rsidRPr="004C70EC">
        <w:rPr>
          <w:noProof/>
          <w:shd w:val="clear" w:color="auto" w:fill="FFFFFF"/>
          <w:lang w:eastAsia="en-GB"/>
        </w:rPr>
        <w:t xml:space="preserve"> therefore </w:t>
      </w:r>
      <w:r w:rsidR="76DC1773" w:rsidRPr="004C70EC">
        <w:rPr>
          <w:noProof/>
          <w:shd w:val="clear" w:color="auto" w:fill="FFFFFF"/>
          <w:lang w:eastAsia="en-GB"/>
        </w:rPr>
        <w:t xml:space="preserve">provide </w:t>
      </w:r>
      <w:r w:rsidR="2FB3ED7D" w:rsidRPr="004C70EC">
        <w:rPr>
          <w:noProof/>
          <w:shd w:val="clear" w:color="auto" w:fill="FFFFFF"/>
          <w:lang w:eastAsia="en-GB"/>
        </w:rPr>
        <w:t xml:space="preserve">for </w:t>
      </w:r>
      <w:r w:rsidR="249CF78E" w:rsidRPr="004C70EC">
        <w:rPr>
          <w:noProof/>
          <w:shd w:val="clear" w:color="auto" w:fill="FFFFFF"/>
          <w:lang w:eastAsia="en-GB"/>
        </w:rPr>
        <w:t xml:space="preserve">measures and facilitators to ensure efficient pathways to developers with reduced time-to-market, while safeguarding all existing provisions to </w:t>
      </w:r>
      <w:r w:rsidR="191A6695" w:rsidRPr="004C70EC">
        <w:rPr>
          <w:noProof/>
          <w:lang w:eastAsia="en-GB"/>
        </w:rPr>
        <w:t xml:space="preserve">protect </w:t>
      </w:r>
      <w:r w:rsidR="249CF78E" w:rsidRPr="004C70EC">
        <w:rPr>
          <w:noProof/>
          <w:shd w:val="clear" w:color="auto" w:fill="FFFFFF"/>
          <w:lang w:eastAsia="en-GB"/>
        </w:rPr>
        <w:t>public health. </w:t>
      </w:r>
    </w:p>
    <w:p w14:paraId="761CD930" w14:textId="650182ED" w:rsidR="004E527A" w:rsidRPr="004C70EC" w:rsidRDefault="00C03A23" w:rsidP="00C03A23">
      <w:pPr>
        <w:pStyle w:val="ManualConsidrant"/>
        <w:rPr>
          <w:noProof/>
          <w:lang w:val="en-IE" w:eastAsia="de-DE"/>
        </w:rPr>
      </w:pPr>
      <w:r w:rsidRPr="00C03A23">
        <w:rPr>
          <w:noProof/>
        </w:rPr>
        <w:t>(73)</w:t>
      </w:r>
      <w:r w:rsidRPr="00C03A23">
        <w:rPr>
          <w:noProof/>
        </w:rPr>
        <w:tab/>
      </w:r>
      <w:r w:rsidR="249CF78E" w:rsidRPr="004C70EC">
        <w:rPr>
          <w:noProof/>
          <w:shd w:val="clear" w:color="auto" w:fill="FFFFFF"/>
          <w:lang w:eastAsia="en-GB"/>
        </w:rPr>
        <w:t xml:space="preserve">At the same time, the </w:t>
      </w:r>
      <w:r w:rsidR="121F9557" w:rsidRPr="004C70EC">
        <w:rPr>
          <w:noProof/>
          <w:lang w:val="en-IE" w:eastAsia="de-DE"/>
        </w:rPr>
        <w:t xml:space="preserve">Union </w:t>
      </w:r>
      <w:r w:rsidR="249CF78E" w:rsidRPr="004C70EC">
        <w:rPr>
          <w:noProof/>
          <w:shd w:val="clear" w:color="auto" w:fill="FFFFFF"/>
          <w:lang w:eastAsia="en-GB"/>
        </w:rPr>
        <w:t>has the strong experience and</w:t>
      </w:r>
      <w:r w:rsidR="76BC69F4" w:rsidRPr="004C70EC">
        <w:rPr>
          <w:noProof/>
          <w:lang w:eastAsia="en-GB"/>
        </w:rPr>
        <w:t xml:space="preserve"> </w:t>
      </w:r>
      <w:r w:rsidR="249CF78E" w:rsidRPr="004C70EC">
        <w:rPr>
          <w:noProof/>
          <w:shd w:val="clear" w:color="auto" w:fill="FFFFFF"/>
          <w:lang w:eastAsia="en-GB"/>
        </w:rPr>
        <w:t>expertise</w:t>
      </w:r>
      <w:r w:rsidR="76BC69F4" w:rsidRPr="004C70EC">
        <w:rPr>
          <w:noProof/>
          <w:lang w:eastAsia="en-GB"/>
        </w:rPr>
        <w:t xml:space="preserve"> </w:t>
      </w:r>
      <w:r w:rsidR="249CF78E" w:rsidRPr="004C70EC">
        <w:rPr>
          <w:noProof/>
          <w:shd w:val="clear" w:color="auto" w:fill="FFFFFF"/>
          <w:lang w:eastAsia="en-GB"/>
        </w:rPr>
        <w:t xml:space="preserve">to handle regulatory complexity, and important measures to deal with health biotechnology products have already been proposed. </w:t>
      </w:r>
      <w:r w:rsidR="249CF78E" w:rsidRPr="002D7694">
        <w:rPr>
          <w:noProof/>
          <w:shd w:val="clear" w:color="auto" w:fill="FFFFFF"/>
          <w:lang w:eastAsia="en-GB"/>
        </w:rPr>
        <w:t>Directive 2001/83/EC</w:t>
      </w:r>
      <w:r w:rsidR="00DA430A" w:rsidRPr="004C70EC">
        <w:rPr>
          <w:noProof/>
          <w:shd w:val="clear" w:color="auto" w:fill="FFFFFF"/>
          <w:lang w:eastAsia="en-GB"/>
        </w:rPr>
        <w:t xml:space="preserve"> of the European Parliament and of the Council</w:t>
      </w:r>
      <w:r w:rsidR="00DA430A" w:rsidRPr="004C70EC">
        <w:rPr>
          <w:rStyle w:val="FootnoteReference"/>
          <w:rFonts w:eastAsia="Times New Roman"/>
          <w:noProof/>
          <w:color w:val="000000" w:themeColor="text1"/>
          <w:lang w:eastAsia="en-GB"/>
        </w:rPr>
        <w:footnoteReference w:id="128"/>
      </w:r>
      <w:r w:rsidR="249CF78E" w:rsidRPr="004C70EC">
        <w:rPr>
          <w:noProof/>
          <w:shd w:val="clear" w:color="auto" w:fill="FFFFFF"/>
          <w:lang w:eastAsia="en-GB"/>
        </w:rPr>
        <w:t xml:space="preserve"> clarifies which legislative frameworks apply to combinations of medicinal products and other </w:t>
      </w:r>
      <w:r w:rsidR="62350AD9" w:rsidRPr="004C70EC">
        <w:rPr>
          <w:noProof/>
          <w:shd w:val="clear" w:color="auto" w:fill="FFFFFF"/>
          <w:lang w:eastAsia="en-GB"/>
        </w:rPr>
        <w:t>products</w:t>
      </w:r>
      <w:r w:rsidR="62350AD9" w:rsidRPr="004C70EC">
        <w:rPr>
          <w:noProof/>
          <w:lang w:eastAsia="en-GB"/>
        </w:rPr>
        <w:t xml:space="preserve"> and</w:t>
      </w:r>
      <w:r w:rsidR="6B01ED38" w:rsidRPr="004C70EC">
        <w:rPr>
          <w:noProof/>
          <w:lang w:eastAsia="en-GB"/>
        </w:rPr>
        <w:t xml:space="preserve"> </w:t>
      </w:r>
      <w:r w:rsidR="249CF78E" w:rsidRPr="004C70EC">
        <w:rPr>
          <w:noProof/>
          <w:shd w:val="clear" w:color="auto" w:fill="FFFFFF"/>
          <w:lang w:eastAsia="en-GB"/>
        </w:rPr>
        <w:t>establishes</w:t>
      </w:r>
      <w:r w:rsidR="6B01ED38" w:rsidRPr="004C70EC">
        <w:rPr>
          <w:noProof/>
          <w:lang w:eastAsia="en-GB"/>
        </w:rPr>
        <w:t xml:space="preserve"> </w:t>
      </w:r>
      <w:r w:rsidR="249CF78E" w:rsidRPr="004C70EC">
        <w:rPr>
          <w:noProof/>
          <w:shd w:val="clear" w:color="auto" w:fill="FFFFFF"/>
          <w:lang w:eastAsia="en-GB"/>
        </w:rPr>
        <w:t xml:space="preserve">a single authorisation pathway for them. In addition, existing Union legislative frameworks in the area of health such as </w:t>
      </w:r>
      <w:r w:rsidR="3B8CE3F1" w:rsidRPr="004C70EC">
        <w:rPr>
          <w:noProof/>
          <w:lang w:eastAsia="en-GB"/>
        </w:rPr>
        <w:t xml:space="preserve">[revised </w:t>
      </w:r>
      <w:r w:rsidR="249CF78E" w:rsidRPr="004C70EC">
        <w:rPr>
          <w:noProof/>
          <w:shd w:val="clear" w:color="auto" w:fill="FFFFFF"/>
          <w:lang w:eastAsia="en-GB"/>
        </w:rPr>
        <w:t>Regulation (EU) 2017/745</w:t>
      </w:r>
      <w:r w:rsidR="2FB3ED7D" w:rsidRPr="004C70EC">
        <w:rPr>
          <w:noProof/>
          <w:shd w:val="clear" w:color="auto" w:fill="FFFFFF"/>
          <w:lang w:eastAsia="en-GB"/>
        </w:rPr>
        <w:t xml:space="preserve"> </w:t>
      </w:r>
      <w:r w:rsidR="4D9C784A" w:rsidRPr="004C70EC">
        <w:rPr>
          <w:noProof/>
        </w:rPr>
        <w:t>of the European Parliament and of the Council</w:t>
      </w:r>
      <w:r w:rsidR="249CF78E" w:rsidRPr="004C70EC">
        <w:rPr>
          <w:noProof/>
          <w:shd w:val="clear" w:color="auto" w:fill="FFFFFF"/>
          <w:lang w:eastAsia="en-GB"/>
        </w:rPr>
        <w:t xml:space="preserve">, </w:t>
      </w:r>
      <w:r w:rsidR="3B8CE3F1" w:rsidRPr="004C70EC">
        <w:rPr>
          <w:noProof/>
          <w:lang w:eastAsia="en-GB"/>
        </w:rPr>
        <w:t xml:space="preserve">[revised </w:t>
      </w:r>
      <w:r w:rsidR="249CF78E" w:rsidRPr="004C70EC">
        <w:rPr>
          <w:noProof/>
          <w:shd w:val="clear" w:color="auto" w:fill="FFFFFF"/>
          <w:lang w:eastAsia="en-GB"/>
        </w:rPr>
        <w:t>Regulation (EU) 2017/746</w:t>
      </w:r>
      <w:r w:rsidR="3B8CE3F1" w:rsidRPr="004C70EC">
        <w:rPr>
          <w:noProof/>
          <w:lang w:eastAsia="en-GB"/>
        </w:rPr>
        <w:t>]</w:t>
      </w:r>
      <w:r w:rsidR="249CF78E" w:rsidRPr="004C70EC">
        <w:rPr>
          <w:noProof/>
          <w:shd w:val="clear" w:color="auto" w:fill="FFFFFF"/>
          <w:lang w:eastAsia="en-GB"/>
        </w:rPr>
        <w:t>, [revised Regulation No (EC) 726/2004], Regulation (EU) 2024/1938 of the European Parliament and of the Council</w:t>
      </w:r>
      <w:r w:rsidR="001A3284" w:rsidRPr="004C70EC">
        <w:rPr>
          <w:rStyle w:val="FootnoteReference"/>
          <w:rFonts w:eastAsia="Times New Roman"/>
          <w:noProof/>
          <w:color w:val="000000" w:themeColor="text1"/>
          <w:lang w:eastAsia="en-GB"/>
        </w:rPr>
        <w:footnoteReference w:id="129"/>
      </w:r>
      <w:r w:rsidR="123C609F" w:rsidRPr="004C70EC">
        <w:rPr>
          <w:noProof/>
          <w:lang w:eastAsia="en-GB"/>
        </w:rPr>
        <w:t xml:space="preserve"> </w:t>
      </w:r>
      <w:r w:rsidR="249CF78E" w:rsidRPr="004C70EC">
        <w:rPr>
          <w:noProof/>
          <w:shd w:val="clear" w:color="auto" w:fill="FFFFFF"/>
          <w:lang w:eastAsia="en-GB"/>
        </w:rPr>
        <w:t xml:space="preserve">contain specific mechanisms to manage the determination of the regulatory status of products that do not fall clearly within a Union legislative framework in the area of health. These mechanisms include the possibility of requesting a recommendation or opinion from the respective advisory bodies or the Agency, as applicable, at Union </w:t>
      </w:r>
      <w:r w:rsidR="62350AD9" w:rsidRPr="004C70EC">
        <w:rPr>
          <w:noProof/>
          <w:shd w:val="clear" w:color="auto" w:fill="FFFFFF"/>
          <w:lang w:eastAsia="en-GB"/>
        </w:rPr>
        <w:t>level,</w:t>
      </w:r>
      <w:r w:rsidR="249CF78E" w:rsidRPr="004C70EC">
        <w:rPr>
          <w:noProof/>
          <w:shd w:val="clear" w:color="auto" w:fill="FFFFFF"/>
          <w:lang w:eastAsia="en-GB"/>
        </w:rPr>
        <w:t xml:space="preserve"> and eventually the possibility for binding decisions of the Commission on the regulatory status. These mechanisms should ensure predictability and conclusive opinions for products of which the status is being debated, avoiding cases where it</w:t>
      </w:r>
      <w:r w:rsidR="1BD4884B" w:rsidRPr="004C70EC">
        <w:rPr>
          <w:noProof/>
          <w:lang w:eastAsia="en-GB"/>
        </w:rPr>
        <w:t xml:space="preserve"> </w:t>
      </w:r>
      <w:r w:rsidR="249CF78E" w:rsidRPr="004C70EC">
        <w:rPr>
          <w:noProof/>
          <w:shd w:val="clear" w:color="auto" w:fill="FFFFFF"/>
          <w:lang w:eastAsia="en-GB"/>
        </w:rPr>
        <w:t>remains</w:t>
      </w:r>
      <w:r w:rsidR="1BD4884B" w:rsidRPr="004C70EC">
        <w:rPr>
          <w:noProof/>
          <w:lang w:eastAsia="en-GB"/>
        </w:rPr>
        <w:t xml:space="preserve"> </w:t>
      </w:r>
      <w:r w:rsidR="249CF78E" w:rsidRPr="004C70EC">
        <w:rPr>
          <w:noProof/>
          <w:shd w:val="clear" w:color="auto" w:fill="FFFFFF"/>
          <w:lang w:eastAsia="en-GB"/>
        </w:rPr>
        <w:t>unclear which framework</w:t>
      </w:r>
      <w:r w:rsidR="1BD4884B" w:rsidRPr="004C70EC">
        <w:rPr>
          <w:noProof/>
          <w:lang w:eastAsia="en-GB"/>
        </w:rPr>
        <w:t xml:space="preserve"> </w:t>
      </w:r>
      <w:r w:rsidR="249CF78E" w:rsidRPr="004C70EC">
        <w:rPr>
          <w:noProof/>
          <w:shd w:val="clear" w:color="auto" w:fill="FFFFFF"/>
          <w:lang w:eastAsia="en-GB"/>
        </w:rPr>
        <w:t>applies,</w:t>
      </w:r>
      <w:r w:rsidR="1BD4884B" w:rsidRPr="004C70EC">
        <w:rPr>
          <w:noProof/>
          <w:lang w:eastAsia="en-GB"/>
        </w:rPr>
        <w:t xml:space="preserve"> </w:t>
      </w:r>
      <w:r w:rsidR="249CF78E" w:rsidRPr="004C70EC">
        <w:rPr>
          <w:noProof/>
          <w:shd w:val="clear" w:color="auto" w:fill="FFFFFF"/>
          <w:lang w:eastAsia="en-GB"/>
        </w:rPr>
        <w:t>and the assessment of the product is</w:t>
      </w:r>
      <w:r w:rsidR="1BD4884B" w:rsidRPr="004C70EC">
        <w:rPr>
          <w:noProof/>
          <w:lang w:eastAsia="en-GB"/>
        </w:rPr>
        <w:t xml:space="preserve"> </w:t>
      </w:r>
      <w:r w:rsidR="249CF78E" w:rsidRPr="004C70EC">
        <w:rPr>
          <w:noProof/>
          <w:shd w:val="clear" w:color="auto" w:fill="FFFFFF"/>
          <w:lang w:eastAsia="en-GB"/>
        </w:rPr>
        <w:t>consequently</w:t>
      </w:r>
      <w:r w:rsidR="1BD4884B" w:rsidRPr="004C70EC">
        <w:rPr>
          <w:noProof/>
          <w:lang w:eastAsia="en-GB"/>
        </w:rPr>
        <w:t xml:space="preserve"> </w:t>
      </w:r>
      <w:r w:rsidR="249CF78E" w:rsidRPr="004C70EC">
        <w:rPr>
          <w:noProof/>
          <w:shd w:val="clear" w:color="auto" w:fill="FFFFFF"/>
          <w:lang w:eastAsia="en-GB"/>
        </w:rPr>
        <w:t>halted or delayed.</w:t>
      </w:r>
    </w:p>
    <w:p w14:paraId="4BC5037E" w14:textId="466327FA" w:rsidR="004E527A" w:rsidRPr="004C70EC" w:rsidRDefault="00C03A23" w:rsidP="00C03A23">
      <w:pPr>
        <w:pStyle w:val="ManualConsidrant"/>
        <w:rPr>
          <w:noProof/>
          <w:lang w:val="en-IE" w:eastAsia="de-DE"/>
        </w:rPr>
      </w:pPr>
      <w:r w:rsidRPr="00C03A23">
        <w:rPr>
          <w:noProof/>
        </w:rPr>
        <w:t>(74)</w:t>
      </w:r>
      <w:r w:rsidRPr="00C03A23">
        <w:rPr>
          <w:noProof/>
        </w:rPr>
        <w:tab/>
      </w:r>
      <w:r w:rsidR="249CF78E" w:rsidRPr="004C70EC">
        <w:rPr>
          <w:noProof/>
          <w:shd w:val="clear" w:color="auto" w:fill="FFFFFF"/>
          <w:lang w:eastAsia="en-GB"/>
        </w:rPr>
        <w:t>Developers of health biotechnology products, in particular SMEs,</w:t>
      </w:r>
      <w:r w:rsidR="14A75072" w:rsidRPr="004C70EC">
        <w:rPr>
          <w:noProof/>
          <w:lang w:eastAsia="en-GB"/>
        </w:rPr>
        <w:t xml:space="preserve"> </w:t>
      </w:r>
      <w:r w:rsidR="249CF78E" w:rsidRPr="004C70EC">
        <w:rPr>
          <w:noProof/>
          <w:shd w:val="clear" w:color="auto" w:fill="FFFFFF"/>
          <w:lang w:eastAsia="en-GB"/>
        </w:rPr>
        <w:t>start-ups</w:t>
      </w:r>
      <w:r w:rsidR="14A75072" w:rsidRPr="004C70EC">
        <w:rPr>
          <w:noProof/>
          <w:lang w:eastAsia="en-GB"/>
        </w:rPr>
        <w:t xml:space="preserve"> </w:t>
      </w:r>
      <w:r w:rsidR="249CF78E" w:rsidRPr="004C70EC">
        <w:rPr>
          <w:noProof/>
          <w:shd w:val="clear" w:color="auto" w:fill="FFFFFF"/>
          <w:lang w:eastAsia="en-GB"/>
        </w:rPr>
        <w:t>and scale-ups, often lack the regulatory</w:t>
      </w:r>
      <w:r w:rsidR="14A75072" w:rsidRPr="004C70EC">
        <w:rPr>
          <w:noProof/>
          <w:lang w:eastAsia="en-GB"/>
        </w:rPr>
        <w:t xml:space="preserve"> </w:t>
      </w:r>
      <w:r w:rsidR="249CF78E" w:rsidRPr="004C70EC">
        <w:rPr>
          <w:noProof/>
          <w:shd w:val="clear" w:color="auto" w:fill="FFFFFF"/>
          <w:lang w:eastAsia="en-GB"/>
        </w:rPr>
        <w:t>expertise</w:t>
      </w:r>
      <w:r w:rsidR="14A75072" w:rsidRPr="004C70EC">
        <w:rPr>
          <w:noProof/>
          <w:lang w:eastAsia="en-GB"/>
        </w:rPr>
        <w:t xml:space="preserve"> </w:t>
      </w:r>
      <w:r w:rsidR="249CF78E" w:rsidRPr="004C70EC">
        <w:rPr>
          <w:noProof/>
          <w:shd w:val="clear" w:color="auto" w:fill="FFFFFF"/>
          <w:lang w:eastAsia="en-GB"/>
        </w:rPr>
        <w:t>and capacity needed to</w:t>
      </w:r>
      <w:r w:rsidR="14A75072" w:rsidRPr="004C70EC">
        <w:rPr>
          <w:noProof/>
          <w:lang w:eastAsia="en-GB"/>
        </w:rPr>
        <w:t xml:space="preserve"> </w:t>
      </w:r>
      <w:r w:rsidR="249CF78E" w:rsidRPr="004C70EC">
        <w:rPr>
          <w:noProof/>
          <w:shd w:val="clear" w:color="auto" w:fill="FFFFFF"/>
          <w:lang w:eastAsia="en-GB"/>
        </w:rPr>
        <w:t>identify,</w:t>
      </w:r>
      <w:r w:rsidR="14A75072" w:rsidRPr="004C70EC">
        <w:rPr>
          <w:noProof/>
          <w:lang w:eastAsia="en-GB"/>
        </w:rPr>
        <w:t xml:space="preserve"> </w:t>
      </w:r>
      <w:r w:rsidR="249CF78E" w:rsidRPr="004C70EC">
        <w:rPr>
          <w:noProof/>
          <w:shd w:val="clear" w:color="auto" w:fill="FFFFFF"/>
          <w:lang w:eastAsia="en-GB"/>
        </w:rPr>
        <w:t>anticipate</w:t>
      </w:r>
      <w:r w:rsidR="14A75072" w:rsidRPr="004C70EC">
        <w:rPr>
          <w:noProof/>
          <w:lang w:eastAsia="en-GB"/>
        </w:rPr>
        <w:t xml:space="preserve"> </w:t>
      </w:r>
      <w:r w:rsidR="249CF78E" w:rsidRPr="004C70EC">
        <w:rPr>
          <w:noProof/>
          <w:shd w:val="clear" w:color="auto" w:fill="FFFFFF"/>
          <w:lang w:eastAsia="en-GB"/>
        </w:rPr>
        <w:t>and plan their entry into the</w:t>
      </w:r>
      <w:r w:rsidR="09D1F483" w:rsidRPr="004C70EC">
        <w:rPr>
          <w:noProof/>
          <w:lang w:eastAsia="en-GB"/>
        </w:rPr>
        <w:t xml:space="preserve"> </w:t>
      </w:r>
      <w:r w:rsidR="249CF78E" w:rsidRPr="004C70EC">
        <w:rPr>
          <w:noProof/>
          <w:shd w:val="clear" w:color="auto" w:fill="FFFFFF"/>
          <w:lang w:eastAsia="en-GB"/>
        </w:rPr>
        <w:t>appropriate regulatory</w:t>
      </w:r>
      <w:r w:rsidR="14A75072" w:rsidRPr="004C70EC">
        <w:rPr>
          <w:noProof/>
          <w:lang w:eastAsia="en-GB"/>
        </w:rPr>
        <w:t xml:space="preserve"> </w:t>
      </w:r>
      <w:r w:rsidR="29507E9C" w:rsidRPr="004C70EC">
        <w:rPr>
          <w:noProof/>
          <w:lang w:eastAsia="en-GB"/>
        </w:rPr>
        <w:t>procedur</w:t>
      </w:r>
      <w:r w:rsidR="3C7216F6" w:rsidRPr="004C70EC">
        <w:rPr>
          <w:noProof/>
          <w:lang w:eastAsia="en-GB"/>
        </w:rPr>
        <w:t>al pathways</w:t>
      </w:r>
      <w:r w:rsidR="249CF78E" w:rsidRPr="004C70EC">
        <w:rPr>
          <w:noProof/>
          <w:shd w:val="clear" w:color="auto" w:fill="FFFFFF"/>
          <w:lang w:eastAsia="en-GB"/>
        </w:rPr>
        <w:t>.</w:t>
      </w:r>
      <w:r w:rsidR="14A75072" w:rsidRPr="004C70EC">
        <w:rPr>
          <w:noProof/>
          <w:lang w:eastAsia="en-GB"/>
        </w:rPr>
        <w:t xml:space="preserve"> </w:t>
      </w:r>
      <w:r w:rsidR="249CF78E" w:rsidRPr="004C70EC">
        <w:rPr>
          <w:noProof/>
          <w:shd w:val="clear" w:color="auto" w:fill="FFFFFF"/>
          <w:lang w:eastAsia="en-GB"/>
        </w:rPr>
        <w:t>In order to</w:t>
      </w:r>
      <w:r w:rsidR="14A75072" w:rsidRPr="004C70EC">
        <w:rPr>
          <w:noProof/>
          <w:lang w:eastAsia="en-GB"/>
        </w:rPr>
        <w:t xml:space="preserve"> </w:t>
      </w:r>
      <w:r w:rsidR="249CF78E" w:rsidRPr="004C70EC">
        <w:rPr>
          <w:noProof/>
          <w:shd w:val="clear" w:color="auto" w:fill="FFFFFF"/>
          <w:lang w:eastAsia="en-GB"/>
        </w:rPr>
        <w:t xml:space="preserve">address this challenge, the </w:t>
      </w:r>
      <w:r w:rsidR="636CAF29" w:rsidRPr="004C70EC">
        <w:rPr>
          <w:noProof/>
          <w:lang w:eastAsia="en-GB"/>
        </w:rPr>
        <w:t>EU Health Biotechnology Support Network</w:t>
      </w:r>
      <w:r w:rsidR="249CF78E" w:rsidRPr="004C70EC">
        <w:rPr>
          <w:noProof/>
          <w:shd w:val="clear" w:color="auto" w:fill="FFFFFF"/>
          <w:lang w:eastAsia="en-GB"/>
        </w:rPr>
        <w:t>, acting as a service provider,</w:t>
      </w:r>
      <w:r w:rsidR="249CF78E" w:rsidRPr="004C70EC">
        <w:rPr>
          <w:noProof/>
          <w:lang w:eastAsia="en-GB"/>
        </w:rPr>
        <w:t xml:space="preserve"> </w:t>
      </w:r>
      <w:r w:rsidR="249CF78E" w:rsidRPr="004C70EC">
        <w:rPr>
          <w:noProof/>
          <w:shd w:val="clear" w:color="auto" w:fill="FFFFFF"/>
          <w:lang w:eastAsia="en-GB"/>
        </w:rPr>
        <w:t>should provide preliminary support to such developers by</w:t>
      </w:r>
      <w:r w:rsidR="1E0FAB91" w:rsidRPr="004C70EC">
        <w:rPr>
          <w:noProof/>
          <w:lang w:eastAsia="en-GB"/>
        </w:rPr>
        <w:t xml:space="preserve"> </w:t>
      </w:r>
      <w:r w:rsidR="249CF78E" w:rsidRPr="004C70EC">
        <w:rPr>
          <w:noProof/>
          <w:shd w:val="clear" w:color="auto" w:fill="FFFFFF"/>
          <w:lang w:eastAsia="en-GB"/>
        </w:rPr>
        <w:t>facilitating</w:t>
      </w:r>
      <w:r w:rsidR="1E0FAB91" w:rsidRPr="004C70EC">
        <w:rPr>
          <w:noProof/>
          <w:lang w:eastAsia="en-GB"/>
        </w:rPr>
        <w:t xml:space="preserve"> </w:t>
      </w:r>
      <w:r w:rsidR="249CF78E" w:rsidRPr="004C70EC">
        <w:rPr>
          <w:noProof/>
          <w:shd w:val="clear" w:color="auto" w:fill="FFFFFF"/>
          <w:lang w:eastAsia="en-GB"/>
        </w:rPr>
        <w:t>information on, and access to, applicable legislative frameworks, and should point to relevant opinions, recommendations,</w:t>
      </w:r>
      <w:r w:rsidR="1E0FAB91" w:rsidRPr="004C70EC">
        <w:rPr>
          <w:noProof/>
          <w:lang w:eastAsia="en-GB"/>
        </w:rPr>
        <w:t xml:space="preserve"> </w:t>
      </w:r>
      <w:r w:rsidR="249CF78E" w:rsidRPr="004C70EC">
        <w:rPr>
          <w:noProof/>
          <w:shd w:val="clear" w:color="auto" w:fill="FFFFFF"/>
          <w:lang w:eastAsia="en-GB"/>
        </w:rPr>
        <w:t>guidance</w:t>
      </w:r>
      <w:r w:rsidR="1E0FAB91" w:rsidRPr="004C70EC">
        <w:rPr>
          <w:noProof/>
          <w:lang w:eastAsia="en-GB"/>
        </w:rPr>
        <w:t xml:space="preserve"> </w:t>
      </w:r>
      <w:r w:rsidR="249CF78E" w:rsidRPr="004C70EC">
        <w:rPr>
          <w:noProof/>
          <w:shd w:val="clear" w:color="auto" w:fill="FFFFFF"/>
          <w:lang w:eastAsia="en-GB"/>
        </w:rPr>
        <w:t>and decisions.</w:t>
      </w:r>
    </w:p>
    <w:p w14:paraId="6023D8C1" w14:textId="4C8FDECC" w:rsidR="004E527A" w:rsidRPr="004C70EC" w:rsidRDefault="00C03A23" w:rsidP="00C03A23">
      <w:pPr>
        <w:pStyle w:val="ManualConsidrant"/>
        <w:rPr>
          <w:noProof/>
          <w:lang w:val="en-IE" w:eastAsia="de-DE"/>
        </w:rPr>
      </w:pPr>
      <w:r w:rsidRPr="00C03A23">
        <w:rPr>
          <w:noProof/>
        </w:rPr>
        <w:t>(75)</w:t>
      </w:r>
      <w:r w:rsidRPr="00C03A23">
        <w:rPr>
          <w:noProof/>
        </w:rPr>
        <w:tab/>
      </w:r>
      <w:r w:rsidR="212FC6E9" w:rsidRPr="004C70EC">
        <w:rPr>
          <w:noProof/>
          <w:shd w:val="clear" w:color="auto" w:fill="FFFFFF"/>
          <w:lang w:eastAsia="en-GB"/>
        </w:rPr>
        <w:t>To allow developers to anticipate and navigate procedures to determine the regulatory status, a Union-wide and cross-framework Regulatory Status Repository should be established. That Repository should compile relevant opinions, recommendations, decisions and guidance developed under the mechanisms established in the Union legislative frameworks in the area of health with a view to determine the regulatory status of a product. That Repository should also include the recommendations on the classifications of products as advanced therapy medicinal products (ATMPs) issued by the Committee for Advanced Therapies, established in accordance with Regulation (EC) No 1394/2007 of the European Parliament and of the Council</w:t>
      </w:r>
      <w:r w:rsidR="00273F36" w:rsidRPr="004C70EC">
        <w:rPr>
          <w:rStyle w:val="FootnoteReference"/>
          <w:noProof/>
          <w:color w:val="000000" w:themeColor="text1"/>
        </w:rPr>
        <w:footnoteReference w:id="130"/>
      </w:r>
      <w:r w:rsidR="212FC6E9" w:rsidRPr="004C70EC">
        <w:rPr>
          <w:noProof/>
          <w:shd w:val="clear" w:color="auto" w:fill="FFFFFF"/>
          <w:lang w:eastAsia="en-GB"/>
        </w:rPr>
        <w:t xml:space="preserve"> prior to the date of application of Regulation (EC) No 726/2004. Such </w:t>
      </w:r>
      <w:r w:rsidR="009B59E5" w:rsidRPr="004C70EC">
        <w:rPr>
          <w:noProof/>
          <w:shd w:val="clear" w:color="auto" w:fill="FFFFFF"/>
          <w:lang w:eastAsia="en-GB"/>
        </w:rPr>
        <w:t>r</w:t>
      </w:r>
      <w:r w:rsidR="212FC6E9" w:rsidRPr="004C70EC">
        <w:rPr>
          <w:noProof/>
          <w:shd w:val="clear" w:color="auto" w:fill="FFFFFF"/>
          <w:lang w:eastAsia="en-GB"/>
        </w:rPr>
        <w:t xml:space="preserve">epository should be accessible for developers and authorities to enable them to understand how similar health biotechnology products are evaluated in terms of status, and what considerations are put forward. This will guide developers and authorities, </w:t>
      </w:r>
      <w:r w:rsidR="268ACCDA" w:rsidRPr="004C70EC">
        <w:rPr>
          <w:noProof/>
          <w:lang w:eastAsia="en-GB"/>
        </w:rPr>
        <w:t>to</w:t>
      </w:r>
      <w:r w:rsidR="212FC6E9" w:rsidRPr="004C70EC">
        <w:rPr>
          <w:noProof/>
          <w:lang w:eastAsia="en-GB"/>
        </w:rPr>
        <w:t xml:space="preserve"> </w:t>
      </w:r>
      <w:r w:rsidR="212FC6E9" w:rsidRPr="004C70EC">
        <w:rPr>
          <w:noProof/>
          <w:shd w:val="clear" w:color="auto" w:fill="FFFFFF"/>
          <w:lang w:eastAsia="en-GB"/>
        </w:rPr>
        <w:t xml:space="preserve">improve efficiency, foster transparency, and ensure consistency and mutual learning across Union and national authorities. </w:t>
      </w:r>
      <w:r w:rsidR="2C17AC46" w:rsidRPr="004C70EC">
        <w:rPr>
          <w:noProof/>
          <w:lang w:eastAsia="en-GB"/>
        </w:rPr>
        <w:t>This Regulatory Status Repository should not include opinions, recommendations, decisions and guidance on the regulatory status of AI systems and models within the scope of the Regulation (EU) 2024/1689.</w:t>
      </w:r>
    </w:p>
    <w:p w14:paraId="5A3F581A" w14:textId="230687AE" w:rsidR="004E527A" w:rsidRPr="004C70EC" w:rsidRDefault="00C03A23" w:rsidP="00C03A23">
      <w:pPr>
        <w:pStyle w:val="ManualConsidrant"/>
        <w:rPr>
          <w:noProof/>
          <w:lang w:val="en-IE" w:eastAsia="de-DE"/>
        </w:rPr>
      </w:pPr>
      <w:r w:rsidRPr="00C03A23">
        <w:rPr>
          <w:noProof/>
        </w:rPr>
        <w:t>(76)</w:t>
      </w:r>
      <w:r w:rsidRPr="00C03A23">
        <w:rPr>
          <w:noProof/>
        </w:rPr>
        <w:tab/>
      </w:r>
      <w:r w:rsidR="249CF78E" w:rsidRPr="004C70EC">
        <w:rPr>
          <w:noProof/>
          <w:shd w:val="clear" w:color="auto" w:fill="FFFFFF"/>
          <w:lang w:eastAsia="en-GB"/>
        </w:rPr>
        <w:t>Existing mechanisms for addressing health biotechnology products, including those for</w:t>
      </w:r>
      <w:r w:rsidR="09AA8A11" w:rsidRPr="004C70EC">
        <w:rPr>
          <w:noProof/>
          <w:lang w:eastAsia="en-GB"/>
        </w:rPr>
        <w:t xml:space="preserve"> </w:t>
      </w:r>
      <w:r w:rsidR="249CF78E" w:rsidRPr="004C70EC">
        <w:rPr>
          <w:noProof/>
          <w:shd w:val="clear" w:color="auto" w:fill="FFFFFF"/>
          <w:lang w:eastAsia="en-GB"/>
        </w:rPr>
        <w:t>determining</w:t>
      </w:r>
      <w:r w:rsidR="09AA8A11" w:rsidRPr="004C70EC">
        <w:rPr>
          <w:noProof/>
          <w:lang w:eastAsia="en-GB"/>
        </w:rPr>
        <w:t xml:space="preserve"> </w:t>
      </w:r>
      <w:r w:rsidR="249CF78E" w:rsidRPr="004C70EC">
        <w:rPr>
          <w:noProof/>
          <w:shd w:val="clear" w:color="auto" w:fill="FFFFFF"/>
          <w:lang w:eastAsia="en-GB"/>
        </w:rPr>
        <w:t>their regulatory status as described above, provide for consultation among various advisory bodies and the Agency. However, such procedures are typically focused on individual products on a case-by-case basis. There is, therefore, a need for more systematic coordination across Union legislative frameworks to better</w:t>
      </w:r>
      <w:r w:rsidR="09AA8A11" w:rsidRPr="004C70EC">
        <w:rPr>
          <w:noProof/>
          <w:lang w:eastAsia="en-GB"/>
        </w:rPr>
        <w:t xml:space="preserve"> </w:t>
      </w:r>
      <w:r w:rsidR="249CF78E" w:rsidRPr="004C70EC">
        <w:rPr>
          <w:noProof/>
          <w:shd w:val="clear" w:color="auto" w:fill="FFFFFF"/>
          <w:lang w:eastAsia="en-GB"/>
        </w:rPr>
        <w:t>identify</w:t>
      </w:r>
      <w:r w:rsidR="09AA8A11" w:rsidRPr="004C70EC">
        <w:rPr>
          <w:noProof/>
          <w:lang w:eastAsia="en-GB"/>
        </w:rPr>
        <w:t xml:space="preserve"> </w:t>
      </w:r>
      <w:r w:rsidR="249CF78E" w:rsidRPr="004C70EC">
        <w:rPr>
          <w:noProof/>
          <w:shd w:val="clear" w:color="auto" w:fill="FFFFFF"/>
          <w:lang w:eastAsia="en-GB"/>
        </w:rPr>
        <w:t>and prepare for emerging innovations driving the development of health biotechnology products that may challenge existing Union legislative frameworks in the area of health. With an expected increase in health biotechnology products entering the regulatory system, there is a growing need for horizontal foresight</w:t>
      </w:r>
      <w:r w:rsidR="507B8DCB" w:rsidRPr="004C70EC">
        <w:rPr>
          <w:noProof/>
          <w:lang w:eastAsia="en-GB"/>
        </w:rPr>
        <w:t xml:space="preserve"> </w:t>
      </w:r>
      <w:r w:rsidR="249CF78E" w:rsidRPr="004C70EC">
        <w:rPr>
          <w:noProof/>
          <w:shd w:val="clear" w:color="auto" w:fill="FFFFFF"/>
          <w:lang w:eastAsia="en-GB"/>
        </w:rPr>
        <w:t>anticipating</w:t>
      </w:r>
      <w:r w:rsidR="507B8DCB" w:rsidRPr="004C70EC">
        <w:rPr>
          <w:noProof/>
          <w:lang w:eastAsia="en-GB"/>
        </w:rPr>
        <w:t xml:space="preserve"> </w:t>
      </w:r>
      <w:r w:rsidR="249CF78E" w:rsidRPr="004C70EC">
        <w:rPr>
          <w:noProof/>
          <w:shd w:val="clear" w:color="auto" w:fill="FFFFFF"/>
          <w:lang w:eastAsia="en-GB"/>
        </w:rPr>
        <w:t>technological developments through structured horizon-scanning activities which will enable the regulators to adopt regulatory approaches proactively, rather than reactively addressing each new difficult case.</w:t>
      </w:r>
    </w:p>
    <w:p w14:paraId="4B23BE2D" w14:textId="5AA264EC" w:rsidR="004E527A" w:rsidRPr="004C70EC" w:rsidRDefault="00C03A23" w:rsidP="00C03A23">
      <w:pPr>
        <w:pStyle w:val="ManualConsidrant"/>
        <w:rPr>
          <w:noProof/>
          <w:shd w:val="clear" w:color="auto" w:fill="FFFFFF"/>
          <w:lang w:eastAsia="en-GB"/>
        </w:rPr>
      </w:pPr>
      <w:r w:rsidRPr="00C03A23">
        <w:rPr>
          <w:noProof/>
        </w:rPr>
        <w:t>(77)</w:t>
      </w:r>
      <w:r w:rsidRPr="00C03A23">
        <w:rPr>
          <w:noProof/>
        </w:rPr>
        <w:tab/>
      </w:r>
      <w:r w:rsidR="249CF78E" w:rsidRPr="004C70EC">
        <w:rPr>
          <w:noProof/>
          <w:shd w:val="clear" w:color="auto" w:fill="FFFFFF"/>
          <w:lang w:eastAsia="en-GB"/>
        </w:rPr>
        <w:t>To th</w:t>
      </w:r>
      <w:r w:rsidR="29E0110F" w:rsidRPr="004C70EC">
        <w:rPr>
          <w:noProof/>
          <w:shd w:val="clear" w:color="auto" w:fill="FFFFFF"/>
          <w:lang w:eastAsia="en-GB"/>
        </w:rPr>
        <w:t>at</w:t>
      </w:r>
      <w:r w:rsidR="249CF78E" w:rsidRPr="004C70EC">
        <w:rPr>
          <w:noProof/>
          <w:shd w:val="clear" w:color="auto" w:fill="FFFFFF"/>
          <w:lang w:eastAsia="en-GB"/>
        </w:rPr>
        <w:t xml:space="preserve"> end, this Regulation</w:t>
      </w:r>
      <w:r w:rsidR="57125C92" w:rsidRPr="004C70EC">
        <w:rPr>
          <w:noProof/>
          <w:lang w:eastAsia="en-GB"/>
        </w:rPr>
        <w:t xml:space="preserve"> </w:t>
      </w:r>
      <w:r w:rsidR="7126915F" w:rsidRPr="004C70EC">
        <w:rPr>
          <w:noProof/>
          <w:lang w:eastAsia="en-GB"/>
        </w:rPr>
        <w:t xml:space="preserve">should </w:t>
      </w:r>
      <w:r w:rsidR="249CF78E" w:rsidRPr="004C70EC">
        <w:rPr>
          <w:noProof/>
          <w:shd w:val="clear" w:color="auto" w:fill="FFFFFF"/>
          <w:lang w:eastAsia="en-GB"/>
        </w:rPr>
        <w:t>establis</w:t>
      </w:r>
      <w:r w:rsidR="5D41DE51" w:rsidRPr="004C70EC">
        <w:rPr>
          <w:noProof/>
          <w:lang w:val="en-IE" w:eastAsia="de-DE"/>
        </w:rPr>
        <w:t>h</w:t>
      </w:r>
      <w:r w:rsidR="57125C92" w:rsidRPr="004C70EC">
        <w:rPr>
          <w:noProof/>
          <w:lang w:eastAsia="en-GB"/>
        </w:rPr>
        <w:t xml:space="preserve"> </w:t>
      </w:r>
      <w:r w:rsidR="5C819F57" w:rsidRPr="004C70EC">
        <w:rPr>
          <w:noProof/>
          <w:lang w:eastAsia="en-GB"/>
        </w:rPr>
        <w:t>a</w:t>
      </w:r>
      <w:r w:rsidR="249CF78E" w:rsidRPr="004C70EC">
        <w:rPr>
          <w:noProof/>
          <w:shd w:val="clear" w:color="auto" w:fill="FFFFFF"/>
          <w:lang w:eastAsia="en-GB"/>
        </w:rPr>
        <w:t xml:space="preserve"> </w:t>
      </w:r>
      <w:r w:rsidR="0FCB8F42" w:rsidRPr="004C70EC">
        <w:rPr>
          <w:noProof/>
          <w:lang w:eastAsia="en-GB"/>
        </w:rPr>
        <w:t>Foresight Panel for Emerging Health Innovation</w:t>
      </w:r>
      <w:r w:rsidR="249CF78E" w:rsidRPr="004C70EC">
        <w:rPr>
          <w:noProof/>
          <w:shd w:val="clear" w:color="auto" w:fill="FFFFFF"/>
          <w:lang w:eastAsia="en-GB"/>
        </w:rPr>
        <w:t xml:space="preserve"> to complement existing mechanisms by providing a platform for horizontal coordination and forward-looking analysis</w:t>
      </w:r>
      <w:r w:rsidR="1E1D759F" w:rsidRPr="004C70EC">
        <w:rPr>
          <w:noProof/>
          <w:lang w:eastAsia="en-GB"/>
        </w:rPr>
        <w:t xml:space="preserve">. </w:t>
      </w:r>
      <w:r w:rsidR="249CF78E" w:rsidRPr="004C70EC">
        <w:rPr>
          <w:noProof/>
          <w:shd w:val="clear" w:color="auto" w:fill="FFFFFF"/>
          <w:lang w:eastAsia="en-GB"/>
        </w:rPr>
        <w:t>The Panel should conduct horizon scanning to</w:t>
      </w:r>
      <w:r w:rsidR="57125C92" w:rsidRPr="004C70EC">
        <w:rPr>
          <w:noProof/>
          <w:lang w:eastAsia="en-GB"/>
        </w:rPr>
        <w:t xml:space="preserve"> </w:t>
      </w:r>
      <w:r w:rsidR="249CF78E" w:rsidRPr="004C70EC">
        <w:rPr>
          <w:noProof/>
          <w:shd w:val="clear" w:color="auto" w:fill="FFFFFF"/>
          <w:lang w:eastAsia="en-GB"/>
        </w:rPr>
        <w:t>identify</w:t>
      </w:r>
      <w:r w:rsidR="57125C92" w:rsidRPr="004C70EC">
        <w:rPr>
          <w:noProof/>
          <w:lang w:eastAsia="en-GB"/>
        </w:rPr>
        <w:t xml:space="preserve"> </w:t>
      </w:r>
      <w:r w:rsidR="249CF78E" w:rsidRPr="004C70EC">
        <w:rPr>
          <w:noProof/>
          <w:shd w:val="clear" w:color="auto" w:fill="FFFFFF"/>
          <w:lang w:eastAsia="en-GB"/>
        </w:rPr>
        <w:t>emerging technologies at an early stage and discuss cross-cutting regulatory issues, thereby informing and</w:t>
      </w:r>
      <w:r w:rsidR="57125C92" w:rsidRPr="004C70EC">
        <w:rPr>
          <w:noProof/>
          <w:lang w:eastAsia="en-GB"/>
        </w:rPr>
        <w:t xml:space="preserve"> </w:t>
      </w:r>
      <w:r w:rsidR="249CF78E" w:rsidRPr="004C70EC">
        <w:rPr>
          <w:noProof/>
          <w:shd w:val="clear" w:color="auto" w:fill="FFFFFF"/>
          <w:lang w:eastAsia="en-GB"/>
        </w:rPr>
        <w:t>anticipating</w:t>
      </w:r>
      <w:r w:rsidR="57125C92" w:rsidRPr="004C70EC">
        <w:rPr>
          <w:noProof/>
          <w:lang w:eastAsia="en-GB"/>
        </w:rPr>
        <w:t xml:space="preserve"> </w:t>
      </w:r>
      <w:r w:rsidR="249CF78E" w:rsidRPr="004C70EC">
        <w:rPr>
          <w:noProof/>
          <w:shd w:val="clear" w:color="auto" w:fill="FFFFFF"/>
          <w:lang w:eastAsia="en-GB"/>
        </w:rPr>
        <w:t>discussions on health biotechnology products that may</w:t>
      </w:r>
      <w:r w:rsidR="57125C92" w:rsidRPr="004C70EC">
        <w:rPr>
          <w:noProof/>
          <w:lang w:eastAsia="en-GB"/>
        </w:rPr>
        <w:t xml:space="preserve"> </w:t>
      </w:r>
      <w:r w:rsidR="249CF78E" w:rsidRPr="004C70EC">
        <w:rPr>
          <w:noProof/>
          <w:shd w:val="clear" w:color="auto" w:fill="FFFFFF"/>
          <w:lang w:eastAsia="en-GB"/>
        </w:rPr>
        <w:t>subsequently</w:t>
      </w:r>
      <w:r w:rsidR="57125C92" w:rsidRPr="004C70EC">
        <w:rPr>
          <w:noProof/>
          <w:lang w:eastAsia="en-GB"/>
        </w:rPr>
        <w:t xml:space="preserve"> </w:t>
      </w:r>
      <w:r w:rsidR="249CF78E" w:rsidRPr="004C70EC">
        <w:rPr>
          <w:noProof/>
          <w:shd w:val="clear" w:color="auto" w:fill="FFFFFF"/>
          <w:lang w:eastAsia="en-GB"/>
        </w:rPr>
        <w:t>arise within individual frameworks.</w:t>
      </w:r>
      <w:r w:rsidR="3A82241E" w:rsidRPr="004C70EC">
        <w:rPr>
          <w:noProof/>
        </w:rPr>
        <w:t xml:space="preserve"> It should </w:t>
      </w:r>
      <w:r w:rsidR="3A82241E" w:rsidRPr="004C70EC">
        <w:rPr>
          <w:noProof/>
          <w:lang w:eastAsia="en-GB"/>
        </w:rPr>
        <w:t>provide</w:t>
      </w:r>
      <w:r w:rsidR="1E1D759F" w:rsidRPr="004C70EC">
        <w:rPr>
          <w:noProof/>
          <w:lang w:eastAsia="en-GB"/>
        </w:rPr>
        <w:t xml:space="preserve"> expertise on emerging science and technology in the field of health underpinning the development of health biotechnology products to the Commission, the Agency and to relevant Union-level advisory bodies and competent authorities and other entities in the Member States in the area of health</w:t>
      </w:r>
      <w:r w:rsidR="3A82241E" w:rsidRPr="004C70EC">
        <w:rPr>
          <w:noProof/>
          <w:lang w:eastAsia="en-GB"/>
        </w:rPr>
        <w:t>.</w:t>
      </w:r>
    </w:p>
    <w:p w14:paraId="3543B14B" w14:textId="53FAE14F" w:rsidR="004E527A" w:rsidRPr="004C70EC" w:rsidRDefault="00C03A23" w:rsidP="00C03A23">
      <w:pPr>
        <w:pStyle w:val="ManualConsidrant"/>
        <w:rPr>
          <w:noProof/>
          <w:lang w:val="en-IE" w:eastAsia="de-DE"/>
        </w:rPr>
      </w:pPr>
      <w:r w:rsidRPr="00C03A23">
        <w:rPr>
          <w:noProof/>
        </w:rPr>
        <w:t>(78)</w:t>
      </w:r>
      <w:r w:rsidRPr="00C03A23">
        <w:rPr>
          <w:noProof/>
        </w:rPr>
        <w:tab/>
      </w:r>
      <w:r w:rsidR="249CF78E" w:rsidRPr="004C70EC">
        <w:rPr>
          <w:noProof/>
          <w:shd w:val="clear" w:color="auto" w:fill="FFFFFF"/>
          <w:lang w:eastAsia="en-GB"/>
        </w:rPr>
        <w:t>This Panel should complement, without replacing, existing classification mechanisms established under the respective Union legislative frameworks, which remain exclusively competent to provide opinions,</w:t>
      </w:r>
      <w:r w:rsidR="54E97901" w:rsidRPr="004C70EC">
        <w:rPr>
          <w:noProof/>
          <w:lang w:eastAsia="en-GB"/>
        </w:rPr>
        <w:t xml:space="preserve"> </w:t>
      </w:r>
      <w:r w:rsidR="249CF78E" w:rsidRPr="004C70EC">
        <w:rPr>
          <w:noProof/>
          <w:shd w:val="clear" w:color="auto" w:fill="FFFFFF"/>
          <w:lang w:eastAsia="en-GB"/>
        </w:rPr>
        <w:t>recommendations</w:t>
      </w:r>
      <w:r w:rsidR="54E97901" w:rsidRPr="004C70EC">
        <w:rPr>
          <w:noProof/>
          <w:lang w:eastAsia="en-GB"/>
        </w:rPr>
        <w:t xml:space="preserve"> </w:t>
      </w:r>
      <w:r w:rsidR="249CF78E" w:rsidRPr="004C70EC">
        <w:rPr>
          <w:noProof/>
          <w:shd w:val="clear" w:color="auto" w:fill="FFFFFF"/>
          <w:lang w:eastAsia="en-GB"/>
        </w:rPr>
        <w:t>or binding determinations on the regulatory status of specific products. Member States, as authorities primarily responsible for decisions on regulatory status, should be</w:t>
      </w:r>
      <w:r w:rsidR="54E97901" w:rsidRPr="004C70EC">
        <w:rPr>
          <w:noProof/>
          <w:lang w:eastAsia="en-GB"/>
        </w:rPr>
        <w:t xml:space="preserve"> </w:t>
      </w:r>
      <w:r w:rsidR="249CF78E" w:rsidRPr="004C70EC">
        <w:rPr>
          <w:noProof/>
          <w:shd w:val="clear" w:color="auto" w:fill="FFFFFF"/>
          <w:lang w:eastAsia="en-GB"/>
        </w:rPr>
        <w:t>closely involved</w:t>
      </w:r>
      <w:r w:rsidR="54E97901" w:rsidRPr="004C70EC">
        <w:rPr>
          <w:noProof/>
          <w:lang w:eastAsia="en-GB"/>
        </w:rPr>
        <w:t xml:space="preserve"> </w:t>
      </w:r>
      <w:r w:rsidR="249CF78E" w:rsidRPr="004C70EC">
        <w:rPr>
          <w:noProof/>
          <w:shd w:val="clear" w:color="auto" w:fill="FFFFFF"/>
          <w:lang w:eastAsia="en-GB"/>
        </w:rPr>
        <w:t>in the Panel’s work, sharing practical</w:t>
      </w:r>
      <w:r w:rsidR="54E97901" w:rsidRPr="004C70EC">
        <w:rPr>
          <w:noProof/>
          <w:lang w:eastAsia="en-GB"/>
        </w:rPr>
        <w:t xml:space="preserve"> </w:t>
      </w:r>
      <w:r w:rsidR="249CF78E" w:rsidRPr="004C70EC">
        <w:rPr>
          <w:noProof/>
          <w:shd w:val="clear" w:color="auto" w:fill="FFFFFF"/>
          <w:lang w:eastAsia="en-GB"/>
        </w:rPr>
        <w:t>expertise</w:t>
      </w:r>
      <w:r w:rsidR="54E97901" w:rsidRPr="004C70EC">
        <w:rPr>
          <w:noProof/>
          <w:lang w:eastAsia="en-GB"/>
        </w:rPr>
        <w:t xml:space="preserve"> </w:t>
      </w:r>
      <w:r w:rsidR="249CF78E" w:rsidRPr="004C70EC">
        <w:rPr>
          <w:noProof/>
          <w:shd w:val="clear" w:color="auto" w:fill="FFFFFF"/>
          <w:lang w:eastAsia="en-GB"/>
        </w:rPr>
        <w:t>and experience to inform cross-framework dialogue, support harmonisation efforts, and designate experts that bring the Member State perspective.</w:t>
      </w:r>
    </w:p>
    <w:p w14:paraId="00F56823" w14:textId="1DBC183F" w:rsidR="004E527A" w:rsidRPr="004C70EC" w:rsidRDefault="00C03A23" w:rsidP="00C03A23">
      <w:pPr>
        <w:pStyle w:val="ManualConsidrant"/>
        <w:rPr>
          <w:noProof/>
          <w:lang w:val="en-IE" w:eastAsia="de-DE"/>
        </w:rPr>
      </w:pPr>
      <w:r w:rsidRPr="00C03A23">
        <w:rPr>
          <w:noProof/>
        </w:rPr>
        <w:t>(79)</w:t>
      </w:r>
      <w:r w:rsidRPr="00C03A23">
        <w:rPr>
          <w:noProof/>
        </w:rPr>
        <w:tab/>
      </w:r>
      <w:r w:rsidR="54AE5847" w:rsidRPr="004C70EC">
        <w:rPr>
          <w:noProof/>
          <w:shd w:val="clear" w:color="auto" w:fill="FFFFFF"/>
          <w:lang w:eastAsia="en-GB"/>
        </w:rPr>
        <w:t>H</w:t>
      </w:r>
      <w:r w:rsidR="249CF78E" w:rsidRPr="004C70EC">
        <w:rPr>
          <w:noProof/>
          <w:shd w:val="clear" w:color="auto" w:fill="FFFFFF"/>
          <w:lang w:eastAsia="en-GB"/>
        </w:rPr>
        <w:t>ealth biotechnology products increasingly challenge Union legisla</w:t>
      </w:r>
      <w:r w:rsidR="7B503832" w:rsidRPr="004C70EC">
        <w:rPr>
          <w:noProof/>
          <w:lang w:eastAsia="en-GB"/>
        </w:rPr>
        <w:t>tion</w:t>
      </w:r>
      <w:r w:rsidR="249CF78E" w:rsidRPr="004C70EC">
        <w:rPr>
          <w:noProof/>
          <w:shd w:val="clear" w:color="auto" w:fill="FFFFFF"/>
          <w:lang w:eastAsia="en-GB"/>
        </w:rPr>
        <w:t xml:space="preserve">  in the area of health</w:t>
      </w:r>
      <w:r w:rsidR="5D947229" w:rsidRPr="004C70EC">
        <w:rPr>
          <w:noProof/>
          <w:shd w:val="clear" w:color="auto" w:fill="FFFFFF"/>
          <w:lang w:eastAsia="en-GB"/>
        </w:rPr>
        <w:t xml:space="preserve"> </w:t>
      </w:r>
      <w:r w:rsidR="249CF78E" w:rsidRPr="004C70EC">
        <w:rPr>
          <w:noProof/>
          <w:shd w:val="clear" w:color="auto" w:fill="FFFFFF"/>
          <w:lang w:eastAsia="en-GB"/>
        </w:rPr>
        <w:t>and</w:t>
      </w:r>
      <w:r w:rsidR="54E97901" w:rsidRPr="004C70EC">
        <w:rPr>
          <w:noProof/>
          <w:lang w:eastAsia="en-GB"/>
        </w:rPr>
        <w:t xml:space="preserve"> </w:t>
      </w:r>
      <w:r w:rsidR="249CF78E" w:rsidRPr="004C70EC">
        <w:rPr>
          <w:noProof/>
          <w:shd w:val="clear" w:color="auto" w:fill="FFFFFF"/>
          <w:lang w:eastAsia="en-GB"/>
        </w:rPr>
        <w:t>necessitate</w:t>
      </w:r>
      <w:r w:rsidR="54E97901" w:rsidRPr="004C70EC">
        <w:rPr>
          <w:noProof/>
          <w:lang w:eastAsia="en-GB"/>
        </w:rPr>
        <w:t xml:space="preserve"> </w:t>
      </w:r>
      <w:r w:rsidR="249CF78E" w:rsidRPr="004C70EC">
        <w:rPr>
          <w:noProof/>
          <w:shd w:val="clear" w:color="auto" w:fill="FFFFFF"/>
          <w:lang w:eastAsia="en-GB"/>
        </w:rPr>
        <w:t>further</w:t>
      </w:r>
      <w:r w:rsidR="5D947229" w:rsidRPr="004C70EC">
        <w:rPr>
          <w:noProof/>
          <w:shd w:val="clear" w:color="auto" w:fill="FFFFFF"/>
          <w:lang w:eastAsia="en-GB"/>
        </w:rPr>
        <w:t xml:space="preserve"> </w:t>
      </w:r>
      <w:r w:rsidR="249CF78E" w:rsidRPr="004C70EC">
        <w:rPr>
          <w:noProof/>
          <w:shd w:val="clear" w:color="auto" w:fill="FFFFFF"/>
          <w:lang w:eastAsia="en-GB"/>
        </w:rPr>
        <w:t xml:space="preserve">flexibility of </w:t>
      </w:r>
      <w:r w:rsidR="3967716D" w:rsidRPr="004C70EC">
        <w:rPr>
          <w:noProof/>
          <w:lang w:eastAsia="en-GB"/>
        </w:rPr>
        <w:t>that legislation</w:t>
      </w:r>
      <w:r w:rsidR="249CF78E" w:rsidRPr="004C70EC">
        <w:rPr>
          <w:noProof/>
          <w:shd w:val="clear" w:color="auto" w:fill="FFFFFF"/>
          <w:lang w:eastAsia="en-GB"/>
        </w:rPr>
        <w:t>,</w:t>
      </w:r>
      <w:r w:rsidR="54E97901" w:rsidRPr="004C70EC">
        <w:rPr>
          <w:noProof/>
          <w:lang w:eastAsia="en-GB"/>
        </w:rPr>
        <w:t xml:space="preserve"> </w:t>
      </w:r>
      <w:r w:rsidR="249CF78E" w:rsidRPr="004C70EC">
        <w:rPr>
          <w:noProof/>
          <w:shd w:val="clear" w:color="auto" w:fill="FFFFFF"/>
          <w:lang w:eastAsia="en-GB"/>
        </w:rPr>
        <w:t>in particular regarding health biotechnology products that could be candidates for regulatory sandboxes under such frameworks. The development and implementation of those sandboxes can clearly</w:t>
      </w:r>
      <w:r w:rsidR="54E97901" w:rsidRPr="004C70EC">
        <w:rPr>
          <w:noProof/>
          <w:lang w:eastAsia="en-GB"/>
        </w:rPr>
        <w:t xml:space="preserve"> </w:t>
      </w:r>
      <w:r w:rsidR="249CF78E" w:rsidRPr="004C70EC">
        <w:rPr>
          <w:noProof/>
          <w:shd w:val="clear" w:color="auto" w:fill="FFFFFF"/>
          <w:lang w:eastAsia="en-GB"/>
        </w:rPr>
        <w:t>benefit</w:t>
      </w:r>
      <w:r w:rsidR="54E97901" w:rsidRPr="004C70EC">
        <w:rPr>
          <w:noProof/>
          <w:lang w:eastAsia="en-GB"/>
        </w:rPr>
        <w:t xml:space="preserve"> </w:t>
      </w:r>
      <w:r w:rsidR="249CF78E" w:rsidRPr="004C70EC">
        <w:rPr>
          <w:noProof/>
          <w:shd w:val="clear" w:color="auto" w:fill="FFFFFF"/>
          <w:lang w:eastAsia="en-GB"/>
        </w:rPr>
        <w:t xml:space="preserve">from effective consultation across the authorities responsible for </w:t>
      </w:r>
      <w:r w:rsidR="249CF78E" w:rsidRPr="004C70EC">
        <w:rPr>
          <w:noProof/>
        </w:rPr>
        <w:t>regulatory sandboxes</w:t>
      </w:r>
      <w:r w:rsidR="13CB92F4" w:rsidRPr="004C70EC">
        <w:rPr>
          <w:noProof/>
        </w:rPr>
        <w:t xml:space="preserve"> falling within the scope of Union legislative acts other than this Regulation</w:t>
      </w:r>
      <w:r w:rsidR="249CF78E" w:rsidRPr="004C70EC">
        <w:rPr>
          <w:noProof/>
          <w:shd w:val="clear" w:color="auto" w:fill="FFFFFF"/>
          <w:lang w:eastAsia="en-GB"/>
        </w:rPr>
        <w:t>.</w:t>
      </w:r>
      <w:r w:rsidR="54E97901" w:rsidRPr="004C70EC">
        <w:rPr>
          <w:noProof/>
          <w:lang w:eastAsia="en-GB"/>
        </w:rPr>
        <w:t xml:space="preserve"> </w:t>
      </w:r>
      <w:r w:rsidR="249CF78E" w:rsidRPr="004C70EC">
        <w:rPr>
          <w:noProof/>
          <w:shd w:val="clear" w:color="auto" w:fill="FFFFFF"/>
          <w:lang w:eastAsia="en-GB"/>
        </w:rPr>
        <w:t>By</w:t>
      </w:r>
      <w:r w:rsidR="54E97901" w:rsidRPr="004C70EC">
        <w:rPr>
          <w:noProof/>
          <w:lang w:eastAsia="en-GB"/>
        </w:rPr>
        <w:t xml:space="preserve"> </w:t>
      </w:r>
      <w:r w:rsidR="249CF78E" w:rsidRPr="004C70EC">
        <w:rPr>
          <w:noProof/>
          <w:shd w:val="clear" w:color="auto" w:fill="FFFFFF"/>
          <w:lang w:eastAsia="en-GB"/>
        </w:rPr>
        <w:t>facilitating</w:t>
      </w:r>
      <w:r w:rsidR="54E97901" w:rsidRPr="004C70EC">
        <w:rPr>
          <w:noProof/>
          <w:lang w:eastAsia="en-GB"/>
        </w:rPr>
        <w:t xml:space="preserve"> </w:t>
      </w:r>
      <w:r w:rsidR="249CF78E" w:rsidRPr="004C70EC">
        <w:rPr>
          <w:noProof/>
          <w:shd w:val="clear" w:color="auto" w:fill="FFFFFF"/>
          <w:lang w:eastAsia="en-GB"/>
        </w:rPr>
        <w:t>the exchange of information and experiences between sandboxes, including on regulatory approaches, technological challenges, and emerging scientific understanding, the Union can develop more coherent and responsive regulatory responses to health biotechnology products.</w:t>
      </w:r>
      <w:r w:rsidR="249CF78E" w:rsidRPr="004C70EC">
        <w:rPr>
          <w:noProof/>
          <w:lang w:eastAsia="en-GB"/>
        </w:rPr>
        <w:t xml:space="preserve"> </w:t>
      </w:r>
      <w:r w:rsidR="4C85A154" w:rsidRPr="004C70EC">
        <w:rPr>
          <w:noProof/>
          <w:lang w:eastAsia="en-GB"/>
        </w:rPr>
        <w:t xml:space="preserve">The activities of sandboxes should be carried out in full compliance of antitrust information exchanges provisions under </w:t>
      </w:r>
      <w:r w:rsidR="6A2E2308" w:rsidRPr="004C70EC">
        <w:rPr>
          <w:noProof/>
          <w:lang w:eastAsia="en-GB"/>
        </w:rPr>
        <w:t>Union</w:t>
      </w:r>
      <w:r w:rsidR="4C85A154" w:rsidRPr="004C70EC">
        <w:rPr>
          <w:noProof/>
          <w:lang w:eastAsia="en-GB"/>
        </w:rPr>
        <w:t xml:space="preserve"> competition law. </w:t>
      </w:r>
      <w:r w:rsidR="249CF78E" w:rsidRPr="004C70EC">
        <w:rPr>
          <w:noProof/>
          <w:shd w:val="clear" w:color="auto" w:fill="FFFFFF"/>
          <w:lang w:eastAsia="en-GB"/>
        </w:rPr>
        <w:t xml:space="preserve">The </w:t>
      </w:r>
      <w:r w:rsidR="249CF78E" w:rsidRPr="004C70EC">
        <w:rPr>
          <w:noProof/>
          <w:lang w:eastAsia="en-GB"/>
        </w:rPr>
        <w:t xml:space="preserve">Foresight Panel </w:t>
      </w:r>
      <w:r w:rsidR="0FCB8F42" w:rsidRPr="004C70EC">
        <w:rPr>
          <w:noProof/>
          <w:lang w:eastAsia="en-GB"/>
        </w:rPr>
        <w:t>for Emerging Health Innovation</w:t>
      </w:r>
      <w:r w:rsidR="249CF78E" w:rsidRPr="004C70EC">
        <w:rPr>
          <w:noProof/>
          <w:shd w:val="clear" w:color="auto" w:fill="FFFFFF"/>
          <w:lang w:eastAsia="en-GB"/>
        </w:rPr>
        <w:t xml:space="preserve"> could play a role in promoting such coherence and knowledge sharing.</w:t>
      </w:r>
    </w:p>
    <w:p w14:paraId="61A8AAAE" w14:textId="21C856F1" w:rsidR="004E527A" w:rsidRPr="004C70EC" w:rsidRDefault="00C03A23" w:rsidP="00C03A23">
      <w:pPr>
        <w:pStyle w:val="ManualConsidrant"/>
        <w:rPr>
          <w:noProof/>
          <w:lang w:val="en-IE" w:eastAsia="de-DE"/>
        </w:rPr>
      </w:pPr>
      <w:r w:rsidRPr="00C03A23">
        <w:rPr>
          <w:noProof/>
        </w:rPr>
        <w:t>(80)</w:t>
      </w:r>
      <w:r w:rsidRPr="00C03A23">
        <w:rPr>
          <w:noProof/>
        </w:rPr>
        <w:tab/>
      </w:r>
      <w:r w:rsidR="249CF78E" w:rsidRPr="004C70EC">
        <w:rPr>
          <w:noProof/>
          <w:shd w:val="clear" w:color="auto" w:fill="FFFFFF"/>
          <w:lang w:eastAsia="en-GB"/>
        </w:rPr>
        <w:t xml:space="preserve">The Commission should be able to establish regulatory sandboxes for health biotechnology products which are at a very early stage of development and do not fall within the scope of existing Union legislative </w:t>
      </w:r>
      <w:r w:rsidR="1B9209B9" w:rsidRPr="004C70EC">
        <w:rPr>
          <w:noProof/>
          <w:lang w:eastAsia="en-GB"/>
        </w:rPr>
        <w:t>acts</w:t>
      </w:r>
      <w:r w:rsidR="249CF78E" w:rsidRPr="004C70EC">
        <w:rPr>
          <w:noProof/>
          <w:shd w:val="clear" w:color="auto" w:fill="FFFFFF"/>
          <w:lang w:eastAsia="en-GB"/>
        </w:rPr>
        <w:t xml:space="preserve"> in the area of health, thus not being in a position to benefi</w:t>
      </w:r>
      <w:r w:rsidR="2F39CEE5" w:rsidRPr="004C70EC">
        <w:rPr>
          <w:noProof/>
          <w:lang w:eastAsia="en-GB"/>
        </w:rPr>
        <w:t>t</w:t>
      </w:r>
      <w:r w:rsidR="249CF78E" w:rsidRPr="004C70EC">
        <w:rPr>
          <w:noProof/>
          <w:shd w:val="clear" w:color="auto" w:fill="FFFFFF"/>
          <w:lang w:eastAsia="en-GB"/>
        </w:rPr>
        <w:t xml:space="preserve"> from the regulatory sandboxes established in accordance with those </w:t>
      </w:r>
      <w:r w:rsidR="48FD6D8D" w:rsidRPr="004C70EC">
        <w:rPr>
          <w:noProof/>
          <w:lang w:eastAsia="en-GB"/>
        </w:rPr>
        <w:t>other acts</w:t>
      </w:r>
      <w:r w:rsidR="249CF78E" w:rsidRPr="004C70EC">
        <w:rPr>
          <w:noProof/>
          <w:shd w:val="clear" w:color="auto" w:fill="FFFFFF"/>
          <w:lang w:eastAsia="en-GB"/>
        </w:rPr>
        <w:t xml:space="preserve">. Those sandboxes should provide a controlled environment in which to explore and assess innovative technologies. The sandboxes should operate according to a specific sandbox plan that specifies the duration of the sandbox, risk mitigation measures and supervision arrangements. For the development and implementation of the sandbox plan for such products, the Commission may consult advisory bodies and Agencies established under the Union legislative </w:t>
      </w:r>
      <w:r w:rsidR="128F8B39" w:rsidRPr="004C70EC">
        <w:rPr>
          <w:noProof/>
          <w:lang w:eastAsia="en-GB"/>
        </w:rPr>
        <w:t>acts</w:t>
      </w:r>
      <w:r w:rsidR="072C5406" w:rsidRPr="004C70EC">
        <w:rPr>
          <w:noProof/>
          <w:lang w:eastAsia="en-GB"/>
        </w:rPr>
        <w:t xml:space="preserve"> </w:t>
      </w:r>
      <w:r w:rsidR="249CF78E" w:rsidRPr="004C70EC">
        <w:rPr>
          <w:noProof/>
          <w:shd w:val="clear" w:color="auto" w:fill="FFFFFF"/>
          <w:lang w:eastAsia="en-GB"/>
        </w:rPr>
        <w:t xml:space="preserve"> in the area of health for example to determine which requirements or rules</w:t>
      </w:r>
      <w:r w:rsidR="249CF78E" w:rsidRPr="004C70EC">
        <w:rPr>
          <w:noProof/>
          <w:lang w:eastAsia="en-GB"/>
        </w:rPr>
        <w:t xml:space="preserve"> </w:t>
      </w:r>
      <w:r w:rsidR="11C67AC3" w:rsidRPr="004C70EC">
        <w:rPr>
          <w:noProof/>
          <w:lang w:eastAsia="en-GB"/>
        </w:rPr>
        <w:t>laid down in those acts</w:t>
      </w:r>
      <w:r w:rsidR="249CF78E" w:rsidRPr="004C70EC">
        <w:rPr>
          <w:noProof/>
          <w:shd w:val="clear" w:color="auto" w:fill="FFFFFF"/>
          <w:lang w:eastAsia="en-GB"/>
        </w:rPr>
        <w:t xml:space="preserve">  could, or could not, be applied to the products concerned.</w:t>
      </w:r>
      <w:r w:rsidR="249CF78E" w:rsidRPr="004C70EC">
        <w:rPr>
          <w:noProof/>
          <w:lang w:eastAsia="en-GB"/>
        </w:rPr>
        <w:t xml:space="preserve"> </w:t>
      </w:r>
      <w:r w:rsidR="41AE6FA4" w:rsidRPr="004C70EC">
        <w:rPr>
          <w:noProof/>
          <w:lang w:eastAsia="en-GB"/>
        </w:rPr>
        <w:t xml:space="preserve">The outcome of the sandbox </w:t>
      </w:r>
      <w:r w:rsidR="5F278461" w:rsidRPr="004C70EC">
        <w:rPr>
          <w:noProof/>
          <w:lang w:eastAsia="en-GB"/>
        </w:rPr>
        <w:t>would be</w:t>
      </w:r>
      <w:r w:rsidR="41AE6FA4" w:rsidRPr="004C70EC">
        <w:rPr>
          <w:noProof/>
          <w:lang w:eastAsia="en-GB"/>
        </w:rPr>
        <w:t xml:space="preserve"> a recommendation </w:t>
      </w:r>
      <w:r w:rsidR="5F278461" w:rsidRPr="004C70EC">
        <w:rPr>
          <w:noProof/>
          <w:lang w:eastAsia="en-GB"/>
        </w:rPr>
        <w:t xml:space="preserve">by the Commission </w:t>
      </w:r>
      <w:r w:rsidR="41AE6FA4" w:rsidRPr="004C70EC">
        <w:rPr>
          <w:noProof/>
          <w:lang w:eastAsia="en-GB"/>
        </w:rPr>
        <w:t xml:space="preserve">on an </w:t>
      </w:r>
      <w:r w:rsidR="28BCBF39" w:rsidRPr="004C70EC">
        <w:rPr>
          <w:noProof/>
          <w:lang w:eastAsia="en-GB"/>
        </w:rPr>
        <w:t>existing</w:t>
      </w:r>
      <w:r w:rsidR="28BCBF39" w:rsidRPr="004C70EC">
        <w:rPr>
          <w:noProof/>
          <w:u w:val="single"/>
          <w:lang w:eastAsia="en-GB"/>
        </w:rPr>
        <w:t xml:space="preserve"> </w:t>
      </w:r>
      <w:r w:rsidR="28BCBF39" w:rsidRPr="004C70EC">
        <w:rPr>
          <w:noProof/>
          <w:lang w:eastAsia="en-GB"/>
        </w:rPr>
        <w:t>appropriate regulatory procedural pathway</w:t>
      </w:r>
      <w:r w:rsidR="41AE6FA4" w:rsidRPr="004C70EC">
        <w:rPr>
          <w:noProof/>
          <w:lang w:eastAsia="en-GB"/>
        </w:rPr>
        <w:t xml:space="preserve"> for authorising </w:t>
      </w:r>
      <w:r w:rsidR="46B1558B" w:rsidRPr="004C70EC">
        <w:rPr>
          <w:noProof/>
          <w:lang w:eastAsia="en-GB"/>
        </w:rPr>
        <w:t>the</w:t>
      </w:r>
      <w:r w:rsidR="41AE6FA4" w:rsidRPr="004C70EC">
        <w:rPr>
          <w:noProof/>
          <w:lang w:eastAsia="en-GB"/>
        </w:rPr>
        <w:t xml:space="preserve"> </w:t>
      </w:r>
      <w:r w:rsidR="5F278461" w:rsidRPr="004C70EC">
        <w:rPr>
          <w:noProof/>
          <w:lang w:eastAsia="en-GB"/>
        </w:rPr>
        <w:t>product in question</w:t>
      </w:r>
      <w:r w:rsidR="30754A15" w:rsidRPr="004C70EC">
        <w:rPr>
          <w:noProof/>
          <w:lang w:eastAsia="en-GB"/>
        </w:rPr>
        <w:t>.</w:t>
      </w:r>
      <w:r w:rsidR="1FE1B967" w:rsidRPr="004C70EC">
        <w:rPr>
          <w:noProof/>
          <w:lang w:eastAsia="en-GB"/>
        </w:rPr>
        <w:t xml:space="preserve"> </w:t>
      </w:r>
      <w:r w:rsidR="249CF78E" w:rsidRPr="004C70EC">
        <w:rPr>
          <w:noProof/>
          <w:shd w:val="clear" w:color="auto" w:fill="FFFFFF"/>
          <w:lang w:eastAsia="en-GB"/>
        </w:rPr>
        <w:t>The lessons learned from those sandboxes should lead to reflections on possible regulatory actions to be taken at Union level for the products or categories of products concerned. Accordingly, this approach w</w:t>
      </w:r>
      <w:r w:rsidR="4614B47A" w:rsidRPr="004C70EC">
        <w:rPr>
          <w:noProof/>
          <w:lang w:eastAsia="en-GB"/>
        </w:rPr>
        <w:t>ould</w:t>
      </w:r>
      <w:r w:rsidR="249CF78E" w:rsidRPr="004C70EC">
        <w:rPr>
          <w:noProof/>
          <w:shd w:val="clear" w:color="auto" w:fill="FFFFFF"/>
          <w:lang w:eastAsia="en-GB"/>
        </w:rPr>
        <w:t xml:space="preserve"> provide a flexible Union response to emerging innovations while building an evidence base for potential future legislative developments. </w:t>
      </w:r>
    </w:p>
    <w:p w14:paraId="1EA8B63F" w14:textId="3868A680" w:rsidR="000A3D42" w:rsidRPr="004C70EC" w:rsidRDefault="00C03A23" w:rsidP="00C03A23">
      <w:pPr>
        <w:pStyle w:val="ManualConsidrant"/>
        <w:rPr>
          <w:noProof/>
          <w:lang w:val="en-IE" w:eastAsia="de-DE"/>
        </w:rPr>
      </w:pPr>
      <w:r w:rsidRPr="00C03A23">
        <w:rPr>
          <w:noProof/>
        </w:rPr>
        <w:t>(81)</w:t>
      </w:r>
      <w:r w:rsidRPr="00C03A23">
        <w:rPr>
          <w:noProof/>
        </w:rPr>
        <w:tab/>
      </w:r>
      <w:r w:rsidR="167CB7F6" w:rsidRPr="004C70EC">
        <w:rPr>
          <w:noProof/>
          <w:lang w:eastAsia="de-DE"/>
        </w:rPr>
        <w:t xml:space="preserve">Biotechnologies are critical for the Union’s defence and security. Closer coordination between civil and defence research, development and manufacturing can accelerate safe innovation and reduce fragmentation. Therefore, this Regulation should make provisions for the recognition by the Commission and support of projects contributing to an EU Biothreat Radar as high impact </w:t>
      </w:r>
      <w:r w:rsidR="167CB7F6" w:rsidRPr="004C70EC">
        <w:rPr>
          <w:noProof/>
          <w:lang w:val="en-IE" w:eastAsia="de-DE"/>
        </w:rPr>
        <w:t xml:space="preserve">health </w:t>
      </w:r>
      <w:r w:rsidR="167CB7F6" w:rsidRPr="004C70EC">
        <w:rPr>
          <w:noProof/>
          <w:lang w:eastAsia="de-DE"/>
        </w:rPr>
        <w:t xml:space="preserve">biotechnology strategic projects, subject to conditions established in this Regulation. </w:t>
      </w:r>
    </w:p>
    <w:p w14:paraId="49645671" w14:textId="163CDFF6" w:rsidR="000A3D42" w:rsidRPr="004C70EC" w:rsidRDefault="00C03A23" w:rsidP="00C03A23">
      <w:pPr>
        <w:pStyle w:val="ManualConsidrant"/>
        <w:rPr>
          <w:noProof/>
          <w:lang w:val="en-IE" w:eastAsia="de-DE"/>
        </w:rPr>
      </w:pPr>
      <w:r w:rsidRPr="00C03A23">
        <w:rPr>
          <w:noProof/>
        </w:rPr>
        <w:t>(82)</w:t>
      </w:r>
      <w:r w:rsidRPr="00C03A23">
        <w:rPr>
          <w:noProof/>
        </w:rPr>
        <w:tab/>
      </w:r>
      <w:r w:rsidR="4FAFFECC" w:rsidRPr="004C70EC">
        <w:rPr>
          <w:noProof/>
          <w:lang w:eastAsia="de-DE"/>
        </w:rPr>
        <w:t xml:space="preserve">Furthermore, this Regulation should make provisions for the recognition by the Commission and support of high impact biodefence capability projects, as part of the category of high impact </w:t>
      </w:r>
      <w:r w:rsidR="4FAFFECC" w:rsidRPr="004C70EC">
        <w:rPr>
          <w:noProof/>
          <w:lang w:val="en-IE" w:eastAsia="de-DE"/>
        </w:rPr>
        <w:t>health</w:t>
      </w:r>
      <w:r w:rsidR="4FAFFECC" w:rsidRPr="004C70EC">
        <w:rPr>
          <w:noProof/>
          <w:lang w:eastAsia="de-DE"/>
        </w:rPr>
        <w:t xml:space="preserve"> biotechnology strategic projects, subject to conditions laid down in this Regulation. Such projects should make a significant contribution to objectives such as the prevention or mitigation of the misuse of biotechnologies. As such, those projects should benefit from priority status in administrative procedures in accordance with this Regulation and </w:t>
      </w:r>
      <w:r w:rsidR="00654B10" w:rsidRPr="004C70EC">
        <w:rPr>
          <w:noProof/>
          <w:lang w:eastAsia="de-DE"/>
        </w:rPr>
        <w:t>could be given</w:t>
      </w:r>
      <w:r w:rsidR="39E7A2EE" w:rsidRPr="004C70EC">
        <w:rPr>
          <w:noProof/>
          <w:lang w:eastAsia="de-DE"/>
        </w:rPr>
        <w:t xml:space="preserve"> </w:t>
      </w:r>
      <w:r w:rsidR="4FAFFECC" w:rsidRPr="004C70EC">
        <w:rPr>
          <w:noProof/>
          <w:lang w:eastAsia="de-DE"/>
        </w:rPr>
        <w:t xml:space="preserve">particular consideration for </w:t>
      </w:r>
      <w:r w:rsidR="00F26520" w:rsidRPr="004C70EC">
        <w:rPr>
          <w:noProof/>
          <w:lang w:eastAsia="de-DE"/>
        </w:rPr>
        <w:t xml:space="preserve">support under </w:t>
      </w:r>
      <w:r w:rsidR="4FAFFECC" w:rsidRPr="004C70EC">
        <w:rPr>
          <w:noProof/>
          <w:lang w:eastAsia="de-DE"/>
        </w:rPr>
        <w:t>national and Union funding programmes and instruments, including from those budgets allocated to defence.</w:t>
      </w:r>
    </w:p>
    <w:p w14:paraId="295518CD" w14:textId="2142AEE9" w:rsidR="000A3D42" w:rsidRPr="004C70EC" w:rsidRDefault="00C03A23" w:rsidP="00C03A23">
      <w:pPr>
        <w:pStyle w:val="ManualConsidrant"/>
        <w:rPr>
          <w:noProof/>
          <w:lang w:val="en-IE" w:eastAsia="de-DE"/>
        </w:rPr>
      </w:pPr>
      <w:r w:rsidRPr="00C03A23">
        <w:rPr>
          <w:noProof/>
        </w:rPr>
        <w:t>(83)</w:t>
      </w:r>
      <w:r w:rsidRPr="00C03A23">
        <w:rPr>
          <w:noProof/>
        </w:rPr>
        <w:tab/>
      </w:r>
      <w:r w:rsidR="4FAFFECC" w:rsidRPr="004C70EC">
        <w:rPr>
          <w:noProof/>
          <w:lang w:eastAsia="de-DE"/>
        </w:rPr>
        <w:t>Without prejudice to Member States’ competences and in accordance with the Union funding programmes and instruments, biotechnology activities relevant to defence, security, safety, preparedness, and resilience, including dual-use technologies</w:t>
      </w:r>
      <w:r w:rsidR="008F1FF7" w:rsidRPr="004C70EC">
        <w:rPr>
          <w:noProof/>
          <w:lang w:eastAsia="de-DE"/>
        </w:rPr>
        <w:t xml:space="preserve"> </w:t>
      </w:r>
      <w:r w:rsidR="00B91393" w:rsidRPr="004C70EC">
        <w:rPr>
          <w:noProof/>
          <w:lang w:eastAsia="de-DE"/>
        </w:rPr>
        <w:t xml:space="preserve">could </w:t>
      </w:r>
      <w:r w:rsidR="3AEB3A37" w:rsidRPr="004C70EC">
        <w:rPr>
          <w:noProof/>
          <w:lang w:eastAsia="de-DE"/>
        </w:rPr>
        <w:t xml:space="preserve"> </w:t>
      </w:r>
      <w:r w:rsidR="008F1FF7" w:rsidRPr="004C70EC">
        <w:rPr>
          <w:noProof/>
          <w:lang w:eastAsia="de-DE"/>
        </w:rPr>
        <w:t>be given</w:t>
      </w:r>
      <w:r w:rsidR="3AEB3A37" w:rsidRPr="004C70EC">
        <w:rPr>
          <w:noProof/>
          <w:lang w:eastAsia="de-DE"/>
        </w:rPr>
        <w:t xml:space="preserve"> </w:t>
      </w:r>
      <w:r w:rsidR="4ED48A25" w:rsidRPr="004C70EC">
        <w:rPr>
          <w:noProof/>
          <w:lang w:eastAsia="de-DE"/>
        </w:rPr>
        <w:t>particular consideration</w:t>
      </w:r>
      <w:r w:rsidR="4FAFFECC" w:rsidRPr="004C70EC">
        <w:rPr>
          <w:noProof/>
          <w:lang w:eastAsia="de-DE"/>
        </w:rPr>
        <w:t>, where appropriate, for support under the European Defence Fund, the Union Research Framework Programmes and other Union funding instruments.</w:t>
      </w:r>
    </w:p>
    <w:p w14:paraId="40A52B97" w14:textId="5E23DF84" w:rsidR="000A3D42" w:rsidRPr="004C70EC" w:rsidRDefault="00C03A23" w:rsidP="00C03A23">
      <w:pPr>
        <w:pStyle w:val="ManualConsidrant"/>
        <w:rPr>
          <w:noProof/>
          <w:lang w:val="en-IE" w:eastAsia="de-DE"/>
        </w:rPr>
      </w:pPr>
      <w:r w:rsidRPr="00C03A23">
        <w:rPr>
          <w:noProof/>
        </w:rPr>
        <w:t>(84)</w:t>
      </w:r>
      <w:r w:rsidRPr="00C03A23">
        <w:rPr>
          <w:noProof/>
        </w:rPr>
        <w:tab/>
      </w:r>
      <w:r w:rsidR="167CB7F6" w:rsidRPr="004C70EC">
        <w:rPr>
          <w:noProof/>
          <w:lang w:eastAsia="de-DE"/>
        </w:rPr>
        <w:t>Moreover, where national authorities so decide, expenditure on such dual-use infrastructures and related biodefence activities may be counted toward relevant defence spending targets.</w:t>
      </w:r>
    </w:p>
    <w:p w14:paraId="1B8625C3" w14:textId="2CF56B58" w:rsidR="000A3D42" w:rsidRPr="004C70EC" w:rsidRDefault="00C03A23" w:rsidP="00C03A23">
      <w:pPr>
        <w:pStyle w:val="ManualConsidrant"/>
        <w:rPr>
          <w:rFonts w:eastAsia="Times New Roman"/>
          <w:noProof/>
          <w:lang w:val="en-IE" w:eastAsia="de-DE"/>
        </w:rPr>
      </w:pPr>
      <w:bookmarkStart w:id="15" w:name="_Hlk216714293"/>
      <w:r w:rsidRPr="00C03A23">
        <w:rPr>
          <w:noProof/>
        </w:rPr>
        <w:t>(85)</w:t>
      </w:r>
      <w:r w:rsidRPr="00C03A23">
        <w:rPr>
          <w:noProof/>
        </w:rPr>
        <w:tab/>
      </w:r>
      <w:r w:rsidR="167CB7F6" w:rsidRPr="004C70EC">
        <w:rPr>
          <w:noProof/>
          <w:lang w:eastAsia="de-DE"/>
        </w:rPr>
        <w:t xml:space="preserve">The biotechnology landscape is evolving at an unprecedented speed, driven by advances in synthetic biology and genome editing, which, coupled with AI, make biotechnology stand at the forefront of innovation, offering unprecedented opportunities for advancing health and protecting against biological threats. These advances also make biotechnological misuse faster, cheaper, and more accessible. Biotechnologies can pose serious and distinctive risks that call for continuous assessment and anticipatory safeguards. Therefore, a limited set of biotechnology products with significant potential for misuse (‘biotechnology products of concern’) require a specific framework to prevent and protect against their misuse. </w:t>
      </w:r>
    </w:p>
    <w:p w14:paraId="04635E85" w14:textId="6BF18E85" w:rsidR="000A3D42" w:rsidRPr="004C70EC" w:rsidRDefault="00C03A23" w:rsidP="00C03A23">
      <w:pPr>
        <w:pStyle w:val="ManualConsidrant"/>
        <w:rPr>
          <w:noProof/>
          <w:lang w:val="en-IE" w:eastAsia="de-DE"/>
        </w:rPr>
      </w:pPr>
      <w:r w:rsidRPr="00C03A23">
        <w:rPr>
          <w:noProof/>
        </w:rPr>
        <w:t>(86)</w:t>
      </w:r>
      <w:r w:rsidRPr="00C03A23">
        <w:rPr>
          <w:noProof/>
        </w:rPr>
        <w:tab/>
      </w:r>
      <w:r w:rsidR="167CB7F6" w:rsidRPr="004C70EC">
        <w:rPr>
          <w:noProof/>
          <w:lang w:eastAsia="de-DE"/>
        </w:rPr>
        <w:t>Union and international rules address certain aspects related to biological threats, biological incidents or biological risks, in particular in relation to serious cross-border threats to health</w:t>
      </w:r>
      <w:r w:rsidR="000A3D42" w:rsidRPr="004C70EC">
        <w:rPr>
          <w:rStyle w:val="FootnoteReference"/>
          <w:noProof/>
          <w:color w:val="000000" w:themeColor="text1"/>
        </w:rPr>
        <w:footnoteReference w:id="131"/>
      </w:r>
      <w:r w:rsidR="167CB7F6" w:rsidRPr="004C70EC">
        <w:rPr>
          <w:noProof/>
          <w:lang w:eastAsia="de-DE"/>
        </w:rPr>
        <w:t>, the control of exports, brokering, technical assistance, transit and transfer of dual-use items</w:t>
      </w:r>
      <w:r w:rsidR="000A3D42" w:rsidRPr="004C70EC">
        <w:rPr>
          <w:rStyle w:val="FootnoteReference"/>
          <w:noProof/>
          <w:color w:val="000000" w:themeColor="text1"/>
        </w:rPr>
        <w:footnoteReference w:id="132"/>
      </w:r>
      <w:r w:rsidR="167CB7F6" w:rsidRPr="004C70EC">
        <w:rPr>
          <w:noProof/>
          <w:lang w:eastAsia="de-DE"/>
        </w:rPr>
        <w:t>,</w:t>
      </w:r>
      <w:r w:rsidR="167CB7F6" w:rsidRPr="004C70EC">
        <w:rPr>
          <w:rFonts w:eastAsia="Aptos"/>
          <w:noProof/>
          <w:lang w:eastAsia="de-DE"/>
        </w:rPr>
        <w:t xml:space="preserve"> </w:t>
      </w:r>
      <w:r w:rsidR="167CB7F6" w:rsidRPr="004C70EC">
        <w:rPr>
          <w:noProof/>
          <w:lang w:eastAsia="de-DE"/>
        </w:rPr>
        <w:t>resilience in biosafety and biosecurity through the Biological and Toxin Weapons Convention (BTWC)</w:t>
      </w:r>
      <w:r w:rsidR="000A3D42" w:rsidRPr="004C70EC">
        <w:rPr>
          <w:rStyle w:val="FootnoteReference"/>
          <w:noProof/>
          <w:color w:val="000000" w:themeColor="text1"/>
        </w:rPr>
        <w:footnoteReference w:id="133"/>
      </w:r>
      <w:r w:rsidR="167CB7F6" w:rsidRPr="004C70EC">
        <w:rPr>
          <w:noProof/>
          <w:lang w:eastAsia="de-DE"/>
        </w:rPr>
        <w:t>, the Chemical Weapons Convention (CWC), the contained use of genetically modified micro-organisms</w:t>
      </w:r>
      <w:r w:rsidR="000A3D42" w:rsidRPr="004C70EC">
        <w:rPr>
          <w:rStyle w:val="FootnoteReference"/>
          <w:noProof/>
          <w:color w:val="000000" w:themeColor="text1"/>
        </w:rPr>
        <w:footnoteReference w:id="134"/>
      </w:r>
      <w:r w:rsidR="167CB7F6" w:rsidRPr="004C70EC">
        <w:rPr>
          <w:noProof/>
          <w:lang w:eastAsia="de-DE"/>
        </w:rPr>
        <w:t>, workers’ protection from risks related to exposure to biological agents at work</w:t>
      </w:r>
      <w:r w:rsidR="000A3D42" w:rsidRPr="004C70EC">
        <w:rPr>
          <w:rStyle w:val="FootnoteReference"/>
          <w:noProof/>
          <w:color w:val="000000" w:themeColor="text1"/>
        </w:rPr>
        <w:footnoteReference w:id="135"/>
      </w:r>
      <w:r w:rsidR="167CB7F6" w:rsidRPr="004C70EC">
        <w:rPr>
          <w:noProof/>
          <w:lang w:eastAsia="de-DE"/>
        </w:rPr>
        <w:t xml:space="preserve">, in relation to </w:t>
      </w:r>
      <w:r w:rsidR="39742A3A" w:rsidRPr="004C70EC">
        <w:rPr>
          <w:noProof/>
          <w:lang w:eastAsia="de-DE"/>
        </w:rPr>
        <w:t xml:space="preserve"> AI</w:t>
      </w:r>
      <w:r w:rsidR="167CB7F6" w:rsidRPr="004C70EC">
        <w:rPr>
          <w:noProof/>
          <w:lang w:eastAsia="de-DE"/>
        </w:rPr>
        <w:t xml:space="preserve"> systems and models through Regulation (EU) 2024/1689. However, the approach remains fragmented and does not sufficiently address all aspect</w:t>
      </w:r>
      <w:r w:rsidR="00AE1EF1" w:rsidRPr="004C70EC">
        <w:rPr>
          <w:noProof/>
          <w:lang w:eastAsia="de-DE"/>
        </w:rPr>
        <w:t>s</w:t>
      </w:r>
      <w:r w:rsidR="167CB7F6" w:rsidRPr="004C70EC">
        <w:rPr>
          <w:noProof/>
          <w:lang w:eastAsia="de-DE"/>
        </w:rPr>
        <w:t xml:space="preserve"> related to the misuse related to biotechnologies. A consistent and high level of protection throughout the Union should therefore be ensured in order to guarantee biotechnology remains trustworthy and provides legal certainty for economic operators in the biotechnology sector. </w:t>
      </w:r>
    </w:p>
    <w:p w14:paraId="732DBC07" w14:textId="377A5A93" w:rsidR="000A3D42" w:rsidRPr="004C70EC" w:rsidRDefault="00C03A23" w:rsidP="00C03A23">
      <w:pPr>
        <w:pStyle w:val="ManualConsidrant"/>
        <w:rPr>
          <w:noProof/>
          <w:lang w:val="en-IE" w:eastAsia="de-DE"/>
        </w:rPr>
      </w:pPr>
      <w:r w:rsidRPr="00C03A23">
        <w:rPr>
          <w:noProof/>
        </w:rPr>
        <w:t>(87)</w:t>
      </w:r>
      <w:r w:rsidRPr="00C03A23">
        <w:rPr>
          <w:noProof/>
        </w:rPr>
        <w:tab/>
      </w:r>
      <w:r w:rsidR="167CB7F6" w:rsidRPr="004C70EC">
        <w:rPr>
          <w:noProof/>
          <w:lang w:eastAsia="de-DE"/>
        </w:rPr>
        <w:t xml:space="preserve">There are divergent requirements in Member States for screening, verification, reporting and tracking of suspicious transactions for biotechnology products of concern, which includes benchtop equipment and sequences of concern. This lack of harmonisation creates additional costs for economic operators, especially for those with strong security systems in place, and might distort competition within the internal market as well as potentially create barriers to trade and innovation. </w:t>
      </w:r>
    </w:p>
    <w:p w14:paraId="3C933CB9" w14:textId="27B3CADD" w:rsidR="000A3D42" w:rsidRPr="004C70EC" w:rsidRDefault="00C03A23" w:rsidP="00C03A23">
      <w:pPr>
        <w:pStyle w:val="ManualConsidrant"/>
        <w:rPr>
          <w:rFonts w:eastAsia="Times New Roman"/>
          <w:noProof/>
          <w:lang w:val="en-IE" w:eastAsia="de-DE"/>
        </w:rPr>
      </w:pPr>
      <w:r w:rsidRPr="00C03A23">
        <w:rPr>
          <w:noProof/>
        </w:rPr>
        <w:t>(88)</w:t>
      </w:r>
      <w:r w:rsidRPr="00C03A23">
        <w:rPr>
          <w:noProof/>
        </w:rPr>
        <w:tab/>
      </w:r>
      <w:r w:rsidR="167CB7F6" w:rsidRPr="004C70EC">
        <w:rPr>
          <w:rFonts w:eastAsia="Times New Roman"/>
          <w:noProof/>
          <w:lang w:eastAsia="de-DE"/>
        </w:rPr>
        <w:t xml:space="preserve">A Union framework </w:t>
      </w:r>
      <w:r w:rsidR="167CB7F6" w:rsidRPr="004C70EC">
        <w:rPr>
          <w:noProof/>
          <w:lang w:eastAsia="de-DE"/>
        </w:rPr>
        <w:t>for strengthening monitoring of the potential misuse of biotechnology products of concern is therefore needed and requested by industry actors, including SMEs,</w:t>
      </w:r>
      <w:r w:rsidR="167CB7F6" w:rsidRPr="004C70EC">
        <w:rPr>
          <w:rFonts w:eastAsia="Times New Roman"/>
          <w:noProof/>
          <w:lang w:eastAsia="de-DE"/>
        </w:rPr>
        <w:t xml:space="preserve"> to safeguard the free movement of goods and ensure a level playing field in the internal market</w:t>
      </w:r>
      <w:r w:rsidR="167CB7F6" w:rsidRPr="004C70EC">
        <w:rPr>
          <w:noProof/>
          <w:lang w:eastAsia="de-DE"/>
        </w:rPr>
        <w:t xml:space="preserve">. </w:t>
      </w:r>
      <w:r w:rsidR="167CB7F6" w:rsidRPr="004C70EC">
        <w:rPr>
          <w:rFonts w:eastAsia="Times New Roman"/>
          <w:noProof/>
          <w:lang w:eastAsia="de-DE"/>
        </w:rPr>
        <w:t>This framework needs to take into account recent international developments and good practices in other jurisdictions and relevant industry consortia and standard-setting fora, including to promote interoperability for Union operators active globally</w:t>
      </w:r>
      <w:r w:rsidR="167CB7F6" w:rsidRPr="004C70EC">
        <w:rPr>
          <w:noProof/>
          <w:lang w:eastAsia="de-DE"/>
        </w:rPr>
        <w:t xml:space="preserve"> and providing for a level playing field in the internal market.</w:t>
      </w:r>
    </w:p>
    <w:p w14:paraId="778D5980" w14:textId="4DF41418" w:rsidR="000A3D42" w:rsidRPr="004C70EC" w:rsidRDefault="00C03A23" w:rsidP="00C03A23">
      <w:pPr>
        <w:pStyle w:val="ManualConsidrant"/>
        <w:rPr>
          <w:noProof/>
          <w:lang w:val="en-IE" w:eastAsia="de-DE"/>
        </w:rPr>
      </w:pPr>
      <w:r w:rsidRPr="00C03A23">
        <w:rPr>
          <w:noProof/>
        </w:rPr>
        <w:t>(89)</w:t>
      </w:r>
      <w:r w:rsidRPr="00C03A23">
        <w:rPr>
          <w:noProof/>
        </w:rPr>
        <w:tab/>
      </w:r>
      <w:r w:rsidR="167CB7F6" w:rsidRPr="004C70EC">
        <w:rPr>
          <w:noProof/>
          <w:lang w:eastAsia="de-DE"/>
        </w:rPr>
        <w:t>To ensure that oversight remains proportionate and appropriately calibrated to the risks, and in line with existing Union harmonisation legislation, the complementary harmonisation measures established in this Regulation to prevent misuse should only apply to a limited subset of biotechnology products of concern which pose the highest risk of misuse, and whose misuse has the highest consequences, such as certain sequences of concern or benchtop nucleic synthesis equipment able to create such sequences of concern. For the purposes of legal clarity and certainty, such products should be listed in Annex</w:t>
      </w:r>
      <w:r w:rsidR="2282BBF0" w:rsidRPr="004C70EC">
        <w:rPr>
          <w:noProof/>
          <w:lang w:eastAsia="de-DE"/>
        </w:rPr>
        <w:t xml:space="preserve"> </w:t>
      </w:r>
      <w:r w:rsidR="167CB7F6" w:rsidRPr="004C70EC">
        <w:rPr>
          <w:noProof/>
          <w:lang w:eastAsia="de-DE"/>
        </w:rPr>
        <w:t xml:space="preserve">I to this Regulation. As biotechnology will continue to rapidly evolve, the Union framework should remain flexible and capable of responding to emerging biotechnology products, materials, and scientific evidence regarding potential risks. Therefore, the Commission should be empowered to adopt delegated acts to amend Annex I to respond swiftly to scientific and security developments and in consultation with relevant experts including the Advisory Group on Biosecurity established under this Regulation, while following the existing international </w:t>
      </w:r>
      <w:r w:rsidR="00F95E33" w:rsidRPr="004C70EC">
        <w:rPr>
          <w:noProof/>
          <w:lang w:eastAsia="de-DE"/>
        </w:rPr>
        <w:t xml:space="preserve">and other </w:t>
      </w:r>
      <w:r w:rsidR="167CB7F6" w:rsidRPr="004C70EC">
        <w:rPr>
          <w:noProof/>
          <w:lang w:eastAsia="de-DE"/>
        </w:rPr>
        <w:t>relevant regulatory frameworks</w:t>
      </w:r>
    </w:p>
    <w:p w14:paraId="04AF6A9B" w14:textId="4CF77FF1" w:rsidR="000A3D42" w:rsidRPr="004C70EC" w:rsidRDefault="00C03A23" w:rsidP="00C03A23">
      <w:pPr>
        <w:pStyle w:val="ManualConsidrant"/>
        <w:rPr>
          <w:noProof/>
          <w:lang w:val="en-IE" w:eastAsia="de-DE"/>
        </w:rPr>
      </w:pPr>
      <w:r w:rsidRPr="00C03A23">
        <w:rPr>
          <w:noProof/>
        </w:rPr>
        <w:t>(90)</w:t>
      </w:r>
      <w:r w:rsidRPr="00C03A23">
        <w:rPr>
          <w:noProof/>
        </w:rPr>
        <w:tab/>
      </w:r>
      <w:r w:rsidR="167CB7F6" w:rsidRPr="004C70EC">
        <w:rPr>
          <w:noProof/>
          <w:lang w:eastAsia="de-DE"/>
        </w:rPr>
        <w:t xml:space="preserve">The Union framework should be comprehensive to apply to the making available to, introduction, or use of, biotechnology products of concern, by any natural or legal person in the Union as well as to the making available to any natural or legal person outside the Union. </w:t>
      </w:r>
    </w:p>
    <w:p w14:paraId="58996D63" w14:textId="30E7F039" w:rsidR="000A3D42" w:rsidRPr="004C70EC" w:rsidRDefault="00C03A23" w:rsidP="00C03A23">
      <w:pPr>
        <w:pStyle w:val="ManualConsidrant"/>
        <w:rPr>
          <w:noProof/>
          <w:lang w:val="en-IE" w:eastAsia="de-DE"/>
        </w:rPr>
      </w:pPr>
      <w:r w:rsidRPr="00C03A23">
        <w:rPr>
          <w:noProof/>
        </w:rPr>
        <w:t>(91)</w:t>
      </w:r>
      <w:r w:rsidRPr="00C03A23">
        <w:rPr>
          <w:noProof/>
        </w:rPr>
        <w:tab/>
      </w:r>
      <w:r w:rsidR="167CB7F6" w:rsidRPr="004C70EC">
        <w:rPr>
          <w:noProof/>
          <w:lang w:eastAsia="de-DE"/>
        </w:rPr>
        <w:t xml:space="preserve">To reduce risks at the point of sale within the Union, economic operators should verify the legitimate need and peaceful purposes of prospective customers before making available the biotechnology products of concern included in Annex I to this Regulation. </w:t>
      </w:r>
    </w:p>
    <w:p w14:paraId="110647D5" w14:textId="31EECAD4" w:rsidR="000A3D42" w:rsidRPr="004C70EC" w:rsidRDefault="00C03A23" w:rsidP="00C03A23">
      <w:pPr>
        <w:pStyle w:val="ManualConsidrant"/>
        <w:rPr>
          <w:noProof/>
          <w:lang w:val="en-IE" w:eastAsia="de-DE"/>
        </w:rPr>
      </w:pPr>
      <w:r w:rsidRPr="00C03A23">
        <w:rPr>
          <w:noProof/>
        </w:rPr>
        <w:t>(92)</w:t>
      </w:r>
      <w:r w:rsidRPr="00C03A23">
        <w:rPr>
          <w:noProof/>
        </w:rPr>
        <w:tab/>
      </w:r>
      <w:r w:rsidR="167CB7F6" w:rsidRPr="004C70EC">
        <w:rPr>
          <w:noProof/>
          <w:lang w:eastAsia="de-DE"/>
        </w:rPr>
        <w:t xml:space="preserve">Apart from economic operators, other natural and legal persons that are not economic operators, including researchers, laboratories, universities, or research institutes, may also make available and use biotechnology products of concern. Such persons should be subject to the same screening obligations as economic operators, while preserving freedom of research and academic freedom in accordance with Article 13 of the Charter of Fundamental Rights of the European Union and Article 179 of the Treaty on the Functioning of the European Union, except where knowledge and material are shared with persons employed within the same legal entity. Biotechnology products of concern should not be made available to members of the general public. </w:t>
      </w:r>
    </w:p>
    <w:p w14:paraId="38FE7A31" w14:textId="431FB1A4" w:rsidR="000A3D42" w:rsidRPr="004C70EC" w:rsidRDefault="00C03A23" w:rsidP="00C03A23">
      <w:pPr>
        <w:pStyle w:val="ManualConsidrant"/>
        <w:rPr>
          <w:noProof/>
          <w:lang w:val="en-IE" w:eastAsia="de-DE"/>
        </w:rPr>
      </w:pPr>
      <w:r w:rsidRPr="00C03A23">
        <w:rPr>
          <w:noProof/>
        </w:rPr>
        <w:t>(93)</w:t>
      </w:r>
      <w:r w:rsidRPr="00C03A23">
        <w:rPr>
          <w:noProof/>
        </w:rPr>
        <w:tab/>
      </w:r>
      <w:r w:rsidR="167CB7F6" w:rsidRPr="004C70EC">
        <w:rPr>
          <w:noProof/>
          <w:lang w:eastAsia="de-DE"/>
        </w:rPr>
        <w:t>Benchtop nucleic acid synthesis equipment poses a particular challenge to the verification of legitimate need and the tracking and monitoring of sequences of concern. Such equipment should therefore contain an automatic mechanism to screen for sequences of concern.</w:t>
      </w:r>
    </w:p>
    <w:p w14:paraId="15A26C0A" w14:textId="4E3E3262" w:rsidR="000A3D42" w:rsidRPr="004C70EC" w:rsidRDefault="00C03A23" w:rsidP="00C03A23">
      <w:pPr>
        <w:pStyle w:val="ManualConsidrant"/>
        <w:rPr>
          <w:noProof/>
          <w:lang w:val="en-IE" w:eastAsia="de-DE"/>
        </w:rPr>
      </w:pPr>
      <w:r w:rsidRPr="00C03A23">
        <w:rPr>
          <w:noProof/>
        </w:rPr>
        <w:t>(94)</w:t>
      </w:r>
      <w:r w:rsidRPr="00C03A23">
        <w:rPr>
          <w:noProof/>
        </w:rPr>
        <w:tab/>
      </w:r>
      <w:r w:rsidR="167CB7F6" w:rsidRPr="004C70EC">
        <w:rPr>
          <w:noProof/>
          <w:lang w:eastAsia="de-DE"/>
        </w:rPr>
        <w:t xml:space="preserve">This Regulation should </w:t>
      </w:r>
      <w:r w:rsidR="3C676753" w:rsidRPr="004C70EC">
        <w:rPr>
          <w:noProof/>
          <w:lang w:eastAsia="de-DE"/>
        </w:rPr>
        <w:t xml:space="preserve">lay down </w:t>
      </w:r>
      <w:r w:rsidR="167CB7F6" w:rsidRPr="004C70EC">
        <w:rPr>
          <w:noProof/>
          <w:lang w:eastAsia="de-DE"/>
        </w:rPr>
        <w:t>provisions requiring economic operators to report suspicious transactions throughout the supply chain, regardless of whether the prospective customer is a member of the general public or an economic operator, private or public, and should apply in relation to biotechnology products that are considered of concern provided the risk or threat they may pose, which includes certain sequences of concern and biotechnology products</w:t>
      </w:r>
      <w:r w:rsidR="00F95E33" w:rsidRPr="004C70EC">
        <w:rPr>
          <w:noProof/>
          <w:lang w:eastAsia="de-DE"/>
        </w:rPr>
        <w:t xml:space="preserve">. </w:t>
      </w:r>
      <w:r w:rsidR="167CB7F6" w:rsidRPr="004C70EC">
        <w:rPr>
          <w:noProof/>
          <w:lang w:eastAsia="de-DE"/>
        </w:rPr>
        <w:t>Reporting and recording for three years the suspicious transaction</w:t>
      </w:r>
      <w:r w:rsidR="00F95E33" w:rsidRPr="004C70EC">
        <w:rPr>
          <w:noProof/>
          <w:lang w:eastAsia="de-DE"/>
        </w:rPr>
        <w:t>s</w:t>
      </w:r>
      <w:r w:rsidR="167CB7F6" w:rsidRPr="004C70EC">
        <w:rPr>
          <w:noProof/>
          <w:lang w:eastAsia="de-DE"/>
        </w:rPr>
        <w:t xml:space="preserve"> would allow other operators to be aware of the risks of the concerned product, while avoiding duplicate reporting, and allowing authorities to monitor and assess the risks</w:t>
      </w:r>
      <w:r w:rsidR="00F95E33" w:rsidRPr="004C70EC">
        <w:rPr>
          <w:noProof/>
          <w:lang w:eastAsia="de-DE"/>
        </w:rPr>
        <w:t xml:space="preserve"> and verify compliance with the obligations laid down in this Regulation</w:t>
      </w:r>
      <w:r w:rsidR="167CB7F6" w:rsidRPr="004C70EC">
        <w:rPr>
          <w:noProof/>
          <w:lang w:eastAsia="de-DE"/>
        </w:rPr>
        <w:t>.</w:t>
      </w:r>
    </w:p>
    <w:p w14:paraId="131784FE" w14:textId="27C1BB61" w:rsidR="000A3D42" w:rsidRPr="004C70EC" w:rsidRDefault="00C03A23" w:rsidP="00C03A23">
      <w:pPr>
        <w:pStyle w:val="ManualConsidrant"/>
        <w:rPr>
          <w:noProof/>
          <w:lang w:val="en-IE" w:eastAsia="de-DE"/>
        </w:rPr>
      </w:pPr>
      <w:r w:rsidRPr="00C03A23">
        <w:rPr>
          <w:noProof/>
        </w:rPr>
        <w:t>(95)</w:t>
      </w:r>
      <w:r w:rsidRPr="00C03A23">
        <w:rPr>
          <w:noProof/>
        </w:rPr>
        <w:tab/>
      </w:r>
      <w:r w:rsidR="167CB7F6" w:rsidRPr="004C70EC">
        <w:rPr>
          <w:noProof/>
          <w:lang w:eastAsia="de-DE"/>
        </w:rPr>
        <w:t>Suspicious transactions should be detected and reported rapidly through harmonised procedures, with Member States designating national contact points that provide clear reporting channels, as well as record data and ensure compliance, with a view to contributing to safeguarding national and Union’s safety.</w:t>
      </w:r>
    </w:p>
    <w:p w14:paraId="0855B116" w14:textId="26A875F3" w:rsidR="000A3D42" w:rsidRPr="004C70EC" w:rsidRDefault="00C03A23" w:rsidP="00C03A23">
      <w:pPr>
        <w:pStyle w:val="ManualConsidrant"/>
        <w:rPr>
          <w:noProof/>
          <w:lang w:eastAsia="de-DE"/>
        </w:rPr>
      </w:pPr>
      <w:r w:rsidRPr="00C03A23">
        <w:rPr>
          <w:noProof/>
        </w:rPr>
        <w:t>(96)</w:t>
      </w:r>
      <w:r w:rsidRPr="00C03A23">
        <w:rPr>
          <w:noProof/>
        </w:rPr>
        <w:tab/>
      </w:r>
      <w:r w:rsidR="167CB7F6" w:rsidRPr="004C70EC">
        <w:rPr>
          <w:noProof/>
          <w:lang w:eastAsia="de-DE"/>
        </w:rPr>
        <w:t>Where a biotechnology product of concern falls also under categories regulated under other Union legislation, to avoid duplication of reporting, where a suspicious transaction of that biotechnology product of concern has already been reported under one legal framework, it should not be reported again.</w:t>
      </w:r>
    </w:p>
    <w:p w14:paraId="5A773DEE" w14:textId="57DBCF31" w:rsidR="000A3D42" w:rsidRPr="004C70EC" w:rsidRDefault="00C03A23" w:rsidP="00C03A23">
      <w:pPr>
        <w:pStyle w:val="ManualConsidrant"/>
        <w:rPr>
          <w:rFonts w:eastAsia="Times New Roman"/>
          <w:noProof/>
          <w:lang w:eastAsia="de-DE"/>
        </w:rPr>
      </w:pPr>
      <w:r w:rsidRPr="00C03A23">
        <w:rPr>
          <w:noProof/>
        </w:rPr>
        <w:t>(97)</w:t>
      </w:r>
      <w:r w:rsidRPr="00C03A23">
        <w:rPr>
          <w:noProof/>
        </w:rPr>
        <w:tab/>
      </w:r>
      <w:r w:rsidR="167CB7F6" w:rsidRPr="004C70EC">
        <w:rPr>
          <w:noProof/>
          <w:lang w:eastAsia="de-DE"/>
        </w:rPr>
        <w:t>Licensed biotechnology products containing nucleic acid sequences, including authorised medicinal products for human and veterinary use, should not be subject to verification of legitimate need, as they have undergone regulatory assessment and do not constitute independent biological threats. However, the stand-alone nucleic acid sequences in synthetic form should fall within the scope of legitimate-need screening, as they may be misused and be relevant to biosecurity oversight.</w:t>
      </w:r>
    </w:p>
    <w:p w14:paraId="2B8FC25B" w14:textId="61AD7E86" w:rsidR="000A3D42" w:rsidRPr="004C70EC" w:rsidRDefault="00C03A23" w:rsidP="00C03A23">
      <w:pPr>
        <w:pStyle w:val="ManualConsidrant"/>
        <w:rPr>
          <w:rFonts w:eastAsia="Times New Roman"/>
          <w:noProof/>
          <w:lang w:val="en-IE" w:eastAsia="de-DE"/>
        </w:rPr>
      </w:pPr>
      <w:r w:rsidRPr="00C03A23">
        <w:rPr>
          <w:noProof/>
        </w:rPr>
        <w:t>(98)</w:t>
      </w:r>
      <w:r w:rsidRPr="00C03A23">
        <w:rPr>
          <w:noProof/>
        </w:rPr>
        <w:tab/>
      </w:r>
      <w:r w:rsidR="167CB7F6" w:rsidRPr="004C70EC">
        <w:rPr>
          <w:rFonts w:eastAsia="Times New Roman"/>
          <w:noProof/>
          <w:lang w:eastAsia="de-DE"/>
        </w:rPr>
        <w:t>Certain tools with a potential to</w:t>
      </w:r>
      <w:r w:rsidR="167CB7F6" w:rsidRPr="004C70EC">
        <w:rPr>
          <w:noProof/>
        </w:rPr>
        <w:t xml:space="preserve"> be misused without further modification and to cause serious harm </w:t>
      </w:r>
      <w:r w:rsidR="00F95E33" w:rsidRPr="004C70EC">
        <w:rPr>
          <w:noProof/>
        </w:rPr>
        <w:t xml:space="preserve">to </w:t>
      </w:r>
      <w:r w:rsidR="167CB7F6" w:rsidRPr="004C70EC">
        <w:rPr>
          <w:noProof/>
        </w:rPr>
        <w:t>public health and safety, agricultural crops and other plants,</w:t>
      </w:r>
      <w:r w:rsidR="0077296F" w:rsidRPr="004C70EC">
        <w:rPr>
          <w:noProof/>
        </w:rPr>
        <w:t xml:space="preserve"> to</w:t>
      </w:r>
      <w:r w:rsidR="167CB7F6" w:rsidRPr="004C70EC">
        <w:rPr>
          <w:noProof/>
        </w:rPr>
        <w:t xml:space="preserve"> animals, the environment, material or government security</w:t>
      </w:r>
      <w:r w:rsidR="167CB7F6" w:rsidRPr="004C70EC">
        <w:rPr>
          <w:rFonts w:eastAsia="Times New Roman"/>
          <w:noProof/>
          <w:lang w:eastAsia="de-DE"/>
        </w:rPr>
        <w:t xml:space="preserve"> (dual-use research of concern </w:t>
      </w:r>
      <w:r w:rsidR="0077296F" w:rsidRPr="004C70EC">
        <w:rPr>
          <w:rFonts w:eastAsia="Times New Roman"/>
          <w:noProof/>
          <w:lang w:eastAsia="de-DE"/>
        </w:rPr>
        <w:t xml:space="preserve"> - ‘</w:t>
      </w:r>
      <w:r w:rsidR="167CB7F6" w:rsidRPr="004C70EC">
        <w:rPr>
          <w:rFonts w:eastAsia="Times New Roman"/>
          <w:noProof/>
          <w:lang w:eastAsia="de-DE"/>
        </w:rPr>
        <w:t>DURC</w:t>
      </w:r>
      <w:r w:rsidR="0077296F" w:rsidRPr="004C70EC">
        <w:rPr>
          <w:rFonts w:eastAsia="Times New Roman"/>
          <w:noProof/>
          <w:lang w:eastAsia="de-DE"/>
        </w:rPr>
        <w:t>’</w:t>
      </w:r>
      <w:r w:rsidR="167CB7F6" w:rsidRPr="004C70EC">
        <w:rPr>
          <w:rFonts w:eastAsia="Aptos"/>
          <w:noProof/>
          <w:lang w:eastAsia="de-DE"/>
        </w:rPr>
        <w:t xml:space="preserve">) </w:t>
      </w:r>
      <w:r w:rsidR="167CB7F6" w:rsidRPr="004C70EC">
        <w:rPr>
          <w:rFonts w:eastAsia="Times New Roman"/>
          <w:noProof/>
          <w:lang w:eastAsia="de-DE"/>
        </w:rPr>
        <w:t xml:space="preserve">are increasingly affordable and accessible, also through progress in AI capabilities, which elevates the risk of misuse by actors lacking appropriate competence, oversight, legitimate or peaceful intent. A proportionate and risk-based framework is therefore necessary to minimise opportunities for misuse of DURC, including on AI models in biological applications, while preserving legitimate research and innovation. </w:t>
      </w:r>
    </w:p>
    <w:p w14:paraId="451FF04E" w14:textId="7CBC5FA0" w:rsidR="000A3D42" w:rsidRPr="004C70EC" w:rsidRDefault="00C03A23" w:rsidP="00C03A23">
      <w:pPr>
        <w:pStyle w:val="ManualConsidrant"/>
        <w:rPr>
          <w:noProof/>
          <w:lang w:val="en-IE" w:eastAsia="de-DE"/>
        </w:rPr>
      </w:pPr>
      <w:r w:rsidRPr="00C03A23">
        <w:rPr>
          <w:noProof/>
        </w:rPr>
        <w:t>(99)</w:t>
      </w:r>
      <w:r w:rsidRPr="00C03A23">
        <w:rPr>
          <w:noProof/>
        </w:rPr>
        <w:tab/>
      </w:r>
      <w:r w:rsidR="167CB7F6" w:rsidRPr="004C70EC">
        <w:rPr>
          <w:noProof/>
          <w:lang w:eastAsia="en-GB"/>
        </w:rPr>
        <w:t xml:space="preserve">Supervision </w:t>
      </w:r>
      <w:r w:rsidR="0077296F" w:rsidRPr="004C70EC">
        <w:rPr>
          <w:noProof/>
          <w:lang w:eastAsia="en-GB"/>
        </w:rPr>
        <w:t xml:space="preserve">by the public authorities </w:t>
      </w:r>
      <w:r w:rsidR="167CB7F6" w:rsidRPr="004C70EC">
        <w:rPr>
          <w:noProof/>
          <w:lang w:eastAsia="en-GB"/>
        </w:rPr>
        <w:t>is needed to ensure that research</w:t>
      </w:r>
      <w:r w:rsidR="0077296F" w:rsidRPr="004C70EC">
        <w:rPr>
          <w:noProof/>
          <w:lang w:eastAsia="en-GB"/>
        </w:rPr>
        <w:t xml:space="preserve">, </w:t>
      </w:r>
      <w:r w:rsidR="167CB7F6" w:rsidRPr="004C70EC">
        <w:rPr>
          <w:noProof/>
          <w:lang w:eastAsia="en-GB"/>
        </w:rPr>
        <w:t>innovation and commercial operations are conducted responsibly and securely</w:t>
      </w:r>
      <w:r w:rsidR="0077296F" w:rsidRPr="004C70EC">
        <w:rPr>
          <w:noProof/>
          <w:lang w:eastAsia="en-GB"/>
        </w:rPr>
        <w:t>. This in turn</w:t>
      </w:r>
      <w:r w:rsidR="167CB7F6" w:rsidRPr="004C70EC">
        <w:rPr>
          <w:noProof/>
          <w:lang w:eastAsia="en-GB"/>
        </w:rPr>
        <w:t xml:space="preserve"> can build public trust in biotechnology. Effective supervision requires adequately resourced and trained national inspection authorities with </w:t>
      </w:r>
      <w:r w:rsidR="0077296F" w:rsidRPr="004C70EC">
        <w:rPr>
          <w:noProof/>
          <w:lang w:eastAsia="en-GB"/>
        </w:rPr>
        <w:t xml:space="preserve">adequate </w:t>
      </w:r>
      <w:r w:rsidR="167CB7F6" w:rsidRPr="004C70EC">
        <w:rPr>
          <w:noProof/>
          <w:lang w:eastAsia="en-GB"/>
        </w:rPr>
        <w:t xml:space="preserve">investigative powers, complemented by risk-based audits </w:t>
      </w:r>
      <w:r w:rsidR="0077296F" w:rsidRPr="004C70EC">
        <w:rPr>
          <w:noProof/>
          <w:lang w:eastAsia="en-GB"/>
        </w:rPr>
        <w:t xml:space="preserve">to </w:t>
      </w:r>
      <w:r w:rsidR="167CB7F6" w:rsidRPr="004C70EC">
        <w:rPr>
          <w:noProof/>
          <w:lang w:eastAsia="en-GB"/>
        </w:rPr>
        <w:t xml:space="preserve">verify the effectiveness of </w:t>
      </w:r>
      <w:r w:rsidR="0077296F" w:rsidRPr="004C70EC">
        <w:rPr>
          <w:noProof/>
          <w:lang w:eastAsia="en-GB"/>
        </w:rPr>
        <w:t xml:space="preserve">the </w:t>
      </w:r>
      <w:r w:rsidR="167CB7F6" w:rsidRPr="004C70EC">
        <w:rPr>
          <w:noProof/>
          <w:lang w:eastAsia="en-GB"/>
        </w:rPr>
        <w:t xml:space="preserve">screening </w:t>
      </w:r>
      <w:r w:rsidR="0077296F" w:rsidRPr="004C70EC">
        <w:rPr>
          <w:noProof/>
          <w:lang w:eastAsia="en-GB"/>
        </w:rPr>
        <w:t>obligations laid down in this Regulation</w:t>
      </w:r>
      <w:r w:rsidR="167CB7F6" w:rsidRPr="004C70EC">
        <w:rPr>
          <w:noProof/>
          <w:lang w:eastAsia="en-GB"/>
        </w:rPr>
        <w:t xml:space="preserve">, </w:t>
      </w:r>
      <w:r w:rsidR="0077296F" w:rsidRPr="004C70EC">
        <w:rPr>
          <w:noProof/>
          <w:lang w:eastAsia="en-GB"/>
        </w:rPr>
        <w:t xml:space="preserve">as well as </w:t>
      </w:r>
      <w:r w:rsidR="167CB7F6" w:rsidRPr="004C70EC">
        <w:rPr>
          <w:noProof/>
          <w:lang w:eastAsia="en-GB"/>
        </w:rPr>
        <w:t>training</w:t>
      </w:r>
      <w:r w:rsidR="0077296F" w:rsidRPr="004C70EC">
        <w:rPr>
          <w:noProof/>
          <w:lang w:eastAsia="en-GB"/>
        </w:rPr>
        <w:t xml:space="preserve"> </w:t>
      </w:r>
      <w:r w:rsidR="167CB7F6" w:rsidRPr="004C70EC">
        <w:rPr>
          <w:noProof/>
          <w:lang w:eastAsia="en-GB"/>
        </w:rPr>
        <w:t xml:space="preserve">and awareness-raising for the </w:t>
      </w:r>
      <w:r w:rsidR="0077296F" w:rsidRPr="004C70EC">
        <w:rPr>
          <w:noProof/>
          <w:lang w:eastAsia="en-GB"/>
        </w:rPr>
        <w:t xml:space="preserve">staff of the </w:t>
      </w:r>
      <w:r w:rsidR="167CB7F6" w:rsidRPr="004C70EC">
        <w:rPr>
          <w:noProof/>
          <w:lang w:eastAsia="en-GB"/>
        </w:rPr>
        <w:t xml:space="preserve">designated </w:t>
      </w:r>
      <w:r w:rsidR="0077296F" w:rsidRPr="004C70EC">
        <w:rPr>
          <w:noProof/>
          <w:lang w:eastAsia="en-GB"/>
        </w:rPr>
        <w:t xml:space="preserve">inspection </w:t>
      </w:r>
      <w:r w:rsidR="167CB7F6" w:rsidRPr="004C70EC">
        <w:rPr>
          <w:noProof/>
          <w:lang w:eastAsia="en-GB"/>
        </w:rPr>
        <w:t xml:space="preserve">authorities and stakeholders, and regular exchanges among </w:t>
      </w:r>
      <w:r w:rsidR="0077296F" w:rsidRPr="004C70EC">
        <w:rPr>
          <w:noProof/>
          <w:lang w:eastAsia="en-GB"/>
        </w:rPr>
        <w:t xml:space="preserve">inspection </w:t>
      </w:r>
      <w:r w:rsidR="167CB7F6" w:rsidRPr="004C70EC">
        <w:rPr>
          <w:noProof/>
          <w:lang w:eastAsia="en-GB"/>
        </w:rPr>
        <w:t>authorities</w:t>
      </w:r>
      <w:r w:rsidR="0077296F" w:rsidRPr="004C70EC">
        <w:rPr>
          <w:noProof/>
          <w:lang w:eastAsia="en-GB"/>
        </w:rPr>
        <w:t xml:space="preserve"> </w:t>
      </w:r>
      <w:r w:rsidR="167CB7F6" w:rsidRPr="004C70EC">
        <w:rPr>
          <w:noProof/>
          <w:lang w:eastAsia="en-GB"/>
        </w:rPr>
        <w:t xml:space="preserve">and economic operators, including operators involved in online marketplaces. Moreover, </w:t>
      </w:r>
      <w:r w:rsidR="167CB7F6" w:rsidRPr="004C70EC">
        <w:rPr>
          <w:noProof/>
          <w:lang w:val="en-IE" w:eastAsia="de-DE"/>
        </w:rPr>
        <w:t xml:space="preserve">Member States should lay down rules on penalties applicable to </w:t>
      </w:r>
      <w:r w:rsidR="0077296F" w:rsidRPr="004C70EC">
        <w:rPr>
          <w:noProof/>
          <w:lang w:val="en-IE" w:eastAsia="de-DE"/>
        </w:rPr>
        <w:t xml:space="preserve">infringemens of </w:t>
      </w:r>
      <w:r w:rsidR="167CB7F6" w:rsidRPr="004C70EC">
        <w:rPr>
          <w:noProof/>
          <w:lang w:val="en-IE" w:eastAsia="de-DE"/>
        </w:rPr>
        <w:t xml:space="preserve">the provisions </w:t>
      </w:r>
      <w:r w:rsidR="0077296F" w:rsidRPr="004C70EC">
        <w:rPr>
          <w:noProof/>
          <w:lang w:val="en-IE" w:eastAsia="de-DE"/>
        </w:rPr>
        <w:t>laid down in</w:t>
      </w:r>
      <w:r w:rsidR="167CB7F6" w:rsidRPr="004C70EC">
        <w:rPr>
          <w:noProof/>
          <w:lang w:val="en-IE" w:eastAsia="de-DE"/>
        </w:rPr>
        <w:t xml:space="preserve"> this Regulation regarding the prevention of biotechnology misuse</w:t>
      </w:r>
      <w:r w:rsidR="0077296F" w:rsidRPr="004C70EC">
        <w:rPr>
          <w:noProof/>
          <w:lang w:val="en-IE" w:eastAsia="de-DE"/>
        </w:rPr>
        <w:t>. Such penalties</w:t>
      </w:r>
      <w:r w:rsidR="167CB7F6" w:rsidRPr="004C70EC">
        <w:rPr>
          <w:noProof/>
          <w:lang w:val="en-IE" w:eastAsia="de-DE"/>
        </w:rPr>
        <w:t xml:space="preserve"> should be effective, proportionate and dissuasive. </w:t>
      </w:r>
    </w:p>
    <w:p w14:paraId="7552B29B" w14:textId="7D2B2F23" w:rsidR="000A3D42" w:rsidRPr="004C70EC" w:rsidRDefault="00C03A23" w:rsidP="00C03A23">
      <w:pPr>
        <w:pStyle w:val="ManualConsidrant"/>
        <w:rPr>
          <w:noProof/>
          <w:lang w:val="en-IE" w:eastAsia="de-DE"/>
        </w:rPr>
      </w:pPr>
      <w:r w:rsidRPr="00C03A23">
        <w:rPr>
          <w:noProof/>
        </w:rPr>
        <w:t>(100)</w:t>
      </w:r>
      <w:r w:rsidRPr="00C03A23">
        <w:rPr>
          <w:noProof/>
        </w:rPr>
        <w:tab/>
      </w:r>
      <w:r w:rsidR="167CB7F6" w:rsidRPr="004C70EC">
        <w:rPr>
          <w:noProof/>
          <w:lang w:eastAsia="de-DE"/>
        </w:rPr>
        <w:t xml:space="preserve">The Commission </w:t>
      </w:r>
      <w:r w:rsidR="25632508" w:rsidRPr="004C70EC">
        <w:rPr>
          <w:noProof/>
          <w:lang w:eastAsia="de-DE"/>
        </w:rPr>
        <w:t xml:space="preserve">should </w:t>
      </w:r>
      <w:r w:rsidR="167CB7F6" w:rsidRPr="004C70EC">
        <w:rPr>
          <w:noProof/>
          <w:lang w:eastAsia="de-DE"/>
        </w:rPr>
        <w:t xml:space="preserve">monitor Member States in the enforcement of this legislation, including by </w:t>
      </w:r>
      <w:r w:rsidR="167CB7F6" w:rsidRPr="004C70EC">
        <w:rPr>
          <w:rFonts w:eastAsia="Calibri"/>
          <w:noProof/>
          <w:lang w:eastAsia="de-DE"/>
        </w:rPr>
        <w:t>requesting information and records</w:t>
      </w:r>
      <w:r w:rsidR="167CB7F6" w:rsidRPr="004C70EC">
        <w:rPr>
          <w:noProof/>
          <w:lang w:eastAsia="de-DE"/>
        </w:rPr>
        <w:t xml:space="preserve"> to check the screening and suspicious transaction reporting frameworks of economic operators. </w:t>
      </w:r>
    </w:p>
    <w:p w14:paraId="009ACF16" w14:textId="222EEC47" w:rsidR="000A3D42" w:rsidRPr="004C70EC" w:rsidRDefault="00C03A23" w:rsidP="00C03A23">
      <w:pPr>
        <w:pStyle w:val="ManualConsidrant"/>
        <w:rPr>
          <w:noProof/>
          <w:lang w:eastAsia="de-DE"/>
        </w:rPr>
      </w:pPr>
      <w:r w:rsidRPr="00C03A23">
        <w:rPr>
          <w:noProof/>
        </w:rPr>
        <w:t>(101)</w:t>
      </w:r>
      <w:r w:rsidRPr="00C03A23">
        <w:rPr>
          <w:noProof/>
        </w:rPr>
        <w:tab/>
      </w:r>
      <w:r w:rsidR="167CB7F6" w:rsidRPr="004C70EC">
        <w:rPr>
          <w:noProof/>
          <w:lang w:eastAsia="en-GB"/>
        </w:rPr>
        <w:t xml:space="preserve">Considering the evolving biosecurity landscape and the misuse risks of biotechnology products of concern, this Regulation should establish an Advisory Group on Biosecurity (‘the Advisory Group’) to monitor the landscape of biological risks and alert the Commission when it identifies new biotechnology products of concern. </w:t>
      </w:r>
      <w:r w:rsidR="167CB7F6" w:rsidRPr="004C70EC">
        <w:rPr>
          <w:noProof/>
          <w:lang w:eastAsia="de-DE"/>
        </w:rPr>
        <w:t>The Advisory Group should</w:t>
      </w:r>
      <w:r w:rsidR="167CB7F6">
        <w:rPr>
          <w:noProof/>
        </w:rPr>
        <w:t xml:space="preserve"> </w:t>
      </w:r>
      <w:r w:rsidR="167CB7F6">
        <w:rPr>
          <w:noProof/>
          <w:lang w:eastAsia="de-DE"/>
        </w:rPr>
        <w:t>complement the work of existing expert groups in health security. It should</w:t>
      </w:r>
      <w:r w:rsidR="167CB7F6" w:rsidRPr="004C70EC">
        <w:rPr>
          <w:noProof/>
          <w:lang w:eastAsia="de-DE"/>
        </w:rPr>
        <w:t xml:space="preserve"> be composed of globally leading independent scientists. Its members should be selected and operate in accordance with the Commission Decision of 30 May 2016 establishing horizontal rules on the creation and operation of Commission expert groups. The members of the Advisory Group should be appointed by the Commission based on up-to-date scientific or technical expertise in the area of biosecurity, biodefence and </w:t>
      </w:r>
      <w:r w:rsidR="4CC51ABD" w:rsidRPr="004C70EC">
        <w:rPr>
          <w:noProof/>
          <w:lang w:eastAsia="de-DE"/>
        </w:rPr>
        <w:t>AI</w:t>
      </w:r>
      <w:r w:rsidR="167CB7F6" w:rsidRPr="004C70EC">
        <w:rPr>
          <w:noProof/>
          <w:lang w:eastAsia="de-DE"/>
        </w:rPr>
        <w:t xml:space="preserve">. </w:t>
      </w:r>
    </w:p>
    <w:p w14:paraId="4E072C53" w14:textId="7FE2283F" w:rsidR="000A3D42" w:rsidRPr="002D7694" w:rsidRDefault="00C03A23" w:rsidP="00C03A23">
      <w:pPr>
        <w:pStyle w:val="ManualConsidrant"/>
        <w:rPr>
          <w:noProof/>
          <w:lang w:val="en-IE" w:eastAsia="de-DE"/>
        </w:rPr>
      </w:pPr>
      <w:r w:rsidRPr="00C03A23">
        <w:rPr>
          <w:noProof/>
        </w:rPr>
        <w:t>(102)</w:t>
      </w:r>
      <w:r w:rsidRPr="00C03A23">
        <w:rPr>
          <w:noProof/>
        </w:rPr>
        <w:tab/>
      </w:r>
      <w:r w:rsidR="167CB7F6" w:rsidRPr="004C70EC">
        <w:rPr>
          <w:noProof/>
          <w:lang w:eastAsia="de-DE"/>
        </w:rPr>
        <w:t>AI offers significant potential to enhance the Union’s competitiveness and innovation capacity, including in the area of biotechnology.  This potential should be realised in a safe and responsible manner</w:t>
      </w:r>
      <w:r w:rsidR="00F26520" w:rsidRPr="004C70EC">
        <w:rPr>
          <w:noProof/>
          <w:lang w:eastAsia="de-DE"/>
        </w:rPr>
        <w:t>. In this regard,</w:t>
      </w:r>
      <w:r w:rsidR="00F26520" w:rsidRPr="004C70EC">
        <w:rPr>
          <w:noProof/>
        </w:rPr>
        <w:t xml:space="preserve"> Regulation (EU) 2024/1689 lays down harmonised rules for placing on the market putting into service and use of AI systems and models in the Union, prohibitions of certain AI practices, harmonised transparency rules for certain AI systems, rules on market monitoring, market surveillance, governance and enforcement as well as measures to support innovation. AI systems and general-purpose AI models can lower the barrier for actors to misuse biotechnology. The provisions of Regulation (EU) 2024/1689 governing AI systems and </w:t>
      </w:r>
      <w:r w:rsidR="00F26520" w:rsidRPr="004C70EC">
        <w:rPr>
          <w:noProof/>
          <w:lang w:eastAsia="de-DE"/>
        </w:rPr>
        <w:t xml:space="preserve">general-purpose AI models aim to mitigate this. </w:t>
      </w:r>
      <w:r w:rsidR="00F26520" w:rsidRPr="004C70EC">
        <w:rPr>
          <w:noProof/>
          <w:lang w:val="en-IE" w:eastAsia="de-DE"/>
        </w:rPr>
        <w:t>Further, AI models</w:t>
      </w:r>
      <w:r w:rsidR="0077296F" w:rsidRPr="004C70EC">
        <w:rPr>
          <w:noProof/>
          <w:lang w:val="en-IE" w:eastAsia="de-DE"/>
        </w:rPr>
        <w:t>,</w:t>
      </w:r>
      <w:r w:rsidR="00F26520" w:rsidRPr="004C70EC">
        <w:rPr>
          <w:noProof/>
          <w:lang w:val="en-IE" w:eastAsia="de-DE"/>
        </w:rPr>
        <w:t xml:space="preserve"> as described in </w:t>
      </w:r>
      <w:r w:rsidR="00AC3F63" w:rsidRPr="004C70EC">
        <w:rPr>
          <w:rFonts w:eastAsia="Times New Roman"/>
          <w:noProof/>
          <w:color w:val="000000" w:themeColor="text1"/>
        </w:rPr>
        <w:t>Regulation (EU) 2024/1689</w:t>
      </w:r>
      <w:r w:rsidR="00F26520" w:rsidRPr="004C70EC">
        <w:rPr>
          <w:rFonts w:eastAsia="Times New Roman"/>
          <w:noProof/>
          <w:color w:val="000000" w:themeColor="text1"/>
        </w:rPr>
        <w:t>,</w:t>
      </w:r>
      <w:r w:rsidR="00AC3F63" w:rsidRPr="004C70EC">
        <w:rPr>
          <w:rFonts w:eastAsia="Times New Roman"/>
          <w:noProof/>
          <w:color w:val="000000" w:themeColor="text1"/>
        </w:rPr>
        <w:t xml:space="preserve"> </w:t>
      </w:r>
      <w:r w:rsidR="00F26520" w:rsidRPr="004C70EC">
        <w:rPr>
          <w:rFonts w:eastAsia="Times New Roman"/>
          <w:noProof/>
          <w:color w:val="000000" w:themeColor="text1"/>
        </w:rPr>
        <w:t xml:space="preserve">used </w:t>
      </w:r>
      <w:r w:rsidR="00AC3F63" w:rsidRPr="004C70EC">
        <w:rPr>
          <w:rFonts w:eastAsia="Times New Roman"/>
          <w:noProof/>
          <w:color w:val="000000" w:themeColor="text1"/>
        </w:rPr>
        <w:t>in biological applications</w:t>
      </w:r>
      <w:r w:rsidR="00F26520" w:rsidRPr="004C70EC">
        <w:rPr>
          <w:rFonts w:eastAsia="Times New Roman"/>
          <w:noProof/>
          <w:color w:val="000000" w:themeColor="text1"/>
        </w:rPr>
        <w:t xml:space="preserve">, that are </w:t>
      </w:r>
      <w:r w:rsidR="00667D5D" w:rsidRPr="004C70EC">
        <w:rPr>
          <w:rFonts w:eastAsia="Times New Roman"/>
          <w:noProof/>
          <w:color w:val="000000" w:themeColor="text1"/>
        </w:rPr>
        <w:t xml:space="preserve">not covered by Regulation (EU) 2024/1689 </w:t>
      </w:r>
      <w:r w:rsidR="00612165" w:rsidRPr="004C70EC">
        <w:rPr>
          <w:rFonts w:eastAsia="Times New Roman"/>
          <w:noProof/>
          <w:color w:val="000000" w:themeColor="text1"/>
        </w:rPr>
        <w:t xml:space="preserve"> (‘AI models in biological applications’)</w:t>
      </w:r>
      <w:r w:rsidR="00AC3F63" w:rsidRPr="004C70EC">
        <w:rPr>
          <w:rFonts w:eastAsia="Times New Roman"/>
          <w:noProof/>
          <w:color w:val="000000" w:themeColor="text1"/>
        </w:rPr>
        <w:t xml:space="preserve"> </w:t>
      </w:r>
      <w:r w:rsidR="167CB7F6" w:rsidRPr="004C70EC">
        <w:rPr>
          <w:rFonts w:eastAsia="Times New Roman"/>
          <w:noProof/>
          <w:color w:val="000000" w:themeColor="text1"/>
          <w:lang w:eastAsia="de-DE"/>
        </w:rPr>
        <w:t>can also pose risk</w:t>
      </w:r>
      <w:r w:rsidR="00F26520" w:rsidRPr="004C70EC">
        <w:rPr>
          <w:rFonts w:eastAsia="Times New Roman"/>
          <w:noProof/>
          <w:color w:val="000000" w:themeColor="text1"/>
          <w:lang w:eastAsia="de-DE"/>
        </w:rPr>
        <w:t>s</w:t>
      </w:r>
      <w:r w:rsidR="167CB7F6" w:rsidRPr="004C70EC">
        <w:rPr>
          <w:rFonts w:eastAsia="Times New Roman"/>
          <w:noProof/>
          <w:color w:val="000000" w:themeColor="text1"/>
          <w:lang w:eastAsia="de-DE"/>
        </w:rPr>
        <w:t xml:space="preserve">, including different types of </w:t>
      </w:r>
      <w:r w:rsidR="00AC3F63" w:rsidRPr="004C70EC">
        <w:rPr>
          <w:rFonts w:eastAsia="Times New Roman"/>
          <w:noProof/>
          <w:color w:val="000000" w:themeColor="text1"/>
          <w:lang w:eastAsia="de-DE"/>
        </w:rPr>
        <w:t xml:space="preserve">systemic </w:t>
      </w:r>
      <w:r w:rsidR="167CB7F6" w:rsidRPr="004C70EC">
        <w:rPr>
          <w:rFonts w:eastAsia="Times New Roman"/>
          <w:noProof/>
          <w:color w:val="000000" w:themeColor="text1"/>
          <w:lang w:eastAsia="de-DE"/>
        </w:rPr>
        <w:t xml:space="preserve">biological risks. </w:t>
      </w:r>
    </w:p>
    <w:p w14:paraId="043C41E0" w14:textId="15F5559D" w:rsidR="000A3D42" w:rsidRPr="004C70EC" w:rsidRDefault="00C03A23" w:rsidP="00C03A23">
      <w:pPr>
        <w:pStyle w:val="ManualConsidrant"/>
        <w:rPr>
          <w:noProof/>
          <w:lang w:val="en-IE" w:eastAsia="de-DE"/>
        </w:rPr>
      </w:pPr>
      <w:r w:rsidRPr="00C03A23">
        <w:rPr>
          <w:noProof/>
        </w:rPr>
        <w:t>(103)</w:t>
      </w:r>
      <w:r w:rsidRPr="00C03A23">
        <w:rPr>
          <w:noProof/>
        </w:rPr>
        <w:tab/>
      </w:r>
      <w:r w:rsidR="167CB7F6" w:rsidRPr="004C70EC">
        <w:rPr>
          <w:noProof/>
          <w:lang w:eastAsia="de-DE"/>
        </w:rPr>
        <w:t xml:space="preserve">AI </w:t>
      </w:r>
      <w:r w:rsidR="167CB7F6" w:rsidRPr="002D7694">
        <w:rPr>
          <w:noProof/>
          <w:lang w:eastAsia="de-DE"/>
        </w:rPr>
        <w:t xml:space="preserve">models </w:t>
      </w:r>
      <w:r w:rsidR="009D51BA" w:rsidRPr="002D7694">
        <w:rPr>
          <w:noProof/>
        </w:rPr>
        <w:t>in biological applications</w:t>
      </w:r>
      <w:r w:rsidR="167CB7F6" w:rsidRPr="004C70EC">
        <w:rPr>
          <w:noProof/>
        </w:rPr>
        <w:t xml:space="preserve"> encompass</w:t>
      </w:r>
      <w:r w:rsidR="15AB35DC" w:rsidRPr="004C70EC">
        <w:rPr>
          <w:noProof/>
        </w:rPr>
        <w:t xml:space="preserve"> </w:t>
      </w:r>
      <w:r w:rsidR="167CB7F6" w:rsidRPr="004C70EC">
        <w:rPr>
          <w:noProof/>
        </w:rPr>
        <w:t>both specialised tools and more general models trained on large datasets of biological sequences that can be adapted for a variety of downstream tasks</w:t>
      </w:r>
      <w:r w:rsidR="26CBB496" w:rsidRPr="004C70EC">
        <w:rPr>
          <w:noProof/>
        </w:rPr>
        <w:t>. Such models in biological applications</w:t>
      </w:r>
      <w:r w:rsidR="167CB7F6" w:rsidRPr="004C70EC">
        <w:rPr>
          <w:noProof/>
        </w:rPr>
        <w:t xml:space="preserve"> </w:t>
      </w:r>
      <w:r w:rsidR="167CB7F6" w:rsidRPr="004C70EC">
        <w:rPr>
          <w:noProof/>
          <w:lang w:eastAsia="de-DE"/>
        </w:rPr>
        <w:t xml:space="preserve">can aid in the development of novel, more dangerous biological </w:t>
      </w:r>
      <w:r w:rsidR="7C132148" w:rsidRPr="004C70EC">
        <w:rPr>
          <w:noProof/>
          <w:lang w:eastAsia="de-DE"/>
        </w:rPr>
        <w:t>threats, increasing</w:t>
      </w:r>
      <w:r w:rsidR="494C2FB2" w:rsidRPr="004C70EC">
        <w:rPr>
          <w:noProof/>
          <w:lang w:eastAsia="de-DE"/>
        </w:rPr>
        <w:t xml:space="preserve"> the ceiling of harm of biotechnology misuse</w:t>
      </w:r>
      <w:r w:rsidR="167CB7F6" w:rsidRPr="004C70EC">
        <w:rPr>
          <w:noProof/>
          <w:lang w:eastAsia="de-DE"/>
        </w:rPr>
        <w:t>. Capabilities of such AI models in biological applications therefore need to be monitored,</w:t>
      </w:r>
      <w:r w:rsidR="00F26520" w:rsidRPr="004C70EC">
        <w:rPr>
          <w:noProof/>
          <w:lang w:eastAsia="de-DE"/>
        </w:rPr>
        <w:t xml:space="preserve"> </w:t>
      </w:r>
      <w:r w:rsidR="7D8D7C3B" w:rsidRPr="004C70EC">
        <w:rPr>
          <w:noProof/>
          <w:lang w:eastAsia="de-DE"/>
        </w:rPr>
        <w:t>investigating and assessing risk</w:t>
      </w:r>
      <w:r w:rsidR="00106C3B" w:rsidRPr="004C70EC">
        <w:rPr>
          <w:noProof/>
          <w:lang w:eastAsia="de-DE"/>
        </w:rPr>
        <w:t>s</w:t>
      </w:r>
      <w:r w:rsidR="7D8D7C3B" w:rsidRPr="004C70EC">
        <w:rPr>
          <w:noProof/>
          <w:lang w:eastAsia="de-DE"/>
        </w:rPr>
        <w:t xml:space="preserve"> to </w:t>
      </w:r>
      <w:r w:rsidR="167CB7F6" w:rsidRPr="004C70EC">
        <w:rPr>
          <w:noProof/>
          <w:lang w:eastAsia="de-DE"/>
        </w:rPr>
        <w:t>identify any models posing biological systemic risks and ensuring necessary risk mitigation measures are taken. In addition, systemic resilience w</w:t>
      </w:r>
      <w:r w:rsidR="00106C3B" w:rsidRPr="004C70EC">
        <w:rPr>
          <w:noProof/>
          <w:lang w:eastAsia="de-DE"/>
        </w:rPr>
        <w:t>ould</w:t>
      </w:r>
      <w:r w:rsidR="167CB7F6" w:rsidRPr="004C70EC">
        <w:rPr>
          <w:noProof/>
          <w:lang w:eastAsia="de-DE"/>
        </w:rPr>
        <w:t xml:space="preserve"> need to improve to prevent, detect and respond to any misuse incidents.</w:t>
      </w:r>
    </w:p>
    <w:p w14:paraId="16B7E586" w14:textId="4D3218FC" w:rsidR="005704B8" w:rsidRPr="004C70EC" w:rsidRDefault="00C03A23" w:rsidP="00C03A23">
      <w:pPr>
        <w:pStyle w:val="ManualConsidrant"/>
        <w:rPr>
          <w:noProof/>
          <w:lang w:val="en-IE" w:eastAsia="de-DE"/>
        </w:rPr>
      </w:pPr>
      <w:r w:rsidRPr="00C03A23">
        <w:rPr>
          <w:noProof/>
        </w:rPr>
        <w:t>(104)</w:t>
      </w:r>
      <w:r w:rsidRPr="00C03A23">
        <w:rPr>
          <w:noProof/>
        </w:rPr>
        <w:tab/>
      </w:r>
      <w:r w:rsidR="167CB7F6" w:rsidRPr="004C70EC">
        <w:rPr>
          <w:noProof/>
          <w:lang w:eastAsia="de-DE"/>
        </w:rPr>
        <w:t>The Advisory Group should therefore monitor the capabilities of AI models in biological applications, working closely with scientists and companies developing such models and should be tasked to issue a qualified alert to the Commission if it identifies that a</w:t>
      </w:r>
      <w:r w:rsidR="3CE8AA07" w:rsidRPr="004C70EC">
        <w:rPr>
          <w:noProof/>
          <w:lang w:eastAsia="de-DE"/>
        </w:rPr>
        <w:t>n AI</w:t>
      </w:r>
      <w:r w:rsidR="167CB7F6" w:rsidRPr="004C70EC">
        <w:rPr>
          <w:noProof/>
          <w:lang w:eastAsia="de-DE"/>
        </w:rPr>
        <w:t xml:space="preserve"> model</w:t>
      </w:r>
      <w:r w:rsidR="66BBC51D" w:rsidRPr="004C70EC">
        <w:rPr>
          <w:noProof/>
          <w:lang w:eastAsia="de-DE"/>
        </w:rPr>
        <w:t xml:space="preserve"> </w:t>
      </w:r>
      <w:r w:rsidR="00C95070" w:rsidRPr="004C70EC">
        <w:rPr>
          <w:noProof/>
          <w:lang w:eastAsia="de-DE"/>
        </w:rPr>
        <w:t>in bi</w:t>
      </w:r>
      <w:r w:rsidR="00BA356D" w:rsidRPr="004C70EC">
        <w:rPr>
          <w:noProof/>
          <w:lang w:eastAsia="de-DE"/>
        </w:rPr>
        <w:t xml:space="preserve">ological applications </w:t>
      </w:r>
      <w:r w:rsidR="7C3C8C3B" w:rsidRPr="004C70EC">
        <w:rPr>
          <w:noProof/>
        </w:rPr>
        <w:t>not covered by Regulation (EU) 2024/1689</w:t>
      </w:r>
      <w:r w:rsidR="66BBC51D" w:rsidRPr="004C70EC">
        <w:rPr>
          <w:noProof/>
          <w:lang w:eastAsia="de-DE"/>
        </w:rPr>
        <w:t xml:space="preserve"> </w:t>
      </w:r>
      <w:r w:rsidR="167CB7F6" w:rsidRPr="004C70EC">
        <w:rPr>
          <w:noProof/>
          <w:lang w:eastAsia="de-DE"/>
        </w:rPr>
        <w:t xml:space="preserve">poses biological systemic risk. </w:t>
      </w:r>
      <w:r w:rsidR="167CB7F6" w:rsidRPr="004C70EC">
        <w:rPr>
          <w:noProof/>
        </w:rPr>
        <w:t xml:space="preserve">The Advisory Group </w:t>
      </w:r>
      <w:r w:rsidR="6E49E148" w:rsidRPr="004C70EC">
        <w:rPr>
          <w:noProof/>
        </w:rPr>
        <w:t>sh</w:t>
      </w:r>
      <w:r w:rsidR="00BA356D" w:rsidRPr="004C70EC">
        <w:rPr>
          <w:noProof/>
        </w:rPr>
        <w:t xml:space="preserve">ould </w:t>
      </w:r>
      <w:r w:rsidR="6E49E148" w:rsidRPr="004C70EC">
        <w:rPr>
          <w:noProof/>
        </w:rPr>
        <w:t xml:space="preserve">inform the </w:t>
      </w:r>
      <w:r w:rsidR="6E49E148" w:rsidRPr="002D7694">
        <w:rPr>
          <w:noProof/>
        </w:rPr>
        <w:t xml:space="preserve">Scientific Panel of independent experts established under Article 68 </w:t>
      </w:r>
      <w:r w:rsidR="00106C3B" w:rsidRPr="004C70EC">
        <w:rPr>
          <w:noProof/>
        </w:rPr>
        <w:t xml:space="preserve">of </w:t>
      </w:r>
      <w:r w:rsidR="6E49E148" w:rsidRPr="002D7694">
        <w:rPr>
          <w:noProof/>
        </w:rPr>
        <w:t>Regulation (EU) 2024/1689</w:t>
      </w:r>
      <w:r w:rsidR="00BF6B0C" w:rsidRPr="004C70EC">
        <w:rPr>
          <w:noProof/>
        </w:rPr>
        <w:t>,</w:t>
      </w:r>
      <w:r w:rsidR="6E49E148" w:rsidRPr="002D7694">
        <w:rPr>
          <w:noProof/>
        </w:rPr>
        <w:t xml:space="preserve"> </w:t>
      </w:r>
      <w:r w:rsidR="00743CD4" w:rsidRPr="004C70EC">
        <w:rPr>
          <w:noProof/>
        </w:rPr>
        <w:t xml:space="preserve">if it has reasonable grounds to suspect that an AI model covered by </w:t>
      </w:r>
      <w:r w:rsidR="00BF6B0C" w:rsidRPr="004C70EC">
        <w:rPr>
          <w:noProof/>
        </w:rPr>
        <w:t xml:space="preserve">that </w:t>
      </w:r>
      <w:r w:rsidR="00743CD4" w:rsidRPr="004C70EC">
        <w:rPr>
          <w:noProof/>
        </w:rPr>
        <w:t>Regulation poses biological systemic risk</w:t>
      </w:r>
      <w:r w:rsidR="00BF6B0C" w:rsidRPr="004C70EC">
        <w:rPr>
          <w:noProof/>
        </w:rPr>
        <w:t>s</w:t>
      </w:r>
      <w:r w:rsidR="167CB7F6" w:rsidRPr="004C70EC">
        <w:rPr>
          <w:noProof/>
        </w:rPr>
        <w:t>. Th</w:t>
      </w:r>
      <w:r w:rsidR="00C06F5C" w:rsidRPr="004C70EC">
        <w:rPr>
          <w:noProof/>
        </w:rPr>
        <w:t xml:space="preserve">at </w:t>
      </w:r>
      <w:r w:rsidR="167CB7F6" w:rsidRPr="004C70EC">
        <w:rPr>
          <w:noProof/>
        </w:rPr>
        <w:t xml:space="preserve"> panel </w:t>
      </w:r>
      <w:r w:rsidR="00C06F5C" w:rsidRPr="004C70EC">
        <w:rPr>
          <w:noProof/>
        </w:rPr>
        <w:t xml:space="preserve">could </w:t>
      </w:r>
      <w:r w:rsidR="167CB7F6" w:rsidRPr="004C70EC">
        <w:rPr>
          <w:noProof/>
        </w:rPr>
        <w:t>in turn issue a qualified alert to the AI Office in accordance with Regulation</w:t>
      </w:r>
      <w:r w:rsidR="00C06F5C" w:rsidRPr="004C70EC">
        <w:rPr>
          <w:noProof/>
        </w:rPr>
        <w:t xml:space="preserve"> (EU) 20</w:t>
      </w:r>
      <w:r w:rsidR="6CD29E96" w:rsidRPr="004C70EC">
        <w:rPr>
          <w:noProof/>
        </w:rPr>
        <w:t>24</w:t>
      </w:r>
      <w:r w:rsidR="00C06F5C" w:rsidRPr="004C70EC">
        <w:rPr>
          <w:noProof/>
        </w:rPr>
        <w:t>/1689</w:t>
      </w:r>
      <w:r w:rsidR="167CB7F6" w:rsidRPr="004C70EC">
        <w:rPr>
          <w:noProof/>
        </w:rPr>
        <w:t xml:space="preserve">. </w:t>
      </w:r>
      <w:r w:rsidR="167CB7F6" w:rsidRPr="004C70EC">
        <w:rPr>
          <w:noProof/>
          <w:lang w:eastAsia="de-DE"/>
        </w:rPr>
        <w:t>Considering that the AI Office established by Commission Decision</w:t>
      </w:r>
      <w:r w:rsidR="15E0E44A" w:rsidRPr="004C70EC">
        <w:rPr>
          <w:noProof/>
        </w:rPr>
        <w:t xml:space="preserve"> </w:t>
      </w:r>
      <w:r w:rsidR="15E0E44A" w:rsidRPr="004C70EC">
        <w:rPr>
          <w:noProof/>
          <w:lang w:eastAsia="de-DE"/>
        </w:rPr>
        <w:t>C(2024) 390</w:t>
      </w:r>
      <w:r w:rsidR="000A3D42" w:rsidRPr="004C70EC">
        <w:rPr>
          <w:rStyle w:val="FootnoteReference"/>
          <w:noProof/>
          <w:color w:val="000000" w:themeColor="text1"/>
        </w:rPr>
        <w:footnoteReference w:id="136"/>
      </w:r>
      <w:r w:rsidR="167CB7F6" w:rsidRPr="004C70EC">
        <w:rPr>
          <w:noProof/>
          <w:lang w:eastAsia="de-DE"/>
        </w:rPr>
        <w:t xml:space="preserve"> has as its mission to develop Union expertise and capabilities in the field of AI and to contribute to the implementation of Union law on AI, that </w:t>
      </w:r>
      <w:r w:rsidR="005452F5" w:rsidRPr="004C70EC">
        <w:rPr>
          <w:noProof/>
          <w:lang w:eastAsia="de-DE"/>
        </w:rPr>
        <w:t>o</w:t>
      </w:r>
      <w:r w:rsidR="167CB7F6" w:rsidRPr="004C70EC">
        <w:rPr>
          <w:noProof/>
          <w:lang w:eastAsia="de-DE"/>
        </w:rPr>
        <w:t>ffice should participate in the establishment of the Advisory Group</w:t>
      </w:r>
      <w:r w:rsidR="138A50F9" w:rsidRPr="004C70EC">
        <w:rPr>
          <w:noProof/>
          <w:lang w:eastAsia="de-DE"/>
        </w:rPr>
        <w:t xml:space="preserve">. </w:t>
      </w:r>
      <w:r w:rsidR="003F0F8C" w:rsidRPr="004C70EC">
        <w:rPr>
          <w:noProof/>
        </w:rPr>
        <w:t xml:space="preserve"> </w:t>
      </w:r>
    </w:p>
    <w:p w14:paraId="27ED1388" w14:textId="0606C7F8" w:rsidR="000A3D42" w:rsidRPr="004C70EC" w:rsidRDefault="00C03A23" w:rsidP="00C03A23">
      <w:pPr>
        <w:pStyle w:val="ManualConsidrant"/>
        <w:rPr>
          <w:noProof/>
          <w:lang w:val="en-IE" w:eastAsia="de-DE"/>
        </w:rPr>
      </w:pPr>
      <w:r w:rsidRPr="00C03A23">
        <w:rPr>
          <w:noProof/>
        </w:rPr>
        <w:t>(105)</w:t>
      </w:r>
      <w:r w:rsidRPr="00C03A23">
        <w:rPr>
          <w:noProof/>
        </w:rPr>
        <w:tab/>
      </w:r>
      <w:r w:rsidR="24001368" w:rsidRPr="004C70EC">
        <w:rPr>
          <w:noProof/>
          <w:lang w:eastAsia="de-DE"/>
        </w:rPr>
        <w:t xml:space="preserve">The </w:t>
      </w:r>
      <w:r w:rsidR="75603653" w:rsidRPr="004C70EC">
        <w:rPr>
          <w:noProof/>
          <w:lang w:eastAsia="de-DE"/>
        </w:rPr>
        <w:t xml:space="preserve">European Health Biotechnology </w:t>
      </w:r>
      <w:r w:rsidR="24001368" w:rsidRPr="004C70EC">
        <w:rPr>
          <w:noProof/>
          <w:lang w:eastAsia="de-DE"/>
        </w:rPr>
        <w:t>Steering</w:t>
      </w:r>
      <w:r w:rsidR="1F1F4EF6" w:rsidRPr="004C70EC">
        <w:rPr>
          <w:noProof/>
          <w:lang w:eastAsia="de-DE"/>
        </w:rPr>
        <w:t xml:space="preserve"> </w:t>
      </w:r>
      <w:r w:rsidR="478F5349" w:rsidRPr="004C70EC">
        <w:rPr>
          <w:noProof/>
          <w:lang w:eastAsia="de-DE"/>
        </w:rPr>
        <w:t>G</w:t>
      </w:r>
      <w:r w:rsidR="1F1F4EF6" w:rsidRPr="004C70EC">
        <w:rPr>
          <w:noProof/>
          <w:lang w:eastAsia="de-DE"/>
        </w:rPr>
        <w:t>roup</w:t>
      </w:r>
      <w:r w:rsidR="75603653" w:rsidRPr="004C70EC">
        <w:rPr>
          <w:noProof/>
          <w:lang w:eastAsia="de-DE"/>
        </w:rPr>
        <w:t xml:space="preserve"> established by this Regulation</w:t>
      </w:r>
      <w:r w:rsidR="167CB7F6" w:rsidRPr="004C70EC">
        <w:rPr>
          <w:noProof/>
          <w:lang w:eastAsia="de-DE"/>
        </w:rPr>
        <w:t xml:space="preserve"> should also ensure proper coordination and information exchanges among Member States on the enforcement of the biosecurity provisions in this </w:t>
      </w:r>
      <w:r w:rsidR="03198A68" w:rsidRPr="004C70EC">
        <w:rPr>
          <w:noProof/>
          <w:lang w:eastAsia="de-DE"/>
        </w:rPr>
        <w:t>R</w:t>
      </w:r>
      <w:r w:rsidR="167CB7F6" w:rsidRPr="004C70EC">
        <w:rPr>
          <w:noProof/>
          <w:lang w:eastAsia="de-DE"/>
        </w:rPr>
        <w:t>egulation, consulting the Advisory Group</w:t>
      </w:r>
      <w:r w:rsidR="33463F07" w:rsidRPr="004C70EC">
        <w:rPr>
          <w:noProof/>
          <w:lang w:eastAsia="de-DE"/>
        </w:rPr>
        <w:t>, other relevant existing bodies</w:t>
      </w:r>
      <w:r w:rsidR="167CB7F6" w:rsidRPr="004C70EC">
        <w:rPr>
          <w:noProof/>
          <w:lang w:eastAsia="de-DE"/>
        </w:rPr>
        <w:t xml:space="preserve"> and external experts where appropriate.</w:t>
      </w:r>
    </w:p>
    <w:bookmarkEnd w:id="15"/>
    <w:p w14:paraId="4D1317AE" w14:textId="6E567657" w:rsidR="00A46B6E" w:rsidRPr="004C70EC" w:rsidRDefault="00C03A23" w:rsidP="00C03A23">
      <w:pPr>
        <w:pStyle w:val="ManualConsidrant"/>
        <w:rPr>
          <w:noProof/>
          <w:lang w:val="en-IE" w:eastAsia="de-DE"/>
        </w:rPr>
      </w:pPr>
      <w:r w:rsidRPr="00C03A23">
        <w:rPr>
          <w:noProof/>
        </w:rPr>
        <w:t>(106)</w:t>
      </w:r>
      <w:r w:rsidRPr="00C03A23">
        <w:rPr>
          <w:noProof/>
        </w:rPr>
        <w:tab/>
      </w:r>
      <w:r w:rsidR="48906256" w:rsidRPr="004C70EC">
        <w:rPr>
          <w:noProof/>
          <w:lang w:val="en-IE" w:eastAsia="de-DE"/>
        </w:rPr>
        <w:t xml:space="preserve">This Regulation </w:t>
      </w:r>
      <w:r w:rsidR="0EC6D049" w:rsidRPr="004C70EC">
        <w:rPr>
          <w:noProof/>
          <w:lang w:val="en-IE" w:eastAsia="de-DE"/>
        </w:rPr>
        <w:t xml:space="preserve">should </w:t>
      </w:r>
      <w:r w:rsidR="48906256" w:rsidRPr="004C70EC">
        <w:rPr>
          <w:noProof/>
          <w:lang w:val="en-IE" w:eastAsia="de-DE"/>
        </w:rPr>
        <w:t xml:space="preserve">establish a framework </w:t>
      </w:r>
      <w:r w:rsidR="4144A35D" w:rsidRPr="004C70EC">
        <w:rPr>
          <w:noProof/>
          <w:lang w:val="en-IE" w:eastAsia="de-DE"/>
        </w:rPr>
        <w:t xml:space="preserve">of measures, </w:t>
      </w:r>
      <w:r w:rsidR="58F6C1CC" w:rsidRPr="004C70EC">
        <w:rPr>
          <w:noProof/>
          <w:lang w:val="en-IE" w:eastAsia="de-DE"/>
        </w:rPr>
        <w:t xml:space="preserve">in particular </w:t>
      </w:r>
      <w:r w:rsidR="48906256" w:rsidRPr="004C70EC">
        <w:rPr>
          <w:noProof/>
          <w:lang w:val="en-IE" w:eastAsia="de-DE"/>
        </w:rPr>
        <w:t>for health</w:t>
      </w:r>
      <w:r w:rsidR="2DDACF4F" w:rsidRPr="004C70EC">
        <w:rPr>
          <w:noProof/>
          <w:lang w:val="en-IE" w:eastAsia="de-DE"/>
        </w:rPr>
        <w:t xml:space="preserve"> biotechnology strategic projects </w:t>
      </w:r>
      <w:r w:rsidR="48906256" w:rsidRPr="004C70EC">
        <w:rPr>
          <w:noProof/>
          <w:lang w:val="en-IE" w:eastAsia="de-DE"/>
        </w:rPr>
        <w:t xml:space="preserve">and </w:t>
      </w:r>
      <w:r w:rsidR="2DDACF4F" w:rsidRPr="004C70EC">
        <w:rPr>
          <w:noProof/>
          <w:lang w:val="en-IE" w:eastAsia="de-DE"/>
        </w:rPr>
        <w:t xml:space="preserve">high impact </w:t>
      </w:r>
      <w:r w:rsidR="533A0DE0" w:rsidRPr="004C70EC">
        <w:rPr>
          <w:noProof/>
          <w:lang w:val="en-IE" w:eastAsia="de-DE"/>
        </w:rPr>
        <w:t>health</w:t>
      </w:r>
      <w:r w:rsidR="2DDACF4F" w:rsidRPr="004C70EC">
        <w:rPr>
          <w:noProof/>
          <w:lang w:val="en-IE" w:eastAsia="de-DE"/>
        </w:rPr>
        <w:t xml:space="preserve"> biotechnology strategic projects</w:t>
      </w:r>
      <w:r w:rsidR="0F2C9A47" w:rsidRPr="004C70EC">
        <w:rPr>
          <w:noProof/>
          <w:lang w:val="en-IE" w:eastAsia="de-DE"/>
        </w:rPr>
        <w:t>,</w:t>
      </w:r>
      <w:r w:rsidR="64DBDA2E" w:rsidRPr="004C70EC">
        <w:rPr>
          <w:noProof/>
          <w:lang w:val="en-IE" w:eastAsia="de-DE"/>
        </w:rPr>
        <w:t xml:space="preserve"> </w:t>
      </w:r>
      <w:r w:rsidR="4144A35D" w:rsidRPr="004C70EC">
        <w:rPr>
          <w:noProof/>
          <w:lang w:val="en-IE" w:eastAsia="de-DE"/>
        </w:rPr>
        <w:t>to</w:t>
      </w:r>
      <w:r w:rsidR="64DBDA2E" w:rsidRPr="004C70EC">
        <w:rPr>
          <w:noProof/>
          <w:lang w:val="en-IE" w:eastAsia="de-DE"/>
        </w:rPr>
        <w:t xml:space="preserve"> </w:t>
      </w:r>
      <w:r w:rsidR="2DDACF4F" w:rsidRPr="004C70EC">
        <w:rPr>
          <w:noProof/>
          <w:lang w:val="en-IE" w:eastAsia="de-DE"/>
        </w:rPr>
        <w:t xml:space="preserve">ensure the growth of </w:t>
      </w:r>
      <w:r w:rsidR="4144A35D" w:rsidRPr="004C70EC">
        <w:rPr>
          <w:noProof/>
          <w:lang w:val="en-IE" w:eastAsia="de-DE"/>
        </w:rPr>
        <w:t>th</w:t>
      </w:r>
      <w:r w:rsidR="0EB84E2D" w:rsidRPr="004C70EC">
        <w:rPr>
          <w:noProof/>
          <w:lang w:val="en-IE" w:eastAsia="de-DE"/>
        </w:rPr>
        <w:t>e</w:t>
      </w:r>
      <w:r w:rsidR="4144A35D" w:rsidRPr="004C70EC">
        <w:rPr>
          <w:noProof/>
          <w:lang w:val="en-IE" w:eastAsia="de-DE"/>
        </w:rPr>
        <w:t xml:space="preserve"> </w:t>
      </w:r>
      <w:r w:rsidR="0456D888" w:rsidRPr="004C70EC">
        <w:rPr>
          <w:noProof/>
          <w:lang w:val="en-IE" w:eastAsia="de-DE"/>
        </w:rPr>
        <w:t xml:space="preserve">health biotechnology </w:t>
      </w:r>
      <w:r w:rsidR="2DDACF4F" w:rsidRPr="004C70EC">
        <w:rPr>
          <w:noProof/>
          <w:lang w:val="en-IE" w:eastAsia="de-DE"/>
        </w:rPr>
        <w:t>sector</w:t>
      </w:r>
      <w:r w:rsidR="64DBDA2E" w:rsidRPr="004C70EC">
        <w:rPr>
          <w:noProof/>
          <w:lang w:val="en-IE" w:eastAsia="de-DE"/>
        </w:rPr>
        <w:t>.</w:t>
      </w:r>
      <w:r w:rsidR="2DDACF4F" w:rsidRPr="004C70EC">
        <w:rPr>
          <w:noProof/>
          <w:lang w:val="en-IE" w:eastAsia="de-DE"/>
        </w:rPr>
        <w:t xml:space="preserve"> </w:t>
      </w:r>
      <w:r w:rsidR="1DF2A863" w:rsidRPr="004C70EC">
        <w:rPr>
          <w:noProof/>
          <w:lang w:val="en-IE" w:eastAsia="de-DE"/>
        </w:rPr>
        <w:t>This Regulation</w:t>
      </w:r>
      <w:r w:rsidR="15AB2843" w:rsidRPr="004C70EC">
        <w:rPr>
          <w:noProof/>
          <w:lang w:val="en-IE" w:eastAsia="de-DE"/>
        </w:rPr>
        <w:t xml:space="preserve"> and, in particular, the </w:t>
      </w:r>
      <w:r w:rsidR="34E2B3CD" w:rsidRPr="004C70EC">
        <w:rPr>
          <w:noProof/>
          <w:lang w:val="en-IE" w:eastAsia="de-DE"/>
        </w:rPr>
        <w:t>measures</w:t>
      </w:r>
      <w:r w:rsidR="2A345DBD" w:rsidRPr="004C70EC">
        <w:rPr>
          <w:noProof/>
          <w:lang w:val="en-IE" w:eastAsia="de-DE"/>
        </w:rPr>
        <w:t xml:space="preserve"> </w:t>
      </w:r>
      <w:r w:rsidR="15AB2843" w:rsidRPr="004C70EC">
        <w:rPr>
          <w:noProof/>
          <w:lang w:val="en-IE" w:eastAsia="de-DE"/>
        </w:rPr>
        <w:t xml:space="preserve">in </w:t>
      </w:r>
      <w:r w:rsidR="3F763BA7" w:rsidRPr="004C70EC">
        <w:rPr>
          <w:noProof/>
          <w:lang w:val="en-IE" w:eastAsia="de-DE"/>
        </w:rPr>
        <w:t xml:space="preserve">Chapters </w:t>
      </w:r>
      <w:r w:rsidR="15AB2843" w:rsidRPr="004C70EC">
        <w:rPr>
          <w:noProof/>
          <w:lang w:val="en-IE" w:eastAsia="de-DE"/>
        </w:rPr>
        <w:t>I</w:t>
      </w:r>
      <w:r w:rsidR="25216E56" w:rsidRPr="004C70EC">
        <w:rPr>
          <w:noProof/>
          <w:lang w:val="en-IE" w:eastAsia="de-DE"/>
        </w:rPr>
        <w:t>I</w:t>
      </w:r>
      <w:r w:rsidR="15AB2843" w:rsidRPr="004C70EC">
        <w:rPr>
          <w:noProof/>
          <w:lang w:val="en-IE" w:eastAsia="de-DE"/>
        </w:rPr>
        <w:t xml:space="preserve"> to VIII</w:t>
      </w:r>
      <w:r w:rsidR="3DEC1D1A" w:rsidRPr="004C70EC">
        <w:rPr>
          <w:noProof/>
          <w:lang w:val="en-IE" w:eastAsia="de-DE"/>
        </w:rPr>
        <w:t xml:space="preserve">, </w:t>
      </w:r>
      <w:r w:rsidR="36A58455" w:rsidRPr="004C70EC">
        <w:rPr>
          <w:noProof/>
          <w:lang w:val="en-IE" w:eastAsia="de-DE"/>
        </w:rPr>
        <w:t xml:space="preserve">should </w:t>
      </w:r>
      <w:r w:rsidR="388DD36D" w:rsidRPr="004C70EC">
        <w:rPr>
          <w:noProof/>
          <w:lang w:val="en-IE" w:eastAsia="de-DE"/>
        </w:rPr>
        <w:t xml:space="preserve">serve </w:t>
      </w:r>
      <w:r w:rsidR="4CC2317D" w:rsidRPr="004C70EC">
        <w:rPr>
          <w:noProof/>
          <w:lang w:val="en-IE" w:eastAsia="de-DE"/>
        </w:rPr>
        <w:t xml:space="preserve">the aim of </w:t>
      </w:r>
      <w:r w:rsidR="240DC7CF" w:rsidRPr="004C70EC">
        <w:rPr>
          <w:noProof/>
          <w:lang w:eastAsia="ja-JP"/>
        </w:rPr>
        <w:t>creat</w:t>
      </w:r>
      <w:r w:rsidR="627FC32A" w:rsidRPr="004C70EC">
        <w:rPr>
          <w:noProof/>
          <w:lang w:eastAsia="ja-JP"/>
        </w:rPr>
        <w:t xml:space="preserve">ing </w:t>
      </w:r>
      <w:r w:rsidR="240DC7CF" w:rsidRPr="004C70EC">
        <w:rPr>
          <w:noProof/>
          <w:lang w:eastAsia="ja-JP"/>
        </w:rPr>
        <w:t>and reinforc</w:t>
      </w:r>
      <w:r w:rsidR="627FC32A" w:rsidRPr="004C70EC">
        <w:rPr>
          <w:noProof/>
          <w:lang w:eastAsia="ja-JP"/>
        </w:rPr>
        <w:t>ing</w:t>
      </w:r>
      <w:r w:rsidR="240DC7CF" w:rsidRPr="004C70EC" w:rsidDel="00B048E0">
        <w:rPr>
          <w:noProof/>
          <w:lang w:eastAsia="ja-JP"/>
        </w:rPr>
        <w:t xml:space="preserve"> </w:t>
      </w:r>
      <w:r w:rsidR="240DC7CF" w:rsidRPr="004C70EC">
        <w:rPr>
          <w:noProof/>
          <w:lang w:eastAsia="ja-JP"/>
        </w:rPr>
        <w:t>favourable</w:t>
      </w:r>
      <w:r w:rsidR="240DC7CF" w:rsidRPr="004C70EC" w:rsidDel="00B048E0">
        <w:rPr>
          <w:noProof/>
          <w:lang w:eastAsia="ja-JP"/>
        </w:rPr>
        <w:t xml:space="preserve"> </w:t>
      </w:r>
      <w:r w:rsidR="240DC7CF" w:rsidRPr="004C70EC">
        <w:rPr>
          <w:noProof/>
          <w:lang w:eastAsia="ja-JP"/>
        </w:rPr>
        <w:t>conditions for health biotechnology</w:t>
      </w:r>
      <w:r w:rsidR="240DC7CF" w:rsidRPr="004C70EC">
        <w:rPr>
          <w:rFonts w:eastAsia="Times New Roman"/>
          <w:noProof/>
          <w:lang w:eastAsia="ja-JP"/>
        </w:rPr>
        <w:t>,</w:t>
      </w:r>
      <w:r w:rsidR="240DC7CF" w:rsidRPr="004C70EC">
        <w:rPr>
          <w:noProof/>
          <w:lang w:eastAsia="ja-JP"/>
        </w:rPr>
        <w:t xml:space="preserve"> from research and development to the timely placing on the Union market and production of biotechnology innovations and products</w:t>
      </w:r>
      <w:r w:rsidR="660F8776" w:rsidRPr="004C70EC">
        <w:rPr>
          <w:noProof/>
          <w:lang w:eastAsia="ja-JP"/>
        </w:rPr>
        <w:t xml:space="preserve">. </w:t>
      </w:r>
      <w:r w:rsidR="4B94ED75" w:rsidRPr="004C70EC">
        <w:rPr>
          <w:noProof/>
          <w:lang w:val="en-IE" w:eastAsia="de-DE"/>
        </w:rPr>
        <w:t>The</w:t>
      </w:r>
      <w:r w:rsidR="6BB546E5" w:rsidRPr="004C70EC">
        <w:rPr>
          <w:noProof/>
          <w:lang w:val="en-IE" w:eastAsia="de-DE"/>
        </w:rPr>
        <w:t xml:space="preserve"> pathway to</w:t>
      </w:r>
      <w:r w:rsidR="4B94ED75" w:rsidRPr="004C70EC">
        <w:rPr>
          <w:noProof/>
          <w:lang w:val="en-IE" w:eastAsia="de-DE"/>
        </w:rPr>
        <w:t xml:space="preserve"> placing on the</w:t>
      </w:r>
      <w:r w:rsidR="2C29DCB1" w:rsidRPr="004C70EC">
        <w:rPr>
          <w:noProof/>
          <w:lang w:val="en-IE" w:eastAsia="de-DE"/>
        </w:rPr>
        <w:t xml:space="preserve"> </w:t>
      </w:r>
      <w:r w:rsidR="2C29DCB1" w:rsidRPr="004C70EC">
        <w:rPr>
          <w:noProof/>
          <w:lang w:eastAsia="ja-JP"/>
        </w:rPr>
        <w:t xml:space="preserve">the </w:t>
      </w:r>
      <w:r w:rsidR="41CA01F9" w:rsidRPr="004C70EC">
        <w:rPr>
          <w:noProof/>
          <w:lang w:eastAsia="ja-JP"/>
        </w:rPr>
        <w:t>market</w:t>
      </w:r>
      <w:r w:rsidR="7CED31BA" w:rsidRPr="004C70EC">
        <w:rPr>
          <w:noProof/>
          <w:lang w:eastAsia="ja-JP"/>
        </w:rPr>
        <w:t xml:space="preserve"> of</w:t>
      </w:r>
      <w:r w:rsidR="41CA01F9" w:rsidRPr="004C70EC">
        <w:rPr>
          <w:noProof/>
          <w:lang w:eastAsia="ja-JP"/>
        </w:rPr>
        <w:t xml:space="preserve"> </w:t>
      </w:r>
      <w:r w:rsidR="3A47ECCB" w:rsidRPr="004C70EC">
        <w:rPr>
          <w:noProof/>
          <w:lang w:eastAsia="ja-JP"/>
        </w:rPr>
        <w:t xml:space="preserve">health biotechnology </w:t>
      </w:r>
      <w:r w:rsidR="5CDBA72A" w:rsidRPr="004C70EC">
        <w:rPr>
          <w:noProof/>
          <w:lang w:eastAsia="ja-JP"/>
        </w:rPr>
        <w:t>innovations</w:t>
      </w:r>
      <w:r w:rsidR="2990F313" w:rsidRPr="004C70EC">
        <w:rPr>
          <w:noProof/>
          <w:lang w:eastAsia="ja-JP"/>
        </w:rPr>
        <w:t xml:space="preserve"> and p</w:t>
      </w:r>
      <w:r w:rsidR="3A47ECCB" w:rsidRPr="004C70EC">
        <w:rPr>
          <w:noProof/>
          <w:lang w:eastAsia="ja-JP"/>
        </w:rPr>
        <w:t xml:space="preserve">roducts </w:t>
      </w:r>
      <w:r w:rsidR="664069CA" w:rsidRPr="004C70EC">
        <w:rPr>
          <w:noProof/>
          <w:lang w:eastAsia="ja-JP"/>
        </w:rPr>
        <w:t xml:space="preserve">are governed by </w:t>
      </w:r>
      <w:r w:rsidR="6979F0F8" w:rsidRPr="004C70EC">
        <w:rPr>
          <w:noProof/>
          <w:lang w:eastAsia="ja-JP"/>
        </w:rPr>
        <w:t xml:space="preserve">important </w:t>
      </w:r>
      <w:r w:rsidR="7210BC25" w:rsidRPr="004C70EC">
        <w:rPr>
          <w:noProof/>
          <w:lang w:eastAsia="ja-JP"/>
        </w:rPr>
        <w:t xml:space="preserve">and comprehensive </w:t>
      </w:r>
      <w:r w:rsidR="6979F0F8" w:rsidRPr="004C70EC">
        <w:rPr>
          <w:noProof/>
          <w:lang w:eastAsia="ja-JP"/>
        </w:rPr>
        <w:t xml:space="preserve">sets of regulatory rules and procedures. </w:t>
      </w:r>
      <w:r w:rsidR="643849D6" w:rsidRPr="004C70EC">
        <w:rPr>
          <w:noProof/>
          <w:lang w:eastAsia="ja-JP"/>
        </w:rPr>
        <w:t xml:space="preserve">Reviewing and streamlining these rules </w:t>
      </w:r>
      <w:r w:rsidR="40EA28F7" w:rsidRPr="004C70EC">
        <w:rPr>
          <w:noProof/>
          <w:lang w:eastAsia="ja-JP"/>
        </w:rPr>
        <w:t xml:space="preserve">and procedures is </w:t>
      </w:r>
      <w:r w:rsidR="548A3309" w:rsidRPr="004C70EC">
        <w:rPr>
          <w:noProof/>
          <w:lang w:eastAsia="ja-JP"/>
        </w:rPr>
        <w:t xml:space="preserve">an inherent part to </w:t>
      </w:r>
      <w:r w:rsidR="22754F16" w:rsidRPr="004C70EC">
        <w:rPr>
          <w:noProof/>
          <w:lang w:eastAsia="ja-JP"/>
        </w:rPr>
        <w:t xml:space="preserve">achieve the aim of </w:t>
      </w:r>
      <w:r w:rsidR="6287EBA7" w:rsidRPr="004C70EC">
        <w:rPr>
          <w:noProof/>
          <w:lang w:eastAsia="ja-JP"/>
        </w:rPr>
        <w:t xml:space="preserve">facilitating and accelerating </w:t>
      </w:r>
      <w:r w:rsidR="11C6D3F7" w:rsidRPr="004C70EC">
        <w:rPr>
          <w:noProof/>
          <w:lang w:eastAsia="ja-JP"/>
        </w:rPr>
        <w:t xml:space="preserve">the development, </w:t>
      </w:r>
      <w:r w:rsidR="3A5195B4" w:rsidRPr="004C70EC">
        <w:rPr>
          <w:noProof/>
          <w:lang w:eastAsia="ja-JP"/>
        </w:rPr>
        <w:t xml:space="preserve">placing on the market and production of </w:t>
      </w:r>
      <w:r w:rsidR="43216883" w:rsidRPr="004C70EC">
        <w:rPr>
          <w:noProof/>
          <w:lang w:eastAsia="ja-JP"/>
        </w:rPr>
        <w:t xml:space="preserve">health </w:t>
      </w:r>
      <w:r w:rsidR="3A5195B4" w:rsidRPr="004C70EC">
        <w:rPr>
          <w:noProof/>
          <w:lang w:eastAsia="ja-JP"/>
        </w:rPr>
        <w:t>biotechnology innovations and products</w:t>
      </w:r>
      <w:r w:rsidR="5F11DFD3" w:rsidRPr="004C70EC">
        <w:rPr>
          <w:noProof/>
          <w:lang w:eastAsia="ja-JP"/>
        </w:rPr>
        <w:t xml:space="preserve">. The practical effectiveness of the measures of this Regulation, in particular those in </w:t>
      </w:r>
      <w:r w:rsidR="11C6D3F7" w:rsidRPr="004C70EC">
        <w:rPr>
          <w:noProof/>
          <w:lang w:val="en-IE" w:eastAsia="de-DE"/>
        </w:rPr>
        <w:t>Chapters I</w:t>
      </w:r>
      <w:r w:rsidR="25216E56" w:rsidRPr="004C70EC">
        <w:rPr>
          <w:noProof/>
          <w:lang w:val="en-IE" w:eastAsia="de-DE"/>
        </w:rPr>
        <w:t>I</w:t>
      </w:r>
      <w:r w:rsidR="11C6D3F7" w:rsidRPr="004C70EC">
        <w:rPr>
          <w:noProof/>
          <w:lang w:val="en-IE" w:eastAsia="de-DE"/>
        </w:rPr>
        <w:t xml:space="preserve"> to VIII</w:t>
      </w:r>
      <w:r w:rsidR="5F11DFD3" w:rsidRPr="004C70EC">
        <w:rPr>
          <w:noProof/>
          <w:lang w:val="en-IE" w:eastAsia="de-DE"/>
        </w:rPr>
        <w:t xml:space="preserve">, depends </w:t>
      </w:r>
      <w:r w:rsidR="5E409D44" w:rsidRPr="004C70EC">
        <w:rPr>
          <w:noProof/>
          <w:lang w:val="en-IE" w:eastAsia="de-DE"/>
        </w:rPr>
        <w:t xml:space="preserve">to a large extent </w:t>
      </w:r>
      <w:r w:rsidR="5F11DFD3" w:rsidRPr="004C70EC">
        <w:rPr>
          <w:noProof/>
          <w:lang w:val="en-IE" w:eastAsia="de-DE"/>
        </w:rPr>
        <w:t xml:space="preserve">on a </w:t>
      </w:r>
      <w:r w:rsidR="2115BE89" w:rsidRPr="004C70EC">
        <w:rPr>
          <w:noProof/>
          <w:lang w:val="en-IE" w:eastAsia="de-DE"/>
        </w:rPr>
        <w:t xml:space="preserve">review </w:t>
      </w:r>
      <w:r w:rsidR="43216883" w:rsidRPr="004C70EC">
        <w:rPr>
          <w:noProof/>
          <w:lang w:val="en-IE" w:eastAsia="de-DE"/>
        </w:rPr>
        <w:t>a</w:t>
      </w:r>
      <w:r w:rsidR="2115BE89" w:rsidRPr="004C70EC">
        <w:rPr>
          <w:noProof/>
          <w:lang w:val="en-IE" w:eastAsia="de-DE"/>
        </w:rPr>
        <w:t xml:space="preserve">nd streamlining </w:t>
      </w:r>
      <w:r w:rsidR="43216883" w:rsidRPr="004C70EC">
        <w:rPr>
          <w:noProof/>
          <w:lang w:eastAsia="ja-JP"/>
        </w:rPr>
        <w:t xml:space="preserve">of </w:t>
      </w:r>
      <w:r w:rsidR="084269B5" w:rsidRPr="004C70EC">
        <w:rPr>
          <w:noProof/>
          <w:lang w:eastAsia="ja-JP"/>
        </w:rPr>
        <w:t xml:space="preserve">certain rules and procedures applicable to health </w:t>
      </w:r>
      <w:r w:rsidR="43216883" w:rsidRPr="004C70EC">
        <w:rPr>
          <w:noProof/>
          <w:lang w:eastAsia="ja-JP"/>
        </w:rPr>
        <w:t>biotechnology innovations and products</w:t>
      </w:r>
      <w:r w:rsidR="06D2463A" w:rsidRPr="004C70EC">
        <w:rPr>
          <w:noProof/>
          <w:lang w:eastAsia="ja-JP"/>
        </w:rPr>
        <w:t xml:space="preserve"> </w:t>
      </w:r>
      <w:r w:rsidR="6E67A557" w:rsidRPr="004C70EC">
        <w:rPr>
          <w:noProof/>
          <w:lang w:eastAsia="ja-JP"/>
        </w:rPr>
        <w:t>so as to facilitate timely access to the market</w:t>
      </w:r>
      <w:r w:rsidR="62D728B1" w:rsidRPr="004C70EC">
        <w:rPr>
          <w:noProof/>
          <w:lang w:eastAsia="ja-JP"/>
        </w:rPr>
        <w:t xml:space="preserve">. </w:t>
      </w:r>
      <w:r w:rsidR="6C9A52FA" w:rsidRPr="004C70EC">
        <w:rPr>
          <w:noProof/>
          <w:lang w:eastAsia="ja-JP"/>
        </w:rPr>
        <w:t xml:space="preserve">As set out in recitals </w:t>
      </w:r>
      <w:r w:rsidR="4572592F" w:rsidRPr="004C70EC">
        <w:rPr>
          <w:noProof/>
          <w:lang w:val="en-IE" w:eastAsia="de-DE"/>
        </w:rPr>
        <w:t>[5 to 7]</w:t>
      </w:r>
      <w:r w:rsidR="6C9A52FA" w:rsidRPr="004C70EC">
        <w:rPr>
          <w:noProof/>
          <w:lang w:val="en-IE" w:eastAsia="de-DE"/>
        </w:rPr>
        <w:t xml:space="preserve">, </w:t>
      </w:r>
      <w:r w:rsidR="35A212F3" w:rsidRPr="004C70EC">
        <w:rPr>
          <w:noProof/>
          <w:lang w:eastAsia="ja-JP"/>
        </w:rPr>
        <w:t>health biotechnology</w:t>
      </w:r>
      <w:r w:rsidR="41709E9C" w:rsidRPr="004C70EC">
        <w:rPr>
          <w:noProof/>
          <w:lang w:eastAsia="ja-JP"/>
        </w:rPr>
        <w:t xml:space="preserve"> must be understood broadly </w:t>
      </w:r>
      <w:r w:rsidR="2A4D0001" w:rsidRPr="004C70EC">
        <w:rPr>
          <w:noProof/>
          <w:lang w:eastAsia="ja-JP"/>
        </w:rPr>
        <w:t xml:space="preserve">and encompasses </w:t>
      </w:r>
      <w:r w:rsidR="400D0B6A" w:rsidRPr="004C70EC">
        <w:rPr>
          <w:noProof/>
          <w:lang w:eastAsia="ja-JP"/>
        </w:rPr>
        <w:t xml:space="preserve">also </w:t>
      </w:r>
      <w:r w:rsidR="462EF335" w:rsidRPr="004C70EC">
        <w:rPr>
          <w:rFonts w:eastAsia="Times New Roman"/>
          <w:noProof/>
          <w:shd w:val="clear" w:color="auto" w:fill="FFFFFF"/>
          <w:lang w:eastAsia="de-DE"/>
        </w:rPr>
        <w:t>the veterinary and phytosanitary fields which have as their direct objective the protection of public health</w:t>
      </w:r>
      <w:r w:rsidR="636EC0EF" w:rsidRPr="004C70EC">
        <w:rPr>
          <w:rFonts w:eastAsia="Times New Roman"/>
          <w:noProof/>
          <w:shd w:val="clear" w:color="auto" w:fill="FFFFFF"/>
          <w:lang w:eastAsia="de-DE"/>
        </w:rPr>
        <w:t>.</w:t>
      </w:r>
    </w:p>
    <w:p w14:paraId="70804ECA" w14:textId="3A29BD78" w:rsidR="00AE5056" w:rsidRPr="004C70EC" w:rsidRDefault="00C03A23" w:rsidP="00C03A23">
      <w:pPr>
        <w:pStyle w:val="ManualConsidrant"/>
        <w:rPr>
          <w:noProof/>
          <w:lang w:val="en-IE" w:eastAsia="de-DE"/>
        </w:rPr>
      </w:pPr>
      <w:r w:rsidRPr="00C03A23">
        <w:rPr>
          <w:noProof/>
        </w:rPr>
        <w:t>(107)</w:t>
      </w:r>
      <w:r w:rsidRPr="00C03A23">
        <w:rPr>
          <w:noProof/>
        </w:rPr>
        <w:tab/>
      </w:r>
      <w:r w:rsidR="61F33367" w:rsidRPr="004C70EC">
        <w:rPr>
          <w:noProof/>
          <w:lang w:val="en-IE" w:eastAsia="de-DE"/>
        </w:rPr>
        <w:t>For instance, a</w:t>
      </w:r>
      <w:r w:rsidR="2AB5751F" w:rsidRPr="004C70EC">
        <w:rPr>
          <w:noProof/>
          <w:lang w:eastAsia="en-GB"/>
        </w:rPr>
        <w:t xml:space="preserve"> timelier</w:t>
      </w:r>
      <w:r w:rsidR="33E986A2" w:rsidRPr="004C70EC">
        <w:rPr>
          <w:noProof/>
          <w:lang w:eastAsia="en-GB"/>
        </w:rPr>
        <w:t xml:space="preserve"> and facilitated</w:t>
      </w:r>
      <w:r w:rsidR="2AB5751F" w:rsidRPr="004C70EC">
        <w:rPr>
          <w:noProof/>
          <w:lang w:eastAsia="en-GB"/>
        </w:rPr>
        <w:t xml:space="preserve"> risk assessment process for products subject to pre-market authorisation in accordance with Union food law, accelerated procedures</w:t>
      </w:r>
      <w:r w:rsidR="404F73F1" w:rsidRPr="004C70EC">
        <w:rPr>
          <w:noProof/>
          <w:lang w:eastAsia="en-GB"/>
        </w:rPr>
        <w:t xml:space="preserve"> and measures facilitating innovation, such </w:t>
      </w:r>
      <w:r w:rsidR="03E09D22" w:rsidRPr="004C70EC">
        <w:rPr>
          <w:noProof/>
          <w:lang w:eastAsia="en-GB"/>
        </w:rPr>
        <w:t>as measures on regulatory sandboxes</w:t>
      </w:r>
      <w:r w:rsidR="2AB5751F" w:rsidRPr="004C70EC">
        <w:rPr>
          <w:noProof/>
          <w:lang w:eastAsia="en-GB"/>
        </w:rPr>
        <w:t xml:space="preserve"> are needed for the </w:t>
      </w:r>
      <w:r w:rsidR="686DFC38" w:rsidRPr="004C70EC">
        <w:rPr>
          <w:noProof/>
          <w:lang w:eastAsia="en-GB"/>
        </w:rPr>
        <w:t xml:space="preserve">efficiency </w:t>
      </w:r>
      <w:r w:rsidR="2AB5751F" w:rsidRPr="004C70EC">
        <w:rPr>
          <w:noProof/>
          <w:lang w:eastAsia="en-GB"/>
        </w:rPr>
        <w:t xml:space="preserve">of </w:t>
      </w:r>
      <w:r w:rsidR="181AF6BA" w:rsidRPr="004C70EC">
        <w:rPr>
          <w:noProof/>
          <w:lang w:eastAsia="en-GB"/>
        </w:rPr>
        <w:t>t</w:t>
      </w:r>
      <w:r w:rsidR="5D15C4DB" w:rsidRPr="004C70EC">
        <w:rPr>
          <w:noProof/>
          <w:lang w:eastAsia="en-GB"/>
        </w:rPr>
        <w:t xml:space="preserve">he </w:t>
      </w:r>
      <w:r w:rsidR="2AB5751F" w:rsidRPr="004C70EC">
        <w:rPr>
          <w:noProof/>
          <w:lang w:eastAsia="en-GB"/>
        </w:rPr>
        <w:t>facilitation measures</w:t>
      </w:r>
      <w:r w:rsidR="5D15C4DB" w:rsidRPr="004C70EC">
        <w:rPr>
          <w:noProof/>
          <w:lang w:eastAsia="en-GB"/>
        </w:rPr>
        <w:t xml:space="preserve"> laid down in this Regulation</w:t>
      </w:r>
      <w:r w:rsidR="2AB5751F" w:rsidRPr="004C70EC">
        <w:rPr>
          <w:noProof/>
          <w:lang w:eastAsia="en-GB"/>
        </w:rPr>
        <w:t xml:space="preserve">. </w:t>
      </w:r>
    </w:p>
    <w:p w14:paraId="055BA0C2" w14:textId="7AA8D614" w:rsidR="007C035C" w:rsidRPr="004C70EC" w:rsidRDefault="00C03A23" w:rsidP="00C03A23">
      <w:pPr>
        <w:pStyle w:val="ManualConsidrant"/>
        <w:rPr>
          <w:noProof/>
          <w:lang w:val="en-IE" w:eastAsia="de-DE"/>
        </w:rPr>
      </w:pPr>
      <w:r w:rsidRPr="00C03A23">
        <w:rPr>
          <w:noProof/>
        </w:rPr>
        <w:t>(108)</w:t>
      </w:r>
      <w:r w:rsidRPr="00C03A23">
        <w:rPr>
          <w:noProof/>
        </w:rPr>
        <w:tab/>
      </w:r>
      <w:r w:rsidR="7D2A8B46" w:rsidRPr="004C70EC">
        <w:rPr>
          <w:noProof/>
          <w:lang w:eastAsia="en-GB"/>
        </w:rPr>
        <w:t>Regulation (EC) No 178/2002 lays down the general principles and requirements of food law, so as to form a common basis for measures governing food law at both Union and national level. For the purposes of risk assessment at Union level, it establishes the European Food Safety Authority</w:t>
      </w:r>
      <w:r w:rsidR="00106C3B" w:rsidRPr="004C70EC">
        <w:rPr>
          <w:noProof/>
          <w:lang w:eastAsia="en-GB"/>
        </w:rPr>
        <w:t xml:space="preserve"> (‘the Authority’)</w:t>
      </w:r>
      <w:r w:rsidR="7D2A8B46" w:rsidRPr="004C70EC">
        <w:rPr>
          <w:noProof/>
          <w:lang w:eastAsia="en-GB"/>
        </w:rPr>
        <w:t>, as the responsible Union risk assessment body in matters primarily relating to food and feed safety.</w:t>
      </w:r>
    </w:p>
    <w:p w14:paraId="2732F23E" w14:textId="6E638316" w:rsidR="007C035C" w:rsidRPr="004C70EC" w:rsidRDefault="00C03A23" w:rsidP="00C03A23">
      <w:pPr>
        <w:pStyle w:val="ManualConsidrant"/>
        <w:rPr>
          <w:noProof/>
          <w:lang w:val="en-IE" w:eastAsia="de-DE"/>
        </w:rPr>
      </w:pPr>
      <w:r w:rsidRPr="00C03A23">
        <w:rPr>
          <w:noProof/>
        </w:rPr>
        <w:t>(109)</w:t>
      </w:r>
      <w:r w:rsidRPr="00C03A23">
        <w:rPr>
          <w:noProof/>
        </w:rPr>
        <w:tab/>
      </w:r>
      <w:r w:rsidR="7D2A8B46" w:rsidRPr="004C70EC">
        <w:rPr>
          <w:noProof/>
          <w:lang w:val="en-IE" w:eastAsia="en-GB"/>
        </w:rPr>
        <w:t xml:space="preserve">Considering the increasing prevalence of diet-related health issues, it is essential to expand the Authority’s mandate to encompass all aspects of nutrition and to enable it to provide advice concerning the nutritional properties of food products and practices, including those derived from advanced biotechnological processes. </w:t>
      </w:r>
    </w:p>
    <w:p w14:paraId="6883FE1A" w14:textId="57302E0D" w:rsidR="007C035C" w:rsidRPr="004C70EC" w:rsidRDefault="00C03A23" w:rsidP="00C03A23">
      <w:pPr>
        <w:pStyle w:val="ManualConsidrant"/>
        <w:rPr>
          <w:rFonts w:eastAsia="Times New Roman"/>
          <w:noProof/>
          <w:lang w:val="en-IE" w:eastAsia="en-IE"/>
        </w:rPr>
      </w:pPr>
      <w:r w:rsidRPr="00C03A23">
        <w:rPr>
          <w:noProof/>
        </w:rPr>
        <w:t>(110)</w:t>
      </w:r>
      <w:r w:rsidRPr="00C03A23">
        <w:rPr>
          <w:noProof/>
        </w:rPr>
        <w:tab/>
      </w:r>
      <w:r w:rsidR="7D2A8B46" w:rsidRPr="004C70EC">
        <w:rPr>
          <w:noProof/>
          <w:lang w:val="en-IE" w:eastAsia="en-IE"/>
        </w:rPr>
        <w:t xml:space="preserve">It has been observed that a significant number of application and notification dossiers submitted to the Authority are either incomplete or do not meet the applicable regulatory and scientific specifications requirements to enable the best quality scientific assessment by the Authority, resulting in the need for requests for additional information during the risk assessment process and, consequently, leading to sometimes significant delays. This is also the case where </w:t>
      </w:r>
      <w:r w:rsidR="25943243" w:rsidRPr="004C70EC">
        <w:rPr>
          <w:noProof/>
          <w:lang w:val="en-IE" w:eastAsia="en-IE"/>
        </w:rPr>
        <w:t xml:space="preserve">biotechnology </w:t>
      </w:r>
      <w:r w:rsidR="7D2A8B46" w:rsidRPr="004C70EC">
        <w:rPr>
          <w:noProof/>
          <w:lang w:val="en-IE" w:eastAsia="en-IE"/>
        </w:rPr>
        <w:t>innovat</w:t>
      </w:r>
      <w:r w:rsidR="25943243" w:rsidRPr="004C70EC">
        <w:rPr>
          <w:noProof/>
          <w:lang w:val="en-IE" w:eastAsia="en-IE"/>
        </w:rPr>
        <w:t xml:space="preserve">ions and products </w:t>
      </w:r>
      <w:r w:rsidR="7D2A8B46" w:rsidRPr="004C70EC">
        <w:rPr>
          <w:noProof/>
          <w:lang w:val="en-IE" w:eastAsia="en-IE"/>
        </w:rPr>
        <w:t>are concerned</w:t>
      </w:r>
      <w:r w:rsidR="25943243" w:rsidRPr="004C70EC">
        <w:rPr>
          <w:noProof/>
          <w:lang w:val="en-IE" w:eastAsia="en-IE"/>
        </w:rPr>
        <w:t xml:space="preserve">, </w:t>
      </w:r>
      <w:r w:rsidR="404F73F1" w:rsidRPr="004C70EC">
        <w:rPr>
          <w:noProof/>
          <w:lang w:val="en-IE" w:eastAsia="en-IE"/>
        </w:rPr>
        <w:t>as</w:t>
      </w:r>
      <w:r w:rsidR="25943243" w:rsidRPr="004C70EC">
        <w:rPr>
          <w:noProof/>
          <w:lang w:val="en-IE" w:eastAsia="en-IE"/>
        </w:rPr>
        <w:t xml:space="preserve"> such products would benefit</w:t>
      </w:r>
      <w:r w:rsidR="491913B2" w:rsidRPr="004C70EC">
        <w:rPr>
          <w:noProof/>
          <w:lang w:val="en-IE" w:eastAsia="en-IE"/>
        </w:rPr>
        <w:t xml:space="preserve"> strongly from pre-submission </w:t>
      </w:r>
      <w:r w:rsidR="777AFB78" w:rsidRPr="004C70EC">
        <w:rPr>
          <w:rFonts w:eastAsia="Times New Roman"/>
          <w:noProof/>
          <w:lang w:val="en-IE" w:eastAsia="en-IE"/>
        </w:rPr>
        <w:t>scientific advice on study design and testing strategies</w:t>
      </w:r>
      <w:r w:rsidR="7D2A8B46" w:rsidRPr="004C70EC">
        <w:rPr>
          <w:noProof/>
          <w:lang w:val="en-IE" w:eastAsia="en-IE"/>
        </w:rPr>
        <w:t xml:space="preserve">. </w:t>
      </w:r>
      <w:r w:rsidR="7D2A8B46" w:rsidRPr="004C70EC">
        <w:rPr>
          <w:rFonts w:eastAsia="Times New Roman"/>
          <w:noProof/>
          <w:lang w:val="en-IE" w:eastAsia="en-IE"/>
        </w:rPr>
        <w:t xml:space="preserve">Applicants or notifiers of such products, in particular small and medium-sized enterprises do not always have a clear understanding of the applicable regulatory and scientific requirements when compiling application dossiers, in particular as regards the types and details of studies to conduct. It is thus appropriate to enlarge the scope of the general pre-submission advice provided by the Authority at the request of a potential applicant or notifier to encompass non-committal advice on regulatory aspects including applicable rules and guidance documents, as well as scientific advice on study design and testing strategies. </w:t>
      </w:r>
      <w:r w:rsidR="7D2A8B46" w:rsidRPr="004C70EC">
        <w:rPr>
          <w:rFonts w:eastAsia="Times New Roman"/>
          <w:noProof/>
          <w:lang w:val="en-IE"/>
        </w:rPr>
        <w:t xml:space="preserve">This advice should be provided by the staff and experts of the Authority to ensure the most updated scientific advice. </w:t>
      </w:r>
      <w:r w:rsidR="7D2A8B46" w:rsidRPr="004C70EC">
        <w:rPr>
          <w:rFonts w:eastAsia="Times New Roman"/>
          <w:noProof/>
          <w:lang w:val="en-IE" w:eastAsia="en-IE"/>
        </w:rPr>
        <w:t xml:space="preserve">Given the broadening of the scope of the general pre-submission advice which is already available for both new and renewals of approvals/authorisations, it is no longer necessary to provide for a specific pre-submission advice for renewals. </w:t>
      </w:r>
    </w:p>
    <w:p w14:paraId="2AB81386" w14:textId="01F961F9" w:rsidR="007C035C" w:rsidRPr="004C70EC" w:rsidRDefault="00C03A23" w:rsidP="00C03A23">
      <w:pPr>
        <w:pStyle w:val="ManualConsidrant"/>
        <w:rPr>
          <w:noProof/>
          <w:lang w:val="en-IE" w:eastAsia="en-IE"/>
        </w:rPr>
      </w:pPr>
      <w:r w:rsidRPr="00C03A23">
        <w:rPr>
          <w:noProof/>
        </w:rPr>
        <w:t>(111)</w:t>
      </w:r>
      <w:r w:rsidRPr="00C03A23">
        <w:rPr>
          <w:noProof/>
        </w:rPr>
        <w:tab/>
      </w:r>
      <w:r w:rsidR="7D2A8B46" w:rsidRPr="004C70EC">
        <w:rPr>
          <w:noProof/>
          <w:lang w:val="en-IE" w:eastAsia="en-IE"/>
        </w:rPr>
        <w:t xml:space="preserve">Practice has shown that the existing procedural consequences in the event of non-compliance with the notification requirement of commissioned studies at pre-submission phase appear to be too severe, particularly for small and medium-sized enterprises, and could impede competitiveness and innovation in the food chain. It is therefore necessary to shorten the existing procedural consequence in the event of non-compliance from six months to three months following the re-submission of the relevant application or notification. </w:t>
      </w:r>
    </w:p>
    <w:p w14:paraId="72D1BA9E" w14:textId="65762F17" w:rsidR="007C035C" w:rsidRPr="004C70EC" w:rsidRDefault="00C03A23" w:rsidP="00C03A23">
      <w:pPr>
        <w:pStyle w:val="ManualConsidrant"/>
        <w:rPr>
          <w:noProof/>
          <w:lang w:val="en-IE" w:eastAsia="en-GB"/>
        </w:rPr>
      </w:pPr>
      <w:r w:rsidRPr="00C03A23">
        <w:rPr>
          <w:noProof/>
        </w:rPr>
        <w:t>(112)</w:t>
      </w:r>
      <w:r w:rsidRPr="00C03A23">
        <w:rPr>
          <w:noProof/>
        </w:rPr>
        <w:tab/>
      </w:r>
      <w:r w:rsidR="7D2A8B46" w:rsidRPr="004C70EC">
        <w:rPr>
          <w:noProof/>
          <w:lang w:val="en-IE" w:eastAsia="en-GB"/>
        </w:rPr>
        <w:t xml:space="preserve">In order to strengthen the coherence of risk assessments carried out by different Scientific Panels within the Authority, foster stronger synergies and promote greater harmonisation across guidance documents and scientific opinions, for the benefit of applicants while enhancing the effectiveness and efficiency of the Authority’s risk assessment processes, it is appropriate that the staff of the Authority chairs the </w:t>
      </w:r>
      <w:r w:rsidR="00F84B09" w:rsidRPr="004C70EC">
        <w:rPr>
          <w:noProof/>
          <w:lang w:val="en-IE" w:eastAsia="en-GB"/>
        </w:rPr>
        <w:t>Scientific Committee</w:t>
      </w:r>
      <w:r w:rsidR="0001721F" w:rsidRPr="004C70EC">
        <w:rPr>
          <w:noProof/>
          <w:lang w:val="en-IE" w:eastAsia="en-GB"/>
        </w:rPr>
        <w:t xml:space="preserve"> and the </w:t>
      </w:r>
      <w:r w:rsidR="7D2A8B46" w:rsidRPr="004C70EC">
        <w:rPr>
          <w:noProof/>
          <w:lang w:val="en-IE" w:eastAsia="en-GB"/>
        </w:rPr>
        <w:t>Scientific Panels, without voting rights</w:t>
      </w:r>
      <w:r w:rsidR="00BF4B67" w:rsidRPr="004C70EC">
        <w:rPr>
          <w:noProof/>
          <w:lang w:val="en-IE" w:eastAsia="en-GB"/>
        </w:rPr>
        <w:t xml:space="preserve">. </w:t>
      </w:r>
      <w:r w:rsidR="00892112" w:rsidRPr="004C70EC">
        <w:rPr>
          <w:noProof/>
          <w:lang w:val="en-IE" w:eastAsia="en-GB"/>
        </w:rPr>
        <w:t xml:space="preserve">The </w:t>
      </w:r>
      <w:r w:rsidR="7D2A8B46" w:rsidRPr="004C70EC">
        <w:rPr>
          <w:noProof/>
          <w:lang w:val="en-IE" w:eastAsia="en-GB"/>
        </w:rPr>
        <w:t>Scientific Committee</w:t>
      </w:r>
      <w:r w:rsidR="00615302" w:rsidRPr="004C70EC">
        <w:rPr>
          <w:noProof/>
          <w:lang w:val="en-IE" w:eastAsia="en-GB"/>
        </w:rPr>
        <w:t xml:space="preserve"> </w:t>
      </w:r>
      <w:r w:rsidR="7D2A8B46" w:rsidRPr="004C70EC">
        <w:rPr>
          <w:noProof/>
          <w:lang w:val="en-IE" w:eastAsia="en-GB"/>
        </w:rPr>
        <w:t xml:space="preserve">should continue to be composed by experts. </w:t>
      </w:r>
    </w:p>
    <w:p w14:paraId="72F12F6A" w14:textId="60923E8A" w:rsidR="007C035C" w:rsidRPr="004C70EC" w:rsidRDefault="00C03A23" w:rsidP="00C03A23">
      <w:pPr>
        <w:pStyle w:val="ManualConsidrant"/>
        <w:rPr>
          <w:noProof/>
          <w:lang w:val="en-IE" w:eastAsia="en-GB"/>
        </w:rPr>
      </w:pPr>
      <w:r w:rsidRPr="00C03A23">
        <w:rPr>
          <w:noProof/>
        </w:rPr>
        <w:t>(113)</w:t>
      </w:r>
      <w:r w:rsidRPr="00C03A23">
        <w:rPr>
          <w:noProof/>
        </w:rPr>
        <w:tab/>
      </w:r>
      <w:r w:rsidR="7D2A8B46" w:rsidRPr="004C70EC">
        <w:rPr>
          <w:noProof/>
          <w:lang w:val="en-IE" w:eastAsia="en-GB"/>
        </w:rPr>
        <w:t xml:space="preserve">The food and feed sector is experiencing rapid technological advancements, including biotechnology, </w:t>
      </w:r>
      <w:r w:rsidR="31165922" w:rsidRPr="002D7694">
        <w:rPr>
          <w:noProof/>
          <w:lang w:val="en-IE" w:eastAsia="en-GB"/>
        </w:rPr>
        <w:t>AI</w:t>
      </w:r>
      <w:r w:rsidR="7D2A8B46" w:rsidRPr="004C70EC">
        <w:rPr>
          <w:noProof/>
          <w:lang w:val="en-IE" w:eastAsia="en-GB"/>
        </w:rPr>
        <w:t xml:space="preserve">, smart farming techniques, development of </w:t>
      </w:r>
      <w:r w:rsidR="7D2A8B46" w:rsidRPr="004C70EC">
        <w:rPr>
          <w:noProof/>
          <w:lang w:eastAsia="en-GB"/>
        </w:rPr>
        <w:t>new approach methodologies, that could contribute to reduction of animal testing</w:t>
      </w:r>
      <w:r w:rsidR="7D2A8B46" w:rsidRPr="004C70EC">
        <w:rPr>
          <w:noProof/>
          <w:lang w:val="en-IE" w:eastAsia="en-GB"/>
        </w:rPr>
        <w:t xml:space="preserve"> and circular economy practices promoting resource efficiency and waste reduction. It is therefore appropriate to provide Member States with the possibility of setting up regulatory sandboxes that can provide an environment for the testing of those innovations in a controlled manner, incentivising research and development, whilst allowing for adaptive regulatory practices that can be modified based on feedback and results from live trials. Regulation (EC) No 178/2002 should therefore be amended accordingly. </w:t>
      </w:r>
    </w:p>
    <w:p w14:paraId="29B4E4A1" w14:textId="6A3078AC" w:rsidR="008838D5" w:rsidRPr="004C70EC" w:rsidRDefault="00C03A23" w:rsidP="00C03A23">
      <w:pPr>
        <w:pStyle w:val="ManualConsidrant"/>
        <w:rPr>
          <w:rFonts w:eastAsia="Times New Roman"/>
          <w:noProof/>
          <w:lang w:val="en-IE" w:eastAsia="de-DE"/>
        </w:rPr>
      </w:pPr>
      <w:r w:rsidRPr="00C03A23">
        <w:rPr>
          <w:noProof/>
        </w:rPr>
        <w:t>(114)</w:t>
      </w:r>
      <w:r w:rsidRPr="00C03A23">
        <w:rPr>
          <w:noProof/>
        </w:rPr>
        <w:tab/>
      </w:r>
      <w:r w:rsidR="7D2A8B46" w:rsidRPr="004C70EC">
        <w:rPr>
          <w:noProof/>
          <w:lang w:val="en-IE"/>
        </w:rPr>
        <w:t>Given the diversity of sectors covered by Union food law, and the fact that Member States have diverse food systems, cultural preferences, local market conditions, and research and risk assessment bodies, regulatory sandboxes should be established a national level in order to ensure the necessary flexibility to allow for experimentation specifically tailored to address local needs, preferences, and consumer behaviours. For the same reasons, and in order to support innovation along the whole food chain, regulatory sandboxes should be allowed also at retail level and, thus, making available products under the regulatory sandboxes to food business operators or consumers should not be considered as placing on the market. However, in order to ensure that the establishment of regulatory sandboxes does not jeopardise food safety or consumers’ information and that they are established and function in such a way as to enable the collection of sound and useful information to inform future regulatory changes, rules should be laid down concerning the objectives pursued within  regulatory sandboxes, the modalities for their adoption, amendment and revocation, the control of the activities carried out under the regulatory sandbox, monitoring and reporting as well as rules ensuring the protection of human and animal health and of the environment.</w:t>
      </w:r>
    </w:p>
    <w:p w14:paraId="1BB3B65A" w14:textId="04DE9616" w:rsidR="007C035C" w:rsidRPr="004C70EC" w:rsidRDefault="00C03A23" w:rsidP="00C03A23">
      <w:pPr>
        <w:pStyle w:val="ManualConsidrant"/>
        <w:rPr>
          <w:noProof/>
          <w:lang w:val="en-IE" w:eastAsia="de-DE"/>
        </w:rPr>
      </w:pPr>
      <w:r w:rsidRPr="00C03A23">
        <w:rPr>
          <w:noProof/>
        </w:rPr>
        <w:t>(115)</w:t>
      </w:r>
      <w:r w:rsidRPr="00C03A23">
        <w:rPr>
          <w:noProof/>
        </w:rPr>
        <w:tab/>
      </w:r>
      <w:r w:rsidR="65BB2295" w:rsidRPr="004C70EC">
        <w:rPr>
          <w:noProof/>
          <w:lang w:val="en-IE" w:eastAsia="en-GB"/>
        </w:rPr>
        <w:t xml:space="preserve">Regulatory sandboxes should not be allowed for some products. </w:t>
      </w:r>
      <w:r w:rsidR="7D2A8B46" w:rsidRPr="004C70EC">
        <w:rPr>
          <w:noProof/>
          <w:lang w:val="en-IE" w:eastAsia="en-GB"/>
        </w:rPr>
        <w:t xml:space="preserve">Experience has shown that certain types of novel foods trigger ethical or cultural concerns among various consumer segments regarding their acceptability. Since those aspects are best addressed within the applicable rigorous regulatory framework established by </w:t>
      </w:r>
      <w:r w:rsidR="7D2A8B46" w:rsidRPr="004C70EC">
        <w:rPr>
          <w:noProof/>
          <w:lang w:eastAsia="en-GB"/>
        </w:rPr>
        <w:t>Regulation (EU) 2015/2283 of the European Parliament and of the Council</w:t>
      </w:r>
      <w:r w:rsidR="007C035C" w:rsidRPr="004C70EC">
        <w:rPr>
          <w:rStyle w:val="FootnoteReference"/>
          <w:rFonts w:eastAsia="Times New Roman"/>
          <w:noProof/>
          <w:color w:val="000000" w:themeColor="text1"/>
          <w:lang w:eastAsia="en-GB"/>
        </w:rPr>
        <w:footnoteReference w:id="137"/>
      </w:r>
      <w:r w:rsidR="7D2A8B46" w:rsidRPr="004C70EC">
        <w:rPr>
          <w:noProof/>
          <w:lang w:val="en-IE" w:eastAsia="en-GB"/>
        </w:rPr>
        <w:t>, it is appropriate to exclude novel foods from the scope of regulatory sandboxes. For GMOs legal pathways exist to allow testing of innovations, such as under Part B of Directive 2001/18/EC on the deliberate release of genetically modified organisms (GMOs)</w:t>
      </w:r>
      <w:r w:rsidR="7D2A8B46" w:rsidRPr="004C70EC">
        <w:rPr>
          <w:noProof/>
        </w:rPr>
        <w:t xml:space="preserve"> </w:t>
      </w:r>
      <w:r w:rsidR="7D2A8B46" w:rsidRPr="004C70EC">
        <w:rPr>
          <w:noProof/>
          <w:lang w:val="en-IE" w:eastAsia="en-GB"/>
        </w:rPr>
        <w:t xml:space="preserve">for purposes other than placing on the market, and there should not be a duplication of paths in order to maintain legal certainty. For this reason, regulatory sandboxes should be restricted to products containing or consisting of GMOs subject to authorisation under Part C of Directive 2001/18/EC. </w:t>
      </w:r>
      <w:r w:rsidR="7D2A8B46" w:rsidRPr="004C70EC">
        <w:rPr>
          <w:noProof/>
          <w:lang w:eastAsia="en-GB"/>
        </w:rPr>
        <w:t>As regards innovations concerning novel plastic recycling technologies for plastics intended to come into contact with food, chapter IV of Commission Regulation (EU) 2022/1616</w:t>
      </w:r>
      <w:r w:rsidR="007C035C" w:rsidRPr="004C70EC">
        <w:rPr>
          <w:rStyle w:val="FootnoteReference"/>
          <w:noProof/>
          <w:color w:val="000000" w:themeColor="text1"/>
          <w:lang w:eastAsia="en-GB"/>
        </w:rPr>
        <w:footnoteReference w:id="138"/>
      </w:r>
      <w:r w:rsidR="7D2A8B46" w:rsidRPr="004C70EC">
        <w:rPr>
          <w:noProof/>
          <w:lang w:eastAsia="en-GB"/>
        </w:rPr>
        <w:t xml:space="preserve"> already establishes a framework that is meant to encourage the development of such novel technologies without prior authorisation. To ensure uniform rules on the development of novel recycling technologies that safeguard the health of the consumers, it is appropriate to exclude the development of recycling technologies from the possible use of regulatory sandboxes and rely instead on the procedure established in chapter IV of Regulation (EU) 2022/1616.</w:t>
      </w:r>
    </w:p>
    <w:p w14:paraId="58676792" w14:textId="6CEE1668" w:rsidR="00F14FDA" w:rsidRPr="002D7694" w:rsidRDefault="00C03A23" w:rsidP="00C03A23">
      <w:pPr>
        <w:pStyle w:val="ManualConsidrant"/>
        <w:rPr>
          <w:noProof/>
          <w:lang w:val="en-IE" w:eastAsia="de-DE"/>
        </w:rPr>
      </w:pPr>
      <w:r w:rsidRPr="00C03A23">
        <w:rPr>
          <w:noProof/>
        </w:rPr>
        <w:t>(116)</w:t>
      </w:r>
      <w:r w:rsidRPr="00C03A23">
        <w:rPr>
          <w:noProof/>
        </w:rPr>
        <w:tab/>
      </w:r>
      <w:r w:rsidR="7D2A8B46" w:rsidRPr="004C70EC">
        <w:rPr>
          <w:noProof/>
          <w:lang w:val="en-IE"/>
        </w:rPr>
        <w:t>To ensure uniform conditions and principles for the setting up, operation and supervision of Regulatory sandboxes, implementing powers should be conferred on the Commission in the context of Regulation (EC) No 178/2002. Those implementing powers should be exercised in accordance with Regulation (EU) 182/2011 of the European Parliament and of the Council</w:t>
      </w:r>
      <w:r w:rsidR="007C035C" w:rsidRPr="004C70EC">
        <w:rPr>
          <w:rStyle w:val="FootnoteReference"/>
          <w:rFonts w:eastAsia="Times New Roman"/>
          <w:noProof/>
          <w:color w:val="000000" w:themeColor="text1"/>
          <w:lang w:val="en-IE"/>
        </w:rPr>
        <w:footnoteReference w:id="139"/>
      </w:r>
      <w:r w:rsidR="7D2A8B46" w:rsidRPr="004C70EC">
        <w:rPr>
          <w:noProof/>
          <w:lang w:val="en-IE"/>
        </w:rPr>
        <w:t>. I</w:t>
      </w:r>
      <w:r w:rsidR="7D2A8B46" w:rsidRPr="004C70EC">
        <w:rPr>
          <w:noProof/>
        </w:rPr>
        <w:t>n case of emergencies, the Commission may provisionally adopt an</w:t>
      </w:r>
      <w:r w:rsidR="57540017" w:rsidRPr="004C70EC">
        <w:rPr>
          <w:noProof/>
        </w:rPr>
        <w:t xml:space="preserve"> measures</w:t>
      </w:r>
      <w:r w:rsidR="7D2A8B46" w:rsidRPr="004C70EC">
        <w:rPr>
          <w:noProof/>
        </w:rPr>
        <w:t xml:space="preserve"> in accordance with an urgency procedure requesting the suspension of the regulatory sandbox concerned</w:t>
      </w:r>
      <w:r w:rsidR="67D7BF0C" w:rsidRPr="004C70EC">
        <w:rPr>
          <w:noProof/>
        </w:rPr>
        <w:t>.</w:t>
      </w:r>
    </w:p>
    <w:p w14:paraId="11FD33D1" w14:textId="6B490FC0" w:rsidR="00CE73DC" w:rsidRPr="004C70EC" w:rsidRDefault="00C03A23" w:rsidP="00C03A23">
      <w:pPr>
        <w:pStyle w:val="ManualConsidrant"/>
        <w:rPr>
          <w:rFonts w:eastAsia="Times New Roman"/>
          <w:noProof/>
          <w:color w:val="000000" w:themeColor="text1"/>
          <w:lang w:val="en-IE" w:eastAsia="de-DE"/>
        </w:rPr>
      </w:pPr>
      <w:r w:rsidRPr="00C03A23">
        <w:rPr>
          <w:noProof/>
        </w:rPr>
        <w:t>(117)</w:t>
      </w:r>
      <w:r w:rsidRPr="00C03A23">
        <w:rPr>
          <w:noProof/>
        </w:rPr>
        <w:tab/>
      </w:r>
      <w:r w:rsidR="00CE73DC" w:rsidRPr="004C70EC">
        <w:rPr>
          <w:noProof/>
          <w:lang w:eastAsia="de-DE"/>
        </w:rPr>
        <w:t xml:space="preserve">Considering the additional financial burden established on </w:t>
      </w:r>
      <w:r w:rsidR="00106C3B" w:rsidRPr="004C70EC">
        <w:rPr>
          <w:noProof/>
          <w:lang w:eastAsia="de-DE"/>
        </w:rPr>
        <w:t>the Authority</w:t>
      </w:r>
      <w:r w:rsidR="00CE73DC" w:rsidRPr="004C70EC">
        <w:rPr>
          <w:noProof/>
          <w:lang w:eastAsia="de-DE"/>
        </w:rPr>
        <w:t xml:space="preserve"> with the expansion of its mandate</w:t>
      </w:r>
      <w:r w:rsidR="00106C3B" w:rsidRPr="004C70EC">
        <w:rPr>
          <w:noProof/>
          <w:lang w:eastAsia="de-DE"/>
        </w:rPr>
        <w:t xml:space="preserve"> following the amendments set out in this Regulation</w:t>
      </w:r>
      <w:r w:rsidR="00CE73DC" w:rsidRPr="004C70EC">
        <w:rPr>
          <w:noProof/>
          <w:lang w:eastAsia="de-DE"/>
        </w:rPr>
        <w:t>,  the possibility of establishing fees in order to fully or partially fund EFSA’s new tasks could be considered.</w:t>
      </w:r>
    </w:p>
    <w:p w14:paraId="12457B7E" w14:textId="2B29525A" w:rsidR="0066444B" w:rsidRDefault="00C03A23" w:rsidP="00C03A23">
      <w:pPr>
        <w:pStyle w:val="ManualConsidrant"/>
        <w:rPr>
          <w:noProof/>
          <w:lang w:val="en-IE"/>
        </w:rPr>
      </w:pPr>
      <w:r w:rsidRPr="00C03A23">
        <w:rPr>
          <w:noProof/>
        </w:rPr>
        <w:t>(118)</w:t>
      </w:r>
      <w:r w:rsidRPr="00C03A23">
        <w:rPr>
          <w:noProof/>
        </w:rPr>
        <w:tab/>
      </w:r>
      <w:r w:rsidR="0066444B">
        <w:rPr>
          <w:noProof/>
          <w:lang w:val="en-IE"/>
        </w:rPr>
        <w:t>Clinical trials with advanced investigational therapy medicinal products (ATMPs), including those consisting or containing genetically modified organisms (GMOs) within the meaning of Article 2 of Directive 2001/18/EC of the European Parliament and of the Council</w:t>
      </w:r>
      <w:r w:rsidR="0066444B">
        <w:rPr>
          <w:rStyle w:val="FootnoteReference"/>
          <w:noProof/>
          <w:szCs w:val="24"/>
          <w:lang w:val="en-IE"/>
        </w:rPr>
        <w:footnoteReference w:id="140"/>
      </w:r>
      <w:r w:rsidR="0066444B">
        <w:rPr>
          <w:noProof/>
          <w:lang w:val="en-IE"/>
        </w:rPr>
        <w:t>, can provide early access to transformative treatments for patients with rare or otherwise untreatable conditions and are important to prepare for the marketing authorisation of the medicinal products for such treatments. The nature and design of certain</w:t>
      </w:r>
      <w:r w:rsidR="0066444B">
        <w:rPr>
          <w:noProof/>
        </w:rPr>
        <w:t xml:space="preserve"> </w:t>
      </w:r>
      <w:r w:rsidR="0066444B">
        <w:rPr>
          <w:noProof/>
          <w:lang w:val="en-IE"/>
        </w:rPr>
        <w:t>advanced investigational therapy medicinal products is such that the risks to human health and the environment resulting from a deliberate release of a GMO into the environment are, in practice, either excluded or negligible. For example, in viral vectors, which are genetically modified viruses used to deliver genetic material into cells, the wild-type virus genome is largely removed resulting in replication-defective recombined particles. As these particles cannot reproduce themselves, they present at most a negligible risk to human health and the environment.</w:t>
      </w:r>
    </w:p>
    <w:p w14:paraId="77EBE333" w14:textId="17943105" w:rsidR="0066444B" w:rsidRDefault="00C03A23" w:rsidP="00C03A23">
      <w:pPr>
        <w:pStyle w:val="ManualConsidrant"/>
        <w:rPr>
          <w:noProof/>
          <w:lang w:val="en-IE"/>
        </w:rPr>
      </w:pPr>
      <w:r w:rsidRPr="00C03A23">
        <w:rPr>
          <w:noProof/>
        </w:rPr>
        <w:t>(119)</w:t>
      </w:r>
      <w:r w:rsidRPr="00C03A23">
        <w:rPr>
          <w:noProof/>
        </w:rPr>
        <w:tab/>
      </w:r>
      <w:r w:rsidR="0066444B">
        <w:rPr>
          <w:noProof/>
          <w:lang w:val="en-IE"/>
        </w:rPr>
        <w:t xml:space="preserve">Consequently, when controlling under </w:t>
      </w:r>
      <w:r w:rsidR="0066444B">
        <w:rPr>
          <w:noProof/>
        </w:rPr>
        <w:t>Regulation (EU) No 536/2014</w:t>
      </w:r>
      <w:r w:rsidR="0066444B">
        <w:rPr>
          <w:noProof/>
          <w:lang w:val="en-IE"/>
        </w:rPr>
        <w:t xml:space="preserve"> for </w:t>
      </w:r>
      <w:r w:rsidR="0066444B">
        <w:rPr>
          <w:noProof/>
        </w:rPr>
        <w:t>risks from the deliberate release into the environment of GMOs,</w:t>
      </w:r>
      <w:r w:rsidR="0066444B">
        <w:rPr>
          <w:noProof/>
          <w:lang w:val="en-IE"/>
        </w:rPr>
        <w:t xml:space="preserve"> a risk-proportionate approach  should be applied and Regulation (EC) No 1394/2007 should be amended with respect to certain, clearly delineated categories of advanced investigational therapy medicinal products that consist or contain GMOs, which </w:t>
      </w:r>
      <w:r w:rsidR="0066444B">
        <w:rPr>
          <w:noProof/>
        </w:rPr>
        <w:t xml:space="preserve">present </w:t>
      </w:r>
      <w:r w:rsidR="0066444B">
        <w:rPr>
          <w:noProof/>
          <w:lang w:val="en-IE"/>
        </w:rPr>
        <w:t xml:space="preserve">no or negligible risks to human health and the environment. Whilst it is appropriate to exempt such clearly delineated categories of advanced investigational therapy medicinal products from the requirement to submit an environmental risk assessment, sponsors of clinical trials should, however, submit a declaration as part of the clinical trial application that explains why the advanced investigational therapy medicinal products concerned falls into one or more of the specific categories of products presenting no or negligible risks to human health and the environment. The Committee for Medicinal Products for Human Use (CHMP) referred to in Article [148] of Regulation […] [revised Regulation No (EC) 726/2004] should verify this declaration. For the same considerations of a risk-proportionate approach, the above-mentioned categories of advanced investigational therapy medicinal products should also be exempted from the requirements of </w:t>
      </w:r>
      <w:r w:rsidR="0066444B">
        <w:rPr>
          <w:noProof/>
        </w:rPr>
        <w:t>Regulation (EU) No 536/2014</w:t>
      </w:r>
      <w:r w:rsidR="0066444B">
        <w:rPr>
          <w:bCs/>
          <w:noProof/>
        </w:rPr>
        <w:t xml:space="preserve"> regarding </w:t>
      </w:r>
      <w:r w:rsidR="0066444B">
        <w:rPr>
          <w:noProof/>
          <w:lang w:val="en-IE"/>
        </w:rPr>
        <w:t>manufacturing and import</w:t>
      </w:r>
      <w:r w:rsidR="0066444B">
        <w:rPr>
          <w:noProof/>
        </w:rPr>
        <w:t xml:space="preserve">. Annex I to the </w:t>
      </w:r>
      <w:r w:rsidR="0066444B">
        <w:rPr>
          <w:noProof/>
          <w:lang w:val="en-IE"/>
        </w:rPr>
        <w:t xml:space="preserve">Regulation (EU) No 536/2014 should also be amended to ensure consistency with the aforementioned amendments to the Regulation (EC) No 1394/2007. </w:t>
      </w:r>
    </w:p>
    <w:p w14:paraId="39B9A25B" w14:textId="4CACADCB" w:rsidR="00355C78" w:rsidRPr="0066444B" w:rsidRDefault="00C03A23" w:rsidP="00C03A23">
      <w:pPr>
        <w:pStyle w:val="ManualConsidrant"/>
        <w:rPr>
          <w:noProof/>
          <w:lang w:val="en-IE" w:eastAsia="de-DE"/>
        </w:rPr>
      </w:pPr>
      <w:r w:rsidRPr="00C03A23">
        <w:rPr>
          <w:noProof/>
        </w:rPr>
        <w:t>(120)</w:t>
      </w:r>
      <w:r w:rsidRPr="00C03A23">
        <w:rPr>
          <w:noProof/>
        </w:rPr>
        <w:tab/>
      </w:r>
      <w:r w:rsidR="6CE8238B" w:rsidRPr="0066444B">
        <w:rPr>
          <w:noProof/>
          <w:lang w:eastAsia="de-DE"/>
        </w:rPr>
        <w:t>Scientific and technological advances are driving the development of advance therapy medicinal products (ATMPs). To future proof the ATMPs legislative framework</w:t>
      </w:r>
      <w:r w:rsidR="00106C3B" w:rsidRPr="0066444B">
        <w:rPr>
          <w:noProof/>
          <w:lang w:eastAsia="de-DE"/>
        </w:rPr>
        <w:t>,</w:t>
      </w:r>
      <w:r w:rsidR="6CE8238B" w:rsidRPr="0066444B">
        <w:rPr>
          <w:noProof/>
          <w:lang w:eastAsia="de-DE"/>
        </w:rPr>
        <w:t xml:space="preserve"> the power to adopt delegated acts should be delegated to the Commission to amend Regulation (EC) No 1394/2007, by </w:t>
      </w:r>
      <w:r w:rsidR="5E641B6C" w:rsidRPr="0066444B">
        <w:rPr>
          <w:noProof/>
          <w:lang w:eastAsia="de-DE"/>
        </w:rPr>
        <w:t>clarifying</w:t>
      </w:r>
      <w:r w:rsidR="6CE8238B" w:rsidRPr="0066444B">
        <w:rPr>
          <w:noProof/>
          <w:lang w:eastAsia="de-DE"/>
        </w:rPr>
        <w:t xml:space="preserve"> the definition</w:t>
      </w:r>
      <w:r w:rsidR="5E641B6C" w:rsidRPr="0066444B">
        <w:rPr>
          <w:noProof/>
          <w:lang w:eastAsia="de-DE"/>
        </w:rPr>
        <w:t>, without extending its scope,</w:t>
      </w:r>
      <w:r w:rsidR="6CE8238B" w:rsidRPr="0066444B">
        <w:rPr>
          <w:noProof/>
          <w:lang w:eastAsia="de-DE"/>
        </w:rPr>
        <w:t xml:space="preserve"> of what constitutes a tissue engineered product, in light of technical and scientific advancements in the field of ATMPs. To that effect, the Commission should carry out appropriate consultations of the Agency and of the Substances of Human Origin Coordination Board (‘the SCB’). </w:t>
      </w:r>
    </w:p>
    <w:p w14:paraId="21965733" w14:textId="208C97EA" w:rsidR="004E68FD" w:rsidRPr="004C70EC" w:rsidRDefault="00C03A23" w:rsidP="00C03A23">
      <w:pPr>
        <w:pStyle w:val="ManualConsidrant"/>
        <w:rPr>
          <w:rFonts w:eastAsia="Times New Roman"/>
          <w:noProof/>
          <w:lang w:val="en-IE" w:eastAsia="de-DE"/>
        </w:rPr>
      </w:pPr>
      <w:r w:rsidRPr="00C03A23">
        <w:rPr>
          <w:noProof/>
        </w:rPr>
        <w:t>(121)</w:t>
      </w:r>
      <w:r w:rsidRPr="00C03A23">
        <w:rPr>
          <w:noProof/>
        </w:rPr>
        <w:tab/>
      </w:r>
      <w:r w:rsidR="3AC426B0" w:rsidRPr="004C70EC">
        <w:rPr>
          <w:noProof/>
          <w:lang w:val="en-IE" w:eastAsia="de-DE"/>
        </w:rPr>
        <w:t xml:space="preserve">The </w:t>
      </w:r>
      <w:r w:rsidR="3356F35A" w:rsidRPr="004C70EC">
        <w:rPr>
          <w:noProof/>
          <w:lang w:val="en-IE" w:eastAsia="de-DE"/>
        </w:rPr>
        <w:t>measures</w:t>
      </w:r>
      <w:r w:rsidR="3AC426B0" w:rsidRPr="004C70EC">
        <w:rPr>
          <w:noProof/>
          <w:lang w:val="en-IE" w:eastAsia="de-DE"/>
        </w:rPr>
        <w:t xml:space="preserve"> </w:t>
      </w:r>
      <w:r w:rsidR="532A37DB" w:rsidRPr="004C70EC">
        <w:rPr>
          <w:noProof/>
          <w:lang w:val="en-IE" w:eastAsia="de-DE"/>
        </w:rPr>
        <w:t>established in this Regulation</w:t>
      </w:r>
      <w:r w:rsidR="3356F35A" w:rsidRPr="004C70EC">
        <w:rPr>
          <w:noProof/>
          <w:lang w:val="en-IE" w:eastAsia="de-DE"/>
        </w:rPr>
        <w:t>, including</w:t>
      </w:r>
      <w:r w:rsidR="61270089" w:rsidRPr="004C70EC">
        <w:rPr>
          <w:noProof/>
          <w:lang w:val="en-IE" w:eastAsia="de-DE"/>
        </w:rPr>
        <w:t xml:space="preserve"> regarding</w:t>
      </w:r>
      <w:r w:rsidR="3356F35A" w:rsidRPr="004C70EC">
        <w:rPr>
          <w:noProof/>
          <w:lang w:val="en-IE" w:eastAsia="de-DE"/>
        </w:rPr>
        <w:t xml:space="preserve"> health biotechnology strategic projects and high impact health biotechnology strategic projects,</w:t>
      </w:r>
      <w:r w:rsidR="45EB5684" w:rsidRPr="004C70EC">
        <w:rPr>
          <w:noProof/>
        </w:rPr>
        <w:t xml:space="preserve"> </w:t>
      </w:r>
      <w:r w:rsidR="45EB5684" w:rsidRPr="004C70EC">
        <w:rPr>
          <w:noProof/>
          <w:lang w:val="en-IE" w:eastAsia="de-DE"/>
        </w:rPr>
        <w:t>access to funding, biosimilars and the application of artificial intelligence in the health biotechnology sector</w:t>
      </w:r>
      <w:r w:rsidR="3356F35A" w:rsidRPr="004C70EC">
        <w:rPr>
          <w:noProof/>
          <w:lang w:val="en-IE" w:eastAsia="de-DE"/>
        </w:rPr>
        <w:t xml:space="preserve"> </w:t>
      </w:r>
      <w:r w:rsidR="532A37DB" w:rsidRPr="004C70EC">
        <w:rPr>
          <w:noProof/>
          <w:lang w:val="en-IE" w:eastAsia="de-DE"/>
        </w:rPr>
        <w:t xml:space="preserve">aim to strengthen the </w:t>
      </w:r>
      <w:r w:rsidR="3356F35A" w:rsidRPr="004C70EC">
        <w:rPr>
          <w:noProof/>
          <w:lang w:val="en-IE" w:eastAsia="de-DE"/>
        </w:rPr>
        <w:t>health biotechnology sector.</w:t>
      </w:r>
      <w:r w:rsidR="61270089" w:rsidRPr="004C70EC">
        <w:rPr>
          <w:noProof/>
          <w:lang w:val="en-IE" w:eastAsia="de-DE"/>
        </w:rPr>
        <w:t xml:space="preserve"> </w:t>
      </w:r>
      <w:r w:rsidR="797238F1" w:rsidRPr="004C70EC">
        <w:rPr>
          <w:noProof/>
          <w:lang w:val="en-IE" w:eastAsia="de-DE"/>
        </w:rPr>
        <w:t>Those measures aim to foster</w:t>
      </w:r>
      <w:r w:rsidR="797238F1" w:rsidRPr="004C70EC">
        <w:rPr>
          <w:noProof/>
        </w:rPr>
        <w:t xml:space="preserve"> </w:t>
      </w:r>
      <w:r w:rsidR="797238F1" w:rsidRPr="004C70EC">
        <w:rPr>
          <w:noProof/>
          <w:lang w:val="en-IE" w:eastAsia="de-DE"/>
        </w:rPr>
        <w:t xml:space="preserve">research, development, testing, and preparing for market entry of health biotechnology products and services. </w:t>
      </w:r>
      <w:r w:rsidR="3B43B1EE" w:rsidRPr="004C70EC">
        <w:rPr>
          <w:noProof/>
          <w:lang w:val="en-IE" w:eastAsia="de-DE"/>
        </w:rPr>
        <w:t xml:space="preserve">This is the case for the centres of excellence for advanced therapies, the overall aim of which is to accelerate the placing on the market of advanced therapies, accelerate clinical translation, improve quality control and facilitate patient access across the Union. Similarly, the biotechnology development accelerators aim to provide trusted testing or demonstration facilities for process testing, validation, and small batch manufacturing, including for the initial phases of clinical trials. Similarly, time to market for biotechnology products is one key factor that impacts investments in the sector and accordingly access to funding for developers and start-ups in the biotechnology sector. </w:t>
      </w:r>
      <w:r w:rsidR="0F109EB5" w:rsidRPr="004C70EC">
        <w:rPr>
          <w:noProof/>
          <w:lang w:val="en-IE" w:eastAsia="de-DE"/>
        </w:rPr>
        <w:t xml:space="preserve">Many of the products subject to those measures are expected to be biological medicinal products (‘biologicals’), for which clinical research and trials are an essential step on their way to the market. </w:t>
      </w:r>
      <w:r w:rsidR="28F4AB16" w:rsidRPr="004C70EC">
        <w:rPr>
          <w:noProof/>
        </w:rPr>
        <w:t>Therefore, the</w:t>
      </w:r>
      <w:r w:rsidR="74FB7792" w:rsidRPr="004C70EC">
        <w:rPr>
          <w:noProof/>
        </w:rPr>
        <w:t xml:space="preserve"> </w:t>
      </w:r>
      <w:r w:rsidR="62824932" w:rsidRPr="004C70EC">
        <w:rPr>
          <w:noProof/>
        </w:rPr>
        <w:t xml:space="preserve">measures established in this Regulation, in particular </w:t>
      </w:r>
      <w:r w:rsidR="62824932" w:rsidRPr="004C70EC">
        <w:rPr>
          <w:noProof/>
          <w:lang w:val="en-IE" w:eastAsia="de-DE"/>
        </w:rPr>
        <w:t xml:space="preserve">on biotechnology </w:t>
      </w:r>
      <w:r w:rsidR="47FC7794" w:rsidRPr="004C70EC">
        <w:rPr>
          <w:noProof/>
          <w:lang w:val="en-IE" w:eastAsia="de-DE"/>
        </w:rPr>
        <w:t xml:space="preserve">health </w:t>
      </w:r>
      <w:r w:rsidR="32B3421B" w:rsidRPr="004C70EC">
        <w:rPr>
          <w:noProof/>
          <w:lang w:val="en-IE" w:eastAsia="de-DE"/>
        </w:rPr>
        <w:t xml:space="preserve">strategic projects and </w:t>
      </w:r>
      <w:r w:rsidR="47FC7794" w:rsidRPr="004C70EC">
        <w:rPr>
          <w:noProof/>
          <w:lang w:val="en-IE" w:eastAsia="de-DE"/>
        </w:rPr>
        <w:t xml:space="preserve">high impact </w:t>
      </w:r>
      <w:r w:rsidR="00EC3838" w:rsidRPr="004C70EC">
        <w:rPr>
          <w:noProof/>
          <w:lang w:val="en-IE" w:eastAsia="de-DE"/>
        </w:rPr>
        <w:t xml:space="preserve">health </w:t>
      </w:r>
      <w:r w:rsidR="47FC7794" w:rsidRPr="004C70EC">
        <w:rPr>
          <w:noProof/>
          <w:lang w:val="en-IE" w:eastAsia="de-DE"/>
        </w:rPr>
        <w:t>biotechnology strategic projects</w:t>
      </w:r>
      <w:r w:rsidR="32B3421B" w:rsidRPr="004C70EC">
        <w:rPr>
          <w:noProof/>
          <w:lang w:val="en-IE" w:eastAsia="de-DE"/>
        </w:rPr>
        <w:t xml:space="preserve">, are intrinsically intertwined with, and depend on, </w:t>
      </w:r>
      <w:r w:rsidR="279F5593" w:rsidRPr="004C70EC">
        <w:rPr>
          <w:noProof/>
          <w:lang w:val="en-IE" w:eastAsia="de-DE"/>
        </w:rPr>
        <w:t>the strengthening</w:t>
      </w:r>
      <w:r w:rsidR="32B3421B" w:rsidRPr="004C70EC">
        <w:rPr>
          <w:noProof/>
          <w:lang w:val="en-IE" w:eastAsia="de-DE"/>
        </w:rPr>
        <w:t xml:space="preserve"> of clinical research in Europe. </w:t>
      </w:r>
      <w:r w:rsidR="2B9153B0" w:rsidRPr="004C70EC">
        <w:rPr>
          <w:noProof/>
          <w:lang w:val="en-IE" w:eastAsia="de-DE"/>
        </w:rPr>
        <w:t>This is because all biotechnology</w:t>
      </w:r>
      <w:r w:rsidR="32B3421B" w:rsidRPr="004C70EC">
        <w:rPr>
          <w:noProof/>
          <w:lang w:val="en-IE" w:eastAsia="de-DE"/>
        </w:rPr>
        <w:t xml:space="preserve"> products </w:t>
      </w:r>
      <w:r w:rsidR="2B9153B0" w:rsidRPr="004C70EC">
        <w:rPr>
          <w:noProof/>
          <w:lang w:val="en-IE" w:eastAsia="de-DE"/>
        </w:rPr>
        <w:t>expected to be developed</w:t>
      </w:r>
      <w:r w:rsidR="32B3421B" w:rsidRPr="004C70EC">
        <w:rPr>
          <w:noProof/>
          <w:lang w:val="en-IE" w:eastAsia="de-DE"/>
        </w:rPr>
        <w:t xml:space="preserve"> or supported </w:t>
      </w:r>
      <w:r w:rsidR="2B9153B0" w:rsidRPr="004C70EC">
        <w:rPr>
          <w:noProof/>
          <w:lang w:val="en-IE" w:eastAsia="de-DE"/>
        </w:rPr>
        <w:t xml:space="preserve">through the </w:t>
      </w:r>
      <w:r w:rsidR="32B3421B" w:rsidRPr="004C70EC">
        <w:rPr>
          <w:noProof/>
          <w:lang w:val="en-IE" w:eastAsia="de-DE"/>
        </w:rPr>
        <w:t>heal</w:t>
      </w:r>
      <w:r w:rsidR="2B9153B0" w:rsidRPr="004C70EC">
        <w:rPr>
          <w:noProof/>
          <w:lang w:val="en-IE" w:eastAsia="de-DE"/>
        </w:rPr>
        <w:t xml:space="preserve">th biotechnology strategic projects and high impact </w:t>
      </w:r>
      <w:r w:rsidR="00EC3838" w:rsidRPr="004C70EC">
        <w:rPr>
          <w:noProof/>
          <w:lang w:val="en-IE" w:eastAsia="de-DE"/>
        </w:rPr>
        <w:t xml:space="preserve">health </w:t>
      </w:r>
      <w:r w:rsidR="2B9153B0" w:rsidRPr="004C70EC">
        <w:rPr>
          <w:noProof/>
          <w:lang w:val="en-IE" w:eastAsia="de-DE"/>
        </w:rPr>
        <w:t>biotechnology strategic projects are</w:t>
      </w:r>
      <w:r w:rsidR="32B3421B" w:rsidRPr="004C70EC">
        <w:rPr>
          <w:noProof/>
          <w:lang w:val="en-IE" w:eastAsia="de-DE"/>
        </w:rPr>
        <w:t xml:space="preserve"> depend</w:t>
      </w:r>
      <w:r w:rsidR="05526C2B" w:rsidRPr="004C70EC">
        <w:rPr>
          <w:noProof/>
          <w:lang w:val="en-IE" w:eastAsia="de-DE"/>
        </w:rPr>
        <w:t>ing</w:t>
      </w:r>
      <w:r w:rsidR="32B3421B" w:rsidRPr="004C70EC">
        <w:rPr>
          <w:noProof/>
          <w:lang w:val="en-IE" w:eastAsia="de-DE"/>
        </w:rPr>
        <w:t xml:space="preserve"> </w:t>
      </w:r>
      <w:r w:rsidR="2DB9AE17" w:rsidRPr="004C70EC">
        <w:rPr>
          <w:noProof/>
          <w:lang w:val="en-IE" w:eastAsia="de-DE"/>
        </w:rPr>
        <w:t xml:space="preserve">to a very large extent </w:t>
      </w:r>
      <w:r w:rsidR="32B3421B" w:rsidRPr="004C70EC">
        <w:rPr>
          <w:noProof/>
          <w:lang w:val="en-IE" w:eastAsia="de-DE"/>
        </w:rPr>
        <w:t>on an efficient and vibrant ecosystem of clinical research in the Union.</w:t>
      </w:r>
      <w:r w:rsidR="67D7BF0C" w:rsidRPr="004C70EC">
        <w:rPr>
          <w:noProof/>
          <w:lang w:val="en-IE" w:eastAsia="de-DE"/>
        </w:rPr>
        <w:t xml:space="preserve"> </w:t>
      </w:r>
    </w:p>
    <w:p w14:paraId="1F9C06B6" w14:textId="234EC948" w:rsidR="000D597F" w:rsidRPr="004C70EC" w:rsidRDefault="00C03A23" w:rsidP="00C03A23">
      <w:pPr>
        <w:pStyle w:val="ManualConsidrant"/>
        <w:rPr>
          <w:noProof/>
          <w:lang w:eastAsia="en-GB"/>
        </w:rPr>
      </w:pPr>
      <w:r w:rsidRPr="00C03A23">
        <w:rPr>
          <w:noProof/>
        </w:rPr>
        <w:t>(122)</w:t>
      </w:r>
      <w:r w:rsidRPr="00C03A23">
        <w:rPr>
          <w:noProof/>
        </w:rPr>
        <w:tab/>
      </w:r>
      <w:r w:rsidR="412AEE72" w:rsidRPr="004C70EC">
        <w:rPr>
          <w:noProof/>
          <w:lang w:eastAsia="en-GB"/>
        </w:rPr>
        <w:t xml:space="preserve">Amending </w:t>
      </w:r>
      <w:r w:rsidR="5D09C5AE" w:rsidRPr="004C70EC">
        <w:rPr>
          <w:noProof/>
          <w:lang w:eastAsia="en-GB"/>
        </w:rPr>
        <w:t xml:space="preserve">Regulation (EU) No 536/2014 </w:t>
      </w:r>
      <w:r w:rsidR="62E06BC6" w:rsidRPr="004C70EC">
        <w:rPr>
          <w:noProof/>
          <w:lang w:eastAsia="en-GB"/>
        </w:rPr>
        <w:t>of the European Parliament and of the Council</w:t>
      </w:r>
      <w:r w:rsidR="004B507B" w:rsidRPr="004C70EC">
        <w:rPr>
          <w:rStyle w:val="FootnoteReference"/>
          <w:rFonts w:eastAsia="Times New Roman"/>
          <w:noProof/>
          <w:color w:val="000000" w:themeColor="text1"/>
          <w:lang w:eastAsia="en-GB"/>
        </w:rPr>
        <w:footnoteReference w:id="141"/>
      </w:r>
      <w:r w:rsidR="62E06BC6" w:rsidRPr="004C70EC">
        <w:rPr>
          <w:noProof/>
          <w:lang w:eastAsia="en-GB"/>
        </w:rPr>
        <w:t xml:space="preserve"> </w:t>
      </w:r>
      <w:r w:rsidR="5D09C5AE" w:rsidRPr="004C70EC">
        <w:rPr>
          <w:noProof/>
          <w:lang w:eastAsia="en-GB"/>
        </w:rPr>
        <w:t xml:space="preserve">to bring simplification and shorten </w:t>
      </w:r>
      <w:r w:rsidR="64516057" w:rsidRPr="004C70EC">
        <w:rPr>
          <w:noProof/>
          <w:lang w:eastAsia="en-GB"/>
        </w:rPr>
        <w:t xml:space="preserve">the </w:t>
      </w:r>
      <w:r w:rsidR="5D09C5AE" w:rsidRPr="004C70EC">
        <w:rPr>
          <w:noProof/>
          <w:lang w:eastAsia="en-GB"/>
        </w:rPr>
        <w:t>time for biotechnology innovations to reach the Union market</w:t>
      </w:r>
      <w:r w:rsidR="64516057" w:rsidRPr="004C70EC">
        <w:rPr>
          <w:noProof/>
          <w:lang w:eastAsia="en-GB"/>
        </w:rPr>
        <w:t xml:space="preserve"> is crucial to streamline and accelerate </w:t>
      </w:r>
      <w:r w:rsidR="5D9EDB43" w:rsidRPr="004C70EC">
        <w:rPr>
          <w:noProof/>
          <w:lang w:eastAsia="en-GB"/>
        </w:rPr>
        <w:t>clinical</w:t>
      </w:r>
      <w:r w:rsidR="64516057" w:rsidRPr="004C70EC">
        <w:rPr>
          <w:noProof/>
          <w:lang w:eastAsia="en-GB"/>
        </w:rPr>
        <w:t xml:space="preserve"> </w:t>
      </w:r>
      <w:r w:rsidR="4FC4EDF8" w:rsidRPr="004C70EC">
        <w:rPr>
          <w:noProof/>
          <w:lang w:eastAsia="en-GB"/>
        </w:rPr>
        <w:t>trials</w:t>
      </w:r>
      <w:r w:rsidR="53EA0F67" w:rsidRPr="004C70EC">
        <w:rPr>
          <w:noProof/>
          <w:lang w:eastAsia="en-GB"/>
        </w:rPr>
        <w:t xml:space="preserve"> </w:t>
      </w:r>
      <w:r w:rsidR="1535E199" w:rsidRPr="004C70EC">
        <w:rPr>
          <w:noProof/>
          <w:lang w:eastAsia="en-GB"/>
        </w:rPr>
        <w:t>processes</w:t>
      </w:r>
      <w:r w:rsidR="53EA0F67" w:rsidRPr="004C70EC">
        <w:rPr>
          <w:noProof/>
          <w:lang w:eastAsia="en-GB"/>
        </w:rPr>
        <w:t xml:space="preserve"> </w:t>
      </w:r>
      <w:r w:rsidR="64516057" w:rsidRPr="004C70EC">
        <w:rPr>
          <w:noProof/>
          <w:lang w:eastAsia="en-GB"/>
        </w:rPr>
        <w:t xml:space="preserve">in the Union and to make the </w:t>
      </w:r>
      <w:r w:rsidR="5D9EDB43" w:rsidRPr="004C70EC">
        <w:rPr>
          <w:noProof/>
          <w:lang w:eastAsia="en-GB"/>
        </w:rPr>
        <w:t>legislative</w:t>
      </w:r>
      <w:r w:rsidR="64516057" w:rsidRPr="004C70EC">
        <w:rPr>
          <w:noProof/>
          <w:lang w:eastAsia="en-GB"/>
        </w:rPr>
        <w:t xml:space="preserve"> framework competitive globally so as to attract more clinical research to the Union. Without an efficient, accelerated and streamlined </w:t>
      </w:r>
      <w:r w:rsidR="5D9EDB43" w:rsidRPr="004C70EC">
        <w:rPr>
          <w:noProof/>
          <w:lang w:eastAsia="en-GB"/>
        </w:rPr>
        <w:t>legislative</w:t>
      </w:r>
      <w:r w:rsidR="64516057" w:rsidRPr="004C70EC">
        <w:rPr>
          <w:noProof/>
          <w:lang w:eastAsia="en-GB"/>
        </w:rPr>
        <w:t xml:space="preserve"> framework for </w:t>
      </w:r>
      <w:r w:rsidR="5D9EDB43" w:rsidRPr="004C70EC">
        <w:rPr>
          <w:noProof/>
          <w:lang w:eastAsia="en-GB"/>
        </w:rPr>
        <w:t>clinical trials</w:t>
      </w:r>
      <w:r w:rsidR="64516057" w:rsidRPr="004C70EC">
        <w:rPr>
          <w:noProof/>
          <w:lang w:eastAsia="en-GB"/>
        </w:rPr>
        <w:t xml:space="preserve"> </w:t>
      </w:r>
      <w:r w:rsidR="711CBDE8" w:rsidRPr="004C70EC">
        <w:rPr>
          <w:noProof/>
          <w:lang w:eastAsia="en-GB"/>
        </w:rPr>
        <w:t>authorisation</w:t>
      </w:r>
      <w:r w:rsidR="64516057" w:rsidRPr="004C70EC">
        <w:rPr>
          <w:noProof/>
          <w:lang w:eastAsia="en-GB"/>
        </w:rPr>
        <w:t xml:space="preserve"> in the Union, the other measures </w:t>
      </w:r>
      <w:r w:rsidR="5D9EDB43" w:rsidRPr="004C70EC">
        <w:rPr>
          <w:noProof/>
          <w:lang w:eastAsia="en-GB"/>
        </w:rPr>
        <w:t>in this Regulation,</w:t>
      </w:r>
      <w:r w:rsidR="64516057" w:rsidRPr="004C70EC">
        <w:rPr>
          <w:noProof/>
          <w:lang w:eastAsia="en-GB"/>
        </w:rPr>
        <w:t xml:space="preserve"> and in particular the </w:t>
      </w:r>
      <w:r w:rsidR="2BD02912" w:rsidRPr="004C70EC">
        <w:rPr>
          <w:noProof/>
          <w:lang w:eastAsia="en-GB"/>
        </w:rPr>
        <w:t xml:space="preserve">framework for the recognition and support of health biotechnology strategic projects and high impact </w:t>
      </w:r>
      <w:r w:rsidR="00EC3838" w:rsidRPr="004C70EC">
        <w:rPr>
          <w:noProof/>
          <w:lang w:eastAsia="en-GB"/>
        </w:rPr>
        <w:t xml:space="preserve">health </w:t>
      </w:r>
      <w:r w:rsidR="2BD02912" w:rsidRPr="004C70EC">
        <w:rPr>
          <w:noProof/>
          <w:lang w:eastAsia="en-GB"/>
        </w:rPr>
        <w:t>biotechnology strate</w:t>
      </w:r>
      <w:r w:rsidR="506E1A53" w:rsidRPr="004C70EC">
        <w:rPr>
          <w:noProof/>
          <w:lang w:eastAsia="en-GB"/>
        </w:rPr>
        <w:t>gic projects</w:t>
      </w:r>
      <w:r w:rsidR="64516057" w:rsidRPr="004C70EC">
        <w:rPr>
          <w:noProof/>
          <w:lang w:eastAsia="en-GB"/>
        </w:rPr>
        <w:t xml:space="preserve"> would be deprived of their effectiveness, as all health biotechnology medicinal products require state of the art clinical research and a </w:t>
      </w:r>
      <w:r w:rsidR="506E1A53" w:rsidRPr="004C70EC">
        <w:rPr>
          <w:noProof/>
          <w:lang w:eastAsia="en-GB"/>
        </w:rPr>
        <w:t>globally</w:t>
      </w:r>
      <w:r w:rsidR="64516057" w:rsidRPr="004C70EC">
        <w:rPr>
          <w:noProof/>
          <w:lang w:eastAsia="en-GB"/>
        </w:rPr>
        <w:t xml:space="preserve"> competitive regulatory framework for clinical trials authorisation.</w:t>
      </w:r>
    </w:p>
    <w:p w14:paraId="3FBA3D06" w14:textId="0FA0B50F" w:rsidR="000E1739" w:rsidRPr="004C70EC" w:rsidRDefault="00C03A23" w:rsidP="00C03A23">
      <w:pPr>
        <w:pStyle w:val="ManualConsidrant"/>
        <w:rPr>
          <w:rFonts w:eastAsia="Times New Roman"/>
          <w:noProof/>
          <w:lang w:eastAsia="en-GB"/>
        </w:rPr>
      </w:pPr>
      <w:r w:rsidRPr="00C03A23">
        <w:rPr>
          <w:noProof/>
        </w:rPr>
        <w:t>(123)</w:t>
      </w:r>
      <w:r w:rsidRPr="00C03A23">
        <w:rPr>
          <w:noProof/>
        </w:rPr>
        <w:tab/>
      </w:r>
      <w:r w:rsidR="2B5D2F2E" w:rsidRPr="004C70EC">
        <w:rPr>
          <w:noProof/>
          <w:lang w:val="en-IE" w:eastAsia="de-DE"/>
        </w:rPr>
        <w:t xml:space="preserve">The clinical trials offer early access to the most innovative therapies, contribute to a sustainable healthcare system, maintain scientific excellence and specialised skills </w:t>
      </w:r>
      <w:r w:rsidR="00EC3838" w:rsidRPr="004C70EC">
        <w:rPr>
          <w:noProof/>
          <w:lang w:val="en-IE" w:eastAsia="de-DE"/>
        </w:rPr>
        <w:t xml:space="preserve">and </w:t>
      </w:r>
      <w:r w:rsidR="21389E4F" w:rsidRPr="004C70EC">
        <w:rPr>
          <w:noProof/>
          <w:lang w:val="en-IE" w:eastAsia="de-DE"/>
        </w:rPr>
        <w:t>they</w:t>
      </w:r>
      <w:r w:rsidR="00EC3838" w:rsidRPr="004C70EC">
        <w:rPr>
          <w:noProof/>
          <w:lang w:val="en-IE" w:eastAsia="de-DE"/>
        </w:rPr>
        <w:t xml:space="preserve"> also</w:t>
      </w:r>
      <w:r w:rsidR="2B5D2F2E" w:rsidRPr="004C70EC">
        <w:rPr>
          <w:noProof/>
          <w:lang w:val="en-IE" w:eastAsia="de-DE"/>
        </w:rPr>
        <w:t xml:space="preserve"> support prosperity in the Union. </w:t>
      </w:r>
      <w:r w:rsidR="5C6301F4" w:rsidRPr="004C70EC">
        <w:rPr>
          <w:rFonts w:eastAsia="Times New Roman"/>
          <w:noProof/>
          <w:lang w:val="en-IE" w:eastAsia="de-DE"/>
        </w:rPr>
        <w:t>Enabling the development of innovative biological medicines through clinical trials is</w:t>
      </w:r>
      <w:r w:rsidR="00EC3838" w:rsidRPr="004C70EC">
        <w:rPr>
          <w:rFonts w:eastAsia="Times New Roman"/>
          <w:noProof/>
          <w:lang w:val="en-IE" w:eastAsia="de-DE"/>
        </w:rPr>
        <w:t xml:space="preserve"> </w:t>
      </w:r>
      <w:r w:rsidR="5C6301F4" w:rsidRPr="004C70EC">
        <w:rPr>
          <w:rFonts w:eastAsia="Times New Roman"/>
          <w:noProof/>
          <w:lang w:val="en-IE" w:eastAsia="de-DE"/>
        </w:rPr>
        <w:t>particularly important, since th</w:t>
      </w:r>
      <w:r w:rsidR="00EC3838" w:rsidRPr="004C70EC">
        <w:rPr>
          <w:rFonts w:eastAsia="Times New Roman"/>
          <w:noProof/>
          <w:lang w:val="en-IE" w:eastAsia="de-DE"/>
        </w:rPr>
        <w:t>o</w:t>
      </w:r>
      <w:r w:rsidR="5C6301F4" w:rsidRPr="004C70EC">
        <w:rPr>
          <w:rFonts w:eastAsia="Times New Roman"/>
          <w:noProof/>
          <w:lang w:val="en-IE" w:eastAsia="de-DE"/>
        </w:rPr>
        <w:t>se medicines often provide life-saving therapeutic options</w:t>
      </w:r>
      <w:r w:rsidR="59875FB4" w:rsidRPr="004C70EC">
        <w:rPr>
          <w:rFonts w:eastAsia="Times New Roman"/>
          <w:noProof/>
          <w:lang w:val="en-IE" w:eastAsia="de-DE"/>
        </w:rPr>
        <w:t xml:space="preserve">, including </w:t>
      </w:r>
      <w:r w:rsidR="5C6301F4" w:rsidRPr="004C70EC">
        <w:rPr>
          <w:rFonts w:eastAsia="Times New Roman"/>
          <w:noProof/>
          <w:lang w:val="en-IE" w:eastAsia="de-DE"/>
        </w:rPr>
        <w:t>in cancer care or against rare genetic conditions, and, due to their complexity, they are often more difficult and expensive to develop.</w:t>
      </w:r>
      <w:r w:rsidR="59875FB4" w:rsidRPr="004C70EC">
        <w:rPr>
          <w:rFonts w:eastAsia="Times New Roman"/>
          <w:noProof/>
          <w:lang w:val="en-IE" w:eastAsia="de-DE"/>
        </w:rPr>
        <w:t xml:space="preserve"> </w:t>
      </w:r>
      <w:r w:rsidR="2ACC7E41" w:rsidRPr="004C70EC">
        <w:rPr>
          <w:rFonts w:eastAsia="Times New Roman"/>
          <w:noProof/>
        </w:rPr>
        <w:t xml:space="preserve">Increased clinical trials in the Union for biological medicines could potentially contribute to more manufacturing in the Union, higher number and earlier regulatory submission of biological medicines for marketing authorisation applications and higher </w:t>
      </w:r>
      <w:r w:rsidR="141E3E47" w:rsidRPr="004C70EC">
        <w:rPr>
          <w:rFonts w:eastAsia="Times New Roman"/>
          <w:noProof/>
        </w:rPr>
        <w:t>percenta</w:t>
      </w:r>
      <w:r w:rsidR="1BD85DEC" w:rsidRPr="004C70EC">
        <w:rPr>
          <w:rFonts w:eastAsia="Times New Roman"/>
          <w:noProof/>
        </w:rPr>
        <w:t>g</w:t>
      </w:r>
      <w:r w:rsidR="141E3E47" w:rsidRPr="004C70EC">
        <w:rPr>
          <w:rFonts w:eastAsia="Times New Roman"/>
          <w:noProof/>
        </w:rPr>
        <w:t xml:space="preserve">e </w:t>
      </w:r>
      <w:r w:rsidR="2ACC7E41" w:rsidRPr="004C70EC">
        <w:rPr>
          <w:rFonts w:eastAsia="Times New Roman"/>
          <w:noProof/>
        </w:rPr>
        <w:t>of EU clinical data in marketing authorisation applications.</w:t>
      </w:r>
      <w:r w:rsidR="1BD85DEC" w:rsidRPr="004C70EC">
        <w:rPr>
          <w:rFonts w:eastAsia="Times New Roman"/>
          <w:noProof/>
          <w:lang w:eastAsia="en-GB"/>
        </w:rPr>
        <w:t xml:space="preserve"> </w:t>
      </w:r>
      <w:r w:rsidR="7DD2EB06" w:rsidRPr="004C70EC">
        <w:rPr>
          <w:rFonts w:eastAsia="Times New Roman"/>
          <w:noProof/>
          <w:lang w:val="en-IE" w:eastAsia="de-DE"/>
        </w:rPr>
        <w:t xml:space="preserve">In </w:t>
      </w:r>
      <w:r w:rsidR="48C07261" w:rsidRPr="004C70EC">
        <w:rPr>
          <w:rFonts w:eastAsia="Times New Roman"/>
          <w:noProof/>
          <w:lang w:val="en-IE" w:eastAsia="de-DE"/>
        </w:rPr>
        <w:t>relation to</w:t>
      </w:r>
      <w:r w:rsidR="7DD2EB06" w:rsidRPr="004C70EC">
        <w:rPr>
          <w:rFonts w:eastAsia="Times New Roman"/>
          <w:noProof/>
          <w:lang w:val="en-IE" w:eastAsia="de-DE"/>
        </w:rPr>
        <w:t xml:space="preserve"> this, b</w:t>
      </w:r>
      <w:r w:rsidR="5C6301F4" w:rsidRPr="004C70EC">
        <w:rPr>
          <w:rFonts w:eastAsia="Times New Roman"/>
          <w:noProof/>
          <w:lang w:val="en-IE" w:eastAsia="de-DE"/>
        </w:rPr>
        <w:t xml:space="preserve">iological medicines sales are key drivers of growth. In 2024, the European Union spent €228 </w:t>
      </w:r>
      <w:r w:rsidR="0C1B7274" w:rsidRPr="004C70EC">
        <w:rPr>
          <w:rFonts w:eastAsia="Times New Roman"/>
          <w:noProof/>
          <w:lang w:val="en-IE" w:eastAsia="de-DE"/>
        </w:rPr>
        <w:t>billion</w:t>
      </w:r>
      <w:r w:rsidR="5C6301F4" w:rsidRPr="004C70EC">
        <w:rPr>
          <w:rFonts w:eastAsia="Times New Roman"/>
          <w:noProof/>
          <w:lang w:val="en-IE" w:eastAsia="de-DE"/>
        </w:rPr>
        <w:t xml:space="preserve"> on medicines at list prices, including €95 </w:t>
      </w:r>
      <w:r w:rsidR="0C1B7274" w:rsidRPr="004C70EC">
        <w:rPr>
          <w:rFonts w:eastAsia="Times New Roman"/>
          <w:noProof/>
          <w:lang w:val="en-IE" w:eastAsia="de-DE"/>
        </w:rPr>
        <w:t xml:space="preserve">billion </w:t>
      </w:r>
      <w:r w:rsidR="5C6301F4" w:rsidRPr="004C70EC">
        <w:rPr>
          <w:rFonts w:eastAsia="Times New Roman"/>
          <w:noProof/>
          <w:lang w:val="en-IE" w:eastAsia="de-DE"/>
        </w:rPr>
        <w:t>on biological medicines, which now comprise 41% of total pharmaceutical spending.</w:t>
      </w:r>
      <w:r w:rsidR="2ACC7E41" w:rsidRPr="004C70EC">
        <w:rPr>
          <w:rFonts w:eastAsia="Times New Roman"/>
          <w:noProof/>
        </w:rPr>
        <w:t xml:space="preserve"> </w:t>
      </w:r>
      <w:r w:rsidR="1069FAAE" w:rsidRPr="004C70EC">
        <w:rPr>
          <w:rFonts w:eastAsia="Times New Roman"/>
          <w:noProof/>
        </w:rPr>
        <w:t xml:space="preserve">Spending on </w:t>
      </w:r>
      <w:r w:rsidR="38F56091" w:rsidRPr="004C70EC">
        <w:rPr>
          <w:rFonts w:eastAsia="Times New Roman"/>
          <w:noProof/>
        </w:rPr>
        <w:t>b</w:t>
      </w:r>
      <w:r w:rsidR="2ACC7E41" w:rsidRPr="004C70EC">
        <w:rPr>
          <w:rFonts w:eastAsia="Times New Roman"/>
          <w:noProof/>
        </w:rPr>
        <w:t xml:space="preserve">iological medicines continues to outpace </w:t>
      </w:r>
      <w:r w:rsidR="22FEF2A7" w:rsidRPr="004C70EC">
        <w:rPr>
          <w:rFonts w:eastAsia="Times New Roman"/>
          <w:noProof/>
        </w:rPr>
        <w:t xml:space="preserve">that of </w:t>
      </w:r>
      <w:r w:rsidR="2ACC7E41" w:rsidRPr="004C70EC">
        <w:rPr>
          <w:rFonts w:eastAsia="Times New Roman"/>
          <w:noProof/>
        </w:rPr>
        <w:t>small molecules (~5%) by 3x and the total prescription market, at a rate of 14.7% in the most recent period</w:t>
      </w:r>
      <w:r w:rsidR="007C23F1" w:rsidRPr="004C70EC">
        <w:rPr>
          <w:rStyle w:val="FootnoteReference"/>
          <w:noProof/>
          <w:color w:val="000000" w:themeColor="text1"/>
        </w:rPr>
        <w:footnoteReference w:id="142"/>
      </w:r>
      <w:r w:rsidR="2ACC7E41" w:rsidRPr="004C70EC">
        <w:rPr>
          <w:rFonts w:eastAsia="Times New Roman"/>
          <w:noProof/>
        </w:rPr>
        <w:t>.</w:t>
      </w:r>
      <w:bookmarkStart w:id="16" w:name="_Hlk215777615"/>
      <w:r w:rsidR="2ACC7E41" w:rsidRPr="004C70EC">
        <w:rPr>
          <w:rFonts w:eastAsia="Times New Roman"/>
          <w:noProof/>
        </w:rPr>
        <w:t xml:space="preserve"> </w:t>
      </w:r>
      <w:bookmarkEnd w:id="16"/>
      <w:r w:rsidR="329C7763" w:rsidRPr="004C70EC">
        <w:rPr>
          <w:rFonts w:eastAsia="Times New Roman"/>
          <w:noProof/>
        </w:rPr>
        <w:t xml:space="preserve"> </w:t>
      </w:r>
      <w:r w:rsidR="2DDACF4F" w:rsidRPr="004C70EC">
        <w:rPr>
          <w:rFonts w:eastAsia="Times New Roman"/>
          <w:noProof/>
          <w:lang w:val="en-IE" w:eastAsia="de-DE"/>
        </w:rPr>
        <w:t xml:space="preserve">In this context, </w:t>
      </w:r>
      <w:r w:rsidR="49ECEEE0" w:rsidRPr="004C70EC">
        <w:rPr>
          <w:rFonts w:eastAsia="Times New Roman"/>
          <w:noProof/>
          <w:lang w:val="en-IE" w:eastAsia="de-DE"/>
        </w:rPr>
        <w:t>simplifying</w:t>
      </w:r>
      <w:r w:rsidR="4950DED2" w:rsidRPr="004C70EC">
        <w:rPr>
          <w:rFonts w:eastAsia="Times New Roman"/>
          <w:noProof/>
          <w:lang w:eastAsia="en-IE"/>
        </w:rPr>
        <w:t xml:space="preserve"> Regulation (EU) No 536/2014 </w:t>
      </w:r>
      <w:r w:rsidR="49ECEEE0" w:rsidRPr="004C70EC">
        <w:rPr>
          <w:rFonts w:eastAsia="Times New Roman"/>
          <w:noProof/>
          <w:lang w:val="en-IE" w:eastAsia="de-DE"/>
        </w:rPr>
        <w:t xml:space="preserve">and </w:t>
      </w:r>
      <w:r w:rsidR="2DDACF4F" w:rsidRPr="004C70EC">
        <w:rPr>
          <w:rFonts w:eastAsia="Times New Roman"/>
          <w:noProof/>
          <w:lang w:val="en-IE" w:eastAsia="de-DE"/>
        </w:rPr>
        <w:t xml:space="preserve">accelerating </w:t>
      </w:r>
      <w:r w:rsidR="7B3FE94A" w:rsidRPr="004C70EC">
        <w:rPr>
          <w:rFonts w:eastAsia="Times New Roman"/>
          <w:noProof/>
          <w:lang w:val="en-IE" w:eastAsia="de-DE"/>
        </w:rPr>
        <w:t xml:space="preserve">multinational </w:t>
      </w:r>
      <w:r w:rsidR="2DDACF4F" w:rsidRPr="004C70EC">
        <w:rPr>
          <w:rFonts w:eastAsia="Times New Roman"/>
          <w:noProof/>
          <w:lang w:val="en-IE" w:eastAsia="de-DE"/>
        </w:rPr>
        <w:t>clinical trials</w:t>
      </w:r>
      <w:r w:rsidR="586443C2" w:rsidRPr="004C70EC">
        <w:rPr>
          <w:rFonts w:eastAsia="Times New Roman"/>
          <w:noProof/>
          <w:lang w:val="en-IE" w:eastAsia="de-DE"/>
        </w:rPr>
        <w:t xml:space="preserve"> appears necessary with a view to </w:t>
      </w:r>
      <w:r w:rsidR="465A049A" w:rsidRPr="004C70EC">
        <w:rPr>
          <w:rFonts w:eastAsia="Times New Roman"/>
          <w:noProof/>
          <w:lang w:val="en-IE" w:eastAsia="de-DE"/>
        </w:rPr>
        <w:t>accelerate time to market of heath biotechnology innovations</w:t>
      </w:r>
      <w:r w:rsidR="586443C2" w:rsidRPr="004C70EC">
        <w:rPr>
          <w:rFonts w:eastAsia="Times New Roman"/>
          <w:noProof/>
          <w:lang w:val="en-IE" w:eastAsia="de-DE"/>
        </w:rPr>
        <w:t xml:space="preserve"> and thus secure the effectiveness of the substantive provisions laid down in this Regulation. </w:t>
      </w:r>
    </w:p>
    <w:p w14:paraId="66C3DEE7" w14:textId="54A31670" w:rsidR="00723885" w:rsidRPr="004C70EC" w:rsidRDefault="00C03A23" w:rsidP="00C03A23">
      <w:pPr>
        <w:pStyle w:val="ManualConsidrant"/>
        <w:rPr>
          <w:rFonts w:eastAsia="Times New Roman"/>
          <w:noProof/>
          <w:lang w:val="en-IE" w:eastAsia="de-DE"/>
        </w:rPr>
      </w:pPr>
      <w:r w:rsidRPr="00C03A23">
        <w:rPr>
          <w:noProof/>
        </w:rPr>
        <w:t>(124)</w:t>
      </w:r>
      <w:r w:rsidRPr="00C03A23">
        <w:rPr>
          <w:noProof/>
        </w:rPr>
        <w:tab/>
      </w:r>
      <w:r w:rsidR="1BD85DEC" w:rsidRPr="004C70EC">
        <w:rPr>
          <w:noProof/>
          <w:lang w:val="en-IE" w:eastAsia="de-DE"/>
        </w:rPr>
        <w:t xml:space="preserve">At the same time, </w:t>
      </w:r>
      <w:r w:rsidR="5E25DA01" w:rsidRPr="004C70EC">
        <w:rPr>
          <w:noProof/>
          <w:lang w:val="en-IE" w:eastAsia="de-DE"/>
        </w:rPr>
        <w:t>Regulation (EU) No 536/2014 applies to all clinical trials irrespective of the type of investigational medicinal product,</w:t>
      </w:r>
      <w:r w:rsidR="6BAE48B9" w:rsidRPr="004C70EC">
        <w:rPr>
          <w:noProof/>
          <w:lang w:val="en-IE" w:eastAsia="de-DE"/>
        </w:rPr>
        <w:t xml:space="preserve"> whether it </w:t>
      </w:r>
      <w:r w:rsidR="50648497" w:rsidRPr="004C70EC">
        <w:rPr>
          <w:noProof/>
          <w:lang w:val="en-IE" w:eastAsia="de-DE"/>
        </w:rPr>
        <w:t>be biological</w:t>
      </w:r>
      <w:r w:rsidR="5E25DA01" w:rsidRPr="004C70EC">
        <w:rPr>
          <w:noProof/>
          <w:lang w:val="en-IE" w:eastAsia="de-DE"/>
        </w:rPr>
        <w:t xml:space="preserve"> or chemical molecules.</w:t>
      </w:r>
      <w:r w:rsidR="30A9A255" w:rsidRPr="004C70EC">
        <w:rPr>
          <w:noProof/>
          <w:lang w:val="en-IE" w:eastAsia="de-DE"/>
        </w:rPr>
        <w:t xml:space="preserve"> However</w:t>
      </w:r>
      <w:r w:rsidR="6B8E4217" w:rsidRPr="004C70EC">
        <w:rPr>
          <w:noProof/>
          <w:lang w:val="en-IE" w:eastAsia="de-DE"/>
        </w:rPr>
        <w:t>,</w:t>
      </w:r>
      <w:r w:rsidR="0D6D39E5" w:rsidRPr="004C70EC">
        <w:rPr>
          <w:noProof/>
        </w:rPr>
        <w:t xml:space="preserve"> </w:t>
      </w:r>
      <w:r w:rsidR="0D6D39E5" w:rsidRPr="004C70EC">
        <w:rPr>
          <w:rFonts w:eastAsia="Times New Roman"/>
          <w:noProof/>
          <w:lang w:val="en-IE" w:eastAsia="de-DE"/>
        </w:rPr>
        <w:t>the amendments to Regulation (EU) No 536/2014 through this Regulation</w:t>
      </w:r>
      <w:r w:rsidR="00EC3838" w:rsidRPr="004C70EC">
        <w:rPr>
          <w:rFonts w:eastAsia="Times New Roman"/>
          <w:noProof/>
          <w:lang w:val="en-IE" w:eastAsia="de-DE"/>
        </w:rPr>
        <w:t>,</w:t>
      </w:r>
      <w:r w:rsidR="0D6D39E5" w:rsidRPr="004C70EC">
        <w:rPr>
          <w:rFonts w:eastAsia="Times New Roman"/>
          <w:noProof/>
          <w:lang w:val="en-IE" w:eastAsia="de-DE"/>
        </w:rPr>
        <w:t xml:space="preserve"> for streamlining and simplifying that Regulation</w:t>
      </w:r>
      <w:r w:rsidR="00EC3838" w:rsidRPr="004C70EC">
        <w:rPr>
          <w:rFonts w:eastAsia="Times New Roman"/>
          <w:noProof/>
          <w:lang w:val="en-IE" w:eastAsia="de-DE"/>
        </w:rPr>
        <w:t>,</w:t>
      </w:r>
      <w:r w:rsidR="0D6D39E5" w:rsidRPr="004C70EC">
        <w:rPr>
          <w:rFonts w:eastAsia="Times New Roman"/>
          <w:noProof/>
          <w:lang w:val="en-IE" w:eastAsia="de-DE"/>
        </w:rPr>
        <w:t xml:space="preserve"> are particularly relevant for biologicals. This is because</w:t>
      </w:r>
      <w:r w:rsidR="6B8E4217" w:rsidRPr="004C70EC">
        <w:rPr>
          <w:rFonts w:eastAsia="Times New Roman"/>
          <w:noProof/>
          <w:lang w:val="en-IE" w:eastAsia="de-DE"/>
        </w:rPr>
        <w:t xml:space="preserve"> t</w:t>
      </w:r>
      <w:r w:rsidR="17085179" w:rsidRPr="004C70EC">
        <w:rPr>
          <w:rFonts w:eastAsia="Times New Roman"/>
          <w:noProof/>
          <w:lang w:val="en-IE" w:eastAsia="de-DE"/>
        </w:rPr>
        <w:t>he</w:t>
      </w:r>
      <w:r w:rsidR="517BE690" w:rsidRPr="004C70EC">
        <w:rPr>
          <w:rFonts w:eastAsia="Times New Roman"/>
          <w:noProof/>
          <w:lang w:val="en-IE" w:eastAsia="de-DE"/>
        </w:rPr>
        <w:t xml:space="preserve"> development of b</w:t>
      </w:r>
      <w:r w:rsidR="7FCB7D5C" w:rsidRPr="004C70EC">
        <w:rPr>
          <w:rFonts w:eastAsia="Times New Roman"/>
          <w:noProof/>
          <w:lang w:val="en-IE" w:eastAsia="de-DE"/>
        </w:rPr>
        <w:t>iological</w:t>
      </w:r>
      <w:r w:rsidR="4B694CE6" w:rsidRPr="004C70EC">
        <w:rPr>
          <w:rFonts w:eastAsia="Times New Roman"/>
          <w:noProof/>
          <w:lang w:val="en-IE" w:eastAsia="de-DE"/>
        </w:rPr>
        <w:t>s</w:t>
      </w:r>
      <w:r w:rsidR="7FCB7D5C" w:rsidRPr="004C70EC">
        <w:rPr>
          <w:rFonts w:eastAsia="Times New Roman"/>
          <w:noProof/>
          <w:lang w:val="en-IE" w:eastAsia="de-DE"/>
        </w:rPr>
        <w:t xml:space="preserve"> relies </w:t>
      </w:r>
      <w:r w:rsidR="4B694CE6" w:rsidRPr="004C70EC">
        <w:rPr>
          <w:rFonts w:eastAsia="Times New Roman"/>
          <w:noProof/>
          <w:lang w:val="en-IE" w:eastAsia="de-DE"/>
        </w:rPr>
        <w:t>heavily</w:t>
      </w:r>
      <w:r w:rsidR="7FCB7D5C" w:rsidRPr="004C70EC">
        <w:rPr>
          <w:rFonts w:eastAsia="Times New Roman"/>
          <w:noProof/>
          <w:lang w:val="en-IE" w:eastAsia="de-DE"/>
        </w:rPr>
        <w:t xml:space="preserve"> on multinational clinical trials</w:t>
      </w:r>
      <w:r w:rsidR="4B694CE6" w:rsidRPr="004C70EC">
        <w:rPr>
          <w:rFonts w:eastAsia="Times New Roman"/>
          <w:noProof/>
          <w:lang w:val="en-IE" w:eastAsia="de-DE"/>
        </w:rPr>
        <w:t xml:space="preserve"> </w:t>
      </w:r>
      <w:r w:rsidR="7FCB7D5C" w:rsidRPr="004C70EC">
        <w:rPr>
          <w:rFonts w:eastAsia="Times New Roman"/>
          <w:noProof/>
          <w:lang w:val="en-IE" w:eastAsia="de-DE"/>
        </w:rPr>
        <w:t>to be able to recruit the necessary number of patients</w:t>
      </w:r>
      <w:r w:rsidR="0E51B30B" w:rsidRPr="004C70EC">
        <w:rPr>
          <w:rFonts w:eastAsia="Times New Roman"/>
          <w:noProof/>
          <w:lang w:val="en-IE" w:eastAsia="de-DE"/>
        </w:rPr>
        <w:t>.</w:t>
      </w:r>
      <w:r w:rsidR="62E44F11" w:rsidRPr="004C70EC">
        <w:rPr>
          <w:rFonts w:eastAsia="Times New Roman"/>
          <w:noProof/>
          <w:lang w:val="en-IE" w:eastAsia="de-DE"/>
        </w:rPr>
        <w:t xml:space="preserve"> </w:t>
      </w:r>
    </w:p>
    <w:p w14:paraId="034B27F4" w14:textId="485088F6" w:rsidR="00414E4B" w:rsidRPr="004C70EC" w:rsidRDefault="00C03A23" w:rsidP="00C03A23">
      <w:pPr>
        <w:pStyle w:val="ManualConsidrant"/>
        <w:rPr>
          <w:noProof/>
          <w:lang w:val="en-IE" w:eastAsia="de-DE"/>
        </w:rPr>
      </w:pPr>
      <w:r w:rsidRPr="00C03A23">
        <w:rPr>
          <w:noProof/>
        </w:rPr>
        <w:t>(125)</w:t>
      </w:r>
      <w:r w:rsidRPr="00C03A23">
        <w:rPr>
          <w:noProof/>
        </w:rPr>
        <w:tab/>
      </w:r>
      <w:r w:rsidR="62E44F11" w:rsidRPr="004C70EC">
        <w:rPr>
          <w:noProof/>
          <w:lang w:val="en-IE" w:eastAsia="de-DE"/>
        </w:rPr>
        <w:t>Moreover, the</w:t>
      </w:r>
      <w:r w:rsidR="517BE690" w:rsidRPr="004C70EC">
        <w:rPr>
          <w:noProof/>
          <w:lang w:val="en-IE" w:eastAsia="de-DE"/>
        </w:rPr>
        <w:t xml:space="preserve"> limitation of the scope of the envisaged amendments </w:t>
      </w:r>
      <w:r w:rsidR="4479B774" w:rsidRPr="004C70EC">
        <w:rPr>
          <w:noProof/>
          <w:lang w:val="en-IE" w:eastAsia="de-DE"/>
        </w:rPr>
        <w:t>to</w:t>
      </w:r>
      <w:r w:rsidR="1AFAD5D6" w:rsidRPr="004C70EC">
        <w:rPr>
          <w:noProof/>
          <w:lang w:val="en-IE" w:eastAsia="de-DE"/>
        </w:rPr>
        <w:t xml:space="preserve"> biologicals</w:t>
      </w:r>
      <w:r w:rsidR="5B06DECE" w:rsidRPr="004C70EC">
        <w:rPr>
          <w:noProof/>
          <w:lang w:val="en-IE" w:eastAsia="de-DE"/>
        </w:rPr>
        <w:t xml:space="preserve"> would</w:t>
      </w:r>
      <w:r w:rsidR="5A38BC25" w:rsidRPr="004C70EC">
        <w:rPr>
          <w:noProof/>
          <w:lang w:val="en-IE" w:eastAsia="de-DE"/>
        </w:rPr>
        <w:t xml:space="preserve"> </w:t>
      </w:r>
      <w:r w:rsidR="55A648D7" w:rsidRPr="004C70EC">
        <w:rPr>
          <w:noProof/>
          <w:lang w:val="en-IE" w:eastAsia="de-DE"/>
        </w:rPr>
        <w:t>be against the core principle of Regulation (EU) No 536/2014 to create a harmoni</w:t>
      </w:r>
      <w:r w:rsidR="6973AD68" w:rsidRPr="004C70EC">
        <w:rPr>
          <w:noProof/>
          <w:lang w:val="en-IE" w:eastAsia="de-DE"/>
        </w:rPr>
        <w:t>s</w:t>
      </w:r>
      <w:r w:rsidR="55A648D7" w:rsidRPr="004C70EC">
        <w:rPr>
          <w:noProof/>
          <w:lang w:val="en-IE" w:eastAsia="de-DE"/>
        </w:rPr>
        <w:t xml:space="preserve">ed EU-level system for clinical trials authorisations. It would </w:t>
      </w:r>
      <w:r w:rsidR="1AFAD5D6" w:rsidRPr="004C70EC">
        <w:rPr>
          <w:noProof/>
          <w:lang w:val="en-IE" w:eastAsia="de-DE"/>
        </w:rPr>
        <w:t xml:space="preserve">create </w:t>
      </w:r>
      <w:r w:rsidR="4479B774" w:rsidRPr="004C70EC">
        <w:rPr>
          <w:noProof/>
          <w:lang w:val="en-IE" w:eastAsia="de-DE"/>
        </w:rPr>
        <w:t>two</w:t>
      </w:r>
      <w:r w:rsidR="1AFAD5D6" w:rsidRPr="004C70EC">
        <w:rPr>
          <w:noProof/>
          <w:lang w:val="en-IE" w:eastAsia="de-DE"/>
        </w:rPr>
        <w:t xml:space="preserve"> authorisation </w:t>
      </w:r>
      <w:r w:rsidR="4479B774" w:rsidRPr="004C70EC">
        <w:rPr>
          <w:noProof/>
          <w:lang w:val="en-IE" w:eastAsia="de-DE"/>
        </w:rPr>
        <w:t>pathways</w:t>
      </w:r>
      <w:r w:rsidR="1AFAD5D6" w:rsidRPr="004C70EC">
        <w:rPr>
          <w:noProof/>
          <w:lang w:val="en-IE" w:eastAsia="de-DE"/>
        </w:rPr>
        <w:t xml:space="preserve"> for chemical medicines and biologicals</w:t>
      </w:r>
      <w:r w:rsidR="16CD9370" w:rsidRPr="004C70EC">
        <w:rPr>
          <w:noProof/>
          <w:lang w:val="en-IE" w:eastAsia="de-DE"/>
        </w:rPr>
        <w:t xml:space="preserve"> and it</w:t>
      </w:r>
      <w:r w:rsidR="5A38BC25" w:rsidRPr="004C70EC">
        <w:rPr>
          <w:noProof/>
          <w:lang w:val="en-IE" w:eastAsia="de-DE"/>
        </w:rPr>
        <w:t xml:space="preserve"> </w:t>
      </w:r>
      <w:r w:rsidR="55A648D7" w:rsidRPr="004C70EC">
        <w:rPr>
          <w:noProof/>
          <w:lang w:val="en-IE" w:eastAsia="de-DE"/>
        </w:rPr>
        <w:t>would</w:t>
      </w:r>
      <w:r w:rsidR="5A38BC25" w:rsidRPr="004C70EC">
        <w:rPr>
          <w:noProof/>
          <w:lang w:val="en-IE" w:eastAsia="de-DE"/>
        </w:rPr>
        <w:t xml:space="preserve"> not </w:t>
      </w:r>
      <w:r w:rsidR="3472E01A" w:rsidRPr="004C70EC">
        <w:rPr>
          <w:noProof/>
          <w:lang w:val="en-IE" w:eastAsia="de-DE"/>
        </w:rPr>
        <w:t>be</w:t>
      </w:r>
      <w:r w:rsidR="5A38BC25" w:rsidRPr="004C70EC">
        <w:rPr>
          <w:noProof/>
          <w:lang w:val="en-IE" w:eastAsia="de-DE"/>
        </w:rPr>
        <w:t xml:space="preserve"> appropriate to distinguish these procedurally</w:t>
      </w:r>
      <w:r w:rsidR="6C62E224" w:rsidRPr="004C70EC">
        <w:rPr>
          <w:noProof/>
          <w:lang w:val="en-IE" w:eastAsia="de-DE"/>
        </w:rPr>
        <w:t xml:space="preserve">, considering the </w:t>
      </w:r>
      <w:r w:rsidR="6C62E224" w:rsidRPr="004C70EC">
        <w:rPr>
          <w:noProof/>
        </w:rPr>
        <w:t xml:space="preserve">coordinated assessment procedure established in Regulation (EU) No 536/2014 and the single </w:t>
      </w:r>
      <w:r w:rsidR="236FE720" w:rsidRPr="004C70EC">
        <w:rPr>
          <w:noProof/>
        </w:rPr>
        <w:t>EU Portal</w:t>
      </w:r>
      <w:r w:rsidR="6C62E224" w:rsidRPr="004C70EC">
        <w:rPr>
          <w:noProof/>
        </w:rPr>
        <w:t xml:space="preserve"> and </w:t>
      </w:r>
      <w:r w:rsidR="236FE720" w:rsidRPr="004C70EC">
        <w:rPr>
          <w:noProof/>
        </w:rPr>
        <w:t xml:space="preserve">database as </w:t>
      </w:r>
      <w:r w:rsidR="38AAC1DD" w:rsidRPr="004C70EC">
        <w:rPr>
          <w:noProof/>
        </w:rPr>
        <w:t xml:space="preserve">IT </w:t>
      </w:r>
      <w:r w:rsidR="6C62E224" w:rsidRPr="004C70EC">
        <w:rPr>
          <w:noProof/>
        </w:rPr>
        <w:t>system provided for in that Regulation for the e</w:t>
      </w:r>
      <w:r w:rsidR="4EE6ED4B" w:rsidRPr="004C70EC">
        <w:rPr>
          <w:noProof/>
        </w:rPr>
        <w:t xml:space="preserve">lectronic </w:t>
      </w:r>
      <w:r w:rsidR="6C62E224" w:rsidRPr="004C70EC">
        <w:rPr>
          <w:noProof/>
        </w:rPr>
        <w:t>submissions and assessment of all applications.</w:t>
      </w:r>
      <w:r w:rsidR="5B06DECE" w:rsidRPr="004C70EC">
        <w:rPr>
          <w:noProof/>
        </w:rPr>
        <w:t xml:space="preserve"> </w:t>
      </w:r>
      <w:r w:rsidR="6917B86A" w:rsidRPr="004C70EC">
        <w:rPr>
          <w:noProof/>
          <w:lang w:val="en-IE" w:eastAsia="de-DE"/>
        </w:rPr>
        <w:t>In</w:t>
      </w:r>
      <w:r w:rsidR="619B3597" w:rsidRPr="004C70EC">
        <w:rPr>
          <w:noProof/>
          <w:lang w:val="en-IE" w:eastAsia="de-DE"/>
        </w:rPr>
        <w:t xml:space="preserve"> addition, providing for different timelines for biological and chemical medicines could </w:t>
      </w:r>
      <w:r w:rsidR="3E22C8E4" w:rsidRPr="004C70EC">
        <w:rPr>
          <w:noProof/>
          <w:lang w:val="en-IE" w:eastAsia="de-DE"/>
        </w:rPr>
        <w:t>create uncertainty for</w:t>
      </w:r>
      <w:r w:rsidR="619B3597" w:rsidRPr="004C70EC">
        <w:rPr>
          <w:noProof/>
          <w:lang w:val="en-IE" w:eastAsia="de-DE"/>
        </w:rPr>
        <w:t xml:space="preserve"> developers and could be perceived as creating double standards for clinical research on medicines, where the biotechnology products, often more </w:t>
      </w:r>
      <w:r w:rsidR="71F2DA0F" w:rsidRPr="004C70EC">
        <w:rPr>
          <w:noProof/>
          <w:lang w:val="en-IE" w:eastAsia="de-DE"/>
        </w:rPr>
        <w:t>comple</w:t>
      </w:r>
      <w:r w:rsidR="561B225C" w:rsidRPr="004C70EC">
        <w:rPr>
          <w:noProof/>
          <w:lang w:val="en-IE" w:eastAsia="de-DE"/>
        </w:rPr>
        <w:t>x</w:t>
      </w:r>
      <w:r w:rsidR="71F2DA0F" w:rsidRPr="004C70EC">
        <w:rPr>
          <w:noProof/>
          <w:lang w:val="en-IE" w:eastAsia="de-DE"/>
        </w:rPr>
        <w:t>, would benefit from shorter and more streamlined timelines</w:t>
      </w:r>
      <w:r w:rsidR="0C85ED14" w:rsidRPr="004C70EC">
        <w:rPr>
          <w:noProof/>
          <w:lang w:val="en-IE" w:eastAsia="de-DE"/>
        </w:rPr>
        <w:t xml:space="preserve">. </w:t>
      </w:r>
      <w:r w:rsidR="4A220D4F" w:rsidRPr="004C70EC">
        <w:rPr>
          <w:noProof/>
          <w:lang w:val="en-IE" w:eastAsia="de-DE"/>
        </w:rPr>
        <w:t xml:space="preserve">Such fragmented approach could potentially also increase the burden on regulators and could lead to different national interpretations regarding the implementation of the respective authorisation </w:t>
      </w:r>
      <w:r w:rsidR="55A11B6A" w:rsidRPr="004C70EC">
        <w:rPr>
          <w:noProof/>
          <w:lang w:val="en-IE" w:eastAsia="de-DE"/>
        </w:rPr>
        <w:t>procedures</w:t>
      </w:r>
      <w:r w:rsidR="4A220D4F" w:rsidRPr="004C70EC">
        <w:rPr>
          <w:noProof/>
          <w:lang w:val="en-IE" w:eastAsia="de-DE"/>
        </w:rPr>
        <w:t>. This in turn would risk putting multinational clinical trials at disadvantage with more associated negative effects for biological development.</w:t>
      </w:r>
      <w:r w:rsidR="5B06DECE" w:rsidRPr="004C70EC">
        <w:rPr>
          <w:noProof/>
          <w:lang w:val="en-IE" w:eastAsia="de-DE"/>
        </w:rPr>
        <w:t xml:space="preserve"> </w:t>
      </w:r>
      <w:r w:rsidR="6690BC0E" w:rsidRPr="004C70EC">
        <w:rPr>
          <w:noProof/>
          <w:lang w:val="en-IE" w:eastAsia="de-DE"/>
        </w:rPr>
        <w:t xml:space="preserve">Further, </w:t>
      </w:r>
      <w:r w:rsidR="4BCDFAE8" w:rsidRPr="004C70EC">
        <w:rPr>
          <w:noProof/>
          <w:lang w:val="en-IE" w:eastAsia="de-DE"/>
        </w:rPr>
        <w:t>such an approach</w:t>
      </w:r>
      <w:r w:rsidR="6690BC0E" w:rsidRPr="004C70EC">
        <w:rPr>
          <w:noProof/>
          <w:lang w:val="en-IE" w:eastAsia="de-DE"/>
        </w:rPr>
        <w:t xml:space="preserve"> could have </w:t>
      </w:r>
      <w:r w:rsidR="1A0A84C6" w:rsidRPr="004C70EC">
        <w:rPr>
          <w:noProof/>
          <w:lang w:val="en-IE" w:eastAsia="de-DE"/>
        </w:rPr>
        <w:t>a</w:t>
      </w:r>
      <w:r w:rsidR="6690BC0E" w:rsidRPr="004C70EC">
        <w:rPr>
          <w:noProof/>
          <w:lang w:val="en-IE" w:eastAsia="de-DE"/>
        </w:rPr>
        <w:t xml:space="preserve"> particularly negative impact on combination trials</w:t>
      </w:r>
      <w:r w:rsidR="0681B067" w:rsidRPr="004C70EC">
        <w:rPr>
          <w:noProof/>
          <w:lang w:val="en-IE" w:eastAsia="de-DE"/>
        </w:rPr>
        <w:t xml:space="preserve"> testing combination medicinal products</w:t>
      </w:r>
      <w:r w:rsidR="6690BC0E" w:rsidRPr="004C70EC">
        <w:rPr>
          <w:noProof/>
          <w:lang w:val="en-IE" w:eastAsia="de-DE"/>
        </w:rPr>
        <w:t xml:space="preserve">, </w:t>
      </w:r>
      <w:r w:rsidR="60C14540" w:rsidRPr="004C70EC">
        <w:rPr>
          <w:noProof/>
          <w:lang w:val="en-IE" w:eastAsia="de-DE"/>
        </w:rPr>
        <w:t xml:space="preserve">where biological and </w:t>
      </w:r>
      <w:r w:rsidR="6690BC0E" w:rsidRPr="004C70EC">
        <w:rPr>
          <w:noProof/>
          <w:lang w:val="en-IE" w:eastAsia="de-DE"/>
        </w:rPr>
        <w:t xml:space="preserve">chemical </w:t>
      </w:r>
      <w:r w:rsidR="03FB6BC3" w:rsidRPr="004C70EC">
        <w:rPr>
          <w:noProof/>
          <w:lang w:val="en-IE" w:eastAsia="de-DE"/>
        </w:rPr>
        <w:t>active substances</w:t>
      </w:r>
      <w:r w:rsidR="00EC3838" w:rsidRPr="004C70EC">
        <w:rPr>
          <w:noProof/>
          <w:lang w:val="en-IE" w:eastAsia="de-DE"/>
        </w:rPr>
        <w:t xml:space="preserve"> </w:t>
      </w:r>
      <w:r w:rsidR="60C14540" w:rsidRPr="004C70EC">
        <w:rPr>
          <w:noProof/>
          <w:lang w:val="en-IE" w:eastAsia="de-DE"/>
        </w:rPr>
        <w:t>are combined</w:t>
      </w:r>
      <w:r w:rsidR="6690BC0E" w:rsidRPr="004C70EC">
        <w:rPr>
          <w:noProof/>
          <w:lang w:val="en-IE" w:eastAsia="de-DE"/>
        </w:rPr>
        <w:t xml:space="preserve"> </w:t>
      </w:r>
      <w:r w:rsidR="56B695A4" w:rsidRPr="004C70EC">
        <w:rPr>
          <w:noProof/>
          <w:lang w:val="en-IE" w:eastAsia="de-DE"/>
        </w:rPr>
        <w:t xml:space="preserve">within a single </w:t>
      </w:r>
      <w:r w:rsidR="324A456D" w:rsidRPr="004C70EC">
        <w:rPr>
          <w:noProof/>
          <w:lang w:val="en-IE" w:eastAsia="de-DE"/>
        </w:rPr>
        <w:t>pharmaceutical form,</w:t>
      </w:r>
      <w:r w:rsidR="6690BC0E" w:rsidRPr="004C70EC">
        <w:rPr>
          <w:noProof/>
          <w:lang w:val="en-IE" w:eastAsia="de-DE"/>
        </w:rPr>
        <w:t xml:space="preserve"> to treat </w:t>
      </w:r>
      <w:r w:rsidR="2CFB8B62" w:rsidRPr="004C70EC">
        <w:rPr>
          <w:noProof/>
          <w:lang w:val="en-IE" w:eastAsia="de-DE"/>
        </w:rPr>
        <w:t>debilitating medical conditions for example but not limited to</w:t>
      </w:r>
      <w:r w:rsidR="6690BC0E" w:rsidRPr="004C70EC">
        <w:rPr>
          <w:noProof/>
          <w:lang w:val="en-IE" w:eastAsia="de-DE"/>
        </w:rPr>
        <w:t xml:space="preserve"> breast, lung, colorectal cancers or autoimmune diseases</w:t>
      </w:r>
      <w:r w:rsidR="32470D42" w:rsidRPr="004C70EC">
        <w:rPr>
          <w:noProof/>
          <w:lang w:val="en-IE" w:eastAsia="de-DE"/>
        </w:rPr>
        <w:t xml:space="preserve">, as well as on trials </w:t>
      </w:r>
      <w:r w:rsidR="66AEB2B1" w:rsidRPr="004C70EC">
        <w:rPr>
          <w:noProof/>
          <w:lang w:val="en-IE" w:eastAsia="de-DE"/>
        </w:rPr>
        <w:t>comparing a biological and a chemical medicinal products or on trials</w:t>
      </w:r>
      <w:r w:rsidR="32470D42" w:rsidRPr="004C70EC">
        <w:rPr>
          <w:noProof/>
          <w:lang w:val="en-IE" w:eastAsia="de-DE"/>
        </w:rPr>
        <w:t xml:space="preserve"> </w:t>
      </w:r>
      <w:r w:rsidR="6690BC0E" w:rsidRPr="004C70EC">
        <w:rPr>
          <w:noProof/>
          <w:lang w:val="en-IE" w:eastAsia="de-DE"/>
        </w:rPr>
        <w:t xml:space="preserve">using a chemical medicine as a standard of care </w:t>
      </w:r>
      <w:r w:rsidR="2265DEBF" w:rsidRPr="004C70EC">
        <w:rPr>
          <w:noProof/>
          <w:lang w:val="en-IE" w:eastAsia="de-DE"/>
        </w:rPr>
        <w:t xml:space="preserve">treatment in the control arm </w:t>
      </w:r>
      <w:r w:rsidR="6690BC0E" w:rsidRPr="004C70EC">
        <w:rPr>
          <w:noProof/>
          <w:lang w:val="en-IE" w:eastAsia="de-DE"/>
        </w:rPr>
        <w:t>.</w:t>
      </w:r>
      <w:r w:rsidR="490E8AE6" w:rsidRPr="004C70EC">
        <w:rPr>
          <w:noProof/>
          <w:lang w:val="en-IE" w:eastAsia="de-DE"/>
        </w:rPr>
        <w:t xml:space="preserve"> </w:t>
      </w:r>
      <w:r w:rsidR="405DE32B" w:rsidRPr="004C70EC">
        <w:rPr>
          <w:noProof/>
          <w:lang w:val="en-IE" w:eastAsia="de-DE"/>
        </w:rPr>
        <w:t xml:space="preserve">Consequently, the amendments to Regulation (EU) No 536/2014 </w:t>
      </w:r>
      <w:r w:rsidR="6A72E94F" w:rsidRPr="004C70EC">
        <w:rPr>
          <w:noProof/>
          <w:lang w:val="en-IE" w:eastAsia="de-DE"/>
        </w:rPr>
        <w:t xml:space="preserve">should </w:t>
      </w:r>
      <w:r w:rsidR="405DE32B" w:rsidRPr="004C70EC">
        <w:rPr>
          <w:noProof/>
          <w:lang w:val="en-IE" w:eastAsia="de-DE"/>
        </w:rPr>
        <w:t xml:space="preserve">apply to both biologicals and chemicals. </w:t>
      </w:r>
    </w:p>
    <w:p w14:paraId="75485B8F" w14:textId="1DE3D434" w:rsidR="004E527A" w:rsidRPr="004C70EC" w:rsidRDefault="00C03A23" w:rsidP="00C03A23">
      <w:pPr>
        <w:pStyle w:val="ManualConsidrant"/>
        <w:rPr>
          <w:noProof/>
          <w:lang w:val="en-IE" w:eastAsia="de-DE"/>
        </w:rPr>
      </w:pPr>
      <w:r w:rsidRPr="00C03A23">
        <w:rPr>
          <w:noProof/>
        </w:rPr>
        <w:t>(126)</w:t>
      </w:r>
      <w:r w:rsidRPr="00C03A23">
        <w:rPr>
          <w:noProof/>
        </w:rPr>
        <w:tab/>
      </w:r>
      <w:r w:rsidR="249CF78E" w:rsidRPr="004C70EC">
        <w:rPr>
          <w:noProof/>
          <w:lang w:eastAsia="en-IE"/>
        </w:rPr>
        <w:t xml:space="preserve">The </w:t>
      </w:r>
      <w:r w:rsidR="121F9557" w:rsidRPr="004C70EC">
        <w:rPr>
          <w:noProof/>
          <w:lang w:val="en-IE" w:eastAsia="de-DE"/>
        </w:rPr>
        <w:t xml:space="preserve">Union </w:t>
      </w:r>
      <w:r w:rsidR="249CF78E" w:rsidRPr="004C70EC">
        <w:rPr>
          <w:noProof/>
          <w:lang w:eastAsia="en-IE"/>
        </w:rPr>
        <w:t xml:space="preserve">has unique advantages as a place for multinational clinical trials due to its large population, rich genetic diversity, scientific excellence and robust research infrastructures, and high ethical, quality and safety standards. </w:t>
      </w:r>
      <w:r w:rsidR="16010388" w:rsidRPr="004C70EC">
        <w:rPr>
          <w:noProof/>
          <w:lang w:eastAsia="en-IE"/>
        </w:rPr>
        <w:t xml:space="preserve">To </w:t>
      </w:r>
      <w:r w:rsidR="249CF78E" w:rsidRPr="004C70EC">
        <w:rPr>
          <w:noProof/>
          <w:lang w:eastAsia="en-IE"/>
        </w:rPr>
        <w:t xml:space="preserve">fully leverage these </w:t>
      </w:r>
      <w:r w:rsidR="50648497" w:rsidRPr="004C70EC">
        <w:rPr>
          <w:noProof/>
          <w:lang w:eastAsia="en-IE"/>
        </w:rPr>
        <w:t>strengths and</w:t>
      </w:r>
      <w:r w:rsidR="6B70ACF5" w:rsidRPr="004C70EC">
        <w:rPr>
          <w:noProof/>
          <w:lang w:eastAsia="en-IE"/>
        </w:rPr>
        <w:t xml:space="preserve"> considering the </w:t>
      </w:r>
      <w:r w:rsidR="6FF25FDB" w:rsidRPr="004C70EC">
        <w:rPr>
          <w:noProof/>
          <w:lang w:eastAsia="en-IE"/>
        </w:rPr>
        <w:t xml:space="preserve">key </w:t>
      </w:r>
      <w:r w:rsidR="0AB6DA96" w:rsidRPr="004C70EC">
        <w:rPr>
          <w:noProof/>
          <w:lang w:eastAsia="en-IE"/>
        </w:rPr>
        <w:t xml:space="preserve">and increasing </w:t>
      </w:r>
      <w:r w:rsidR="6FF25FDB" w:rsidRPr="004C70EC">
        <w:rPr>
          <w:noProof/>
          <w:lang w:eastAsia="en-IE"/>
        </w:rPr>
        <w:t xml:space="preserve">role of </w:t>
      </w:r>
      <w:r w:rsidR="07C56DEE" w:rsidRPr="004C70EC">
        <w:rPr>
          <w:noProof/>
          <w:lang w:eastAsia="en-IE"/>
        </w:rPr>
        <w:t xml:space="preserve">research and </w:t>
      </w:r>
      <w:r w:rsidR="6B70ACF5" w:rsidRPr="004C70EC">
        <w:rPr>
          <w:noProof/>
          <w:lang w:eastAsia="en-IE"/>
        </w:rPr>
        <w:t xml:space="preserve">clinical </w:t>
      </w:r>
      <w:r w:rsidR="6FF25FDB" w:rsidRPr="004C70EC">
        <w:rPr>
          <w:noProof/>
          <w:lang w:eastAsia="en-IE"/>
        </w:rPr>
        <w:t xml:space="preserve">trials </w:t>
      </w:r>
      <w:r w:rsidR="6B70ACF5" w:rsidRPr="004C70EC">
        <w:rPr>
          <w:noProof/>
          <w:lang w:eastAsia="en-IE"/>
        </w:rPr>
        <w:t>for a thriving health biotechnology sector,</w:t>
      </w:r>
      <w:r w:rsidR="249CF78E" w:rsidRPr="004C70EC">
        <w:rPr>
          <w:noProof/>
          <w:lang w:eastAsia="en-IE"/>
        </w:rPr>
        <w:t xml:space="preserve"> it is </w:t>
      </w:r>
      <w:r w:rsidR="2376E853" w:rsidRPr="004C70EC">
        <w:rPr>
          <w:noProof/>
          <w:lang w:eastAsia="en-IE"/>
        </w:rPr>
        <w:t xml:space="preserve">necessary </w:t>
      </w:r>
      <w:r w:rsidR="249CF78E" w:rsidRPr="004C70EC">
        <w:rPr>
          <w:noProof/>
          <w:lang w:eastAsia="en-IE"/>
        </w:rPr>
        <w:t xml:space="preserve">to amend the Regulation </w:t>
      </w:r>
      <w:r w:rsidR="2376E853" w:rsidRPr="004C70EC">
        <w:rPr>
          <w:noProof/>
          <w:lang w:eastAsia="en-IE"/>
        </w:rPr>
        <w:t xml:space="preserve">(EU) No 536/2014 </w:t>
      </w:r>
      <w:r w:rsidR="249CF78E" w:rsidRPr="004C70EC">
        <w:rPr>
          <w:noProof/>
          <w:lang w:eastAsia="en-IE"/>
        </w:rPr>
        <w:t xml:space="preserve">to further streamline and speed up the authorisation processes especially for multinational clinical trials. </w:t>
      </w:r>
    </w:p>
    <w:p w14:paraId="73ED6553" w14:textId="75AD8C14" w:rsidR="004E527A" w:rsidRPr="004C70EC" w:rsidRDefault="00C03A23" w:rsidP="00C03A23">
      <w:pPr>
        <w:pStyle w:val="ManualConsidrant"/>
        <w:rPr>
          <w:noProof/>
          <w:lang w:val="en-IE" w:eastAsia="de-DE"/>
        </w:rPr>
      </w:pPr>
      <w:r w:rsidRPr="00C03A23">
        <w:rPr>
          <w:noProof/>
        </w:rPr>
        <w:t>(127)</w:t>
      </w:r>
      <w:r w:rsidRPr="00C03A23">
        <w:rPr>
          <w:noProof/>
        </w:rPr>
        <w:tab/>
      </w:r>
      <w:r w:rsidR="249CF78E" w:rsidRPr="004C70EC">
        <w:rPr>
          <w:noProof/>
          <w:lang w:eastAsia="en-IE"/>
        </w:rPr>
        <w:t>To accelerate and streamline the approval processes in multinational clinical trials it is necessary to give a stronger leading role to the reporting Member State and further strengthen the principles of mutual trust and reliance. The assessment by the reporting Member State, including of the ethical aspects of the trial, should serve as a reference for the other Member States concerned. Member States concerned s</w:t>
      </w:r>
      <w:r w:rsidR="03D326EA" w:rsidRPr="004C70EC">
        <w:rPr>
          <w:noProof/>
          <w:lang w:eastAsia="en-IE"/>
        </w:rPr>
        <w:t>hould</w:t>
      </w:r>
      <w:r w:rsidR="249CF78E" w:rsidRPr="004C70EC">
        <w:rPr>
          <w:noProof/>
          <w:lang w:eastAsia="en-IE"/>
        </w:rPr>
        <w:t xml:space="preserve"> complement the assessment by the reporting Member State only when necessary, and be entitled to raise considerations from ethical, </w:t>
      </w:r>
      <w:r w:rsidR="4A377DC9" w:rsidRPr="004C70EC">
        <w:rPr>
          <w:noProof/>
          <w:lang w:eastAsia="en-IE"/>
        </w:rPr>
        <w:t xml:space="preserve">relevant </w:t>
      </w:r>
      <w:r w:rsidR="249CF78E" w:rsidRPr="004C70EC">
        <w:rPr>
          <w:noProof/>
          <w:lang w:eastAsia="en-IE"/>
        </w:rPr>
        <w:t>national law or national standard of care perspectives. Strengthening reliance on the reporting Member State’s assessment would reduce duplication of work and allow Member States and sponsors to allocate resources more effectively, while ensuring high level of protection of subjects and the robustness of data.</w:t>
      </w:r>
    </w:p>
    <w:p w14:paraId="755512F7" w14:textId="5E1F6689" w:rsidR="004E527A" w:rsidRPr="004C70EC" w:rsidRDefault="00C03A23" w:rsidP="00C03A23">
      <w:pPr>
        <w:pStyle w:val="ManualConsidrant"/>
        <w:rPr>
          <w:noProof/>
          <w:lang w:val="en-IE" w:eastAsia="de-DE"/>
        </w:rPr>
      </w:pPr>
      <w:r w:rsidRPr="00C03A23">
        <w:rPr>
          <w:noProof/>
        </w:rPr>
        <w:t>(128)</w:t>
      </w:r>
      <w:r w:rsidRPr="00C03A23">
        <w:rPr>
          <w:noProof/>
        </w:rPr>
        <w:tab/>
      </w:r>
      <w:r w:rsidR="249CF78E" w:rsidRPr="004C70EC">
        <w:rPr>
          <w:noProof/>
          <w:lang w:eastAsia="en-IE"/>
        </w:rPr>
        <w:t xml:space="preserve">Defined timelines in the context of clinical trials approval are necessary to guarantee speed and enhance predictability of the authorisation process, especially for multinational clinical trials. Defined maximum timelines should allow the Member State authorities </w:t>
      </w:r>
      <w:r w:rsidR="1F94F7D8" w:rsidRPr="004C70EC">
        <w:rPr>
          <w:noProof/>
          <w:lang w:eastAsia="en-IE"/>
        </w:rPr>
        <w:t xml:space="preserve">with </w:t>
      </w:r>
      <w:r w:rsidR="249CF78E" w:rsidRPr="004C70EC">
        <w:rPr>
          <w:noProof/>
          <w:lang w:eastAsia="en-IE"/>
        </w:rPr>
        <w:t>efficient planning to reduce periods of inactivity and thus regulatory delays between the assessment phases</w:t>
      </w:r>
      <w:r w:rsidR="61855823" w:rsidRPr="004C70EC">
        <w:rPr>
          <w:noProof/>
          <w:lang w:eastAsia="en-IE"/>
        </w:rPr>
        <w:t xml:space="preserve"> and enable</w:t>
      </w:r>
      <w:r w:rsidR="249CF78E" w:rsidRPr="004C70EC">
        <w:rPr>
          <w:noProof/>
          <w:lang w:eastAsia="en-IE"/>
        </w:rPr>
        <w:t xml:space="preserve"> short procedure for clinical trial approval overall. Stronger reliance on the reporting Member State would also result in efficiency gains, improve resource allocation and would enable the shortening of the consecutive assessment steps without compromising the quality of the assessments. It would benefit the sponsors </w:t>
      </w:r>
      <w:r w:rsidR="00EC3838" w:rsidRPr="004C70EC">
        <w:rPr>
          <w:noProof/>
          <w:lang w:eastAsia="en-IE"/>
        </w:rPr>
        <w:t>as well</w:t>
      </w:r>
      <w:r w:rsidR="249CF78E" w:rsidRPr="004C70EC">
        <w:rPr>
          <w:strike/>
          <w:noProof/>
          <w:lang w:eastAsia="en-IE"/>
        </w:rPr>
        <w:t>,</w:t>
      </w:r>
      <w:r w:rsidR="249CF78E" w:rsidRPr="004C70EC">
        <w:rPr>
          <w:noProof/>
          <w:lang w:eastAsia="en-IE"/>
        </w:rPr>
        <w:t xml:space="preserve"> as it will result in </w:t>
      </w:r>
      <w:r w:rsidR="70985B83" w:rsidRPr="004C70EC">
        <w:rPr>
          <w:noProof/>
          <w:lang w:eastAsia="en-IE"/>
        </w:rPr>
        <w:t>a</w:t>
      </w:r>
      <w:r w:rsidR="249CF78E" w:rsidRPr="004C70EC">
        <w:rPr>
          <w:noProof/>
          <w:lang w:eastAsia="en-IE"/>
        </w:rPr>
        <w:t xml:space="preserve"> quicker start of a clinical trial, as well as in increased transparency and predictability for more effective planning. To reduce regulatory bottlenecks by allowing coordinated interaction between Part I and Part II assessments in multinational clinical trials, their respective assessment timelines should be aligned. </w:t>
      </w:r>
    </w:p>
    <w:p w14:paraId="5BC58AA2" w14:textId="7771A6F8" w:rsidR="29FF0DFA" w:rsidRPr="004C70EC" w:rsidRDefault="00C03A23" w:rsidP="00C03A23">
      <w:pPr>
        <w:pStyle w:val="ManualConsidrant"/>
        <w:rPr>
          <w:noProof/>
          <w:lang w:val="en-IE" w:eastAsia="de-DE"/>
        </w:rPr>
      </w:pPr>
      <w:r w:rsidRPr="00C03A23">
        <w:rPr>
          <w:noProof/>
        </w:rPr>
        <w:t>(129)</w:t>
      </w:r>
      <w:r w:rsidRPr="00C03A23">
        <w:rPr>
          <w:noProof/>
        </w:rPr>
        <w:tab/>
      </w:r>
      <w:r w:rsidR="27B5C152" w:rsidRPr="004C70EC">
        <w:rPr>
          <w:noProof/>
          <w:lang w:eastAsia="en-GB"/>
        </w:rPr>
        <w:t>Recognising the importance of advanced therapeutic medicinal products (ATMPs) as drivers of innovation in biotechnology and regenerative medicine, it is appropriate to introduce a series of regulatory provisions to simplify and shorten the timelines for authorisation of clinical trials in the Union. In particular, to accelerate the conduct of clinical trials investigating the ATMPs, the authorisation procedure should be shortened by removing the additional 50 days of assessment period which is currently applicable</w:t>
      </w:r>
    </w:p>
    <w:p w14:paraId="44646143" w14:textId="2D78340D" w:rsidR="004E527A" w:rsidRPr="004C70EC" w:rsidRDefault="00C03A23" w:rsidP="00C03A23">
      <w:pPr>
        <w:pStyle w:val="ManualConsidrant"/>
        <w:rPr>
          <w:noProof/>
          <w:lang w:val="en-IE" w:eastAsia="de-DE"/>
        </w:rPr>
      </w:pPr>
      <w:r w:rsidRPr="00C03A23">
        <w:rPr>
          <w:noProof/>
        </w:rPr>
        <w:t>(130)</w:t>
      </w:r>
      <w:r w:rsidRPr="00C03A23">
        <w:rPr>
          <w:noProof/>
        </w:rPr>
        <w:tab/>
      </w:r>
      <w:r w:rsidR="249CF78E" w:rsidRPr="004C70EC">
        <w:rPr>
          <w:noProof/>
          <w:lang w:eastAsia="en-IE"/>
        </w:rPr>
        <w:t xml:space="preserve">Furthermore, to leverage the mutual trust and foster the high ethical standards, the ethics committees should be involved in </w:t>
      </w:r>
      <w:r w:rsidR="51157979" w:rsidRPr="004C70EC">
        <w:rPr>
          <w:noProof/>
          <w:lang w:eastAsia="en-IE"/>
        </w:rPr>
        <w:t xml:space="preserve">the </w:t>
      </w:r>
      <w:r w:rsidR="249CF78E" w:rsidRPr="004C70EC">
        <w:rPr>
          <w:noProof/>
          <w:lang w:eastAsia="en-IE"/>
        </w:rPr>
        <w:t>assessment of ethical aspects of Part I</w:t>
      </w:r>
      <w:r w:rsidR="3ADA89CA" w:rsidRPr="004C70EC">
        <w:rPr>
          <w:noProof/>
          <w:lang w:eastAsia="en-IE"/>
        </w:rPr>
        <w:t xml:space="preserve"> of the application dossier</w:t>
      </w:r>
      <w:r w:rsidR="249CF78E" w:rsidRPr="004C70EC">
        <w:rPr>
          <w:noProof/>
          <w:lang w:eastAsia="en-IE"/>
        </w:rPr>
        <w:t>. This ethical perspective should be integrated in the assessment report by the reporting Member State. Member States concerned should be able to raise, where relevant, consolidated considerations integrating inputs from their responsible ethics committees. The mandatory integration of ethical review in Part I assessment by the reporting Member State would ensure that the ethical review is conducted in a more harmonised and transparent manner. Such integration should also result in fewer and more consistent considerations and therefore support overall robustness of the evaluation with decreased burden for sponsors and national regulatory bodies. </w:t>
      </w:r>
    </w:p>
    <w:p w14:paraId="59F41D35" w14:textId="7CF711F1" w:rsidR="004E527A" w:rsidRPr="004C70EC" w:rsidRDefault="00C03A23" w:rsidP="00C03A23">
      <w:pPr>
        <w:pStyle w:val="ManualConsidrant"/>
        <w:rPr>
          <w:noProof/>
          <w:lang w:val="en-IE" w:eastAsia="de-DE"/>
        </w:rPr>
      </w:pPr>
      <w:r w:rsidRPr="00C03A23">
        <w:rPr>
          <w:noProof/>
        </w:rPr>
        <w:t>(131)</w:t>
      </w:r>
      <w:r w:rsidRPr="00C03A23">
        <w:rPr>
          <w:noProof/>
        </w:rPr>
        <w:tab/>
      </w:r>
      <w:r w:rsidR="249CF78E" w:rsidRPr="004C70EC">
        <w:rPr>
          <w:noProof/>
          <w:lang w:eastAsia="en-IE"/>
        </w:rPr>
        <w:t xml:space="preserve">It is appropriate that </w:t>
      </w:r>
      <w:r w:rsidR="6569E3AB" w:rsidRPr="004C70EC">
        <w:rPr>
          <w:noProof/>
          <w:lang w:eastAsia="en-IE"/>
        </w:rPr>
        <w:t xml:space="preserve">an </w:t>
      </w:r>
      <w:r w:rsidR="249CF78E" w:rsidRPr="004C70EC">
        <w:rPr>
          <w:noProof/>
          <w:lang w:eastAsia="en-IE"/>
        </w:rPr>
        <w:t>enhanced EU portal provide</w:t>
      </w:r>
      <w:r w:rsidR="6DE672E0" w:rsidRPr="004C70EC">
        <w:rPr>
          <w:noProof/>
          <w:lang w:eastAsia="en-IE"/>
        </w:rPr>
        <w:t>s</w:t>
      </w:r>
      <w:r w:rsidR="249CF78E" w:rsidRPr="004C70EC">
        <w:rPr>
          <w:noProof/>
          <w:lang w:eastAsia="en-IE"/>
        </w:rPr>
        <w:t xml:space="preserve"> technical means for a clear and timely communication between the involved Member States and the sponsor during the assessment, when requests for information are issued. </w:t>
      </w:r>
    </w:p>
    <w:p w14:paraId="05115A3E" w14:textId="52896BBD" w:rsidR="004E527A" w:rsidRPr="004C70EC" w:rsidRDefault="00C03A23" w:rsidP="00C03A23">
      <w:pPr>
        <w:pStyle w:val="ManualConsidrant"/>
        <w:rPr>
          <w:noProof/>
          <w:lang w:val="en-IE" w:eastAsia="de-DE"/>
        </w:rPr>
      </w:pPr>
      <w:r w:rsidRPr="00C03A23">
        <w:rPr>
          <w:noProof/>
        </w:rPr>
        <w:t>(132)</w:t>
      </w:r>
      <w:r w:rsidRPr="00C03A23">
        <w:rPr>
          <w:noProof/>
        </w:rPr>
        <w:tab/>
      </w:r>
      <w:r w:rsidR="249CF78E" w:rsidRPr="004C70EC">
        <w:rPr>
          <w:noProof/>
          <w:lang w:eastAsia="en-IE"/>
        </w:rPr>
        <w:t xml:space="preserve">To increase further the efficiency and speed of Part I assessments in multinational clinical trials, when translations of Part I documents are required by national law, these should be assessed with the Part II. </w:t>
      </w:r>
      <w:r w:rsidR="074B3759" w:rsidRPr="004C70EC">
        <w:rPr>
          <w:noProof/>
          <w:lang w:eastAsia="en-IE"/>
        </w:rPr>
        <w:t>C</w:t>
      </w:r>
      <w:r w:rsidR="249CF78E" w:rsidRPr="004C70EC">
        <w:rPr>
          <w:noProof/>
          <w:lang w:eastAsia="en-IE"/>
        </w:rPr>
        <w:t>onsiderations regarding the accuracy of these translations will be raised by the Member States concerned with the sponsor in the Part II assessment process. Moving the assessment of translation quality into Part II of the application will allow the reporting Member State to focus on the technical and scientific assessment of the trial, while Member States concerned would retain their ability to verify the linguistic accuracy and suitability for their territories. </w:t>
      </w:r>
    </w:p>
    <w:p w14:paraId="05BFA3CA" w14:textId="3A43B527" w:rsidR="004E527A" w:rsidRPr="004C70EC" w:rsidRDefault="00C03A23" w:rsidP="00C03A23">
      <w:pPr>
        <w:pStyle w:val="ManualConsidrant"/>
        <w:rPr>
          <w:noProof/>
          <w:lang w:val="en-IE" w:eastAsia="de-DE"/>
        </w:rPr>
      </w:pPr>
      <w:r w:rsidRPr="00C03A23">
        <w:rPr>
          <w:noProof/>
        </w:rPr>
        <w:t>(133)</w:t>
      </w:r>
      <w:r w:rsidRPr="00C03A23">
        <w:rPr>
          <w:noProof/>
        </w:rPr>
        <w:tab/>
      </w:r>
      <w:r w:rsidR="249CF78E" w:rsidRPr="004C70EC">
        <w:rPr>
          <w:noProof/>
          <w:lang w:eastAsia="en-IE"/>
        </w:rPr>
        <w:t>To ensure that the sponsor of clinical trials can adapt them dynamically through their life cycle to changed circumstances or to consider the scientific developments and ensure smooth conduct of the clinical trial, a submission of parallel substantial modification should be allowed. Such submissions should be allowed when the substantial modification, despite an ongoing approval of another one, concerns distinct and independent aspects of the dossier. Allowing parallel substantial modifications would support increased flexibility and responsiveness of the regulatory system. It would facilitate updates related to subjects' safety and enable timely response to emerging scientific knowledge or allow operational adaptations to improve patients access and trial efficiency. </w:t>
      </w:r>
    </w:p>
    <w:p w14:paraId="23FB36C1" w14:textId="121B3EC5" w:rsidR="004E527A" w:rsidRPr="004C70EC" w:rsidRDefault="00C03A23" w:rsidP="00C03A23">
      <w:pPr>
        <w:pStyle w:val="ManualConsidrant"/>
        <w:rPr>
          <w:noProof/>
          <w:lang w:val="en-IE" w:eastAsia="de-DE"/>
        </w:rPr>
      </w:pPr>
      <w:r w:rsidRPr="00C03A23">
        <w:rPr>
          <w:noProof/>
        </w:rPr>
        <w:t>(134)</w:t>
      </w:r>
      <w:r w:rsidRPr="00C03A23">
        <w:rPr>
          <w:noProof/>
        </w:rPr>
        <w:tab/>
      </w:r>
      <w:r w:rsidR="249CF78E" w:rsidRPr="004C70EC">
        <w:rPr>
          <w:noProof/>
          <w:lang w:eastAsia="en-IE"/>
        </w:rPr>
        <w:t xml:space="preserve">To further support the efficiency and consistency of clinical trial submissions across the Member States, it is appropriate to </w:t>
      </w:r>
      <w:r w:rsidR="77648A16" w:rsidRPr="004C70EC">
        <w:rPr>
          <w:noProof/>
          <w:lang w:eastAsia="en-IE"/>
        </w:rPr>
        <w:t xml:space="preserve">develop and oblige the use of </w:t>
      </w:r>
      <w:r w:rsidR="249CF78E" w:rsidRPr="004C70EC">
        <w:rPr>
          <w:noProof/>
          <w:lang w:eastAsia="en-IE"/>
        </w:rPr>
        <w:t>harmonised templates for the submission of Part II documents of clinical trial applications. The use of harmonised templates is expected to simplify the application and assessment processes reducing administrative burden both for sponsors and Member States. Harmonised templates may be updated in the light of technical and scientific evolution. </w:t>
      </w:r>
      <w:r w:rsidR="249CF78E" w:rsidRPr="004C70EC">
        <w:rPr>
          <w:rFonts w:eastAsiaTheme="majorEastAsia"/>
          <w:noProof/>
          <w:lang w:eastAsia="en-GB"/>
        </w:rPr>
        <w:t xml:space="preserve">Member States concerned may </w:t>
      </w:r>
      <w:r w:rsidR="03F04018" w:rsidRPr="004C70EC">
        <w:rPr>
          <w:rFonts w:eastAsiaTheme="majorEastAsia"/>
          <w:noProof/>
          <w:lang w:eastAsia="en-GB"/>
        </w:rPr>
        <w:t>choose</w:t>
      </w:r>
      <w:r w:rsidR="249CF78E" w:rsidRPr="004C70EC">
        <w:rPr>
          <w:rFonts w:eastAsiaTheme="majorEastAsia"/>
          <w:noProof/>
          <w:lang w:eastAsia="en-GB"/>
        </w:rPr>
        <w:t xml:space="preserve"> to rely also on the assessment of the </w:t>
      </w:r>
      <w:r w:rsidR="1FF8A29E" w:rsidRPr="004C70EC">
        <w:rPr>
          <w:rFonts w:eastAsiaTheme="majorEastAsia"/>
          <w:noProof/>
          <w:lang w:eastAsia="en-GB"/>
        </w:rPr>
        <w:t>r</w:t>
      </w:r>
      <w:r w:rsidR="249CF78E" w:rsidRPr="004C70EC">
        <w:rPr>
          <w:rFonts w:eastAsiaTheme="majorEastAsia"/>
          <w:noProof/>
          <w:lang w:eastAsia="en-GB"/>
        </w:rPr>
        <w:t xml:space="preserve">eporting Member State of common aspects and elements in </w:t>
      </w:r>
      <w:r w:rsidR="3FD2CAA5" w:rsidRPr="004C70EC">
        <w:rPr>
          <w:rFonts w:eastAsiaTheme="majorEastAsia"/>
          <w:noProof/>
          <w:lang w:eastAsia="en-GB"/>
        </w:rPr>
        <w:t>P</w:t>
      </w:r>
      <w:r w:rsidR="249CF78E" w:rsidRPr="004C70EC">
        <w:rPr>
          <w:rFonts w:eastAsiaTheme="majorEastAsia"/>
          <w:noProof/>
          <w:lang w:eastAsia="en-GB"/>
        </w:rPr>
        <w:t>art II application further streamlining initial authorisation and for additional efficiency gains.</w:t>
      </w:r>
    </w:p>
    <w:p w14:paraId="777050B1" w14:textId="406F8A59" w:rsidR="004E527A" w:rsidRPr="004C70EC" w:rsidRDefault="00C03A23" w:rsidP="00C03A23">
      <w:pPr>
        <w:pStyle w:val="ManualConsidrant"/>
        <w:rPr>
          <w:noProof/>
          <w:lang w:val="en-IE" w:eastAsia="de-DE"/>
        </w:rPr>
      </w:pPr>
      <w:r w:rsidRPr="00C03A23">
        <w:rPr>
          <w:noProof/>
        </w:rPr>
        <w:t>(135)</w:t>
      </w:r>
      <w:r w:rsidRPr="00C03A23">
        <w:rPr>
          <w:noProof/>
        </w:rPr>
        <w:tab/>
      </w:r>
      <w:r w:rsidR="249CF78E" w:rsidRPr="004C70EC">
        <w:rPr>
          <w:noProof/>
          <w:lang w:eastAsia="en-IE"/>
        </w:rPr>
        <w:t>Innovative and personalised therapies often combine the use of medicinal products with medical devices, including in vitro diagnostic medical devices. During the development of such therapies, clinical trials of one or more medicinal products may need to be combined with clinical investigation of one or more medical devices or performance studies of one or more in</w:t>
      </w:r>
      <w:r w:rsidR="0647064C" w:rsidRPr="004C70EC">
        <w:rPr>
          <w:noProof/>
          <w:lang w:eastAsia="en-IE"/>
        </w:rPr>
        <w:t>-</w:t>
      </w:r>
      <w:r w:rsidR="249CF78E" w:rsidRPr="004C70EC">
        <w:rPr>
          <w:noProof/>
          <w:lang w:eastAsia="en-IE"/>
        </w:rPr>
        <w:t xml:space="preserve">vitro diagnostic medical devices. The authorisation and conduct of such combined studies </w:t>
      </w:r>
      <w:r w:rsidR="2902CE1C" w:rsidRPr="004C70EC">
        <w:rPr>
          <w:noProof/>
          <w:lang w:eastAsia="en-IE"/>
        </w:rPr>
        <w:t>are</w:t>
      </w:r>
      <w:r w:rsidR="249CF78E" w:rsidRPr="004C70EC">
        <w:rPr>
          <w:noProof/>
          <w:lang w:eastAsia="en-IE"/>
        </w:rPr>
        <w:t xml:space="preserve"> complex due to the application of requirements of two or three </w:t>
      </w:r>
      <w:r w:rsidR="00280055" w:rsidRPr="004C70EC">
        <w:rPr>
          <w:noProof/>
          <w:lang w:eastAsia="en-IE"/>
        </w:rPr>
        <w:t xml:space="preserve">Union legislative frameworks in the area of health </w:t>
      </w:r>
      <w:r w:rsidR="249CF78E" w:rsidRPr="004C70EC">
        <w:rPr>
          <w:noProof/>
          <w:lang w:eastAsia="en-IE"/>
        </w:rPr>
        <w:t>and the fact that these are typically conducted across several Member States. In order to support innovation and make efficient use of sponsors’ and Member States’ resources, it is necessary to put in place a dedicated pathway for the authorisation and conduct of such combined studies, involving coordinated assessment across Member States. </w:t>
      </w:r>
    </w:p>
    <w:p w14:paraId="2AD49A8D" w14:textId="2781FA64" w:rsidR="004E527A" w:rsidRPr="004C70EC" w:rsidRDefault="00C03A23" w:rsidP="00C03A23">
      <w:pPr>
        <w:pStyle w:val="ManualConsidrant"/>
        <w:rPr>
          <w:noProof/>
          <w:lang w:val="en-IE" w:eastAsia="de-DE"/>
        </w:rPr>
      </w:pPr>
      <w:r w:rsidRPr="00C03A23">
        <w:rPr>
          <w:noProof/>
        </w:rPr>
        <w:t>(136)</w:t>
      </w:r>
      <w:r w:rsidRPr="00C03A23">
        <w:rPr>
          <w:noProof/>
        </w:rPr>
        <w:tab/>
      </w:r>
      <w:r w:rsidR="249CF78E" w:rsidRPr="004C70EC">
        <w:rPr>
          <w:noProof/>
          <w:lang w:eastAsia="en-IE"/>
        </w:rPr>
        <w:t xml:space="preserve">The experience gained during the Covid-19 pandemic has shown the need for the Union to swiftly take up measures </w:t>
      </w:r>
      <w:r w:rsidR="203FAB6A" w:rsidRPr="004C70EC">
        <w:rPr>
          <w:noProof/>
          <w:lang w:eastAsia="en-IE"/>
        </w:rPr>
        <w:t>to strengthen the development a</w:t>
      </w:r>
      <w:r w:rsidR="20BF694A" w:rsidRPr="004C70EC">
        <w:rPr>
          <w:noProof/>
          <w:lang w:eastAsia="en-IE"/>
        </w:rPr>
        <w:t>n</w:t>
      </w:r>
      <w:r w:rsidR="203FAB6A" w:rsidRPr="004C70EC">
        <w:rPr>
          <w:noProof/>
          <w:lang w:eastAsia="en-IE"/>
        </w:rPr>
        <w:t xml:space="preserve">d </w:t>
      </w:r>
      <w:r w:rsidR="07562359" w:rsidRPr="004C70EC">
        <w:rPr>
          <w:noProof/>
          <w:lang w:eastAsia="en-IE"/>
        </w:rPr>
        <w:t>access</w:t>
      </w:r>
      <w:r w:rsidR="249CF78E" w:rsidRPr="004C70EC">
        <w:rPr>
          <w:noProof/>
          <w:lang w:eastAsia="en-IE"/>
        </w:rPr>
        <w:t xml:space="preserve"> to </w:t>
      </w:r>
      <w:r w:rsidR="07562359" w:rsidRPr="004C70EC">
        <w:rPr>
          <w:noProof/>
          <w:lang w:eastAsia="en-IE"/>
        </w:rPr>
        <w:t>crisis-relevant medicines</w:t>
      </w:r>
      <w:r w:rsidR="57D8C2BA" w:rsidRPr="004C70EC">
        <w:rPr>
          <w:noProof/>
          <w:lang w:eastAsia="en-IE"/>
        </w:rPr>
        <w:t>,</w:t>
      </w:r>
      <w:r w:rsidR="07562359" w:rsidRPr="004C70EC">
        <w:rPr>
          <w:noProof/>
          <w:lang w:eastAsia="en-IE"/>
        </w:rPr>
        <w:t xml:space="preserve"> including</w:t>
      </w:r>
      <w:r w:rsidR="249CF78E" w:rsidRPr="004C70EC">
        <w:rPr>
          <w:noProof/>
          <w:lang w:eastAsia="en-IE"/>
        </w:rPr>
        <w:t xml:space="preserve"> to accelerate, simplify, and streamline the authorisation of multinational clinical trials relevant to prevent, treat or diagnose the </w:t>
      </w:r>
      <w:r w:rsidR="249CF78E" w:rsidRPr="004C70EC">
        <w:rPr>
          <w:noProof/>
          <w:lang w:val="en-US" w:eastAsia="en-IE"/>
        </w:rPr>
        <w:t xml:space="preserve">disease caused by an emerging serious cross-border threat to health. Regulatory flexibility, including an accelerated authorisation procedure for clinical trials, is necessary to address and possibly contain an emerging health threat in a </w:t>
      </w:r>
      <w:r w:rsidR="249CF78E" w:rsidRPr="004C70EC">
        <w:rPr>
          <w:noProof/>
          <w:lang w:eastAsia="en-IE"/>
        </w:rPr>
        <w:t>timely, efficient and coordinated manner.</w:t>
      </w:r>
      <w:r w:rsidR="249CF78E" w:rsidRPr="004C70EC">
        <w:rPr>
          <w:noProof/>
          <w:lang w:val="en-US" w:eastAsia="en-IE"/>
        </w:rPr>
        <w:t xml:space="preserve"> Therefore, it is appropriate to allow for an accelerated procedure for the authorisation of multinational clinical trials in situations </w:t>
      </w:r>
      <w:r w:rsidR="13DADA82" w:rsidRPr="004C70EC">
        <w:rPr>
          <w:noProof/>
          <w:lang w:val="en-US" w:eastAsia="en-IE"/>
        </w:rPr>
        <w:t xml:space="preserve">where a public health emergency at Union level has been recognised in accordance with </w:t>
      </w:r>
      <w:r w:rsidR="249CF78E" w:rsidRPr="004C70EC">
        <w:rPr>
          <w:noProof/>
          <w:lang w:val="en-US" w:eastAsia="en-IE"/>
        </w:rPr>
        <w:t>Article</w:t>
      </w:r>
      <w:r w:rsidR="522B4B78" w:rsidRPr="004C70EC">
        <w:rPr>
          <w:noProof/>
          <w:lang w:val="en-US" w:eastAsia="en-IE"/>
        </w:rPr>
        <w:t xml:space="preserve"> </w:t>
      </w:r>
      <w:r w:rsidR="249CF78E" w:rsidRPr="004C70EC">
        <w:rPr>
          <w:noProof/>
          <w:lang w:val="en-US" w:eastAsia="en-IE"/>
        </w:rPr>
        <w:t>23</w:t>
      </w:r>
      <w:r w:rsidR="3E39545E" w:rsidRPr="004C70EC">
        <w:rPr>
          <w:noProof/>
          <w:lang w:val="en-US" w:eastAsia="en-IE"/>
        </w:rPr>
        <w:t>(1)</w:t>
      </w:r>
      <w:r w:rsidR="249CF78E" w:rsidRPr="004C70EC">
        <w:rPr>
          <w:noProof/>
          <w:lang w:val="en-US" w:eastAsia="en-IE"/>
        </w:rPr>
        <w:t xml:space="preserve"> of Regulation (EU) 2022/2371</w:t>
      </w:r>
      <w:r w:rsidR="47FEEA3B" w:rsidRPr="004C70EC">
        <w:rPr>
          <w:noProof/>
        </w:rPr>
        <w:t xml:space="preserve"> </w:t>
      </w:r>
      <w:r w:rsidR="47FEEA3B" w:rsidRPr="004C70EC">
        <w:rPr>
          <w:noProof/>
          <w:lang w:val="en-US" w:eastAsia="en-IE"/>
        </w:rPr>
        <w:t>of the European Parliament and of the Council</w:t>
      </w:r>
      <w:r w:rsidR="00BC6D88" w:rsidRPr="004C70EC">
        <w:rPr>
          <w:rStyle w:val="FootnoteReference"/>
          <w:rFonts w:eastAsia="Times New Roman"/>
          <w:noProof/>
          <w:color w:val="000000" w:themeColor="text1"/>
          <w:lang w:val="en-US" w:eastAsia="en-IE"/>
        </w:rPr>
        <w:footnoteReference w:id="143"/>
      </w:r>
      <w:r w:rsidR="249CF78E" w:rsidRPr="004C70EC">
        <w:rPr>
          <w:noProof/>
          <w:lang w:val="en-US" w:eastAsia="en-IE"/>
        </w:rPr>
        <w:t>, or in  situation</w:t>
      </w:r>
      <w:r w:rsidR="083D8381" w:rsidRPr="004C70EC">
        <w:rPr>
          <w:noProof/>
          <w:lang w:val="en-US" w:eastAsia="en-IE"/>
        </w:rPr>
        <w:t>s</w:t>
      </w:r>
      <w:r w:rsidR="249CF78E" w:rsidRPr="004C70EC">
        <w:rPr>
          <w:noProof/>
          <w:lang w:val="en-US" w:eastAsia="en-IE"/>
        </w:rPr>
        <w:t xml:space="preserve"> of an emerging serious cross-border threat to health that is likely to lead to the recognition of a public health emergency at Union level. </w:t>
      </w:r>
      <w:r w:rsidR="0DCFDAF9" w:rsidRPr="004C70EC">
        <w:rPr>
          <w:noProof/>
          <w:lang w:val="en-US" w:eastAsia="en-IE"/>
        </w:rPr>
        <w:t>This should also complement measures from the Regulation (EU) 2022/237</w:t>
      </w:r>
      <w:r w:rsidR="71070CC2" w:rsidRPr="004C70EC">
        <w:rPr>
          <w:noProof/>
          <w:lang w:val="en-US" w:eastAsia="en-IE"/>
        </w:rPr>
        <w:t>2</w:t>
      </w:r>
      <w:r w:rsidR="00280055" w:rsidRPr="004C70EC">
        <w:rPr>
          <w:noProof/>
          <w:lang w:val="en-US" w:eastAsia="en-IE"/>
        </w:rPr>
        <w:t xml:space="preserve"> </w:t>
      </w:r>
      <w:r w:rsidR="4DAED5F6" w:rsidRPr="004C70EC">
        <w:rPr>
          <w:noProof/>
          <w:lang w:val="en-US" w:eastAsia="en-IE"/>
        </w:rPr>
        <w:t>of the Council</w:t>
      </w:r>
      <w:r w:rsidR="00280055" w:rsidRPr="004C70EC">
        <w:rPr>
          <w:rStyle w:val="FootnoteReference"/>
          <w:rFonts w:eastAsia="Times New Roman"/>
          <w:noProof/>
          <w:color w:val="000000" w:themeColor="text1"/>
          <w:lang w:val="en-US" w:eastAsia="en-IE"/>
        </w:rPr>
        <w:footnoteReference w:id="144"/>
      </w:r>
      <w:r w:rsidR="00280055" w:rsidRPr="004C70EC">
        <w:rPr>
          <w:noProof/>
          <w:lang w:val="en-US" w:eastAsia="en-IE"/>
        </w:rPr>
        <w:t xml:space="preserve"> </w:t>
      </w:r>
      <w:r w:rsidR="4DAED5F6" w:rsidRPr="004C70EC">
        <w:rPr>
          <w:noProof/>
          <w:lang w:val="en-US" w:eastAsia="en-IE"/>
        </w:rPr>
        <w:t>on a framework of measures for ensuring the supply of crisis-relevant medical countermeasures in the event of a public health emergency at</w:t>
      </w:r>
      <w:r w:rsidR="167593B2" w:rsidRPr="004C70EC">
        <w:rPr>
          <w:noProof/>
          <w:lang w:val="en-US" w:eastAsia="en-IE"/>
        </w:rPr>
        <w:t xml:space="preserve"> Union level.</w:t>
      </w:r>
      <w:r w:rsidR="0DCFDAF9" w:rsidRPr="004C70EC">
        <w:rPr>
          <w:noProof/>
          <w:lang w:val="en-US" w:eastAsia="en-IE"/>
        </w:rPr>
        <w:t xml:space="preserve">  </w:t>
      </w:r>
    </w:p>
    <w:p w14:paraId="3939DDA1" w14:textId="29C5E229" w:rsidR="004E527A" w:rsidRPr="004C70EC" w:rsidRDefault="00C03A23" w:rsidP="00C03A23">
      <w:pPr>
        <w:pStyle w:val="ManualConsidrant"/>
        <w:rPr>
          <w:noProof/>
          <w:lang w:val="en-IE" w:eastAsia="de-DE"/>
        </w:rPr>
      </w:pPr>
      <w:r w:rsidRPr="00C03A23">
        <w:rPr>
          <w:noProof/>
        </w:rPr>
        <w:t>(137)</w:t>
      </w:r>
      <w:r w:rsidRPr="00C03A23">
        <w:rPr>
          <w:noProof/>
        </w:rPr>
        <w:tab/>
      </w:r>
      <w:r w:rsidR="249CF78E" w:rsidRPr="004C70EC">
        <w:rPr>
          <w:noProof/>
          <w:lang w:val="en-US" w:eastAsia="en-GB"/>
        </w:rPr>
        <w:t xml:space="preserve">Based on the experiences gained from the application of Regulation (EU) </w:t>
      </w:r>
      <w:r w:rsidR="37AEC64A" w:rsidRPr="004C70EC">
        <w:rPr>
          <w:noProof/>
          <w:lang w:val="en-US" w:eastAsia="en-GB"/>
        </w:rPr>
        <w:t xml:space="preserve">No </w:t>
      </w:r>
      <w:r w:rsidR="249CF78E" w:rsidRPr="004C70EC">
        <w:rPr>
          <w:noProof/>
          <w:lang w:val="en-US" w:eastAsia="en-GB"/>
        </w:rPr>
        <w:t>5</w:t>
      </w:r>
      <w:r w:rsidR="37AEC64A" w:rsidRPr="004C70EC">
        <w:rPr>
          <w:noProof/>
          <w:lang w:val="en-US" w:eastAsia="en-GB"/>
        </w:rPr>
        <w:t>3</w:t>
      </w:r>
      <w:r w:rsidR="249CF78E" w:rsidRPr="004C70EC">
        <w:rPr>
          <w:noProof/>
          <w:lang w:val="en-US" w:eastAsia="en-GB"/>
        </w:rPr>
        <w:t xml:space="preserve">6/2014, it is appropriate to further tailor the requirements for the authorisation and oversight of clinical trials according to the risks they pose to the subjects. In this context, the risk categorisation scheme </w:t>
      </w:r>
      <w:r w:rsidR="4615EF5C" w:rsidRPr="004C70EC">
        <w:rPr>
          <w:noProof/>
          <w:lang w:val="en-US" w:eastAsia="en-GB"/>
        </w:rPr>
        <w:t xml:space="preserve">should be further refined </w:t>
      </w:r>
      <w:r w:rsidR="249CF78E" w:rsidRPr="004C70EC">
        <w:rPr>
          <w:noProof/>
          <w:lang w:val="en-US" w:eastAsia="en-GB"/>
        </w:rPr>
        <w:t>by differentiating between minimal-intervention clinical trials that present post-marketing authorisation trials and low-intervention clinical trials that use authorised medicinal products with proven scientific evidence on the efficacy and safety but are used outside their initial marketing authorisation.</w:t>
      </w:r>
    </w:p>
    <w:p w14:paraId="7BF82B1F" w14:textId="10D72C29" w:rsidR="004E527A" w:rsidRPr="004C70EC" w:rsidRDefault="00C03A23" w:rsidP="00C03A23">
      <w:pPr>
        <w:pStyle w:val="ManualConsidrant"/>
        <w:rPr>
          <w:noProof/>
          <w:lang w:val="en-IE" w:eastAsia="de-DE"/>
        </w:rPr>
      </w:pPr>
      <w:r w:rsidRPr="00C03A23">
        <w:rPr>
          <w:noProof/>
        </w:rPr>
        <w:t>(138)</w:t>
      </w:r>
      <w:r w:rsidRPr="00C03A23">
        <w:rPr>
          <w:noProof/>
        </w:rPr>
        <w:tab/>
      </w:r>
      <w:r w:rsidR="249CF78E" w:rsidRPr="004C70EC">
        <w:rPr>
          <w:noProof/>
          <w:lang w:val="en-US" w:eastAsia="en-GB"/>
        </w:rPr>
        <w:t xml:space="preserve">Clinical trials that meet the criteria for minimal-intervention clinical trials </w:t>
      </w:r>
      <w:r w:rsidR="00280055" w:rsidRPr="004C70EC">
        <w:rPr>
          <w:noProof/>
          <w:lang w:val="en-US" w:eastAsia="en-GB"/>
        </w:rPr>
        <w:t>should</w:t>
      </w:r>
      <w:r w:rsidR="249CF78E" w:rsidRPr="004C70EC">
        <w:rPr>
          <w:noProof/>
          <w:lang w:val="en-US" w:eastAsia="en-GB"/>
        </w:rPr>
        <w:t xml:space="preserve"> only require an </w:t>
      </w:r>
      <w:r w:rsidR="7A286063" w:rsidRPr="004C70EC">
        <w:rPr>
          <w:noProof/>
          <w:lang w:val="en-US" w:eastAsia="en-GB"/>
        </w:rPr>
        <w:t>ethical review</w:t>
      </w:r>
      <w:r w:rsidR="249CF78E" w:rsidRPr="004C70EC">
        <w:rPr>
          <w:noProof/>
          <w:lang w:val="en-US" w:eastAsia="en-GB"/>
        </w:rPr>
        <w:t xml:space="preserve"> before the clinical trial can begin. An enhanced application of a risk-proportionate approach will contribute to fostering a regulatory framework that is conducive to research and innovation. Sponsors, particularly non-commercial ones who conduct the majority of minimal-intervention and low-intervention clinical trials in the Union, will greatly benefit from simplified and risk-proportionate regulatory requirements through a reduced administrative burden, while not compromising subjects’ safety, well-being, and rights. A reinforced application of a risk-proportionate regulatory framework further allows Member States to </w:t>
      </w:r>
      <w:r w:rsidR="3EC080A7" w:rsidRPr="004C70EC">
        <w:rPr>
          <w:noProof/>
          <w:lang w:val="en-US" w:eastAsia="en-GB"/>
        </w:rPr>
        <w:t>concentrate on</w:t>
      </w:r>
      <w:r w:rsidR="249CF78E" w:rsidRPr="004C70EC">
        <w:rPr>
          <w:noProof/>
          <w:lang w:val="en-US" w:eastAsia="en-GB"/>
        </w:rPr>
        <w:t xml:space="preserve"> their assessment on clinicals trials associated with greater risk to the subjects.</w:t>
      </w:r>
    </w:p>
    <w:p w14:paraId="7A9B48F5" w14:textId="788E942B" w:rsidR="004E527A" w:rsidRPr="004C70EC" w:rsidRDefault="00C03A23" w:rsidP="00C03A23">
      <w:pPr>
        <w:pStyle w:val="ManualConsidrant"/>
        <w:rPr>
          <w:noProof/>
          <w:lang w:val="en-IE" w:eastAsia="de-DE"/>
        </w:rPr>
      </w:pPr>
      <w:r w:rsidRPr="00C03A23">
        <w:rPr>
          <w:noProof/>
        </w:rPr>
        <w:t>(139)</w:t>
      </w:r>
      <w:r w:rsidRPr="00C03A23">
        <w:rPr>
          <w:noProof/>
        </w:rPr>
        <w:tab/>
      </w:r>
      <w:r w:rsidR="6BCDABBA" w:rsidRPr="004C70EC">
        <w:rPr>
          <w:noProof/>
          <w:lang w:eastAsia="en-IE"/>
        </w:rPr>
        <w:t>To</w:t>
      </w:r>
      <w:r w:rsidR="249CF78E" w:rsidRPr="004C70EC">
        <w:rPr>
          <w:noProof/>
          <w:lang w:eastAsia="en-IE"/>
        </w:rPr>
        <w:t xml:space="preserve"> </w:t>
      </w:r>
      <w:r w:rsidR="5C9A5EF5" w:rsidRPr="004C70EC">
        <w:rPr>
          <w:noProof/>
          <w:lang w:eastAsia="en-IE"/>
        </w:rPr>
        <w:t xml:space="preserve">ensure that clinical trials </w:t>
      </w:r>
      <w:r w:rsidR="6BCDABBA" w:rsidRPr="004C70EC">
        <w:rPr>
          <w:noProof/>
          <w:lang w:eastAsia="en-IE"/>
        </w:rPr>
        <w:t xml:space="preserve">accurately represent the </w:t>
      </w:r>
      <w:r w:rsidR="2863028A" w:rsidRPr="004C70EC">
        <w:rPr>
          <w:noProof/>
          <w:lang w:eastAsia="en-IE"/>
        </w:rPr>
        <w:t>target</w:t>
      </w:r>
      <w:r w:rsidR="6BCDABBA" w:rsidRPr="004C70EC">
        <w:rPr>
          <w:noProof/>
          <w:lang w:eastAsia="en-IE"/>
        </w:rPr>
        <w:t xml:space="preserve"> population in all its diversity, and to</w:t>
      </w:r>
      <w:r w:rsidR="249CF78E" w:rsidRPr="004C70EC">
        <w:rPr>
          <w:noProof/>
          <w:lang w:eastAsia="en-IE"/>
        </w:rPr>
        <w:t xml:space="preserve"> </w:t>
      </w:r>
      <w:r w:rsidR="6BCDABBA" w:rsidRPr="004C70EC">
        <w:rPr>
          <w:noProof/>
          <w:lang w:eastAsia="en-IE"/>
        </w:rPr>
        <w:t xml:space="preserve">enhance the treatments available for vulnerable populations, </w:t>
      </w:r>
      <w:r w:rsidR="249CF78E" w:rsidRPr="004C70EC">
        <w:rPr>
          <w:noProof/>
          <w:lang w:eastAsia="en-IE"/>
        </w:rPr>
        <w:t xml:space="preserve"> medicinal products which are likely to </w:t>
      </w:r>
      <w:r w:rsidR="32B4C9BF" w:rsidRPr="004C70EC">
        <w:rPr>
          <w:noProof/>
          <w:lang w:eastAsia="en-IE"/>
        </w:rPr>
        <w:t xml:space="preserve">offer significant clinical </w:t>
      </w:r>
      <w:r w:rsidR="7DF165DB" w:rsidRPr="004C70EC">
        <w:rPr>
          <w:noProof/>
          <w:lang w:eastAsia="en-IE"/>
        </w:rPr>
        <w:t>benefit</w:t>
      </w:r>
      <w:r w:rsidR="249CF78E" w:rsidRPr="004C70EC">
        <w:rPr>
          <w:noProof/>
          <w:lang w:eastAsia="en-IE"/>
        </w:rPr>
        <w:t xml:space="preserve"> should be fully and appropriately studied for their effects in these specific groups, including as regards requirements related to their specific characteristics and the protection of the health and well-being of subjects belonging to these groups. The protection of vulnerable populations, </w:t>
      </w:r>
      <w:r w:rsidR="20B1A961" w:rsidRPr="004C70EC">
        <w:rPr>
          <w:noProof/>
          <w:lang w:eastAsia="en-IE"/>
        </w:rPr>
        <w:t>in this context</w:t>
      </w:r>
      <w:r w:rsidR="249CF78E" w:rsidRPr="004C70EC">
        <w:rPr>
          <w:noProof/>
          <w:lang w:eastAsia="en-IE"/>
        </w:rPr>
        <w:t>, such as incapacitated subject</w:t>
      </w:r>
      <w:r w:rsidR="249CF78E" w:rsidRPr="004C70EC">
        <w:rPr>
          <w:noProof/>
          <w:lang w:val="en-US" w:eastAsia="en-IE"/>
        </w:rPr>
        <w:t>s</w:t>
      </w:r>
      <w:r w:rsidR="249CF78E" w:rsidRPr="004C70EC">
        <w:rPr>
          <w:noProof/>
          <w:lang w:eastAsia="en-IE"/>
        </w:rPr>
        <w:t>, minors and pregnant or breastfeeding women, requires a proper consideration of the risks of exclusion against risks of inclusion in clinical trials. This is in accordance with the 2024 version of the World Medical Association's Declaration of Helsinki.</w:t>
      </w:r>
    </w:p>
    <w:p w14:paraId="324AD338" w14:textId="0F70E1AE" w:rsidR="004E527A" w:rsidRPr="004C70EC" w:rsidRDefault="00C03A23" w:rsidP="00C03A23">
      <w:pPr>
        <w:pStyle w:val="ManualConsidrant"/>
        <w:rPr>
          <w:noProof/>
          <w:lang w:val="en-IE" w:eastAsia="de-DE"/>
        </w:rPr>
      </w:pPr>
      <w:r w:rsidRPr="00C03A23">
        <w:rPr>
          <w:noProof/>
        </w:rPr>
        <w:t>(140)</w:t>
      </w:r>
      <w:r w:rsidRPr="00C03A23">
        <w:rPr>
          <w:noProof/>
        </w:rPr>
        <w:tab/>
      </w:r>
      <w:r w:rsidR="249CF78E" w:rsidRPr="004C70EC">
        <w:rPr>
          <w:noProof/>
          <w:lang w:val="en-US" w:eastAsia="en-IE"/>
        </w:rPr>
        <w:t xml:space="preserve">Electronic health data accessed under Chapter IV of Regulation (EU) 2025/327 can offer valuable insights for clinical trials, particularly regarding </w:t>
      </w:r>
      <w:r w:rsidR="7EF0E593" w:rsidRPr="004C70EC">
        <w:rPr>
          <w:noProof/>
          <w:lang w:val="en-US" w:eastAsia="en-IE"/>
        </w:rPr>
        <w:t xml:space="preserve">the </w:t>
      </w:r>
      <w:r w:rsidR="249CF78E" w:rsidRPr="004C70EC">
        <w:rPr>
          <w:noProof/>
          <w:lang w:val="en-US" w:eastAsia="en-IE"/>
        </w:rPr>
        <w:t>protocol or the investigational medicinal products dossier design. Therefore, sponsors should be able to utilize this data when applying for clinical trial authorisation or modifications. Additionally, competent authorities should consider this data during the assessment of such applications.</w:t>
      </w:r>
      <w:r w:rsidR="249CF78E" w:rsidRPr="004C70EC">
        <w:rPr>
          <w:noProof/>
          <w:lang w:eastAsia="en-IE"/>
        </w:rPr>
        <w:t> </w:t>
      </w:r>
    </w:p>
    <w:p w14:paraId="7B95DAB1" w14:textId="6E27FF0F" w:rsidR="004E527A" w:rsidRPr="004C70EC" w:rsidRDefault="00C03A23" w:rsidP="00C03A23">
      <w:pPr>
        <w:pStyle w:val="ManualConsidrant"/>
        <w:rPr>
          <w:noProof/>
          <w:lang w:val="en-IE" w:eastAsia="de-DE"/>
        </w:rPr>
      </w:pPr>
      <w:r w:rsidRPr="00C03A23">
        <w:rPr>
          <w:noProof/>
        </w:rPr>
        <w:t>(141)</w:t>
      </w:r>
      <w:r w:rsidRPr="00C03A23">
        <w:rPr>
          <w:noProof/>
        </w:rPr>
        <w:tab/>
      </w:r>
      <w:r w:rsidR="249CF78E" w:rsidRPr="004C70EC">
        <w:rPr>
          <w:noProof/>
          <w:lang w:val="en-US" w:eastAsia="en-IE"/>
        </w:rPr>
        <w:t xml:space="preserve">The development of a medicinal product may require various clinical trials until robust data regarding its safety and efficacy are available to support the submission of a marketing authorisation application. The knowledge of the products is built gradually during this development. Using the same dossier for an investigational medicinal product in different clinical trials helps to ensure </w:t>
      </w:r>
      <w:r w:rsidR="0BC3E53B" w:rsidRPr="004C70EC">
        <w:rPr>
          <w:noProof/>
          <w:lang w:val="en-US" w:eastAsia="en-IE"/>
        </w:rPr>
        <w:t xml:space="preserve">the collection of </w:t>
      </w:r>
      <w:r w:rsidR="249CF78E" w:rsidRPr="004C70EC">
        <w:rPr>
          <w:noProof/>
          <w:lang w:val="en-US" w:eastAsia="en-IE"/>
        </w:rPr>
        <w:t xml:space="preserve">consistent and complete information, streamlines product development, supports efficient assessment, management and oversight, and can speed up the time to the market. For this reason, a sponsor should be able to request </w:t>
      </w:r>
      <w:r w:rsidR="5C530146" w:rsidRPr="004C70EC">
        <w:rPr>
          <w:noProof/>
          <w:lang w:val="en-US" w:eastAsia="en-IE"/>
        </w:rPr>
        <w:t>the</w:t>
      </w:r>
      <w:r w:rsidR="249CF78E" w:rsidRPr="004C70EC">
        <w:rPr>
          <w:noProof/>
          <w:lang w:val="en-US" w:eastAsia="en-IE"/>
        </w:rPr>
        <w:t xml:space="preserve"> establishment of</w:t>
      </w:r>
      <w:r w:rsidR="30E90F59" w:rsidRPr="004C70EC">
        <w:rPr>
          <w:noProof/>
          <w:lang w:val="en-US" w:eastAsia="en-IE"/>
        </w:rPr>
        <w:t xml:space="preserve"> an</w:t>
      </w:r>
      <w:r w:rsidR="249CF78E" w:rsidRPr="004C70EC">
        <w:rPr>
          <w:noProof/>
          <w:lang w:val="en-US" w:eastAsia="en-IE"/>
        </w:rPr>
        <w:t xml:space="preserve"> investigational medicinal product core dossier and rely on this dossier by referencing it in all clinical trials related to the investigational product concerned. In order to </w:t>
      </w:r>
      <w:r w:rsidR="41A24A6B" w:rsidRPr="004C70EC">
        <w:rPr>
          <w:noProof/>
          <w:lang w:val="en-US" w:eastAsia="en-IE"/>
        </w:rPr>
        <w:t>keep</w:t>
      </w:r>
      <w:r w:rsidR="249CF78E" w:rsidRPr="004C70EC">
        <w:rPr>
          <w:noProof/>
          <w:lang w:val="en-US" w:eastAsia="en-IE"/>
        </w:rPr>
        <w:t xml:space="preserve"> the core dossier updated, </w:t>
      </w:r>
      <w:r w:rsidR="271EDF76" w:rsidRPr="004C70EC">
        <w:rPr>
          <w:noProof/>
          <w:lang w:val="en-US" w:eastAsia="en-IE"/>
        </w:rPr>
        <w:t>sponsors</w:t>
      </w:r>
      <w:r w:rsidR="249CF78E" w:rsidRPr="004C70EC">
        <w:rPr>
          <w:noProof/>
          <w:lang w:val="en-US" w:eastAsia="en-IE"/>
        </w:rPr>
        <w:t xml:space="preserve"> should be able to request its modification. One of the Member States concerned by the trials with investigational medicinal product should assume the role of core dossier depositary Member State and take responsibility for verifying completeness and suitability of the core dossier and managing the requests for its updates. </w:t>
      </w:r>
      <w:r w:rsidR="249CF78E" w:rsidRPr="004C70EC">
        <w:rPr>
          <w:rFonts w:eastAsiaTheme="majorEastAsia"/>
          <w:noProof/>
          <w:lang w:eastAsia="en-GB"/>
        </w:rPr>
        <w:t>Member States concerned in the core dossier should rely on the assessment by the depositary Member State. The depositary Member State may consult the Member States concerned as appropriate.</w:t>
      </w:r>
      <w:r w:rsidR="249CF78E" w:rsidRPr="004C70EC">
        <w:rPr>
          <w:noProof/>
          <w:lang w:eastAsia="en-IE"/>
        </w:rPr>
        <w:t> </w:t>
      </w:r>
    </w:p>
    <w:p w14:paraId="3EF39FDA" w14:textId="59F02E2B" w:rsidR="007E16F3" w:rsidRPr="004C70EC" w:rsidRDefault="00C03A23" w:rsidP="00C03A23">
      <w:pPr>
        <w:pStyle w:val="ManualConsidrant"/>
        <w:rPr>
          <w:rFonts w:eastAsiaTheme="minorEastAsia"/>
          <w:noProof/>
          <w:lang w:eastAsia="en-IE"/>
        </w:rPr>
      </w:pPr>
      <w:r w:rsidRPr="00C03A23">
        <w:rPr>
          <w:noProof/>
        </w:rPr>
        <w:t>(142)</w:t>
      </w:r>
      <w:r w:rsidRPr="00C03A23">
        <w:rPr>
          <w:noProof/>
        </w:rPr>
        <w:tab/>
      </w:r>
      <w:r w:rsidR="212FC6E9" w:rsidRPr="004C70EC">
        <w:rPr>
          <w:noProof/>
          <w:lang w:val="en-US" w:eastAsia="en-IE"/>
        </w:rPr>
        <w:t xml:space="preserve">In the development of biosimilar medicinal products, the rapid evolution of analytical and functional characterisation methods for complex biological and biotechnological active substances calls for tailored clinical approach in biosimilar development with reduced need for confirmatory comparative clinical efficacy trials. Submission of a simplified investigational medicinal product dossier </w:t>
      </w:r>
      <w:r w:rsidR="2436AFE1" w:rsidRPr="004C70EC">
        <w:rPr>
          <w:noProof/>
          <w:lang w:val="en-US" w:eastAsia="en-IE"/>
        </w:rPr>
        <w:t>(</w:t>
      </w:r>
      <w:r w:rsidR="212FC6E9" w:rsidRPr="004C70EC">
        <w:rPr>
          <w:noProof/>
          <w:lang w:val="en-US" w:eastAsia="en-IE"/>
        </w:rPr>
        <w:t>IMPD</w:t>
      </w:r>
      <w:r w:rsidR="650CA080" w:rsidRPr="004C70EC">
        <w:rPr>
          <w:noProof/>
          <w:lang w:val="en-US" w:eastAsia="en-IE"/>
        </w:rPr>
        <w:t>)</w:t>
      </w:r>
      <w:r w:rsidR="212FC6E9" w:rsidRPr="004C70EC">
        <w:rPr>
          <w:noProof/>
          <w:lang w:val="en-US" w:eastAsia="en-IE"/>
        </w:rPr>
        <w:t xml:space="preserve"> for biosimilar medicines to replace, as appropriate quality and quality control data, with a reference to the relevant </w:t>
      </w:r>
      <w:r w:rsidR="75707655" w:rsidRPr="004C70EC">
        <w:rPr>
          <w:noProof/>
          <w:lang w:val="en-US" w:eastAsia="en-IE"/>
        </w:rPr>
        <w:t xml:space="preserve">additional quality </w:t>
      </w:r>
      <w:r w:rsidR="212FC6E9" w:rsidRPr="004C70EC">
        <w:rPr>
          <w:noProof/>
          <w:lang w:val="en-US" w:eastAsia="en-IE"/>
        </w:rPr>
        <w:t xml:space="preserve">substance master file or corresponding certificates would complement the shift in more risk proportionate clinical data requirements. This dual simplification and streamlining should focus </w:t>
      </w:r>
      <w:r w:rsidR="18052697" w:rsidRPr="004C70EC">
        <w:rPr>
          <w:noProof/>
          <w:lang w:val="en-US" w:eastAsia="en-IE"/>
        </w:rPr>
        <w:t>on the</w:t>
      </w:r>
      <w:r w:rsidR="212FC6E9" w:rsidRPr="004C70EC">
        <w:rPr>
          <w:noProof/>
          <w:lang w:val="en-US" w:eastAsia="en-IE"/>
        </w:rPr>
        <w:t xml:space="preserve"> regulatory scrutiny of key comparability data rather than require duplicative submission and assessment of the full IMPD quality dossier. Combining streamlined and robust quality data assessment with targeted clinical data generation should support an integrated and efficient development pathway for biosimilars with reduced administrative burden and development costs for biosimilar manufacturers, </w:t>
      </w:r>
      <w:r w:rsidR="0A4D0D5A" w:rsidRPr="004C70EC">
        <w:rPr>
          <w:noProof/>
          <w:lang w:val="en-US" w:eastAsia="en-IE"/>
        </w:rPr>
        <w:t>i</w:t>
      </w:r>
      <w:r w:rsidR="212FC6E9" w:rsidRPr="004C70EC">
        <w:rPr>
          <w:noProof/>
          <w:lang w:val="en-US" w:eastAsia="en-IE"/>
        </w:rPr>
        <w:t xml:space="preserve">n particular in the Union. Accelerated access </w:t>
      </w:r>
      <w:r w:rsidR="2D94A3C6" w:rsidRPr="004C70EC">
        <w:rPr>
          <w:noProof/>
          <w:lang w:val="en-US" w:eastAsia="en-IE"/>
        </w:rPr>
        <w:t>to</w:t>
      </w:r>
      <w:r w:rsidR="212FC6E9" w:rsidRPr="004C70EC">
        <w:rPr>
          <w:noProof/>
          <w:lang w:val="en-US" w:eastAsia="en-IE"/>
        </w:rPr>
        <w:t xml:space="preserve"> biosimilar medicines to the market should support </w:t>
      </w:r>
      <w:r w:rsidR="1D87B6BB" w:rsidRPr="004C70EC">
        <w:rPr>
          <w:noProof/>
          <w:lang w:val="en-US" w:eastAsia="en-IE"/>
        </w:rPr>
        <w:t>patients'</w:t>
      </w:r>
      <w:r w:rsidR="212FC6E9" w:rsidRPr="004C70EC">
        <w:rPr>
          <w:noProof/>
          <w:lang w:val="en-US" w:eastAsia="en-IE"/>
        </w:rPr>
        <w:t xml:space="preserve"> access to more affordable biological therapies.</w:t>
      </w:r>
      <w:r w:rsidR="27B5C152" w:rsidRPr="004C70EC">
        <w:rPr>
          <w:noProof/>
          <w:lang w:eastAsia="en-IE"/>
        </w:rPr>
        <w:t xml:space="preserve"> </w:t>
      </w:r>
    </w:p>
    <w:p w14:paraId="2348493C" w14:textId="34C04C14" w:rsidR="2F263E33" w:rsidRPr="004C70EC" w:rsidRDefault="00C03A23" w:rsidP="00C03A23">
      <w:pPr>
        <w:pStyle w:val="ManualConsidrant"/>
        <w:rPr>
          <w:noProof/>
          <w:lang w:eastAsia="en-IE"/>
        </w:rPr>
      </w:pPr>
      <w:r w:rsidRPr="00C03A23">
        <w:rPr>
          <w:noProof/>
        </w:rPr>
        <w:t>(143)</w:t>
      </w:r>
      <w:r w:rsidRPr="00C03A23">
        <w:rPr>
          <w:noProof/>
        </w:rPr>
        <w:tab/>
      </w:r>
      <w:r w:rsidR="55207B47" w:rsidRPr="004C70EC">
        <w:rPr>
          <w:rFonts w:eastAsia="Times New Roman"/>
          <w:noProof/>
          <w:lang w:eastAsia="en-IE"/>
        </w:rPr>
        <w:t>T</w:t>
      </w:r>
      <w:r w:rsidR="5036D0B5" w:rsidRPr="004C70EC">
        <w:rPr>
          <w:noProof/>
          <w:lang w:eastAsia="en-IE"/>
        </w:rPr>
        <w:t xml:space="preserve">o </w:t>
      </w:r>
      <w:r w:rsidR="48F6B227" w:rsidRPr="004C70EC">
        <w:rPr>
          <w:noProof/>
          <w:lang w:eastAsia="en-IE"/>
        </w:rPr>
        <w:t>further</w:t>
      </w:r>
      <w:r w:rsidR="4B36E683" w:rsidRPr="004C70EC">
        <w:rPr>
          <w:noProof/>
          <w:lang w:eastAsia="en-IE"/>
        </w:rPr>
        <w:t xml:space="preserve"> optimise the use of resources for both the sponsors and Member States, the possibility to </w:t>
      </w:r>
      <w:r w:rsidR="4D6189D8" w:rsidRPr="004C70EC">
        <w:rPr>
          <w:noProof/>
          <w:lang w:eastAsia="en-IE"/>
        </w:rPr>
        <w:t>refer</w:t>
      </w:r>
      <w:r w:rsidR="3134DE16" w:rsidRPr="004C70EC">
        <w:rPr>
          <w:noProof/>
          <w:lang w:eastAsia="en-IE"/>
        </w:rPr>
        <w:t>,</w:t>
      </w:r>
      <w:r w:rsidR="4D6189D8" w:rsidRPr="004C70EC">
        <w:rPr>
          <w:noProof/>
          <w:lang w:eastAsia="en-IE"/>
        </w:rPr>
        <w:t xml:space="preserve"> </w:t>
      </w:r>
      <w:r w:rsidR="301B985A" w:rsidRPr="004C70EC">
        <w:rPr>
          <w:noProof/>
          <w:lang w:eastAsia="en-IE"/>
        </w:rPr>
        <w:t>in a clinical trial application</w:t>
      </w:r>
      <w:r w:rsidR="3B46121A" w:rsidRPr="004C70EC">
        <w:rPr>
          <w:noProof/>
          <w:lang w:eastAsia="en-IE"/>
        </w:rPr>
        <w:t>,</w:t>
      </w:r>
      <w:r w:rsidR="301B985A" w:rsidRPr="004C70EC">
        <w:rPr>
          <w:noProof/>
          <w:lang w:eastAsia="en-IE"/>
        </w:rPr>
        <w:t xml:space="preserve"> to </w:t>
      </w:r>
      <w:r w:rsidR="4D6189D8" w:rsidRPr="004C70EC">
        <w:rPr>
          <w:noProof/>
          <w:lang w:eastAsia="en-IE"/>
        </w:rPr>
        <w:t>an active substance master file or a corresponding certificate, or a certificate confirming that the quality of the substance is suitably controlled by the relevant monograph of the European Pharmacopeia, or a certified platform technology master file</w:t>
      </w:r>
      <w:r w:rsidR="68C5558D" w:rsidRPr="004C70EC">
        <w:rPr>
          <w:noProof/>
          <w:lang w:eastAsia="en-IE"/>
        </w:rPr>
        <w:t xml:space="preserve"> should be available</w:t>
      </w:r>
      <w:r w:rsidR="0495A0CA" w:rsidRPr="004C70EC">
        <w:rPr>
          <w:noProof/>
          <w:lang w:eastAsia="en-IE"/>
        </w:rPr>
        <w:t xml:space="preserve"> as appropriate</w:t>
      </w:r>
      <w:r w:rsidR="3CB5DAEE" w:rsidRPr="004C70EC">
        <w:rPr>
          <w:noProof/>
          <w:lang w:eastAsia="en-IE"/>
        </w:rPr>
        <w:t xml:space="preserve"> for any investigational medicinal product, including for ATMPs</w:t>
      </w:r>
      <w:r w:rsidR="68C5558D" w:rsidRPr="004C70EC">
        <w:rPr>
          <w:noProof/>
          <w:lang w:eastAsia="en-IE"/>
        </w:rPr>
        <w:t xml:space="preserve">. </w:t>
      </w:r>
      <w:r w:rsidR="33ECB8A3" w:rsidRPr="004C70EC">
        <w:rPr>
          <w:noProof/>
          <w:lang w:eastAsia="en-IE"/>
        </w:rPr>
        <w:t>In these cases,</w:t>
      </w:r>
      <w:r w:rsidR="4D6189D8" w:rsidRPr="004C70EC">
        <w:rPr>
          <w:noProof/>
          <w:lang w:eastAsia="en-IE"/>
        </w:rPr>
        <w:t xml:space="preserve"> the simplified IMPD </w:t>
      </w:r>
      <w:r w:rsidR="0727064F" w:rsidRPr="004C70EC">
        <w:rPr>
          <w:noProof/>
          <w:lang w:eastAsia="en-IE"/>
        </w:rPr>
        <w:t>must</w:t>
      </w:r>
      <w:r w:rsidR="0384A715" w:rsidRPr="004C70EC">
        <w:rPr>
          <w:noProof/>
          <w:lang w:eastAsia="en-IE"/>
        </w:rPr>
        <w:t xml:space="preserve"> </w:t>
      </w:r>
      <w:r w:rsidR="464CC36A" w:rsidRPr="004C70EC">
        <w:rPr>
          <w:noProof/>
          <w:lang w:eastAsia="en-IE"/>
        </w:rPr>
        <w:t>contain</w:t>
      </w:r>
      <w:r w:rsidR="0384A715" w:rsidRPr="004C70EC">
        <w:rPr>
          <w:noProof/>
          <w:lang w:eastAsia="en-IE"/>
        </w:rPr>
        <w:t xml:space="preserve"> </w:t>
      </w:r>
      <w:r w:rsidR="4D6189D8" w:rsidRPr="004C70EC">
        <w:rPr>
          <w:noProof/>
          <w:lang w:eastAsia="en-IE"/>
        </w:rPr>
        <w:t>a</w:t>
      </w:r>
      <w:r w:rsidR="36483789" w:rsidRPr="004C70EC">
        <w:rPr>
          <w:noProof/>
          <w:lang w:eastAsia="en-IE"/>
        </w:rPr>
        <w:t>ll</w:t>
      </w:r>
      <w:r w:rsidR="4D6189D8" w:rsidRPr="004C70EC">
        <w:rPr>
          <w:noProof/>
          <w:lang w:eastAsia="en-IE"/>
        </w:rPr>
        <w:t xml:space="preserve"> relevant data to the active substance or its manufacturing</w:t>
      </w:r>
      <w:r w:rsidR="75F5CF74" w:rsidRPr="004C70EC">
        <w:rPr>
          <w:noProof/>
          <w:lang w:eastAsia="en-IE"/>
        </w:rPr>
        <w:t>,</w:t>
      </w:r>
      <w:r w:rsidR="4D6189D8" w:rsidRPr="004C70EC">
        <w:rPr>
          <w:noProof/>
          <w:lang w:eastAsia="en-IE"/>
        </w:rPr>
        <w:t xml:space="preserve"> which is not covered in the referenced master file or certificate. </w:t>
      </w:r>
    </w:p>
    <w:p w14:paraId="272E50E0" w14:textId="47C03BBB" w:rsidR="004E527A" w:rsidRPr="004C70EC" w:rsidRDefault="00C03A23" w:rsidP="00C03A23">
      <w:pPr>
        <w:pStyle w:val="ManualConsidrant"/>
        <w:rPr>
          <w:noProof/>
          <w:lang w:eastAsia="en-IE"/>
        </w:rPr>
      </w:pPr>
      <w:r w:rsidRPr="00C03A23">
        <w:rPr>
          <w:noProof/>
        </w:rPr>
        <w:t>(144)</w:t>
      </w:r>
      <w:r w:rsidRPr="00C03A23">
        <w:rPr>
          <w:noProof/>
        </w:rPr>
        <w:tab/>
      </w:r>
      <w:r w:rsidR="249CF78E" w:rsidRPr="004C70EC">
        <w:rPr>
          <w:noProof/>
          <w:lang w:val="en-US" w:eastAsia="en-IE"/>
        </w:rPr>
        <w:t>To address the increased significance of delivery of investigational medicinal products and auxiliary medicinal products to subjects</w:t>
      </w:r>
      <w:r w:rsidR="0A4D0D5A" w:rsidRPr="004C70EC">
        <w:rPr>
          <w:noProof/>
          <w:lang w:val="en-US" w:eastAsia="en-IE"/>
        </w:rPr>
        <w:t>,</w:t>
      </w:r>
      <w:r w:rsidR="249CF78E" w:rsidRPr="004C70EC">
        <w:rPr>
          <w:noProof/>
          <w:lang w:val="en-US" w:eastAsia="en-IE"/>
        </w:rPr>
        <w:t xml:space="preserve"> </w:t>
      </w:r>
      <w:r w:rsidR="00280055" w:rsidRPr="004C70EC">
        <w:rPr>
          <w:noProof/>
          <w:lang w:val="en-US" w:eastAsia="en-IE"/>
        </w:rPr>
        <w:t xml:space="preserve">Regulation (EU) No 536/2014 should be amended to </w:t>
      </w:r>
      <w:r w:rsidR="249CF78E" w:rsidRPr="004C70EC">
        <w:rPr>
          <w:noProof/>
          <w:lang w:val="en-US" w:eastAsia="en-IE"/>
        </w:rPr>
        <w:t>provide a framework for the controlled transport</w:t>
      </w:r>
      <w:r w:rsidR="155D3141" w:rsidRPr="004C70EC">
        <w:rPr>
          <w:noProof/>
          <w:lang w:val="en-US" w:eastAsia="en-IE"/>
        </w:rPr>
        <w:t xml:space="preserve"> </w:t>
      </w:r>
      <w:r w:rsidR="257095E7" w:rsidRPr="004C70EC">
        <w:rPr>
          <w:noProof/>
          <w:lang w:val="en-US" w:eastAsia="en-IE"/>
        </w:rPr>
        <w:t>within a Member State</w:t>
      </w:r>
      <w:r w:rsidR="501FA07E" w:rsidRPr="004C70EC">
        <w:rPr>
          <w:noProof/>
          <w:lang w:val="en-US" w:eastAsia="en-IE"/>
        </w:rPr>
        <w:t>, where</w:t>
      </w:r>
      <w:r w:rsidR="6A3EBD63" w:rsidRPr="004C70EC">
        <w:rPr>
          <w:noProof/>
          <w:lang w:val="en-US" w:eastAsia="en-IE"/>
        </w:rPr>
        <w:t xml:space="preserve"> the clinical trials have been </w:t>
      </w:r>
      <w:r w:rsidR="7575E901" w:rsidRPr="004C70EC">
        <w:rPr>
          <w:noProof/>
          <w:lang w:val="en-US" w:eastAsia="en-IE"/>
        </w:rPr>
        <w:t>authori</w:t>
      </w:r>
      <w:r w:rsidR="07D77F00" w:rsidRPr="004C70EC">
        <w:rPr>
          <w:noProof/>
          <w:lang w:val="en-US" w:eastAsia="en-IE"/>
        </w:rPr>
        <w:t>s</w:t>
      </w:r>
      <w:r w:rsidR="7575E901" w:rsidRPr="004C70EC">
        <w:rPr>
          <w:noProof/>
          <w:lang w:val="en-US" w:eastAsia="en-IE"/>
        </w:rPr>
        <w:t>ed</w:t>
      </w:r>
      <w:r w:rsidR="2258E3F4" w:rsidRPr="004C70EC">
        <w:rPr>
          <w:noProof/>
          <w:lang w:val="en-US" w:eastAsia="en-IE"/>
        </w:rPr>
        <w:t>,</w:t>
      </w:r>
      <w:r w:rsidR="00280055" w:rsidRPr="004C70EC">
        <w:rPr>
          <w:noProof/>
          <w:lang w:val="en-US" w:eastAsia="en-IE"/>
        </w:rPr>
        <w:t xml:space="preserve"> </w:t>
      </w:r>
      <w:r w:rsidR="249CF78E" w:rsidRPr="004C70EC">
        <w:rPr>
          <w:noProof/>
          <w:lang w:val="en-US" w:eastAsia="en-IE"/>
        </w:rPr>
        <w:t>of such products directly to subjects' residences</w:t>
      </w:r>
      <w:r w:rsidR="4DFC6E5B" w:rsidRPr="004C70EC">
        <w:rPr>
          <w:noProof/>
          <w:lang w:val="en-US" w:eastAsia="en-IE"/>
        </w:rPr>
        <w:t xml:space="preserve"> or </w:t>
      </w:r>
      <w:r w:rsidR="78A073AF" w:rsidRPr="004C70EC">
        <w:rPr>
          <w:noProof/>
          <w:lang w:val="en-US" w:eastAsia="en-IE"/>
        </w:rPr>
        <w:t xml:space="preserve">through a dispensing pharmacy or by an authorised person, </w:t>
      </w:r>
      <w:r w:rsidR="249CF78E" w:rsidRPr="004C70EC">
        <w:rPr>
          <w:noProof/>
          <w:lang w:val="en-US" w:eastAsia="en-IE"/>
        </w:rPr>
        <w:t xml:space="preserve">under the investigator's oversight. This ensures responsible and transparent delivery practices and adapts to the real word necessities, as demonstrated during the COVID </w:t>
      </w:r>
      <w:r w:rsidR="6998B6D7" w:rsidRPr="004C70EC">
        <w:rPr>
          <w:noProof/>
          <w:lang w:val="en-US" w:eastAsia="en-IE"/>
        </w:rPr>
        <w:t>19</w:t>
      </w:r>
      <w:r w:rsidR="249CF78E" w:rsidRPr="004C70EC">
        <w:rPr>
          <w:noProof/>
          <w:lang w:val="en-US" w:eastAsia="en-IE"/>
        </w:rPr>
        <w:t xml:space="preserve"> pandemic.</w:t>
      </w:r>
      <w:r w:rsidR="249CF78E" w:rsidRPr="004C70EC">
        <w:rPr>
          <w:noProof/>
          <w:lang w:eastAsia="en-IE"/>
        </w:rPr>
        <w:t> </w:t>
      </w:r>
      <w:r w:rsidR="478E15F5" w:rsidRPr="004C70EC">
        <w:rPr>
          <w:noProof/>
          <w:lang w:eastAsia="en-IE"/>
        </w:rPr>
        <w:t>Distribution through a dispensing pharmacy or by an authorised person could be considered in particular in clust</w:t>
      </w:r>
      <w:r w:rsidR="524F5F46" w:rsidRPr="004C70EC">
        <w:rPr>
          <w:noProof/>
          <w:lang w:eastAsia="en-IE"/>
        </w:rPr>
        <w:t>er trials.</w:t>
      </w:r>
      <w:r w:rsidR="478E15F5" w:rsidRPr="004C70EC">
        <w:rPr>
          <w:noProof/>
          <w:lang w:eastAsia="en-IE"/>
        </w:rPr>
        <w:t xml:space="preserve"> </w:t>
      </w:r>
    </w:p>
    <w:p w14:paraId="36E15F31" w14:textId="7C5E466A" w:rsidR="004E527A" w:rsidRPr="004C70EC" w:rsidRDefault="00C03A23" w:rsidP="00C03A23">
      <w:pPr>
        <w:pStyle w:val="ManualConsidrant"/>
        <w:rPr>
          <w:noProof/>
          <w:lang w:val="en-IE" w:eastAsia="de-DE"/>
        </w:rPr>
      </w:pPr>
      <w:r w:rsidRPr="00C03A23">
        <w:rPr>
          <w:noProof/>
        </w:rPr>
        <w:t>(145)</w:t>
      </w:r>
      <w:r w:rsidRPr="00C03A23">
        <w:rPr>
          <w:noProof/>
        </w:rPr>
        <w:tab/>
      </w:r>
      <w:r w:rsidR="249CF78E" w:rsidRPr="004C70EC">
        <w:rPr>
          <w:noProof/>
          <w:lang w:eastAsia="en-IE"/>
        </w:rPr>
        <w:t xml:space="preserve">To enhance regulatory efficiency, to ensure consistency in the implementation of  Regulation </w:t>
      </w:r>
      <w:r w:rsidR="00181F10" w:rsidRPr="004C70EC">
        <w:rPr>
          <w:noProof/>
          <w:lang w:eastAsia="en-IE"/>
        </w:rPr>
        <w:t xml:space="preserve">(EU) No 536/2014 </w:t>
      </w:r>
      <w:r w:rsidR="249CF78E" w:rsidRPr="004C70EC">
        <w:rPr>
          <w:noProof/>
          <w:lang w:eastAsia="en-IE"/>
        </w:rPr>
        <w:t>across the Union, and to facilitate predictability of requirements for the developers of medicinal products, it is necessary to provide a framework for the harmonisation of national requirements regarding the distribution of investigational and auxiliary medicinal products, notably for decentralised and multinational clinical trials. To achieve such harmonisation, the inspection working groups, which provide input and recommendations on all matters relating, directly or indirectly, to good clinical practice, good manufacturing practice, and good distribution practice should draw up guidelines, in collaboration with the Commission, and revise them as necessary to reflect technical and scientific progress in the field of clinical trials. In consideration of the specialised knowledge and experience of its members, who represent the Member States, the inspection working groups are particularly well-suited to facilitate the coordination of national requirements, eliminate unnecessary administrative obstacles, and promote a more efficient and harmonised approach to the conduct of clinical trials within the Union.</w:t>
      </w:r>
    </w:p>
    <w:p w14:paraId="7F0DAF04" w14:textId="5AB8BE02" w:rsidR="004E527A" w:rsidRPr="004C70EC" w:rsidRDefault="00C03A23" w:rsidP="00C03A23">
      <w:pPr>
        <w:pStyle w:val="ManualConsidrant"/>
        <w:rPr>
          <w:noProof/>
          <w:lang w:val="en-IE" w:eastAsia="de-DE"/>
        </w:rPr>
      </w:pPr>
      <w:r w:rsidRPr="00C03A23">
        <w:rPr>
          <w:noProof/>
        </w:rPr>
        <w:t>(146)</w:t>
      </w:r>
      <w:r w:rsidRPr="00C03A23">
        <w:rPr>
          <w:noProof/>
        </w:rPr>
        <w:tab/>
      </w:r>
      <w:r w:rsidR="249CF78E" w:rsidRPr="004C70EC">
        <w:rPr>
          <w:noProof/>
          <w:lang w:eastAsia="en-IE"/>
        </w:rPr>
        <w:t xml:space="preserve">To facilitate the implementation of </w:t>
      </w:r>
      <w:r w:rsidR="283B0A64" w:rsidRPr="004C70EC">
        <w:rPr>
          <w:noProof/>
          <w:lang w:eastAsia="en-IE"/>
        </w:rPr>
        <w:t>R</w:t>
      </w:r>
      <w:r w:rsidR="249CF78E" w:rsidRPr="004C70EC">
        <w:rPr>
          <w:noProof/>
          <w:lang w:eastAsia="en-IE"/>
        </w:rPr>
        <w:t>egulation</w:t>
      </w:r>
      <w:r w:rsidR="18CD1CD5" w:rsidRPr="004C70EC">
        <w:rPr>
          <w:noProof/>
          <w:lang w:eastAsia="en-IE"/>
        </w:rPr>
        <w:t xml:space="preserve"> (EU) No 536/2014</w:t>
      </w:r>
      <w:r w:rsidR="249CF78E" w:rsidRPr="004C70EC">
        <w:rPr>
          <w:noProof/>
          <w:lang w:eastAsia="en-IE"/>
        </w:rPr>
        <w:t>, while at the same time preserving the protection of quality of investigational medicinal products and ensuring greater predictability for sponsors</w:t>
      </w:r>
      <w:r w:rsidR="00280055" w:rsidRPr="004C70EC">
        <w:rPr>
          <w:noProof/>
          <w:lang w:eastAsia="en-IE"/>
        </w:rPr>
        <w:t>,</w:t>
      </w:r>
      <w:r w:rsidR="249CF78E" w:rsidRPr="004C70EC">
        <w:rPr>
          <w:noProof/>
          <w:lang w:eastAsia="en-IE"/>
        </w:rPr>
        <w:t xml:space="preserve"> it is also appropriate to provide the general principles on how to ensure quality in the processes not subject to a manufacturing and import authorisation, such as re-packaging and re-labelling.  </w:t>
      </w:r>
    </w:p>
    <w:p w14:paraId="4B0032F3" w14:textId="2AA6C3F8" w:rsidR="004E527A" w:rsidRPr="004C70EC" w:rsidRDefault="00C03A23" w:rsidP="00C03A23">
      <w:pPr>
        <w:pStyle w:val="ManualConsidrant"/>
        <w:rPr>
          <w:noProof/>
          <w:lang w:val="en-IE" w:eastAsia="de-DE"/>
        </w:rPr>
      </w:pPr>
      <w:r w:rsidRPr="00C03A23">
        <w:rPr>
          <w:noProof/>
        </w:rPr>
        <w:t>(147)</w:t>
      </w:r>
      <w:r w:rsidRPr="00C03A23">
        <w:rPr>
          <w:noProof/>
        </w:rPr>
        <w:tab/>
      </w:r>
      <w:r w:rsidR="249CF78E" w:rsidRPr="004C70EC">
        <w:rPr>
          <w:noProof/>
          <w:lang w:eastAsia="en-IE"/>
        </w:rPr>
        <w:t>Verification of compliance with the legal requirements of manufacturing of investigational medicinal products by relevant entities through a system of supervision, is of fundamental importance to ensure that the objectives of this Regulation are effectively achieved. The provisions of</w:t>
      </w:r>
      <w:r w:rsidR="11857442" w:rsidRPr="004C70EC">
        <w:rPr>
          <w:noProof/>
          <w:lang w:eastAsia="en-IE"/>
        </w:rPr>
        <w:t xml:space="preserve"> </w:t>
      </w:r>
      <w:r w:rsidR="249CF78E" w:rsidRPr="004C70EC">
        <w:rPr>
          <w:noProof/>
          <w:lang w:val="en-US" w:eastAsia="en-GB"/>
        </w:rPr>
        <w:t>Directive (EU) …/… [</w:t>
      </w:r>
      <w:r w:rsidR="249CF78E" w:rsidRPr="004C70EC">
        <w:rPr>
          <w:rFonts w:eastAsiaTheme="minorEastAsia"/>
          <w:i/>
          <w:iCs/>
          <w:noProof/>
          <w:kern w:val="2"/>
          <w:lang w:val="en-US"/>
        </w:rPr>
        <w:t>reference to be added after adoption cf. COM</w:t>
      </w:r>
      <w:r w:rsidR="249CF78E" w:rsidRPr="004C70EC">
        <w:rPr>
          <w:rFonts w:eastAsiaTheme="minorEastAsia"/>
          <w:noProof/>
          <w:kern w:val="2"/>
          <w:lang w:val="en-US"/>
        </w:rPr>
        <w:t xml:space="preserve">(2023) 192 </w:t>
      </w:r>
      <w:r w:rsidR="249CF78E" w:rsidRPr="004C70EC">
        <w:rPr>
          <w:rFonts w:eastAsiaTheme="minorEastAsia"/>
          <w:i/>
          <w:iCs/>
          <w:noProof/>
          <w:kern w:val="2"/>
          <w:lang w:val="en-US"/>
        </w:rPr>
        <w:t>final</w:t>
      </w:r>
      <w:r w:rsidR="249CF78E" w:rsidRPr="004C70EC">
        <w:rPr>
          <w:noProof/>
          <w:lang w:val="en-US" w:eastAsia="en-GB"/>
        </w:rPr>
        <w:t>]</w:t>
      </w:r>
      <w:r w:rsidR="249CF78E" w:rsidRPr="004C70EC">
        <w:rPr>
          <w:noProof/>
          <w:lang w:eastAsia="en-IE"/>
        </w:rPr>
        <w:t xml:space="preserve"> regarding the supervision system and the cooperation on inspections, and provisions of [</w:t>
      </w:r>
      <w:r w:rsidR="249CF78E" w:rsidRPr="004C70EC">
        <w:rPr>
          <w:noProof/>
          <w:lang w:eastAsia="en-GB"/>
        </w:rPr>
        <w:t>Regulation (EU) …/… of the European Parliament and the Council [</w:t>
      </w:r>
      <w:r w:rsidR="249CF78E" w:rsidRPr="004C70EC">
        <w:rPr>
          <w:rFonts w:eastAsiaTheme="minorEastAsia"/>
          <w:i/>
          <w:iCs/>
          <w:noProof/>
          <w:kern w:val="2"/>
          <w:lang w:val="en-US"/>
        </w:rPr>
        <w:t>reference to be added after adoption cf. COM</w:t>
      </w:r>
      <w:r w:rsidR="249CF78E" w:rsidRPr="004C70EC">
        <w:rPr>
          <w:rFonts w:eastAsiaTheme="minorEastAsia"/>
          <w:noProof/>
          <w:kern w:val="2"/>
          <w:lang w:val="en-US"/>
        </w:rPr>
        <w:t xml:space="preserve">(2023) 193 </w:t>
      </w:r>
      <w:r w:rsidR="249CF78E" w:rsidRPr="004C70EC">
        <w:rPr>
          <w:rFonts w:eastAsiaTheme="minorEastAsia"/>
          <w:i/>
          <w:iCs/>
          <w:noProof/>
          <w:kern w:val="2"/>
          <w:lang w:val="en-US"/>
        </w:rPr>
        <w:t>final]</w:t>
      </w:r>
      <w:r w:rsidR="249CF78E" w:rsidRPr="004C70EC">
        <w:rPr>
          <w:noProof/>
          <w:lang w:val="en-US" w:eastAsia="en-GB"/>
        </w:rPr>
        <w:t xml:space="preserve"> </w:t>
      </w:r>
      <w:r w:rsidR="249CF78E" w:rsidRPr="004C70EC">
        <w:rPr>
          <w:noProof/>
          <w:lang w:eastAsia="en-IE"/>
        </w:rPr>
        <w:t>regarding the cooperation between national competent authorities and the Agency for inspections in third countries should apply to the supervisions of manufacturing of investigational medicinal products.  </w:t>
      </w:r>
    </w:p>
    <w:p w14:paraId="61AF6FEA" w14:textId="6D16DA4C" w:rsidR="004E527A" w:rsidRPr="004C70EC" w:rsidRDefault="00C03A23" w:rsidP="00C03A23">
      <w:pPr>
        <w:pStyle w:val="ManualConsidrant"/>
        <w:rPr>
          <w:noProof/>
          <w:lang w:val="en-IE" w:eastAsia="de-DE"/>
        </w:rPr>
      </w:pPr>
      <w:r w:rsidRPr="00C03A23">
        <w:rPr>
          <w:noProof/>
        </w:rPr>
        <w:t>(148)</w:t>
      </w:r>
      <w:r w:rsidRPr="00C03A23">
        <w:rPr>
          <w:noProof/>
        </w:rPr>
        <w:tab/>
      </w:r>
      <w:r w:rsidR="249CF78E" w:rsidRPr="004C70EC">
        <w:rPr>
          <w:noProof/>
          <w:lang w:eastAsia="en-IE"/>
        </w:rPr>
        <w:t>Verification of compliance with the provisions of Regulation</w:t>
      </w:r>
      <w:r w:rsidR="0B2918DA" w:rsidRPr="004C70EC">
        <w:rPr>
          <w:noProof/>
          <w:lang w:eastAsia="en-IE"/>
        </w:rPr>
        <w:t xml:space="preserve"> (EU) No 536/2014</w:t>
      </w:r>
      <w:r w:rsidR="249CF78E" w:rsidRPr="004C70EC">
        <w:rPr>
          <w:noProof/>
          <w:lang w:eastAsia="en-IE"/>
        </w:rPr>
        <w:t>, including for verification of compliance with good clinical practices, through a system of supervision, is of fundamental importance to ensure that the objectives of this Regulation are effectively achieved. Therefore, the competent authorities of the Member States should have the power to perform on site or remote inspections, including unannounced inspections, where necessary. Where needed, the competent authority of a Member State should also be able to request support from another Member State or the Agency to carry out a joint inspection, or to request a Member State or the Agency to carry out the inspection on their behalf. </w:t>
      </w:r>
    </w:p>
    <w:p w14:paraId="22654378" w14:textId="54055EE8" w:rsidR="004E527A" w:rsidRPr="004C70EC" w:rsidRDefault="00C03A23" w:rsidP="00C03A23">
      <w:pPr>
        <w:pStyle w:val="ManualConsidrant"/>
        <w:rPr>
          <w:noProof/>
          <w:lang w:val="en-IE" w:eastAsia="de-DE"/>
        </w:rPr>
      </w:pPr>
      <w:r w:rsidRPr="00C03A23">
        <w:rPr>
          <w:noProof/>
        </w:rPr>
        <w:t>(149)</w:t>
      </w:r>
      <w:r w:rsidRPr="00C03A23">
        <w:rPr>
          <w:noProof/>
        </w:rPr>
        <w:tab/>
      </w:r>
      <w:r w:rsidR="249CF78E" w:rsidRPr="004C70EC">
        <w:rPr>
          <w:noProof/>
          <w:lang w:eastAsia="en-IE"/>
        </w:rPr>
        <w:t xml:space="preserve">The disruptive and innovative approaches to clinical trials may require adaptations to the rules governing clinical trial approvals and conduct. To harness the benefits of this innovation while providing necessary safeguards, it is essential to create a safe space for testing new regulatory approaches and technologies. This includes, where appropriate, the use of </w:t>
      </w:r>
      <w:r w:rsidR="12DD45E7" w:rsidRPr="004C70EC">
        <w:rPr>
          <w:noProof/>
          <w:lang w:eastAsia="en-IE"/>
        </w:rPr>
        <w:t>AI</w:t>
      </w:r>
      <w:r w:rsidR="249CF78E" w:rsidRPr="004C70EC">
        <w:rPr>
          <w:noProof/>
          <w:lang w:eastAsia="en-IE"/>
        </w:rPr>
        <w:t xml:space="preserve"> in trial design, data collection, analysis, and participant interaction. For th</w:t>
      </w:r>
      <w:r w:rsidR="60670603" w:rsidRPr="004C70EC">
        <w:rPr>
          <w:noProof/>
          <w:lang w:eastAsia="en-IE"/>
        </w:rPr>
        <w:t>at</w:t>
      </w:r>
      <w:r w:rsidR="249CF78E" w:rsidRPr="004C70EC">
        <w:rPr>
          <w:noProof/>
          <w:lang w:eastAsia="en-IE"/>
        </w:rPr>
        <w:t xml:space="preserve"> reason, </w:t>
      </w:r>
      <w:r w:rsidR="60670603" w:rsidRPr="004C70EC">
        <w:rPr>
          <w:noProof/>
          <w:lang w:eastAsia="en-IE"/>
        </w:rPr>
        <w:t>it is necessary</w:t>
      </w:r>
      <w:r w:rsidR="79108D39" w:rsidRPr="004C70EC">
        <w:rPr>
          <w:noProof/>
          <w:lang w:eastAsia="en-IE"/>
        </w:rPr>
        <w:t xml:space="preserve"> to provide for a possibility of setting up a</w:t>
      </w:r>
      <w:r w:rsidR="249CF78E" w:rsidRPr="004C70EC">
        <w:rPr>
          <w:noProof/>
          <w:lang w:eastAsia="en-IE"/>
        </w:rPr>
        <w:t xml:space="preserve"> controlled experimental environment in the form of a </w:t>
      </w:r>
      <w:r w:rsidR="79108D39" w:rsidRPr="004C70EC">
        <w:rPr>
          <w:noProof/>
          <w:lang w:eastAsia="en-IE"/>
        </w:rPr>
        <w:t>regulatory</w:t>
      </w:r>
      <w:r w:rsidR="249CF78E" w:rsidRPr="004C70EC">
        <w:rPr>
          <w:noProof/>
          <w:lang w:eastAsia="en-IE"/>
        </w:rPr>
        <w:t xml:space="preserve"> sandbox, allowing regulators to test new methods for authorising and conducting clinical trials, for example, when some requirements of the dossier cannot be fully complied with</w:t>
      </w:r>
      <w:r w:rsidR="003B1014" w:rsidRPr="004C70EC">
        <w:rPr>
          <w:noProof/>
          <w:lang w:eastAsia="en-IE"/>
        </w:rPr>
        <w:t xml:space="preserve">, </w:t>
      </w:r>
      <w:r w:rsidR="249CF78E" w:rsidRPr="004C70EC">
        <w:rPr>
          <w:noProof/>
          <w:lang w:eastAsia="en-IE"/>
        </w:rPr>
        <w:t>while ensuring strong safeguards for participant protection and data robustness. Insights gained from sandbox activities should inform future guidance and, where appropriate, legislative amendments. </w:t>
      </w:r>
    </w:p>
    <w:p w14:paraId="21DA15CE" w14:textId="29023058" w:rsidR="004E527A" w:rsidRPr="004C70EC" w:rsidRDefault="00C03A23" w:rsidP="00C03A23">
      <w:pPr>
        <w:pStyle w:val="ManualConsidrant"/>
        <w:rPr>
          <w:noProof/>
        </w:rPr>
      </w:pPr>
      <w:r w:rsidRPr="00C03A23">
        <w:rPr>
          <w:noProof/>
        </w:rPr>
        <w:t>(150)</w:t>
      </w:r>
      <w:r w:rsidRPr="00C03A23">
        <w:rPr>
          <w:noProof/>
        </w:rPr>
        <w:tab/>
      </w:r>
      <w:r w:rsidR="36276E84" w:rsidRPr="004C70EC">
        <w:rPr>
          <w:noProof/>
          <w:lang w:eastAsia="en-IE"/>
        </w:rPr>
        <w:t>The processing of personal data under Regulation</w:t>
      </w:r>
      <w:r w:rsidR="065F74D4" w:rsidRPr="004C70EC">
        <w:rPr>
          <w:noProof/>
          <w:lang w:eastAsia="en-IE"/>
        </w:rPr>
        <w:t xml:space="preserve"> (EU) No 536/2014 </w:t>
      </w:r>
      <w:r w:rsidR="36276E84" w:rsidRPr="004C70EC">
        <w:rPr>
          <w:noProof/>
          <w:lang w:eastAsia="en-IE"/>
        </w:rPr>
        <w:t>should comply with the requirements for the protection of personal data, including genetic data</w:t>
      </w:r>
      <w:r w:rsidR="3E3D8281" w:rsidRPr="004C70EC">
        <w:rPr>
          <w:noProof/>
          <w:lang w:eastAsia="en-IE"/>
        </w:rPr>
        <w:t xml:space="preserve"> and data concerning health</w:t>
      </w:r>
      <w:r w:rsidR="36276E84" w:rsidRPr="004C70EC">
        <w:rPr>
          <w:noProof/>
          <w:lang w:eastAsia="en-IE"/>
        </w:rPr>
        <w:t>, laid down in Regulations (EU) 2016/679</w:t>
      </w:r>
      <w:r w:rsidR="00D73F34" w:rsidRPr="004C70EC">
        <w:rPr>
          <w:rStyle w:val="FootnoteReference"/>
          <w:rFonts w:eastAsia="Times New Roman"/>
          <w:noProof/>
          <w:color w:val="000000" w:themeColor="text1"/>
          <w:lang w:eastAsia="en-IE"/>
        </w:rPr>
        <w:footnoteReference w:id="145"/>
      </w:r>
      <w:r w:rsidR="36276E84" w:rsidRPr="004C70EC">
        <w:rPr>
          <w:noProof/>
          <w:lang w:eastAsia="en-IE"/>
        </w:rPr>
        <w:t> and (EU) 2018/1725</w:t>
      </w:r>
      <w:r w:rsidR="00E66B80" w:rsidRPr="004C70EC">
        <w:rPr>
          <w:rStyle w:val="FootnoteReference"/>
          <w:rFonts w:eastAsia="Times New Roman"/>
          <w:noProof/>
          <w:color w:val="000000" w:themeColor="text1"/>
          <w:lang w:eastAsia="en-IE"/>
        </w:rPr>
        <w:footnoteReference w:id="146"/>
      </w:r>
      <w:r w:rsidR="36276E84" w:rsidRPr="004C70EC">
        <w:rPr>
          <w:noProof/>
          <w:lang w:eastAsia="en-IE"/>
        </w:rPr>
        <w:t> of the European Parliament and of the Council. It is appropriate to clarify that</w:t>
      </w:r>
      <w:r w:rsidR="003B1014" w:rsidRPr="004C70EC">
        <w:rPr>
          <w:noProof/>
          <w:lang w:eastAsia="en-IE"/>
        </w:rPr>
        <w:t xml:space="preserve"> the</w:t>
      </w:r>
      <w:r w:rsidR="36276E84" w:rsidRPr="004C70EC">
        <w:rPr>
          <w:noProof/>
          <w:lang w:eastAsia="en-IE"/>
        </w:rPr>
        <w:t xml:space="preserve"> basis for the processing of personal data in the context of clinical trials is laid down </w:t>
      </w:r>
      <w:r w:rsidR="6B56B16F" w:rsidRPr="002D7694">
        <w:rPr>
          <w:noProof/>
          <w:lang w:eastAsia="en-IE"/>
        </w:rPr>
        <w:t>in</w:t>
      </w:r>
      <w:r w:rsidR="36276E84" w:rsidRPr="002D7694" w:rsidDel="36276E84">
        <w:rPr>
          <w:noProof/>
          <w:lang w:eastAsia="en-IE"/>
        </w:rPr>
        <w:t xml:space="preserve"> </w:t>
      </w:r>
      <w:r w:rsidR="43C71506" w:rsidRPr="002D7694">
        <w:rPr>
          <w:noProof/>
          <w:lang w:eastAsia="en-IE"/>
        </w:rPr>
        <w:t>Regulatio</w:t>
      </w:r>
      <w:r w:rsidR="1896B104" w:rsidRPr="002D7694">
        <w:rPr>
          <w:noProof/>
          <w:lang w:eastAsia="en-IE"/>
        </w:rPr>
        <w:t>n</w:t>
      </w:r>
      <w:r w:rsidR="5DFE6CE2" w:rsidRPr="002D7694">
        <w:rPr>
          <w:noProof/>
          <w:lang w:eastAsia="en-IE"/>
        </w:rPr>
        <w:t xml:space="preserve"> (EU)No 536/2014</w:t>
      </w:r>
      <w:r w:rsidR="003B1014" w:rsidRPr="004C70EC">
        <w:rPr>
          <w:noProof/>
          <w:lang w:eastAsia="en-IE"/>
        </w:rPr>
        <w:t>,</w:t>
      </w:r>
      <w:r w:rsidR="1896B104" w:rsidRPr="002D7694">
        <w:rPr>
          <w:noProof/>
          <w:lang w:eastAsia="en-IE"/>
        </w:rPr>
        <w:t xml:space="preserve"> </w:t>
      </w:r>
      <w:r w:rsidR="36276E84" w:rsidRPr="004C70EC">
        <w:rPr>
          <w:noProof/>
          <w:lang w:eastAsia="en-IE"/>
        </w:rPr>
        <w:t>pursuant to Article 6(1)</w:t>
      </w:r>
      <w:r w:rsidR="0D841BB1" w:rsidRPr="004C70EC">
        <w:rPr>
          <w:noProof/>
          <w:lang w:eastAsia="en-IE"/>
        </w:rPr>
        <w:t xml:space="preserve">, point </w:t>
      </w:r>
      <w:r w:rsidR="36276E84" w:rsidRPr="004C70EC">
        <w:rPr>
          <w:noProof/>
          <w:lang w:eastAsia="en-IE"/>
        </w:rPr>
        <w:t>(c)</w:t>
      </w:r>
      <w:r w:rsidR="0D841BB1" w:rsidRPr="004C70EC">
        <w:rPr>
          <w:noProof/>
          <w:lang w:eastAsia="en-IE"/>
        </w:rPr>
        <w:t>,</w:t>
      </w:r>
      <w:r w:rsidR="36276E84" w:rsidRPr="004C70EC">
        <w:rPr>
          <w:noProof/>
          <w:lang w:eastAsia="en-IE"/>
        </w:rPr>
        <w:t xml:space="preserve"> of Regulation (EU) 2016/679</w:t>
      </w:r>
      <w:r w:rsidR="67E7326E" w:rsidRPr="004C70EC">
        <w:rPr>
          <w:noProof/>
          <w:lang w:eastAsia="en-IE"/>
        </w:rPr>
        <w:t>.</w:t>
      </w:r>
      <w:r w:rsidR="249CF78E" w:rsidRPr="004C70EC">
        <w:rPr>
          <w:noProof/>
          <w:lang w:eastAsia="en-IE"/>
        </w:rPr>
        <w:t xml:space="preserve"> </w:t>
      </w:r>
      <w:r w:rsidR="7667C43F" w:rsidRPr="004C70EC">
        <w:rPr>
          <w:noProof/>
        </w:rPr>
        <w:t>The Agency should have access to personal data necessary to perform its tasks in the public interest or complying with legal obligations in accordance with Articles 40, 80 and 81 of Regulation</w:t>
      </w:r>
      <w:r w:rsidR="42193151" w:rsidRPr="004C70EC">
        <w:rPr>
          <w:noProof/>
        </w:rPr>
        <w:t xml:space="preserve"> (EU) No 536/2014</w:t>
      </w:r>
      <w:r w:rsidR="7667C43F" w:rsidRPr="004C70EC">
        <w:rPr>
          <w:noProof/>
        </w:rPr>
        <w:t>. The Commission should have access to personal data necessary for it to perform its task in accordance with Article</w:t>
      </w:r>
      <w:r w:rsidR="522B4B78" w:rsidRPr="004C70EC">
        <w:rPr>
          <w:noProof/>
        </w:rPr>
        <w:t>s</w:t>
      </w:r>
      <w:r w:rsidR="7667C43F" w:rsidRPr="004C70EC">
        <w:rPr>
          <w:noProof/>
        </w:rPr>
        <w:t xml:space="preserve"> 78, 79, 80, 81</w:t>
      </w:r>
      <w:r w:rsidR="003B1014" w:rsidRPr="004C70EC">
        <w:rPr>
          <w:noProof/>
        </w:rPr>
        <w:t>,</w:t>
      </w:r>
      <w:r w:rsidR="7667C43F" w:rsidRPr="004C70EC">
        <w:rPr>
          <w:noProof/>
        </w:rPr>
        <w:t xml:space="preserve"> of  Regulation</w:t>
      </w:r>
      <w:r w:rsidR="7B60DF6A" w:rsidRPr="004C70EC">
        <w:rPr>
          <w:noProof/>
        </w:rPr>
        <w:t xml:space="preserve"> (EU) No 536/2014</w:t>
      </w:r>
      <w:r w:rsidR="7843BF71" w:rsidRPr="004C70EC">
        <w:rPr>
          <w:noProof/>
        </w:rPr>
        <w:t>.</w:t>
      </w:r>
    </w:p>
    <w:p w14:paraId="4683570D" w14:textId="2AE4DD15" w:rsidR="004E527A" w:rsidRPr="004C70EC" w:rsidRDefault="00C03A23" w:rsidP="00C03A23">
      <w:pPr>
        <w:pStyle w:val="ManualConsidrant"/>
        <w:rPr>
          <w:noProof/>
        </w:rPr>
      </w:pPr>
      <w:r w:rsidRPr="00C03A23">
        <w:rPr>
          <w:noProof/>
        </w:rPr>
        <w:t>(151)</w:t>
      </w:r>
      <w:r w:rsidRPr="00C03A23">
        <w:rPr>
          <w:noProof/>
        </w:rPr>
        <w:tab/>
      </w:r>
      <w:r w:rsidR="36276E84" w:rsidRPr="004C70EC">
        <w:rPr>
          <w:noProof/>
          <w:lang w:eastAsia="en-IE"/>
        </w:rPr>
        <w:t xml:space="preserve">In particular, Regulation </w:t>
      </w:r>
      <w:r w:rsidR="76AE74BA" w:rsidRPr="004C70EC">
        <w:rPr>
          <w:noProof/>
          <w:lang w:eastAsia="en-IE"/>
        </w:rPr>
        <w:t>(EU) No 536/2014</w:t>
      </w:r>
      <w:r w:rsidR="003B1014" w:rsidRPr="004C70EC">
        <w:rPr>
          <w:noProof/>
          <w:lang w:eastAsia="en-IE"/>
        </w:rPr>
        <w:t xml:space="preserve"> </w:t>
      </w:r>
      <w:r w:rsidR="00545E4E" w:rsidRPr="004C70EC">
        <w:rPr>
          <w:noProof/>
          <w:lang w:eastAsia="en-IE"/>
        </w:rPr>
        <w:t xml:space="preserve">should be </w:t>
      </w:r>
      <w:r w:rsidR="003B1014" w:rsidRPr="004C70EC">
        <w:rPr>
          <w:noProof/>
          <w:lang w:eastAsia="en-IE"/>
        </w:rPr>
        <w:t xml:space="preserve">amended </w:t>
      </w:r>
      <w:r w:rsidR="00545E4E" w:rsidRPr="004C70EC">
        <w:rPr>
          <w:noProof/>
          <w:lang w:eastAsia="en-IE"/>
        </w:rPr>
        <w:t>to</w:t>
      </w:r>
      <w:r w:rsidR="36276E84" w:rsidRPr="004C70EC">
        <w:rPr>
          <w:noProof/>
          <w:lang w:eastAsia="en-IE"/>
        </w:rPr>
        <w:t>require the processing of personal data by the sponsors and investigators where this is necessary to comply with the legal obligations imposed on them to ensure the safety and efficacy of medicinal products, when they request authorisation for and conduct clinical trials.</w:t>
      </w:r>
      <w:r w:rsidR="003B1014" w:rsidRPr="004C70EC">
        <w:rPr>
          <w:noProof/>
          <w:lang w:eastAsia="en-IE"/>
        </w:rPr>
        <w:t xml:space="preserve"> </w:t>
      </w:r>
      <w:r w:rsidR="36276E84" w:rsidRPr="004C70EC">
        <w:rPr>
          <w:noProof/>
          <w:lang w:eastAsia="en-IE"/>
        </w:rPr>
        <w:t>This includes obligations to perform research activities in accordance with an authorised protocol, to perform safety reporting, and to perform archiving in accordance with Regulation</w:t>
      </w:r>
      <w:r w:rsidR="639F95CD" w:rsidRPr="004C70EC">
        <w:rPr>
          <w:noProof/>
          <w:lang w:eastAsia="en-IE"/>
        </w:rPr>
        <w:t xml:space="preserve"> (EU) No 536/2014</w:t>
      </w:r>
      <w:r w:rsidR="36276E84" w:rsidRPr="004C70EC">
        <w:rPr>
          <w:noProof/>
          <w:lang w:eastAsia="en-IE"/>
        </w:rPr>
        <w:t>. The relevant information to be collected according to the authorised protocol will contain personal data of the subjects, including genetic data or data concerning health. The processing of such special categories of personal data in the context of clinical trials takes place for reasons of public interest in the area of public health</w:t>
      </w:r>
      <w:r w:rsidR="5284EDD8" w:rsidRPr="004C70EC">
        <w:rPr>
          <w:noProof/>
          <w:lang w:eastAsia="en-IE"/>
        </w:rPr>
        <w:t xml:space="preserve">, </w:t>
      </w:r>
      <w:r w:rsidR="79B178A4" w:rsidRPr="004C70EC">
        <w:rPr>
          <w:noProof/>
          <w:lang w:eastAsia="en-IE"/>
        </w:rPr>
        <w:t>in</w:t>
      </w:r>
      <w:r w:rsidR="59699651" w:rsidRPr="004C70EC">
        <w:rPr>
          <w:noProof/>
        </w:rPr>
        <w:t xml:space="preserve"> particular for ensuring high standards of medicinal products in compliance with Article 9(2)</w:t>
      </w:r>
      <w:r w:rsidR="1A9783C1" w:rsidRPr="004C70EC">
        <w:rPr>
          <w:noProof/>
        </w:rPr>
        <w:t xml:space="preserve">, point </w:t>
      </w:r>
      <w:r w:rsidR="59699651" w:rsidRPr="004C70EC">
        <w:rPr>
          <w:noProof/>
        </w:rPr>
        <w:t>(i)</w:t>
      </w:r>
      <w:r w:rsidR="1A9783C1" w:rsidRPr="004C70EC">
        <w:rPr>
          <w:noProof/>
        </w:rPr>
        <w:t>,</w:t>
      </w:r>
      <w:r w:rsidR="59699651" w:rsidRPr="004C70EC">
        <w:rPr>
          <w:noProof/>
        </w:rPr>
        <w:t xml:space="preserve"> of Regulation (EU) 2016/679</w:t>
      </w:r>
      <w:r w:rsidR="5ADFAA36" w:rsidRPr="004C70EC">
        <w:rPr>
          <w:noProof/>
        </w:rPr>
        <w:t>. Additionally</w:t>
      </w:r>
      <w:r w:rsidR="36276E84" w:rsidRPr="004C70EC">
        <w:rPr>
          <w:noProof/>
          <w:lang w:eastAsia="en-IE"/>
        </w:rPr>
        <w:t>, personal data may encompass identification details, such as sex and age, social insurance numbers and contact information. Moreover, sponsors may collect and process other data necessary for implementing the authorised protocol, such as the personal data of investigators</w:t>
      </w:r>
      <w:r w:rsidR="318C0A7E" w:rsidRPr="004C70EC">
        <w:rPr>
          <w:noProof/>
          <w:lang w:eastAsia="en-IE"/>
        </w:rPr>
        <w:t>.</w:t>
      </w:r>
      <w:r w:rsidR="468BC587" w:rsidRPr="004C70EC">
        <w:rPr>
          <w:noProof/>
          <w:lang w:eastAsia="en-IE"/>
        </w:rPr>
        <w:t xml:space="preserve"> </w:t>
      </w:r>
      <w:r w:rsidR="468BC587" w:rsidRPr="004C70EC">
        <w:rPr>
          <w:noProof/>
        </w:rPr>
        <w:t xml:space="preserve">The categories of personal data to be collected and processed in the context of a specific clinical trial should be specified in the authorised protocol. </w:t>
      </w:r>
      <w:r w:rsidR="36276E84" w:rsidRPr="004C70EC">
        <w:rPr>
          <w:noProof/>
        </w:rPr>
        <w:t xml:space="preserve">Regulation </w:t>
      </w:r>
      <w:r w:rsidR="41EB8CB0" w:rsidRPr="004C70EC">
        <w:rPr>
          <w:noProof/>
        </w:rPr>
        <w:t>(EU) No 536/2014</w:t>
      </w:r>
      <w:r w:rsidR="36276E84" w:rsidRPr="004C70EC">
        <w:rPr>
          <w:noProof/>
        </w:rPr>
        <w:t xml:space="preserve"> </w:t>
      </w:r>
      <w:r w:rsidR="003B1014" w:rsidRPr="004C70EC">
        <w:rPr>
          <w:noProof/>
        </w:rPr>
        <w:t xml:space="preserve">should be amended to </w:t>
      </w:r>
      <w:r w:rsidR="36276E84" w:rsidRPr="004C70EC">
        <w:rPr>
          <w:noProof/>
        </w:rPr>
        <w:t xml:space="preserve">establish </w:t>
      </w:r>
      <w:r w:rsidR="468BC587" w:rsidRPr="004C70EC">
        <w:rPr>
          <w:noProof/>
        </w:rPr>
        <w:t xml:space="preserve">specific </w:t>
      </w:r>
      <w:r w:rsidR="36276E84" w:rsidRPr="004C70EC">
        <w:rPr>
          <w:noProof/>
        </w:rPr>
        <w:t xml:space="preserve">safeguards for </w:t>
      </w:r>
      <w:r w:rsidR="468BC587" w:rsidRPr="004C70EC">
        <w:rPr>
          <w:noProof/>
        </w:rPr>
        <w:t xml:space="preserve">the </w:t>
      </w:r>
      <w:r w:rsidR="36276E84" w:rsidRPr="004C70EC">
        <w:rPr>
          <w:noProof/>
        </w:rPr>
        <w:t xml:space="preserve">processing of personal data, </w:t>
      </w:r>
      <w:r w:rsidR="50648497" w:rsidRPr="004C70EC">
        <w:rPr>
          <w:noProof/>
        </w:rPr>
        <w:t xml:space="preserve">including </w:t>
      </w:r>
      <w:r w:rsidR="50648497" w:rsidRPr="004C70EC">
        <w:rPr>
          <w:noProof/>
          <w:lang w:eastAsia="en-IE"/>
        </w:rPr>
        <w:t>genetic</w:t>
      </w:r>
      <w:r w:rsidR="394D3901" w:rsidRPr="004C70EC">
        <w:rPr>
          <w:noProof/>
          <w:lang w:eastAsia="en-IE"/>
        </w:rPr>
        <w:t xml:space="preserve"> data or data concerning health</w:t>
      </w:r>
      <w:r w:rsidR="36276E84" w:rsidRPr="004C70EC">
        <w:rPr>
          <w:noProof/>
        </w:rPr>
        <w:t>, in compliance with Article 9(2)</w:t>
      </w:r>
      <w:r w:rsidR="1A9783C1" w:rsidRPr="004C70EC">
        <w:rPr>
          <w:noProof/>
        </w:rPr>
        <w:t xml:space="preserve">, points </w:t>
      </w:r>
      <w:r w:rsidR="36276E84" w:rsidRPr="004C70EC">
        <w:rPr>
          <w:noProof/>
        </w:rPr>
        <w:t>(i) and (j)</w:t>
      </w:r>
      <w:r w:rsidR="1A9783C1" w:rsidRPr="004C70EC">
        <w:rPr>
          <w:noProof/>
        </w:rPr>
        <w:t>,</w:t>
      </w:r>
      <w:r w:rsidR="36276E84" w:rsidRPr="004C70EC">
        <w:rPr>
          <w:noProof/>
        </w:rPr>
        <w:t xml:space="preserve"> of </w:t>
      </w:r>
      <w:bookmarkStart w:id="17" w:name="_Hlk214274643"/>
      <w:r w:rsidR="36276E84" w:rsidRPr="004C70EC">
        <w:rPr>
          <w:noProof/>
        </w:rPr>
        <w:t>Regulation (EU) 2016/679</w:t>
      </w:r>
      <w:bookmarkEnd w:id="17"/>
      <w:r w:rsidR="36276E84" w:rsidRPr="004C70EC">
        <w:rPr>
          <w:noProof/>
        </w:rPr>
        <w:t xml:space="preserve">. For instance, it </w:t>
      </w:r>
      <w:r w:rsidR="00545E4E" w:rsidRPr="004C70EC">
        <w:rPr>
          <w:noProof/>
        </w:rPr>
        <w:t xml:space="preserve">should </w:t>
      </w:r>
      <w:r w:rsidR="36276E84" w:rsidRPr="004C70EC">
        <w:rPr>
          <w:noProof/>
        </w:rPr>
        <w:t>require informed consent to participate in the clinical trial</w:t>
      </w:r>
      <w:r w:rsidR="468BC587" w:rsidRPr="004C70EC">
        <w:rPr>
          <w:noProof/>
        </w:rPr>
        <w:t xml:space="preserve">, as well as to maintain confidentiality of records and personal data of participants. The protocol </w:t>
      </w:r>
      <w:r w:rsidR="60B16A6D" w:rsidRPr="004C70EC">
        <w:rPr>
          <w:noProof/>
        </w:rPr>
        <w:t>should</w:t>
      </w:r>
      <w:r w:rsidR="468BC587" w:rsidRPr="004C70EC">
        <w:rPr>
          <w:noProof/>
        </w:rPr>
        <w:t xml:space="preserve"> specify further appropriate safeguards such a</w:t>
      </w:r>
      <w:r w:rsidR="321331FF" w:rsidRPr="004C70EC">
        <w:rPr>
          <w:noProof/>
        </w:rPr>
        <w:t>s</w:t>
      </w:r>
      <w:r w:rsidR="637735A7" w:rsidRPr="004C70EC">
        <w:rPr>
          <w:noProof/>
        </w:rPr>
        <w:t xml:space="preserve"> </w:t>
      </w:r>
      <w:r w:rsidR="36276E84" w:rsidRPr="004C70EC">
        <w:rPr>
          <w:noProof/>
          <w:lang w:eastAsia="en-IE"/>
        </w:rPr>
        <w:t xml:space="preserve">specific technical and organisational measures </w:t>
      </w:r>
      <w:r w:rsidR="003B1014" w:rsidRPr="004C70EC">
        <w:rPr>
          <w:noProof/>
          <w:lang w:eastAsia="en-IE"/>
        </w:rPr>
        <w:t xml:space="preserve">that </w:t>
      </w:r>
      <w:r w:rsidR="36276E84" w:rsidRPr="004C70EC">
        <w:rPr>
          <w:noProof/>
          <w:lang w:eastAsia="en-IE"/>
        </w:rPr>
        <w:t>should be employed, including pseudonymisation, integrity and confidentiality controls, encryption and access restrictions.</w:t>
      </w:r>
      <w:r w:rsidR="46F502B1" w:rsidRPr="004C70EC">
        <w:rPr>
          <w:noProof/>
          <w:lang w:eastAsia="en-IE"/>
        </w:rPr>
        <w:t xml:space="preserve"> </w:t>
      </w:r>
      <w:r w:rsidR="36276E84" w:rsidRPr="004C70EC">
        <w:rPr>
          <w:noProof/>
          <w:lang w:eastAsia="en-IE"/>
        </w:rPr>
        <w:t> </w:t>
      </w:r>
      <w:r w:rsidR="0DD8892D" w:rsidRPr="004C70EC">
        <w:rPr>
          <w:noProof/>
        </w:rPr>
        <w:t xml:space="preserve">In addition, any clinical trial </w:t>
      </w:r>
      <w:r w:rsidR="003B1014" w:rsidRPr="004C70EC">
        <w:rPr>
          <w:noProof/>
        </w:rPr>
        <w:t>should</w:t>
      </w:r>
      <w:r w:rsidR="0DD8892D" w:rsidRPr="004C70EC">
        <w:rPr>
          <w:noProof/>
        </w:rPr>
        <w:t xml:space="preserve"> be subject to ethical review.</w:t>
      </w:r>
    </w:p>
    <w:p w14:paraId="37AF780C" w14:textId="5620297F" w:rsidR="004E527A" w:rsidRPr="004C70EC" w:rsidRDefault="00C03A23" w:rsidP="00C03A23">
      <w:pPr>
        <w:pStyle w:val="ManualConsidrant"/>
        <w:rPr>
          <w:noProof/>
          <w:lang w:val="en-IE" w:eastAsia="de-DE"/>
        </w:rPr>
      </w:pPr>
      <w:r w:rsidRPr="00C03A23">
        <w:rPr>
          <w:noProof/>
        </w:rPr>
        <w:t>(152)</w:t>
      </w:r>
      <w:r w:rsidRPr="00C03A23">
        <w:rPr>
          <w:noProof/>
        </w:rPr>
        <w:tab/>
      </w:r>
      <w:r w:rsidR="36276E84" w:rsidRPr="004C70EC">
        <w:rPr>
          <w:noProof/>
          <w:lang w:eastAsia="en-IE"/>
        </w:rPr>
        <w:t xml:space="preserve">Since this Regulation </w:t>
      </w:r>
      <w:r w:rsidR="00545E4E" w:rsidRPr="004C70EC">
        <w:rPr>
          <w:noProof/>
          <w:lang w:eastAsia="en-IE"/>
        </w:rPr>
        <w:t xml:space="preserve">amends Regulation </w:t>
      </w:r>
      <w:r w:rsidR="282873CA" w:rsidRPr="004C70EC">
        <w:rPr>
          <w:noProof/>
          <w:lang w:eastAsia="en-IE"/>
        </w:rPr>
        <w:t>(EU) No 536/2014</w:t>
      </w:r>
      <w:r w:rsidR="53264BBF" w:rsidRPr="004C70EC">
        <w:rPr>
          <w:noProof/>
          <w:lang w:eastAsia="en-IE"/>
        </w:rPr>
        <w:t xml:space="preserve"> </w:t>
      </w:r>
      <w:r w:rsidR="00545E4E" w:rsidRPr="004C70EC">
        <w:rPr>
          <w:noProof/>
          <w:lang w:eastAsia="en-IE"/>
        </w:rPr>
        <w:t xml:space="preserve">to </w:t>
      </w:r>
      <w:r w:rsidR="36276E84" w:rsidRPr="004C70EC">
        <w:rPr>
          <w:noProof/>
          <w:lang w:eastAsia="en-IE"/>
        </w:rPr>
        <w:t xml:space="preserve">establish a harmonised </w:t>
      </w:r>
      <w:r w:rsidR="544C55EE" w:rsidRPr="004C70EC">
        <w:rPr>
          <w:noProof/>
          <w:lang w:eastAsia="en-IE"/>
        </w:rPr>
        <w:t xml:space="preserve">framework </w:t>
      </w:r>
      <w:r w:rsidR="36276E84" w:rsidRPr="004C70EC">
        <w:rPr>
          <w:noProof/>
          <w:lang w:eastAsia="en-IE"/>
        </w:rPr>
        <w:t>for the processing of personal data</w:t>
      </w:r>
      <w:r w:rsidR="767D81DA" w:rsidRPr="004C70EC">
        <w:rPr>
          <w:noProof/>
          <w:lang w:eastAsia="en-IE"/>
        </w:rPr>
        <w:t xml:space="preserve"> </w:t>
      </w:r>
      <w:r w:rsidR="767D81DA" w:rsidRPr="004C70EC">
        <w:rPr>
          <w:noProof/>
        </w:rPr>
        <w:t>in the context of clinical trials</w:t>
      </w:r>
      <w:r w:rsidR="36276E84" w:rsidRPr="004C70EC">
        <w:rPr>
          <w:noProof/>
          <w:lang w:eastAsia="en-IE"/>
        </w:rPr>
        <w:t xml:space="preserve">, Member States should not be able to maintain or introduce under Article 9(4) of Regulation (EU) 2016/679 further conditions, including limitations and specific provisions such as requesting the consent of natural persons in the sense of </w:t>
      </w:r>
      <w:r w:rsidR="00545E4E" w:rsidRPr="004C70EC">
        <w:rPr>
          <w:noProof/>
          <w:lang w:eastAsia="en-IE"/>
        </w:rPr>
        <w:t xml:space="preserve">that </w:t>
      </w:r>
      <w:r w:rsidR="36276E84" w:rsidRPr="004C70EC">
        <w:rPr>
          <w:noProof/>
          <w:lang w:eastAsia="en-IE"/>
        </w:rPr>
        <w:t>Regulation, with regard to the processing of personal data</w:t>
      </w:r>
      <w:r w:rsidR="48A830BA" w:rsidRPr="004C70EC">
        <w:rPr>
          <w:noProof/>
          <w:lang w:eastAsia="en-IE"/>
        </w:rPr>
        <w:t>, including genetic data or data concerning health</w:t>
      </w:r>
      <w:r w:rsidR="36276E84" w:rsidRPr="004C70EC">
        <w:rPr>
          <w:noProof/>
          <w:lang w:eastAsia="en-IE"/>
        </w:rPr>
        <w:t xml:space="preserve"> under Regulation</w:t>
      </w:r>
      <w:r w:rsidR="46841D23" w:rsidRPr="004C70EC">
        <w:rPr>
          <w:noProof/>
          <w:lang w:eastAsia="en-IE"/>
        </w:rPr>
        <w:t xml:space="preserve"> (EU) No 536/2014</w:t>
      </w:r>
      <w:r w:rsidR="00545E4E" w:rsidRPr="004C70EC">
        <w:rPr>
          <w:noProof/>
          <w:lang w:eastAsia="en-IE"/>
        </w:rPr>
        <w:t xml:space="preserve"> as amended by this Regulation</w:t>
      </w:r>
      <w:r w:rsidR="3E4ED9F0" w:rsidRPr="004C70EC">
        <w:rPr>
          <w:noProof/>
          <w:lang w:eastAsia="en-IE"/>
        </w:rPr>
        <w:t>.</w:t>
      </w:r>
      <w:r w:rsidR="249CF78E" w:rsidRPr="004C70EC">
        <w:rPr>
          <w:noProof/>
          <w:lang w:eastAsia="en-IE"/>
        </w:rPr>
        <w:t> </w:t>
      </w:r>
    </w:p>
    <w:p w14:paraId="619D3488" w14:textId="2E177CEC" w:rsidR="004E527A" w:rsidRPr="004C70EC" w:rsidRDefault="00C03A23" w:rsidP="00C03A23">
      <w:pPr>
        <w:pStyle w:val="ManualConsidrant"/>
        <w:rPr>
          <w:noProof/>
          <w:lang w:val="en-IE" w:eastAsia="de-DE"/>
        </w:rPr>
      </w:pPr>
      <w:r w:rsidRPr="00C03A23">
        <w:rPr>
          <w:noProof/>
        </w:rPr>
        <w:t>(153)</w:t>
      </w:r>
      <w:r w:rsidRPr="00C03A23">
        <w:rPr>
          <w:noProof/>
        </w:rPr>
        <w:tab/>
      </w:r>
      <w:r w:rsidR="36276E84" w:rsidRPr="004C70EC">
        <w:rPr>
          <w:noProof/>
          <w:lang w:eastAsia="en-IE"/>
        </w:rPr>
        <w:t xml:space="preserve">Personal data which is collected and processed under each authorised protocol in accordance with Regulation </w:t>
      </w:r>
      <w:r w:rsidR="55439361" w:rsidRPr="004C70EC">
        <w:rPr>
          <w:noProof/>
          <w:lang w:eastAsia="en-IE"/>
        </w:rPr>
        <w:t>(EU) No 536/2014</w:t>
      </w:r>
      <w:r w:rsidR="36276E84" w:rsidRPr="004C70EC">
        <w:rPr>
          <w:noProof/>
          <w:lang w:eastAsia="en-IE"/>
        </w:rPr>
        <w:t xml:space="preserve"> </w:t>
      </w:r>
      <w:r w:rsidR="00545E4E" w:rsidRPr="004C70EC">
        <w:rPr>
          <w:noProof/>
          <w:lang w:eastAsia="en-IE"/>
        </w:rPr>
        <w:t xml:space="preserve">as amended by this Regulation </w:t>
      </w:r>
      <w:r w:rsidR="36276E84" w:rsidRPr="004C70EC">
        <w:rPr>
          <w:noProof/>
          <w:lang w:eastAsia="en-IE"/>
        </w:rPr>
        <w:t xml:space="preserve">may be further processed </w:t>
      </w:r>
      <w:r w:rsidR="5DC161B3" w:rsidRPr="004C70EC">
        <w:rPr>
          <w:noProof/>
          <w:lang w:eastAsia="en-IE"/>
        </w:rPr>
        <w:t xml:space="preserve">by the same controller </w:t>
      </w:r>
      <w:r w:rsidR="36276E84" w:rsidRPr="004C70EC">
        <w:rPr>
          <w:noProof/>
          <w:lang w:eastAsia="en-IE"/>
        </w:rPr>
        <w:t>for the purposes of other clinical trials, conducted in accordance with Regulation</w:t>
      </w:r>
      <w:r w:rsidR="3070D32C" w:rsidRPr="004C70EC">
        <w:rPr>
          <w:noProof/>
          <w:lang w:eastAsia="en-IE"/>
        </w:rPr>
        <w:t xml:space="preserve"> (EU) No 536/2014</w:t>
      </w:r>
      <w:r w:rsidR="36276E84" w:rsidRPr="004C70EC">
        <w:rPr>
          <w:noProof/>
          <w:lang w:eastAsia="en-IE"/>
        </w:rPr>
        <w:t xml:space="preserve">. Such data may include names, contact details, health and genetic data of subjects. It should also be possible to further process such personal data </w:t>
      </w:r>
      <w:r w:rsidR="057B025B" w:rsidRPr="004C70EC">
        <w:rPr>
          <w:noProof/>
          <w:lang w:eastAsia="en-IE"/>
        </w:rPr>
        <w:t xml:space="preserve">by the same controller </w:t>
      </w:r>
      <w:r w:rsidR="36276E84" w:rsidRPr="004C70EC">
        <w:rPr>
          <w:noProof/>
          <w:lang w:eastAsia="en-IE"/>
        </w:rPr>
        <w:t>for scientific research purposes</w:t>
      </w:r>
      <w:r w:rsidR="249CF78E" w:rsidRPr="004C70EC">
        <w:rPr>
          <w:noProof/>
          <w:lang w:eastAsia="en-IE"/>
        </w:rPr>
        <w:t>. </w:t>
      </w:r>
    </w:p>
    <w:p w14:paraId="66F52CE1" w14:textId="71F0631E" w:rsidR="004E527A" w:rsidRPr="004C70EC" w:rsidRDefault="00C03A23" w:rsidP="00C03A23">
      <w:pPr>
        <w:pStyle w:val="ManualConsidrant"/>
        <w:rPr>
          <w:rFonts w:eastAsia="Times New Roman"/>
          <w:noProof/>
          <w:lang w:val="en-IE" w:eastAsia="de-DE"/>
        </w:rPr>
      </w:pPr>
      <w:r w:rsidRPr="00C03A23">
        <w:rPr>
          <w:noProof/>
        </w:rPr>
        <w:t>(154)</w:t>
      </w:r>
      <w:r w:rsidRPr="00C03A23">
        <w:rPr>
          <w:noProof/>
        </w:rPr>
        <w:tab/>
      </w:r>
      <w:r w:rsidR="249CF78E" w:rsidRPr="004C70EC">
        <w:rPr>
          <w:noProof/>
          <w:shd w:val="clear" w:color="auto" w:fill="FFFFFF"/>
          <w:lang w:eastAsia="en-GB"/>
        </w:rPr>
        <w:t>To further address the issue of fragmentation within and across Member States on the application of the measures applicable to the conduct of clinical trials and, as regards certain aspect that remain national, and drive further harmonisation, it is necessary to enable closer cooperation between and across Member States</w:t>
      </w:r>
      <w:r w:rsidR="50CCC91F" w:rsidRPr="004C70EC">
        <w:rPr>
          <w:noProof/>
          <w:lang w:eastAsia="en-GB"/>
        </w:rPr>
        <w:t>’</w:t>
      </w:r>
      <w:r w:rsidR="249CF78E" w:rsidRPr="004C70EC">
        <w:rPr>
          <w:noProof/>
          <w:shd w:val="clear" w:color="auto" w:fill="FFFFFF"/>
          <w:lang w:eastAsia="en-GB"/>
        </w:rPr>
        <w:t xml:space="preserve"> competent authorities and ethics committees. For that purpose, the role and tasks of </w:t>
      </w:r>
      <w:r w:rsidR="164289F3" w:rsidRPr="004C70EC">
        <w:rPr>
          <w:noProof/>
          <w:lang w:eastAsia="en-GB"/>
        </w:rPr>
        <w:t xml:space="preserve">the </w:t>
      </w:r>
      <w:r w:rsidR="249CF78E" w:rsidRPr="004C70EC">
        <w:rPr>
          <w:noProof/>
          <w:shd w:val="clear" w:color="auto" w:fill="FFFFFF"/>
          <w:lang w:eastAsia="en-GB"/>
        </w:rPr>
        <w:t xml:space="preserve">Clinical Trials Coordination and Advisory Group </w:t>
      </w:r>
      <w:r w:rsidR="164289F3" w:rsidRPr="004C70EC">
        <w:rPr>
          <w:noProof/>
          <w:lang w:eastAsia="en-GB"/>
        </w:rPr>
        <w:t xml:space="preserve">(CTAG) </w:t>
      </w:r>
      <w:r w:rsidR="249CF78E" w:rsidRPr="004C70EC">
        <w:rPr>
          <w:noProof/>
          <w:shd w:val="clear" w:color="auto" w:fill="FFFFFF"/>
          <w:lang w:eastAsia="en-GB"/>
        </w:rPr>
        <w:t xml:space="preserve">should be extended. The CTAG should in particular be empowered to </w:t>
      </w:r>
      <w:r w:rsidR="249CF78E" w:rsidRPr="004C70EC">
        <w:rPr>
          <w:noProof/>
          <w:lang w:eastAsia="en-GB"/>
        </w:rPr>
        <w:t xml:space="preserve">issue or </w:t>
      </w:r>
      <w:r w:rsidR="7542D995" w:rsidRPr="004C70EC">
        <w:rPr>
          <w:noProof/>
          <w:lang w:eastAsia="en-GB"/>
        </w:rPr>
        <w:t>endorse guidance</w:t>
      </w:r>
      <w:r w:rsidR="249CF78E" w:rsidRPr="004C70EC">
        <w:rPr>
          <w:noProof/>
          <w:lang w:eastAsia="en-GB"/>
        </w:rPr>
        <w:t xml:space="preserve"> document</w:t>
      </w:r>
      <w:r w:rsidR="6C15150D" w:rsidRPr="004C70EC">
        <w:rPr>
          <w:noProof/>
          <w:lang w:eastAsia="en-GB"/>
        </w:rPr>
        <w:t>s</w:t>
      </w:r>
      <w:r w:rsidR="249CF78E" w:rsidRPr="004C70EC">
        <w:rPr>
          <w:noProof/>
          <w:shd w:val="clear" w:color="auto" w:fill="FFFFFF"/>
          <w:lang w:eastAsia="en-GB"/>
        </w:rPr>
        <w:t xml:space="preserve"> related to clinical trials conduct and supervision</w:t>
      </w:r>
      <w:r w:rsidR="164289F3" w:rsidRPr="004C70EC">
        <w:rPr>
          <w:noProof/>
          <w:lang w:eastAsia="en-GB"/>
        </w:rPr>
        <w:t>,</w:t>
      </w:r>
      <w:r w:rsidR="04FAA19B" w:rsidRPr="004C70EC">
        <w:rPr>
          <w:noProof/>
          <w:lang w:eastAsia="en-GB"/>
        </w:rPr>
        <w:t xml:space="preserve"> to ensure uniform interpretation and harmonised implementation of Regulation</w:t>
      </w:r>
      <w:r w:rsidR="65F22DB1" w:rsidRPr="004C70EC">
        <w:rPr>
          <w:noProof/>
          <w:lang w:eastAsia="en-GB"/>
        </w:rPr>
        <w:t xml:space="preserve"> (EU) No 536/2014</w:t>
      </w:r>
      <w:r w:rsidR="04FAA19B" w:rsidRPr="004C70EC">
        <w:rPr>
          <w:noProof/>
          <w:lang w:eastAsia="en-GB"/>
        </w:rPr>
        <w:t xml:space="preserve"> across </w:t>
      </w:r>
      <w:r w:rsidR="3D9A354D" w:rsidRPr="004C70EC">
        <w:rPr>
          <w:noProof/>
          <w:lang w:eastAsia="en-GB"/>
        </w:rPr>
        <w:t xml:space="preserve">the </w:t>
      </w:r>
      <w:r w:rsidR="04FAA19B" w:rsidRPr="004C70EC">
        <w:rPr>
          <w:noProof/>
          <w:lang w:eastAsia="en-GB"/>
        </w:rPr>
        <w:t>Member S</w:t>
      </w:r>
      <w:r w:rsidR="0269B49A" w:rsidRPr="004C70EC">
        <w:rPr>
          <w:noProof/>
          <w:lang w:eastAsia="en-GB"/>
        </w:rPr>
        <w:t>tates</w:t>
      </w:r>
      <w:r w:rsidR="249CF78E" w:rsidRPr="004C70EC">
        <w:rPr>
          <w:noProof/>
          <w:shd w:val="clear" w:color="auto" w:fill="FFFFFF"/>
          <w:lang w:eastAsia="en-GB"/>
        </w:rPr>
        <w:t>.</w:t>
      </w:r>
      <w:r w:rsidR="249CF78E" w:rsidRPr="004C70EC">
        <w:rPr>
          <w:strike/>
          <w:noProof/>
          <w:shd w:val="clear" w:color="auto" w:fill="FFFFFF"/>
          <w:lang w:eastAsia="en-GB"/>
        </w:rPr>
        <w:t xml:space="preserve"> </w:t>
      </w:r>
    </w:p>
    <w:p w14:paraId="66C7AE05" w14:textId="0E51C49D" w:rsidR="004E527A" w:rsidRPr="004C70EC" w:rsidRDefault="00C03A23" w:rsidP="00C03A23">
      <w:pPr>
        <w:pStyle w:val="ManualConsidrant"/>
        <w:rPr>
          <w:noProof/>
          <w:lang w:val="en-IE" w:eastAsia="de-DE"/>
        </w:rPr>
      </w:pPr>
      <w:r w:rsidRPr="00C03A23">
        <w:rPr>
          <w:noProof/>
        </w:rPr>
        <w:t>(155)</w:t>
      </w:r>
      <w:r w:rsidRPr="00C03A23">
        <w:rPr>
          <w:noProof/>
        </w:rPr>
        <w:tab/>
      </w:r>
      <w:r w:rsidR="249CF78E" w:rsidRPr="004C70EC">
        <w:rPr>
          <w:noProof/>
          <w:lang w:eastAsia="en-IE"/>
        </w:rPr>
        <w:t xml:space="preserve">Ethics </w:t>
      </w:r>
      <w:r w:rsidR="61D0F09D" w:rsidRPr="004C70EC">
        <w:rPr>
          <w:noProof/>
          <w:lang w:eastAsia="en-IE"/>
        </w:rPr>
        <w:t>c</w:t>
      </w:r>
      <w:r w:rsidR="249CF78E" w:rsidRPr="004C70EC">
        <w:rPr>
          <w:noProof/>
          <w:lang w:eastAsia="en-IE"/>
        </w:rPr>
        <w:t>ommittees</w:t>
      </w:r>
      <w:r w:rsidR="2A277928" w:rsidRPr="004C70EC">
        <w:rPr>
          <w:noProof/>
          <w:lang w:eastAsia="en-IE"/>
        </w:rPr>
        <w:t xml:space="preserve"> </w:t>
      </w:r>
      <w:r w:rsidR="249CF78E" w:rsidRPr="004C70EC">
        <w:rPr>
          <w:noProof/>
          <w:lang w:eastAsia="en-IE"/>
        </w:rPr>
        <w:t>involved in the assessment of clinical trials application should collaborate in a dedicated forum with the objective to strengthen cooperation in the area of ethical aspects of clinical trials which are of national competence. </w:t>
      </w:r>
    </w:p>
    <w:p w14:paraId="156BE071" w14:textId="1DBA4766" w:rsidR="004E527A" w:rsidRPr="004C70EC" w:rsidRDefault="00C03A23" w:rsidP="00C03A23">
      <w:pPr>
        <w:pStyle w:val="ManualConsidrant"/>
        <w:rPr>
          <w:noProof/>
          <w:lang w:val="en-IE" w:eastAsia="de-DE"/>
        </w:rPr>
      </w:pPr>
      <w:r w:rsidRPr="00C03A23">
        <w:rPr>
          <w:noProof/>
        </w:rPr>
        <w:t>(156)</w:t>
      </w:r>
      <w:r w:rsidRPr="00C03A23">
        <w:rPr>
          <w:noProof/>
        </w:rPr>
        <w:tab/>
      </w:r>
      <w:r w:rsidR="249CF78E" w:rsidRPr="004C70EC">
        <w:rPr>
          <w:noProof/>
          <w:lang w:eastAsia="en-IE"/>
        </w:rPr>
        <w:t xml:space="preserve">Regulation </w:t>
      </w:r>
      <w:r w:rsidR="5FCDFE1A" w:rsidRPr="004C70EC">
        <w:rPr>
          <w:noProof/>
          <w:lang w:eastAsia="en-IE"/>
        </w:rPr>
        <w:t>(EU) No 536/2014</w:t>
      </w:r>
      <w:r w:rsidR="249CF78E" w:rsidRPr="004C70EC">
        <w:rPr>
          <w:noProof/>
          <w:lang w:eastAsia="en-IE"/>
        </w:rPr>
        <w:t xml:space="preserve"> outlines the responsibilities of Member States in designating competent authorities and ethics committees for regulatory activities, including oversight. </w:t>
      </w:r>
      <w:r w:rsidR="38C196EC" w:rsidRPr="004C70EC">
        <w:rPr>
          <w:noProof/>
          <w:lang w:eastAsia="en-IE"/>
        </w:rPr>
        <w:t>T</w:t>
      </w:r>
      <w:r w:rsidR="249CF78E" w:rsidRPr="004C70EC">
        <w:rPr>
          <w:noProof/>
          <w:lang w:eastAsia="en-IE"/>
        </w:rPr>
        <w:t>o perform their roles as required by th</w:t>
      </w:r>
      <w:r w:rsidR="00545E4E" w:rsidRPr="004C70EC">
        <w:rPr>
          <w:noProof/>
          <w:lang w:eastAsia="en-IE"/>
        </w:rPr>
        <w:t xml:space="preserve">e provisions of this </w:t>
      </w:r>
      <w:r w:rsidR="249CF78E" w:rsidRPr="004C70EC">
        <w:rPr>
          <w:noProof/>
          <w:lang w:eastAsia="en-IE"/>
        </w:rPr>
        <w:t xml:space="preserve"> Regulation</w:t>
      </w:r>
      <w:r w:rsidR="00545E4E" w:rsidRPr="004C70EC">
        <w:rPr>
          <w:noProof/>
          <w:lang w:eastAsia="en-IE"/>
        </w:rPr>
        <w:t xml:space="preserve"> amending Regulation (EU) No 536/2014</w:t>
      </w:r>
      <w:r w:rsidR="249CF78E" w:rsidRPr="004C70EC">
        <w:rPr>
          <w:noProof/>
          <w:lang w:eastAsia="en-IE"/>
        </w:rPr>
        <w:t xml:space="preserve">, these competent authorities </w:t>
      </w:r>
      <w:r w:rsidR="270794D4" w:rsidRPr="004C70EC">
        <w:rPr>
          <w:noProof/>
          <w:lang w:eastAsia="en-IE"/>
        </w:rPr>
        <w:t xml:space="preserve">and responsible ethics committees </w:t>
      </w:r>
      <w:r w:rsidR="249CF78E" w:rsidRPr="004C70EC">
        <w:rPr>
          <w:noProof/>
          <w:lang w:eastAsia="en-IE"/>
        </w:rPr>
        <w:t xml:space="preserve">should be vested in the necessary powers, have at their disposal qualified personnel and sufficient resources to perform their duties effectively. </w:t>
      </w:r>
      <w:r w:rsidR="7745F481" w:rsidRPr="004C70EC">
        <w:rPr>
          <w:noProof/>
          <w:lang w:eastAsia="en-IE"/>
        </w:rPr>
        <w:t>Regulation</w:t>
      </w:r>
      <w:r w:rsidR="4F4CD586" w:rsidRPr="004C70EC">
        <w:rPr>
          <w:noProof/>
          <w:lang w:eastAsia="en-IE"/>
        </w:rPr>
        <w:t xml:space="preserve"> (EU) 536/2014</w:t>
      </w:r>
      <w:r w:rsidR="7745F481" w:rsidRPr="004C70EC">
        <w:rPr>
          <w:noProof/>
          <w:lang w:eastAsia="en-IE"/>
        </w:rPr>
        <w:t xml:space="preserve"> emph</w:t>
      </w:r>
      <w:r w:rsidR="4B7AFCDB" w:rsidRPr="004C70EC">
        <w:rPr>
          <w:noProof/>
          <w:lang w:eastAsia="en-IE"/>
        </w:rPr>
        <w:t>a</w:t>
      </w:r>
      <w:r w:rsidR="7745F481" w:rsidRPr="004C70EC">
        <w:rPr>
          <w:noProof/>
          <w:lang w:eastAsia="en-IE"/>
        </w:rPr>
        <w:t>size</w:t>
      </w:r>
      <w:r w:rsidR="24007E57" w:rsidRPr="004C70EC">
        <w:rPr>
          <w:noProof/>
          <w:lang w:eastAsia="en-IE"/>
        </w:rPr>
        <w:t>s</w:t>
      </w:r>
      <w:r w:rsidR="7745F481" w:rsidRPr="004C70EC">
        <w:rPr>
          <w:noProof/>
          <w:lang w:eastAsia="en-IE"/>
        </w:rPr>
        <w:t xml:space="preserve"> the</w:t>
      </w:r>
      <w:r w:rsidR="249CF78E" w:rsidRPr="004C70EC">
        <w:rPr>
          <w:noProof/>
          <w:lang w:eastAsia="en-IE"/>
        </w:rPr>
        <w:t xml:space="preserve"> importance of communication and coordination to ensure consistent and efficient regulatory actions within Member States.  It is also essential to define how the Commission will verify the correct implementation of the law by </w:t>
      </w:r>
      <w:r w:rsidR="00545E4E" w:rsidRPr="004C70EC">
        <w:rPr>
          <w:noProof/>
          <w:lang w:eastAsia="en-IE"/>
        </w:rPr>
        <w:t xml:space="preserve">the </w:t>
      </w:r>
      <w:r w:rsidR="249CF78E" w:rsidRPr="004C70EC">
        <w:rPr>
          <w:noProof/>
          <w:lang w:eastAsia="en-IE"/>
        </w:rPr>
        <w:t>competent authorities.</w:t>
      </w:r>
      <w:r w:rsidR="00545E4E" w:rsidRPr="004C70EC">
        <w:rPr>
          <w:noProof/>
        </w:rPr>
        <w:t xml:space="preserve"> </w:t>
      </w:r>
      <w:r w:rsidR="00545E4E" w:rsidRPr="004C70EC">
        <w:rPr>
          <w:noProof/>
          <w:lang w:eastAsia="en-IE"/>
        </w:rPr>
        <w:t>Regulation (EU) No 536/2014 should be amended accordingly.</w:t>
      </w:r>
    </w:p>
    <w:p w14:paraId="668E14BB" w14:textId="38D3503F" w:rsidR="004E527A" w:rsidRPr="004C70EC" w:rsidRDefault="00C03A23" w:rsidP="00C03A23">
      <w:pPr>
        <w:pStyle w:val="ManualConsidrant"/>
        <w:rPr>
          <w:noProof/>
          <w:lang w:val="en-IE" w:eastAsia="de-DE"/>
        </w:rPr>
      </w:pPr>
      <w:r w:rsidRPr="00C03A23">
        <w:rPr>
          <w:noProof/>
        </w:rPr>
        <w:t>(157)</w:t>
      </w:r>
      <w:r w:rsidRPr="00C03A23">
        <w:rPr>
          <w:noProof/>
        </w:rPr>
        <w:tab/>
      </w:r>
      <w:r w:rsidR="249CF78E" w:rsidRPr="004C70EC">
        <w:rPr>
          <w:noProof/>
          <w:lang w:eastAsia="en-IE"/>
        </w:rPr>
        <w:t>The integration of AI in clinical trials presents</w:t>
      </w:r>
      <w:r w:rsidR="2A277928" w:rsidRPr="004C70EC">
        <w:rPr>
          <w:noProof/>
          <w:lang w:eastAsia="en-IE"/>
        </w:rPr>
        <w:t xml:space="preserve"> </w:t>
      </w:r>
      <w:r w:rsidR="249CF78E" w:rsidRPr="004C70EC">
        <w:rPr>
          <w:noProof/>
          <w:lang w:eastAsia="en-IE"/>
        </w:rPr>
        <w:t>opportunities to enhance the clinical trials’ design, execution, and oversight. This technological advancement offers substantial benefits to clinical trial sponsors, regulators, and ultimately patients. Among the possible enhancements are improved endpoint determination, advanced statistical analysis, optimized patient selection, enhanced data handling and analysis.</w:t>
      </w:r>
      <w:r w:rsidR="2A277928" w:rsidRPr="004C70EC">
        <w:rPr>
          <w:noProof/>
          <w:lang w:eastAsia="en-IE"/>
        </w:rPr>
        <w:t xml:space="preserve"> </w:t>
      </w:r>
      <w:r w:rsidR="249CF78E" w:rsidRPr="004C70EC">
        <w:rPr>
          <w:noProof/>
          <w:lang w:eastAsia="en-IE"/>
        </w:rPr>
        <w:t>While AI tools aim to accelerate the development of medicinal products, it is imperative that their use in clinical trials adheres to applicable legislation. This includes</w:t>
      </w:r>
      <w:r w:rsidR="1A5C0987" w:rsidRPr="004C70EC">
        <w:rPr>
          <w:noProof/>
          <w:lang w:eastAsia="en-IE"/>
        </w:rPr>
        <w:t>,</w:t>
      </w:r>
      <w:r w:rsidR="249CF78E" w:rsidRPr="004C70EC">
        <w:rPr>
          <w:noProof/>
          <w:lang w:eastAsia="en-IE"/>
        </w:rPr>
        <w:t xml:space="preserve"> </w:t>
      </w:r>
      <w:r w:rsidR="1A5C0987" w:rsidRPr="004C70EC">
        <w:rPr>
          <w:noProof/>
          <w:lang w:eastAsia="en-IE"/>
        </w:rPr>
        <w:t xml:space="preserve">when applicable, </w:t>
      </w:r>
      <w:r w:rsidR="249CF78E" w:rsidRPr="004C70EC">
        <w:rPr>
          <w:noProof/>
          <w:lang w:eastAsia="en-IE"/>
        </w:rPr>
        <w:t xml:space="preserve">compliance with Regulation (EU) 2024/1689, Regulation (EU) 2017/746, </w:t>
      </w:r>
      <w:r w:rsidR="4943FBAA" w:rsidRPr="004C70EC">
        <w:rPr>
          <w:noProof/>
        </w:rPr>
        <w:t xml:space="preserve">Regulation (EU) 2017/745 </w:t>
      </w:r>
      <w:r w:rsidR="249CF78E" w:rsidRPr="004C70EC">
        <w:rPr>
          <w:noProof/>
          <w:lang w:eastAsia="en-IE"/>
        </w:rPr>
        <w:t>and Regulation (EU) 2016/679.</w:t>
      </w:r>
    </w:p>
    <w:p w14:paraId="73BE4749" w14:textId="2525DE71" w:rsidR="004E527A" w:rsidRPr="004C70EC" w:rsidRDefault="00C03A23" w:rsidP="00C03A23">
      <w:pPr>
        <w:pStyle w:val="ManualConsidrant"/>
        <w:rPr>
          <w:noProof/>
          <w:lang w:val="en-IE" w:eastAsia="de-DE"/>
        </w:rPr>
      </w:pPr>
      <w:r w:rsidRPr="00C03A23">
        <w:rPr>
          <w:noProof/>
        </w:rPr>
        <w:t>(158)</w:t>
      </w:r>
      <w:r w:rsidRPr="00C03A23">
        <w:rPr>
          <w:noProof/>
        </w:rPr>
        <w:tab/>
      </w:r>
      <w:r w:rsidR="249CF78E" w:rsidRPr="004C70EC">
        <w:rPr>
          <w:noProof/>
          <w:lang w:eastAsia="en-IE"/>
        </w:rPr>
        <w:t xml:space="preserve">Sponsors hold the responsibility to evaluate the potential impact and risk of AI tools on patient safety based on </w:t>
      </w:r>
      <w:r w:rsidR="715976D0" w:rsidRPr="004C70EC">
        <w:rPr>
          <w:noProof/>
          <w:lang w:eastAsia="en-IE"/>
        </w:rPr>
        <w:t>guidelines</w:t>
      </w:r>
      <w:r w:rsidR="249CF78E" w:rsidRPr="004C70EC">
        <w:rPr>
          <w:noProof/>
          <w:lang w:eastAsia="en-IE"/>
        </w:rPr>
        <w:t xml:space="preserve">. Untested systems may introduce </w:t>
      </w:r>
      <w:r w:rsidR="188C0236" w:rsidRPr="004C70EC">
        <w:rPr>
          <w:noProof/>
          <w:lang w:eastAsia="en-IE"/>
        </w:rPr>
        <w:t>gender and other</w:t>
      </w:r>
      <w:r w:rsidR="249CF78E" w:rsidRPr="004C70EC">
        <w:rPr>
          <w:noProof/>
          <w:lang w:eastAsia="en-IE"/>
        </w:rPr>
        <w:t xml:space="preserve"> biases and errors, risking unreliable outcomes or failures in interpreting medical data accurately. Such risks could lead to misdiagnosis, incorrect treatment, or inaccurate patient selection, especially hazardous in extensive clinical trials with numerous participants. The </w:t>
      </w:r>
      <w:r w:rsidR="653EDD1D" w:rsidRPr="004C70EC">
        <w:rPr>
          <w:noProof/>
          <w:lang w:eastAsia="en-IE"/>
        </w:rPr>
        <w:t>guidelines</w:t>
      </w:r>
      <w:r w:rsidR="249CF78E" w:rsidRPr="004C70EC">
        <w:rPr>
          <w:noProof/>
          <w:lang w:eastAsia="en-IE"/>
        </w:rPr>
        <w:t xml:space="preserve"> on the developments and deployment of AI tools developed by the Agency, in cooperation with the Clinical Trials Coordination and Advisory Group, </w:t>
      </w:r>
      <w:r w:rsidR="12A0F016" w:rsidRPr="004C70EC">
        <w:rPr>
          <w:noProof/>
          <w:lang w:eastAsia="en-IE"/>
        </w:rPr>
        <w:t>and as appropriate, with other expert group</w:t>
      </w:r>
      <w:r w:rsidR="6B25D5A9" w:rsidRPr="004C70EC">
        <w:rPr>
          <w:noProof/>
          <w:lang w:eastAsia="en-IE"/>
        </w:rPr>
        <w:t>s</w:t>
      </w:r>
      <w:r w:rsidR="12A0F016" w:rsidRPr="004C70EC">
        <w:rPr>
          <w:noProof/>
          <w:lang w:eastAsia="en-IE"/>
        </w:rPr>
        <w:t xml:space="preserve"> established under Union law, </w:t>
      </w:r>
      <w:r w:rsidR="249CF78E" w:rsidRPr="004C70EC">
        <w:rPr>
          <w:noProof/>
          <w:lang w:eastAsia="en-IE"/>
        </w:rPr>
        <w:t xml:space="preserve">should assist the sponsors, national competent authorities and ethics committees in assessment of AI </w:t>
      </w:r>
      <w:r w:rsidR="459BB264" w:rsidRPr="004C70EC">
        <w:rPr>
          <w:noProof/>
          <w:lang w:eastAsia="en-IE"/>
        </w:rPr>
        <w:t xml:space="preserve">tools </w:t>
      </w:r>
      <w:r w:rsidR="249CF78E" w:rsidRPr="004C70EC">
        <w:rPr>
          <w:noProof/>
          <w:lang w:eastAsia="en-IE"/>
        </w:rPr>
        <w:t>benefits and risks</w:t>
      </w:r>
      <w:r w:rsidR="0734DE33" w:rsidRPr="004C70EC">
        <w:rPr>
          <w:noProof/>
          <w:lang w:eastAsia="en-IE"/>
        </w:rPr>
        <w:t xml:space="preserve"> </w:t>
      </w:r>
      <w:r w:rsidR="0734DE33" w:rsidRPr="004C70EC">
        <w:rPr>
          <w:noProof/>
        </w:rPr>
        <w:t>in the context of the lifecycle of clinical trials</w:t>
      </w:r>
      <w:r w:rsidR="249CF78E" w:rsidRPr="004C70EC">
        <w:rPr>
          <w:noProof/>
          <w:lang w:eastAsia="en-IE"/>
        </w:rPr>
        <w:t xml:space="preserve">. </w:t>
      </w:r>
    </w:p>
    <w:p w14:paraId="65C1B74D" w14:textId="071E0155" w:rsidR="004E527A" w:rsidRPr="004C70EC" w:rsidRDefault="00C03A23" w:rsidP="00C03A23">
      <w:pPr>
        <w:pStyle w:val="ManualConsidrant"/>
        <w:rPr>
          <w:noProof/>
          <w:lang w:val="en-IE" w:eastAsia="de-DE"/>
        </w:rPr>
      </w:pPr>
      <w:r w:rsidRPr="00C03A23">
        <w:rPr>
          <w:noProof/>
        </w:rPr>
        <w:t>(159)</w:t>
      </w:r>
      <w:r w:rsidRPr="00C03A23">
        <w:rPr>
          <w:noProof/>
        </w:rPr>
        <w:tab/>
      </w:r>
      <w:r w:rsidR="5225CF70" w:rsidRPr="004C70EC">
        <w:rPr>
          <w:noProof/>
          <w:lang w:val="en-IE" w:eastAsia="en-GB"/>
        </w:rPr>
        <w:t xml:space="preserve">To </w:t>
      </w:r>
      <w:r w:rsidR="7F7F6E05" w:rsidRPr="004C70EC">
        <w:rPr>
          <w:noProof/>
          <w:lang w:val="en-IE" w:eastAsia="en-GB"/>
        </w:rPr>
        <w:t>further</w:t>
      </w:r>
      <w:r w:rsidR="5225CF70" w:rsidRPr="004C70EC">
        <w:rPr>
          <w:noProof/>
          <w:lang w:val="en-IE" w:eastAsia="en-GB"/>
        </w:rPr>
        <w:t xml:space="preserve"> strengthen the competitiv</w:t>
      </w:r>
      <w:r w:rsidR="5EA27ECD" w:rsidRPr="004C70EC">
        <w:rPr>
          <w:noProof/>
          <w:lang w:val="en-IE" w:eastAsia="en-GB"/>
        </w:rPr>
        <w:t>e</w:t>
      </w:r>
      <w:r w:rsidR="5225CF70" w:rsidRPr="004C70EC">
        <w:rPr>
          <w:noProof/>
          <w:lang w:val="en-IE" w:eastAsia="en-GB"/>
        </w:rPr>
        <w:t>ness of the European Union in clinical resea</w:t>
      </w:r>
      <w:r w:rsidR="68479571" w:rsidRPr="004C70EC">
        <w:rPr>
          <w:noProof/>
          <w:lang w:val="en-IE" w:eastAsia="en-GB"/>
        </w:rPr>
        <w:t>r</w:t>
      </w:r>
      <w:r w:rsidR="5225CF70" w:rsidRPr="004C70EC">
        <w:rPr>
          <w:noProof/>
          <w:lang w:val="en-IE" w:eastAsia="en-GB"/>
        </w:rPr>
        <w:t>ch and ensure timely access of patients to innovative medicines, it is necessary</w:t>
      </w:r>
      <w:r w:rsidR="4D43B966" w:rsidRPr="004C70EC">
        <w:rPr>
          <w:noProof/>
          <w:lang w:val="en-IE" w:eastAsia="en-GB"/>
        </w:rPr>
        <w:t xml:space="preserve"> </w:t>
      </w:r>
      <w:r w:rsidR="5225CF70" w:rsidRPr="004C70EC">
        <w:rPr>
          <w:noProof/>
          <w:lang w:val="en-IE" w:eastAsia="en-GB"/>
        </w:rPr>
        <w:t xml:space="preserve">to monitor the effectiveness of </w:t>
      </w:r>
      <w:r w:rsidR="7E689BB4" w:rsidRPr="004C70EC">
        <w:rPr>
          <w:noProof/>
          <w:lang w:val="en-IE" w:eastAsia="en-GB"/>
        </w:rPr>
        <w:t xml:space="preserve">the provisions in </w:t>
      </w:r>
      <w:r w:rsidR="5225CF70" w:rsidRPr="004C70EC">
        <w:rPr>
          <w:noProof/>
          <w:lang w:val="en-IE" w:eastAsia="en-GB"/>
        </w:rPr>
        <w:t>thisRegulation</w:t>
      </w:r>
      <w:r w:rsidR="00545E4E" w:rsidRPr="004C70EC">
        <w:rPr>
          <w:noProof/>
          <w:lang w:val="en-IE" w:eastAsia="en-GB"/>
        </w:rPr>
        <w:t xml:space="preserve"> amending Regulation</w:t>
      </w:r>
      <w:r w:rsidR="5225CF70" w:rsidRPr="004C70EC">
        <w:rPr>
          <w:noProof/>
          <w:lang w:val="en-IE" w:eastAsia="en-GB"/>
        </w:rPr>
        <w:t xml:space="preserve"> </w:t>
      </w:r>
      <w:r w:rsidR="06B7AA7E" w:rsidRPr="004C70EC">
        <w:rPr>
          <w:noProof/>
          <w:lang w:val="en-IE" w:eastAsia="en-GB"/>
        </w:rPr>
        <w:t>(EU) No 536/2014</w:t>
      </w:r>
      <w:r w:rsidR="5225CF70" w:rsidRPr="004C70EC">
        <w:rPr>
          <w:noProof/>
          <w:lang w:val="en-IE" w:eastAsia="en-GB"/>
        </w:rPr>
        <w:t xml:space="preserve"> </w:t>
      </w:r>
      <w:r w:rsidR="12A5C8C8" w:rsidRPr="004C70EC">
        <w:rPr>
          <w:noProof/>
          <w:lang w:val="en-IE" w:eastAsia="en-GB"/>
        </w:rPr>
        <w:t xml:space="preserve">to streamline and simplify the </w:t>
      </w:r>
      <w:r w:rsidR="486F744C" w:rsidRPr="004C70EC">
        <w:rPr>
          <w:noProof/>
          <w:lang w:val="en-IE" w:eastAsia="en-GB"/>
        </w:rPr>
        <w:t xml:space="preserve">authorisation and conduct of multinational clinical trials. </w:t>
      </w:r>
      <w:r w:rsidR="1F96B303" w:rsidRPr="004C70EC">
        <w:rPr>
          <w:noProof/>
          <w:lang w:val="en-IE" w:eastAsia="en-GB"/>
        </w:rPr>
        <w:t xml:space="preserve">Such monitoring </w:t>
      </w:r>
      <w:r w:rsidR="60B16A6D" w:rsidRPr="004C70EC">
        <w:rPr>
          <w:noProof/>
          <w:lang w:val="en-IE" w:eastAsia="en-GB"/>
        </w:rPr>
        <w:t>should</w:t>
      </w:r>
      <w:r w:rsidR="1F96B303" w:rsidRPr="004C70EC">
        <w:rPr>
          <w:noProof/>
          <w:lang w:val="en-IE" w:eastAsia="en-GB"/>
        </w:rPr>
        <w:t xml:space="preserve"> be based on key performance indicators such as the increase in the number of clinical trials in the Union over the period of </w:t>
      </w:r>
      <w:r w:rsidR="02D128ED" w:rsidRPr="004C70EC">
        <w:rPr>
          <w:noProof/>
          <w:lang w:val="en-IE" w:eastAsia="en-GB"/>
        </w:rPr>
        <w:t xml:space="preserve">five </w:t>
      </w:r>
      <w:r w:rsidR="1F96B303" w:rsidRPr="004C70EC">
        <w:rPr>
          <w:noProof/>
          <w:lang w:val="en-IE" w:eastAsia="en-GB"/>
        </w:rPr>
        <w:t xml:space="preserve">years, as </w:t>
      </w:r>
      <w:r w:rsidR="1D1D26CB" w:rsidRPr="004C70EC">
        <w:rPr>
          <w:noProof/>
          <w:lang w:val="en-IE" w:eastAsia="en-GB"/>
        </w:rPr>
        <w:t xml:space="preserve">this indicator reflects both the attractiveness of the Union and the capacity of the European regulatory system to support </w:t>
      </w:r>
      <w:r w:rsidR="3DD74856" w:rsidRPr="004C70EC">
        <w:rPr>
          <w:noProof/>
          <w:lang w:val="en-IE" w:eastAsia="en-GB"/>
        </w:rPr>
        <w:t>clinical research</w:t>
      </w:r>
      <w:r w:rsidR="1D1D26CB" w:rsidRPr="004C70EC">
        <w:rPr>
          <w:noProof/>
          <w:lang w:val="en-IE" w:eastAsia="en-GB"/>
        </w:rPr>
        <w:t xml:space="preserve"> </w:t>
      </w:r>
      <w:r w:rsidR="3DD74856" w:rsidRPr="004C70EC">
        <w:rPr>
          <w:noProof/>
          <w:lang w:val="en-IE" w:eastAsia="en-GB"/>
        </w:rPr>
        <w:t>with maintained high data quality and patients’ safety standards</w:t>
      </w:r>
      <w:r w:rsidR="1F96B303" w:rsidRPr="004C70EC">
        <w:rPr>
          <w:noProof/>
          <w:lang w:val="en-IE" w:eastAsia="en-GB"/>
        </w:rPr>
        <w:t xml:space="preserve">. </w:t>
      </w:r>
      <w:r w:rsidR="00545E4E" w:rsidRPr="004C70EC">
        <w:rPr>
          <w:noProof/>
          <w:lang w:val="en-IE" w:eastAsia="en-GB"/>
        </w:rPr>
        <w:t xml:space="preserve">Regulation (EU) No 536/2014 should be amended accordingly. </w:t>
      </w:r>
    </w:p>
    <w:p w14:paraId="53A1E182" w14:textId="7B40FC5A" w:rsidR="004E527A" w:rsidRPr="004C70EC" w:rsidRDefault="00C03A23" w:rsidP="00C03A23">
      <w:pPr>
        <w:pStyle w:val="ManualConsidrant"/>
        <w:rPr>
          <w:noProof/>
          <w:lang w:val="en-IE" w:eastAsia="de-DE"/>
        </w:rPr>
      </w:pPr>
      <w:bookmarkStart w:id="18" w:name="_Hlk213489312"/>
      <w:r w:rsidRPr="00C03A23">
        <w:rPr>
          <w:noProof/>
        </w:rPr>
        <w:t>(160)</w:t>
      </w:r>
      <w:r w:rsidRPr="00C03A23">
        <w:rPr>
          <w:noProof/>
        </w:rPr>
        <w:tab/>
      </w:r>
      <w:r w:rsidR="249CF78E" w:rsidRPr="004C70EC">
        <w:rPr>
          <w:noProof/>
          <w:lang w:eastAsia="en-GB"/>
        </w:rPr>
        <w:t>The management of changes through the lifecycle of veterinary medicinal products is subject to regulatory approvals. The handling of variations for biological products is particularly critical because of the impact that changes in the source materials or the manufacturing process can have on the safety and efficacy attributes of the finished product. It is necessary to continue ensuring that changes introduced during the lifecycle of a veterinary medicinal do not alter the positive benefit-risk balance while avoiding unnecessary administrative burden. To this end, the process for implementation of variations not requiring assessment laid down in Article 61 of Regulation (EU) 2019/6</w:t>
      </w:r>
      <w:r w:rsidR="762AEF0E" w:rsidRPr="004C70EC">
        <w:rPr>
          <w:noProof/>
          <w:lang w:eastAsia="en-GB"/>
        </w:rPr>
        <w:t xml:space="preserve"> of the European Parliament and of the Council</w:t>
      </w:r>
      <w:r w:rsidR="006355EA" w:rsidRPr="004C70EC">
        <w:rPr>
          <w:rStyle w:val="FootnoteReference"/>
          <w:rFonts w:eastAsia="Times New Roman"/>
          <w:noProof/>
          <w:color w:val="000000" w:themeColor="text1"/>
          <w:lang w:eastAsia="en-GB"/>
        </w:rPr>
        <w:footnoteReference w:id="147"/>
      </w:r>
      <w:r w:rsidR="762AEF0E" w:rsidRPr="004C70EC">
        <w:rPr>
          <w:noProof/>
          <w:lang w:eastAsia="en-GB"/>
        </w:rPr>
        <w:t xml:space="preserve"> </w:t>
      </w:r>
      <w:r w:rsidR="249CF78E" w:rsidRPr="004C70EC">
        <w:rPr>
          <w:noProof/>
          <w:lang w:eastAsia="en-GB"/>
        </w:rPr>
        <w:t xml:space="preserve">should be further optimised. </w:t>
      </w:r>
    </w:p>
    <w:p w14:paraId="04551E95" w14:textId="4F0483CC" w:rsidR="004E527A" w:rsidRPr="004C70EC" w:rsidRDefault="00C03A23" w:rsidP="00C03A23">
      <w:pPr>
        <w:pStyle w:val="ManualConsidrant"/>
        <w:rPr>
          <w:noProof/>
          <w:lang w:val="en-IE" w:eastAsia="de-DE"/>
        </w:rPr>
      </w:pPr>
      <w:r w:rsidRPr="00C03A23">
        <w:rPr>
          <w:noProof/>
        </w:rPr>
        <w:t>(161)</w:t>
      </w:r>
      <w:r w:rsidRPr="00C03A23">
        <w:rPr>
          <w:noProof/>
        </w:rPr>
        <w:tab/>
      </w:r>
      <w:r w:rsidR="249CF78E" w:rsidRPr="004C70EC">
        <w:rPr>
          <w:noProof/>
          <w:lang w:eastAsia="en-GB"/>
        </w:rPr>
        <w:t xml:space="preserve">Advances in biotechnology bring new opportunities for the development of veterinary medicinal products, including the possibility to develop vaccines with improved safety and efficacy profiles in a much shorter timeframe. The possibility to deploy and use vaccines quickly is essential to react to outbreaks of certain animal diseases thereby reducing the risks for human health, contributing to animal welfare and reducing economic losses for farmers. </w:t>
      </w:r>
    </w:p>
    <w:p w14:paraId="5082F240" w14:textId="75300A35" w:rsidR="004E527A" w:rsidRPr="004C70EC" w:rsidRDefault="00C03A23" w:rsidP="00C03A23">
      <w:pPr>
        <w:pStyle w:val="ManualConsidrant"/>
        <w:rPr>
          <w:noProof/>
          <w:lang w:val="en-IE" w:eastAsia="de-DE"/>
        </w:rPr>
      </w:pPr>
      <w:r w:rsidRPr="00C03A23">
        <w:rPr>
          <w:noProof/>
        </w:rPr>
        <w:t>(162)</w:t>
      </w:r>
      <w:r w:rsidRPr="00C03A23">
        <w:rPr>
          <w:noProof/>
        </w:rPr>
        <w:tab/>
      </w:r>
      <w:r w:rsidR="249CF78E" w:rsidRPr="004C70EC">
        <w:rPr>
          <w:noProof/>
          <w:lang w:eastAsia="en-GB"/>
        </w:rPr>
        <w:t xml:space="preserve">Safety for veterinary medicinal products is assessed during marketing authorisation procedures in accordance with Regulation (EU) 2019/6. The competent authorities responsible for the granting of marketing authorisations are required to verify the safety for the target species, for the user, for consumers and for the environment. Likewise, the conduct of clinical trials is subject to the approval and supervision by competent authorities responsible for veterinary medicinal products. Regulation (EU) 2019/6 further requires that such trials are conducted in accordance with Good Clinical Practice, which includes the obligation for sponsors to ensure that there are no environmental grounds precluding the conduct of the trial. </w:t>
      </w:r>
    </w:p>
    <w:p w14:paraId="4A945CF6" w14:textId="388C3091" w:rsidR="004E527A" w:rsidRPr="004C70EC" w:rsidRDefault="00C03A23" w:rsidP="00C03A23">
      <w:pPr>
        <w:pStyle w:val="ManualConsidrant"/>
        <w:rPr>
          <w:noProof/>
          <w:lang w:val="en-IE" w:eastAsia="de-DE"/>
        </w:rPr>
      </w:pPr>
      <w:r w:rsidRPr="00C03A23">
        <w:rPr>
          <w:noProof/>
        </w:rPr>
        <w:t>(163)</w:t>
      </w:r>
      <w:r w:rsidRPr="00C03A23">
        <w:rPr>
          <w:noProof/>
        </w:rPr>
        <w:tab/>
      </w:r>
      <w:r w:rsidR="4B889892" w:rsidRPr="004C70EC">
        <w:rPr>
          <w:noProof/>
        </w:rPr>
        <w:t>Regulation (EU) 2019/6 and the Union GMO legislation (Directives 2001/18/EC</w:t>
      </w:r>
      <w:r w:rsidR="00A648BB" w:rsidRPr="004C70EC">
        <w:rPr>
          <w:rStyle w:val="FootnoteReference"/>
          <w:rFonts w:eastAsia="Times New Roman"/>
          <w:noProof/>
          <w:color w:val="000000" w:themeColor="text1"/>
        </w:rPr>
        <w:footnoteReference w:id="148"/>
      </w:r>
      <w:r w:rsidR="4B889892" w:rsidRPr="004C70EC">
        <w:rPr>
          <w:noProof/>
        </w:rPr>
        <w:t xml:space="preserve"> and 2009/41/EC</w:t>
      </w:r>
      <w:r w:rsidR="00A648BB" w:rsidRPr="004C70EC">
        <w:rPr>
          <w:rStyle w:val="FootnoteReference"/>
          <w:rFonts w:eastAsia="Times New Roman"/>
          <w:noProof/>
          <w:color w:val="000000" w:themeColor="text1"/>
        </w:rPr>
        <w:footnoteReference w:id="149"/>
      </w:r>
      <w:r w:rsidR="4B889892" w:rsidRPr="004C70EC">
        <w:rPr>
          <w:noProof/>
        </w:rPr>
        <w:t>, Regulations (EC) 1829/2003</w:t>
      </w:r>
      <w:r w:rsidR="00A648BB" w:rsidRPr="004C70EC">
        <w:rPr>
          <w:rStyle w:val="FootnoteReference"/>
          <w:rFonts w:eastAsia="Times New Roman"/>
          <w:noProof/>
          <w:color w:val="000000" w:themeColor="text1"/>
        </w:rPr>
        <w:footnoteReference w:id="150"/>
      </w:r>
      <w:r w:rsidR="4B889892" w:rsidRPr="004C70EC">
        <w:rPr>
          <w:noProof/>
        </w:rPr>
        <w:t>, 1830/2003</w:t>
      </w:r>
      <w:r w:rsidR="00A648BB" w:rsidRPr="004C70EC">
        <w:rPr>
          <w:rStyle w:val="FootnoteReference"/>
          <w:rFonts w:eastAsia="Times New Roman"/>
          <w:noProof/>
          <w:color w:val="000000" w:themeColor="text1"/>
        </w:rPr>
        <w:footnoteReference w:id="151"/>
      </w:r>
      <w:r w:rsidR="4B889892" w:rsidRPr="004C70EC">
        <w:rPr>
          <w:noProof/>
        </w:rPr>
        <w:t xml:space="preserve"> and 1946/2003</w:t>
      </w:r>
      <w:r w:rsidR="00A648BB" w:rsidRPr="004C70EC">
        <w:rPr>
          <w:rStyle w:val="FootnoteReference"/>
          <w:rFonts w:eastAsia="Times New Roman"/>
          <w:noProof/>
          <w:color w:val="000000" w:themeColor="text1"/>
        </w:rPr>
        <w:footnoteReference w:id="152"/>
      </w:r>
      <w:r w:rsidR="5975AC45" w:rsidRPr="004C70EC">
        <w:rPr>
          <w:noProof/>
        </w:rPr>
        <w:t xml:space="preserve"> of the European Parliament and of the Council</w:t>
      </w:r>
      <w:r w:rsidR="4B889892" w:rsidRPr="004C70EC">
        <w:rPr>
          <w:noProof/>
        </w:rPr>
        <w:t xml:space="preserve"> share the same protection goals as regards the protection of human and animal health and the environment from genetically modified organisms. Since </w:t>
      </w:r>
      <w:r w:rsidR="314193B9" w:rsidRPr="004C70EC">
        <w:rPr>
          <w:noProof/>
        </w:rPr>
        <w:t xml:space="preserve">parallel </w:t>
      </w:r>
      <w:r w:rsidR="4B889892" w:rsidRPr="004C70EC">
        <w:rPr>
          <w:noProof/>
        </w:rPr>
        <w:t xml:space="preserve">assessments and documentation and increased administrative burden is not conducive to increased protection of human health or the environment and has negative effects on the use of biotechnology in veterinary medicine, the risks for human and animal health and to the environment from veterinary medicinal products containing or consisting of genetically modified organisms should be solely assessed in accordance with Regulation (EU) 2019/6. This simplification should be coupled with a reinforcement of existing obligations as regards the conduct of clinical trials with veterinary medicinal products that contain or consists of GMOs. </w:t>
      </w:r>
    </w:p>
    <w:p w14:paraId="38BF2FCC" w14:textId="765BBDC5" w:rsidR="004E527A" w:rsidRPr="004C70EC" w:rsidRDefault="00C03A23" w:rsidP="00C03A23">
      <w:pPr>
        <w:pStyle w:val="ManualConsidrant"/>
        <w:rPr>
          <w:rFonts w:eastAsia="Times New Roman"/>
          <w:noProof/>
          <w:lang w:val="en-IE" w:eastAsia="de-DE"/>
        </w:rPr>
      </w:pPr>
      <w:r w:rsidRPr="00C03A23">
        <w:rPr>
          <w:noProof/>
        </w:rPr>
        <w:t>(164)</w:t>
      </w:r>
      <w:r w:rsidRPr="00C03A23">
        <w:rPr>
          <w:noProof/>
        </w:rPr>
        <w:tab/>
      </w:r>
      <w:r w:rsidR="249CF78E" w:rsidRPr="004C70EC">
        <w:rPr>
          <w:noProof/>
        </w:rPr>
        <w:t xml:space="preserve">To remove any legal uncertainty for developers, marketing authorisation holders and users, it should also be clarified that </w:t>
      </w:r>
      <w:r w:rsidR="6FCBF7F6" w:rsidRPr="004C70EC">
        <w:rPr>
          <w:noProof/>
        </w:rPr>
        <w:t xml:space="preserve">given the purpose of veterinary medicinal products to treat animals, </w:t>
      </w:r>
      <w:r w:rsidR="249CF78E" w:rsidRPr="004C70EC">
        <w:rPr>
          <w:noProof/>
        </w:rPr>
        <w:t>the</w:t>
      </w:r>
      <w:r w:rsidR="2F5A98C9" w:rsidRPr="004C70EC">
        <w:rPr>
          <w:noProof/>
        </w:rPr>
        <w:t>ir</w:t>
      </w:r>
      <w:r w:rsidR="249CF78E" w:rsidRPr="004C70EC">
        <w:rPr>
          <w:noProof/>
        </w:rPr>
        <w:t xml:space="preserve"> administration does not bring the treated animals or their products under the scope of </w:t>
      </w:r>
      <w:r w:rsidR="37B40081" w:rsidRPr="004C70EC">
        <w:rPr>
          <w:noProof/>
        </w:rPr>
        <w:t xml:space="preserve">the Union GMO legislation. </w:t>
      </w:r>
    </w:p>
    <w:p w14:paraId="19996434" w14:textId="141EA2E4" w:rsidR="004E527A" w:rsidRPr="004C70EC" w:rsidRDefault="00C03A23" w:rsidP="00C03A23">
      <w:pPr>
        <w:pStyle w:val="ManualConsidrant"/>
        <w:rPr>
          <w:noProof/>
          <w:lang w:val="en-IE" w:eastAsia="de-DE"/>
        </w:rPr>
      </w:pPr>
      <w:r w:rsidRPr="00C03A23">
        <w:rPr>
          <w:noProof/>
        </w:rPr>
        <w:t>(165)</w:t>
      </w:r>
      <w:r w:rsidRPr="00C03A23">
        <w:rPr>
          <w:noProof/>
        </w:rPr>
        <w:tab/>
      </w:r>
      <w:r w:rsidR="249CF78E" w:rsidRPr="004C70EC">
        <w:rPr>
          <w:noProof/>
          <w:lang w:val="en-IE" w:eastAsia="en-GB"/>
        </w:rPr>
        <w:t xml:space="preserve">The Commission should be empowered to adopt </w:t>
      </w:r>
      <w:r w:rsidR="748C2F62" w:rsidRPr="004C70EC">
        <w:rPr>
          <w:noProof/>
          <w:lang w:val="en-IE" w:eastAsia="en-GB"/>
        </w:rPr>
        <w:t xml:space="preserve">delegated acts to amend </w:t>
      </w:r>
      <w:r w:rsidR="249CF78E" w:rsidRPr="004C70EC">
        <w:rPr>
          <w:noProof/>
          <w:lang w:val="en-IE" w:eastAsia="en-GB"/>
        </w:rPr>
        <w:t xml:space="preserve">Annex II to Regulation (EU) 2019/6 </w:t>
      </w:r>
      <w:r w:rsidR="6CBE3418" w:rsidRPr="004C70EC">
        <w:rPr>
          <w:noProof/>
          <w:lang w:val="en-IE" w:eastAsia="en-GB"/>
        </w:rPr>
        <w:t xml:space="preserve">in order to adapt it </w:t>
      </w:r>
      <w:r w:rsidR="249CF78E" w:rsidRPr="004C70EC">
        <w:rPr>
          <w:noProof/>
          <w:lang w:val="en-IE" w:eastAsia="en-GB"/>
        </w:rPr>
        <w:t>to scientific and technical progress</w:t>
      </w:r>
      <w:r w:rsidR="249CF78E" w:rsidRPr="004C70EC">
        <w:rPr>
          <w:i/>
          <w:iCs/>
          <w:noProof/>
          <w:lang w:val="en-IE" w:eastAsia="en-GB"/>
        </w:rPr>
        <w:t xml:space="preserve">. </w:t>
      </w:r>
    </w:p>
    <w:p w14:paraId="2CA5D01F" w14:textId="4FF20E62" w:rsidR="006E5FDB" w:rsidRPr="004C70EC" w:rsidRDefault="00C03A23" w:rsidP="00C03A23">
      <w:pPr>
        <w:pStyle w:val="ManualConsidrant"/>
        <w:rPr>
          <w:noProof/>
          <w:lang w:val="en-IE" w:eastAsia="de-DE"/>
        </w:rPr>
      </w:pPr>
      <w:r w:rsidRPr="00C03A23">
        <w:rPr>
          <w:noProof/>
        </w:rPr>
        <w:t>(166)</w:t>
      </w:r>
      <w:r w:rsidRPr="00C03A23">
        <w:rPr>
          <w:noProof/>
        </w:rPr>
        <w:tab/>
      </w:r>
      <w:r w:rsidR="415E54DC" w:rsidRPr="004C70EC">
        <w:rPr>
          <w:noProof/>
        </w:rPr>
        <w:t xml:space="preserve">Veterinary medicinal products developed by means of biotechnology processes to </w:t>
      </w:r>
      <w:r w:rsidR="415E54DC" w:rsidRPr="004C70EC">
        <w:rPr>
          <w:noProof/>
          <w:lang w:val="en-IE"/>
        </w:rPr>
        <w:t>diagnose, treat or prevent zoonotic diseases</w:t>
      </w:r>
      <w:r w:rsidR="415E54DC" w:rsidRPr="004C70EC">
        <w:rPr>
          <w:noProof/>
        </w:rPr>
        <w:t xml:space="preserve"> should be entitled to an extra year of </w:t>
      </w:r>
      <w:r w:rsidR="005233C5" w:rsidRPr="004C70EC">
        <w:rPr>
          <w:noProof/>
        </w:rPr>
        <w:t>supplementary protection certificate (‘</w:t>
      </w:r>
      <w:r w:rsidR="415E54DC" w:rsidRPr="004C70EC">
        <w:rPr>
          <w:noProof/>
        </w:rPr>
        <w:t>SPC</w:t>
      </w:r>
      <w:r w:rsidR="005233C5" w:rsidRPr="004C70EC">
        <w:rPr>
          <w:noProof/>
        </w:rPr>
        <w:t>’)</w:t>
      </w:r>
      <w:r w:rsidR="415E54DC" w:rsidRPr="004C70EC">
        <w:rPr>
          <w:noProof/>
        </w:rPr>
        <w:t xml:space="preserve"> in order to support their development</w:t>
      </w:r>
      <w:r w:rsidR="008B5FC0" w:rsidRPr="004C70EC">
        <w:rPr>
          <w:noProof/>
        </w:rPr>
        <w:t>.</w:t>
      </w:r>
    </w:p>
    <w:p w14:paraId="702DF5B3" w14:textId="074728BA" w:rsidR="004E527A" w:rsidRPr="004C70EC" w:rsidRDefault="00C03A23" w:rsidP="00C03A23">
      <w:pPr>
        <w:pStyle w:val="ManualConsidrant"/>
        <w:rPr>
          <w:noProof/>
          <w:lang w:val="en-IE" w:eastAsia="de-DE"/>
        </w:rPr>
      </w:pPr>
      <w:r w:rsidRPr="00C03A23">
        <w:rPr>
          <w:noProof/>
        </w:rPr>
        <w:t>(167)</w:t>
      </w:r>
      <w:r w:rsidRPr="00C03A23">
        <w:rPr>
          <w:noProof/>
        </w:rPr>
        <w:tab/>
      </w:r>
      <w:r w:rsidR="249CF78E" w:rsidRPr="004C70EC">
        <w:rPr>
          <w:noProof/>
          <w:lang w:eastAsia="en-GB"/>
        </w:rPr>
        <w:t xml:space="preserve">Scientific and technical progress in biotechnology enables the development of new technologies, methods or products that may not fit into existing Union legislation. The lack of harmonised requirements is an impediment to the development, marketing and use of new concepts that may, however, bring benefit to animal healthcare. Regulatory sandboxes </w:t>
      </w:r>
      <w:r w:rsidR="436B1F20" w:rsidRPr="004C70EC">
        <w:rPr>
          <w:noProof/>
          <w:lang w:eastAsia="en-GB"/>
        </w:rPr>
        <w:t>may</w:t>
      </w:r>
      <w:r w:rsidR="249CF78E" w:rsidRPr="004C70EC">
        <w:rPr>
          <w:noProof/>
          <w:lang w:eastAsia="en-GB"/>
        </w:rPr>
        <w:t xml:space="preserve"> be established to facilitate the development, placing on the market or use of innovative technologies, methods or products </w:t>
      </w:r>
      <w:r w:rsidR="249CF78E" w:rsidRPr="004C70EC">
        <w:rPr>
          <w:noProof/>
          <w:lang w:val="en-IE" w:eastAsia="en-GB"/>
        </w:rPr>
        <w:t xml:space="preserve">related to animal health which are directly or indirectly related to the development, manufacturing or use of veterinary medicinal products </w:t>
      </w:r>
      <w:r w:rsidR="249CF78E" w:rsidRPr="004C70EC">
        <w:rPr>
          <w:noProof/>
          <w:lang w:eastAsia="en-GB"/>
        </w:rPr>
        <w:t>under conditions that ensure protection of animal and public health as well as the environment. A regulatory sandbox should only be established if there is no Union legislation governing the marketing and use of the relevant technology, method or product.</w:t>
      </w:r>
    </w:p>
    <w:p w14:paraId="2E37B5F6" w14:textId="46B42047" w:rsidR="004E527A" w:rsidRPr="004C70EC" w:rsidRDefault="00C03A23" w:rsidP="00C03A23">
      <w:pPr>
        <w:pStyle w:val="ManualConsidrant"/>
        <w:rPr>
          <w:noProof/>
          <w:lang w:val="en-IE" w:eastAsia="de-DE"/>
        </w:rPr>
      </w:pPr>
      <w:r w:rsidRPr="00C03A23">
        <w:rPr>
          <w:noProof/>
        </w:rPr>
        <w:t>(168)</w:t>
      </w:r>
      <w:r w:rsidRPr="00C03A23">
        <w:rPr>
          <w:noProof/>
        </w:rPr>
        <w:tab/>
      </w:r>
      <w:r w:rsidR="436B1F20" w:rsidRPr="004C70EC">
        <w:rPr>
          <w:noProof/>
          <w:lang w:eastAsia="en-GB"/>
        </w:rPr>
        <w:t>A</w:t>
      </w:r>
      <w:r w:rsidR="249CF78E" w:rsidRPr="004C70EC">
        <w:rPr>
          <w:noProof/>
          <w:lang w:eastAsia="en-GB"/>
        </w:rPr>
        <w:t xml:space="preserve"> regulatory sandbox </w:t>
      </w:r>
      <w:r w:rsidR="436B1F20" w:rsidRPr="004C70EC">
        <w:rPr>
          <w:noProof/>
          <w:lang w:eastAsia="en-GB"/>
        </w:rPr>
        <w:t>may</w:t>
      </w:r>
      <w:r w:rsidR="249CF78E" w:rsidRPr="004C70EC">
        <w:rPr>
          <w:noProof/>
          <w:lang w:eastAsia="en-GB"/>
        </w:rPr>
        <w:t xml:space="preserve"> be established </w:t>
      </w:r>
      <w:r w:rsidR="436B1F20" w:rsidRPr="004C70EC">
        <w:rPr>
          <w:noProof/>
          <w:lang w:eastAsia="en-GB"/>
        </w:rPr>
        <w:t xml:space="preserve">by the </w:t>
      </w:r>
      <w:r w:rsidR="249CF78E" w:rsidRPr="004C70EC">
        <w:rPr>
          <w:noProof/>
          <w:lang w:eastAsia="en-GB"/>
        </w:rPr>
        <w:t>Commission</w:t>
      </w:r>
      <w:r w:rsidR="436B1F20" w:rsidRPr="004C70EC">
        <w:rPr>
          <w:noProof/>
          <w:lang w:eastAsia="en-GB"/>
        </w:rPr>
        <w:t>, by way of an implementing act</w:t>
      </w:r>
      <w:r w:rsidR="249CF78E" w:rsidRPr="004C70EC">
        <w:rPr>
          <w:noProof/>
          <w:lang w:eastAsia="en-GB"/>
        </w:rPr>
        <w:t xml:space="preserve"> following a recommendation of the Agency which should analyse expected potential benefits and risks as well as existing regulatory challenges. Technical and scientific requirements for the technologies, methods or products under the </w:t>
      </w:r>
      <w:r w:rsidR="5D7EDFAD" w:rsidRPr="004C70EC">
        <w:rPr>
          <w:noProof/>
          <w:lang w:eastAsia="en-GB"/>
        </w:rPr>
        <w:t xml:space="preserve">regulatory </w:t>
      </w:r>
      <w:r w:rsidR="249CF78E" w:rsidRPr="004C70EC">
        <w:rPr>
          <w:noProof/>
          <w:lang w:eastAsia="en-GB"/>
        </w:rPr>
        <w:t>sandbox and procedures should be developed and published by the Agency. The Agency should ensure that the requirements and procedures it develops are proportionate and are adapted to the specific risks. A regulatory sandbox may be terminated at any time where, following the identification of negative impacts on animal or public health or the environment, the benefit-risk balance becomes negative and there are no satisfactory risk mitigation measures that could be implemented.</w:t>
      </w:r>
    </w:p>
    <w:p w14:paraId="2A4C616E" w14:textId="346FF91A" w:rsidR="004E527A" w:rsidRPr="004C70EC" w:rsidRDefault="00C03A23" w:rsidP="00C03A23">
      <w:pPr>
        <w:pStyle w:val="ManualConsidrant"/>
        <w:rPr>
          <w:noProof/>
          <w:lang w:val="en-IE" w:eastAsia="de-DE"/>
        </w:rPr>
      </w:pPr>
      <w:r w:rsidRPr="00C03A23">
        <w:rPr>
          <w:noProof/>
        </w:rPr>
        <w:t>(169)</w:t>
      </w:r>
      <w:r w:rsidRPr="00C03A23">
        <w:rPr>
          <w:noProof/>
        </w:rPr>
        <w:tab/>
      </w:r>
      <w:r w:rsidR="249CF78E" w:rsidRPr="004C70EC">
        <w:rPr>
          <w:noProof/>
          <w:lang w:eastAsia="en-GB"/>
        </w:rPr>
        <w:t xml:space="preserve">Technologies, methods or products </w:t>
      </w:r>
      <w:r w:rsidR="2885EC70" w:rsidRPr="004C70EC">
        <w:rPr>
          <w:noProof/>
          <w:lang w:eastAsia="en-GB"/>
        </w:rPr>
        <w:t xml:space="preserve">developed under </w:t>
      </w:r>
      <w:r w:rsidR="249CF78E" w:rsidRPr="004C70EC">
        <w:rPr>
          <w:noProof/>
          <w:lang w:eastAsia="en-GB"/>
        </w:rPr>
        <w:t xml:space="preserve">a regulatory sandbox should only be placed on the market or used on the basis of an authorisation granted by the Commission.  Depending on the specific characteristics of the products concerned, </w:t>
      </w:r>
      <w:r w:rsidR="2885EC70" w:rsidRPr="004C70EC">
        <w:rPr>
          <w:noProof/>
          <w:lang w:eastAsia="en-GB"/>
        </w:rPr>
        <w:t xml:space="preserve">a class </w:t>
      </w:r>
      <w:r w:rsidR="249CF78E" w:rsidRPr="004C70EC">
        <w:rPr>
          <w:noProof/>
          <w:lang w:eastAsia="en-GB"/>
        </w:rPr>
        <w:t xml:space="preserve">authorisation </w:t>
      </w:r>
      <w:r w:rsidR="1F38E710" w:rsidRPr="004C70EC">
        <w:rPr>
          <w:noProof/>
          <w:lang w:eastAsia="en-GB"/>
        </w:rPr>
        <w:t xml:space="preserve">to market or use technologies, methods or products </w:t>
      </w:r>
      <w:r w:rsidR="249CF78E" w:rsidRPr="004C70EC">
        <w:rPr>
          <w:noProof/>
          <w:lang w:eastAsia="en-GB"/>
        </w:rPr>
        <w:t xml:space="preserve">may be possible. Member States should be empowered to take interim measures where serious risks to animal or public health or the environment are identified.  In such cases, Member States should swiftly inform the Agency. </w:t>
      </w:r>
    </w:p>
    <w:p w14:paraId="4F42823D" w14:textId="5CDA0EA0" w:rsidR="004E527A" w:rsidRPr="004C70EC" w:rsidRDefault="00C03A23" w:rsidP="00C03A23">
      <w:pPr>
        <w:pStyle w:val="ManualConsidrant"/>
        <w:rPr>
          <w:noProof/>
          <w:lang w:val="en-IE" w:eastAsia="de-DE"/>
        </w:rPr>
      </w:pPr>
      <w:r w:rsidRPr="00C03A23">
        <w:rPr>
          <w:noProof/>
        </w:rPr>
        <w:t>(170)</w:t>
      </w:r>
      <w:r w:rsidRPr="00C03A23">
        <w:rPr>
          <w:noProof/>
        </w:rPr>
        <w:tab/>
      </w:r>
      <w:r w:rsidR="7F48B6BE" w:rsidRPr="004C70EC">
        <w:rPr>
          <w:noProof/>
          <w:lang w:eastAsia="en-GB"/>
        </w:rPr>
        <w:t>To ensure legal certainty, t</w:t>
      </w:r>
      <w:r w:rsidR="249CF78E" w:rsidRPr="004C70EC">
        <w:rPr>
          <w:noProof/>
          <w:lang w:eastAsia="en-GB"/>
        </w:rPr>
        <w:t xml:space="preserve">he termination of a regulatory sandbox should not affect the validity of the authorisations to place on the market or use </w:t>
      </w:r>
      <w:r w:rsidR="310AFAED" w:rsidRPr="004C70EC">
        <w:rPr>
          <w:noProof/>
          <w:lang w:eastAsia="en-GB"/>
        </w:rPr>
        <w:t xml:space="preserve">technologies, methods or products </w:t>
      </w:r>
      <w:r w:rsidR="249CF78E" w:rsidRPr="004C70EC">
        <w:rPr>
          <w:noProof/>
          <w:lang w:eastAsia="en-GB"/>
        </w:rPr>
        <w:t>already granted, unless the regulatory sandbox has been terminated on grounds related to the protection of public or animal health or the environment.</w:t>
      </w:r>
      <w:bookmarkEnd w:id="18"/>
    </w:p>
    <w:bookmarkEnd w:id="14"/>
    <w:p w14:paraId="458B50BA" w14:textId="6791BBAF" w:rsidR="00956895" w:rsidRPr="004C70EC" w:rsidRDefault="00C03A23" w:rsidP="00C03A23">
      <w:pPr>
        <w:pStyle w:val="ManualConsidrant"/>
        <w:rPr>
          <w:noProof/>
          <w:lang w:val="en-IE" w:eastAsia="de-DE"/>
        </w:rPr>
      </w:pPr>
      <w:r w:rsidRPr="00C03A23">
        <w:rPr>
          <w:noProof/>
        </w:rPr>
        <w:t>(171)</w:t>
      </w:r>
      <w:r w:rsidRPr="00C03A23">
        <w:rPr>
          <w:noProof/>
        </w:rPr>
        <w:tab/>
      </w:r>
      <w:r w:rsidR="242A1864" w:rsidRPr="004C70EC">
        <w:rPr>
          <w:noProof/>
          <w:lang w:eastAsia="en-GB"/>
        </w:rPr>
        <w:t>To provide legal certainty to developers and competent authorities alike, time limits should be established also in the Regulation (EU) 2024/1938</w:t>
      </w:r>
      <w:r w:rsidR="5E9BD0B4" w:rsidRPr="004C70EC">
        <w:rPr>
          <w:noProof/>
          <w:lang w:eastAsia="en-GB"/>
        </w:rPr>
        <w:t xml:space="preserve"> </w:t>
      </w:r>
      <w:r w:rsidR="242A1864" w:rsidRPr="004C70EC">
        <w:rPr>
          <w:noProof/>
          <w:lang w:eastAsia="en-GB"/>
        </w:rPr>
        <w:t>and for all actors involved in the consultation process, at national and Union level, including the SoHO competent authorities, the Substances of Human Origin Coordination Board (‘the SCB’), established in that Regulation and advisory bodies established under other relevant Union legislation. Consequently, Regulation (EU)</w:t>
      </w:r>
      <w:r w:rsidR="005233C5" w:rsidRPr="004C70EC">
        <w:rPr>
          <w:noProof/>
          <w:lang w:eastAsia="en-GB"/>
        </w:rPr>
        <w:t xml:space="preserve"> </w:t>
      </w:r>
      <w:r w:rsidR="242A1864" w:rsidRPr="004C70EC">
        <w:rPr>
          <w:noProof/>
          <w:lang w:eastAsia="en-GB"/>
        </w:rPr>
        <w:t>2024/1938 should be amended to provide the power for the Commission to adopt implementing acts to establish such time limits, that should be ambitious and determined based on experience gathered with the consultation process as of the entry into application of that Regulation.</w:t>
      </w:r>
    </w:p>
    <w:p w14:paraId="0CA4BEFF" w14:textId="558B99A2" w:rsidR="00956895" w:rsidRPr="004C70EC" w:rsidRDefault="00C03A23" w:rsidP="00C03A23">
      <w:pPr>
        <w:pStyle w:val="ManualConsidrant"/>
        <w:rPr>
          <w:noProof/>
          <w:lang w:val="en-IE" w:eastAsia="de-DE"/>
        </w:rPr>
      </w:pPr>
      <w:r w:rsidRPr="00C03A23">
        <w:rPr>
          <w:noProof/>
        </w:rPr>
        <w:t>(172)</w:t>
      </w:r>
      <w:r w:rsidRPr="00C03A23">
        <w:rPr>
          <w:noProof/>
        </w:rPr>
        <w:tab/>
      </w:r>
      <w:r w:rsidR="242A1864" w:rsidRPr="004C70EC">
        <w:rPr>
          <w:noProof/>
          <w:lang w:eastAsia="en-GB"/>
        </w:rPr>
        <w:t>The field of substances of human origin is characterised by rapid scientific and technological innovation, giving rise to health biotechnology approaches that may present scientific or regulatory challenges under existing legal requirements. To support the development of such innovations at early stages while maintaining public health protection, Member States should be able to establish regulatory sandboxes for substances of human origin that cannot yet be developed in full compliance with the requirements of Regulation (EU) 2024/1938</w:t>
      </w:r>
      <w:r w:rsidR="005233C5" w:rsidRPr="004C70EC">
        <w:rPr>
          <w:noProof/>
          <w:lang w:eastAsia="en-GB"/>
        </w:rPr>
        <w:t>,</w:t>
      </w:r>
      <w:r w:rsidR="242A1864" w:rsidRPr="004C70EC">
        <w:rPr>
          <w:noProof/>
          <w:lang w:eastAsia="en-GB"/>
        </w:rPr>
        <w:t xml:space="preserve"> provided that the innovative characteristics or methods are expected to contribute distinctively to quality, safety, effectiveness, or patient access to treatment. The sandbox activities should enable a discussion on the development of common approaches and the potential adaptation of </w:t>
      </w:r>
      <w:r w:rsidR="005233C5" w:rsidRPr="004C70EC">
        <w:rPr>
          <w:noProof/>
          <w:lang w:eastAsia="en-GB"/>
        </w:rPr>
        <w:t>legislative</w:t>
      </w:r>
      <w:r w:rsidR="242A1864" w:rsidRPr="004C70EC">
        <w:rPr>
          <w:noProof/>
          <w:lang w:eastAsia="en-GB"/>
        </w:rPr>
        <w:t xml:space="preserve"> frameworks based on accumulated experience. Any substances of human origin developed through regulatory sandboxes should only be distributed for human application when properly authorised, with initial authorisations limited to the regulatory sandbox duration. This framework should enable controlled experimentation with innovative regulatory approaches while preserving the essential safeguards for public health and safety. Regulation (EU)2024/1938 should be amended accordingly. </w:t>
      </w:r>
    </w:p>
    <w:p w14:paraId="274004CB" w14:textId="3F41ACB6" w:rsidR="000A526B" w:rsidRPr="004C70EC" w:rsidRDefault="00C03A23" w:rsidP="00C03A23">
      <w:pPr>
        <w:pStyle w:val="ManualConsidrant"/>
        <w:rPr>
          <w:noProof/>
          <w:lang w:val="en-IE" w:eastAsia="de-DE"/>
        </w:rPr>
      </w:pPr>
      <w:r w:rsidRPr="00C03A23">
        <w:rPr>
          <w:noProof/>
        </w:rPr>
        <w:t>(173)</w:t>
      </w:r>
      <w:r w:rsidRPr="00C03A23">
        <w:rPr>
          <w:noProof/>
        </w:rPr>
        <w:tab/>
      </w:r>
      <w:r w:rsidR="242A1864" w:rsidRPr="004C70EC">
        <w:rPr>
          <w:noProof/>
          <w:lang w:eastAsia="en-GB"/>
        </w:rPr>
        <w:t xml:space="preserve">The regulatory sandboxes in the field of substances of human origin should be conducted under the supervision of the concerned SoHO competent authorities, and, where relevant, competent authorities under other Union and Member State legislation concerned. The latter authorities should be in particular involved where the preparation of the SoHO requires steps using products regulated under another Union legislative framework, or where SoHO is presented as a therapy together with products regulated under another </w:t>
      </w:r>
      <w:r w:rsidR="005233C5" w:rsidRPr="004C70EC">
        <w:rPr>
          <w:noProof/>
          <w:lang w:eastAsia="en-GB"/>
        </w:rPr>
        <w:t xml:space="preserve">such </w:t>
      </w:r>
      <w:r w:rsidR="242A1864" w:rsidRPr="004C70EC">
        <w:rPr>
          <w:noProof/>
          <w:lang w:eastAsia="en-GB"/>
        </w:rPr>
        <w:t>Union framework.</w:t>
      </w:r>
    </w:p>
    <w:p w14:paraId="5E04B683" w14:textId="1A5EBB3C" w:rsidR="002F364A" w:rsidRDefault="00C03A23" w:rsidP="00C03A23">
      <w:pPr>
        <w:pStyle w:val="ManualConsidrant"/>
        <w:rPr>
          <w:noProof/>
          <w:lang w:eastAsia="de-DE"/>
        </w:rPr>
      </w:pPr>
      <w:r w:rsidRPr="00C03A23">
        <w:rPr>
          <w:noProof/>
        </w:rPr>
        <w:t>(174)</w:t>
      </w:r>
      <w:r w:rsidRPr="00C03A23">
        <w:rPr>
          <w:noProof/>
        </w:rPr>
        <w:tab/>
      </w:r>
      <w:r w:rsidR="57FFEA8B" w:rsidRPr="004C70EC">
        <w:rPr>
          <w:noProof/>
          <w:lang w:eastAsia="de-DE"/>
        </w:rPr>
        <w:t>In order to ensure uniform conditions for the implementation of this Regulation regarding the recognition by the Commission of high impact biotechnology strategic projects</w:t>
      </w:r>
      <w:r w:rsidR="57FFEA8B">
        <w:rPr>
          <w:noProof/>
          <w:lang w:eastAsia="de-DE"/>
        </w:rPr>
        <w:t xml:space="preserve">, the modalities for the processing of personal data necessary to achieve the purpose of such projects in the form of biotechnology data quality accelerators and the rules for the selection, composition, number of members, and functioning of the Foresight Panel for Emerging Health Innovation, </w:t>
      </w:r>
      <w:r w:rsidR="57FFEA8B" w:rsidRPr="004C70EC">
        <w:rPr>
          <w:noProof/>
          <w:lang w:eastAsia="de-DE"/>
        </w:rPr>
        <w:t>implementing powers should be conferred on the Commission.</w:t>
      </w:r>
    </w:p>
    <w:p w14:paraId="18BC72FC" w14:textId="53E1D96B" w:rsidR="00400C0D" w:rsidRDefault="00C03A23" w:rsidP="00C03A23">
      <w:pPr>
        <w:pStyle w:val="ManualConsidrant"/>
        <w:rPr>
          <w:noProof/>
          <w:lang w:eastAsia="de-DE"/>
        </w:rPr>
      </w:pPr>
      <w:r w:rsidRPr="00C03A23">
        <w:rPr>
          <w:noProof/>
        </w:rPr>
        <w:t>(175)</w:t>
      </w:r>
      <w:r w:rsidRPr="00C03A23">
        <w:rPr>
          <w:noProof/>
        </w:rPr>
        <w:tab/>
      </w:r>
      <w:r w:rsidR="008374E7" w:rsidRPr="004C70EC">
        <w:rPr>
          <w:noProof/>
          <w:lang w:eastAsia="de-DE"/>
        </w:rPr>
        <w:t>In order to ensure uniform conditions for the implementation of this Regulation, implementing power should be conferred on the Commission</w:t>
      </w:r>
      <w:r w:rsidR="37748A49" w:rsidRPr="004C70EC">
        <w:rPr>
          <w:noProof/>
          <w:lang w:eastAsia="de-DE"/>
        </w:rPr>
        <w:t xml:space="preserve"> </w:t>
      </w:r>
      <w:r w:rsidR="212FC6E9" w:rsidRPr="004C70EC">
        <w:rPr>
          <w:noProof/>
          <w:lang w:val="en-IE" w:eastAsia="de-DE"/>
        </w:rPr>
        <w:t xml:space="preserve">to detail the criteria to clarify in what cases a project is to be deemed to have a strong systemic and catalytic potential within the Union’s biotechnology ecosystem and accelerate innovation, detail the criteria for the recognition of centres of excellence for advanced therapies, including advanced therapy medicinal product, establish procedural rules for the recognition of high impact </w:t>
      </w:r>
      <w:r w:rsidR="61414478" w:rsidRPr="004C70EC">
        <w:rPr>
          <w:noProof/>
          <w:lang w:val="en-IE" w:eastAsia="de-DE"/>
        </w:rPr>
        <w:t xml:space="preserve">health </w:t>
      </w:r>
      <w:r w:rsidR="212FC6E9" w:rsidRPr="004C70EC">
        <w:rPr>
          <w:noProof/>
          <w:lang w:val="en-IE" w:eastAsia="de-DE"/>
        </w:rPr>
        <w:t xml:space="preserve">biotechnology strategic projects and the format of the assessment report to be submitted by the designated authorities in relation to applications for recognition of high impact </w:t>
      </w:r>
      <w:r w:rsidR="61414478" w:rsidRPr="004C70EC">
        <w:rPr>
          <w:noProof/>
          <w:lang w:val="en-IE" w:eastAsia="de-DE"/>
        </w:rPr>
        <w:t xml:space="preserve">health </w:t>
      </w:r>
      <w:r w:rsidR="212FC6E9" w:rsidRPr="004C70EC">
        <w:rPr>
          <w:noProof/>
          <w:lang w:val="en-IE" w:eastAsia="de-DE"/>
        </w:rPr>
        <w:t>biotechnology strategic projects, establish regulatory sandboxes for</w:t>
      </w:r>
      <w:r w:rsidR="0CB063C1" w:rsidRPr="004C70EC">
        <w:rPr>
          <w:noProof/>
          <w:lang w:val="en-IE" w:eastAsia="de-DE"/>
        </w:rPr>
        <w:t xml:space="preserve"> </w:t>
      </w:r>
      <w:r w:rsidR="212FC6E9" w:rsidRPr="004C70EC">
        <w:rPr>
          <w:noProof/>
          <w:lang w:val="en-IE" w:eastAsia="de-DE"/>
        </w:rPr>
        <w:t>health biotechnology products and common principles</w:t>
      </w:r>
      <w:r w:rsidR="12A8F005" w:rsidRPr="004C70EC">
        <w:rPr>
          <w:noProof/>
          <w:lang w:val="en-IE" w:eastAsia="de-DE"/>
        </w:rPr>
        <w:t xml:space="preserve">, criteria and </w:t>
      </w:r>
      <w:r w:rsidR="212FC6E9" w:rsidRPr="004C70EC">
        <w:rPr>
          <w:noProof/>
          <w:lang w:val="en-IE" w:eastAsia="de-DE"/>
        </w:rPr>
        <w:t xml:space="preserve">practical arrangements </w:t>
      </w:r>
      <w:r w:rsidR="12A8F005" w:rsidRPr="004C70EC">
        <w:rPr>
          <w:noProof/>
          <w:lang w:val="en-IE" w:eastAsia="de-DE"/>
        </w:rPr>
        <w:t xml:space="preserve">for the assessment of applications received from developers and for the establishment and supervision of the regulatory sandboxes and related sandbox plans. </w:t>
      </w:r>
      <w:r w:rsidR="49DD8BCA" w:rsidRPr="004C70EC">
        <w:rPr>
          <w:noProof/>
          <w:lang w:val="en-IE" w:eastAsia="de-DE"/>
        </w:rPr>
        <w:t>Those powers should be exercised in accordance with Regulation (EU) No 182/2011.</w:t>
      </w:r>
    </w:p>
    <w:p w14:paraId="60310C21" w14:textId="4F1E2E44" w:rsidR="002F364A" w:rsidRPr="004C70EC" w:rsidRDefault="00C03A23" w:rsidP="00C03A23">
      <w:pPr>
        <w:pStyle w:val="ManualConsidrant"/>
        <w:rPr>
          <w:noProof/>
          <w:lang w:eastAsia="de-DE"/>
        </w:rPr>
      </w:pPr>
      <w:r w:rsidRPr="00C03A23">
        <w:rPr>
          <w:noProof/>
        </w:rPr>
        <w:t>(176)</w:t>
      </w:r>
      <w:r w:rsidRPr="00C03A23">
        <w:rPr>
          <w:noProof/>
        </w:rPr>
        <w:tab/>
      </w:r>
      <w:r w:rsidR="07D4CDF3" w:rsidRPr="004C70EC">
        <w:rPr>
          <w:noProof/>
          <w:lang w:val="en-IE" w:eastAsia="de-DE"/>
        </w:rPr>
        <w:t>T</w:t>
      </w:r>
      <w:r w:rsidR="212FC6E9" w:rsidRPr="004C70EC">
        <w:rPr>
          <w:noProof/>
          <w:lang w:val="en-IE" w:eastAsia="de-DE"/>
        </w:rPr>
        <w:t>he power to adopt acts in accordance with Article 290 of the Treaty on the Functioning of the European Union should be delegated to the Commission in respect of modifying</w:t>
      </w:r>
      <w:r w:rsidR="13D2C7CE" w:rsidRPr="004C70EC">
        <w:rPr>
          <w:noProof/>
          <w:lang w:val="en-IE" w:eastAsia="de-DE"/>
        </w:rPr>
        <w:t xml:space="preserve"> Annex </w:t>
      </w:r>
      <w:r w:rsidR="18180F32" w:rsidRPr="004C70EC">
        <w:rPr>
          <w:noProof/>
          <w:lang w:val="en-IE" w:eastAsia="de-DE"/>
        </w:rPr>
        <w:t>I</w:t>
      </w:r>
      <w:r w:rsidR="13D2C7CE" w:rsidRPr="004C70EC">
        <w:rPr>
          <w:noProof/>
          <w:lang w:val="en-IE" w:eastAsia="de-DE"/>
        </w:rPr>
        <w:t xml:space="preserve"> to this Regulation listing the biotechnology products of concern</w:t>
      </w:r>
      <w:r w:rsidR="212FC6E9" w:rsidRPr="004C70EC">
        <w:rPr>
          <w:noProof/>
          <w:lang w:val="en-IE" w:eastAsia="de-DE"/>
        </w:rPr>
        <w:t>.</w:t>
      </w:r>
      <w:r w:rsidR="66C2E960" w:rsidRPr="004C70EC">
        <w:rPr>
          <w:noProof/>
          <w:lang w:val="en-IE" w:eastAsia="de-DE"/>
        </w:rPr>
        <w:t xml:space="preserve"> </w:t>
      </w:r>
      <w:r w:rsidR="249CF78E" w:rsidRPr="004C70EC">
        <w:rPr>
          <w:noProof/>
          <w:lang w:val="en-IE" w:eastAsia="de-DE"/>
        </w:rPr>
        <w:t>It is of particular importance that the Commission car</w:t>
      </w:r>
      <w:r w:rsidR="18180F32" w:rsidRPr="004C70EC">
        <w:rPr>
          <w:noProof/>
          <w:lang w:val="en-IE" w:eastAsia="de-DE"/>
        </w:rPr>
        <w:t>ries</w:t>
      </w:r>
      <w:r w:rsidR="249CF78E" w:rsidRPr="004C70EC">
        <w:rPr>
          <w:noProof/>
          <w:lang w:val="en-IE" w:eastAsia="de-DE"/>
        </w:rPr>
        <w:t xml:space="preserve"> out appropriate consultations during its preparatory work, including at expert level, and that those consultations be conducted in accordance with the principles laid down in the Interinstitutional Agreement on Better Law-Making of 13 April 2016. In particular, to ensure equal participation in the preparation of delegated acts, the European Parliament and the Council receive all documents at the same time as Member States' experts, and their experts systematically have access to meetings of Commission expert groups dealing with the preparation of delegated acts.</w:t>
      </w:r>
    </w:p>
    <w:p w14:paraId="54AB3337" w14:textId="6884F0FE" w:rsidR="002F364A" w:rsidRPr="004C70EC" w:rsidRDefault="00C03A23" w:rsidP="00C03A23">
      <w:pPr>
        <w:pStyle w:val="ManualConsidrant"/>
        <w:rPr>
          <w:noProof/>
          <w:lang w:eastAsia="de-DE"/>
        </w:rPr>
      </w:pPr>
      <w:r w:rsidRPr="00C03A23">
        <w:rPr>
          <w:noProof/>
        </w:rPr>
        <w:t>(177)</w:t>
      </w:r>
      <w:r w:rsidRPr="00C03A23">
        <w:rPr>
          <w:noProof/>
        </w:rPr>
        <w:tab/>
      </w:r>
      <w:r w:rsidR="7D8DE7A9" w:rsidRPr="004C70EC">
        <w:rPr>
          <w:noProof/>
          <w:lang w:val="en-IE" w:eastAsia="de-DE"/>
        </w:rPr>
        <w:t xml:space="preserve">The European Data Protection </w:t>
      </w:r>
      <w:r w:rsidR="7D8DE7A9">
        <w:rPr>
          <w:noProof/>
          <w:lang w:val="en-IE" w:eastAsia="de-DE"/>
        </w:rPr>
        <w:t>Supervisor</w:t>
      </w:r>
      <w:r w:rsidR="7D8DE7A9" w:rsidRPr="004C70EC">
        <w:rPr>
          <w:noProof/>
          <w:lang w:val="en-IE" w:eastAsia="de-DE"/>
        </w:rPr>
        <w:t xml:space="preserve"> and </w:t>
      </w:r>
      <w:r w:rsidR="0A53EF9C" w:rsidRPr="004C70EC">
        <w:rPr>
          <w:noProof/>
          <w:lang w:val="en-IE" w:eastAsia="de-DE"/>
        </w:rPr>
        <w:t xml:space="preserve">the European Data Protection Board were consulted </w:t>
      </w:r>
      <w:r w:rsidR="3E53F82E" w:rsidRPr="004C70EC">
        <w:rPr>
          <w:noProof/>
          <w:lang w:val="en-IE" w:eastAsia="de-DE"/>
        </w:rPr>
        <w:t>in accordance with Article 42 of Regulation (EU) 2018/1725</w:t>
      </w:r>
      <w:r w:rsidR="007C3C85" w:rsidRPr="004C70EC">
        <w:rPr>
          <w:rStyle w:val="FootnoteReference"/>
          <w:rFonts w:eastAsia="Times New Roman"/>
          <w:noProof/>
          <w:color w:val="000000" w:themeColor="text1"/>
          <w:lang w:val="en-IE" w:eastAsia="de-DE"/>
        </w:rPr>
        <w:footnoteReference w:id="153"/>
      </w:r>
      <w:r w:rsidR="3E53F82E" w:rsidRPr="004C70EC">
        <w:rPr>
          <w:noProof/>
          <w:lang w:val="en-IE" w:eastAsia="de-DE"/>
        </w:rPr>
        <w:t xml:space="preserve"> and delivered an opinion [date].</w:t>
      </w:r>
    </w:p>
    <w:p w14:paraId="46D8AE08" w14:textId="3A1F9431" w:rsidR="00273F36" w:rsidRPr="004C70EC" w:rsidRDefault="00C03A23" w:rsidP="00C03A23">
      <w:pPr>
        <w:pStyle w:val="ManualConsidrant"/>
        <w:rPr>
          <w:noProof/>
          <w:lang w:eastAsia="de-DE"/>
        </w:rPr>
      </w:pPr>
      <w:r w:rsidRPr="00C03A23">
        <w:rPr>
          <w:noProof/>
        </w:rPr>
        <w:t>(178)</w:t>
      </w:r>
      <w:r w:rsidRPr="00C03A23">
        <w:rPr>
          <w:noProof/>
        </w:rPr>
        <w:tab/>
      </w:r>
      <w:r w:rsidR="249CF78E" w:rsidRPr="004C70EC">
        <w:rPr>
          <w:noProof/>
          <w:lang w:val="en-IE" w:eastAsia="de-DE"/>
        </w:rPr>
        <w:t>Since the objective</w:t>
      </w:r>
      <w:r w:rsidR="12BEC7D3" w:rsidRPr="004C70EC">
        <w:rPr>
          <w:noProof/>
          <w:lang w:val="en-IE" w:eastAsia="de-DE"/>
        </w:rPr>
        <w:t>s</w:t>
      </w:r>
      <w:r w:rsidR="249CF78E" w:rsidRPr="004C70EC">
        <w:rPr>
          <w:noProof/>
          <w:lang w:val="en-IE" w:eastAsia="de-DE"/>
        </w:rPr>
        <w:t xml:space="preserve"> of this Regulation cannot be sufficiently achieved by the Member States </w:t>
      </w:r>
      <w:r w:rsidR="12BEC7D3" w:rsidRPr="004C70EC">
        <w:rPr>
          <w:noProof/>
          <w:lang w:val="en-IE" w:eastAsia="de-DE"/>
        </w:rPr>
        <w:t xml:space="preserve">but </w:t>
      </w:r>
      <w:r w:rsidR="249CF78E" w:rsidRPr="004C70EC">
        <w:rPr>
          <w:noProof/>
          <w:lang w:val="en-IE" w:eastAsia="de-DE"/>
        </w:rPr>
        <w:t>can rather, by reason of the scale or effects of the action, be better achieved at Union level, the Union may adopt measures in accordance with the principle of subsidiarity as set out in Article 5 of the Treaty on European Union. In accordance with the principle of proportionality as set out in that Article, this Regulation does not go beyond what is necessary in order to achieve th</w:t>
      </w:r>
      <w:r w:rsidR="4A3E511F" w:rsidRPr="004C70EC">
        <w:rPr>
          <w:noProof/>
          <w:lang w:val="en-IE" w:eastAsia="de-DE"/>
        </w:rPr>
        <w:t>ose</w:t>
      </w:r>
      <w:r w:rsidR="249CF78E" w:rsidRPr="004C70EC">
        <w:rPr>
          <w:noProof/>
          <w:lang w:val="en-IE" w:eastAsia="de-DE"/>
        </w:rPr>
        <w:t xml:space="preserve"> objective</w:t>
      </w:r>
      <w:r w:rsidR="4A3E511F" w:rsidRPr="004C70EC">
        <w:rPr>
          <w:noProof/>
          <w:lang w:val="en-IE" w:eastAsia="de-DE"/>
        </w:rPr>
        <w:t>s</w:t>
      </w:r>
      <w:r w:rsidR="009937B7" w:rsidRPr="004C70EC">
        <w:rPr>
          <w:noProof/>
          <w:lang w:val="en-IE" w:eastAsia="de-DE"/>
        </w:rPr>
        <w:t>.</w:t>
      </w:r>
    </w:p>
    <w:p w14:paraId="019935B6" w14:textId="77777777" w:rsidR="00273F36" w:rsidRPr="004C70EC" w:rsidRDefault="00273F36" w:rsidP="00762D38">
      <w:pPr>
        <w:pStyle w:val="Formuledadoption"/>
        <w:rPr>
          <w:noProof/>
          <w:color w:val="000000" w:themeColor="text1"/>
        </w:rPr>
      </w:pPr>
      <w:r w:rsidRPr="004C70EC">
        <w:rPr>
          <w:noProof/>
          <w:color w:val="000000" w:themeColor="text1"/>
        </w:rPr>
        <w:t>HAVE ADOPTED THIS REGULATION:</w:t>
      </w:r>
    </w:p>
    <w:p w14:paraId="6DAE418F" w14:textId="77777777" w:rsidR="00CE2E0C" w:rsidRPr="004C70EC" w:rsidRDefault="00CE2E0C" w:rsidP="00762D38">
      <w:pPr>
        <w:pStyle w:val="ChapterTitle"/>
        <w:rPr>
          <w:rFonts w:eastAsia="Calibri"/>
          <w:noProof/>
          <w:color w:val="000000" w:themeColor="text1"/>
          <w:sz w:val="24"/>
          <w:szCs w:val="24"/>
        </w:rPr>
      </w:pPr>
      <w:r w:rsidRPr="004C70EC">
        <w:rPr>
          <w:noProof/>
          <w:color w:val="000000" w:themeColor="text1"/>
          <w:sz w:val="24"/>
          <w:szCs w:val="24"/>
        </w:rPr>
        <w:t>CHAPTER I</w:t>
      </w:r>
    </w:p>
    <w:p w14:paraId="5115FEDD" w14:textId="77777777" w:rsidR="00273F36" w:rsidRPr="004C70EC" w:rsidRDefault="00273F36" w:rsidP="008D722A">
      <w:pPr>
        <w:pStyle w:val="ChapterTitle"/>
        <w:rPr>
          <w:rFonts w:eastAsia="Times New Roman"/>
          <w:b w:val="0"/>
          <w:noProof/>
          <w:color w:val="000000" w:themeColor="text1"/>
          <w:sz w:val="24"/>
          <w:szCs w:val="24"/>
          <w:lang w:eastAsia="ja-JP"/>
        </w:rPr>
      </w:pPr>
      <w:r w:rsidRPr="004C70EC">
        <w:rPr>
          <w:rFonts w:eastAsia="Times New Roman"/>
          <w:noProof/>
          <w:color w:val="000000" w:themeColor="text1"/>
          <w:sz w:val="24"/>
          <w:szCs w:val="24"/>
          <w:bdr w:val="nil"/>
          <w:lang w:val="en-US" w:eastAsia="en-GB"/>
        </w:rPr>
        <w:t>SUBJECT MATTER, SCOPE AND DEFINITIONS</w:t>
      </w:r>
    </w:p>
    <w:p w14:paraId="53DF49AA" w14:textId="77777777" w:rsidR="00273F36" w:rsidRPr="004C70EC" w:rsidRDefault="00273F36" w:rsidP="00762D38">
      <w:pPr>
        <w:pStyle w:val="Titrearticle"/>
        <w:rPr>
          <w:noProof/>
          <w:color w:val="000000" w:themeColor="text1"/>
          <w:lang w:eastAsia="ja-JP"/>
        </w:rPr>
      </w:pPr>
      <w:r w:rsidRPr="004C70EC">
        <w:rPr>
          <w:noProof/>
          <w:color w:val="000000" w:themeColor="text1"/>
          <w:lang w:eastAsia="ja-JP"/>
        </w:rPr>
        <w:t xml:space="preserve">Article </w:t>
      </w:r>
      <w:r w:rsidR="007C6B1E" w:rsidRPr="004C70EC">
        <w:rPr>
          <w:noProof/>
          <w:color w:val="000000" w:themeColor="text1"/>
        </w:rPr>
        <w:t>1</w:t>
      </w:r>
    </w:p>
    <w:p w14:paraId="3819CF62" w14:textId="77777777" w:rsidR="00273F36" w:rsidRPr="004C70EC" w:rsidRDefault="00273F36" w:rsidP="00273F36">
      <w:pPr>
        <w:keepNext/>
        <w:tabs>
          <w:tab w:val="left" w:pos="850"/>
        </w:tabs>
        <w:ind w:left="850" w:hanging="850"/>
        <w:jc w:val="center"/>
        <w:outlineLvl w:val="1"/>
        <w:rPr>
          <w:rFonts w:eastAsia="Times New Roman"/>
          <w:b/>
          <w:noProof/>
          <w:color w:val="000000" w:themeColor="text1"/>
          <w:szCs w:val="24"/>
          <w:lang w:eastAsia="ja-JP"/>
        </w:rPr>
      </w:pPr>
      <w:r w:rsidRPr="004C70EC">
        <w:rPr>
          <w:rFonts w:eastAsia="Times New Roman"/>
          <w:b/>
          <w:noProof/>
          <w:color w:val="000000" w:themeColor="text1"/>
          <w:szCs w:val="24"/>
          <w:lang w:eastAsia="ja-JP"/>
        </w:rPr>
        <w:t xml:space="preserve">Subject matter </w:t>
      </w:r>
      <w:r w:rsidR="00224911" w:rsidRPr="004C70EC">
        <w:rPr>
          <w:rFonts w:eastAsia="Times New Roman"/>
          <w:b/>
          <w:noProof/>
          <w:color w:val="000000" w:themeColor="text1"/>
          <w:szCs w:val="24"/>
          <w:lang w:eastAsia="ja-JP"/>
        </w:rPr>
        <w:t xml:space="preserve">and scope </w:t>
      </w:r>
    </w:p>
    <w:p w14:paraId="5135A729" w14:textId="77777777" w:rsidR="00273F36" w:rsidRPr="004C70EC" w:rsidRDefault="00273F36" w:rsidP="00762D38">
      <w:pPr>
        <w:pStyle w:val="Point0"/>
        <w:rPr>
          <w:noProof/>
          <w:color w:val="000000" w:themeColor="text1"/>
          <w:lang w:eastAsia="ja-JP"/>
        </w:rPr>
      </w:pPr>
      <w:r w:rsidRPr="004C70EC">
        <w:rPr>
          <w:noProof/>
          <w:color w:val="000000" w:themeColor="text1"/>
          <w:lang w:eastAsia="ja-JP"/>
        </w:rPr>
        <w:t>1.</w:t>
      </w:r>
      <w:r w:rsidR="00762D38" w:rsidRPr="004C70EC">
        <w:rPr>
          <w:noProof/>
          <w:color w:val="000000" w:themeColor="text1"/>
        </w:rPr>
        <w:tab/>
      </w:r>
      <w:r w:rsidR="002F1EE4" w:rsidRPr="004C70EC">
        <w:rPr>
          <w:noProof/>
          <w:color w:val="000000" w:themeColor="text1"/>
          <w:lang w:eastAsia="ja-JP"/>
        </w:rPr>
        <w:t>T</w:t>
      </w:r>
      <w:r w:rsidRPr="004C70EC">
        <w:rPr>
          <w:noProof/>
          <w:color w:val="000000" w:themeColor="text1"/>
          <w:lang w:eastAsia="ja-JP"/>
        </w:rPr>
        <w:t>his Regulation establish</w:t>
      </w:r>
      <w:r w:rsidR="00796CB4" w:rsidRPr="004C70EC">
        <w:rPr>
          <w:noProof/>
          <w:color w:val="000000" w:themeColor="text1"/>
          <w:lang w:eastAsia="ja-JP"/>
        </w:rPr>
        <w:t>es</w:t>
      </w:r>
      <w:r w:rsidRPr="004C70EC">
        <w:rPr>
          <w:noProof/>
          <w:color w:val="000000" w:themeColor="text1"/>
          <w:lang w:eastAsia="ja-JP"/>
        </w:rPr>
        <w:t xml:space="preserve"> a framework to strengthen the competitiveness of the </w:t>
      </w:r>
      <w:r w:rsidR="00DD6C0D" w:rsidRPr="004C70EC">
        <w:rPr>
          <w:noProof/>
          <w:color w:val="000000" w:themeColor="text1"/>
          <w:lang w:eastAsia="ja-JP"/>
        </w:rPr>
        <w:t xml:space="preserve">health </w:t>
      </w:r>
      <w:r w:rsidRPr="004C70EC">
        <w:rPr>
          <w:noProof/>
          <w:color w:val="000000" w:themeColor="text1"/>
          <w:lang w:eastAsia="ja-JP"/>
        </w:rPr>
        <w:t>biotechnology sector</w:t>
      </w:r>
      <w:r w:rsidR="00CE6BED" w:rsidRPr="004C70EC">
        <w:rPr>
          <w:noProof/>
          <w:color w:val="000000" w:themeColor="text1"/>
          <w:lang w:eastAsia="ja-JP"/>
        </w:rPr>
        <w:t xml:space="preserve"> in the Union</w:t>
      </w:r>
      <w:r w:rsidR="000E6F3D" w:rsidRPr="004C70EC">
        <w:rPr>
          <w:noProof/>
          <w:color w:val="000000" w:themeColor="text1"/>
          <w:lang w:eastAsia="ja-JP"/>
        </w:rPr>
        <w:t xml:space="preserve">. It </w:t>
      </w:r>
      <w:r w:rsidRPr="004C70EC">
        <w:rPr>
          <w:noProof/>
          <w:color w:val="000000" w:themeColor="text1"/>
          <w:lang w:eastAsia="ja-JP"/>
        </w:rPr>
        <w:t>create</w:t>
      </w:r>
      <w:r w:rsidR="006933A8" w:rsidRPr="004C70EC">
        <w:rPr>
          <w:noProof/>
          <w:color w:val="000000" w:themeColor="text1"/>
          <w:lang w:eastAsia="ja-JP"/>
        </w:rPr>
        <w:t>s</w:t>
      </w:r>
      <w:r w:rsidRPr="004C70EC">
        <w:rPr>
          <w:noProof/>
          <w:color w:val="000000" w:themeColor="text1"/>
          <w:lang w:eastAsia="ja-JP"/>
        </w:rPr>
        <w:t xml:space="preserve"> </w:t>
      </w:r>
      <w:r w:rsidR="005354F0" w:rsidRPr="004C70EC">
        <w:rPr>
          <w:noProof/>
          <w:color w:val="000000" w:themeColor="text1"/>
          <w:lang w:eastAsia="ja-JP"/>
        </w:rPr>
        <w:t>and reinforce</w:t>
      </w:r>
      <w:r w:rsidR="00E13179" w:rsidRPr="004C70EC">
        <w:rPr>
          <w:noProof/>
          <w:color w:val="000000" w:themeColor="text1"/>
          <w:lang w:eastAsia="ja-JP"/>
        </w:rPr>
        <w:t>s</w:t>
      </w:r>
      <w:r w:rsidRPr="004C70EC" w:rsidDel="00B048E0">
        <w:rPr>
          <w:noProof/>
          <w:color w:val="000000" w:themeColor="text1"/>
          <w:lang w:eastAsia="ja-JP"/>
        </w:rPr>
        <w:t xml:space="preserve"> </w:t>
      </w:r>
      <w:r w:rsidR="00B048E0" w:rsidRPr="004C70EC">
        <w:rPr>
          <w:noProof/>
          <w:color w:val="000000" w:themeColor="text1"/>
          <w:lang w:eastAsia="ja-JP"/>
        </w:rPr>
        <w:t>favourable</w:t>
      </w:r>
      <w:r w:rsidRPr="004C70EC" w:rsidDel="00B048E0">
        <w:rPr>
          <w:noProof/>
          <w:color w:val="000000" w:themeColor="text1"/>
          <w:lang w:eastAsia="ja-JP"/>
        </w:rPr>
        <w:t xml:space="preserve"> </w:t>
      </w:r>
      <w:r w:rsidRPr="004C70EC">
        <w:rPr>
          <w:noProof/>
          <w:color w:val="000000" w:themeColor="text1"/>
          <w:lang w:eastAsia="ja-JP"/>
        </w:rPr>
        <w:t xml:space="preserve">conditions </w:t>
      </w:r>
      <w:r w:rsidR="005250AF" w:rsidRPr="004C70EC">
        <w:rPr>
          <w:noProof/>
          <w:color w:val="000000" w:themeColor="text1"/>
          <w:lang w:eastAsia="ja-JP"/>
        </w:rPr>
        <w:t xml:space="preserve">for health biotechnology </w:t>
      </w:r>
      <w:r w:rsidR="00645876" w:rsidRPr="004C70EC">
        <w:rPr>
          <w:noProof/>
          <w:color w:val="000000" w:themeColor="text1"/>
          <w:lang w:eastAsia="ja-JP"/>
        </w:rPr>
        <w:t xml:space="preserve">as defined in Article </w:t>
      </w:r>
      <w:r w:rsidR="00CF10CE" w:rsidRPr="004C70EC">
        <w:rPr>
          <w:noProof/>
          <w:color w:val="000000" w:themeColor="text1"/>
          <w:lang w:eastAsia="ja-JP"/>
        </w:rPr>
        <w:t>2</w:t>
      </w:r>
      <w:r w:rsidR="00A94FAB" w:rsidRPr="004C70EC">
        <w:rPr>
          <w:noProof/>
          <w:color w:val="000000" w:themeColor="text1"/>
          <w:lang w:eastAsia="ja-JP"/>
        </w:rPr>
        <w:t>(</w:t>
      </w:r>
      <w:r w:rsidR="00EA3D68" w:rsidRPr="004C70EC">
        <w:rPr>
          <w:rFonts w:eastAsia="Times New Roman"/>
          <w:noProof/>
          <w:color w:val="000000" w:themeColor="text1"/>
          <w:lang w:eastAsia="ja-JP"/>
        </w:rPr>
        <w:t>1</w:t>
      </w:r>
      <w:r w:rsidR="00A94FAB" w:rsidRPr="004C70EC">
        <w:rPr>
          <w:rFonts w:eastAsia="Times New Roman"/>
          <w:noProof/>
          <w:color w:val="000000" w:themeColor="text1"/>
          <w:lang w:eastAsia="ja-JP"/>
        </w:rPr>
        <w:t>)</w:t>
      </w:r>
      <w:r w:rsidR="00EA3D68" w:rsidRPr="004C70EC">
        <w:rPr>
          <w:rFonts w:eastAsia="Times New Roman"/>
          <w:noProof/>
          <w:color w:val="000000" w:themeColor="text1"/>
          <w:lang w:eastAsia="ja-JP"/>
        </w:rPr>
        <w:t>, point (2)</w:t>
      </w:r>
      <w:r w:rsidR="001E144C" w:rsidRPr="004C70EC">
        <w:rPr>
          <w:rFonts w:eastAsia="Times New Roman"/>
          <w:noProof/>
          <w:color w:val="000000" w:themeColor="text1"/>
          <w:lang w:eastAsia="ja-JP"/>
        </w:rPr>
        <w:t>,</w:t>
      </w:r>
      <w:r w:rsidR="00CF10CE" w:rsidRPr="004C70EC">
        <w:rPr>
          <w:noProof/>
          <w:color w:val="000000" w:themeColor="text1"/>
          <w:lang w:eastAsia="ja-JP"/>
        </w:rPr>
        <w:t xml:space="preserve"> </w:t>
      </w:r>
      <w:r w:rsidR="007D3828" w:rsidRPr="004C70EC">
        <w:rPr>
          <w:noProof/>
          <w:color w:val="000000" w:themeColor="text1"/>
          <w:lang w:eastAsia="ja-JP"/>
        </w:rPr>
        <w:t>from research</w:t>
      </w:r>
      <w:r w:rsidR="0056482C" w:rsidRPr="004C70EC">
        <w:rPr>
          <w:noProof/>
          <w:color w:val="000000" w:themeColor="text1"/>
          <w:lang w:eastAsia="ja-JP"/>
        </w:rPr>
        <w:t xml:space="preserve"> and</w:t>
      </w:r>
      <w:r w:rsidR="007D3828" w:rsidRPr="004C70EC">
        <w:rPr>
          <w:noProof/>
          <w:color w:val="000000" w:themeColor="text1"/>
          <w:lang w:eastAsia="ja-JP"/>
        </w:rPr>
        <w:t xml:space="preserve"> </w:t>
      </w:r>
      <w:r w:rsidRPr="004C70EC">
        <w:rPr>
          <w:noProof/>
          <w:color w:val="000000" w:themeColor="text1"/>
          <w:lang w:eastAsia="ja-JP"/>
        </w:rPr>
        <w:t xml:space="preserve">development </w:t>
      </w:r>
      <w:r w:rsidR="00B0603F" w:rsidRPr="004C70EC">
        <w:rPr>
          <w:noProof/>
          <w:color w:val="000000" w:themeColor="text1"/>
          <w:lang w:eastAsia="ja-JP"/>
        </w:rPr>
        <w:t>to</w:t>
      </w:r>
      <w:r w:rsidR="003C0C80" w:rsidRPr="004C70EC">
        <w:rPr>
          <w:noProof/>
          <w:color w:val="000000" w:themeColor="text1"/>
          <w:lang w:eastAsia="ja-JP"/>
        </w:rPr>
        <w:t xml:space="preserve"> </w:t>
      </w:r>
      <w:r w:rsidR="00D13AD5" w:rsidRPr="004C70EC">
        <w:rPr>
          <w:noProof/>
          <w:color w:val="000000" w:themeColor="text1"/>
          <w:lang w:eastAsia="ja-JP"/>
        </w:rPr>
        <w:t xml:space="preserve">the </w:t>
      </w:r>
      <w:r w:rsidRPr="004C70EC">
        <w:rPr>
          <w:noProof/>
          <w:color w:val="000000" w:themeColor="text1"/>
          <w:lang w:eastAsia="ja-JP"/>
        </w:rPr>
        <w:t>timely placing on the Union market</w:t>
      </w:r>
      <w:r w:rsidR="00460AE0" w:rsidRPr="004C70EC">
        <w:rPr>
          <w:noProof/>
          <w:color w:val="000000" w:themeColor="text1"/>
          <w:lang w:eastAsia="ja-JP"/>
        </w:rPr>
        <w:t xml:space="preserve"> and production</w:t>
      </w:r>
      <w:r w:rsidR="00CF502A" w:rsidRPr="004C70EC">
        <w:rPr>
          <w:noProof/>
          <w:color w:val="000000" w:themeColor="text1"/>
          <w:lang w:eastAsia="ja-JP"/>
        </w:rPr>
        <w:t xml:space="preserve"> </w:t>
      </w:r>
      <w:r w:rsidRPr="004C70EC">
        <w:rPr>
          <w:noProof/>
          <w:color w:val="000000" w:themeColor="text1"/>
          <w:lang w:eastAsia="ja-JP"/>
        </w:rPr>
        <w:t xml:space="preserve">of biotechnology </w:t>
      </w:r>
      <w:r w:rsidR="009E1B5E" w:rsidRPr="004C70EC">
        <w:rPr>
          <w:noProof/>
          <w:color w:val="000000" w:themeColor="text1"/>
          <w:lang w:eastAsia="ja-JP"/>
        </w:rPr>
        <w:t>innovations</w:t>
      </w:r>
      <w:r w:rsidR="00D13D6B" w:rsidRPr="004C70EC">
        <w:rPr>
          <w:noProof/>
          <w:color w:val="000000" w:themeColor="text1"/>
          <w:lang w:eastAsia="ja-JP"/>
        </w:rPr>
        <w:t xml:space="preserve"> </w:t>
      </w:r>
      <w:r w:rsidR="00E4674A" w:rsidRPr="004C70EC">
        <w:rPr>
          <w:noProof/>
          <w:color w:val="000000" w:themeColor="text1"/>
          <w:lang w:eastAsia="ja-JP"/>
        </w:rPr>
        <w:t>and</w:t>
      </w:r>
      <w:r w:rsidR="009E1B5E" w:rsidRPr="004C70EC">
        <w:rPr>
          <w:noProof/>
          <w:color w:val="000000" w:themeColor="text1"/>
          <w:lang w:eastAsia="ja-JP"/>
        </w:rPr>
        <w:t xml:space="preserve"> </w:t>
      </w:r>
      <w:r w:rsidRPr="004C70EC">
        <w:rPr>
          <w:noProof/>
          <w:color w:val="000000" w:themeColor="text1"/>
          <w:lang w:eastAsia="ja-JP"/>
        </w:rPr>
        <w:t xml:space="preserve">products, while safeguarding high standards </w:t>
      </w:r>
      <w:r w:rsidR="6BF690CA" w:rsidRPr="004C70EC">
        <w:rPr>
          <w:noProof/>
          <w:color w:val="000000" w:themeColor="text1"/>
          <w:lang w:eastAsia="ja-JP"/>
        </w:rPr>
        <w:t>of</w:t>
      </w:r>
      <w:r w:rsidRPr="004C70EC">
        <w:rPr>
          <w:noProof/>
          <w:color w:val="000000" w:themeColor="text1"/>
          <w:lang w:eastAsia="ja-JP"/>
        </w:rPr>
        <w:t xml:space="preserve"> protection of human health, patient</w:t>
      </w:r>
      <w:r w:rsidR="00DE1699" w:rsidRPr="004C70EC">
        <w:rPr>
          <w:noProof/>
          <w:color w:val="000000" w:themeColor="text1"/>
          <w:lang w:eastAsia="ja-JP"/>
        </w:rPr>
        <w:t xml:space="preserve"> </w:t>
      </w:r>
      <w:r w:rsidRPr="004C70EC">
        <w:rPr>
          <w:noProof/>
          <w:color w:val="000000" w:themeColor="text1"/>
          <w:lang w:eastAsia="ja-JP"/>
        </w:rPr>
        <w:t>s</w:t>
      </w:r>
      <w:r w:rsidR="00DE1699" w:rsidRPr="004C70EC">
        <w:rPr>
          <w:noProof/>
          <w:color w:val="000000" w:themeColor="text1"/>
          <w:lang w:eastAsia="ja-JP"/>
        </w:rPr>
        <w:t>afety</w:t>
      </w:r>
      <w:r w:rsidRPr="004C70EC" w:rsidDel="00F1492C">
        <w:rPr>
          <w:noProof/>
          <w:color w:val="000000" w:themeColor="text1"/>
          <w:lang w:eastAsia="ja-JP"/>
        </w:rPr>
        <w:t xml:space="preserve"> </w:t>
      </w:r>
      <w:r w:rsidRPr="004C70EC">
        <w:rPr>
          <w:noProof/>
          <w:color w:val="000000" w:themeColor="text1"/>
          <w:lang w:eastAsia="ja-JP"/>
        </w:rPr>
        <w:t xml:space="preserve">and </w:t>
      </w:r>
      <w:r w:rsidR="00E46631" w:rsidRPr="004C70EC">
        <w:rPr>
          <w:noProof/>
          <w:color w:val="000000" w:themeColor="text1"/>
          <w:lang w:eastAsia="ja-JP"/>
        </w:rPr>
        <w:t>animal health</w:t>
      </w:r>
      <w:r w:rsidR="00636C6B" w:rsidRPr="004C70EC">
        <w:rPr>
          <w:noProof/>
          <w:color w:val="000000" w:themeColor="text1"/>
          <w:lang w:eastAsia="ja-JP"/>
        </w:rPr>
        <w:t>,</w:t>
      </w:r>
      <w:r w:rsidR="00E46631" w:rsidRPr="004C70EC">
        <w:rPr>
          <w:noProof/>
          <w:color w:val="000000" w:themeColor="text1"/>
          <w:lang w:eastAsia="ja-JP"/>
        </w:rPr>
        <w:t xml:space="preserve"> </w:t>
      </w:r>
      <w:r w:rsidRPr="004C70EC">
        <w:rPr>
          <w:noProof/>
          <w:color w:val="000000" w:themeColor="text1"/>
          <w:lang w:eastAsia="ja-JP"/>
        </w:rPr>
        <w:t>the environment, ethics, quality</w:t>
      </w:r>
      <w:r w:rsidR="00E40798" w:rsidRPr="004C70EC">
        <w:rPr>
          <w:noProof/>
          <w:color w:val="000000" w:themeColor="text1"/>
          <w:lang w:eastAsia="ja-JP"/>
        </w:rPr>
        <w:t xml:space="preserve"> of </w:t>
      </w:r>
      <w:r w:rsidR="00115CD2" w:rsidRPr="004C70EC">
        <w:rPr>
          <w:noProof/>
          <w:color w:val="000000" w:themeColor="text1"/>
          <w:lang w:eastAsia="ja-JP"/>
        </w:rPr>
        <w:t>products</w:t>
      </w:r>
      <w:r w:rsidRPr="004C70EC">
        <w:rPr>
          <w:noProof/>
          <w:color w:val="000000" w:themeColor="text1"/>
          <w:lang w:eastAsia="ja-JP"/>
        </w:rPr>
        <w:t>, food and feed safety</w:t>
      </w:r>
      <w:r w:rsidR="002F364A" w:rsidRPr="004C70EC">
        <w:rPr>
          <w:noProof/>
          <w:color w:val="000000" w:themeColor="text1"/>
          <w:lang w:eastAsia="ja-JP"/>
        </w:rPr>
        <w:t xml:space="preserve"> </w:t>
      </w:r>
      <w:r w:rsidRPr="004C70EC">
        <w:rPr>
          <w:noProof/>
          <w:color w:val="000000" w:themeColor="text1"/>
          <w:lang w:eastAsia="ja-JP"/>
        </w:rPr>
        <w:t>and biosecurity.</w:t>
      </w:r>
    </w:p>
    <w:p w14:paraId="125AB174" w14:textId="77777777" w:rsidR="00273F36" w:rsidRPr="004C70EC" w:rsidRDefault="00273F36" w:rsidP="00762D38">
      <w:pPr>
        <w:pStyle w:val="Point0"/>
        <w:rPr>
          <w:rFonts w:eastAsia="Times New Roman"/>
          <w:noProof/>
          <w:color w:val="000000" w:themeColor="text1"/>
          <w:szCs w:val="24"/>
          <w:lang w:eastAsia="ja-JP"/>
        </w:rPr>
      </w:pPr>
      <w:r w:rsidRPr="004C70EC">
        <w:rPr>
          <w:rFonts w:eastAsia="Times New Roman"/>
          <w:noProof/>
          <w:color w:val="000000" w:themeColor="text1"/>
          <w:szCs w:val="24"/>
          <w:lang w:eastAsia="ja-JP"/>
        </w:rPr>
        <w:t>2.</w:t>
      </w:r>
      <w:r w:rsidR="00762D38" w:rsidRPr="004C70EC">
        <w:rPr>
          <w:rFonts w:eastAsia="Times New Roman"/>
          <w:noProof/>
          <w:color w:val="000000" w:themeColor="text1"/>
          <w:szCs w:val="24"/>
          <w:lang w:eastAsia="ja-JP"/>
        </w:rPr>
        <w:tab/>
      </w:r>
      <w:r w:rsidR="008A2C86" w:rsidRPr="004C70EC">
        <w:rPr>
          <w:rFonts w:eastAsia="Times New Roman"/>
          <w:noProof/>
          <w:color w:val="000000" w:themeColor="text1"/>
          <w:szCs w:val="24"/>
          <w:lang w:eastAsia="ja-JP"/>
        </w:rPr>
        <w:t>T</w:t>
      </w:r>
      <w:r w:rsidRPr="004C70EC">
        <w:rPr>
          <w:rFonts w:eastAsia="Times New Roman"/>
          <w:noProof/>
          <w:color w:val="000000" w:themeColor="text1"/>
          <w:szCs w:val="24"/>
          <w:lang w:eastAsia="ja-JP"/>
        </w:rPr>
        <w:t xml:space="preserve">his Regulation lays down measures </w:t>
      </w:r>
      <w:r w:rsidR="00B87A45" w:rsidRPr="004C70EC">
        <w:rPr>
          <w:rFonts w:eastAsia="Times New Roman"/>
          <w:noProof/>
          <w:color w:val="000000" w:themeColor="text1"/>
          <w:szCs w:val="24"/>
          <w:lang w:eastAsia="ja-JP"/>
        </w:rPr>
        <w:t>regarding</w:t>
      </w:r>
      <w:r w:rsidR="00BB2F1B" w:rsidRPr="004C70EC">
        <w:rPr>
          <w:rFonts w:eastAsia="Times New Roman"/>
          <w:noProof/>
          <w:color w:val="000000" w:themeColor="text1"/>
          <w:szCs w:val="24"/>
          <w:lang w:eastAsia="ja-JP"/>
        </w:rPr>
        <w:t>:</w:t>
      </w:r>
    </w:p>
    <w:p w14:paraId="3C5675A6" w14:textId="77777777" w:rsidR="00A63E30" w:rsidRPr="004C70EC" w:rsidRDefault="00273F36" w:rsidP="00A63E30">
      <w:pPr>
        <w:pStyle w:val="Point1"/>
        <w:rPr>
          <w:rFonts w:eastAsia="Times New Roman"/>
          <w:noProof/>
          <w:color w:val="000000" w:themeColor="text1"/>
          <w:lang w:eastAsia="ja-JP"/>
        </w:rPr>
      </w:pPr>
      <w:r w:rsidRPr="004C70EC">
        <w:rPr>
          <w:noProof/>
          <w:color w:val="000000" w:themeColor="text1"/>
          <w:lang w:eastAsia="ja-JP"/>
        </w:rPr>
        <w:t>(a)</w:t>
      </w:r>
      <w:r w:rsidRPr="004C70EC">
        <w:rPr>
          <w:noProof/>
          <w:color w:val="000000" w:themeColor="text1"/>
        </w:rPr>
        <w:tab/>
      </w:r>
      <w:r w:rsidR="00EA0E05" w:rsidRPr="004C70EC">
        <w:rPr>
          <w:noProof/>
          <w:color w:val="000000" w:themeColor="text1"/>
        </w:rPr>
        <w:t xml:space="preserve">the </w:t>
      </w:r>
      <w:r w:rsidR="00A63E30" w:rsidRPr="004C70EC">
        <w:rPr>
          <w:rFonts w:eastAsia="Times New Roman"/>
          <w:noProof/>
          <w:color w:val="000000" w:themeColor="text1"/>
          <w:lang w:eastAsia="ja-JP"/>
        </w:rPr>
        <w:t>establish</w:t>
      </w:r>
      <w:r w:rsidR="00EA0E05" w:rsidRPr="004C70EC">
        <w:rPr>
          <w:rFonts w:eastAsia="Times New Roman"/>
          <w:noProof/>
          <w:color w:val="000000" w:themeColor="text1"/>
          <w:lang w:eastAsia="ja-JP"/>
        </w:rPr>
        <w:t>ment of</w:t>
      </w:r>
      <w:r w:rsidR="00BB2F1B" w:rsidRPr="004C70EC">
        <w:rPr>
          <w:rFonts w:eastAsia="Times New Roman"/>
          <w:noProof/>
          <w:color w:val="000000" w:themeColor="text1"/>
          <w:lang w:eastAsia="ja-JP"/>
        </w:rPr>
        <w:t xml:space="preserve"> </w:t>
      </w:r>
      <w:r w:rsidR="00A63E30" w:rsidRPr="004C70EC">
        <w:rPr>
          <w:rFonts w:eastAsia="Times New Roman"/>
          <w:noProof/>
          <w:color w:val="000000" w:themeColor="text1"/>
          <w:lang w:eastAsia="ja-JP"/>
        </w:rPr>
        <w:t xml:space="preserve">a framework for the recognition of, and support measures for, </w:t>
      </w:r>
      <w:r w:rsidR="712A19FF" w:rsidRPr="004C70EC">
        <w:rPr>
          <w:rFonts w:eastAsia="Times New Roman"/>
          <w:noProof/>
          <w:color w:val="000000" w:themeColor="text1"/>
          <w:lang w:eastAsia="ja-JP"/>
        </w:rPr>
        <w:t xml:space="preserve">health </w:t>
      </w:r>
      <w:r w:rsidR="00A63E30" w:rsidRPr="004C70EC">
        <w:rPr>
          <w:rFonts w:eastAsia="Times New Roman"/>
          <w:noProof/>
          <w:color w:val="000000" w:themeColor="text1"/>
          <w:lang w:eastAsia="ja-JP"/>
        </w:rPr>
        <w:t>biotechnology strategic projects</w:t>
      </w:r>
      <w:r w:rsidR="00A8016D" w:rsidRPr="004C70EC">
        <w:rPr>
          <w:rFonts w:eastAsia="Times New Roman"/>
          <w:noProof/>
          <w:color w:val="000000" w:themeColor="text1"/>
          <w:lang w:eastAsia="ja-JP"/>
        </w:rPr>
        <w:t xml:space="preserve"> and</w:t>
      </w:r>
      <w:r w:rsidR="00A63E30" w:rsidRPr="004C70EC">
        <w:rPr>
          <w:rFonts w:eastAsia="Times New Roman"/>
          <w:noProof/>
          <w:color w:val="000000" w:themeColor="text1"/>
          <w:lang w:eastAsia="ja-JP"/>
        </w:rPr>
        <w:t xml:space="preserve"> high impact </w:t>
      </w:r>
      <w:r w:rsidR="70F0C17A" w:rsidRPr="004C70EC">
        <w:rPr>
          <w:rFonts w:eastAsia="Times New Roman"/>
          <w:noProof/>
          <w:color w:val="000000" w:themeColor="text1"/>
          <w:lang w:eastAsia="ja-JP"/>
        </w:rPr>
        <w:t>hea</w:t>
      </w:r>
      <w:r w:rsidR="002F364A" w:rsidRPr="004C70EC">
        <w:rPr>
          <w:rFonts w:eastAsia="Times New Roman"/>
          <w:noProof/>
          <w:color w:val="000000" w:themeColor="text1"/>
          <w:lang w:eastAsia="ja-JP"/>
        </w:rPr>
        <w:t>l</w:t>
      </w:r>
      <w:r w:rsidR="70F0C17A" w:rsidRPr="004C70EC">
        <w:rPr>
          <w:rFonts w:eastAsia="Times New Roman"/>
          <w:noProof/>
          <w:color w:val="000000" w:themeColor="text1"/>
          <w:lang w:eastAsia="ja-JP"/>
        </w:rPr>
        <w:t xml:space="preserve">th </w:t>
      </w:r>
      <w:r w:rsidR="00A63E30" w:rsidRPr="004C70EC">
        <w:rPr>
          <w:rFonts w:eastAsia="Times New Roman"/>
          <w:noProof/>
          <w:color w:val="000000" w:themeColor="text1"/>
          <w:lang w:eastAsia="ja-JP"/>
        </w:rPr>
        <w:t>biotechnology strategic projects;</w:t>
      </w:r>
    </w:p>
    <w:p w14:paraId="5BEC3838" w14:textId="77777777" w:rsidR="00273F36" w:rsidRPr="004C70EC" w:rsidRDefault="00A8016D" w:rsidP="00834EF0">
      <w:pPr>
        <w:pStyle w:val="Point1"/>
        <w:rPr>
          <w:rFonts w:eastAsia="Times New Roman"/>
          <w:noProof/>
          <w:color w:val="000000" w:themeColor="text1"/>
          <w:szCs w:val="24"/>
          <w:lang w:eastAsia="ja-JP"/>
        </w:rPr>
      </w:pPr>
      <w:r w:rsidRPr="004C70EC">
        <w:rPr>
          <w:noProof/>
          <w:color w:val="000000" w:themeColor="text1"/>
          <w:lang w:eastAsia="ja-JP"/>
        </w:rPr>
        <w:t>(b)</w:t>
      </w:r>
      <w:r w:rsidRPr="004C70EC">
        <w:rPr>
          <w:noProof/>
          <w:color w:val="000000" w:themeColor="text1"/>
          <w:lang w:eastAsia="ja-JP"/>
        </w:rPr>
        <w:tab/>
        <w:t>novel health biotechnology products and regulatory sandboxes</w:t>
      </w:r>
      <w:r w:rsidR="00DA752A" w:rsidRPr="004C70EC">
        <w:rPr>
          <w:noProof/>
          <w:color w:val="000000" w:themeColor="text1"/>
          <w:lang w:eastAsia="ja-JP"/>
        </w:rPr>
        <w:t xml:space="preserve"> </w:t>
      </w:r>
      <w:r w:rsidR="00FF590D" w:rsidRPr="004C70EC">
        <w:rPr>
          <w:noProof/>
          <w:color w:val="000000" w:themeColor="text1"/>
          <w:lang w:eastAsia="ja-JP"/>
        </w:rPr>
        <w:t xml:space="preserve">to </w:t>
      </w:r>
      <w:r w:rsidR="006C6900" w:rsidRPr="004C70EC">
        <w:rPr>
          <w:noProof/>
          <w:color w:val="000000" w:themeColor="text1"/>
          <w:lang w:eastAsia="ja-JP"/>
        </w:rPr>
        <w:t xml:space="preserve">support </w:t>
      </w:r>
      <w:r w:rsidRPr="004C70EC">
        <w:rPr>
          <w:noProof/>
          <w:color w:val="000000" w:themeColor="text1"/>
          <w:lang w:eastAsia="ja-JP"/>
        </w:rPr>
        <w:t>innovation and</w:t>
      </w:r>
      <w:r w:rsidR="006C6900" w:rsidRPr="004C70EC">
        <w:rPr>
          <w:noProof/>
          <w:color w:val="000000" w:themeColor="text1"/>
          <w:lang w:eastAsia="ja-JP"/>
        </w:rPr>
        <w:t xml:space="preserve"> </w:t>
      </w:r>
      <w:r w:rsidRPr="004C70EC">
        <w:rPr>
          <w:noProof/>
          <w:color w:val="000000" w:themeColor="text1"/>
          <w:lang w:eastAsia="ja-JP"/>
        </w:rPr>
        <w:t>tak</w:t>
      </w:r>
      <w:r w:rsidR="00FF590D" w:rsidRPr="004C70EC">
        <w:rPr>
          <w:noProof/>
          <w:color w:val="000000" w:themeColor="text1"/>
          <w:lang w:eastAsia="ja-JP"/>
        </w:rPr>
        <w:t>e</w:t>
      </w:r>
      <w:r w:rsidR="006C6900" w:rsidRPr="004C70EC">
        <w:rPr>
          <w:noProof/>
          <w:color w:val="000000" w:themeColor="text1"/>
          <w:lang w:eastAsia="ja-JP"/>
        </w:rPr>
        <w:t xml:space="preserve"> into</w:t>
      </w:r>
      <w:r w:rsidRPr="004C70EC">
        <w:rPr>
          <w:noProof/>
          <w:color w:val="000000" w:themeColor="text1"/>
          <w:lang w:eastAsia="ja-JP"/>
        </w:rPr>
        <w:t xml:space="preserve"> account technological and scientific developments and progress</w:t>
      </w:r>
      <w:r w:rsidR="00DA752A" w:rsidRPr="004C70EC">
        <w:rPr>
          <w:noProof/>
          <w:color w:val="000000" w:themeColor="text1"/>
          <w:lang w:eastAsia="ja-JP"/>
        </w:rPr>
        <w:t>;</w:t>
      </w:r>
    </w:p>
    <w:p w14:paraId="1035B129" w14:textId="77777777" w:rsidR="00273F36" w:rsidRPr="004C70EC" w:rsidRDefault="00273F36" w:rsidP="00762D38">
      <w:pPr>
        <w:pStyle w:val="Point1"/>
        <w:rPr>
          <w:rFonts w:eastAsia="Times New Roman"/>
          <w:noProof/>
          <w:color w:val="000000" w:themeColor="text1"/>
          <w:szCs w:val="24"/>
          <w:lang w:eastAsia="ja-JP"/>
        </w:rPr>
      </w:pPr>
      <w:r w:rsidRPr="004C70EC">
        <w:rPr>
          <w:rFonts w:eastAsia="Times New Roman"/>
          <w:noProof/>
          <w:color w:val="000000" w:themeColor="text1"/>
          <w:szCs w:val="24"/>
          <w:lang w:eastAsia="ja-JP"/>
        </w:rPr>
        <w:t>(</w:t>
      </w:r>
      <w:r w:rsidR="008F1444" w:rsidRPr="004C70EC">
        <w:rPr>
          <w:rFonts w:eastAsia="Times New Roman"/>
          <w:noProof/>
          <w:color w:val="000000" w:themeColor="text1"/>
          <w:szCs w:val="24"/>
          <w:lang w:eastAsia="ja-JP"/>
        </w:rPr>
        <w:t>c</w:t>
      </w:r>
      <w:r w:rsidRPr="004C70EC">
        <w:rPr>
          <w:rFonts w:eastAsia="Times New Roman"/>
          <w:noProof/>
          <w:color w:val="000000" w:themeColor="text1"/>
          <w:szCs w:val="24"/>
          <w:lang w:eastAsia="ja-JP"/>
        </w:rPr>
        <w:t>)</w:t>
      </w:r>
      <w:r w:rsidR="00762D38" w:rsidRPr="004C70EC">
        <w:rPr>
          <w:rFonts w:eastAsia="Times New Roman"/>
          <w:noProof/>
          <w:color w:val="000000" w:themeColor="text1"/>
          <w:szCs w:val="24"/>
          <w:lang w:eastAsia="ja-JP"/>
        </w:rPr>
        <w:tab/>
      </w:r>
      <w:r w:rsidR="00531488" w:rsidRPr="004C70EC">
        <w:rPr>
          <w:rFonts w:eastAsia="Times New Roman"/>
          <w:noProof/>
          <w:color w:val="000000" w:themeColor="text1"/>
          <w:szCs w:val="24"/>
          <w:lang w:eastAsia="ja-JP"/>
        </w:rPr>
        <w:t xml:space="preserve">the </w:t>
      </w:r>
      <w:r w:rsidRPr="004C70EC">
        <w:rPr>
          <w:rFonts w:eastAsia="Times New Roman"/>
          <w:noProof/>
          <w:color w:val="000000" w:themeColor="text1"/>
          <w:szCs w:val="24"/>
          <w:lang w:eastAsia="ja-JP"/>
        </w:rPr>
        <w:t xml:space="preserve">support </w:t>
      </w:r>
      <w:r w:rsidR="00EA0E05" w:rsidRPr="004C70EC">
        <w:rPr>
          <w:rFonts w:eastAsia="Times New Roman"/>
          <w:noProof/>
          <w:color w:val="000000" w:themeColor="text1"/>
          <w:szCs w:val="24"/>
          <w:lang w:eastAsia="ja-JP"/>
        </w:rPr>
        <w:t>to</w:t>
      </w:r>
      <w:r w:rsidRPr="004C70EC">
        <w:rPr>
          <w:rFonts w:eastAsia="Times New Roman"/>
          <w:noProof/>
          <w:color w:val="000000" w:themeColor="text1"/>
          <w:szCs w:val="24"/>
          <w:lang w:eastAsia="ja-JP"/>
        </w:rPr>
        <w:t xml:space="preserve"> promoters of biotechnology projects, SMEs, start-ups and scale-ups and non-profit developers of biotechnology products, by establishing an </w:t>
      </w:r>
      <w:r w:rsidR="00053BDB" w:rsidRPr="004C70EC">
        <w:rPr>
          <w:rFonts w:eastAsia="Times New Roman"/>
          <w:noProof/>
          <w:color w:val="000000" w:themeColor="text1"/>
          <w:szCs w:val="24"/>
          <w:lang w:eastAsia="ja-JP"/>
        </w:rPr>
        <w:t>EU Health Biotechnology Support Network</w:t>
      </w:r>
      <w:r w:rsidRPr="004C70EC">
        <w:rPr>
          <w:rFonts w:eastAsia="Times New Roman"/>
          <w:noProof/>
          <w:color w:val="000000" w:themeColor="text1"/>
          <w:szCs w:val="24"/>
          <w:lang w:eastAsia="ja-JP"/>
        </w:rPr>
        <w:t>;</w:t>
      </w:r>
    </w:p>
    <w:p w14:paraId="76DA2C30" w14:textId="77777777" w:rsidR="00273F36" w:rsidRPr="004C70EC" w:rsidRDefault="00273F36" w:rsidP="00762D38">
      <w:pPr>
        <w:pStyle w:val="Point1"/>
        <w:rPr>
          <w:rFonts w:eastAsia="Times New Roman"/>
          <w:noProof/>
          <w:color w:val="000000" w:themeColor="text1"/>
          <w:lang w:eastAsia="ja-JP"/>
        </w:rPr>
      </w:pPr>
      <w:r w:rsidRPr="004C70EC">
        <w:rPr>
          <w:rFonts w:eastAsia="Times New Roman"/>
          <w:noProof/>
          <w:color w:val="000000" w:themeColor="text1"/>
          <w:lang w:eastAsia="ja-JP"/>
        </w:rPr>
        <w:t>(</w:t>
      </w:r>
      <w:r w:rsidR="008F1444" w:rsidRPr="004C70EC">
        <w:rPr>
          <w:rFonts w:eastAsia="Times New Roman"/>
          <w:noProof/>
          <w:color w:val="000000" w:themeColor="text1"/>
          <w:lang w:eastAsia="ja-JP"/>
        </w:rPr>
        <w:t>d</w:t>
      </w:r>
      <w:r w:rsidRPr="004C70EC">
        <w:rPr>
          <w:rFonts w:eastAsia="Times New Roman"/>
          <w:noProof/>
          <w:color w:val="000000" w:themeColor="text1"/>
          <w:lang w:eastAsia="ja-JP"/>
        </w:rPr>
        <w:t>)</w:t>
      </w:r>
      <w:r w:rsidR="00762D38" w:rsidRPr="004C70EC">
        <w:rPr>
          <w:noProof/>
        </w:rPr>
        <w:tab/>
      </w:r>
      <w:r w:rsidR="00531488" w:rsidRPr="004C70EC">
        <w:rPr>
          <w:rFonts w:eastAsia="Times New Roman"/>
          <w:noProof/>
          <w:color w:val="000000" w:themeColor="text1"/>
          <w:lang w:eastAsia="ja-JP"/>
        </w:rPr>
        <w:t xml:space="preserve">the </w:t>
      </w:r>
      <w:r w:rsidRPr="004C70EC">
        <w:rPr>
          <w:rFonts w:eastAsia="Times New Roman"/>
          <w:noProof/>
          <w:color w:val="000000" w:themeColor="text1"/>
          <w:lang w:eastAsia="ja-JP"/>
        </w:rPr>
        <w:t xml:space="preserve">support </w:t>
      </w:r>
      <w:r w:rsidR="005A6F51" w:rsidRPr="004C70EC">
        <w:rPr>
          <w:rFonts w:eastAsia="Times New Roman"/>
          <w:noProof/>
          <w:color w:val="000000" w:themeColor="text1"/>
          <w:lang w:eastAsia="ja-JP"/>
        </w:rPr>
        <w:t xml:space="preserve">for </w:t>
      </w:r>
      <w:r w:rsidRPr="004C70EC">
        <w:rPr>
          <w:rFonts w:eastAsia="Times New Roman"/>
          <w:noProof/>
          <w:color w:val="000000" w:themeColor="text1"/>
          <w:lang w:eastAsia="ja-JP"/>
        </w:rPr>
        <w:t xml:space="preserve">funding of, investments in, and access to capital for biotechnology companies and projects; </w:t>
      </w:r>
    </w:p>
    <w:p w14:paraId="2ADE136B" w14:textId="77777777" w:rsidR="00273F36" w:rsidRPr="004C70EC" w:rsidRDefault="00273F36" w:rsidP="00762D38">
      <w:pPr>
        <w:pStyle w:val="Point1"/>
        <w:rPr>
          <w:rFonts w:eastAsia="Times New Roman"/>
          <w:noProof/>
          <w:color w:val="000000" w:themeColor="text1"/>
          <w:szCs w:val="24"/>
          <w:lang w:eastAsia="ja-JP"/>
        </w:rPr>
      </w:pPr>
      <w:r w:rsidRPr="004C70EC">
        <w:rPr>
          <w:rFonts w:eastAsia="Times New Roman"/>
          <w:noProof/>
          <w:color w:val="000000" w:themeColor="text1"/>
          <w:szCs w:val="24"/>
          <w:lang w:eastAsia="ja-JP"/>
        </w:rPr>
        <w:t>(</w:t>
      </w:r>
      <w:r w:rsidR="008F1444" w:rsidRPr="004C70EC">
        <w:rPr>
          <w:rFonts w:eastAsia="Times New Roman"/>
          <w:noProof/>
          <w:color w:val="000000" w:themeColor="text1"/>
          <w:szCs w:val="24"/>
          <w:lang w:eastAsia="ja-JP"/>
        </w:rPr>
        <w:t>e</w:t>
      </w:r>
      <w:r w:rsidRPr="004C70EC">
        <w:rPr>
          <w:rFonts w:eastAsia="Times New Roman"/>
          <w:noProof/>
          <w:color w:val="000000" w:themeColor="text1"/>
          <w:szCs w:val="24"/>
          <w:lang w:eastAsia="ja-JP"/>
        </w:rPr>
        <w:t>)</w:t>
      </w:r>
      <w:r w:rsidR="00762D38" w:rsidRPr="004C70EC">
        <w:rPr>
          <w:rFonts w:eastAsia="Times New Roman"/>
          <w:noProof/>
          <w:color w:val="000000" w:themeColor="text1"/>
          <w:szCs w:val="24"/>
          <w:lang w:eastAsia="ja-JP"/>
        </w:rPr>
        <w:tab/>
      </w:r>
      <w:r w:rsidR="009D4A2C" w:rsidRPr="004C70EC">
        <w:rPr>
          <w:rFonts w:eastAsia="Times New Roman"/>
          <w:noProof/>
          <w:color w:val="000000" w:themeColor="text1"/>
          <w:szCs w:val="24"/>
          <w:lang w:eastAsia="ja-JP"/>
        </w:rPr>
        <w:t xml:space="preserve">the </w:t>
      </w:r>
      <w:r w:rsidRPr="004C70EC">
        <w:rPr>
          <w:rFonts w:eastAsia="Times New Roman"/>
          <w:noProof/>
          <w:color w:val="000000" w:themeColor="text1"/>
          <w:szCs w:val="24"/>
          <w:lang w:eastAsia="ja-JP"/>
        </w:rPr>
        <w:t>enhance</w:t>
      </w:r>
      <w:r w:rsidR="003E7D62" w:rsidRPr="004C70EC">
        <w:rPr>
          <w:rFonts w:eastAsia="Times New Roman"/>
          <w:noProof/>
          <w:color w:val="000000" w:themeColor="text1"/>
          <w:szCs w:val="24"/>
          <w:lang w:eastAsia="ja-JP"/>
        </w:rPr>
        <w:t>ment of</w:t>
      </w:r>
      <w:r w:rsidRPr="004C70EC">
        <w:rPr>
          <w:rFonts w:eastAsia="Times New Roman"/>
          <w:noProof/>
          <w:color w:val="000000" w:themeColor="text1"/>
          <w:szCs w:val="24"/>
          <w:lang w:eastAsia="ja-JP"/>
        </w:rPr>
        <w:t xml:space="preserve"> the manufacturing capacity of, and expertise for biosimilars in the Union, including through international cooperation;</w:t>
      </w:r>
    </w:p>
    <w:p w14:paraId="249BAB97" w14:textId="77777777" w:rsidR="00273F36" w:rsidRPr="004C70EC" w:rsidRDefault="249CF78E" w:rsidP="00762D38">
      <w:pPr>
        <w:pStyle w:val="Point1"/>
        <w:rPr>
          <w:rFonts w:eastAsia="Times New Roman"/>
          <w:noProof/>
          <w:color w:val="000000" w:themeColor="text1"/>
          <w:lang w:eastAsia="ja-JP"/>
        </w:rPr>
      </w:pPr>
      <w:r w:rsidRPr="004C70EC">
        <w:rPr>
          <w:rFonts w:eastAsia="Times New Roman"/>
          <w:noProof/>
          <w:color w:val="000000" w:themeColor="text1"/>
          <w:lang w:eastAsia="ja-JP"/>
        </w:rPr>
        <w:t>(</w:t>
      </w:r>
      <w:r w:rsidR="0C03F66D" w:rsidRPr="004C70EC">
        <w:rPr>
          <w:rFonts w:eastAsia="Times New Roman"/>
          <w:noProof/>
          <w:color w:val="000000" w:themeColor="text1"/>
          <w:lang w:eastAsia="ja-JP"/>
        </w:rPr>
        <w:t>f</w:t>
      </w:r>
      <w:r w:rsidRPr="004C70EC">
        <w:rPr>
          <w:rFonts w:eastAsia="Times New Roman"/>
          <w:noProof/>
          <w:color w:val="000000" w:themeColor="text1"/>
          <w:lang w:eastAsia="ja-JP"/>
        </w:rPr>
        <w:t>)</w:t>
      </w:r>
      <w:r w:rsidR="00273F36" w:rsidRPr="004C70EC">
        <w:rPr>
          <w:noProof/>
        </w:rPr>
        <w:tab/>
      </w:r>
      <w:r w:rsidRPr="004C70EC">
        <w:rPr>
          <w:rFonts w:eastAsia="Times New Roman"/>
          <w:noProof/>
          <w:color w:val="000000" w:themeColor="text1"/>
          <w:lang w:eastAsia="ja-JP"/>
        </w:rPr>
        <w:t xml:space="preserve">the application </w:t>
      </w:r>
      <w:r w:rsidR="2F5AAB57" w:rsidRPr="004C70EC">
        <w:rPr>
          <w:rFonts w:eastAsia="Times New Roman"/>
          <w:noProof/>
          <w:color w:val="000000" w:themeColor="text1"/>
          <w:lang w:eastAsia="ja-JP"/>
        </w:rPr>
        <w:t xml:space="preserve">in a </w:t>
      </w:r>
      <w:r w:rsidR="33194004" w:rsidRPr="004C70EC">
        <w:rPr>
          <w:rFonts w:eastAsia="Times New Roman"/>
          <w:noProof/>
          <w:color w:val="000000" w:themeColor="text1"/>
          <w:lang w:eastAsia="ja-JP"/>
        </w:rPr>
        <w:t xml:space="preserve">facilitated manner </w:t>
      </w:r>
      <w:r w:rsidRPr="004C70EC">
        <w:rPr>
          <w:rFonts w:eastAsia="Times New Roman"/>
          <w:noProof/>
          <w:color w:val="000000" w:themeColor="text1"/>
          <w:lang w:eastAsia="ja-JP"/>
        </w:rPr>
        <w:t xml:space="preserve">of </w:t>
      </w:r>
      <w:r w:rsidR="2548506B" w:rsidRPr="004C70EC">
        <w:rPr>
          <w:rFonts w:eastAsia="Times New Roman"/>
          <w:noProof/>
          <w:color w:val="000000" w:themeColor="text1"/>
          <w:lang w:eastAsia="ja-JP"/>
        </w:rPr>
        <w:t xml:space="preserve">advanced technologies, including </w:t>
      </w:r>
      <w:r w:rsidR="6D5639BA" w:rsidRPr="004C70EC">
        <w:rPr>
          <w:rFonts w:eastAsia="Times New Roman"/>
          <w:noProof/>
          <w:color w:val="000000" w:themeColor="text1"/>
          <w:lang w:eastAsia="ja-JP"/>
        </w:rPr>
        <w:t>AI</w:t>
      </w:r>
      <w:r w:rsidRPr="004C70EC">
        <w:rPr>
          <w:rFonts w:eastAsia="Times New Roman"/>
          <w:noProof/>
          <w:color w:val="000000" w:themeColor="text1"/>
          <w:lang w:eastAsia="ja-JP"/>
        </w:rPr>
        <w:t xml:space="preserve"> </w:t>
      </w:r>
      <w:r w:rsidR="46C1203A" w:rsidRPr="004C70EC">
        <w:rPr>
          <w:rFonts w:eastAsia="Times New Roman"/>
          <w:noProof/>
          <w:color w:val="000000" w:themeColor="text1"/>
          <w:lang w:eastAsia="ja-JP"/>
        </w:rPr>
        <w:t>in biological applications,</w:t>
      </w:r>
      <w:r w:rsidRPr="004C70EC">
        <w:rPr>
          <w:rFonts w:eastAsia="Times New Roman"/>
          <w:noProof/>
          <w:color w:val="000000" w:themeColor="text1"/>
          <w:lang w:eastAsia="ja-JP"/>
        </w:rPr>
        <w:t xml:space="preserve"> into the Union’s </w:t>
      </w:r>
      <w:r w:rsidR="67FEBC4F" w:rsidRPr="004C70EC">
        <w:rPr>
          <w:rFonts w:eastAsia="Times New Roman"/>
          <w:noProof/>
          <w:color w:val="000000" w:themeColor="text1"/>
          <w:lang w:eastAsia="ja-JP"/>
        </w:rPr>
        <w:t xml:space="preserve">health </w:t>
      </w:r>
      <w:r w:rsidRPr="004C70EC">
        <w:rPr>
          <w:rFonts w:eastAsia="Times New Roman"/>
          <w:noProof/>
          <w:color w:val="000000" w:themeColor="text1"/>
          <w:lang w:eastAsia="ja-JP"/>
        </w:rPr>
        <w:t>biotechnology ecosystems</w:t>
      </w:r>
      <w:r w:rsidR="0EC620E7" w:rsidRPr="004C70EC">
        <w:rPr>
          <w:rFonts w:eastAsia="Times New Roman"/>
          <w:noProof/>
          <w:color w:val="000000" w:themeColor="text1"/>
          <w:lang w:eastAsia="ja-JP"/>
        </w:rPr>
        <w:t>, while monitoring and mitigating</w:t>
      </w:r>
      <w:r w:rsidR="4800A6B2" w:rsidRPr="004C70EC">
        <w:rPr>
          <w:rFonts w:eastAsia="Times New Roman"/>
          <w:noProof/>
          <w:color w:val="000000" w:themeColor="text1"/>
          <w:lang w:eastAsia="ja-JP"/>
        </w:rPr>
        <w:t xml:space="preserve">, in line with the Union harmonisation legislation on </w:t>
      </w:r>
      <w:r w:rsidR="728EF5A6" w:rsidRPr="004C70EC">
        <w:rPr>
          <w:rFonts w:eastAsia="Times New Roman"/>
          <w:noProof/>
          <w:color w:val="000000" w:themeColor="text1"/>
          <w:lang w:eastAsia="ja-JP"/>
        </w:rPr>
        <w:t>AI</w:t>
      </w:r>
      <w:r w:rsidR="4800A6B2" w:rsidRPr="004C70EC">
        <w:rPr>
          <w:rFonts w:eastAsia="Times New Roman"/>
          <w:noProof/>
          <w:color w:val="000000" w:themeColor="text1"/>
          <w:lang w:eastAsia="ja-JP"/>
        </w:rPr>
        <w:t xml:space="preserve">, biological risks arising from the use of such technologies; </w:t>
      </w:r>
    </w:p>
    <w:p w14:paraId="031290C8" w14:textId="77777777" w:rsidR="008F1444" w:rsidRPr="004C70EC" w:rsidRDefault="009D7C3F" w:rsidP="00390E3C">
      <w:pPr>
        <w:pStyle w:val="Point1"/>
        <w:rPr>
          <w:rFonts w:eastAsia="Times New Roman"/>
          <w:noProof/>
          <w:color w:val="000000" w:themeColor="text1"/>
          <w:szCs w:val="24"/>
          <w:lang w:eastAsia="ja-JP"/>
        </w:rPr>
      </w:pPr>
      <w:r w:rsidRPr="004C70EC">
        <w:rPr>
          <w:rFonts w:eastAsia="Times New Roman"/>
          <w:noProof/>
          <w:color w:val="000000" w:themeColor="text1"/>
          <w:szCs w:val="24"/>
          <w:lang w:eastAsia="ja-JP"/>
        </w:rPr>
        <w:t>(g)</w:t>
      </w:r>
      <w:r w:rsidRPr="004C70EC">
        <w:rPr>
          <w:rFonts w:eastAsia="Times New Roman"/>
          <w:noProof/>
          <w:color w:val="000000" w:themeColor="text1"/>
          <w:szCs w:val="24"/>
          <w:lang w:eastAsia="ja-JP"/>
        </w:rPr>
        <w:tab/>
      </w:r>
      <w:r w:rsidR="00F766AF" w:rsidRPr="004C70EC">
        <w:rPr>
          <w:rFonts w:eastAsia="Times New Roman"/>
          <w:noProof/>
          <w:color w:val="000000" w:themeColor="text1"/>
          <w:szCs w:val="24"/>
          <w:lang w:eastAsia="ja-JP"/>
        </w:rPr>
        <w:t xml:space="preserve">the placing on the market </w:t>
      </w:r>
      <w:r w:rsidR="00D07E2A" w:rsidRPr="004C70EC">
        <w:rPr>
          <w:rFonts w:eastAsia="Times New Roman"/>
          <w:noProof/>
          <w:color w:val="000000" w:themeColor="text1"/>
          <w:szCs w:val="24"/>
          <w:lang w:eastAsia="ja-JP"/>
        </w:rPr>
        <w:t xml:space="preserve">in particular of </w:t>
      </w:r>
      <w:r w:rsidR="00DD6C0D" w:rsidRPr="004C70EC">
        <w:rPr>
          <w:rFonts w:eastAsia="Times New Roman"/>
          <w:noProof/>
          <w:color w:val="000000" w:themeColor="text1"/>
          <w:szCs w:val="24"/>
          <w:lang w:eastAsia="ja-JP"/>
        </w:rPr>
        <w:t xml:space="preserve">health </w:t>
      </w:r>
      <w:r w:rsidR="00D07E2A" w:rsidRPr="004C70EC">
        <w:rPr>
          <w:rFonts w:eastAsia="Times New Roman"/>
          <w:noProof/>
          <w:color w:val="000000" w:themeColor="text1"/>
          <w:szCs w:val="24"/>
          <w:lang w:eastAsia="ja-JP"/>
        </w:rPr>
        <w:t>biotechnology products</w:t>
      </w:r>
      <w:r w:rsidR="00DD6C0D" w:rsidRPr="004C70EC">
        <w:rPr>
          <w:rFonts w:eastAsia="Times New Roman"/>
          <w:noProof/>
          <w:color w:val="000000" w:themeColor="text1"/>
          <w:szCs w:val="24"/>
          <w:lang w:eastAsia="ja-JP"/>
        </w:rPr>
        <w:t xml:space="preserve"> and </w:t>
      </w:r>
      <w:r w:rsidR="00DF61DA" w:rsidRPr="004C70EC">
        <w:rPr>
          <w:rFonts w:eastAsia="Times New Roman"/>
          <w:noProof/>
          <w:color w:val="000000" w:themeColor="text1"/>
          <w:szCs w:val="24"/>
          <w:lang w:eastAsia="ja-JP"/>
        </w:rPr>
        <w:t xml:space="preserve">biotechnology </w:t>
      </w:r>
      <w:r w:rsidR="00DD6C0D" w:rsidRPr="004C70EC">
        <w:rPr>
          <w:rFonts w:eastAsia="Times New Roman"/>
          <w:noProof/>
          <w:color w:val="000000" w:themeColor="text1"/>
          <w:szCs w:val="24"/>
          <w:lang w:eastAsia="ja-JP"/>
        </w:rPr>
        <w:t>services</w:t>
      </w:r>
      <w:r w:rsidR="00F766AF" w:rsidRPr="004C70EC">
        <w:rPr>
          <w:rFonts w:eastAsia="Times New Roman"/>
          <w:noProof/>
          <w:color w:val="000000" w:themeColor="text1"/>
          <w:szCs w:val="24"/>
          <w:lang w:eastAsia="ja-JP"/>
        </w:rPr>
        <w:t xml:space="preserve"> </w:t>
      </w:r>
      <w:r w:rsidR="00DC6F18" w:rsidRPr="004C70EC">
        <w:rPr>
          <w:rFonts w:eastAsia="Times New Roman"/>
          <w:noProof/>
          <w:color w:val="000000" w:themeColor="text1"/>
          <w:szCs w:val="24"/>
          <w:lang w:eastAsia="ja-JP"/>
        </w:rPr>
        <w:t xml:space="preserve">in </w:t>
      </w:r>
      <w:r w:rsidR="00F766AF" w:rsidRPr="004C70EC">
        <w:rPr>
          <w:rFonts w:eastAsia="Times New Roman"/>
          <w:noProof/>
          <w:color w:val="000000" w:themeColor="text1"/>
          <w:szCs w:val="24"/>
          <w:lang w:eastAsia="ja-JP"/>
        </w:rPr>
        <w:t xml:space="preserve">accelerated and streamlined </w:t>
      </w:r>
      <w:r w:rsidR="00DC6F18" w:rsidRPr="004C70EC">
        <w:rPr>
          <w:rFonts w:eastAsia="Times New Roman"/>
          <w:noProof/>
          <w:color w:val="000000" w:themeColor="text1"/>
          <w:szCs w:val="24"/>
          <w:lang w:eastAsia="ja-JP"/>
        </w:rPr>
        <w:t>procedures</w:t>
      </w:r>
      <w:r w:rsidR="009F2873" w:rsidRPr="004C70EC">
        <w:rPr>
          <w:rFonts w:eastAsia="Times New Roman"/>
          <w:noProof/>
          <w:color w:val="000000" w:themeColor="text1"/>
          <w:szCs w:val="24"/>
          <w:lang w:eastAsia="ja-JP"/>
        </w:rPr>
        <w:t>;</w:t>
      </w:r>
    </w:p>
    <w:p w14:paraId="7A4902B9" w14:textId="77777777" w:rsidR="009F2873" w:rsidRPr="004C70EC" w:rsidRDefault="009F2873" w:rsidP="00390E3C">
      <w:pPr>
        <w:pStyle w:val="Point1"/>
        <w:rPr>
          <w:rFonts w:eastAsia="Times New Roman"/>
          <w:noProof/>
          <w:color w:val="000000" w:themeColor="text1"/>
          <w:szCs w:val="24"/>
          <w:lang w:eastAsia="ja-JP"/>
        </w:rPr>
      </w:pPr>
      <w:r w:rsidRPr="004C70EC">
        <w:rPr>
          <w:rFonts w:eastAsia="Times New Roman"/>
          <w:noProof/>
          <w:color w:val="000000" w:themeColor="text1"/>
          <w:szCs w:val="24"/>
          <w:lang w:eastAsia="ja-JP"/>
        </w:rPr>
        <w:t>(h)</w:t>
      </w:r>
      <w:r w:rsidRPr="004C70EC">
        <w:rPr>
          <w:noProof/>
        </w:rPr>
        <w:tab/>
      </w:r>
      <w:r w:rsidR="0023471F" w:rsidRPr="004C70EC">
        <w:rPr>
          <w:rFonts w:eastAsia="Times New Roman"/>
          <w:noProof/>
          <w:color w:val="000000" w:themeColor="text1"/>
          <w:szCs w:val="24"/>
          <w:lang w:eastAsia="ja-JP"/>
        </w:rPr>
        <w:t xml:space="preserve">the </w:t>
      </w:r>
      <w:r w:rsidRPr="004C70EC">
        <w:rPr>
          <w:rFonts w:eastAsia="Times New Roman"/>
          <w:noProof/>
          <w:color w:val="000000" w:themeColor="text1"/>
          <w:szCs w:val="24"/>
          <w:lang w:eastAsia="ja-JP"/>
        </w:rPr>
        <w:t>prevent</w:t>
      </w:r>
      <w:r w:rsidR="0023471F" w:rsidRPr="004C70EC">
        <w:rPr>
          <w:rFonts w:eastAsia="Times New Roman"/>
          <w:noProof/>
          <w:color w:val="000000" w:themeColor="text1"/>
          <w:szCs w:val="24"/>
          <w:lang w:eastAsia="ja-JP"/>
        </w:rPr>
        <w:t>ion of</w:t>
      </w:r>
      <w:r w:rsidRPr="004C70EC">
        <w:rPr>
          <w:rFonts w:eastAsia="Times New Roman"/>
          <w:noProof/>
          <w:color w:val="000000" w:themeColor="text1"/>
          <w:szCs w:val="24"/>
          <w:lang w:eastAsia="ja-JP"/>
        </w:rPr>
        <w:t xml:space="preserve"> the misuse of biotechnologies and </w:t>
      </w:r>
      <w:r w:rsidR="00531488" w:rsidRPr="004C70EC">
        <w:rPr>
          <w:rFonts w:eastAsia="Times New Roman"/>
          <w:noProof/>
          <w:color w:val="000000" w:themeColor="text1"/>
          <w:szCs w:val="24"/>
          <w:lang w:eastAsia="ja-JP"/>
        </w:rPr>
        <w:t xml:space="preserve">the </w:t>
      </w:r>
      <w:r w:rsidRPr="004C70EC">
        <w:rPr>
          <w:rFonts w:eastAsia="Times New Roman"/>
          <w:noProof/>
          <w:color w:val="000000" w:themeColor="text1"/>
          <w:szCs w:val="24"/>
          <w:lang w:eastAsia="ja-JP"/>
        </w:rPr>
        <w:t xml:space="preserve">strengthening </w:t>
      </w:r>
      <w:r w:rsidR="00531488" w:rsidRPr="004C70EC">
        <w:rPr>
          <w:rFonts w:eastAsia="Times New Roman"/>
          <w:noProof/>
          <w:color w:val="000000" w:themeColor="text1"/>
          <w:szCs w:val="24"/>
          <w:lang w:eastAsia="ja-JP"/>
        </w:rPr>
        <w:t xml:space="preserve">of </w:t>
      </w:r>
      <w:r w:rsidRPr="004C70EC">
        <w:rPr>
          <w:rFonts w:eastAsia="Times New Roman"/>
          <w:noProof/>
          <w:color w:val="000000" w:themeColor="text1"/>
          <w:szCs w:val="24"/>
          <w:lang w:eastAsia="ja-JP"/>
        </w:rPr>
        <w:t>biodefence capabilities</w:t>
      </w:r>
      <w:r w:rsidR="5B4DECDF" w:rsidRPr="004C70EC">
        <w:rPr>
          <w:rFonts w:eastAsia="Times New Roman"/>
          <w:noProof/>
          <w:color w:val="000000" w:themeColor="text1"/>
          <w:lang w:eastAsia="ja-JP"/>
        </w:rPr>
        <w:t>, without prejudice to</w:t>
      </w:r>
      <w:r w:rsidR="005233C5" w:rsidRPr="004C70EC">
        <w:rPr>
          <w:rFonts w:eastAsia="Times New Roman"/>
          <w:noProof/>
          <w:color w:val="000000" w:themeColor="text1"/>
          <w:lang w:eastAsia="ja-JP"/>
        </w:rPr>
        <w:t>,</w:t>
      </w:r>
      <w:r w:rsidR="5B4DECDF" w:rsidRPr="004C70EC">
        <w:rPr>
          <w:rFonts w:eastAsia="Times New Roman"/>
          <w:noProof/>
          <w:color w:val="000000" w:themeColor="text1"/>
          <w:lang w:eastAsia="ja-JP"/>
        </w:rPr>
        <w:t xml:space="preserve"> and in complementarity with</w:t>
      </w:r>
      <w:r w:rsidR="005233C5" w:rsidRPr="004C70EC">
        <w:rPr>
          <w:rFonts w:eastAsia="Times New Roman"/>
          <w:noProof/>
          <w:color w:val="000000" w:themeColor="text1"/>
          <w:lang w:eastAsia="ja-JP"/>
        </w:rPr>
        <w:t>,</w:t>
      </w:r>
      <w:r w:rsidR="5B4DECDF" w:rsidRPr="004C70EC">
        <w:rPr>
          <w:rFonts w:eastAsia="Times New Roman"/>
          <w:noProof/>
          <w:color w:val="000000" w:themeColor="text1"/>
          <w:lang w:eastAsia="ja-JP"/>
        </w:rPr>
        <w:t xml:space="preserve"> activities financed under any defence related Union funding programmes and instruments</w:t>
      </w:r>
      <w:r w:rsidRPr="004C70EC">
        <w:rPr>
          <w:rFonts w:eastAsia="Times New Roman"/>
          <w:noProof/>
          <w:color w:val="000000" w:themeColor="text1"/>
          <w:szCs w:val="24"/>
          <w:lang w:eastAsia="ja-JP"/>
        </w:rPr>
        <w:t>.</w:t>
      </w:r>
    </w:p>
    <w:p w14:paraId="5DFA6AA5" w14:textId="77777777" w:rsidR="004D7FB9" w:rsidRPr="004C70EC" w:rsidRDefault="00A80207" w:rsidP="004D7FB9">
      <w:pPr>
        <w:pStyle w:val="Point0"/>
        <w:rPr>
          <w:noProof/>
          <w:color w:val="000000" w:themeColor="text1"/>
          <w:lang w:eastAsia="ja-JP"/>
        </w:rPr>
      </w:pPr>
      <w:r w:rsidRPr="004C70EC">
        <w:rPr>
          <w:rFonts w:eastAsia="Times New Roman"/>
          <w:noProof/>
          <w:color w:val="000000" w:themeColor="text1"/>
          <w:lang w:eastAsia="ja-JP"/>
        </w:rPr>
        <w:t>3.</w:t>
      </w:r>
      <w:r w:rsidRPr="004C70EC">
        <w:rPr>
          <w:noProof/>
          <w:color w:val="000000" w:themeColor="text1"/>
        </w:rPr>
        <w:tab/>
      </w:r>
      <w:r w:rsidRPr="004C70EC">
        <w:rPr>
          <w:noProof/>
          <w:color w:val="000000" w:themeColor="text1"/>
          <w:lang w:eastAsia="ja-JP"/>
        </w:rPr>
        <w:t xml:space="preserve">This Regulation applies to </w:t>
      </w:r>
      <w:r w:rsidR="00DD6C0D" w:rsidRPr="004C70EC">
        <w:rPr>
          <w:noProof/>
          <w:color w:val="000000" w:themeColor="text1"/>
          <w:lang w:eastAsia="ja-JP"/>
        </w:rPr>
        <w:t xml:space="preserve">health </w:t>
      </w:r>
      <w:r w:rsidRPr="004C70EC">
        <w:rPr>
          <w:noProof/>
          <w:color w:val="000000" w:themeColor="text1"/>
          <w:lang w:eastAsia="ja-JP"/>
        </w:rPr>
        <w:t xml:space="preserve">biotechnology </w:t>
      </w:r>
      <w:r w:rsidR="00AE5BBF" w:rsidRPr="004C70EC">
        <w:rPr>
          <w:noProof/>
          <w:color w:val="000000" w:themeColor="text1"/>
          <w:lang w:eastAsia="ja-JP"/>
        </w:rPr>
        <w:t>innovations</w:t>
      </w:r>
      <w:r w:rsidR="005E6BD9" w:rsidRPr="004C70EC">
        <w:rPr>
          <w:noProof/>
          <w:color w:val="000000" w:themeColor="text1"/>
          <w:lang w:eastAsia="ja-JP"/>
        </w:rPr>
        <w:t xml:space="preserve"> and</w:t>
      </w:r>
      <w:r w:rsidR="00AE5BBF" w:rsidRPr="004C70EC">
        <w:rPr>
          <w:noProof/>
          <w:color w:val="000000" w:themeColor="text1"/>
          <w:lang w:eastAsia="ja-JP"/>
        </w:rPr>
        <w:t xml:space="preserve"> </w:t>
      </w:r>
      <w:r w:rsidRPr="004C70EC">
        <w:rPr>
          <w:noProof/>
          <w:color w:val="000000" w:themeColor="text1"/>
          <w:lang w:eastAsia="ja-JP"/>
        </w:rPr>
        <w:t>products</w:t>
      </w:r>
      <w:r w:rsidRPr="004C70EC" w:rsidDel="005E6BD9">
        <w:rPr>
          <w:noProof/>
          <w:color w:val="000000" w:themeColor="text1"/>
          <w:lang w:eastAsia="ja-JP"/>
        </w:rPr>
        <w:t xml:space="preserve"> </w:t>
      </w:r>
      <w:r w:rsidR="00405796" w:rsidRPr="004C70EC">
        <w:rPr>
          <w:noProof/>
          <w:color w:val="000000" w:themeColor="text1"/>
          <w:lang w:eastAsia="ja-JP"/>
        </w:rPr>
        <w:t>and their ecosystem</w:t>
      </w:r>
      <w:r w:rsidRPr="004C70EC">
        <w:rPr>
          <w:noProof/>
          <w:color w:val="000000" w:themeColor="text1"/>
          <w:lang w:eastAsia="ja-JP"/>
        </w:rPr>
        <w:t xml:space="preserve"> during their entire lifecycle, including related research, funding, development, innovation, testing, validation, manufacturing, placing on the market</w:t>
      </w:r>
      <w:r w:rsidR="008664F5" w:rsidRPr="004C70EC">
        <w:rPr>
          <w:noProof/>
          <w:color w:val="000000" w:themeColor="text1"/>
          <w:lang w:eastAsia="ja-JP"/>
        </w:rPr>
        <w:t>,</w:t>
      </w:r>
      <w:r w:rsidR="002F364A" w:rsidRPr="004C70EC">
        <w:rPr>
          <w:noProof/>
          <w:color w:val="000000" w:themeColor="text1"/>
          <w:lang w:eastAsia="ja-JP"/>
        </w:rPr>
        <w:t xml:space="preserve"> </w:t>
      </w:r>
      <w:r w:rsidR="00611E23" w:rsidRPr="004C70EC">
        <w:rPr>
          <w:noProof/>
          <w:color w:val="000000" w:themeColor="text1"/>
          <w:lang w:eastAsia="ja-JP"/>
        </w:rPr>
        <w:t xml:space="preserve">and </w:t>
      </w:r>
      <w:r w:rsidRPr="004C70EC">
        <w:rPr>
          <w:noProof/>
          <w:color w:val="000000" w:themeColor="text1"/>
          <w:lang w:eastAsia="ja-JP"/>
        </w:rPr>
        <w:t xml:space="preserve">use activities. </w:t>
      </w:r>
    </w:p>
    <w:p w14:paraId="6ADA1B06" w14:textId="77777777" w:rsidR="002F364A" w:rsidRPr="004C70EC" w:rsidRDefault="00DD73BE" w:rsidP="002F364A">
      <w:pPr>
        <w:pStyle w:val="Point0"/>
        <w:rPr>
          <w:noProof/>
          <w:color w:val="000000" w:themeColor="text1"/>
          <w:lang w:eastAsia="ja-JP"/>
        </w:rPr>
      </w:pPr>
      <w:r w:rsidRPr="004C70EC">
        <w:rPr>
          <w:noProof/>
          <w:color w:val="000000" w:themeColor="text1"/>
          <w:lang w:eastAsia="ja-JP"/>
        </w:rPr>
        <w:t>4.</w:t>
      </w:r>
      <w:r w:rsidRPr="004C70EC">
        <w:rPr>
          <w:noProof/>
          <w:color w:val="000000" w:themeColor="text1"/>
        </w:rPr>
        <w:tab/>
      </w:r>
      <w:r w:rsidR="00B37B8F" w:rsidRPr="004C70EC">
        <w:rPr>
          <w:noProof/>
          <w:color w:val="000000" w:themeColor="text1"/>
          <w:lang w:eastAsia="ja-JP"/>
        </w:rPr>
        <w:t xml:space="preserve">The amendments to </w:t>
      </w:r>
      <w:r w:rsidR="000C7C2C" w:rsidRPr="004C70EC">
        <w:rPr>
          <w:noProof/>
          <w:color w:val="000000" w:themeColor="text1"/>
          <w:lang w:eastAsia="ja-JP"/>
        </w:rPr>
        <w:t xml:space="preserve">the Union legislation laid down in Articles </w:t>
      </w:r>
      <w:r w:rsidR="00654194" w:rsidRPr="004C70EC">
        <w:rPr>
          <w:noProof/>
          <w:color w:val="000000" w:themeColor="text1"/>
          <w:lang w:eastAsia="ja-JP"/>
        </w:rPr>
        <w:t>56</w:t>
      </w:r>
      <w:r w:rsidR="007F09BF" w:rsidRPr="004C70EC">
        <w:rPr>
          <w:noProof/>
          <w:color w:val="000000" w:themeColor="text1"/>
          <w:lang w:eastAsia="ja-JP"/>
        </w:rPr>
        <w:t xml:space="preserve"> to </w:t>
      </w:r>
      <w:r w:rsidR="0071575C" w:rsidRPr="004C70EC">
        <w:rPr>
          <w:noProof/>
          <w:color w:val="000000" w:themeColor="text1"/>
          <w:lang w:eastAsia="ja-JP"/>
        </w:rPr>
        <w:t>61</w:t>
      </w:r>
      <w:r w:rsidR="00CE0DE1" w:rsidRPr="004C70EC">
        <w:rPr>
          <w:noProof/>
          <w:color w:val="000000" w:themeColor="text1"/>
          <w:lang w:eastAsia="ja-JP"/>
        </w:rPr>
        <w:t xml:space="preserve"> are not </w:t>
      </w:r>
      <w:r w:rsidR="00F7267F" w:rsidRPr="004C70EC">
        <w:rPr>
          <w:noProof/>
          <w:color w:val="000000" w:themeColor="text1"/>
          <w:lang w:eastAsia="ja-JP"/>
        </w:rPr>
        <w:t xml:space="preserve">limited to </w:t>
      </w:r>
      <w:r w:rsidR="00DD6C0D" w:rsidRPr="004C70EC">
        <w:rPr>
          <w:noProof/>
          <w:color w:val="000000" w:themeColor="text1"/>
          <w:lang w:eastAsia="ja-JP"/>
        </w:rPr>
        <w:t xml:space="preserve">health </w:t>
      </w:r>
      <w:r w:rsidR="00F7267F" w:rsidRPr="004C70EC">
        <w:rPr>
          <w:noProof/>
          <w:color w:val="000000" w:themeColor="text1"/>
          <w:lang w:eastAsia="ja-JP"/>
        </w:rPr>
        <w:t>biotechnology products</w:t>
      </w:r>
      <w:r w:rsidR="002A77A3" w:rsidRPr="004C70EC">
        <w:rPr>
          <w:noProof/>
          <w:color w:val="000000" w:themeColor="text1"/>
          <w:lang w:eastAsia="ja-JP"/>
        </w:rPr>
        <w:t xml:space="preserve"> </w:t>
      </w:r>
      <w:r w:rsidR="005A3249" w:rsidRPr="004C70EC">
        <w:rPr>
          <w:noProof/>
          <w:color w:val="000000" w:themeColor="text1"/>
          <w:lang w:eastAsia="ja-JP"/>
        </w:rPr>
        <w:t>and activities</w:t>
      </w:r>
      <w:r w:rsidR="00DD6C0D" w:rsidRPr="004C70EC">
        <w:rPr>
          <w:noProof/>
          <w:color w:val="000000" w:themeColor="text1"/>
          <w:lang w:eastAsia="ja-JP"/>
        </w:rPr>
        <w:t>, but also relate to the other products</w:t>
      </w:r>
      <w:r w:rsidR="005A3249" w:rsidRPr="004C70EC">
        <w:rPr>
          <w:noProof/>
          <w:color w:val="000000" w:themeColor="text1"/>
          <w:lang w:eastAsia="ja-JP"/>
        </w:rPr>
        <w:t xml:space="preserve">, </w:t>
      </w:r>
      <w:r w:rsidR="00DD6C0D" w:rsidRPr="004C70EC">
        <w:rPr>
          <w:noProof/>
          <w:color w:val="000000" w:themeColor="text1"/>
          <w:lang w:eastAsia="ja-JP"/>
        </w:rPr>
        <w:t xml:space="preserve">services </w:t>
      </w:r>
      <w:r w:rsidR="005A3249" w:rsidRPr="004C70EC">
        <w:rPr>
          <w:noProof/>
          <w:color w:val="000000" w:themeColor="text1"/>
          <w:lang w:eastAsia="ja-JP"/>
        </w:rPr>
        <w:t xml:space="preserve">and activities </w:t>
      </w:r>
      <w:r w:rsidR="00DD6C0D" w:rsidRPr="004C70EC">
        <w:rPr>
          <w:noProof/>
          <w:color w:val="000000" w:themeColor="text1"/>
          <w:lang w:eastAsia="ja-JP"/>
        </w:rPr>
        <w:t>that fall in the scope of that legislation</w:t>
      </w:r>
      <w:r w:rsidR="003353B2" w:rsidRPr="004C70EC">
        <w:rPr>
          <w:noProof/>
          <w:color w:val="000000" w:themeColor="text1"/>
          <w:lang w:eastAsia="ja-JP"/>
        </w:rPr>
        <w:t>.</w:t>
      </w:r>
      <w:r w:rsidR="00F7267F" w:rsidRPr="004C70EC">
        <w:rPr>
          <w:noProof/>
          <w:color w:val="000000" w:themeColor="text1"/>
          <w:lang w:eastAsia="ja-JP"/>
        </w:rPr>
        <w:t xml:space="preserve"> </w:t>
      </w:r>
    </w:p>
    <w:p w14:paraId="4C4BA246" w14:textId="77777777" w:rsidR="002F364A" w:rsidRPr="004C70EC" w:rsidRDefault="002F364A" w:rsidP="002F364A">
      <w:pPr>
        <w:pStyle w:val="Point0"/>
        <w:rPr>
          <w:noProof/>
          <w:color w:val="000000" w:themeColor="text1"/>
          <w:lang w:eastAsia="ja-JP"/>
        </w:rPr>
      </w:pPr>
      <w:r w:rsidRPr="004C70EC">
        <w:rPr>
          <w:noProof/>
          <w:color w:val="000000" w:themeColor="text1"/>
          <w:lang w:eastAsia="ja-JP"/>
        </w:rPr>
        <w:t>5.</w:t>
      </w:r>
      <w:r w:rsidRPr="004C70EC">
        <w:rPr>
          <w:noProof/>
          <w:color w:val="000000" w:themeColor="text1"/>
          <w:lang w:eastAsia="ja-JP"/>
        </w:rPr>
        <w:tab/>
      </w:r>
      <w:r w:rsidR="3031E923" w:rsidRPr="004C70EC">
        <w:rPr>
          <w:rFonts w:eastAsia="Times New Roman"/>
          <w:noProof/>
          <w:color w:val="000000" w:themeColor="text1"/>
        </w:rPr>
        <w:t>This Regulation does not affect the application of Directive 2010/63/EU on the protection of animals used for scientific purposes</w:t>
      </w:r>
      <w:r w:rsidR="00700D3D" w:rsidRPr="004C70EC">
        <w:rPr>
          <w:rFonts w:eastAsia="Times New Roman"/>
          <w:noProof/>
          <w:color w:val="000000" w:themeColor="text1"/>
        </w:rPr>
        <w:t xml:space="preserve"> and of </w:t>
      </w:r>
      <w:r w:rsidR="3031E923" w:rsidRPr="004C70EC">
        <w:rPr>
          <w:rFonts w:eastAsia="Times New Roman"/>
          <w:noProof/>
          <w:color w:val="000000" w:themeColor="text1"/>
        </w:rPr>
        <w:t>Regulation (EU) 1907/2006 concerning the Registration, Evaluation, Authorisation and Restriction of Chemicals (REACH).</w:t>
      </w:r>
    </w:p>
    <w:p w14:paraId="0C9D4341" w14:textId="77777777" w:rsidR="00C366DF" w:rsidRPr="004C70EC" w:rsidRDefault="005A3CCE" w:rsidP="00FF5674">
      <w:pPr>
        <w:pStyle w:val="Point0"/>
        <w:rPr>
          <w:noProof/>
          <w:color w:val="000000" w:themeColor="text1"/>
          <w:lang w:eastAsia="ja-JP"/>
        </w:rPr>
      </w:pPr>
      <w:r w:rsidRPr="004C70EC">
        <w:rPr>
          <w:noProof/>
          <w:color w:val="000000" w:themeColor="text1"/>
          <w:lang w:eastAsia="ja-JP"/>
        </w:rPr>
        <w:t>6</w:t>
      </w:r>
      <w:r w:rsidR="002F364A" w:rsidRPr="004C70EC">
        <w:rPr>
          <w:noProof/>
          <w:color w:val="000000" w:themeColor="text1"/>
          <w:lang w:eastAsia="ja-JP"/>
        </w:rPr>
        <w:t>.</w:t>
      </w:r>
      <w:r w:rsidR="002F364A" w:rsidRPr="004C70EC">
        <w:rPr>
          <w:noProof/>
          <w:color w:val="000000" w:themeColor="text1"/>
          <w:lang w:eastAsia="ja-JP"/>
        </w:rPr>
        <w:tab/>
      </w:r>
      <w:r w:rsidR="00BB3A45" w:rsidRPr="004C70EC">
        <w:rPr>
          <w:rFonts w:eastAsia="Times New Roman"/>
          <w:noProof/>
          <w:color w:val="000000" w:themeColor="text1"/>
          <w:szCs w:val="24"/>
          <w:lang w:eastAsia="ja-JP"/>
        </w:rPr>
        <w:t xml:space="preserve"> This Regulation shall apply without prejudice to Regulation (EU) 2024/1689 laying down harmonised rules on artificial intelligence.</w:t>
      </w:r>
    </w:p>
    <w:p w14:paraId="0829D6B4" w14:textId="77777777" w:rsidR="00D343BA" w:rsidRPr="004C70EC" w:rsidRDefault="00D343BA" w:rsidP="00FF5674">
      <w:pPr>
        <w:pStyle w:val="Point0"/>
        <w:rPr>
          <w:noProof/>
          <w:color w:val="000000" w:themeColor="text1"/>
          <w:lang w:eastAsia="ja-JP"/>
        </w:rPr>
      </w:pPr>
      <w:r w:rsidRPr="004C70EC">
        <w:rPr>
          <w:rFonts w:eastAsia="Times New Roman"/>
          <w:noProof/>
          <w:color w:val="000000" w:themeColor="text1"/>
          <w:lang w:eastAsia="ja-JP"/>
        </w:rPr>
        <w:t>7.</w:t>
      </w:r>
      <w:r w:rsidRPr="004C70EC">
        <w:rPr>
          <w:noProof/>
        </w:rPr>
        <w:tab/>
      </w:r>
      <w:r w:rsidR="00E25F1B" w:rsidRPr="004C70EC">
        <w:rPr>
          <w:rFonts w:eastAsia="Times New Roman"/>
          <w:noProof/>
          <w:color w:val="000000" w:themeColor="text1"/>
          <w:lang w:eastAsia="ja-JP"/>
        </w:rPr>
        <w:t>This Regulation shall apply without prejudice to Regulation […][</w:t>
      </w:r>
      <w:r w:rsidR="0070634E" w:rsidRPr="004C70EC">
        <w:rPr>
          <w:rFonts w:eastAsia="Times New Roman"/>
          <w:noProof/>
          <w:color w:val="000000" w:themeColor="text1"/>
          <w:lang w:eastAsia="ja-JP"/>
        </w:rPr>
        <w:t xml:space="preserve">[Regulation on speeding-up environmental impact assessments -permitting regulation]. </w:t>
      </w:r>
    </w:p>
    <w:p w14:paraId="481E72CF" w14:textId="77777777" w:rsidR="00273F36" w:rsidRPr="004C70EC" w:rsidRDefault="00273F36" w:rsidP="005B26B0">
      <w:pPr>
        <w:pStyle w:val="Titrearticle"/>
        <w:rPr>
          <w:rFonts w:eastAsia="Times New Roman"/>
          <w:i w:val="0"/>
          <w:iCs/>
          <w:noProof/>
          <w:color w:val="000000" w:themeColor="text1"/>
          <w:szCs w:val="24"/>
          <w:lang w:eastAsia="ja-JP"/>
        </w:rPr>
      </w:pPr>
      <w:r w:rsidRPr="004C70EC">
        <w:rPr>
          <w:rFonts w:eastAsia="Times New Roman"/>
          <w:iCs/>
          <w:noProof/>
          <w:color w:val="000000" w:themeColor="text1"/>
          <w:szCs w:val="24"/>
          <w:lang w:eastAsia="ja-JP"/>
        </w:rPr>
        <w:t xml:space="preserve">Article </w:t>
      </w:r>
      <w:r w:rsidR="002F364A" w:rsidRPr="004C70EC">
        <w:rPr>
          <w:noProof/>
          <w:color w:val="000000" w:themeColor="text1"/>
        </w:rPr>
        <w:t>2</w:t>
      </w:r>
    </w:p>
    <w:p w14:paraId="53274A9C" w14:textId="77777777" w:rsidR="00273F36" w:rsidRPr="004C70EC" w:rsidRDefault="00273F36" w:rsidP="002F364A">
      <w:pPr>
        <w:keepNext/>
        <w:tabs>
          <w:tab w:val="left" w:pos="850"/>
        </w:tabs>
        <w:ind w:left="850" w:hanging="850"/>
        <w:jc w:val="center"/>
        <w:outlineLvl w:val="1"/>
        <w:rPr>
          <w:rFonts w:eastAsia="Times New Roman"/>
          <w:b/>
          <w:noProof/>
          <w:color w:val="000000" w:themeColor="text1"/>
          <w:szCs w:val="24"/>
          <w:lang w:eastAsia="ja-JP"/>
        </w:rPr>
      </w:pPr>
      <w:r w:rsidRPr="004C70EC">
        <w:rPr>
          <w:rFonts w:eastAsia="Times New Roman"/>
          <w:b/>
          <w:noProof/>
          <w:color w:val="000000" w:themeColor="text1"/>
          <w:szCs w:val="24"/>
          <w:lang w:eastAsia="ja-JP"/>
        </w:rPr>
        <w:t>Definitions</w:t>
      </w:r>
    </w:p>
    <w:p w14:paraId="25663397" w14:textId="77777777" w:rsidR="00273F36" w:rsidRPr="004C70EC" w:rsidRDefault="00762D38" w:rsidP="00762D38">
      <w:pPr>
        <w:pStyle w:val="Point0"/>
        <w:rPr>
          <w:rFonts w:eastAsia="Times New Roman"/>
          <w:noProof/>
          <w:color w:val="000000" w:themeColor="text1"/>
          <w:szCs w:val="24"/>
          <w:lang w:eastAsia="ja-JP"/>
        </w:rPr>
      </w:pPr>
      <w:r w:rsidRPr="004C70EC">
        <w:rPr>
          <w:rFonts w:eastAsia="Times New Roman"/>
          <w:noProof/>
          <w:color w:val="000000" w:themeColor="text1"/>
          <w:szCs w:val="24"/>
          <w:lang w:eastAsia="ja-JP"/>
        </w:rPr>
        <w:t>1.</w:t>
      </w:r>
      <w:r w:rsidRPr="004C70EC">
        <w:rPr>
          <w:rFonts w:eastAsia="Times New Roman"/>
          <w:noProof/>
          <w:color w:val="000000" w:themeColor="text1"/>
          <w:szCs w:val="24"/>
          <w:lang w:eastAsia="ja-JP"/>
        </w:rPr>
        <w:tab/>
      </w:r>
      <w:r w:rsidR="00273F36" w:rsidRPr="004C70EC">
        <w:rPr>
          <w:rFonts w:eastAsia="Times New Roman"/>
          <w:noProof/>
          <w:color w:val="000000" w:themeColor="text1"/>
          <w:szCs w:val="24"/>
          <w:lang w:eastAsia="ja-JP"/>
        </w:rPr>
        <w:t xml:space="preserve">For the purposes of this Regulation, the following definitions apply: </w:t>
      </w:r>
    </w:p>
    <w:p w14:paraId="5CD5F76E" w14:textId="77777777" w:rsidR="002F364A" w:rsidRPr="004C70EC" w:rsidRDefault="002F364A" w:rsidP="008D722A">
      <w:pPr>
        <w:pStyle w:val="Point1"/>
        <w:rPr>
          <w:noProof/>
          <w:color w:val="000000" w:themeColor="text1"/>
        </w:rPr>
      </w:pPr>
      <w:r w:rsidRPr="004C70EC">
        <w:rPr>
          <w:noProof/>
          <w:color w:val="000000" w:themeColor="text1"/>
        </w:rPr>
        <w:t>(1)</w:t>
      </w:r>
      <w:r w:rsidRPr="004C70EC">
        <w:rPr>
          <w:noProof/>
          <w:color w:val="000000" w:themeColor="text1"/>
        </w:rPr>
        <w:tab/>
        <w:t>‘biotechnology’ means the application of science and technology to living organisms, as well as parts, products and model</w:t>
      </w:r>
      <w:r w:rsidR="00C366DF" w:rsidRPr="004C70EC">
        <w:rPr>
          <w:noProof/>
          <w:color w:val="000000" w:themeColor="text1"/>
        </w:rPr>
        <w:t>s thereof</w:t>
      </w:r>
      <w:r w:rsidRPr="004C70EC">
        <w:rPr>
          <w:noProof/>
          <w:color w:val="000000" w:themeColor="text1"/>
        </w:rPr>
        <w:t>, to alter living or non-living materials for the production of knowledge, products and services</w:t>
      </w:r>
      <w:r w:rsidR="003353B2" w:rsidRPr="004C70EC">
        <w:rPr>
          <w:noProof/>
          <w:color w:val="000000" w:themeColor="text1"/>
        </w:rPr>
        <w:t>;</w:t>
      </w:r>
    </w:p>
    <w:p w14:paraId="17820D0E" w14:textId="77777777" w:rsidR="002F364A" w:rsidRPr="004C70EC" w:rsidRDefault="002F364A" w:rsidP="008D722A">
      <w:pPr>
        <w:pStyle w:val="Point1"/>
        <w:rPr>
          <w:noProof/>
          <w:color w:val="000000" w:themeColor="text1"/>
        </w:rPr>
      </w:pPr>
      <w:r w:rsidRPr="004C70EC">
        <w:rPr>
          <w:noProof/>
          <w:color w:val="000000" w:themeColor="text1"/>
        </w:rPr>
        <w:t>(2)</w:t>
      </w:r>
      <w:r w:rsidRPr="004C70EC">
        <w:rPr>
          <w:noProof/>
        </w:rPr>
        <w:tab/>
      </w:r>
      <w:r w:rsidR="00DD6C0D" w:rsidRPr="004C70EC">
        <w:rPr>
          <w:noProof/>
          <w:color w:val="000000" w:themeColor="text1"/>
        </w:rPr>
        <w:t>‘health biotechnology’ means the application of biotechnology for the promotion, protection, or restoration of human health and biotechnological applications relevant to animal health, plant health, veterinary public health, and food safety, insofar as these areas contribute directly or indirectly to the protection of human health and align with the Union’s public</w:t>
      </w:r>
      <w:r w:rsidR="69EA1E9C" w:rsidRPr="004C70EC">
        <w:rPr>
          <w:noProof/>
          <w:color w:val="000000" w:themeColor="text1"/>
        </w:rPr>
        <w:t xml:space="preserve"> </w:t>
      </w:r>
      <w:r w:rsidR="00DD6C0D" w:rsidRPr="004C70EC">
        <w:rPr>
          <w:noProof/>
          <w:color w:val="000000" w:themeColor="text1"/>
        </w:rPr>
        <w:t>health objectives, as set out under Article 168 of the Treaty on the Functioning of the European Union</w:t>
      </w:r>
      <w:r w:rsidR="005429EE" w:rsidRPr="004C70EC">
        <w:rPr>
          <w:noProof/>
          <w:color w:val="000000" w:themeColor="text1"/>
        </w:rPr>
        <w:t>;</w:t>
      </w:r>
    </w:p>
    <w:p w14:paraId="733BA09C" w14:textId="77777777" w:rsidR="002F364A" w:rsidRPr="004C70EC" w:rsidRDefault="002F364A" w:rsidP="62CFD25F">
      <w:pPr>
        <w:pStyle w:val="Point1"/>
        <w:rPr>
          <w:noProof/>
          <w:color w:val="000000" w:themeColor="text1"/>
        </w:rPr>
      </w:pPr>
      <w:r w:rsidRPr="004C70EC">
        <w:rPr>
          <w:noProof/>
          <w:color w:val="000000" w:themeColor="text1"/>
        </w:rPr>
        <w:t>(3)</w:t>
      </w:r>
      <w:r w:rsidRPr="004C70EC">
        <w:rPr>
          <w:noProof/>
          <w:color w:val="000000" w:themeColor="text1"/>
        </w:rPr>
        <w:tab/>
        <w:t>‘biotechnology product’ means any good</w:t>
      </w:r>
      <w:r w:rsidR="004C5F5A" w:rsidRPr="004C70EC">
        <w:rPr>
          <w:noProof/>
          <w:color w:val="000000" w:themeColor="text1"/>
        </w:rPr>
        <w:t>,</w:t>
      </w:r>
      <w:r w:rsidRPr="004C70EC">
        <w:rPr>
          <w:noProof/>
          <w:color w:val="000000" w:themeColor="text1"/>
        </w:rPr>
        <w:t xml:space="preserve"> technology </w:t>
      </w:r>
      <w:r w:rsidR="005F65EE" w:rsidRPr="004C70EC">
        <w:rPr>
          <w:noProof/>
          <w:color w:val="000000" w:themeColor="text1"/>
        </w:rPr>
        <w:t xml:space="preserve">or </w:t>
      </w:r>
      <w:r w:rsidR="00402440" w:rsidRPr="004C70EC">
        <w:rPr>
          <w:noProof/>
          <w:color w:val="000000" w:themeColor="text1"/>
        </w:rPr>
        <w:t>activity</w:t>
      </w:r>
      <w:r w:rsidR="00143167" w:rsidRPr="004C70EC">
        <w:rPr>
          <w:noProof/>
          <w:color w:val="000000" w:themeColor="text1"/>
        </w:rPr>
        <w:t xml:space="preserve"> </w:t>
      </w:r>
      <w:r w:rsidRPr="004C70EC">
        <w:rPr>
          <w:noProof/>
          <w:color w:val="000000" w:themeColor="text1"/>
        </w:rPr>
        <w:t xml:space="preserve">resulting </w:t>
      </w:r>
      <w:r w:rsidR="006116D3" w:rsidRPr="004C70EC">
        <w:rPr>
          <w:noProof/>
          <w:color w:val="000000" w:themeColor="text1"/>
        </w:rPr>
        <w:t>f</w:t>
      </w:r>
      <w:r w:rsidRPr="004C70EC">
        <w:rPr>
          <w:noProof/>
          <w:color w:val="000000" w:themeColor="text1"/>
        </w:rPr>
        <w:t>rom the application of biotechnology</w:t>
      </w:r>
      <w:r w:rsidR="00AA1D12" w:rsidRPr="004C70EC">
        <w:rPr>
          <w:noProof/>
          <w:color w:val="000000" w:themeColor="text1"/>
        </w:rPr>
        <w:t xml:space="preserve">, including </w:t>
      </w:r>
      <w:r w:rsidR="3F9DE15E" w:rsidRPr="004C70EC">
        <w:rPr>
          <w:noProof/>
          <w:color w:val="000000" w:themeColor="text1"/>
        </w:rPr>
        <w:t xml:space="preserve">any process, action, </w:t>
      </w:r>
      <w:r w:rsidR="40C6FF9C" w:rsidRPr="004C70EC">
        <w:rPr>
          <w:noProof/>
          <w:color w:val="000000" w:themeColor="text1"/>
        </w:rPr>
        <w:t>technique, tool</w:t>
      </w:r>
      <w:r w:rsidR="1DCF203F" w:rsidRPr="004C70EC">
        <w:rPr>
          <w:noProof/>
          <w:color w:val="000000" w:themeColor="text1"/>
        </w:rPr>
        <w:t xml:space="preserve"> or </w:t>
      </w:r>
      <w:r w:rsidR="40C6FF9C" w:rsidRPr="004C70EC">
        <w:rPr>
          <w:noProof/>
          <w:color w:val="000000" w:themeColor="text1"/>
        </w:rPr>
        <w:t>knowledge</w:t>
      </w:r>
      <w:r w:rsidR="3F9DE15E" w:rsidRPr="004C70EC">
        <w:rPr>
          <w:noProof/>
          <w:color w:val="000000" w:themeColor="text1"/>
        </w:rPr>
        <w:t xml:space="preserve"> involv</w:t>
      </w:r>
      <w:r w:rsidR="00FF5674" w:rsidRPr="004C70EC">
        <w:rPr>
          <w:noProof/>
          <w:color w:val="000000" w:themeColor="text1"/>
        </w:rPr>
        <w:t>ing</w:t>
      </w:r>
      <w:r w:rsidR="3F9DE15E" w:rsidRPr="004C70EC">
        <w:rPr>
          <w:noProof/>
          <w:color w:val="000000" w:themeColor="text1"/>
        </w:rPr>
        <w:t xml:space="preserve"> biotechnology;</w:t>
      </w:r>
    </w:p>
    <w:p w14:paraId="518D684C" w14:textId="77777777" w:rsidR="00273F36" w:rsidRPr="004C70EC" w:rsidRDefault="002F364A" w:rsidP="008D722A">
      <w:pPr>
        <w:pStyle w:val="Point1"/>
        <w:rPr>
          <w:rFonts w:eastAsia="Times New Roman"/>
          <w:noProof/>
          <w:color w:val="000000" w:themeColor="text1"/>
          <w:lang w:val="en-IE" w:eastAsia="ja-JP"/>
        </w:rPr>
      </w:pPr>
      <w:r w:rsidRPr="004C70EC">
        <w:rPr>
          <w:rFonts w:eastAsiaTheme="minorEastAsia"/>
          <w:noProof/>
          <w:color w:val="000000" w:themeColor="text1"/>
          <w:lang w:val="en-IE" w:eastAsia="ja-JP"/>
        </w:rPr>
        <w:t>(</w:t>
      </w:r>
      <w:r w:rsidR="005B26B0" w:rsidRPr="004C70EC">
        <w:rPr>
          <w:rFonts w:eastAsiaTheme="minorEastAsia"/>
          <w:noProof/>
          <w:color w:val="000000" w:themeColor="text1"/>
          <w:lang w:val="en-IE" w:eastAsia="ja-JP"/>
        </w:rPr>
        <w:t>4</w:t>
      </w:r>
      <w:r w:rsidRPr="004C70EC">
        <w:rPr>
          <w:rFonts w:eastAsiaTheme="minorEastAsia"/>
          <w:noProof/>
          <w:color w:val="000000" w:themeColor="text1"/>
          <w:lang w:val="en-IE" w:eastAsia="ja-JP"/>
        </w:rPr>
        <w:t>)</w:t>
      </w:r>
      <w:r w:rsidR="008D722A" w:rsidRPr="004C70EC">
        <w:rPr>
          <w:noProof/>
        </w:rPr>
        <w:tab/>
      </w:r>
      <w:r w:rsidRPr="004C70EC">
        <w:rPr>
          <w:rFonts w:eastAsiaTheme="minorEastAsia"/>
          <w:noProof/>
          <w:color w:val="000000" w:themeColor="text1"/>
          <w:lang w:val="en-IE" w:eastAsia="ja-JP"/>
        </w:rPr>
        <w:t>‘</w:t>
      </w:r>
      <w:r w:rsidRPr="004C70EC">
        <w:rPr>
          <w:rFonts w:eastAsia="Aptos"/>
          <w:noProof/>
          <w:color w:val="000000" w:themeColor="text1"/>
          <w:lang w:val="en-IE"/>
        </w:rPr>
        <w:t>a</w:t>
      </w:r>
      <w:r w:rsidR="608FE4B9" w:rsidRPr="004C70EC">
        <w:rPr>
          <w:rFonts w:eastAsia="Aptos"/>
          <w:noProof/>
          <w:color w:val="000000" w:themeColor="text1"/>
          <w:lang w:val="en-IE"/>
        </w:rPr>
        <w:t>dvanced biotech</w:t>
      </w:r>
      <w:r w:rsidR="18E7607A" w:rsidRPr="004C70EC">
        <w:rPr>
          <w:rFonts w:eastAsia="Aptos"/>
          <w:noProof/>
          <w:color w:val="000000" w:themeColor="text1"/>
          <w:lang w:val="en-IE"/>
        </w:rPr>
        <w:t>nology innovation</w:t>
      </w:r>
      <w:r w:rsidRPr="004C70EC">
        <w:rPr>
          <w:rFonts w:eastAsia="Aptos"/>
          <w:noProof/>
          <w:color w:val="000000" w:themeColor="text1"/>
          <w:lang w:val="en-IE"/>
        </w:rPr>
        <w:t>’ means</w:t>
      </w:r>
      <w:r w:rsidR="608FE4B9" w:rsidRPr="004C70EC">
        <w:rPr>
          <w:rFonts w:eastAsia="Aptos"/>
          <w:noProof/>
          <w:color w:val="000000" w:themeColor="text1"/>
          <w:lang w:val="en-IE"/>
        </w:rPr>
        <w:t xml:space="preserve"> a biotech</w:t>
      </w:r>
      <w:r w:rsidRPr="004C70EC">
        <w:rPr>
          <w:rFonts w:eastAsia="Aptos"/>
          <w:noProof/>
          <w:color w:val="000000" w:themeColor="text1"/>
          <w:lang w:val="en-IE"/>
        </w:rPr>
        <w:t>nology</w:t>
      </w:r>
      <w:r w:rsidR="608FE4B9" w:rsidRPr="004C70EC">
        <w:rPr>
          <w:rFonts w:eastAsia="Aptos"/>
          <w:noProof/>
          <w:color w:val="000000" w:themeColor="text1"/>
          <w:lang w:val="en-IE"/>
        </w:rPr>
        <w:t xml:space="preserve"> product, process, service or enabling technology that demonstrates, on the basis of preliminary scientific or technical evidence, the potential to achieve a substantial improvement over existing solutions in terms of efficacy, safety, sustainability, accessibility, and/or cost-effectiveness, and that, by reason of its novelty, technical complexity and/or market-creating potential, entails a high level of technological or commercial risk and </w:t>
      </w:r>
      <w:r w:rsidR="00311261" w:rsidRPr="004C70EC">
        <w:rPr>
          <w:rFonts w:eastAsia="Aptos"/>
          <w:noProof/>
          <w:color w:val="000000" w:themeColor="text1"/>
          <w:lang w:val="en-IE"/>
        </w:rPr>
        <w:t xml:space="preserve">it </w:t>
      </w:r>
      <w:r w:rsidR="608FE4B9" w:rsidRPr="004C70EC">
        <w:rPr>
          <w:rFonts w:eastAsia="Aptos"/>
          <w:noProof/>
          <w:color w:val="000000" w:themeColor="text1"/>
          <w:lang w:val="en-IE"/>
        </w:rPr>
        <w:t>is likely to create new markets or significantly disrupt existing ones</w:t>
      </w:r>
      <w:r w:rsidR="7E432A40" w:rsidRPr="004C70EC">
        <w:rPr>
          <w:rFonts w:eastAsia="Aptos"/>
          <w:noProof/>
          <w:color w:val="000000" w:themeColor="text1"/>
          <w:lang w:val="en-IE"/>
        </w:rPr>
        <w:t>;</w:t>
      </w:r>
    </w:p>
    <w:p w14:paraId="38E70D8B" w14:textId="77777777" w:rsidR="00273F36" w:rsidRPr="004C70EC" w:rsidRDefault="002F364A" w:rsidP="002F364A">
      <w:pPr>
        <w:pStyle w:val="Point1"/>
        <w:rPr>
          <w:rFonts w:eastAsia="Times New Roman"/>
          <w:noProof/>
          <w:color w:val="000000" w:themeColor="text1"/>
          <w:lang w:eastAsia="ja-JP"/>
        </w:rPr>
      </w:pPr>
      <w:r w:rsidRPr="004C70EC">
        <w:rPr>
          <w:rFonts w:eastAsia="Times New Roman"/>
          <w:noProof/>
          <w:color w:val="000000" w:themeColor="text1"/>
          <w:lang w:val="en-IE" w:eastAsia="ja-JP"/>
        </w:rPr>
        <w:t>(</w:t>
      </w:r>
      <w:r w:rsidR="005B26B0" w:rsidRPr="004C70EC">
        <w:rPr>
          <w:rFonts w:eastAsia="Times New Roman"/>
          <w:noProof/>
          <w:color w:val="000000" w:themeColor="text1"/>
          <w:lang w:val="en-IE" w:eastAsia="ja-JP"/>
        </w:rPr>
        <w:t>5</w:t>
      </w:r>
      <w:r w:rsidRPr="004C70EC">
        <w:rPr>
          <w:rFonts w:eastAsia="Times New Roman"/>
          <w:noProof/>
          <w:color w:val="000000" w:themeColor="text1"/>
          <w:lang w:val="en-IE" w:eastAsia="ja-JP"/>
        </w:rPr>
        <w:t>)</w:t>
      </w:r>
      <w:r w:rsidR="008D722A" w:rsidRPr="004C70EC">
        <w:rPr>
          <w:noProof/>
          <w:color w:val="000000" w:themeColor="text1"/>
        </w:rPr>
        <w:tab/>
      </w:r>
      <w:r w:rsidR="2F263E33" w:rsidRPr="004C70EC">
        <w:rPr>
          <w:rFonts w:eastAsia="Times New Roman"/>
          <w:noProof/>
          <w:color w:val="000000" w:themeColor="text1"/>
          <w:lang w:eastAsia="ja-JP"/>
        </w:rPr>
        <w:t>‘biomanufacturing’ means the production of biotechnology products at a commercial scale;</w:t>
      </w:r>
    </w:p>
    <w:p w14:paraId="12FF507C" w14:textId="77777777" w:rsidR="00273F36" w:rsidRPr="004C70EC" w:rsidRDefault="00B572C1" w:rsidP="00B572C1">
      <w:pPr>
        <w:pStyle w:val="Point1"/>
        <w:rPr>
          <w:rFonts w:eastAsia="Times New Roman"/>
          <w:noProof/>
          <w:color w:val="000000" w:themeColor="text1"/>
          <w:lang w:eastAsia="ja-JP"/>
        </w:rPr>
      </w:pPr>
      <w:r w:rsidRPr="004C70EC">
        <w:rPr>
          <w:rFonts w:eastAsia="Times New Roman"/>
          <w:noProof/>
          <w:color w:val="000000" w:themeColor="text1"/>
          <w:lang w:eastAsia="ja-JP"/>
        </w:rPr>
        <w:t>(</w:t>
      </w:r>
      <w:r w:rsidR="005B26B0" w:rsidRPr="004C70EC">
        <w:rPr>
          <w:rFonts w:eastAsia="Times New Roman"/>
          <w:noProof/>
          <w:color w:val="000000" w:themeColor="text1"/>
          <w:lang w:eastAsia="ja-JP"/>
        </w:rPr>
        <w:t>6</w:t>
      </w:r>
      <w:r w:rsidRPr="004C70EC">
        <w:rPr>
          <w:rFonts w:eastAsia="Times New Roman"/>
          <w:noProof/>
          <w:color w:val="000000" w:themeColor="text1"/>
          <w:lang w:eastAsia="ja-JP"/>
        </w:rPr>
        <w:t>)</w:t>
      </w:r>
      <w:r w:rsidRPr="004C70EC">
        <w:rPr>
          <w:noProof/>
          <w:color w:val="000000" w:themeColor="text1"/>
        </w:rPr>
        <w:tab/>
      </w:r>
      <w:r w:rsidR="00273F36" w:rsidRPr="004C70EC">
        <w:rPr>
          <w:rFonts w:eastAsia="Times New Roman"/>
          <w:noProof/>
          <w:color w:val="000000" w:themeColor="text1"/>
          <w:lang w:eastAsia="ja-JP"/>
        </w:rPr>
        <w:t xml:space="preserve">‘biotechnology cluster’ means a geographic concentration of interconnected companies, research institutions and organisations focused on biotechnology and life sciences, fostering collaboration and innovation; </w:t>
      </w:r>
    </w:p>
    <w:p w14:paraId="67BF675B" w14:textId="77777777" w:rsidR="00273F36" w:rsidRPr="004C70EC" w:rsidRDefault="00D23C5C" w:rsidP="005A0419">
      <w:pPr>
        <w:pStyle w:val="Point1"/>
        <w:rPr>
          <w:rFonts w:eastAsia="Times New Roman"/>
          <w:noProof/>
          <w:color w:val="000000" w:themeColor="text1"/>
          <w:lang w:eastAsia="ja-JP"/>
        </w:rPr>
      </w:pPr>
      <w:r w:rsidRPr="004C70EC">
        <w:rPr>
          <w:rFonts w:eastAsia="Times New Roman"/>
          <w:noProof/>
          <w:color w:val="000000" w:themeColor="text1"/>
          <w:lang w:eastAsia="ja-JP"/>
        </w:rPr>
        <w:t>(</w:t>
      </w:r>
      <w:r w:rsidR="005B26B0" w:rsidRPr="004C70EC">
        <w:rPr>
          <w:rFonts w:eastAsia="Times New Roman"/>
          <w:noProof/>
          <w:color w:val="000000" w:themeColor="text1"/>
          <w:lang w:eastAsia="ja-JP"/>
        </w:rPr>
        <w:t>7</w:t>
      </w:r>
      <w:r w:rsidRPr="004C70EC">
        <w:rPr>
          <w:rFonts w:eastAsia="Times New Roman"/>
          <w:noProof/>
          <w:color w:val="000000" w:themeColor="text1"/>
          <w:lang w:eastAsia="ja-JP"/>
        </w:rPr>
        <w:t>)</w:t>
      </w:r>
      <w:r w:rsidRPr="004C70EC">
        <w:rPr>
          <w:noProof/>
          <w:color w:val="000000" w:themeColor="text1"/>
        </w:rPr>
        <w:tab/>
      </w:r>
      <w:r w:rsidRPr="004C70EC">
        <w:rPr>
          <w:rFonts w:eastAsia="Times New Roman"/>
          <w:noProof/>
          <w:color w:val="000000" w:themeColor="text1"/>
          <w:lang w:eastAsia="ja-JP"/>
        </w:rPr>
        <w:t xml:space="preserve">‘project promoter’ means any undertaking or consortium of undertakings developing a </w:t>
      </w:r>
      <w:r w:rsidR="00464365" w:rsidRPr="004C70EC">
        <w:rPr>
          <w:rFonts w:eastAsia="Times New Roman"/>
          <w:noProof/>
          <w:color w:val="000000" w:themeColor="text1"/>
          <w:lang w:val="en-IE" w:eastAsia="de-DE"/>
        </w:rPr>
        <w:t xml:space="preserve">health </w:t>
      </w:r>
      <w:r w:rsidRPr="004C70EC">
        <w:rPr>
          <w:rFonts w:eastAsia="Times New Roman"/>
          <w:noProof/>
          <w:color w:val="000000" w:themeColor="text1"/>
          <w:lang w:eastAsia="ja-JP"/>
        </w:rPr>
        <w:t xml:space="preserve">biotechnology strategic project referred to in Article </w:t>
      </w:r>
      <w:r w:rsidR="00D93646" w:rsidRPr="004C70EC">
        <w:rPr>
          <w:rFonts w:eastAsia="Times New Roman"/>
          <w:noProof/>
          <w:color w:val="000000" w:themeColor="text1"/>
          <w:lang w:eastAsia="ja-JP"/>
        </w:rPr>
        <w:t>3</w:t>
      </w:r>
      <w:r w:rsidRPr="004C70EC">
        <w:rPr>
          <w:rFonts w:eastAsia="Times New Roman"/>
          <w:noProof/>
          <w:color w:val="000000" w:themeColor="text1"/>
          <w:lang w:eastAsia="ja-JP"/>
        </w:rPr>
        <w:t xml:space="preserve"> or a high impact </w:t>
      </w:r>
      <w:r w:rsidR="00464365" w:rsidRPr="004C70EC">
        <w:rPr>
          <w:rFonts w:eastAsia="Times New Roman"/>
          <w:noProof/>
          <w:color w:val="000000" w:themeColor="text1"/>
          <w:lang w:val="en-IE" w:eastAsia="de-DE"/>
        </w:rPr>
        <w:t xml:space="preserve">health </w:t>
      </w:r>
      <w:r w:rsidRPr="004C70EC">
        <w:rPr>
          <w:rFonts w:eastAsia="Times New Roman"/>
          <w:noProof/>
          <w:color w:val="000000" w:themeColor="text1"/>
          <w:lang w:eastAsia="ja-JP"/>
        </w:rPr>
        <w:t xml:space="preserve">biotechnology strategic project referred to in Article </w:t>
      </w:r>
      <w:r w:rsidR="00D93646" w:rsidRPr="004C70EC">
        <w:rPr>
          <w:rFonts w:eastAsia="Times New Roman"/>
          <w:noProof/>
          <w:color w:val="000000" w:themeColor="text1"/>
          <w:lang w:eastAsia="ja-JP"/>
        </w:rPr>
        <w:t>4</w:t>
      </w:r>
      <w:r w:rsidR="00337706" w:rsidRPr="004C70EC">
        <w:rPr>
          <w:rFonts w:eastAsia="Times New Roman"/>
          <w:noProof/>
          <w:color w:val="000000" w:themeColor="text1"/>
          <w:lang w:eastAsia="ja-JP"/>
        </w:rPr>
        <w:t>;</w:t>
      </w:r>
    </w:p>
    <w:p w14:paraId="34ED04BF" w14:textId="77777777" w:rsidR="00273F36" w:rsidRPr="004C70EC" w:rsidRDefault="00273F36" w:rsidP="002F364A">
      <w:pPr>
        <w:pStyle w:val="Point1"/>
        <w:rPr>
          <w:rFonts w:eastAsia="Times New Roman"/>
          <w:noProof/>
          <w:color w:val="000000" w:themeColor="text1"/>
          <w:lang w:eastAsia="ja-JP"/>
        </w:rPr>
      </w:pPr>
      <w:r w:rsidRPr="004C70EC">
        <w:rPr>
          <w:rFonts w:eastAsia="Times New Roman"/>
          <w:noProof/>
          <w:color w:val="000000" w:themeColor="text1"/>
          <w:lang w:eastAsia="ja-JP"/>
        </w:rPr>
        <w:t>(</w:t>
      </w:r>
      <w:r w:rsidR="005B26B0" w:rsidRPr="004C70EC">
        <w:rPr>
          <w:rFonts w:eastAsia="Times New Roman"/>
          <w:noProof/>
          <w:color w:val="000000" w:themeColor="text1"/>
          <w:lang w:eastAsia="ja-JP"/>
        </w:rPr>
        <w:t>8</w:t>
      </w:r>
      <w:r w:rsidRPr="004C70EC">
        <w:rPr>
          <w:rFonts w:eastAsia="Times New Roman"/>
          <w:noProof/>
          <w:color w:val="000000" w:themeColor="text1"/>
          <w:lang w:eastAsia="ja-JP"/>
        </w:rPr>
        <w:t>)</w:t>
      </w:r>
      <w:r w:rsidRPr="004C70EC">
        <w:rPr>
          <w:noProof/>
        </w:rPr>
        <w:tab/>
      </w:r>
      <w:r w:rsidRPr="004C70EC">
        <w:rPr>
          <w:rFonts w:eastAsia="Times New Roman"/>
          <w:noProof/>
          <w:color w:val="000000" w:themeColor="text1"/>
          <w:lang w:eastAsia="ja-JP"/>
        </w:rPr>
        <w:t xml:space="preserve">‘permit-granting process’ means a process that covers all relevant permits to build, expand, convert and operate </w:t>
      </w:r>
      <w:r w:rsidR="00CD52F4" w:rsidRPr="004C70EC">
        <w:rPr>
          <w:rFonts w:eastAsia="Times New Roman"/>
          <w:noProof/>
          <w:color w:val="000000" w:themeColor="text1"/>
          <w:lang w:val="en-IE" w:eastAsia="de-DE"/>
        </w:rPr>
        <w:t xml:space="preserve">health </w:t>
      </w:r>
      <w:r w:rsidRPr="004C70EC">
        <w:rPr>
          <w:rFonts w:eastAsia="Times New Roman"/>
          <w:noProof/>
          <w:color w:val="000000" w:themeColor="text1"/>
          <w:lang w:eastAsia="ja-JP"/>
        </w:rPr>
        <w:t xml:space="preserve">biotechnology </w:t>
      </w:r>
      <w:r w:rsidR="00A614D7" w:rsidRPr="004C70EC">
        <w:rPr>
          <w:rFonts w:eastAsia="Times New Roman"/>
          <w:noProof/>
          <w:color w:val="000000" w:themeColor="text1"/>
          <w:lang w:eastAsia="ja-JP"/>
        </w:rPr>
        <w:t xml:space="preserve">strategic </w:t>
      </w:r>
      <w:r w:rsidRPr="004C70EC">
        <w:rPr>
          <w:rFonts w:eastAsia="Times New Roman"/>
          <w:noProof/>
          <w:color w:val="000000" w:themeColor="text1"/>
          <w:lang w:eastAsia="ja-JP"/>
        </w:rPr>
        <w:t xml:space="preserve">projects </w:t>
      </w:r>
      <w:r w:rsidR="00A614D7" w:rsidRPr="004C70EC">
        <w:rPr>
          <w:rFonts w:eastAsia="Times New Roman"/>
          <w:noProof/>
          <w:color w:val="000000" w:themeColor="text1"/>
          <w:lang w:eastAsia="ja-JP"/>
        </w:rPr>
        <w:t xml:space="preserve">and </w:t>
      </w:r>
      <w:r w:rsidRPr="004C70EC">
        <w:rPr>
          <w:rFonts w:eastAsia="Times New Roman"/>
          <w:noProof/>
          <w:color w:val="000000" w:themeColor="text1"/>
          <w:lang w:eastAsia="ja-JP"/>
        </w:rPr>
        <w:t xml:space="preserve"> </w:t>
      </w:r>
      <w:r w:rsidR="00311A77" w:rsidRPr="004C70EC">
        <w:rPr>
          <w:rFonts w:eastAsia="Times New Roman"/>
          <w:noProof/>
          <w:color w:val="000000" w:themeColor="text1"/>
          <w:lang w:eastAsia="ja-JP"/>
        </w:rPr>
        <w:t xml:space="preserve">high impact </w:t>
      </w:r>
      <w:r w:rsidR="00CD52F4" w:rsidRPr="004C70EC">
        <w:rPr>
          <w:rFonts w:eastAsia="Times New Roman"/>
          <w:noProof/>
          <w:color w:val="000000" w:themeColor="text1"/>
          <w:lang w:val="en-IE" w:eastAsia="de-DE"/>
        </w:rPr>
        <w:t>health</w:t>
      </w:r>
      <w:r w:rsidRPr="004C70EC">
        <w:rPr>
          <w:rFonts w:eastAsia="Times New Roman"/>
          <w:noProof/>
          <w:color w:val="000000" w:themeColor="text1"/>
          <w:lang w:val="en-IE" w:eastAsia="de-DE"/>
        </w:rPr>
        <w:t xml:space="preserve"> </w:t>
      </w:r>
      <w:r w:rsidRPr="004C70EC">
        <w:rPr>
          <w:rFonts w:eastAsia="Times New Roman"/>
          <w:noProof/>
          <w:color w:val="000000" w:themeColor="text1"/>
          <w:lang w:eastAsia="ja-JP"/>
        </w:rPr>
        <w:t xml:space="preserve">biotechnology strategic projects, including building permits and environmental assessments and authorisations where required, and encompassing all applications and procedures from the acknowledgement that the application </w:t>
      </w:r>
      <w:r w:rsidR="00A658E8" w:rsidRPr="004C70EC">
        <w:rPr>
          <w:rFonts w:eastAsia="Times New Roman"/>
          <w:noProof/>
          <w:color w:val="000000" w:themeColor="text1"/>
          <w:lang w:eastAsia="ja-JP"/>
        </w:rPr>
        <w:t xml:space="preserve">for such permits </w:t>
      </w:r>
      <w:r w:rsidRPr="004C70EC">
        <w:rPr>
          <w:rFonts w:eastAsia="Times New Roman"/>
          <w:noProof/>
          <w:color w:val="000000" w:themeColor="text1"/>
          <w:lang w:eastAsia="ja-JP"/>
        </w:rPr>
        <w:t>is complete to the notification of the decision on the outcome of the procedure by the single point of contact concerned;</w:t>
      </w:r>
    </w:p>
    <w:p w14:paraId="03DBE271" w14:textId="77777777" w:rsidR="00273F36" w:rsidRPr="004C70EC" w:rsidRDefault="2F263E33" w:rsidP="33CE1D06">
      <w:pPr>
        <w:pStyle w:val="Point1"/>
        <w:rPr>
          <w:rFonts w:eastAsia="Times New Roman"/>
          <w:noProof/>
          <w:color w:val="000000" w:themeColor="text1"/>
          <w:lang w:val="en-IE" w:eastAsia="ja-JP"/>
        </w:rPr>
      </w:pPr>
      <w:r w:rsidRPr="004C70EC">
        <w:rPr>
          <w:rFonts w:eastAsia="Aptos Narrow"/>
          <w:noProof/>
          <w:color w:val="000000" w:themeColor="text1"/>
          <w:lang w:val="en-IE" w:eastAsia="ja-JP"/>
        </w:rPr>
        <w:t>(</w:t>
      </w:r>
      <w:r w:rsidR="005B26B0" w:rsidRPr="004C70EC">
        <w:rPr>
          <w:rFonts w:eastAsia="Aptos Narrow"/>
          <w:noProof/>
          <w:color w:val="000000" w:themeColor="text1"/>
          <w:lang w:val="en-IE" w:eastAsia="ja-JP"/>
        </w:rPr>
        <w:t>9</w:t>
      </w:r>
      <w:r w:rsidRPr="004C70EC">
        <w:rPr>
          <w:rFonts w:eastAsia="Aptos Narrow"/>
          <w:noProof/>
          <w:color w:val="000000" w:themeColor="text1"/>
          <w:lang w:val="en-IE" w:eastAsia="ja-JP"/>
        </w:rPr>
        <w:t>)</w:t>
      </w:r>
      <w:r w:rsidR="008D722A" w:rsidRPr="004C70EC">
        <w:rPr>
          <w:rFonts w:eastAsia="Aptos Narrow"/>
          <w:noProof/>
          <w:color w:val="000000" w:themeColor="text1"/>
          <w:lang w:val="en-IE" w:eastAsia="ja-JP"/>
        </w:rPr>
        <w:tab/>
      </w:r>
      <w:r w:rsidRPr="004C70EC">
        <w:rPr>
          <w:rFonts w:eastAsia="Times New Roman"/>
          <w:noProof/>
          <w:color w:val="000000" w:themeColor="text1"/>
          <w:lang w:val="en-IE" w:eastAsia="ja-JP"/>
        </w:rPr>
        <w:t>‘deep tech’ means an innovation with the potential to deliver transformative solutions and that is based on cutting-edge advances in science, technology and engineering</w:t>
      </w:r>
      <w:r w:rsidR="05721BE3" w:rsidRPr="004C70EC">
        <w:rPr>
          <w:rFonts w:eastAsia="Times New Roman"/>
          <w:noProof/>
          <w:color w:val="000000" w:themeColor="text1"/>
          <w:lang w:val="en-IE" w:eastAsia="ja-JP"/>
        </w:rPr>
        <w:t>;</w:t>
      </w:r>
    </w:p>
    <w:p w14:paraId="258AAE5E" w14:textId="77777777" w:rsidR="00273F36" w:rsidRPr="004C70EC" w:rsidRDefault="212FC6E9" w:rsidP="00A2297F">
      <w:pPr>
        <w:pStyle w:val="Point1"/>
        <w:rPr>
          <w:rFonts w:eastAsia="Aptos Narrow"/>
          <w:noProof/>
          <w:color w:val="000000" w:themeColor="text1"/>
          <w:szCs w:val="24"/>
          <w:lang w:eastAsia="ja-JP"/>
        </w:rPr>
      </w:pPr>
      <w:r w:rsidRPr="004C70EC">
        <w:rPr>
          <w:rFonts w:eastAsia="Times New Roman"/>
          <w:noProof/>
          <w:color w:val="000000" w:themeColor="text1"/>
          <w:lang w:eastAsia="ja-JP"/>
        </w:rPr>
        <w:t>(</w:t>
      </w:r>
      <w:r w:rsidR="7347DA92" w:rsidRPr="004C70EC">
        <w:rPr>
          <w:rFonts w:eastAsia="Times New Roman"/>
          <w:noProof/>
          <w:color w:val="000000" w:themeColor="text1"/>
          <w:lang w:eastAsia="ja-JP"/>
        </w:rPr>
        <w:t>1</w:t>
      </w:r>
      <w:r w:rsidR="71145C9C" w:rsidRPr="004C70EC">
        <w:rPr>
          <w:rFonts w:eastAsia="Times New Roman"/>
          <w:noProof/>
          <w:color w:val="000000" w:themeColor="text1"/>
          <w:lang w:eastAsia="ja-JP"/>
        </w:rPr>
        <w:t>0</w:t>
      </w:r>
      <w:r w:rsidRPr="004C70EC">
        <w:rPr>
          <w:rFonts w:eastAsia="Times New Roman"/>
          <w:noProof/>
          <w:color w:val="000000" w:themeColor="text1"/>
          <w:lang w:eastAsia="ja-JP"/>
        </w:rPr>
        <w:t>)</w:t>
      </w:r>
      <w:r w:rsidR="00273F36" w:rsidRPr="004C70EC">
        <w:rPr>
          <w:rFonts w:eastAsia="Times New Roman"/>
          <w:noProof/>
          <w:color w:val="000000" w:themeColor="text1"/>
          <w:szCs w:val="24"/>
          <w:lang w:eastAsia="ja-JP"/>
        </w:rPr>
        <w:tab/>
      </w:r>
      <w:r w:rsidRPr="004C70EC">
        <w:rPr>
          <w:rFonts w:eastAsia="Times New Roman"/>
          <w:noProof/>
          <w:color w:val="000000" w:themeColor="text1"/>
          <w:lang w:eastAsia="ja-JP"/>
        </w:rPr>
        <w:t>‘SME’ means a micro, small or medium-sized enterprise within the meaning of the Annex to Commission Recommendation 2003/361/EC</w:t>
      </w:r>
      <w:r w:rsidR="00001718" w:rsidRPr="004C70EC">
        <w:rPr>
          <w:rStyle w:val="FootnoteReference"/>
          <w:rFonts w:eastAsia="Times New Roman"/>
          <w:noProof/>
          <w:color w:val="000000" w:themeColor="text1"/>
          <w:lang w:eastAsia="ja-JP"/>
        </w:rPr>
        <w:footnoteReference w:id="154"/>
      </w:r>
      <w:r w:rsidRPr="004C70EC">
        <w:rPr>
          <w:rFonts w:eastAsia="Times New Roman"/>
          <w:noProof/>
          <w:color w:val="000000" w:themeColor="text1"/>
          <w:lang w:eastAsia="ja-JP"/>
        </w:rPr>
        <w:t>;</w:t>
      </w:r>
    </w:p>
    <w:p w14:paraId="54501128" w14:textId="77777777" w:rsidR="00273F36" w:rsidRPr="004C70EC" w:rsidRDefault="00273F36" w:rsidP="00A2297F">
      <w:pPr>
        <w:pStyle w:val="Point1"/>
        <w:rPr>
          <w:rFonts w:eastAsia="Aptos Narrow"/>
          <w:noProof/>
          <w:color w:val="000000" w:themeColor="text1"/>
          <w:szCs w:val="24"/>
          <w:lang w:eastAsia="ja-JP"/>
        </w:rPr>
      </w:pPr>
      <w:r w:rsidRPr="004C70EC">
        <w:rPr>
          <w:rFonts w:eastAsia="Times New Roman"/>
          <w:noProof/>
          <w:color w:val="000000" w:themeColor="text1"/>
          <w:szCs w:val="24"/>
          <w:lang w:eastAsia="ja-JP"/>
        </w:rPr>
        <w:t>(</w:t>
      </w:r>
      <w:r w:rsidR="00661F8F" w:rsidRPr="004C70EC">
        <w:rPr>
          <w:rFonts w:eastAsia="Times New Roman"/>
          <w:noProof/>
          <w:color w:val="000000" w:themeColor="text1"/>
          <w:szCs w:val="24"/>
          <w:lang w:eastAsia="ja-JP"/>
        </w:rPr>
        <w:t>1</w:t>
      </w:r>
      <w:r w:rsidR="005B26B0" w:rsidRPr="004C70EC">
        <w:rPr>
          <w:rFonts w:eastAsia="Times New Roman"/>
          <w:noProof/>
          <w:color w:val="000000" w:themeColor="text1"/>
          <w:szCs w:val="24"/>
          <w:lang w:eastAsia="ja-JP"/>
        </w:rPr>
        <w:t>1</w:t>
      </w:r>
      <w:r w:rsidRPr="004C70EC">
        <w:rPr>
          <w:rFonts w:eastAsia="Times New Roman"/>
          <w:noProof/>
          <w:color w:val="000000" w:themeColor="text1"/>
          <w:szCs w:val="24"/>
          <w:lang w:eastAsia="ja-JP"/>
        </w:rPr>
        <w:t>)</w:t>
      </w:r>
      <w:r w:rsidRPr="004C70EC">
        <w:rPr>
          <w:rFonts w:eastAsia="Times New Roman"/>
          <w:noProof/>
          <w:color w:val="000000" w:themeColor="text1"/>
          <w:szCs w:val="24"/>
          <w:lang w:eastAsia="ja-JP"/>
        </w:rPr>
        <w:tab/>
        <w:t>‘European Investment Bank</w:t>
      </w:r>
      <w:r w:rsidR="007843ED" w:rsidRPr="004C70EC">
        <w:rPr>
          <w:rFonts w:eastAsia="Times New Roman"/>
          <w:noProof/>
          <w:color w:val="000000" w:themeColor="text1"/>
          <w:szCs w:val="24"/>
          <w:lang w:eastAsia="ja-JP"/>
        </w:rPr>
        <w:t xml:space="preserve"> </w:t>
      </w:r>
      <w:r w:rsidRPr="004C70EC">
        <w:rPr>
          <w:rFonts w:eastAsia="Times New Roman"/>
          <w:noProof/>
          <w:color w:val="000000" w:themeColor="text1"/>
          <w:szCs w:val="24"/>
          <w:lang w:eastAsia="ja-JP"/>
        </w:rPr>
        <w:t>Group</w:t>
      </w:r>
      <w:r w:rsidR="00D6084A" w:rsidRPr="004C70EC">
        <w:rPr>
          <w:rFonts w:eastAsia="Times New Roman"/>
          <w:noProof/>
          <w:color w:val="000000" w:themeColor="text1"/>
          <w:szCs w:val="24"/>
          <w:lang w:eastAsia="ja-JP"/>
        </w:rPr>
        <w:t xml:space="preserve"> (EIBG)’ </w:t>
      </w:r>
      <w:r w:rsidRPr="004C70EC">
        <w:rPr>
          <w:rFonts w:eastAsia="Times New Roman"/>
          <w:noProof/>
          <w:color w:val="000000" w:themeColor="text1"/>
          <w:szCs w:val="24"/>
          <w:lang w:eastAsia="ja-JP"/>
        </w:rPr>
        <w:t>means the European Investment Bank</w:t>
      </w:r>
      <w:r w:rsidR="00A37212" w:rsidRPr="004C70EC">
        <w:rPr>
          <w:rFonts w:eastAsia="Times New Roman"/>
          <w:noProof/>
          <w:color w:val="000000" w:themeColor="text1"/>
          <w:szCs w:val="24"/>
          <w:lang w:eastAsia="ja-JP"/>
        </w:rPr>
        <w:t xml:space="preserve">, the European Investment Fund or any subsidiary of the European Investment Bank; </w:t>
      </w:r>
    </w:p>
    <w:p w14:paraId="1EAF1089" w14:textId="77777777" w:rsidR="00273F36" w:rsidRPr="004C70EC" w:rsidRDefault="212FC6E9" w:rsidP="00A2297F">
      <w:pPr>
        <w:pStyle w:val="Point1"/>
        <w:rPr>
          <w:rFonts w:eastAsia="Times New Roman"/>
          <w:noProof/>
          <w:color w:val="000000" w:themeColor="text1"/>
          <w:szCs w:val="24"/>
          <w:lang w:eastAsia="ja-JP"/>
        </w:rPr>
      </w:pPr>
      <w:r w:rsidRPr="004C70EC">
        <w:rPr>
          <w:rFonts w:eastAsia="Times New Roman"/>
          <w:noProof/>
          <w:color w:val="000000" w:themeColor="text1"/>
          <w:lang w:eastAsia="ja-JP"/>
        </w:rPr>
        <w:t>(</w:t>
      </w:r>
      <w:r w:rsidR="7347DA92" w:rsidRPr="004C70EC">
        <w:rPr>
          <w:rFonts w:eastAsia="Times New Roman"/>
          <w:noProof/>
          <w:color w:val="000000" w:themeColor="text1"/>
          <w:lang w:eastAsia="ja-JP"/>
        </w:rPr>
        <w:t>1</w:t>
      </w:r>
      <w:r w:rsidR="71145C9C" w:rsidRPr="004C70EC">
        <w:rPr>
          <w:rFonts w:eastAsia="Times New Roman"/>
          <w:noProof/>
          <w:color w:val="000000" w:themeColor="text1"/>
          <w:lang w:eastAsia="ja-JP"/>
        </w:rPr>
        <w:t>2</w:t>
      </w:r>
      <w:r w:rsidRPr="004C70EC">
        <w:rPr>
          <w:rFonts w:eastAsia="Times New Roman"/>
          <w:noProof/>
          <w:color w:val="000000" w:themeColor="text1"/>
          <w:lang w:eastAsia="ja-JP"/>
        </w:rPr>
        <w:t>)</w:t>
      </w:r>
      <w:r w:rsidR="00273F36" w:rsidRPr="004C70EC">
        <w:rPr>
          <w:rFonts w:eastAsia="Times New Roman"/>
          <w:noProof/>
          <w:color w:val="000000" w:themeColor="text1"/>
          <w:szCs w:val="24"/>
          <w:lang w:eastAsia="ja-JP"/>
        </w:rPr>
        <w:tab/>
      </w:r>
      <w:r w:rsidRPr="004C70EC">
        <w:rPr>
          <w:rFonts w:eastAsia="Times New Roman"/>
          <w:noProof/>
          <w:color w:val="000000" w:themeColor="text1"/>
          <w:lang w:eastAsia="ja-JP"/>
        </w:rPr>
        <w:t>‘national promotion bank or institution’ means a legal entity as defined in Article 2</w:t>
      </w:r>
      <w:r w:rsidR="04C91164" w:rsidRPr="004C70EC">
        <w:rPr>
          <w:rFonts w:eastAsia="Times New Roman"/>
          <w:noProof/>
          <w:color w:val="000000" w:themeColor="text1"/>
          <w:lang w:eastAsia="ja-JP"/>
        </w:rPr>
        <w:t xml:space="preserve">, point </w:t>
      </w:r>
      <w:r w:rsidRPr="004C70EC">
        <w:rPr>
          <w:rFonts w:eastAsia="Times New Roman"/>
          <w:noProof/>
          <w:color w:val="000000" w:themeColor="text1"/>
          <w:lang w:eastAsia="ja-JP"/>
        </w:rPr>
        <w:t>(21)</w:t>
      </w:r>
      <w:r w:rsidR="04C91164" w:rsidRPr="004C70EC">
        <w:rPr>
          <w:rFonts w:eastAsia="Times New Roman"/>
          <w:noProof/>
          <w:color w:val="000000" w:themeColor="text1"/>
          <w:lang w:eastAsia="ja-JP"/>
        </w:rPr>
        <w:t>,</w:t>
      </w:r>
      <w:r w:rsidRPr="004C70EC">
        <w:rPr>
          <w:rFonts w:eastAsia="Times New Roman"/>
          <w:noProof/>
          <w:color w:val="000000" w:themeColor="text1"/>
          <w:lang w:eastAsia="ja-JP"/>
        </w:rPr>
        <w:t xml:space="preserve"> of Regulation (EU) 2021/523 </w:t>
      </w:r>
      <w:r w:rsidR="04C91164" w:rsidRPr="004C70EC">
        <w:rPr>
          <w:rFonts w:eastAsia="Times New Roman"/>
          <w:noProof/>
          <w:color w:val="000000" w:themeColor="text1"/>
          <w:lang w:eastAsia="ja-JP"/>
        </w:rPr>
        <w:t>of the European Parliament and of the Council</w:t>
      </w:r>
      <w:r w:rsidR="00D72479" w:rsidRPr="004C70EC">
        <w:rPr>
          <w:rStyle w:val="FootnoteReference"/>
          <w:rFonts w:eastAsia="Times New Roman"/>
          <w:noProof/>
          <w:color w:val="000000" w:themeColor="text1"/>
          <w:lang w:eastAsia="ja-JP"/>
        </w:rPr>
        <w:footnoteReference w:id="155"/>
      </w:r>
      <w:r w:rsidRPr="004C70EC">
        <w:rPr>
          <w:rFonts w:eastAsia="Times New Roman"/>
          <w:noProof/>
          <w:color w:val="000000" w:themeColor="text1"/>
          <w:lang w:eastAsia="ja-JP"/>
        </w:rPr>
        <w:t>;</w:t>
      </w:r>
    </w:p>
    <w:p w14:paraId="3D1A2BEA" w14:textId="00827EA3" w:rsidR="00273F36" w:rsidRPr="004C70EC" w:rsidRDefault="2F263E33" w:rsidP="00F62325">
      <w:pPr>
        <w:pStyle w:val="Point1"/>
        <w:rPr>
          <w:rFonts w:eastAsia="Times New Roman"/>
          <w:noProof/>
          <w:color w:val="000000" w:themeColor="text1"/>
          <w:szCs w:val="24"/>
          <w:lang w:eastAsia="ja-JP"/>
        </w:rPr>
      </w:pPr>
      <w:r w:rsidRPr="004C70EC">
        <w:rPr>
          <w:rFonts w:eastAsia="Times New Roman"/>
          <w:noProof/>
          <w:color w:val="000000" w:themeColor="text1"/>
          <w:lang w:eastAsia="ja-JP"/>
        </w:rPr>
        <w:t>(</w:t>
      </w:r>
      <w:r w:rsidR="6652FF96" w:rsidRPr="004C70EC">
        <w:rPr>
          <w:rFonts w:eastAsia="Times New Roman"/>
          <w:noProof/>
          <w:color w:val="000000" w:themeColor="text1"/>
          <w:lang w:eastAsia="ja-JP"/>
        </w:rPr>
        <w:t>1</w:t>
      </w:r>
      <w:r w:rsidR="005B26B0" w:rsidRPr="004C70EC">
        <w:rPr>
          <w:rFonts w:eastAsia="Times New Roman"/>
          <w:noProof/>
          <w:color w:val="000000" w:themeColor="text1"/>
          <w:lang w:eastAsia="ja-JP"/>
        </w:rPr>
        <w:t>3</w:t>
      </w:r>
      <w:r w:rsidRPr="004C70EC">
        <w:rPr>
          <w:rFonts w:eastAsia="Times New Roman"/>
          <w:noProof/>
          <w:color w:val="000000" w:themeColor="text1"/>
          <w:lang w:eastAsia="ja-JP"/>
        </w:rPr>
        <w:t>)</w:t>
      </w:r>
      <w:r w:rsidR="00273F36" w:rsidRPr="004C70EC">
        <w:rPr>
          <w:noProof/>
          <w:color w:val="000000" w:themeColor="text1"/>
        </w:rPr>
        <w:tab/>
      </w:r>
      <w:r w:rsidRPr="004C70EC">
        <w:rPr>
          <w:rFonts w:eastAsia="Times New Roman"/>
          <w:noProof/>
          <w:color w:val="000000" w:themeColor="text1"/>
          <w:lang w:eastAsia="ja-JP"/>
        </w:rPr>
        <w:t xml:space="preserve">‘implementing partner’ means </w:t>
      </w:r>
      <w:r w:rsidR="709CB439" w:rsidRPr="004C70EC">
        <w:rPr>
          <w:rFonts w:eastAsia="Times New Roman"/>
          <w:noProof/>
          <w:color w:val="000000" w:themeColor="text1"/>
          <w:lang w:eastAsia="ja-JP"/>
        </w:rPr>
        <w:t xml:space="preserve">an entity implementing, in indirect management, support under the EU </w:t>
      </w:r>
      <w:r w:rsidR="62E3F6B6" w:rsidRPr="004C70EC">
        <w:rPr>
          <w:rFonts w:eastAsia="Times New Roman"/>
          <w:noProof/>
          <w:color w:val="000000" w:themeColor="text1"/>
          <w:lang w:eastAsia="ja-JP"/>
        </w:rPr>
        <w:t xml:space="preserve">health </w:t>
      </w:r>
      <w:r w:rsidR="709CB439" w:rsidRPr="004C70EC">
        <w:rPr>
          <w:rFonts w:eastAsia="Times New Roman"/>
          <w:noProof/>
          <w:color w:val="000000" w:themeColor="text1"/>
          <w:lang w:eastAsia="ja-JP"/>
        </w:rPr>
        <w:t xml:space="preserve">biotechnology investment </w:t>
      </w:r>
      <w:r>
        <w:rPr>
          <w:rFonts w:eastAsia="Times New Roman"/>
          <w:noProof/>
          <w:color w:val="000000" w:themeColor="text1"/>
          <w:lang w:eastAsia="ja-JP"/>
        </w:rPr>
        <w:t>pilot</w:t>
      </w:r>
      <w:r w:rsidR="709CB439" w:rsidRPr="004C70EC">
        <w:rPr>
          <w:rFonts w:eastAsia="Times New Roman"/>
          <w:noProof/>
          <w:color w:val="000000" w:themeColor="text1"/>
          <w:lang w:eastAsia="ja-JP"/>
        </w:rPr>
        <w:t>;</w:t>
      </w:r>
    </w:p>
    <w:p w14:paraId="3013892C" w14:textId="77777777" w:rsidR="00273F36" w:rsidRPr="004C70EC" w:rsidRDefault="00273F36" w:rsidP="00A2297F">
      <w:pPr>
        <w:pStyle w:val="Point1"/>
        <w:rPr>
          <w:rFonts w:eastAsia="Times New Roman"/>
          <w:noProof/>
          <w:color w:val="000000" w:themeColor="text1"/>
          <w:lang w:eastAsia="ja-JP"/>
        </w:rPr>
      </w:pPr>
      <w:r w:rsidRPr="004C70EC">
        <w:rPr>
          <w:rFonts w:eastAsia="Times New Roman"/>
          <w:noProof/>
          <w:color w:val="000000" w:themeColor="text1"/>
          <w:lang w:eastAsia="ja-JP"/>
        </w:rPr>
        <w:t>(</w:t>
      </w:r>
      <w:r w:rsidR="00661F8F" w:rsidRPr="004C70EC">
        <w:rPr>
          <w:rFonts w:eastAsia="Times New Roman"/>
          <w:noProof/>
          <w:color w:val="000000" w:themeColor="text1"/>
          <w:lang w:eastAsia="ja-JP"/>
        </w:rPr>
        <w:t>1</w:t>
      </w:r>
      <w:r w:rsidR="005B26B0" w:rsidRPr="004C70EC">
        <w:rPr>
          <w:rFonts w:eastAsia="Times New Roman"/>
          <w:noProof/>
          <w:color w:val="000000" w:themeColor="text1"/>
          <w:lang w:eastAsia="ja-JP"/>
        </w:rPr>
        <w:t>4</w:t>
      </w:r>
      <w:r w:rsidRPr="004C70EC">
        <w:rPr>
          <w:rFonts w:eastAsia="Times New Roman"/>
          <w:noProof/>
          <w:color w:val="000000" w:themeColor="text1"/>
          <w:lang w:eastAsia="ja-JP"/>
        </w:rPr>
        <w:t>)</w:t>
      </w:r>
      <w:r w:rsidRPr="004C70EC">
        <w:rPr>
          <w:noProof/>
        </w:rPr>
        <w:tab/>
      </w:r>
      <w:r w:rsidRPr="004C70EC">
        <w:rPr>
          <w:rFonts w:eastAsiaTheme="minorEastAsia"/>
          <w:noProof/>
          <w:color w:val="000000" w:themeColor="text1"/>
          <w:lang w:eastAsia="ja-JP"/>
        </w:rPr>
        <w:t>‘</w:t>
      </w:r>
      <w:r w:rsidRPr="004C70EC">
        <w:rPr>
          <w:rFonts w:eastAsia="Times New Roman"/>
          <w:noProof/>
          <w:color w:val="000000" w:themeColor="text1"/>
          <w:lang w:eastAsia="ja-JP"/>
        </w:rPr>
        <w:t xml:space="preserve">AI system’ means </w:t>
      </w:r>
      <w:r w:rsidR="012673A1" w:rsidRPr="004C70EC">
        <w:rPr>
          <w:rFonts w:eastAsia="Times New Roman"/>
          <w:noProof/>
          <w:color w:val="000000" w:themeColor="text1"/>
          <w:lang w:eastAsia="ja-JP"/>
        </w:rPr>
        <w:t>a</w:t>
      </w:r>
      <w:r w:rsidR="08D5D547" w:rsidRPr="004C70EC">
        <w:rPr>
          <w:rFonts w:eastAsia="Times New Roman"/>
          <w:noProof/>
          <w:color w:val="000000" w:themeColor="text1"/>
          <w:lang w:eastAsia="ja-JP"/>
        </w:rPr>
        <w:t>n AI system</w:t>
      </w:r>
      <w:r w:rsidRPr="004C70EC">
        <w:rPr>
          <w:rFonts w:eastAsia="Times New Roman"/>
          <w:noProof/>
          <w:color w:val="000000" w:themeColor="text1"/>
          <w:lang w:eastAsia="ja-JP"/>
        </w:rPr>
        <w:t xml:space="preserve"> system as defined in Article 3</w:t>
      </w:r>
      <w:r w:rsidR="00085B98" w:rsidRPr="004C70EC">
        <w:rPr>
          <w:rFonts w:eastAsia="Times New Roman"/>
          <w:noProof/>
          <w:color w:val="000000" w:themeColor="text1"/>
          <w:lang w:eastAsia="ja-JP"/>
        </w:rPr>
        <w:t>(</w:t>
      </w:r>
      <w:r w:rsidRPr="004C70EC">
        <w:rPr>
          <w:rFonts w:eastAsia="Times New Roman"/>
          <w:noProof/>
          <w:color w:val="000000" w:themeColor="text1"/>
          <w:lang w:eastAsia="ja-JP"/>
        </w:rPr>
        <w:t>1</w:t>
      </w:r>
      <w:r w:rsidR="00085B98" w:rsidRPr="004C70EC">
        <w:rPr>
          <w:rFonts w:eastAsia="Times New Roman"/>
          <w:noProof/>
          <w:color w:val="000000" w:themeColor="text1"/>
          <w:lang w:eastAsia="ja-JP"/>
        </w:rPr>
        <w:t>)</w:t>
      </w:r>
      <w:r w:rsidRPr="004C70EC">
        <w:rPr>
          <w:rFonts w:eastAsia="Times New Roman"/>
          <w:noProof/>
          <w:color w:val="000000" w:themeColor="text1"/>
          <w:lang w:eastAsia="ja-JP"/>
        </w:rPr>
        <w:t xml:space="preserve"> of Regulation (EU) 2024/1689; </w:t>
      </w:r>
    </w:p>
    <w:p w14:paraId="78823CAA" w14:textId="77777777" w:rsidR="00273F36" w:rsidRPr="004C70EC" w:rsidRDefault="00273F36" w:rsidP="00A2297F">
      <w:pPr>
        <w:pStyle w:val="Point1"/>
        <w:rPr>
          <w:rFonts w:eastAsia="Times New Roman"/>
          <w:noProof/>
          <w:color w:val="000000" w:themeColor="text1"/>
          <w:lang w:eastAsia="ja-JP"/>
        </w:rPr>
      </w:pPr>
      <w:r w:rsidRPr="004C70EC">
        <w:rPr>
          <w:rFonts w:eastAsia="Times New Roman"/>
          <w:noProof/>
          <w:color w:val="000000" w:themeColor="text1"/>
          <w:lang w:eastAsia="ja-JP"/>
        </w:rPr>
        <w:t>(</w:t>
      </w:r>
      <w:r w:rsidR="00661F8F" w:rsidRPr="004C70EC">
        <w:rPr>
          <w:rFonts w:eastAsia="Times New Roman"/>
          <w:noProof/>
          <w:color w:val="000000" w:themeColor="text1"/>
          <w:lang w:eastAsia="ja-JP"/>
        </w:rPr>
        <w:t>1</w:t>
      </w:r>
      <w:r w:rsidR="005B26B0" w:rsidRPr="004C70EC">
        <w:rPr>
          <w:rFonts w:eastAsia="Times New Roman"/>
          <w:noProof/>
          <w:color w:val="000000" w:themeColor="text1"/>
          <w:lang w:eastAsia="ja-JP"/>
        </w:rPr>
        <w:t>5</w:t>
      </w:r>
      <w:r w:rsidRPr="004C70EC">
        <w:rPr>
          <w:rFonts w:eastAsia="Times New Roman"/>
          <w:noProof/>
          <w:color w:val="000000" w:themeColor="text1"/>
          <w:lang w:eastAsia="ja-JP"/>
        </w:rPr>
        <w:t>)</w:t>
      </w:r>
      <w:r w:rsidRPr="004C70EC">
        <w:rPr>
          <w:noProof/>
        </w:rPr>
        <w:tab/>
      </w:r>
      <w:r w:rsidRPr="004C70EC">
        <w:rPr>
          <w:rFonts w:eastAsia="Times New Roman"/>
          <w:noProof/>
          <w:color w:val="000000" w:themeColor="text1"/>
          <w:lang w:eastAsia="ja-JP"/>
        </w:rPr>
        <w:t>‘general-purpose AI model’ means an AI model as defined in Article 3</w:t>
      </w:r>
      <w:r w:rsidR="00EA25E1" w:rsidRPr="004C70EC">
        <w:rPr>
          <w:rFonts w:eastAsia="Times New Roman"/>
          <w:noProof/>
          <w:color w:val="000000" w:themeColor="text1"/>
          <w:lang w:eastAsia="ja-JP"/>
        </w:rPr>
        <w:t xml:space="preserve">point </w:t>
      </w:r>
      <w:r w:rsidR="007A09CC" w:rsidRPr="004C70EC">
        <w:rPr>
          <w:rFonts w:eastAsia="Times New Roman"/>
          <w:noProof/>
          <w:color w:val="000000" w:themeColor="text1"/>
          <w:lang w:eastAsia="ja-JP"/>
        </w:rPr>
        <w:t>(</w:t>
      </w:r>
      <w:r w:rsidRPr="004C70EC">
        <w:rPr>
          <w:rFonts w:eastAsia="Times New Roman"/>
          <w:noProof/>
          <w:color w:val="000000" w:themeColor="text1"/>
          <w:lang w:eastAsia="ja-JP"/>
        </w:rPr>
        <w:t>63</w:t>
      </w:r>
      <w:r w:rsidR="007A09CC" w:rsidRPr="004C70EC">
        <w:rPr>
          <w:rFonts w:eastAsia="Times New Roman"/>
          <w:noProof/>
          <w:color w:val="000000" w:themeColor="text1"/>
          <w:lang w:eastAsia="ja-JP"/>
        </w:rPr>
        <w:t>)</w:t>
      </w:r>
      <w:r w:rsidRPr="004C70EC">
        <w:rPr>
          <w:rFonts w:eastAsia="Times New Roman"/>
          <w:noProof/>
          <w:color w:val="000000" w:themeColor="text1"/>
          <w:lang w:eastAsia="ja-JP"/>
        </w:rPr>
        <w:t xml:space="preserve"> of Regulation (EU) 2024/1689; </w:t>
      </w:r>
    </w:p>
    <w:p w14:paraId="375E443D" w14:textId="77777777" w:rsidR="00273F36" w:rsidRPr="004C70EC" w:rsidRDefault="00273F36" w:rsidP="00A2297F">
      <w:pPr>
        <w:pStyle w:val="Point1"/>
        <w:rPr>
          <w:rFonts w:eastAsia="Times New Roman"/>
          <w:noProof/>
          <w:color w:val="000000" w:themeColor="text1"/>
          <w:lang w:eastAsia="ja-JP"/>
        </w:rPr>
      </w:pPr>
      <w:r w:rsidRPr="004C70EC">
        <w:rPr>
          <w:rFonts w:eastAsia="Times New Roman"/>
          <w:noProof/>
          <w:color w:val="000000" w:themeColor="text1"/>
          <w:lang w:eastAsia="ja-JP"/>
        </w:rPr>
        <w:t>(</w:t>
      </w:r>
      <w:r w:rsidR="00661F8F" w:rsidRPr="004C70EC">
        <w:rPr>
          <w:rFonts w:eastAsia="Times New Roman"/>
          <w:noProof/>
          <w:color w:val="000000" w:themeColor="text1"/>
          <w:lang w:eastAsia="ja-JP"/>
        </w:rPr>
        <w:t>1</w:t>
      </w:r>
      <w:r w:rsidR="005B26B0" w:rsidRPr="004C70EC">
        <w:rPr>
          <w:rFonts w:eastAsia="Times New Roman"/>
          <w:noProof/>
          <w:color w:val="000000" w:themeColor="text1"/>
          <w:lang w:eastAsia="ja-JP"/>
        </w:rPr>
        <w:t>6</w:t>
      </w:r>
      <w:r w:rsidRPr="004C70EC">
        <w:rPr>
          <w:rFonts w:eastAsia="Times New Roman"/>
          <w:noProof/>
          <w:color w:val="000000" w:themeColor="text1"/>
          <w:lang w:eastAsia="ja-JP"/>
        </w:rPr>
        <w:t>)</w:t>
      </w:r>
      <w:r w:rsidRPr="004C70EC">
        <w:rPr>
          <w:noProof/>
        </w:rPr>
        <w:tab/>
      </w:r>
      <w:r w:rsidR="00D60E56" w:rsidRPr="004C70EC">
        <w:rPr>
          <w:rFonts w:eastAsia="Times New Roman"/>
          <w:noProof/>
          <w:color w:val="000000" w:themeColor="text1"/>
          <w:lang w:eastAsia="ja-JP"/>
        </w:rPr>
        <w:t>‘</w:t>
      </w:r>
      <w:r w:rsidRPr="004C70EC">
        <w:rPr>
          <w:rFonts w:eastAsia="Times New Roman"/>
          <w:noProof/>
          <w:color w:val="000000" w:themeColor="text1"/>
          <w:lang w:eastAsia="ja-JP"/>
        </w:rPr>
        <w:t xml:space="preserve">general-purpose AI system’ means </w:t>
      </w:r>
      <w:r w:rsidR="012673A1" w:rsidRPr="004C70EC">
        <w:rPr>
          <w:rFonts w:eastAsia="Times New Roman"/>
          <w:noProof/>
          <w:color w:val="000000" w:themeColor="text1"/>
          <w:lang w:eastAsia="ja-JP"/>
        </w:rPr>
        <w:t>a</w:t>
      </w:r>
      <w:r w:rsidR="1FECF873" w:rsidRPr="004C70EC">
        <w:rPr>
          <w:rFonts w:eastAsia="Times New Roman"/>
          <w:noProof/>
          <w:color w:val="000000" w:themeColor="text1"/>
          <w:lang w:eastAsia="ja-JP"/>
        </w:rPr>
        <w:t xml:space="preserve"> general-purpose </w:t>
      </w:r>
      <w:r w:rsidRPr="004C70EC">
        <w:rPr>
          <w:rFonts w:eastAsia="Times New Roman"/>
          <w:noProof/>
          <w:color w:val="000000" w:themeColor="text1"/>
          <w:lang w:eastAsia="ja-JP"/>
        </w:rPr>
        <w:t>AI system as defined in Article 3</w:t>
      </w:r>
      <w:r w:rsidR="00EA25E1" w:rsidRPr="004C70EC">
        <w:rPr>
          <w:rFonts w:eastAsia="Times New Roman"/>
          <w:noProof/>
          <w:color w:val="000000" w:themeColor="text1"/>
          <w:lang w:eastAsia="ja-JP"/>
        </w:rPr>
        <w:t xml:space="preserve">point </w:t>
      </w:r>
      <w:r w:rsidR="00B00B14" w:rsidRPr="004C70EC">
        <w:rPr>
          <w:rFonts w:eastAsia="Times New Roman"/>
          <w:noProof/>
          <w:color w:val="000000" w:themeColor="text1"/>
          <w:lang w:eastAsia="ja-JP"/>
        </w:rPr>
        <w:t>(</w:t>
      </w:r>
      <w:r w:rsidRPr="004C70EC">
        <w:rPr>
          <w:rFonts w:eastAsia="Times New Roman"/>
          <w:noProof/>
          <w:color w:val="000000" w:themeColor="text1"/>
          <w:lang w:eastAsia="ja-JP"/>
        </w:rPr>
        <w:t>66</w:t>
      </w:r>
      <w:r w:rsidR="00B00B14" w:rsidRPr="004C70EC">
        <w:rPr>
          <w:rFonts w:eastAsia="Times New Roman"/>
          <w:noProof/>
          <w:color w:val="000000" w:themeColor="text1"/>
          <w:lang w:eastAsia="ja-JP"/>
        </w:rPr>
        <w:t>)</w:t>
      </w:r>
      <w:r w:rsidRPr="004C70EC">
        <w:rPr>
          <w:rFonts w:eastAsia="Times New Roman"/>
          <w:noProof/>
          <w:color w:val="000000" w:themeColor="text1"/>
          <w:lang w:eastAsia="ja-JP"/>
        </w:rPr>
        <w:t xml:space="preserve"> of Regulation (EU) 2024/1689; </w:t>
      </w:r>
    </w:p>
    <w:p w14:paraId="366CA304" w14:textId="77777777" w:rsidR="00273F36" w:rsidRPr="004C70EC" w:rsidRDefault="00273F36" w:rsidP="00A2297F">
      <w:pPr>
        <w:pStyle w:val="Point1"/>
        <w:rPr>
          <w:rFonts w:eastAsia="Times New Roman"/>
          <w:noProof/>
          <w:color w:val="000000" w:themeColor="text1"/>
          <w:lang w:eastAsia="ja-JP"/>
        </w:rPr>
      </w:pPr>
      <w:r w:rsidRPr="004C70EC">
        <w:rPr>
          <w:rFonts w:eastAsia="Times New Roman"/>
          <w:noProof/>
          <w:color w:val="000000" w:themeColor="text1"/>
          <w:lang w:eastAsia="ja-JP"/>
        </w:rPr>
        <w:t>(</w:t>
      </w:r>
      <w:r w:rsidR="00661F8F" w:rsidRPr="004C70EC">
        <w:rPr>
          <w:rFonts w:eastAsia="Times New Roman"/>
          <w:noProof/>
          <w:color w:val="000000" w:themeColor="text1"/>
          <w:lang w:eastAsia="ja-JP"/>
        </w:rPr>
        <w:t>1</w:t>
      </w:r>
      <w:r w:rsidR="005B26B0" w:rsidRPr="004C70EC">
        <w:rPr>
          <w:rFonts w:eastAsia="Times New Roman"/>
          <w:noProof/>
          <w:color w:val="000000" w:themeColor="text1"/>
          <w:lang w:eastAsia="ja-JP"/>
        </w:rPr>
        <w:t>7</w:t>
      </w:r>
      <w:r w:rsidRPr="004C70EC">
        <w:rPr>
          <w:rFonts w:eastAsia="Times New Roman"/>
          <w:noProof/>
          <w:color w:val="000000" w:themeColor="text1"/>
          <w:lang w:eastAsia="ja-JP"/>
        </w:rPr>
        <w:t>)</w:t>
      </w:r>
      <w:r w:rsidRPr="004C70EC">
        <w:rPr>
          <w:noProof/>
        </w:rPr>
        <w:tab/>
      </w:r>
      <w:r w:rsidRPr="004C70EC">
        <w:rPr>
          <w:rFonts w:eastAsia="Times New Roman"/>
          <w:noProof/>
          <w:color w:val="000000" w:themeColor="text1"/>
          <w:lang w:eastAsia="ja-JP"/>
        </w:rPr>
        <w:t>‘clinical trial’ means a clinical trial as defined in Article 2(2), point (2) of Regulation (EU) No 536/2014;</w:t>
      </w:r>
    </w:p>
    <w:p w14:paraId="00B6958B" w14:textId="77777777" w:rsidR="00273F36" w:rsidRPr="004C70EC" w:rsidRDefault="00273F36" w:rsidP="00431990">
      <w:pPr>
        <w:pStyle w:val="Point1"/>
        <w:ind w:left="1418"/>
        <w:rPr>
          <w:rFonts w:eastAsia="Times New Roman"/>
          <w:noProof/>
          <w:color w:val="000000" w:themeColor="text1"/>
          <w:szCs w:val="24"/>
          <w:lang w:eastAsia="ja-JP"/>
        </w:rPr>
      </w:pPr>
      <w:r w:rsidRPr="004C70EC">
        <w:rPr>
          <w:rFonts w:eastAsia="Times New Roman"/>
          <w:noProof/>
          <w:color w:val="000000" w:themeColor="text1"/>
          <w:szCs w:val="24"/>
          <w:lang w:eastAsia="ja-JP"/>
        </w:rPr>
        <w:t>(</w:t>
      </w:r>
      <w:r w:rsidR="005B26B0" w:rsidRPr="004C70EC">
        <w:rPr>
          <w:rFonts w:eastAsia="Times New Roman"/>
          <w:noProof/>
          <w:color w:val="000000" w:themeColor="text1"/>
          <w:szCs w:val="24"/>
          <w:lang w:eastAsia="ja-JP"/>
        </w:rPr>
        <w:t>18</w:t>
      </w:r>
      <w:r w:rsidRPr="004C70EC">
        <w:rPr>
          <w:rFonts w:eastAsia="Times New Roman"/>
          <w:noProof/>
          <w:color w:val="000000" w:themeColor="text1"/>
          <w:szCs w:val="24"/>
          <w:lang w:eastAsia="ja-JP"/>
        </w:rPr>
        <w:t>)</w:t>
      </w:r>
      <w:r w:rsidRPr="004C70EC">
        <w:rPr>
          <w:rFonts w:eastAsia="Times New Roman"/>
          <w:noProof/>
          <w:color w:val="000000" w:themeColor="text1"/>
          <w:szCs w:val="24"/>
          <w:lang w:eastAsia="ja-JP"/>
        </w:rPr>
        <w:tab/>
        <w:t>‘advanced therapy medicinal product’ means an advanced therapy medicinal product as defined in Article 2(1) of Regulation (EC) No 1394/2007</w:t>
      </w:r>
      <w:r w:rsidR="00420891" w:rsidRPr="004C70EC">
        <w:rPr>
          <w:rFonts w:eastAsia="Times New Roman"/>
          <w:noProof/>
          <w:color w:val="000000" w:themeColor="text1"/>
          <w:szCs w:val="24"/>
          <w:lang w:eastAsia="ja-JP"/>
        </w:rPr>
        <w:t>;</w:t>
      </w:r>
    </w:p>
    <w:p w14:paraId="779394BD" w14:textId="77777777" w:rsidR="002F364A" w:rsidRPr="004C70EC" w:rsidRDefault="38A06338" w:rsidP="002F364A">
      <w:pPr>
        <w:pStyle w:val="Point1"/>
        <w:ind w:left="1418"/>
        <w:rPr>
          <w:rFonts w:eastAsia="Times New Roman"/>
          <w:noProof/>
          <w:color w:val="000000" w:themeColor="text1"/>
          <w:lang w:eastAsia="ja-JP"/>
        </w:rPr>
      </w:pPr>
      <w:r w:rsidRPr="004C70EC">
        <w:rPr>
          <w:rFonts w:eastAsia="Times New Roman"/>
          <w:noProof/>
          <w:color w:val="000000" w:themeColor="text1"/>
        </w:rPr>
        <w:t>(</w:t>
      </w:r>
      <w:r w:rsidR="005B26B0" w:rsidRPr="004C70EC">
        <w:rPr>
          <w:rFonts w:eastAsia="Times New Roman"/>
          <w:noProof/>
          <w:color w:val="000000" w:themeColor="text1"/>
        </w:rPr>
        <w:t>19</w:t>
      </w:r>
      <w:r w:rsidRPr="004C70EC">
        <w:rPr>
          <w:rFonts w:eastAsia="Times New Roman"/>
          <w:noProof/>
          <w:color w:val="000000" w:themeColor="text1"/>
        </w:rPr>
        <w:t xml:space="preserve">) </w:t>
      </w:r>
      <w:r w:rsidR="572CB0DB" w:rsidRPr="004C70EC">
        <w:rPr>
          <w:noProof/>
        </w:rPr>
        <w:tab/>
      </w:r>
      <w:r w:rsidR="00D60E56" w:rsidRPr="004C70EC">
        <w:rPr>
          <w:noProof/>
          <w:color w:val="000000" w:themeColor="text1"/>
        </w:rPr>
        <w:t>‘</w:t>
      </w:r>
      <w:r w:rsidRPr="004C70EC">
        <w:rPr>
          <w:rFonts w:eastAsia="Times New Roman"/>
          <w:noProof/>
          <w:color w:val="000000" w:themeColor="text1"/>
        </w:rPr>
        <w:t>New Approach Methodologies (NAMs)</w:t>
      </w:r>
      <w:r w:rsidR="00D60E56" w:rsidRPr="004C70EC">
        <w:rPr>
          <w:rFonts w:eastAsia="Times New Roman"/>
          <w:noProof/>
          <w:color w:val="000000" w:themeColor="text1"/>
        </w:rPr>
        <w:t>’</w:t>
      </w:r>
      <w:r w:rsidRPr="004C70EC">
        <w:rPr>
          <w:rFonts w:eastAsia="Times New Roman"/>
          <w:noProof/>
          <w:color w:val="000000" w:themeColor="text1"/>
        </w:rPr>
        <w:t xml:space="preserve"> means innovative methods that do not involve live animals, such as in vitro (cell or tissue-based), in chemico (chemical-based), or in silico </w:t>
      </w:r>
      <w:r w:rsidR="14D52CC3" w:rsidRPr="004C70EC">
        <w:rPr>
          <w:rFonts w:eastAsia="Times New Roman"/>
          <w:noProof/>
          <w:color w:val="000000" w:themeColor="text1"/>
        </w:rPr>
        <w:t>(</w:t>
      </w:r>
      <w:r w:rsidRPr="004C70EC">
        <w:rPr>
          <w:rFonts w:eastAsia="Times New Roman"/>
          <w:noProof/>
          <w:color w:val="000000" w:themeColor="text1"/>
        </w:rPr>
        <w:t>computer-based</w:t>
      </w:r>
      <w:r w:rsidR="6548EF97" w:rsidRPr="004C70EC">
        <w:rPr>
          <w:rFonts w:eastAsia="Times New Roman"/>
          <w:noProof/>
          <w:color w:val="000000" w:themeColor="text1"/>
        </w:rPr>
        <w:t>)</w:t>
      </w:r>
      <w:r w:rsidR="00B57AE9" w:rsidRPr="004C70EC">
        <w:rPr>
          <w:rFonts w:eastAsia="Times New Roman"/>
          <w:noProof/>
          <w:color w:val="000000" w:themeColor="text1"/>
        </w:rPr>
        <w:t xml:space="preserve"> </w:t>
      </w:r>
      <w:r w:rsidRPr="004C70EC">
        <w:rPr>
          <w:rFonts w:eastAsia="Times New Roman"/>
          <w:noProof/>
          <w:color w:val="000000" w:themeColor="text1"/>
        </w:rPr>
        <w:t xml:space="preserve"> approaches, as well as combinations of these</w:t>
      </w:r>
      <w:r w:rsidR="00E82F84" w:rsidRPr="004C70EC">
        <w:rPr>
          <w:rFonts w:eastAsia="Times New Roman"/>
          <w:noProof/>
          <w:color w:val="000000" w:themeColor="text1"/>
        </w:rPr>
        <w:t>;</w:t>
      </w:r>
    </w:p>
    <w:p w14:paraId="73BE0D0C" w14:textId="05ED640A" w:rsidR="08AF57C4" w:rsidRPr="004C70EC" w:rsidRDefault="002F364A" w:rsidP="008D722A">
      <w:pPr>
        <w:pStyle w:val="Point1"/>
        <w:ind w:left="1418"/>
        <w:rPr>
          <w:rFonts w:eastAsia="Times New Roman"/>
          <w:noProof/>
          <w:color w:val="000000" w:themeColor="text1"/>
          <w:szCs w:val="24"/>
          <w:lang w:eastAsia="ja-JP"/>
        </w:rPr>
      </w:pPr>
      <w:r w:rsidRPr="004C70EC">
        <w:rPr>
          <w:rFonts w:eastAsia="Times New Roman"/>
          <w:noProof/>
          <w:color w:val="000000" w:themeColor="text1"/>
          <w:lang w:eastAsia="ja-JP"/>
        </w:rPr>
        <w:t>(2</w:t>
      </w:r>
      <w:r>
        <w:rPr>
          <w:rFonts w:eastAsia="Times New Roman"/>
          <w:noProof/>
          <w:color w:val="000000" w:themeColor="text1"/>
          <w:lang w:eastAsia="ja-JP"/>
        </w:rPr>
        <w:t>0</w:t>
      </w:r>
      <w:r w:rsidRPr="004C70EC">
        <w:rPr>
          <w:rFonts w:eastAsia="Times New Roman"/>
          <w:noProof/>
          <w:color w:val="000000" w:themeColor="text1"/>
          <w:lang w:eastAsia="ja-JP"/>
        </w:rPr>
        <w:t xml:space="preserve">) </w:t>
      </w:r>
      <w:r w:rsidRPr="004C70EC">
        <w:rPr>
          <w:rFonts w:eastAsia="Times New Roman"/>
          <w:noProof/>
          <w:color w:val="000000" w:themeColor="text1"/>
          <w:lang w:eastAsia="ja-JP"/>
        </w:rPr>
        <w:tab/>
        <w:t>‘</w:t>
      </w:r>
      <w:r w:rsidRPr="004C70EC">
        <w:rPr>
          <w:rFonts w:eastAsia="Times New Roman"/>
          <w:noProof/>
          <w:color w:val="000000" w:themeColor="text1"/>
          <w:szCs w:val="24"/>
        </w:rPr>
        <w:t>b</w:t>
      </w:r>
      <w:r w:rsidR="08AF57C4" w:rsidRPr="004C70EC">
        <w:rPr>
          <w:rFonts w:eastAsia="Times New Roman"/>
          <w:noProof/>
          <w:color w:val="000000" w:themeColor="text1"/>
          <w:szCs w:val="24"/>
        </w:rPr>
        <w:t>iological threat</w:t>
      </w:r>
      <w:r w:rsidRPr="004C70EC">
        <w:rPr>
          <w:rFonts w:eastAsia="Times New Roman"/>
          <w:noProof/>
          <w:color w:val="000000" w:themeColor="text1"/>
          <w:szCs w:val="24"/>
        </w:rPr>
        <w:t>s’ means</w:t>
      </w:r>
      <w:r w:rsidR="08AF57C4" w:rsidRPr="004C70EC">
        <w:rPr>
          <w:rFonts w:eastAsia="Times New Roman"/>
          <w:noProof/>
          <w:color w:val="000000" w:themeColor="text1"/>
          <w:szCs w:val="24"/>
        </w:rPr>
        <w:t xml:space="preserve"> risks posed by harmful biological agents such as pathogens or toxins that can cause disease or significant societal consequences, whether arising naturally, through accidental release, or via deliberate misuse</w:t>
      </w:r>
      <w:r w:rsidR="00E82F84" w:rsidRPr="004C70EC">
        <w:rPr>
          <w:rFonts w:eastAsia="Times New Roman"/>
          <w:noProof/>
          <w:color w:val="000000" w:themeColor="text1"/>
          <w:szCs w:val="24"/>
        </w:rPr>
        <w:t>;</w:t>
      </w:r>
    </w:p>
    <w:p w14:paraId="5D076A70" w14:textId="1E9071CF" w:rsidR="002F364A" w:rsidRPr="004C70EC" w:rsidRDefault="002F364A" w:rsidP="008D722A">
      <w:pPr>
        <w:pStyle w:val="Point1"/>
        <w:ind w:left="1418"/>
        <w:rPr>
          <w:rFonts w:eastAsia="Times New Roman"/>
          <w:noProof/>
          <w:color w:val="000000" w:themeColor="text1"/>
          <w:lang w:eastAsia="ja-JP"/>
        </w:rPr>
      </w:pPr>
      <w:r w:rsidRPr="004C70EC">
        <w:rPr>
          <w:rFonts w:eastAsia="Times New Roman"/>
          <w:noProof/>
          <w:color w:val="000000" w:themeColor="text1"/>
          <w:lang w:eastAsia="ja-JP"/>
        </w:rPr>
        <w:t>(2</w:t>
      </w:r>
      <w:r>
        <w:rPr>
          <w:rFonts w:eastAsia="Times New Roman"/>
          <w:noProof/>
          <w:color w:val="000000" w:themeColor="text1"/>
          <w:lang w:eastAsia="ja-JP"/>
        </w:rPr>
        <w:t>1</w:t>
      </w:r>
      <w:r w:rsidRPr="004C70EC">
        <w:rPr>
          <w:rFonts w:eastAsia="Times New Roman"/>
          <w:noProof/>
          <w:color w:val="000000" w:themeColor="text1"/>
          <w:lang w:eastAsia="ja-JP"/>
        </w:rPr>
        <w:t>)</w:t>
      </w:r>
      <w:r w:rsidRPr="004C70EC">
        <w:rPr>
          <w:noProof/>
          <w:color w:val="000000" w:themeColor="text1"/>
        </w:rPr>
        <w:tab/>
      </w:r>
      <w:r w:rsidR="007F3364" w:rsidRPr="004C70EC">
        <w:rPr>
          <w:rFonts w:eastAsia="Times New Roman"/>
          <w:noProof/>
          <w:color w:val="000000" w:themeColor="text1"/>
          <w:lang w:eastAsia="ja-JP"/>
        </w:rPr>
        <w:t xml:space="preserve">‘biodefence’ means actions, policies, and measures that are designed, in particular by state actors, for preventive, protective or peaceful purposes, to </w:t>
      </w:r>
      <w:r w:rsidR="1FDFB8B3" w:rsidRPr="004C70EC">
        <w:rPr>
          <w:rFonts w:eastAsia="Times New Roman"/>
          <w:noProof/>
          <w:color w:val="000000" w:themeColor="text1"/>
          <w:lang w:eastAsia="ja-JP"/>
        </w:rPr>
        <w:t>c</w:t>
      </w:r>
      <w:r w:rsidR="007F3364" w:rsidRPr="004C70EC">
        <w:rPr>
          <w:rFonts w:eastAsia="Times New Roman"/>
          <w:noProof/>
          <w:color w:val="000000" w:themeColor="text1"/>
          <w:lang w:eastAsia="ja-JP"/>
        </w:rPr>
        <w:t>ounter biological threats</w:t>
      </w:r>
      <w:r w:rsidR="0FFE4350" w:rsidRPr="004C70EC">
        <w:rPr>
          <w:rFonts w:eastAsia="Times New Roman"/>
          <w:noProof/>
          <w:color w:val="000000" w:themeColor="text1"/>
          <w:lang w:eastAsia="ja-JP"/>
        </w:rPr>
        <w:t>,</w:t>
      </w:r>
      <w:r w:rsidR="007F3364" w:rsidRPr="004C70EC">
        <w:rPr>
          <w:rFonts w:eastAsia="Times New Roman"/>
          <w:noProof/>
          <w:color w:val="000000" w:themeColor="text1"/>
          <w:lang w:eastAsia="ja-JP"/>
        </w:rPr>
        <w:t xml:space="preserve"> reduce risks, and prepare for, detect, assess, respond to, and recover from biological threats</w:t>
      </w:r>
      <w:r w:rsidR="008F4CB2" w:rsidRPr="004C70EC">
        <w:rPr>
          <w:rFonts w:eastAsia="Times New Roman"/>
          <w:noProof/>
          <w:color w:val="000000" w:themeColor="text1"/>
          <w:lang w:eastAsia="ja-JP"/>
        </w:rPr>
        <w:t>;</w:t>
      </w:r>
    </w:p>
    <w:p w14:paraId="008B25E1" w14:textId="3A0167B6" w:rsidR="002F364A" w:rsidRPr="004C70EC" w:rsidRDefault="002F364A" w:rsidP="008D722A">
      <w:pPr>
        <w:pStyle w:val="Point1"/>
        <w:ind w:left="1418"/>
        <w:rPr>
          <w:rFonts w:eastAsia="Times New Roman"/>
          <w:noProof/>
          <w:color w:val="000000" w:themeColor="text1"/>
          <w:lang w:eastAsia="ja-JP"/>
        </w:rPr>
      </w:pPr>
      <w:r w:rsidRPr="004C70EC">
        <w:rPr>
          <w:rFonts w:eastAsia="Times New Roman"/>
          <w:noProof/>
          <w:color w:val="000000" w:themeColor="text1"/>
          <w:lang w:eastAsia="ja-JP"/>
        </w:rPr>
        <w:t>(2</w:t>
      </w:r>
      <w:r>
        <w:rPr>
          <w:rFonts w:eastAsia="Times New Roman"/>
          <w:noProof/>
          <w:color w:val="000000" w:themeColor="text1"/>
          <w:lang w:eastAsia="ja-JP"/>
        </w:rPr>
        <w:t>2</w:t>
      </w:r>
      <w:r w:rsidRPr="004C70EC">
        <w:rPr>
          <w:rFonts w:eastAsia="Times New Roman"/>
          <w:noProof/>
          <w:color w:val="000000" w:themeColor="text1"/>
          <w:lang w:eastAsia="ja-JP"/>
        </w:rPr>
        <w:t>)</w:t>
      </w:r>
      <w:r w:rsidRPr="004C70EC">
        <w:rPr>
          <w:noProof/>
          <w:color w:val="000000" w:themeColor="text1"/>
        </w:rPr>
        <w:tab/>
      </w:r>
      <w:r w:rsidR="686FC17C" w:rsidRPr="004C70EC">
        <w:rPr>
          <w:rFonts w:eastAsia="Aptos"/>
          <w:noProof/>
          <w:color w:val="000000" w:themeColor="text1"/>
        </w:rPr>
        <w:t>‘biosecurity’ means the protection, control and accountability of high-consequence biological agents, technologies, materials and toxins of concern</w:t>
      </w:r>
      <w:r w:rsidR="54CB79A7" w:rsidRPr="004C70EC">
        <w:rPr>
          <w:rFonts w:eastAsia="Aptos"/>
          <w:noProof/>
          <w:color w:val="000000" w:themeColor="text1"/>
        </w:rPr>
        <w:t>,</w:t>
      </w:r>
      <w:r w:rsidR="686FC17C" w:rsidRPr="004C70EC">
        <w:rPr>
          <w:rFonts w:eastAsia="Aptos"/>
          <w:noProof/>
          <w:color w:val="000000" w:themeColor="text1"/>
        </w:rPr>
        <w:t xml:space="preserve"> as well as of critical relevant information against unauthorised access, loss, theft, misuse, diversion or intentional release by those who intend to misuse them;</w:t>
      </w:r>
    </w:p>
    <w:p w14:paraId="7538DE62" w14:textId="63A28CBB" w:rsidR="686FC17C" w:rsidRPr="004C70EC" w:rsidRDefault="002F364A" w:rsidP="008D722A">
      <w:pPr>
        <w:pStyle w:val="Point1"/>
        <w:ind w:left="1418"/>
        <w:rPr>
          <w:rFonts w:eastAsia="Times New Roman"/>
          <w:noProof/>
          <w:color w:val="000000" w:themeColor="text1"/>
          <w:szCs w:val="24"/>
          <w:lang w:eastAsia="ja-JP"/>
        </w:rPr>
      </w:pPr>
      <w:r w:rsidRPr="004C70EC">
        <w:rPr>
          <w:rFonts w:eastAsia="Aptos"/>
          <w:noProof/>
          <w:color w:val="000000" w:themeColor="text1"/>
          <w:szCs w:val="24"/>
        </w:rPr>
        <w:t>(2</w:t>
      </w:r>
      <w:r>
        <w:rPr>
          <w:rFonts w:eastAsia="Aptos"/>
          <w:noProof/>
          <w:color w:val="000000" w:themeColor="text1"/>
          <w:szCs w:val="24"/>
        </w:rPr>
        <w:t>3</w:t>
      </w:r>
      <w:r w:rsidRPr="004C70EC">
        <w:rPr>
          <w:rFonts w:eastAsia="Aptos"/>
          <w:noProof/>
          <w:color w:val="000000" w:themeColor="text1"/>
          <w:szCs w:val="24"/>
        </w:rPr>
        <w:t xml:space="preserve">) </w:t>
      </w:r>
      <w:r w:rsidRPr="004C70EC">
        <w:rPr>
          <w:noProof/>
          <w:color w:val="000000" w:themeColor="text1"/>
          <w:szCs w:val="24"/>
        </w:rPr>
        <w:tab/>
      </w:r>
      <w:r w:rsidR="686FC17C" w:rsidRPr="004C70EC">
        <w:rPr>
          <w:rFonts w:eastAsia="Aptos"/>
          <w:noProof/>
          <w:color w:val="000000" w:themeColor="text1"/>
          <w:szCs w:val="24"/>
        </w:rPr>
        <w:t xml:space="preserve">‘biotechnology product of concern’ means any good, service or technology, </w:t>
      </w:r>
      <w:r w:rsidR="1BEA93D9" w:rsidRPr="004C70EC">
        <w:rPr>
          <w:rFonts w:eastAsia="Aptos"/>
          <w:noProof/>
          <w:color w:val="000000" w:themeColor="text1"/>
          <w:szCs w:val="24"/>
        </w:rPr>
        <w:t>including software</w:t>
      </w:r>
      <w:r w:rsidR="007C3E92" w:rsidRPr="004C70EC">
        <w:rPr>
          <w:rFonts w:eastAsia="Aptos"/>
          <w:noProof/>
          <w:color w:val="000000" w:themeColor="text1"/>
          <w:szCs w:val="24"/>
        </w:rPr>
        <w:t xml:space="preserve"> </w:t>
      </w:r>
      <w:r w:rsidR="686FC17C" w:rsidRPr="004C70EC">
        <w:rPr>
          <w:rFonts w:eastAsia="Aptos"/>
          <w:noProof/>
          <w:color w:val="000000" w:themeColor="text1"/>
          <w:szCs w:val="24"/>
        </w:rPr>
        <w:t xml:space="preserve">resulting from the application of science and technology to living organisms, their parts, products or models with significant potential for biological misuse that are listed in Annex </w:t>
      </w:r>
      <w:r w:rsidR="72109098" w:rsidRPr="004C70EC">
        <w:rPr>
          <w:rFonts w:eastAsia="Aptos"/>
          <w:noProof/>
          <w:color w:val="000000" w:themeColor="text1"/>
          <w:szCs w:val="24"/>
        </w:rPr>
        <w:t>I</w:t>
      </w:r>
      <w:r w:rsidR="686FC17C" w:rsidRPr="004C70EC">
        <w:rPr>
          <w:rFonts w:eastAsia="Aptos"/>
          <w:noProof/>
          <w:color w:val="000000" w:themeColor="text1"/>
          <w:szCs w:val="24"/>
        </w:rPr>
        <w:t xml:space="preserve">, including any thresholds or exclusions; </w:t>
      </w:r>
    </w:p>
    <w:p w14:paraId="21B857E8" w14:textId="44B1A6AF" w:rsidR="001B791F" w:rsidRPr="004C70EC" w:rsidRDefault="686FC17C" w:rsidP="00A94F61">
      <w:pPr>
        <w:pStyle w:val="Point1"/>
        <w:ind w:left="1418"/>
        <w:rPr>
          <w:rFonts w:eastAsia="Aptos"/>
          <w:noProof/>
          <w:color w:val="000000" w:themeColor="text1"/>
        </w:rPr>
      </w:pPr>
      <w:r w:rsidRPr="004C70EC">
        <w:rPr>
          <w:rFonts w:eastAsia="Aptos"/>
          <w:noProof/>
          <w:color w:val="000000" w:themeColor="text1"/>
        </w:rPr>
        <w:t>(</w:t>
      </w:r>
      <w:r w:rsidR="002F364A" w:rsidRPr="004C70EC">
        <w:rPr>
          <w:rFonts w:eastAsia="Aptos"/>
          <w:noProof/>
          <w:color w:val="000000" w:themeColor="text1"/>
        </w:rPr>
        <w:t>2</w:t>
      </w:r>
      <w:r>
        <w:rPr>
          <w:rFonts w:eastAsia="Aptos"/>
          <w:noProof/>
          <w:color w:val="000000" w:themeColor="text1"/>
        </w:rPr>
        <w:t>4</w:t>
      </w:r>
      <w:r w:rsidRPr="004C70EC">
        <w:rPr>
          <w:rFonts w:eastAsia="Aptos"/>
          <w:noProof/>
          <w:color w:val="000000" w:themeColor="text1"/>
        </w:rPr>
        <w:t>)</w:t>
      </w:r>
      <w:r w:rsidRPr="004C70EC">
        <w:rPr>
          <w:noProof/>
        </w:rPr>
        <w:tab/>
      </w:r>
      <w:r w:rsidRPr="004C70EC">
        <w:rPr>
          <w:rFonts w:eastAsia="Aptos"/>
          <w:noProof/>
          <w:color w:val="000000" w:themeColor="text1"/>
        </w:rPr>
        <w:t xml:space="preserve">‘benchtop nucleic acid synthesis equipment’ means any equipment that  allows a user to synthesise nucleic acids individually or in </w:t>
      </w:r>
      <w:r w:rsidR="6F3E7704" w:rsidRPr="004C70EC">
        <w:rPr>
          <w:rFonts w:eastAsia="Aptos"/>
          <w:noProof/>
          <w:color w:val="000000" w:themeColor="text1"/>
        </w:rPr>
        <w:t xml:space="preserve">a </w:t>
      </w:r>
      <w:r w:rsidRPr="004C70EC">
        <w:rPr>
          <w:rFonts w:eastAsia="Aptos"/>
          <w:noProof/>
          <w:color w:val="000000" w:themeColor="text1"/>
        </w:rPr>
        <w:t>core research facility</w:t>
      </w:r>
      <w:r w:rsidR="007700C6" w:rsidRPr="004C70EC">
        <w:rPr>
          <w:rFonts w:eastAsia="Aptos"/>
          <w:noProof/>
          <w:color w:val="000000" w:themeColor="text1"/>
        </w:rPr>
        <w:t>.</w:t>
      </w:r>
      <w:r w:rsidRPr="004C70EC">
        <w:rPr>
          <w:rFonts w:eastAsia="Aptos"/>
          <w:noProof/>
          <w:color w:val="000000" w:themeColor="text1"/>
        </w:rPr>
        <w:t xml:space="preserve">  </w:t>
      </w:r>
    </w:p>
    <w:p w14:paraId="38111980" w14:textId="77777777" w:rsidR="00273F36" w:rsidRPr="004C70EC" w:rsidRDefault="0099023A" w:rsidP="002F364A">
      <w:pPr>
        <w:pStyle w:val="Point0"/>
        <w:ind w:left="720" w:hanging="720"/>
        <w:rPr>
          <w:rFonts w:eastAsia="Times New Roman"/>
          <w:noProof/>
          <w:color w:val="000000" w:themeColor="text1"/>
          <w:szCs w:val="24"/>
          <w:lang w:eastAsia="ja-JP"/>
        </w:rPr>
      </w:pPr>
      <w:r w:rsidRPr="004C70EC">
        <w:rPr>
          <w:rFonts w:eastAsia="Times New Roman"/>
          <w:noProof/>
          <w:color w:val="000000" w:themeColor="text1"/>
          <w:szCs w:val="24"/>
          <w:lang w:eastAsia="ja-JP"/>
        </w:rPr>
        <w:t>2</w:t>
      </w:r>
      <w:r w:rsidR="00424F3F" w:rsidRPr="004C70EC">
        <w:rPr>
          <w:rFonts w:eastAsia="Times New Roman"/>
          <w:noProof/>
          <w:color w:val="000000" w:themeColor="text1"/>
          <w:szCs w:val="24"/>
          <w:lang w:eastAsia="ja-JP"/>
        </w:rPr>
        <w:t>.</w:t>
      </w:r>
      <w:r w:rsidR="00424F3F" w:rsidRPr="004C70EC">
        <w:rPr>
          <w:rFonts w:eastAsia="Times New Roman"/>
          <w:noProof/>
          <w:color w:val="000000" w:themeColor="text1"/>
          <w:szCs w:val="24"/>
          <w:lang w:eastAsia="ja-JP"/>
        </w:rPr>
        <w:tab/>
      </w:r>
      <w:r w:rsidR="00273F36" w:rsidRPr="004C70EC">
        <w:rPr>
          <w:rFonts w:eastAsia="Times New Roman"/>
          <w:noProof/>
          <w:color w:val="000000" w:themeColor="text1"/>
          <w:szCs w:val="24"/>
          <w:lang w:eastAsia="ja-JP"/>
        </w:rPr>
        <w:t xml:space="preserve">For the purpose of the provisions regarding biosecurity and the prevention of biotechnology misuse laid down in Chapter </w:t>
      </w:r>
      <w:r w:rsidR="00DA4088" w:rsidRPr="004C70EC">
        <w:rPr>
          <w:rFonts w:eastAsia="Times New Roman"/>
          <w:noProof/>
          <w:color w:val="000000" w:themeColor="text1"/>
          <w:szCs w:val="24"/>
          <w:lang w:eastAsia="ja-JP"/>
        </w:rPr>
        <w:t>V</w:t>
      </w:r>
      <w:r w:rsidR="00204810" w:rsidRPr="004C70EC">
        <w:rPr>
          <w:rFonts w:eastAsia="Times New Roman"/>
          <w:noProof/>
          <w:color w:val="000000" w:themeColor="text1"/>
          <w:szCs w:val="24"/>
          <w:lang w:eastAsia="ja-JP"/>
        </w:rPr>
        <w:t>III</w:t>
      </w:r>
      <w:r w:rsidR="00AE6039" w:rsidRPr="004C70EC">
        <w:rPr>
          <w:rFonts w:eastAsia="Times New Roman"/>
          <w:noProof/>
          <w:color w:val="000000" w:themeColor="text1"/>
          <w:szCs w:val="24"/>
          <w:lang w:eastAsia="ja-JP"/>
        </w:rPr>
        <w:t>, Section 2</w:t>
      </w:r>
      <w:r w:rsidR="00A04CB3" w:rsidRPr="004C70EC">
        <w:rPr>
          <w:rFonts w:eastAsia="Times New Roman"/>
          <w:noProof/>
          <w:color w:val="000000" w:themeColor="text1"/>
          <w:szCs w:val="24"/>
          <w:lang w:eastAsia="ja-JP"/>
        </w:rPr>
        <w:t>, the following definitions apply</w:t>
      </w:r>
      <w:r w:rsidR="00273F36" w:rsidRPr="004C70EC">
        <w:rPr>
          <w:rFonts w:eastAsia="Times New Roman"/>
          <w:noProof/>
          <w:color w:val="000000" w:themeColor="text1"/>
          <w:szCs w:val="24"/>
          <w:lang w:eastAsia="ja-JP"/>
        </w:rPr>
        <w:t>:</w:t>
      </w:r>
    </w:p>
    <w:p w14:paraId="030C2283" w14:textId="77777777" w:rsidR="00273F36" w:rsidRPr="004C70EC" w:rsidRDefault="00273F36" w:rsidP="00125D46">
      <w:pPr>
        <w:pStyle w:val="Point1"/>
        <w:rPr>
          <w:noProof/>
          <w:color w:val="000000" w:themeColor="text1"/>
          <w:lang w:eastAsia="ja-JP"/>
        </w:rPr>
      </w:pPr>
      <w:r w:rsidRPr="004C70EC">
        <w:rPr>
          <w:noProof/>
          <w:color w:val="000000" w:themeColor="text1"/>
          <w:lang w:eastAsia="ja-JP"/>
        </w:rPr>
        <w:t>(a)</w:t>
      </w:r>
      <w:r w:rsidRPr="004C70EC">
        <w:rPr>
          <w:noProof/>
          <w:color w:val="000000" w:themeColor="text1"/>
        </w:rPr>
        <w:tab/>
      </w:r>
      <w:r w:rsidRPr="004C70EC">
        <w:rPr>
          <w:noProof/>
          <w:color w:val="000000" w:themeColor="text1"/>
          <w:lang w:eastAsia="ja-JP"/>
        </w:rPr>
        <w:t>‘making available’ means any supply, whether in return for payment or free of charge;</w:t>
      </w:r>
    </w:p>
    <w:p w14:paraId="0394BB5C" w14:textId="77777777" w:rsidR="002F26F1" w:rsidRPr="004C70EC" w:rsidRDefault="00D0138D" w:rsidP="002F364A">
      <w:pPr>
        <w:pStyle w:val="Point1"/>
        <w:rPr>
          <w:b/>
          <w:noProof/>
          <w:color w:val="000000" w:themeColor="text1"/>
          <w:lang w:val="en-IE" w:eastAsia="ja-JP"/>
        </w:rPr>
      </w:pPr>
      <w:r w:rsidRPr="004C70EC">
        <w:rPr>
          <w:noProof/>
          <w:color w:val="000000" w:themeColor="text1"/>
          <w:lang w:eastAsia="ja-JP"/>
        </w:rPr>
        <w:t>(b)</w:t>
      </w:r>
      <w:r w:rsidRPr="004C70EC">
        <w:rPr>
          <w:noProof/>
          <w:color w:val="000000" w:themeColor="text1"/>
        </w:rPr>
        <w:tab/>
      </w:r>
      <w:r w:rsidRPr="004C70EC">
        <w:rPr>
          <w:noProof/>
          <w:color w:val="000000" w:themeColor="text1"/>
          <w:lang w:val="en-IE" w:eastAsia="ja-JP"/>
        </w:rPr>
        <w:t>“legitimate” means in good faith, in the ordinary course of recognised professional, research or commercial activities, and in accordance with</w:t>
      </w:r>
      <w:r w:rsidR="002F364A" w:rsidRPr="004C70EC">
        <w:rPr>
          <w:noProof/>
          <w:color w:val="000000" w:themeColor="text1"/>
          <w:lang w:val="en-IE" w:eastAsia="ja-JP"/>
        </w:rPr>
        <w:t xml:space="preserve"> </w:t>
      </w:r>
      <w:r w:rsidRPr="004C70EC">
        <w:rPr>
          <w:noProof/>
          <w:color w:val="000000" w:themeColor="text1"/>
          <w:lang w:val="en-IE" w:eastAsia="ja-JP"/>
        </w:rPr>
        <w:t>applicable Union and national law;</w:t>
      </w:r>
    </w:p>
    <w:p w14:paraId="7BE45BA3" w14:textId="77777777" w:rsidR="00273F36" w:rsidRPr="004C70EC" w:rsidRDefault="00273F36" w:rsidP="00A2297F">
      <w:pPr>
        <w:pStyle w:val="Point1"/>
        <w:rPr>
          <w:rFonts w:eastAsia="Times New Roman"/>
          <w:noProof/>
          <w:color w:val="000000" w:themeColor="text1"/>
          <w:szCs w:val="24"/>
          <w:lang w:eastAsia="ja-JP"/>
        </w:rPr>
      </w:pPr>
      <w:r w:rsidRPr="004C70EC">
        <w:rPr>
          <w:rFonts w:eastAsia="Times New Roman"/>
          <w:noProof/>
          <w:color w:val="000000" w:themeColor="text1"/>
          <w:szCs w:val="24"/>
          <w:lang w:eastAsia="ja-JP"/>
        </w:rPr>
        <w:t>(</w:t>
      </w:r>
      <w:r w:rsidR="002F26F1" w:rsidRPr="004C70EC">
        <w:rPr>
          <w:rFonts w:eastAsia="Times New Roman"/>
          <w:noProof/>
          <w:color w:val="000000" w:themeColor="text1"/>
          <w:szCs w:val="24"/>
          <w:lang w:eastAsia="ja-JP"/>
        </w:rPr>
        <w:t>c</w:t>
      </w:r>
      <w:r w:rsidRPr="004C70EC">
        <w:rPr>
          <w:rFonts w:eastAsia="Times New Roman"/>
          <w:noProof/>
          <w:color w:val="000000" w:themeColor="text1"/>
          <w:szCs w:val="24"/>
          <w:lang w:eastAsia="ja-JP"/>
        </w:rPr>
        <w:t>)</w:t>
      </w:r>
      <w:r w:rsidRPr="004C70EC">
        <w:rPr>
          <w:noProof/>
          <w:color w:val="000000" w:themeColor="text1"/>
          <w:szCs w:val="24"/>
        </w:rPr>
        <w:tab/>
      </w:r>
      <w:r w:rsidRPr="004C70EC">
        <w:rPr>
          <w:rFonts w:eastAsia="Times New Roman"/>
          <w:noProof/>
          <w:color w:val="000000" w:themeColor="text1"/>
          <w:szCs w:val="24"/>
          <w:lang w:eastAsia="ja-JP"/>
        </w:rPr>
        <w:t>‘legitimate need’ in a biotechnology product of concern means the need for such biotechnology for legitimate and peaceful purposes, including handling, production, cultivation, experimentation, preservation, destruction, internal transport, by a legitimate member of the scientific community or a legitimate enterprise, consistent with applicable international treaties, laws, standards and oversight;</w:t>
      </w:r>
    </w:p>
    <w:p w14:paraId="029C7B4A" w14:textId="77777777" w:rsidR="00273F36" w:rsidRPr="004C70EC" w:rsidRDefault="00273F36" w:rsidP="00A2297F">
      <w:pPr>
        <w:pStyle w:val="Point1"/>
        <w:rPr>
          <w:rFonts w:eastAsia="Times New Roman"/>
          <w:noProof/>
          <w:color w:val="000000" w:themeColor="text1"/>
          <w:szCs w:val="24"/>
          <w:lang w:eastAsia="ja-JP"/>
        </w:rPr>
      </w:pPr>
      <w:r w:rsidRPr="004C70EC">
        <w:rPr>
          <w:rFonts w:eastAsia="Times New Roman"/>
          <w:noProof/>
          <w:color w:val="000000" w:themeColor="text1"/>
          <w:szCs w:val="24"/>
          <w:lang w:eastAsia="ja-JP"/>
        </w:rPr>
        <w:t>(</w:t>
      </w:r>
      <w:r w:rsidR="002F26F1" w:rsidRPr="004C70EC">
        <w:rPr>
          <w:rFonts w:eastAsia="Times New Roman"/>
          <w:noProof/>
          <w:color w:val="000000" w:themeColor="text1"/>
          <w:szCs w:val="24"/>
          <w:lang w:eastAsia="ja-JP"/>
        </w:rPr>
        <w:t>d</w:t>
      </w:r>
      <w:r w:rsidRPr="004C70EC">
        <w:rPr>
          <w:rFonts w:eastAsia="Times New Roman"/>
          <w:noProof/>
          <w:color w:val="000000" w:themeColor="text1"/>
          <w:szCs w:val="24"/>
          <w:lang w:eastAsia="ja-JP"/>
        </w:rPr>
        <w:t>)</w:t>
      </w:r>
      <w:r w:rsidRPr="004C70EC">
        <w:rPr>
          <w:rFonts w:eastAsia="Times New Roman"/>
          <w:noProof/>
          <w:color w:val="000000" w:themeColor="text1"/>
          <w:szCs w:val="24"/>
          <w:lang w:eastAsia="ja-JP"/>
        </w:rPr>
        <w:tab/>
        <w:t xml:space="preserve">‘suspicious transaction’ means any transaction concerning biotechnology products of concern for which there are reasonable grounds, taking into account all relevant factors, to doubt the legitimacy of the prospective customer’s intentions. </w:t>
      </w:r>
    </w:p>
    <w:p w14:paraId="48326C9F" w14:textId="77777777" w:rsidR="002F364A" w:rsidRPr="004C70EC" w:rsidRDefault="002F364A" w:rsidP="00A2297F">
      <w:pPr>
        <w:pStyle w:val="Point1"/>
        <w:rPr>
          <w:rFonts w:eastAsia="Times New Roman"/>
          <w:noProof/>
          <w:color w:val="000000" w:themeColor="text1"/>
          <w:szCs w:val="24"/>
          <w:lang w:eastAsia="ja-JP"/>
        </w:rPr>
      </w:pPr>
    </w:p>
    <w:p w14:paraId="517DE615" w14:textId="77777777" w:rsidR="00FA63A3" w:rsidRPr="004C70EC" w:rsidRDefault="00FA63A3" w:rsidP="00A2297F">
      <w:pPr>
        <w:pStyle w:val="ChapterTitle"/>
        <w:rPr>
          <w:noProof/>
          <w:color w:val="000000" w:themeColor="text1"/>
          <w:sz w:val="24"/>
          <w:szCs w:val="24"/>
        </w:rPr>
      </w:pPr>
      <w:r w:rsidRPr="004C70EC">
        <w:rPr>
          <w:noProof/>
          <w:color w:val="000000" w:themeColor="text1"/>
          <w:sz w:val="24"/>
          <w:szCs w:val="24"/>
        </w:rPr>
        <w:t>CHAPTER II</w:t>
      </w:r>
    </w:p>
    <w:p w14:paraId="65F087B2" w14:textId="77777777" w:rsidR="00273F36" w:rsidRPr="004C70EC" w:rsidRDefault="00273F36" w:rsidP="008D722A">
      <w:pPr>
        <w:pStyle w:val="ChapterTitle"/>
        <w:rPr>
          <w:rFonts w:eastAsia="Times New Roman"/>
          <w:noProof/>
          <w:color w:val="000000" w:themeColor="text1"/>
          <w:sz w:val="24"/>
          <w:szCs w:val="24"/>
          <w:bdr w:val="nil"/>
          <w:lang w:val="en-US" w:eastAsia="en-GB"/>
        </w:rPr>
      </w:pPr>
      <w:r w:rsidRPr="004C70EC">
        <w:rPr>
          <w:rFonts w:eastAsia="Times New Roman"/>
          <w:noProof/>
          <w:color w:val="000000" w:themeColor="text1"/>
          <w:sz w:val="24"/>
          <w:szCs w:val="24"/>
          <w:bdr w:val="nil"/>
          <w:lang w:val="en-US" w:eastAsia="en-GB"/>
        </w:rPr>
        <w:t xml:space="preserve">UNION </w:t>
      </w:r>
      <w:r w:rsidR="00053D79" w:rsidRPr="004C70EC">
        <w:rPr>
          <w:rFonts w:eastAsia="Times New Roman"/>
          <w:noProof/>
          <w:color w:val="000000" w:themeColor="text1"/>
          <w:sz w:val="24"/>
          <w:szCs w:val="24"/>
          <w:bdr w:val="nil"/>
          <w:lang w:val="en-US" w:eastAsia="en-GB"/>
        </w:rPr>
        <w:t xml:space="preserve">HEALTH </w:t>
      </w:r>
      <w:r w:rsidRPr="004C70EC">
        <w:rPr>
          <w:rFonts w:eastAsia="Times New Roman"/>
          <w:noProof/>
          <w:color w:val="000000" w:themeColor="text1"/>
          <w:sz w:val="24"/>
          <w:szCs w:val="24"/>
          <w:bdr w:val="nil"/>
          <w:lang w:val="en-US" w:eastAsia="en-GB"/>
        </w:rPr>
        <w:t xml:space="preserve">BIOTECHNOLOGY AND BIOMANUFACTURING </w:t>
      </w:r>
    </w:p>
    <w:p w14:paraId="5792B039" w14:textId="77777777" w:rsidR="00273F36" w:rsidRPr="004C70EC" w:rsidRDefault="00273F36" w:rsidP="008D722A">
      <w:pPr>
        <w:pStyle w:val="SectionTitle"/>
        <w:rPr>
          <w:noProof/>
          <w:color w:val="000000" w:themeColor="text1"/>
          <w:sz w:val="24"/>
          <w:szCs w:val="24"/>
          <w:lang w:eastAsia="ja-JP"/>
        </w:rPr>
      </w:pPr>
      <w:r w:rsidRPr="004C70EC">
        <w:rPr>
          <w:noProof/>
          <w:color w:val="000000" w:themeColor="text1"/>
          <w:sz w:val="24"/>
          <w:szCs w:val="24"/>
          <w:lang w:eastAsia="ja-JP"/>
        </w:rPr>
        <w:t>SECTION 1</w:t>
      </w:r>
    </w:p>
    <w:p w14:paraId="317F5E83" w14:textId="77777777" w:rsidR="00273F36" w:rsidRPr="004C70EC" w:rsidRDefault="00B675E7" w:rsidP="00A2297F">
      <w:pPr>
        <w:pStyle w:val="SectionTitle"/>
        <w:rPr>
          <w:b w:val="0"/>
          <w:noProof/>
          <w:color w:val="000000" w:themeColor="text1"/>
          <w:sz w:val="24"/>
          <w:szCs w:val="24"/>
        </w:rPr>
      </w:pPr>
      <w:r w:rsidRPr="004C70EC">
        <w:rPr>
          <w:noProof/>
          <w:color w:val="000000" w:themeColor="text1"/>
          <w:sz w:val="24"/>
          <w:szCs w:val="24"/>
        </w:rPr>
        <w:t xml:space="preserve">recognition of </w:t>
      </w:r>
      <w:r w:rsidR="00797242" w:rsidRPr="004C70EC">
        <w:rPr>
          <w:noProof/>
          <w:color w:val="000000" w:themeColor="text1"/>
          <w:sz w:val="24"/>
          <w:szCs w:val="24"/>
        </w:rPr>
        <w:t xml:space="preserve">health </w:t>
      </w:r>
      <w:r w:rsidR="009F7ED9" w:rsidRPr="004C70EC">
        <w:rPr>
          <w:noProof/>
          <w:color w:val="000000" w:themeColor="text1"/>
          <w:sz w:val="24"/>
          <w:szCs w:val="24"/>
        </w:rPr>
        <w:t>b</w:t>
      </w:r>
      <w:r w:rsidR="00273F36" w:rsidRPr="004C70EC">
        <w:rPr>
          <w:noProof/>
          <w:color w:val="000000" w:themeColor="text1"/>
          <w:sz w:val="24"/>
          <w:szCs w:val="24"/>
        </w:rPr>
        <w:t xml:space="preserve">iotechnology </w:t>
      </w:r>
      <w:r w:rsidR="009F7ED9" w:rsidRPr="004C70EC">
        <w:rPr>
          <w:noProof/>
          <w:color w:val="000000" w:themeColor="text1"/>
          <w:sz w:val="24"/>
          <w:szCs w:val="24"/>
        </w:rPr>
        <w:t>s</w:t>
      </w:r>
      <w:r w:rsidR="00273F36" w:rsidRPr="004C70EC">
        <w:rPr>
          <w:noProof/>
          <w:color w:val="000000" w:themeColor="text1"/>
          <w:sz w:val="24"/>
          <w:szCs w:val="24"/>
        </w:rPr>
        <w:t xml:space="preserve">trategic </w:t>
      </w:r>
      <w:r w:rsidR="009F7ED9" w:rsidRPr="004C70EC">
        <w:rPr>
          <w:noProof/>
          <w:color w:val="000000" w:themeColor="text1"/>
          <w:sz w:val="24"/>
          <w:szCs w:val="24"/>
        </w:rPr>
        <w:t>p</w:t>
      </w:r>
      <w:r w:rsidR="00273F36" w:rsidRPr="004C70EC">
        <w:rPr>
          <w:noProof/>
          <w:color w:val="000000" w:themeColor="text1"/>
          <w:sz w:val="24"/>
          <w:szCs w:val="24"/>
        </w:rPr>
        <w:t xml:space="preserve">rojects in the Union </w:t>
      </w:r>
    </w:p>
    <w:p w14:paraId="7E599F54" w14:textId="77777777" w:rsidR="00273F36" w:rsidRPr="004C70EC" w:rsidRDefault="00273F36" w:rsidP="00A2297F">
      <w:pPr>
        <w:pStyle w:val="Titrearticle"/>
        <w:rPr>
          <w:b/>
          <w:noProof/>
          <w:color w:val="000000" w:themeColor="text1"/>
          <w:lang w:eastAsia="ja-JP"/>
        </w:rPr>
      </w:pPr>
      <w:r w:rsidRPr="004C70EC">
        <w:rPr>
          <w:noProof/>
          <w:color w:val="000000" w:themeColor="text1"/>
          <w:lang w:eastAsia="ja-JP"/>
        </w:rPr>
        <w:t xml:space="preserve">Article </w:t>
      </w:r>
      <w:r w:rsidR="00804A1A" w:rsidRPr="004C70EC">
        <w:rPr>
          <w:noProof/>
          <w:color w:val="000000" w:themeColor="text1"/>
        </w:rPr>
        <w:t>3</w:t>
      </w:r>
    </w:p>
    <w:p w14:paraId="4F424E41" w14:textId="77777777" w:rsidR="00273F36" w:rsidRPr="004C70EC" w:rsidRDefault="00797242" w:rsidP="00273F36">
      <w:pPr>
        <w:keepNext/>
        <w:tabs>
          <w:tab w:val="left" w:pos="850"/>
        </w:tabs>
        <w:ind w:left="850" w:hanging="850"/>
        <w:jc w:val="center"/>
        <w:outlineLvl w:val="2"/>
        <w:rPr>
          <w:b/>
          <w:noProof/>
          <w:color w:val="000000" w:themeColor="text1"/>
          <w:szCs w:val="24"/>
        </w:rPr>
      </w:pPr>
      <w:r w:rsidRPr="004C70EC">
        <w:rPr>
          <w:b/>
          <w:noProof/>
          <w:color w:val="000000" w:themeColor="text1"/>
          <w:szCs w:val="24"/>
        </w:rPr>
        <w:t>Health b</w:t>
      </w:r>
      <w:r w:rsidR="00273F36" w:rsidRPr="004C70EC">
        <w:rPr>
          <w:b/>
          <w:noProof/>
          <w:color w:val="000000" w:themeColor="text1"/>
          <w:szCs w:val="24"/>
        </w:rPr>
        <w:t xml:space="preserve">iotechnology </w:t>
      </w:r>
      <w:r w:rsidR="009F7ED9" w:rsidRPr="004C70EC">
        <w:rPr>
          <w:b/>
          <w:noProof/>
          <w:color w:val="000000" w:themeColor="text1"/>
          <w:szCs w:val="24"/>
        </w:rPr>
        <w:t>s</w:t>
      </w:r>
      <w:r w:rsidR="00273F36" w:rsidRPr="004C70EC">
        <w:rPr>
          <w:b/>
          <w:noProof/>
          <w:color w:val="000000" w:themeColor="text1"/>
          <w:szCs w:val="24"/>
        </w:rPr>
        <w:t xml:space="preserve">trategic </w:t>
      </w:r>
      <w:r w:rsidR="009F7ED9" w:rsidRPr="004C70EC">
        <w:rPr>
          <w:b/>
          <w:noProof/>
          <w:color w:val="000000" w:themeColor="text1"/>
          <w:szCs w:val="24"/>
        </w:rPr>
        <w:t>p</w:t>
      </w:r>
      <w:r w:rsidR="00273F36" w:rsidRPr="004C70EC">
        <w:rPr>
          <w:b/>
          <w:noProof/>
          <w:color w:val="000000" w:themeColor="text1"/>
          <w:szCs w:val="24"/>
        </w:rPr>
        <w:t>rojects</w:t>
      </w:r>
    </w:p>
    <w:p w14:paraId="3DC0ED74" w14:textId="77777777" w:rsidR="00273F36" w:rsidRPr="004C70EC" w:rsidRDefault="2F263E33" w:rsidP="007C6B1E">
      <w:pPr>
        <w:pStyle w:val="Point0"/>
        <w:rPr>
          <w:noProof/>
          <w:color w:val="000000" w:themeColor="text1"/>
          <w:lang w:eastAsia="en-GB"/>
        </w:rPr>
      </w:pPr>
      <w:bookmarkStart w:id="19" w:name="_Hlk211692258"/>
      <w:r w:rsidRPr="004C70EC">
        <w:rPr>
          <w:noProof/>
          <w:color w:val="000000" w:themeColor="text1"/>
          <w:lang w:eastAsia="en-GB"/>
        </w:rPr>
        <w:t>1.</w:t>
      </w:r>
      <w:r w:rsidR="00273F36" w:rsidRPr="004C70EC">
        <w:rPr>
          <w:noProof/>
          <w:color w:val="000000" w:themeColor="text1"/>
        </w:rPr>
        <w:tab/>
      </w:r>
      <w:bookmarkStart w:id="20" w:name="_Hlk215686909"/>
      <w:r w:rsidR="521B931F" w:rsidRPr="004C70EC">
        <w:rPr>
          <w:noProof/>
          <w:color w:val="000000" w:themeColor="text1"/>
        </w:rPr>
        <w:t xml:space="preserve">To enable </w:t>
      </w:r>
      <w:r w:rsidR="3CB507B9" w:rsidRPr="004C70EC">
        <w:rPr>
          <w:noProof/>
          <w:color w:val="000000" w:themeColor="text1"/>
        </w:rPr>
        <w:t>access</w:t>
      </w:r>
      <w:r w:rsidR="02B05653" w:rsidRPr="004C70EC">
        <w:rPr>
          <w:noProof/>
          <w:color w:val="000000" w:themeColor="text1"/>
        </w:rPr>
        <w:t xml:space="preserve"> to the support </w:t>
      </w:r>
      <w:r w:rsidR="521B931F" w:rsidRPr="004C70EC">
        <w:rPr>
          <w:noProof/>
          <w:color w:val="000000" w:themeColor="text1"/>
        </w:rPr>
        <w:t xml:space="preserve">measures </w:t>
      </w:r>
      <w:r w:rsidR="00FF2F88" w:rsidRPr="004C70EC">
        <w:rPr>
          <w:noProof/>
          <w:color w:val="000000" w:themeColor="text1"/>
        </w:rPr>
        <w:t>l</w:t>
      </w:r>
      <w:r w:rsidR="702E0222" w:rsidRPr="004C70EC">
        <w:rPr>
          <w:noProof/>
          <w:color w:val="000000" w:themeColor="text1"/>
        </w:rPr>
        <w:t xml:space="preserve">aid down </w:t>
      </w:r>
      <w:r w:rsidR="521B931F" w:rsidRPr="004C70EC">
        <w:rPr>
          <w:noProof/>
          <w:color w:val="000000" w:themeColor="text1"/>
        </w:rPr>
        <w:t xml:space="preserve">in </w:t>
      </w:r>
      <w:r w:rsidR="00AD4210" w:rsidRPr="004C70EC">
        <w:rPr>
          <w:noProof/>
          <w:color w:val="000000" w:themeColor="text1"/>
        </w:rPr>
        <w:t>Section 2 of Chapter II</w:t>
      </w:r>
      <w:r w:rsidR="23D2749F" w:rsidRPr="004C70EC">
        <w:rPr>
          <w:noProof/>
          <w:color w:val="000000" w:themeColor="text1"/>
        </w:rPr>
        <w:t xml:space="preserve">, </w:t>
      </w:r>
      <w:r w:rsidRPr="004C70EC">
        <w:rPr>
          <w:noProof/>
          <w:color w:val="000000" w:themeColor="text1"/>
          <w:lang w:eastAsia="en-GB"/>
        </w:rPr>
        <w:t>Member State</w:t>
      </w:r>
      <w:r w:rsidR="000BACAE" w:rsidRPr="004C70EC">
        <w:rPr>
          <w:noProof/>
          <w:color w:val="000000" w:themeColor="text1"/>
          <w:lang w:eastAsia="en-GB"/>
        </w:rPr>
        <w:t>s</w:t>
      </w:r>
      <w:r w:rsidRPr="004C70EC">
        <w:rPr>
          <w:noProof/>
          <w:color w:val="000000" w:themeColor="text1"/>
          <w:lang w:eastAsia="en-GB"/>
        </w:rPr>
        <w:t xml:space="preserve"> shall recognise project</w:t>
      </w:r>
      <w:r w:rsidR="3AB6373F" w:rsidRPr="004C70EC">
        <w:rPr>
          <w:noProof/>
          <w:color w:val="000000" w:themeColor="text1"/>
          <w:lang w:eastAsia="en-GB"/>
        </w:rPr>
        <w:t xml:space="preserve">s </w:t>
      </w:r>
      <w:r w:rsidRPr="004C70EC">
        <w:rPr>
          <w:noProof/>
          <w:color w:val="000000" w:themeColor="text1"/>
          <w:lang w:eastAsia="en-GB"/>
        </w:rPr>
        <w:t xml:space="preserve">located in the </w:t>
      </w:r>
      <w:r w:rsidR="0013419B" w:rsidRPr="004C70EC">
        <w:rPr>
          <w:noProof/>
          <w:color w:val="000000" w:themeColor="text1"/>
          <w:lang w:eastAsia="en-GB"/>
        </w:rPr>
        <w:t>Union</w:t>
      </w:r>
      <w:r w:rsidR="7D3188A6" w:rsidRPr="004C70EC">
        <w:rPr>
          <w:noProof/>
          <w:color w:val="000000" w:themeColor="text1"/>
          <w:lang w:eastAsia="en-GB"/>
        </w:rPr>
        <w:t xml:space="preserve">, </w:t>
      </w:r>
      <w:r w:rsidR="2F52BE60" w:rsidRPr="004C70EC">
        <w:rPr>
          <w:noProof/>
          <w:color w:val="000000" w:themeColor="text1"/>
          <w:lang w:eastAsia="en-GB"/>
        </w:rPr>
        <w:t xml:space="preserve">by means of a </w:t>
      </w:r>
      <w:r w:rsidR="23DF854D" w:rsidRPr="004C70EC">
        <w:rPr>
          <w:noProof/>
          <w:color w:val="000000" w:themeColor="text1"/>
          <w:lang w:eastAsia="en-GB"/>
        </w:rPr>
        <w:t xml:space="preserve">reasoned </w:t>
      </w:r>
      <w:r w:rsidR="2F52BE60" w:rsidRPr="004C70EC">
        <w:rPr>
          <w:noProof/>
          <w:color w:val="000000" w:themeColor="text1"/>
          <w:lang w:eastAsia="en-GB"/>
        </w:rPr>
        <w:t>decision</w:t>
      </w:r>
      <w:r w:rsidR="08F57C16" w:rsidRPr="004C70EC">
        <w:rPr>
          <w:noProof/>
          <w:color w:val="000000" w:themeColor="text1"/>
          <w:lang w:eastAsia="en-GB"/>
        </w:rPr>
        <w:t>,</w:t>
      </w:r>
      <w:r w:rsidR="2F52BE60" w:rsidRPr="004C70EC">
        <w:rPr>
          <w:noProof/>
          <w:color w:val="000000" w:themeColor="text1"/>
          <w:lang w:eastAsia="en-GB"/>
        </w:rPr>
        <w:t xml:space="preserve"> </w:t>
      </w:r>
      <w:r w:rsidRPr="004C70EC">
        <w:rPr>
          <w:noProof/>
          <w:color w:val="000000" w:themeColor="text1"/>
          <w:lang w:eastAsia="en-GB"/>
        </w:rPr>
        <w:t xml:space="preserve">as </w:t>
      </w:r>
      <w:r w:rsidR="6FDD658B" w:rsidRPr="004C70EC">
        <w:rPr>
          <w:noProof/>
          <w:color w:val="000000" w:themeColor="text1"/>
          <w:lang w:eastAsia="en-GB"/>
        </w:rPr>
        <w:t xml:space="preserve">health </w:t>
      </w:r>
      <w:r w:rsidRPr="004C70EC">
        <w:rPr>
          <w:noProof/>
          <w:color w:val="000000" w:themeColor="text1"/>
          <w:lang w:eastAsia="en-GB"/>
        </w:rPr>
        <w:t>biotechnology strategic project</w:t>
      </w:r>
      <w:r w:rsidR="3AB6373F" w:rsidRPr="004C70EC">
        <w:rPr>
          <w:noProof/>
          <w:color w:val="000000" w:themeColor="text1"/>
          <w:lang w:eastAsia="en-GB"/>
        </w:rPr>
        <w:t>s</w:t>
      </w:r>
      <w:r w:rsidRPr="004C70EC">
        <w:rPr>
          <w:noProof/>
          <w:color w:val="000000" w:themeColor="text1"/>
          <w:lang w:eastAsia="en-GB"/>
        </w:rPr>
        <w:t xml:space="preserve"> if </w:t>
      </w:r>
      <w:r w:rsidR="3AB6373F" w:rsidRPr="004C70EC">
        <w:rPr>
          <w:noProof/>
          <w:color w:val="000000" w:themeColor="text1"/>
          <w:lang w:eastAsia="en-GB"/>
        </w:rPr>
        <w:t>they</w:t>
      </w:r>
      <w:r w:rsidRPr="004C70EC">
        <w:rPr>
          <w:noProof/>
          <w:color w:val="000000" w:themeColor="text1"/>
          <w:lang w:eastAsia="en-GB"/>
        </w:rPr>
        <w:t xml:space="preserve"> make a substantial contribution to at least one of the following specific objectives: </w:t>
      </w:r>
    </w:p>
    <w:bookmarkEnd w:id="20"/>
    <w:p w14:paraId="2D624CD0" w14:textId="77777777" w:rsidR="00273F36" w:rsidRPr="004C70EC" w:rsidRDefault="007C6B1E" w:rsidP="007C6B1E">
      <w:pPr>
        <w:pStyle w:val="Point1"/>
        <w:rPr>
          <w:noProof/>
          <w:color w:val="000000" w:themeColor="text1"/>
          <w:lang w:eastAsia="en-GB"/>
        </w:rPr>
      </w:pPr>
      <w:r w:rsidRPr="004C70EC">
        <w:rPr>
          <w:noProof/>
          <w:color w:val="000000" w:themeColor="text1"/>
          <w:lang w:eastAsia="en-GB"/>
        </w:rPr>
        <w:t>(a)</w:t>
      </w:r>
      <w:r w:rsidRPr="004C70EC">
        <w:rPr>
          <w:noProof/>
          <w:color w:val="000000" w:themeColor="text1"/>
          <w:lang w:eastAsia="en-GB"/>
        </w:rPr>
        <w:tab/>
      </w:r>
      <w:r w:rsidR="00273F36" w:rsidRPr="004C70EC">
        <w:rPr>
          <w:noProof/>
          <w:color w:val="000000" w:themeColor="text1"/>
          <w:lang w:eastAsia="en-GB"/>
        </w:rPr>
        <w:t xml:space="preserve">strengthening the industrial capacity and value chains in the </w:t>
      </w:r>
      <w:r w:rsidR="00797242" w:rsidRPr="004C70EC">
        <w:rPr>
          <w:noProof/>
          <w:color w:val="000000" w:themeColor="text1"/>
          <w:lang w:eastAsia="en-GB"/>
        </w:rPr>
        <w:t xml:space="preserve">health </w:t>
      </w:r>
      <w:r w:rsidR="00273F36" w:rsidRPr="004C70EC">
        <w:rPr>
          <w:noProof/>
          <w:color w:val="000000" w:themeColor="text1"/>
          <w:lang w:eastAsia="en-GB"/>
        </w:rPr>
        <w:t>biotechnology sector, through one or more of the following</w:t>
      </w:r>
      <w:r w:rsidR="00517D51" w:rsidRPr="004C70EC">
        <w:rPr>
          <w:noProof/>
          <w:color w:val="000000" w:themeColor="text1"/>
          <w:lang w:eastAsia="en-GB"/>
        </w:rPr>
        <w:t xml:space="preserve"> </w:t>
      </w:r>
      <w:r w:rsidR="00D46F5E" w:rsidRPr="004C70EC">
        <w:rPr>
          <w:noProof/>
          <w:color w:val="000000" w:themeColor="text1"/>
          <w:lang w:eastAsia="en-GB"/>
        </w:rPr>
        <w:t>activities</w:t>
      </w:r>
      <w:r w:rsidR="00E42301" w:rsidRPr="004C70EC">
        <w:rPr>
          <w:noProof/>
          <w:color w:val="000000" w:themeColor="text1"/>
          <w:lang w:eastAsia="en-GB"/>
        </w:rPr>
        <w:t>:</w:t>
      </w:r>
    </w:p>
    <w:p w14:paraId="2F29A0F4" w14:textId="77777777" w:rsidR="00273F36" w:rsidRPr="004C70EC" w:rsidRDefault="007C6B1E" w:rsidP="007C6B1E">
      <w:pPr>
        <w:pStyle w:val="Point2"/>
        <w:rPr>
          <w:noProof/>
          <w:color w:val="000000" w:themeColor="text1"/>
          <w:lang w:eastAsia="en-GB"/>
        </w:rPr>
      </w:pPr>
      <w:r w:rsidRPr="004C70EC">
        <w:rPr>
          <w:noProof/>
          <w:color w:val="000000" w:themeColor="text1"/>
          <w:lang w:eastAsia="en-GB"/>
        </w:rPr>
        <w:t>(i)</w:t>
      </w:r>
      <w:r w:rsidRPr="004C70EC">
        <w:rPr>
          <w:noProof/>
          <w:color w:val="000000" w:themeColor="text1"/>
          <w:lang w:eastAsia="en-GB"/>
        </w:rPr>
        <w:tab/>
      </w:r>
      <w:r w:rsidR="00273F36" w:rsidRPr="004C70EC">
        <w:rPr>
          <w:noProof/>
          <w:color w:val="000000" w:themeColor="text1"/>
          <w:lang w:eastAsia="en-GB"/>
        </w:rPr>
        <w:t xml:space="preserve">pooling resources and expertise among research organisations, biotechnology industry actors and/or public authorities within the Union; </w:t>
      </w:r>
    </w:p>
    <w:p w14:paraId="6B107EDD" w14:textId="77777777" w:rsidR="00273F36" w:rsidRPr="004C70EC" w:rsidRDefault="007C6B1E" w:rsidP="007C6B1E">
      <w:pPr>
        <w:pStyle w:val="Point2"/>
        <w:rPr>
          <w:rFonts w:eastAsia="Times New Roman"/>
          <w:noProof/>
          <w:color w:val="000000" w:themeColor="text1"/>
          <w:szCs w:val="24"/>
          <w:lang w:eastAsia="en-GB"/>
        </w:rPr>
      </w:pPr>
      <w:r w:rsidRPr="004C70EC">
        <w:rPr>
          <w:rFonts w:eastAsia="Times New Roman"/>
          <w:noProof/>
          <w:color w:val="000000" w:themeColor="text1"/>
          <w:szCs w:val="24"/>
          <w:lang w:eastAsia="en-GB"/>
        </w:rPr>
        <w:t>(ii)</w:t>
      </w:r>
      <w:r w:rsidRPr="004C70EC">
        <w:rPr>
          <w:rFonts w:eastAsia="Times New Roman"/>
          <w:noProof/>
          <w:color w:val="000000" w:themeColor="text1"/>
          <w:szCs w:val="24"/>
          <w:lang w:eastAsia="en-GB"/>
        </w:rPr>
        <w:tab/>
      </w:r>
      <w:r w:rsidR="00273F36" w:rsidRPr="004C70EC">
        <w:rPr>
          <w:rFonts w:eastAsia="Times New Roman"/>
          <w:noProof/>
          <w:color w:val="000000" w:themeColor="text1"/>
          <w:szCs w:val="24"/>
          <w:lang w:eastAsia="en-GB"/>
        </w:rPr>
        <w:t xml:space="preserve">creating new, or significantly expanding, production facilities for biotechnology products, in particular in biotechnology sectors where such facilities do not exist or where they are limited, including for biosimilars; </w:t>
      </w:r>
    </w:p>
    <w:p w14:paraId="72DFD666" w14:textId="77777777" w:rsidR="00273F36" w:rsidRPr="004C70EC" w:rsidRDefault="007C6B1E" w:rsidP="007C6B1E">
      <w:pPr>
        <w:pStyle w:val="Point2"/>
        <w:rPr>
          <w:rFonts w:eastAsia="Times New Roman"/>
          <w:noProof/>
          <w:color w:val="000000" w:themeColor="text1"/>
          <w:szCs w:val="24"/>
          <w:lang w:eastAsia="en-GB"/>
        </w:rPr>
      </w:pPr>
      <w:r w:rsidRPr="004C70EC">
        <w:rPr>
          <w:rFonts w:eastAsiaTheme="minorEastAsia"/>
          <w:noProof/>
          <w:color w:val="000000" w:themeColor="text1"/>
          <w:szCs w:val="24"/>
          <w:lang w:eastAsia="ja-JP"/>
        </w:rPr>
        <w:t>(iii)</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 xml:space="preserve">creating or upgrading </w:t>
      </w:r>
      <w:r w:rsidR="00204810" w:rsidRPr="004C70EC">
        <w:rPr>
          <w:rFonts w:eastAsiaTheme="minorEastAsia"/>
          <w:noProof/>
          <w:color w:val="000000" w:themeColor="text1"/>
          <w:szCs w:val="24"/>
          <w:lang w:eastAsia="ja-JP"/>
        </w:rPr>
        <w:t>industrial scale</w:t>
      </w:r>
      <w:r w:rsidR="00273F36" w:rsidRPr="004C70EC">
        <w:rPr>
          <w:rFonts w:eastAsiaTheme="minorEastAsia"/>
          <w:noProof/>
          <w:color w:val="000000" w:themeColor="text1"/>
          <w:szCs w:val="24"/>
          <w:lang w:eastAsia="ja-JP"/>
        </w:rPr>
        <w:t xml:space="preserve"> biomanufacturing sites with innovative, sustainable, safe and digitally enabled processes and technologies; </w:t>
      </w:r>
    </w:p>
    <w:p w14:paraId="1030F979" w14:textId="77777777" w:rsidR="00273F36" w:rsidRPr="004C70EC" w:rsidRDefault="007C6B1E" w:rsidP="007C6B1E">
      <w:pPr>
        <w:pStyle w:val="Point2"/>
        <w:rPr>
          <w:rFonts w:eastAsia="Times New Roman"/>
          <w:noProof/>
          <w:color w:val="000000" w:themeColor="text1"/>
          <w:szCs w:val="24"/>
          <w:lang w:eastAsia="en-GB"/>
        </w:rPr>
      </w:pPr>
      <w:r w:rsidRPr="004C70EC">
        <w:rPr>
          <w:rFonts w:eastAsiaTheme="minorEastAsia"/>
          <w:noProof/>
          <w:color w:val="000000" w:themeColor="text1"/>
          <w:szCs w:val="24"/>
          <w:lang w:eastAsia="ja-JP"/>
        </w:rPr>
        <w:t>(iv)</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 xml:space="preserve">reducing dependencies on third-country suppliers for key biotechnology inputs and intermediates; </w:t>
      </w:r>
    </w:p>
    <w:p w14:paraId="41DF5885" w14:textId="77777777" w:rsidR="00273F36" w:rsidRPr="004C70EC" w:rsidRDefault="007C6B1E" w:rsidP="007C6B1E">
      <w:pPr>
        <w:pStyle w:val="Point2"/>
        <w:rPr>
          <w:rFonts w:eastAsia="Times New Roman"/>
          <w:noProof/>
          <w:color w:val="000000" w:themeColor="text1"/>
          <w:szCs w:val="24"/>
          <w:lang w:eastAsia="en-GB"/>
        </w:rPr>
      </w:pPr>
      <w:r w:rsidRPr="004C70EC">
        <w:rPr>
          <w:rFonts w:eastAsiaTheme="minorEastAsia"/>
          <w:noProof/>
          <w:color w:val="000000" w:themeColor="text1"/>
          <w:szCs w:val="24"/>
          <w:lang w:eastAsia="ja-JP"/>
        </w:rPr>
        <w:t>(v)</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integrating advanced digital and AI-driven manufacturing and supply-chain management systems to enhance productivity, traceability and sustainability across biotechnology value chains</w:t>
      </w:r>
      <w:r w:rsidR="00972293" w:rsidRPr="004C70EC">
        <w:rPr>
          <w:rFonts w:eastAsiaTheme="minorEastAsia"/>
          <w:noProof/>
          <w:color w:val="000000" w:themeColor="text1"/>
          <w:szCs w:val="24"/>
          <w:lang w:eastAsia="ja-JP"/>
        </w:rPr>
        <w:t>;</w:t>
      </w:r>
    </w:p>
    <w:p w14:paraId="3053BDAF" w14:textId="77777777" w:rsidR="00273F36" w:rsidRPr="004C70EC" w:rsidRDefault="007C6B1E" w:rsidP="007C6B1E">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(b)</w:t>
      </w:r>
      <w:r w:rsidRPr="004C70EC">
        <w:rPr>
          <w:rFonts w:eastAsiaTheme="minorEastAsia"/>
          <w:noProof/>
          <w:color w:val="000000" w:themeColor="text1"/>
          <w:szCs w:val="24"/>
          <w:lang w:eastAsia="ja-JP"/>
        </w:rPr>
        <w:tab/>
      </w:r>
      <w:r w:rsidR="00A166B4" w:rsidRPr="004C70EC">
        <w:rPr>
          <w:rFonts w:eastAsiaTheme="minorEastAsia"/>
          <w:noProof/>
          <w:color w:val="000000" w:themeColor="text1"/>
          <w:szCs w:val="24"/>
          <w:lang w:eastAsia="ja-JP"/>
        </w:rPr>
        <w:t>s</w:t>
      </w:r>
      <w:r w:rsidR="00273F36" w:rsidRPr="004C70EC">
        <w:rPr>
          <w:rFonts w:eastAsiaTheme="minorEastAsia"/>
          <w:noProof/>
          <w:color w:val="000000" w:themeColor="text1"/>
          <w:szCs w:val="24"/>
          <w:lang w:eastAsia="ja-JP"/>
        </w:rPr>
        <w:t xml:space="preserve">caling-up or upgrading critical research and technology infrastructures underpinning the development, testing and validation of </w:t>
      </w:r>
      <w:r w:rsidR="00797242" w:rsidRPr="004C70EC">
        <w:rPr>
          <w:rFonts w:eastAsiaTheme="minorEastAsia"/>
          <w:noProof/>
          <w:color w:val="000000" w:themeColor="text1"/>
          <w:szCs w:val="24"/>
          <w:lang w:eastAsia="ja-JP"/>
        </w:rPr>
        <w:t xml:space="preserve">health </w:t>
      </w:r>
      <w:r w:rsidR="00273F36" w:rsidRPr="004C70EC">
        <w:rPr>
          <w:rFonts w:eastAsiaTheme="minorEastAsia"/>
          <w:noProof/>
          <w:color w:val="000000" w:themeColor="text1"/>
          <w:szCs w:val="24"/>
          <w:lang w:eastAsia="ja-JP"/>
        </w:rPr>
        <w:t>biotechnology products, including but not limited to pilot or testing infrastructures for biomanufacturing, data and digital platforms, through one or more of the following</w:t>
      </w:r>
      <w:r w:rsidR="00517D51" w:rsidRPr="004C70EC">
        <w:rPr>
          <w:rFonts w:eastAsiaTheme="minorEastAsia"/>
          <w:noProof/>
          <w:color w:val="000000" w:themeColor="text1"/>
          <w:szCs w:val="24"/>
          <w:lang w:eastAsia="ja-JP"/>
        </w:rPr>
        <w:t xml:space="preserve"> </w:t>
      </w:r>
      <w:r w:rsidR="00B10292" w:rsidRPr="004C70EC">
        <w:rPr>
          <w:rFonts w:eastAsiaTheme="minorEastAsia"/>
          <w:noProof/>
          <w:color w:val="000000" w:themeColor="text1"/>
          <w:szCs w:val="24"/>
          <w:lang w:eastAsia="ja-JP"/>
        </w:rPr>
        <w:t>activities</w:t>
      </w:r>
      <w:r w:rsidR="00273F36" w:rsidRPr="004C70EC">
        <w:rPr>
          <w:rFonts w:eastAsiaTheme="minorEastAsia"/>
          <w:noProof/>
          <w:color w:val="000000" w:themeColor="text1"/>
          <w:szCs w:val="24"/>
          <w:lang w:eastAsia="ja-JP"/>
        </w:rPr>
        <w:t>:</w:t>
      </w:r>
    </w:p>
    <w:p w14:paraId="17A0B479" w14:textId="77777777" w:rsidR="00273F36" w:rsidRPr="004C70EC" w:rsidRDefault="007C6B1E" w:rsidP="007C6B1E">
      <w:pPr>
        <w:pStyle w:val="Point2"/>
        <w:rPr>
          <w:rFonts w:eastAsiaTheme="minorEastAsia"/>
          <w:noProof/>
          <w:color w:val="000000" w:themeColor="text1"/>
          <w:szCs w:val="24"/>
          <w:lang w:eastAsia="ja-JP"/>
        </w:rPr>
      </w:pPr>
      <w:r w:rsidRPr="004C70EC">
        <w:rPr>
          <w:rFonts w:eastAsiaTheme="minorEastAsia"/>
          <w:noProof/>
          <w:color w:val="000000" w:themeColor="text1"/>
          <w:szCs w:val="24"/>
          <w:lang w:eastAsia="ja-JP"/>
        </w:rPr>
        <w:t>(i)</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establishing, expanding or upgrading pilot, testing and demonstration infrastructures linking research, development, validation and industrial deployment capacities for biotechnology products and processes; or</w:t>
      </w:r>
    </w:p>
    <w:p w14:paraId="0B384DE4" w14:textId="77777777" w:rsidR="00273F36" w:rsidRPr="004C70EC" w:rsidRDefault="007C6B1E" w:rsidP="007C6B1E">
      <w:pPr>
        <w:pStyle w:val="Point2"/>
        <w:rPr>
          <w:rFonts w:eastAsiaTheme="minorEastAsia"/>
          <w:noProof/>
          <w:color w:val="000000" w:themeColor="text1"/>
          <w:szCs w:val="24"/>
          <w:lang w:eastAsia="ja-JP"/>
        </w:rPr>
      </w:pPr>
      <w:r w:rsidRPr="004C70EC">
        <w:rPr>
          <w:rFonts w:eastAsiaTheme="minorEastAsia"/>
          <w:noProof/>
          <w:color w:val="000000" w:themeColor="text1"/>
          <w:szCs w:val="24"/>
          <w:lang w:eastAsia="ja-JP"/>
        </w:rPr>
        <w:t>(ii)</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integrating advanced digital, data and AI capabilities to enhance modelling, simulation and process optimisation; or</w:t>
      </w:r>
    </w:p>
    <w:p w14:paraId="0A10E5B2" w14:textId="77777777" w:rsidR="00273F36" w:rsidRPr="004C70EC" w:rsidRDefault="007C6B1E" w:rsidP="007C6B1E">
      <w:pPr>
        <w:pStyle w:val="Point2"/>
        <w:rPr>
          <w:rFonts w:eastAsiaTheme="minorEastAsia"/>
          <w:noProof/>
          <w:color w:val="000000" w:themeColor="text1"/>
          <w:szCs w:val="24"/>
          <w:lang w:eastAsia="ja-JP"/>
        </w:rPr>
      </w:pPr>
      <w:r w:rsidRPr="004C70EC">
        <w:rPr>
          <w:rFonts w:eastAsiaTheme="minorEastAsia"/>
          <w:noProof/>
          <w:color w:val="000000" w:themeColor="text1"/>
          <w:szCs w:val="24"/>
          <w:lang w:eastAsia="ja-JP"/>
        </w:rPr>
        <w:t>(iii)</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establishing interoperable infrastructures connecting research organisations, industry and public authorities across the Union; or</w:t>
      </w:r>
    </w:p>
    <w:p w14:paraId="4548842D" w14:textId="77777777" w:rsidR="00273F36" w:rsidRPr="004C70EC" w:rsidRDefault="66AD367E" w:rsidP="33CE1D06">
      <w:pPr>
        <w:pStyle w:val="Point2"/>
        <w:rPr>
          <w:rFonts w:eastAsiaTheme="minorEastAsia"/>
          <w:noProof/>
          <w:color w:val="000000" w:themeColor="text1"/>
          <w:lang w:eastAsia="ja-JP"/>
        </w:rPr>
      </w:pPr>
      <w:r w:rsidRPr="004C70EC">
        <w:rPr>
          <w:rFonts w:eastAsiaTheme="minorEastAsia"/>
          <w:noProof/>
          <w:color w:val="000000" w:themeColor="text1"/>
          <w:lang w:eastAsia="ja-JP"/>
        </w:rPr>
        <w:t>(iv)</w:t>
      </w:r>
      <w:r w:rsidR="007C6B1E" w:rsidRPr="004C70EC">
        <w:rPr>
          <w:noProof/>
        </w:rPr>
        <w:tab/>
      </w:r>
      <w:r w:rsidR="2F263E33" w:rsidRPr="004C70EC">
        <w:rPr>
          <w:rFonts w:eastAsiaTheme="minorEastAsia"/>
          <w:noProof/>
          <w:color w:val="000000" w:themeColor="text1"/>
          <w:lang w:eastAsia="ja-JP"/>
        </w:rPr>
        <w:t xml:space="preserve">promoting and integrating the use of </w:t>
      </w:r>
      <w:r w:rsidR="2A25979C" w:rsidRPr="004C70EC">
        <w:rPr>
          <w:rFonts w:eastAsiaTheme="minorEastAsia"/>
          <w:noProof/>
          <w:color w:val="000000" w:themeColor="text1"/>
          <w:lang w:eastAsia="ja-JP"/>
        </w:rPr>
        <w:t>NAMs</w:t>
      </w:r>
      <w:r w:rsidR="2F263E33" w:rsidRPr="004C70EC">
        <w:rPr>
          <w:rFonts w:eastAsiaTheme="minorEastAsia"/>
          <w:noProof/>
          <w:color w:val="000000" w:themeColor="text1"/>
          <w:lang w:eastAsia="ja-JP"/>
        </w:rPr>
        <w:t xml:space="preserve"> </w:t>
      </w:r>
      <w:r w:rsidR="2151D20E" w:rsidRPr="004C70EC">
        <w:rPr>
          <w:rFonts w:eastAsia="Times New Roman"/>
          <w:noProof/>
          <w:color w:val="000000" w:themeColor="text1"/>
        </w:rPr>
        <w:t xml:space="preserve">in areas such as biological research, discovery and preclinical development, regulatory and quality testing </w:t>
      </w:r>
      <w:r w:rsidR="61C8A1D4" w:rsidRPr="004C70EC">
        <w:rPr>
          <w:rFonts w:eastAsia="Times New Roman"/>
          <w:noProof/>
          <w:color w:val="000000" w:themeColor="text1"/>
        </w:rPr>
        <w:t xml:space="preserve">and </w:t>
      </w:r>
      <w:r w:rsidR="129B428C" w:rsidRPr="004C70EC">
        <w:rPr>
          <w:rFonts w:eastAsia="Times New Roman"/>
          <w:noProof/>
          <w:color w:val="000000" w:themeColor="text1"/>
        </w:rPr>
        <w:t>production</w:t>
      </w:r>
      <w:r w:rsidR="61C8A1D4" w:rsidRPr="004C70EC">
        <w:rPr>
          <w:rFonts w:eastAsia="Times New Roman"/>
          <w:noProof/>
          <w:color w:val="000000" w:themeColor="text1"/>
        </w:rPr>
        <w:t xml:space="preserve"> </w:t>
      </w:r>
      <w:r w:rsidR="2151D20E" w:rsidRPr="004C70EC">
        <w:rPr>
          <w:rFonts w:eastAsia="Times New Roman"/>
          <w:noProof/>
          <w:color w:val="000000" w:themeColor="text1"/>
        </w:rPr>
        <w:t>of medicinal products</w:t>
      </w:r>
      <w:r w:rsidR="79523A50" w:rsidRPr="004C70EC">
        <w:rPr>
          <w:rFonts w:eastAsia="Times New Roman"/>
          <w:noProof/>
          <w:color w:val="000000" w:themeColor="text1"/>
        </w:rPr>
        <w:t xml:space="preserve"> and</w:t>
      </w:r>
      <w:r w:rsidR="2151D20E" w:rsidRPr="004C70EC">
        <w:rPr>
          <w:rFonts w:eastAsia="Times New Roman"/>
          <w:noProof/>
          <w:color w:val="000000" w:themeColor="text1"/>
        </w:rPr>
        <w:t xml:space="preserve"> medical technologies</w:t>
      </w:r>
      <w:r w:rsidR="2F263E33" w:rsidRPr="004C70EC">
        <w:rPr>
          <w:rFonts w:eastAsiaTheme="minorEastAsia"/>
          <w:noProof/>
          <w:color w:val="000000" w:themeColor="text1"/>
          <w:lang w:eastAsia="ja-JP"/>
        </w:rPr>
        <w:t>.</w:t>
      </w:r>
    </w:p>
    <w:p w14:paraId="0A039A21" w14:textId="77777777" w:rsidR="00273F36" w:rsidRPr="004C70EC" w:rsidRDefault="007C6B1E" w:rsidP="007C6B1E">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en-GB"/>
        </w:rPr>
        <w:t>(c)</w:t>
      </w:r>
      <w:r w:rsidRPr="004C70EC">
        <w:rPr>
          <w:rFonts w:eastAsia="Times New Roman"/>
          <w:noProof/>
          <w:color w:val="000000" w:themeColor="text1"/>
          <w:szCs w:val="24"/>
          <w:lang w:eastAsia="en-GB"/>
        </w:rPr>
        <w:tab/>
      </w:r>
      <w:r w:rsidR="00273F36" w:rsidRPr="004C70EC">
        <w:rPr>
          <w:rFonts w:eastAsia="Times New Roman"/>
          <w:noProof/>
          <w:color w:val="000000" w:themeColor="text1"/>
          <w:szCs w:val="24"/>
          <w:lang w:eastAsia="en-GB"/>
        </w:rPr>
        <w:t xml:space="preserve">accelerating innovation and technology deployment </w:t>
      </w:r>
      <w:r w:rsidR="00797242" w:rsidRPr="004C70EC">
        <w:rPr>
          <w:rFonts w:eastAsia="Times New Roman"/>
          <w:noProof/>
          <w:color w:val="000000" w:themeColor="text1"/>
          <w:szCs w:val="24"/>
          <w:lang w:eastAsia="en-GB"/>
        </w:rPr>
        <w:t xml:space="preserve">in health biotechnology </w:t>
      </w:r>
      <w:r w:rsidR="00273F36" w:rsidRPr="004C70EC">
        <w:rPr>
          <w:rFonts w:eastAsia="Times New Roman"/>
          <w:noProof/>
          <w:color w:val="000000" w:themeColor="text1"/>
          <w:szCs w:val="24"/>
          <w:lang w:eastAsia="en-GB"/>
        </w:rPr>
        <w:t xml:space="preserve">through one or more of the following </w:t>
      </w:r>
      <w:r w:rsidR="00B10292" w:rsidRPr="004C70EC">
        <w:rPr>
          <w:rFonts w:eastAsia="Times New Roman"/>
          <w:noProof/>
          <w:color w:val="000000" w:themeColor="text1"/>
          <w:szCs w:val="24"/>
          <w:lang w:eastAsia="en-GB"/>
        </w:rPr>
        <w:t>activities</w:t>
      </w:r>
      <w:r w:rsidR="00273F36" w:rsidRPr="004C70EC">
        <w:rPr>
          <w:rFonts w:eastAsia="Times New Roman"/>
          <w:noProof/>
          <w:color w:val="000000" w:themeColor="text1"/>
          <w:szCs w:val="24"/>
          <w:lang w:eastAsia="en-GB"/>
        </w:rPr>
        <w:t>:</w:t>
      </w:r>
    </w:p>
    <w:p w14:paraId="473C870E" w14:textId="77777777" w:rsidR="00273F36" w:rsidRPr="004C70EC" w:rsidRDefault="007C6B1E" w:rsidP="007C6B1E">
      <w:pPr>
        <w:pStyle w:val="Point2"/>
        <w:rPr>
          <w:noProof/>
          <w:color w:val="000000" w:themeColor="text1"/>
          <w:szCs w:val="24"/>
        </w:rPr>
      </w:pPr>
      <w:r w:rsidRPr="004C70EC">
        <w:rPr>
          <w:noProof/>
          <w:color w:val="000000" w:themeColor="text1"/>
          <w:szCs w:val="24"/>
        </w:rPr>
        <w:t>(i)</w:t>
      </w:r>
      <w:r w:rsidRPr="004C70EC">
        <w:rPr>
          <w:noProof/>
          <w:color w:val="000000" w:themeColor="text1"/>
          <w:szCs w:val="24"/>
        </w:rPr>
        <w:tab/>
      </w:r>
      <w:r w:rsidR="00273F36" w:rsidRPr="004C70EC">
        <w:rPr>
          <w:noProof/>
          <w:color w:val="000000" w:themeColor="text1"/>
          <w:szCs w:val="24"/>
        </w:rPr>
        <w:t>introducing or scaling up breakthrough innovations in biotechnology that have the potential to strengthen the Union’s industrial competitiveness, including AI-enabled technologies and tools;</w:t>
      </w:r>
    </w:p>
    <w:p w14:paraId="7815FE39" w14:textId="77777777" w:rsidR="00273F36" w:rsidRPr="004C70EC" w:rsidRDefault="007C6B1E" w:rsidP="007C6B1E">
      <w:pPr>
        <w:pStyle w:val="Point2"/>
        <w:rPr>
          <w:noProof/>
          <w:color w:val="000000" w:themeColor="text1"/>
          <w:szCs w:val="24"/>
        </w:rPr>
      </w:pPr>
      <w:r w:rsidRPr="004C70EC">
        <w:rPr>
          <w:noProof/>
          <w:color w:val="000000" w:themeColor="text1"/>
          <w:szCs w:val="24"/>
        </w:rPr>
        <w:t>(ii)</w:t>
      </w:r>
      <w:r w:rsidRPr="004C70EC">
        <w:rPr>
          <w:noProof/>
          <w:color w:val="000000" w:themeColor="text1"/>
          <w:szCs w:val="24"/>
        </w:rPr>
        <w:tab/>
      </w:r>
      <w:r w:rsidR="00273F36" w:rsidRPr="004C70EC">
        <w:rPr>
          <w:noProof/>
          <w:color w:val="000000" w:themeColor="text1"/>
          <w:szCs w:val="24"/>
        </w:rPr>
        <w:t xml:space="preserve">supporting SMEs, start-ups </w:t>
      </w:r>
      <w:r w:rsidR="00273F36" w:rsidRPr="004C70EC">
        <w:rPr>
          <w:rFonts w:eastAsiaTheme="majorEastAsia"/>
          <w:noProof/>
          <w:color w:val="000000" w:themeColor="text1"/>
          <w:szCs w:val="24"/>
          <w:lang w:eastAsia="ja-JP"/>
        </w:rPr>
        <w:t>and scale-ups</w:t>
      </w:r>
      <w:r w:rsidR="00273F36" w:rsidRPr="004C70EC">
        <w:rPr>
          <w:noProof/>
          <w:color w:val="000000" w:themeColor="text1"/>
          <w:szCs w:val="24"/>
        </w:rPr>
        <w:t>, universities and research centres in accessing advanced biomanufacturing and laboratory capacities;</w:t>
      </w:r>
    </w:p>
    <w:p w14:paraId="7EC6BE40" w14:textId="77777777" w:rsidR="00273F36" w:rsidRPr="004C70EC" w:rsidRDefault="007C6B1E" w:rsidP="007C6B1E">
      <w:pPr>
        <w:pStyle w:val="Point2"/>
        <w:rPr>
          <w:noProof/>
          <w:color w:val="000000" w:themeColor="text1"/>
          <w:szCs w:val="24"/>
        </w:rPr>
      </w:pPr>
      <w:r w:rsidRPr="004C70EC">
        <w:rPr>
          <w:noProof/>
          <w:color w:val="000000" w:themeColor="text1"/>
          <w:szCs w:val="24"/>
        </w:rPr>
        <w:t>(iii)</w:t>
      </w:r>
      <w:r w:rsidRPr="004C70EC">
        <w:rPr>
          <w:noProof/>
          <w:color w:val="000000" w:themeColor="text1"/>
          <w:szCs w:val="24"/>
        </w:rPr>
        <w:tab/>
      </w:r>
      <w:r w:rsidR="00273F36" w:rsidRPr="004C70EC">
        <w:rPr>
          <w:noProof/>
          <w:color w:val="000000" w:themeColor="text1"/>
          <w:szCs w:val="24"/>
        </w:rPr>
        <w:t>promoting technology transfer and collaboration with corresponding facilities in third countries, where Union-led partnerships are established under Union law.</w:t>
      </w:r>
    </w:p>
    <w:p w14:paraId="297D8CAC" w14:textId="77777777" w:rsidR="00273F36" w:rsidRPr="004C70EC" w:rsidRDefault="007C6B1E" w:rsidP="007C6B1E">
      <w:pPr>
        <w:pStyle w:val="Point1"/>
        <w:rPr>
          <w:rFonts w:eastAsia="Times New Roman"/>
          <w:noProof/>
          <w:color w:val="000000" w:themeColor="text1"/>
          <w:lang w:eastAsia="en-GB"/>
        </w:rPr>
      </w:pPr>
      <w:r w:rsidRPr="004C70EC">
        <w:rPr>
          <w:rFonts w:eastAsia="Times New Roman"/>
          <w:noProof/>
          <w:color w:val="000000" w:themeColor="text1"/>
          <w:lang w:eastAsia="en-GB"/>
        </w:rPr>
        <w:t>(d)</w:t>
      </w:r>
      <w:r w:rsidRPr="004C70EC">
        <w:rPr>
          <w:noProof/>
        </w:rPr>
        <w:tab/>
      </w:r>
      <w:r w:rsidR="00273F36" w:rsidRPr="004C70EC">
        <w:rPr>
          <w:rFonts w:eastAsia="Times New Roman"/>
          <w:noProof/>
          <w:color w:val="000000" w:themeColor="text1"/>
          <w:lang w:eastAsia="en-GB"/>
        </w:rPr>
        <w:t xml:space="preserve">addressing talent and skills needs or preventing shortages of talent and skills critical to all kinds of jobs in support of the strengthening of the </w:t>
      </w:r>
      <w:r w:rsidR="00797242" w:rsidRPr="004C70EC">
        <w:rPr>
          <w:rFonts w:eastAsia="Times New Roman"/>
          <w:noProof/>
          <w:color w:val="000000" w:themeColor="text1"/>
          <w:lang w:eastAsia="en-GB"/>
        </w:rPr>
        <w:t xml:space="preserve">health </w:t>
      </w:r>
      <w:r w:rsidR="00273F36" w:rsidRPr="004C70EC">
        <w:rPr>
          <w:rFonts w:eastAsia="Times New Roman"/>
          <w:noProof/>
          <w:color w:val="000000" w:themeColor="text1"/>
          <w:lang w:eastAsia="en-GB"/>
        </w:rPr>
        <w:t>biotechnology and biomanufacturing sectors</w:t>
      </w:r>
      <w:r w:rsidR="00796A73" w:rsidRPr="004C70EC">
        <w:rPr>
          <w:rFonts w:eastAsia="Times New Roman"/>
          <w:noProof/>
          <w:color w:val="000000" w:themeColor="text1"/>
          <w:lang w:eastAsia="en-GB"/>
        </w:rPr>
        <w:t>, and support</w:t>
      </w:r>
      <w:r w:rsidR="005D198B" w:rsidRPr="004C70EC">
        <w:rPr>
          <w:rFonts w:eastAsia="Times New Roman"/>
          <w:noProof/>
          <w:color w:val="000000" w:themeColor="text1"/>
          <w:lang w:eastAsia="en-GB"/>
        </w:rPr>
        <w:t>ing</w:t>
      </w:r>
      <w:r w:rsidR="00796A73" w:rsidRPr="004C70EC">
        <w:rPr>
          <w:rFonts w:eastAsia="Times New Roman"/>
          <w:noProof/>
          <w:color w:val="000000" w:themeColor="text1"/>
          <w:lang w:eastAsia="en-GB"/>
        </w:rPr>
        <w:t xml:space="preserve"> the creation and maintenance of quality jobs in the EU </w:t>
      </w:r>
      <w:r w:rsidR="00273F36" w:rsidRPr="004C70EC">
        <w:rPr>
          <w:rFonts w:eastAsia="Times New Roman"/>
          <w:noProof/>
          <w:color w:val="000000" w:themeColor="text1"/>
          <w:lang w:eastAsia="en-GB"/>
        </w:rPr>
        <w:t>through one or more of the following</w:t>
      </w:r>
      <w:r w:rsidR="00285D7F" w:rsidRPr="004C70EC">
        <w:rPr>
          <w:rFonts w:eastAsia="Times New Roman"/>
          <w:noProof/>
          <w:color w:val="000000" w:themeColor="text1"/>
          <w:lang w:eastAsia="en-GB"/>
        </w:rPr>
        <w:t xml:space="preserve"> </w:t>
      </w:r>
      <w:r w:rsidR="00B10292" w:rsidRPr="004C70EC">
        <w:rPr>
          <w:rFonts w:eastAsia="Times New Roman"/>
          <w:noProof/>
          <w:color w:val="000000" w:themeColor="text1"/>
          <w:lang w:eastAsia="en-GB"/>
        </w:rPr>
        <w:t>activities</w:t>
      </w:r>
      <w:r w:rsidR="00273F36" w:rsidRPr="004C70EC">
        <w:rPr>
          <w:rFonts w:eastAsia="Times New Roman"/>
          <w:noProof/>
          <w:color w:val="000000" w:themeColor="text1"/>
          <w:lang w:eastAsia="en-GB"/>
        </w:rPr>
        <w:t>:</w:t>
      </w:r>
    </w:p>
    <w:p w14:paraId="508A59DB" w14:textId="77777777" w:rsidR="00273F36" w:rsidRPr="004C70EC" w:rsidRDefault="007C6B1E" w:rsidP="007C6B1E">
      <w:pPr>
        <w:pStyle w:val="Point2"/>
        <w:rPr>
          <w:noProof/>
          <w:color w:val="000000" w:themeColor="text1"/>
          <w:szCs w:val="24"/>
        </w:rPr>
      </w:pPr>
      <w:r w:rsidRPr="004C70EC">
        <w:rPr>
          <w:noProof/>
          <w:color w:val="000000" w:themeColor="text1"/>
          <w:szCs w:val="24"/>
        </w:rPr>
        <w:t>(i)</w:t>
      </w:r>
      <w:r w:rsidRPr="004C70EC">
        <w:rPr>
          <w:noProof/>
          <w:color w:val="000000" w:themeColor="text1"/>
          <w:szCs w:val="24"/>
        </w:rPr>
        <w:tab/>
      </w:r>
      <w:r w:rsidR="00273F36" w:rsidRPr="004C70EC">
        <w:rPr>
          <w:noProof/>
          <w:color w:val="000000" w:themeColor="text1"/>
          <w:szCs w:val="24"/>
        </w:rPr>
        <w:t>attract</w:t>
      </w:r>
      <w:r w:rsidR="00E464D2" w:rsidRPr="004C70EC">
        <w:rPr>
          <w:noProof/>
          <w:color w:val="000000" w:themeColor="text1"/>
          <w:szCs w:val="24"/>
        </w:rPr>
        <w:t>ing</w:t>
      </w:r>
      <w:r w:rsidR="00273F36" w:rsidRPr="004C70EC">
        <w:rPr>
          <w:noProof/>
          <w:color w:val="000000" w:themeColor="text1"/>
          <w:szCs w:val="24"/>
        </w:rPr>
        <w:t xml:space="preserve"> and retain</w:t>
      </w:r>
      <w:r w:rsidR="00E464D2" w:rsidRPr="004C70EC">
        <w:rPr>
          <w:noProof/>
          <w:color w:val="000000" w:themeColor="text1"/>
          <w:szCs w:val="24"/>
        </w:rPr>
        <w:t>ing</w:t>
      </w:r>
      <w:r w:rsidR="00273F36" w:rsidRPr="004C70EC">
        <w:rPr>
          <w:noProof/>
          <w:color w:val="000000" w:themeColor="text1"/>
          <w:szCs w:val="24"/>
        </w:rPr>
        <w:t xml:space="preserve"> talent in the Union and aim</w:t>
      </w:r>
      <w:r w:rsidR="006E2DA5" w:rsidRPr="004C70EC">
        <w:rPr>
          <w:noProof/>
          <w:color w:val="000000" w:themeColor="text1"/>
          <w:szCs w:val="24"/>
        </w:rPr>
        <w:t>ing</w:t>
      </w:r>
      <w:r w:rsidR="00273F36" w:rsidRPr="004C70EC">
        <w:rPr>
          <w:noProof/>
          <w:color w:val="000000" w:themeColor="text1"/>
          <w:szCs w:val="24"/>
        </w:rPr>
        <w:t xml:space="preserve"> to provide adequate upskilling or reskilling opportunities covering the broad range of skills required for biotechnology and biomanufacturing, including technical skills, data science, </w:t>
      </w:r>
      <w:r w:rsidR="00A01DE0" w:rsidRPr="004C70EC">
        <w:rPr>
          <w:noProof/>
          <w:color w:val="000000" w:themeColor="text1"/>
          <w:szCs w:val="24"/>
        </w:rPr>
        <w:t>AI</w:t>
      </w:r>
      <w:r w:rsidR="00273F36" w:rsidRPr="004C70EC">
        <w:rPr>
          <w:noProof/>
          <w:color w:val="000000" w:themeColor="text1"/>
          <w:szCs w:val="24"/>
        </w:rPr>
        <w:t xml:space="preserve">, intellectual property and project management, and entrepreneurial skills, through activities including apprenticeships, traineeships, continuing education and training, in close cooperation with regional and local authorities, education and training institutions, businesses and social partners; </w:t>
      </w:r>
    </w:p>
    <w:p w14:paraId="66A60950" w14:textId="77777777" w:rsidR="00273F36" w:rsidRPr="004C70EC" w:rsidRDefault="007C6B1E" w:rsidP="007C6B1E">
      <w:pPr>
        <w:pStyle w:val="Point2"/>
        <w:rPr>
          <w:noProof/>
          <w:color w:val="000000" w:themeColor="text1"/>
          <w:szCs w:val="24"/>
        </w:rPr>
      </w:pPr>
      <w:r w:rsidRPr="004C70EC">
        <w:rPr>
          <w:noProof/>
          <w:color w:val="000000" w:themeColor="text1"/>
          <w:szCs w:val="24"/>
        </w:rPr>
        <w:t>(ii)</w:t>
      </w:r>
      <w:r w:rsidRPr="004C70EC">
        <w:rPr>
          <w:noProof/>
          <w:color w:val="000000" w:themeColor="text1"/>
          <w:szCs w:val="24"/>
        </w:rPr>
        <w:tab/>
      </w:r>
      <w:r w:rsidR="0026526E" w:rsidRPr="004C70EC">
        <w:rPr>
          <w:noProof/>
          <w:color w:val="000000" w:themeColor="text1"/>
          <w:szCs w:val="24"/>
        </w:rPr>
        <w:t xml:space="preserve">establishing </w:t>
      </w:r>
      <w:r w:rsidR="00273F36" w:rsidRPr="004C70EC">
        <w:rPr>
          <w:noProof/>
          <w:color w:val="000000" w:themeColor="text1"/>
          <w:szCs w:val="24"/>
        </w:rPr>
        <w:t>public-private partnerships between universities, vocational education and training providers, businesses, in particular SMEs</w:t>
      </w:r>
      <w:r w:rsidR="00273F36" w:rsidRPr="004C70EC">
        <w:rPr>
          <w:rFonts w:eastAsiaTheme="majorEastAsia"/>
          <w:noProof/>
          <w:color w:val="000000" w:themeColor="text1"/>
          <w:szCs w:val="24"/>
          <w:lang w:eastAsia="ja-JP"/>
        </w:rPr>
        <w:t>, start-ups and scale-ups</w:t>
      </w:r>
      <w:r w:rsidR="00273F36" w:rsidRPr="004C70EC">
        <w:rPr>
          <w:noProof/>
          <w:color w:val="000000" w:themeColor="text1"/>
          <w:szCs w:val="24"/>
        </w:rPr>
        <w:t xml:space="preserve">, social partners and applied research institutes; </w:t>
      </w:r>
    </w:p>
    <w:p w14:paraId="0AC02B57" w14:textId="77777777" w:rsidR="00D3143B" w:rsidRPr="004C70EC" w:rsidRDefault="007C6B1E">
      <w:pPr>
        <w:pStyle w:val="Point2"/>
        <w:rPr>
          <w:noProof/>
          <w:color w:val="000000" w:themeColor="text1"/>
          <w:szCs w:val="24"/>
        </w:rPr>
      </w:pPr>
      <w:r w:rsidRPr="004C70EC">
        <w:rPr>
          <w:noProof/>
          <w:color w:val="000000" w:themeColor="text1"/>
          <w:szCs w:val="24"/>
        </w:rPr>
        <w:t>(iii)</w:t>
      </w:r>
      <w:r w:rsidRPr="004C70EC">
        <w:rPr>
          <w:noProof/>
          <w:color w:val="000000" w:themeColor="text1"/>
          <w:szCs w:val="24"/>
        </w:rPr>
        <w:tab/>
      </w:r>
      <w:r w:rsidR="0026526E" w:rsidRPr="004C70EC">
        <w:rPr>
          <w:noProof/>
          <w:color w:val="000000" w:themeColor="text1"/>
          <w:szCs w:val="24"/>
        </w:rPr>
        <w:t xml:space="preserve">establishing </w:t>
      </w:r>
      <w:r w:rsidR="00351467" w:rsidRPr="004C70EC">
        <w:rPr>
          <w:noProof/>
          <w:color w:val="000000" w:themeColor="text1"/>
          <w:szCs w:val="24"/>
        </w:rPr>
        <w:t>u</w:t>
      </w:r>
      <w:r w:rsidR="00273F36" w:rsidRPr="004C70EC">
        <w:rPr>
          <w:noProof/>
          <w:color w:val="000000" w:themeColor="text1"/>
          <w:szCs w:val="24"/>
        </w:rPr>
        <w:t>niversity alliances, also in cooperation with employers, to improve their delivery on innovation and the development of skills and talent.</w:t>
      </w:r>
    </w:p>
    <w:p w14:paraId="094B63F4" w14:textId="77777777" w:rsidR="00273F36" w:rsidRPr="004C70EC" w:rsidRDefault="00D3143B" w:rsidP="002F364A">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en-GB"/>
        </w:rPr>
        <w:t>(e)</w:t>
      </w:r>
      <w:r w:rsidRPr="004C70EC">
        <w:rPr>
          <w:rFonts w:eastAsia="Times New Roman"/>
          <w:noProof/>
          <w:color w:val="000000" w:themeColor="text1"/>
          <w:szCs w:val="24"/>
          <w:lang w:eastAsia="en-GB"/>
        </w:rPr>
        <w:tab/>
      </w:r>
      <w:r w:rsidR="00017658" w:rsidRPr="004C70EC">
        <w:rPr>
          <w:rFonts w:eastAsia="Times New Roman"/>
          <w:noProof/>
          <w:color w:val="000000" w:themeColor="text1"/>
          <w:szCs w:val="24"/>
          <w:lang w:eastAsia="en-GB"/>
        </w:rPr>
        <w:t>c</w:t>
      </w:r>
      <w:r w:rsidRPr="004C70EC">
        <w:rPr>
          <w:rFonts w:eastAsia="Times New Roman"/>
          <w:noProof/>
          <w:color w:val="000000" w:themeColor="text1"/>
          <w:szCs w:val="24"/>
          <w:lang w:eastAsia="en-GB"/>
        </w:rPr>
        <w:t>ontribut</w:t>
      </w:r>
      <w:r w:rsidR="00017658" w:rsidRPr="004C70EC">
        <w:rPr>
          <w:rFonts w:eastAsia="Times New Roman"/>
          <w:noProof/>
          <w:color w:val="000000" w:themeColor="text1"/>
          <w:szCs w:val="24"/>
          <w:lang w:eastAsia="en-GB"/>
        </w:rPr>
        <w:t>ing</w:t>
      </w:r>
      <w:r w:rsidRPr="004C70EC">
        <w:rPr>
          <w:rFonts w:eastAsia="Times New Roman"/>
          <w:noProof/>
          <w:color w:val="000000" w:themeColor="text1"/>
          <w:szCs w:val="24"/>
          <w:lang w:eastAsia="en-GB"/>
        </w:rPr>
        <w:t xml:space="preserve"> to strengthening the EU’s preparedness and response capacity to priority health threats by supporting the development, manufacturing and supply of medical countermeasures.</w:t>
      </w:r>
    </w:p>
    <w:p w14:paraId="2C4635B9" w14:textId="77777777" w:rsidR="00BF5879" w:rsidRPr="004C70EC" w:rsidRDefault="00BF5879" w:rsidP="00431990">
      <w:pPr>
        <w:pStyle w:val="Point2"/>
        <w:ind w:left="720" w:hanging="720"/>
        <w:rPr>
          <w:rFonts w:eastAsia="Times New Roman"/>
          <w:noProof/>
          <w:color w:val="000000" w:themeColor="text1"/>
          <w:lang w:eastAsia="en-GB"/>
        </w:rPr>
      </w:pPr>
      <w:r w:rsidRPr="004C70EC">
        <w:rPr>
          <w:rFonts w:eastAsia="Times New Roman"/>
          <w:noProof/>
          <w:color w:val="000000" w:themeColor="text1"/>
          <w:lang w:eastAsia="en-GB"/>
        </w:rPr>
        <w:t>2.</w:t>
      </w:r>
      <w:r w:rsidRPr="004C70EC">
        <w:rPr>
          <w:noProof/>
          <w:color w:val="000000" w:themeColor="text1"/>
        </w:rPr>
        <w:tab/>
      </w:r>
      <w:r w:rsidR="00EA7CB0" w:rsidRPr="004C70EC">
        <w:rPr>
          <w:rFonts w:eastAsia="Times New Roman"/>
          <w:noProof/>
          <w:color w:val="000000" w:themeColor="text1"/>
          <w:lang w:eastAsia="en-GB"/>
        </w:rPr>
        <w:t xml:space="preserve">The projects referred to in paragraph 1 </w:t>
      </w:r>
      <w:r w:rsidR="00FF00B6" w:rsidRPr="004C70EC">
        <w:rPr>
          <w:rFonts w:eastAsia="Times New Roman"/>
          <w:noProof/>
          <w:color w:val="000000" w:themeColor="text1"/>
          <w:lang w:eastAsia="en-GB"/>
        </w:rPr>
        <w:t>may</w:t>
      </w:r>
      <w:r w:rsidR="00EA7CB0" w:rsidRPr="004C70EC">
        <w:rPr>
          <w:rFonts w:eastAsia="Times New Roman"/>
          <w:noProof/>
          <w:color w:val="000000" w:themeColor="text1"/>
          <w:lang w:eastAsia="en-GB"/>
        </w:rPr>
        <w:t xml:space="preserve"> </w:t>
      </w:r>
      <w:r w:rsidR="00287CC2" w:rsidRPr="004C70EC">
        <w:rPr>
          <w:rFonts w:eastAsia="Times New Roman"/>
          <w:noProof/>
          <w:color w:val="000000" w:themeColor="text1"/>
          <w:lang w:eastAsia="en-GB"/>
        </w:rPr>
        <w:t xml:space="preserve">be located on the territory of two or more </w:t>
      </w:r>
      <w:r w:rsidR="00343DC8" w:rsidRPr="004C70EC">
        <w:rPr>
          <w:rFonts w:eastAsia="Times New Roman"/>
          <w:noProof/>
          <w:color w:val="000000" w:themeColor="text1"/>
          <w:lang w:eastAsia="en-GB"/>
        </w:rPr>
        <w:t xml:space="preserve">Member States. </w:t>
      </w:r>
    </w:p>
    <w:p w14:paraId="1C87C8E2" w14:textId="77777777" w:rsidR="00273F36" w:rsidRPr="004C70EC" w:rsidRDefault="00273F36" w:rsidP="007C6B1E">
      <w:pPr>
        <w:pStyle w:val="Titrearticle"/>
        <w:rPr>
          <w:noProof/>
          <w:color w:val="000000" w:themeColor="text1"/>
        </w:rPr>
      </w:pPr>
      <w:bookmarkStart w:id="21" w:name="_Hlk215496704"/>
      <w:r w:rsidRPr="004C70EC">
        <w:rPr>
          <w:noProof/>
          <w:color w:val="000000" w:themeColor="text1"/>
        </w:rPr>
        <w:t xml:space="preserve">Article </w:t>
      </w:r>
      <w:r w:rsidR="006116D3" w:rsidRPr="004C70EC">
        <w:rPr>
          <w:noProof/>
          <w:color w:val="000000" w:themeColor="text1"/>
        </w:rPr>
        <w:t>4</w:t>
      </w:r>
    </w:p>
    <w:p w14:paraId="2032554E" w14:textId="77777777" w:rsidR="00273F36" w:rsidRPr="004C70EC" w:rsidRDefault="00273F36" w:rsidP="00273F36">
      <w:pPr>
        <w:keepNext/>
        <w:tabs>
          <w:tab w:val="left" w:pos="850"/>
        </w:tabs>
        <w:ind w:left="850" w:hanging="850"/>
        <w:jc w:val="center"/>
        <w:outlineLvl w:val="2"/>
        <w:rPr>
          <w:b/>
          <w:bCs/>
          <w:iCs/>
          <w:noProof/>
          <w:color w:val="000000" w:themeColor="text1"/>
          <w:szCs w:val="24"/>
        </w:rPr>
      </w:pPr>
      <w:r w:rsidRPr="004C70EC">
        <w:rPr>
          <w:b/>
          <w:bCs/>
          <w:iCs/>
          <w:noProof/>
          <w:color w:val="000000" w:themeColor="text1"/>
          <w:szCs w:val="24"/>
        </w:rPr>
        <w:t xml:space="preserve">High </w:t>
      </w:r>
      <w:r w:rsidR="009F7ED9" w:rsidRPr="004C70EC">
        <w:rPr>
          <w:b/>
          <w:bCs/>
          <w:iCs/>
          <w:noProof/>
          <w:color w:val="000000" w:themeColor="text1"/>
          <w:szCs w:val="24"/>
        </w:rPr>
        <w:t>i</w:t>
      </w:r>
      <w:r w:rsidRPr="004C70EC">
        <w:rPr>
          <w:b/>
          <w:bCs/>
          <w:iCs/>
          <w:noProof/>
          <w:color w:val="000000" w:themeColor="text1"/>
          <w:szCs w:val="24"/>
        </w:rPr>
        <w:t xml:space="preserve">mpact </w:t>
      </w:r>
      <w:r w:rsidR="00797242" w:rsidRPr="004C70EC">
        <w:rPr>
          <w:b/>
          <w:bCs/>
          <w:iCs/>
          <w:noProof/>
          <w:color w:val="000000" w:themeColor="text1"/>
          <w:szCs w:val="24"/>
        </w:rPr>
        <w:t>health</w:t>
      </w:r>
      <w:r w:rsidRPr="004C70EC">
        <w:rPr>
          <w:b/>
          <w:bCs/>
          <w:iCs/>
          <w:noProof/>
          <w:color w:val="000000" w:themeColor="text1"/>
          <w:szCs w:val="24"/>
        </w:rPr>
        <w:t xml:space="preserve"> </w:t>
      </w:r>
      <w:r w:rsidR="009F7ED9" w:rsidRPr="004C70EC">
        <w:rPr>
          <w:b/>
          <w:bCs/>
          <w:iCs/>
          <w:noProof/>
          <w:color w:val="000000" w:themeColor="text1"/>
          <w:szCs w:val="24"/>
        </w:rPr>
        <w:t>b</w:t>
      </w:r>
      <w:r w:rsidRPr="004C70EC">
        <w:rPr>
          <w:b/>
          <w:bCs/>
          <w:iCs/>
          <w:noProof/>
          <w:color w:val="000000" w:themeColor="text1"/>
          <w:szCs w:val="24"/>
        </w:rPr>
        <w:t xml:space="preserve">iotechnology </w:t>
      </w:r>
      <w:r w:rsidR="009F7ED9" w:rsidRPr="004C70EC">
        <w:rPr>
          <w:b/>
          <w:bCs/>
          <w:iCs/>
          <w:noProof/>
          <w:color w:val="000000" w:themeColor="text1"/>
          <w:szCs w:val="24"/>
        </w:rPr>
        <w:t>s</w:t>
      </w:r>
      <w:r w:rsidRPr="004C70EC">
        <w:rPr>
          <w:b/>
          <w:bCs/>
          <w:iCs/>
          <w:noProof/>
          <w:color w:val="000000" w:themeColor="text1"/>
          <w:szCs w:val="24"/>
        </w:rPr>
        <w:t xml:space="preserve">trategic </w:t>
      </w:r>
      <w:r w:rsidR="009F7ED9" w:rsidRPr="004C70EC">
        <w:rPr>
          <w:b/>
          <w:bCs/>
          <w:iCs/>
          <w:noProof/>
          <w:color w:val="000000" w:themeColor="text1"/>
          <w:szCs w:val="24"/>
        </w:rPr>
        <w:t>p</w:t>
      </w:r>
      <w:r w:rsidRPr="004C70EC">
        <w:rPr>
          <w:b/>
          <w:bCs/>
          <w:iCs/>
          <w:noProof/>
          <w:color w:val="000000" w:themeColor="text1"/>
          <w:szCs w:val="24"/>
        </w:rPr>
        <w:t>rojects</w:t>
      </w:r>
    </w:p>
    <w:p w14:paraId="45FF4496" w14:textId="77777777" w:rsidR="00273F36" w:rsidRPr="004C70EC" w:rsidRDefault="007C6B1E" w:rsidP="007C6B1E">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1.</w:t>
      </w:r>
      <w:r w:rsidRPr="004C70EC">
        <w:rPr>
          <w:rFonts w:eastAsiaTheme="minorEastAsia"/>
          <w:noProof/>
          <w:color w:val="000000" w:themeColor="text1"/>
          <w:szCs w:val="24"/>
          <w:lang w:eastAsia="ja-JP"/>
        </w:rPr>
        <w:tab/>
      </w:r>
      <w:r w:rsidR="00836BE3" w:rsidRPr="004C70EC">
        <w:rPr>
          <w:rFonts w:eastAsiaTheme="minorEastAsia"/>
          <w:noProof/>
          <w:color w:val="000000" w:themeColor="text1"/>
          <w:szCs w:val="24"/>
          <w:lang w:eastAsia="ja-JP"/>
        </w:rPr>
        <w:t xml:space="preserve">To enable access to </w:t>
      </w:r>
      <w:r w:rsidR="003566C8" w:rsidRPr="004C70EC">
        <w:rPr>
          <w:rFonts w:eastAsiaTheme="minorEastAsia"/>
          <w:noProof/>
          <w:color w:val="000000" w:themeColor="text1"/>
          <w:szCs w:val="24"/>
          <w:lang w:eastAsia="ja-JP"/>
        </w:rPr>
        <w:t xml:space="preserve">the </w:t>
      </w:r>
      <w:r w:rsidR="00836BE3" w:rsidRPr="004C70EC">
        <w:rPr>
          <w:rFonts w:eastAsiaTheme="minorEastAsia"/>
          <w:noProof/>
          <w:color w:val="000000" w:themeColor="text1"/>
          <w:szCs w:val="24"/>
          <w:lang w:eastAsia="ja-JP"/>
        </w:rPr>
        <w:t xml:space="preserve">support measures </w:t>
      </w:r>
      <w:r w:rsidR="003566C8" w:rsidRPr="004C70EC">
        <w:rPr>
          <w:rFonts w:eastAsiaTheme="minorEastAsia"/>
          <w:noProof/>
          <w:color w:val="000000" w:themeColor="text1"/>
          <w:szCs w:val="24"/>
          <w:lang w:eastAsia="ja-JP"/>
        </w:rPr>
        <w:t xml:space="preserve">laid down </w:t>
      </w:r>
      <w:r w:rsidR="00836BE3" w:rsidRPr="004C70EC">
        <w:rPr>
          <w:rFonts w:eastAsiaTheme="minorEastAsia"/>
          <w:noProof/>
          <w:color w:val="000000" w:themeColor="text1"/>
          <w:szCs w:val="24"/>
          <w:lang w:eastAsia="ja-JP"/>
        </w:rPr>
        <w:t xml:space="preserve">in </w:t>
      </w:r>
      <w:r w:rsidR="00AD4210" w:rsidRPr="004C70EC">
        <w:rPr>
          <w:rFonts w:eastAsiaTheme="minorEastAsia"/>
          <w:noProof/>
          <w:color w:val="000000" w:themeColor="text1"/>
          <w:szCs w:val="24"/>
          <w:lang w:eastAsia="ja-JP"/>
        </w:rPr>
        <w:t>Section 2 of Chapter II</w:t>
      </w:r>
      <w:r w:rsidR="00836BE3" w:rsidRPr="004C70EC">
        <w:rPr>
          <w:rFonts w:eastAsiaTheme="minorEastAsia"/>
          <w:noProof/>
          <w:color w:val="000000" w:themeColor="text1"/>
          <w:szCs w:val="24"/>
          <w:lang w:eastAsia="ja-JP"/>
        </w:rPr>
        <w:t>,</w:t>
      </w:r>
      <w:r w:rsidR="0080101B" w:rsidRPr="004C70EC">
        <w:rPr>
          <w:rFonts w:eastAsiaTheme="minorEastAsia"/>
          <w:noProof/>
          <w:color w:val="000000" w:themeColor="text1"/>
          <w:szCs w:val="24"/>
          <w:lang w:eastAsia="ja-JP"/>
        </w:rPr>
        <w:t xml:space="preserve"> </w:t>
      </w:r>
      <w:r w:rsidR="00C876F0" w:rsidRPr="004C70EC">
        <w:rPr>
          <w:rFonts w:eastAsiaTheme="minorEastAsia"/>
          <w:noProof/>
          <w:color w:val="000000" w:themeColor="text1"/>
          <w:szCs w:val="24"/>
          <w:lang w:eastAsia="ja-JP"/>
        </w:rPr>
        <w:t>p</w:t>
      </w:r>
      <w:r w:rsidR="00273F36" w:rsidRPr="004C70EC">
        <w:rPr>
          <w:rFonts w:eastAsiaTheme="minorEastAsia"/>
          <w:noProof/>
          <w:color w:val="000000" w:themeColor="text1"/>
          <w:szCs w:val="24"/>
          <w:lang w:eastAsia="ja-JP"/>
        </w:rPr>
        <w:t xml:space="preserve">rojects located in the Union fulfilling the criteria to be recognised as </w:t>
      </w:r>
      <w:r w:rsidR="00797242" w:rsidRPr="004C70EC">
        <w:rPr>
          <w:rFonts w:eastAsiaTheme="minorEastAsia"/>
          <w:noProof/>
          <w:color w:val="000000" w:themeColor="text1"/>
          <w:szCs w:val="24"/>
          <w:lang w:eastAsia="ja-JP"/>
        </w:rPr>
        <w:t>health</w:t>
      </w:r>
      <w:r w:rsidR="00273F36" w:rsidRPr="004C70EC">
        <w:rPr>
          <w:rFonts w:eastAsiaTheme="minorEastAsia"/>
          <w:noProof/>
          <w:color w:val="000000" w:themeColor="text1"/>
          <w:szCs w:val="24"/>
          <w:lang w:eastAsia="ja-JP"/>
        </w:rPr>
        <w:t xml:space="preserve"> biotechnology </w:t>
      </w:r>
      <w:r w:rsidR="00C24098" w:rsidRPr="004C70EC">
        <w:rPr>
          <w:rFonts w:eastAsiaTheme="minorEastAsia"/>
          <w:noProof/>
          <w:color w:val="000000" w:themeColor="text1"/>
          <w:szCs w:val="24"/>
          <w:lang w:eastAsia="ja-JP"/>
        </w:rPr>
        <w:t xml:space="preserve">strategic </w:t>
      </w:r>
      <w:r w:rsidR="00273F36" w:rsidRPr="004C70EC">
        <w:rPr>
          <w:rFonts w:eastAsiaTheme="minorEastAsia"/>
          <w:noProof/>
          <w:color w:val="000000" w:themeColor="text1"/>
          <w:szCs w:val="24"/>
          <w:lang w:eastAsia="ja-JP"/>
        </w:rPr>
        <w:t>project</w:t>
      </w:r>
      <w:r w:rsidR="00D22AB0" w:rsidRPr="004C70EC">
        <w:rPr>
          <w:rFonts w:eastAsiaTheme="minorEastAsia"/>
          <w:noProof/>
          <w:color w:val="000000" w:themeColor="text1"/>
          <w:szCs w:val="24"/>
          <w:lang w:eastAsia="ja-JP"/>
        </w:rPr>
        <w:t>s</w:t>
      </w:r>
      <w:r w:rsidR="00273F36" w:rsidRPr="004C70EC">
        <w:rPr>
          <w:rFonts w:eastAsiaTheme="minorEastAsia"/>
          <w:noProof/>
          <w:color w:val="000000" w:themeColor="text1"/>
          <w:szCs w:val="24"/>
          <w:lang w:eastAsia="ja-JP"/>
        </w:rPr>
        <w:t xml:space="preserve">, </w:t>
      </w:r>
      <w:r w:rsidR="00DE7969" w:rsidRPr="004C70EC">
        <w:rPr>
          <w:rFonts w:eastAsiaTheme="minorEastAsia"/>
          <w:noProof/>
          <w:color w:val="000000" w:themeColor="text1"/>
          <w:szCs w:val="24"/>
          <w:lang w:eastAsia="ja-JP"/>
        </w:rPr>
        <w:t>which</w:t>
      </w:r>
      <w:r w:rsidR="003179F7" w:rsidRPr="004C70EC">
        <w:rPr>
          <w:rFonts w:eastAsiaTheme="minorEastAsia"/>
          <w:noProof/>
          <w:color w:val="000000" w:themeColor="text1"/>
          <w:szCs w:val="24"/>
          <w:lang w:eastAsia="ja-JP"/>
        </w:rPr>
        <w:t xml:space="preserve"> </w:t>
      </w:r>
      <w:r w:rsidR="00273F36" w:rsidRPr="004C70EC">
        <w:rPr>
          <w:rFonts w:eastAsiaTheme="minorEastAsia"/>
          <w:noProof/>
          <w:color w:val="000000" w:themeColor="text1"/>
          <w:szCs w:val="24"/>
          <w:lang w:eastAsia="ja-JP"/>
        </w:rPr>
        <w:t>demonstrate  by virtue of their scale, scope or cross-border relevance, a strong systemic and catalytic potential within the Union’s biotechnology ecosystem to accelerate innovation</w:t>
      </w:r>
      <w:r w:rsidR="00AC293C" w:rsidRPr="004C70EC">
        <w:rPr>
          <w:rFonts w:eastAsiaTheme="minorEastAsia"/>
          <w:noProof/>
          <w:color w:val="000000" w:themeColor="text1"/>
          <w:szCs w:val="24"/>
          <w:lang w:eastAsia="ja-JP"/>
        </w:rPr>
        <w:t xml:space="preserve"> and</w:t>
      </w:r>
      <w:r w:rsidR="00273F36" w:rsidRPr="004C70EC">
        <w:rPr>
          <w:rFonts w:eastAsiaTheme="minorEastAsia"/>
          <w:noProof/>
          <w:color w:val="000000" w:themeColor="text1"/>
          <w:szCs w:val="24"/>
          <w:lang w:eastAsia="ja-JP"/>
        </w:rPr>
        <w:t xml:space="preserve"> enhance the translation of research into market applications shall be recognised by the Commission</w:t>
      </w:r>
      <w:r w:rsidR="00454B7A" w:rsidRPr="004C70EC">
        <w:rPr>
          <w:rFonts w:eastAsiaTheme="minorEastAsia"/>
          <w:noProof/>
          <w:color w:val="000000" w:themeColor="text1"/>
          <w:szCs w:val="24"/>
          <w:lang w:eastAsia="ja-JP"/>
        </w:rPr>
        <w:t xml:space="preserve"> </w:t>
      </w:r>
      <w:r w:rsidR="00273F36" w:rsidRPr="004C70EC">
        <w:rPr>
          <w:rFonts w:eastAsiaTheme="minorEastAsia"/>
          <w:noProof/>
          <w:color w:val="000000" w:themeColor="text1"/>
          <w:szCs w:val="24"/>
          <w:lang w:eastAsia="ja-JP"/>
        </w:rPr>
        <w:t xml:space="preserve">as high </w:t>
      </w:r>
      <w:r w:rsidR="00273F36" w:rsidRPr="004C70EC">
        <w:rPr>
          <w:noProof/>
          <w:color w:val="000000" w:themeColor="text1"/>
          <w:szCs w:val="24"/>
        </w:rPr>
        <w:t>i</w:t>
      </w:r>
      <w:r w:rsidR="00273F36" w:rsidRPr="004C70EC">
        <w:rPr>
          <w:rFonts w:eastAsiaTheme="minorEastAsia"/>
          <w:noProof/>
          <w:color w:val="000000" w:themeColor="text1"/>
          <w:szCs w:val="24"/>
          <w:lang w:eastAsia="ja-JP"/>
        </w:rPr>
        <w:t xml:space="preserve">mpact </w:t>
      </w:r>
      <w:r w:rsidR="00797242" w:rsidRPr="004C70EC">
        <w:rPr>
          <w:rFonts w:eastAsiaTheme="minorEastAsia"/>
          <w:noProof/>
          <w:color w:val="000000" w:themeColor="text1"/>
          <w:szCs w:val="24"/>
          <w:lang w:eastAsia="ja-JP"/>
        </w:rPr>
        <w:t xml:space="preserve">health </w:t>
      </w:r>
      <w:r w:rsidR="00273F36" w:rsidRPr="004C70EC">
        <w:rPr>
          <w:rFonts w:eastAsiaTheme="minorEastAsia"/>
          <w:noProof/>
          <w:color w:val="000000" w:themeColor="text1"/>
          <w:szCs w:val="24"/>
          <w:lang w:eastAsia="ja-JP"/>
        </w:rPr>
        <w:t xml:space="preserve">biotechnology strategic projects, including in the following cases: </w:t>
      </w:r>
    </w:p>
    <w:p w14:paraId="6CF7119F" w14:textId="77777777" w:rsidR="00273F36" w:rsidRPr="004C70EC" w:rsidRDefault="007C6B1E" w:rsidP="007C6B1E">
      <w:pPr>
        <w:pStyle w:val="Point1"/>
        <w:rPr>
          <w:noProof/>
          <w:color w:val="000000" w:themeColor="text1"/>
          <w:lang w:eastAsia="ja-JP"/>
        </w:rPr>
      </w:pPr>
      <w:r w:rsidRPr="004C70EC">
        <w:rPr>
          <w:noProof/>
          <w:color w:val="000000" w:themeColor="text1"/>
          <w:lang w:eastAsia="ja-JP"/>
        </w:rPr>
        <w:t>(a)</w:t>
      </w:r>
      <w:r w:rsidRPr="004C70EC">
        <w:rPr>
          <w:noProof/>
          <w:color w:val="000000" w:themeColor="text1"/>
          <w:lang w:eastAsia="ja-JP"/>
        </w:rPr>
        <w:tab/>
      </w:r>
      <w:r w:rsidR="00273F36" w:rsidRPr="004C70EC">
        <w:rPr>
          <w:noProof/>
          <w:color w:val="000000" w:themeColor="text1"/>
          <w:lang w:eastAsia="ja-JP"/>
        </w:rPr>
        <w:t xml:space="preserve">the project is a biotechnology development accelerator that fulfils the </w:t>
      </w:r>
      <w:r w:rsidR="00DE7F16" w:rsidRPr="004C70EC">
        <w:rPr>
          <w:noProof/>
          <w:color w:val="000000" w:themeColor="text1"/>
          <w:lang w:eastAsia="ja-JP"/>
        </w:rPr>
        <w:t xml:space="preserve">conditions </w:t>
      </w:r>
      <w:r w:rsidR="00273F36" w:rsidRPr="004C70EC">
        <w:rPr>
          <w:noProof/>
          <w:color w:val="000000" w:themeColor="text1"/>
          <w:lang w:eastAsia="ja-JP"/>
        </w:rPr>
        <w:t xml:space="preserve">laid down in Article </w:t>
      </w:r>
      <w:r w:rsidR="008C5586" w:rsidRPr="004C70EC">
        <w:rPr>
          <w:noProof/>
          <w:color w:val="000000" w:themeColor="text1"/>
          <w:lang w:eastAsia="ja-JP"/>
        </w:rPr>
        <w:t>5</w:t>
      </w:r>
      <w:r w:rsidR="00273F36" w:rsidRPr="004C70EC">
        <w:rPr>
          <w:noProof/>
          <w:color w:val="000000" w:themeColor="text1"/>
          <w:lang w:eastAsia="ja-JP"/>
        </w:rPr>
        <w:t>;</w:t>
      </w:r>
    </w:p>
    <w:p w14:paraId="5D6BE683" w14:textId="77777777" w:rsidR="00273F36" w:rsidRPr="004C70EC" w:rsidRDefault="007C6B1E" w:rsidP="007C6B1E">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(b)</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 xml:space="preserve">the project is a centre of excellence for advanced therapies, including for advanced therapy medicinal products that fulfils the </w:t>
      </w:r>
      <w:r w:rsidR="00DE7F16" w:rsidRPr="004C70EC">
        <w:rPr>
          <w:rFonts w:eastAsiaTheme="minorEastAsia"/>
          <w:noProof/>
          <w:color w:val="000000" w:themeColor="text1"/>
          <w:szCs w:val="24"/>
          <w:lang w:eastAsia="ja-JP"/>
        </w:rPr>
        <w:t>conditions</w:t>
      </w:r>
      <w:r w:rsidR="00273F36" w:rsidRPr="004C70EC">
        <w:rPr>
          <w:rFonts w:eastAsiaTheme="minorEastAsia"/>
          <w:noProof/>
          <w:color w:val="000000" w:themeColor="text1"/>
          <w:szCs w:val="24"/>
          <w:lang w:eastAsia="ja-JP"/>
        </w:rPr>
        <w:t xml:space="preserve"> laid down in Article </w:t>
      </w:r>
      <w:r w:rsidR="008C5586" w:rsidRPr="004C70EC">
        <w:rPr>
          <w:rFonts w:eastAsiaTheme="minorEastAsia"/>
          <w:noProof/>
          <w:color w:val="000000" w:themeColor="text1"/>
          <w:szCs w:val="24"/>
          <w:lang w:eastAsia="ja-JP"/>
        </w:rPr>
        <w:t>6</w:t>
      </w:r>
      <w:r w:rsidR="00273F36" w:rsidRPr="004C70EC">
        <w:rPr>
          <w:rFonts w:eastAsiaTheme="minorEastAsia"/>
          <w:noProof/>
          <w:color w:val="000000" w:themeColor="text1"/>
          <w:szCs w:val="24"/>
          <w:lang w:eastAsia="ja-JP"/>
        </w:rPr>
        <w:t>;</w:t>
      </w:r>
    </w:p>
    <w:p w14:paraId="0F772335" w14:textId="77777777" w:rsidR="00273F36" w:rsidRPr="004C70EC" w:rsidRDefault="007C6B1E" w:rsidP="007C6B1E">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(c)</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 xml:space="preserve">the project contributes to an EU biotechnology late-stage capital booster pilot, fulfilling the </w:t>
      </w:r>
      <w:r w:rsidR="00720DB9" w:rsidRPr="004C70EC">
        <w:rPr>
          <w:rFonts w:eastAsiaTheme="minorEastAsia"/>
          <w:noProof/>
          <w:color w:val="000000" w:themeColor="text1"/>
          <w:szCs w:val="24"/>
          <w:lang w:eastAsia="ja-JP"/>
        </w:rPr>
        <w:t>conditions</w:t>
      </w:r>
      <w:r w:rsidR="00273F36" w:rsidRPr="004C70EC">
        <w:rPr>
          <w:rFonts w:eastAsiaTheme="minorEastAsia"/>
          <w:noProof/>
          <w:color w:val="000000" w:themeColor="text1"/>
          <w:szCs w:val="24"/>
          <w:lang w:eastAsia="ja-JP"/>
        </w:rPr>
        <w:t xml:space="preserve"> laid down in Article </w:t>
      </w:r>
      <w:r w:rsidR="008C5586" w:rsidRPr="004C70EC">
        <w:rPr>
          <w:rFonts w:eastAsiaTheme="minorEastAsia"/>
          <w:noProof/>
          <w:color w:val="000000" w:themeColor="text1"/>
          <w:szCs w:val="24"/>
          <w:lang w:eastAsia="ja-JP"/>
        </w:rPr>
        <w:t>2</w:t>
      </w:r>
      <w:r w:rsidR="00280E82" w:rsidRPr="004C70EC">
        <w:rPr>
          <w:rFonts w:eastAsiaTheme="minorEastAsia"/>
          <w:noProof/>
          <w:color w:val="000000" w:themeColor="text1"/>
          <w:szCs w:val="24"/>
          <w:lang w:eastAsia="ja-JP"/>
        </w:rPr>
        <w:t>3</w:t>
      </w:r>
      <w:r w:rsidR="00273F36" w:rsidRPr="004C70EC">
        <w:rPr>
          <w:rFonts w:eastAsiaTheme="minorEastAsia"/>
          <w:noProof/>
          <w:color w:val="000000" w:themeColor="text1"/>
          <w:szCs w:val="24"/>
          <w:lang w:eastAsia="ja-JP"/>
        </w:rPr>
        <w:t xml:space="preserve">; </w:t>
      </w:r>
    </w:p>
    <w:p w14:paraId="688E6624" w14:textId="431E8200" w:rsidR="00273F36" w:rsidRPr="004C70EC" w:rsidRDefault="007C6B1E" w:rsidP="00431990">
      <w:pPr>
        <w:pStyle w:val="Point1"/>
        <w:rPr>
          <w:rFonts w:eastAsiaTheme="minorEastAsia"/>
          <w:noProof/>
          <w:color w:val="000000" w:themeColor="text1"/>
          <w:lang w:eastAsia="ja-JP"/>
        </w:rPr>
      </w:pPr>
      <w:r w:rsidRPr="004C70EC">
        <w:rPr>
          <w:rFonts w:eastAsiaTheme="minorEastAsia"/>
          <w:noProof/>
          <w:color w:val="000000" w:themeColor="text1"/>
          <w:szCs w:val="24"/>
          <w:lang w:eastAsia="ja-JP"/>
        </w:rPr>
        <w:t>(d)</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t</w:t>
      </w:r>
      <w:r w:rsidR="00273F36" w:rsidRPr="004C70EC">
        <w:rPr>
          <w:rFonts w:eastAsia="Times New Roman"/>
          <w:noProof/>
          <w:color w:val="000000" w:themeColor="text1"/>
          <w:szCs w:val="24"/>
          <w:lang w:eastAsia="ja-JP"/>
        </w:rPr>
        <w:t xml:space="preserve">he project </w:t>
      </w:r>
      <w:r w:rsidR="00273F36" w:rsidRPr="004C70EC">
        <w:rPr>
          <w:rFonts w:eastAsiaTheme="minorEastAsia"/>
          <w:noProof/>
          <w:color w:val="000000" w:themeColor="text1"/>
          <w:szCs w:val="24"/>
          <w:lang w:eastAsia="ja-JP"/>
        </w:rPr>
        <w:t xml:space="preserve">contributes to the development of trusted testing environments for advanced biotechnology innovations, fulfilling the conditions laid down in </w:t>
      </w:r>
      <w:r w:rsidR="00273F36" w:rsidRPr="004C70EC">
        <w:rPr>
          <w:rFonts w:eastAsia="Times New Roman"/>
          <w:noProof/>
          <w:color w:val="000000" w:themeColor="text1"/>
          <w:szCs w:val="24"/>
          <w:lang w:eastAsia="ja-JP"/>
        </w:rPr>
        <w:t>Article 3</w:t>
      </w:r>
      <w:r w:rsidR="00980087" w:rsidRPr="004C70EC">
        <w:rPr>
          <w:rFonts w:eastAsia="Times New Roman"/>
          <w:noProof/>
          <w:color w:val="000000" w:themeColor="text1"/>
          <w:szCs w:val="24"/>
          <w:lang w:eastAsia="ja-JP"/>
        </w:rPr>
        <w:t>2</w:t>
      </w:r>
      <w:r w:rsidR="007714B3" w:rsidRPr="004C70EC">
        <w:rPr>
          <w:rFonts w:eastAsiaTheme="minorEastAsia"/>
          <w:noProof/>
          <w:color w:val="000000" w:themeColor="text1"/>
          <w:szCs w:val="24"/>
          <w:lang w:eastAsia="ja-JP"/>
        </w:rPr>
        <w:t>(</w:t>
      </w:r>
      <w:r w:rsidR="00273F36" w:rsidRPr="004C70EC">
        <w:rPr>
          <w:rFonts w:eastAsiaTheme="minorEastAsia"/>
          <w:noProof/>
          <w:color w:val="000000" w:themeColor="text1"/>
          <w:szCs w:val="24"/>
          <w:lang w:eastAsia="ja-JP"/>
        </w:rPr>
        <w:t>1</w:t>
      </w:r>
      <w:r w:rsidR="007714B3" w:rsidRPr="004C70EC">
        <w:rPr>
          <w:rFonts w:eastAsiaTheme="minorEastAsia"/>
          <w:noProof/>
          <w:color w:val="000000" w:themeColor="text1"/>
          <w:szCs w:val="24"/>
          <w:lang w:eastAsia="ja-JP"/>
        </w:rPr>
        <w:t>)</w:t>
      </w:r>
      <w:r w:rsidR="00273F36" w:rsidRPr="004C70EC">
        <w:rPr>
          <w:rFonts w:eastAsia="Times New Roman"/>
          <w:noProof/>
          <w:color w:val="000000" w:themeColor="text1"/>
          <w:szCs w:val="24"/>
          <w:lang w:eastAsia="ja-JP"/>
        </w:rPr>
        <w:t xml:space="preserve"> or </w:t>
      </w:r>
      <w:r w:rsidR="00273F36" w:rsidRPr="004C70EC">
        <w:rPr>
          <w:rFonts w:eastAsiaTheme="minorEastAsia"/>
          <w:noProof/>
          <w:color w:val="000000" w:themeColor="text1"/>
          <w:szCs w:val="24"/>
          <w:lang w:eastAsia="ja-JP"/>
        </w:rPr>
        <w:t xml:space="preserve">is </w:t>
      </w:r>
      <w:r w:rsidR="002A7E61" w:rsidRPr="004C70EC">
        <w:rPr>
          <w:rFonts w:eastAsiaTheme="minorEastAsia"/>
          <w:noProof/>
          <w:color w:val="000000" w:themeColor="text1"/>
          <w:szCs w:val="24"/>
          <w:lang w:eastAsia="ja-JP"/>
        </w:rPr>
        <w:t xml:space="preserve">a health </w:t>
      </w:r>
      <w:r w:rsidR="00273F36" w:rsidRPr="004C70EC">
        <w:rPr>
          <w:rFonts w:eastAsiaTheme="minorEastAsia"/>
          <w:noProof/>
          <w:color w:val="000000" w:themeColor="text1"/>
          <w:szCs w:val="24"/>
          <w:lang w:eastAsia="ja-JP"/>
        </w:rPr>
        <w:t xml:space="preserve">biotechnology data quality accelerator, fulfilling the conditions laid down in </w:t>
      </w:r>
      <w:r w:rsidR="00273F36" w:rsidRPr="004C70EC">
        <w:rPr>
          <w:rFonts w:eastAsia="Times New Roman"/>
          <w:noProof/>
          <w:color w:val="000000" w:themeColor="text1"/>
          <w:szCs w:val="24"/>
          <w:lang w:eastAsia="ja-JP"/>
        </w:rPr>
        <w:t>Article 3</w:t>
      </w:r>
      <w:r w:rsidR="00980087" w:rsidRPr="004C70EC">
        <w:rPr>
          <w:rFonts w:eastAsia="Times New Roman"/>
          <w:noProof/>
          <w:color w:val="000000" w:themeColor="text1"/>
          <w:szCs w:val="24"/>
          <w:lang w:eastAsia="ja-JP"/>
        </w:rPr>
        <w:t>3</w:t>
      </w:r>
      <w:r w:rsidR="00F35001" w:rsidRPr="004C70EC">
        <w:rPr>
          <w:rFonts w:eastAsia="Times New Roman"/>
          <w:noProof/>
          <w:color w:val="000000" w:themeColor="text1"/>
          <w:szCs w:val="24"/>
          <w:lang w:eastAsia="ja-JP"/>
        </w:rPr>
        <w:t>.</w:t>
      </w:r>
    </w:p>
    <w:p w14:paraId="39F174A1" w14:textId="38780C28" w:rsidR="00793BD1" w:rsidRPr="004C70EC" w:rsidRDefault="00793BD1" w:rsidP="00431990">
      <w:pPr>
        <w:pStyle w:val="Point1"/>
        <w:rPr>
          <w:rFonts w:eastAsiaTheme="minorEastAsia"/>
          <w:noProof/>
          <w:color w:val="000000" w:themeColor="text1"/>
          <w:lang w:eastAsia="ja-JP"/>
        </w:rPr>
      </w:pPr>
      <w:r w:rsidRPr="004C70EC">
        <w:rPr>
          <w:rFonts w:eastAsia="Times New Roman"/>
          <w:noProof/>
          <w:color w:val="000000" w:themeColor="text1"/>
          <w:szCs w:val="24"/>
          <w:lang w:eastAsia="ja-JP"/>
        </w:rPr>
        <w:t>(e)</w:t>
      </w:r>
      <w:r w:rsidRPr="004C70EC">
        <w:rPr>
          <w:rFonts w:eastAsia="Times New Roman"/>
          <w:noProof/>
          <w:color w:val="000000" w:themeColor="text1"/>
          <w:szCs w:val="24"/>
          <w:lang w:eastAsia="ja-JP"/>
        </w:rPr>
        <w:tab/>
      </w:r>
      <w:r w:rsidR="00311261" w:rsidRPr="004C70EC">
        <w:rPr>
          <w:rFonts w:eastAsia="Times New Roman"/>
          <w:noProof/>
          <w:color w:val="000000" w:themeColor="text1"/>
          <w:szCs w:val="24"/>
          <w:lang w:eastAsia="ja-JP"/>
        </w:rPr>
        <w:t xml:space="preserve">the </w:t>
      </w:r>
      <w:r w:rsidRPr="004C70EC">
        <w:rPr>
          <w:rFonts w:eastAsia="Times New Roman"/>
          <w:noProof/>
          <w:color w:val="000000" w:themeColor="text1"/>
          <w:szCs w:val="24"/>
          <w:lang w:eastAsia="ja-JP"/>
        </w:rPr>
        <w:t>project contribut</w:t>
      </w:r>
      <w:r w:rsidR="00311261" w:rsidRPr="004C70EC">
        <w:rPr>
          <w:rFonts w:eastAsia="Times New Roman"/>
          <w:noProof/>
          <w:color w:val="000000" w:themeColor="text1"/>
          <w:szCs w:val="24"/>
          <w:lang w:eastAsia="ja-JP"/>
        </w:rPr>
        <w:t>es</w:t>
      </w:r>
      <w:r w:rsidRPr="004C70EC">
        <w:rPr>
          <w:rFonts w:eastAsia="Times New Roman"/>
          <w:noProof/>
          <w:color w:val="000000" w:themeColor="text1"/>
          <w:szCs w:val="24"/>
          <w:lang w:eastAsia="ja-JP"/>
        </w:rPr>
        <w:t xml:space="preserve"> to the EU Biothreat Radar fulfilling the condition</w:t>
      </w:r>
      <w:r>
        <w:rPr>
          <w:rFonts w:eastAsia="Times New Roman"/>
          <w:noProof/>
          <w:color w:val="000000" w:themeColor="text1"/>
          <w:szCs w:val="24"/>
          <w:lang w:eastAsia="ja-JP"/>
        </w:rPr>
        <w:t>s</w:t>
      </w:r>
      <w:r w:rsidRPr="004C70EC">
        <w:rPr>
          <w:rFonts w:eastAsia="Times New Roman"/>
          <w:noProof/>
          <w:color w:val="000000" w:themeColor="text1"/>
          <w:szCs w:val="24"/>
          <w:lang w:eastAsia="ja-JP"/>
        </w:rPr>
        <w:t xml:space="preserve"> laid down in Article </w:t>
      </w:r>
      <w:r w:rsidRPr="002D7694">
        <w:rPr>
          <w:rFonts w:eastAsia="Times New Roman"/>
          <w:noProof/>
          <w:color w:val="000000" w:themeColor="text1"/>
          <w:szCs w:val="24"/>
          <w:lang w:eastAsia="ja-JP"/>
        </w:rPr>
        <w:t xml:space="preserve">41(1) </w:t>
      </w:r>
      <w:r w:rsidR="00311261" w:rsidRPr="004C70EC">
        <w:rPr>
          <w:rFonts w:eastAsia="Times New Roman"/>
          <w:noProof/>
          <w:color w:val="000000" w:themeColor="text1"/>
          <w:szCs w:val="24"/>
          <w:lang w:eastAsia="ja-JP"/>
        </w:rPr>
        <w:t>or it is a</w:t>
      </w:r>
      <w:r w:rsidRPr="002D7694">
        <w:rPr>
          <w:rFonts w:eastAsia="Times New Roman"/>
          <w:noProof/>
          <w:color w:val="000000" w:themeColor="text1"/>
          <w:szCs w:val="24"/>
          <w:lang w:eastAsia="ja-JP"/>
        </w:rPr>
        <w:t xml:space="preserve"> biodefence capability high impact strategic project fulfilling the conditions laid down in Article  42(1). </w:t>
      </w:r>
    </w:p>
    <w:p w14:paraId="7F14207F" w14:textId="77777777" w:rsidR="00273F36" w:rsidRPr="004C70EC" w:rsidRDefault="007E1F53" w:rsidP="007C6B1E">
      <w:pPr>
        <w:pStyle w:val="Point0"/>
        <w:rPr>
          <w:rFonts w:eastAsiaTheme="minorEastAsia"/>
          <w:noProof/>
          <w:color w:val="000000" w:themeColor="text1"/>
          <w:lang w:eastAsia="ja-JP"/>
        </w:rPr>
      </w:pPr>
      <w:r w:rsidRPr="004C70EC">
        <w:rPr>
          <w:rFonts w:eastAsia="Times New Roman"/>
          <w:noProof/>
          <w:color w:val="000000" w:themeColor="text1"/>
          <w:lang w:eastAsia="en-GB"/>
        </w:rPr>
        <w:t>2</w:t>
      </w:r>
      <w:r w:rsidR="007C6B1E" w:rsidRPr="004C70EC">
        <w:rPr>
          <w:rFonts w:eastAsia="Times New Roman"/>
          <w:noProof/>
          <w:color w:val="000000" w:themeColor="text1"/>
          <w:lang w:eastAsia="en-GB"/>
        </w:rPr>
        <w:t>.</w:t>
      </w:r>
      <w:r w:rsidR="007C6B1E" w:rsidRPr="004C70EC">
        <w:rPr>
          <w:noProof/>
          <w:color w:val="000000" w:themeColor="text1"/>
        </w:rPr>
        <w:tab/>
      </w:r>
      <w:r w:rsidR="00273F36" w:rsidRPr="004C70EC">
        <w:rPr>
          <w:rFonts w:eastAsia="Times New Roman"/>
          <w:noProof/>
          <w:color w:val="000000" w:themeColor="text1"/>
          <w:lang w:eastAsia="en-GB"/>
        </w:rPr>
        <w:t xml:space="preserve">The Commission may adopt implementing acts to detail the </w:t>
      </w:r>
      <w:r w:rsidR="00E20434" w:rsidRPr="004C70EC">
        <w:rPr>
          <w:rFonts w:eastAsia="Times New Roman"/>
          <w:noProof/>
          <w:color w:val="000000" w:themeColor="text1"/>
          <w:lang w:eastAsia="en-GB"/>
        </w:rPr>
        <w:t>conditions</w:t>
      </w:r>
      <w:r w:rsidR="00273F36" w:rsidRPr="004C70EC">
        <w:rPr>
          <w:rFonts w:eastAsia="Times New Roman"/>
          <w:noProof/>
          <w:color w:val="000000" w:themeColor="text1"/>
          <w:lang w:eastAsia="en-GB"/>
        </w:rPr>
        <w:t xml:space="preserve"> </w:t>
      </w:r>
      <w:r w:rsidR="00E20434" w:rsidRPr="004C70EC">
        <w:rPr>
          <w:rFonts w:eastAsia="Times New Roman"/>
          <w:noProof/>
          <w:color w:val="000000" w:themeColor="text1"/>
          <w:lang w:eastAsia="en-GB"/>
        </w:rPr>
        <w:t>set out</w:t>
      </w:r>
      <w:r w:rsidR="00273F36" w:rsidRPr="004C70EC">
        <w:rPr>
          <w:rFonts w:eastAsia="Times New Roman"/>
          <w:noProof/>
          <w:color w:val="000000" w:themeColor="text1"/>
          <w:lang w:eastAsia="en-GB"/>
        </w:rPr>
        <w:t xml:space="preserve"> in paragraph 1, to clarify </w:t>
      </w:r>
      <w:r w:rsidR="00273F36" w:rsidRPr="004C70EC">
        <w:rPr>
          <w:rFonts w:eastAsiaTheme="minorEastAsia"/>
          <w:noProof/>
          <w:color w:val="000000" w:themeColor="text1"/>
          <w:lang w:eastAsia="ja-JP"/>
        </w:rPr>
        <w:t>in which cases</w:t>
      </w:r>
      <w:r w:rsidR="00273F36" w:rsidRPr="004C70EC">
        <w:rPr>
          <w:rFonts w:eastAsia="Times New Roman"/>
          <w:noProof/>
          <w:color w:val="000000" w:themeColor="text1"/>
          <w:lang w:eastAsia="en-GB"/>
        </w:rPr>
        <w:t xml:space="preserve"> a project is to be deemed to have a strong systemic and catalytic potential within the Union’s biotechnology ecosystem </w:t>
      </w:r>
      <w:r w:rsidR="00AD1AC8" w:rsidRPr="004C70EC">
        <w:rPr>
          <w:rFonts w:eastAsia="Times New Roman"/>
          <w:noProof/>
          <w:color w:val="000000" w:themeColor="text1"/>
          <w:lang w:eastAsia="en-GB"/>
        </w:rPr>
        <w:t xml:space="preserve">to </w:t>
      </w:r>
      <w:r w:rsidR="00273F36" w:rsidRPr="004C70EC">
        <w:rPr>
          <w:rFonts w:eastAsia="Times New Roman"/>
          <w:noProof/>
          <w:color w:val="000000" w:themeColor="text1"/>
          <w:lang w:eastAsia="en-GB"/>
        </w:rPr>
        <w:t xml:space="preserve"> accelerate innovation</w:t>
      </w:r>
      <w:r w:rsidR="00AD1AC8" w:rsidRPr="004C70EC">
        <w:rPr>
          <w:noProof/>
          <w:color w:val="000000" w:themeColor="text1"/>
        </w:rPr>
        <w:t xml:space="preserve"> </w:t>
      </w:r>
      <w:r w:rsidR="00AD1AC8" w:rsidRPr="004C70EC">
        <w:rPr>
          <w:rFonts w:eastAsia="Times New Roman"/>
          <w:noProof/>
          <w:color w:val="000000" w:themeColor="text1"/>
          <w:lang w:eastAsia="en-GB"/>
        </w:rPr>
        <w:t>and enhance the translation of research into market applications</w:t>
      </w:r>
      <w:r w:rsidR="00273F36" w:rsidRPr="004C70EC">
        <w:rPr>
          <w:rFonts w:eastAsia="Times New Roman"/>
          <w:noProof/>
          <w:color w:val="000000" w:themeColor="text1"/>
          <w:lang w:eastAsia="en-GB"/>
        </w:rPr>
        <w:t>. Th</w:t>
      </w:r>
      <w:r w:rsidR="223E9648" w:rsidRPr="004C70EC">
        <w:rPr>
          <w:rFonts w:eastAsia="Times New Roman"/>
          <w:noProof/>
          <w:color w:val="000000" w:themeColor="text1"/>
          <w:lang w:eastAsia="en-GB"/>
        </w:rPr>
        <w:t>e</w:t>
      </w:r>
      <w:r w:rsidR="00273F36" w:rsidRPr="004C70EC">
        <w:rPr>
          <w:rFonts w:eastAsia="Times New Roman"/>
          <w:noProof/>
          <w:color w:val="000000" w:themeColor="text1"/>
          <w:lang w:eastAsia="en-GB"/>
        </w:rPr>
        <w:t xml:space="preserve">se implementing acts shall be adopted in accordance with the examination procedure referred to in Article </w:t>
      </w:r>
      <w:r w:rsidR="008C5586" w:rsidRPr="004C70EC">
        <w:rPr>
          <w:rFonts w:eastAsia="Times New Roman"/>
          <w:noProof/>
          <w:color w:val="000000" w:themeColor="text1"/>
          <w:lang w:eastAsia="en-GB"/>
        </w:rPr>
        <w:t>6</w:t>
      </w:r>
      <w:r w:rsidR="00457521" w:rsidRPr="004C70EC">
        <w:rPr>
          <w:rFonts w:eastAsia="Times New Roman"/>
          <w:noProof/>
          <w:color w:val="000000" w:themeColor="text1"/>
          <w:lang w:eastAsia="en-GB"/>
        </w:rPr>
        <w:t>5</w:t>
      </w:r>
      <w:r w:rsidR="00E20434" w:rsidRPr="004C70EC">
        <w:rPr>
          <w:rFonts w:eastAsia="Times New Roman"/>
          <w:noProof/>
          <w:color w:val="000000" w:themeColor="text1"/>
          <w:lang w:eastAsia="en-GB"/>
        </w:rPr>
        <w:t>(</w:t>
      </w:r>
      <w:r w:rsidR="00273F36" w:rsidRPr="004C70EC">
        <w:rPr>
          <w:rFonts w:eastAsia="Times New Roman"/>
          <w:noProof/>
          <w:color w:val="000000" w:themeColor="text1"/>
          <w:lang w:eastAsia="en-GB"/>
        </w:rPr>
        <w:t>2</w:t>
      </w:r>
      <w:r w:rsidR="00E20434" w:rsidRPr="004C70EC">
        <w:rPr>
          <w:rFonts w:eastAsia="Times New Roman"/>
          <w:noProof/>
          <w:color w:val="000000" w:themeColor="text1"/>
          <w:lang w:eastAsia="en-GB"/>
        </w:rPr>
        <w:t>)</w:t>
      </w:r>
      <w:r w:rsidR="00273F36" w:rsidRPr="004C70EC">
        <w:rPr>
          <w:rFonts w:eastAsia="Times New Roman"/>
          <w:noProof/>
          <w:color w:val="000000" w:themeColor="text1"/>
          <w:lang w:eastAsia="en-GB"/>
        </w:rPr>
        <w:t>.</w:t>
      </w:r>
    </w:p>
    <w:bookmarkEnd w:id="21"/>
    <w:p w14:paraId="422FAA70" w14:textId="77777777" w:rsidR="00273F36" w:rsidRPr="004C70EC" w:rsidRDefault="00273F36" w:rsidP="00C2451A">
      <w:pPr>
        <w:pStyle w:val="Titrearticle"/>
        <w:rPr>
          <w:rFonts w:eastAsiaTheme="minorEastAsia"/>
          <w:i w:val="0"/>
          <w:noProof/>
          <w:color w:val="000000" w:themeColor="text1"/>
          <w:szCs w:val="24"/>
          <w:lang w:eastAsia="ja-JP"/>
        </w:rPr>
      </w:pPr>
      <w:r w:rsidRPr="004C70EC">
        <w:rPr>
          <w:rFonts w:eastAsiaTheme="minorEastAsia"/>
          <w:noProof/>
          <w:color w:val="000000" w:themeColor="text1"/>
          <w:szCs w:val="24"/>
          <w:lang w:eastAsia="ja-JP"/>
        </w:rPr>
        <w:t xml:space="preserve">Article </w:t>
      </w:r>
      <w:r w:rsidR="00D93646" w:rsidRPr="004C70EC">
        <w:rPr>
          <w:rFonts w:eastAsiaTheme="minorEastAsia"/>
          <w:noProof/>
          <w:color w:val="000000" w:themeColor="text1"/>
          <w:szCs w:val="24"/>
          <w:lang w:eastAsia="ja-JP"/>
        </w:rPr>
        <w:t>5</w:t>
      </w:r>
    </w:p>
    <w:bookmarkEnd w:id="19"/>
    <w:p w14:paraId="39AA5FBB" w14:textId="77777777" w:rsidR="00273F36" w:rsidRPr="004C70EC" w:rsidRDefault="2F263E33" w:rsidP="33CE1D06">
      <w:pPr>
        <w:keepNext/>
        <w:tabs>
          <w:tab w:val="left" w:pos="850"/>
        </w:tabs>
        <w:ind w:left="850" w:hanging="850"/>
        <w:jc w:val="center"/>
        <w:outlineLvl w:val="2"/>
        <w:rPr>
          <w:b/>
          <w:noProof/>
          <w:color w:val="000000" w:themeColor="text1"/>
        </w:rPr>
      </w:pPr>
      <w:r w:rsidRPr="004C70EC">
        <w:rPr>
          <w:b/>
          <w:noProof/>
          <w:color w:val="000000" w:themeColor="text1"/>
        </w:rPr>
        <w:t xml:space="preserve">Biotechnology </w:t>
      </w:r>
      <w:r w:rsidR="5832E422" w:rsidRPr="004C70EC">
        <w:rPr>
          <w:b/>
          <w:noProof/>
          <w:color w:val="000000" w:themeColor="text1"/>
        </w:rPr>
        <w:t>d</w:t>
      </w:r>
      <w:r w:rsidRPr="004C70EC">
        <w:rPr>
          <w:b/>
          <w:noProof/>
          <w:color w:val="000000" w:themeColor="text1"/>
        </w:rPr>
        <w:t xml:space="preserve">evelopment </w:t>
      </w:r>
      <w:r w:rsidR="5832E422" w:rsidRPr="004C70EC">
        <w:rPr>
          <w:b/>
          <w:noProof/>
          <w:color w:val="000000" w:themeColor="text1"/>
        </w:rPr>
        <w:t>a</w:t>
      </w:r>
      <w:r w:rsidRPr="004C70EC">
        <w:rPr>
          <w:b/>
          <w:noProof/>
          <w:color w:val="000000" w:themeColor="text1"/>
        </w:rPr>
        <w:t>ccelerator</w:t>
      </w:r>
      <w:r w:rsidR="63A5E58F" w:rsidRPr="004C70EC">
        <w:rPr>
          <w:b/>
          <w:noProof/>
          <w:color w:val="000000" w:themeColor="text1"/>
        </w:rPr>
        <w:t>s</w:t>
      </w:r>
    </w:p>
    <w:p w14:paraId="582768FE" w14:textId="77777777" w:rsidR="00273F36" w:rsidRPr="004C70EC" w:rsidRDefault="005B26B0" w:rsidP="005B26B0">
      <w:pPr>
        <w:pStyle w:val="Point0"/>
        <w:rPr>
          <w:rFonts w:eastAsiaTheme="minorEastAsia"/>
          <w:noProof/>
          <w:color w:val="000000" w:themeColor="text1"/>
        </w:rPr>
      </w:pPr>
      <w:r w:rsidRPr="004C70EC">
        <w:rPr>
          <w:rFonts w:eastAsiaTheme="minorEastAsia"/>
          <w:noProof/>
          <w:color w:val="000000" w:themeColor="text1"/>
        </w:rPr>
        <w:t>1.</w:t>
      </w:r>
      <w:r w:rsidRPr="004C70EC">
        <w:rPr>
          <w:noProof/>
        </w:rPr>
        <w:tab/>
      </w:r>
      <w:r w:rsidR="005A39A3" w:rsidRPr="004C70EC">
        <w:rPr>
          <w:rFonts w:eastAsiaTheme="minorEastAsia"/>
          <w:noProof/>
          <w:color w:val="000000" w:themeColor="text1"/>
        </w:rPr>
        <w:t xml:space="preserve">To enable access to the support measures laid down in </w:t>
      </w:r>
      <w:r w:rsidR="00701C14" w:rsidRPr="004C70EC">
        <w:rPr>
          <w:rFonts w:eastAsiaTheme="minorEastAsia"/>
          <w:noProof/>
          <w:color w:val="000000" w:themeColor="text1"/>
        </w:rPr>
        <w:t>Section 2 of Chapter II</w:t>
      </w:r>
      <w:r w:rsidR="005A39A3" w:rsidRPr="004C70EC">
        <w:rPr>
          <w:rFonts w:eastAsiaTheme="minorEastAsia"/>
          <w:noProof/>
          <w:color w:val="000000" w:themeColor="text1"/>
        </w:rPr>
        <w:t xml:space="preserve">, </w:t>
      </w:r>
      <w:r w:rsidR="00FA6B7B" w:rsidRPr="004C70EC">
        <w:rPr>
          <w:rFonts w:eastAsiaTheme="minorEastAsia"/>
          <w:noProof/>
          <w:color w:val="000000" w:themeColor="text1"/>
        </w:rPr>
        <w:t>t</w:t>
      </w:r>
      <w:r w:rsidR="00273F36" w:rsidRPr="004C70EC">
        <w:rPr>
          <w:rFonts w:eastAsiaTheme="minorEastAsia"/>
          <w:noProof/>
          <w:color w:val="000000" w:themeColor="text1"/>
        </w:rPr>
        <w:t>he Commission shall recognise project</w:t>
      </w:r>
      <w:r w:rsidRPr="004C70EC">
        <w:rPr>
          <w:rFonts w:eastAsiaTheme="minorEastAsia"/>
          <w:noProof/>
          <w:color w:val="000000" w:themeColor="text1"/>
        </w:rPr>
        <w:t>s</w:t>
      </w:r>
      <w:r w:rsidR="00273F36" w:rsidRPr="004C70EC">
        <w:rPr>
          <w:rFonts w:eastAsiaTheme="minorEastAsia"/>
          <w:noProof/>
          <w:color w:val="000000" w:themeColor="text1"/>
        </w:rPr>
        <w:t xml:space="preserve"> located in the Union as </w:t>
      </w:r>
      <w:r w:rsidR="45FDEADB" w:rsidRPr="004C70EC">
        <w:rPr>
          <w:rFonts w:eastAsiaTheme="minorEastAsia"/>
          <w:noProof/>
          <w:color w:val="000000" w:themeColor="text1"/>
        </w:rPr>
        <w:t xml:space="preserve">high impact </w:t>
      </w:r>
      <w:r w:rsidR="45FDEADB" w:rsidRPr="004C70EC">
        <w:rPr>
          <w:noProof/>
          <w:color w:val="000000" w:themeColor="text1"/>
        </w:rPr>
        <w:t xml:space="preserve">health </w:t>
      </w:r>
      <w:r w:rsidR="45FDEADB" w:rsidRPr="004C70EC">
        <w:rPr>
          <w:rFonts w:eastAsiaTheme="minorEastAsia"/>
          <w:noProof/>
          <w:color w:val="000000" w:themeColor="text1"/>
        </w:rPr>
        <w:t xml:space="preserve">biotechnology strategic projects in the form of </w:t>
      </w:r>
      <w:r w:rsidR="004A6237" w:rsidRPr="004C70EC">
        <w:rPr>
          <w:rFonts w:eastAsiaTheme="minorEastAsia"/>
          <w:noProof/>
          <w:color w:val="000000" w:themeColor="text1"/>
        </w:rPr>
        <w:t>biotechnology development accelerator</w:t>
      </w:r>
      <w:r w:rsidR="004F113D" w:rsidRPr="004C70EC">
        <w:rPr>
          <w:rFonts w:eastAsiaTheme="minorEastAsia"/>
          <w:noProof/>
          <w:color w:val="000000" w:themeColor="text1"/>
        </w:rPr>
        <w:t>s</w:t>
      </w:r>
      <w:r w:rsidR="005A39A3" w:rsidRPr="004C70EC">
        <w:rPr>
          <w:rFonts w:eastAsiaTheme="minorEastAsia"/>
          <w:noProof/>
          <w:color w:val="000000" w:themeColor="text1"/>
        </w:rPr>
        <w:t xml:space="preserve">, </w:t>
      </w:r>
      <w:r w:rsidR="00886C5E" w:rsidRPr="004C70EC">
        <w:rPr>
          <w:rFonts w:eastAsiaTheme="minorEastAsia"/>
          <w:noProof/>
          <w:color w:val="000000" w:themeColor="text1"/>
        </w:rPr>
        <w:t>only where</w:t>
      </w:r>
      <w:r w:rsidR="00273F36" w:rsidRPr="004C70EC">
        <w:rPr>
          <w:rFonts w:eastAsiaTheme="minorEastAsia"/>
          <w:noProof/>
          <w:color w:val="000000" w:themeColor="text1"/>
        </w:rPr>
        <w:t xml:space="preserve"> </w:t>
      </w:r>
      <w:r w:rsidR="004F113D" w:rsidRPr="004C70EC">
        <w:rPr>
          <w:rFonts w:eastAsiaTheme="minorEastAsia"/>
          <w:noProof/>
          <w:color w:val="000000" w:themeColor="text1"/>
        </w:rPr>
        <w:t xml:space="preserve">they </w:t>
      </w:r>
      <w:r w:rsidR="00273F36" w:rsidRPr="004C70EC">
        <w:rPr>
          <w:rFonts w:eastAsiaTheme="minorEastAsia"/>
          <w:noProof/>
          <w:color w:val="000000" w:themeColor="text1"/>
        </w:rPr>
        <w:t>compl</w:t>
      </w:r>
      <w:r w:rsidRPr="004C70EC">
        <w:rPr>
          <w:rFonts w:eastAsiaTheme="minorEastAsia"/>
          <w:noProof/>
          <w:color w:val="000000" w:themeColor="text1"/>
        </w:rPr>
        <w:t>y</w:t>
      </w:r>
      <w:r w:rsidR="00273F36" w:rsidRPr="004C70EC">
        <w:rPr>
          <w:rFonts w:eastAsiaTheme="minorEastAsia"/>
          <w:noProof/>
          <w:color w:val="000000" w:themeColor="text1"/>
        </w:rPr>
        <w:t xml:space="preserve"> with the </w:t>
      </w:r>
      <w:r w:rsidR="00C931B6" w:rsidRPr="004C70EC">
        <w:rPr>
          <w:rFonts w:eastAsiaTheme="minorEastAsia"/>
          <w:noProof/>
          <w:color w:val="000000" w:themeColor="text1"/>
        </w:rPr>
        <w:t xml:space="preserve">conditions </w:t>
      </w:r>
      <w:r w:rsidR="00273F36" w:rsidRPr="004C70EC">
        <w:rPr>
          <w:rFonts w:eastAsiaTheme="minorEastAsia"/>
          <w:noProof/>
          <w:color w:val="000000" w:themeColor="text1"/>
        </w:rPr>
        <w:t xml:space="preserve">laid down in Article </w:t>
      </w:r>
      <w:r w:rsidR="008C5586" w:rsidRPr="004C70EC">
        <w:rPr>
          <w:rFonts w:eastAsiaTheme="minorEastAsia"/>
          <w:noProof/>
          <w:color w:val="000000" w:themeColor="text1"/>
        </w:rPr>
        <w:t>4</w:t>
      </w:r>
      <w:r w:rsidR="004F113D" w:rsidRPr="004C70EC">
        <w:rPr>
          <w:rFonts w:eastAsiaTheme="minorEastAsia"/>
          <w:noProof/>
          <w:color w:val="000000" w:themeColor="text1"/>
        </w:rPr>
        <w:t>(</w:t>
      </w:r>
      <w:r w:rsidR="00273F36" w:rsidRPr="004C70EC">
        <w:rPr>
          <w:rFonts w:eastAsiaTheme="minorEastAsia"/>
          <w:noProof/>
          <w:color w:val="000000" w:themeColor="text1"/>
        </w:rPr>
        <w:t>1</w:t>
      </w:r>
      <w:r w:rsidR="004F113D" w:rsidRPr="004C70EC">
        <w:rPr>
          <w:rFonts w:eastAsiaTheme="minorEastAsia"/>
          <w:noProof/>
          <w:color w:val="000000" w:themeColor="text1"/>
        </w:rPr>
        <w:t>)</w:t>
      </w:r>
      <w:r w:rsidR="00273F36" w:rsidRPr="004C70EC">
        <w:rPr>
          <w:rFonts w:eastAsiaTheme="minorEastAsia"/>
          <w:noProof/>
          <w:color w:val="000000" w:themeColor="text1"/>
        </w:rPr>
        <w:t xml:space="preserve">, and </w:t>
      </w:r>
      <w:r w:rsidR="00AB7B21" w:rsidRPr="004C70EC">
        <w:rPr>
          <w:rFonts w:eastAsiaTheme="minorEastAsia"/>
          <w:noProof/>
          <w:color w:val="000000" w:themeColor="text1"/>
        </w:rPr>
        <w:t xml:space="preserve">they </w:t>
      </w:r>
      <w:r w:rsidR="00273F36" w:rsidRPr="004C70EC">
        <w:rPr>
          <w:rFonts w:eastAsiaTheme="minorEastAsia"/>
          <w:noProof/>
          <w:color w:val="000000" w:themeColor="text1"/>
        </w:rPr>
        <w:t xml:space="preserve">fulfil </w:t>
      </w:r>
      <w:r w:rsidR="00DD6D8A" w:rsidRPr="004C70EC">
        <w:rPr>
          <w:rFonts w:eastAsiaTheme="minorEastAsia"/>
          <w:noProof/>
          <w:color w:val="000000" w:themeColor="text1"/>
        </w:rPr>
        <w:t xml:space="preserve">at least three </w:t>
      </w:r>
      <w:r w:rsidR="00273F36" w:rsidRPr="004C70EC">
        <w:rPr>
          <w:rFonts w:eastAsiaTheme="minorEastAsia"/>
          <w:noProof/>
          <w:color w:val="000000" w:themeColor="text1"/>
        </w:rPr>
        <w:t>of the following conditions:</w:t>
      </w:r>
    </w:p>
    <w:p w14:paraId="7AF3ACDD" w14:textId="77777777" w:rsidR="00273F36" w:rsidRPr="004C70EC" w:rsidRDefault="5E0A053B" w:rsidP="005B26B0">
      <w:pPr>
        <w:pStyle w:val="Point1"/>
        <w:rPr>
          <w:noProof/>
          <w:color w:val="000000" w:themeColor="text1"/>
          <w:lang w:eastAsia="ja-JP"/>
        </w:rPr>
      </w:pPr>
      <w:r w:rsidRPr="004C70EC">
        <w:rPr>
          <w:noProof/>
          <w:color w:val="000000" w:themeColor="text1"/>
          <w:lang w:eastAsia="ja-JP"/>
        </w:rPr>
        <w:t>(a)</w:t>
      </w:r>
      <w:r w:rsidR="00C2451A" w:rsidRPr="004C70EC">
        <w:rPr>
          <w:noProof/>
        </w:rPr>
        <w:tab/>
      </w:r>
      <w:r w:rsidR="2F263E33" w:rsidRPr="004C70EC">
        <w:rPr>
          <w:noProof/>
          <w:color w:val="000000" w:themeColor="text1"/>
          <w:lang w:eastAsia="ja-JP"/>
        </w:rPr>
        <w:t xml:space="preserve">provide trusted testing or demonstration facilities replicating real-world biomanufacturing processes, including </w:t>
      </w:r>
      <w:r w:rsidR="278183F2" w:rsidRPr="004C70EC">
        <w:rPr>
          <w:noProof/>
          <w:color w:val="000000" w:themeColor="text1"/>
          <w:lang w:eastAsia="ja-JP"/>
        </w:rPr>
        <w:t xml:space="preserve">good </w:t>
      </w:r>
      <w:r w:rsidR="2F263E33" w:rsidRPr="004C70EC">
        <w:rPr>
          <w:noProof/>
          <w:color w:val="000000" w:themeColor="text1"/>
          <w:lang w:eastAsia="ja-JP"/>
        </w:rPr>
        <w:t>manufacturing practices (</w:t>
      </w:r>
      <w:r w:rsidR="2F263E33" w:rsidRPr="004C70EC">
        <w:rPr>
          <w:rFonts w:eastAsia="Times New Roman"/>
          <w:noProof/>
          <w:color w:val="000000" w:themeColor="text1"/>
          <w:lang w:eastAsia="en-GB"/>
        </w:rPr>
        <w:t>GMP</w:t>
      </w:r>
      <w:r w:rsidR="2F263E33" w:rsidRPr="004C70EC">
        <w:rPr>
          <w:noProof/>
          <w:color w:val="000000" w:themeColor="text1"/>
          <w:lang w:eastAsia="ja-JP"/>
        </w:rPr>
        <w:t xml:space="preserve">s) compliant processes, or their enabling technologies, for process testing, validation, and small batch manufacturing, including for the </w:t>
      </w:r>
      <w:r w:rsidR="784DC478" w:rsidRPr="004C70EC">
        <w:rPr>
          <w:noProof/>
          <w:color w:val="000000" w:themeColor="text1"/>
          <w:lang w:eastAsia="ja-JP"/>
        </w:rPr>
        <w:t>investigational medicinal products for early stages of clinical trials</w:t>
      </w:r>
      <w:r w:rsidR="2F263E33" w:rsidRPr="004C70EC">
        <w:rPr>
          <w:noProof/>
          <w:color w:val="000000" w:themeColor="text1"/>
          <w:lang w:eastAsia="ja-JP"/>
        </w:rPr>
        <w:t xml:space="preserve">; such enabling technologies may include digital technologies, with specific applicability in biotechnology and biomanufacturing; </w:t>
      </w:r>
    </w:p>
    <w:p w14:paraId="713B9D42" w14:textId="77777777" w:rsidR="00273F36" w:rsidRPr="004C70EC" w:rsidRDefault="00C2451A" w:rsidP="005B26B0">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(b)</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 xml:space="preserve">aim to operate state-of-the-art equipment, laboratories and technical expertise to support biotechnology and biomanufacturing processes and provide </w:t>
      </w:r>
      <w:r w:rsidR="00273F36" w:rsidRPr="004C70EC">
        <w:rPr>
          <w:rFonts w:eastAsia="Times New Roman"/>
          <w:noProof/>
          <w:color w:val="000000" w:themeColor="text1"/>
          <w:szCs w:val="24"/>
          <w:lang w:eastAsia="en-GB"/>
        </w:rPr>
        <w:t>access</w:t>
      </w:r>
      <w:r w:rsidR="00273F36" w:rsidRPr="004C70EC">
        <w:rPr>
          <w:rFonts w:eastAsiaTheme="minorEastAsia"/>
          <w:noProof/>
          <w:color w:val="000000" w:themeColor="text1"/>
          <w:szCs w:val="24"/>
          <w:lang w:eastAsia="ja-JP"/>
        </w:rPr>
        <w:t xml:space="preserve"> thereof; </w:t>
      </w:r>
    </w:p>
    <w:p w14:paraId="170CDA4D" w14:textId="77777777" w:rsidR="00273F36" w:rsidRPr="004C70EC" w:rsidRDefault="00C2451A" w:rsidP="005B26B0">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(c)</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aim to support hands-on and work-based training programmes aligned with the Union’s skills and workforce development objectives in the biotechnology and biomanufacturing sectors or in relation to enabling technologies, such as digital technologies, with specific applicability in biotechnology and biomanufacturing;</w:t>
      </w:r>
    </w:p>
    <w:p w14:paraId="631F700C" w14:textId="77777777" w:rsidR="00273F36" w:rsidRPr="004C70EC" w:rsidRDefault="00C2451A" w:rsidP="005B26B0">
      <w:pPr>
        <w:pStyle w:val="Point1"/>
        <w:rPr>
          <w:rFonts w:eastAsiaTheme="minorEastAsia"/>
          <w:noProof/>
          <w:color w:val="000000" w:themeColor="text1"/>
          <w:lang w:eastAsia="ja-JP"/>
        </w:rPr>
      </w:pPr>
      <w:r w:rsidRPr="004C70EC">
        <w:rPr>
          <w:rFonts w:eastAsiaTheme="minorEastAsia"/>
          <w:noProof/>
          <w:color w:val="000000" w:themeColor="text1"/>
          <w:lang w:eastAsia="ja-JP"/>
        </w:rPr>
        <w:t>(d)</w:t>
      </w:r>
      <w:r w:rsidRPr="004C70EC">
        <w:rPr>
          <w:noProof/>
          <w:color w:val="000000" w:themeColor="text1"/>
        </w:rPr>
        <w:tab/>
      </w:r>
      <w:r w:rsidR="00273F36" w:rsidRPr="004C70EC">
        <w:rPr>
          <w:rFonts w:eastAsiaTheme="minorEastAsia"/>
          <w:noProof/>
          <w:color w:val="000000" w:themeColor="text1"/>
          <w:lang w:eastAsia="ja-JP"/>
        </w:rPr>
        <w:t>conduct applied research in biotechnology or biomanufacturing, or in relation to enabling technologies, with specific applicability in biotechnology and biomanufacturing;</w:t>
      </w:r>
    </w:p>
    <w:p w14:paraId="481A5F6A" w14:textId="77777777" w:rsidR="00273F36" w:rsidRPr="004C70EC" w:rsidRDefault="00C2451A" w:rsidP="005B26B0">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(e)</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seek to engage in partnerships among industry, academia, and public authorities to ensure the integration of research, innovation, and training in biotechnology and biomanufacturing or their enabling technologies.</w:t>
      </w:r>
    </w:p>
    <w:p w14:paraId="36CB444B" w14:textId="77777777" w:rsidR="00273F36" w:rsidRPr="004C70EC" w:rsidRDefault="00273F36" w:rsidP="00C2451A">
      <w:pPr>
        <w:pStyle w:val="Titrearticle"/>
        <w:rPr>
          <w:rFonts w:eastAsiaTheme="minorEastAsia"/>
          <w:i w:val="0"/>
          <w:noProof/>
          <w:color w:val="000000" w:themeColor="text1"/>
          <w:szCs w:val="24"/>
          <w:lang w:eastAsia="ja-JP"/>
        </w:rPr>
      </w:pPr>
      <w:r w:rsidRPr="004C70EC">
        <w:rPr>
          <w:rFonts w:eastAsiaTheme="minorEastAsia"/>
          <w:noProof/>
          <w:color w:val="000000" w:themeColor="text1"/>
          <w:szCs w:val="24"/>
          <w:lang w:eastAsia="ja-JP"/>
        </w:rPr>
        <w:t xml:space="preserve">Article </w:t>
      </w:r>
      <w:r w:rsidR="00D93646" w:rsidRPr="004C70EC">
        <w:rPr>
          <w:rFonts w:eastAsiaTheme="minorEastAsia"/>
          <w:noProof/>
          <w:color w:val="000000" w:themeColor="text1"/>
          <w:szCs w:val="24"/>
          <w:lang w:eastAsia="ja-JP"/>
        </w:rPr>
        <w:t>6</w:t>
      </w:r>
    </w:p>
    <w:p w14:paraId="2F07C278" w14:textId="77777777" w:rsidR="00273F36" w:rsidRPr="004C70EC" w:rsidRDefault="00273F36" w:rsidP="00273F36">
      <w:pPr>
        <w:keepNext/>
        <w:tabs>
          <w:tab w:val="left" w:pos="850"/>
        </w:tabs>
        <w:ind w:left="850" w:hanging="850"/>
        <w:jc w:val="center"/>
        <w:outlineLvl w:val="2"/>
        <w:rPr>
          <w:b/>
          <w:noProof/>
          <w:color w:val="000000" w:themeColor="text1"/>
          <w:szCs w:val="24"/>
        </w:rPr>
      </w:pPr>
      <w:r w:rsidRPr="004C70EC">
        <w:rPr>
          <w:b/>
          <w:noProof/>
          <w:color w:val="000000" w:themeColor="text1"/>
          <w:szCs w:val="24"/>
        </w:rPr>
        <w:t xml:space="preserve">Centres of </w:t>
      </w:r>
      <w:r w:rsidR="009F7ED9" w:rsidRPr="004C70EC">
        <w:rPr>
          <w:b/>
          <w:noProof/>
          <w:color w:val="000000" w:themeColor="text1"/>
          <w:szCs w:val="24"/>
        </w:rPr>
        <w:t>e</w:t>
      </w:r>
      <w:r w:rsidRPr="004C70EC">
        <w:rPr>
          <w:b/>
          <w:noProof/>
          <w:color w:val="000000" w:themeColor="text1"/>
          <w:szCs w:val="24"/>
        </w:rPr>
        <w:t xml:space="preserve">xcellence for </w:t>
      </w:r>
      <w:r w:rsidR="009F7ED9" w:rsidRPr="004C70EC">
        <w:rPr>
          <w:b/>
          <w:noProof/>
          <w:color w:val="000000" w:themeColor="text1"/>
          <w:szCs w:val="24"/>
        </w:rPr>
        <w:t>a</w:t>
      </w:r>
      <w:r w:rsidRPr="004C70EC">
        <w:rPr>
          <w:b/>
          <w:noProof/>
          <w:color w:val="000000" w:themeColor="text1"/>
          <w:szCs w:val="24"/>
        </w:rPr>
        <w:t xml:space="preserve">dvanced </w:t>
      </w:r>
      <w:r w:rsidR="009F7ED9" w:rsidRPr="004C70EC">
        <w:rPr>
          <w:b/>
          <w:noProof/>
          <w:color w:val="000000" w:themeColor="text1"/>
          <w:szCs w:val="24"/>
        </w:rPr>
        <w:t>t</w:t>
      </w:r>
      <w:r w:rsidRPr="004C70EC">
        <w:rPr>
          <w:b/>
          <w:noProof/>
          <w:color w:val="000000" w:themeColor="text1"/>
          <w:szCs w:val="24"/>
        </w:rPr>
        <w:t xml:space="preserve">herapies </w:t>
      </w:r>
    </w:p>
    <w:p w14:paraId="57BC4B89" w14:textId="77777777" w:rsidR="00273F36" w:rsidRPr="004C70EC" w:rsidRDefault="00273F36" w:rsidP="00C2451A">
      <w:pPr>
        <w:pStyle w:val="Point0"/>
        <w:rPr>
          <w:noProof/>
          <w:color w:val="000000" w:themeColor="text1"/>
        </w:rPr>
      </w:pPr>
      <w:r w:rsidRPr="004C70EC">
        <w:rPr>
          <w:noProof/>
          <w:color w:val="000000" w:themeColor="text1"/>
        </w:rPr>
        <w:t>1.</w:t>
      </w:r>
      <w:r w:rsidR="00C2451A" w:rsidRPr="004C70EC">
        <w:rPr>
          <w:noProof/>
        </w:rPr>
        <w:tab/>
      </w:r>
      <w:r w:rsidR="007577FF" w:rsidRPr="004C70EC">
        <w:rPr>
          <w:noProof/>
          <w:color w:val="000000" w:themeColor="text1"/>
        </w:rPr>
        <w:t xml:space="preserve">To enable access to the support measures laid down in </w:t>
      </w:r>
      <w:r w:rsidR="004A48C9" w:rsidRPr="004C70EC">
        <w:rPr>
          <w:noProof/>
          <w:color w:val="000000" w:themeColor="text1"/>
        </w:rPr>
        <w:t>Section 2 of Chapter II</w:t>
      </w:r>
      <w:r w:rsidR="007577FF" w:rsidRPr="004C70EC">
        <w:rPr>
          <w:noProof/>
          <w:color w:val="000000" w:themeColor="text1"/>
        </w:rPr>
        <w:t xml:space="preserve">, </w:t>
      </w:r>
      <w:r w:rsidR="00FE712D" w:rsidRPr="004C70EC">
        <w:rPr>
          <w:noProof/>
          <w:color w:val="000000" w:themeColor="text1"/>
        </w:rPr>
        <w:t>t</w:t>
      </w:r>
      <w:r w:rsidRPr="004C70EC">
        <w:rPr>
          <w:noProof/>
          <w:color w:val="000000" w:themeColor="text1"/>
        </w:rPr>
        <w:t>he Commission shall recognise project</w:t>
      </w:r>
      <w:r w:rsidR="004F113D" w:rsidRPr="004C70EC">
        <w:rPr>
          <w:noProof/>
          <w:color w:val="000000" w:themeColor="text1"/>
        </w:rPr>
        <w:t>s</w:t>
      </w:r>
      <w:r w:rsidRPr="004C70EC">
        <w:rPr>
          <w:noProof/>
          <w:color w:val="000000" w:themeColor="text1"/>
        </w:rPr>
        <w:t xml:space="preserve"> located in the Union as high impact </w:t>
      </w:r>
      <w:r w:rsidR="00CD3026" w:rsidRPr="004C70EC">
        <w:rPr>
          <w:rFonts w:eastAsia="Times New Roman"/>
          <w:noProof/>
          <w:color w:val="000000" w:themeColor="text1"/>
          <w:lang w:val="en-IE" w:eastAsia="de-DE"/>
        </w:rPr>
        <w:t xml:space="preserve">health </w:t>
      </w:r>
      <w:r w:rsidRPr="004C70EC">
        <w:rPr>
          <w:noProof/>
          <w:color w:val="000000" w:themeColor="text1"/>
        </w:rPr>
        <w:t>biotechnology strategic project</w:t>
      </w:r>
      <w:r w:rsidR="004F113D" w:rsidRPr="004C70EC">
        <w:rPr>
          <w:noProof/>
          <w:color w:val="000000" w:themeColor="text1"/>
        </w:rPr>
        <w:t>s</w:t>
      </w:r>
      <w:r w:rsidRPr="004C70EC">
        <w:rPr>
          <w:noProof/>
          <w:color w:val="000000" w:themeColor="text1"/>
        </w:rPr>
        <w:t xml:space="preserve"> in the form of centre</w:t>
      </w:r>
      <w:r w:rsidR="004F113D" w:rsidRPr="004C70EC">
        <w:rPr>
          <w:noProof/>
          <w:color w:val="000000" w:themeColor="text1"/>
        </w:rPr>
        <w:t>s</w:t>
      </w:r>
      <w:r w:rsidRPr="004C70EC">
        <w:rPr>
          <w:noProof/>
          <w:color w:val="000000" w:themeColor="text1"/>
        </w:rPr>
        <w:t xml:space="preserve"> of excellence for advanced therapies, including for advanced therapy medicinal products (ATMPs)</w:t>
      </w:r>
      <w:r w:rsidR="00516CBD" w:rsidRPr="004C70EC">
        <w:rPr>
          <w:noProof/>
          <w:color w:val="000000" w:themeColor="text1"/>
        </w:rPr>
        <w:t>,</w:t>
      </w:r>
      <w:r w:rsidRPr="004C70EC">
        <w:rPr>
          <w:noProof/>
          <w:color w:val="000000" w:themeColor="text1"/>
        </w:rPr>
        <w:t xml:space="preserve"> </w:t>
      </w:r>
      <w:r w:rsidR="006E2FFA" w:rsidRPr="004C70EC">
        <w:rPr>
          <w:noProof/>
          <w:color w:val="000000" w:themeColor="text1"/>
        </w:rPr>
        <w:t>only where</w:t>
      </w:r>
      <w:r w:rsidRPr="004C70EC">
        <w:rPr>
          <w:noProof/>
          <w:color w:val="000000" w:themeColor="text1"/>
        </w:rPr>
        <w:t xml:space="preserve"> </w:t>
      </w:r>
      <w:r w:rsidR="004F113D" w:rsidRPr="004C70EC">
        <w:rPr>
          <w:noProof/>
          <w:color w:val="000000" w:themeColor="text1"/>
        </w:rPr>
        <w:t>they</w:t>
      </w:r>
      <w:r w:rsidRPr="004C70EC">
        <w:rPr>
          <w:noProof/>
          <w:color w:val="000000" w:themeColor="text1"/>
        </w:rPr>
        <w:t xml:space="preserve"> compl</w:t>
      </w:r>
      <w:r w:rsidR="00516CBD" w:rsidRPr="004C70EC">
        <w:rPr>
          <w:noProof/>
          <w:color w:val="000000" w:themeColor="text1"/>
        </w:rPr>
        <w:t>y</w:t>
      </w:r>
      <w:r w:rsidRPr="004C70EC">
        <w:rPr>
          <w:noProof/>
          <w:color w:val="000000" w:themeColor="text1"/>
        </w:rPr>
        <w:t xml:space="preserve"> with the </w:t>
      </w:r>
      <w:r w:rsidR="00144829" w:rsidRPr="004C70EC">
        <w:rPr>
          <w:noProof/>
          <w:color w:val="000000" w:themeColor="text1"/>
        </w:rPr>
        <w:t>conditions</w:t>
      </w:r>
      <w:r w:rsidRPr="004C70EC">
        <w:rPr>
          <w:noProof/>
          <w:color w:val="000000" w:themeColor="text1"/>
        </w:rPr>
        <w:t xml:space="preserve"> laid down in Article </w:t>
      </w:r>
      <w:r w:rsidR="008C5586" w:rsidRPr="004C70EC">
        <w:rPr>
          <w:noProof/>
          <w:color w:val="000000" w:themeColor="text1"/>
        </w:rPr>
        <w:t>4</w:t>
      </w:r>
      <w:r w:rsidRPr="004C70EC">
        <w:rPr>
          <w:noProof/>
          <w:color w:val="000000" w:themeColor="text1"/>
        </w:rPr>
        <w:t>[</w:t>
      </w:r>
      <w:r w:rsidR="004F113D" w:rsidRPr="004C70EC">
        <w:rPr>
          <w:noProof/>
          <w:color w:val="000000" w:themeColor="text1"/>
        </w:rPr>
        <w:t>(</w:t>
      </w:r>
      <w:r w:rsidRPr="004C70EC">
        <w:rPr>
          <w:noProof/>
          <w:color w:val="000000" w:themeColor="text1"/>
        </w:rPr>
        <w:t>1</w:t>
      </w:r>
      <w:r w:rsidR="004F113D" w:rsidRPr="004C70EC">
        <w:rPr>
          <w:noProof/>
          <w:color w:val="000000" w:themeColor="text1"/>
        </w:rPr>
        <w:t>)</w:t>
      </w:r>
      <w:r w:rsidRPr="004C70EC">
        <w:rPr>
          <w:noProof/>
          <w:color w:val="000000" w:themeColor="text1"/>
        </w:rPr>
        <w:t xml:space="preserve"> and reinforce the Union’s capability in the area of advanced therapies, by fulfilling all of the conditions set out in paragraph 2</w:t>
      </w:r>
      <w:r w:rsidR="005A5778" w:rsidRPr="004C70EC">
        <w:rPr>
          <w:noProof/>
          <w:color w:val="000000" w:themeColor="text1"/>
        </w:rPr>
        <w:t xml:space="preserve"> of this Article</w:t>
      </w:r>
      <w:r w:rsidRPr="004C70EC">
        <w:rPr>
          <w:noProof/>
          <w:color w:val="000000" w:themeColor="text1"/>
        </w:rPr>
        <w:t>.</w:t>
      </w:r>
    </w:p>
    <w:p w14:paraId="6DAAADB8" w14:textId="77777777" w:rsidR="00273F36" w:rsidRPr="004C70EC" w:rsidRDefault="00273F36" w:rsidP="00C2451A">
      <w:pPr>
        <w:pStyle w:val="Point0"/>
        <w:rPr>
          <w:noProof/>
          <w:color w:val="000000" w:themeColor="text1"/>
          <w:szCs w:val="24"/>
        </w:rPr>
      </w:pPr>
      <w:r w:rsidRPr="004C70EC">
        <w:rPr>
          <w:noProof/>
          <w:color w:val="000000" w:themeColor="text1"/>
          <w:szCs w:val="24"/>
        </w:rPr>
        <w:t>2.</w:t>
      </w:r>
      <w:r w:rsidRPr="004C70EC">
        <w:rPr>
          <w:noProof/>
          <w:color w:val="000000" w:themeColor="text1"/>
          <w:szCs w:val="24"/>
        </w:rPr>
        <w:tab/>
        <w:t>The centre</w:t>
      </w:r>
      <w:r w:rsidR="004F113D" w:rsidRPr="004C70EC">
        <w:rPr>
          <w:noProof/>
          <w:color w:val="000000" w:themeColor="text1"/>
          <w:szCs w:val="24"/>
        </w:rPr>
        <w:t>s</w:t>
      </w:r>
      <w:r w:rsidRPr="004C70EC">
        <w:rPr>
          <w:noProof/>
          <w:color w:val="000000" w:themeColor="text1"/>
          <w:szCs w:val="24"/>
        </w:rPr>
        <w:t xml:space="preserve"> referred to in paragraph 1 shall</w:t>
      </w:r>
      <w:r w:rsidR="0083787E" w:rsidRPr="004C70EC">
        <w:rPr>
          <w:noProof/>
          <w:color w:val="000000" w:themeColor="text1"/>
          <w:szCs w:val="24"/>
        </w:rPr>
        <w:t xml:space="preserve"> fulfil all of the following conditions</w:t>
      </w:r>
      <w:r w:rsidRPr="004C70EC">
        <w:rPr>
          <w:noProof/>
          <w:color w:val="000000" w:themeColor="text1"/>
          <w:szCs w:val="24"/>
        </w:rPr>
        <w:t>:</w:t>
      </w:r>
    </w:p>
    <w:p w14:paraId="47D75BB6" w14:textId="77777777" w:rsidR="00273F36" w:rsidRPr="004C70EC" w:rsidRDefault="00C2451A" w:rsidP="00C2451A">
      <w:pPr>
        <w:pStyle w:val="Point1"/>
        <w:rPr>
          <w:noProof/>
          <w:color w:val="000000" w:themeColor="text1"/>
        </w:rPr>
      </w:pPr>
      <w:r w:rsidRPr="004C70EC">
        <w:rPr>
          <w:noProof/>
          <w:color w:val="000000" w:themeColor="text1"/>
        </w:rPr>
        <w:t>(a)</w:t>
      </w:r>
      <w:r w:rsidRPr="004C70EC">
        <w:rPr>
          <w:noProof/>
          <w:color w:val="000000" w:themeColor="text1"/>
        </w:rPr>
        <w:tab/>
      </w:r>
      <w:r w:rsidR="00273F36" w:rsidRPr="004C70EC">
        <w:rPr>
          <w:noProof/>
          <w:color w:val="000000" w:themeColor="text1"/>
        </w:rPr>
        <w:t>specialise in at least one advanced therap</w:t>
      </w:r>
      <w:r w:rsidR="0BB05918" w:rsidRPr="004C70EC">
        <w:rPr>
          <w:noProof/>
          <w:color w:val="000000" w:themeColor="text1"/>
        </w:rPr>
        <w:t>y</w:t>
      </w:r>
      <w:r w:rsidR="00273F36" w:rsidRPr="004C70EC">
        <w:rPr>
          <w:noProof/>
          <w:color w:val="000000" w:themeColor="text1"/>
        </w:rPr>
        <w:t xml:space="preserve">, such as cell and gene therapies; </w:t>
      </w:r>
    </w:p>
    <w:p w14:paraId="2BE6364D" w14:textId="77777777" w:rsidR="00273F36" w:rsidRPr="004C70EC" w:rsidRDefault="00C2451A" w:rsidP="00C2451A">
      <w:pPr>
        <w:pStyle w:val="Point1"/>
        <w:rPr>
          <w:noProof/>
          <w:color w:val="000000" w:themeColor="text1"/>
          <w:szCs w:val="24"/>
        </w:rPr>
      </w:pPr>
      <w:r w:rsidRPr="004C70EC">
        <w:rPr>
          <w:noProof/>
          <w:color w:val="000000" w:themeColor="text1"/>
          <w:szCs w:val="24"/>
        </w:rPr>
        <w:t>(b)</w:t>
      </w:r>
      <w:r w:rsidRPr="004C70EC">
        <w:rPr>
          <w:noProof/>
          <w:color w:val="000000" w:themeColor="text1"/>
          <w:szCs w:val="24"/>
        </w:rPr>
        <w:tab/>
      </w:r>
      <w:r w:rsidR="00273F36" w:rsidRPr="004C70EC">
        <w:rPr>
          <w:noProof/>
          <w:color w:val="000000" w:themeColor="text1"/>
          <w:szCs w:val="24"/>
        </w:rPr>
        <w:t>provide or coordinate advanced infrastructures including downstream processing, delivery models and the manufacturing of therapies referred to in point (a);</w:t>
      </w:r>
    </w:p>
    <w:p w14:paraId="39BDF201" w14:textId="77777777" w:rsidR="00273F36" w:rsidRPr="004C70EC" w:rsidRDefault="00C2451A" w:rsidP="00C2451A">
      <w:pPr>
        <w:pStyle w:val="Point1"/>
        <w:rPr>
          <w:noProof/>
          <w:color w:val="000000" w:themeColor="text1"/>
          <w:szCs w:val="24"/>
        </w:rPr>
      </w:pPr>
      <w:r w:rsidRPr="004C70EC">
        <w:rPr>
          <w:noProof/>
          <w:color w:val="000000" w:themeColor="text1"/>
          <w:szCs w:val="24"/>
        </w:rPr>
        <w:t>(c)</w:t>
      </w:r>
      <w:r w:rsidRPr="004C70EC">
        <w:rPr>
          <w:noProof/>
          <w:color w:val="000000" w:themeColor="text1"/>
          <w:szCs w:val="24"/>
        </w:rPr>
        <w:tab/>
      </w:r>
      <w:r w:rsidR="00273F36" w:rsidRPr="004C70EC">
        <w:rPr>
          <w:noProof/>
          <w:color w:val="000000" w:themeColor="text1"/>
          <w:szCs w:val="24"/>
        </w:rPr>
        <w:t>integrate quality, regulatory</w:t>
      </w:r>
      <w:r w:rsidR="00A06948" w:rsidRPr="004C70EC">
        <w:rPr>
          <w:noProof/>
          <w:color w:val="000000" w:themeColor="text1"/>
          <w:szCs w:val="24"/>
        </w:rPr>
        <w:t xml:space="preserve"> </w:t>
      </w:r>
      <w:r w:rsidR="00273F36" w:rsidRPr="004C70EC">
        <w:rPr>
          <w:noProof/>
          <w:color w:val="000000" w:themeColor="text1"/>
          <w:szCs w:val="24"/>
        </w:rPr>
        <w:t>science, and safety testing functions supporting Union-wide development of advanced therapies;</w:t>
      </w:r>
    </w:p>
    <w:p w14:paraId="46F9D586" w14:textId="77777777" w:rsidR="00273F36" w:rsidRPr="004C70EC" w:rsidRDefault="00C2451A" w:rsidP="00C2451A">
      <w:pPr>
        <w:pStyle w:val="Point1"/>
        <w:rPr>
          <w:noProof/>
          <w:color w:val="000000" w:themeColor="text1"/>
          <w:szCs w:val="24"/>
        </w:rPr>
      </w:pPr>
      <w:r w:rsidRPr="004C70EC">
        <w:rPr>
          <w:noProof/>
          <w:color w:val="000000" w:themeColor="text1"/>
          <w:szCs w:val="24"/>
        </w:rPr>
        <w:t>(d)</w:t>
      </w:r>
      <w:r w:rsidRPr="004C70EC">
        <w:rPr>
          <w:noProof/>
          <w:color w:val="000000" w:themeColor="text1"/>
          <w:szCs w:val="24"/>
        </w:rPr>
        <w:tab/>
      </w:r>
      <w:r w:rsidR="00273F36" w:rsidRPr="004C70EC">
        <w:rPr>
          <w:noProof/>
          <w:color w:val="000000" w:themeColor="text1"/>
          <w:szCs w:val="24"/>
        </w:rPr>
        <w:t>establish structured cooperation among clinical centres, research organisations, industrial developers</w:t>
      </w:r>
      <w:r w:rsidR="005A5778" w:rsidRPr="004C70EC">
        <w:rPr>
          <w:noProof/>
          <w:color w:val="000000" w:themeColor="text1"/>
          <w:szCs w:val="24"/>
        </w:rPr>
        <w:t xml:space="preserve"> of biotechnology products</w:t>
      </w:r>
      <w:r w:rsidR="00273F36" w:rsidRPr="004C70EC">
        <w:rPr>
          <w:noProof/>
          <w:color w:val="000000" w:themeColor="text1"/>
          <w:szCs w:val="24"/>
        </w:rPr>
        <w:t>, investors and regulators;</w:t>
      </w:r>
    </w:p>
    <w:p w14:paraId="79814241" w14:textId="77777777" w:rsidR="00273F36" w:rsidRPr="004C70EC" w:rsidRDefault="00C2451A" w:rsidP="00C2451A">
      <w:pPr>
        <w:pStyle w:val="Point1"/>
        <w:rPr>
          <w:noProof/>
          <w:color w:val="000000" w:themeColor="text1"/>
          <w:szCs w:val="24"/>
        </w:rPr>
      </w:pPr>
      <w:r w:rsidRPr="004C70EC">
        <w:rPr>
          <w:noProof/>
          <w:color w:val="000000" w:themeColor="text1"/>
          <w:szCs w:val="24"/>
        </w:rPr>
        <w:t>(e)</w:t>
      </w:r>
      <w:r w:rsidRPr="004C70EC">
        <w:rPr>
          <w:noProof/>
          <w:color w:val="000000" w:themeColor="text1"/>
          <w:szCs w:val="24"/>
        </w:rPr>
        <w:tab/>
      </w:r>
      <w:r w:rsidR="00273F36" w:rsidRPr="004C70EC">
        <w:rPr>
          <w:noProof/>
          <w:color w:val="000000" w:themeColor="text1"/>
          <w:szCs w:val="24"/>
        </w:rPr>
        <w:t>provide multiple services enabling the transition of advanced therapies from laboratory research to commercial manufacturing, including:</w:t>
      </w:r>
    </w:p>
    <w:p w14:paraId="6ED7A9E0" w14:textId="77777777" w:rsidR="00273F36" w:rsidRPr="004C70EC" w:rsidRDefault="00C2451A" w:rsidP="00C2451A">
      <w:pPr>
        <w:pStyle w:val="Point2"/>
        <w:rPr>
          <w:noProof/>
          <w:color w:val="000000" w:themeColor="text1"/>
        </w:rPr>
      </w:pPr>
      <w:r w:rsidRPr="004C70EC">
        <w:rPr>
          <w:noProof/>
          <w:color w:val="000000" w:themeColor="text1"/>
        </w:rPr>
        <w:t>(i)</w:t>
      </w:r>
      <w:r w:rsidRPr="004C70EC">
        <w:rPr>
          <w:noProof/>
          <w:color w:val="000000" w:themeColor="text1"/>
        </w:rPr>
        <w:tab/>
      </w:r>
      <w:r w:rsidR="00273F36" w:rsidRPr="004C70EC">
        <w:rPr>
          <w:noProof/>
          <w:color w:val="000000" w:themeColor="text1"/>
        </w:rPr>
        <w:t>provide acceleration programmes to transform innovative ideas into viable business propositions;</w:t>
      </w:r>
    </w:p>
    <w:p w14:paraId="629CF6BA" w14:textId="77777777" w:rsidR="00273F36" w:rsidRPr="004C70EC" w:rsidRDefault="00C2451A" w:rsidP="00C2451A">
      <w:pPr>
        <w:pStyle w:val="Point2"/>
        <w:rPr>
          <w:noProof/>
          <w:color w:val="000000" w:themeColor="text1"/>
          <w:szCs w:val="24"/>
        </w:rPr>
      </w:pPr>
      <w:r w:rsidRPr="004C70EC">
        <w:rPr>
          <w:noProof/>
          <w:color w:val="000000" w:themeColor="text1"/>
          <w:szCs w:val="24"/>
        </w:rPr>
        <w:t>(ii)</w:t>
      </w:r>
      <w:r w:rsidRPr="004C70EC">
        <w:rPr>
          <w:noProof/>
          <w:color w:val="000000" w:themeColor="text1"/>
          <w:szCs w:val="24"/>
        </w:rPr>
        <w:tab/>
      </w:r>
      <w:r w:rsidR="00273F36" w:rsidRPr="004C70EC">
        <w:rPr>
          <w:noProof/>
          <w:color w:val="000000" w:themeColor="text1"/>
          <w:szCs w:val="24"/>
        </w:rPr>
        <w:t>provide incubation programmes assisting early-stage companies requiring GMP infrastructure, technical and regulatory expertise;</w:t>
      </w:r>
    </w:p>
    <w:p w14:paraId="3AB21D41" w14:textId="77777777" w:rsidR="00273F36" w:rsidRPr="004C70EC" w:rsidRDefault="00C2451A" w:rsidP="00C2451A">
      <w:pPr>
        <w:pStyle w:val="Point2"/>
        <w:rPr>
          <w:noProof/>
          <w:color w:val="000000" w:themeColor="text1"/>
          <w:szCs w:val="24"/>
        </w:rPr>
      </w:pPr>
      <w:r w:rsidRPr="004C70EC">
        <w:rPr>
          <w:noProof/>
          <w:color w:val="000000" w:themeColor="text1"/>
          <w:szCs w:val="24"/>
        </w:rPr>
        <w:t>(iii)</w:t>
      </w:r>
      <w:r w:rsidRPr="004C70EC">
        <w:rPr>
          <w:noProof/>
          <w:color w:val="000000" w:themeColor="text1"/>
          <w:szCs w:val="24"/>
        </w:rPr>
        <w:tab/>
      </w:r>
      <w:r w:rsidR="00273F36" w:rsidRPr="004C70EC">
        <w:rPr>
          <w:noProof/>
          <w:color w:val="000000" w:themeColor="text1"/>
          <w:szCs w:val="24"/>
        </w:rPr>
        <w:t>carry out networking and partnership facilitation to foster alliances;</w:t>
      </w:r>
    </w:p>
    <w:p w14:paraId="5E191EBA" w14:textId="77777777" w:rsidR="00273F36" w:rsidRPr="004C70EC" w:rsidRDefault="00C2451A" w:rsidP="00C2451A">
      <w:pPr>
        <w:pStyle w:val="Point2"/>
        <w:rPr>
          <w:noProof/>
          <w:color w:val="000000" w:themeColor="text1"/>
          <w:szCs w:val="24"/>
        </w:rPr>
      </w:pPr>
      <w:r w:rsidRPr="004C70EC">
        <w:rPr>
          <w:noProof/>
          <w:color w:val="000000" w:themeColor="text1"/>
          <w:szCs w:val="24"/>
        </w:rPr>
        <w:t>(iv)</w:t>
      </w:r>
      <w:r w:rsidRPr="004C70EC">
        <w:rPr>
          <w:noProof/>
          <w:color w:val="000000" w:themeColor="text1"/>
          <w:szCs w:val="24"/>
        </w:rPr>
        <w:tab/>
      </w:r>
      <w:r w:rsidR="00273F36" w:rsidRPr="004C70EC">
        <w:rPr>
          <w:noProof/>
          <w:color w:val="000000" w:themeColor="text1"/>
          <w:szCs w:val="24"/>
        </w:rPr>
        <w:t xml:space="preserve">ensure access to clinical and hospital settings, including for paediatric patients, for testing, clinical validation, and feedback; </w:t>
      </w:r>
    </w:p>
    <w:p w14:paraId="04BCB6CA" w14:textId="77777777" w:rsidR="00273F36" w:rsidRPr="004C70EC" w:rsidRDefault="00C2451A" w:rsidP="00C2451A">
      <w:pPr>
        <w:pStyle w:val="Point2"/>
        <w:rPr>
          <w:noProof/>
          <w:color w:val="000000" w:themeColor="text1"/>
          <w:szCs w:val="24"/>
        </w:rPr>
      </w:pPr>
      <w:r w:rsidRPr="004C70EC">
        <w:rPr>
          <w:noProof/>
          <w:color w:val="000000" w:themeColor="text1"/>
          <w:szCs w:val="24"/>
        </w:rPr>
        <w:t>(v)</w:t>
      </w:r>
      <w:r w:rsidRPr="004C70EC">
        <w:rPr>
          <w:noProof/>
          <w:color w:val="000000" w:themeColor="text1"/>
          <w:szCs w:val="24"/>
        </w:rPr>
        <w:tab/>
      </w:r>
      <w:r w:rsidR="00273F36" w:rsidRPr="004C70EC">
        <w:rPr>
          <w:noProof/>
          <w:color w:val="000000" w:themeColor="text1"/>
          <w:szCs w:val="24"/>
        </w:rPr>
        <w:t>provide education and training for researchers, clinicians, and developers; and</w:t>
      </w:r>
    </w:p>
    <w:p w14:paraId="56BD2877" w14:textId="77777777" w:rsidR="00273F36" w:rsidRPr="004C70EC" w:rsidRDefault="00C2451A" w:rsidP="00C2451A">
      <w:pPr>
        <w:pStyle w:val="Point2"/>
        <w:rPr>
          <w:rFonts w:eastAsiaTheme="minorEastAsia"/>
          <w:noProof/>
          <w:color w:val="000000" w:themeColor="text1"/>
          <w:szCs w:val="24"/>
          <w:lang w:eastAsia="ja-JP"/>
        </w:rPr>
      </w:pPr>
      <w:r w:rsidRPr="004C70EC">
        <w:rPr>
          <w:rFonts w:eastAsiaTheme="minorEastAsia"/>
          <w:noProof/>
          <w:color w:val="000000" w:themeColor="text1"/>
          <w:szCs w:val="24"/>
          <w:lang w:eastAsia="ja-JP"/>
        </w:rPr>
        <w:t>(vi)</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ensure the possibility of cross-border access to users from any Member State.</w:t>
      </w:r>
    </w:p>
    <w:p w14:paraId="31C64934" w14:textId="77777777" w:rsidR="00273F36" w:rsidRPr="004C70EC" w:rsidRDefault="00C2451A" w:rsidP="00F13976">
      <w:pPr>
        <w:pStyle w:val="Point0"/>
        <w:rPr>
          <w:noProof/>
          <w:color w:val="000000" w:themeColor="text1"/>
          <w:lang w:eastAsia="en-IE"/>
        </w:rPr>
      </w:pPr>
      <w:r w:rsidRPr="004C70EC">
        <w:rPr>
          <w:noProof/>
          <w:color w:val="000000" w:themeColor="text1"/>
        </w:rPr>
        <w:t>3.</w:t>
      </w:r>
      <w:r w:rsidRPr="004C70EC">
        <w:rPr>
          <w:noProof/>
          <w:color w:val="000000" w:themeColor="text1"/>
        </w:rPr>
        <w:tab/>
      </w:r>
      <w:r w:rsidR="00273F36" w:rsidRPr="004C70EC">
        <w:rPr>
          <w:noProof/>
          <w:color w:val="000000" w:themeColor="text1"/>
        </w:rPr>
        <w:t xml:space="preserve">The Commission may adopt implementing acts to detail the </w:t>
      </w:r>
      <w:r w:rsidR="0083787E" w:rsidRPr="004C70EC">
        <w:rPr>
          <w:noProof/>
          <w:color w:val="000000" w:themeColor="text1"/>
        </w:rPr>
        <w:t xml:space="preserve">conditions </w:t>
      </w:r>
      <w:r w:rsidR="004B6A8A" w:rsidRPr="004C70EC">
        <w:rPr>
          <w:noProof/>
          <w:color w:val="000000" w:themeColor="text1"/>
        </w:rPr>
        <w:t xml:space="preserve">listed </w:t>
      </w:r>
      <w:r w:rsidR="00273F36" w:rsidRPr="004C70EC">
        <w:rPr>
          <w:noProof/>
          <w:color w:val="000000" w:themeColor="text1"/>
        </w:rPr>
        <w:t>in paragraph 2</w:t>
      </w:r>
      <w:r w:rsidR="004B6A8A" w:rsidRPr="004C70EC">
        <w:rPr>
          <w:noProof/>
          <w:color w:val="000000" w:themeColor="text1"/>
        </w:rPr>
        <w:t xml:space="preserve"> of this Article</w:t>
      </w:r>
      <w:r w:rsidR="00273F36" w:rsidRPr="004C70EC">
        <w:rPr>
          <w:noProof/>
          <w:color w:val="000000" w:themeColor="text1"/>
        </w:rPr>
        <w:t>, with a view to ensure a consistent approach in their implementation across the Member States. Th</w:t>
      </w:r>
      <w:r w:rsidR="00FB6D21" w:rsidRPr="004C70EC">
        <w:rPr>
          <w:noProof/>
          <w:color w:val="000000" w:themeColor="text1"/>
        </w:rPr>
        <w:t>e</w:t>
      </w:r>
      <w:r w:rsidR="00273F36" w:rsidRPr="004C70EC">
        <w:rPr>
          <w:noProof/>
          <w:color w:val="000000" w:themeColor="text1"/>
        </w:rPr>
        <w:t xml:space="preserve">se implementing acts shall be adopted in accordance with the examination procedure referred to in Article </w:t>
      </w:r>
      <w:r w:rsidR="008C5586" w:rsidRPr="004C70EC">
        <w:rPr>
          <w:noProof/>
          <w:color w:val="000000" w:themeColor="text1"/>
        </w:rPr>
        <w:t>6</w:t>
      </w:r>
      <w:r w:rsidR="00457521" w:rsidRPr="004C70EC">
        <w:rPr>
          <w:noProof/>
          <w:color w:val="000000" w:themeColor="text1"/>
        </w:rPr>
        <w:t>5</w:t>
      </w:r>
      <w:r w:rsidR="004B6A8A" w:rsidRPr="004C70EC">
        <w:rPr>
          <w:noProof/>
          <w:color w:val="000000" w:themeColor="text1"/>
        </w:rPr>
        <w:t>(</w:t>
      </w:r>
      <w:r w:rsidR="00273F36" w:rsidRPr="004C70EC">
        <w:rPr>
          <w:noProof/>
          <w:color w:val="000000" w:themeColor="text1"/>
        </w:rPr>
        <w:t>2</w:t>
      </w:r>
      <w:r w:rsidR="004B6A8A" w:rsidRPr="004C70EC">
        <w:rPr>
          <w:noProof/>
          <w:color w:val="000000" w:themeColor="text1"/>
        </w:rPr>
        <w:t>)</w:t>
      </w:r>
      <w:r w:rsidR="00273F36" w:rsidRPr="004C70EC">
        <w:rPr>
          <w:noProof/>
          <w:color w:val="000000" w:themeColor="text1"/>
        </w:rPr>
        <w:t xml:space="preserve">. </w:t>
      </w:r>
    </w:p>
    <w:p w14:paraId="1EF31FEB" w14:textId="77777777" w:rsidR="00273F36" w:rsidRPr="004C70EC" w:rsidRDefault="00273F36" w:rsidP="00C2451A">
      <w:pPr>
        <w:pStyle w:val="Titrearticle"/>
        <w:rPr>
          <w:noProof/>
          <w:color w:val="000000" w:themeColor="text1"/>
        </w:rPr>
      </w:pPr>
      <w:r w:rsidRPr="004C70EC">
        <w:rPr>
          <w:noProof/>
          <w:color w:val="000000" w:themeColor="text1"/>
        </w:rPr>
        <w:t xml:space="preserve">Article </w:t>
      </w:r>
      <w:r w:rsidR="00D93646" w:rsidRPr="004C70EC">
        <w:rPr>
          <w:noProof/>
          <w:color w:val="000000" w:themeColor="text1"/>
        </w:rPr>
        <w:t>7</w:t>
      </w:r>
    </w:p>
    <w:p w14:paraId="701C2D8B" w14:textId="77777777" w:rsidR="00273F36" w:rsidRPr="004C70EC" w:rsidRDefault="00107C94" w:rsidP="00273F36">
      <w:pPr>
        <w:keepNext/>
        <w:tabs>
          <w:tab w:val="left" w:pos="850"/>
        </w:tabs>
        <w:ind w:left="850" w:hanging="850"/>
        <w:jc w:val="center"/>
        <w:outlineLvl w:val="2"/>
        <w:rPr>
          <w:b/>
          <w:noProof/>
          <w:color w:val="000000" w:themeColor="text1"/>
          <w:szCs w:val="24"/>
        </w:rPr>
      </w:pPr>
      <w:r w:rsidRPr="004C70EC">
        <w:rPr>
          <w:b/>
          <w:noProof/>
          <w:color w:val="000000" w:themeColor="text1"/>
          <w:szCs w:val="24"/>
        </w:rPr>
        <w:t xml:space="preserve">Designation of the competent authority responsible for assessing applications for recognition of </w:t>
      </w:r>
      <w:r w:rsidR="00311261" w:rsidRPr="004C70EC">
        <w:rPr>
          <w:b/>
          <w:noProof/>
          <w:color w:val="000000" w:themeColor="text1"/>
          <w:szCs w:val="24"/>
        </w:rPr>
        <w:t xml:space="preserve">health </w:t>
      </w:r>
      <w:r w:rsidRPr="004C70EC">
        <w:rPr>
          <w:b/>
          <w:noProof/>
          <w:color w:val="000000" w:themeColor="text1"/>
          <w:szCs w:val="24"/>
        </w:rPr>
        <w:t xml:space="preserve">biotechnology strategic projects and high-impact </w:t>
      </w:r>
      <w:r w:rsidR="00311261" w:rsidRPr="004C70EC">
        <w:rPr>
          <w:b/>
          <w:noProof/>
          <w:color w:val="000000" w:themeColor="text1"/>
          <w:szCs w:val="24"/>
        </w:rPr>
        <w:t xml:space="preserve">health </w:t>
      </w:r>
      <w:r w:rsidRPr="004C70EC">
        <w:rPr>
          <w:b/>
          <w:noProof/>
          <w:color w:val="000000" w:themeColor="text1"/>
          <w:szCs w:val="24"/>
        </w:rPr>
        <w:t xml:space="preserve">biotechnology strategic projects </w:t>
      </w:r>
    </w:p>
    <w:p w14:paraId="040C3006" w14:textId="77777777" w:rsidR="00273F36" w:rsidRPr="004C70EC" w:rsidRDefault="00273F36" w:rsidP="00431990">
      <w:pPr>
        <w:pStyle w:val="Point0"/>
        <w:rPr>
          <w:rFonts w:eastAsiaTheme="minorEastAsia"/>
          <w:noProof/>
          <w:color w:val="000000" w:themeColor="text1"/>
          <w:lang w:eastAsia="ja-JP"/>
        </w:rPr>
      </w:pPr>
      <w:r w:rsidRPr="004C70EC">
        <w:rPr>
          <w:rFonts w:eastAsiaTheme="minorEastAsia"/>
          <w:noProof/>
          <w:color w:val="000000" w:themeColor="text1"/>
          <w:lang w:eastAsia="ja-JP"/>
        </w:rPr>
        <w:t>1.</w:t>
      </w:r>
      <w:r w:rsidRPr="004C70EC">
        <w:rPr>
          <w:noProof/>
          <w:color w:val="000000" w:themeColor="text1"/>
        </w:rPr>
        <w:tab/>
      </w:r>
      <w:r w:rsidRPr="004C70EC">
        <w:rPr>
          <w:rFonts w:eastAsiaTheme="minorEastAsia"/>
          <w:noProof/>
          <w:color w:val="000000" w:themeColor="text1"/>
          <w:lang w:eastAsia="ja-JP"/>
        </w:rPr>
        <w:t xml:space="preserve">Member States shall designate an authority (‘the designated authority’) </w:t>
      </w:r>
      <w:r w:rsidR="00976058" w:rsidRPr="004C70EC">
        <w:rPr>
          <w:rFonts w:eastAsiaTheme="minorEastAsia"/>
          <w:noProof/>
          <w:color w:val="000000" w:themeColor="text1"/>
          <w:lang w:eastAsia="ja-JP"/>
        </w:rPr>
        <w:t xml:space="preserve">responsible for </w:t>
      </w:r>
      <w:r w:rsidRPr="004C70EC">
        <w:rPr>
          <w:rFonts w:eastAsiaTheme="minorEastAsia"/>
          <w:noProof/>
          <w:color w:val="000000" w:themeColor="text1"/>
          <w:lang w:eastAsia="ja-JP"/>
        </w:rPr>
        <w:t>assess</w:t>
      </w:r>
      <w:r w:rsidR="00976058" w:rsidRPr="004C70EC">
        <w:rPr>
          <w:rFonts w:eastAsiaTheme="minorEastAsia"/>
          <w:noProof/>
          <w:color w:val="000000" w:themeColor="text1"/>
          <w:lang w:eastAsia="ja-JP"/>
        </w:rPr>
        <w:t xml:space="preserve">ing applications for recognition of </w:t>
      </w:r>
      <w:r w:rsidR="00311261" w:rsidRPr="004C70EC">
        <w:rPr>
          <w:rFonts w:eastAsiaTheme="minorEastAsia"/>
          <w:noProof/>
          <w:color w:val="000000" w:themeColor="text1"/>
          <w:lang w:eastAsia="ja-JP"/>
        </w:rPr>
        <w:t xml:space="preserve">health </w:t>
      </w:r>
      <w:r w:rsidR="00976058" w:rsidRPr="004C70EC">
        <w:rPr>
          <w:rFonts w:eastAsiaTheme="minorEastAsia"/>
          <w:noProof/>
          <w:color w:val="000000" w:themeColor="text1"/>
          <w:lang w:eastAsia="ja-JP"/>
        </w:rPr>
        <w:t>biotechnology strategic projects and high</w:t>
      </w:r>
      <w:r w:rsidR="1E4E5416" w:rsidRPr="004C70EC">
        <w:rPr>
          <w:rFonts w:eastAsiaTheme="minorEastAsia"/>
          <w:noProof/>
          <w:color w:val="000000" w:themeColor="text1"/>
          <w:lang w:eastAsia="ja-JP"/>
        </w:rPr>
        <w:t xml:space="preserve"> </w:t>
      </w:r>
      <w:r w:rsidR="00976058" w:rsidRPr="004C70EC">
        <w:rPr>
          <w:rFonts w:eastAsiaTheme="minorEastAsia"/>
          <w:noProof/>
          <w:color w:val="000000" w:themeColor="text1"/>
          <w:lang w:eastAsia="ja-JP"/>
        </w:rPr>
        <w:t xml:space="preserve">impact </w:t>
      </w:r>
      <w:r w:rsidR="00311261" w:rsidRPr="004C70EC">
        <w:rPr>
          <w:rFonts w:eastAsiaTheme="minorEastAsia"/>
          <w:noProof/>
          <w:color w:val="000000" w:themeColor="text1"/>
          <w:lang w:eastAsia="ja-JP"/>
        </w:rPr>
        <w:t xml:space="preserve">health </w:t>
      </w:r>
      <w:r w:rsidR="00976058" w:rsidRPr="004C70EC">
        <w:rPr>
          <w:rFonts w:eastAsiaTheme="minorEastAsia"/>
          <w:noProof/>
          <w:color w:val="000000" w:themeColor="text1"/>
          <w:lang w:eastAsia="ja-JP"/>
        </w:rPr>
        <w:t xml:space="preserve">biotechnology </w:t>
      </w:r>
      <w:r w:rsidR="00B64535" w:rsidRPr="004C70EC">
        <w:rPr>
          <w:rFonts w:eastAsiaTheme="minorEastAsia"/>
          <w:noProof/>
          <w:color w:val="000000" w:themeColor="text1"/>
          <w:lang w:eastAsia="ja-JP"/>
        </w:rPr>
        <w:t xml:space="preserve">strategic projects. </w:t>
      </w:r>
      <w:r w:rsidRPr="004C70EC">
        <w:rPr>
          <w:rFonts w:eastAsiaTheme="minorEastAsia"/>
          <w:noProof/>
          <w:color w:val="000000" w:themeColor="text1"/>
          <w:lang w:eastAsia="ja-JP"/>
        </w:rPr>
        <w:t xml:space="preserve"> </w:t>
      </w:r>
    </w:p>
    <w:p w14:paraId="629B19D7" w14:textId="77777777" w:rsidR="00B64535" w:rsidRPr="004C70EC" w:rsidRDefault="00273F36" w:rsidP="007731B5">
      <w:pPr>
        <w:pStyle w:val="Point0"/>
        <w:rPr>
          <w:rFonts w:eastAsiaTheme="minorEastAsia"/>
          <w:noProof/>
          <w:color w:val="000000" w:themeColor="text1"/>
          <w:lang w:eastAsia="ja-JP"/>
        </w:rPr>
      </w:pPr>
      <w:r w:rsidRPr="004C70EC">
        <w:rPr>
          <w:rFonts w:eastAsiaTheme="minorEastAsia"/>
          <w:noProof/>
          <w:color w:val="000000" w:themeColor="text1"/>
          <w:lang w:eastAsia="ja-JP"/>
        </w:rPr>
        <w:t>2.</w:t>
      </w:r>
      <w:r w:rsidRPr="004C70EC">
        <w:rPr>
          <w:noProof/>
          <w:color w:val="000000" w:themeColor="text1"/>
        </w:rPr>
        <w:tab/>
      </w:r>
      <w:r w:rsidRPr="004C70EC">
        <w:rPr>
          <w:rFonts w:eastAsia="Times New Roman"/>
          <w:noProof/>
          <w:color w:val="000000" w:themeColor="text1"/>
          <w:lang w:eastAsia="en-GB"/>
        </w:rPr>
        <w:t xml:space="preserve">Member States shall </w:t>
      </w:r>
      <w:r w:rsidR="001A115B" w:rsidRPr="004C70EC">
        <w:rPr>
          <w:rFonts w:eastAsia="Times New Roman"/>
          <w:noProof/>
          <w:color w:val="000000" w:themeColor="text1"/>
          <w:lang w:eastAsia="en-GB"/>
        </w:rPr>
        <w:t>inform</w:t>
      </w:r>
      <w:r w:rsidRPr="004C70EC">
        <w:rPr>
          <w:rFonts w:eastAsia="Times New Roman"/>
          <w:noProof/>
          <w:color w:val="000000" w:themeColor="text1"/>
          <w:lang w:eastAsia="en-GB"/>
        </w:rPr>
        <w:t xml:space="preserve"> the Commission within six months from </w:t>
      </w:r>
      <w:r w:rsidR="00B64535" w:rsidRPr="004C70EC">
        <w:rPr>
          <w:rFonts w:eastAsia="Times New Roman"/>
          <w:noProof/>
          <w:color w:val="000000" w:themeColor="text1"/>
          <w:lang w:eastAsia="en-GB"/>
        </w:rPr>
        <w:t xml:space="preserve">the </w:t>
      </w:r>
      <w:r w:rsidRPr="004C70EC">
        <w:rPr>
          <w:rFonts w:eastAsia="Times New Roman"/>
          <w:noProof/>
          <w:color w:val="000000" w:themeColor="text1"/>
          <w:lang w:eastAsia="en-GB"/>
        </w:rPr>
        <w:t xml:space="preserve">entry into force of this Regulation </w:t>
      </w:r>
      <w:r w:rsidR="00A54D26" w:rsidRPr="004C70EC">
        <w:rPr>
          <w:rFonts w:eastAsia="Times New Roman"/>
          <w:noProof/>
          <w:color w:val="000000" w:themeColor="text1"/>
          <w:lang w:eastAsia="en-GB"/>
        </w:rPr>
        <w:t xml:space="preserve">of </w:t>
      </w:r>
      <w:r w:rsidRPr="004C70EC">
        <w:rPr>
          <w:rFonts w:eastAsiaTheme="minorEastAsia"/>
          <w:noProof/>
          <w:color w:val="000000" w:themeColor="text1"/>
          <w:lang w:eastAsia="ja-JP"/>
        </w:rPr>
        <w:t xml:space="preserve">the </w:t>
      </w:r>
      <w:r w:rsidRPr="004C70EC">
        <w:rPr>
          <w:rFonts w:eastAsia="Times New Roman"/>
          <w:noProof/>
          <w:color w:val="000000" w:themeColor="text1"/>
          <w:lang w:eastAsia="en-GB"/>
        </w:rPr>
        <w:t xml:space="preserve">authority </w:t>
      </w:r>
      <w:r w:rsidRPr="004C70EC">
        <w:rPr>
          <w:rFonts w:eastAsiaTheme="minorEastAsia"/>
          <w:noProof/>
          <w:color w:val="000000" w:themeColor="text1"/>
          <w:lang w:eastAsia="ja-JP"/>
        </w:rPr>
        <w:t>designated</w:t>
      </w:r>
      <w:r w:rsidR="00B64535" w:rsidRPr="004C70EC">
        <w:rPr>
          <w:rFonts w:eastAsiaTheme="minorEastAsia"/>
          <w:noProof/>
          <w:color w:val="000000" w:themeColor="text1"/>
          <w:lang w:eastAsia="ja-JP"/>
        </w:rPr>
        <w:t xml:space="preserve"> pursuant to paragraph 1</w:t>
      </w:r>
      <w:r w:rsidRPr="004C70EC">
        <w:rPr>
          <w:rFonts w:eastAsia="Times New Roman"/>
          <w:noProof/>
          <w:color w:val="000000" w:themeColor="text1"/>
          <w:lang w:eastAsia="en-GB"/>
        </w:rPr>
        <w:t>.</w:t>
      </w:r>
    </w:p>
    <w:p w14:paraId="733B27C4" w14:textId="77777777" w:rsidR="00B64535" w:rsidRPr="004C70EC" w:rsidRDefault="00B64535" w:rsidP="007731B5">
      <w:pPr>
        <w:pStyle w:val="Titrearticle"/>
        <w:rPr>
          <w:noProof/>
          <w:color w:val="000000" w:themeColor="text1"/>
        </w:rPr>
      </w:pPr>
      <w:r w:rsidRPr="004C70EC">
        <w:rPr>
          <w:noProof/>
          <w:color w:val="000000" w:themeColor="text1"/>
        </w:rPr>
        <w:t xml:space="preserve">Article </w:t>
      </w:r>
      <w:r w:rsidR="00D93646" w:rsidRPr="004C70EC">
        <w:rPr>
          <w:noProof/>
          <w:color w:val="000000" w:themeColor="text1"/>
        </w:rPr>
        <w:t>8</w:t>
      </w:r>
    </w:p>
    <w:p w14:paraId="3F71822A" w14:textId="77777777" w:rsidR="00B64535" w:rsidRPr="004C70EC" w:rsidRDefault="5579C967" w:rsidP="00F13976">
      <w:pPr>
        <w:keepNext/>
        <w:tabs>
          <w:tab w:val="left" w:pos="850"/>
        </w:tabs>
        <w:ind w:left="850" w:hanging="850"/>
        <w:jc w:val="center"/>
        <w:outlineLvl w:val="2"/>
        <w:rPr>
          <w:b/>
          <w:noProof/>
          <w:color w:val="000000" w:themeColor="text1"/>
        </w:rPr>
      </w:pPr>
      <w:r w:rsidRPr="004C70EC">
        <w:rPr>
          <w:b/>
          <w:noProof/>
          <w:color w:val="000000" w:themeColor="text1"/>
        </w:rPr>
        <w:t>A</w:t>
      </w:r>
      <w:r w:rsidR="4174AFBA" w:rsidRPr="004C70EC">
        <w:rPr>
          <w:b/>
          <w:noProof/>
          <w:color w:val="000000" w:themeColor="text1"/>
        </w:rPr>
        <w:t xml:space="preserve">pplication for recognition of </w:t>
      </w:r>
      <w:r w:rsidRPr="004C70EC">
        <w:rPr>
          <w:b/>
          <w:noProof/>
          <w:color w:val="000000" w:themeColor="text1"/>
        </w:rPr>
        <w:t>a</w:t>
      </w:r>
      <w:r w:rsidR="3A003991" w:rsidRPr="004C70EC">
        <w:rPr>
          <w:b/>
          <w:noProof/>
          <w:color w:val="000000" w:themeColor="text1"/>
        </w:rPr>
        <w:t xml:space="preserve"> </w:t>
      </w:r>
      <w:r w:rsidR="00311261" w:rsidRPr="004C70EC">
        <w:rPr>
          <w:b/>
          <w:noProof/>
          <w:color w:val="000000" w:themeColor="text1"/>
        </w:rPr>
        <w:t xml:space="preserve">health </w:t>
      </w:r>
      <w:r w:rsidR="4174AFBA" w:rsidRPr="004C70EC">
        <w:rPr>
          <w:b/>
          <w:noProof/>
          <w:color w:val="000000" w:themeColor="text1"/>
        </w:rPr>
        <w:t xml:space="preserve">biotechnology strategic projects </w:t>
      </w:r>
      <w:r w:rsidRPr="004C70EC">
        <w:rPr>
          <w:b/>
          <w:noProof/>
          <w:color w:val="000000" w:themeColor="text1"/>
        </w:rPr>
        <w:t>or a</w:t>
      </w:r>
      <w:r w:rsidR="4174AFBA" w:rsidRPr="004C70EC">
        <w:rPr>
          <w:b/>
          <w:noProof/>
          <w:color w:val="000000" w:themeColor="text1"/>
        </w:rPr>
        <w:t xml:space="preserve"> high</w:t>
      </w:r>
      <w:r w:rsidR="3D08F181" w:rsidRPr="004C70EC">
        <w:rPr>
          <w:b/>
          <w:noProof/>
          <w:color w:val="000000" w:themeColor="text1"/>
        </w:rPr>
        <w:t xml:space="preserve"> </w:t>
      </w:r>
      <w:r w:rsidR="4174AFBA" w:rsidRPr="004C70EC">
        <w:rPr>
          <w:b/>
          <w:noProof/>
          <w:color w:val="000000" w:themeColor="text1"/>
        </w:rPr>
        <w:t xml:space="preserve">impact </w:t>
      </w:r>
      <w:r w:rsidR="00311261" w:rsidRPr="004C70EC">
        <w:rPr>
          <w:b/>
          <w:noProof/>
          <w:color w:val="000000" w:themeColor="text1"/>
        </w:rPr>
        <w:t xml:space="preserve">health </w:t>
      </w:r>
      <w:r w:rsidR="4174AFBA" w:rsidRPr="004C70EC">
        <w:rPr>
          <w:b/>
          <w:noProof/>
          <w:color w:val="000000" w:themeColor="text1"/>
        </w:rPr>
        <w:t>biotechnology strategic project</w:t>
      </w:r>
    </w:p>
    <w:p w14:paraId="009B57C2" w14:textId="77777777" w:rsidR="00273F36" w:rsidRPr="004C70EC" w:rsidRDefault="2EB37293" w:rsidP="33CE1D06">
      <w:pPr>
        <w:pStyle w:val="Point0"/>
        <w:rPr>
          <w:rFonts w:eastAsiaTheme="minorEastAsia"/>
          <w:noProof/>
          <w:color w:val="000000" w:themeColor="text1"/>
          <w:lang w:eastAsia="ja-JP"/>
        </w:rPr>
      </w:pPr>
      <w:r w:rsidRPr="004C70EC">
        <w:rPr>
          <w:rFonts w:eastAsiaTheme="minorEastAsia"/>
          <w:noProof/>
          <w:color w:val="000000" w:themeColor="text1"/>
          <w:lang w:eastAsia="ja-JP"/>
        </w:rPr>
        <w:t>1</w:t>
      </w:r>
      <w:r w:rsidR="2F263E33" w:rsidRPr="004C70EC">
        <w:rPr>
          <w:rFonts w:eastAsiaTheme="minorEastAsia"/>
          <w:noProof/>
          <w:color w:val="000000" w:themeColor="text1"/>
          <w:lang w:eastAsia="ja-JP"/>
        </w:rPr>
        <w:t>.</w:t>
      </w:r>
      <w:r w:rsidR="00F42B91" w:rsidRPr="004C70EC">
        <w:rPr>
          <w:noProof/>
          <w:color w:val="000000" w:themeColor="text1"/>
        </w:rPr>
        <w:tab/>
      </w:r>
      <w:r w:rsidR="5579C967" w:rsidRPr="004C70EC">
        <w:rPr>
          <w:rFonts w:eastAsiaTheme="minorEastAsia"/>
          <w:noProof/>
          <w:color w:val="000000" w:themeColor="text1"/>
          <w:lang w:eastAsia="ja-JP"/>
        </w:rPr>
        <w:t>An a</w:t>
      </w:r>
      <w:r w:rsidR="2F263E33" w:rsidRPr="004C70EC">
        <w:rPr>
          <w:rFonts w:eastAsiaTheme="minorEastAsia"/>
          <w:noProof/>
          <w:color w:val="000000" w:themeColor="text1"/>
          <w:lang w:eastAsia="ja-JP"/>
        </w:rPr>
        <w:t xml:space="preserve">pplication for the recognition of a project as a </w:t>
      </w:r>
      <w:r w:rsidR="07D8B749" w:rsidRPr="004C70EC">
        <w:rPr>
          <w:rFonts w:eastAsia="Times New Roman"/>
          <w:noProof/>
          <w:color w:val="000000" w:themeColor="text1"/>
          <w:lang w:val="en-IE" w:eastAsia="de-DE"/>
        </w:rPr>
        <w:t xml:space="preserve">health </w:t>
      </w:r>
      <w:r w:rsidR="2F263E33" w:rsidRPr="004C70EC">
        <w:rPr>
          <w:rFonts w:eastAsiaTheme="minorEastAsia"/>
          <w:noProof/>
          <w:color w:val="000000" w:themeColor="text1"/>
          <w:lang w:eastAsia="ja-JP"/>
        </w:rPr>
        <w:t xml:space="preserve">biotechnology strategic project or as a high impact </w:t>
      </w:r>
      <w:r w:rsidR="07D8B749" w:rsidRPr="004C70EC">
        <w:rPr>
          <w:rFonts w:eastAsia="Times New Roman"/>
          <w:noProof/>
          <w:color w:val="000000" w:themeColor="text1"/>
          <w:lang w:val="en-IE" w:eastAsia="de-DE"/>
        </w:rPr>
        <w:t xml:space="preserve">health </w:t>
      </w:r>
      <w:r w:rsidR="2F263E33" w:rsidRPr="004C70EC">
        <w:rPr>
          <w:rFonts w:eastAsiaTheme="minorEastAsia"/>
          <w:noProof/>
          <w:color w:val="000000" w:themeColor="text1"/>
          <w:lang w:eastAsia="ja-JP"/>
        </w:rPr>
        <w:t xml:space="preserve">biotechnology strategic project shall be submitted by the project promoter to the designated authority referred to in </w:t>
      </w:r>
      <w:r w:rsidR="361C0830" w:rsidRPr="004C70EC">
        <w:rPr>
          <w:rFonts w:eastAsiaTheme="minorEastAsia"/>
          <w:noProof/>
          <w:color w:val="000000" w:themeColor="text1"/>
          <w:lang w:eastAsia="ja-JP"/>
        </w:rPr>
        <w:t xml:space="preserve">Article </w:t>
      </w:r>
      <w:r w:rsidR="00D50BEB" w:rsidRPr="004C70EC">
        <w:rPr>
          <w:rFonts w:eastAsiaTheme="minorEastAsia"/>
          <w:noProof/>
          <w:color w:val="000000" w:themeColor="text1"/>
          <w:lang w:eastAsia="ja-JP"/>
        </w:rPr>
        <w:t>7</w:t>
      </w:r>
      <w:r w:rsidR="008C5586" w:rsidRPr="004C70EC">
        <w:rPr>
          <w:rFonts w:eastAsiaTheme="minorEastAsia"/>
          <w:noProof/>
          <w:color w:val="000000" w:themeColor="text1"/>
          <w:lang w:eastAsia="ja-JP"/>
        </w:rPr>
        <w:t xml:space="preserve"> </w:t>
      </w:r>
      <w:r w:rsidR="2F263E33" w:rsidRPr="004C70EC">
        <w:rPr>
          <w:rFonts w:eastAsiaTheme="minorEastAsia"/>
          <w:noProof/>
          <w:color w:val="000000" w:themeColor="text1"/>
          <w:lang w:eastAsia="ja-JP"/>
        </w:rPr>
        <w:t xml:space="preserve">of a Member State </w:t>
      </w:r>
      <w:r w:rsidR="0DB7F432" w:rsidRPr="004C70EC">
        <w:rPr>
          <w:rFonts w:eastAsiaTheme="minorEastAsia"/>
          <w:noProof/>
          <w:color w:val="000000" w:themeColor="text1"/>
          <w:lang w:eastAsia="ja-JP"/>
        </w:rPr>
        <w:t xml:space="preserve">on </w:t>
      </w:r>
      <w:r w:rsidR="2F263E33" w:rsidRPr="004C70EC">
        <w:rPr>
          <w:rFonts w:eastAsiaTheme="minorEastAsia"/>
          <w:noProof/>
          <w:color w:val="000000" w:themeColor="text1"/>
          <w:lang w:eastAsia="ja-JP"/>
        </w:rPr>
        <w:t>whose territory the project</w:t>
      </w:r>
      <w:r w:rsidR="0DB7F432" w:rsidRPr="004C70EC">
        <w:rPr>
          <w:rFonts w:eastAsiaTheme="minorEastAsia"/>
          <w:noProof/>
          <w:color w:val="000000" w:themeColor="text1"/>
          <w:lang w:eastAsia="ja-JP"/>
        </w:rPr>
        <w:t xml:space="preserve"> is located</w:t>
      </w:r>
      <w:r w:rsidR="2F263E33" w:rsidRPr="004C70EC">
        <w:rPr>
          <w:rFonts w:eastAsiaTheme="minorEastAsia"/>
          <w:noProof/>
          <w:color w:val="000000" w:themeColor="text1"/>
          <w:lang w:eastAsia="ja-JP"/>
        </w:rPr>
        <w:t>.</w:t>
      </w:r>
    </w:p>
    <w:p w14:paraId="6282606D" w14:textId="556ED0DA" w:rsidR="00273F36" w:rsidRPr="004C70EC" w:rsidRDefault="00F42B91" w:rsidP="00C2451A">
      <w:pPr>
        <w:pStyle w:val="Point0"/>
        <w:rPr>
          <w:rFonts w:eastAsiaTheme="minorEastAsia"/>
          <w:noProof/>
          <w:color w:val="000000" w:themeColor="text1"/>
          <w:lang w:eastAsia="ja-JP"/>
        </w:rPr>
      </w:pPr>
      <w:r w:rsidRPr="004C70EC">
        <w:rPr>
          <w:rFonts w:eastAsiaTheme="minorEastAsia"/>
          <w:noProof/>
          <w:color w:val="000000" w:themeColor="text1"/>
          <w:lang w:eastAsia="ja-JP"/>
        </w:rPr>
        <w:t>2</w:t>
      </w:r>
      <w:r w:rsidR="00273F36" w:rsidRPr="004C70EC">
        <w:rPr>
          <w:rFonts w:eastAsiaTheme="minorEastAsia"/>
          <w:noProof/>
          <w:color w:val="000000" w:themeColor="text1"/>
          <w:lang w:eastAsia="ja-JP"/>
        </w:rPr>
        <w:t>.</w:t>
      </w:r>
      <w:r w:rsidR="00273F36" w:rsidRPr="004C70EC">
        <w:rPr>
          <w:noProof/>
        </w:rPr>
        <w:tab/>
      </w:r>
      <w:r w:rsidR="00273F36" w:rsidRPr="004C70EC">
        <w:rPr>
          <w:rFonts w:eastAsiaTheme="minorEastAsia"/>
          <w:noProof/>
          <w:color w:val="000000" w:themeColor="text1"/>
          <w:lang w:eastAsia="ja-JP"/>
        </w:rPr>
        <w:t xml:space="preserve">The application referred to in paragraph </w:t>
      </w:r>
      <w:r w:rsidR="000E380B" w:rsidRPr="004C70EC">
        <w:rPr>
          <w:rFonts w:eastAsiaTheme="minorEastAsia"/>
          <w:noProof/>
          <w:color w:val="000000" w:themeColor="text1"/>
          <w:lang w:eastAsia="ja-JP"/>
        </w:rPr>
        <w:t>1 of this Article</w:t>
      </w:r>
      <w:r w:rsidR="00273F36" w:rsidRPr="004C70EC">
        <w:rPr>
          <w:rFonts w:eastAsiaTheme="minorEastAsia"/>
          <w:noProof/>
          <w:color w:val="000000" w:themeColor="text1"/>
          <w:lang w:eastAsia="ja-JP"/>
        </w:rPr>
        <w:t xml:space="preserve"> shall contain the </w:t>
      </w:r>
      <w:r w:rsidR="00273F36" w:rsidRPr="004C70EC">
        <w:rPr>
          <w:noProof/>
        </w:rPr>
        <w:br/>
      </w:r>
      <w:r w:rsidR="00273F36" w:rsidRPr="004C70EC">
        <w:rPr>
          <w:rFonts w:eastAsiaTheme="minorEastAsia"/>
          <w:noProof/>
          <w:color w:val="000000" w:themeColor="text1"/>
          <w:lang w:eastAsia="ja-JP"/>
        </w:rPr>
        <w:t xml:space="preserve"> relevant evidence related to the fulfilment of the </w:t>
      </w:r>
      <w:r w:rsidR="000E380B" w:rsidRPr="004C70EC">
        <w:rPr>
          <w:rFonts w:eastAsiaTheme="minorEastAsia"/>
          <w:noProof/>
          <w:color w:val="000000" w:themeColor="text1"/>
          <w:lang w:eastAsia="ja-JP"/>
        </w:rPr>
        <w:t>conditions</w:t>
      </w:r>
      <w:r w:rsidR="00273F36" w:rsidRPr="004C70EC">
        <w:rPr>
          <w:rFonts w:eastAsiaTheme="minorEastAsia"/>
          <w:noProof/>
          <w:color w:val="000000" w:themeColor="text1"/>
          <w:lang w:eastAsia="ja-JP"/>
        </w:rPr>
        <w:t xml:space="preserve"> </w:t>
      </w:r>
      <w:r w:rsidR="000E380B" w:rsidRPr="004C70EC">
        <w:rPr>
          <w:rFonts w:eastAsiaTheme="minorEastAsia"/>
          <w:noProof/>
          <w:color w:val="000000" w:themeColor="text1"/>
          <w:lang w:eastAsia="ja-JP"/>
        </w:rPr>
        <w:t>laid down</w:t>
      </w:r>
      <w:r w:rsidR="00273F36" w:rsidRPr="004C70EC">
        <w:rPr>
          <w:rFonts w:eastAsiaTheme="minorEastAsia"/>
          <w:noProof/>
          <w:color w:val="000000" w:themeColor="text1"/>
          <w:lang w:eastAsia="ja-JP"/>
        </w:rPr>
        <w:t xml:space="preserve"> in Article </w:t>
      </w:r>
      <w:r w:rsidR="00D50BEB" w:rsidRPr="004C70EC">
        <w:rPr>
          <w:rFonts w:eastAsiaTheme="minorEastAsia"/>
          <w:noProof/>
          <w:color w:val="000000" w:themeColor="text1"/>
          <w:lang w:eastAsia="ja-JP"/>
        </w:rPr>
        <w:t>3</w:t>
      </w:r>
      <w:r>
        <w:rPr>
          <w:rFonts w:eastAsiaTheme="minorEastAsia"/>
          <w:noProof/>
          <w:color w:val="000000" w:themeColor="text1"/>
          <w:lang w:eastAsia="ja-JP"/>
        </w:rPr>
        <w:t xml:space="preserve"> </w:t>
      </w:r>
      <w:r w:rsidR="00AF0543" w:rsidRPr="004C70EC">
        <w:rPr>
          <w:rFonts w:eastAsiaTheme="minorEastAsia"/>
          <w:noProof/>
          <w:color w:val="000000" w:themeColor="text1"/>
          <w:lang w:eastAsia="ja-JP"/>
        </w:rPr>
        <w:t xml:space="preserve">as regards </w:t>
      </w:r>
      <w:r w:rsidR="00967196" w:rsidRPr="004C70EC">
        <w:rPr>
          <w:rFonts w:eastAsia="Times New Roman"/>
          <w:noProof/>
          <w:color w:val="000000" w:themeColor="text1"/>
          <w:lang w:val="en-IE" w:eastAsia="de-DE"/>
        </w:rPr>
        <w:t xml:space="preserve">health </w:t>
      </w:r>
      <w:r w:rsidR="00AF0543" w:rsidRPr="004C70EC">
        <w:rPr>
          <w:rFonts w:eastAsiaTheme="minorEastAsia"/>
          <w:noProof/>
          <w:color w:val="000000" w:themeColor="text1"/>
          <w:lang w:eastAsia="ja-JP"/>
        </w:rPr>
        <w:t xml:space="preserve">biotechnology strategic projects </w:t>
      </w:r>
      <w:r w:rsidR="00273F36" w:rsidRPr="004C70EC">
        <w:rPr>
          <w:rFonts w:eastAsiaTheme="minorEastAsia"/>
          <w:noProof/>
          <w:color w:val="000000" w:themeColor="text1"/>
          <w:lang w:eastAsia="ja-JP"/>
        </w:rPr>
        <w:t>or</w:t>
      </w:r>
      <w:r w:rsidR="004C28FE" w:rsidRPr="004C70EC">
        <w:rPr>
          <w:rFonts w:eastAsiaTheme="minorEastAsia"/>
          <w:noProof/>
          <w:color w:val="000000" w:themeColor="text1"/>
          <w:lang w:eastAsia="ja-JP"/>
        </w:rPr>
        <w:t xml:space="preserve"> in Article</w:t>
      </w:r>
      <w:r w:rsidR="00273F36" w:rsidRPr="004C70EC">
        <w:rPr>
          <w:rFonts w:eastAsiaTheme="minorEastAsia"/>
          <w:noProof/>
          <w:color w:val="000000" w:themeColor="text1"/>
          <w:lang w:eastAsia="ja-JP"/>
        </w:rPr>
        <w:t xml:space="preserve"> </w:t>
      </w:r>
      <w:r w:rsidR="00D50BEB" w:rsidRPr="004C70EC">
        <w:rPr>
          <w:rFonts w:eastAsiaTheme="minorEastAsia"/>
          <w:noProof/>
          <w:color w:val="000000" w:themeColor="text1"/>
          <w:lang w:eastAsia="ja-JP"/>
        </w:rPr>
        <w:t>4</w:t>
      </w:r>
      <w:r w:rsidR="00273F36" w:rsidRPr="004C70EC">
        <w:rPr>
          <w:rFonts w:eastAsiaTheme="minorEastAsia"/>
          <w:noProof/>
          <w:color w:val="000000" w:themeColor="text1"/>
          <w:lang w:eastAsia="ja-JP"/>
        </w:rPr>
        <w:t xml:space="preserve">, as </w:t>
      </w:r>
      <w:r w:rsidR="004C28FE" w:rsidRPr="004C70EC">
        <w:rPr>
          <w:rFonts w:eastAsiaTheme="minorEastAsia"/>
          <w:noProof/>
          <w:color w:val="000000" w:themeColor="text1"/>
          <w:lang w:eastAsia="ja-JP"/>
        </w:rPr>
        <w:t>regards high</w:t>
      </w:r>
      <w:r w:rsidR="70EE1F2F" w:rsidRPr="004C70EC">
        <w:rPr>
          <w:rFonts w:eastAsiaTheme="minorEastAsia"/>
          <w:noProof/>
          <w:color w:val="000000" w:themeColor="text1"/>
          <w:lang w:eastAsia="ja-JP"/>
        </w:rPr>
        <w:t xml:space="preserve"> </w:t>
      </w:r>
      <w:r w:rsidR="004C28FE" w:rsidRPr="004C70EC">
        <w:rPr>
          <w:rFonts w:eastAsiaTheme="minorEastAsia"/>
          <w:noProof/>
          <w:color w:val="000000" w:themeColor="text1"/>
          <w:lang w:eastAsia="ja-JP"/>
        </w:rPr>
        <w:t xml:space="preserve">impact </w:t>
      </w:r>
      <w:r w:rsidR="00967196" w:rsidRPr="004C70EC">
        <w:rPr>
          <w:rFonts w:eastAsia="Times New Roman"/>
          <w:noProof/>
          <w:color w:val="000000" w:themeColor="text1"/>
          <w:lang w:val="en-IE" w:eastAsia="de-DE"/>
        </w:rPr>
        <w:t xml:space="preserve">health </w:t>
      </w:r>
      <w:r w:rsidR="004C28FE" w:rsidRPr="004C70EC">
        <w:rPr>
          <w:rFonts w:eastAsiaTheme="minorEastAsia"/>
          <w:noProof/>
          <w:color w:val="000000" w:themeColor="text1"/>
          <w:lang w:eastAsia="ja-JP"/>
        </w:rPr>
        <w:t>biotechnology strategic projects</w:t>
      </w:r>
      <w:r w:rsidR="00273F36" w:rsidRPr="004C70EC">
        <w:rPr>
          <w:rFonts w:eastAsiaTheme="minorEastAsia"/>
          <w:noProof/>
          <w:color w:val="000000" w:themeColor="text1"/>
          <w:lang w:eastAsia="ja-JP"/>
        </w:rPr>
        <w:t xml:space="preserve">. </w:t>
      </w:r>
    </w:p>
    <w:p w14:paraId="3EBA2338" w14:textId="77777777" w:rsidR="006116D3" w:rsidRPr="004C70EC" w:rsidRDefault="006116D3" w:rsidP="006116D3">
      <w:pPr>
        <w:pStyle w:val="Titrearticle"/>
        <w:rPr>
          <w:i w:val="0"/>
          <w:noProof/>
          <w:color w:val="000000" w:themeColor="text1"/>
          <w:szCs w:val="24"/>
        </w:rPr>
      </w:pPr>
      <w:r w:rsidRPr="004C70EC">
        <w:rPr>
          <w:noProof/>
          <w:color w:val="000000" w:themeColor="text1"/>
          <w:szCs w:val="24"/>
        </w:rPr>
        <w:t xml:space="preserve">Article </w:t>
      </w:r>
      <w:r w:rsidR="00D93646" w:rsidRPr="004C70EC">
        <w:rPr>
          <w:noProof/>
          <w:color w:val="000000" w:themeColor="text1"/>
          <w:szCs w:val="24"/>
        </w:rPr>
        <w:t>9</w:t>
      </w:r>
    </w:p>
    <w:p w14:paraId="05E5F6AF" w14:textId="77777777" w:rsidR="006116D3" w:rsidRPr="004C70EC" w:rsidRDefault="006116D3" w:rsidP="006116D3">
      <w:pPr>
        <w:keepNext/>
        <w:tabs>
          <w:tab w:val="left" w:pos="850"/>
        </w:tabs>
        <w:ind w:left="850" w:hanging="850"/>
        <w:jc w:val="center"/>
        <w:outlineLvl w:val="2"/>
        <w:rPr>
          <w:b/>
          <w:noProof/>
          <w:color w:val="000000" w:themeColor="text1"/>
        </w:rPr>
      </w:pPr>
      <w:r w:rsidRPr="004C70EC">
        <w:rPr>
          <w:b/>
          <w:noProof/>
          <w:color w:val="000000" w:themeColor="text1"/>
        </w:rPr>
        <w:t>Recognition by Member States of health biotechnology strategic projects</w:t>
      </w:r>
    </w:p>
    <w:p w14:paraId="62355B28" w14:textId="77777777" w:rsidR="006116D3" w:rsidRPr="004C70EC" w:rsidRDefault="006116D3" w:rsidP="006116D3">
      <w:pPr>
        <w:pStyle w:val="Point0"/>
        <w:rPr>
          <w:rFonts w:eastAsia="Times New Roman"/>
          <w:noProof/>
          <w:color w:val="000000" w:themeColor="text1"/>
          <w:lang w:eastAsia="en-GB"/>
        </w:rPr>
      </w:pPr>
      <w:r w:rsidRPr="004C70EC">
        <w:rPr>
          <w:rFonts w:eastAsia="Times New Roman"/>
          <w:noProof/>
          <w:color w:val="000000" w:themeColor="text1"/>
          <w:lang w:eastAsia="en-GB"/>
        </w:rPr>
        <w:t>1.</w:t>
      </w:r>
      <w:r w:rsidRPr="004C70EC">
        <w:rPr>
          <w:noProof/>
          <w:color w:val="000000" w:themeColor="text1"/>
        </w:rPr>
        <w:tab/>
      </w:r>
      <w:r w:rsidRPr="004C70EC">
        <w:rPr>
          <w:rFonts w:eastAsia="Times New Roman"/>
          <w:noProof/>
          <w:color w:val="000000" w:themeColor="text1"/>
          <w:lang w:eastAsia="en-GB"/>
        </w:rPr>
        <w:t xml:space="preserve">The designated authority shall assess the application for the recognition of a project as a </w:t>
      </w:r>
      <w:r w:rsidRPr="004C70EC">
        <w:rPr>
          <w:rFonts w:eastAsia="Times New Roman"/>
          <w:noProof/>
          <w:color w:val="000000" w:themeColor="text1"/>
          <w:lang w:val="en-IE" w:eastAsia="de-DE"/>
        </w:rPr>
        <w:t xml:space="preserve">health </w:t>
      </w:r>
      <w:r w:rsidRPr="004C70EC">
        <w:rPr>
          <w:rFonts w:eastAsia="Times New Roman"/>
          <w:noProof/>
          <w:color w:val="000000" w:themeColor="text1"/>
          <w:lang w:eastAsia="en-GB"/>
        </w:rPr>
        <w:t>biotechnology strategic project within one month of the receipt of the complete application and communicate a reasoned decision to the project promoter. The assessment process shall be fair and transparent.</w:t>
      </w:r>
    </w:p>
    <w:p w14:paraId="33F70797" w14:textId="77777777" w:rsidR="006116D3" w:rsidRPr="004C70EC" w:rsidRDefault="006116D3" w:rsidP="006116D3">
      <w:pPr>
        <w:pStyle w:val="Point0"/>
        <w:rPr>
          <w:rFonts w:eastAsia="Times New Roman"/>
          <w:noProof/>
          <w:color w:val="000000" w:themeColor="text1"/>
          <w:szCs w:val="24"/>
          <w:lang w:eastAsia="en-GB"/>
        </w:rPr>
      </w:pPr>
      <w:r w:rsidRPr="004C70EC">
        <w:rPr>
          <w:rFonts w:eastAsiaTheme="minorEastAsia"/>
          <w:noProof/>
          <w:color w:val="000000" w:themeColor="text1"/>
          <w:szCs w:val="24"/>
          <w:lang w:eastAsia="ja-JP"/>
        </w:rPr>
        <w:t>2.</w:t>
      </w:r>
      <w:r w:rsidRPr="004C70EC">
        <w:rPr>
          <w:rFonts w:eastAsiaTheme="minorEastAsia"/>
          <w:noProof/>
          <w:color w:val="000000" w:themeColor="text1"/>
          <w:szCs w:val="24"/>
          <w:lang w:eastAsia="ja-JP"/>
        </w:rPr>
        <w:tab/>
        <w:t xml:space="preserve">Where the designated authority concludes that the project fulfils the conditions of Article </w:t>
      </w:r>
      <w:r w:rsidR="00D50BEB" w:rsidRPr="004C70EC">
        <w:rPr>
          <w:rFonts w:eastAsiaTheme="minorEastAsia"/>
          <w:noProof/>
          <w:color w:val="000000" w:themeColor="text1"/>
          <w:szCs w:val="24"/>
          <w:lang w:eastAsia="ja-JP"/>
        </w:rPr>
        <w:t>3</w:t>
      </w:r>
      <w:r w:rsidRPr="004C70EC">
        <w:rPr>
          <w:rFonts w:eastAsiaTheme="minorEastAsia"/>
          <w:noProof/>
          <w:color w:val="000000" w:themeColor="text1"/>
          <w:szCs w:val="24"/>
          <w:lang w:eastAsia="ja-JP"/>
        </w:rPr>
        <w:t xml:space="preserve">, it shall recognise the project as a </w:t>
      </w:r>
      <w:r w:rsidRPr="004C70EC">
        <w:rPr>
          <w:rFonts w:eastAsia="Times New Roman"/>
          <w:noProof/>
          <w:color w:val="000000" w:themeColor="text1"/>
          <w:lang w:val="en-IE" w:eastAsia="de-DE"/>
        </w:rPr>
        <w:t xml:space="preserve">health </w:t>
      </w:r>
      <w:r w:rsidRPr="004C70EC">
        <w:rPr>
          <w:rFonts w:eastAsiaTheme="minorEastAsia"/>
          <w:noProof/>
          <w:color w:val="000000" w:themeColor="text1"/>
          <w:szCs w:val="24"/>
          <w:lang w:eastAsia="ja-JP"/>
        </w:rPr>
        <w:t xml:space="preserve">biotechnology strategic project. </w:t>
      </w:r>
    </w:p>
    <w:p w14:paraId="26EB0193" w14:textId="77777777" w:rsidR="006116D3" w:rsidRPr="004C70EC" w:rsidRDefault="006116D3" w:rsidP="006116D3">
      <w:pPr>
        <w:pStyle w:val="Point0"/>
        <w:rPr>
          <w:rFonts w:eastAsia="Times New Roman"/>
          <w:noProof/>
          <w:color w:val="000000" w:themeColor="text1"/>
          <w:szCs w:val="24"/>
          <w:lang w:eastAsia="en-GB"/>
        </w:rPr>
      </w:pPr>
      <w:r w:rsidRPr="004C70EC">
        <w:rPr>
          <w:rFonts w:eastAsia="Times New Roman"/>
          <w:noProof/>
          <w:color w:val="000000" w:themeColor="text1"/>
          <w:szCs w:val="24"/>
          <w:lang w:eastAsia="en-GB"/>
        </w:rPr>
        <w:t>3.</w:t>
      </w:r>
      <w:r w:rsidRPr="004C70EC">
        <w:rPr>
          <w:rFonts w:eastAsia="Times New Roman"/>
          <w:noProof/>
          <w:color w:val="000000" w:themeColor="text1"/>
          <w:szCs w:val="24"/>
          <w:lang w:eastAsia="en-GB"/>
        </w:rPr>
        <w:tab/>
      </w:r>
      <w:r w:rsidRPr="004C70EC">
        <w:rPr>
          <w:rFonts w:eastAsiaTheme="minorEastAsia"/>
          <w:noProof/>
          <w:color w:val="000000" w:themeColor="text1"/>
          <w:szCs w:val="24"/>
          <w:lang w:eastAsia="ja-JP"/>
        </w:rPr>
        <w:t>Member States shall ensure that applicants have easy access to information on procedures for the settlement of disputes concerning the recognition process, including, where applicable, alternative dispute resolution mechanisms provided for by national law.</w:t>
      </w:r>
    </w:p>
    <w:p w14:paraId="20A83673" w14:textId="77777777" w:rsidR="006116D3" w:rsidRPr="004C70EC" w:rsidRDefault="006116D3" w:rsidP="006116D3">
      <w:pPr>
        <w:pStyle w:val="Point0"/>
        <w:rPr>
          <w:rFonts w:eastAsia="Times New Roman"/>
          <w:noProof/>
          <w:color w:val="000000" w:themeColor="text1"/>
          <w:szCs w:val="24"/>
          <w:lang w:eastAsia="en-GB"/>
        </w:rPr>
      </w:pPr>
      <w:r w:rsidRPr="004C70EC">
        <w:rPr>
          <w:rFonts w:eastAsia="Times New Roman"/>
          <w:noProof/>
          <w:color w:val="000000" w:themeColor="text1"/>
          <w:szCs w:val="24"/>
          <w:lang w:eastAsia="en-GB"/>
        </w:rPr>
        <w:t>4.</w:t>
      </w:r>
      <w:r w:rsidRPr="004C70EC">
        <w:rPr>
          <w:rFonts w:eastAsia="Times New Roman"/>
          <w:noProof/>
          <w:color w:val="000000" w:themeColor="text1"/>
          <w:szCs w:val="24"/>
          <w:lang w:eastAsia="en-GB"/>
        </w:rPr>
        <w:tab/>
        <w:t xml:space="preserve">Where a project is located on the territory of two or more Member States, the decision recognising the project as a biotechnology strategic project issued by the designated authority of a Member State shall be recognised by the designated authorities of other Member States. </w:t>
      </w:r>
    </w:p>
    <w:p w14:paraId="703DAFA4" w14:textId="77777777" w:rsidR="00493B23" w:rsidRPr="004C70EC" w:rsidRDefault="00493B23" w:rsidP="00493B23">
      <w:pPr>
        <w:pStyle w:val="Titrearticle"/>
        <w:rPr>
          <w:i w:val="0"/>
          <w:noProof/>
          <w:color w:val="000000" w:themeColor="text1"/>
          <w:szCs w:val="24"/>
        </w:rPr>
      </w:pPr>
      <w:r w:rsidRPr="004C70EC">
        <w:rPr>
          <w:noProof/>
          <w:color w:val="000000" w:themeColor="text1"/>
          <w:szCs w:val="24"/>
        </w:rPr>
        <w:t xml:space="preserve">Article </w:t>
      </w:r>
      <w:r w:rsidR="00D93646" w:rsidRPr="004C70EC">
        <w:rPr>
          <w:noProof/>
          <w:color w:val="000000" w:themeColor="text1"/>
          <w:szCs w:val="24"/>
        </w:rPr>
        <w:t>10</w:t>
      </w:r>
    </w:p>
    <w:p w14:paraId="09882CEE" w14:textId="77777777" w:rsidR="00493B23" w:rsidRPr="004C70EC" w:rsidRDefault="00493B23" w:rsidP="00493B23">
      <w:pPr>
        <w:keepNext/>
        <w:tabs>
          <w:tab w:val="left" w:pos="850"/>
        </w:tabs>
        <w:ind w:left="850" w:hanging="850"/>
        <w:jc w:val="center"/>
        <w:outlineLvl w:val="2"/>
        <w:rPr>
          <w:b/>
          <w:noProof/>
          <w:color w:val="000000" w:themeColor="text1"/>
          <w:szCs w:val="24"/>
        </w:rPr>
      </w:pPr>
      <w:r w:rsidRPr="004C70EC">
        <w:rPr>
          <w:b/>
          <w:noProof/>
          <w:color w:val="000000" w:themeColor="text1"/>
          <w:szCs w:val="24"/>
        </w:rPr>
        <w:t xml:space="preserve">Recognition by the Commission of high impact </w:t>
      </w:r>
      <w:r w:rsidRPr="004C70EC">
        <w:rPr>
          <w:rFonts w:eastAsia="Times New Roman"/>
          <w:b/>
          <w:noProof/>
          <w:color w:val="000000" w:themeColor="text1"/>
          <w:lang w:val="en-IE" w:eastAsia="de-DE"/>
        </w:rPr>
        <w:t>health</w:t>
      </w:r>
      <w:r w:rsidRPr="004C70EC">
        <w:rPr>
          <w:b/>
          <w:noProof/>
          <w:color w:val="000000" w:themeColor="text1"/>
          <w:szCs w:val="24"/>
        </w:rPr>
        <w:t xml:space="preserve"> biotechnology strategic projects</w:t>
      </w:r>
    </w:p>
    <w:p w14:paraId="48304DCC" w14:textId="77777777" w:rsidR="00493B23" w:rsidRPr="004C70EC" w:rsidRDefault="00493B23"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1.</w:t>
      </w:r>
      <w:r w:rsidRPr="004C70EC">
        <w:rPr>
          <w:rFonts w:eastAsiaTheme="minorEastAsia"/>
          <w:noProof/>
          <w:color w:val="000000" w:themeColor="text1"/>
          <w:szCs w:val="24"/>
          <w:lang w:eastAsia="ja-JP"/>
        </w:rPr>
        <w:tab/>
        <w:t xml:space="preserve">The designated authority shall assess the application for the recognition of a project as a high impact </w:t>
      </w:r>
      <w:r w:rsidRPr="004C70EC">
        <w:rPr>
          <w:rFonts w:eastAsia="Times New Roman"/>
          <w:noProof/>
          <w:color w:val="000000" w:themeColor="text1"/>
          <w:lang w:val="en-IE" w:eastAsia="de-DE"/>
        </w:rPr>
        <w:t xml:space="preserve">health </w:t>
      </w:r>
      <w:r w:rsidRPr="004C70EC">
        <w:rPr>
          <w:rFonts w:eastAsiaTheme="minorEastAsia"/>
          <w:noProof/>
          <w:color w:val="000000" w:themeColor="text1"/>
          <w:szCs w:val="24"/>
          <w:lang w:eastAsia="ja-JP"/>
        </w:rPr>
        <w:t>biotechnology strategic project within one month of the receipt of the complete application and shall communicate its assessment report to the Commission. The assessment process shall be fair and transparent.</w:t>
      </w:r>
    </w:p>
    <w:p w14:paraId="002572D0" w14:textId="77777777" w:rsidR="00493B23" w:rsidRPr="004C70EC" w:rsidRDefault="00493B23"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2.</w:t>
      </w:r>
      <w:r w:rsidRPr="004C70EC">
        <w:rPr>
          <w:rFonts w:eastAsiaTheme="minorEastAsia"/>
          <w:noProof/>
          <w:color w:val="000000" w:themeColor="text1"/>
          <w:szCs w:val="24"/>
          <w:lang w:eastAsia="ja-JP"/>
        </w:rPr>
        <w:tab/>
        <w:t xml:space="preserve">Where the designated authority concludes that the project fulfils the conditions of Article </w:t>
      </w:r>
      <w:r w:rsidR="00D50BEB" w:rsidRPr="004C70EC">
        <w:rPr>
          <w:rFonts w:eastAsiaTheme="minorEastAsia"/>
          <w:noProof/>
          <w:color w:val="000000" w:themeColor="text1"/>
          <w:szCs w:val="24"/>
          <w:lang w:eastAsia="ja-JP"/>
        </w:rPr>
        <w:t>4</w:t>
      </w:r>
      <w:r w:rsidRPr="004C70EC">
        <w:rPr>
          <w:rFonts w:eastAsiaTheme="minorEastAsia"/>
          <w:noProof/>
          <w:color w:val="000000" w:themeColor="text1"/>
          <w:szCs w:val="24"/>
          <w:lang w:eastAsia="ja-JP"/>
        </w:rPr>
        <w:t>, the Commission shall, by means of implementing acts, adopt a decision approving or rejecting the application for recognition referred to in paragraph 1</w:t>
      </w:r>
      <w:r w:rsidR="002244F7" w:rsidRPr="004C70EC">
        <w:rPr>
          <w:rFonts w:eastAsiaTheme="minorEastAsia"/>
          <w:noProof/>
          <w:color w:val="000000" w:themeColor="text1"/>
          <w:szCs w:val="24"/>
          <w:lang w:eastAsia="ja-JP"/>
        </w:rPr>
        <w:t xml:space="preserve"> of this Article</w:t>
      </w:r>
      <w:r w:rsidRPr="004C70EC">
        <w:rPr>
          <w:rFonts w:eastAsiaTheme="minorEastAsia"/>
          <w:noProof/>
          <w:color w:val="000000" w:themeColor="text1"/>
          <w:szCs w:val="24"/>
          <w:lang w:eastAsia="ja-JP"/>
        </w:rPr>
        <w:t xml:space="preserve">, based on the assessment referred to in that paragraph and taking into account the views of the Steering Group referred to in Article </w:t>
      </w:r>
      <w:r w:rsidR="00D50BEB" w:rsidRPr="004C70EC">
        <w:rPr>
          <w:rFonts w:eastAsiaTheme="minorEastAsia"/>
          <w:noProof/>
          <w:color w:val="000000" w:themeColor="text1"/>
          <w:szCs w:val="24"/>
          <w:lang w:eastAsia="ja-JP"/>
        </w:rPr>
        <w:t>2</w:t>
      </w:r>
      <w:r w:rsidR="00717BA5" w:rsidRPr="004C70EC">
        <w:rPr>
          <w:rFonts w:eastAsiaTheme="minorEastAsia"/>
          <w:noProof/>
          <w:color w:val="000000" w:themeColor="text1"/>
          <w:szCs w:val="24"/>
          <w:lang w:eastAsia="ja-JP"/>
        </w:rPr>
        <w:t>0</w:t>
      </w:r>
      <w:r w:rsidRPr="004C70EC">
        <w:rPr>
          <w:rFonts w:eastAsiaTheme="minorEastAsia"/>
          <w:noProof/>
          <w:color w:val="000000" w:themeColor="text1"/>
          <w:szCs w:val="24"/>
          <w:lang w:eastAsia="ja-JP"/>
        </w:rPr>
        <w:t xml:space="preserve">. </w:t>
      </w:r>
    </w:p>
    <w:p w14:paraId="37B25806" w14:textId="6FE86984" w:rsidR="00493B23" w:rsidRPr="004C70EC" w:rsidRDefault="00493B23" w:rsidP="00493B23">
      <w:pPr>
        <w:pStyle w:val="Point0"/>
        <w:rPr>
          <w:rFonts w:eastAsiaTheme="minorEastAsia"/>
          <w:noProof/>
          <w:color w:val="000000" w:themeColor="text1"/>
          <w:lang w:eastAsia="ja-JP"/>
        </w:rPr>
      </w:pPr>
      <w:r w:rsidRPr="004C70EC">
        <w:rPr>
          <w:rFonts w:eastAsiaTheme="minorEastAsia"/>
          <w:noProof/>
          <w:color w:val="000000" w:themeColor="text1"/>
          <w:lang w:eastAsia="ja-JP"/>
        </w:rPr>
        <w:t>3.</w:t>
      </w:r>
      <w:r w:rsidRPr="004C70EC">
        <w:rPr>
          <w:noProof/>
        </w:rPr>
        <w:tab/>
      </w:r>
      <w:r w:rsidRPr="004C70EC">
        <w:rPr>
          <w:rFonts w:eastAsiaTheme="minorEastAsia"/>
          <w:noProof/>
          <w:color w:val="000000" w:themeColor="text1"/>
          <w:lang w:eastAsia="ja-JP"/>
        </w:rPr>
        <w:t xml:space="preserve">By way of derogation from Article </w:t>
      </w:r>
      <w:r w:rsidR="00D50BEB" w:rsidRPr="004C70EC">
        <w:rPr>
          <w:rFonts w:eastAsiaTheme="minorEastAsia"/>
          <w:noProof/>
          <w:color w:val="000000" w:themeColor="text1"/>
          <w:lang w:eastAsia="ja-JP"/>
        </w:rPr>
        <w:t>8</w:t>
      </w:r>
      <w:r w:rsidRPr="004C70EC">
        <w:rPr>
          <w:rFonts w:eastAsiaTheme="minorEastAsia"/>
          <w:noProof/>
          <w:color w:val="000000" w:themeColor="text1"/>
          <w:lang w:eastAsia="ja-JP"/>
        </w:rPr>
        <w:t xml:space="preserve"> and to paragraphs 1 and 2 of this Article, a project may also be recognised as a high impact </w:t>
      </w:r>
      <w:r w:rsidRPr="004C70EC">
        <w:rPr>
          <w:rFonts w:eastAsia="Times New Roman"/>
          <w:noProof/>
          <w:color w:val="000000" w:themeColor="text1"/>
          <w:lang w:val="en-IE" w:eastAsia="de-DE"/>
        </w:rPr>
        <w:t xml:space="preserve">health </w:t>
      </w:r>
      <w:r w:rsidRPr="004C70EC">
        <w:rPr>
          <w:rFonts w:eastAsiaTheme="minorEastAsia"/>
          <w:noProof/>
          <w:color w:val="000000" w:themeColor="text1"/>
          <w:lang w:eastAsia="ja-JP"/>
        </w:rPr>
        <w:t>biotechnology strategic project in the framework of calls for proposals launched under Union programmes for the purpose of identifying, selecting and funding such projects</w:t>
      </w:r>
      <w:r w:rsidR="357E6FF9" w:rsidRPr="004C70EC">
        <w:rPr>
          <w:rFonts w:eastAsiaTheme="minorEastAsia"/>
          <w:noProof/>
          <w:color w:val="000000" w:themeColor="text1"/>
          <w:lang w:eastAsia="ja-JP"/>
        </w:rPr>
        <w:t xml:space="preserve">, in line with the basic acts </w:t>
      </w:r>
      <w:r>
        <w:rPr>
          <w:rFonts w:eastAsiaTheme="minorEastAsia"/>
          <w:noProof/>
          <w:color w:val="000000" w:themeColor="text1"/>
          <w:lang w:eastAsia="ja-JP"/>
        </w:rPr>
        <w:t>setting up</w:t>
      </w:r>
      <w:r w:rsidR="357E6FF9" w:rsidRPr="004C70EC">
        <w:rPr>
          <w:rFonts w:eastAsiaTheme="minorEastAsia"/>
          <w:noProof/>
          <w:color w:val="000000" w:themeColor="text1"/>
          <w:lang w:eastAsia="ja-JP"/>
        </w:rPr>
        <w:t xml:space="preserve"> those programmes</w:t>
      </w:r>
      <w:r w:rsidRPr="004C70EC">
        <w:rPr>
          <w:rFonts w:eastAsiaTheme="minorEastAsia"/>
          <w:noProof/>
          <w:color w:val="000000" w:themeColor="text1"/>
          <w:lang w:eastAsia="ja-JP"/>
        </w:rPr>
        <w:t>.</w:t>
      </w:r>
    </w:p>
    <w:p w14:paraId="4FE7BC71" w14:textId="598AE48E" w:rsidR="00493B23" w:rsidRPr="004C70EC" w:rsidRDefault="00493B23" w:rsidP="00493B23">
      <w:pPr>
        <w:pStyle w:val="Text1"/>
        <w:rPr>
          <w:noProof/>
          <w:color w:val="000000" w:themeColor="text1"/>
          <w:lang w:eastAsia="ja-JP"/>
        </w:rPr>
      </w:pPr>
      <w:r w:rsidRPr="004C70EC">
        <w:rPr>
          <w:noProof/>
          <w:color w:val="000000" w:themeColor="text1"/>
          <w:lang w:eastAsia="ja-JP"/>
        </w:rPr>
        <w:t xml:space="preserve">The Commission shall recognise a project as a high impact </w:t>
      </w:r>
      <w:r w:rsidR="002244F7" w:rsidRPr="004C70EC">
        <w:rPr>
          <w:noProof/>
          <w:color w:val="000000" w:themeColor="text1"/>
          <w:lang w:eastAsia="ja-JP"/>
        </w:rPr>
        <w:t xml:space="preserve">health </w:t>
      </w:r>
      <w:r w:rsidRPr="004C70EC">
        <w:rPr>
          <w:noProof/>
          <w:color w:val="000000" w:themeColor="text1"/>
          <w:lang w:eastAsia="ja-JP"/>
        </w:rPr>
        <w:t xml:space="preserve">biotechnology strategic project in the context of a call for proposals where it fulfils the conditions set out in Article </w:t>
      </w:r>
      <w:r w:rsidR="00D50BEB" w:rsidRPr="004C70EC">
        <w:rPr>
          <w:noProof/>
          <w:color w:val="000000" w:themeColor="text1"/>
          <w:lang w:eastAsia="ja-JP"/>
        </w:rPr>
        <w:t>4</w:t>
      </w:r>
      <w:r w:rsidRPr="004C70EC">
        <w:rPr>
          <w:noProof/>
          <w:color w:val="000000" w:themeColor="text1"/>
          <w:lang w:eastAsia="ja-JP"/>
        </w:rPr>
        <w:t>(1)</w:t>
      </w:r>
      <w:r>
        <w:rPr>
          <w:noProof/>
          <w:color w:val="000000" w:themeColor="text1"/>
          <w:lang w:eastAsia="ja-JP"/>
        </w:rPr>
        <w:t xml:space="preserve"> </w:t>
      </w:r>
      <w:r w:rsidRPr="004C70EC">
        <w:rPr>
          <w:noProof/>
          <w:color w:val="000000" w:themeColor="text1"/>
          <w:lang w:eastAsia="ja-JP"/>
        </w:rPr>
        <w:t xml:space="preserve">and the specific criteria set out in those calls, based on the evidence submitted by the applicant. </w:t>
      </w:r>
    </w:p>
    <w:p w14:paraId="0835103F" w14:textId="77777777" w:rsidR="00493B23" w:rsidRPr="004C70EC" w:rsidRDefault="00493B23" w:rsidP="075EE1DE">
      <w:pPr>
        <w:pStyle w:val="Point0"/>
        <w:rPr>
          <w:rFonts w:eastAsiaTheme="minorEastAsia"/>
          <w:noProof/>
          <w:color w:val="000000" w:themeColor="text1"/>
          <w:lang w:eastAsia="ja-JP"/>
        </w:rPr>
      </w:pPr>
      <w:r w:rsidRPr="004C70EC">
        <w:rPr>
          <w:rFonts w:eastAsiaTheme="minorEastAsia"/>
          <w:noProof/>
          <w:color w:val="000000" w:themeColor="text1"/>
          <w:lang w:eastAsia="ja-JP"/>
        </w:rPr>
        <w:t>4.</w:t>
      </w:r>
      <w:r w:rsidRPr="004C70EC">
        <w:rPr>
          <w:noProof/>
          <w:color w:val="000000" w:themeColor="text1"/>
        </w:rPr>
        <w:tab/>
      </w:r>
      <w:r w:rsidRPr="004C70EC">
        <w:rPr>
          <w:rFonts w:eastAsiaTheme="minorEastAsia"/>
          <w:noProof/>
          <w:color w:val="000000" w:themeColor="text1"/>
          <w:lang w:eastAsia="ja-JP"/>
        </w:rPr>
        <w:t>The Commission shall adopt implementing acts laying down the format of the assessment report referred to in paragraph 1 of this Article and the procedural rules for the recognition of high</w:t>
      </w:r>
      <w:r w:rsidR="350030BC" w:rsidRPr="004C70EC">
        <w:rPr>
          <w:rFonts w:eastAsiaTheme="minorEastAsia"/>
          <w:noProof/>
          <w:color w:val="000000" w:themeColor="text1"/>
          <w:lang w:eastAsia="ja-JP"/>
        </w:rPr>
        <w:t xml:space="preserve"> </w:t>
      </w:r>
      <w:r w:rsidRPr="004C70EC">
        <w:rPr>
          <w:rFonts w:eastAsiaTheme="minorEastAsia"/>
          <w:noProof/>
          <w:color w:val="000000" w:themeColor="text1"/>
          <w:lang w:eastAsia="ja-JP"/>
        </w:rPr>
        <w:t xml:space="preserve">impact </w:t>
      </w:r>
      <w:r w:rsidRPr="004C70EC">
        <w:rPr>
          <w:rFonts w:eastAsia="Times New Roman"/>
          <w:noProof/>
          <w:color w:val="000000" w:themeColor="text1"/>
          <w:lang w:val="en-IE" w:eastAsia="de-DE"/>
        </w:rPr>
        <w:t xml:space="preserve">health </w:t>
      </w:r>
      <w:r w:rsidRPr="004C70EC">
        <w:rPr>
          <w:rFonts w:eastAsiaTheme="minorEastAsia"/>
          <w:noProof/>
          <w:color w:val="000000" w:themeColor="text1"/>
          <w:lang w:eastAsia="ja-JP"/>
        </w:rPr>
        <w:t>biotechnology strategic projects. Th</w:t>
      </w:r>
      <w:r w:rsidR="005B4F0B" w:rsidRPr="004C70EC">
        <w:rPr>
          <w:rFonts w:eastAsiaTheme="minorEastAsia"/>
          <w:noProof/>
          <w:color w:val="000000" w:themeColor="text1"/>
          <w:lang w:eastAsia="ja-JP"/>
        </w:rPr>
        <w:t>e</w:t>
      </w:r>
      <w:r w:rsidRPr="004C70EC">
        <w:rPr>
          <w:rFonts w:eastAsiaTheme="minorEastAsia"/>
          <w:noProof/>
          <w:color w:val="000000" w:themeColor="text1"/>
          <w:lang w:eastAsia="ja-JP"/>
        </w:rPr>
        <w:t xml:space="preserve">se implementing acts shall be adopted in accordance with the examination procedure referred to in Article </w:t>
      </w:r>
      <w:r w:rsidR="00D50BEB" w:rsidRPr="004C70EC">
        <w:rPr>
          <w:rFonts w:eastAsiaTheme="minorEastAsia"/>
          <w:noProof/>
          <w:color w:val="000000" w:themeColor="text1"/>
          <w:lang w:eastAsia="ja-JP"/>
        </w:rPr>
        <w:t>6</w:t>
      </w:r>
      <w:r w:rsidR="00457521" w:rsidRPr="004C70EC">
        <w:rPr>
          <w:rFonts w:eastAsiaTheme="minorEastAsia"/>
          <w:noProof/>
          <w:color w:val="000000" w:themeColor="text1"/>
          <w:lang w:eastAsia="ja-JP"/>
        </w:rPr>
        <w:t>5</w:t>
      </w:r>
      <w:r w:rsidRPr="004C70EC">
        <w:rPr>
          <w:rFonts w:eastAsiaTheme="minorEastAsia"/>
          <w:noProof/>
          <w:color w:val="000000" w:themeColor="text1"/>
          <w:lang w:eastAsia="ja-JP"/>
        </w:rPr>
        <w:t xml:space="preserve">(2). </w:t>
      </w:r>
    </w:p>
    <w:p w14:paraId="76BD0884" w14:textId="77777777" w:rsidR="00493B23" w:rsidRPr="004C70EC" w:rsidRDefault="00493B23" w:rsidP="00493B23">
      <w:pPr>
        <w:pStyle w:val="Point0"/>
        <w:rPr>
          <w:rFonts w:eastAsiaTheme="minorEastAsia"/>
          <w:noProof/>
          <w:color w:val="000000" w:themeColor="text1"/>
          <w:szCs w:val="24"/>
          <w:lang w:eastAsia="ja-JP"/>
        </w:rPr>
      </w:pPr>
    </w:p>
    <w:p w14:paraId="4CFCA2AB" w14:textId="77777777" w:rsidR="00493B23" w:rsidRPr="004C70EC" w:rsidRDefault="00493B23" w:rsidP="00806C15">
      <w:pPr>
        <w:pStyle w:val="SectionTitle"/>
        <w:rPr>
          <w:noProof/>
          <w:color w:val="000000" w:themeColor="text1"/>
          <w:sz w:val="24"/>
          <w:szCs w:val="24"/>
          <w:lang w:eastAsia="ja-JP"/>
        </w:rPr>
      </w:pPr>
      <w:r w:rsidRPr="004C70EC">
        <w:rPr>
          <w:noProof/>
          <w:color w:val="000000" w:themeColor="text1"/>
          <w:sz w:val="24"/>
          <w:szCs w:val="24"/>
          <w:lang w:eastAsia="ja-JP"/>
        </w:rPr>
        <w:t>SECTION [2]</w:t>
      </w:r>
    </w:p>
    <w:p w14:paraId="12F9578F" w14:textId="77777777" w:rsidR="00493B23" w:rsidRPr="004C70EC" w:rsidRDefault="00493B23" w:rsidP="00C05B35">
      <w:pPr>
        <w:pStyle w:val="SectionTitle"/>
        <w:rPr>
          <w:b w:val="0"/>
          <w:noProof/>
          <w:color w:val="000000" w:themeColor="text1"/>
          <w:sz w:val="24"/>
          <w:szCs w:val="24"/>
        </w:rPr>
      </w:pPr>
      <w:r w:rsidRPr="004C70EC">
        <w:rPr>
          <w:noProof/>
          <w:color w:val="000000" w:themeColor="text1"/>
          <w:sz w:val="24"/>
          <w:szCs w:val="24"/>
        </w:rPr>
        <w:t xml:space="preserve">support of </w:t>
      </w:r>
      <w:r w:rsidRPr="004C70EC">
        <w:rPr>
          <w:rFonts w:eastAsia="Times New Roman"/>
          <w:noProof/>
          <w:color w:val="000000" w:themeColor="text1"/>
          <w:sz w:val="24"/>
          <w:szCs w:val="24"/>
          <w:lang w:val="en-IE" w:eastAsia="de-DE"/>
        </w:rPr>
        <w:t xml:space="preserve">health </w:t>
      </w:r>
      <w:r w:rsidRPr="004C70EC">
        <w:rPr>
          <w:noProof/>
          <w:color w:val="000000" w:themeColor="text1"/>
          <w:sz w:val="24"/>
          <w:szCs w:val="24"/>
        </w:rPr>
        <w:t xml:space="preserve">biotechnology strategic projects and </w:t>
      </w:r>
      <w:r w:rsidRPr="004C70EC">
        <w:rPr>
          <w:rFonts w:eastAsiaTheme="majorEastAsia"/>
          <w:bCs/>
          <w:iCs/>
          <w:noProof/>
          <w:color w:val="000000" w:themeColor="text1"/>
          <w:sz w:val="24"/>
          <w:szCs w:val="24"/>
        </w:rPr>
        <w:t>high</w:t>
      </w:r>
      <w:r w:rsidRPr="004C70EC">
        <w:rPr>
          <w:i/>
          <w:iCs/>
          <w:noProof/>
          <w:color w:val="000000" w:themeColor="text1"/>
          <w:sz w:val="24"/>
          <w:szCs w:val="24"/>
        </w:rPr>
        <w:t xml:space="preserve"> </w:t>
      </w:r>
      <w:r w:rsidRPr="004C70EC">
        <w:rPr>
          <w:rFonts w:eastAsiaTheme="majorEastAsia"/>
          <w:bCs/>
          <w:iCs/>
          <w:noProof/>
          <w:color w:val="000000" w:themeColor="text1"/>
          <w:sz w:val="24"/>
          <w:szCs w:val="24"/>
        </w:rPr>
        <w:t xml:space="preserve">impact </w:t>
      </w:r>
      <w:r w:rsidRPr="004C70EC">
        <w:rPr>
          <w:rFonts w:eastAsia="Times New Roman"/>
          <w:noProof/>
          <w:color w:val="000000" w:themeColor="text1"/>
          <w:sz w:val="24"/>
          <w:szCs w:val="24"/>
          <w:lang w:val="en-IE" w:eastAsia="de-DE"/>
        </w:rPr>
        <w:t>health</w:t>
      </w:r>
      <w:r w:rsidRPr="004C70EC">
        <w:rPr>
          <w:rFonts w:eastAsiaTheme="majorEastAsia"/>
          <w:bCs/>
          <w:iCs/>
          <w:noProof/>
          <w:color w:val="000000" w:themeColor="text1"/>
          <w:sz w:val="24"/>
          <w:szCs w:val="24"/>
        </w:rPr>
        <w:t xml:space="preserve"> biotechnology strategic </w:t>
      </w:r>
      <w:r w:rsidRPr="004C70EC">
        <w:rPr>
          <w:bCs/>
          <w:iCs/>
          <w:noProof/>
          <w:color w:val="000000" w:themeColor="text1"/>
          <w:sz w:val="24"/>
          <w:szCs w:val="24"/>
        </w:rPr>
        <w:t>projects</w:t>
      </w:r>
    </w:p>
    <w:p w14:paraId="02A0CFD6" w14:textId="77777777" w:rsidR="00493B23" w:rsidRPr="004C70EC" w:rsidRDefault="00493B23" w:rsidP="00493B23">
      <w:pPr>
        <w:pStyle w:val="Titrearticle"/>
        <w:rPr>
          <w:rFonts w:eastAsia="Times New Roman"/>
          <w:i w:val="0"/>
          <w:noProof/>
          <w:color w:val="000000" w:themeColor="text1"/>
          <w:szCs w:val="24"/>
          <w:lang w:eastAsia="en-GB"/>
        </w:rPr>
      </w:pPr>
      <w:r w:rsidRPr="004C70EC">
        <w:rPr>
          <w:rFonts w:eastAsia="Times New Roman"/>
          <w:noProof/>
          <w:color w:val="000000" w:themeColor="text1"/>
          <w:szCs w:val="24"/>
          <w:lang w:eastAsia="en-GB"/>
        </w:rPr>
        <w:t xml:space="preserve">Article </w:t>
      </w:r>
      <w:r w:rsidR="00D93646" w:rsidRPr="004C70EC">
        <w:rPr>
          <w:rFonts w:eastAsia="Times New Roman"/>
          <w:noProof/>
          <w:color w:val="000000" w:themeColor="text1"/>
          <w:szCs w:val="24"/>
          <w:lang w:eastAsia="en-GB"/>
        </w:rPr>
        <w:t>11</w:t>
      </w:r>
    </w:p>
    <w:p w14:paraId="6E51F1C6" w14:textId="77777777" w:rsidR="00493B23" w:rsidRPr="004C70EC" w:rsidRDefault="00493B23" w:rsidP="00493B23">
      <w:pPr>
        <w:keepNext/>
        <w:keepLines/>
        <w:spacing w:before="160" w:after="80" w:line="279" w:lineRule="auto"/>
        <w:jc w:val="center"/>
        <w:outlineLvl w:val="2"/>
        <w:rPr>
          <w:rFonts w:eastAsiaTheme="majorEastAsia"/>
          <w:b/>
          <w:noProof/>
          <w:color w:val="000000" w:themeColor="text1"/>
          <w:szCs w:val="24"/>
          <w:lang w:eastAsia="ja-JP"/>
        </w:rPr>
      </w:pPr>
      <w:r w:rsidRPr="004C70EC">
        <w:rPr>
          <w:rFonts w:eastAsiaTheme="majorEastAsia"/>
          <w:b/>
          <w:noProof/>
          <w:color w:val="000000" w:themeColor="text1"/>
          <w:szCs w:val="24"/>
          <w:lang w:eastAsia="ja-JP"/>
        </w:rPr>
        <w:t>Single points of contact</w:t>
      </w:r>
    </w:p>
    <w:p w14:paraId="58B51924" w14:textId="77777777" w:rsidR="00493B23" w:rsidRPr="004C70EC" w:rsidRDefault="00493B23"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1.</w:t>
      </w:r>
      <w:r w:rsidRPr="004C70EC">
        <w:rPr>
          <w:rFonts w:eastAsiaTheme="minorEastAsia"/>
          <w:noProof/>
          <w:color w:val="000000" w:themeColor="text1"/>
          <w:szCs w:val="24"/>
          <w:lang w:eastAsia="ja-JP"/>
        </w:rPr>
        <w:tab/>
        <w:t xml:space="preserve">Each Member State shall designate one or more authorities as single points of contact at the relevant administrative level to facilitate and coordinate the permit-granting process for health biotechnology strategic projects and high impact </w:t>
      </w:r>
      <w:r w:rsidRPr="004C70EC">
        <w:rPr>
          <w:rFonts w:eastAsia="Times New Roman"/>
          <w:noProof/>
          <w:color w:val="000000" w:themeColor="text1"/>
          <w:lang w:val="en-IE" w:eastAsia="de-DE"/>
        </w:rPr>
        <w:t xml:space="preserve">health </w:t>
      </w:r>
      <w:r w:rsidRPr="004C70EC">
        <w:rPr>
          <w:rFonts w:eastAsiaTheme="minorEastAsia"/>
          <w:noProof/>
          <w:color w:val="000000" w:themeColor="text1"/>
          <w:szCs w:val="24"/>
          <w:lang w:eastAsia="ja-JP"/>
        </w:rPr>
        <w:t>biotechnology strategic projects and shall provide information on the general administrative support and the technical and financial support set out in this [Section] through a dedicated webpage.</w:t>
      </w:r>
    </w:p>
    <w:p w14:paraId="36924D53" w14:textId="77777777" w:rsidR="00E94165" w:rsidRPr="004C70EC" w:rsidRDefault="00493B23" w:rsidP="00F13976">
      <w:pPr>
        <w:pStyle w:val="Point0"/>
        <w:rPr>
          <w:noProof/>
          <w:color w:val="000000" w:themeColor="text1"/>
        </w:rPr>
      </w:pPr>
      <w:r w:rsidRPr="004C70EC">
        <w:rPr>
          <w:rFonts w:eastAsiaTheme="minorEastAsia"/>
          <w:noProof/>
          <w:color w:val="000000" w:themeColor="text1"/>
          <w:lang w:val="en-IE" w:eastAsia="ja-JP"/>
        </w:rPr>
        <w:t>2.</w:t>
      </w:r>
      <w:r w:rsidRPr="004C70EC">
        <w:rPr>
          <w:noProof/>
        </w:rPr>
        <w:tab/>
      </w:r>
      <w:r w:rsidR="005A69A4" w:rsidRPr="004C70EC">
        <w:rPr>
          <w:noProof/>
          <w:color w:val="000000" w:themeColor="text1"/>
        </w:rPr>
        <w:t>Th</w:t>
      </w:r>
      <w:r w:rsidR="00146B50" w:rsidRPr="004C70EC">
        <w:rPr>
          <w:noProof/>
          <w:color w:val="000000" w:themeColor="text1"/>
        </w:rPr>
        <w:t>is</w:t>
      </w:r>
      <w:r w:rsidR="007F24B6" w:rsidRPr="004C70EC">
        <w:rPr>
          <w:noProof/>
          <w:color w:val="000000" w:themeColor="text1"/>
        </w:rPr>
        <w:t xml:space="preserve"> </w:t>
      </w:r>
      <w:r w:rsidR="005A69A4" w:rsidRPr="004C70EC">
        <w:rPr>
          <w:noProof/>
          <w:color w:val="000000" w:themeColor="text1"/>
        </w:rPr>
        <w:t xml:space="preserve">single </w:t>
      </w:r>
      <w:r w:rsidR="00B90987" w:rsidRPr="004C70EC">
        <w:rPr>
          <w:noProof/>
          <w:color w:val="000000" w:themeColor="text1"/>
        </w:rPr>
        <w:t xml:space="preserve">point of contact </w:t>
      </w:r>
      <w:r w:rsidR="005A69A4" w:rsidRPr="004C70EC">
        <w:rPr>
          <w:noProof/>
          <w:color w:val="000000" w:themeColor="text1"/>
        </w:rPr>
        <w:t xml:space="preserve">shall be the same as the </w:t>
      </w:r>
      <w:r w:rsidR="00B90987" w:rsidRPr="004C70EC">
        <w:rPr>
          <w:noProof/>
          <w:color w:val="000000" w:themeColor="text1"/>
        </w:rPr>
        <w:t xml:space="preserve">single </w:t>
      </w:r>
      <w:r w:rsidR="005A69A4" w:rsidRPr="004C70EC">
        <w:rPr>
          <w:noProof/>
          <w:color w:val="000000" w:themeColor="text1"/>
        </w:rPr>
        <w:t xml:space="preserve">point </w:t>
      </w:r>
      <w:r w:rsidR="00146B50" w:rsidRPr="004C70EC">
        <w:rPr>
          <w:noProof/>
          <w:color w:val="000000" w:themeColor="text1"/>
        </w:rPr>
        <w:t xml:space="preserve">of </w:t>
      </w:r>
      <w:r w:rsidR="005A69A4" w:rsidRPr="004C70EC">
        <w:rPr>
          <w:noProof/>
          <w:color w:val="000000" w:themeColor="text1"/>
        </w:rPr>
        <w:t xml:space="preserve">contact </w:t>
      </w:r>
      <w:r w:rsidR="007B607D" w:rsidRPr="004C70EC">
        <w:rPr>
          <w:noProof/>
          <w:color w:val="000000" w:themeColor="text1"/>
        </w:rPr>
        <w:t>r</w:t>
      </w:r>
      <w:r w:rsidR="005A69A4" w:rsidRPr="004C70EC">
        <w:rPr>
          <w:noProof/>
          <w:color w:val="000000" w:themeColor="text1"/>
        </w:rPr>
        <w:t xml:space="preserve">eferred to in </w:t>
      </w:r>
      <w:r w:rsidR="00B84FBE" w:rsidRPr="004C70EC">
        <w:rPr>
          <w:noProof/>
          <w:color w:val="000000" w:themeColor="text1"/>
        </w:rPr>
        <w:t>Article 3</w:t>
      </w:r>
      <w:r w:rsidR="00F0423F" w:rsidRPr="004C70EC">
        <w:rPr>
          <w:noProof/>
          <w:color w:val="000000" w:themeColor="text1"/>
        </w:rPr>
        <w:t>(</w:t>
      </w:r>
      <w:r w:rsidR="00B354BD" w:rsidRPr="004C70EC">
        <w:rPr>
          <w:noProof/>
          <w:color w:val="000000" w:themeColor="text1"/>
        </w:rPr>
        <w:t>2</w:t>
      </w:r>
      <w:r w:rsidR="00F0423F" w:rsidRPr="004C70EC">
        <w:rPr>
          <w:noProof/>
          <w:color w:val="000000" w:themeColor="text1"/>
        </w:rPr>
        <w:t>)</w:t>
      </w:r>
      <w:r w:rsidR="00B354BD" w:rsidRPr="004C70EC">
        <w:rPr>
          <w:noProof/>
          <w:color w:val="000000" w:themeColor="text1"/>
        </w:rPr>
        <w:t xml:space="preserve"> of the</w:t>
      </w:r>
      <w:r w:rsidR="00F13976" w:rsidRPr="004C70EC">
        <w:rPr>
          <w:noProof/>
          <w:color w:val="000000" w:themeColor="text1"/>
        </w:rPr>
        <w:t xml:space="preserve"> Regulation (EU) ../..</w:t>
      </w:r>
      <w:r w:rsidR="00B84FBE" w:rsidRPr="004C70EC">
        <w:rPr>
          <w:noProof/>
          <w:color w:val="000000" w:themeColor="text1"/>
        </w:rPr>
        <w:t xml:space="preserve"> </w:t>
      </w:r>
      <w:r w:rsidR="005A69A4" w:rsidRPr="004C70EC">
        <w:rPr>
          <w:noProof/>
          <w:color w:val="000000" w:themeColor="text1"/>
        </w:rPr>
        <w:t>[</w:t>
      </w:r>
      <w:r w:rsidR="009755AE" w:rsidRPr="004C70EC">
        <w:rPr>
          <w:noProof/>
          <w:color w:val="000000" w:themeColor="text1"/>
        </w:rPr>
        <w:t>Regulation on speeding-up environmental impact assessments</w:t>
      </w:r>
      <w:r w:rsidR="002144C9" w:rsidRPr="004C70EC">
        <w:rPr>
          <w:noProof/>
          <w:color w:val="000000" w:themeColor="text1"/>
        </w:rPr>
        <w:t xml:space="preserve"> -permitting regulation</w:t>
      </w:r>
      <w:r w:rsidR="005A69A4" w:rsidRPr="004C70EC">
        <w:rPr>
          <w:noProof/>
          <w:color w:val="000000" w:themeColor="text1"/>
        </w:rPr>
        <w:t>]</w:t>
      </w:r>
      <w:r w:rsidR="00583161" w:rsidRPr="004C70EC">
        <w:rPr>
          <w:noProof/>
          <w:color w:val="000000" w:themeColor="text1"/>
        </w:rPr>
        <w:t>,</w:t>
      </w:r>
      <w:r w:rsidR="00B90987" w:rsidRPr="004C70EC">
        <w:rPr>
          <w:noProof/>
          <w:color w:val="000000" w:themeColor="text1"/>
        </w:rPr>
        <w:t xml:space="preserve"> </w:t>
      </w:r>
      <w:r w:rsidR="00E44B7D" w:rsidRPr="004C70EC">
        <w:rPr>
          <w:noProof/>
          <w:color w:val="000000" w:themeColor="text1"/>
        </w:rPr>
        <w:t>responsible for facilitating and coordinating all aspects of the environmental assessments</w:t>
      </w:r>
      <w:r w:rsidR="00583161" w:rsidRPr="004C70EC">
        <w:rPr>
          <w:noProof/>
          <w:color w:val="000000" w:themeColor="text1"/>
        </w:rPr>
        <w:t>,</w:t>
      </w:r>
      <w:r w:rsidR="00E44B7D" w:rsidRPr="004C70EC">
        <w:rPr>
          <w:noProof/>
          <w:color w:val="000000" w:themeColor="text1"/>
        </w:rPr>
        <w:t xml:space="preserve"> </w:t>
      </w:r>
      <w:r w:rsidR="005A69A4" w:rsidRPr="004C70EC">
        <w:rPr>
          <w:noProof/>
          <w:color w:val="000000" w:themeColor="text1"/>
        </w:rPr>
        <w:t xml:space="preserve">pursuant to </w:t>
      </w:r>
      <w:r w:rsidR="00583161" w:rsidRPr="004C70EC">
        <w:rPr>
          <w:noProof/>
          <w:color w:val="000000" w:themeColor="text1"/>
        </w:rPr>
        <w:t xml:space="preserve">applicable </w:t>
      </w:r>
      <w:r w:rsidR="005A69A4" w:rsidRPr="004C70EC">
        <w:rPr>
          <w:noProof/>
          <w:color w:val="000000" w:themeColor="text1"/>
        </w:rPr>
        <w:t xml:space="preserve">Union and Member States </w:t>
      </w:r>
      <w:r w:rsidR="007B607D" w:rsidRPr="004C70EC">
        <w:rPr>
          <w:noProof/>
          <w:color w:val="000000" w:themeColor="text1"/>
        </w:rPr>
        <w:t>rules</w:t>
      </w:r>
      <w:r w:rsidR="00583161" w:rsidRPr="004C70EC">
        <w:rPr>
          <w:noProof/>
          <w:color w:val="000000" w:themeColor="text1"/>
        </w:rPr>
        <w:t xml:space="preserve">. </w:t>
      </w:r>
    </w:p>
    <w:p w14:paraId="25AD3B6D" w14:textId="77777777" w:rsidR="00493B23" w:rsidRPr="004C70EC" w:rsidRDefault="00493B23"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val="en-IE" w:eastAsia="ja-JP"/>
        </w:rPr>
        <w:t>3.</w:t>
      </w:r>
      <w:r w:rsidRPr="004C70EC">
        <w:rPr>
          <w:rFonts w:eastAsiaTheme="minorEastAsia"/>
          <w:noProof/>
          <w:color w:val="000000" w:themeColor="text1"/>
          <w:szCs w:val="24"/>
          <w:lang w:val="en-IE" w:eastAsia="ja-JP"/>
        </w:rPr>
        <w:tab/>
      </w:r>
      <w:r w:rsidRPr="004C70EC">
        <w:rPr>
          <w:rFonts w:eastAsiaTheme="minorEastAsia"/>
          <w:noProof/>
          <w:color w:val="000000" w:themeColor="text1"/>
          <w:szCs w:val="24"/>
          <w:lang w:eastAsia="ja-JP"/>
        </w:rPr>
        <w:t>The single point of contact shall be the sole point of contact</w:t>
      </w:r>
      <w:r w:rsidRPr="004C70EC">
        <w:rPr>
          <w:rFonts w:eastAsiaTheme="minorEastAsia"/>
          <w:b/>
          <w:noProof/>
          <w:color w:val="000000" w:themeColor="text1"/>
          <w:szCs w:val="24"/>
          <w:lang w:eastAsia="ja-JP"/>
        </w:rPr>
        <w:t xml:space="preserve"> </w:t>
      </w:r>
      <w:r w:rsidRPr="004C70EC">
        <w:rPr>
          <w:rFonts w:eastAsiaTheme="minorEastAsia"/>
          <w:noProof/>
          <w:color w:val="000000" w:themeColor="text1"/>
          <w:szCs w:val="24"/>
          <w:lang w:eastAsia="ja-JP"/>
        </w:rPr>
        <w:t>for the project promoter during the permit-granting process and shall assist the project promoter in handling any administrative matter relevant to the permit-granting process.</w:t>
      </w:r>
      <w:r w:rsidRPr="004C70EC" w:rsidDel="008722BC">
        <w:rPr>
          <w:rFonts w:eastAsiaTheme="minorEastAsia"/>
          <w:noProof/>
          <w:color w:val="000000" w:themeColor="text1"/>
          <w:szCs w:val="24"/>
          <w:lang w:eastAsia="ja-JP"/>
        </w:rPr>
        <w:t xml:space="preserve"> </w:t>
      </w:r>
    </w:p>
    <w:p w14:paraId="01CD8903" w14:textId="77777777" w:rsidR="00493B23" w:rsidRPr="004C70EC" w:rsidRDefault="00493B23"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4.</w:t>
      </w:r>
      <w:r w:rsidRPr="004C70EC">
        <w:rPr>
          <w:rFonts w:eastAsiaTheme="minorEastAsia"/>
          <w:noProof/>
          <w:color w:val="000000" w:themeColor="text1"/>
          <w:szCs w:val="24"/>
          <w:lang w:eastAsia="ja-JP"/>
        </w:rPr>
        <w:tab/>
        <w:t>It shall coordinate the exchange of documents and information between the project promoters and the competent authorities and shall notify the promoter of the outcome of the decision-making process related to permit-granting, in accordance with national administrative arrangements. The authorities involved in the permit-granting process and other authorities concerned shall specify and make available to the single point of contact concerned the requirements and the scope of information requested of a project promoter.</w:t>
      </w:r>
    </w:p>
    <w:p w14:paraId="450DE559" w14:textId="77777777" w:rsidR="00493B23" w:rsidRPr="004C70EC" w:rsidRDefault="00493B23"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5.</w:t>
      </w:r>
      <w:r w:rsidRPr="004C70EC">
        <w:rPr>
          <w:rFonts w:eastAsiaTheme="minorEastAsia"/>
          <w:noProof/>
          <w:color w:val="000000" w:themeColor="text1"/>
          <w:szCs w:val="24"/>
          <w:lang w:eastAsia="ja-JP"/>
        </w:rPr>
        <w:tab/>
        <w:t xml:space="preserve">The single point of contact shall direct project promoters to the relevant national and regional antennas of the EU Health Biotechnology Support Network referred to in Article </w:t>
      </w:r>
      <w:r w:rsidR="00E85468" w:rsidRPr="004C70EC">
        <w:rPr>
          <w:rFonts w:eastAsiaTheme="minorEastAsia"/>
          <w:noProof/>
          <w:color w:val="000000" w:themeColor="text1"/>
          <w:szCs w:val="24"/>
          <w:lang w:eastAsia="ja-JP"/>
        </w:rPr>
        <w:t>19</w:t>
      </w:r>
      <w:r w:rsidRPr="004C70EC">
        <w:rPr>
          <w:rFonts w:eastAsiaTheme="minorEastAsia"/>
          <w:noProof/>
          <w:color w:val="000000" w:themeColor="text1"/>
          <w:szCs w:val="24"/>
          <w:lang w:eastAsia="ja-JP"/>
        </w:rPr>
        <w:t>.</w:t>
      </w:r>
    </w:p>
    <w:p w14:paraId="41245616" w14:textId="77777777" w:rsidR="00493B23" w:rsidRPr="004C70EC" w:rsidRDefault="00493B23"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6.</w:t>
      </w:r>
      <w:r w:rsidRPr="004C70EC">
        <w:rPr>
          <w:rFonts w:eastAsiaTheme="minorEastAsia"/>
          <w:noProof/>
          <w:color w:val="000000" w:themeColor="text1"/>
          <w:szCs w:val="24"/>
          <w:lang w:eastAsia="ja-JP"/>
        </w:rPr>
        <w:tab/>
        <w:t>Project promoters shall be allowed to submit to the single points of contact any documents relevant to the permit-granting process in electronic form.</w:t>
      </w:r>
    </w:p>
    <w:p w14:paraId="2A0750CD" w14:textId="77777777" w:rsidR="00493B23" w:rsidRPr="004C70EC" w:rsidRDefault="00493B23"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7.</w:t>
      </w:r>
      <w:r w:rsidRPr="004C70EC">
        <w:rPr>
          <w:rFonts w:eastAsiaTheme="minorEastAsia"/>
          <w:noProof/>
          <w:color w:val="000000" w:themeColor="text1"/>
          <w:szCs w:val="24"/>
          <w:lang w:eastAsia="ja-JP"/>
        </w:rPr>
        <w:tab/>
        <w:t>Member States shall promote the reuse of existing data, studies and authorisations in order to avoid duplication of procedures, reduce administrative burden and ensure consistency of decision-making. For that purpose, they shall ensure that, when assessing an application, competent authorities duly take into account all relevant studies, assessments and valid permits or authorisations already carried out or issued for the same project or its components, provided that they remain applicable and up to date.</w:t>
      </w:r>
    </w:p>
    <w:p w14:paraId="75B394E6" w14:textId="77777777" w:rsidR="00493B23" w:rsidRPr="004C70EC" w:rsidRDefault="00493B23"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8.</w:t>
      </w:r>
      <w:r w:rsidRPr="004C70EC">
        <w:rPr>
          <w:rFonts w:eastAsiaTheme="minorEastAsia"/>
          <w:noProof/>
          <w:color w:val="000000" w:themeColor="text1"/>
          <w:szCs w:val="24"/>
          <w:lang w:eastAsia="ja-JP"/>
        </w:rPr>
        <w:tab/>
        <w:t>Member States shall ensure that the single points of contact and all authorities involved in the permit-granting process have a sufficient number of qualified staff and adequate resources.</w:t>
      </w:r>
    </w:p>
    <w:p w14:paraId="05641FE3" w14:textId="77777777" w:rsidR="00493B23" w:rsidRPr="004C70EC" w:rsidRDefault="00493B23"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9.</w:t>
      </w:r>
      <w:r w:rsidRPr="004C70EC">
        <w:rPr>
          <w:rFonts w:eastAsiaTheme="minorEastAsia"/>
          <w:noProof/>
          <w:color w:val="000000" w:themeColor="text1"/>
          <w:szCs w:val="24"/>
          <w:lang w:eastAsia="ja-JP"/>
        </w:rPr>
        <w:tab/>
        <w:t>Member States shall ensure that applicants have easy access to information on procedures for the settlement of disputes concerning the permit-granting process, including, where applicable, alternative dispute resolution mechanisms provided for by national law.</w:t>
      </w:r>
    </w:p>
    <w:p w14:paraId="6D280355" w14:textId="77777777" w:rsidR="00493B23" w:rsidRPr="004C70EC" w:rsidRDefault="00493B23" w:rsidP="00493B23">
      <w:pPr>
        <w:pStyle w:val="Titrearticle"/>
        <w:rPr>
          <w:rFonts w:eastAsiaTheme="minorEastAsia"/>
          <w:i w:val="0"/>
          <w:noProof/>
          <w:color w:val="000000" w:themeColor="text1"/>
          <w:szCs w:val="24"/>
          <w:lang w:eastAsia="ja-JP"/>
        </w:rPr>
      </w:pPr>
      <w:bookmarkStart w:id="22" w:name="_Hlk216422463"/>
      <w:r w:rsidRPr="004C70EC">
        <w:rPr>
          <w:rFonts w:eastAsiaTheme="minorEastAsia"/>
          <w:noProof/>
          <w:color w:val="000000" w:themeColor="text1"/>
          <w:szCs w:val="24"/>
          <w:lang w:eastAsia="ja-JP"/>
        </w:rPr>
        <w:t>Article 1</w:t>
      </w:r>
      <w:r w:rsidR="00D93646" w:rsidRPr="004C70EC">
        <w:rPr>
          <w:rFonts w:eastAsiaTheme="minorEastAsia"/>
          <w:noProof/>
          <w:color w:val="000000" w:themeColor="text1"/>
          <w:szCs w:val="24"/>
          <w:lang w:eastAsia="ja-JP"/>
        </w:rPr>
        <w:t>2</w:t>
      </w:r>
    </w:p>
    <w:p w14:paraId="3314B2BD" w14:textId="77777777" w:rsidR="00493B23" w:rsidRPr="004C70EC" w:rsidRDefault="00493B23" w:rsidP="00493B23">
      <w:pPr>
        <w:keepNext/>
        <w:tabs>
          <w:tab w:val="left" w:pos="850"/>
        </w:tabs>
        <w:ind w:left="850" w:hanging="850"/>
        <w:jc w:val="center"/>
        <w:outlineLvl w:val="2"/>
        <w:rPr>
          <w:b/>
          <w:noProof/>
          <w:color w:val="000000" w:themeColor="text1"/>
          <w:szCs w:val="24"/>
        </w:rPr>
      </w:pPr>
      <w:r w:rsidRPr="004C70EC">
        <w:rPr>
          <w:b/>
          <w:noProof/>
          <w:color w:val="000000" w:themeColor="text1"/>
          <w:szCs w:val="24"/>
        </w:rPr>
        <w:t xml:space="preserve">Priority status of </w:t>
      </w:r>
      <w:r w:rsidRPr="004C70EC">
        <w:rPr>
          <w:rFonts w:eastAsia="Times New Roman"/>
          <w:b/>
          <w:noProof/>
          <w:color w:val="000000" w:themeColor="text1"/>
          <w:lang w:val="en-IE" w:eastAsia="de-DE"/>
        </w:rPr>
        <w:t xml:space="preserve">health </w:t>
      </w:r>
      <w:r w:rsidRPr="004C70EC">
        <w:rPr>
          <w:b/>
          <w:noProof/>
          <w:color w:val="000000" w:themeColor="text1"/>
          <w:szCs w:val="24"/>
        </w:rPr>
        <w:t>biotechnology strategic projects</w:t>
      </w:r>
    </w:p>
    <w:p w14:paraId="3C19D500" w14:textId="77777777" w:rsidR="00422936" w:rsidRPr="004C70EC" w:rsidRDefault="00493B23" w:rsidP="00493B23">
      <w:pPr>
        <w:pStyle w:val="Point0"/>
        <w:rPr>
          <w:rFonts w:eastAsiaTheme="minorEastAsia"/>
          <w:noProof/>
          <w:color w:val="000000" w:themeColor="text1"/>
          <w:lang w:eastAsia="ja-JP"/>
        </w:rPr>
      </w:pPr>
      <w:r w:rsidRPr="004C70EC">
        <w:rPr>
          <w:rFonts w:eastAsiaTheme="minorEastAsia"/>
          <w:noProof/>
          <w:color w:val="000000" w:themeColor="text1"/>
          <w:lang w:eastAsia="ja-JP"/>
        </w:rPr>
        <w:t>1.</w:t>
      </w:r>
      <w:r w:rsidRPr="004C70EC">
        <w:rPr>
          <w:noProof/>
        </w:rPr>
        <w:tab/>
      </w:r>
      <w:r w:rsidRPr="004C70EC">
        <w:rPr>
          <w:rFonts w:eastAsia="Times New Roman"/>
          <w:noProof/>
          <w:color w:val="000000" w:themeColor="text1"/>
          <w:lang w:val="en-IE" w:eastAsia="de-DE"/>
        </w:rPr>
        <w:t xml:space="preserve">Health </w:t>
      </w:r>
      <w:r w:rsidRPr="004C70EC">
        <w:rPr>
          <w:rFonts w:eastAsiaTheme="minorEastAsia"/>
          <w:noProof/>
          <w:color w:val="000000" w:themeColor="text1"/>
          <w:lang w:eastAsia="ja-JP"/>
        </w:rPr>
        <w:t>biotechnology strategic projects</w:t>
      </w:r>
      <w:r w:rsidRPr="004C70EC" w:rsidDel="00E94552">
        <w:rPr>
          <w:rFonts w:eastAsiaTheme="minorEastAsia"/>
          <w:noProof/>
          <w:color w:val="000000" w:themeColor="text1"/>
          <w:lang w:eastAsia="ja-JP"/>
        </w:rPr>
        <w:t xml:space="preserve"> </w:t>
      </w:r>
      <w:r w:rsidRPr="004C70EC">
        <w:rPr>
          <w:rFonts w:eastAsiaTheme="minorEastAsia"/>
          <w:noProof/>
          <w:color w:val="000000" w:themeColor="text1"/>
          <w:lang w:eastAsia="ja-JP"/>
        </w:rPr>
        <w:t xml:space="preserve">shall be considered as contributing to the strengthening of the biomanufacturing capacity and to the supply resilience of biotechnology products in the Union and, therefore, </w:t>
      </w:r>
      <w:r w:rsidR="4DFD1F91" w:rsidRPr="004C70EC">
        <w:rPr>
          <w:rFonts w:eastAsiaTheme="minorEastAsia"/>
          <w:noProof/>
          <w:color w:val="000000" w:themeColor="text1"/>
          <w:lang w:eastAsia="ja-JP"/>
        </w:rPr>
        <w:t xml:space="preserve">shall </w:t>
      </w:r>
      <w:r w:rsidRPr="004C70EC">
        <w:rPr>
          <w:rFonts w:eastAsiaTheme="minorEastAsia"/>
          <w:noProof/>
          <w:color w:val="000000" w:themeColor="text1"/>
          <w:lang w:eastAsia="ja-JP"/>
        </w:rPr>
        <w:t xml:space="preserve">be considered </w:t>
      </w:r>
      <w:r w:rsidR="004340CA" w:rsidRPr="004C70EC">
        <w:rPr>
          <w:rFonts w:eastAsiaTheme="minorEastAsia"/>
          <w:noProof/>
          <w:color w:val="000000" w:themeColor="text1"/>
          <w:lang w:eastAsia="ja-JP"/>
        </w:rPr>
        <w:t xml:space="preserve">to be of </w:t>
      </w:r>
      <w:r w:rsidRPr="004C70EC">
        <w:rPr>
          <w:rFonts w:eastAsiaTheme="minorEastAsia"/>
          <w:noProof/>
          <w:color w:val="000000" w:themeColor="text1"/>
          <w:lang w:eastAsia="ja-JP"/>
        </w:rPr>
        <w:t>public interes</w:t>
      </w:r>
      <w:r w:rsidR="00F90B46" w:rsidRPr="004C70EC">
        <w:rPr>
          <w:rFonts w:eastAsiaTheme="minorEastAsia"/>
          <w:noProof/>
          <w:color w:val="000000" w:themeColor="text1"/>
          <w:lang w:eastAsia="ja-JP"/>
        </w:rPr>
        <w:t>t.</w:t>
      </w:r>
      <w:r w:rsidR="00B3706E" w:rsidRPr="004C70EC">
        <w:rPr>
          <w:rFonts w:eastAsiaTheme="minorEastAsia"/>
          <w:noProof/>
          <w:color w:val="000000" w:themeColor="text1"/>
          <w:lang w:eastAsia="ja-JP"/>
        </w:rPr>
        <w:t xml:space="preserve"> </w:t>
      </w:r>
    </w:p>
    <w:p w14:paraId="460D40C2" w14:textId="77777777" w:rsidR="00493B23" w:rsidRPr="004C70EC" w:rsidRDefault="001F3C87" w:rsidP="002D7694">
      <w:pPr>
        <w:pStyle w:val="Point0"/>
        <w:ind w:hanging="130"/>
        <w:rPr>
          <w:rFonts w:eastAsiaTheme="minorEastAsia"/>
          <w:noProof/>
          <w:color w:val="000000" w:themeColor="text1"/>
          <w:lang w:eastAsia="ja-JP"/>
        </w:rPr>
      </w:pPr>
      <w:r w:rsidRPr="004C70EC">
        <w:rPr>
          <w:rFonts w:eastAsiaTheme="minorEastAsia"/>
          <w:noProof/>
          <w:color w:val="000000" w:themeColor="text1"/>
          <w:lang w:eastAsia="ja-JP"/>
        </w:rPr>
        <w:t xml:space="preserve">  </w:t>
      </w:r>
      <w:r w:rsidR="00336849" w:rsidRPr="004C70EC">
        <w:rPr>
          <w:rFonts w:eastAsiaTheme="minorEastAsia"/>
          <w:noProof/>
          <w:color w:val="000000" w:themeColor="text1"/>
          <w:lang w:eastAsia="ja-JP"/>
        </w:rPr>
        <w:t>H</w:t>
      </w:r>
      <w:r w:rsidR="00B3706E" w:rsidRPr="004C70EC">
        <w:rPr>
          <w:rFonts w:eastAsiaTheme="minorEastAsia"/>
          <w:noProof/>
          <w:color w:val="000000" w:themeColor="text1"/>
          <w:lang w:eastAsia="ja-JP"/>
        </w:rPr>
        <w:t xml:space="preserve">ealth biotechnology strategic projects </w:t>
      </w:r>
      <w:r w:rsidR="00A63E8F" w:rsidRPr="004C70EC">
        <w:rPr>
          <w:rFonts w:eastAsiaTheme="minorEastAsia"/>
          <w:noProof/>
          <w:color w:val="000000" w:themeColor="text1"/>
          <w:lang w:eastAsia="ja-JP"/>
        </w:rPr>
        <w:t>shall</w:t>
      </w:r>
      <w:r w:rsidR="00B3706E" w:rsidRPr="004C70EC">
        <w:rPr>
          <w:rFonts w:eastAsiaTheme="minorEastAsia"/>
          <w:noProof/>
          <w:color w:val="000000" w:themeColor="text1"/>
          <w:lang w:eastAsia="ja-JP"/>
        </w:rPr>
        <w:t xml:space="preserve"> be </w:t>
      </w:r>
      <w:r w:rsidR="00B3706E" w:rsidRPr="004C70EC">
        <w:rPr>
          <w:rFonts w:eastAsiaTheme="minorEastAsia"/>
          <w:noProof/>
          <w:color w:val="000000" w:themeColor="text1"/>
          <w:lang w:val="en-US" w:eastAsia="ja-JP"/>
        </w:rPr>
        <w:t xml:space="preserve">deemed to contribute to the </w:t>
      </w:r>
      <w:r w:rsidR="00426474" w:rsidRPr="004C70EC">
        <w:rPr>
          <w:rFonts w:eastAsiaTheme="minorEastAsia"/>
          <w:noProof/>
          <w:color w:val="000000" w:themeColor="text1"/>
          <w:lang w:val="en-US" w:eastAsia="ja-JP"/>
        </w:rPr>
        <w:t xml:space="preserve">resilience </w:t>
      </w:r>
      <w:r w:rsidR="00B3706E" w:rsidRPr="004C70EC">
        <w:rPr>
          <w:rFonts w:eastAsiaTheme="minorEastAsia"/>
          <w:noProof/>
          <w:color w:val="000000" w:themeColor="text1"/>
          <w:lang w:val="en-US" w:eastAsia="ja-JP"/>
        </w:rPr>
        <w:t>objective</w:t>
      </w:r>
      <w:r w:rsidR="00426474" w:rsidRPr="004C70EC">
        <w:rPr>
          <w:rFonts w:eastAsiaTheme="minorEastAsia"/>
          <w:noProof/>
          <w:color w:val="000000" w:themeColor="text1"/>
          <w:lang w:val="en-US" w:eastAsia="ja-JP"/>
        </w:rPr>
        <w:t>s</w:t>
      </w:r>
      <w:r w:rsidR="00B3706E" w:rsidRPr="004C70EC">
        <w:rPr>
          <w:rFonts w:eastAsiaTheme="minorEastAsia"/>
          <w:noProof/>
          <w:color w:val="000000" w:themeColor="text1"/>
          <w:lang w:val="en-US" w:eastAsia="ja-JP"/>
        </w:rPr>
        <w:t xml:space="preserve"> </w:t>
      </w:r>
      <w:r w:rsidR="00150E45" w:rsidRPr="004C70EC">
        <w:rPr>
          <w:rFonts w:eastAsiaTheme="minorEastAsia"/>
          <w:noProof/>
          <w:color w:val="000000" w:themeColor="text1"/>
          <w:lang w:val="en-US" w:eastAsia="ja-JP"/>
        </w:rPr>
        <w:t xml:space="preserve">referred to in Article 14 of Regulation </w:t>
      </w:r>
      <w:r w:rsidR="00F239D2" w:rsidRPr="004C70EC">
        <w:rPr>
          <w:rFonts w:eastAsiaTheme="minorEastAsia"/>
          <w:noProof/>
          <w:color w:val="000000" w:themeColor="text1"/>
          <w:lang w:eastAsia="ja-JP"/>
        </w:rPr>
        <w:t>[Regulation on speeding-up environmental impact assessments – permitting regulation]</w:t>
      </w:r>
      <w:r w:rsidR="00EE4118" w:rsidRPr="004C70EC">
        <w:rPr>
          <w:rFonts w:eastAsiaTheme="minorEastAsia"/>
          <w:noProof/>
          <w:color w:val="000000" w:themeColor="text1"/>
          <w:lang w:eastAsia="ja-JP"/>
        </w:rPr>
        <w:t xml:space="preserve">. </w:t>
      </w:r>
    </w:p>
    <w:bookmarkEnd w:id="22"/>
    <w:p w14:paraId="057A3191" w14:textId="77777777" w:rsidR="00493B23" w:rsidRPr="004C70EC" w:rsidRDefault="00493B23"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2.</w:t>
      </w:r>
      <w:r w:rsidRPr="004C70EC">
        <w:rPr>
          <w:rFonts w:eastAsiaTheme="minorEastAsia"/>
          <w:noProof/>
          <w:color w:val="000000" w:themeColor="text1"/>
          <w:szCs w:val="24"/>
          <w:lang w:eastAsia="ja-JP"/>
        </w:rPr>
        <w:tab/>
        <w:t xml:space="preserve">For the purposes of this Article, </w:t>
      </w:r>
      <w:r w:rsidRPr="004C70EC">
        <w:rPr>
          <w:rFonts w:eastAsia="Times New Roman"/>
          <w:noProof/>
          <w:color w:val="000000" w:themeColor="text1"/>
          <w:lang w:val="en-IE" w:eastAsia="de-DE"/>
        </w:rPr>
        <w:t xml:space="preserve">health </w:t>
      </w:r>
      <w:r w:rsidRPr="004C70EC">
        <w:rPr>
          <w:rFonts w:eastAsiaTheme="minorEastAsia"/>
          <w:noProof/>
          <w:color w:val="000000" w:themeColor="text1"/>
          <w:szCs w:val="24"/>
          <w:lang w:eastAsia="ja-JP"/>
        </w:rPr>
        <w:t xml:space="preserve">biotechnology strategic projects shall be understood to cover also </w:t>
      </w:r>
      <w:r w:rsidRPr="004C70EC">
        <w:rPr>
          <w:rFonts w:eastAsia="Times New Roman"/>
          <w:noProof/>
          <w:color w:val="000000" w:themeColor="text1"/>
          <w:szCs w:val="24"/>
          <w:lang w:eastAsia="en-GB"/>
        </w:rPr>
        <w:t xml:space="preserve">high impact </w:t>
      </w:r>
      <w:r w:rsidRPr="004C70EC">
        <w:rPr>
          <w:rFonts w:eastAsia="Times New Roman"/>
          <w:noProof/>
          <w:color w:val="000000" w:themeColor="text1"/>
          <w:lang w:val="en-IE" w:eastAsia="de-DE"/>
        </w:rPr>
        <w:t xml:space="preserve">health </w:t>
      </w:r>
      <w:r w:rsidRPr="004C70EC">
        <w:rPr>
          <w:rFonts w:eastAsia="Times New Roman"/>
          <w:noProof/>
          <w:color w:val="000000" w:themeColor="text1"/>
          <w:szCs w:val="24"/>
          <w:lang w:eastAsia="en-GB"/>
        </w:rPr>
        <w:t xml:space="preserve">biotechnology strategic </w:t>
      </w:r>
      <w:r w:rsidRPr="004C70EC">
        <w:rPr>
          <w:rFonts w:eastAsiaTheme="minorEastAsia"/>
          <w:noProof/>
          <w:color w:val="000000" w:themeColor="text1"/>
          <w:szCs w:val="24"/>
          <w:lang w:eastAsia="ja-JP"/>
        </w:rPr>
        <w:t xml:space="preserve">projects. </w:t>
      </w:r>
    </w:p>
    <w:p w14:paraId="3BCC280C" w14:textId="77777777" w:rsidR="00493B23" w:rsidRPr="004C70EC" w:rsidRDefault="1E6EB289" w:rsidP="00545623">
      <w:pPr>
        <w:pStyle w:val="Point0"/>
        <w:rPr>
          <w:rFonts w:eastAsiaTheme="minorEastAsia"/>
          <w:noProof/>
          <w:color w:val="000000" w:themeColor="text1"/>
          <w:lang w:eastAsia="ja-JP"/>
        </w:rPr>
      </w:pPr>
      <w:r w:rsidRPr="004C70EC">
        <w:rPr>
          <w:rFonts w:eastAsiaTheme="minorEastAsia"/>
          <w:noProof/>
          <w:color w:val="000000" w:themeColor="text1"/>
          <w:lang w:eastAsia="ja-JP"/>
        </w:rPr>
        <w:t>3.</w:t>
      </w:r>
      <w:r w:rsidR="00493B23" w:rsidRPr="004C70EC">
        <w:rPr>
          <w:rFonts w:eastAsiaTheme="minorEastAsia"/>
          <w:noProof/>
          <w:color w:val="000000" w:themeColor="text1"/>
          <w:szCs w:val="24"/>
          <w:lang w:eastAsia="ja-JP"/>
        </w:rPr>
        <w:tab/>
      </w:r>
      <w:bookmarkStart w:id="23" w:name="_Hlk216420133"/>
      <w:r w:rsidRPr="004C70EC">
        <w:rPr>
          <w:rFonts w:eastAsia="Times New Roman"/>
          <w:noProof/>
          <w:color w:val="000000" w:themeColor="text1"/>
          <w:lang w:eastAsia="en-GB"/>
        </w:rPr>
        <w:t xml:space="preserve">High impact </w:t>
      </w:r>
      <w:r w:rsidRPr="004C70EC">
        <w:rPr>
          <w:rFonts w:eastAsia="Times New Roman"/>
          <w:noProof/>
          <w:color w:val="000000" w:themeColor="text1"/>
          <w:lang w:val="en-IE" w:eastAsia="de-DE"/>
        </w:rPr>
        <w:t>health</w:t>
      </w:r>
      <w:r w:rsidRPr="004C70EC">
        <w:rPr>
          <w:rFonts w:eastAsia="Times New Roman"/>
          <w:noProof/>
          <w:color w:val="000000" w:themeColor="text1"/>
          <w:lang w:eastAsia="en-GB"/>
        </w:rPr>
        <w:t xml:space="preserve"> biotechnology strategic </w:t>
      </w:r>
      <w:r w:rsidRPr="004C70EC">
        <w:rPr>
          <w:rFonts w:eastAsiaTheme="minorEastAsia"/>
          <w:noProof/>
          <w:color w:val="000000" w:themeColor="text1"/>
          <w:lang w:eastAsia="ja-JP"/>
        </w:rPr>
        <w:t xml:space="preserve">projects </w:t>
      </w:r>
      <w:r w:rsidR="00C431F5" w:rsidRPr="004C70EC">
        <w:rPr>
          <w:rFonts w:eastAsiaTheme="minorEastAsia"/>
          <w:noProof/>
          <w:color w:val="000000" w:themeColor="text1"/>
          <w:lang w:eastAsia="ja-JP"/>
        </w:rPr>
        <w:t xml:space="preserve">shall be considered to be of public interest and may be considered to have an overriding public interest </w:t>
      </w:r>
      <w:r w:rsidR="00545623">
        <w:rPr>
          <w:rFonts w:eastAsiaTheme="minorEastAsia"/>
          <w:noProof/>
          <w:color w:val="000000" w:themeColor="text1"/>
          <w:lang w:eastAsia="ja-JP"/>
        </w:rPr>
        <w:t>with specific consideration given to the high impact</w:t>
      </w:r>
      <w:r w:rsidR="00545623" w:rsidRPr="00545623">
        <w:rPr>
          <w:rFonts w:eastAsiaTheme="minorEastAsia"/>
          <w:noProof/>
          <w:color w:val="000000" w:themeColor="text1"/>
          <w:lang w:eastAsia="ja-JP"/>
        </w:rPr>
        <w:t xml:space="preserve"> strategic nature </w:t>
      </w:r>
      <w:r w:rsidR="00545623">
        <w:rPr>
          <w:rFonts w:eastAsiaTheme="minorEastAsia"/>
          <w:noProof/>
          <w:color w:val="000000" w:themeColor="text1"/>
          <w:lang w:eastAsia="ja-JP"/>
        </w:rPr>
        <w:t xml:space="preserve">of such projects </w:t>
      </w:r>
      <w:r w:rsidR="00C431F5" w:rsidRPr="004C70EC">
        <w:rPr>
          <w:rFonts w:eastAsiaTheme="minorEastAsia"/>
          <w:noProof/>
          <w:color w:val="000000" w:themeColor="text1"/>
          <w:lang w:eastAsia="ja-JP"/>
        </w:rPr>
        <w:t xml:space="preserve">in accordance with </w:t>
      </w:r>
      <w:r w:rsidR="7E317379" w:rsidRPr="004C70EC">
        <w:rPr>
          <w:rFonts w:eastAsiaTheme="minorEastAsia"/>
          <w:noProof/>
          <w:color w:val="000000" w:themeColor="text1"/>
          <w:lang w:eastAsia="ja-JP"/>
        </w:rPr>
        <w:t>Article 14</w:t>
      </w:r>
      <w:r w:rsidR="004B281C" w:rsidRPr="004C70EC">
        <w:rPr>
          <w:rFonts w:eastAsiaTheme="minorEastAsia"/>
          <w:noProof/>
          <w:color w:val="000000" w:themeColor="text1"/>
          <w:lang w:eastAsia="ja-JP"/>
        </w:rPr>
        <w:t xml:space="preserve"> </w:t>
      </w:r>
      <w:r w:rsidR="00657A03" w:rsidRPr="004C70EC">
        <w:rPr>
          <w:rFonts w:eastAsiaTheme="minorEastAsia"/>
          <w:noProof/>
          <w:color w:val="000000" w:themeColor="text1"/>
          <w:lang w:eastAsia="ja-JP"/>
        </w:rPr>
        <w:t xml:space="preserve">of Regulation </w:t>
      </w:r>
      <w:r w:rsidR="009755AE" w:rsidRPr="004C70EC">
        <w:rPr>
          <w:rFonts w:eastAsiaTheme="minorEastAsia"/>
          <w:noProof/>
          <w:color w:val="000000" w:themeColor="text1"/>
          <w:lang w:eastAsia="ja-JP"/>
        </w:rPr>
        <w:t>[Regulation on speeding-up environmental impact assessments</w:t>
      </w:r>
      <w:r w:rsidR="00A83BCB" w:rsidRPr="004C70EC">
        <w:rPr>
          <w:rFonts w:eastAsiaTheme="minorEastAsia"/>
          <w:noProof/>
          <w:color w:val="000000" w:themeColor="text1"/>
          <w:lang w:eastAsia="ja-JP"/>
        </w:rPr>
        <w:t xml:space="preserve"> – permitting regulation </w:t>
      </w:r>
      <w:r w:rsidR="009755AE" w:rsidRPr="004C70EC">
        <w:rPr>
          <w:rFonts w:eastAsiaTheme="minorEastAsia"/>
          <w:noProof/>
          <w:color w:val="000000" w:themeColor="text1"/>
          <w:lang w:eastAsia="ja-JP"/>
        </w:rPr>
        <w:t>]</w:t>
      </w:r>
      <w:r w:rsidR="004B281C" w:rsidRPr="004C70EC">
        <w:rPr>
          <w:rFonts w:eastAsiaTheme="minorEastAsia"/>
          <w:noProof/>
          <w:color w:val="000000" w:themeColor="text1"/>
          <w:lang w:eastAsia="ja-JP"/>
        </w:rPr>
        <w:t xml:space="preserve"> </w:t>
      </w:r>
      <w:r w:rsidR="00C431F5" w:rsidRPr="004C70EC">
        <w:rPr>
          <w:rFonts w:eastAsiaTheme="minorEastAsia"/>
          <w:noProof/>
          <w:color w:val="000000" w:themeColor="text1"/>
          <w:lang w:eastAsia="ja-JP"/>
        </w:rPr>
        <w:t xml:space="preserve">and </w:t>
      </w:r>
      <w:r w:rsidR="550E8521" w:rsidRPr="004C70EC">
        <w:rPr>
          <w:rFonts w:eastAsiaTheme="minorEastAsia"/>
          <w:noProof/>
          <w:color w:val="000000" w:themeColor="text1"/>
          <w:lang w:eastAsia="ja-JP"/>
        </w:rPr>
        <w:t xml:space="preserve">point </w:t>
      </w:r>
      <w:r w:rsidR="00AE7E75" w:rsidRPr="004C70EC">
        <w:rPr>
          <w:rFonts w:eastAsiaTheme="minorEastAsia"/>
          <w:noProof/>
          <w:color w:val="000000" w:themeColor="text1"/>
          <w:lang w:eastAsia="ja-JP"/>
        </w:rPr>
        <w:t>I</w:t>
      </w:r>
      <w:r w:rsidR="550E8521" w:rsidRPr="004C70EC">
        <w:rPr>
          <w:rFonts w:eastAsiaTheme="minorEastAsia"/>
          <w:noProof/>
          <w:color w:val="000000" w:themeColor="text1"/>
          <w:lang w:eastAsia="ja-JP"/>
        </w:rPr>
        <w:t xml:space="preserve"> of the Annex to</w:t>
      </w:r>
      <w:r w:rsidR="00657A03" w:rsidRPr="004C70EC">
        <w:rPr>
          <w:rFonts w:eastAsiaTheme="minorEastAsia"/>
          <w:noProof/>
          <w:color w:val="000000" w:themeColor="text1"/>
          <w:lang w:eastAsia="ja-JP"/>
        </w:rPr>
        <w:t xml:space="preserve"> that Regulation</w:t>
      </w:r>
      <w:r w:rsidR="004B281C" w:rsidRPr="004C70EC">
        <w:rPr>
          <w:rFonts w:eastAsiaTheme="minorEastAsia"/>
          <w:noProof/>
          <w:color w:val="000000" w:themeColor="text1"/>
          <w:lang w:eastAsia="ja-JP"/>
        </w:rPr>
        <w:t>.</w:t>
      </w:r>
    </w:p>
    <w:bookmarkEnd w:id="23"/>
    <w:p w14:paraId="222919D2" w14:textId="77777777" w:rsidR="004C5235" w:rsidRPr="004C70EC" w:rsidRDefault="00493B23" w:rsidP="004C5235">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4.</w:t>
      </w:r>
      <w:r w:rsidRPr="004C70EC">
        <w:rPr>
          <w:rFonts w:eastAsiaTheme="minorEastAsia"/>
          <w:noProof/>
          <w:color w:val="000000" w:themeColor="text1"/>
          <w:szCs w:val="24"/>
          <w:lang w:eastAsia="ja-JP"/>
        </w:rPr>
        <w:tab/>
        <w:t xml:space="preserve">Where a project is recognised as a </w:t>
      </w:r>
      <w:r w:rsidRPr="004C70EC">
        <w:rPr>
          <w:rFonts w:eastAsia="Times New Roman"/>
          <w:noProof/>
          <w:color w:val="000000" w:themeColor="text1"/>
          <w:lang w:val="en-IE" w:eastAsia="de-DE"/>
        </w:rPr>
        <w:t xml:space="preserve">health </w:t>
      </w:r>
      <w:r w:rsidRPr="004C70EC">
        <w:rPr>
          <w:rFonts w:eastAsiaTheme="minorEastAsia"/>
          <w:noProof/>
          <w:color w:val="000000" w:themeColor="text1"/>
          <w:szCs w:val="24"/>
          <w:lang w:eastAsia="ja-JP"/>
        </w:rPr>
        <w:t>biotechnology strategic project, Member States shall grant that project the status of project with the highest national significance possible, where such a status exists in national law and shall ensure that the relevant process for permit-granting and the licensing procedures, including environmental assessments and spatial planning, are treated in the most rapid way possible in accordance with Union and national law and shall benefit from any</w:t>
      </w:r>
      <w:r w:rsidR="004C5235" w:rsidRPr="004C70EC">
        <w:rPr>
          <w:rFonts w:eastAsiaTheme="minorEastAsia"/>
          <w:noProof/>
          <w:color w:val="000000" w:themeColor="text1"/>
          <w:szCs w:val="24"/>
          <w:lang w:eastAsia="ja-JP"/>
        </w:rPr>
        <w:t xml:space="preserve"> </w:t>
      </w:r>
      <w:r w:rsidRPr="004C70EC">
        <w:rPr>
          <w:rFonts w:eastAsiaTheme="minorEastAsia"/>
          <w:noProof/>
          <w:color w:val="000000" w:themeColor="text1"/>
          <w:szCs w:val="24"/>
          <w:lang w:eastAsia="ja-JP"/>
        </w:rPr>
        <w:t>accelerated procedures provided for in applicable Union and national law</w:t>
      </w:r>
      <w:r w:rsidR="002244F7" w:rsidRPr="004C70EC">
        <w:rPr>
          <w:rFonts w:eastAsiaTheme="minorEastAsia"/>
          <w:noProof/>
          <w:color w:val="000000" w:themeColor="text1"/>
          <w:szCs w:val="24"/>
          <w:lang w:eastAsia="ja-JP"/>
        </w:rPr>
        <w:t>.</w:t>
      </w:r>
    </w:p>
    <w:p w14:paraId="1DD04F61" w14:textId="77777777" w:rsidR="00493B23" w:rsidRPr="004C70EC" w:rsidRDefault="004C5235" w:rsidP="00493B23">
      <w:pPr>
        <w:pStyle w:val="Point0"/>
        <w:rPr>
          <w:rFonts w:eastAsiaTheme="minorEastAsia"/>
          <w:noProof/>
          <w:color w:val="000000" w:themeColor="text1"/>
          <w:lang w:eastAsia="ja-JP"/>
        </w:rPr>
      </w:pPr>
      <w:r w:rsidRPr="004C70EC">
        <w:rPr>
          <w:rFonts w:eastAsiaTheme="minorEastAsia"/>
          <w:noProof/>
          <w:color w:val="000000" w:themeColor="text1"/>
          <w:lang w:eastAsia="ja-JP"/>
        </w:rPr>
        <w:t>5.</w:t>
      </w:r>
      <w:r w:rsidRPr="004C70EC">
        <w:rPr>
          <w:noProof/>
        </w:rPr>
        <w:tab/>
      </w:r>
      <w:bookmarkStart w:id="24" w:name="_Hlk216420186"/>
      <w:r w:rsidR="00CA2073" w:rsidRPr="004C70EC">
        <w:rPr>
          <w:rFonts w:eastAsiaTheme="minorEastAsia"/>
          <w:noProof/>
          <w:color w:val="000000" w:themeColor="text1"/>
          <w:lang w:eastAsia="ja-JP"/>
        </w:rPr>
        <w:t>Health biotechnology strategic projects shall also benefit, where applicable, from the tacit-approval</w:t>
      </w:r>
      <w:r w:rsidR="006C4E2E" w:rsidRPr="004C70EC">
        <w:rPr>
          <w:rFonts w:eastAsiaTheme="minorEastAsia"/>
          <w:noProof/>
          <w:color w:val="000000" w:themeColor="text1"/>
          <w:lang w:eastAsia="ja-JP"/>
        </w:rPr>
        <w:t xml:space="preserve"> in accordance with</w:t>
      </w:r>
      <w:r w:rsidR="00CA2073" w:rsidRPr="004C70EC">
        <w:rPr>
          <w:rFonts w:eastAsiaTheme="minorEastAsia"/>
          <w:noProof/>
          <w:color w:val="000000" w:themeColor="text1"/>
          <w:lang w:eastAsia="ja-JP"/>
        </w:rPr>
        <w:t xml:space="preserve"> </w:t>
      </w:r>
      <w:r w:rsidR="006C4E2E" w:rsidRPr="004C70EC">
        <w:rPr>
          <w:rFonts w:eastAsiaTheme="minorEastAsia"/>
          <w:noProof/>
          <w:color w:val="000000" w:themeColor="text1"/>
          <w:lang w:eastAsia="ja-JP"/>
        </w:rPr>
        <w:t xml:space="preserve">Article 14 and </w:t>
      </w:r>
      <w:r w:rsidR="00CA2073" w:rsidRPr="004C70EC">
        <w:rPr>
          <w:rFonts w:eastAsiaTheme="minorEastAsia"/>
          <w:noProof/>
          <w:color w:val="000000" w:themeColor="text1"/>
          <w:lang w:eastAsia="ja-JP"/>
        </w:rPr>
        <w:t>point</w:t>
      </w:r>
      <w:r w:rsidR="00AE7E75" w:rsidRPr="004C70EC">
        <w:rPr>
          <w:rFonts w:eastAsiaTheme="minorEastAsia"/>
          <w:noProof/>
          <w:color w:val="000000" w:themeColor="text1"/>
          <w:lang w:eastAsia="ja-JP"/>
        </w:rPr>
        <w:t xml:space="preserve"> II</w:t>
      </w:r>
      <w:r w:rsidR="00CA2073" w:rsidRPr="004C70EC">
        <w:rPr>
          <w:rFonts w:eastAsiaTheme="minorEastAsia"/>
          <w:noProof/>
          <w:color w:val="000000" w:themeColor="text1"/>
          <w:lang w:eastAsia="ja-JP"/>
        </w:rPr>
        <w:t xml:space="preserve"> of the Annex to </w:t>
      </w:r>
      <w:r w:rsidR="006C4E2E" w:rsidRPr="004C70EC">
        <w:rPr>
          <w:rFonts w:eastAsiaTheme="minorEastAsia"/>
          <w:noProof/>
          <w:color w:val="000000" w:themeColor="text1"/>
          <w:lang w:eastAsia="ja-JP"/>
        </w:rPr>
        <w:t>[</w:t>
      </w:r>
      <w:r w:rsidR="006C4E2E" w:rsidRPr="004C70EC">
        <w:rPr>
          <w:noProof/>
          <w:color w:val="000000" w:themeColor="text1"/>
          <w:lang w:val="en-IE"/>
        </w:rPr>
        <w:t>COM Proposal 2025(984) for a</w:t>
      </w:r>
      <w:r w:rsidR="006C4E2E" w:rsidRPr="004C70EC">
        <w:rPr>
          <w:rFonts w:eastAsiaTheme="minorEastAsia"/>
          <w:noProof/>
          <w:color w:val="000000" w:themeColor="text1"/>
          <w:lang w:eastAsia="ja-JP"/>
        </w:rPr>
        <w:t xml:space="preserve"> Regulation on speeding-up environmental impact assessments </w:t>
      </w:r>
      <w:r w:rsidR="00A83BCB" w:rsidRPr="004C70EC">
        <w:rPr>
          <w:rFonts w:eastAsiaTheme="minorEastAsia"/>
          <w:noProof/>
          <w:color w:val="000000" w:themeColor="text1"/>
          <w:lang w:eastAsia="ja-JP"/>
        </w:rPr>
        <w:t xml:space="preserve"> – permitting regulation</w:t>
      </w:r>
      <w:r w:rsidR="006C4E2E" w:rsidRPr="004C70EC">
        <w:rPr>
          <w:rFonts w:eastAsiaTheme="minorEastAsia"/>
          <w:noProof/>
          <w:color w:val="000000" w:themeColor="text1"/>
          <w:lang w:eastAsia="ja-JP"/>
        </w:rPr>
        <w:t xml:space="preserve">]. </w:t>
      </w:r>
    </w:p>
    <w:bookmarkEnd w:id="24"/>
    <w:p w14:paraId="5B81F7A8" w14:textId="77777777" w:rsidR="00493B23" w:rsidRPr="004C70EC" w:rsidRDefault="00204810" w:rsidP="00493B23">
      <w:pPr>
        <w:pStyle w:val="Point0"/>
        <w:rPr>
          <w:rFonts w:eastAsiaTheme="minorEastAsia"/>
          <w:noProof/>
          <w:color w:val="000000" w:themeColor="text1"/>
          <w:lang w:eastAsia="ja-JP"/>
        </w:rPr>
      </w:pPr>
      <w:r w:rsidRPr="004C70EC">
        <w:rPr>
          <w:rFonts w:eastAsiaTheme="minorEastAsia"/>
          <w:noProof/>
          <w:color w:val="000000" w:themeColor="text1"/>
          <w:lang w:eastAsia="ja-JP"/>
        </w:rPr>
        <w:t>6</w:t>
      </w:r>
      <w:r w:rsidR="00493B23" w:rsidRPr="004C70EC">
        <w:rPr>
          <w:rFonts w:eastAsiaTheme="minorEastAsia"/>
          <w:noProof/>
          <w:color w:val="000000" w:themeColor="text1"/>
          <w:lang w:eastAsia="ja-JP"/>
        </w:rPr>
        <w:t>.</w:t>
      </w:r>
      <w:r w:rsidR="00493B23" w:rsidRPr="004C70EC">
        <w:rPr>
          <w:noProof/>
          <w:color w:val="000000" w:themeColor="text1"/>
        </w:rPr>
        <w:tab/>
      </w:r>
      <w:r w:rsidR="00493B23" w:rsidRPr="004C70EC">
        <w:rPr>
          <w:rFonts w:eastAsiaTheme="minorEastAsia"/>
          <w:noProof/>
          <w:color w:val="000000" w:themeColor="text1"/>
          <w:lang w:eastAsia="ja-JP"/>
        </w:rPr>
        <w:t xml:space="preserve">The permit-granting process shall not exceed ten months for </w:t>
      </w:r>
      <w:r w:rsidR="00493B23" w:rsidRPr="004C70EC">
        <w:rPr>
          <w:rFonts w:eastAsia="Times New Roman"/>
          <w:noProof/>
          <w:color w:val="000000" w:themeColor="text1"/>
          <w:lang w:val="en-IE" w:eastAsia="de-DE"/>
        </w:rPr>
        <w:t xml:space="preserve">health </w:t>
      </w:r>
      <w:r w:rsidR="00493B23" w:rsidRPr="004C70EC">
        <w:rPr>
          <w:rFonts w:eastAsiaTheme="minorEastAsia"/>
          <w:noProof/>
          <w:color w:val="000000" w:themeColor="text1"/>
          <w:lang w:eastAsia="ja-JP"/>
        </w:rPr>
        <w:t xml:space="preserve">biotechnology strategic projects, and eight months for high impact </w:t>
      </w:r>
      <w:r w:rsidR="00493B23" w:rsidRPr="004C70EC">
        <w:rPr>
          <w:rFonts w:eastAsia="Times New Roman"/>
          <w:noProof/>
          <w:color w:val="000000" w:themeColor="text1"/>
          <w:lang w:val="en-IE" w:eastAsia="de-DE"/>
        </w:rPr>
        <w:t xml:space="preserve">health </w:t>
      </w:r>
      <w:r w:rsidR="00493B23" w:rsidRPr="004C70EC">
        <w:rPr>
          <w:rFonts w:eastAsiaTheme="minorEastAsia"/>
          <w:noProof/>
          <w:color w:val="000000" w:themeColor="text1"/>
          <w:lang w:eastAsia="ja-JP"/>
        </w:rPr>
        <w:t xml:space="preserve">biotechnology strategic projects, from the date of acknowledgement of the completeness of the permit application. In duly justified cases requiring complex procedures under Union or national legislation, such as in the case of multi-site or multi-purpose projects, the competent authority may extend the period by up to three additional months, provided that the reasons for such extension are communicated in writing to the project promoter. </w:t>
      </w:r>
    </w:p>
    <w:p w14:paraId="2406C372" w14:textId="77777777" w:rsidR="00493B23" w:rsidRPr="004C70EC" w:rsidRDefault="700A9020" w:rsidP="5FB0CBAF">
      <w:pPr>
        <w:pStyle w:val="Point0"/>
        <w:rPr>
          <w:rFonts w:eastAsiaTheme="minorEastAsia"/>
          <w:noProof/>
          <w:color w:val="000000" w:themeColor="text1"/>
          <w:lang w:eastAsia="ja-JP"/>
        </w:rPr>
      </w:pPr>
      <w:r w:rsidRPr="004C70EC">
        <w:rPr>
          <w:rFonts w:eastAsiaTheme="minorEastAsia"/>
          <w:noProof/>
          <w:color w:val="000000" w:themeColor="text1"/>
          <w:lang w:eastAsia="ja-JP"/>
        </w:rPr>
        <w:t>7</w:t>
      </w:r>
      <w:r w:rsidR="30A60D94" w:rsidRPr="004C70EC">
        <w:rPr>
          <w:rFonts w:eastAsiaTheme="minorEastAsia"/>
          <w:noProof/>
          <w:color w:val="000000" w:themeColor="text1"/>
          <w:lang w:eastAsia="ja-JP"/>
        </w:rPr>
        <w:t>.</w:t>
      </w:r>
      <w:r w:rsidR="00204810" w:rsidRPr="004C70EC">
        <w:rPr>
          <w:noProof/>
        </w:rPr>
        <w:tab/>
      </w:r>
      <w:r w:rsidR="30A60D94" w:rsidRPr="004C70EC">
        <w:rPr>
          <w:rFonts w:eastAsiaTheme="minorEastAsia"/>
          <w:noProof/>
          <w:color w:val="000000" w:themeColor="text1"/>
          <w:lang w:eastAsia="ja-JP"/>
        </w:rPr>
        <w:t>Where an environmental impact assessment is required pursuant to Directive 2011/92/EU, the step of the preparation of the environmental impact assessment report</w:t>
      </w:r>
      <w:r w:rsidR="0D315763" w:rsidRPr="004C70EC">
        <w:rPr>
          <w:rFonts w:eastAsiaTheme="minorEastAsia"/>
          <w:noProof/>
          <w:color w:val="000000" w:themeColor="text1"/>
          <w:lang w:eastAsia="ja-JP"/>
        </w:rPr>
        <w:t xml:space="preserve"> </w:t>
      </w:r>
      <w:r w:rsidR="30A60D94" w:rsidRPr="004C70EC">
        <w:rPr>
          <w:rFonts w:eastAsiaTheme="minorEastAsia"/>
          <w:noProof/>
          <w:color w:val="000000" w:themeColor="text1"/>
          <w:lang w:eastAsia="ja-JP"/>
        </w:rPr>
        <w:t>referred to in Article 1(2), point (g)(i), of that Directive shall not be included in the maximum duration of the permit-granting process referred to in paragraph [5]</w:t>
      </w:r>
      <w:r w:rsidR="2F6F9F28" w:rsidRPr="004C70EC">
        <w:rPr>
          <w:rFonts w:eastAsiaTheme="minorEastAsia"/>
          <w:noProof/>
          <w:color w:val="000000" w:themeColor="text1"/>
          <w:lang w:eastAsia="ja-JP"/>
        </w:rPr>
        <w:t xml:space="preserve"> of this Article</w:t>
      </w:r>
      <w:r w:rsidR="30A60D94" w:rsidRPr="004C70EC">
        <w:rPr>
          <w:rFonts w:eastAsiaTheme="minorEastAsia"/>
          <w:noProof/>
          <w:color w:val="000000" w:themeColor="text1"/>
          <w:lang w:eastAsia="ja-JP"/>
        </w:rPr>
        <w:t>.</w:t>
      </w:r>
      <w:r w:rsidR="17658559" w:rsidRPr="004C70EC">
        <w:rPr>
          <w:rFonts w:eastAsiaTheme="minorEastAsia"/>
          <w:noProof/>
          <w:color w:val="000000" w:themeColor="text1"/>
          <w:lang w:eastAsia="ja-JP"/>
        </w:rPr>
        <w:t xml:space="preserve"> </w:t>
      </w:r>
    </w:p>
    <w:p w14:paraId="3284B6F8" w14:textId="77777777" w:rsidR="00493B23" w:rsidRPr="004C70EC" w:rsidRDefault="00204810"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8</w:t>
      </w:r>
      <w:r w:rsidR="00493B23" w:rsidRPr="004C70EC">
        <w:rPr>
          <w:rFonts w:eastAsiaTheme="minorEastAsia"/>
          <w:noProof/>
          <w:color w:val="000000" w:themeColor="text1"/>
          <w:szCs w:val="24"/>
          <w:lang w:eastAsia="ja-JP"/>
        </w:rPr>
        <w:t>.</w:t>
      </w:r>
      <w:r w:rsidR="00493B23" w:rsidRPr="004C70EC">
        <w:rPr>
          <w:rFonts w:eastAsiaTheme="minorEastAsia"/>
          <w:noProof/>
          <w:color w:val="000000" w:themeColor="text1"/>
          <w:szCs w:val="24"/>
          <w:lang w:eastAsia="ja-JP"/>
        </w:rPr>
        <w:tab/>
        <w:t>No later than 45 days from the receipt of the permit-granting application, the single point of contact shall acknowledge that the application is complete or, if the project promoter has not sent all the information required to process the application, request the project promoter to submit a complete application without undue delay, specifying which information is missing. In the event that the submitted application is deemed to be incomplete for a second time, the single point of contact may, within 30 days of the second submission, make a second request for information. The single point of contact shall not request information in areas not covered in the first request for additional information and shall be entitled only to request further evidence to complete the identified missing information. The date of the acknowledgement of the completeness of the application from the single point of contact shall serve as the start of the permit-granting process for that particular application.</w:t>
      </w:r>
    </w:p>
    <w:p w14:paraId="286C17AB" w14:textId="253ED251" w:rsidR="001755E5" w:rsidRPr="004C70EC" w:rsidRDefault="00BE33F8" w:rsidP="004B281C">
      <w:pPr>
        <w:pStyle w:val="Point0"/>
        <w:rPr>
          <w:rFonts w:eastAsia="Times New Roman"/>
          <w:noProof/>
          <w:color w:val="000000" w:themeColor="text1"/>
          <w:szCs w:val="24"/>
          <w:lang w:val="en-IE" w:eastAsia="en-GB"/>
        </w:rPr>
      </w:pPr>
      <w:r>
        <w:rPr>
          <w:rFonts w:eastAsiaTheme="minorEastAsia"/>
          <w:noProof/>
          <w:color w:val="000000" w:themeColor="text1"/>
          <w:szCs w:val="24"/>
          <w:lang w:eastAsia="ja-JP"/>
        </w:rPr>
        <w:t>9</w:t>
      </w:r>
      <w:r w:rsidR="00493B23" w:rsidRPr="004C70EC">
        <w:rPr>
          <w:rFonts w:eastAsiaTheme="minorEastAsia"/>
          <w:noProof/>
          <w:color w:val="000000" w:themeColor="text1"/>
          <w:szCs w:val="24"/>
          <w:lang w:eastAsia="ja-JP"/>
        </w:rPr>
        <w:t>.</w:t>
      </w:r>
      <w:r w:rsidR="00493B23" w:rsidRPr="004C70EC">
        <w:rPr>
          <w:rFonts w:eastAsiaTheme="minorEastAsia"/>
          <w:noProof/>
          <w:color w:val="000000" w:themeColor="text1"/>
          <w:szCs w:val="24"/>
          <w:lang w:eastAsia="ja-JP"/>
        </w:rPr>
        <w:tab/>
      </w:r>
      <w:bookmarkStart w:id="25" w:name="_Hlk216420334"/>
      <w:r w:rsidR="00493B23" w:rsidRPr="004C70EC">
        <w:rPr>
          <w:rFonts w:eastAsiaTheme="minorEastAsia"/>
          <w:noProof/>
          <w:color w:val="000000" w:themeColor="text1"/>
          <w:szCs w:val="24"/>
          <w:lang w:eastAsia="ja-JP"/>
        </w:rPr>
        <w:t xml:space="preserve">All dispute resolution procedures, litigation, appeals and judicial remedies relating to </w:t>
      </w:r>
      <w:r w:rsidR="00493B23" w:rsidRPr="004C70EC">
        <w:rPr>
          <w:rFonts w:eastAsia="Times New Roman"/>
          <w:noProof/>
          <w:color w:val="000000" w:themeColor="text1"/>
          <w:lang w:val="en-IE" w:eastAsia="de-DE"/>
        </w:rPr>
        <w:t xml:space="preserve">health </w:t>
      </w:r>
      <w:r w:rsidR="00493B23" w:rsidRPr="004C70EC">
        <w:rPr>
          <w:rFonts w:eastAsiaTheme="minorEastAsia"/>
          <w:noProof/>
          <w:color w:val="000000" w:themeColor="text1"/>
          <w:szCs w:val="24"/>
          <w:lang w:eastAsia="ja-JP"/>
        </w:rPr>
        <w:t xml:space="preserve">biotechnology strategic projects before any national court, tribunal or panel — including mediation or arbitration — shall be treated as urgent, to the extent that national law allows such urgency, and without prejudice to the normal rights of defence of individuals or local communities. Project promoters of </w:t>
      </w:r>
      <w:r w:rsidR="00493B23" w:rsidRPr="004C70EC">
        <w:rPr>
          <w:rFonts w:eastAsia="Times New Roman"/>
          <w:noProof/>
          <w:color w:val="000000" w:themeColor="text1"/>
          <w:lang w:val="en-IE" w:eastAsia="de-DE"/>
        </w:rPr>
        <w:t xml:space="preserve">health </w:t>
      </w:r>
      <w:r w:rsidR="00493B23" w:rsidRPr="004C70EC">
        <w:rPr>
          <w:rFonts w:eastAsiaTheme="minorEastAsia"/>
          <w:noProof/>
          <w:color w:val="000000" w:themeColor="text1"/>
          <w:szCs w:val="24"/>
          <w:lang w:eastAsia="ja-JP"/>
        </w:rPr>
        <w:t>biotechnology strategic projects shall be able to avail themselves of such urgency procedures, where applicable.</w:t>
      </w:r>
      <w:r w:rsidR="000B3B9A" w:rsidRPr="004C70EC">
        <w:rPr>
          <w:rFonts w:eastAsiaTheme="minorEastAsia"/>
          <w:noProof/>
          <w:color w:val="000000" w:themeColor="text1"/>
          <w:szCs w:val="24"/>
          <w:lang w:eastAsia="ja-JP"/>
        </w:rPr>
        <w:t xml:space="preserve"> </w:t>
      </w:r>
      <w:r w:rsidR="00926788" w:rsidRPr="004C70EC">
        <w:rPr>
          <w:rFonts w:eastAsiaTheme="minorEastAsia"/>
          <w:noProof/>
          <w:color w:val="000000" w:themeColor="text1"/>
          <w:szCs w:val="24"/>
          <w:lang w:eastAsia="ja-JP"/>
        </w:rPr>
        <w:t xml:space="preserve">This shall </w:t>
      </w:r>
      <w:r w:rsidR="00C340D5" w:rsidRPr="004C70EC">
        <w:rPr>
          <w:rFonts w:eastAsiaTheme="minorEastAsia"/>
          <w:noProof/>
          <w:color w:val="000000" w:themeColor="text1"/>
          <w:szCs w:val="24"/>
          <w:lang w:eastAsia="ja-JP"/>
        </w:rPr>
        <w:t>include</w:t>
      </w:r>
      <w:r w:rsidR="00736A24" w:rsidRPr="004C70EC">
        <w:rPr>
          <w:rFonts w:eastAsiaTheme="minorEastAsia"/>
          <w:noProof/>
          <w:color w:val="000000" w:themeColor="text1"/>
          <w:szCs w:val="24"/>
          <w:lang w:eastAsia="ja-JP"/>
        </w:rPr>
        <w:t xml:space="preserve"> the</w:t>
      </w:r>
      <w:r w:rsidR="00926788" w:rsidRPr="004C70EC">
        <w:rPr>
          <w:rFonts w:eastAsiaTheme="minorEastAsia"/>
          <w:noProof/>
          <w:color w:val="000000" w:themeColor="text1"/>
          <w:szCs w:val="24"/>
          <w:lang w:eastAsia="ja-JP"/>
        </w:rPr>
        <w:t xml:space="preserve"> </w:t>
      </w:r>
      <w:r w:rsidR="008F6224" w:rsidRPr="004C70EC">
        <w:rPr>
          <w:rFonts w:eastAsiaTheme="minorEastAsia"/>
          <w:noProof/>
          <w:color w:val="000000" w:themeColor="text1"/>
          <w:szCs w:val="24"/>
          <w:lang w:eastAsia="ja-JP"/>
        </w:rPr>
        <w:t>dispute</w:t>
      </w:r>
      <w:r w:rsidR="00736A24" w:rsidRPr="004C70EC">
        <w:rPr>
          <w:rFonts w:eastAsiaTheme="minorEastAsia"/>
          <w:noProof/>
          <w:color w:val="000000" w:themeColor="text1"/>
          <w:szCs w:val="24"/>
          <w:lang w:eastAsia="ja-JP"/>
        </w:rPr>
        <w:t>-</w:t>
      </w:r>
      <w:r w:rsidR="008F6224" w:rsidRPr="004C70EC">
        <w:rPr>
          <w:rFonts w:eastAsiaTheme="minorEastAsia"/>
          <w:noProof/>
          <w:color w:val="000000" w:themeColor="text1"/>
          <w:szCs w:val="24"/>
          <w:lang w:eastAsia="ja-JP"/>
        </w:rPr>
        <w:t xml:space="preserve">settlement </w:t>
      </w:r>
      <w:r w:rsidR="005C053F" w:rsidRPr="004C70EC">
        <w:rPr>
          <w:rFonts w:eastAsiaTheme="minorEastAsia"/>
          <w:noProof/>
          <w:color w:val="000000" w:themeColor="text1"/>
          <w:szCs w:val="24"/>
          <w:lang w:eastAsia="ja-JP"/>
        </w:rPr>
        <w:t xml:space="preserve">provision </w:t>
      </w:r>
      <w:r w:rsidR="00727A82" w:rsidRPr="004C70EC">
        <w:rPr>
          <w:rFonts w:eastAsiaTheme="minorEastAsia"/>
          <w:noProof/>
          <w:color w:val="000000" w:themeColor="text1"/>
          <w:szCs w:val="24"/>
          <w:lang w:eastAsia="ja-JP"/>
        </w:rPr>
        <w:t xml:space="preserve">in accordance with Article 14 and </w:t>
      </w:r>
      <w:r w:rsidR="005C053F" w:rsidRPr="004C70EC">
        <w:rPr>
          <w:rFonts w:eastAsiaTheme="minorEastAsia"/>
          <w:noProof/>
          <w:color w:val="000000" w:themeColor="text1"/>
          <w:szCs w:val="24"/>
          <w:lang w:eastAsia="ja-JP"/>
        </w:rPr>
        <w:t xml:space="preserve">point </w:t>
      </w:r>
      <w:r w:rsidR="00AE7E75" w:rsidRPr="004C70EC">
        <w:rPr>
          <w:rFonts w:eastAsiaTheme="minorEastAsia"/>
          <w:noProof/>
          <w:color w:val="000000" w:themeColor="text1"/>
          <w:szCs w:val="24"/>
          <w:lang w:eastAsia="ja-JP"/>
        </w:rPr>
        <w:t>III</w:t>
      </w:r>
      <w:r w:rsidR="005C053F" w:rsidRPr="004C70EC">
        <w:rPr>
          <w:rFonts w:eastAsiaTheme="minorEastAsia"/>
          <w:noProof/>
          <w:color w:val="000000" w:themeColor="text1"/>
          <w:szCs w:val="24"/>
          <w:lang w:eastAsia="ja-JP"/>
        </w:rPr>
        <w:t xml:space="preserve"> of</w:t>
      </w:r>
      <w:r w:rsidR="00736A24" w:rsidRPr="004C70EC">
        <w:rPr>
          <w:rFonts w:eastAsiaTheme="minorEastAsia"/>
          <w:noProof/>
          <w:color w:val="000000" w:themeColor="text1"/>
          <w:szCs w:val="24"/>
          <w:lang w:eastAsia="ja-JP"/>
        </w:rPr>
        <w:t xml:space="preserve"> the Annex to the </w:t>
      </w:r>
      <w:r w:rsidR="00C67AA7" w:rsidRPr="004C70EC">
        <w:rPr>
          <w:rFonts w:eastAsiaTheme="minorEastAsia"/>
          <w:noProof/>
          <w:color w:val="000000" w:themeColor="text1"/>
          <w:szCs w:val="24"/>
          <w:lang w:eastAsia="ja-JP"/>
        </w:rPr>
        <w:t xml:space="preserve">Regulation </w:t>
      </w:r>
      <w:r w:rsidR="009755AE" w:rsidRPr="004C70EC">
        <w:rPr>
          <w:rFonts w:eastAsiaTheme="minorEastAsia"/>
          <w:noProof/>
          <w:color w:val="000000" w:themeColor="text1"/>
          <w:szCs w:val="24"/>
          <w:lang w:eastAsia="ja-JP"/>
        </w:rPr>
        <w:t>[…]</w:t>
      </w:r>
      <w:r w:rsidR="00926788" w:rsidRPr="004C70EC">
        <w:rPr>
          <w:rFonts w:eastAsiaTheme="minorEastAsia"/>
          <w:noProof/>
          <w:color w:val="000000" w:themeColor="text1"/>
          <w:szCs w:val="24"/>
          <w:lang w:eastAsia="ja-JP"/>
        </w:rPr>
        <w:t>[Regulation on speeding-up environmental impact assessments</w:t>
      </w:r>
      <w:r w:rsidR="42F7BDA4" w:rsidRPr="004C70EC">
        <w:rPr>
          <w:rFonts w:eastAsiaTheme="minorEastAsia"/>
          <w:noProof/>
          <w:color w:val="000000" w:themeColor="text1"/>
          <w:lang w:eastAsia="ja-JP"/>
        </w:rPr>
        <w:t>]</w:t>
      </w:r>
      <w:r w:rsidR="00736A24" w:rsidRPr="004C70EC">
        <w:rPr>
          <w:rFonts w:eastAsiaTheme="minorEastAsia"/>
          <w:noProof/>
          <w:color w:val="000000" w:themeColor="text1"/>
          <w:lang w:eastAsia="ja-JP"/>
        </w:rPr>
        <w:t>.</w:t>
      </w:r>
      <w:r w:rsidR="008C6B92" w:rsidRPr="004C70EC">
        <w:rPr>
          <w:rStyle w:val="CommentReference"/>
          <w:rFonts w:eastAsia="Times New Roman"/>
          <w:noProof/>
          <w:color w:val="000000" w:themeColor="text1"/>
          <w:sz w:val="24"/>
          <w:szCs w:val="24"/>
          <w:lang w:val="en-IE" w:eastAsia="en-GB"/>
        </w:rPr>
        <w:t xml:space="preserve"> </w:t>
      </w:r>
      <w:bookmarkEnd w:id="25"/>
    </w:p>
    <w:p w14:paraId="55D4D136" w14:textId="77777777" w:rsidR="00C05B35" w:rsidRPr="004C70EC" w:rsidRDefault="00C05B35" w:rsidP="005B26B0">
      <w:pPr>
        <w:pStyle w:val="Titrearticle"/>
        <w:rPr>
          <w:rFonts w:eastAsiaTheme="minorEastAsia"/>
          <w:i w:val="0"/>
          <w:iCs/>
          <w:noProof/>
          <w:color w:val="000000" w:themeColor="text1"/>
          <w:szCs w:val="24"/>
          <w:lang w:eastAsia="ja-JP"/>
        </w:rPr>
      </w:pPr>
      <w:r w:rsidRPr="004C70EC">
        <w:rPr>
          <w:rFonts w:eastAsiaTheme="minorEastAsia"/>
          <w:iCs/>
          <w:noProof/>
          <w:color w:val="000000" w:themeColor="text1"/>
          <w:szCs w:val="24"/>
          <w:lang w:eastAsia="ja-JP"/>
        </w:rPr>
        <w:t>Article</w:t>
      </w:r>
      <w:r w:rsidR="006116D3" w:rsidRPr="004C70EC">
        <w:rPr>
          <w:rFonts w:eastAsiaTheme="minorEastAsia"/>
          <w:iCs/>
          <w:noProof/>
          <w:color w:val="000000" w:themeColor="text1"/>
          <w:szCs w:val="24"/>
          <w:lang w:eastAsia="ja-JP"/>
        </w:rPr>
        <w:t xml:space="preserve"> </w:t>
      </w:r>
      <w:r w:rsidR="00F86630" w:rsidRPr="004C70EC">
        <w:rPr>
          <w:rFonts w:eastAsiaTheme="minorEastAsia"/>
          <w:iCs/>
          <w:noProof/>
          <w:color w:val="000000" w:themeColor="text1"/>
          <w:szCs w:val="24"/>
          <w:lang w:eastAsia="ja-JP"/>
        </w:rPr>
        <w:t>[</w:t>
      </w:r>
      <w:r w:rsidR="006116D3" w:rsidRPr="004C70EC">
        <w:rPr>
          <w:rFonts w:eastAsiaTheme="minorEastAsia"/>
          <w:iCs/>
          <w:noProof/>
          <w:color w:val="000000" w:themeColor="text1"/>
          <w:szCs w:val="24"/>
          <w:lang w:eastAsia="ja-JP"/>
        </w:rPr>
        <w:t>1</w:t>
      </w:r>
      <w:r w:rsidR="00D93646" w:rsidRPr="004C70EC">
        <w:rPr>
          <w:rFonts w:eastAsiaTheme="minorEastAsia"/>
          <w:iCs/>
          <w:noProof/>
          <w:color w:val="000000" w:themeColor="text1"/>
          <w:szCs w:val="24"/>
          <w:lang w:eastAsia="ja-JP"/>
        </w:rPr>
        <w:t>3</w:t>
      </w:r>
      <w:r w:rsidR="00F86630" w:rsidRPr="004C70EC">
        <w:rPr>
          <w:rFonts w:eastAsiaTheme="minorEastAsia"/>
          <w:iCs/>
          <w:noProof/>
          <w:color w:val="000000" w:themeColor="text1"/>
          <w:szCs w:val="24"/>
          <w:lang w:eastAsia="ja-JP"/>
        </w:rPr>
        <w:t>]</w:t>
      </w:r>
    </w:p>
    <w:p w14:paraId="606AF981" w14:textId="77777777" w:rsidR="00493B23" w:rsidRPr="004C70EC" w:rsidRDefault="00493B23" w:rsidP="00493B23">
      <w:pPr>
        <w:keepNext/>
        <w:tabs>
          <w:tab w:val="left" w:pos="850"/>
        </w:tabs>
        <w:ind w:left="850" w:hanging="850"/>
        <w:jc w:val="center"/>
        <w:outlineLvl w:val="2"/>
        <w:rPr>
          <w:b/>
          <w:noProof/>
          <w:color w:val="000000" w:themeColor="text1"/>
          <w:szCs w:val="24"/>
        </w:rPr>
      </w:pPr>
      <w:r w:rsidRPr="004C70EC">
        <w:rPr>
          <w:b/>
          <w:noProof/>
          <w:color w:val="000000" w:themeColor="text1"/>
          <w:szCs w:val="24"/>
        </w:rPr>
        <w:t xml:space="preserve">Administrative support </w:t>
      </w:r>
    </w:p>
    <w:p w14:paraId="02F2B17E" w14:textId="77777777" w:rsidR="00493B23" w:rsidRPr="004C70EC" w:rsidRDefault="00493B23"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1.</w:t>
      </w:r>
      <w:r w:rsidRPr="004C70EC">
        <w:rPr>
          <w:rFonts w:eastAsiaTheme="minorEastAsia"/>
          <w:noProof/>
          <w:color w:val="000000" w:themeColor="text1"/>
          <w:szCs w:val="24"/>
          <w:lang w:eastAsia="ja-JP"/>
        </w:rPr>
        <w:tab/>
        <w:t xml:space="preserve">Upon request of a project promoter, Member States shall provide administrative support to biotechnology projects located on their territory, including </w:t>
      </w:r>
      <w:r w:rsidRPr="004C70EC">
        <w:rPr>
          <w:rFonts w:eastAsia="Times New Roman"/>
          <w:noProof/>
          <w:color w:val="000000" w:themeColor="text1"/>
          <w:lang w:val="en-IE" w:eastAsia="de-DE"/>
        </w:rPr>
        <w:t xml:space="preserve">health </w:t>
      </w:r>
      <w:r w:rsidRPr="004C70EC">
        <w:rPr>
          <w:rFonts w:eastAsiaTheme="minorEastAsia"/>
          <w:noProof/>
          <w:color w:val="000000" w:themeColor="text1"/>
          <w:szCs w:val="24"/>
          <w:lang w:eastAsia="ja-JP"/>
        </w:rPr>
        <w:t xml:space="preserve">biotechnology strategic projects and </w:t>
      </w:r>
      <w:r w:rsidRPr="004C70EC">
        <w:rPr>
          <w:rFonts w:eastAsia="Times New Roman"/>
          <w:noProof/>
          <w:color w:val="000000" w:themeColor="text1"/>
          <w:szCs w:val="24"/>
          <w:lang w:eastAsia="en-GB"/>
        </w:rPr>
        <w:t xml:space="preserve">high impact </w:t>
      </w:r>
      <w:r w:rsidRPr="004C70EC">
        <w:rPr>
          <w:rFonts w:eastAsia="Times New Roman"/>
          <w:noProof/>
          <w:color w:val="000000" w:themeColor="text1"/>
          <w:lang w:val="en-IE" w:eastAsia="de-DE"/>
        </w:rPr>
        <w:t xml:space="preserve">health </w:t>
      </w:r>
      <w:r w:rsidRPr="004C70EC">
        <w:rPr>
          <w:rFonts w:eastAsia="Times New Roman"/>
          <w:noProof/>
          <w:color w:val="000000" w:themeColor="text1"/>
          <w:szCs w:val="24"/>
          <w:lang w:eastAsia="en-GB"/>
        </w:rPr>
        <w:t xml:space="preserve">biotechnology strategic </w:t>
      </w:r>
      <w:r w:rsidRPr="004C70EC">
        <w:rPr>
          <w:rFonts w:eastAsiaTheme="minorEastAsia"/>
          <w:noProof/>
          <w:color w:val="000000" w:themeColor="text1"/>
          <w:szCs w:val="24"/>
          <w:lang w:eastAsia="ja-JP"/>
        </w:rPr>
        <w:t>projects and shall take all appropriate measures to facilitate their timely and effective implementation, including:</w:t>
      </w:r>
    </w:p>
    <w:p w14:paraId="338FEA45" w14:textId="77777777" w:rsidR="00493B23" w:rsidRPr="004C70EC" w:rsidRDefault="00493B23" w:rsidP="00493B23">
      <w:pPr>
        <w:pStyle w:val="Point1"/>
        <w:rPr>
          <w:noProof/>
          <w:color w:val="000000" w:themeColor="text1"/>
          <w:lang w:eastAsia="ja-JP"/>
        </w:rPr>
      </w:pPr>
      <w:r w:rsidRPr="004C70EC">
        <w:rPr>
          <w:noProof/>
          <w:color w:val="000000" w:themeColor="text1"/>
          <w:lang w:eastAsia="ja-JP"/>
        </w:rPr>
        <w:t>(a)</w:t>
      </w:r>
      <w:r w:rsidRPr="004C70EC">
        <w:rPr>
          <w:noProof/>
          <w:color w:val="000000" w:themeColor="text1"/>
          <w:lang w:eastAsia="ja-JP"/>
        </w:rPr>
        <w:tab/>
        <w:t>assistance to project promoters to ensure compliance with applicable administrative, regulatory, and reporting obligations;</w:t>
      </w:r>
    </w:p>
    <w:p w14:paraId="331B1516" w14:textId="77777777" w:rsidR="00493B23" w:rsidRPr="004C70EC" w:rsidRDefault="00493B23" w:rsidP="00493B23">
      <w:pPr>
        <w:pStyle w:val="Point1"/>
        <w:rPr>
          <w:rFonts w:eastAsiaTheme="minorEastAsia"/>
          <w:noProof/>
          <w:color w:val="000000" w:themeColor="text1"/>
          <w:lang w:eastAsia="ja-JP"/>
        </w:rPr>
      </w:pPr>
      <w:r w:rsidRPr="004C70EC">
        <w:rPr>
          <w:rFonts w:eastAsiaTheme="minorEastAsia"/>
          <w:noProof/>
          <w:color w:val="000000" w:themeColor="text1"/>
          <w:lang w:eastAsia="ja-JP"/>
        </w:rPr>
        <w:t>(b)</w:t>
      </w:r>
      <w:r w:rsidRPr="004C70EC">
        <w:rPr>
          <w:noProof/>
        </w:rPr>
        <w:tab/>
      </w:r>
      <w:r w:rsidRPr="004C70EC">
        <w:rPr>
          <w:rFonts w:eastAsiaTheme="minorEastAsia"/>
          <w:noProof/>
          <w:color w:val="000000" w:themeColor="text1"/>
          <w:lang w:eastAsia="ja-JP"/>
        </w:rPr>
        <w:t xml:space="preserve">support and facilitation of permitting and authorisation </w:t>
      </w:r>
      <w:r w:rsidR="5FADECBC" w:rsidRPr="004C70EC">
        <w:rPr>
          <w:rFonts w:eastAsiaTheme="minorEastAsia"/>
          <w:noProof/>
          <w:color w:val="000000" w:themeColor="text1"/>
          <w:lang w:eastAsia="ja-JP"/>
        </w:rPr>
        <w:t>procedure</w:t>
      </w:r>
      <w:r w:rsidR="4977E3A6" w:rsidRPr="004C70EC">
        <w:rPr>
          <w:rFonts w:eastAsiaTheme="minorEastAsia"/>
          <w:noProof/>
          <w:color w:val="000000" w:themeColor="text1"/>
          <w:lang w:eastAsia="ja-JP"/>
        </w:rPr>
        <w:t>s</w:t>
      </w:r>
      <w:r w:rsidRPr="004C70EC">
        <w:rPr>
          <w:rFonts w:eastAsiaTheme="minorEastAsia"/>
          <w:noProof/>
          <w:color w:val="000000" w:themeColor="text1"/>
          <w:lang w:eastAsia="ja-JP"/>
        </w:rPr>
        <w:t>; and</w:t>
      </w:r>
    </w:p>
    <w:p w14:paraId="3104CA6E" w14:textId="77777777" w:rsidR="00493B23" w:rsidRPr="004C70EC" w:rsidRDefault="00493B23" w:rsidP="00493B23">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(c)</w:t>
      </w:r>
      <w:r w:rsidRPr="004C70EC">
        <w:rPr>
          <w:rFonts w:eastAsiaTheme="minorEastAsia"/>
          <w:noProof/>
          <w:color w:val="000000" w:themeColor="text1"/>
          <w:szCs w:val="24"/>
          <w:lang w:eastAsia="ja-JP"/>
        </w:rPr>
        <w:tab/>
        <w:t>assistance to inform the public and those in the vicinity of the project with the aim of increasing public acceptance of the project;</w:t>
      </w:r>
    </w:p>
    <w:p w14:paraId="1FD6A4D8" w14:textId="77777777" w:rsidR="00493B23" w:rsidRPr="004C70EC" w:rsidRDefault="00493B23"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2.</w:t>
      </w:r>
      <w:r w:rsidRPr="004C70EC">
        <w:rPr>
          <w:rFonts w:eastAsiaTheme="minorEastAsia"/>
          <w:noProof/>
          <w:color w:val="000000" w:themeColor="text1"/>
          <w:szCs w:val="24"/>
          <w:lang w:eastAsia="ja-JP"/>
        </w:rPr>
        <w:tab/>
        <w:t xml:space="preserve">High impact </w:t>
      </w:r>
      <w:r w:rsidRPr="004C70EC">
        <w:rPr>
          <w:rFonts w:eastAsia="Times New Roman"/>
          <w:noProof/>
          <w:color w:val="000000" w:themeColor="text1"/>
          <w:lang w:val="en-IE" w:eastAsia="de-DE"/>
        </w:rPr>
        <w:t xml:space="preserve">health </w:t>
      </w:r>
      <w:r w:rsidRPr="004C70EC">
        <w:rPr>
          <w:rFonts w:eastAsiaTheme="minorEastAsia"/>
          <w:noProof/>
          <w:color w:val="000000" w:themeColor="text1"/>
          <w:szCs w:val="24"/>
          <w:lang w:eastAsia="ja-JP"/>
        </w:rPr>
        <w:t xml:space="preserve">biotechnology strategic projects shall benefit from priority access to the administrative support measures referred to in paragraph 1, </w:t>
      </w:r>
    </w:p>
    <w:p w14:paraId="087EC5DE" w14:textId="77777777" w:rsidR="00493B23" w:rsidRPr="004C70EC" w:rsidRDefault="00493B23"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3.</w:t>
      </w:r>
      <w:r w:rsidRPr="004C70EC">
        <w:rPr>
          <w:rFonts w:eastAsiaTheme="minorEastAsia"/>
          <w:noProof/>
          <w:color w:val="000000" w:themeColor="text1"/>
          <w:szCs w:val="24"/>
          <w:lang w:eastAsia="ja-JP"/>
        </w:rPr>
        <w:tab/>
        <w:t xml:space="preserve">The administrative support referred to in paragraphs 1 and 2 shall be provided including through the single points of contact and the national and regional antennas of the EU Health Biotechnology Support Network referred to in Article </w:t>
      </w:r>
      <w:r w:rsidR="003530A7" w:rsidRPr="004C70EC">
        <w:rPr>
          <w:rFonts w:eastAsiaTheme="minorEastAsia"/>
          <w:noProof/>
          <w:color w:val="000000" w:themeColor="text1"/>
          <w:szCs w:val="24"/>
          <w:lang w:eastAsia="ja-JP"/>
        </w:rPr>
        <w:t>19</w:t>
      </w:r>
      <w:r w:rsidRPr="004C70EC">
        <w:rPr>
          <w:rFonts w:eastAsiaTheme="minorEastAsia"/>
          <w:noProof/>
          <w:color w:val="000000" w:themeColor="text1"/>
          <w:szCs w:val="24"/>
          <w:lang w:eastAsia="ja-JP"/>
        </w:rPr>
        <w:t>.</w:t>
      </w:r>
    </w:p>
    <w:p w14:paraId="02798F7F" w14:textId="77777777" w:rsidR="00493B23" w:rsidRPr="004C70EC" w:rsidRDefault="008C676A"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4</w:t>
      </w:r>
      <w:r w:rsidR="00493B23" w:rsidRPr="004C70EC">
        <w:rPr>
          <w:rFonts w:eastAsiaTheme="minorEastAsia"/>
          <w:noProof/>
          <w:color w:val="000000" w:themeColor="text1"/>
          <w:szCs w:val="24"/>
          <w:lang w:eastAsia="ja-JP"/>
        </w:rPr>
        <w:t>.</w:t>
      </w:r>
      <w:r w:rsidR="00493B23" w:rsidRPr="004C70EC">
        <w:rPr>
          <w:rFonts w:eastAsiaTheme="minorEastAsia"/>
          <w:noProof/>
          <w:color w:val="000000" w:themeColor="text1"/>
          <w:szCs w:val="24"/>
          <w:lang w:eastAsia="ja-JP"/>
        </w:rPr>
        <w:tab/>
        <w:t xml:space="preserve">Member States shall provide online and in a centralised and easily accessible manner, information relevant to promoters of biotechnology projects, including </w:t>
      </w:r>
      <w:r w:rsidR="00493B23" w:rsidRPr="004C70EC">
        <w:rPr>
          <w:rFonts w:eastAsia="Times New Roman"/>
          <w:noProof/>
          <w:color w:val="000000" w:themeColor="text1"/>
          <w:lang w:val="en-IE" w:eastAsia="de-DE"/>
        </w:rPr>
        <w:t xml:space="preserve">health </w:t>
      </w:r>
      <w:r w:rsidR="00493B23" w:rsidRPr="004C70EC">
        <w:rPr>
          <w:rFonts w:eastAsiaTheme="minorEastAsia"/>
          <w:noProof/>
          <w:color w:val="000000" w:themeColor="text1"/>
          <w:szCs w:val="24"/>
          <w:lang w:eastAsia="ja-JP"/>
        </w:rPr>
        <w:t xml:space="preserve">biotechnology strategic projects and high impact </w:t>
      </w:r>
      <w:r w:rsidR="00493B23" w:rsidRPr="004C70EC">
        <w:rPr>
          <w:rFonts w:eastAsia="Times New Roman"/>
          <w:noProof/>
          <w:color w:val="000000" w:themeColor="text1"/>
          <w:lang w:val="en-IE" w:eastAsia="de-DE"/>
        </w:rPr>
        <w:t xml:space="preserve">health </w:t>
      </w:r>
      <w:r w:rsidR="00493B23" w:rsidRPr="004C70EC">
        <w:rPr>
          <w:rFonts w:eastAsiaTheme="minorEastAsia"/>
          <w:noProof/>
          <w:color w:val="000000" w:themeColor="text1"/>
          <w:szCs w:val="24"/>
          <w:lang w:eastAsia="ja-JP"/>
        </w:rPr>
        <w:t>biotechnology strategic projects covering at least the following elements:</w:t>
      </w:r>
    </w:p>
    <w:p w14:paraId="0C82B74F" w14:textId="77777777" w:rsidR="00493B23" w:rsidRPr="004C70EC" w:rsidRDefault="00493B23" w:rsidP="00493B23">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(a)</w:t>
      </w:r>
      <w:r w:rsidRPr="004C70EC">
        <w:rPr>
          <w:rFonts w:eastAsiaTheme="minorEastAsia"/>
          <w:noProof/>
          <w:color w:val="000000" w:themeColor="text1"/>
          <w:szCs w:val="24"/>
          <w:lang w:eastAsia="ja-JP"/>
        </w:rPr>
        <w:tab/>
        <w:t xml:space="preserve">the designated authority referred to in Article </w:t>
      </w:r>
      <w:r w:rsidR="00D50BEB" w:rsidRPr="004C70EC">
        <w:rPr>
          <w:rFonts w:eastAsiaTheme="minorEastAsia"/>
          <w:noProof/>
          <w:color w:val="000000" w:themeColor="text1"/>
          <w:szCs w:val="24"/>
          <w:lang w:eastAsia="ja-JP"/>
        </w:rPr>
        <w:t>7</w:t>
      </w:r>
      <w:r w:rsidR="00584591" w:rsidRPr="004C70EC">
        <w:rPr>
          <w:rFonts w:eastAsiaTheme="minorEastAsia"/>
          <w:noProof/>
          <w:color w:val="000000" w:themeColor="text1"/>
          <w:szCs w:val="24"/>
          <w:lang w:eastAsia="ja-JP"/>
        </w:rPr>
        <w:t>(</w:t>
      </w:r>
      <w:r w:rsidRPr="004C70EC">
        <w:rPr>
          <w:rFonts w:eastAsiaTheme="minorEastAsia"/>
          <w:noProof/>
          <w:color w:val="000000" w:themeColor="text1"/>
          <w:szCs w:val="24"/>
          <w:lang w:eastAsia="ja-JP"/>
        </w:rPr>
        <w:t>1</w:t>
      </w:r>
      <w:r w:rsidR="00584591" w:rsidRPr="004C70EC">
        <w:rPr>
          <w:rFonts w:eastAsiaTheme="minorEastAsia"/>
          <w:noProof/>
          <w:color w:val="000000" w:themeColor="text1"/>
          <w:szCs w:val="24"/>
          <w:lang w:eastAsia="ja-JP"/>
        </w:rPr>
        <w:t>)</w:t>
      </w:r>
      <w:r w:rsidRPr="004C70EC">
        <w:rPr>
          <w:rFonts w:eastAsiaTheme="minorEastAsia"/>
          <w:noProof/>
          <w:color w:val="000000" w:themeColor="text1"/>
          <w:szCs w:val="24"/>
          <w:lang w:eastAsia="ja-JP"/>
        </w:rPr>
        <w:t>;</w:t>
      </w:r>
    </w:p>
    <w:p w14:paraId="0DBEFFB6" w14:textId="77777777" w:rsidR="00493B23" w:rsidRPr="004C70EC" w:rsidRDefault="00493B23" w:rsidP="00493B23">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(b)</w:t>
      </w:r>
      <w:r w:rsidRPr="004C70EC">
        <w:rPr>
          <w:rFonts w:eastAsiaTheme="minorEastAsia"/>
          <w:noProof/>
          <w:color w:val="000000" w:themeColor="text1"/>
          <w:szCs w:val="24"/>
          <w:lang w:eastAsia="ja-JP"/>
        </w:rPr>
        <w:tab/>
        <w:t xml:space="preserve">the single points of contact referred to in Article </w:t>
      </w:r>
      <w:r w:rsidR="00D50BEB" w:rsidRPr="004C70EC">
        <w:rPr>
          <w:rFonts w:eastAsiaTheme="minorEastAsia"/>
          <w:noProof/>
          <w:color w:val="000000" w:themeColor="text1"/>
          <w:szCs w:val="24"/>
          <w:lang w:eastAsia="ja-JP"/>
        </w:rPr>
        <w:t>11</w:t>
      </w:r>
      <w:r w:rsidRPr="004C70EC">
        <w:rPr>
          <w:rFonts w:eastAsiaTheme="minorEastAsia"/>
          <w:noProof/>
          <w:color w:val="000000" w:themeColor="text1"/>
          <w:szCs w:val="24"/>
          <w:lang w:eastAsia="ja-JP"/>
        </w:rPr>
        <w:t>;</w:t>
      </w:r>
    </w:p>
    <w:p w14:paraId="7364A173" w14:textId="77777777" w:rsidR="00493B23" w:rsidRPr="004C70EC" w:rsidRDefault="00493B23" w:rsidP="00493B23">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(c)</w:t>
      </w:r>
      <w:r w:rsidRPr="004C70EC">
        <w:rPr>
          <w:rFonts w:eastAsiaTheme="minorEastAsia"/>
          <w:noProof/>
          <w:color w:val="000000" w:themeColor="text1"/>
          <w:szCs w:val="24"/>
          <w:lang w:eastAsia="ja-JP"/>
        </w:rPr>
        <w:tab/>
        <w:t xml:space="preserve">the national and regional antennas of the EU Health Biotechnology Support Network referred to in Article </w:t>
      </w:r>
      <w:r w:rsidR="0017095F" w:rsidRPr="004C70EC">
        <w:rPr>
          <w:rFonts w:eastAsiaTheme="minorEastAsia"/>
          <w:noProof/>
          <w:color w:val="000000" w:themeColor="text1"/>
          <w:szCs w:val="24"/>
          <w:lang w:eastAsia="ja-JP"/>
        </w:rPr>
        <w:t>19</w:t>
      </w:r>
      <w:r w:rsidRPr="004C70EC">
        <w:rPr>
          <w:rFonts w:eastAsiaTheme="minorEastAsia"/>
          <w:noProof/>
          <w:color w:val="000000" w:themeColor="text1"/>
          <w:szCs w:val="24"/>
          <w:lang w:eastAsia="ja-JP"/>
        </w:rPr>
        <w:t xml:space="preserve">; </w:t>
      </w:r>
    </w:p>
    <w:p w14:paraId="7692C082" w14:textId="77777777" w:rsidR="00493B23" w:rsidRPr="004C70EC" w:rsidRDefault="00493B23" w:rsidP="00493B23">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(d)</w:t>
      </w:r>
      <w:r w:rsidRPr="004C70EC">
        <w:rPr>
          <w:rFonts w:eastAsiaTheme="minorEastAsia"/>
          <w:noProof/>
          <w:color w:val="000000" w:themeColor="text1"/>
          <w:szCs w:val="24"/>
          <w:lang w:eastAsia="ja-JP"/>
        </w:rPr>
        <w:tab/>
        <w:t>the permit-granting process, including information on dispute settlement;</w:t>
      </w:r>
    </w:p>
    <w:p w14:paraId="76F029E5" w14:textId="77777777" w:rsidR="00493B23" w:rsidRPr="004C70EC" w:rsidRDefault="00493B23" w:rsidP="00493B23">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(e)</w:t>
      </w:r>
      <w:r w:rsidRPr="004C70EC">
        <w:rPr>
          <w:rFonts w:eastAsiaTheme="minorEastAsia"/>
          <w:noProof/>
          <w:color w:val="000000" w:themeColor="text1"/>
          <w:szCs w:val="24"/>
          <w:lang w:eastAsia="ja-JP"/>
        </w:rPr>
        <w:tab/>
        <w:t>advice on financing and investment services;</w:t>
      </w:r>
    </w:p>
    <w:p w14:paraId="76841AF8" w14:textId="77777777" w:rsidR="00493B23" w:rsidRPr="004C70EC" w:rsidRDefault="00493B23" w:rsidP="00493B23">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(f)</w:t>
      </w:r>
      <w:r w:rsidRPr="004C70EC">
        <w:rPr>
          <w:rFonts w:eastAsiaTheme="minorEastAsia"/>
          <w:noProof/>
          <w:color w:val="000000" w:themeColor="text1"/>
          <w:szCs w:val="24"/>
          <w:lang w:eastAsia="ja-JP"/>
        </w:rPr>
        <w:tab/>
        <w:t xml:space="preserve">business support services, including corporate tax declaration, local tax rules and labour law. </w:t>
      </w:r>
    </w:p>
    <w:p w14:paraId="450B81C5" w14:textId="77777777" w:rsidR="00493B23" w:rsidRPr="004C70EC" w:rsidRDefault="008C676A" w:rsidP="00493B23">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5</w:t>
      </w:r>
      <w:r w:rsidR="00493B23" w:rsidRPr="004C70EC">
        <w:rPr>
          <w:rFonts w:eastAsiaTheme="minorEastAsia"/>
          <w:noProof/>
          <w:color w:val="000000" w:themeColor="text1"/>
          <w:szCs w:val="24"/>
          <w:lang w:eastAsia="ja-JP"/>
        </w:rPr>
        <w:t>.</w:t>
      </w:r>
      <w:r w:rsidR="00493B23" w:rsidRPr="004C70EC">
        <w:rPr>
          <w:rFonts w:eastAsiaTheme="minorEastAsia"/>
          <w:noProof/>
          <w:color w:val="000000" w:themeColor="text1"/>
          <w:szCs w:val="24"/>
          <w:lang w:eastAsia="ja-JP"/>
        </w:rPr>
        <w:tab/>
        <w:t>When providing the administrative support referred to in paragraph 1</w:t>
      </w:r>
      <w:r w:rsidR="00AE7E75" w:rsidRPr="004C70EC">
        <w:rPr>
          <w:rFonts w:eastAsiaTheme="minorEastAsia"/>
          <w:noProof/>
          <w:color w:val="000000" w:themeColor="text1"/>
          <w:szCs w:val="24"/>
          <w:lang w:eastAsia="ja-JP"/>
        </w:rPr>
        <w:t xml:space="preserve"> of this Article</w:t>
      </w:r>
      <w:r w:rsidR="00493B23" w:rsidRPr="004C70EC">
        <w:rPr>
          <w:rFonts w:eastAsiaTheme="minorEastAsia"/>
          <w:noProof/>
          <w:color w:val="000000" w:themeColor="text1"/>
          <w:szCs w:val="24"/>
          <w:lang w:eastAsia="ja-JP"/>
        </w:rPr>
        <w:t>, Member State</w:t>
      </w:r>
      <w:r w:rsidR="00AE7E75" w:rsidRPr="004C70EC">
        <w:rPr>
          <w:rFonts w:eastAsiaTheme="minorEastAsia"/>
          <w:noProof/>
          <w:color w:val="000000" w:themeColor="text1"/>
          <w:szCs w:val="24"/>
          <w:lang w:eastAsia="ja-JP"/>
        </w:rPr>
        <w:t>s</w:t>
      </w:r>
      <w:r w:rsidR="00493B23" w:rsidRPr="004C70EC">
        <w:rPr>
          <w:rFonts w:eastAsiaTheme="minorEastAsia"/>
          <w:noProof/>
          <w:color w:val="000000" w:themeColor="text1"/>
          <w:szCs w:val="24"/>
          <w:lang w:eastAsia="ja-JP"/>
        </w:rPr>
        <w:t xml:space="preserve"> shall pay particular attention to SMEs</w:t>
      </w:r>
      <w:r w:rsidR="00493B23" w:rsidRPr="004C70EC">
        <w:rPr>
          <w:rFonts w:eastAsiaTheme="majorEastAsia"/>
          <w:noProof/>
          <w:color w:val="000000" w:themeColor="text1"/>
          <w:szCs w:val="24"/>
          <w:lang w:eastAsia="ja-JP"/>
        </w:rPr>
        <w:t>, start-ups and scale-ups</w:t>
      </w:r>
      <w:r w:rsidR="00493B23" w:rsidRPr="004C70EC">
        <w:rPr>
          <w:rFonts w:eastAsiaTheme="minorEastAsia"/>
          <w:noProof/>
          <w:color w:val="000000" w:themeColor="text1"/>
          <w:szCs w:val="24"/>
          <w:lang w:eastAsia="ja-JP"/>
        </w:rPr>
        <w:t>. Where appropriate, Member State</w:t>
      </w:r>
      <w:r w:rsidR="00AE7E75" w:rsidRPr="004C70EC">
        <w:rPr>
          <w:rFonts w:eastAsiaTheme="minorEastAsia"/>
          <w:noProof/>
          <w:color w:val="000000" w:themeColor="text1"/>
          <w:szCs w:val="24"/>
          <w:lang w:eastAsia="ja-JP"/>
        </w:rPr>
        <w:t>s</w:t>
      </w:r>
      <w:r w:rsidR="00493B23" w:rsidRPr="004C70EC">
        <w:rPr>
          <w:rFonts w:eastAsiaTheme="minorEastAsia"/>
          <w:noProof/>
          <w:color w:val="000000" w:themeColor="text1"/>
          <w:szCs w:val="24"/>
          <w:lang w:eastAsia="ja-JP"/>
        </w:rPr>
        <w:t xml:space="preserve"> shall ensure that a dedicated channel for communication with SMEs</w:t>
      </w:r>
      <w:r w:rsidR="00493B23" w:rsidRPr="004C70EC">
        <w:rPr>
          <w:rFonts w:eastAsiaTheme="majorEastAsia"/>
          <w:noProof/>
          <w:color w:val="000000" w:themeColor="text1"/>
          <w:szCs w:val="24"/>
          <w:lang w:eastAsia="ja-JP"/>
        </w:rPr>
        <w:t>, start-ups and scale-ups</w:t>
      </w:r>
      <w:r w:rsidR="00493B23" w:rsidRPr="004C70EC">
        <w:rPr>
          <w:rFonts w:eastAsiaTheme="minorEastAsia"/>
          <w:noProof/>
          <w:color w:val="000000" w:themeColor="text1"/>
          <w:szCs w:val="24"/>
          <w:lang w:eastAsia="ja-JP"/>
        </w:rPr>
        <w:t xml:space="preserve"> is available within the single points of contact</w:t>
      </w:r>
      <w:r w:rsidR="00C05B35" w:rsidRPr="004C70EC">
        <w:rPr>
          <w:rFonts w:eastAsiaTheme="minorEastAsia"/>
          <w:noProof/>
          <w:color w:val="000000" w:themeColor="text1"/>
          <w:szCs w:val="24"/>
          <w:lang w:eastAsia="ja-JP"/>
        </w:rPr>
        <w:t xml:space="preserve"> </w:t>
      </w:r>
      <w:r w:rsidR="00493B23" w:rsidRPr="004C70EC">
        <w:rPr>
          <w:rFonts w:eastAsiaTheme="minorEastAsia"/>
          <w:noProof/>
          <w:color w:val="000000" w:themeColor="text1"/>
          <w:szCs w:val="24"/>
          <w:lang w:eastAsia="ja-JP"/>
        </w:rPr>
        <w:t xml:space="preserve">to provide guidance and respond to queries related to the implementation of this Regulation. </w:t>
      </w:r>
    </w:p>
    <w:p w14:paraId="657E4F23" w14:textId="77777777" w:rsidR="00493B23" w:rsidRPr="004C70EC" w:rsidRDefault="00493B23" w:rsidP="00493B23">
      <w:pPr>
        <w:pStyle w:val="Titrearticle"/>
        <w:rPr>
          <w:rFonts w:eastAsiaTheme="minorEastAsia"/>
          <w:i w:val="0"/>
          <w:noProof/>
          <w:color w:val="000000" w:themeColor="text1"/>
          <w:szCs w:val="24"/>
          <w:lang w:eastAsia="ja-JP"/>
        </w:rPr>
      </w:pPr>
      <w:r w:rsidRPr="004C70EC">
        <w:rPr>
          <w:rFonts w:eastAsiaTheme="minorEastAsia"/>
          <w:noProof/>
          <w:color w:val="000000" w:themeColor="text1"/>
          <w:szCs w:val="24"/>
          <w:lang w:eastAsia="ja-JP"/>
        </w:rPr>
        <w:t>Article 1</w:t>
      </w:r>
      <w:r w:rsidR="00D93646" w:rsidRPr="004C70EC">
        <w:rPr>
          <w:rFonts w:eastAsiaTheme="minorEastAsia"/>
          <w:noProof/>
          <w:color w:val="000000" w:themeColor="text1"/>
          <w:szCs w:val="24"/>
          <w:lang w:eastAsia="ja-JP"/>
        </w:rPr>
        <w:t>4</w:t>
      </w:r>
    </w:p>
    <w:p w14:paraId="39AED31F" w14:textId="77777777" w:rsidR="00493B23" w:rsidRPr="004C70EC" w:rsidRDefault="00493B23" w:rsidP="00493B23">
      <w:pPr>
        <w:keepNext/>
        <w:tabs>
          <w:tab w:val="left" w:pos="850"/>
        </w:tabs>
        <w:ind w:left="850" w:hanging="850"/>
        <w:jc w:val="center"/>
        <w:outlineLvl w:val="2"/>
        <w:rPr>
          <w:b/>
          <w:noProof/>
          <w:color w:val="000000" w:themeColor="text1"/>
          <w:szCs w:val="24"/>
        </w:rPr>
      </w:pPr>
      <w:r w:rsidRPr="004C70EC">
        <w:rPr>
          <w:b/>
          <w:noProof/>
          <w:color w:val="000000" w:themeColor="text1"/>
          <w:szCs w:val="24"/>
        </w:rPr>
        <w:t xml:space="preserve">Financial and technical support </w:t>
      </w:r>
    </w:p>
    <w:p w14:paraId="02E62B33" w14:textId="4B942ACE" w:rsidR="00493B23" w:rsidRPr="004C70EC" w:rsidRDefault="30A60D94" w:rsidP="00493B23">
      <w:pPr>
        <w:pStyle w:val="Point0"/>
        <w:rPr>
          <w:rFonts w:eastAsia="Times New Roman"/>
          <w:noProof/>
          <w:color w:val="000000" w:themeColor="text1"/>
          <w:lang w:eastAsia="ja-JP"/>
        </w:rPr>
      </w:pPr>
      <w:r w:rsidRPr="004C70EC">
        <w:rPr>
          <w:rFonts w:eastAsiaTheme="minorEastAsia"/>
          <w:noProof/>
          <w:color w:val="000000" w:themeColor="text1"/>
          <w:lang w:eastAsia="ja-JP"/>
        </w:rPr>
        <w:t>1</w:t>
      </w:r>
      <w:r>
        <w:rPr>
          <w:rFonts w:eastAsiaTheme="minorEastAsia"/>
          <w:noProof/>
          <w:color w:val="000000" w:themeColor="text1"/>
          <w:lang w:eastAsia="ja-JP"/>
        </w:rPr>
        <w:t>.</w:t>
      </w:r>
      <w:r w:rsidR="00493B23" w:rsidRPr="004C70EC">
        <w:rPr>
          <w:noProof/>
        </w:rPr>
        <w:tab/>
      </w:r>
      <w:r w:rsidRPr="004C70EC">
        <w:rPr>
          <w:rFonts w:eastAsia="Times New Roman"/>
          <w:noProof/>
          <w:color w:val="000000" w:themeColor="text1"/>
          <w:lang w:eastAsia="ja-JP"/>
        </w:rPr>
        <w:t xml:space="preserve">Without prejudice to Articles 107 and 108 TFEU, Member States may make use, where applicable, of the relevant frameworks for providing public support to </w:t>
      </w:r>
      <w:r w:rsidRPr="004C70EC">
        <w:rPr>
          <w:rFonts w:eastAsia="Times New Roman"/>
          <w:noProof/>
          <w:color w:val="000000" w:themeColor="text1"/>
          <w:lang w:val="en-IE" w:eastAsia="de-DE"/>
        </w:rPr>
        <w:t xml:space="preserve">health </w:t>
      </w:r>
      <w:r w:rsidRPr="004C70EC">
        <w:rPr>
          <w:rFonts w:eastAsia="Times New Roman"/>
          <w:noProof/>
          <w:color w:val="000000" w:themeColor="text1"/>
          <w:lang w:eastAsia="ja-JP"/>
        </w:rPr>
        <w:t xml:space="preserve">biotechnology strategic projects and </w:t>
      </w:r>
      <w:r w:rsidRPr="004C70EC">
        <w:rPr>
          <w:rFonts w:eastAsiaTheme="minorEastAsia"/>
          <w:noProof/>
          <w:color w:val="000000" w:themeColor="text1"/>
          <w:lang w:eastAsia="ja-JP"/>
        </w:rPr>
        <w:t xml:space="preserve">high impact </w:t>
      </w:r>
      <w:r w:rsidRPr="004C70EC">
        <w:rPr>
          <w:rFonts w:eastAsia="Times New Roman"/>
          <w:noProof/>
          <w:color w:val="000000" w:themeColor="text1"/>
          <w:lang w:val="en-IE" w:eastAsia="de-DE"/>
        </w:rPr>
        <w:t xml:space="preserve">health </w:t>
      </w:r>
      <w:r w:rsidRPr="004C70EC">
        <w:rPr>
          <w:rFonts w:eastAsiaTheme="minorEastAsia"/>
          <w:noProof/>
          <w:color w:val="000000" w:themeColor="text1"/>
          <w:lang w:eastAsia="ja-JP"/>
        </w:rPr>
        <w:t xml:space="preserve">biotechnology strategic </w:t>
      </w:r>
      <w:r w:rsidRPr="004C70EC">
        <w:rPr>
          <w:rFonts w:eastAsia="Times New Roman"/>
          <w:noProof/>
          <w:color w:val="000000" w:themeColor="text1"/>
          <w:lang w:eastAsia="ja-JP"/>
        </w:rPr>
        <w:t>projects, including national promotional banks and other relevant public support instruments, as provided for in Article 2</w:t>
      </w:r>
      <w:r w:rsidR="2A629CE4" w:rsidRPr="004C70EC">
        <w:rPr>
          <w:rFonts w:eastAsia="Times New Roman"/>
          <w:noProof/>
          <w:color w:val="000000" w:themeColor="text1"/>
          <w:lang w:eastAsia="ja-JP"/>
        </w:rPr>
        <w:t>4</w:t>
      </w:r>
      <w:r w:rsidR="2D98FA90" w:rsidRPr="004C70EC">
        <w:rPr>
          <w:rFonts w:eastAsia="Times New Roman"/>
          <w:noProof/>
          <w:color w:val="000000" w:themeColor="text1"/>
          <w:lang w:eastAsia="ja-JP"/>
        </w:rPr>
        <w:t xml:space="preserve">, </w:t>
      </w:r>
      <w:r w:rsidR="00AE7E75" w:rsidRPr="004C70EC">
        <w:rPr>
          <w:rFonts w:eastAsia="Times New Roman"/>
          <w:noProof/>
          <w:color w:val="000000" w:themeColor="text1"/>
          <w:lang w:eastAsia="ja-JP"/>
        </w:rPr>
        <w:t xml:space="preserve">paragraphs </w:t>
      </w:r>
      <w:r w:rsidR="5178C0AD" w:rsidRPr="004C70EC">
        <w:rPr>
          <w:rFonts w:eastAsia="Times New Roman"/>
          <w:noProof/>
          <w:color w:val="000000" w:themeColor="text1"/>
          <w:lang w:eastAsia="ja-JP"/>
        </w:rPr>
        <w:t>(</w:t>
      </w:r>
      <w:r w:rsidR="1918C5E4" w:rsidRPr="004C70EC">
        <w:rPr>
          <w:rFonts w:eastAsia="Times New Roman"/>
          <w:noProof/>
          <w:color w:val="000000" w:themeColor="text1"/>
          <w:lang w:eastAsia="ja-JP"/>
        </w:rPr>
        <w:t>4</w:t>
      </w:r>
      <w:r w:rsidR="5178C0AD" w:rsidRPr="004C70EC">
        <w:rPr>
          <w:rFonts w:eastAsia="Times New Roman"/>
          <w:noProof/>
          <w:color w:val="000000" w:themeColor="text1"/>
          <w:lang w:eastAsia="ja-JP"/>
        </w:rPr>
        <w:t>)</w:t>
      </w:r>
      <w:r w:rsidR="00AE7E75" w:rsidRPr="004C70EC">
        <w:rPr>
          <w:rFonts w:eastAsia="Times New Roman"/>
          <w:noProof/>
          <w:color w:val="000000" w:themeColor="text1"/>
          <w:lang w:eastAsia="ja-JP"/>
        </w:rPr>
        <w:t xml:space="preserve">, </w:t>
      </w:r>
      <w:r w:rsidR="00AE7E75" w:rsidRPr="002D7694">
        <w:rPr>
          <w:rFonts w:eastAsia="Times New Roman"/>
          <w:noProof/>
          <w:color w:val="000000" w:themeColor="text1"/>
          <w:lang w:eastAsia="ja-JP"/>
        </w:rPr>
        <w:t>(5)</w:t>
      </w:r>
      <w:r>
        <w:rPr>
          <w:rFonts w:eastAsia="Times New Roman"/>
          <w:noProof/>
          <w:color w:val="000000" w:themeColor="text1"/>
          <w:lang w:eastAsia="ja-JP"/>
        </w:rPr>
        <w:t xml:space="preserve"> and </w:t>
      </w:r>
      <w:r w:rsidR="5178C0AD" w:rsidRPr="004C70EC">
        <w:rPr>
          <w:rFonts w:eastAsia="Times New Roman"/>
          <w:noProof/>
          <w:color w:val="000000" w:themeColor="text1"/>
          <w:lang w:eastAsia="ja-JP"/>
        </w:rPr>
        <w:t>(</w:t>
      </w:r>
      <w:r w:rsidR="00AE7E75" w:rsidRPr="004C70EC">
        <w:rPr>
          <w:rFonts w:eastAsia="Times New Roman"/>
          <w:noProof/>
          <w:color w:val="000000" w:themeColor="text1"/>
          <w:lang w:eastAsia="ja-JP"/>
        </w:rPr>
        <w:t>6</w:t>
      </w:r>
      <w:r w:rsidR="5178C0AD" w:rsidRPr="004C70EC">
        <w:rPr>
          <w:rFonts w:eastAsia="Times New Roman"/>
          <w:noProof/>
          <w:color w:val="000000" w:themeColor="text1"/>
          <w:lang w:eastAsia="ja-JP"/>
        </w:rPr>
        <w:t>)</w:t>
      </w:r>
      <w:r w:rsidRPr="004C70EC">
        <w:rPr>
          <w:rFonts w:eastAsia="Times New Roman"/>
          <w:noProof/>
          <w:color w:val="000000" w:themeColor="text1"/>
          <w:lang w:eastAsia="ja-JP"/>
        </w:rPr>
        <w:t>. Where public support is granted, Member States shall ensure that such support is coordinated with other support measures at Union or national level</w:t>
      </w:r>
      <w:r w:rsidR="553E4DE9" w:rsidRPr="004C70EC">
        <w:rPr>
          <w:rFonts w:eastAsia="Times New Roman"/>
          <w:noProof/>
          <w:color w:val="000000" w:themeColor="text1"/>
          <w:lang w:eastAsia="ja-JP"/>
        </w:rPr>
        <w:t xml:space="preserve"> and is </w:t>
      </w:r>
      <w:r w:rsidR="553E4DE9" w:rsidRPr="004C70EC">
        <w:rPr>
          <w:rFonts w:eastAsiaTheme="minorEastAsia"/>
          <w:noProof/>
          <w:color w:val="000000" w:themeColor="text1"/>
          <w:lang w:eastAsia="ja-JP"/>
        </w:rPr>
        <w:t>in line with applicable State aid rules</w:t>
      </w:r>
      <w:r w:rsidRPr="004C70EC">
        <w:rPr>
          <w:rFonts w:eastAsia="Times New Roman"/>
          <w:noProof/>
          <w:color w:val="000000" w:themeColor="text1"/>
          <w:lang w:eastAsia="ja-JP"/>
        </w:rPr>
        <w:t xml:space="preserve">. </w:t>
      </w:r>
    </w:p>
    <w:p w14:paraId="5313FC52" w14:textId="77777777" w:rsidR="00493B23" w:rsidRPr="004C70EC" w:rsidRDefault="00493B23" w:rsidP="00493B23">
      <w:pPr>
        <w:pStyle w:val="Point0"/>
        <w:rPr>
          <w:rFonts w:eastAsiaTheme="minorEastAsia"/>
          <w:noProof/>
          <w:color w:val="000000" w:themeColor="text1"/>
          <w:lang w:eastAsia="ja-JP"/>
        </w:rPr>
      </w:pPr>
      <w:r w:rsidRPr="004C70EC">
        <w:rPr>
          <w:rFonts w:eastAsiaTheme="minorEastAsia"/>
          <w:noProof/>
          <w:color w:val="000000" w:themeColor="text1"/>
          <w:lang w:eastAsia="ja-JP"/>
        </w:rPr>
        <w:t>2.</w:t>
      </w:r>
      <w:r w:rsidRPr="004C70EC">
        <w:rPr>
          <w:noProof/>
          <w:color w:val="000000" w:themeColor="text1"/>
        </w:rPr>
        <w:tab/>
      </w:r>
      <w:r w:rsidRPr="004C70EC">
        <w:rPr>
          <w:rFonts w:eastAsiaTheme="minorEastAsia"/>
          <w:noProof/>
          <w:color w:val="000000" w:themeColor="text1"/>
          <w:lang w:eastAsia="ja-JP"/>
        </w:rPr>
        <w:t xml:space="preserve">Projects recognised as high impact health biotechnology strategic projects: </w:t>
      </w:r>
    </w:p>
    <w:p w14:paraId="40C3C9DB" w14:textId="3CFBD3B3" w:rsidR="00493B23" w:rsidRPr="004C70EC" w:rsidRDefault="00493B23" w:rsidP="00493B23">
      <w:pPr>
        <w:pStyle w:val="Point1"/>
        <w:rPr>
          <w:i/>
          <w:noProof/>
          <w:color w:val="000000" w:themeColor="text1"/>
          <w:lang w:eastAsia="ja-JP"/>
        </w:rPr>
      </w:pPr>
      <w:r w:rsidRPr="004C70EC">
        <w:rPr>
          <w:noProof/>
          <w:color w:val="000000" w:themeColor="text1"/>
          <w:lang w:eastAsia="ja-JP"/>
        </w:rPr>
        <w:t>(a)</w:t>
      </w:r>
      <w:r w:rsidRPr="004C70EC">
        <w:rPr>
          <w:noProof/>
        </w:rPr>
        <w:tab/>
      </w:r>
      <w:r w:rsidRPr="004C70EC">
        <w:rPr>
          <w:noProof/>
          <w:color w:val="000000" w:themeColor="text1"/>
          <w:lang w:eastAsia="ja-JP"/>
        </w:rPr>
        <w:t xml:space="preserve">may be given </w:t>
      </w:r>
      <w:r w:rsidR="00F7678C" w:rsidRPr="004C70EC">
        <w:rPr>
          <w:rFonts w:eastAsiaTheme="minorEastAsia"/>
          <w:noProof/>
          <w:color w:val="000000" w:themeColor="text1"/>
          <w:lang w:eastAsia="en-GB"/>
        </w:rPr>
        <w:t>particular</w:t>
      </w:r>
      <w:r w:rsidRPr="004C70EC">
        <w:rPr>
          <w:rFonts w:eastAsiaTheme="minorEastAsia"/>
          <w:noProof/>
          <w:color w:val="000000" w:themeColor="text1"/>
          <w:lang w:eastAsia="en-GB"/>
        </w:rPr>
        <w:t xml:space="preserve"> </w:t>
      </w:r>
      <w:r w:rsidRPr="004C70EC">
        <w:rPr>
          <w:noProof/>
          <w:color w:val="000000" w:themeColor="text1"/>
          <w:lang w:eastAsia="ja-JP"/>
        </w:rPr>
        <w:t xml:space="preserve">consideration for Union financial support including in the form of blended financing, under Union programmes, funds and financial instruments and for national support as provided </w:t>
      </w:r>
      <w:r w:rsidR="623AE453" w:rsidRPr="004C70EC">
        <w:rPr>
          <w:noProof/>
          <w:color w:val="000000" w:themeColor="text1"/>
          <w:lang w:eastAsia="ja-JP"/>
        </w:rPr>
        <w:t>for</w:t>
      </w:r>
      <w:r w:rsidR="5FADECBC" w:rsidRPr="004C70EC">
        <w:rPr>
          <w:noProof/>
          <w:color w:val="000000" w:themeColor="text1"/>
          <w:lang w:eastAsia="ja-JP"/>
        </w:rPr>
        <w:t xml:space="preserve"> </w:t>
      </w:r>
      <w:r w:rsidRPr="004C70EC">
        <w:rPr>
          <w:noProof/>
          <w:color w:val="000000" w:themeColor="text1"/>
          <w:lang w:eastAsia="ja-JP"/>
        </w:rPr>
        <w:t>in Article 2</w:t>
      </w:r>
      <w:r w:rsidR="00430E92" w:rsidRPr="004C70EC">
        <w:rPr>
          <w:noProof/>
          <w:color w:val="000000" w:themeColor="text1"/>
          <w:lang w:eastAsia="ja-JP"/>
        </w:rPr>
        <w:t>5</w:t>
      </w:r>
      <w:r w:rsidR="7D340471" w:rsidRPr="004C70EC">
        <w:rPr>
          <w:noProof/>
          <w:color w:val="000000" w:themeColor="text1"/>
          <w:lang w:eastAsia="ja-JP"/>
        </w:rPr>
        <w:t xml:space="preserve">, if the basic regulations </w:t>
      </w:r>
      <w:r>
        <w:rPr>
          <w:noProof/>
          <w:color w:val="000000" w:themeColor="text1"/>
          <w:lang w:eastAsia="ja-JP"/>
        </w:rPr>
        <w:t xml:space="preserve">setting up </w:t>
      </w:r>
      <w:r w:rsidR="7D340471" w:rsidRPr="004C70EC">
        <w:rPr>
          <w:noProof/>
          <w:color w:val="000000" w:themeColor="text1"/>
          <w:lang w:eastAsia="ja-JP"/>
        </w:rPr>
        <w:t>such</w:t>
      </w:r>
      <w:r w:rsidR="00AE7E75" w:rsidRPr="004C70EC">
        <w:rPr>
          <w:noProof/>
          <w:color w:val="000000" w:themeColor="text1"/>
          <w:lang w:eastAsia="ja-JP"/>
        </w:rPr>
        <w:t xml:space="preserve"> Union</w:t>
      </w:r>
      <w:r w:rsidR="7D340471" w:rsidRPr="004C70EC">
        <w:rPr>
          <w:noProof/>
          <w:color w:val="000000" w:themeColor="text1"/>
          <w:lang w:eastAsia="ja-JP"/>
        </w:rPr>
        <w:t xml:space="preserve"> programmes allow it</w:t>
      </w:r>
      <w:r w:rsidR="00AE7E75" w:rsidRPr="004C70EC">
        <w:rPr>
          <w:noProof/>
          <w:color w:val="000000" w:themeColor="text1"/>
          <w:lang w:eastAsia="ja-JP"/>
        </w:rPr>
        <w:t xml:space="preserve">; </w:t>
      </w:r>
    </w:p>
    <w:p w14:paraId="3223AEE6" w14:textId="77777777" w:rsidR="00493B23" w:rsidRPr="004C70EC" w:rsidRDefault="00493B23" w:rsidP="00493B23">
      <w:pPr>
        <w:pStyle w:val="Point1"/>
        <w:rPr>
          <w:rFonts w:eastAsiaTheme="minorEastAsia"/>
          <w:i/>
          <w:noProof/>
          <w:color w:val="000000" w:themeColor="text1"/>
          <w:lang w:eastAsia="ja-JP"/>
        </w:rPr>
      </w:pPr>
      <w:r w:rsidRPr="004C70EC">
        <w:rPr>
          <w:rFonts w:eastAsiaTheme="minorEastAsia"/>
          <w:noProof/>
          <w:color w:val="000000" w:themeColor="text1"/>
          <w:lang w:eastAsia="ja-JP"/>
        </w:rPr>
        <w:t>(b)</w:t>
      </w:r>
      <w:r w:rsidRPr="004C70EC">
        <w:rPr>
          <w:noProof/>
        </w:rPr>
        <w:tab/>
      </w:r>
      <w:r w:rsidRPr="004C70EC">
        <w:rPr>
          <w:rFonts w:eastAsiaTheme="minorEastAsia"/>
          <w:noProof/>
          <w:color w:val="000000" w:themeColor="text1"/>
          <w:lang w:eastAsia="ja-JP"/>
        </w:rPr>
        <w:t>shall benefit from priority status in administrative procedures, including in the permit</w:t>
      </w:r>
      <w:r w:rsidR="0F7D79D4" w:rsidRPr="004C70EC">
        <w:rPr>
          <w:rFonts w:eastAsiaTheme="minorEastAsia"/>
          <w:noProof/>
          <w:color w:val="000000" w:themeColor="text1"/>
          <w:lang w:eastAsia="ja-JP"/>
        </w:rPr>
        <w:t>-</w:t>
      </w:r>
      <w:r w:rsidRPr="004C70EC">
        <w:rPr>
          <w:rFonts w:eastAsiaTheme="minorEastAsia"/>
          <w:noProof/>
          <w:color w:val="000000" w:themeColor="text1"/>
          <w:lang w:eastAsia="ja-JP"/>
        </w:rPr>
        <w:t>granting process, as provided for in Article 1</w:t>
      </w:r>
      <w:r w:rsidR="00D50BEB" w:rsidRPr="004C70EC">
        <w:rPr>
          <w:rFonts w:eastAsiaTheme="minorEastAsia"/>
          <w:noProof/>
          <w:color w:val="000000" w:themeColor="text1"/>
          <w:lang w:eastAsia="ja-JP"/>
        </w:rPr>
        <w:t>2</w:t>
      </w:r>
      <w:r w:rsidRPr="004C70EC">
        <w:rPr>
          <w:rFonts w:eastAsiaTheme="minorEastAsia"/>
          <w:noProof/>
          <w:color w:val="000000" w:themeColor="text1"/>
          <w:lang w:eastAsia="ja-JP"/>
        </w:rPr>
        <w:t>]and of priority access to administrative support referred to in Article 1</w:t>
      </w:r>
      <w:r w:rsidR="00D50BEB" w:rsidRPr="004C70EC">
        <w:rPr>
          <w:rFonts w:eastAsiaTheme="minorEastAsia"/>
          <w:noProof/>
          <w:color w:val="000000" w:themeColor="text1"/>
          <w:lang w:eastAsia="ja-JP"/>
        </w:rPr>
        <w:t>3</w:t>
      </w:r>
      <w:r w:rsidRPr="004C70EC">
        <w:rPr>
          <w:rFonts w:eastAsiaTheme="minorEastAsia"/>
          <w:noProof/>
          <w:color w:val="000000" w:themeColor="text1"/>
          <w:lang w:eastAsia="ja-JP"/>
        </w:rPr>
        <w:t xml:space="preserve">. </w:t>
      </w:r>
    </w:p>
    <w:p w14:paraId="1DF98D51" w14:textId="77777777" w:rsidR="00493B23" w:rsidRPr="004C70EC" w:rsidRDefault="00A80A89" w:rsidP="00493B23">
      <w:pPr>
        <w:pStyle w:val="Point0"/>
        <w:rPr>
          <w:rFonts w:eastAsiaTheme="minorEastAsia"/>
          <w:noProof/>
          <w:color w:val="000000" w:themeColor="text1"/>
          <w:lang w:eastAsia="ja-JP"/>
        </w:rPr>
      </w:pPr>
      <w:r w:rsidRPr="004C70EC">
        <w:rPr>
          <w:rFonts w:eastAsia="Times New Roman"/>
          <w:noProof/>
          <w:color w:val="000000" w:themeColor="text1"/>
          <w:lang w:eastAsia="en-GB"/>
        </w:rPr>
        <w:t>3</w:t>
      </w:r>
      <w:r w:rsidR="00493B23" w:rsidRPr="004C70EC">
        <w:rPr>
          <w:rFonts w:eastAsia="Times New Roman"/>
          <w:noProof/>
          <w:color w:val="000000" w:themeColor="text1"/>
          <w:lang w:eastAsia="en-GB"/>
        </w:rPr>
        <w:t>.</w:t>
      </w:r>
      <w:r w:rsidR="00493B23" w:rsidRPr="004C70EC">
        <w:rPr>
          <w:noProof/>
        </w:rPr>
        <w:tab/>
      </w:r>
      <w:r w:rsidR="00493B23" w:rsidRPr="004C70EC">
        <w:rPr>
          <w:rFonts w:eastAsia="Times New Roman"/>
          <w:noProof/>
          <w:color w:val="000000" w:themeColor="text1"/>
          <w:lang w:eastAsia="en-GB"/>
        </w:rPr>
        <w:t>The Commission, in cooperation with the Member States and, where appropriate</w:t>
      </w:r>
      <w:r w:rsidR="6FFF3DD8" w:rsidRPr="004C70EC">
        <w:rPr>
          <w:rFonts w:eastAsia="Times New Roman"/>
          <w:noProof/>
          <w:color w:val="000000" w:themeColor="text1"/>
          <w:lang w:eastAsia="en-GB"/>
        </w:rPr>
        <w:t>,</w:t>
      </w:r>
      <w:r w:rsidR="00493B23" w:rsidRPr="004C70EC">
        <w:rPr>
          <w:rFonts w:eastAsia="Times New Roman"/>
          <w:noProof/>
          <w:color w:val="000000" w:themeColor="text1"/>
          <w:lang w:eastAsia="en-GB"/>
        </w:rPr>
        <w:t xml:space="preserve"> with the</w:t>
      </w:r>
      <w:r w:rsidR="00D50BEB" w:rsidRPr="004C70EC">
        <w:rPr>
          <w:rFonts w:eastAsia="Times New Roman"/>
          <w:noProof/>
          <w:color w:val="000000" w:themeColor="text1"/>
          <w:lang w:eastAsia="en-GB"/>
        </w:rPr>
        <w:t xml:space="preserve"> Steering Group referred to in Article</w:t>
      </w:r>
      <w:r w:rsidR="00493B23" w:rsidRPr="004C70EC">
        <w:rPr>
          <w:rFonts w:eastAsia="Times New Roman"/>
          <w:noProof/>
          <w:color w:val="000000" w:themeColor="text1"/>
          <w:lang w:eastAsia="en-GB"/>
        </w:rPr>
        <w:t xml:space="preserve"> </w:t>
      </w:r>
      <w:r w:rsidR="00D50BEB" w:rsidRPr="004C70EC">
        <w:rPr>
          <w:rFonts w:eastAsia="Times New Roman"/>
          <w:noProof/>
          <w:color w:val="000000" w:themeColor="text1"/>
          <w:lang w:eastAsia="en-GB"/>
        </w:rPr>
        <w:t>2</w:t>
      </w:r>
      <w:r w:rsidR="00430E92" w:rsidRPr="004C70EC">
        <w:rPr>
          <w:rFonts w:eastAsia="Times New Roman"/>
          <w:noProof/>
          <w:color w:val="000000" w:themeColor="text1"/>
          <w:lang w:eastAsia="en-GB"/>
        </w:rPr>
        <w:t>0</w:t>
      </w:r>
      <w:r w:rsidR="00493B23" w:rsidRPr="004C70EC">
        <w:rPr>
          <w:rFonts w:eastAsia="Times New Roman"/>
          <w:noProof/>
          <w:color w:val="000000" w:themeColor="text1"/>
          <w:lang w:eastAsia="en-GB"/>
        </w:rPr>
        <w:t xml:space="preserve">, shall take the following measures to support the implementation of </w:t>
      </w:r>
      <w:r w:rsidR="00493B23" w:rsidRPr="004C70EC">
        <w:rPr>
          <w:rFonts w:eastAsia="Times New Roman"/>
          <w:noProof/>
          <w:color w:val="000000" w:themeColor="text1"/>
          <w:lang w:val="en-IE" w:eastAsia="de-DE"/>
        </w:rPr>
        <w:t xml:space="preserve">health </w:t>
      </w:r>
      <w:r w:rsidR="00493B23" w:rsidRPr="004C70EC">
        <w:rPr>
          <w:rFonts w:eastAsia="Times New Roman"/>
          <w:noProof/>
          <w:color w:val="000000" w:themeColor="text1"/>
          <w:lang w:eastAsia="en-GB"/>
        </w:rPr>
        <w:t>biotechn</w:t>
      </w:r>
      <w:r w:rsidR="00493B23" w:rsidRPr="004C70EC">
        <w:rPr>
          <w:rFonts w:eastAsiaTheme="minorEastAsia"/>
          <w:noProof/>
          <w:color w:val="000000" w:themeColor="text1"/>
          <w:lang w:eastAsia="ja-JP"/>
        </w:rPr>
        <w:t xml:space="preserve">ology </w:t>
      </w:r>
      <w:r w:rsidR="00493B23" w:rsidRPr="004C70EC">
        <w:rPr>
          <w:rFonts w:eastAsia="Times New Roman"/>
          <w:noProof/>
          <w:color w:val="000000" w:themeColor="text1"/>
          <w:lang w:eastAsia="en-GB"/>
        </w:rPr>
        <w:t>strategic projects</w:t>
      </w:r>
      <w:r w:rsidR="00493B23" w:rsidRPr="004C70EC">
        <w:rPr>
          <w:rFonts w:eastAsiaTheme="minorEastAsia"/>
          <w:noProof/>
          <w:color w:val="000000" w:themeColor="text1"/>
          <w:lang w:eastAsia="ja-JP"/>
        </w:rPr>
        <w:t xml:space="preserve"> and of high impact </w:t>
      </w:r>
      <w:r w:rsidR="00493B23" w:rsidRPr="004C70EC">
        <w:rPr>
          <w:rFonts w:eastAsia="Times New Roman"/>
          <w:noProof/>
          <w:color w:val="000000" w:themeColor="text1"/>
          <w:lang w:val="en-IE" w:eastAsia="de-DE"/>
        </w:rPr>
        <w:t xml:space="preserve">health </w:t>
      </w:r>
      <w:r w:rsidR="00493B23" w:rsidRPr="004C70EC">
        <w:rPr>
          <w:rFonts w:eastAsiaTheme="minorEastAsia"/>
          <w:noProof/>
          <w:color w:val="000000" w:themeColor="text1"/>
          <w:lang w:eastAsia="ja-JP"/>
        </w:rPr>
        <w:t xml:space="preserve">biotechnology strategic </w:t>
      </w:r>
      <w:r w:rsidR="00493B23" w:rsidRPr="004C70EC">
        <w:rPr>
          <w:rFonts w:eastAsia="Times New Roman"/>
          <w:noProof/>
          <w:color w:val="000000" w:themeColor="text1"/>
          <w:lang w:eastAsia="en-GB"/>
        </w:rPr>
        <w:t xml:space="preserve">projects, including through the EU Health Biotechnology Support Network referred to in Article </w:t>
      </w:r>
      <w:r w:rsidR="00430E92" w:rsidRPr="004C70EC">
        <w:rPr>
          <w:rFonts w:eastAsia="Times New Roman"/>
          <w:noProof/>
          <w:color w:val="000000" w:themeColor="text1"/>
          <w:lang w:eastAsia="en-GB"/>
        </w:rPr>
        <w:t>19</w:t>
      </w:r>
      <w:r w:rsidR="00493B23" w:rsidRPr="004C70EC">
        <w:rPr>
          <w:rFonts w:eastAsia="Times New Roman"/>
          <w:noProof/>
          <w:color w:val="000000" w:themeColor="text1"/>
          <w:lang w:eastAsia="en-GB"/>
        </w:rPr>
        <w:t>:</w:t>
      </w:r>
      <w:r w:rsidR="00493B23" w:rsidRPr="004C70EC">
        <w:rPr>
          <w:rFonts w:eastAsiaTheme="minorEastAsia"/>
          <w:noProof/>
          <w:color w:val="000000" w:themeColor="text1"/>
          <w:lang w:eastAsia="ja-JP"/>
        </w:rPr>
        <w:t xml:space="preserve"> </w:t>
      </w:r>
    </w:p>
    <w:p w14:paraId="09AF1526" w14:textId="77777777" w:rsidR="00493B23" w:rsidRPr="004C70EC" w:rsidRDefault="00493B23" w:rsidP="00493B23">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(a)</w:t>
      </w:r>
      <w:r w:rsidRPr="004C70EC">
        <w:rPr>
          <w:noProof/>
          <w:color w:val="000000" w:themeColor="text1"/>
          <w:szCs w:val="24"/>
        </w:rPr>
        <w:tab/>
      </w:r>
      <w:r w:rsidRPr="004C70EC">
        <w:rPr>
          <w:rFonts w:eastAsiaTheme="minorEastAsia"/>
          <w:noProof/>
          <w:color w:val="000000" w:themeColor="text1"/>
          <w:szCs w:val="24"/>
          <w:lang w:eastAsia="ja-JP"/>
        </w:rPr>
        <w:t>support project promoters in identifying funding opportunities at Union level, and facilitate the liaison between project promoters and investors;</w:t>
      </w:r>
    </w:p>
    <w:p w14:paraId="1CCB198A" w14:textId="77777777" w:rsidR="00C05B35" w:rsidRPr="004C70EC" w:rsidRDefault="00493B23" w:rsidP="00C05B35">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(b)</w:t>
      </w:r>
      <w:r w:rsidRPr="004C70EC">
        <w:rPr>
          <w:rFonts w:eastAsiaTheme="minorEastAsia"/>
          <w:noProof/>
          <w:color w:val="000000" w:themeColor="text1"/>
          <w:szCs w:val="24"/>
          <w:lang w:eastAsia="ja-JP"/>
        </w:rPr>
        <w:tab/>
        <w:t>promote actions that strengthen the biotechnology innovation ecosystem</w:t>
      </w:r>
      <w:r w:rsidR="00C05B35" w:rsidRPr="004C70EC">
        <w:rPr>
          <w:rFonts w:eastAsiaTheme="minorEastAsia"/>
          <w:noProof/>
          <w:color w:val="000000" w:themeColor="text1"/>
          <w:szCs w:val="24"/>
          <w:lang w:eastAsia="ja-JP"/>
        </w:rPr>
        <w:t>;</w:t>
      </w:r>
    </w:p>
    <w:p w14:paraId="369F8898" w14:textId="77777777" w:rsidR="00493B23" w:rsidRPr="004C70EC" w:rsidRDefault="00C05B35" w:rsidP="00C05B35">
      <w:pPr>
        <w:pStyle w:val="Point1"/>
        <w:rPr>
          <w:rFonts w:eastAsiaTheme="minorEastAsia"/>
          <w:noProof/>
          <w:color w:val="000000" w:themeColor="text1"/>
          <w:szCs w:val="24"/>
          <w:lang w:eastAsia="ja-JP"/>
        </w:rPr>
      </w:pPr>
      <w:r w:rsidRPr="004C70EC">
        <w:rPr>
          <w:noProof/>
          <w:color w:val="000000" w:themeColor="text1"/>
        </w:rPr>
        <w:t>(c)</w:t>
      </w:r>
      <w:r w:rsidRPr="004C70EC">
        <w:rPr>
          <w:noProof/>
          <w:color w:val="000000" w:themeColor="text1"/>
        </w:rPr>
        <w:tab/>
      </w:r>
      <w:r w:rsidR="00493B23" w:rsidRPr="004C70EC">
        <w:rPr>
          <w:noProof/>
          <w:color w:val="000000" w:themeColor="text1"/>
        </w:rPr>
        <w:t xml:space="preserve">facilitating access, in particular for </w:t>
      </w:r>
      <w:r w:rsidR="00BD2BE0" w:rsidRPr="004C70EC">
        <w:rPr>
          <w:noProof/>
          <w:color w:val="000000" w:themeColor="text1"/>
        </w:rPr>
        <w:t>SMEs</w:t>
      </w:r>
      <w:r w:rsidR="00493B23" w:rsidRPr="004C70EC">
        <w:rPr>
          <w:noProof/>
          <w:color w:val="000000" w:themeColor="text1"/>
        </w:rPr>
        <w:t xml:space="preserve">, to relevant research and technological infrastructures, including where such infrastructures are funded </w:t>
      </w:r>
      <w:r w:rsidR="00AE7E75" w:rsidRPr="004C70EC">
        <w:rPr>
          <w:noProof/>
          <w:color w:val="000000" w:themeColor="text1"/>
        </w:rPr>
        <w:t>through</w:t>
      </w:r>
      <w:r w:rsidR="00493B23" w:rsidRPr="004C70EC">
        <w:rPr>
          <w:noProof/>
          <w:color w:val="000000" w:themeColor="text1"/>
        </w:rPr>
        <w:t xml:space="preserve"> Union funding programmes, funds and financial instruments.</w:t>
      </w:r>
    </w:p>
    <w:p w14:paraId="2147F14F" w14:textId="77777777" w:rsidR="00A76502" w:rsidRPr="004C70EC" w:rsidRDefault="00A76502" w:rsidP="00A80A89">
      <w:pPr>
        <w:pStyle w:val="Titrearticle"/>
        <w:rPr>
          <w:i w:val="0"/>
          <w:noProof/>
          <w:color w:val="000000" w:themeColor="text1"/>
        </w:rPr>
      </w:pPr>
      <w:r w:rsidRPr="004C70EC">
        <w:rPr>
          <w:noProof/>
          <w:color w:val="000000" w:themeColor="text1"/>
        </w:rPr>
        <w:t xml:space="preserve">Article </w:t>
      </w:r>
      <w:r w:rsidR="006116D3" w:rsidRPr="004C70EC">
        <w:rPr>
          <w:noProof/>
          <w:color w:val="000000" w:themeColor="text1"/>
        </w:rPr>
        <w:t>1</w:t>
      </w:r>
      <w:r w:rsidR="00D93646" w:rsidRPr="004C70EC">
        <w:rPr>
          <w:noProof/>
          <w:color w:val="000000" w:themeColor="text1"/>
        </w:rPr>
        <w:t>5</w:t>
      </w:r>
    </w:p>
    <w:p w14:paraId="60011F1E" w14:textId="77777777" w:rsidR="00A76502" w:rsidRPr="004C70EC" w:rsidRDefault="00A76502" w:rsidP="00A76502">
      <w:pPr>
        <w:keepNext/>
        <w:keepLines/>
        <w:spacing w:before="160" w:after="80" w:line="279" w:lineRule="auto"/>
        <w:jc w:val="center"/>
        <w:outlineLvl w:val="2"/>
        <w:rPr>
          <w:rFonts w:eastAsiaTheme="majorEastAsia"/>
          <w:i/>
          <w:noProof/>
          <w:color w:val="000000" w:themeColor="text1"/>
          <w:lang w:eastAsia="ja-JP"/>
        </w:rPr>
      </w:pPr>
      <w:r w:rsidRPr="004C70EC">
        <w:rPr>
          <w:rFonts w:eastAsiaTheme="majorEastAsia"/>
          <w:b/>
          <w:noProof/>
          <w:color w:val="000000" w:themeColor="text1"/>
          <w:lang w:eastAsia="ja-JP"/>
        </w:rPr>
        <w:t>Networks of health biotechnology clusters</w:t>
      </w:r>
    </w:p>
    <w:p w14:paraId="26139D50" w14:textId="77777777" w:rsidR="00A76502" w:rsidRPr="004C70EC" w:rsidRDefault="00000416" w:rsidP="0058181D">
      <w:pPr>
        <w:pStyle w:val="Point0"/>
        <w:rPr>
          <w:rFonts w:eastAsiaTheme="minorEastAsia"/>
          <w:noProof/>
          <w:color w:val="000000" w:themeColor="text1"/>
          <w:lang w:eastAsia="ja-JP"/>
        </w:rPr>
      </w:pPr>
      <w:r w:rsidRPr="004C70EC">
        <w:rPr>
          <w:rFonts w:eastAsiaTheme="minorEastAsia"/>
          <w:noProof/>
          <w:color w:val="000000" w:themeColor="text1"/>
          <w:szCs w:val="24"/>
          <w:lang w:eastAsia="ja-JP"/>
        </w:rPr>
        <w:t>1.</w:t>
      </w:r>
      <w:r w:rsidRPr="004C70EC">
        <w:rPr>
          <w:rFonts w:eastAsiaTheme="minorEastAsia"/>
          <w:noProof/>
          <w:color w:val="000000" w:themeColor="text1"/>
          <w:szCs w:val="24"/>
          <w:lang w:eastAsia="ja-JP"/>
        </w:rPr>
        <w:tab/>
      </w:r>
      <w:r w:rsidR="00A76502" w:rsidRPr="004C70EC">
        <w:rPr>
          <w:rFonts w:eastAsiaTheme="minorEastAsia"/>
          <w:noProof/>
          <w:color w:val="000000" w:themeColor="text1"/>
          <w:szCs w:val="24"/>
          <w:lang w:eastAsia="ja-JP"/>
        </w:rPr>
        <w:t xml:space="preserve">The Commission and the Member States shall promote and facilitate the cooperation and the establishment of networks among promoters of </w:t>
      </w:r>
      <w:r w:rsidR="00A76502" w:rsidRPr="004C70EC">
        <w:rPr>
          <w:rFonts w:eastAsia="Times New Roman"/>
          <w:noProof/>
          <w:color w:val="000000" w:themeColor="text1"/>
          <w:lang w:val="en-IE" w:eastAsia="de-DE"/>
        </w:rPr>
        <w:t xml:space="preserve">health </w:t>
      </w:r>
      <w:r w:rsidR="00A76502" w:rsidRPr="004C70EC">
        <w:rPr>
          <w:rFonts w:eastAsiaTheme="minorEastAsia"/>
          <w:noProof/>
          <w:color w:val="000000" w:themeColor="text1"/>
          <w:szCs w:val="24"/>
          <w:lang w:eastAsia="ja-JP"/>
        </w:rPr>
        <w:t xml:space="preserve">biotechnology strategic projects, of </w:t>
      </w:r>
      <w:r w:rsidR="00A76502" w:rsidRPr="004C70EC">
        <w:rPr>
          <w:rFonts w:eastAsia="Times New Roman"/>
          <w:noProof/>
          <w:color w:val="000000" w:themeColor="text1"/>
          <w:szCs w:val="24"/>
          <w:lang w:eastAsia="en-GB"/>
        </w:rPr>
        <w:t xml:space="preserve">high impact </w:t>
      </w:r>
      <w:r w:rsidR="00A76502" w:rsidRPr="004C70EC">
        <w:rPr>
          <w:rFonts w:eastAsia="Times New Roman"/>
          <w:noProof/>
          <w:color w:val="000000" w:themeColor="text1"/>
          <w:lang w:val="en-IE" w:eastAsia="de-DE"/>
        </w:rPr>
        <w:t xml:space="preserve">health </w:t>
      </w:r>
      <w:r w:rsidR="00A76502" w:rsidRPr="004C70EC">
        <w:rPr>
          <w:rFonts w:eastAsia="Times New Roman"/>
          <w:noProof/>
          <w:color w:val="000000" w:themeColor="text1"/>
          <w:szCs w:val="24"/>
          <w:lang w:eastAsia="en-GB"/>
        </w:rPr>
        <w:t xml:space="preserve">biotechnology strategic </w:t>
      </w:r>
      <w:r w:rsidR="00A76502" w:rsidRPr="004C70EC">
        <w:rPr>
          <w:rFonts w:eastAsiaTheme="minorEastAsia"/>
          <w:noProof/>
          <w:color w:val="000000" w:themeColor="text1"/>
          <w:szCs w:val="24"/>
          <w:lang w:eastAsia="ja-JP"/>
        </w:rPr>
        <w:t>projects and other relevant actors</w:t>
      </w:r>
      <w:r w:rsidR="00476266" w:rsidRPr="004C70EC">
        <w:rPr>
          <w:rFonts w:eastAsiaTheme="minorEastAsia"/>
          <w:noProof/>
          <w:color w:val="000000" w:themeColor="text1"/>
          <w:szCs w:val="24"/>
          <w:lang w:eastAsia="ja-JP"/>
        </w:rPr>
        <w:t>. A</w:t>
      </w:r>
      <w:r w:rsidR="00A76502" w:rsidRPr="004C70EC">
        <w:rPr>
          <w:rFonts w:eastAsiaTheme="minorEastAsia"/>
          <w:noProof/>
          <w:color w:val="000000" w:themeColor="text1"/>
          <w:szCs w:val="24"/>
          <w:lang w:eastAsia="ja-JP"/>
        </w:rPr>
        <w:t xml:space="preserve"> particular focus </w:t>
      </w:r>
      <w:r w:rsidR="00476266" w:rsidRPr="004C70EC">
        <w:rPr>
          <w:rFonts w:eastAsiaTheme="minorEastAsia"/>
          <w:noProof/>
          <w:color w:val="000000" w:themeColor="text1"/>
          <w:szCs w:val="24"/>
          <w:lang w:eastAsia="ja-JP"/>
        </w:rPr>
        <w:t xml:space="preserve">shall be </w:t>
      </w:r>
      <w:r w:rsidR="0041040A" w:rsidRPr="004C70EC">
        <w:rPr>
          <w:rFonts w:eastAsiaTheme="minorEastAsia"/>
          <w:noProof/>
          <w:color w:val="000000" w:themeColor="text1"/>
          <w:szCs w:val="24"/>
          <w:lang w:eastAsia="ja-JP"/>
        </w:rPr>
        <w:t>placed on</w:t>
      </w:r>
      <w:r w:rsidR="005277C4" w:rsidRPr="004C70EC">
        <w:rPr>
          <w:rFonts w:eastAsiaTheme="minorEastAsia"/>
          <w:noProof/>
          <w:color w:val="000000" w:themeColor="text1"/>
          <w:szCs w:val="24"/>
          <w:lang w:eastAsia="ja-JP"/>
        </w:rPr>
        <w:t xml:space="preserve"> fostering</w:t>
      </w:r>
      <w:r w:rsidR="004736BE" w:rsidRPr="004C70EC">
        <w:rPr>
          <w:rFonts w:eastAsiaTheme="minorEastAsia"/>
          <w:noProof/>
          <w:color w:val="000000" w:themeColor="text1"/>
          <w:szCs w:val="24"/>
          <w:lang w:eastAsia="ja-JP"/>
        </w:rPr>
        <w:t xml:space="preserve"> </w:t>
      </w:r>
      <w:r w:rsidR="00A76502" w:rsidRPr="004C70EC">
        <w:rPr>
          <w:rFonts w:eastAsiaTheme="minorEastAsia"/>
          <w:noProof/>
          <w:color w:val="000000" w:themeColor="text1"/>
          <w:szCs w:val="24"/>
          <w:lang w:eastAsia="ja-JP"/>
        </w:rPr>
        <w:t>cross-border synergies between regional and national health biotechnology clusters</w:t>
      </w:r>
      <w:r w:rsidR="004736BE" w:rsidRPr="004C70EC">
        <w:rPr>
          <w:rFonts w:eastAsiaTheme="minorEastAsia"/>
          <w:noProof/>
          <w:color w:val="000000" w:themeColor="text1"/>
          <w:szCs w:val="24"/>
          <w:lang w:eastAsia="ja-JP"/>
        </w:rPr>
        <w:t xml:space="preserve">, and </w:t>
      </w:r>
      <w:r w:rsidR="005277C4" w:rsidRPr="004C70EC">
        <w:rPr>
          <w:rFonts w:eastAsiaTheme="minorEastAsia"/>
          <w:noProof/>
          <w:color w:val="000000" w:themeColor="text1"/>
          <w:szCs w:val="24"/>
          <w:lang w:eastAsia="ja-JP"/>
        </w:rPr>
        <w:t>on supporting</w:t>
      </w:r>
      <w:r w:rsidR="0020009F" w:rsidRPr="004C70EC">
        <w:rPr>
          <w:rFonts w:eastAsiaTheme="minorEastAsia"/>
          <w:noProof/>
          <w:color w:val="000000" w:themeColor="text1"/>
          <w:szCs w:val="24"/>
          <w:lang w:eastAsia="ja-JP"/>
        </w:rPr>
        <w:t xml:space="preserve"> </w:t>
      </w:r>
      <w:r w:rsidR="0020009F" w:rsidRPr="004C70EC">
        <w:rPr>
          <w:noProof/>
          <w:color w:val="000000" w:themeColor="text1"/>
          <w:lang w:eastAsia="ja-JP"/>
        </w:rPr>
        <w:t>t</w:t>
      </w:r>
      <w:r w:rsidR="00A76502" w:rsidRPr="004C70EC">
        <w:rPr>
          <w:noProof/>
          <w:color w:val="000000" w:themeColor="text1"/>
          <w:lang w:eastAsia="ja-JP"/>
        </w:rPr>
        <w:t xml:space="preserve">he networks constituted under the EU Competitiveness Coordination Tool </w:t>
      </w:r>
      <w:r w:rsidR="53E06583" w:rsidRPr="004C70EC">
        <w:rPr>
          <w:noProof/>
          <w:color w:val="000000" w:themeColor="text1"/>
          <w:lang w:eastAsia="ja-JP"/>
        </w:rPr>
        <w:t>pilot</w:t>
      </w:r>
      <w:r w:rsidR="006911BE" w:rsidRPr="004C70EC">
        <w:rPr>
          <w:noProof/>
          <w:color w:val="000000" w:themeColor="text1"/>
          <w:lang w:eastAsia="ja-JP"/>
        </w:rPr>
        <w:t xml:space="preserve">, </w:t>
      </w:r>
      <w:r w:rsidR="006911BE" w:rsidRPr="004C70EC">
        <w:rPr>
          <w:rFonts w:eastAsiaTheme="minorEastAsia"/>
          <w:noProof/>
          <w:color w:val="000000" w:themeColor="text1"/>
          <w:lang w:eastAsia="ja-JP"/>
        </w:rPr>
        <w:t>in full compliance with EU competition law</w:t>
      </w:r>
      <w:r w:rsidR="006911BE" w:rsidRPr="004C70EC">
        <w:rPr>
          <w:noProof/>
          <w:color w:val="000000" w:themeColor="text1"/>
          <w:lang w:eastAsia="ja-JP"/>
        </w:rPr>
        <w:t>.</w:t>
      </w:r>
    </w:p>
    <w:p w14:paraId="5986D09D" w14:textId="77777777" w:rsidR="00A76502" w:rsidRPr="004C70EC" w:rsidRDefault="00A76502" w:rsidP="00B528D0">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2.</w:t>
      </w:r>
      <w:r w:rsidRPr="004C70EC">
        <w:rPr>
          <w:rFonts w:eastAsiaTheme="minorEastAsia"/>
          <w:noProof/>
          <w:color w:val="000000" w:themeColor="text1"/>
          <w:szCs w:val="24"/>
          <w:lang w:eastAsia="ja-JP"/>
        </w:rPr>
        <w:tab/>
        <w:t xml:space="preserve">Such networks shall fulfil one or more of the following activities: </w:t>
      </w:r>
    </w:p>
    <w:p w14:paraId="23FE0CF9" w14:textId="77777777" w:rsidR="00A76502" w:rsidRPr="004C70EC" w:rsidRDefault="00B565F5" w:rsidP="00A76502">
      <w:pPr>
        <w:pStyle w:val="Point1"/>
        <w:rPr>
          <w:noProof/>
          <w:color w:val="000000" w:themeColor="text1"/>
        </w:rPr>
      </w:pPr>
      <w:r w:rsidRPr="004C70EC">
        <w:rPr>
          <w:noProof/>
          <w:color w:val="000000" w:themeColor="text1"/>
        </w:rPr>
        <w:t>(</w:t>
      </w:r>
      <w:r w:rsidR="00A76502" w:rsidRPr="004C70EC">
        <w:rPr>
          <w:noProof/>
          <w:color w:val="000000" w:themeColor="text1"/>
        </w:rPr>
        <w:t>a)</w:t>
      </w:r>
      <w:r w:rsidR="00A76502" w:rsidRPr="004C70EC">
        <w:rPr>
          <w:noProof/>
          <w:color w:val="000000" w:themeColor="text1"/>
        </w:rPr>
        <w:tab/>
        <w:t>facilitate synergies between innovation ecosystems at local, regional and Union levels;</w:t>
      </w:r>
    </w:p>
    <w:p w14:paraId="6444828C" w14:textId="77777777" w:rsidR="00A76502" w:rsidRPr="004C70EC" w:rsidRDefault="00B565F5" w:rsidP="00A76502">
      <w:pPr>
        <w:pStyle w:val="Point1"/>
        <w:rPr>
          <w:noProof/>
          <w:color w:val="000000" w:themeColor="text1"/>
        </w:rPr>
      </w:pPr>
      <w:r w:rsidRPr="004C70EC">
        <w:rPr>
          <w:noProof/>
          <w:color w:val="000000" w:themeColor="text1"/>
        </w:rPr>
        <w:t>(</w:t>
      </w:r>
      <w:r w:rsidR="00A76502" w:rsidRPr="004C70EC">
        <w:rPr>
          <w:noProof/>
          <w:color w:val="000000" w:themeColor="text1"/>
        </w:rPr>
        <w:t>b)</w:t>
      </w:r>
      <w:r w:rsidR="00A76502" w:rsidRPr="004C70EC">
        <w:rPr>
          <w:noProof/>
          <w:color w:val="000000" w:themeColor="text1"/>
        </w:rPr>
        <w:tab/>
        <w:t>support the establishing of EU-wide interregional biotechnology value chains;</w:t>
      </w:r>
    </w:p>
    <w:p w14:paraId="335129C0" w14:textId="77777777" w:rsidR="00A76502" w:rsidRPr="004C70EC" w:rsidRDefault="00B565F5" w:rsidP="00A76502">
      <w:pPr>
        <w:pStyle w:val="Point1"/>
        <w:rPr>
          <w:noProof/>
          <w:color w:val="000000" w:themeColor="text1"/>
          <w:szCs w:val="24"/>
        </w:rPr>
      </w:pPr>
      <w:r w:rsidRPr="004C70EC">
        <w:rPr>
          <w:noProof/>
          <w:color w:val="000000" w:themeColor="text1"/>
          <w:szCs w:val="24"/>
        </w:rPr>
        <w:t>(</w:t>
      </w:r>
      <w:r w:rsidR="00A76502" w:rsidRPr="004C70EC">
        <w:rPr>
          <w:noProof/>
          <w:color w:val="000000" w:themeColor="text1"/>
          <w:szCs w:val="24"/>
        </w:rPr>
        <w:t>c)</w:t>
      </w:r>
      <w:r w:rsidR="00A76502" w:rsidRPr="004C70EC">
        <w:rPr>
          <w:noProof/>
          <w:color w:val="000000" w:themeColor="text1"/>
          <w:szCs w:val="24"/>
        </w:rPr>
        <w:tab/>
        <w:t>pool national and Union resources and facilities across several Member States, bridging and upscaling research, pilot and industrial-scale biomanufacturing, including through cooperation between regional biotechnology clusters;</w:t>
      </w:r>
    </w:p>
    <w:p w14:paraId="4BBB6C03" w14:textId="77777777" w:rsidR="00A76502" w:rsidRPr="004C70EC" w:rsidRDefault="00B565F5" w:rsidP="00A76502">
      <w:pPr>
        <w:pStyle w:val="Point1"/>
        <w:rPr>
          <w:noProof/>
          <w:color w:val="000000" w:themeColor="text1"/>
          <w:szCs w:val="24"/>
        </w:rPr>
      </w:pPr>
      <w:r w:rsidRPr="004C70EC">
        <w:rPr>
          <w:noProof/>
          <w:color w:val="000000" w:themeColor="text1"/>
          <w:szCs w:val="24"/>
        </w:rPr>
        <w:t>(</w:t>
      </w:r>
      <w:r w:rsidR="00A76502" w:rsidRPr="004C70EC">
        <w:rPr>
          <w:noProof/>
          <w:color w:val="000000" w:themeColor="text1"/>
          <w:szCs w:val="24"/>
        </w:rPr>
        <w:t>d)</w:t>
      </w:r>
      <w:r w:rsidR="00A76502" w:rsidRPr="004C70EC">
        <w:rPr>
          <w:noProof/>
          <w:color w:val="000000" w:themeColor="text1"/>
          <w:szCs w:val="24"/>
        </w:rPr>
        <w:tab/>
        <w:t xml:space="preserve">provide transparent, open, and non-discriminatory cross-border access </w:t>
      </w:r>
      <w:r w:rsidR="00D625D0" w:rsidRPr="004C70EC">
        <w:rPr>
          <w:noProof/>
          <w:color w:val="000000" w:themeColor="text1"/>
          <w:szCs w:val="24"/>
        </w:rPr>
        <w:t xml:space="preserve">at market prices </w:t>
      </w:r>
      <w:r w:rsidR="00A76502" w:rsidRPr="004C70EC">
        <w:rPr>
          <w:noProof/>
          <w:color w:val="000000" w:themeColor="text1"/>
          <w:szCs w:val="24"/>
        </w:rPr>
        <w:t>to research organisations, SMEs</w:t>
      </w:r>
      <w:r w:rsidR="00A76502" w:rsidRPr="004C70EC">
        <w:rPr>
          <w:rFonts w:eastAsiaTheme="majorEastAsia"/>
          <w:noProof/>
          <w:color w:val="000000" w:themeColor="text1"/>
          <w:szCs w:val="24"/>
          <w:lang w:eastAsia="ja-JP"/>
        </w:rPr>
        <w:t>, start-ups and scale-ups</w:t>
      </w:r>
      <w:r w:rsidR="00A76502" w:rsidRPr="004C70EC">
        <w:rPr>
          <w:noProof/>
          <w:color w:val="000000" w:themeColor="text1"/>
          <w:szCs w:val="24"/>
        </w:rPr>
        <w:t>, healthcare providers, and industrial actors from across the Union;</w:t>
      </w:r>
    </w:p>
    <w:p w14:paraId="702B90F2" w14:textId="77777777" w:rsidR="00A76502" w:rsidRPr="004C70EC" w:rsidRDefault="780DEC5A" w:rsidP="33CE1D06">
      <w:pPr>
        <w:pStyle w:val="Point1"/>
        <w:rPr>
          <w:noProof/>
          <w:color w:val="000000" w:themeColor="text1"/>
        </w:rPr>
      </w:pPr>
      <w:r w:rsidRPr="004C70EC">
        <w:rPr>
          <w:noProof/>
          <w:color w:val="000000" w:themeColor="text1"/>
        </w:rPr>
        <w:t>(</w:t>
      </w:r>
      <w:r w:rsidR="4BE69D49" w:rsidRPr="004C70EC">
        <w:rPr>
          <w:noProof/>
          <w:color w:val="000000" w:themeColor="text1"/>
        </w:rPr>
        <w:t>e)</w:t>
      </w:r>
      <w:r w:rsidR="008C059F" w:rsidRPr="004C70EC">
        <w:rPr>
          <w:noProof/>
          <w:color w:val="000000" w:themeColor="text1"/>
        </w:rPr>
        <w:tab/>
      </w:r>
      <w:r w:rsidR="4BE69D49" w:rsidRPr="004C70EC">
        <w:rPr>
          <w:noProof/>
          <w:color w:val="000000" w:themeColor="text1"/>
        </w:rPr>
        <w:t>facilitate knowledge transfer, standardisation</w:t>
      </w:r>
      <w:r w:rsidR="572E3F02" w:rsidRPr="004C70EC">
        <w:rPr>
          <w:noProof/>
          <w:color w:val="000000" w:themeColor="text1"/>
        </w:rPr>
        <w:t xml:space="preserve"> and</w:t>
      </w:r>
      <w:r w:rsidR="4BE69D49" w:rsidRPr="004C70EC">
        <w:rPr>
          <w:noProof/>
          <w:color w:val="000000" w:themeColor="text1"/>
        </w:rPr>
        <w:t xml:space="preserve"> inter-cluster collaboration</w:t>
      </w:r>
      <w:r w:rsidR="01CF825D" w:rsidRPr="004C70EC">
        <w:rPr>
          <w:noProof/>
          <w:color w:val="000000" w:themeColor="text1"/>
        </w:rPr>
        <w:t xml:space="preserve">, in line with </w:t>
      </w:r>
      <w:r w:rsidR="00AE7E75" w:rsidRPr="004C70EC">
        <w:rPr>
          <w:noProof/>
          <w:color w:val="000000" w:themeColor="text1"/>
        </w:rPr>
        <w:t>c</w:t>
      </w:r>
      <w:r w:rsidR="01CF825D" w:rsidRPr="004C70EC">
        <w:rPr>
          <w:noProof/>
          <w:color w:val="000000" w:themeColor="text1"/>
        </w:rPr>
        <w:t>ompetition rules,</w:t>
      </w:r>
      <w:r w:rsidR="4BE69D49" w:rsidRPr="004C70EC">
        <w:rPr>
          <w:noProof/>
          <w:color w:val="000000" w:themeColor="text1"/>
        </w:rPr>
        <w:t xml:space="preserve"> and the dissemination of best practices; </w:t>
      </w:r>
    </w:p>
    <w:p w14:paraId="5264764B" w14:textId="77777777" w:rsidR="00A76502" w:rsidRPr="004C70EC" w:rsidRDefault="008C059F" w:rsidP="00A76502">
      <w:pPr>
        <w:pStyle w:val="Point1"/>
        <w:rPr>
          <w:noProof/>
          <w:color w:val="000000" w:themeColor="text1"/>
          <w:szCs w:val="24"/>
        </w:rPr>
      </w:pPr>
      <w:r w:rsidRPr="004C70EC">
        <w:rPr>
          <w:noProof/>
          <w:color w:val="000000" w:themeColor="text1"/>
          <w:szCs w:val="24"/>
        </w:rPr>
        <w:t>(</w:t>
      </w:r>
      <w:r w:rsidR="00A76502" w:rsidRPr="004C70EC">
        <w:rPr>
          <w:noProof/>
          <w:color w:val="000000" w:themeColor="text1"/>
          <w:szCs w:val="24"/>
        </w:rPr>
        <w:t>f)</w:t>
      </w:r>
      <w:r w:rsidR="00A76502" w:rsidRPr="004C70EC">
        <w:rPr>
          <w:noProof/>
          <w:color w:val="000000" w:themeColor="text1"/>
          <w:szCs w:val="24"/>
        </w:rPr>
        <w:tab/>
        <w:t>promote the development of infrastructure and digital platforms, and AI-enabled technologies supporting biotechnology and biomanufacturing.</w:t>
      </w:r>
    </w:p>
    <w:p w14:paraId="731B081D" w14:textId="77777777" w:rsidR="00A76502" w:rsidRPr="004C70EC" w:rsidRDefault="008C059F" w:rsidP="00A76502">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3</w:t>
      </w:r>
      <w:r w:rsidR="00A76502" w:rsidRPr="004C70EC">
        <w:rPr>
          <w:rFonts w:eastAsiaTheme="minorEastAsia"/>
          <w:noProof/>
          <w:color w:val="000000" w:themeColor="text1"/>
          <w:szCs w:val="24"/>
          <w:lang w:eastAsia="ja-JP"/>
        </w:rPr>
        <w:t>.</w:t>
      </w:r>
      <w:r w:rsidR="00A76502" w:rsidRPr="004C70EC">
        <w:rPr>
          <w:rFonts w:eastAsiaTheme="minorEastAsia"/>
          <w:noProof/>
          <w:color w:val="000000" w:themeColor="text1"/>
          <w:szCs w:val="24"/>
          <w:lang w:eastAsia="ja-JP"/>
        </w:rPr>
        <w:tab/>
      </w:r>
      <w:r w:rsidR="00A76502" w:rsidRPr="004C70EC">
        <w:rPr>
          <w:rFonts w:eastAsia="Times New Roman"/>
          <w:noProof/>
          <w:color w:val="000000" w:themeColor="text1"/>
          <w:szCs w:val="24"/>
          <w:lang w:eastAsia="en-GB"/>
        </w:rPr>
        <w:t xml:space="preserve">The networks referred to in this Article may </w:t>
      </w:r>
      <w:r w:rsidR="00A76502" w:rsidRPr="004C70EC">
        <w:rPr>
          <w:rFonts w:eastAsiaTheme="minorEastAsia"/>
          <w:noProof/>
          <w:color w:val="000000" w:themeColor="text1"/>
          <w:szCs w:val="24"/>
          <w:lang w:eastAsia="ja-JP"/>
        </w:rPr>
        <w:t xml:space="preserve">establish governance arrangements appropriate to their objectives and may, where necessary, constitute themselves as legal entities under Union law, as appropriate for the implementation of specific actions and investments. </w:t>
      </w:r>
    </w:p>
    <w:p w14:paraId="6F133DD0" w14:textId="77777777" w:rsidR="00A76502" w:rsidRPr="004C70EC" w:rsidRDefault="008C059F" w:rsidP="00A76502">
      <w:pPr>
        <w:pStyle w:val="Point0"/>
        <w:rPr>
          <w:rFonts w:eastAsiaTheme="minorEastAsia"/>
          <w:noProof/>
          <w:color w:val="000000" w:themeColor="text1"/>
          <w:lang w:eastAsia="ja-JP"/>
        </w:rPr>
      </w:pPr>
      <w:r w:rsidRPr="004C70EC">
        <w:rPr>
          <w:rFonts w:eastAsiaTheme="minorEastAsia"/>
          <w:noProof/>
          <w:color w:val="000000" w:themeColor="text1"/>
          <w:lang w:eastAsia="ja-JP"/>
        </w:rPr>
        <w:t>4</w:t>
      </w:r>
      <w:r w:rsidR="00A76502" w:rsidRPr="004C70EC">
        <w:rPr>
          <w:rFonts w:eastAsiaTheme="minorEastAsia"/>
          <w:noProof/>
          <w:color w:val="000000" w:themeColor="text1"/>
          <w:lang w:eastAsia="ja-JP"/>
        </w:rPr>
        <w:t>.</w:t>
      </w:r>
      <w:r w:rsidR="00A76502" w:rsidRPr="004C70EC">
        <w:rPr>
          <w:noProof/>
        </w:rPr>
        <w:tab/>
      </w:r>
      <w:r w:rsidR="00A76502" w:rsidRPr="004C70EC">
        <w:rPr>
          <w:rFonts w:eastAsiaTheme="minorEastAsia"/>
          <w:noProof/>
          <w:color w:val="000000" w:themeColor="text1"/>
          <w:lang w:eastAsia="ja-JP"/>
        </w:rPr>
        <w:t xml:space="preserve">The Steering Group referred to in Article </w:t>
      </w:r>
      <w:r w:rsidR="00D50BEB" w:rsidRPr="004C70EC">
        <w:rPr>
          <w:rFonts w:eastAsiaTheme="minorEastAsia"/>
          <w:noProof/>
          <w:color w:val="000000" w:themeColor="text1"/>
          <w:lang w:eastAsia="ja-JP"/>
        </w:rPr>
        <w:t>2</w:t>
      </w:r>
      <w:r w:rsidR="00430E92" w:rsidRPr="004C70EC">
        <w:rPr>
          <w:rFonts w:eastAsiaTheme="minorEastAsia"/>
          <w:noProof/>
          <w:color w:val="000000" w:themeColor="text1"/>
          <w:lang w:eastAsia="ja-JP"/>
        </w:rPr>
        <w:t>0</w:t>
      </w:r>
      <w:r w:rsidR="00A76502" w:rsidRPr="004C70EC">
        <w:rPr>
          <w:rFonts w:eastAsiaTheme="minorEastAsia"/>
          <w:noProof/>
          <w:color w:val="000000" w:themeColor="text1"/>
          <w:lang w:eastAsia="ja-JP"/>
        </w:rPr>
        <w:t xml:space="preserve"> shall provide advice for the support of the federation and networking of biotechnology clusters. </w:t>
      </w:r>
    </w:p>
    <w:p w14:paraId="50374960" w14:textId="77777777" w:rsidR="00A80A89" w:rsidRPr="004C70EC" w:rsidRDefault="00A80A89" w:rsidP="00A76502">
      <w:pPr>
        <w:pStyle w:val="Point0"/>
        <w:rPr>
          <w:rFonts w:eastAsiaTheme="minorEastAsia"/>
          <w:noProof/>
          <w:color w:val="000000" w:themeColor="text1"/>
          <w:szCs w:val="24"/>
          <w:lang w:eastAsia="ja-JP"/>
        </w:rPr>
      </w:pPr>
    </w:p>
    <w:p w14:paraId="7406C89B" w14:textId="77777777" w:rsidR="00DF61DA" w:rsidRPr="004C70EC" w:rsidRDefault="00996DE1" w:rsidP="00A80A89">
      <w:pPr>
        <w:pStyle w:val="SectionTitle"/>
        <w:rPr>
          <w:i/>
          <w:noProof/>
          <w:color w:val="000000" w:themeColor="text1"/>
          <w:sz w:val="24"/>
          <w:szCs w:val="24"/>
          <w:lang w:eastAsia="ja-JP"/>
        </w:rPr>
      </w:pPr>
      <w:r w:rsidRPr="004C70EC">
        <w:rPr>
          <w:noProof/>
          <w:color w:val="000000" w:themeColor="text1"/>
          <w:sz w:val="24"/>
          <w:szCs w:val="24"/>
          <w:lang w:eastAsia="ja-JP"/>
        </w:rPr>
        <w:t xml:space="preserve">SECTION </w:t>
      </w:r>
      <w:r w:rsidR="00C05B35" w:rsidRPr="004C70EC">
        <w:rPr>
          <w:noProof/>
          <w:color w:val="000000" w:themeColor="text1"/>
          <w:sz w:val="24"/>
          <w:szCs w:val="24"/>
          <w:lang w:eastAsia="ja-JP"/>
        </w:rPr>
        <w:t>3</w:t>
      </w:r>
    </w:p>
    <w:p w14:paraId="434ACF41" w14:textId="77777777" w:rsidR="00C05B35" w:rsidRPr="004C70EC" w:rsidRDefault="00C05B35" w:rsidP="00A80A89">
      <w:pPr>
        <w:pStyle w:val="SectionTitle"/>
        <w:rPr>
          <w:b w:val="0"/>
          <w:bCs/>
          <w:noProof/>
          <w:color w:val="000000" w:themeColor="text1"/>
          <w:sz w:val="24"/>
          <w:szCs w:val="24"/>
          <w:lang w:eastAsia="ja-JP"/>
        </w:rPr>
      </w:pPr>
      <w:r w:rsidRPr="004C70EC">
        <w:rPr>
          <w:bCs/>
          <w:noProof/>
          <w:color w:val="000000" w:themeColor="text1"/>
          <w:sz w:val="24"/>
          <w:szCs w:val="24"/>
          <w:lang w:eastAsia="ja-JP"/>
        </w:rPr>
        <w:t>ACCESS PRINCIPLES AND STRATEGIC MAPPING</w:t>
      </w:r>
    </w:p>
    <w:p w14:paraId="27FDCEA6" w14:textId="77777777" w:rsidR="00504BAB" w:rsidRPr="004C70EC" w:rsidRDefault="00504BAB" w:rsidP="00504BAB">
      <w:pPr>
        <w:pStyle w:val="Titrearticle"/>
        <w:rPr>
          <w:i w:val="0"/>
          <w:noProof/>
          <w:color w:val="000000" w:themeColor="text1"/>
          <w:szCs w:val="24"/>
        </w:rPr>
      </w:pPr>
      <w:r w:rsidRPr="004C70EC">
        <w:rPr>
          <w:noProof/>
          <w:color w:val="000000" w:themeColor="text1"/>
          <w:szCs w:val="24"/>
        </w:rPr>
        <w:t xml:space="preserve">Article </w:t>
      </w:r>
      <w:r w:rsidR="006116D3" w:rsidRPr="004C70EC">
        <w:rPr>
          <w:noProof/>
          <w:color w:val="000000" w:themeColor="text1"/>
          <w:szCs w:val="24"/>
        </w:rPr>
        <w:t>1</w:t>
      </w:r>
      <w:r w:rsidR="00D93646" w:rsidRPr="004C70EC">
        <w:rPr>
          <w:noProof/>
          <w:color w:val="000000" w:themeColor="text1"/>
          <w:szCs w:val="24"/>
        </w:rPr>
        <w:t>6</w:t>
      </w:r>
    </w:p>
    <w:p w14:paraId="4EED8E92" w14:textId="77777777" w:rsidR="00504BAB" w:rsidRPr="004C70EC" w:rsidRDefault="00504BAB" w:rsidP="00504BAB">
      <w:pPr>
        <w:keepNext/>
        <w:keepLines/>
        <w:spacing w:before="160" w:after="80" w:line="279" w:lineRule="auto"/>
        <w:jc w:val="center"/>
        <w:outlineLvl w:val="2"/>
        <w:rPr>
          <w:rFonts w:eastAsiaTheme="majorEastAsia"/>
          <w:b/>
          <w:bCs/>
          <w:iCs/>
          <w:noProof/>
          <w:color w:val="000000" w:themeColor="text1"/>
          <w:szCs w:val="24"/>
        </w:rPr>
      </w:pPr>
      <w:r w:rsidRPr="004C70EC">
        <w:rPr>
          <w:rFonts w:eastAsiaTheme="majorEastAsia"/>
          <w:b/>
          <w:noProof/>
          <w:color w:val="000000" w:themeColor="text1"/>
          <w:szCs w:val="24"/>
        </w:rPr>
        <w:t>Access principles</w:t>
      </w:r>
      <w:r w:rsidRPr="004C70EC">
        <w:rPr>
          <w:rFonts w:eastAsiaTheme="majorEastAsia"/>
          <w:b/>
          <w:noProof/>
          <w:color w:val="000000" w:themeColor="text1"/>
          <w:szCs w:val="24"/>
          <w:lang w:eastAsia="ja-JP"/>
        </w:rPr>
        <w:t xml:space="preserve"> and security safeguards</w:t>
      </w:r>
    </w:p>
    <w:p w14:paraId="0A834FD5" w14:textId="77777777" w:rsidR="00504BAB" w:rsidRPr="004C70EC" w:rsidRDefault="00504BAB" w:rsidP="0479DA4F">
      <w:pPr>
        <w:pStyle w:val="Point0"/>
        <w:rPr>
          <w:rFonts w:eastAsiaTheme="minorEastAsia"/>
          <w:noProof/>
          <w:color w:val="000000" w:themeColor="text1"/>
          <w:lang w:eastAsia="ja-JP"/>
        </w:rPr>
      </w:pPr>
      <w:r w:rsidRPr="004C70EC">
        <w:rPr>
          <w:rFonts w:eastAsia="Times New Roman"/>
          <w:noProof/>
          <w:color w:val="000000" w:themeColor="text1"/>
          <w:lang w:eastAsia="en-IE"/>
        </w:rPr>
        <w:t>1.</w:t>
      </w:r>
      <w:r w:rsidRPr="004C70EC">
        <w:rPr>
          <w:noProof/>
        </w:rPr>
        <w:tab/>
      </w:r>
      <w:r w:rsidRPr="004C70EC">
        <w:rPr>
          <w:rFonts w:eastAsia="Times New Roman"/>
          <w:noProof/>
          <w:color w:val="000000" w:themeColor="text1"/>
          <w:lang w:val="en-IE" w:eastAsia="de-DE"/>
        </w:rPr>
        <w:t xml:space="preserve">Health </w:t>
      </w:r>
      <w:r w:rsidRPr="004C70EC">
        <w:rPr>
          <w:rFonts w:eastAsia="Times New Roman"/>
          <w:noProof/>
          <w:color w:val="000000" w:themeColor="text1"/>
          <w:lang w:eastAsia="en-IE"/>
        </w:rPr>
        <w:t>biotechnology strategic projects</w:t>
      </w:r>
      <w:r w:rsidR="0056662E" w:rsidRPr="004C70EC">
        <w:rPr>
          <w:rFonts w:eastAsia="Times New Roman"/>
          <w:noProof/>
          <w:color w:val="000000" w:themeColor="text1"/>
          <w:lang w:eastAsia="en-IE"/>
        </w:rPr>
        <w:t xml:space="preserve"> and</w:t>
      </w:r>
      <w:r w:rsidRPr="004C70EC">
        <w:rPr>
          <w:rFonts w:eastAsia="Times New Roman"/>
          <w:noProof/>
          <w:color w:val="000000" w:themeColor="text1"/>
          <w:lang w:eastAsia="en-IE"/>
        </w:rPr>
        <w:t xml:space="preserve"> h</w:t>
      </w:r>
      <w:r w:rsidRPr="004C70EC">
        <w:rPr>
          <w:rFonts w:eastAsiaTheme="minorEastAsia"/>
          <w:noProof/>
          <w:color w:val="000000" w:themeColor="text1"/>
          <w:lang w:eastAsia="ja-JP"/>
        </w:rPr>
        <w:t xml:space="preserve">igh impact </w:t>
      </w:r>
      <w:r w:rsidRPr="004C70EC">
        <w:rPr>
          <w:rFonts w:eastAsia="Times New Roman"/>
          <w:noProof/>
          <w:color w:val="000000" w:themeColor="text1"/>
          <w:lang w:val="en-IE" w:eastAsia="de-DE"/>
        </w:rPr>
        <w:t xml:space="preserve">health </w:t>
      </w:r>
      <w:r w:rsidRPr="004C70EC">
        <w:rPr>
          <w:rFonts w:eastAsiaTheme="minorEastAsia"/>
          <w:noProof/>
          <w:color w:val="000000" w:themeColor="text1"/>
          <w:lang w:eastAsia="ja-JP"/>
        </w:rPr>
        <w:t>biotechnology strategic projects</w:t>
      </w:r>
      <w:r w:rsidR="009C70B2" w:rsidRPr="004C70EC">
        <w:rPr>
          <w:rFonts w:eastAsiaTheme="minorEastAsia"/>
          <w:noProof/>
          <w:color w:val="000000" w:themeColor="text1"/>
          <w:lang w:eastAsia="ja-JP"/>
        </w:rPr>
        <w:t xml:space="preserve"> recognised in accordance with this Regulation</w:t>
      </w:r>
      <w:r w:rsidRPr="004C70EC">
        <w:rPr>
          <w:rFonts w:eastAsiaTheme="minorEastAsia"/>
          <w:noProof/>
          <w:color w:val="000000" w:themeColor="text1"/>
          <w:lang w:eastAsia="ja-JP"/>
        </w:rPr>
        <w:t xml:space="preserve"> </w:t>
      </w:r>
      <w:r w:rsidR="009C70B2" w:rsidRPr="004C70EC">
        <w:rPr>
          <w:rFonts w:eastAsia="Times New Roman"/>
          <w:noProof/>
          <w:color w:val="000000" w:themeColor="text1"/>
          <w:lang w:eastAsia="en-IE"/>
        </w:rPr>
        <w:t xml:space="preserve">that receive financial </w:t>
      </w:r>
      <w:r w:rsidRPr="004C70EC">
        <w:rPr>
          <w:rFonts w:eastAsia="Times New Roman"/>
          <w:noProof/>
          <w:color w:val="000000" w:themeColor="text1"/>
          <w:lang w:eastAsia="en-IE"/>
        </w:rPr>
        <w:t>support in accordance</w:t>
      </w:r>
      <w:r w:rsidR="00B76565" w:rsidRPr="004C70EC">
        <w:rPr>
          <w:rFonts w:eastAsia="Times New Roman"/>
          <w:noProof/>
          <w:color w:val="000000" w:themeColor="text1"/>
          <w:lang w:eastAsia="en-IE"/>
        </w:rPr>
        <w:t xml:space="preserve"> </w:t>
      </w:r>
      <w:r w:rsidR="387A1181" w:rsidRPr="004C70EC">
        <w:rPr>
          <w:rFonts w:eastAsia="Times New Roman"/>
          <w:noProof/>
          <w:color w:val="000000" w:themeColor="text1"/>
          <w:lang w:eastAsia="en-IE"/>
        </w:rPr>
        <w:t xml:space="preserve">with </w:t>
      </w:r>
      <w:r w:rsidR="009C70B2" w:rsidRPr="004C70EC">
        <w:rPr>
          <w:rFonts w:eastAsia="Times New Roman"/>
          <w:noProof/>
          <w:color w:val="000000" w:themeColor="text1"/>
          <w:lang w:eastAsia="en-IE"/>
        </w:rPr>
        <w:t>Union programmes</w:t>
      </w:r>
      <w:r w:rsidRPr="004C70EC">
        <w:rPr>
          <w:rFonts w:eastAsiaTheme="minorEastAsia"/>
          <w:noProof/>
          <w:color w:val="000000" w:themeColor="text1"/>
          <w:lang w:eastAsia="ja-JP"/>
        </w:rPr>
        <w:t xml:space="preserve"> shall offer </w:t>
      </w:r>
      <w:r w:rsidR="614865D8" w:rsidRPr="004C70EC">
        <w:rPr>
          <w:rFonts w:eastAsiaTheme="minorEastAsia"/>
          <w:noProof/>
          <w:color w:val="000000" w:themeColor="text1"/>
          <w:lang w:eastAsia="ja-JP"/>
        </w:rPr>
        <w:t>open</w:t>
      </w:r>
      <w:r w:rsidR="4C6B2123" w:rsidRPr="004C70EC">
        <w:rPr>
          <w:rFonts w:eastAsiaTheme="minorEastAsia"/>
          <w:noProof/>
          <w:color w:val="000000" w:themeColor="text1"/>
          <w:lang w:eastAsia="ja-JP"/>
        </w:rPr>
        <w:t>,</w:t>
      </w:r>
      <w:r w:rsidR="614865D8" w:rsidRPr="004C70EC">
        <w:rPr>
          <w:rFonts w:eastAsiaTheme="minorEastAsia"/>
          <w:noProof/>
          <w:color w:val="000000" w:themeColor="text1"/>
          <w:lang w:eastAsia="ja-JP"/>
        </w:rPr>
        <w:t xml:space="preserve"> </w:t>
      </w:r>
      <w:r w:rsidRPr="004C70EC">
        <w:rPr>
          <w:rFonts w:eastAsiaTheme="minorEastAsia"/>
          <w:noProof/>
          <w:color w:val="000000" w:themeColor="text1"/>
          <w:lang w:eastAsia="ja-JP"/>
        </w:rPr>
        <w:t xml:space="preserve">non-discriminatory, transparent, and criteria-based access </w:t>
      </w:r>
      <w:r w:rsidR="001E7E87" w:rsidRPr="004C70EC">
        <w:rPr>
          <w:rFonts w:eastAsiaTheme="minorEastAsia"/>
          <w:noProof/>
          <w:color w:val="000000" w:themeColor="text1"/>
          <w:lang w:eastAsia="ja-JP"/>
        </w:rPr>
        <w:t>at market prices</w:t>
      </w:r>
      <w:r w:rsidRPr="004C70EC">
        <w:rPr>
          <w:rFonts w:eastAsiaTheme="minorEastAsia"/>
          <w:noProof/>
          <w:color w:val="000000" w:themeColor="text1"/>
          <w:lang w:eastAsia="ja-JP"/>
        </w:rPr>
        <w:t xml:space="preserve"> to their facilities, equipment, services and training programmes for users, including SMEs, start-ups </w:t>
      </w:r>
      <w:r w:rsidRPr="004C70EC">
        <w:rPr>
          <w:rFonts w:eastAsiaTheme="majorEastAsia"/>
          <w:noProof/>
          <w:color w:val="000000" w:themeColor="text1"/>
          <w:lang w:eastAsia="ja-JP"/>
        </w:rPr>
        <w:t>and scale-ups</w:t>
      </w:r>
      <w:r w:rsidRPr="004C70EC">
        <w:rPr>
          <w:rFonts w:eastAsiaTheme="minorEastAsia"/>
          <w:noProof/>
          <w:color w:val="000000" w:themeColor="text1"/>
          <w:lang w:eastAsia="ja-JP"/>
        </w:rPr>
        <w:t xml:space="preserve"> and other industrial actors, research organisations or training institutions</w:t>
      </w:r>
      <w:r w:rsidR="000F51DF" w:rsidRPr="004C70EC">
        <w:rPr>
          <w:rFonts w:eastAsiaTheme="minorEastAsia"/>
          <w:noProof/>
          <w:color w:val="000000" w:themeColor="text1"/>
          <w:lang w:eastAsia="ja-JP"/>
        </w:rPr>
        <w:t>.</w:t>
      </w:r>
    </w:p>
    <w:p w14:paraId="6A9A5B38" w14:textId="4CD34867" w:rsidR="00504BAB" w:rsidRPr="004C70EC" w:rsidRDefault="290FF409" w:rsidP="00504BAB">
      <w:pPr>
        <w:pStyle w:val="Text1"/>
        <w:rPr>
          <w:rFonts w:eastAsiaTheme="minorEastAsia"/>
          <w:noProof/>
          <w:color w:val="000000" w:themeColor="text1"/>
          <w:szCs w:val="24"/>
          <w:lang w:eastAsia="ja-JP"/>
        </w:rPr>
      </w:pPr>
      <w:r w:rsidRPr="004C70EC">
        <w:rPr>
          <w:rFonts w:eastAsia="Times New Roman"/>
          <w:noProof/>
          <w:color w:val="000000" w:themeColor="text1"/>
          <w:lang w:eastAsia="en-IE"/>
        </w:rPr>
        <w:t xml:space="preserve">The </w:t>
      </w:r>
      <w:r>
        <w:rPr>
          <w:rFonts w:eastAsia="Times New Roman"/>
          <w:noProof/>
          <w:color w:val="000000" w:themeColor="text1"/>
          <w:lang w:eastAsia="en-IE"/>
        </w:rPr>
        <w:t>projects</w:t>
      </w:r>
      <w:r w:rsidRPr="004C70EC">
        <w:rPr>
          <w:rFonts w:eastAsia="Times New Roman"/>
          <w:noProof/>
          <w:color w:val="000000" w:themeColor="text1"/>
          <w:lang w:eastAsia="en-IE"/>
        </w:rPr>
        <w:t xml:space="preserve"> referred to in the first sub</w:t>
      </w:r>
      <w:r w:rsidRPr="004C70EC">
        <w:rPr>
          <w:noProof/>
          <w:color w:val="000000" w:themeColor="text1"/>
          <w:lang w:eastAsia="en-IE"/>
        </w:rPr>
        <w:t>paragraph shall ensure that access to, and the operation of their infrastructures, facilities and services comply, where applicable, with the requirements of Directive (EU) 2022/2555 of the European Parliament and of the Council</w:t>
      </w:r>
      <w:r w:rsidR="00504BAB" w:rsidRPr="004C70EC">
        <w:rPr>
          <w:rStyle w:val="FootnoteReference"/>
          <w:noProof/>
          <w:color w:val="000000" w:themeColor="text1"/>
          <w:lang w:eastAsia="en-IE"/>
        </w:rPr>
        <w:footnoteReference w:id="156"/>
      </w:r>
      <w:r w:rsidRPr="004C70EC">
        <w:rPr>
          <w:noProof/>
          <w:color w:val="000000" w:themeColor="text1"/>
          <w:lang w:eastAsia="en-IE"/>
        </w:rPr>
        <w:t xml:space="preserve">, including with the relevant cybersecurity risk-management and reporting obligations. </w:t>
      </w:r>
    </w:p>
    <w:p w14:paraId="3EAA6011" w14:textId="77777777" w:rsidR="00504BAB" w:rsidRPr="004C70EC" w:rsidRDefault="00504BAB" w:rsidP="00504BAB">
      <w:pPr>
        <w:pStyle w:val="Point0"/>
        <w:rPr>
          <w:rFonts w:eastAsiaTheme="minorEastAsia"/>
          <w:noProof/>
          <w:color w:val="000000" w:themeColor="text1"/>
          <w:szCs w:val="24"/>
          <w:lang w:eastAsia="ja-JP"/>
        </w:rPr>
      </w:pPr>
      <w:r w:rsidRPr="004C70EC">
        <w:rPr>
          <w:rFonts w:eastAsia="Times New Roman"/>
          <w:noProof/>
          <w:color w:val="000000" w:themeColor="text1"/>
          <w:szCs w:val="24"/>
          <w:lang w:eastAsia="en-IE"/>
        </w:rPr>
        <w:t>2.</w:t>
      </w:r>
      <w:r w:rsidRPr="004C70EC">
        <w:rPr>
          <w:rFonts w:eastAsia="Times New Roman"/>
          <w:noProof/>
          <w:color w:val="000000" w:themeColor="text1"/>
          <w:szCs w:val="24"/>
          <w:lang w:eastAsia="en-IE"/>
        </w:rPr>
        <w:tab/>
        <w:t>The access criteria referred to in paragraph 1</w:t>
      </w:r>
      <w:r w:rsidR="00E61645" w:rsidRPr="004C70EC">
        <w:rPr>
          <w:rFonts w:eastAsia="Times New Roman"/>
          <w:noProof/>
          <w:color w:val="000000" w:themeColor="text1"/>
          <w:szCs w:val="24"/>
          <w:lang w:eastAsia="en-IE"/>
        </w:rPr>
        <w:t xml:space="preserve"> of this Article</w:t>
      </w:r>
      <w:r w:rsidRPr="004C70EC">
        <w:rPr>
          <w:rFonts w:eastAsia="Times New Roman"/>
          <w:noProof/>
          <w:color w:val="000000" w:themeColor="text1"/>
          <w:szCs w:val="24"/>
          <w:lang w:eastAsia="en-IE"/>
        </w:rPr>
        <w:t xml:space="preserve"> shall ensure proportionality and fair treatment among users, while taking into account all </w:t>
      </w:r>
      <w:r w:rsidR="00E61645" w:rsidRPr="004C70EC">
        <w:rPr>
          <w:rFonts w:eastAsia="Times New Roman"/>
          <w:noProof/>
          <w:color w:val="000000" w:themeColor="text1"/>
          <w:szCs w:val="24"/>
          <w:lang w:eastAsia="en-IE"/>
        </w:rPr>
        <w:t xml:space="preserve">of </w:t>
      </w:r>
      <w:r w:rsidRPr="004C70EC">
        <w:rPr>
          <w:rFonts w:eastAsia="Times New Roman"/>
          <w:noProof/>
          <w:color w:val="000000" w:themeColor="text1"/>
          <w:szCs w:val="24"/>
          <w:lang w:eastAsia="en-IE"/>
        </w:rPr>
        <w:t>the following:</w:t>
      </w:r>
    </w:p>
    <w:p w14:paraId="29343528" w14:textId="77777777" w:rsidR="00504BAB" w:rsidRPr="004C70EC" w:rsidRDefault="00504BAB" w:rsidP="00504BAB">
      <w:pPr>
        <w:pStyle w:val="Point1"/>
        <w:rPr>
          <w:rFonts w:eastAsiaTheme="minorEastAsia"/>
          <w:noProof/>
          <w:color w:val="000000" w:themeColor="text1"/>
          <w:szCs w:val="24"/>
          <w:lang w:eastAsia="ja-JP"/>
        </w:rPr>
      </w:pPr>
      <w:r w:rsidRPr="004C70EC">
        <w:rPr>
          <w:noProof/>
          <w:color w:val="000000" w:themeColor="text1"/>
          <w:szCs w:val="24"/>
          <w:lang w:eastAsia="en-IE"/>
        </w:rPr>
        <w:t>(a)</w:t>
      </w:r>
      <w:r w:rsidRPr="004C70EC">
        <w:rPr>
          <w:noProof/>
          <w:color w:val="000000" w:themeColor="text1"/>
          <w:szCs w:val="24"/>
          <w:lang w:eastAsia="en-IE"/>
        </w:rPr>
        <w:tab/>
        <w:t>the objectives and capacity of the infrastructure concerned;</w:t>
      </w:r>
    </w:p>
    <w:p w14:paraId="52E81639" w14:textId="77777777" w:rsidR="00504BAB" w:rsidRPr="004C70EC" w:rsidRDefault="00504BAB" w:rsidP="00504BAB">
      <w:pPr>
        <w:pStyle w:val="Point1"/>
        <w:rPr>
          <w:rFonts w:eastAsiaTheme="minorEastAsia"/>
          <w:noProof/>
          <w:color w:val="000000" w:themeColor="text1"/>
          <w:szCs w:val="24"/>
          <w:lang w:eastAsia="ja-JP"/>
        </w:rPr>
      </w:pPr>
      <w:r w:rsidRPr="004C70EC">
        <w:rPr>
          <w:noProof/>
          <w:color w:val="000000" w:themeColor="text1"/>
          <w:szCs w:val="24"/>
          <w:lang w:eastAsia="en-IE"/>
        </w:rPr>
        <w:t>(b)</w:t>
      </w:r>
      <w:r w:rsidRPr="004C70EC">
        <w:rPr>
          <w:noProof/>
          <w:color w:val="000000" w:themeColor="text1"/>
          <w:szCs w:val="24"/>
          <w:lang w:eastAsia="en-IE"/>
        </w:rPr>
        <w:tab/>
        <w:t xml:space="preserve">the need to ensure equitable opportunities in particular for SMEs, start-ups and </w:t>
      </w:r>
      <w:r w:rsidRPr="004C70EC">
        <w:rPr>
          <w:rFonts w:eastAsiaTheme="majorEastAsia"/>
          <w:noProof/>
          <w:color w:val="000000" w:themeColor="text1"/>
          <w:szCs w:val="24"/>
          <w:lang w:eastAsia="ja-JP"/>
        </w:rPr>
        <w:t>scale-ups</w:t>
      </w:r>
      <w:r w:rsidRPr="004C70EC">
        <w:rPr>
          <w:noProof/>
          <w:color w:val="000000" w:themeColor="text1"/>
          <w:szCs w:val="24"/>
          <w:lang w:eastAsia="en-IE"/>
        </w:rPr>
        <w:t xml:space="preserve"> and research actors; </w:t>
      </w:r>
    </w:p>
    <w:p w14:paraId="2CA9689E" w14:textId="77777777" w:rsidR="00504BAB" w:rsidRPr="004C70EC" w:rsidRDefault="00504BAB" w:rsidP="00504BAB">
      <w:pPr>
        <w:pStyle w:val="Point1"/>
        <w:rPr>
          <w:rFonts w:eastAsiaTheme="minorEastAsia"/>
          <w:noProof/>
          <w:color w:val="000000" w:themeColor="text1"/>
          <w:szCs w:val="24"/>
          <w:lang w:eastAsia="ja-JP"/>
        </w:rPr>
      </w:pPr>
      <w:r w:rsidRPr="004C70EC">
        <w:rPr>
          <w:noProof/>
          <w:color w:val="000000" w:themeColor="text1"/>
          <w:szCs w:val="24"/>
          <w:lang w:eastAsia="en-IE"/>
        </w:rPr>
        <w:t>(c)</w:t>
      </w:r>
      <w:r w:rsidRPr="004C70EC">
        <w:rPr>
          <w:noProof/>
          <w:color w:val="000000" w:themeColor="text1"/>
          <w:szCs w:val="24"/>
          <w:lang w:eastAsia="en-IE"/>
        </w:rPr>
        <w:tab/>
        <w:t xml:space="preserve">any safeguards necessary for the protection of security, confidentiality or economic-security interests, in particular those referred to in paragraph </w:t>
      </w:r>
      <w:r w:rsidR="005A25F7" w:rsidRPr="004C70EC">
        <w:rPr>
          <w:noProof/>
          <w:color w:val="000000" w:themeColor="text1"/>
          <w:szCs w:val="24"/>
          <w:lang w:eastAsia="en-IE"/>
        </w:rPr>
        <w:t>[3]</w:t>
      </w:r>
      <w:r w:rsidRPr="004C70EC">
        <w:rPr>
          <w:noProof/>
          <w:color w:val="000000" w:themeColor="text1"/>
          <w:szCs w:val="24"/>
          <w:lang w:eastAsia="en-IE"/>
        </w:rPr>
        <w:t xml:space="preserve">. </w:t>
      </w:r>
    </w:p>
    <w:p w14:paraId="7A1F3C0D" w14:textId="77777777" w:rsidR="00504BAB" w:rsidRPr="004C70EC" w:rsidRDefault="00504BAB" w:rsidP="00E61645">
      <w:pPr>
        <w:pStyle w:val="Point0"/>
        <w:rPr>
          <w:rFonts w:eastAsia="Times New Roman"/>
          <w:noProof/>
          <w:color w:val="000000" w:themeColor="text1"/>
          <w:lang w:eastAsia="en-IE"/>
        </w:rPr>
      </w:pPr>
      <w:r w:rsidRPr="004C70EC">
        <w:rPr>
          <w:rFonts w:eastAsia="Times New Roman"/>
          <w:noProof/>
          <w:color w:val="000000" w:themeColor="text1"/>
          <w:szCs w:val="24"/>
          <w:lang w:eastAsia="en-IE"/>
        </w:rPr>
        <w:t>3</w:t>
      </w:r>
      <w:r w:rsidR="0098242E" w:rsidRPr="004C70EC">
        <w:rPr>
          <w:rFonts w:eastAsia="Times New Roman"/>
          <w:noProof/>
          <w:color w:val="000000" w:themeColor="text1"/>
          <w:szCs w:val="24"/>
          <w:lang w:eastAsia="en-IE"/>
        </w:rPr>
        <w:t>.</w:t>
      </w:r>
      <w:r w:rsidRPr="004C70EC">
        <w:rPr>
          <w:noProof/>
          <w:color w:val="000000" w:themeColor="text1"/>
          <w:szCs w:val="24"/>
        </w:rPr>
        <w:tab/>
      </w:r>
      <w:r w:rsidRPr="004C70EC">
        <w:rPr>
          <w:rFonts w:eastAsia="Times New Roman"/>
          <w:noProof/>
          <w:color w:val="000000" w:themeColor="text1"/>
          <w:szCs w:val="24"/>
          <w:lang w:eastAsia="en-IE"/>
        </w:rPr>
        <w:t>In order to safeguard the Union’s security, public order and strategic interests</w:t>
      </w:r>
      <w:r w:rsidR="513E3734"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 xml:space="preserve"> access to </w:t>
      </w:r>
      <w:r w:rsidRPr="004C70EC">
        <w:rPr>
          <w:rFonts w:eastAsia="Times New Roman"/>
          <w:noProof/>
          <w:color w:val="000000" w:themeColor="text1"/>
          <w:lang w:eastAsia="en-IE"/>
        </w:rPr>
        <w:t xml:space="preserve">biotechnology infrastructures and biotechnology datasets </w:t>
      </w:r>
      <w:r w:rsidR="005A25F7" w:rsidRPr="004C70EC">
        <w:rPr>
          <w:rFonts w:eastAsia="Times New Roman"/>
          <w:noProof/>
          <w:color w:val="000000" w:themeColor="text1"/>
          <w:szCs w:val="24"/>
          <w:lang w:eastAsia="en-IE"/>
        </w:rPr>
        <w:t xml:space="preserve">of </w:t>
      </w:r>
      <w:r w:rsidR="00423528" w:rsidRPr="004C70EC">
        <w:rPr>
          <w:rFonts w:eastAsia="Times New Roman"/>
          <w:noProof/>
          <w:color w:val="000000" w:themeColor="text1"/>
          <w:szCs w:val="24"/>
          <w:lang w:eastAsia="en-IE"/>
        </w:rPr>
        <w:t xml:space="preserve">projects referred to in paragraph 1 </w:t>
      </w:r>
      <w:r w:rsidR="00AA2738" w:rsidRPr="004C70EC">
        <w:rPr>
          <w:rFonts w:eastAsia="Times New Roman"/>
          <w:noProof/>
          <w:color w:val="000000" w:themeColor="text1"/>
          <w:szCs w:val="24"/>
          <w:lang w:eastAsia="en-IE"/>
        </w:rPr>
        <w:t xml:space="preserve">of this Article </w:t>
      </w:r>
      <w:r w:rsidRPr="004C70EC">
        <w:rPr>
          <w:rFonts w:eastAsia="Times New Roman"/>
          <w:noProof/>
          <w:color w:val="000000" w:themeColor="text1"/>
          <w:szCs w:val="24"/>
          <w:lang w:eastAsia="en-IE"/>
        </w:rPr>
        <w:t xml:space="preserve">shall be </w:t>
      </w:r>
      <w:r w:rsidR="000A3A1F" w:rsidRPr="002D7694">
        <w:rPr>
          <w:rFonts w:eastAsia="Times New Roman"/>
          <w:noProof/>
          <w:color w:val="000000" w:themeColor="text1"/>
          <w:szCs w:val="24"/>
          <w:lang w:eastAsia="en-IE"/>
        </w:rPr>
        <w:t xml:space="preserve">governed by the </w:t>
      </w:r>
      <w:r w:rsidR="00E816DB" w:rsidRPr="004C70EC">
        <w:rPr>
          <w:rFonts w:eastAsia="Times New Roman"/>
          <w:noProof/>
          <w:color w:val="000000" w:themeColor="text1"/>
          <w:szCs w:val="24"/>
          <w:lang w:eastAsia="en-IE"/>
        </w:rPr>
        <w:t xml:space="preserve">rules </w:t>
      </w:r>
      <w:r w:rsidR="000A3A1F" w:rsidRPr="002D7694">
        <w:rPr>
          <w:rFonts w:eastAsia="Times New Roman"/>
          <w:noProof/>
          <w:color w:val="000000" w:themeColor="text1"/>
          <w:szCs w:val="24"/>
          <w:lang w:eastAsia="en-IE"/>
        </w:rPr>
        <w:t>laid down in the relevant Union funding programmes</w:t>
      </w:r>
      <w:r w:rsidR="00900C48" w:rsidRPr="004C70EC">
        <w:rPr>
          <w:rFonts w:eastAsia="Times New Roman"/>
          <w:noProof/>
          <w:color w:val="000000" w:themeColor="text1"/>
          <w:szCs w:val="24"/>
          <w:lang w:eastAsia="en-IE"/>
        </w:rPr>
        <w:t xml:space="preserve"> </w:t>
      </w:r>
      <w:r w:rsidR="00F6514A" w:rsidRPr="004C70EC">
        <w:rPr>
          <w:rFonts w:eastAsia="Times New Roman"/>
          <w:noProof/>
          <w:color w:val="000000" w:themeColor="text1"/>
          <w:szCs w:val="24"/>
          <w:lang w:eastAsia="en-IE"/>
        </w:rPr>
        <w:t>under which those projects are funded</w:t>
      </w:r>
      <w:r w:rsidR="00900C48" w:rsidRPr="004C70EC">
        <w:rPr>
          <w:rFonts w:eastAsia="Times New Roman"/>
          <w:noProof/>
          <w:color w:val="000000" w:themeColor="text1"/>
          <w:szCs w:val="24"/>
          <w:lang w:eastAsia="en-IE"/>
        </w:rPr>
        <w:t>.</w:t>
      </w:r>
      <w:r w:rsidR="000A3A1F" w:rsidRPr="002D7694">
        <w:rPr>
          <w:rFonts w:eastAsia="Times New Roman"/>
          <w:noProof/>
          <w:color w:val="000000" w:themeColor="text1"/>
          <w:szCs w:val="24"/>
          <w:lang w:eastAsia="en-IE"/>
        </w:rPr>
        <w:t xml:space="preserve"> </w:t>
      </w:r>
      <w:r w:rsidRPr="004C70EC">
        <w:rPr>
          <w:rFonts w:eastAsia="Times New Roman"/>
          <w:noProof/>
          <w:color w:val="000000" w:themeColor="text1"/>
          <w:szCs w:val="24"/>
          <w:lang w:eastAsia="en-IE"/>
        </w:rPr>
        <w:t xml:space="preserve"> </w:t>
      </w:r>
    </w:p>
    <w:p w14:paraId="1B4FC9F1" w14:textId="77777777" w:rsidR="00504BAB" w:rsidRPr="004C70EC" w:rsidRDefault="00504BAB" w:rsidP="00504BAB">
      <w:pPr>
        <w:pStyle w:val="Titrearticle"/>
        <w:rPr>
          <w:rFonts w:eastAsiaTheme="minorEastAsia"/>
          <w:i w:val="0"/>
          <w:noProof/>
          <w:color w:val="000000" w:themeColor="text1"/>
          <w:szCs w:val="24"/>
          <w:lang w:eastAsia="ja-JP"/>
        </w:rPr>
      </w:pPr>
      <w:r w:rsidRPr="004C70EC">
        <w:rPr>
          <w:rFonts w:eastAsiaTheme="minorEastAsia"/>
          <w:noProof/>
          <w:color w:val="000000" w:themeColor="text1"/>
          <w:szCs w:val="24"/>
          <w:lang w:eastAsia="ja-JP"/>
        </w:rPr>
        <w:t>Article 1</w:t>
      </w:r>
      <w:r w:rsidR="00D93646" w:rsidRPr="004C70EC">
        <w:rPr>
          <w:rFonts w:eastAsiaTheme="minorEastAsia"/>
          <w:noProof/>
          <w:color w:val="000000" w:themeColor="text1"/>
          <w:szCs w:val="24"/>
          <w:lang w:eastAsia="ja-JP"/>
        </w:rPr>
        <w:t>7</w:t>
      </w:r>
    </w:p>
    <w:p w14:paraId="5F02E8E8" w14:textId="77777777" w:rsidR="00504BAB" w:rsidRPr="004C70EC" w:rsidRDefault="00504BAB" w:rsidP="00504BAB">
      <w:pPr>
        <w:keepNext/>
        <w:keepLines/>
        <w:spacing w:before="160" w:after="80" w:line="279" w:lineRule="auto"/>
        <w:jc w:val="center"/>
        <w:outlineLvl w:val="2"/>
        <w:rPr>
          <w:rFonts w:eastAsiaTheme="majorEastAsia"/>
          <w:b/>
          <w:noProof/>
          <w:color w:val="000000" w:themeColor="text1"/>
          <w:szCs w:val="24"/>
          <w:lang w:eastAsia="ja-JP"/>
        </w:rPr>
      </w:pPr>
      <w:r w:rsidRPr="004C70EC">
        <w:rPr>
          <w:rFonts w:eastAsiaTheme="majorEastAsia"/>
          <w:b/>
          <w:noProof/>
          <w:color w:val="000000" w:themeColor="text1"/>
          <w:szCs w:val="24"/>
          <w:lang w:eastAsia="ja-JP"/>
        </w:rPr>
        <w:t>Strategic mapping of the Union’s biotechnology ecosystem</w:t>
      </w:r>
    </w:p>
    <w:p w14:paraId="0DADFBA1" w14:textId="77777777" w:rsidR="00504BAB" w:rsidRPr="004C70EC" w:rsidRDefault="00504BAB" w:rsidP="00504BAB">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1.</w:t>
      </w:r>
      <w:r w:rsidRPr="004C70EC">
        <w:rPr>
          <w:noProof/>
          <w:color w:val="000000" w:themeColor="text1"/>
          <w:szCs w:val="24"/>
        </w:rPr>
        <w:tab/>
      </w:r>
      <w:r w:rsidRPr="004C70EC">
        <w:rPr>
          <w:rFonts w:eastAsiaTheme="minorEastAsia"/>
          <w:noProof/>
          <w:color w:val="000000" w:themeColor="text1"/>
          <w:szCs w:val="24"/>
          <w:lang w:eastAsia="ja-JP"/>
        </w:rPr>
        <w:t xml:space="preserve">The Commission, in close cooperation with the Steering Group referred to in Article </w:t>
      </w:r>
      <w:r w:rsidR="00D50BEB" w:rsidRPr="004C70EC">
        <w:rPr>
          <w:rFonts w:eastAsiaTheme="minorEastAsia"/>
          <w:noProof/>
          <w:color w:val="000000" w:themeColor="text1"/>
          <w:szCs w:val="24"/>
          <w:lang w:eastAsia="ja-JP"/>
        </w:rPr>
        <w:t>2</w:t>
      </w:r>
      <w:r w:rsidR="00430E92" w:rsidRPr="004C70EC">
        <w:rPr>
          <w:rFonts w:eastAsiaTheme="minorEastAsia"/>
          <w:noProof/>
          <w:color w:val="000000" w:themeColor="text1"/>
          <w:szCs w:val="24"/>
          <w:lang w:eastAsia="ja-JP"/>
        </w:rPr>
        <w:t>0</w:t>
      </w:r>
      <w:r w:rsidRPr="004C70EC">
        <w:rPr>
          <w:rFonts w:eastAsiaTheme="minorEastAsia"/>
          <w:noProof/>
          <w:color w:val="000000" w:themeColor="text1"/>
          <w:szCs w:val="24"/>
          <w:lang w:eastAsia="ja-JP"/>
        </w:rPr>
        <w:t xml:space="preserve"> and where appropriate the </w:t>
      </w:r>
      <w:r w:rsidR="1598B6BB" w:rsidRPr="004C70EC">
        <w:rPr>
          <w:rFonts w:eastAsiaTheme="minorEastAsia"/>
          <w:noProof/>
          <w:color w:val="000000" w:themeColor="text1"/>
          <w:szCs w:val="24"/>
          <w:lang w:eastAsia="ja-JP"/>
        </w:rPr>
        <w:t>AI</w:t>
      </w:r>
      <w:r w:rsidRPr="004C70EC">
        <w:rPr>
          <w:rFonts w:eastAsiaTheme="minorEastAsia"/>
          <w:noProof/>
          <w:color w:val="000000" w:themeColor="text1"/>
          <w:szCs w:val="24"/>
          <w:lang w:eastAsia="ja-JP"/>
        </w:rPr>
        <w:t xml:space="preserve"> Board established under the Regulation (EU) 2024/1689, shall conduct, no later than six months after the entry into force of this Regulation, and maintain thereafter a strategic mapping of the biotechnology ecosystem in the Union.</w:t>
      </w:r>
    </w:p>
    <w:p w14:paraId="669AFFD1" w14:textId="77777777" w:rsidR="00504BAB" w:rsidRPr="004C70EC" w:rsidRDefault="00504BAB" w:rsidP="00504BAB">
      <w:pPr>
        <w:pStyle w:val="Point0"/>
        <w:rPr>
          <w:rFonts w:eastAsiaTheme="minorEastAsia"/>
          <w:noProof/>
          <w:color w:val="000000" w:themeColor="text1"/>
          <w:lang w:eastAsia="ja-JP"/>
        </w:rPr>
      </w:pPr>
      <w:r w:rsidRPr="004C70EC">
        <w:rPr>
          <w:rFonts w:eastAsiaTheme="minorEastAsia"/>
          <w:noProof/>
          <w:color w:val="000000" w:themeColor="text1"/>
          <w:lang w:eastAsia="ja-JP"/>
        </w:rPr>
        <w:t>2.</w:t>
      </w:r>
      <w:r w:rsidRPr="004C70EC">
        <w:rPr>
          <w:noProof/>
        </w:rPr>
        <w:tab/>
      </w:r>
      <w:r w:rsidRPr="004C70EC">
        <w:rPr>
          <w:rFonts w:eastAsiaTheme="minorEastAsia"/>
          <w:noProof/>
          <w:color w:val="000000" w:themeColor="text1"/>
          <w:lang w:eastAsia="ja-JP"/>
        </w:rPr>
        <w:t xml:space="preserve">The strategic mapping shall provide a comprehensive overview of the Union’s biotechnology and biomanufacturing landscape, to assess existing capacities and infrastructures, detect gaps, unused capacities, dependencies, and systemic challenges across the value chains. It shall cover in particular  the following areas: </w:t>
      </w:r>
    </w:p>
    <w:p w14:paraId="6354D4D5" w14:textId="77777777" w:rsidR="00504BAB" w:rsidRPr="004C70EC" w:rsidRDefault="0098242E" w:rsidP="00504BAB">
      <w:pPr>
        <w:pStyle w:val="Point1"/>
        <w:rPr>
          <w:noProof/>
          <w:color w:val="000000" w:themeColor="text1"/>
          <w:szCs w:val="24"/>
          <w:lang w:eastAsia="en-IE"/>
        </w:rPr>
      </w:pPr>
      <w:r w:rsidRPr="004C70EC">
        <w:rPr>
          <w:noProof/>
          <w:color w:val="000000" w:themeColor="text1"/>
          <w:szCs w:val="24"/>
          <w:lang w:eastAsia="en-IE"/>
        </w:rPr>
        <w:t>(</w:t>
      </w:r>
      <w:r w:rsidR="00504BAB" w:rsidRPr="004C70EC">
        <w:rPr>
          <w:noProof/>
          <w:color w:val="000000" w:themeColor="text1"/>
          <w:szCs w:val="24"/>
          <w:lang w:eastAsia="en-IE"/>
        </w:rPr>
        <w:t>a)</w:t>
      </w:r>
      <w:r w:rsidR="00504BAB" w:rsidRPr="004C70EC">
        <w:rPr>
          <w:noProof/>
          <w:color w:val="000000" w:themeColor="text1"/>
          <w:szCs w:val="24"/>
          <w:lang w:eastAsia="en-IE"/>
        </w:rPr>
        <w:tab/>
        <w:t>industrial capacity and infrastructures, including on critical intermediates and key input, relevant to biotechnology research, development, testing, and manufacturing, and assessment of their distribution, interconnections and potential gaps;</w:t>
      </w:r>
    </w:p>
    <w:p w14:paraId="4875DC66" w14:textId="77777777" w:rsidR="00504BAB" w:rsidRPr="004C70EC" w:rsidRDefault="0098242E" w:rsidP="00504BAB">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504BAB" w:rsidRPr="004C70EC">
        <w:rPr>
          <w:rFonts w:eastAsia="Times New Roman"/>
          <w:noProof/>
          <w:color w:val="000000" w:themeColor="text1"/>
          <w:szCs w:val="24"/>
          <w:lang w:eastAsia="en-IE"/>
        </w:rPr>
        <w:t>b)</w:t>
      </w:r>
      <w:r w:rsidR="00504BAB" w:rsidRPr="004C70EC">
        <w:rPr>
          <w:rFonts w:eastAsia="Times New Roman"/>
          <w:noProof/>
          <w:color w:val="000000" w:themeColor="text1"/>
          <w:szCs w:val="24"/>
          <w:lang w:eastAsia="en-IE"/>
        </w:rPr>
        <w:tab/>
        <w:t>access to risk-tolerant capital, by analysing public and private funding sources supporting biotechnology across all stages of development and identifying gaps in risk-tolerant financing and market incentives;</w:t>
      </w:r>
    </w:p>
    <w:p w14:paraId="6C9519E8" w14:textId="77777777" w:rsidR="00504BAB" w:rsidRPr="004C70EC" w:rsidRDefault="0098242E" w:rsidP="00504BAB">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504BAB" w:rsidRPr="004C70EC">
        <w:rPr>
          <w:rFonts w:eastAsia="Times New Roman"/>
          <w:noProof/>
          <w:color w:val="000000" w:themeColor="text1"/>
          <w:szCs w:val="24"/>
          <w:lang w:eastAsia="en-IE"/>
        </w:rPr>
        <w:t>c)</w:t>
      </w:r>
      <w:r w:rsidR="00504BAB" w:rsidRPr="004C70EC">
        <w:rPr>
          <w:rFonts w:eastAsia="Times New Roman"/>
          <w:noProof/>
          <w:color w:val="000000" w:themeColor="text1"/>
          <w:szCs w:val="24"/>
          <w:lang w:eastAsia="en-IE"/>
        </w:rPr>
        <w:tab/>
        <w:t>biotechnology clusters and biomanufacturing ecosystems, by mapping existing and planned clusters across the Union and assessing opportunities for coordination, investment, and both cross-border and interregional</w:t>
      </w:r>
      <w:r w:rsidR="00004CE7" w:rsidRPr="004C70EC">
        <w:rPr>
          <w:rFonts w:eastAsia="Times New Roman"/>
          <w:noProof/>
          <w:color w:val="000000" w:themeColor="text1"/>
          <w:szCs w:val="24"/>
          <w:lang w:eastAsia="en-IE"/>
        </w:rPr>
        <w:t xml:space="preserve"> </w:t>
      </w:r>
      <w:r w:rsidR="00504BAB" w:rsidRPr="004C70EC">
        <w:rPr>
          <w:rFonts w:eastAsia="Times New Roman"/>
          <w:noProof/>
          <w:color w:val="000000" w:themeColor="text1"/>
          <w:szCs w:val="24"/>
          <w:lang w:eastAsia="en-IE"/>
        </w:rPr>
        <w:t>collaboration;</w:t>
      </w:r>
    </w:p>
    <w:p w14:paraId="2F0FC5DB" w14:textId="77777777" w:rsidR="00504BAB" w:rsidRPr="004C70EC" w:rsidRDefault="0098242E" w:rsidP="00504BAB">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504BAB" w:rsidRPr="004C70EC">
        <w:rPr>
          <w:rFonts w:eastAsia="Times New Roman"/>
          <w:noProof/>
          <w:color w:val="000000" w:themeColor="text1"/>
          <w:szCs w:val="24"/>
          <w:lang w:eastAsia="en-IE"/>
        </w:rPr>
        <w:t>d)</w:t>
      </w:r>
      <w:r w:rsidR="00504BAB" w:rsidRPr="004C70EC">
        <w:rPr>
          <w:rFonts w:eastAsia="Times New Roman"/>
          <w:noProof/>
          <w:color w:val="000000" w:themeColor="text1"/>
          <w:szCs w:val="24"/>
          <w:lang w:eastAsia="en-IE"/>
        </w:rPr>
        <w:tab/>
        <w:t>skills, upskilling and reskilling, by analysing current and projected workforce needs, identifying gaps in education and training, and assessing measures to attract, retain, and upskill talent;</w:t>
      </w:r>
    </w:p>
    <w:p w14:paraId="0B261DAE" w14:textId="77777777" w:rsidR="00504BAB" w:rsidRPr="004C70EC" w:rsidRDefault="0098242E" w:rsidP="00504BAB">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504BAB" w:rsidRPr="004C70EC">
        <w:rPr>
          <w:rFonts w:eastAsia="Times New Roman"/>
          <w:noProof/>
          <w:color w:val="000000" w:themeColor="text1"/>
          <w:szCs w:val="24"/>
          <w:lang w:eastAsia="en-IE"/>
        </w:rPr>
        <w:t>e)</w:t>
      </w:r>
      <w:r w:rsidR="00504BAB" w:rsidRPr="004C70EC">
        <w:rPr>
          <w:rFonts w:eastAsia="Times New Roman"/>
          <w:noProof/>
          <w:color w:val="000000" w:themeColor="text1"/>
          <w:szCs w:val="24"/>
          <w:lang w:eastAsia="en-IE"/>
        </w:rPr>
        <w:tab/>
        <w:t xml:space="preserve">use of data and </w:t>
      </w:r>
      <w:r w:rsidR="00CE6AD2" w:rsidRPr="004C70EC">
        <w:rPr>
          <w:rFonts w:eastAsia="Times New Roman"/>
          <w:noProof/>
          <w:color w:val="000000" w:themeColor="text1"/>
          <w:szCs w:val="24"/>
          <w:lang w:eastAsia="en-IE"/>
        </w:rPr>
        <w:t>AI</w:t>
      </w:r>
      <w:r w:rsidR="00504BAB" w:rsidRPr="004C70EC">
        <w:rPr>
          <w:rFonts w:eastAsia="Times New Roman"/>
          <w:noProof/>
          <w:color w:val="000000" w:themeColor="text1"/>
          <w:szCs w:val="24"/>
          <w:lang w:eastAsia="en-IE"/>
        </w:rPr>
        <w:t>, by assessing access to data, computing and digital infrastructures for biotechnology and identifying opportunities to foster responsible AI-enabled innovation and mitigate related risks.</w:t>
      </w:r>
    </w:p>
    <w:p w14:paraId="504D5BC0" w14:textId="77777777" w:rsidR="00504BAB" w:rsidRPr="004C70EC" w:rsidRDefault="00504BAB" w:rsidP="00504BAB">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3.</w:t>
      </w:r>
      <w:r w:rsidRPr="004C70EC">
        <w:rPr>
          <w:noProof/>
          <w:color w:val="000000" w:themeColor="text1"/>
          <w:szCs w:val="24"/>
        </w:rPr>
        <w:tab/>
      </w:r>
      <w:r w:rsidRPr="004C70EC">
        <w:rPr>
          <w:rFonts w:eastAsiaTheme="minorEastAsia"/>
          <w:noProof/>
          <w:color w:val="000000" w:themeColor="text1"/>
          <w:szCs w:val="24"/>
          <w:lang w:eastAsia="ja-JP"/>
        </w:rPr>
        <w:t>The strategic mapping shall be based on information from relevant Union bodies and agencies, and, where appropriate, industry stakeholders and research organisations. The Commission may request Member States to submit data necessary for this purpose, while ensuring the protection of confidential and commercially sensitive information.</w:t>
      </w:r>
      <w:r w:rsidRPr="004C70EC">
        <w:rPr>
          <w:rFonts w:eastAsia="Times New Roman"/>
          <w:noProof/>
          <w:color w:val="000000" w:themeColor="text1"/>
          <w:szCs w:val="24"/>
          <w:lang w:eastAsia="en-GB"/>
        </w:rPr>
        <w:t xml:space="preserve"> The </w:t>
      </w:r>
      <w:r w:rsidRPr="004C70EC">
        <w:rPr>
          <w:rFonts w:eastAsiaTheme="minorEastAsia"/>
          <w:noProof/>
          <w:color w:val="000000" w:themeColor="text1"/>
          <w:szCs w:val="24"/>
          <w:lang w:eastAsia="ja-JP"/>
        </w:rPr>
        <w:t xml:space="preserve">Member States shall submit such data within 30 days from the request of the Commission. </w:t>
      </w:r>
    </w:p>
    <w:p w14:paraId="42C5AFCA" w14:textId="77777777" w:rsidR="00504BAB" w:rsidRPr="004C70EC" w:rsidRDefault="00504BAB" w:rsidP="00504BAB">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4.</w:t>
      </w:r>
      <w:r w:rsidRPr="004C70EC">
        <w:rPr>
          <w:rFonts w:eastAsiaTheme="minorEastAsia"/>
          <w:noProof/>
          <w:color w:val="000000" w:themeColor="text1"/>
          <w:szCs w:val="24"/>
          <w:lang w:eastAsia="ja-JP"/>
        </w:rPr>
        <w:tab/>
        <w:t>The Commission shall present the findings of the strategic mapping to the Steering Group.</w:t>
      </w:r>
    </w:p>
    <w:p w14:paraId="34F5A676" w14:textId="77777777" w:rsidR="00504BAB" w:rsidRPr="004C70EC" w:rsidRDefault="00504BAB" w:rsidP="00504BAB">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5.</w:t>
      </w:r>
      <w:r w:rsidRPr="004C70EC">
        <w:rPr>
          <w:rFonts w:eastAsiaTheme="minorEastAsia"/>
          <w:noProof/>
          <w:color w:val="000000" w:themeColor="text1"/>
          <w:szCs w:val="24"/>
          <w:lang w:eastAsia="ja-JP"/>
        </w:rPr>
        <w:tab/>
        <w:t>The results of the strategic mapping shall be used for the following purposes:</w:t>
      </w:r>
    </w:p>
    <w:p w14:paraId="4EFFBAAF" w14:textId="77777777" w:rsidR="00504BAB" w:rsidRPr="004C70EC" w:rsidRDefault="00504BAB" w:rsidP="00504BAB">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(a)</w:t>
      </w:r>
      <w:r w:rsidRPr="004C70EC">
        <w:rPr>
          <w:rFonts w:eastAsia="Times New Roman"/>
          <w:noProof/>
          <w:color w:val="000000" w:themeColor="text1"/>
          <w:szCs w:val="24"/>
          <w:lang w:eastAsia="en-IE"/>
        </w:rPr>
        <w:tab/>
        <w:t xml:space="preserve">supporting the identification and prioritisation by the Member States and the Commission, as appropriate, of potential </w:t>
      </w:r>
      <w:r w:rsidRPr="004C70EC">
        <w:rPr>
          <w:rFonts w:eastAsia="Times New Roman"/>
          <w:noProof/>
          <w:color w:val="000000" w:themeColor="text1"/>
          <w:szCs w:val="24"/>
          <w:lang w:val="en-IE" w:eastAsia="de-DE"/>
        </w:rPr>
        <w:t xml:space="preserve">health </w:t>
      </w:r>
      <w:r w:rsidRPr="004C70EC">
        <w:rPr>
          <w:rFonts w:eastAsia="Times New Roman"/>
          <w:noProof/>
          <w:color w:val="000000" w:themeColor="text1"/>
          <w:szCs w:val="24"/>
          <w:lang w:eastAsia="en-IE"/>
        </w:rPr>
        <w:t xml:space="preserve">biotechnology strategic projects and high impact </w:t>
      </w:r>
      <w:r w:rsidRPr="004C70EC">
        <w:rPr>
          <w:rFonts w:eastAsia="Times New Roman"/>
          <w:noProof/>
          <w:color w:val="000000" w:themeColor="text1"/>
          <w:szCs w:val="24"/>
          <w:lang w:val="en-IE" w:eastAsia="de-DE"/>
        </w:rPr>
        <w:t>health</w:t>
      </w:r>
      <w:r w:rsidRPr="004C70EC">
        <w:rPr>
          <w:rFonts w:eastAsia="Times New Roman"/>
          <w:noProof/>
          <w:color w:val="000000" w:themeColor="text1"/>
          <w:szCs w:val="24"/>
          <w:lang w:eastAsia="en-IE"/>
        </w:rPr>
        <w:t xml:space="preserve"> biotechnology strategic projects; </w:t>
      </w:r>
    </w:p>
    <w:p w14:paraId="43A99FCB" w14:textId="77777777" w:rsidR="00504BAB" w:rsidRPr="004C70EC" w:rsidRDefault="00504BAB" w:rsidP="00504BAB">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(b)</w:t>
      </w:r>
      <w:r w:rsidRPr="004C70EC">
        <w:rPr>
          <w:rFonts w:eastAsia="Times New Roman"/>
          <w:noProof/>
          <w:color w:val="000000" w:themeColor="text1"/>
          <w:szCs w:val="24"/>
          <w:lang w:eastAsia="en-IE"/>
        </w:rPr>
        <w:tab/>
        <w:t>informing Union policy and funding priorities in biotechnology and biomanufacturing, including actions in accordance with this Regulation, as well as initiatives under Union programmes supporting research, innovation, skills development and industrial competitiveness;</w:t>
      </w:r>
    </w:p>
    <w:p w14:paraId="5D640EE1" w14:textId="77777777" w:rsidR="00273F36" w:rsidRPr="004C70EC" w:rsidRDefault="00504BAB" w:rsidP="00E74CF4">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(c)</w:t>
      </w:r>
      <w:r w:rsidRPr="004C70EC">
        <w:rPr>
          <w:rFonts w:eastAsia="Times New Roman"/>
          <w:noProof/>
          <w:color w:val="000000" w:themeColor="text1"/>
          <w:szCs w:val="24"/>
          <w:lang w:eastAsia="en-IE"/>
        </w:rPr>
        <w:tab/>
        <w:t xml:space="preserve">informing the </w:t>
      </w:r>
      <w:r w:rsidR="00E61645" w:rsidRPr="004C70EC">
        <w:rPr>
          <w:rFonts w:eastAsia="Times New Roman"/>
          <w:noProof/>
          <w:color w:val="000000" w:themeColor="text1"/>
          <w:szCs w:val="24"/>
          <w:lang w:eastAsia="en-IE"/>
        </w:rPr>
        <w:t xml:space="preserve">advice of the </w:t>
      </w:r>
      <w:r w:rsidRPr="004C70EC">
        <w:rPr>
          <w:rFonts w:eastAsia="Times New Roman"/>
          <w:noProof/>
          <w:color w:val="000000" w:themeColor="text1"/>
          <w:szCs w:val="24"/>
          <w:lang w:eastAsia="en-IE"/>
        </w:rPr>
        <w:t xml:space="preserve">Steering Group on </w:t>
      </w:r>
      <w:r w:rsidRPr="004C70EC">
        <w:rPr>
          <w:rFonts w:eastAsia="Times New Roman"/>
          <w:noProof/>
          <w:color w:val="000000" w:themeColor="text1"/>
          <w:szCs w:val="24"/>
          <w:lang w:val="en-IE" w:eastAsia="de-DE"/>
        </w:rPr>
        <w:t xml:space="preserve">health </w:t>
      </w:r>
      <w:r w:rsidRPr="004C70EC">
        <w:rPr>
          <w:rFonts w:eastAsia="Times New Roman"/>
          <w:noProof/>
          <w:color w:val="000000" w:themeColor="text1"/>
          <w:szCs w:val="24"/>
          <w:lang w:eastAsia="en-IE"/>
        </w:rPr>
        <w:t xml:space="preserve">biotechnology strategic projects and high-impact </w:t>
      </w:r>
      <w:r w:rsidRPr="004C70EC">
        <w:rPr>
          <w:rFonts w:eastAsia="Times New Roman"/>
          <w:noProof/>
          <w:color w:val="000000" w:themeColor="text1"/>
          <w:szCs w:val="24"/>
          <w:lang w:val="en-IE" w:eastAsia="de-DE"/>
        </w:rPr>
        <w:t>health</w:t>
      </w:r>
      <w:r w:rsidRPr="004C70EC">
        <w:rPr>
          <w:rFonts w:eastAsia="Times New Roman"/>
          <w:noProof/>
          <w:color w:val="000000" w:themeColor="text1"/>
          <w:szCs w:val="24"/>
          <w:lang w:eastAsia="en-IE"/>
        </w:rPr>
        <w:t xml:space="preserve"> biotechnology strategic projects and on initiatives supporting research, innovation, skills and industrial competitiveness in the biotechnology sector. </w:t>
      </w:r>
      <w:r w:rsidR="00E958E5" w:rsidRPr="004C70EC">
        <w:rPr>
          <w:rFonts w:eastAsiaTheme="majorEastAsia"/>
          <w:b/>
          <w:noProof/>
          <w:color w:val="000000" w:themeColor="text1"/>
          <w:szCs w:val="24"/>
        </w:rPr>
        <w:t xml:space="preserve"> </w:t>
      </w:r>
      <w:r w:rsidR="00273F36" w:rsidRPr="004C70EC">
        <w:rPr>
          <w:rFonts w:eastAsiaTheme="majorEastAsia"/>
          <w:b/>
          <w:noProof/>
          <w:color w:val="000000" w:themeColor="text1"/>
          <w:szCs w:val="24"/>
        </w:rPr>
        <w:t xml:space="preserve"> </w:t>
      </w:r>
    </w:p>
    <w:p w14:paraId="629BA94D" w14:textId="77777777" w:rsidR="00273F36" w:rsidRPr="004C70EC" w:rsidRDefault="00273F36" w:rsidP="00917462">
      <w:pPr>
        <w:pStyle w:val="Titrearticle"/>
        <w:rPr>
          <w:rFonts w:eastAsiaTheme="minorEastAsia"/>
          <w:i w:val="0"/>
          <w:noProof/>
          <w:color w:val="000000" w:themeColor="text1"/>
          <w:szCs w:val="24"/>
          <w:lang w:eastAsia="ja-JP"/>
        </w:rPr>
      </w:pPr>
      <w:r w:rsidRPr="004C70EC">
        <w:rPr>
          <w:rFonts w:eastAsiaTheme="minorEastAsia"/>
          <w:noProof/>
          <w:color w:val="000000" w:themeColor="text1"/>
          <w:szCs w:val="24"/>
          <w:lang w:eastAsia="ja-JP"/>
        </w:rPr>
        <w:t xml:space="preserve">Article </w:t>
      </w:r>
      <w:r w:rsidR="006116D3" w:rsidRPr="004C70EC">
        <w:rPr>
          <w:rFonts w:eastAsiaTheme="minorEastAsia"/>
          <w:noProof/>
          <w:color w:val="000000" w:themeColor="text1"/>
          <w:szCs w:val="24"/>
          <w:lang w:eastAsia="ja-JP"/>
        </w:rPr>
        <w:t>1</w:t>
      </w:r>
      <w:r w:rsidR="00E958E5" w:rsidRPr="004C70EC">
        <w:rPr>
          <w:rFonts w:eastAsiaTheme="minorEastAsia"/>
          <w:noProof/>
          <w:color w:val="000000" w:themeColor="text1"/>
          <w:szCs w:val="24"/>
          <w:lang w:eastAsia="ja-JP"/>
        </w:rPr>
        <w:t>8</w:t>
      </w:r>
    </w:p>
    <w:p w14:paraId="08BAC777" w14:textId="77777777" w:rsidR="00273F36" w:rsidRPr="004C70EC" w:rsidRDefault="00273F36" w:rsidP="00273F36">
      <w:pPr>
        <w:keepNext/>
        <w:tabs>
          <w:tab w:val="left" w:pos="850"/>
        </w:tabs>
        <w:ind w:left="850" w:hanging="850"/>
        <w:jc w:val="center"/>
        <w:outlineLvl w:val="1"/>
        <w:rPr>
          <w:noProof/>
          <w:color w:val="000000" w:themeColor="text1"/>
          <w:szCs w:val="24"/>
        </w:rPr>
      </w:pPr>
      <w:r w:rsidRPr="004C70EC">
        <w:rPr>
          <w:b/>
          <w:noProof/>
          <w:color w:val="000000" w:themeColor="text1"/>
          <w:szCs w:val="24"/>
        </w:rPr>
        <w:t>More favourable treatment</w:t>
      </w:r>
    </w:p>
    <w:p w14:paraId="0082E791" w14:textId="77777777" w:rsidR="00273F36" w:rsidRPr="004C70EC" w:rsidRDefault="00273F36" w:rsidP="00273F36">
      <w:pPr>
        <w:spacing w:before="0" w:after="160" w:line="279" w:lineRule="auto"/>
        <w:rPr>
          <w:rFonts w:eastAsiaTheme="minorEastAsia"/>
          <w:noProof/>
          <w:color w:val="000000" w:themeColor="text1"/>
          <w:szCs w:val="24"/>
          <w:lang w:eastAsia="ja-JP"/>
        </w:rPr>
      </w:pPr>
      <w:r w:rsidRPr="004C70EC">
        <w:rPr>
          <w:rFonts w:eastAsiaTheme="minorEastAsia"/>
          <w:noProof/>
          <w:color w:val="000000" w:themeColor="text1"/>
          <w:szCs w:val="24"/>
          <w:lang w:eastAsia="ja-JP"/>
        </w:rPr>
        <w:t xml:space="preserve">The provisions of this Regulation regarding the permit granting process, the priority status of </w:t>
      </w:r>
      <w:r w:rsidR="007F0476" w:rsidRPr="004C70EC">
        <w:rPr>
          <w:rFonts w:eastAsia="Times New Roman"/>
          <w:noProof/>
          <w:color w:val="000000" w:themeColor="text1"/>
          <w:szCs w:val="24"/>
          <w:lang w:val="en-IE" w:eastAsia="de-DE"/>
        </w:rPr>
        <w:t xml:space="preserve">health </w:t>
      </w:r>
      <w:r w:rsidRPr="004C70EC">
        <w:rPr>
          <w:rFonts w:eastAsiaTheme="minorEastAsia"/>
          <w:noProof/>
          <w:color w:val="000000" w:themeColor="text1"/>
          <w:szCs w:val="24"/>
          <w:lang w:eastAsia="ja-JP"/>
        </w:rPr>
        <w:t xml:space="preserve">biotechnology strategic projects and of high impact </w:t>
      </w:r>
      <w:r w:rsidR="007F0476" w:rsidRPr="004C70EC">
        <w:rPr>
          <w:rFonts w:eastAsia="Times New Roman"/>
          <w:noProof/>
          <w:color w:val="000000" w:themeColor="text1"/>
          <w:szCs w:val="24"/>
          <w:lang w:val="en-IE" w:eastAsia="de-DE"/>
        </w:rPr>
        <w:t xml:space="preserve">health </w:t>
      </w:r>
      <w:r w:rsidRPr="004C70EC">
        <w:rPr>
          <w:rFonts w:eastAsiaTheme="minorEastAsia"/>
          <w:noProof/>
          <w:color w:val="000000" w:themeColor="text1"/>
          <w:szCs w:val="24"/>
          <w:lang w:eastAsia="ja-JP"/>
        </w:rPr>
        <w:t>biotechnology strategic projects and su</w:t>
      </w:r>
      <w:r w:rsidR="00B14EB4" w:rsidRPr="004C70EC">
        <w:rPr>
          <w:rFonts w:eastAsiaTheme="minorEastAsia"/>
          <w:noProof/>
          <w:color w:val="000000" w:themeColor="text1"/>
          <w:szCs w:val="24"/>
          <w:lang w:eastAsia="ja-JP"/>
        </w:rPr>
        <w:t>p</w:t>
      </w:r>
      <w:r w:rsidRPr="004C70EC">
        <w:rPr>
          <w:rFonts w:eastAsiaTheme="minorEastAsia"/>
          <w:noProof/>
          <w:color w:val="000000" w:themeColor="text1"/>
          <w:szCs w:val="24"/>
          <w:lang w:eastAsia="ja-JP"/>
        </w:rPr>
        <w:t>port for such projects shall apply without prejudice to more favourable provisions laid down in other Union rules.</w:t>
      </w:r>
    </w:p>
    <w:p w14:paraId="38FA5628" w14:textId="77777777" w:rsidR="00273F36" w:rsidRPr="004C70EC" w:rsidRDefault="00273F36" w:rsidP="00A80A89">
      <w:pPr>
        <w:pStyle w:val="SectionTitle"/>
        <w:rPr>
          <w:noProof/>
          <w:color w:val="000000" w:themeColor="text1"/>
          <w:sz w:val="24"/>
          <w:szCs w:val="24"/>
          <w:lang w:val="en-IE" w:eastAsia="ja-JP"/>
        </w:rPr>
      </w:pPr>
      <w:r w:rsidRPr="004C70EC">
        <w:rPr>
          <w:noProof/>
          <w:color w:val="000000" w:themeColor="text1"/>
          <w:sz w:val="24"/>
          <w:szCs w:val="24"/>
          <w:lang w:val="en-IE" w:eastAsia="ja-JP"/>
        </w:rPr>
        <w:t xml:space="preserve">SECTION </w:t>
      </w:r>
      <w:r w:rsidR="00C05B35" w:rsidRPr="004C70EC">
        <w:rPr>
          <w:noProof/>
          <w:color w:val="000000" w:themeColor="text1"/>
          <w:sz w:val="24"/>
          <w:szCs w:val="24"/>
          <w:lang w:val="en-IE" w:eastAsia="ja-JP"/>
        </w:rPr>
        <w:t>4</w:t>
      </w:r>
    </w:p>
    <w:p w14:paraId="76C80403" w14:textId="77777777" w:rsidR="00273F36" w:rsidRPr="004C70EC" w:rsidRDefault="00053BDB" w:rsidP="00CB78B1">
      <w:pPr>
        <w:pStyle w:val="SectionTitle"/>
        <w:rPr>
          <w:b w:val="0"/>
          <w:noProof/>
          <w:color w:val="000000" w:themeColor="text1"/>
          <w:sz w:val="24"/>
          <w:szCs w:val="24"/>
        </w:rPr>
      </w:pPr>
      <w:r w:rsidRPr="004C70EC">
        <w:rPr>
          <w:noProof/>
          <w:color w:val="000000" w:themeColor="text1"/>
          <w:sz w:val="24"/>
          <w:szCs w:val="24"/>
        </w:rPr>
        <w:t>EU Health Biotechnology Support Network</w:t>
      </w:r>
    </w:p>
    <w:p w14:paraId="724ED754" w14:textId="77777777" w:rsidR="00273F36" w:rsidRPr="004C70EC" w:rsidRDefault="00273F36" w:rsidP="00CB78B1">
      <w:pPr>
        <w:pStyle w:val="Titrearticle"/>
        <w:rPr>
          <w:i w:val="0"/>
          <w:noProof/>
          <w:color w:val="000000" w:themeColor="text1"/>
          <w:szCs w:val="24"/>
        </w:rPr>
      </w:pPr>
      <w:r w:rsidRPr="004C70EC">
        <w:rPr>
          <w:noProof/>
          <w:color w:val="000000" w:themeColor="text1"/>
          <w:szCs w:val="24"/>
        </w:rPr>
        <w:t xml:space="preserve">Article </w:t>
      </w:r>
      <w:r w:rsidR="00E958E5" w:rsidRPr="004C70EC">
        <w:rPr>
          <w:noProof/>
          <w:color w:val="000000" w:themeColor="text1"/>
          <w:szCs w:val="24"/>
        </w:rPr>
        <w:t>19</w:t>
      </w:r>
    </w:p>
    <w:p w14:paraId="55A7B59D" w14:textId="77777777" w:rsidR="00273F36" w:rsidRPr="004C70EC" w:rsidRDefault="00273F36" w:rsidP="00273F36">
      <w:pPr>
        <w:keepNext/>
        <w:keepLines/>
        <w:spacing w:before="160" w:after="80" w:line="279" w:lineRule="auto"/>
        <w:ind w:left="850" w:hanging="850"/>
        <w:jc w:val="center"/>
        <w:outlineLvl w:val="2"/>
        <w:rPr>
          <w:rFonts w:eastAsiaTheme="majorEastAsia"/>
          <w:i/>
          <w:noProof/>
          <w:color w:val="000000" w:themeColor="text1"/>
          <w:szCs w:val="24"/>
          <w:lang w:eastAsia="ja-JP"/>
        </w:rPr>
      </w:pPr>
      <w:r w:rsidRPr="004C70EC">
        <w:rPr>
          <w:rFonts w:eastAsiaTheme="majorEastAsia"/>
          <w:b/>
          <w:noProof/>
          <w:color w:val="000000" w:themeColor="text1"/>
          <w:szCs w:val="24"/>
          <w:lang w:eastAsia="ja-JP"/>
        </w:rPr>
        <w:t xml:space="preserve">EU </w:t>
      </w:r>
      <w:r w:rsidR="008E6F16" w:rsidRPr="004C70EC">
        <w:rPr>
          <w:rFonts w:eastAsiaTheme="majorEastAsia"/>
          <w:b/>
          <w:noProof/>
          <w:color w:val="000000" w:themeColor="text1"/>
          <w:szCs w:val="24"/>
          <w:lang w:eastAsia="ja-JP"/>
        </w:rPr>
        <w:t>H</w:t>
      </w:r>
      <w:r w:rsidR="00D87F50" w:rsidRPr="004C70EC">
        <w:rPr>
          <w:rFonts w:eastAsiaTheme="majorEastAsia"/>
          <w:b/>
          <w:noProof/>
          <w:color w:val="000000" w:themeColor="text1"/>
          <w:szCs w:val="24"/>
          <w:lang w:eastAsia="ja-JP"/>
        </w:rPr>
        <w:t xml:space="preserve">ealth </w:t>
      </w:r>
      <w:r w:rsidR="008E6F16" w:rsidRPr="004C70EC">
        <w:rPr>
          <w:rFonts w:eastAsiaTheme="majorEastAsia"/>
          <w:b/>
          <w:noProof/>
          <w:color w:val="000000" w:themeColor="text1"/>
          <w:szCs w:val="24"/>
          <w:lang w:eastAsia="ja-JP"/>
        </w:rPr>
        <w:t>B</w:t>
      </w:r>
      <w:r w:rsidRPr="004C70EC">
        <w:rPr>
          <w:rFonts w:eastAsiaTheme="majorEastAsia"/>
          <w:b/>
          <w:noProof/>
          <w:color w:val="000000" w:themeColor="text1"/>
          <w:szCs w:val="24"/>
          <w:lang w:eastAsia="ja-JP"/>
        </w:rPr>
        <w:t xml:space="preserve">iotechnology </w:t>
      </w:r>
      <w:r w:rsidR="008E6F16" w:rsidRPr="004C70EC">
        <w:rPr>
          <w:rFonts w:eastAsiaTheme="majorEastAsia"/>
          <w:b/>
          <w:noProof/>
          <w:color w:val="000000" w:themeColor="text1"/>
          <w:szCs w:val="24"/>
          <w:lang w:eastAsia="ja-JP"/>
        </w:rPr>
        <w:t>S</w:t>
      </w:r>
      <w:r w:rsidRPr="004C70EC">
        <w:rPr>
          <w:rFonts w:eastAsiaTheme="majorEastAsia"/>
          <w:b/>
          <w:noProof/>
          <w:color w:val="000000" w:themeColor="text1"/>
          <w:szCs w:val="24"/>
          <w:lang w:eastAsia="ja-JP"/>
        </w:rPr>
        <w:t xml:space="preserve">upport </w:t>
      </w:r>
      <w:r w:rsidR="008E6F16" w:rsidRPr="004C70EC">
        <w:rPr>
          <w:rFonts w:eastAsiaTheme="majorEastAsia"/>
          <w:b/>
          <w:noProof/>
          <w:color w:val="000000" w:themeColor="text1"/>
          <w:szCs w:val="24"/>
          <w:lang w:eastAsia="ja-JP"/>
        </w:rPr>
        <w:t>N</w:t>
      </w:r>
      <w:r w:rsidRPr="004C70EC">
        <w:rPr>
          <w:rFonts w:eastAsiaTheme="majorEastAsia"/>
          <w:b/>
          <w:noProof/>
          <w:color w:val="000000" w:themeColor="text1"/>
          <w:szCs w:val="24"/>
          <w:lang w:eastAsia="ja-JP"/>
        </w:rPr>
        <w:t>etwork</w:t>
      </w:r>
    </w:p>
    <w:p w14:paraId="1DEF2ADE" w14:textId="77777777" w:rsidR="00273F36" w:rsidRPr="004C70EC" w:rsidRDefault="00CB78B1" w:rsidP="00CB78B1">
      <w:pPr>
        <w:pStyle w:val="Point0"/>
        <w:rPr>
          <w:rFonts w:eastAsiaTheme="minorEastAsia"/>
          <w:noProof/>
          <w:color w:val="000000" w:themeColor="text1"/>
          <w:szCs w:val="24"/>
          <w:lang w:eastAsia="ja-JP"/>
        </w:rPr>
      </w:pPr>
      <w:r w:rsidRPr="004C70EC">
        <w:rPr>
          <w:rFonts w:eastAsiaTheme="majorEastAsia"/>
          <w:noProof/>
          <w:color w:val="000000" w:themeColor="text1"/>
          <w:szCs w:val="24"/>
          <w:lang w:eastAsia="ja-JP"/>
        </w:rPr>
        <w:t>1.</w:t>
      </w:r>
      <w:r w:rsidRPr="004C70EC">
        <w:rPr>
          <w:rFonts w:eastAsiaTheme="majorEastAsia"/>
          <w:noProof/>
          <w:color w:val="000000" w:themeColor="text1"/>
          <w:szCs w:val="24"/>
          <w:lang w:eastAsia="ja-JP"/>
        </w:rPr>
        <w:tab/>
      </w:r>
      <w:r w:rsidR="00273F36" w:rsidRPr="004C70EC">
        <w:rPr>
          <w:rFonts w:eastAsiaTheme="majorEastAsia"/>
          <w:noProof/>
          <w:color w:val="000000" w:themeColor="text1"/>
          <w:szCs w:val="24"/>
          <w:lang w:eastAsia="ja-JP"/>
        </w:rPr>
        <w:t xml:space="preserve">The Commission shall set up, coordinate and support an EU </w:t>
      </w:r>
      <w:r w:rsidR="00D87F50" w:rsidRPr="004C70EC">
        <w:rPr>
          <w:rFonts w:eastAsiaTheme="majorEastAsia"/>
          <w:noProof/>
          <w:color w:val="000000" w:themeColor="text1"/>
          <w:szCs w:val="24"/>
          <w:lang w:eastAsia="ja-JP"/>
        </w:rPr>
        <w:t xml:space="preserve">Health </w:t>
      </w:r>
      <w:r w:rsidR="00273F36" w:rsidRPr="004C70EC">
        <w:rPr>
          <w:rFonts w:eastAsiaTheme="majorEastAsia"/>
          <w:noProof/>
          <w:color w:val="000000" w:themeColor="text1"/>
          <w:szCs w:val="24"/>
          <w:lang w:eastAsia="ja-JP"/>
        </w:rPr>
        <w:t xml:space="preserve">Biotechnology Support Network (‘the Network’), consisting of national and regional antennas in the Member States (‘the antennas’). </w:t>
      </w:r>
    </w:p>
    <w:p w14:paraId="7B4C5086" w14:textId="14D33163" w:rsidR="00273F36" w:rsidRPr="004C70EC" w:rsidRDefault="00CB78B1" w:rsidP="00CB78B1">
      <w:pPr>
        <w:pStyle w:val="Point0"/>
        <w:rPr>
          <w:rFonts w:eastAsiaTheme="minorEastAsia"/>
          <w:noProof/>
          <w:color w:val="000000" w:themeColor="text1"/>
          <w:szCs w:val="24"/>
          <w:lang w:eastAsia="ja-JP"/>
        </w:rPr>
      </w:pPr>
      <w:r w:rsidRPr="004C70EC">
        <w:rPr>
          <w:rFonts w:eastAsiaTheme="majorEastAsia"/>
          <w:noProof/>
          <w:color w:val="000000" w:themeColor="text1"/>
          <w:szCs w:val="24"/>
          <w:lang w:eastAsia="ja-JP"/>
        </w:rPr>
        <w:t>2.</w:t>
      </w:r>
      <w:r w:rsidRPr="004C70EC">
        <w:rPr>
          <w:noProof/>
          <w:color w:val="000000" w:themeColor="text1"/>
          <w:szCs w:val="24"/>
        </w:rPr>
        <w:tab/>
      </w:r>
      <w:r w:rsidR="00273F36" w:rsidRPr="004C70EC">
        <w:rPr>
          <w:rFonts w:eastAsiaTheme="majorEastAsia"/>
          <w:noProof/>
          <w:color w:val="000000" w:themeColor="text1"/>
          <w:szCs w:val="24"/>
          <w:lang w:eastAsia="ja-JP"/>
        </w:rPr>
        <w:t xml:space="preserve">The Network shall assist and support the developers of </w:t>
      </w:r>
      <w:r w:rsidR="002945D0" w:rsidRPr="004C70EC">
        <w:rPr>
          <w:rFonts w:eastAsiaTheme="majorEastAsia"/>
          <w:noProof/>
          <w:color w:val="000000" w:themeColor="text1"/>
          <w:szCs w:val="24"/>
          <w:lang w:eastAsia="ja-JP"/>
        </w:rPr>
        <w:t xml:space="preserve">health </w:t>
      </w:r>
      <w:r w:rsidR="00273F36" w:rsidRPr="004C70EC">
        <w:rPr>
          <w:rFonts w:eastAsiaTheme="majorEastAsia"/>
          <w:noProof/>
          <w:color w:val="000000" w:themeColor="text1"/>
          <w:szCs w:val="24"/>
          <w:lang w:eastAsia="ja-JP"/>
        </w:rPr>
        <w:t xml:space="preserve">biotechnology products, in particular SMEs, start-ups and scale-ups, the promoters of biotechnology projects, including </w:t>
      </w:r>
      <w:r w:rsidR="00E61645" w:rsidRPr="004C70EC">
        <w:rPr>
          <w:rFonts w:eastAsiaTheme="majorEastAsia"/>
          <w:noProof/>
          <w:color w:val="000000" w:themeColor="text1"/>
          <w:szCs w:val="24"/>
          <w:lang w:eastAsia="ja-JP"/>
        </w:rPr>
        <w:t xml:space="preserve">health </w:t>
      </w:r>
      <w:r w:rsidR="00273F36" w:rsidRPr="004C70EC">
        <w:rPr>
          <w:rFonts w:eastAsiaTheme="majorEastAsia"/>
          <w:noProof/>
          <w:color w:val="000000" w:themeColor="text1"/>
          <w:szCs w:val="24"/>
          <w:lang w:eastAsia="ja-JP"/>
        </w:rPr>
        <w:t xml:space="preserve">biotechnology </w:t>
      </w:r>
      <w:r w:rsidR="00E61645" w:rsidRPr="004C70EC">
        <w:rPr>
          <w:rFonts w:eastAsiaTheme="majorEastAsia"/>
          <w:noProof/>
          <w:color w:val="000000" w:themeColor="text1"/>
          <w:szCs w:val="24"/>
          <w:lang w:eastAsia="ja-JP"/>
        </w:rPr>
        <w:t xml:space="preserve">strategic </w:t>
      </w:r>
      <w:r w:rsidR="00273F36" w:rsidRPr="004C70EC">
        <w:rPr>
          <w:rFonts w:eastAsiaTheme="majorEastAsia"/>
          <w:noProof/>
          <w:color w:val="000000" w:themeColor="text1"/>
          <w:szCs w:val="24"/>
          <w:lang w:eastAsia="ja-JP"/>
        </w:rPr>
        <w:t>projects</w:t>
      </w:r>
      <w:r w:rsidR="00D87F50" w:rsidRPr="004C70EC">
        <w:rPr>
          <w:rFonts w:eastAsiaTheme="majorEastAsia"/>
          <w:noProof/>
          <w:color w:val="000000" w:themeColor="text1"/>
          <w:szCs w:val="24"/>
          <w:lang w:eastAsia="ja-JP"/>
        </w:rPr>
        <w:t xml:space="preserve"> and</w:t>
      </w:r>
      <w:r w:rsidR="00273F36" w:rsidRPr="004C70EC">
        <w:rPr>
          <w:rFonts w:eastAsiaTheme="majorEastAsia"/>
          <w:noProof/>
          <w:color w:val="000000" w:themeColor="text1"/>
          <w:szCs w:val="24"/>
          <w:lang w:eastAsia="ja-JP"/>
        </w:rPr>
        <w:t xml:space="preserve"> high impact </w:t>
      </w:r>
      <w:r w:rsidR="00571319" w:rsidRPr="004C70EC">
        <w:rPr>
          <w:rFonts w:eastAsiaTheme="majorEastAsia"/>
          <w:noProof/>
          <w:color w:val="000000" w:themeColor="text1"/>
          <w:szCs w:val="24"/>
          <w:lang w:eastAsia="ja-JP"/>
        </w:rPr>
        <w:t>health</w:t>
      </w:r>
      <w:r w:rsidR="00273F36" w:rsidRPr="004C70EC">
        <w:rPr>
          <w:rFonts w:eastAsiaTheme="majorEastAsia"/>
          <w:noProof/>
          <w:color w:val="000000" w:themeColor="text1"/>
          <w:szCs w:val="24"/>
          <w:lang w:eastAsia="ja-JP"/>
        </w:rPr>
        <w:t xml:space="preserve"> biotechnology strategic projects (‘project promoters’) in </w:t>
      </w:r>
      <w:r w:rsidR="75676428" w:rsidRPr="004C70EC">
        <w:rPr>
          <w:rFonts w:eastAsiaTheme="majorEastAsia"/>
          <w:noProof/>
          <w:color w:val="000000" w:themeColor="text1"/>
          <w:szCs w:val="24"/>
          <w:lang w:eastAsia="ja-JP"/>
        </w:rPr>
        <w:t>identifying</w:t>
      </w:r>
      <w:r w:rsidR="6D2173CC" w:rsidRPr="004C70EC">
        <w:rPr>
          <w:rFonts w:eastAsiaTheme="majorEastAsia"/>
          <w:noProof/>
          <w:color w:val="000000" w:themeColor="text1"/>
          <w:szCs w:val="24"/>
          <w:lang w:eastAsia="ja-JP"/>
        </w:rPr>
        <w:t xml:space="preserve"> </w:t>
      </w:r>
      <w:r w:rsidR="0140FA09" w:rsidRPr="004C70EC">
        <w:rPr>
          <w:rFonts w:eastAsiaTheme="majorEastAsia"/>
          <w:noProof/>
          <w:color w:val="000000" w:themeColor="text1"/>
          <w:szCs w:val="24"/>
          <w:lang w:eastAsia="ja-JP"/>
        </w:rPr>
        <w:t>the</w:t>
      </w:r>
      <w:r w:rsidR="00273F36" w:rsidRPr="004C70EC">
        <w:rPr>
          <w:rFonts w:eastAsiaTheme="majorEastAsia"/>
          <w:noProof/>
          <w:color w:val="000000" w:themeColor="text1"/>
          <w:szCs w:val="24"/>
          <w:lang w:eastAsia="ja-JP"/>
        </w:rPr>
        <w:t xml:space="preserve"> relevant applicable rules and funding, scaling</w:t>
      </w:r>
      <w:r>
        <w:rPr>
          <w:rFonts w:eastAsiaTheme="majorEastAsia"/>
          <w:noProof/>
          <w:color w:val="000000" w:themeColor="text1"/>
          <w:szCs w:val="24"/>
          <w:lang w:eastAsia="ja-JP"/>
        </w:rPr>
        <w:t>-</w:t>
      </w:r>
      <w:r w:rsidR="00273F36" w:rsidRPr="004C70EC">
        <w:rPr>
          <w:rFonts w:eastAsiaTheme="majorEastAsia"/>
          <w:noProof/>
          <w:color w:val="000000" w:themeColor="text1"/>
          <w:szCs w:val="24"/>
          <w:lang w:eastAsia="ja-JP"/>
        </w:rPr>
        <w:t>up and networking opportunities</w:t>
      </w:r>
      <w:r w:rsidR="00273F36" w:rsidRPr="004C70EC">
        <w:rPr>
          <w:rFonts w:eastAsiaTheme="minorEastAsia"/>
          <w:noProof/>
          <w:color w:val="000000" w:themeColor="text1"/>
          <w:szCs w:val="24"/>
          <w:lang w:eastAsia="ja-JP"/>
        </w:rPr>
        <w:t xml:space="preserve">. </w:t>
      </w:r>
    </w:p>
    <w:p w14:paraId="39BA28A1" w14:textId="77777777" w:rsidR="00273F36" w:rsidRPr="004C70EC" w:rsidRDefault="00CB78B1" w:rsidP="00CB78B1">
      <w:pPr>
        <w:pStyle w:val="Point0"/>
        <w:rPr>
          <w:rFonts w:eastAsiaTheme="majorEastAsia"/>
          <w:noProof/>
          <w:color w:val="000000" w:themeColor="text1"/>
          <w:szCs w:val="24"/>
          <w:u w:val="single"/>
          <w:lang w:eastAsia="ja-JP"/>
        </w:rPr>
      </w:pPr>
      <w:r w:rsidRPr="004C70EC">
        <w:rPr>
          <w:rFonts w:eastAsiaTheme="majorEastAsia"/>
          <w:noProof/>
          <w:color w:val="000000" w:themeColor="text1"/>
          <w:szCs w:val="24"/>
          <w:lang w:eastAsia="ja-JP"/>
        </w:rPr>
        <w:t>3.</w:t>
      </w:r>
      <w:r w:rsidRPr="004C70EC">
        <w:rPr>
          <w:rFonts w:eastAsiaTheme="majorEastAsia"/>
          <w:noProof/>
          <w:color w:val="000000" w:themeColor="text1"/>
          <w:szCs w:val="24"/>
          <w:lang w:eastAsia="ja-JP"/>
        </w:rPr>
        <w:tab/>
      </w:r>
      <w:r w:rsidR="00273F36" w:rsidRPr="004C70EC">
        <w:rPr>
          <w:rFonts w:eastAsiaTheme="majorEastAsia"/>
          <w:noProof/>
          <w:color w:val="000000" w:themeColor="text1"/>
          <w:szCs w:val="24"/>
          <w:lang w:eastAsia="ja-JP"/>
        </w:rPr>
        <w:t xml:space="preserve">The Network shall fulfil in particular the following missions:  </w:t>
      </w:r>
    </w:p>
    <w:p w14:paraId="35B57D62" w14:textId="77777777" w:rsidR="00273F36" w:rsidRPr="004C70EC" w:rsidRDefault="00CB78B1" w:rsidP="00CB78B1">
      <w:pPr>
        <w:pStyle w:val="Point1"/>
        <w:rPr>
          <w:rFonts w:eastAsiaTheme="minorEastAsia"/>
          <w:noProof/>
          <w:color w:val="000000" w:themeColor="text1"/>
          <w:lang w:eastAsia="ja-JP"/>
        </w:rPr>
      </w:pPr>
      <w:r w:rsidRPr="004C70EC">
        <w:rPr>
          <w:rFonts w:eastAsiaTheme="minorEastAsia"/>
          <w:noProof/>
          <w:color w:val="000000" w:themeColor="text1"/>
          <w:lang w:eastAsia="ja-JP"/>
        </w:rPr>
        <w:t>(a)</w:t>
      </w:r>
      <w:r w:rsidRPr="004C70EC">
        <w:rPr>
          <w:noProof/>
        </w:rPr>
        <w:tab/>
      </w:r>
      <w:r w:rsidR="00273F36" w:rsidRPr="004C70EC">
        <w:rPr>
          <w:rFonts w:eastAsiaTheme="minorEastAsia"/>
          <w:noProof/>
          <w:color w:val="000000" w:themeColor="text1"/>
          <w:lang w:eastAsia="ja-JP"/>
        </w:rPr>
        <w:t>provide</w:t>
      </w:r>
      <w:r w:rsidR="00273F36" w:rsidRPr="004C70EC">
        <w:rPr>
          <w:noProof/>
          <w:color w:val="000000" w:themeColor="text1"/>
          <w:lang w:eastAsia="ja-JP"/>
        </w:rPr>
        <w:t xml:space="preserve"> information on the national and </w:t>
      </w:r>
      <w:r w:rsidR="1E85A926" w:rsidRPr="004C70EC">
        <w:rPr>
          <w:noProof/>
          <w:color w:val="000000" w:themeColor="text1"/>
          <w:lang w:eastAsia="ja-JP"/>
        </w:rPr>
        <w:t>Union</w:t>
      </w:r>
      <w:r w:rsidR="00273F36" w:rsidRPr="004C70EC">
        <w:rPr>
          <w:noProof/>
          <w:color w:val="000000" w:themeColor="text1"/>
          <w:lang w:eastAsia="ja-JP"/>
        </w:rPr>
        <w:t xml:space="preserve"> rules applicable to the development and placing on the market of </w:t>
      </w:r>
      <w:r w:rsidR="713B7258" w:rsidRPr="004C70EC">
        <w:rPr>
          <w:noProof/>
          <w:color w:val="000000" w:themeColor="text1"/>
          <w:lang w:eastAsia="ja-JP"/>
        </w:rPr>
        <w:t xml:space="preserve">health </w:t>
      </w:r>
      <w:r w:rsidR="00273F36" w:rsidRPr="004C70EC">
        <w:rPr>
          <w:noProof/>
          <w:color w:val="000000" w:themeColor="text1"/>
          <w:lang w:eastAsia="ja-JP"/>
        </w:rPr>
        <w:t xml:space="preserve">biotechnology products, including on the applicable authorisation procedures for </w:t>
      </w:r>
      <w:r w:rsidR="4E4314E8" w:rsidRPr="004C70EC">
        <w:rPr>
          <w:noProof/>
          <w:color w:val="000000" w:themeColor="text1"/>
          <w:lang w:eastAsia="ja-JP"/>
        </w:rPr>
        <w:t xml:space="preserve">health </w:t>
      </w:r>
      <w:r w:rsidR="00273F36" w:rsidRPr="004C70EC">
        <w:rPr>
          <w:noProof/>
          <w:color w:val="000000" w:themeColor="text1"/>
          <w:lang w:eastAsia="ja-JP"/>
        </w:rPr>
        <w:t>biotechnology products;</w:t>
      </w:r>
    </w:p>
    <w:p w14:paraId="0E97EABA" w14:textId="77777777" w:rsidR="00273F36" w:rsidRPr="004C70EC" w:rsidRDefault="00CB78B1" w:rsidP="00CB78B1">
      <w:pPr>
        <w:pStyle w:val="Point1"/>
        <w:rPr>
          <w:rFonts w:eastAsiaTheme="minorEastAsia"/>
          <w:noProof/>
          <w:color w:val="000000" w:themeColor="text1"/>
          <w:szCs w:val="24"/>
          <w:lang w:eastAsia="ja-JP"/>
        </w:rPr>
      </w:pPr>
      <w:r w:rsidRPr="004C70EC">
        <w:rPr>
          <w:rFonts w:eastAsiaTheme="majorEastAsia"/>
          <w:noProof/>
          <w:color w:val="000000" w:themeColor="text1"/>
          <w:szCs w:val="24"/>
          <w:lang w:eastAsia="ja-JP"/>
        </w:rPr>
        <w:t>(b)</w:t>
      </w:r>
      <w:r w:rsidRPr="004C70EC">
        <w:rPr>
          <w:noProof/>
          <w:color w:val="000000" w:themeColor="text1"/>
          <w:szCs w:val="24"/>
        </w:rPr>
        <w:tab/>
      </w:r>
      <w:r w:rsidR="00273F36" w:rsidRPr="004C70EC">
        <w:rPr>
          <w:rFonts w:eastAsiaTheme="majorEastAsia"/>
          <w:noProof/>
          <w:color w:val="000000" w:themeColor="text1"/>
          <w:szCs w:val="24"/>
          <w:lang w:eastAsia="ja-JP"/>
        </w:rPr>
        <w:t>information</w:t>
      </w:r>
      <w:r w:rsidR="00273F36" w:rsidRPr="004C70EC">
        <w:rPr>
          <w:noProof/>
          <w:color w:val="000000" w:themeColor="text1"/>
          <w:szCs w:val="24"/>
        </w:rPr>
        <w:t xml:space="preserve"> </w:t>
      </w:r>
      <w:r w:rsidR="00273F36" w:rsidRPr="004C70EC">
        <w:rPr>
          <w:rFonts w:eastAsiaTheme="majorEastAsia"/>
          <w:noProof/>
          <w:color w:val="000000" w:themeColor="text1"/>
          <w:szCs w:val="24"/>
          <w:lang w:eastAsia="ja-JP"/>
        </w:rPr>
        <w:t xml:space="preserve">for the identification and use of the applicable regulatory </w:t>
      </w:r>
      <w:r w:rsidR="0050398D" w:rsidRPr="004C70EC">
        <w:rPr>
          <w:rFonts w:eastAsiaTheme="majorEastAsia"/>
          <w:noProof/>
          <w:color w:val="000000" w:themeColor="text1"/>
          <w:szCs w:val="24"/>
          <w:lang w:eastAsia="ja-JP"/>
        </w:rPr>
        <w:t xml:space="preserve">frameworks </w:t>
      </w:r>
      <w:r w:rsidR="00273F36" w:rsidRPr="004C70EC">
        <w:rPr>
          <w:rFonts w:eastAsiaTheme="majorEastAsia"/>
          <w:noProof/>
          <w:color w:val="000000" w:themeColor="text1"/>
          <w:szCs w:val="24"/>
          <w:lang w:eastAsia="ja-JP"/>
        </w:rPr>
        <w:t>and regulatory support mechanisms with regard to innovative health biotech</w:t>
      </w:r>
      <w:r w:rsidR="0075168E" w:rsidRPr="004C70EC">
        <w:rPr>
          <w:rFonts w:eastAsiaTheme="majorEastAsia"/>
          <w:noProof/>
          <w:color w:val="000000" w:themeColor="text1"/>
          <w:szCs w:val="24"/>
          <w:lang w:eastAsia="ja-JP"/>
        </w:rPr>
        <w:t>nology</w:t>
      </w:r>
      <w:r w:rsidR="00273F36" w:rsidRPr="004C70EC">
        <w:rPr>
          <w:rFonts w:eastAsiaTheme="majorEastAsia"/>
          <w:noProof/>
          <w:color w:val="000000" w:themeColor="text1"/>
          <w:szCs w:val="24"/>
          <w:lang w:eastAsia="ja-JP"/>
        </w:rPr>
        <w:t xml:space="preserve"> products, as provided for in Article </w:t>
      </w:r>
      <w:r w:rsidR="002E50FB" w:rsidRPr="004C70EC">
        <w:rPr>
          <w:rFonts w:eastAsiaTheme="majorEastAsia"/>
          <w:noProof/>
          <w:color w:val="000000" w:themeColor="text1"/>
          <w:szCs w:val="24"/>
          <w:lang w:eastAsia="ja-JP"/>
        </w:rPr>
        <w:t>3</w:t>
      </w:r>
      <w:r w:rsidR="00430E92" w:rsidRPr="004C70EC">
        <w:rPr>
          <w:rFonts w:eastAsiaTheme="majorEastAsia"/>
          <w:noProof/>
          <w:color w:val="000000" w:themeColor="text1"/>
          <w:szCs w:val="24"/>
          <w:lang w:eastAsia="ja-JP"/>
        </w:rPr>
        <w:t>4</w:t>
      </w:r>
      <w:r w:rsidR="00273F36" w:rsidRPr="004C70EC">
        <w:rPr>
          <w:rFonts w:eastAsiaTheme="majorEastAsia"/>
          <w:noProof/>
          <w:color w:val="000000" w:themeColor="text1"/>
          <w:szCs w:val="24"/>
          <w:lang w:eastAsia="ja-JP"/>
        </w:rPr>
        <w:t>;</w:t>
      </w:r>
    </w:p>
    <w:p w14:paraId="7514980A" w14:textId="77777777" w:rsidR="00273F36" w:rsidRPr="004C70EC" w:rsidRDefault="76CED990" w:rsidP="33CE1D06">
      <w:pPr>
        <w:pStyle w:val="Point1"/>
        <w:rPr>
          <w:rFonts w:eastAsiaTheme="minorEastAsia"/>
          <w:noProof/>
          <w:color w:val="000000" w:themeColor="text1"/>
          <w:szCs w:val="24"/>
          <w:lang w:eastAsia="ja-JP"/>
        </w:rPr>
      </w:pPr>
      <w:r w:rsidRPr="004C70EC">
        <w:rPr>
          <w:rFonts w:eastAsiaTheme="majorEastAsia"/>
          <w:noProof/>
          <w:color w:val="000000" w:themeColor="text1"/>
          <w:lang w:eastAsia="ja-JP"/>
        </w:rPr>
        <w:t>(c)</w:t>
      </w:r>
      <w:r w:rsidR="00CB78B1" w:rsidRPr="004C70EC">
        <w:rPr>
          <w:noProof/>
          <w:color w:val="000000" w:themeColor="text1"/>
          <w:szCs w:val="24"/>
        </w:rPr>
        <w:tab/>
      </w:r>
      <w:r w:rsidR="212FC6E9" w:rsidRPr="004C70EC">
        <w:rPr>
          <w:rFonts w:eastAsiaTheme="majorEastAsia"/>
          <w:noProof/>
          <w:color w:val="000000" w:themeColor="text1"/>
          <w:lang w:eastAsia="ja-JP"/>
        </w:rPr>
        <w:t>facilitate the interactions of project promoters with potential public and private investors</w:t>
      </w:r>
      <w:r w:rsidR="212FC6E9" w:rsidRPr="004C70EC">
        <w:rPr>
          <w:rFonts w:eastAsiaTheme="majorEastAsia"/>
          <w:b/>
          <w:bCs/>
          <w:noProof/>
          <w:color w:val="000000" w:themeColor="text1"/>
          <w:lang w:eastAsia="ja-JP"/>
        </w:rPr>
        <w:t xml:space="preserve"> </w:t>
      </w:r>
      <w:r w:rsidR="212FC6E9" w:rsidRPr="004C70EC">
        <w:rPr>
          <w:rFonts w:eastAsiaTheme="minorEastAsia"/>
          <w:noProof/>
          <w:color w:val="000000" w:themeColor="text1"/>
          <w:lang w:eastAsia="ja-JP"/>
        </w:rPr>
        <w:t>including venture-capital funds, corporate partners and national promotional banks</w:t>
      </w:r>
      <w:r w:rsidR="212FC6E9" w:rsidRPr="004C70EC">
        <w:rPr>
          <w:rFonts w:eastAsiaTheme="majorEastAsia"/>
          <w:noProof/>
          <w:color w:val="000000" w:themeColor="text1"/>
          <w:lang w:eastAsia="ja-JP"/>
        </w:rPr>
        <w:t xml:space="preserve"> and relevant funding structures and existing networks of investors, including with the European Innovation Council Trusted Investors Network</w:t>
      </w:r>
      <w:r w:rsidR="000E1D93" w:rsidRPr="004C70EC">
        <w:rPr>
          <w:rStyle w:val="FootnoteReference"/>
          <w:rFonts w:eastAsiaTheme="majorEastAsia"/>
          <w:noProof/>
          <w:color w:val="000000" w:themeColor="text1"/>
          <w:lang w:eastAsia="ja-JP"/>
        </w:rPr>
        <w:footnoteReference w:id="157"/>
      </w:r>
      <w:r w:rsidR="212FC6E9" w:rsidRPr="004C70EC">
        <w:rPr>
          <w:rFonts w:eastAsiaTheme="majorEastAsia"/>
          <w:noProof/>
          <w:color w:val="000000" w:themeColor="text1"/>
          <w:lang w:eastAsia="ja-JP"/>
        </w:rPr>
        <w:t xml:space="preserve"> </w:t>
      </w:r>
      <w:r w:rsidR="212FC6E9" w:rsidRPr="004C70EC">
        <w:rPr>
          <w:rFonts w:eastAsia="Times New Roman"/>
          <w:noProof/>
          <w:color w:val="000000" w:themeColor="text1"/>
          <w:lang w:eastAsia="en-GB"/>
        </w:rPr>
        <w:t>through matchmaking initiatives</w:t>
      </w:r>
      <w:r w:rsidR="00E61645" w:rsidRPr="004C70EC">
        <w:rPr>
          <w:rFonts w:eastAsia="Times New Roman"/>
          <w:noProof/>
          <w:color w:val="000000" w:themeColor="text1"/>
          <w:lang w:eastAsia="en-GB"/>
        </w:rPr>
        <w:t>,</w:t>
      </w:r>
      <w:r w:rsidR="212FC6E9" w:rsidRPr="004C70EC">
        <w:rPr>
          <w:rFonts w:eastAsia="Times New Roman"/>
          <w:noProof/>
          <w:color w:val="000000" w:themeColor="text1"/>
          <w:lang w:eastAsia="en-GB"/>
        </w:rPr>
        <w:t xml:space="preserve"> including</w:t>
      </w:r>
      <w:r w:rsidR="212FC6E9" w:rsidRPr="004C70EC">
        <w:rPr>
          <w:rFonts w:eastAsiaTheme="minorEastAsia"/>
          <w:noProof/>
          <w:color w:val="000000" w:themeColor="text1"/>
          <w:lang w:eastAsia="ja-JP"/>
        </w:rPr>
        <w:t xml:space="preserve"> host pitch sessions, demo days and investor forums</w:t>
      </w:r>
      <w:r w:rsidR="00E61645" w:rsidRPr="004C70EC">
        <w:rPr>
          <w:rFonts w:eastAsiaTheme="minorEastAsia"/>
          <w:noProof/>
          <w:color w:val="000000" w:themeColor="text1"/>
          <w:lang w:eastAsia="ja-JP"/>
        </w:rPr>
        <w:t>,</w:t>
      </w:r>
      <w:r w:rsidR="212FC6E9" w:rsidRPr="004C70EC">
        <w:rPr>
          <w:rFonts w:eastAsiaTheme="minorEastAsia"/>
          <w:noProof/>
          <w:color w:val="000000" w:themeColor="text1"/>
          <w:lang w:eastAsia="ja-JP"/>
        </w:rPr>
        <w:t xml:space="preserve"> in cooperation with </w:t>
      </w:r>
      <w:r w:rsidR="074E6A03" w:rsidRPr="004C70EC">
        <w:rPr>
          <w:rFonts w:eastAsiaTheme="minorEastAsia"/>
          <w:noProof/>
          <w:color w:val="000000" w:themeColor="text1"/>
          <w:lang w:eastAsia="ja-JP"/>
        </w:rPr>
        <w:t>the Steering Group</w:t>
      </w:r>
      <w:r w:rsidR="025386CC" w:rsidRPr="004C70EC">
        <w:rPr>
          <w:rFonts w:eastAsiaTheme="minorEastAsia"/>
          <w:noProof/>
          <w:color w:val="000000" w:themeColor="text1"/>
          <w:lang w:eastAsia="ja-JP"/>
        </w:rPr>
        <w:t xml:space="preserve"> </w:t>
      </w:r>
      <w:r w:rsidR="025386CC" w:rsidRPr="004C70EC">
        <w:rPr>
          <w:rFonts w:eastAsia="Times New Roman"/>
          <w:noProof/>
          <w:color w:val="000000" w:themeColor="text1"/>
        </w:rPr>
        <w:t xml:space="preserve">referred to in Article </w:t>
      </w:r>
      <w:r w:rsidR="5BABC4B0" w:rsidRPr="004C70EC">
        <w:rPr>
          <w:rFonts w:eastAsia="Times New Roman"/>
          <w:noProof/>
          <w:color w:val="000000" w:themeColor="text1"/>
        </w:rPr>
        <w:t>2</w:t>
      </w:r>
      <w:r w:rsidR="2C1E8A4C" w:rsidRPr="004C70EC">
        <w:rPr>
          <w:rFonts w:eastAsia="Times New Roman"/>
          <w:noProof/>
          <w:color w:val="000000" w:themeColor="text1"/>
        </w:rPr>
        <w:t>0</w:t>
      </w:r>
      <w:r w:rsidR="68532204" w:rsidRPr="004C70EC">
        <w:rPr>
          <w:rFonts w:eastAsiaTheme="minorEastAsia"/>
          <w:noProof/>
          <w:color w:val="000000" w:themeColor="text1"/>
          <w:lang w:eastAsia="ja-JP"/>
        </w:rPr>
        <w:t>,</w:t>
      </w:r>
      <w:r w:rsidR="212FC6E9" w:rsidRPr="004C70EC">
        <w:rPr>
          <w:rFonts w:eastAsiaTheme="minorEastAsia"/>
          <w:noProof/>
          <w:color w:val="000000" w:themeColor="text1"/>
          <w:lang w:eastAsia="ja-JP"/>
        </w:rPr>
        <w:t xml:space="preserve"> the European Innovation Council and other </w:t>
      </w:r>
      <w:r w:rsidR="1C022CCF" w:rsidRPr="004C70EC">
        <w:rPr>
          <w:rFonts w:eastAsiaTheme="minorEastAsia"/>
          <w:noProof/>
          <w:color w:val="000000" w:themeColor="text1"/>
          <w:lang w:eastAsia="ja-JP"/>
        </w:rPr>
        <w:t xml:space="preserve">relevant </w:t>
      </w:r>
      <w:r w:rsidR="212FC6E9" w:rsidRPr="004C70EC">
        <w:rPr>
          <w:rFonts w:eastAsiaTheme="minorEastAsia"/>
          <w:noProof/>
          <w:color w:val="000000" w:themeColor="text1"/>
          <w:lang w:eastAsia="ja-JP"/>
        </w:rPr>
        <w:t>Union initiatives</w:t>
      </w:r>
      <w:r w:rsidR="13A60413" w:rsidRPr="004C70EC">
        <w:rPr>
          <w:rFonts w:eastAsiaTheme="minorEastAsia"/>
          <w:noProof/>
          <w:color w:val="000000" w:themeColor="text1"/>
          <w:lang w:eastAsia="ja-JP"/>
        </w:rPr>
        <w:t>;</w:t>
      </w:r>
    </w:p>
    <w:p w14:paraId="3219B9DC" w14:textId="77777777" w:rsidR="00273F36" w:rsidRPr="004C70EC" w:rsidRDefault="00CB78B1" w:rsidP="00CB78B1">
      <w:pPr>
        <w:pStyle w:val="Point1"/>
        <w:rPr>
          <w:rFonts w:eastAsiaTheme="minorEastAsia"/>
          <w:noProof/>
          <w:color w:val="000000" w:themeColor="text1"/>
          <w:szCs w:val="24"/>
          <w:lang w:eastAsia="ja-JP"/>
        </w:rPr>
      </w:pPr>
      <w:r w:rsidRPr="004C70EC">
        <w:rPr>
          <w:rFonts w:eastAsiaTheme="majorEastAsia"/>
          <w:noProof/>
          <w:color w:val="000000" w:themeColor="text1"/>
          <w:szCs w:val="24"/>
          <w:lang w:eastAsia="ja-JP"/>
        </w:rPr>
        <w:t>(d)</w:t>
      </w:r>
      <w:r w:rsidRPr="004C70EC">
        <w:rPr>
          <w:noProof/>
          <w:color w:val="000000" w:themeColor="text1"/>
          <w:szCs w:val="24"/>
        </w:rPr>
        <w:tab/>
      </w:r>
      <w:r w:rsidR="00273F36" w:rsidRPr="004C70EC">
        <w:rPr>
          <w:rFonts w:eastAsiaTheme="majorEastAsia"/>
          <w:noProof/>
          <w:color w:val="000000" w:themeColor="text1"/>
          <w:szCs w:val="24"/>
          <w:lang w:eastAsia="ja-JP"/>
        </w:rPr>
        <w:t xml:space="preserve">provide information and support to project promoters for intellectual property procedures and technology transfer and </w:t>
      </w:r>
      <w:r w:rsidR="00273F36" w:rsidRPr="004C70EC">
        <w:rPr>
          <w:rFonts w:eastAsiaTheme="minorEastAsia"/>
          <w:noProof/>
          <w:color w:val="000000" w:themeColor="text1"/>
          <w:szCs w:val="24"/>
          <w:lang w:eastAsia="ja-JP"/>
        </w:rPr>
        <w:t>promote investor</w:t>
      </w:r>
      <w:r w:rsidR="00E61645" w:rsidRPr="004C70EC">
        <w:rPr>
          <w:rFonts w:eastAsiaTheme="minorEastAsia"/>
          <w:noProof/>
          <w:color w:val="000000" w:themeColor="text1"/>
          <w:szCs w:val="24"/>
          <w:lang w:eastAsia="ja-JP"/>
        </w:rPr>
        <w:t>s’</w:t>
      </w:r>
      <w:r w:rsidR="00273F36" w:rsidRPr="004C70EC">
        <w:rPr>
          <w:rFonts w:eastAsiaTheme="minorEastAsia"/>
          <w:noProof/>
          <w:color w:val="000000" w:themeColor="text1"/>
          <w:szCs w:val="24"/>
          <w:lang w:eastAsia="ja-JP"/>
        </w:rPr>
        <w:t xml:space="preserve"> awareness of Union regulatory frameworks and responsible-innovation principles</w:t>
      </w:r>
      <w:r w:rsidR="00273F36" w:rsidRPr="004C70EC">
        <w:rPr>
          <w:rFonts w:eastAsiaTheme="majorEastAsia"/>
          <w:noProof/>
          <w:color w:val="000000" w:themeColor="text1"/>
          <w:szCs w:val="24"/>
          <w:lang w:eastAsia="ja-JP"/>
        </w:rPr>
        <w:t xml:space="preserve">; </w:t>
      </w:r>
    </w:p>
    <w:p w14:paraId="1FFBFB13" w14:textId="77777777" w:rsidR="00273F36" w:rsidRPr="004C70EC" w:rsidRDefault="00CB78B1" w:rsidP="00CB78B1">
      <w:pPr>
        <w:pStyle w:val="Point1"/>
        <w:rPr>
          <w:rFonts w:eastAsiaTheme="minorEastAsia"/>
          <w:noProof/>
          <w:color w:val="000000" w:themeColor="text1"/>
          <w:lang w:eastAsia="ja-JP"/>
        </w:rPr>
      </w:pPr>
      <w:r w:rsidRPr="004C70EC">
        <w:rPr>
          <w:rFonts w:eastAsiaTheme="majorEastAsia"/>
          <w:noProof/>
          <w:color w:val="000000" w:themeColor="text1"/>
          <w:lang w:eastAsia="ja-JP"/>
        </w:rPr>
        <w:t>(e)</w:t>
      </w:r>
      <w:r w:rsidRPr="004C70EC">
        <w:rPr>
          <w:noProof/>
        </w:rPr>
        <w:tab/>
      </w:r>
      <w:r w:rsidR="00273F36" w:rsidRPr="004C70EC">
        <w:rPr>
          <w:rFonts w:eastAsiaTheme="majorEastAsia"/>
          <w:noProof/>
          <w:color w:val="000000" w:themeColor="text1"/>
          <w:lang w:eastAsia="ja-JP"/>
        </w:rPr>
        <w:t xml:space="preserve">support project promoters in the identification of scaling up resources, including business support networks </w:t>
      </w:r>
      <w:r w:rsidR="14EE8C8D" w:rsidRPr="004C70EC">
        <w:rPr>
          <w:rFonts w:eastAsiaTheme="majorEastAsia"/>
          <w:noProof/>
          <w:color w:val="000000" w:themeColor="text1"/>
          <w:lang w:eastAsia="ja-JP"/>
        </w:rPr>
        <w:t xml:space="preserve">providing advice </w:t>
      </w:r>
      <w:r w:rsidR="42A2244E" w:rsidRPr="004C70EC">
        <w:rPr>
          <w:rFonts w:eastAsiaTheme="majorEastAsia"/>
          <w:noProof/>
          <w:color w:val="000000" w:themeColor="text1"/>
          <w:lang w:eastAsia="ja-JP"/>
        </w:rPr>
        <w:t xml:space="preserve">on commercial readiness of </w:t>
      </w:r>
      <w:r w:rsidR="5F0DAFCA" w:rsidRPr="004C70EC">
        <w:rPr>
          <w:rFonts w:eastAsiaTheme="majorEastAsia"/>
          <w:noProof/>
          <w:color w:val="000000" w:themeColor="text1"/>
          <w:lang w:eastAsia="ja-JP"/>
        </w:rPr>
        <w:t>health biotechnology projects</w:t>
      </w:r>
      <w:r w:rsidR="00E61645" w:rsidRPr="004C70EC">
        <w:rPr>
          <w:rFonts w:eastAsiaTheme="majorEastAsia"/>
          <w:noProof/>
          <w:color w:val="000000" w:themeColor="text1"/>
          <w:lang w:eastAsia="ja-JP"/>
        </w:rPr>
        <w:t xml:space="preserve"> </w:t>
      </w:r>
      <w:r w:rsidR="00273F36" w:rsidRPr="004C70EC">
        <w:rPr>
          <w:rFonts w:eastAsiaTheme="majorEastAsia"/>
          <w:noProof/>
          <w:color w:val="000000" w:themeColor="text1"/>
          <w:lang w:eastAsia="ja-JP"/>
        </w:rPr>
        <w:t>and testing and training facilities, state-of-the-art pilot plant facilities that simulate a real production environment, and relevant research and technology infrastructures across the Union, including technology centres, cutting-edge facilities, and data-sharing platforms</w:t>
      </w:r>
      <w:r w:rsidR="107EEE72" w:rsidRPr="004C70EC">
        <w:rPr>
          <w:rFonts w:eastAsiaTheme="majorEastAsia"/>
          <w:noProof/>
          <w:color w:val="000000" w:themeColor="text1"/>
          <w:lang w:eastAsia="ja-JP"/>
        </w:rPr>
        <w:t xml:space="preserve"> </w:t>
      </w:r>
      <w:r w:rsidR="00EA58E8" w:rsidRPr="004C70EC">
        <w:rPr>
          <w:rFonts w:eastAsiaTheme="majorEastAsia"/>
          <w:noProof/>
          <w:color w:val="000000" w:themeColor="text1"/>
          <w:lang w:eastAsia="ja-JP"/>
        </w:rPr>
        <w:t>to support the development and testing of health biotechnologies</w:t>
      </w:r>
      <w:r w:rsidR="00273F36" w:rsidRPr="004C70EC">
        <w:rPr>
          <w:rFonts w:eastAsiaTheme="majorEastAsia"/>
          <w:noProof/>
          <w:color w:val="000000" w:themeColor="text1"/>
          <w:lang w:eastAsia="ja-JP"/>
        </w:rPr>
        <w:t>; </w:t>
      </w:r>
    </w:p>
    <w:p w14:paraId="20DBCCB0" w14:textId="77777777" w:rsidR="00273F36" w:rsidRPr="004C70EC" w:rsidRDefault="00CB78B1" w:rsidP="00CB78B1">
      <w:pPr>
        <w:pStyle w:val="Point1"/>
        <w:rPr>
          <w:noProof/>
          <w:color w:val="000000" w:themeColor="text1"/>
          <w:szCs w:val="24"/>
        </w:rPr>
      </w:pPr>
      <w:r w:rsidRPr="004C70EC">
        <w:rPr>
          <w:noProof/>
          <w:color w:val="000000" w:themeColor="text1"/>
          <w:szCs w:val="24"/>
        </w:rPr>
        <w:t>(f)</w:t>
      </w:r>
      <w:r w:rsidRPr="004C70EC">
        <w:rPr>
          <w:noProof/>
          <w:color w:val="000000" w:themeColor="text1"/>
          <w:szCs w:val="24"/>
        </w:rPr>
        <w:tab/>
      </w:r>
      <w:r w:rsidR="00273F36" w:rsidRPr="004C70EC">
        <w:rPr>
          <w:noProof/>
          <w:color w:val="000000" w:themeColor="text1"/>
          <w:szCs w:val="24"/>
        </w:rPr>
        <w:t>support biotechnology actors in the responsible and effective integration of AI, by providing sector-specific guidance and promoting best practices and standards for trustworthy AI, in coordination with the bodies established under Regulation (EU) 2024/1689, and by providing information and support, in particular to SMEs, start-ups and scale-ups;</w:t>
      </w:r>
    </w:p>
    <w:p w14:paraId="2B484C0A" w14:textId="77777777" w:rsidR="00273F36" w:rsidRPr="004C70EC" w:rsidRDefault="00CB78B1" w:rsidP="00CB78B1">
      <w:pPr>
        <w:pStyle w:val="Point1"/>
        <w:rPr>
          <w:rFonts w:eastAsiaTheme="majorEastAsia"/>
          <w:noProof/>
          <w:color w:val="000000" w:themeColor="text1"/>
          <w:szCs w:val="24"/>
          <w:lang w:eastAsia="ja-JP"/>
        </w:rPr>
      </w:pPr>
      <w:r w:rsidRPr="004C70EC">
        <w:rPr>
          <w:rFonts w:eastAsiaTheme="majorEastAsia"/>
          <w:noProof/>
          <w:color w:val="000000" w:themeColor="text1"/>
          <w:szCs w:val="24"/>
          <w:lang w:eastAsia="ja-JP"/>
        </w:rPr>
        <w:t>(g)</w:t>
      </w:r>
      <w:r w:rsidRPr="004C70EC">
        <w:rPr>
          <w:rFonts w:eastAsiaTheme="majorEastAsia"/>
          <w:noProof/>
          <w:color w:val="000000" w:themeColor="text1"/>
          <w:szCs w:val="24"/>
          <w:lang w:eastAsia="ja-JP"/>
        </w:rPr>
        <w:tab/>
      </w:r>
      <w:r w:rsidR="00273F36" w:rsidRPr="004C70EC">
        <w:rPr>
          <w:rFonts w:eastAsiaTheme="majorEastAsia"/>
          <w:noProof/>
          <w:color w:val="000000" w:themeColor="text1"/>
          <w:szCs w:val="24"/>
          <w:lang w:eastAsia="ja-JP"/>
        </w:rPr>
        <w:t>facilitate liaison and exchanges among project promoters with a view to fostering networking and cooperation</w:t>
      </w:r>
      <w:r w:rsidR="00796E85" w:rsidRPr="004C70EC">
        <w:rPr>
          <w:rFonts w:eastAsiaTheme="majorEastAsia"/>
          <w:noProof/>
          <w:color w:val="000000" w:themeColor="text1"/>
          <w:szCs w:val="24"/>
          <w:lang w:eastAsia="ja-JP"/>
        </w:rPr>
        <w:t xml:space="preserve">, including </w:t>
      </w:r>
      <w:r w:rsidR="00BC1CE6" w:rsidRPr="004C70EC">
        <w:rPr>
          <w:rFonts w:eastAsiaTheme="majorEastAsia"/>
          <w:noProof/>
          <w:color w:val="000000" w:themeColor="text1"/>
          <w:szCs w:val="24"/>
          <w:lang w:eastAsia="ja-JP"/>
        </w:rPr>
        <w:t>to s</w:t>
      </w:r>
      <w:r w:rsidR="004A2BE1" w:rsidRPr="004C70EC">
        <w:rPr>
          <w:rFonts w:eastAsiaTheme="majorEastAsia"/>
          <w:noProof/>
          <w:color w:val="000000" w:themeColor="text1"/>
          <w:szCs w:val="24"/>
          <w:lang w:eastAsia="ja-JP"/>
        </w:rPr>
        <w:t xml:space="preserve">upport </w:t>
      </w:r>
      <w:r w:rsidR="00BC1CE6" w:rsidRPr="004C70EC">
        <w:rPr>
          <w:rFonts w:eastAsiaTheme="majorEastAsia"/>
          <w:noProof/>
          <w:color w:val="000000" w:themeColor="text1"/>
          <w:szCs w:val="24"/>
          <w:lang w:eastAsia="ja-JP"/>
        </w:rPr>
        <w:t>network</w:t>
      </w:r>
      <w:r w:rsidR="0071607B" w:rsidRPr="004C70EC">
        <w:rPr>
          <w:rFonts w:eastAsiaTheme="majorEastAsia"/>
          <w:noProof/>
          <w:color w:val="000000" w:themeColor="text1"/>
          <w:szCs w:val="24"/>
          <w:lang w:eastAsia="ja-JP"/>
        </w:rPr>
        <w:t>s</w:t>
      </w:r>
      <w:r w:rsidR="00BC1CE6" w:rsidRPr="004C70EC">
        <w:rPr>
          <w:rFonts w:eastAsiaTheme="majorEastAsia"/>
          <w:noProof/>
          <w:color w:val="000000" w:themeColor="text1"/>
          <w:szCs w:val="24"/>
          <w:lang w:eastAsia="ja-JP"/>
        </w:rPr>
        <w:t xml:space="preserve"> of </w:t>
      </w:r>
      <w:r w:rsidR="007C3480" w:rsidRPr="004C70EC">
        <w:rPr>
          <w:rFonts w:eastAsiaTheme="majorEastAsia"/>
          <w:noProof/>
          <w:color w:val="000000" w:themeColor="text1"/>
          <w:szCs w:val="24"/>
          <w:lang w:eastAsia="ja-JP"/>
        </w:rPr>
        <w:t xml:space="preserve">health </w:t>
      </w:r>
      <w:r w:rsidR="00BC1CE6" w:rsidRPr="004C70EC">
        <w:rPr>
          <w:rFonts w:eastAsiaTheme="majorEastAsia"/>
          <w:noProof/>
          <w:color w:val="000000" w:themeColor="text1"/>
          <w:szCs w:val="24"/>
          <w:lang w:eastAsia="ja-JP"/>
        </w:rPr>
        <w:t>biotechnology clusters</w:t>
      </w:r>
      <w:r w:rsidR="00273F36" w:rsidRPr="004C70EC">
        <w:rPr>
          <w:rFonts w:eastAsiaTheme="majorEastAsia"/>
          <w:noProof/>
          <w:color w:val="000000" w:themeColor="text1"/>
          <w:szCs w:val="24"/>
          <w:lang w:eastAsia="ja-JP"/>
        </w:rPr>
        <w:t xml:space="preserve"> referred to in Article </w:t>
      </w:r>
      <w:r w:rsidR="002E50FB" w:rsidRPr="004C70EC">
        <w:rPr>
          <w:rFonts w:eastAsiaTheme="majorEastAsia"/>
          <w:noProof/>
          <w:color w:val="000000" w:themeColor="text1"/>
          <w:szCs w:val="24"/>
          <w:lang w:eastAsia="ja-JP"/>
        </w:rPr>
        <w:t>15</w:t>
      </w:r>
      <w:r w:rsidR="00273F36" w:rsidRPr="004C70EC">
        <w:rPr>
          <w:rFonts w:eastAsiaTheme="majorEastAsia"/>
          <w:noProof/>
          <w:color w:val="000000" w:themeColor="text1"/>
          <w:szCs w:val="24"/>
          <w:lang w:eastAsia="ja-JP"/>
        </w:rPr>
        <w:t>;</w:t>
      </w:r>
    </w:p>
    <w:p w14:paraId="0F99D5C8" w14:textId="77777777" w:rsidR="00273F36" w:rsidRPr="004C70EC" w:rsidRDefault="00CB78B1" w:rsidP="00CB78B1">
      <w:pPr>
        <w:pStyle w:val="Point1"/>
        <w:rPr>
          <w:rFonts w:eastAsiaTheme="majorEastAsia"/>
          <w:noProof/>
          <w:color w:val="000000" w:themeColor="text1"/>
          <w:szCs w:val="24"/>
          <w:lang w:eastAsia="ja-JP"/>
        </w:rPr>
      </w:pPr>
      <w:r w:rsidRPr="004C70EC">
        <w:rPr>
          <w:rFonts w:eastAsiaTheme="minorEastAsia"/>
          <w:noProof/>
          <w:color w:val="000000" w:themeColor="text1"/>
          <w:szCs w:val="24"/>
          <w:lang w:eastAsia="ja-JP"/>
        </w:rPr>
        <w:t>(h)</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 xml:space="preserve">provide incubation, acceleration and mentorship programmes for biotechnology start-ups and scale-ups </w:t>
      </w:r>
      <w:r w:rsidR="00273F36" w:rsidRPr="004C70EC">
        <w:rPr>
          <w:rFonts w:eastAsiaTheme="majorEastAsia"/>
          <w:noProof/>
          <w:color w:val="000000" w:themeColor="text1"/>
          <w:szCs w:val="24"/>
          <w:lang w:eastAsia="ja-JP"/>
        </w:rPr>
        <w:t xml:space="preserve">and connect project promoters with projects and initiatives that address skills and expertise needs in </w:t>
      </w:r>
      <w:r w:rsidR="00623BFA" w:rsidRPr="004C70EC">
        <w:rPr>
          <w:rFonts w:eastAsiaTheme="majorEastAsia"/>
          <w:noProof/>
          <w:color w:val="000000" w:themeColor="text1"/>
          <w:szCs w:val="24"/>
          <w:lang w:eastAsia="ja-JP"/>
        </w:rPr>
        <w:t>health</w:t>
      </w:r>
      <w:r w:rsidR="00273F36" w:rsidRPr="004C70EC">
        <w:rPr>
          <w:rFonts w:eastAsiaTheme="majorEastAsia"/>
          <w:noProof/>
          <w:color w:val="000000" w:themeColor="text1"/>
          <w:szCs w:val="24"/>
          <w:lang w:eastAsia="ja-JP"/>
        </w:rPr>
        <w:t xml:space="preserve"> biotechnology and biomanufacturing, including with testing, training and technical support facilities, and regional skills partnerships; </w:t>
      </w:r>
    </w:p>
    <w:p w14:paraId="1BAB0B56" w14:textId="77777777" w:rsidR="00273F36" w:rsidRPr="004C70EC" w:rsidRDefault="00CB78B1" w:rsidP="00CB78B1">
      <w:pPr>
        <w:pStyle w:val="Point1"/>
        <w:rPr>
          <w:rFonts w:eastAsiaTheme="majorEastAsia"/>
          <w:noProof/>
          <w:color w:val="000000" w:themeColor="text1"/>
          <w:szCs w:val="24"/>
          <w:lang w:eastAsia="ja-JP"/>
        </w:rPr>
      </w:pPr>
      <w:r w:rsidRPr="004C70EC">
        <w:rPr>
          <w:rFonts w:eastAsiaTheme="minorEastAsia"/>
          <w:noProof/>
          <w:color w:val="000000" w:themeColor="text1"/>
          <w:szCs w:val="24"/>
          <w:lang w:eastAsia="ja-JP"/>
        </w:rPr>
        <w:t>(i)</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 xml:space="preserve">support Member States and the single points of contact in facilitating projects promoters’ access to administrative support provided in accordance with </w:t>
      </w:r>
      <w:r w:rsidR="00273F36" w:rsidRPr="004C70EC">
        <w:rPr>
          <w:rFonts w:eastAsiaTheme="majorEastAsia"/>
          <w:noProof/>
          <w:color w:val="000000" w:themeColor="text1"/>
          <w:szCs w:val="24"/>
          <w:lang w:eastAsia="ja-JP"/>
        </w:rPr>
        <w:t>Article 1</w:t>
      </w:r>
      <w:r w:rsidR="002E50FB" w:rsidRPr="004C70EC">
        <w:rPr>
          <w:rFonts w:eastAsiaTheme="majorEastAsia"/>
          <w:noProof/>
          <w:color w:val="000000" w:themeColor="text1"/>
          <w:szCs w:val="24"/>
          <w:lang w:eastAsia="ja-JP"/>
        </w:rPr>
        <w:t>3</w:t>
      </w:r>
      <w:r w:rsidR="000C7D8F" w:rsidRPr="004C70EC">
        <w:rPr>
          <w:rFonts w:eastAsiaTheme="minorEastAsia"/>
          <w:noProof/>
          <w:color w:val="000000" w:themeColor="text1"/>
          <w:szCs w:val="24"/>
          <w:lang w:eastAsia="ja-JP"/>
        </w:rPr>
        <w:t>.</w:t>
      </w:r>
    </w:p>
    <w:p w14:paraId="0BDEA621" w14:textId="77777777" w:rsidR="00273F36" w:rsidRPr="004C70EC" w:rsidRDefault="00CB78B1" w:rsidP="00CB78B1">
      <w:pPr>
        <w:pStyle w:val="Point0"/>
        <w:rPr>
          <w:rFonts w:eastAsiaTheme="minorEastAsia"/>
          <w:noProof/>
          <w:color w:val="000000" w:themeColor="text1"/>
          <w:szCs w:val="24"/>
          <w:lang w:eastAsia="ja-JP"/>
        </w:rPr>
      </w:pPr>
      <w:r w:rsidRPr="004C70EC">
        <w:rPr>
          <w:rFonts w:eastAsiaTheme="majorEastAsia"/>
          <w:noProof/>
          <w:color w:val="000000" w:themeColor="text1"/>
          <w:szCs w:val="24"/>
          <w:lang w:eastAsia="ja-JP"/>
        </w:rPr>
        <w:t>4.</w:t>
      </w:r>
      <w:r w:rsidRPr="004C70EC">
        <w:rPr>
          <w:rFonts w:eastAsiaTheme="majorEastAsia"/>
          <w:noProof/>
          <w:color w:val="000000" w:themeColor="text1"/>
          <w:szCs w:val="24"/>
          <w:lang w:eastAsia="ja-JP"/>
        </w:rPr>
        <w:tab/>
      </w:r>
      <w:r w:rsidR="00273F36" w:rsidRPr="004C70EC">
        <w:rPr>
          <w:rFonts w:eastAsiaTheme="majorEastAsia"/>
          <w:noProof/>
          <w:color w:val="000000" w:themeColor="text1"/>
          <w:szCs w:val="24"/>
          <w:lang w:eastAsia="ja-JP"/>
        </w:rPr>
        <w:t xml:space="preserve">The Network shall </w:t>
      </w:r>
      <w:r w:rsidR="00275A98" w:rsidRPr="004C70EC">
        <w:rPr>
          <w:rFonts w:eastAsiaTheme="majorEastAsia"/>
          <w:noProof/>
          <w:color w:val="000000" w:themeColor="text1"/>
          <w:szCs w:val="24"/>
          <w:lang w:eastAsia="ja-JP"/>
        </w:rPr>
        <w:t>complement and</w:t>
      </w:r>
      <w:r w:rsidR="002801C5" w:rsidRPr="004C70EC">
        <w:rPr>
          <w:rFonts w:eastAsiaTheme="majorEastAsia"/>
          <w:noProof/>
          <w:color w:val="000000" w:themeColor="text1"/>
          <w:szCs w:val="24"/>
          <w:lang w:eastAsia="ja-JP"/>
        </w:rPr>
        <w:t>, to the extent possible,</w:t>
      </w:r>
      <w:r w:rsidR="00273F36" w:rsidRPr="004C70EC">
        <w:rPr>
          <w:rFonts w:eastAsiaTheme="majorEastAsia"/>
          <w:noProof/>
          <w:color w:val="000000" w:themeColor="text1"/>
          <w:szCs w:val="24"/>
          <w:lang w:eastAsia="ja-JP"/>
        </w:rPr>
        <w:t xml:space="preserve"> rely on existing relevant organisations and networks at Union and Member State </w:t>
      </w:r>
      <w:r w:rsidR="00CC406E" w:rsidRPr="004C70EC">
        <w:rPr>
          <w:rFonts w:eastAsiaTheme="majorEastAsia"/>
          <w:noProof/>
          <w:color w:val="000000" w:themeColor="text1"/>
          <w:szCs w:val="24"/>
          <w:lang w:eastAsia="ja-JP"/>
        </w:rPr>
        <w:t xml:space="preserve">and regional </w:t>
      </w:r>
      <w:r w:rsidR="00273F36" w:rsidRPr="004C70EC">
        <w:rPr>
          <w:rFonts w:eastAsiaTheme="majorEastAsia"/>
          <w:noProof/>
          <w:color w:val="000000" w:themeColor="text1"/>
          <w:szCs w:val="24"/>
          <w:lang w:eastAsia="ja-JP"/>
        </w:rPr>
        <w:t>level, including the European Enterprise Network.</w:t>
      </w:r>
    </w:p>
    <w:p w14:paraId="77980931" w14:textId="77777777" w:rsidR="00273F36" w:rsidRPr="004C70EC" w:rsidRDefault="00CB78B1" w:rsidP="00CB78B1">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5.</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The Commission shall select the members of the Network based on criteria made public pertaining to the expertise and capabilities required to fulfil the missions referred to in paragraph 3</w:t>
      </w:r>
      <w:r w:rsidR="004A2BE1" w:rsidRPr="004C70EC">
        <w:rPr>
          <w:rFonts w:eastAsiaTheme="minorEastAsia"/>
          <w:noProof/>
          <w:color w:val="000000" w:themeColor="text1"/>
          <w:szCs w:val="24"/>
          <w:lang w:eastAsia="ja-JP"/>
        </w:rPr>
        <w:t xml:space="preserve"> of this Article</w:t>
      </w:r>
      <w:r w:rsidR="00273F36" w:rsidRPr="004C70EC">
        <w:rPr>
          <w:rFonts w:eastAsiaTheme="minorEastAsia"/>
          <w:noProof/>
          <w:color w:val="000000" w:themeColor="text1"/>
          <w:szCs w:val="24"/>
          <w:lang w:eastAsia="ja-JP"/>
        </w:rPr>
        <w:t>, including to the ability to leverage</w:t>
      </w:r>
      <w:r w:rsidR="00A066BB" w:rsidRPr="004C70EC">
        <w:rPr>
          <w:rFonts w:eastAsiaTheme="minorEastAsia"/>
          <w:noProof/>
          <w:color w:val="000000" w:themeColor="text1"/>
          <w:szCs w:val="24"/>
          <w:lang w:eastAsia="ja-JP"/>
        </w:rPr>
        <w:t>,</w:t>
      </w:r>
      <w:r w:rsidR="00D8698B" w:rsidRPr="004C70EC">
        <w:rPr>
          <w:rFonts w:eastAsiaTheme="minorEastAsia"/>
          <w:noProof/>
          <w:color w:val="000000" w:themeColor="text1"/>
          <w:szCs w:val="24"/>
          <w:lang w:eastAsia="ja-JP"/>
        </w:rPr>
        <w:t xml:space="preserve"> complement and strenghten</w:t>
      </w:r>
      <w:r w:rsidR="00273F36" w:rsidRPr="004C70EC">
        <w:rPr>
          <w:rFonts w:eastAsiaTheme="minorEastAsia"/>
          <w:noProof/>
          <w:color w:val="000000" w:themeColor="text1"/>
          <w:szCs w:val="24"/>
          <w:lang w:eastAsia="ja-JP"/>
        </w:rPr>
        <w:t xml:space="preserve"> existing national and European networks that support SMEs</w:t>
      </w:r>
      <w:r w:rsidR="00273F36" w:rsidRPr="004C70EC">
        <w:rPr>
          <w:rFonts w:eastAsiaTheme="majorEastAsia"/>
          <w:noProof/>
          <w:color w:val="000000" w:themeColor="text1"/>
          <w:szCs w:val="24"/>
          <w:lang w:eastAsia="ja-JP"/>
        </w:rPr>
        <w:t>, start-ups and scale-ups,</w:t>
      </w:r>
      <w:r w:rsidR="00273F36" w:rsidRPr="004C70EC">
        <w:rPr>
          <w:rFonts w:eastAsiaTheme="minorEastAsia"/>
          <w:noProof/>
          <w:color w:val="000000" w:themeColor="text1"/>
          <w:szCs w:val="24"/>
          <w:lang w:eastAsia="ja-JP"/>
        </w:rPr>
        <w:t xml:space="preserve"> and innovators.</w:t>
      </w:r>
    </w:p>
    <w:p w14:paraId="1EA58866" w14:textId="77777777" w:rsidR="00273F36" w:rsidRPr="004C70EC" w:rsidRDefault="00273F36" w:rsidP="00CB78B1">
      <w:pPr>
        <w:pStyle w:val="Text1"/>
        <w:rPr>
          <w:noProof/>
          <w:color w:val="000000" w:themeColor="text1"/>
          <w:szCs w:val="24"/>
          <w:lang w:eastAsia="ja-JP"/>
        </w:rPr>
      </w:pPr>
      <w:r w:rsidRPr="004C70EC">
        <w:rPr>
          <w:noProof/>
          <w:color w:val="000000" w:themeColor="text1"/>
          <w:szCs w:val="24"/>
          <w:lang w:eastAsia="ja-JP"/>
        </w:rPr>
        <w:t xml:space="preserve">The Commission shall </w:t>
      </w:r>
      <w:r w:rsidR="51774129" w:rsidRPr="004C70EC">
        <w:rPr>
          <w:noProof/>
          <w:color w:val="000000" w:themeColor="text1"/>
          <w:szCs w:val="24"/>
          <w:lang w:eastAsia="ja-JP"/>
        </w:rPr>
        <w:t xml:space="preserve">organise the </w:t>
      </w:r>
      <w:r w:rsidRPr="004C70EC">
        <w:rPr>
          <w:noProof/>
          <w:color w:val="000000" w:themeColor="text1"/>
          <w:szCs w:val="24"/>
          <w:lang w:eastAsia="ja-JP"/>
        </w:rPr>
        <w:t>manage</w:t>
      </w:r>
      <w:r w:rsidR="5C7B4249" w:rsidRPr="004C70EC">
        <w:rPr>
          <w:noProof/>
          <w:color w:val="000000" w:themeColor="text1"/>
          <w:szCs w:val="24"/>
          <w:lang w:eastAsia="ja-JP"/>
        </w:rPr>
        <w:t>ment</w:t>
      </w:r>
      <w:r w:rsidRPr="004C70EC">
        <w:rPr>
          <w:noProof/>
          <w:color w:val="000000" w:themeColor="text1"/>
          <w:szCs w:val="24"/>
          <w:lang w:eastAsia="ja-JP"/>
        </w:rPr>
        <w:t>, coordinat</w:t>
      </w:r>
      <w:r w:rsidR="5C3AF67F" w:rsidRPr="004C70EC">
        <w:rPr>
          <w:noProof/>
          <w:color w:val="000000" w:themeColor="text1"/>
          <w:szCs w:val="24"/>
          <w:lang w:eastAsia="ja-JP"/>
        </w:rPr>
        <w:t>ion</w:t>
      </w:r>
      <w:r w:rsidRPr="004C70EC">
        <w:rPr>
          <w:noProof/>
          <w:color w:val="000000" w:themeColor="text1"/>
          <w:szCs w:val="24"/>
          <w:lang w:eastAsia="ja-JP"/>
        </w:rPr>
        <w:t xml:space="preserve"> and support </w:t>
      </w:r>
      <w:r w:rsidR="3549A393" w:rsidRPr="004C70EC">
        <w:rPr>
          <w:noProof/>
          <w:color w:val="000000" w:themeColor="text1"/>
          <w:szCs w:val="24"/>
          <w:lang w:eastAsia="ja-JP"/>
        </w:rPr>
        <w:t>of</w:t>
      </w:r>
      <w:r w:rsidRPr="004C70EC">
        <w:rPr>
          <w:noProof/>
          <w:color w:val="000000" w:themeColor="text1"/>
          <w:szCs w:val="24"/>
          <w:lang w:eastAsia="ja-JP"/>
        </w:rPr>
        <w:t xml:space="preserve"> the Network.</w:t>
      </w:r>
    </w:p>
    <w:p w14:paraId="4F6E8499" w14:textId="77777777" w:rsidR="00C05B35" w:rsidRPr="004C70EC" w:rsidRDefault="00273F36" w:rsidP="00C05B35">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6.</w:t>
      </w:r>
      <w:r w:rsidRPr="004C70EC">
        <w:rPr>
          <w:rFonts w:eastAsiaTheme="minorEastAsia"/>
          <w:noProof/>
          <w:color w:val="000000" w:themeColor="text1"/>
          <w:szCs w:val="24"/>
          <w:lang w:eastAsia="ja-JP"/>
        </w:rPr>
        <w:tab/>
        <w:t xml:space="preserve">The Commission may support the Network through Union </w:t>
      </w:r>
      <w:r w:rsidR="008A162C" w:rsidRPr="004C70EC">
        <w:rPr>
          <w:rFonts w:eastAsiaTheme="minorEastAsia"/>
          <w:noProof/>
          <w:color w:val="000000" w:themeColor="text1"/>
          <w:szCs w:val="24"/>
          <w:lang w:eastAsia="ja-JP"/>
        </w:rPr>
        <w:t xml:space="preserve">funds, </w:t>
      </w:r>
      <w:r w:rsidRPr="004C70EC">
        <w:rPr>
          <w:rFonts w:eastAsiaTheme="minorEastAsia"/>
          <w:noProof/>
          <w:color w:val="000000" w:themeColor="text1"/>
          <w:szCs w:val="24"/>
          <w:lang w:eastAsia="ja-JP"/>
        </w:rPr>
        <w:t xml:space="preserve">programmes, </w:t>
      </w:r>
      <w:r w:rsidR="008A162C" w:rsidRPr="004C70EC">
        <w:rPr>
          <w:rFonts w:eastAsiaTheme="minorEastAsia"/>
          <w:noProof/>
          <w:color w:val="000000" w:themeColor="text1"/>
          <w:szCs w:val="24"/>
          <w:lang w:eastAsia="ja-JP"/>
        </w:rPr>
        <w:t>and</w:t>
      </w:r>
      <w:r w:rsidRPr="004C70EC">
        <w:rPr>
          <w:rFonts w:eastAsiaTheme="minorEastAsia"/>
          <w:noProof/>
          <w:color w:val="000000" w:themeColor="text1"/>
          <w:szCs w:val="24"/>
          <w:lang w:eastAsia="ja-JP"/>
        </w:rPr>
        <w:t xml:space="preserve"> instruments, in accordance with the objectives established in their respective </w:t>
      </w:r>
      <w:r w:rsidR="001335F6" w:rsidRPr="004C70EC">
        <w:rPr>
          <w:rFonts w:eastAsiaTheme="minorEastAsia"/>
          <w:noProof/>
          <w:color w:val="000000" w:themeColor="text1"/>
          <w:szCs w:val="24"/>
          <w:lang w:eastAsia="ja-JP"/>
        </w:rPr>
        <w:t>basic acts</w:t>
      </w:r>
      <w:r w:rsidRPr="004C70EC">
        <w:rPr>
          <w:rFonts w:eastAsiaTheme="minorEastAsia"/>
          <w:noProof/>
          <w:color w:val="000000" w:themeColor="text1"/>
          <w:szCs w:val="24"/>
          <w:lang w:eastAsia="ja-JP"/>
        </w:rPr>
        <w:t>.</w:t>
      </w:r>
    </w:p>
    <w:p w14:paraId="5DE1CFBA" w14:textId="77777777" w:rsidR="00273F36" w:rsidRPr="004C70EC" w:rsidRDefault="00C05B35" w:rsidP="00C05B35">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7.</w:t>
      </w:r>
      <w:r w:rsidRPr="004C70EC">
        <w:rPr>
          <w:rFonts w:eastAsiaTheme="minorEastAsia"/>
          <w:noProof/>
          <w:color w:val="000000" w:themeColor="text1"/>
          <w:szCs w:val="24"/>
          <w:lang w:eastAsia="ja-JP"/>
        </w:rPr>
        <w:tab/>
      </w:r>
      <w:r w:rsidR="2F263E33" w:rsidRPr="004C70EC">
        <w:rPr>
          <w:rFonts w:eastAsiaTheme="minorEastAsia"/>
          <w:noProof/>
          <w:color w:val="000000" w:themeColor="text1"/>
          <w:szCs w:val="24"/>
          <w:lang w:eastAsia="ja-JP"/>
        </w:rPr>
        <w:t xml:space="preserve">Member States shall take all necessary measures to </w:t>
      </w:r>
      <w:r w:rsidR="00F137C5" w:rsidRPr="004C70EC">
        <w:rPr>
          <w:rFonts w:eastAsiaTheme="minorEastAsia"/>
          <w:noProof/>
          <w:color w:val="000000" w:themeColor="text1"/>
          <w:szCs w:val="24"/>
          <w:lang w:eastAsia="ja-JP"/>
        </w:rPr>
        <w:t>facilitate the fulfilment of th</w:t>
      </w:r>
      <w:r w:rsidR="00F4054C" w:rsidRPr="004C70EC">
        <w:rPr>
          <w:rFonts w:eastAsiaTheme="minorEastAsia"/>
          <w:noProof/>
          <w:color w:val="000000" w:themeColor="text1"/>
          <w:szCs w:val="24"/>
          <w:lang w:eastAsia="ja-JP"/>
        </w:rPr>
        <w:t>e</w:t>
      </w:r>
      <w:r w:rsidR="00F137C5" w:rsidRPr="004C70EC">
        <w:rPr>
          <w:rFonts w:eastAsiaTheme="minorEastAsia"/>
          <w:noProof/>
          <w:color w:val="000000" w:themeColor="text1"/>
          <w:szCs w:val="24"/>
          <w:lang w:eastAsia="ja-JP"/>
        </w:rPr>
        <w:t xml:space="preserve"> tasks </w:t>
      </w:r>
      <w:r w:rsidR="2F263E33" w:rsidRPr="004C70EC">
        <w:rPr>
          <w:rFonts w:eastAsiaTheme="minorEastAsia"/>
          <w:noProof/>
          <w:color w:val="000000" w:themeColor="text1"/>
          <w:szCs w:val="24"/>
          <w:lang w:eastAsia="ja-JP"/>
        </w:rPr>
        <w:t xml:space="preserve">of the Network. </w:t>
      </w:r>
    </w:p>
    <w:p w14:paraId="3AEAECDC" w14:textId="77777777" w:rsidR="007E04F9" w:rsidRPr="004C70EC" w:rsidRDefault="007E04F9" w:rsidP="00CB78B1">
      <w:pPr>
        <w:pStyle w:val="Point0"/>
        <w:rPr>
          <w:rFonts w:eastAsiaTheme="minorEastAsia"/>
          <w:noProof/>
          <w:color w:val="000000" w:themeColor="text1"/>
          <w:szCs w:val="24"/>
          <w:lang w:eastAsia="ja-JP"/>
        </w:rPr>
      </w:pPr>
    </w:p>
    <w:p w14:paraId="618D890A" w14:textId="77777777" w:rsidR="008E0BB1" w:rsidRPr="004C70EC" w:rsidRDefault="008E0BB1" w:rsidP="00A80A89">
      <w:pPr>
        <w:pStyle w:val="SectionTitle"/>
        <w:rPr>
          <w:noProof/>
          <w:color w:val="000000" w:themeColor="text1"/>
          <w:sz w:val="24"/>
          <w:szCs w:val="24"/>
          <w:lang w:val="en-IE" w:eastAsia="ja-JP"/>
        </w:rPr>
      </w:pPr>
      <w:r w:rsidRPr="004C70EC">
        <w:rPr>
          <w:noProof/>
          <w:color w:val="000000" w:themeColor="text1"/>
          <w:sz w:val="24"/>
          <w:szCs w:val="24"/>
          <w:lang w:val="en-IE" w:eastAsia="ja-JP"/>
        </w:rPr>
        <w:t xml:space="preserve">SECTION </w:t>
      </w:r>
      <w:r w:rsidR="00F137C5" w:rsidRPr="004C70EC">
        <w:rPr>
          <w:noProof/>
          <w:color w:val="000000" w:themeColor="text1"/>
          <w:sz w:val="24"/>
          <w:szCs w:val="24"/>
          <w:lang w:val="en-IE" w:eastAsia="ja-JP"/>
        </w:rPr>
        <w:t>5</w:t>
      </w:r>
    </w:p>
    <w:p w14:paraId="0DCF2BAA" w14:textId="77777777" w:rsidR="008E0BB1" w:rsidRPr="004C70EC" w:rsidRDefault="009E5D35" w:rsidP="008E0BB1">
      <w:pPr>
        <w:pStyle w:val="SectionTitle"/>
        <w:rPr>
          <w:b w:val="0"/>
          <w:noProof/>
          <w:color w:val="000000" w:themeColor="text1"/>
          <w:sz w:val="24"/>
          <w:szCs w:val="24"/>
        </w:rPr>
      </w:pPr>
      <w:r w:rsidRPr="004C70EC">
        <w:rPr>
          <w:noProof/>
          <w:color w:val="000000" w:themeColor="text1"/>
          <w:sz w:val="24"/>
          <w:szCs w:val="24"/>
        </w:rPr>
        <w:t>E</w:t>
      </w:r>
      <w:r w:rsidR="003D0D5F" w:rsidRPr="004C70EC">
        <w:rPr>
          <w:noProof/>
          <w:color w:val="000000" w:themeColor="text1"/>
          <w:sz w:val="24"/>
          <w:szCs w:val="24"/>
        </w:rPr>
        <w:t>uropean</w:t>
      </w:r>
      <w:r w:rsidRPr="004C70EC">
        <w:rPr>
          <w:noProof/>
          <w:color w:val="000000" w:themeColor="text1"/>
          <w:sz w:val="24"/>
          <w:szCs w:val="24"/>
        </w:rPr>
        <w:t xml:space="preserve"> </w:t>
      </w:r>
      <w:r w:rsidR="00671246" w:rsidRPr="004C70EC">
        <w:rPr>
          <w:noProof/>
          <w:color w:val="000000" w:themeColor="text1"/>
          <w:sz w:val="24"/>
          <w:szCs w:val="24"/>
        </w:rPr>
        <w:t xml:space="preserve">Health </w:t>
      </w:r>
      <w:r w:rsidR="008E0BB1" w:rsidRPr="004C70EC">
        <w:rPr>
          <w:noProof/>
          <w:color w:val="000000" w:themeColor="text1"/>
          <w:sz w:val="24"/>
          <w:szCs w:val="24"/>
        </w:rPr>
        <w:t>Biotech</w:t>
      </w:r>
      <w:r w:rsidR="0036595B" w:rsidRPr="004C70EC">
        <w:rPr>
          <w:noProof/>
          <w:color w:val="000000" w:themeColor="text1"/>
          <w:sz w:val="24"/>
          <w:szCs w:val="24"/>
        </w:rPr>
        <w:t>nology</w:t>
      </w:r>
      <w:r w:rsidR="008E0BB1" w:rsidRPr="004C70EC">
        <w:rPr>
          <w:noProof/>
          <w:color w:val="000000" w:themeColor="text1"/>
          <w:sz w:val="24"/>
          <w:szCs w:val="24"/>
        </w:rPr>
        <w:t xml:space="preserve"> Steering Group</w:t>
      </w:r>
    </w:p>
    <w:p w14:paraId="5FCAC2DE" w14:textId="77777777" w:rsidR="007E04F9" w:rsidRPr="004C70EC" w:rsidRDefault="007E04F9" w:rsidP="007E04F9">
      <w:pPr>
        <w:pStyle w:val="Titrearticle"/>
        <w:rPr>
          <w:noProof/>
          <w:color w:val="000000" w:themeColor="text1"/>
          <w:szCs w:val="24"/>
          <w:lang w:eastAsia="ja-JP"/>
        </w:rPr>
      </w:pPr>
      <w:r w:rsidRPr="004C70EC">
        <w:rPr>
          <w:noProof/>
          <w:color w:val="000000" w:themeColor="text1"/>
          <w:szCs w:val="24"/>
          <w:lang w:eastAsia="ja-JP"/>
        </w:rPr>
        <w:t xml:space="preserve">Article </w:t>
      </w:r>
      <w:r w:rsidR="00D93646" w:rsidRPr="004C70EC">
        <w:rPr>
          <w:noProof/>
          <w:color w:val="000000" w:themeColor="text1"/>
          <w:szCs w:val="24"/>
          <w:lang w:eastAsia="ja-JP"/>
        </w:rPr>
        <w:t>2</w:t>
      </w:r>
      <w:r w:rsidR="00E958E5" w:rsidRPr="004C70EC">
        <w:rPr>
          <w:noProof/>
          <w:color w:val="000000" w:themeColor="text1"/>
          <w:szCs w:val="24"/>
          <w:lang w:eastAsia="ja-JP"/>
        </w:rPr>
        <w:t>0</w:t>
      </w:r>
    </w:p>
    <w:p w14:paraId="00A29BA3" w14:textId="77777777" w:rsidR="007E04F9" w:rsidRPr="004C70EC" w:rsidRDefault="007E04F9" w:rsidP="007E04F9">
      <w:pPr>
        <w:keepNext/>
        <w:tabs>
          <w:tab w:val="left" w:pos="850"/>
        </w:tabs>
        <w:ind w:left="850" w:hanging="850"/>
        <w:jc w:val="center"/>
        <w:outlineLvl w:val="1"/>
        <w:rPr>
          <w:noProof/>
          <w:color w:val="000000" w:themeColor="text1"/>
          <w:szCs w:val="24"/>
        </w:rPr>
      </w:pPr>
      <w:r w:rsidRPr="004C70EC">
        <w:rPr>
          <w:b/>
          <w:bCs/>
          <w:noProof/>
          <w:color w:val="000000" w:themeColor="text1"/>
          <w:szCs w:val="24"/>
        </w:rPr>
        <w:t xml:space="preserve">European </w:t>
      </w:r>
      <w:r w:rsidR="008E6F16" w:rsidRPr="004C70EC">
        <w:rPr>
          <w:b/>
          <w:bCs/>
          <w:noProof/>
          <w:color w:val="000000" w:themeColor="text1"/>
          <w:szCs w:val="24"/>
        </w:rPr>
        <w:t>H</w:t>
      </w:r>
      <w:r w:rsidR="00890E16" w:rsidRPr="004C70EC">
        <w:rPr>
          <w:b/>
          <w:bCs/>
          <w:noProof/>
          <w:color w:val="000000" w:themeColor="text1"/>
          <w:szCs w:val="24"/>
        </w:rPr>
        <w:t xml:space="preserve">ealth </w:t>
      </w:r>
      <w:r w:rsidR="008E6F16" w:rsidRPr="004C70EC">
        <w:rPr>
          <w:b/>
          <w:bCs/>
          <w:noProof/>
          <w:color w:val="000000" w:themeColor="text1"/>
          <w:szCs w:val="24"/>
        </w:rPr>
        <w:t>B</w:t>
      </w:r>
      <w:r w:rsidRPr="004C70EC">
        <w:rPr>
          <w:b/>
          <w:bCs/>
          <w:noProof/>
          <w:color w:val="000000" w:themeColor="text1"/>
          <w:szCs w:val="24"/>
        </w:rPr>
        <w:t xml:space="preserve">iotechnology </w:t>
      </w:r>
      <w:r w:rsidR="008E6F16" w:rsidRPr="004C70EC">
        <w:rPr>
          <w:b/>
          <w:bCs/>
          <w:noProof/>
          <w:color w:val="000000" w:themeColor="text1"/>
          <w:szCs w:val="24"/>
        </w:rPr>
        <w:t>S</w:t>
      </w:r>
      <w:r w:rsidR="00890E16" w:rsidRPr="004C70EC">
        <w:rPr>
          <w:b/>
          <w:bCs/>
          <w:noProof/>
          <w:color w:val="000000" w:themeColor="text1"/>
          <w:szCs w:val="24"/>
        </w:rPr>
        <w:t xml:space="preserve">teering </w:t>
      </w:r>
      <w:r w:rsidR="008E6F16" w:rsidRPr="004C70EC">
        <w:rPr>
          <w:b/>
          <w:bCs/>
          <w:noProof/>
          <w:color w:val="000000" w:themeColor="text1"/>
          <w:szCs w:val="24"/>
        </w:rPr>
        <w:t>G</w:t>
      </w:r>
      <w:r w:rsidR="00890E16" w:rsidRPr="004C70EC">
        <w:rPr>
          <w:b/>
          <w:bCs/>
          <w:noProof/>
          <w:color w:val="000000" w:themeColor="text1"/>
          <w:szCs w:val="24"/>
        </w:rPr>
        <w:t>roup</w:t>
      </w:r>
    </w:p>
    <w:p w14:paraId="79397FA6" w14:textId="77777777" w:rsidR="007E04F9" w:rsidRPr="004C70EC" w:rsidRDefault="007E04F9" w:rsidP="007E04F9">
      <w:pPr>
        <w:pStyle w:val="Point0"/>
        <w:rPr>
          <w:noProof/>
          <w:color w:val="000000" w:themeColor="text1"/>
          <w:szCs w:val="24"/>
          <w:lang w:eastAsia="ja-JP"/>
        </w:rPr>
      </w:pPr>
      <w:r w:rsidRPr="004C70EC">
        <w:rPr>
          <w:noProof/>
          <w:color w:val="000000" w:themeColor="text1"/>
          <w:szCs w:val="24"/>
          <w:lang w:eastAsia="ja-JP"/>
        </w:rPr>
        <w:t>1.</w:t>
      </w:r>
      <w:r w:rsidRPr="004C70EC">
        <w:rPr>
          <w:noProof/>
          <w:color w:val="000000" w:themeColor="text1"/>
          <w:szCs w:val="24"/>
          <w:lang w:eastAsia="ja-JP"/>
        </w:rPr>
        <w:tab/>
        <w:t xml:space="preserve">The European </w:t>
      </w:r>
      <w:r w:rsidR="00890E16" w:rsidRPr="004C70EC">
        <w:rPr>
          <w:noProof/>
          <w:color w:val="000000" w:themeColor="text1"/>
          <w:szCs w:val="24"/>
          <w:lang w:eastAsia="ja-JP"/>
        </w:rPr>
        <w:t xml:space="preserve">Health </w:t>
      </w:r>
      <w:r w:rsidRPr="004C70EC">
        <w:rPr>
          <w:noProof/>
          <w:color w:val="000000" w:themeColor="text1"/>
          <w:szCs w:val="24"/>
          <w:lang w:eastAsia="ja-JP"/>
        </w:rPr>
        <w:t xml:space="preserve">Biotechnology </w:t>
      </w:r>
      <w:r w:rsidR="00006FD7" w:rsidRPr="004C70EC">
        <w:rPr>
          <w:noProof/>
          <w:color w:val="000000" w:themeColor="text1"/>
          <w:szCs w:val="24"/>
          <w:lang w:eastAsia="ja-JP"/>
        </w:rPr>
        <w:t>Steering Group</w:t>
      </w:r>
      <w:r w:rsidRPr="004C70EC">
        <w:rPr>
          <w:noProof/>
          <w:color w:val="000000" w:themeColor="text1"/>
          <w:szCs w:val="24"/>
          <w:lang w:eastAsia="ja-JP"/>
        </w:rPr>
        <w:t xml:space="preserve"> (the “</w:t>
      </w:r>
      <w:r w:rsidR="00006FD7" w:rsidRPr="004C70EC">
        <w:rPr>
          <w:noProof/>
          <w:color w:val="000000" w:themeColor="text1"/>
          <w:szCs w:val="24"/>
          <w:lang w:eastAsia="ja-JP"/>
        </w:rPr>
        <w:t>Steering Group</w:t>
      </w:r>
      <w:r w:rsidRPr="004C70EC">
        <w:rPr>
          <w:noProof/>
          <w:color w:val="000000" w:themeColor="text1"/>
          <w:szCs w:val="24"/>
          <w:lang w:eastAsia="ja-JP"/>
        </w:rPr>
        <w:t>”) is hereby established.</w:t>
      </w:r>
    </w:p>
    <w:p w14:paraId="2DE2EF6E" w14:textId="77777777" w:rsidR="007E04F9" w:rsidRPr="004C70EC" w:rsidRDefault="007E04F9" w:rsidP="007E04F9">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2.</w:t>
      </w:r>
      <w:r w:rsidRPr="004C70EC">
        <w:rPr>
          <w:rFonts w:eastAsiaTheme="minorEastAsia"/>
          <w:noProof/>
          <w:color w:val="000000" w:themeColor="text1"/>
          <w:szCs w:val="24"/>
          <w:lang w:eastAsia="ja-JP"/>
        </w:rPr>
        <w:tab/>
        <w:t xml:space="preserve">The </w:t>
      </w:r>
      <w:r w:rsidR="00890E16" w:rsidRPr="004C70EC">
        <w:rPr>
          <w:rFonts w:eastAsiaTheme="minorEastAsia"/>
          <w:noProof/>
          <w:color w:val="000000" w:themeColor="text1"/>
          <w:szCs w:val="24"/>
          <w:lang w:eastAsia="ja-JP"/>
        </w:rPr>
        <w:t>Steering Group</w:t>
      </w:r>
      <w:r w:rsidRPr="004C70EC">
        <w:rPr>
          <w:rFonts w:eastAsiaTheme="minorEastAsia"/>
          <w:noProof/>
          <w:color w:val="000000" w:themeColor="text1"/>
          <w:szCs w:val="24"/>
          <w:lang w:eastAsia="ja-JP"/>
        </w:rPr>
        <w:t xml:space="preserve"> shall provide advice to the Commission and to the Member States to facilitate the implementation of this Regulation and shall carry out the tasks provided for in this Regulation.</w:t>
      </w:r>
    </w:p>
    <w:p w14:paraId="7608122B" w14:textId="03128CEE" w:rsidR="007E04F9" w:rsidRPr="004C70EC" w:rsidRDefault="007E04F9" w:rsidP="007E04F9">
      <w:pPr>
        <w:pStyle w:val="Titrearticle"/>
        <w:rPr>
          <w:rFonts w:eastAsiaTheme="minorEastAsia"/>
          <w:noProof/>
          <w:color w:val="000000" w:themeColor="text1"/>
          <w:szCs w:val="24"/>
          <w:lang w:eastAsia="ja-JP"/>
        </w:rPr>
      </w:pPr>
      <w:r w:rsidRPr="004C70EC">
        <w:rPr>
          <w:rFonts w:eastAsiaTheme="minorEastAsia"/>
          <w:noProof/>
          <w:color w:val="000000" w:themeColor="text1"/>
          <w:szCs w:val="24"/>
          <w:lang w:eastAsia="ja-JP"/>
        </w:rPr>
        <w:t xml:space="preserve">Article </w:t>
      </w:r>
      <w:r w:rsidR="006116D3" w:rsidRPr="004C70EC">
        <w:rPr>
          <w:rFonts w:eastAsiaTheme="minorEastAsia"/>
          <w:noProof/>
          <w:color w:val="000000" w:themeColor="text1"/>
          <w:szCs w:val="24"/>
          <w:lang w:eastAsia="ja-JP"/>
        </w:rPr>
        <w:t>2</w:t>
      </w:r>
      <w:r w:rsidR="00E958E5" w:rsidRPr="004C70EC">
        <w:rPr>
          <w:rFonts w:eastAsiaTheme="minorEastAsia"/>
          <w:noProof/>
          <w:color w:val="000000" w:themeColor="text1"/>
          <w:szCs w:val="24"/>
          <w:lang w:eastAsia="ja-JP"/>
        </w:rPr>
        <w:t>1</w:t>
      </w:r>
    </w:p>
    <w:p w14:paraId="2EADF934" w14:textId="77777777" w:rsidR="007E04F9" w:rsidRPr="004C70EC" w:rsidRDefault="007E04F9" w:rsidP="007E04F9">
      <w:pPr>
        <w:keepNext/>
        <w:tabs>
          <w:tab w:val="left" w:pos="850"/>
        </w:tabs>
        <w:ind w:left="850" w:hanging="850"/>
        <w:jc w:val="center"/>
        <w:outlineLvl w:val="1"/>
        <w:rPr>
          <w:rFonts w:eastAsiaTheme="minorEastAsia"/>
          <w:noProof/>
          <w:color w:val="000000" w:themeColor="text1"/>
          <w:szCs w:val="24"/>
          <w:lang w:eastAsia="ja-JP"/>
        </w:rPr>
      </w:pPr>
      <w:r w:rsidRPr="004C70EC">
        <w:rPr>
          <w:rFonts w:eastAsiaTheme="minorEastAsia"/>
          <w:b/>
          <w:noProof/>
          <w:color w:val="000000" w:themeColor="text1"/>
          <w:szCs w:val="24"/>
          <w:lang w:eastAsia="ja-JP"/>
        </w:rPr>
        <w:t xml:space="preserve">Composition and functioning of the </w:t>
      </w:r>
      <w:r w:rsidR="001D5034" w:rsidRPr="004C70EC">
        <w:rPr>
          <w:rFonts w:eastAsiaTheme="minorEastAsia"/>
          <w:b/>
          <w:noProof/>
          <w:color w:val="000000" w:themeColor="text1"/>
          <w:szCs w:val="24"/>
          <w:lang w:eastAsia="ja-JP"/>
        </w:rPr>
        <w:t>S</w:t>
      </w:r>
      <w:r w:rsidR="00890E16" w:rsidRPr="004C70EC">
        <w:rPr>
          <w:rFonts w:eastAsiaTheme="minorEastAsia"/>
          <w:b/>
          <w:noProof/>
          <w:color w:val="000000" w:themeColor="text1"/>
          <w:szCs w:val="24"/>
          <w:lang w:eastAsia="ja-JP"/>
        </w:rPr>
        <w:t xml:space="preserve">teering </w:t>
      </w:r>
      <w:r w:rsidR="001D5034" w:rsidRPr="004C70EC">
        <w:rPr>
          <w:rFonts w:eastAsiaTheme="minorEastAsia"/>
          <w:b/>
          <w:noProof/>
          <w:color w:val="000000" w:themeColor="text1"/>
          <w:szCs w:val="24"/>
          <w:lang w:eastAsia="ja-JP"/>
        </w:rPr>
        <w:t>G</w:t>
      </w:r>
      <w:r w:rsidR="00890E16" w:rsidRPr="004C70EC">
        <w:rPr>
          <w:rFonts w:eastAsiaTheme="minorEastAsia"/>
          <w:b/>
          <w:noProof/>
          <w:color w:val="000000" w:themeColor="text1"/>
          <w:szCs w:val="24"/>
          <w:lang w:eastAsia="ja-JP"/>
        </w:rPr>
        <w:t>roup</w:t>
      </w:r>
    </w:p>
    <w:p w14:paraId="633E03D9" w14:textId="77777777" w:rsidR="007E04F9" w:rsidRPr="004C70EC" w:rsidRDefault="007E04F9" w:rsidP="007E04F9">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1.</w:t>
      </w:r>
      <w:r w:rsidRPr="004C70EC">
        <w:rPr>
          <w:noProof/>
          <w:color w:val="000000" w:themeColor="text1"/>
          <w:szCs w:val="24"/>
        </w:rPr>
        <w:tab/>
      </w:r>
      <w:r w:rsidRPr="004C70EC">
        <w:rPr>
          <w:rFonts w:eastAsiaTheme="minorEastAsia"/>
          <w:noProof/>
          <w:color w:val="000000" w:themeColor="text1"/>
          <w:szCs w:val="24"/>
          <w:lang w:eastAsia="ja-JP"/>
        </w:rPr>
        <w:t xml:space="preserve">The </w:t>
      </w:r>
      <w:r w:rsidR="00890E16" w:rsidRPr="004C70EC">
        <w:rPr>
          <w:rFonts w:eastAsiaTheme="minorEastAsia"/>
          <w:noProof/>
          <w:color w:val="000000" w:themeColor="text1"/>
          <w:szCs w:val="24"/>
          <w:lang w:eastAsia="ja-JP"/>
        </w:rPr>
        <w:t>Steering Group</w:t>
      </w:r>
      <w:r w:rsidRPr="004C70EC">
        <w:rPr>
          <w:rFonts w:eastAsiaTheme="minorEastAsia"/>
          <w:noProof/>
          <w:color w:val="000000" w:themeColor="text1"/>
          <w:szCs w:val="24"/>
          <w:lang w:eastAsia="ja-JP"/>
        </w:rPr>
        <w:t xml:space="preserve"> shall be composed of representatives from all Member States and the Commission. It shall be chaired by a representative of the Commission (the ‘Chair’).</w:t>
      </w:r>
      <w:r w:rsidR="2B903721" w:rsidRPr="004C70EC">
        <w:rPr>
          <w:rFonts w:eastAsiaTheme="minorEastAsia"/>
          <w:noProof/>
          <w:color w:val="000000" w:themeColor="text1"/>
          <w:szCs w:val="24"/>
          <w:lang w:eastAsia="ja-JP"/>
        </w:rPr>
        <w:t xml:space="preserve"> </w:t>
      </w:r>
    </w:p>
    <w:p w14:paraId="5D26925E" w14:textId="77777777" w:rsidR="007E04F9" w:rsidRPr="004C70EC" w:rsidRDefault="007E04F9" w:rsidP="007E04F9">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2.</w:t>
      </w:r>
      <w:r w:rsidRPr="004C70EC">
        <w:rPr>
          <w:rFonts w:eastAsiaTheme="minorEastAsia"/>
          <w:noProof/>
          <w:color w:val="000000" w:themeColor="text1"/>
          <w:szCs w:val="24"/>
          <w:lang w:eastAsia="ja-JP"/>
        </w:rPr>
        <w:tab/>
        <w:t xml:space="preserve">Each Member State shall nominate a member and an alternate member as its representatives to the </w:t>
      </w:r>
      <w:r w:rsidR="00890E16" w:rsidRPr="004C70EC">
        <w:rPr>
          <w:rFonts w:eastAsiaTheme="minorEastAsia"/>
          <w:noProof/>
          <w:color w:val="000000" w:themeColor="text1"/>
          <w:szCs w:val="24"/>
          <w:lang w:eastAsia="ja-JP"/>
        </w:rPr>
        <w:t>Steering Group</w:t>
      </w:r>
      <w:r w:rsidRPr="004C70EC">
        <w:rPr>
          <w:rFonts w:eastAsiaTheme="minorEastAsia"/>
          <w:noProof/>
          <w:color w:val="000000" w:themeColor="text1"/>
          <w:szCs w:val="24"/>
          <w:lang w:eastAsia="ja-JP"/>
        </w:rPr>
        <w:t xml:space="preserve">. Where relevant as regards function and expertise, a Member State may nominate different representatives in relation to the different subgroups of the </w:t>
      </w:r>
      <w:r w:rsidR="00890E16" w:rsidRPr="004C70EC">
        <w:rPr>
          <w:rFonts w:eastAsiaTheme="minorEastAsia"/>
          <w:noProof/>
          <w:color w:val="000000" w:themeColor="text1"/>
          <w:szCs w:val="24"/>
          <w:lang w:eastAsia="ja-JP"/>
        </w:rPr>
        <w:t>Steering Group</w:t>
      </w:r>
      <w:r w:rsidRPr="004C70EC">
        <w:rPr>
          <w:rFonts w:eastAsiaTheme="minorEastAsia"/>
          <w:noProof/>
          <w:color w:val="000000" w:themeColor="text1"/>
          <w:szCs w:val="24"/>
          <w:lang w:eastAsia="ja-JP"/>
        </w:rPr>
        <w:t>, while not exceeding a representative per subgroup. Nominated permanent representatives shall ensure the necessary coordination within their respective Member State. The Commission and the Member States shall have voting rights.</w:t>
      </w:r>
    </w:p>
    <w:p w14:paraId="2BCA07A0" w14:textId="77777777" w:rsidR="007E04F9" w:rsidRPr="004C70EC" w:rsidRDefault="007E04F9" w:rsidP="007E04F9">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3.</w:t>
      </w:r>
      <w:r w:rsidRPr="004C70EC">
        <w:rPr>
          <w:noProof/>
          <w:color w:val="000000" w:themeColor="text1"/>
          <w:szCs w:val="24"/>
        </w:rPr>
        <w:tab/>
      </w:r>
      <w:r w:rsidRPr="004C70EC">
        <w:rPr>
          <w:rFonts w:eastAsiaTheme="minorEastAsia"/>
          <w:noProof/>
          <w:color w:val="000000" w:themeColor="text1"/>
          <w:szCs w:val="24"/>
          <w:lang w:eastAsia="ja-JP"/>
        </w:rPr>
        <w:t xml:space="preserve">The </w:t>
      </w:r>
      <w:r w:rsidR="00890E16" w:rsidRPr="004C70EC">
        <w:rPr>
          <w:rFonts w:eastAsiaTheme="minorEastAsia"/>
          <w:noProof/>
          <w:color w:val="000000" w:themeColor="text1"/>
          <w:szCs w:val="24"/>
          <w:lang w:eastAsia="ja-JP"/>
        </w:rPr>
        <w:t>Steering Group</w:t>
      </w:r>
      <w:r w:rsidRPr="004C70EC">
        <w:rPr>
          <w:rFonts w:eastAsiaTheme="minorEastAsia"/>
          <w:noProof/>
          <w:color w:val="000000" w:themeColor="text1"/>
          <w:szCs w:val="24"/>
          <w:lang w:eastAsia="ja-JP"/>
        </w:rPr>
        <w:t xml:space="preserve"> shall, upon a proposal by the Commission, adopt its rules of procedure by a simple majority of its members.</w:t>
      </w:r>
      <w:r w:rsidR="00BB1387" w:rsidRPr="004C70EC">
        <w:rPr>
          <w:rFonts w:eastAsiaTheme="minorEastAsia"/>
          <w:noProof/>
          <w:color w:val="000000" w:themeColor="text1"/>
          <w:szCs w:val="24"/>
          <w:lang w:eastAsia="ja-JP"/>
        </w:rPr>
        <w:t xml:space="preserve"> Where appropriate, the Chair may invite external experts to attend meetings of the Steering Group.</w:t>
      </w:r>
    </w:p>
    <w:p w14:paraId="0093590D" w14:textId="77777777" w:rsidR="007E04F9" w:rsidRPr="004C70EC" w:rsidRDefault="00431B23" w:rsidP="007E04F9">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4</w:t>
      </w:r>
      <w:r w:rsidR="007E04F9" w:rsidRPr="004C70EC">
        <w:rPr>
          <w:rFonts w:eastAsiaTheme="minorEastAsia"/>
          <w:noProof/>
          <w:color w:val="000000" w:themeColor="text1"/>
          <w:szCs w:val="24"/>
          <w:lang w:eastAsia="ja-JP"/>
        </w:rPr>
        <w:t>.</w:t>
      </w:r>
      <w:r w:rsidR="007E04F9" w:rsidRPr="004C70EC">
        <w:rPr>
          <w:rFonts w:eastAsiaTheme="minorEastAsia"/>
          <w:noProof/>
          <w:color w:val="000000" w:themeColor="text1"/>
          <w:szCs w:val="24"/>
          <w:lang w:eastAsia="ja-JP"/>
        </w:rPr>
        <w:tab/>
        <w:t xml:space="preserve">The </w:t>
      </w:r>
      <w:r w:rsidR="00890E16" w:rsidRPr="004C70EC">
        <w:rPr>
          <w:rFonts w:eastAsiaTheme="minorEastAsia"/>
          <w:noProof/>
          <w:color w:val="000000" w:themeColor="text1"/>
          <w:szCs w:val="24"/>
          <w:lang w:eastAsia="ja-JP"/>
        </w:rPr>
        <w:t>Steering Group</w:t>
      </w:r>
      <w:r w:rsidR="007E04F9" w:rsidRPr="004C70EC">
        <w:rPr>
          <w:rFonts w:eastAsiaTheme="minorEastAsia"/>
          <w:noProof/>
          <w:color w:val="000000" w:themeColor="text1"/>
          <w:szCs w:val="24"/>
          <w:lang w:eastAsia="ja-JP"/>
        </w:rPr>
        <w:t xml:space="preserve"> shall meet as needed in order to allow the effective performance of its tasks provided for in this Regulation. Where necessary, the </w:t>
      </w:r>
      <w:r w:rsidR="00890E16" w:rsidRPr="004C70EC">
        <w:rPr>
          <w:rFonts w:eastAsiaTheme="minorEastAsia"/>
          <w:noProof/>
          <w:color w:val="000000" w:themeColor="text1"/>
          <w:szCs w:val="24"/>
          <w:lang w:eastAsia="ja-JP"/>
        </w:rPr>
        <w:t>Steering Group</w:t>
      </w:r>
      <w:r w:rsidR="007E04F9" w:rsidRPr="004C70EC">
        <w:rPr>
          <w:rFonts w:eastAsiaTheme="minorEastAsia"/>
          <w:noProof/>
          <w:color w:val="000000" w:themeColor="text1"/>
          <w:szCs w:val="24"/>
          <w:lang w:eastAsia="ja-JP"/>
        </w:rPr>
        <w:t xml:space="preserve"> shall meet on the basis of a reasoned request by the Commission or by a Member State. The Commission shall coordinate the work of the </w:t>
      </w:r>
      <w:r w:rsidR="00890E16" w:rsidRPr="004C70EC">
        <w:rPr>
          <w:rFonts w:eastAsiaTheme="minorEastAsia"/>
          <w:noProof/>
          <w:color w:val="000000" w:themeColor="text1"/>
          <w:szCs w:val="24"/>
          <w:lang w:eastAsia="ja-JP"/>
        </w:rPr>
        <w:t>Steering Group</w:t>
      </w:r>
      <w:r w:rsidR="007E04F9" w:rsidRPr="004C70EC">
        <w:rPr>
          <w:rFonts w:eastAsiaTheme="minorEastAsia"/>
          <w:noProof/>
          <w:color w:val="000000" w:themeColor="text1"/>
          <w:szCs w:val="24"/>
          <w:lang w:eastAsia="ja-JP"/>
        </w:rPr>
        <w:t xml:space="preserve"> by means of a secretariat that provides technical and logistical support.</w:t>
      </w:r>
    </w:p>
    <w:p w14:paraId="2FCBE59F" w14:textId="77777777" w:rsidR="007E04F9" w:rsidRPr="004C70EC" w:rsidRDefault="6F2B7D8B" w:rsidP="33CE1D06">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5</w:t>
      </w:r>
      <w:r w:rsidR="63C1D33F" w:rsidRPr="004C70EC">
        <w:rPr>
          <w:rFonts w:eastAsiaTheme="minorEastAsia"/>
          <w:noProof/>
          <w:color w:val="000000" w:themeColor="text1"/>
          <w:szCs w:val="24"/>
          <w:lang w:eastAsia="ja-JP"/>
        </w:rPr>
        <w:t>.</w:t>
      </w:r>
      <w:r w:rsidR="00431B23" w:rsidRPr="004C70EC">
        <w:rPr>
          <w:noProof/>
          <w:color w:val="000000" w:themeColor="text1"/>
          <w:szCs w:val="24"/>
        </w:rPr>
        <w:tab/>
      </w:r>
      <w:r w:rsidR="63C1D33F" w:rsidRPr="004C70EC">
        <w:rPr>
          <w:rFonts w:eastAsiaTheme="minorEastAsia"/>
          <w:noProof/>
          <w:color w:val="000000" w:themeColor="text1"/>
          <w:szCs w:val="24"/>
          <w:lang w:eastAsia="ja-JP"/>
        </w:rPr>
        <w:t xml:space="preserve">The </w:t>
      </w:r>
      <w:r w:rsidR="0DAA0BBD" w:rsidRPr="004C70EC">
        <w:rPr>
          <w:rFonts w:eastAsiaTheme="minorEastAsia"/>
          <w:noProof/>
          <w:color w:val="000000" w:themeColor="text1"/>
          <w:szCs w:val="24"/>
          <w:lang w:eastAsia="ja-JP"/>
        </w:rPr>
        <w:t>Steering Group</w:t>
      </w:r>
      <w:r w:rsidR="63C1D33F" w:rsidRPr="004C70EC">
        <w:rPr>
          <w:rFonts w:eastAsiaTheme="minorEastAsia"/>
          <w:noProof/>
          <w:color w:val="000000" w:themeColor="text1"/>
          <w:szCs w:val="24"/>
          <w:lang w:eastAsia="ja-JP"/>
        </w:rPr>
        <w:t xml:space="preserve"> shall carry out the following tasks:</w:t>
      </w:r>
    </w:p>
    <w:p w14:paraId="3C34CA72" w14:textId="77777777" w:rsidR="007E04F9" w:rsidRPr="004C70EC" w:rsidRDefault="594C08D8" w:rsidP="33CE1D06">
      <w:pPr>
        <w:pStyle w:val="Point1"/>
        <w:rPr>
          <w:rFonts w:eastAsiaTheme="minorEastAsia"/>
          <w:noProof/>
          <w:color w:val="000000" w:themeColor="text1"/>
          <w:szCs w:val="24"/>
          <w:lang w:eastAsia="ja-JP"/>
        </w:rPr>
      </w:pPr>
      <w:r w:rsidRPr="004C70EC">
        <w:rPr>
          <w:noProof/>
          <w:color w:val="000000" w:themeColor="text1"/>
          <w:szCs w:val="24"/>
          <w:lang w:eastAsia="ja-JP"/>
        </w:rPr>
        <w:t>(</w:t>
      </w:r>
      <w:r w:rsidR="63C1D33F" w:rsidRPr="004C70EC">
        <w:rPr>
          <w:noProof/>
          <w:color w:val="000000" w:themeColor="text1"/>
          <w:szCs w:val="24"/>
          <w:lang w:eastAsia="ja-JP"/>
        </w:rPr>
        <w:t>a)</w:t>
      </w:r>
      <w:r w:rsidR="00512A1A" w:rsidRPr="004C70EC">
        <w:rPr>
          <w:noProof/>
          <w:color w:val="000000" w:themeColor="text1"/>
          <w:szCs w:val="24"/>
        </w:rPr>
        <w:tab/>
      </w:r>
      <w:r w:rsidR="63C1D33F" w:rsidRPr="004C70EC">
        <w:rPr>
          <w:noProof/>
          <w:color w:val="000000" w:themeColor="text1"/>
          <w:szCs w:val="24"/>
          <w:lang w:eastAsia="ja-JP"/>
        </w:rPr>
        <w:t xml:space="preserve">facilitate the exchange of information and best practices among Member States, the Commission, and relevant stakeholders </w:t>
      </w:r>
      <w:r w:rsidR="0FBA7E75" w:rsidRPr="004C70EC">
        <w:rPr>
          <w:noProof/>
          <w:color w:val="000000" w:themeColor="text1"/>
          <w:szCs w:val="24"/>
          <w:lang w:eastAsia="ja-JP"/>
        </w:rPr>
        <w:t xml:space="preserve">in relation to </w:t>
      </w:r>
      <w:r w:rsidR="63C1D33F" w:rsidRPr="004C70EC">
        <w:rPr>
          <w:rFonts w:eastAsiaTheme="minorEastAsia"/>
          <w:noProof/>
          <w:color w:val="000000" w:themeColor="text1"/>
          <w:szCs w:val="24"/>
          <w:lang w:eastAsia="ja-JP"/>
        </w:rPr>
        <w:t xml:space="preserve">the recognition and the implementation of </w:t>
      </w:r>
      <w:r w:rsidR="0CF92BD6" w:rsidRPr="004C70EC">
        <w:rPr>
          <w:rFonts w:eastAsia="Times New Roman"/>
          <w:noProof/>
          <w:color w:val="000000" w:themeColor="text1"/>
          <w:szCs w:val="24"/>
          <w:lang w:val="en-IE" w:eastAsia="de-DE"/>
        </w:rPr>
        <w:t xml:space="preserve">health </w:t>
      </w:r>
      <w:r w:rsidR="63C1D33F" w:rsidRPr="004C70EC">
        <w:rPr>
          <w:rFonts w:eastAsiaTheme="minorEastAsia"/>
          <w:noProof/>
          <w:color w:val="000000" w:themeColor="text1"/>
          <w:szCs w:val="24"/>
          <w:lang w:eastAsia="ja-JP"/>
        </w:rPr>
        <w:t xml:space="preserve">biotechnology strategic projects </w:t>
      </w:r>
      <w:r w:rsidR="1884AE71" w:rsidRPr="004C70EC">
        <w:rPr>
          <w:rFonts w:eastAsiaTheme="minorEastAsia"/>
          <w:noProof/>
          <w:color w:val="000000" w:themeColor="text1"/>
          <w:szCs w:val="24"/>
          <w:lang w:eastAsia="ja-JP"/>
        </w:rPr>
        <w:t xml:space="preserve">and high impact </w:t>
      </w:r>
      <w:r w:rsidR="1884AE71" w:rsidRPr="004C70EC">
        <w:rPr>
          <w:rFonts w:eastAsia="Times New Roman"/>
          <w:noProof/>
          <w:color w:val="000000" w:themeColor="text1"/>
          <w:szCs w:val="24"/>
          <w:lang w:val="en-IE" w:eastAsia="de-DE"/>
        </w:rPr>
        <w:t xml:space="preserve">health </w:t>
      </w:r>
      <w:r w:rsidR="1884AE71" w:rsidRPr="004C70EC">
        <w:rPr>
          <w:rFonts w:eastAsiaTheme="minorEastAsia"/>
          <w:noProof/>
          <w:color w:val="000000" w:themeColor="text1"/>
          <w:szCs w:val="24"/>
          <w:lang w:eastAsia="ja-JP"/>
        </w:rPr>
        <w:t>biotechnology strategic projects</w:t>
      </w:r>
      <w:r w:rsidR="63C1D33F" w:rsidRPr="004C70EC">
        <w:rPr>
          <w:rFonts w:eastAsiaTheme="minorEastAsia"/>
          <w:noProof/>
          <w:color w:val="000000" w:themeColor="text1"/>
          <w:szCs w:val="24"/>
          <w:lang w:eastAsia="ja-JP"/>
        </w:rPr>
        <w:t>;</w:t>
      </w:r>
    </w:p>
    <w:p w14:paraId="504759E8" w14:textId="4CF9825C" w:rsidR="007E04F9" w:rsidRPr="004C70EC" w:rsidRDefault="594C08D8" w:rsidP="33CE1D06">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w:t>
      </w:r>
      <w:r>
        <w:rPr>
          <w:rFonts w:eastAsiaTheme="minorEastAsia"/>
          <w:noProof/>
          <w:color w:val="000000" w:themeColor="text1"/>
          <w:szCs w:val="24"/>
          <w:lang w:eastAsia="ja-JP"/>
        </w:rPr>
        <w:t>b</w:t>
      </w:r>
      <w:r w:rsidR="63C1D33F" w:rsidRPr="004C70EC">
        <w:rPr>
          <w:rFonts w:eastAsiaTheme="minorEastAsia"/>
          <w:noProof/>
          <w:color w:val="000000" w:themeColor="text1"/>
          <w:szCs w:val="24"/>
          <w:lang w:eastAsia="ja-JP"/>
        </w:rPr>
        <w:t>)</w:t>
      </w:r>
      <w:r w:rsidR="00512A1A" w:rsidRPr="004C70EC">
        <w:rPr>
          <w:noProof/>
          <w:color w:val="000000" w:themeColor="text1"/>
          <w:szCs w:val="24"/>
        </w:rPr>
        <w:tab/>
      </w:r>
      <w:r w:rsidR="63C1D33F" w:rsidRPr="004C70EC">
        <w:rPr>
          <w:rFonts w:eastAsiaTheme="minorEastAsia"/>
          <w:noProof/>
          <w:color w:val="000000" w:themeColor="text1"/>
          <w:szCs w:val="24"/>
          <w:lang w:eastAsia="ja-JP"/>
        </w:rPr>
        <w:t xml:space="preserve">discuss, at least once a year, the progress in the recognition of </w:t>
      </w:r>
      <w:r w:rsidR="0CF92BD6" w:rsidRPr="004C70EC">
        <w:rPr>
          <w:rFonts w:eastAsia="Times New Roman"/>
          <w:noProof/>
          <w:color w:val="000000" w:themeColor="text1"/>
          <w:szCs w:val="24"/>
          <w:lang w:val="en-IE" w:eastAsia="de-DE"/>
        </w:rPr>
        <w:t>health</w:t>
      </w:r>
      <w:r w:rsidR="63C1D33F" w:rsidRPr="004C70EC">
        <w:rPr>
          <w:rFonts w:eastAsiaTheme="minorEastAsia"/>
          <w:noProof/>
          <w:color w:val="000000" w:themeColor="text1"/>
          <w:szCs w:val="24"/>
          <w:lang w:eastAsia="ja-JP"/>
        </w:rPr>
        <w:t xml:space="preserve"> biotechnology strategic projects and high impact </w:t>
      </w:r>
      <w:r w:rsidR="0CF92BD6" w:rsidRPr="004C70EC">
        <w:rPr>
          <w:rFonts w:eastAsia="Times New Roman"/>
          <w:noProof/>
          <w:color w:val="000000" w:themeColor="text1"/>
          <w:szCs w:val="24"/>
          <w:lang w:val="en-IE" w:eastAsia="de-DE"/>
        </w:rPr>
        <w:t xml:space="preserve">health </w:t>
      </w:r>
      <w:r w:rsidR="63C1D33F" w:rsidRPr="004C70EC">
        <w:rPr>
          <w:rFonts w:eastAsiaTheme="minorEastAsia"/>
          <w:noProof/>
          <w:color w:val="000000" w:themeColor="text1"/>
          <w:szCs w:val="24"/>
          <w:lang w:eastAsia="ja-JP"/>
        </w:rPr>
        <w:t xml:space="preserve">biotechnology strategic projects and provide advice including to overcome systemic challenges </w:t>
      </w:r>
      <w:r w:rsidR="11BF0344" w:rsidRPr="004C70EC">
        <w:rPr>
          <w:rFonts w:eastAsiaTheme="minorEastAsia"/>
          <w:noProof/>
          <w:color w:val="000000" w:themeColor="text1"/>
          <w:szCs w:val="24"/>
          <w:lang w:eastAsia="ja-JP"/>
        </w:rPr>
        <w:t>faced by such</w:t>
      </w:r>
      <w:r w:rsidR="63C1D33F" w:rsidRPr="004C70EC">
        <w:rPr>
          <w:rFonts w:eastAsiaTheme="minorEastAsia"/>
          <w:noProof/>
          <w:color w:val="000000" w:themeColor="text1"/>
          <w:szCs w:val="24"/>
          <w:lang w:eastAsia="ja-JP"/>
        </w:rPr>
        <w:t xml:space="preserve"> projects; </w:t>
      </w:r>
    </w:p>
    <w:p w14:paraId="5C50FD62" w14:textId="2E54BA5B" w:rsidR="007E04F9" w:rsidRPr="004C70EC" w:rsidRDefault="00512A1A" w:rsidP="007E04F9">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w:t>
      </w:r>
      <w:r>
        <w:rPr>
          <w:rFonts w:eastAsiaTheme="minorEastAsia"/>
          <w:noProof/>
          <w:color w:val="000000" w:themeColor="text1"/>
          <w:szCs w:val="24"/>
          <w:lang w:eastAsia="ja-JP"/>
        </w:rPr>
        <w:t>c</w:t>
      </w:r>
      <w:r w:rsidR="007E04F9" w:rsidRPr="004C70EC">
        <w:rPr>
          <w:rFonts w:eastAsiaTheme="minorEastAsia"/>
          <w:noProof/>
          <w:color w:val="000000" w:themeColor="text1"/>
          <w:szCs w:val="24"/>
          <w:lang w:eastAsia="ja-JP"/>
        </w:rPr>
        <w:t>)</w:t>
      </w:r>
      <w:r w:rsidR="007E04F9" w:rsidRPr="004C70EC">
        <w:rPr>
          <w:rFonts w:eastAsiaTheme="minorEastAsia"/>
          <w:noProof/>
          <w:color w:val="000000" w:themeColor="text1"/>
          <w:szCs w:val="24"/>
          <w:lang w:eastAsia="ja-JP"/>
        </w:rPr>
        <w:tab/>
        <w:t xml:space="preserve">provide advice for </w:t>
      </w:r>
      <w:r w:rsidR="00D64C0A" w:rsidRPr="004C70EC">
        <w:rPr>
          <w:rFonts w:eastAsiaTheme="minorEastAsia"/>
          <w:noProof/>
          <w:color w:val="000000" w:themeColor="text1"/>
          <w:szCs w:val="24"/>
          <w:lang w:eastAsia="ja-JP"/>
        </w:rPr>
        <w:t>supporting</w:t>
      </w:r>
      <w:r w:rsidR="007E04F9" w:rsidRPr="004C70EC">
        <w:rPr>
          <w:rFonts w:eastAsiaTheme="minorEastAsia"/>
          <w:noProof/>
          <w:color w:val="000000" w:themeColor="text1"/>
          <w:szCs w:val="24"/>
          <w:lang w:eastAsia="ja-JP"/>
        </w:rPr>
        <w:t xml:space="preserve"> the federation and networking of biotechnology clusters, as provided for in Article [</w:t>
      </w:r>
      <w:r w:rsidR="002E50FB" w:rsidRPr="004C70EC">
        <w:rPr>
          <w:rFonts w:eastAsiaTheme="minorEastAsia"/>
          <w:noProof/>
          <w:color w:val="000000" w:themeColor="text1"/>
          <w:szCs w:val="24"/>
          <w:lang w:eastAsia="ja-JP"/>
        </w:rPr>
        <w:t>1</w:t>
      </w:r>
      <w:r w:rsidR="00C40D00" w:rsidRPr="004C70EC">
        <w:rPr>
          <w:rFonts w:eastAsiaTheme="minorEastAsia"/>
          <w:noProof/>
          <w:color w:val="000000" w:themeColor="text1"/>
          <w:szCs w:val="24"/>
          <w:lang w:eastAsia="ja-JP"/>
        </w:rPr>
        <w:t>5</w:t>
      </w:r>
      <w:r w:rsidR="007E04F9" w:rsidRPr="004C70EC">
        <w:rPr>
          <w:rFonts w:eastAsiaTheme="minorEastAsia"/>
          <w:noProof/>
          <w:color w:val="000000" w:themeColor="text1"/>
          <w:szCs w:val="24"/>
          <w:lang w:eastAsia="ja-JP"/>
        </w:rPr>
        <w:t>[</w:t>
      </w:r>
      <w:r w:rsidR="008E796E" w:rsidRPr="004C70EC">
        <w:rPr>
          <w:rFonts w:eastAsiaTheme="minorEastAsia"/>
          <w:noProof/>
          <w:color w:val="000000" w:themeColor="text1"/>
          <w:szCs w:val="24"/>
          <w:lang w:eastAsia="ja-JP"/>
        </w:rPr>
        <w:t>(</w:t>
      </w:r>
      <w:r w:rsidR="00C40D00" w:rsidRPr="004C70EC">
        <w:rPr>
          <w:rFonts w:eastAsiaTheme="minorEastAsia"/>
          <w:noProof/>
          <w:color w:val="000000" w:themeColor="text1"/>
          <w:szCs w:val="24"/>
          <w:lang w:eastAsia="ja-JP"/>
        </w:rPr>
        <w:t>4</w:t>
      </w:r>
      <w:r w:rsidR="008E796E" w:rsidRPr="004C70EC">
        <w:rPr>
          <w:rFonts w:eastAsiaTheme="minorEastAsia"/>
          <w:noProof/>
          <w:color w:val="000000" w:themeColor="text1"/>
          <w:szCs w:val="24"/>
          <w:lang w:eastAsia="ja-JP"/>
        </w:rPr>
        <w:t>)</w:t>
      </w:r>
      <w:r w:rsidR="007E04F9" w:rsidRPr="004C70EC">
        <w:rPr>
          <w:rFonts w:eastAsiaTheme="minorEastAsia"/>
          <w:noProof/>
          <w:color w:val="000000" w:themeColor="text1"/>
          <w:szCs w:val="24"/>
          <w:lang w:eastAsia="ja-JP"/>
        </w:rPr>
        <w:t xml:space="preserve">]; </w:t>
      </w:r>
    </w:p>
    <w:p w14:paraId="2A158C38" w14:textId="314D1AC2" w:rsidR="007E04F9" w:rsidRPr="004C70EC" w:rsidRDefault="00512A1A" w:rsidP="007E04F9">
      <w:pPr>
        <w:pStyle w:val="Point1"/>
        <w:rPr>
          <w:rFonts w:eastAsiaTheme="minorEastAsia"/>
          <w:noProof/>
          <w:color w:val="000000" w:themeColor="text1"/>
          <w:lang w:eastAsia="ja-JP"/>
        </w:rPr>
      </w:pPr>
      <w:r w:rsidRPr="004C70EC">
        <w:rPr>
          <w:rFonts w:eastAsiaTheme="minorEastAsia"/>
          <w:noProof/>
          <w:color w:val="000000" w:themeColor="text1"/>
          <w:lang w:eastAsia="ja-JP"/>
        </w:rPr>
        <w:t>(</w:t>
      </w:r>
      <w:r>
        <w:rPr>
          <w:rFonts w:eastAsiaTheme="minorEastAsia"/>
          <w:noProof/>
          <w:color w:val="000000" w:themeColor="text1"/>
          <w:lang w:eastAsia="ja-JP"/>
        </w:rPr>
        <w:t>d</w:t>
      </w:r>
      <w:r w:rsidR="007E04F9" w:rsidRPr="004C70EC">
        <w:rPr>
          <w:rFonts w:eastAsiaTheme="minorEastAsia"/>
          <w:noProof/>
          <w:color w:val="000000" w:themeColor="text1"/>
          <w:lang w:eastAsia="ja-JP"/>
        </w:rPr>
        <w:t>)</w:t>
      </w:r>
      <w:r w:rsidR="007E04F9" w:rsidRPr="004C70EC">
        <w:rPr>
          <w:noProof/>
        </w:rPr>
        <w:tab/>
      </w:r>
      <w:r w:rsidR="007E04F9" w:rsidRPr="004C70EC">
        <w:rPr>
          <w:rFonts w:eastAsiaTheme="minorEastAsia"/>
          <w:noProof/>
          <w:color w:val="000000" w:themeColor="text1"/>
          <w:lang w:eastAsia="ja-JP"/>
        </w:rPr>
        <w:t xml:space="preserve">discuss and coordinate funding for </w:t>
      </w:r>
      <w:r w:rsidR="007F0476" w:rsidRPr="004C70EC">
        <w:rPr>
          <w:rFonts w:eastAsia="Times New Roman"/>
          <w:noProof/>
          <w:color w:val="000000" w:themeColor="text1"/>
          <w:lang w:val="en-IE" w:eastAsia="de-DE"/>
        </w:rPr>
        <w:t xml:space="preserve">health </w:t>
      </w:r>
      <w:r w:rsidR="007E04F9" w:rsidRPr="004C70EC">
        <w:rPr>
          <w:rFonts w:eastAsiaTheme="minorEastAsia"/>
          <w:noProof/>
          <w:color w:val="000000" w:themeColor="text1"/>
          <w:lang w:eastAsia="ja-JP"/>
        </w:rPr>
        <w:t xml:space="preserve">biotechnology strategic projects, </w:t>
      </w:r>
      <w:r w:rsidR="001D5034" w:rsidRPr="004C70EC">
        <w:rPr>
          <w:rFonts w:eastAsiaTheme="minorEastAsia"/>
          <w:noProof/>
          <w:color w:val="000000" w:themeColor="text1"/>
          <w:lang w:eastAsia="ja-JP"/>
        </w:rPr>
        <w:t xml:space="preserve">including high-impact health biotechnology strategic projects, </w:t>
      </w:r>
      <w:r w:rsidR="2AA85073" w:rsidRPr="004C70EC">
        <w:rPr>
          <w:rFonts w:eastAsiaTheme="minorEastAsia"/>
          <w:noProof/>
          <w:color w:val="000000" w:themeColor="text1"/>
          <w:lang w:eastAsia="ja-JP"/>
        </w:rPr>
        <w:t xml:space="preserve">without prejudice to the basic acts of the </w:t>
      </w:r>
      <w:r w:rsidR="001D5034" w:rsidRPr="004C70EC">
        <w:rPr>
          <w:rFonts w:eastAsiaTheme="minorEastAsia"/>
          <w:noProof/>
          <w:color w:val="000000" w:themeColor="text1"/>
          <w:lang w:eastAsia="ja-JP"/>
        </w:rPr>
        <w:t xml:space="preserve">relevant Union </w:t>
      </w:r>
      <w:r w:rsidR="2AA85073" w:rsidRPr="004C70EC">
        <w:rPr>
          <w:rFonts w:eastAsiaTheme="minorEastAsia"/>
          <w:noProof/>
          <w:color w:val="000000" w:themeColor="text1"/>
          <w:lang w:eastAsia="ja-JP"/>
        </w:rPr>
        <w:t>programmes</w:t>
      </w:r>
      <w:r w:rsidR="003366E2" w:rsidRPr="004C70EC">
        <w:rPr>
          <w:rFonts w:eastAsiaTheme="minorEastAsia"/>
          <w:noProof/>
          <w:color w:val="000000" w:themeColor="text1"/>
          <w:lang w:eastAsia="ja-JP"/>
        </w:rPr>
        <w:t>;</w:t>
      </w:r>
      <w:r w:rsidR="7EE926F9" w:rsidRPr="004C70EC">
        <w:rPr>
          <w:rFonts w:eastAsiaTheme="minorEastAsia"/>
          <w:noProof/>
          <w:color w:val="000000" w:themeColor="text1"/>
          <w:lang w:eastAsia="ja-JP"/>
        </w:rPr>
        <w:t xml:space="preserve"> </w:t>
      </w:r>
      <w:r w:rsidR="003366E2" w:rsidRPr="004C70EC">
        <w:rPr>
          <w:rFonts w:eastAsiaTheme="minorEastAsia"/>
          <w:noProof/>
          <w:color w:val="000000" w:themeColor="text1"/>
          <w:lang w:eastAsia="ja-JP"/>
        </w:rPr>
        <w:t>t</w:t>
      </w:r>
      <w:r w:rsidR="7EE926F9" w:rsidRPr="004C70EC">
        <w:rPr>
          <w:rFonts w:eastAsiaTheme="minorEastAsia"/>
          <w:noProof/>
          <w:color w:val="000000" w:themeColor="text1"/>
          <w:lang w:eastAsia="ja-JP"/>
        </w:rPr>
        <w:t xml:space="preserve">his </w:t>
      </w:r>
      <w:r w:rsidR="55E98365" w:rsidRPr="004C70EC">
        <w:rPr>
          <w:rFonts w:eastAsiaTheme="minorEastAsia"/>
          <w:noProof/>
          <w:color w:val="000000" w:themeColor="text1"/>
          <w:lang w:eastAsia="ja-JP"/>
        </w:rPr>
        <w:t xml:space="preserve">may </w:t>
      </w:r>
      <w:r w:rsidR="7EE926F9" w:rsidRPr="004C70EC">
        <w:rPr>
          <w:rFonts w:eastAsiaTheme="minorEastAsia"/>
          <w:noProof/>
          <w:color w:val="000000" w:themeColor="text1"/>
          <w:lang w:eastAsia="ja-JP"/>
        </w:rPr>
        <w:t xml:space="preserve">include facilitating the liaison between project promoters and potential </w:t>
      </w:r>
      <w:r w:rsidR="09731EF8" w:rsidRPr="004C70EC">
        <w:rPr>
          <w:rFonts w:eastAsiaTheme="minorEastAsia"/>
          <w:noProof/>
          <w:color w:val="000000" w:themeColor="text1"/>
          <w:lang w:eastAsia="ja-JP"/>
        </w:rPr>
        <w:t xml:space="preserve">private </w:t>
      </w:r>
      <w:r w:rsidR="7EE926F9" w:rsidRPr="004C70EC">
        <w:rPr>
          <w:rFonts w:eastAsiaTheme="minorEastAsia"/>
          <w:noProof/>
          <w:color w:val="000000" w:themeColor="text1"/>
          <w:lang w:eastAsia="ja-JP"/>
        </w:rPr>
        <w:t xml:space="preserve">and </w:t>
      </w:r>
      <w:r w:rsidR="5A5C38EE" w:rsidRPr="004C70EC">
        <w:rPr>
          <w:rFonts w:eastAsiaTheme="minorEastAsia"/>
          <w:noProof/>
          <w:color w:val="000000" w:themeColor="text1"/>
          <w:lang w:eastAsia="ja-JP"/>
        </w:rPr>
        <w:t>public</w:t>
      </w:r>
      <w:r w:rsidR="7EE926F9" w:rsidRPr="004C70EC">
        <w:rPr>
          <w:rFonts w:eastAsiaTheme="minorEastAsia"/>
          <w:noProof/>
          <w:color w:val="000000" w:themeColor="text1"/>
          <w:lang w:eastAsia="ja-JP"/>
        </w:rPr>
        <w:t xml:space="preserve"> investors</w:t>
      </w:r>
      <w:r w:rsidR="4F755831" w:rsidRPr="004C70EC">
        <w:rPr>
          <w:rFonts w:eastAsiaTheme="minorEastAsia"/>
          <w:noProof/>
          <w:color w:val="000000" w:themeColor="text1"/>
          <w:lang w:eastAsia="ja-JP"/>
        </w:rPr>
        <w:t xml:space="preserve">, </w:t>
      </w:r>
      <w:r w:rsidR="4B43058E" w:rsidRPr="004C70EC">
        <w:rPr>
          <w:rFonts w:eastAsiaTheme="minorEastAsia"/>
          <w:noProof/>
          <w:color w:val="000000" w:themeColor="text1"/>
          <w:lang w:eastAsia="ja-JP"/>
        </w:rPr>
        <w:t xml:space="preserve">such as </w:t>
      </w:r>
      <w:r w:rsidR="60060C26" w:rsidRPr="004C70EC">
        <w:rPr>
          <w:rFonts w:eastAsiaTheme="minorEastAsia"/>
          <w:noProof/>
          <w:color w:val="000000" w:themeColor="text1"/>
          <w:lang w:eastAsia="ja-JP"/>
        </w:rPr>
        <w:t>the European Investment Bank Group,</w:t>
      </w:r>
      <w:r w:rsidR="7EE926F9" w:rsidRPr="004C70EC">
        <w:rPr>
          <w:rFonts w:eastAsiaTheme="minorEastAsia"/>
          <w:noProof/>
          <w:color w:val="000000" w:themeColor="text1"/>
          <w:lang w:eastAsia="ja-JP"/>
        </w:rPr>
        <w:t xml:space="preserve"> national promotional banks and institutions</w:t>
      </w:r>
      <w:r w:rsidR="43416ED4" w:rsidRPr="004C70EC">
        <w:rPr>
          <w:rFonts w:eastAsiaTheme="minorEastAsia"/>
          <w:noProof/>
          <w:color w:val="000000" w:themeColor="text1"/>
          <w:lang w:eastAsia="ja-JP"/>
        </w:rPr>
        <w:t xml:space="preserve"> and</w:t>
      </w:r>
      <w:r w:rsidR="7EE926F9" w:rsidRPr="004C70EC">
        <w:rPr>
          <w:rFonts w:eastAsiaTheme="minorEastAsia"/>
          <w:noProof/>
          <w:color w:val="000000" w:themeColor="text1"/>
          <w:lang w:eastAsia="ja-JP"/>
        </w:rPr>
        <w:t xml:space="preserve"> export credit agencies</w:t>
      </w:r>
      <w:r w:rsidR="27A7C69F" w:rsidRPr="004C70EC">
        <w:rPr>
          <w:rFonts w:eastAsiaTheme="minorEastAsia"/>
          <w:noProof/>
          <w:color w:val="000000" w:themeColor="text1"/>
          <w:lang w:eastAsia="ja-JP"/>
        </w:rPr>
        <w:t>, to mobilise additional financing, including from private or venture capital sources</w:t>
      </w:r>
      <w:r w:rsidR="007E04F9" w:rsidRPr="004C70EC">
        <w:rPr>
          <w:rFonts w:eastAsiaTheme="minorEastAsia"/>
          <w:noProof/>
          <w:color w:val="000000" w:themeColor="text1"/>
          <w:lang w:eastAsia="ja-JP"/>
        </w:rPr>
        <w:t xml:space="preserve">; </w:t>
      </w:r>
    </w:p>
    <w:p w14:paraId="17B0FE3D" w14:textId="04F71351" w:rsidR="007E04F9" w:rsidRPr="004C70EC" w:rsidRDefault="594C08D8" w:rsidP="33CE1D06">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w:t>
      </w:r>
      <w:r>
        <w:rPr>
          <w:rFonts w:eastAsiaTheme="minorEastAsia"/>
          <w:noProof/>
          <w:color w:val="000000" w:themeColor="text1"/>
          <w:szCs w:val="24"/>
          <w:lang w:eastAsia="ja-JP"/>
        </w:rPr>
        <w:t>e</w:t>
      </w:r>
      <w:r w:rsidR="63C1D33F" w:rsidRPr="004C70EC">
        <w:rPr>
          <w:rFonts w:eastAsiaTheme="minorEastAsia"/>
          <w:noProof/>
          <w:color w:val="000000" w:themeColor="text1"/>
          <w:szCs w:val="24"/>
          <w:lang w:eastAsia="ja-JP"/>
        </w:rPr>
        <w:t>)</w:t>
      </w:r>
      <w:r w:rsidR="00512A1A" w:rsidRPr="004C70EC">
        <w:rPr>
          <w:noProof/>
          <w:color w:val="000000" w:themeColor="text1"/>
          <w:szCs w:val="24"/>
        </w:rPr>
        <w:tab/>
      </w:r>
      <w:r w:rsidR="63C1D33F" w:rsidRPr="004C70EC">
        <w:rPr>
          <w:rFonts w:eastAsiaTheme="minorEastAsia"/>
          <w:noProof/>
          <w:color w:val="000000" w:themeColor="text1"/>
          <w:szCs w:val="24"/>
          <w:lang w:eastAsia="ja-JP"/>
        </w:rPr>
        <w:t xml:space="preserve">provide its views regarding the recognition of a project as a high impact </w:t>
      </w:r>
      <w:r w:rsidR="0CF92BD6" w:rsidRPr="004C70EC">
        <w:rPr>
          <w:rFonts w:eastAsia="Times New Roman"/>
          <w:noProof/>
          <w:color w:val="000000" w:themeColor="text1"/>
          <w:szCs w:val="24"/>
          <w:lang w:val="en-IE" w:eastAsia="de-DE"/>
        </w:rPr>
        <w:t xml:space="preserve">health </w:t>
      </w:r>
      <w:r w:rsidR="63C1D33F" w:rsidRPr="004C70EC">
        <w:rPr>
          <w:rFonts w:eastAsiaTheme="minorEastAsia"/>
          <w:noProof/>
          <w:color w:val="000000" w:themeColor="text1"/>
          <w:szCs w:val="24"/>
          <w:lang w:eastAsia="ja-JP"/>
        </w:rPr>
        <w:t>biotechnology strategic project, in accordance with Article [</w:t>
      </w:r>
      <w:r w:rsidR="002E50FB" w:rsidRPr="004C70EC">
        <w:rPr>
          <w:rFonts w:eastAsiaTheme="minorEastAsia"/>
          <w:noProof/>
          <w:color w:val="000000" w:themeColor="text1"/>
          <w:szCs w:val="24"/>
          <w:lang w:eastAsia="ja-JP"/>
        </w:rPr>
        <w:t>10</w:t>
      </w:r>
      <w:r w:rsidR="63C1D33F" w:rsidRPr="004C70EC">
        <w:rPr>
          <w:rFonts w:eastAsiaTheme="minorEastAsia"/>
          <w:noProof/>
          <w:color w:val="000000" w:themeColor="text1"/>
          <w:szCs w:val="24"/>
          <w:lang w:eastAsia="ja-JP"/>
        </w:rPr>
        <w:t>][</w:t>
      </w:r>
      <w:r w:rsidR="00C40D00" w:rsidRPr="004C70EC">
        <w:rPr>
          <w:rFonts w:eastAsiaTheme="minorEastAsia"/>
          <w:noProof/>
          <w:color w:val="000000" w:themeColor="text1"/>
          <w:szCs w:val="24"/>
          <w:lang w:eastAsia="ja-JP"/>
        </w:rPr>
        <w:t>(</w:t>
      </w:r>
      <w:r w:rsidR="63C1D33F" w:rsidRPr="004C70EC">
        <w:rPr>
          <w:rFonts w:eastAsiaTheme="minorEastAsia"/>
          <w:noProof/>
          <w:color w:val="000000" w:themeColor="text1"/>
          <w:szCs w:val="24"/>
          <w:lang w:eastAsia="ja-JP"/>
        </w:rPr>
        <w:t>2</w:t>
      </w:r>
      <w:r w:rsidR="00C40D00" w:rsidRPr="004C70EC">
        <w:rPr>
          <w:rFonts w:eastAsiaTheme="minorEastAsia"/>
          <w:noProof/>
          <w:color w:val="000000" w:themeColor="text1"/>
          <w:szCs w:val="24"/>
          <w:lang w:eastAsia="ja-JP"/>
        </w:rPr>
        <w:t>)</w:t>
      </w:r>
      <w:r w:rsidR="63C1D33F" w:rsidRPr="004C70EC">
        <w:rPr>
          <w:rFonts w:eastAsiaTheme="minorEastAsia"/>
          <w:noProof/>
          <w:color w:val="000000" w:themeColor="text1"/>
          <w:szCs w:val="24"/>
          <w:lang w:eastAsia="ja-JP"/>
        </w:rPr>
        <w:t xml:space="preserve">]; </w:t>
      </w:r>
    </w:p>
    <w:p w14:paraId="7C161EFB" w14:textId="2B358005" w:rsidR="007E04F9" w:rsidRPr="004C70EC" w:rsidRDefault="0DC46BAB" w:rsidP="33CE1D06">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w:t>
      </w:r>
      <w:r>
        <w:rPr>
          <w:rFonts w:eastAsiaTheme="minorEastAsia"/>
          <w:noProof/>
          <w:color w:val="000000" w:themeColor="text1"/>
          <w:szCs w:val="24"/>
          <w:lang w:eastAsia="ja-JP"/>
        </w:rPr>
        <w:t>f</w:t>
      </w:r>
      <w:r w:rsidR="63C1D33F" w:rsidRPr="004C70EC">
        <w:rPr>
          <w:rFonts w:eastAsiaTheme="minorEastAsia"/>
          <w:noProof/>
          <w:color w:val="000000" w:themeColor="text1"/>
          <w:szCs w:val="24"/>
          <w:lang w:eastAsia="ja-JP"/>
        </w:rPr>
        <w:t>)</w:t>
      </w:r>
      <w:r w:rsidR="00D338F0" w:rsidRPr="004C70EC">
        <w:rPr>
          <w:noProof/>
          <w:color w:val="000000" w:themeColor="text1"/>
          <w:szCs w:val="24"/>
        </w:rPr>
        <w:tab/>
      </w:r>
      <w:r w:rsidR="63C1D33F" w:rsidRPr="004C70EC">
        <w:rPr>
          <w:rFonts w:eastAsia="Times New Roman"/>
          <w:noProof/>
          <w:color w:val="000000" w:themeColor="text1"/>
          <w:szCs w:val="24"/>
          <w:lang w:eastAsia="ja-JP"/>
        </w:rPr>
        <w:t xml:space="preserve">facilitate the coordination and information exchange among the Member States on </w:t>
      </w:r>
      <w:r w:rsidR="75867DE6" w:rsidRPr="004C70EC">
        <w:rPr>
          <w:rFonts w:eastAsia="Times New Roman"/>
          <w:noProof/>
          <w:color w:val="000000" w:themeColor="text1"/>
          <w:szCs w:val="24"/>
          <w:lang w:eastAsia="ja-JP"/>
        </w:rPr>
        <w:t xml:space="preserve">enforcement </w:t>
      </w:r>
      <w:r w:rsidR="4202F80E" w:rsidRPr="004C70EC">
        <w:rPr>
          <w:rFonts w:eastAsia="Times New Roman"/>
          <w:noProof/>
          <w:color w:val="000000" w:themeColor="text1"/>
          <w:szCs w:val="24"/>
          <w:lang w:eastAsia="ja-JP"/>
        </w:rPr>
        <w:t xml:space="preserve">of </w:t>
      </w:r>
      <w:r w:rsidR="75867DE6" w:rsidRPr="004C70EC">
        <w:rPr>
          <w:rFonts w:eastAsia="Times New Roman"/>
          <w:noProof/>
          <w:color w:val="000000" w:themeColor="text1"/>
          <w:szCs w:val="24"/>
          <w:lang w:eastAsia="ja-JP"/>
        </w:rPr>
        <w:t xml:space="preserve">the biosecurity provisions </w:t>
      </w:r>
      <w:r w:rsidR="4202F80E" w:rsidRPr="004C70EC">
        <w:rPr>
          <w:rFonts w:eastAsia="Times New Roman"/>
          <w:noProof/>
          <w:color w:val="000000" w:themeColor="text1"/>
          <w:szCs w:val="24"/>
          <w:lang w:eastAsia="ja-JP"/>
        </w:rPr>
        <w:t xml:space="preserve">in this </w:t>
      </w:r>
      <w:r w:rsidR="001D5034" w:rsidRPr="004C70EC">
        <w:rPr>
          <w:rFonts w:eastAsia="Times New Roman"/>
          <w:noProof/>
          <w:color w:val="000000" w:themeColor="text1"/>
          <w:szCs w:val="24"/>
          <w:lang w:eastAsia="ja-JP"/>
        </w:rPr>
        <w:t>R</w:t>
      </w:r>
      <w:r w:rsidR="4202F80E" w:rsidRPr="004C70EC">
        <w:rPr>
          <w:rFonts w:eastAsia="Times New Roman"/>
          <w:noProof/>
          <w:color w:val="000000" w:themeColor="text1"/>
          <w:szCs w:val="24"/>
          <w:lang w:eastAsia="ja-JP"/>
        </w:rPr>
        <w:t xml:space="preserve">egulation and other </w:t>
      </w:r>
      <w:r w:rsidR="63C1D33F" w:rsidRPr="004C70EC">
        <w:rPr>
          <w:rFonts w:eastAsia="Times New Roman"/>
          <w:noProof/>
          <w:color w:val="000000" w:themeColor="text1"/>
          <w:szCs w:val="24"/>
          <w:lang w:eastAsia="ja-JP"/>
        </w:rPr>
        <w:t xml:space="preserve">emerging </w:t>
      </w:r>
      <w:r w:rsidR="4202F80E" w:rsidRPr="004C70EC">
        <w:rPr>
          <w:rFonts w:eastAsia="Times New Roman"/>
          <w:noProof/>
          <w:color w:val="000000" w:themeColor="text1"/>
          <w:szCs w:val="24"/>
          <w:lang w:eastAsia="ja-JP"/>
        </w:rPr>
        <w:t>biosecurity topics</w:t>
      </w:r>
      <w:r w:rsidR="03029098" w:rsidRPr="004C70EC">
        <w:rPr>
          <w:rFonts w:eastAsia="Times New Roman"/>
          <w:noProof/>
          <w:color w:val="000000" w:themeColor="text1"/>
          <w:szCs w:val="24"/>
          <w:lang w:eastAsia="ja-JP"/>
        </w:rPr>
        <w:t>.</w:t>
      </w:r>
    </w:p>
    <w:p w14:paraId="77AF858E" w14:textId="77777777" w:rsidR="007E04F9" w:rsidRPr="004C70EC" w:rsidRDefault="00502F07" w:rsidP="007E04F9">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6</w:t>
      </w:r>
      <w:r w:rsidR="007E04F9" w:rsidRPr="004C70EC">
        <w:rPr>
          <w:rFonts w:eastAsiaTheme="minorEastAsia"/>
          <w:noProof/>
          <w:color w:val="000000" w:themeColor="text1"/>
          <w:szCs w:val="24"/>
          <w:lang w:eastAsia="ja-JP"/>
        </w:rPr>
        <w:t>.</w:t>
      </w:r>
      <w:r w:rsidR="007E04F9" w:rsidRPr="004C70EC">
        <w:rPr>
          <w:noProof/>
          <w:color w:val="000000" w:themeColor="text1"/>
          <w:szCs w:val="24"/>
        </w:rPr>
        <w:tab/>
      </w:r>
      <w:r w:rsidR="007E04F9" w:rsidRPr="004C70EC">
        <w:rPr>
          <w:rFonts w:eastAsiaTheme="minorEastAsia"/>
          <w:noProof/>
          <w:color w:val="000000" w:themeColor="text1"/>
          <w:szCs w:val="24"/>
          <w:lang w:eastAsia="ja-JP"/>
        </w:rPr>
        <w:t xml:space="preserve">The </w:t>
      </w:r>
      <w:r w:rsidR="00890E16" w:rsidRPr="004C70EC">
        <w:rPr>
          <w:rFonts w:eastAsiaTheme="minorEastAsia"/>
          <w:noProof/>
          <w:color w:val="000000" w:themeColor="text1"/>
          <w:szCs w:val="24"/>
          <w:lang w:eastAsia="ja-JP"/>
        </w:rPr>
        <w:t>Steering Group</w:t>
      </w:r>
      <w:r w:rsidR="007E04F9" w:rsidRPr="004C70EC">
        <w:rPr>
          <w:rFonts w:eastAsiaTheme="minorEastAsia"/>
          <w:noProof/>
          <w:color w:val="000000" w:themeColor="text1"/>
          <w:szCs w:val="24"/>
          <w:lang w:eastAsia="ja-JP"/>
        </w:rPr>
        <w:t xml:space="preserve"> may establish subgroups for the purpose of this Regulation. </w:t>
      </w:r>
    </w:p>
    <w:p w14:paraId="23A39AE3" w14:textId="77777777" w:rsidR="007E04F9" w:rsidRPr="004C70EC" w:rsidRDefault="00502F07" w:rsidP="007E04F9">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7</w:t>
      </w:r>
      <w:r w:rsidR="007E04F9" w:rsidRPr="004C70EC">
        <w:rPr>
          <w:rFonts w:eastAsiaTheme="minorEastAsia"/>
          <w:noProof/>
          <w:color w:val="000000" w:themeColor="text1"/>
          <w:szCs w:val="24"/>
          <w:lang w:eastAsia="ja-JP"/>
        </w:rPr>
        <w:t>.</w:t>
      </w:r>
      <w:r w:rsidR="007E04F9" w:rsidRPr="004C70EC">
        <w:rPr>
          <w:rFonts w:eastAsiaTheme="minorEastAsia"/>
          <w:noProof/>
          <w:color w:val="000000" w:themeColor="text1"/>
          <w:szCs w:val="24"/>
          <w:lang w:eastAsia="ja-JP"/>
        </w:rPr>
        <w:tab/>
        <w:t xml:space="preserve">The </w:t>
      </w:r>
      <w:r w:rsidR="00890E16" w:rsidRPr="004C70EC">
        <w:rPr>
          <w:rFonts w:eastAsiaTheme="minorEastAsia"/>
          <w:noProof/>
          <w:color w:val="000000" w:themeColor="text1"/>
          <w:szCs w:val="24"/>
          <w:lang w:eastAsia="ja-JP"/>
        </w:rPr>
        <w:t>Steering Group</w:t>
      </w:r>
      <w:r w:rsidR="007E04F9" w:rsidRPr="004C70EC">
        <w:rPr>
          <w:rFonts w:eastAsiaTheme="minorEastAsia"/>
          <w:noProof/>
          <w:color w:val="000000" w:themeColor="text1"/>
          <w:szCs w:val="24"/>
          <w:lang w:eastAsia="ja-JP"/>
        </w:rPr>
        <w:t xml:space="preserve"> shall take the necessary measures to ensure the safe handling and processing of confidential and commercially sensitive information.</w:t>
      </w:r>
    </w:p>
    <w:p w14:paraId="5679CB82" w14:textId="77777777" w:rsidR="007E04F9" w:rsidRPr="004C70EC" w:rsidRDefault="00502F07" w:rsidP="00F137C5">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8</w:t>
      </w:r>
      <w:r w:rsidR="007E04F9" w:rsidRPr="004C70EC">
        <w:rPr>
          <w:rFonts w:eastAsiaTheme="minorEastAsia"/>
          <w:noProof/>
          <w:color w:val="000000" w:themeColor="text1"/>
          <w:szCs w:val="24"/>
          <w:lang w:eastAsia="ja-JP"/>
        </w:rPr>
        <w:t>.</w:t>
      </w:r>
      <w:r w:rsidR="007E04F9" w:rsidRPr="004C70EC">
        <w:rPr>
          <w:noProof/>
          <w:color w:val="000000" w:themeColor="text1"/>
          <w:szCs w:val="24"/>
        </w:rPr>
        <w:tab/>
      </w:r>
      <w:r w:rsidR="007E04F9" w:rsidRPr="004C70EC">
        <w:rPr>
          <w:rFonts w:eastAsiaTheme="minorEastAsia"/>
          <w:noProof/>
          <w:color w:val="000000" w:themeColor="text1"/>
          <w:szCs w:val="24"/>
          <w:lang w:eastAsia="ja-JP"/>
        </w:rPr>
        <w:t xml:space="preserve">The </w:t>
      </w:r>
      <w:r w:rsidR="00890E16" w:rsidRPr="004C70EC">
        <w:rPr>
          <w:rFonts w:eastAsiaTheme="minorEastAsia"/>
          <w:noProof/>
          <w:color w:val="000000" w:themeColor="text1"/>
          <w:szCs w:val="24"/>
          <w:lang w:eastAsia="ja-JP"/>
        </w:rPr>
        <w:t>Steering Group</w:t>
      </w:r>
      <w:r w:rsidR="007E04F9" w:rsidRPr="004C70EC">
        <w:rPr>
          <w:rFonts w:eastAsiaTheme="minorEastAsia"/>
          <w:noProof/>
          <w:color w:val="000000" w:themeColor="text1"/>
          <w:szCs w:val="24"/>
          <w:lang w:eastAsia="ja-JP"/>
        </w:rPr>
        <w:t xml:space="preserve"> shall use its best endeavours to reach consensus, where possible. Members with diverging positions may request that their positions and the grounds on which they are based be recorded in the </w:t>
      </w:r>
      <w:r w:rsidR="00890E16" w:rsidRPr="004C70EC">
        <w:rPr>
          <w:rFonts w:eastAsiaTheme="minorEastAsia"/>
          <w:noProof/>
          <w:color w:val="000000" w:themeColor="text1"/>
          <w:szCs w:val="24"/>
          <w:lang w:eastAsia="ja-JP"/>
        </w:rPr>
        <w:t>Steering Group</w:t>
      </w:r>
      <w:r w:rsidR="007E04F9" w:rsidRPr="004C70EC">
        <w:rPr>
          <w:rFonts w:eastAsiaTheme="minorEastAsia"/>
          <w:noProof/>
          <w:color w:val="000000" w:themeColor="text1"/>
          <w:szCs w:val="24"/>
          <w:lang w:eastAsia="ja-JP"/>
        </w:rPr>
        <w:t>’s position.</w:t>
      </w:r>
    </w:p>
    <w:p w14:paraId="19811A4A" w14:textId="77777777" w:rsidR="00F352CC" w:rsidRPr="004C70EC" w:rsidRDefault="00F352CC" w:rsidP="00F137C5">
      <w:pPr>
        <w:pStyle w:val="Point0"/>
        <w:rPr>
          <w:rFonts w:eastAsiaTheme="minorEastAsia"/>
          <w:noProof/>
          <w:color w:val="000000" w:themeColor="text1"/>
          <w:szCs w:val="24"/>
          <w:lang w:eastAsia="ja-JP"/>
        </w:rPr>
      </w:pPr>
    </w:p>
    <w:p w14:paraId="08DA371E" w14:textId="77777777" w:rsidR="00273F36" w:rsidRPr="004C70EC" w:rsidRDefault="00273F36" w:rsidP="00CB78B1">
      <w:pPr>
        <w:pStyle w:val="ChapterTitle"/>
        <w:rPr>
          <w:noProof/>
          <w:color w:val="000000" w:themeColor="text1"/>
          <w:sz w:val="24"/>
          <w:szCs w:val="24"/>
          <w:lang w:eastAsia="ja-JP"/>
        </w:rPr>
      </w:pPr>
      <w:r w:rsidRPr="004C70EC">
        <w:rPr>
          <w:noProof/>
          <w:color w:val="000000" w:themeColor="text1"/>
          <w:sz w:val="24"/>
          <w:szCs w:val="24"/>
          <w:lang w:eastAsia="ja-JP"/>
        </w:rPr>
        <w:t>CHAPTER I</w:t>
      </w:r>
      <w:r w:rsidR="00F137C5" w:rsidRPr="004C70EC">
        <w:rPr>
          <w:noProof/>
          <w:color w:val="000000" w:themeColor="text1"/>
          <w:sz w:val="24"/>
          <w:szCs w:val="24"/>
          <w:lang w:eastAsia="ja-JP"/>
        </w:rPr>
        <w:t>II</w:t>
      </w:r>
    </w:p>
    <w:p w14:paraId="36813026" w14:textId="77777777" w:rsidR="00400C0D" w:rsidRDefault="00273F36" w:rsidP="009C0E01">
      <w:pPr>
        <w:pStyle w:val="ChapterTitle"/>
        <w:rPr>
          <w:noProof/>
          <w:lang w:val="en-US" w:eastAsia="en-GB"/>
        </w:rPr>
      </w:pPr>
      <w:r w:rsidRPr="004C70EC">
        <w:rPr>
          <w:rFonts w:eastAsia="Times New Roman"/>
          <w:noProof/>
          <w:color w:val="000000" w:themeColor="text1"/>
          <w:sz w:val="24"/>
          <w:szCs w:val="24"/>
          <w:bdr w:val="nil"/>
          <w:lang w:val="en-US" w:eastAsia="en-GB"/>
        </w:rPr>
        <w:t>ACCESS TO FUNDING</w:t>
      </w:r>
    </w:p>
    <w:p w14:paraId="4E5A2CA0" w14:textId="77777777" w:rsidR="0062411B" w:rsidRPr="004C70EC" w:rsidRDefault="0062411B" w:rsidP="0062411B">
      <w:pPr>
        <w:pStyle w:val="Titrearticle"/>
        <w:rPr>
          <w:noProof/>
          <w:color w:val="000000" w:themeColor="text1"/>
          <w:szCs w:val="24"/>
          <w:lang w:eastAsia="ja-JP"/>
        </w:rPr>
      </w:pPr>
      <w:r>
        <w:rPr>
          <w:noProof/>
          <w:color w:val="000000" w:themeColor="text1"/>
          <w:szCs w:val="24"/>
          <w:lang w:eastAsia="ja-JP"/>
        </w:rPr>
        <w:t>Article 22</w:t>
      </w:r>
    </w:p>
    <w:p w14:paraId="746EC41F" w14:textId="77777777" w:rsidR="0062411B" w:rsidRPr="004C70EC" w:rsidRDefault="0062411B" w:rsidP="0062411B">
      <w:pPr>
        <w:keepNext/>
        <w:tabs>
          <w:tab w:val="left" w:pos="850"/>
        </w:tabs>
        <w:ind w:left="850" w:hanging="850"/>
        <w:jc w:val="center"/>
        <w:outlineLvl w:val="1"/>
        <w:rPr>
          <w:rFonts w:eastAsiaTheme="minorEastAsia"/>
          <w:b/>
          <w:noProof/>
          <w:color w:val="000000" w:themeColor="text1"/>
          <w:szCs w:val="24"/>
          <w:lang w:eastAsia="ja-JP"/>
        </w:rPr>
      </w:pPr>
      <w:r>
        <w:rPr>
          <w:rFonts w:eastAsiaTheme="minorEastAsia"/>
          <w:b/>
          <w:noProof/>
          <w:color w:val="000000" w:themeColor="text1"/>
          <w:szCs w:val="24"/>
          <w:lang w:eastAsia="ja-JP"/>
        </w:rPr>
        <w:t>EU health biotechnology investment pilot</w:t>
      </w:r>
    </w:p>
    <w:p w14:paraId="5866DCD6" w14:textId="77777777" w:rsidR="0062411B" w:rsidRPr="00C632A2" w:rsidRDefault="0062411B" w:rsidP="0062411B">
      <w:pPr>
        <w:pStyle w:val="Point0"/>
        <w:numPr>
          <w:ilvl w:val="0"/>
          <w:numId w:val="56"/>
        </w:numPr>
        <w:rPr>
          <w:rFonts w:eastAsia="Times New Roman"/>
          <w:noProof/>
          <w:color w:val="000000" w:themeColor="text1"/>
        </w:rPr>
      </w:pPr>
      <w:r>
        <w:rPr>
          <w:rFonts w:eastAsia="Times New Roman"/>
          <w:noProof/>
          <w:color w:val="000000" w:themeColor="text1"/>
        </w:rPr>
        <w:t>To support the financing of, and investments in, companies and projects falling within the scope of this Regulation, the Commission, together with the European Investment Bank Group (EIBG) or other implementing partners, shall develop an EU Health Biotechnology investment pilot (‘the pilot). The pilot is established for an initial period of two years, after which it shall be reviewed.</w:t>
      </w:r>
    </w:p>
    <w:p w14:paraId="7D32D614" w14:textId="77777777" w:rsidR="0062411B" w:rsidRPr="00C632A2" w:rsidRDefault="0062411B" w:rsidP="0062411B">
      <w:pPr>
        <w:pStyle w:val="Point0"/>
        <w:numPr>
          <w:ilvl w:val="0"/>
          <w:numId w:val="56"/>
        </w:numPr>
        <w:rPr>
          <w:rFonts w:eastAsia="Times New Roman"/>
          <w:noProof/>
          <w:color w:val="000000" w:themeColor="text1"/>
        </w:rPr>
      </w:pPr>
      <w:r>
        <w:rPr>
          <w:rFonts w:eastAsia="Times New Roman"/>
          <w:noProof/>
          <w:color w:val="000000" w:themeColor="text1"/>
        </w:rPr>
        <w:t xml:space="preserve">The pilot shall support the full lifecycle of companies and projects in the area of health biotechnology, including SMEs, start-ups and scale-ups through direct and indirect financing, other than direct equity operations, without prejudice to the basic acts to be agreed under the next Multiannual Financial Frameworks. It shall complement and be developed in a coordinated manner with other EU financing instruments. </w:t>
      </w:r>
    </w:p>
    <w:p w14:paraId="224BC364" w14:textId="77777777" w:rsidR="0062411B" w:rsidRDefault="0062411B" w:rsidP="0062411B">
      <w:pPr>
        <w:pStyle w:val="Point0"/>
        <w:numPr>
          <w:ilvl w:val="0"/>
          <w:numId w:val="56"/>
        </w:numPr>
        <w:rPr>
          <w:rFonts w:eastAsia="Times New Roman"/>
          <w:noProof/>
          <w:color w:val="000000" w:themeColor="text1"/>
        </w:rPr>
      </w:pPr>
      <w:r>
        <w:rPr>
          <w:rFonts w:eastAsia="Times New Roman"/>
          <w:noProof/>
          <w:color w:val="000000" w:themeColor="text1"/>
        </w:rPr>
        <w:t>The pilot shall be designed as a mechanism that may use and leverage different funding streams and instruments to accelerate and catalyse investments into the health biotechnology sector. It may be used to provide Union support through Union programmes.</w:t>
      </w:r>
    </w:p>
    <w:p w14:paraId="4F938C33" w14:textId="77777777" w:rsidR="0062411B" w:rsidRPr="00C632A2" w:rsidRDefault="0062411B" w:rsidP="0062411B">
      <w:pPr>
        <w:pStyle w:val="Point0"/>
        <w:numPr>
          <w:ilvl w:val="0"/>
          <w:numId w:val="56"/>
        </w:numPr>
        <w:rPr>
          <w:rFonts w:eastAsia="Times New Roman"/>
          <w:noProof/>
          <w:color w:val="000000" w:themeColor="text1"/>
        </w:rPr>
      </w:pPr>
      <w:r>
        <w:rPr>
          <w:rFonts w:eastAsia="Times New Roman"/>
          <w:noProof/>
          <w:color w:val="000000" w:themeColor="text1"/>
        </w:rPr>
        <w:t>The pilot shall pursue the following objectives:</w:t>
      </w:r>
    </w:p>
    <w:p w14:paraId="6A765532" w14:textId="77777777" w:rsidR="0062411B" w:rsidRPr="004C70EC" w:rsidRDefault="0062411B" w:rsidP="0062411B">
      <w:pPr>
        <w:pStyle w:val="Point1"/>
        <w:rPr>
          <w:noProof/>
          <w:color w:val="000000" w:themeColor="text1"/>
          <w:lang w:val="en-US"/>
        </w:rPr>
      </w:pPr>
      <w:r>
        <w:rPr>
          <w:noProof/>
          <w:color w:val="000000" w:themeColor="text1"/>
          <w:lang w:val="en-US"/>
        </w:rPr>
        <w:t>(a)</w:t>
      </w:r>
      <w:r>
        <w:rPr>
          <w:noProof/>
        </w:rPr>
        <w:tab/>
      </w:r>
      <w:r>
        <w:rPr>
          <w:noProof/>
          <w:color w:val="000000" w:themeColor="text1"/>
          <w:lang w:val="en-US"/>
        </w:rPr>
        <w:t xml:space="preserve">support early-stage applied research and innovation, technology transfer and spin-offs, with appropriate financing mechanisms, including equity; </w:t>
      </w:r>
    </w:p>
    <w:p w14:paraId="58AF42BE" w14:textId="77777777" w:rsidR="0062411B" w:rsidRPr="004C70EC" w:rsidRDefault="0062411B" w:rsidP="0062411B">
      <w:pPr>
        <w:pStyle w:val="Point1"/>
        <w:rPr>
          <w:noProof/>
          <w:color w:val="000000" w:themeColor="text1"/>
          <w:szCs w:val="24"/>
          <w:lang w:val="en-US"/>
        </w:rPr>
      </w:pPr>
      <w:r>
        <w:rPr>
          <w:noProof/>
          <w:color w:val="000000" w:themeColor="text1"/>
          <w:szCs w:val="24"/>
          <w:lang w:val="en-US"/>
        </w:rPr>
        <w:t>(b)</w:t>
      </w:r>
      <w:r>
        <w:rPr>
          <w:noProof/>
          <w:color w:val="000000" w:themeColor="text1"/>
          <w:szCs w:val="24"/>
          <w:lang w:val="en-US"/>
        </w:rPr>
        <w:tab/>
        <w:t xml:space="preserve">provide support to projects, SMEs, including start-ups and scale-ups, and mid-caps across the Union, which are providing solutions and developments that contribute to the objectives of this Regulation; </w:t>
      </w:r>
    </w:p>
    <w:p w14:paraId="56A05C39" w14:textId="77777777" w:rsidR="0062411B" w:rsidRPr="004C70EC" w:rsidRDefault="0062411B" w:rsidP="0062411B">
      <w:pPr>
        <w:pStyle w:val="Point1"/>
        <w:rPr>
          <w:noProof/>
          <w:color w:val="000000" w:themeColor="text1"/>
          <w:szCs w:val="24"/>
          <w:lang w:val="en-US"/>
        </w:rPr>
      </w:pPr>
      <w:r>
        <w:rPr>
          <w:noProof/>
          <w:color w:val="000000" w:themeColor="text1"/>
          <w:szCs w:val="24"/>
          <w:lang w:val="en-US"/>
        </w:rPr>
        <w:t>(c)</w:t>
      </w:r>
      <w:r>
        <w:rPr>
          <w:noProof/>
          <w:color w:val="000000" w:themeColor="text1"/>
          <w:szCs w:val="24"/>
          <w:lang w:val="en-US"/>
        </w:rPr>
        <w:tab/>
        <w:t>finance late-stage development initiatives, industrial scale-up and production capacity build-up for companies that contribute to the objectives of this Regulation, through venture loans and other suitable debt or quasi-equity instruments;</w:t>
      </w:r>
    </w:p>
    <w:p w14:paraId="60FED172" w14:textId="77777777" w:rsidR="0062411B" w:rsidRPr="004C70EC" w:rsidRDefault="0062411B" w:rsidP="0062411B">
      <w:pPr>
        <w:pStyle w:val="Point1"/>
        <w:rPr>
          <w:noProof/>
          <w:color w:val="000000" w:themeColor="text1"/>
          <w:szCs w:val="24"/>
          <w:lang w:val="en-US"/>
        </w:rPr>
      </w:pPr>
      <w:r>
        <w:rPr>
          <w:noProof/>
          <w:color w:val="000000" w:themeColor="text1"/>
          <w:szCs w:val="24"/>
          <w:lang w:val="en-US"/>
        </w:rPr>
        <w:t>(d)</w:t>
      </w:r>
      <w:r>
        <w:rPr>
          <w:noProof/>
          <w:color w:val="000000" w:themeColor="text1"/>
          <w:szCs w:val="24"/>
          <w:lang w:val="en-US"/>
        </w:rPr>
        <w:tab/>
        <w:t>anchor growth and manufacturing activities in the Union in order to gain or maintain strategic autonomy and resilience, as well as boost competitiveness of the sector;</w:t>
      </w:r>
    </w:p>
    <w:p w14:paraId="2AB5DAFB" w14:textId="77777777" w:rsidR="0062411B" w:rsidRPr="004C70EC" w:rsidRDefault="0062411B" w:rsidP="0062411B">
      <w:pPr>
        <w:pStyle w:val="Point1"/>
        <w:rPr>
          <w:noProof/>
          <w:color w:val="000000" w:themeColor="text1"/>
          <w:szCs w:val="24"/>
          <w:lang w:val="en-US"/>
        </w:rPr>
      </w:pPr>
      <w:r>
        <w:rPr>
          <w:noProof/>
          <w:color w:val="000000" w:themeColor="text1"/>
          <w:szCs w:val="24"/>
          <w:lang w:val="en-US"/>
        </w:rPr>
        <w:t>(e)</w:t>
      </w:r>
      <w:r>
        <w:rPr>
          <w:noProof/>
          <w:color w:val="000000" w:themeColor="text1"/>
          <w:szCs w:val="24"/>
          <w:lang w:val="en-US"/>
        </w:rPr>
        <w:tab/>
        <w:t xml:space="preserve">mobilise private investments, including from institutional investors such as pension funds, and strengthen the availability of long-term risk finance for biotechnology companies established in the Union. Financial actors, including private institutional investors, shall be targeted by leveraging expertise in catalysing private capital </w:t>
      </w:r>
      <w:r>
        <w:rPr>
          <w:rFonts w:eastAsiaTheme="minorEastAsia"/>
          <w:noProof/>
          <w:color w:val="000000" w:themeColor="text1"/>
          <w:szCs w:val="24"/>
          <w:lang w:eastAsia="ja-JP"/>
        </w:rPr>
        <w:t>and use appropriate risk-sharing mechanisms to achieve this objective</w:t>
      </w:r>
      <w:r>
        <w:rPr>
          <w:noProof/>
          <w:color w:val="000000" w:themeColor="text1"/>
          <w:szCs w:val="24"/>
          <w:lang w:val="en-US"/>
        </w:rPr>
        <w:t>;</w:t>
      </w:r>
    </w:p>
    <w:p w14:paraId="1D9E9D7C" w14:textId="77777777" w:rsidR="0062411B" w:rsidRPr="004C70EC" w:rsidRDefault="0062411B" w:rsidP="0062411B">
      <w:pPr>
        <w:pStyle w:val="Point1"/>
        <w:rPr>
          <w:noProof/>
          <w:color w:val="000000" w:themeColor="text1"/>
          <w:lang w:val="en-US"/>
        </w:rPr>
      </w:pPr>
      <w:r>
        <w:rPr>
          <w:noProof/>
          <w:color w:val="000000" w:themeColor="text1"/>
          <w:lang w:val="en-US"/>
        </w:rPr>
        <w:t>(f)</w:t>
      </w:r>
      <w:r>
        <w:rPr>
          <w:noProof/>
        </w:rPr>
        <w:tab/>
      </w:r>
      <w:r>
        <w:rPr>
          <w:noProof/>
          <w:color w:val="000000" w:themeColor="text1"/>
          <w:lang w:val="en-US"/>
        </w:rPr>
        <w:t xml:space="preserve">assist early and growth-stage companies through blended and concessional finance, encompassing equity or debt operations, </w:t>
      </w:r>
      <w:r>
        <w:rPr>
          <w:rFonts w:eastAsia="Times New Roman"/>
          <w:noProof/>
          <w:color w:val="000000" w:themeColor="text1"/>
          <w:szCs w:val="24"/>
          <w:lang w:val="en-US"/>
        </w:rPr>
        <w:t xml:space="preserve">complementing the direct equity support provided by the European Innovation Council Fund and the Scale-Up Europe Fund under the Horizon Europe, </w:t>
      </w:r>
      <w:r>
        <w:rPr>
          <w:noProof/>
          <w:color w:val="000000" w:themeColor="text1"/>
          <w:lang w:val="en-US"/>
        </w:rPr>
        <w:t>including via the development of new products;</w:t>
      </w:r>
    </w:p>
    <w:p w14:paraId="690C70C4" w14:textId="77777777" w:rsidR="0062411B" w:rsidRDefault="0062411B" w:rsidP="0062411B">
      <w:pPr>
        <w:pStyle w:val="Point1"/>
        <w:rPr>
          <w:noProof/>
          <w:lang w:val="en-US"/>
        </w:rPr>
      </w:pPr>
      <w:r>
        <w:rPr>
          <w:rFonts w:eastAsia="Times New Roman"/>
          <w:noProof/>
          <w:color w:val="000000" w:themeColor="text1"/>
          <w:szCs w:val="24"/>
          <w:lang w:val="en-US"/>
        </w:rPr>
        <w:t>(g)</w:t>
      </w:r>
      <w:r>
        <w:rPr>
          <w:rFonts w:eastAsia="Times New Roman"/>
          <w:noProof/>
          <w:color w:val="000000" w:themeColor="text1"/>
          <w:szCs w:val="24"/>
          <w:lang w:val="en-US"/>
        </w:rPr>
        <w:tab/>
        <w:t>provide advisory support throughout the investment cycle, encompassing concrete capacity-building measures. These interventions shall be aimed at reinforcing the competencies and institutional preparedness of developers and promoters of projects and financial intermediaries to successfully develop and implement their initiatives.</w:t>
      </w:r>
    </w:p>
    <w:p w14:paraId="2FD4025F" w14:textId="77777777" w:rsidR="0062411B" w:rsidRDefault="0062411B" w:rsidP="0062411B">
      <w:pPr>
        <w:rPr>
          <w:noProof/>
          <w:lang w:val="en-US" w:eastAsia="en-GB"/>
        </w:rPr>
      </w:pPr>
    </w:p>
    <w:p w14:paraId="3DEA1503" w14:textId="77777777" w:rsidR="0062411B" w:rsidRDefault="0062411B">
      <w:pPr>
        <w:rPr>
          <w:b/>
          <w:noProof/>
          <w:lang w:val="en-US" w:eastAsia="en-GB"/>
        </w:rPr>
      </w:pPr>
    </w:p>
    <w:p w14:paraId="1520E8C4" w14:textId="77D283EB" w:rsidR="00400C0D" w:rsidRDefault="00273F36" w:rsidP="00CB78B1">
      <w:pPr>
        <w:pStyle w:val="Titrearticle"/>
        <w:rPr>
          <w:rFonts w:eastAsia="Times New Roman"/>
          <w:i w:val="0"/>
          <w:iCs/>
          <w:noProof/>
          <w:color w:val="000000" w:themeColor="text1"/>
          <w:szCs w:val="24"/>
          <w:lang w:val="en-US"/>
        </w:rPr>
      </w:pPr>
      <w:bookmarkStart w:id="26" w:name="_Hlk216439588"/>
      <w:r w:rsidRPr="004C70EC">
        <w:rPr>
          <w:rFonts w:eastAsiaTheme="minorEastAsia"/>
          <w:iCs/>
          <w:noProof/>
          <w:color w:val="000000" w:themeColor="text1"/>
          <w:szCs w:val="24"/>
          <w:lang w:eastAsia="ja-JP"/>
        </w:rPr>
        <w:t>Article</w:t>
      </w:r>
      <w:r w:rsidR="006116D3" w:rsidRPr="004C70EC">
        <w:rPr>
          <w:rFonts w:eastAsiaTheme="minorEastAsia"/>
          <w:iCs/>
          <w:noProof/>
          <w:color w:val="000000" w:themeColor="text1"/>
          <w:szCs w:val="24"/>
          <w:lang w:eastAsia="ja-JP"/>
        </w:rPr>
        <w:t xml:space="preserve"> 2</w:t>
      </w:r>
      <w:r w:rsidR="00E958E5" w:rsidRPr="004C70EC">
        <w:rPr>
          <w:rFonts w:eastAsiaTheme="minorEastAsia"/>
          <w:iCs/>
          <w:noProof/>
          <w:color w:val="000000" w:themeColor="text1"/>
          <w:szCs w:val="24"/>
          <w:lang w:eastAsia="ja-JP"/>
        </w:rPr>
        <w:t>3</w:t>
      </w:r>
    </w:p>
    <w:bookmarkEnd w:id="26"/>
    <w:p w14:paraId="0B17E513" w14:textId="77777777" w:rsidR="00273F36" w:rsidRPr="004C70EC" w:rsidRDefault="00273F36" w:rsidP="00273F36">
      <w:pPr>
        <w:spacing w:before="0" w:after="160" w:line="259" w:lineRule="auto"/>
        <w:jc w:val="center"/>
        <w:rPr>
          <w:rFonts w:eastAsiaTheme="minorEastAsia"/>
          <w:b/>
          <w:noProof/>
          <w:color w:val="000000" w:themeColor="text1"/>
          <w:szCs w:val="24"/>
          <w:lang w:eastAsia="ja-JP"/>
        </w:rPr>
      </w:pPr>
      <w:r w:rsidRPr="004C70EC">
        <w:rPr>
          <w:rFonts w:eastAsiaTheme="minorEastAsia"/>
          <w:b/>
          <w:noProof/>
          <w:color w:val="000000" w:themeColor="text1"/>
          <w:szCs w:val="24"/>
          <w:lang w:eastAsia="ja-JP"/>
        </w:rPr>
        <w:t xml:space="preserve">EU biotechnology late-stage capital booster pilot </w:t>
      </w:r>
    </w:p>
    <w:p w14:paraId="2EBBB0B7" w14:textId="77777777" w:rsidR="00273F36" w:rsidRPr="004C70EC" w:rsidRDefault="00CB78B1" w:rsidP="00CB78B1">
      <w:pPr>
        <w:pStyle w:val="Point0"/>
        <w:rPr>
          <w:rFonts w:eastAsiaTheme="minorEastAsia"/>
          <w:noProof/>
          <w:color w:val="000000" w:themeColor="text1"/>
          <w:lang w:eastAsia="ja-JP"/>
        </w:rPr>
      </w:pPr>
      <w:r w:rsidRPr="004C70EC">
        <w:rPr>
          <w:rFonts w:eastAsiaTheme="minorEastAsia"/>
          <w:noProof/>
          <w:color w:val="000000" w:themeColor="text1"/>
          <w:lang w:eastAsia="ja-JP"/>
        </w:rPr>
        <w:t>1.</w:t>
      </w:r>
      <w:r w:rsidRPr="004C70EC">
        <w:rPr>
          <w:noProof/>
        </w:rPr>
        <w:tab/>
      </w:r>
      <w:r w:rsidR="00B60DC7" w:rsidRPr="004C70EC">
        <w:rPr>
          <w:rFonts w:eastAsiaTheme="minorEastAsia"/>
          <w:noProof/>
          <w:color w:val="000000" w:themeColor="text1"/>
          <w:lang w:eastAsia="ja-JP"/>
        </w:rPr>
        <w:t>To enable access to the support measures laid down in Section 2 of Chapter II, t</w:t>
      </w:r>
      <w:r w:rsidR="00273F36" w:rsidRPr="004C70EC">
        <w:rPr>
          <w:rFonts w:eastAsiaTheme="minorEastAsia"/>
          <w:noProof/>
          <w:color w:val="000000" w:themeColor="text1"/>
          <w:lang w:eastAsia="ja-JP"/>
        </w:rPr>
        <w:t>he Commission</w:t>
      </w:r>
      <w:r w:rsidRPr="004C70EC">
        <w:rPr>
          <w:rFonts w:eastAsiaTheme="minorEastAsia"/>
          <w:noProof/>
          <w:color w:val="000000" w:themeColor="text1"/>
          <w:lang w:eastAsia="ja-JP"/>
        </w:rPr>
        <w:t xml:space="preserve"> </w:t>
      </w:r>
      <w:r w:rsidR="00273F36" w:rsidRPr="004C70EC">
        <w:rPr>
          <w:rFonts w:eastAsiaTheme="minorEastAsia"/>
          <w:noProof/>
          <w:color w:val="000000" w:themeColor="text1"/>
          <w:lang w:eastAsia="ja-JP"/>
        </w:rPr>
        <w:t>shall recognise projects</w:t>
      </w:r>
      <w:r w:rsidR="00BB1387" w:rsidRPr="004C70EC">
        <w:rPr>
          <w:rFonts w:eastAsiaTheme="minorEastAsia"/>
          <w:noProof/>
          <w:color w:val="000000" w:themeColor="text1"/>
          <w:lang w:eastAsia="ja-JP"/>
        </w:rPr>
        <w:t xml:space="preserve"> located in the Union</w:t>
      </w:r>
      <w:r w:rsidR="00273F36" w:rsidRPr="004C70EC">
        <w:rPr>
          <w:rFonts w:eastAsiaTheme="minorEastAsia"/>
          <w:noProof/>
          <w:color w:val="000000" w:themeColor="text1"/>
          <w:lang w:eastAsia="ja-JP"/>
        </w:rPr>
        <w:t xml:space="preserve"> contributing to an EU biotechnology late-stage capital booster as high-impact </w:t>
      </w:r>
      <w:r w:rsidR="007F0476" w:rsidRPr="004C70EC">
        <w:rPr>
          <w:rFonts w:eastAsia="Times New Roman"/>
          <w:noProof/>
          <w:color w:val="000000" w:themeColor="text1"/>
          <w:lang w:val="en-IE" w:eastAsia="de-DE"/>
        </w:rPr>
        <w:t>health</w:t>
      </w:r>
      <w:r w:rsidR="00273F36" w:rsidRPr="004C70EC">
        <w:rPr>
          <w:rFonts w:eastAsia="Times New Roman"/>
          <w:noProof/>
          <w:color w:val="000000" w:themeColor="text1"/>
          <w:lang w:val="en-IE" w:eastAsia="de-DE"/>
        </w:rPr>
        <w:t xml:space="preserve"> </w:t>
      </w:r>
      <w:r w:rsidR="00273F36" w:rsidRPr="004C70EC">
        <w:rPr>
          <w:rFonts w:eastAsiaTheme="minorEastAsia"/>
          <w:noProof/>
          <w:color w:val="000000" w:themeColor="text1"/>
          <w:lang w:eastAsia="ja-JP"/>
        </w:rPr>
        <w:t>biotechnology strategic projects</w:t>
      </w:r>
      <w:r w:rsidR="00892198" w:rsidRPr="004C70EC">
        <w:rPr>
          <w:rFonts w:eastAsiaTheme="minorEastAsia"/>
          <w:noProof/>
          <w:color w:val="000000" w:themeColor="text1"/>
          <w:lang w:eastAsia="ja-JP"/>
        </w:rPr>
        <w:t xml:space="preserve">, </w:t>
      </w:r>
      <w:r w:rsidR="002A1AD3" w:rsidRPr="004C70EC">
        <w:rPr>
          <w:rFonts w:eastAsiaTheme="minorEastAsia"/>
          <w:noProof/>
          <w:color w:val="000000" w:themeColor="text1"/>
          <w:lang w:eastAsia="ja-JP"/>
        </w:rPr>
        <w:t xml:space="preserve">only </w:t>
      </w:r>
      <w:r w:rsidR="00273F36" w:rsidRPr="004C70EC">
        <w:rPr>
          <w:rFonts w:eastAsiaTheme="minorEastAsia"/>
          <w:noProof/>
          <w:color w:val="000000" w:themeColor="text1"/>
          <w:lang w:eastAsia="ja-JP"/>
        </w:rPr>
        <w:t>where in addition to the conditions laid down in Article [</w:t>
      </w:r>
      <w:r w:rsidR="002E50FB" w:rsidRPr="004C70EC">
        <w:rPr>
          <w:rFonts w:eastAsiaTheme="minorEastAsia"/>
          <w:noProof/>
          <w:color w:val="000000" w:themeColor="text1"/>
          <w:lang w:eastAsia="ja-JP"/>
        </w:rPr>
        <w:t>4</w:t>
      </w:r>
      <w:r w:rsidR="00273F36" w:rsidRPr="004C70EC">
        <w:rPr>
          <w:rFonts w:eastAsiaTheme="minorEastAsia"/>
          <w:noProof/>
          <w:color w:val="000000" w:themeColor="text1"/>
          <w:lang w:eastAsia="ja-JP"/>
        </w:rPr>
        <w:t>]</w:t>
      </w:r>
      <w:r w:rsidR="002A1AD3" w:rsidRPr="004C70EC">
        <w:rPr>
          <w:rFonts w:eastAsiaTheme="minorEastAsia"/>
          <w:noProof/>
          <w:color w:val="000000" w:themeColor="text1"/>
          <w:lang w:eastAsia="ja-JP"/>
        </w:rPr>
        <w:t>[</w:t>
      </w:r>
      <w:r w:rsidR="0092376A" w:rsidRPr="004C70EC">
        <w:rPr>
          <w:rFonts w:eastAsiaTheme="minorEastAsia"/>
          <w:noProof/>
          <w:color w:val="000000" w:themeColor="text1"/>
          <w:lang w:eastAsia="ja-JP"/>
        </w:rPr>
        <w:t>(</w:t>
      </w:r>
      <w:r w:rsidR="00691A84" w:rsidRPr="004C70EC">
        <w:rPr>
          <w:rFonts w:eastAsiaTheme="minorEastAsia"/>
          <w:noProof/>
          <w:color w:val="000000" w:themeColor="text1"/>
          <w:lang w:eastAsia="ja-JP"/>
        </w:rPr>
        <w:t>1</w:t>
      </w:r>
      <w:r w:rsidR="0092376A" w:rsidRPr="004C70EC">
        <w:rPr>
          <w:rFonts w:eastAsiaTheme="minorEastAsia"/>
          <w:noProof/>
          <w:color w:val="000000" w:themeColor="text1"/>
          <w:lang w:eastAsia="ja-JP"/>
        </w:rPr>
        <w:t>)</w:t>
      </w:r>
      <w:r w:rsidR="002A1AD3" w:rsidRPr="004C70EC">
        <w:rPr>
          <w:rFonts w:eastAsiaTheme="minorEastAsia"/>
          <w:noProof/>
          <w:color w:val="000000" w:themeColor="text1"/>
          <w:lang w:eastAsia="ja-JP"/>
        </w:rPr>
        <w:t>]</w:t>
      </w:r>
      <w:r w:rsidR="00273F36" w:rsidRPr="004C70EC">
        <w:rPr>
          <w:rFonts w:eastAsiaTheme="minorEastAsia"/>
          <w:noProof/>
          <w:color w:val="000000" w:themeColor="text1"/>
          <w:lang w:eastAsia="ja-JP"/>
        </w:rPr>
        <w:t>, the project</w:t>
      </w:r>
      <w:r w:rsidR="001F43AB" w:rsidRPr="004C70EC">
        <w:rPr>
          <w:rFonts w:eastAsiaTheme="minorEastAsia"/>
          <w:noProof/>
          <w:color w:val="000000" w:themeColor="text1"/>
          <w:lang w:eastAsia="ja-JP"/>
        </w:rPr>
        <w:t>s</w:t>
      </w:r>
      <w:r w:rsidR="00273F36" w:rsidRPr="004C70EC">
        <w:rPr>
          <w:rFonts w:eastAsiaTheme="minorEastAsia"/>
          <w:noProof/>
          <w:color w:val="000000" w:themeColor="text1"/>
          <w:lang w:eastAsia="ja-JP"/>
        </w:rPr>
        <w:t xml:space="preserve"> </w:t>
      </w:r>
      <w:r w:rsidR="00845EFD" w:rsidRPr="004C70EC">
        <w:rPr>
          <w:rFonts w:eastAsiaTheme="minorEastAsia"/>
          <w:noProof/>
          <w:color w:val="000000" w:themeColor="text1"/>
          <w:lang w:eastAsia="ja-JP"/>
        </w:rPr>
        <w:t xml:space="preserve">facilitate </w:t>
      </w:r>
      <w:r w:rsidR="00A81BEC" w:rsidRPr="004C70EC">
        <w:rPr>
          <w:rFonts w:eastAsiaTheme="minorEastAsia"/>
          <w:noProof/>
          <w:color w:val="000000" w:themeColor="text1"/>
          <w:lang w:eastAsia="ja-JP"/>
        </w:rPr>
        <w:t xml:space="preserve">access to capital markets in accordance </w:t>
      </w:r>
      <w:r w:rsidR="00273F36" w:rsidRPr="004C70EC">
        <w:rPr>
          <w:rFonts w:eastAsiaTheme="minorEastAsia"/>
          <w:noProof/>
          <w:color w:val="000000" w:themeColor="text1"/>
          <w:lang w:eastAsia="ja-JP"/>
        </w:rPr>
        <w:t xml:space="preserve">with applicable law, and </w:t>
      </w:r>
      <w:r w:rsidR="001F43AB" w:rsidRPr="004C70EC">
        <w:rPr>
          <w:rFonts w:eastAsiaTheme="minorEastAsia"/>
          <w:noProof/>
          <w:color w:val="000000" w:themeColor="text1"/>
          <w:lang w:eastAsia="ja-JP"/>
        </w:rPr>
        <w:t>are</w:t>
      </w:r>
      <w:r w:rsidR="008F4408" w:rsidRPr="004C70EC">
        <w:rPr>
          <w:rFonts w:eastAsiaTheme="minorEastAsia"/>
          <w:noProof/>
          <w:color w:val="000000" w:themeColor="text1"/>
          <w:lang w:eastAsia="ja-JP"/>
        </w:rPr>
        <w:t xml:space="preserve"> </w:t>
      </w:r>
      <w:r w:rsidR="00273F36" w:rsidRPr="004C70EC">
        <w:rPr>
          <w:rFonts w:eastAsiaTheme="minorEastAsia"/>
          <w:noProof/>
          <w:color w:val="000000" w:themeColor="text1"/>
          <w:lang w:eastAsia="ja-JP"/>
        </w:rPr>
        <w:t>led by private-sector operators or consortia, with the potential participation of market-infrastructure providers and investors.</w:t>
      </w:r>
    </w:p>
    <w:p w14:paraId="717739C3" w14:textId="77777777" w:rsidR="00273F36" w:rsidRPr="004C70EC" w:rsidRDefault="00CB78B1" w:rsidP="00CB78B1">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2.</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 xml:space="preserve">The projects referred in paragraph 1 </w:t>
      </w:r>
      <w:r w:rsidR="008E2DA5" w:rsidRPr="004C70EC">
        <w:rPr>
          <w:rFonts w:eastAsiaTheme="minorEastAsia"/>
          <w:noProof/>
          <w:color w:val="000000" w:themeColor="text1"/>
          <w:szCs w:val="24"/>
          <w:lang w:eastAsia="ja-JP"/>
        </w:rPr>
        <w:t xml:space="preserve">of this Article </w:t>
      </w:r>
      <w:r w:rsidR="00273F36" w:rsidRPr="004C70EC">
        <w:rPr>
          <w:rFonts w:eastAsiaTheme="minorEastAsia"/>
          <w:noProof/>
          <w:color w:val="000000" w:themeColor="text1"/>
          <w:szCs w:val="24"/>
          <w:lang w:eastAsia="ja-JP"/>
        </w:rPr>
        <w:t xml:space="preserve">shall </w:t>
      </w:r>
      <w:r w:rsidR="00691A84" w:rsidRPr="004C70EC">
        <w:rPr>
          <w:rFonts w:eastAsiaTheme="minorEastAsia"/>
          <w:noProof/>
          <w:color w:val="000000" w:themeColor="text1"/>
          <w:szCs w:val="24"/>
          <w:lang w:eastAsia="ja-JP"/>
        </w:rPr>
        <w:t xml:space="preserve">pursue </w:t>
      </w:r>
      <w:r w:rsidR="00273F36" w:rsidRPr="004C70EC">
        <w:rPr>
          <w:rFonts w:eastAsiaTheme="minorEastAsia"/>
          <w:noProof/>
          <w:color w:val="000000" w:themeColor="text1"/>
          <w:szCs w:val="24"/>
          <w:lang w:eastAsia="ja-JP"/>
        </w:rPr>
        <w:t xml:space="preserve">at least </w:t>
      </w:r>
      <w:r w:rsidR="00A81BEC" w:rsidRPr="004C70EC">
        <w:rPr>
          <w:rFonts w:eastAsiaTheme="minorEastAsia"/>
          <w:noProof/>
          <w:color w:val="000000" w:themeColor="text1"/>
          <w:szCs w:val="24"/>
          <w:lang w:eastAsia="ja-JP"/>
        </w:rPr>
        <w:t xml:space="preserve">one of </w:t>
      </w:r>
      <w:r w:rsidR="00273F36" w:rsidRPr="004C70EC">
        <w:rPr>
          <w:rFonts w:eastAsiaTheme="minorEastAsia"/>
          <w:noProof/>
          <w:color w:val="000000" w:themeColor="text1"/>
          <w:szCs w:val="24"/>
          <w:lang w:eastAsia="ja-JP"/>
        </w:rPr>
        <w:t>the following objectives or activities:</w:t>
      </w:r>
    </w:p>
    <w:p w14:paraId="05EFF384" w14:textId="14AE1150" w:rsidR="00273F36" w:rsidRPr="004C70EC" w:rsidRDefault="001732D6" w:rsidP="00CB78B1">
      <w:pPr>
        <w:pStyle w:val="Point1"/>
        <w:rPr>
          <w:noProof/>
          <w:color w:val="000000" w:themeColor="text1"/>
          <w:lang w:eastAsia="ja-JP"/>
        </w:rPr>
      </w:pPr>
      <w:r w:rsidRPr="004C70EC">
        <w:rPr>
          <w:noProof/>
          <w:color w:val="000000" w:themeColor="text1"/>
          <w:lang w:eastAsia="ja-JP"/>
        </w:rPr>
        <w:t>(</w:t>
      </w:r>
      <w:r w:rsidR="00CB78B1" w:rsidRPr="004C70EC">
        <w:rPr>
          <w:noProof/>
          <w:color w:val="000000" w:themeColor="text1"/>
          <w:lang w:eastAsia="ja-JP"/>
        </w:rPr>
        <w:t>a)</w:t>
      </w:r>
      <w:r w:rsidR="00CB78B1" w:rsidRPr="004C70EC">
        <w:rPr>
          <w:noProof/>
        </w:rPr>
        <w:tab/>
      </w:r>
      <w:r w:rsidR="00273F36" w:rsidRPr="004C70EC">
        <w:rPr>
          <w:noProof/>
          <w:color w:val="000000" w:themeColor="text1"/>
          <w:lang w:eastAsia="ja-JP"/>
        </w:rPr>
        <w:t xml:space="preserve">facilitating cross-border </w:t>
      </w:r>
      <w:r w:rsidR="00D06A53" w:rsidRPr="004C70EC">
        <w:rPr>
          <w:noProof/>
          <w:color w:val="000000" w:themeColor="text1"/>
          <w:lang w:eastAsia="ja-JP"/>
        </w:rPr>
        <w:t>investment</w:t>
      </w:r>
      <w:r w:rsidR="0BAF8567" w:rsidRPr="004C70EC">
        <w:rPr>
          <w:noProof/>
          <w:color w:val="000000" w:themeColor="text1"/>
          <w:lang w:eastAsia="ja-JP"/>
        </w:rPr>
        <w:t xml:space="preserve"> </w:t>
      </w:r>
      <w:r w:rsidR="00273F36" w:rsidRPr="004C70EC">
        <w:rPr>
          <w:noProof/>
          <w:color w:val="000000" w:themeColor="text1"/>
          <w:lang w:eastAsia="ja-JP"/>
        </w:rPr>
        <w:t>in accordance with Union law;</w:t>
      </w:r>
    </w:p>
    <w:p w14:paraId="615DC43A" w14:textId="77777777" w:rsidR="00273F36" w:rsidRPr="004C70EC" w:rsidRDefault="001732D6" w:rsidP="00CB78B1">
      <w:pPr>
        <w:pStyle w:val="Point1"/>
        <w:rPr>
          <w:rFonts w:eastAsiaTheme="minorEastAsia"/>
          <w:noProof/>
          <w:color w:val="000000" w:themeColor="text1"/>
          <w:lang w:eastAsia="ja-JP"/>
        </w:rPr>
      </w:pPr>
      <w:r w:rsidRPr="004C70EC">
        <w:rPr>
          <w:rFonts w:eastAsiaTheme="minorEastAsia"/>
          <w:noProof/>
          <w:color w:val="000000" w:themeColor="text1"/>
          <w:lang w:eastAsia="ja-JP"/>
        </w:rPr>
        <w:t>(</w:t>
      </w:r>
      <w:r w:rsidR="00CB78B1" w:rsidRPr="004C70EC">
        <w:rPr>
          <w:rFonts w:eastAsiaTheme="minorEastAsia"/>
          <w:noProof/>
          <w:color w:val="000000" w:themeColor="text1"/>
          <w:lang w:eastAsia="ja-JP"/>
        </w:rPr>
        <w:t>b)</w:t>
      </w:r>
      <w:r w:rsidR="00CB78B1" w:rsidRPr="004C70EC">
        <w:rPr>
          <w:noProof/>
        </w:rPr>
        <w:tab/>
      </w:r>
      <w:r w:rsidR="00273F36" w:rsidRPr="004C70EC">
        <w:rPr>
          <w:rFonts w:eastAsiaTheme="minorEastAsia"/>
          <w:noProof/>
          <w:color w:val="000000" w:themeColor="text1"/>
          <w:lang w:eastAsia="ja-JP"/>
        </w:rPr>
        <w:t>mobilising long-term capital and attracting private investment,</w:t>
      </w:r>
      <w:r w:rsidR="008E2DA5" w:rsidRPr="004C70EC">
        <w:rPr>
          <w:rFonts w:eastAsiaTheme="minorEastAsia"/>
          <w:noProof/>
          <w:color w:val="000000" w:themeColor="text1"/>
          <w:lang w:eastAsia="ja-JP"/>
        </w:rPr>
        <w:t xml:space="preserve"> </w:t>
      </w:r>
      <w:r w:rsidR="00273F36" w:rsidRPr="004C70EC">
        <w:rPr>
          <w:rFonts w:eastAsiaTheme="minorEastAsia"/>
          <w:noProof/>
          <w:color w:val="000000" w:themeColor="text1"/>
          <w:lang w:eastAsia="ja-JP"/>
        </w:rPr>
        <w:t>including institutional investors</w:t>
      </w:r>
      <w:r w:rsidR="008E2DA5" w:rsidRPr="004C70EC">
        <w:rPr>
          <w:rFonts w:eastAsiaTheme="minorEastAsia"/>
          <w:noProof/>
          <w:color w:val="000000" w:themeColor="text1"/>
          <w:lang w:eastAsia="ja-JP"/>
        </w:rPr>
        <w:t>,</w:t>
      </w:r>
      <w:r w:rsidR="00273F36" w:rsidRPr="004C70EC">
        <w:rPr>
          <w:rFonts w:eastAsiaTheme="minorEastAsia"/>
          <w:noProof/>
          <w:color w:val="000000" w:themeColor="text1"/>
          <w:lang w:eastAsia="ja-JP"/>
        </w:rPr>
        <w:t xml:space="preserve"> and through private markets, with credible commitments or structures that support liquidity and follow-on financing;</w:t>
      </w:r>
    </w:p>
    <w:p w14:paraId="653DC487" w14:textId="77777777" w:rsidR="00273F36" w:rsidRPr="004C70EC" w:rsidRDefault="001732D6" w:rsidP="00CB78B1">
      <w:pPr>
        <w:pStyle w:val="Point1"/>
        <w:rPr>
          <w:rFonts w:eastAsiaTheme="minorEastAsia"/>
          <w:noProof/>
          <w:color w:val="000000" w:themeColor="text1"/>
          <w:lang w:eastAsia="ja-JP"/>
        </w:rPr>
      </w:pPr>
      <w:r w:rsidRPr="004C70EC">
        <w:rPr>
          <w:rFonts w:eastAsiaTheme="minorEastAsia"/>
          <w:noProof/>
          <w:color w:val="000000" w:themeColor="text1"/>
          <w:lang w:eastAsia="ja-JP"/>
        </w:rPr>
        <w:t>(</w:t>
      </w:r>
      <w:r w:rsidR="00CB78B1" w:rsidRPr="004C70EC">
        <w:rPr>
          <w:rFonts w:eastAsiaTheme="minorEastAsia"/>
          <w:noProof/>
          <w:color w:val="000000" w:themeColor="text1"/>
          <w:lang w:eastAsia="ja-JP"/>
        </w:rPr>
        <w:t>c)</w:t>
      </w:r>
      <w:r w:rsidR="00CB78B1" w:rsidRPr="004C70EC">
        <w:rPr>
          <w:noProof/>
        </w:rPr>
        <w:tab/>
      </w:r>
      <w:r w:rsidR="00273F36" w:rsidRPr="004C70EC">
        <w:rPr>
          <w:rFonts w:eastAsiaTheme="minorEastAsia"/>
          <w:noProof/>
          <w:color w:val="000000" w:themeColor="text1"/>
          <w:lang w:eastAsia="ja-JP"/>
        </w:rPr>
        <w:t>improving cross-border investors’ access and issuers’ visibility through practical steps and deliverables and demonstrating a credible issuance and investor pipeline with target numbers and timelines</w:t>
      </w:r>
      <w:r w:rsidR="2163A26D" w:rsidRPr="004C70EC">
        <w:rPr>
          <w:rFonts w:eastAsiaTheme="minorEastAsia"/>
          <w:noProof/>
          <w:color w:val="000000" w:themeColor="text1"/>
          <w:lang w:eastAsia="ja-JP"/>
        </w:rPr>
        <w:t>;</w:t>
      </w:r>
    </w:p>
    <w:p w14:paraId="0DA9589F" w14:textId="77777777" w:rsidR="009509B8" w:rsidRPr="004C70EC" w:rsidRDefault="001732D6" w:rsidP="00CB78B1">
      <w:pPr>
        <w:pStyle w:val="Point1"/>
        <w:rPr>
          <w:rFonts w:eastAsiaTheme="minorEastAsia"/>
          <w:noProof/>
          <w:color w:val="000000" w:themeColor="text1"/>
          <w:lang w:val="en-IE" w:eastAsia="ja-JP"/>
        </w:rPr>
      </w:pPr>
      <w:r w:rsidRPr="004C70EC">
        <w:rPr>
          <w:rFonts w:eastAsiaTheme="minorEastAsia"/>
          <w:noProof/>
          <w:color w:val="000000" w:themeColor="text1"/>
          <w:lang w:eastAsia="ja-JP"/>
        </w:rPr>
        <w:t>(</w:t>
      </w:r>
      <w:r w:rsidR="009509B8" w:rsidRPr="004C70EC">
        <w:rPr>
          <w:rFonts w:eastAsiaTheme="minorEastAsia"/>
          <w:noProof/>
          <w:color w:val="000000" w:themeColor="text1"/>
          <w:lang w:eastAsia="ja-JP"/>
        </w:rPr>
        <w:t>d)</w:t>
      </w:r>
      <w:r w:rsidR="009509B8" w:rsidRPr="004C70EC">
        <w:rPr>
          <w:noProof/>
        </w:rPr>
        <w:tab/>
      </w:r>
      <w:r w:rsidR="009509B8" w:rsidRPr="004C70EC">
        <w:rPr>
          <w:rFonts w:eastAsiaTheme="minorEastAsia"/>
          <w:noProof/>
          <w:color w:val="000000" w:themeColor="text1"/>
          <w:lang w:val="en-IE" w:eastAsia="ja-JP"/>
        </w:rPr>
        <w:t xml:space="preserve">enhancing </w:t>
      </w:r>
      <w:r w:rsidR="287D4400" w:rsidRPr="004C70EC">
        <w:rPr>
          <w:rFonts w:eastAsiaTheme="minorEastAsia"/>
          <w:noProof/>
          <w:color w:val="000000" w:themeColor="text1"/>
          <w:lang w:val="en-IE" w:eastAsia="ja-JP"/>
        </w:rPr>
        <w:t xml:space="preserve">biotechnology </w:t>
      </w:r>
      <w:r w:rsidR="009509B8" w:rsidRPr="004C70EC">
        <w:rPr>
          <w:rFonts w:eastAsiaTheme="minorEastAsia"/>
          <w:noProof/>
          <w:color w:val="000000" w:themeColor="text1"/>
          <w:lang w:val="en-IE" w:eastAsia="ja-JP"/>
        </w:rPr>
        <w:t xml:space="preserve">sector-specific </w:t>
      </w:r>
      <w:r w:rsidR="59231EFC" w:rsidRPr="004C70EC">
        <w:rPr>
          <w:rFonts w:eastAsiaTheme="minorEastAsia"/>
          <w:noProof/>
          <w:color w:val="000000" w:themeColor="text1"/>
          <w:lang w:val="en-IE" w:eastAsia="ja-JP"/>
        </w:rPr>
        <w:t xml:space="preserve">investment </w:t>
      </w:r>
      <w:r w:rsidR="009509B8" w:rsidRPr="004C70EC">
        <w:rPr>
          <w:rFonts w:eastAsiaTheme="minorEastAsia"/>
          <w:noProof/>
          <w:color w:val="000000" w:themeColor="text1"/>
          <w:lang w:val="en-IE" w:eastAsia="ja-JP"/>
        </w:rPr>
        <w:t xml:space="preserve">expertise </w:t>
      </w:r>
      <w:r w:rsidR="00EE4634" w:rsidRPr="004C70EC">
        <w:rPr>
          <w:rFonts w:eastAsiaTheme="minorEastAsia"/>
          <w:noProof/>
          <w:color w:val="000000" w:themeColor="text1"/>
          <w:lang w:val="en-IE" w:eastAsia="ja-JP"/>
        </w:rPr>
        <w:t>through</w:t>
      </w:r>
      <w:r w:rsidR="009509B8" w:rsidRPr="004C70EC">
        <w:rPr>
          <w:rFonts w:eastAsiaTheme="minorEastAsia"/>
          <w:noProof/>
          <w:color w:val="000000" w:themeColor="text1"/>
          <w:lang w:val="en-IE" w:eastAsia="ja-JP"/>
        </w:rPr>
        <w:t xml:space="preserve"> exchange of best practices on these topics ;</w:t>
      </w:r>
    </w:p>
    <w:p w14:paraId="34B97C9E" w14:textId="32062BE2" w:rsidR="009509B8" w:rsidRPr="004C70EC" w:rsidRDefault="001732D6" w:rsidP="00CB78B1">
      <w:pPr>
        <w:pStyle w:val="Point1"/>
        <w:rPr>
          <w:rFonts w:eastAsiaTheme="minorEastAsia"/>
          <w:noProof/>
          <w:color w:val="000000" w:themeColor="text1"/>
          <w:lang w:eastAsia="ja-JP"/>
        </w:rPr>
      </w:pPr>
      <w:r w:rsidRPr="004C70EC">
        <w:rPr>
          <w:rFonts w:eastAsiaTheme="minorEastAsia"/>
          <w:noProof/>
          <w:color w:val="000000" w:themeColor="text1"/>
          <w:lang w:val="en-IE" w:eastAsia="ja-JP"/>
        </w:rPr>
        <w:t>(</w:t>
      </w:r>
      <w:r>
        <w:rPr>
          <w:rFonts w:eastAsiaTheme="minorEastAsia"/>
          <w:noProof/>
          <w:color w:val="000000" w:themeColor="text1"/>
          <w:lang w:val="en-IE" w:eastAsia="ja-JP"/>
        </w:rPr>
        <w:t>e</w:t>
      </w:r>
      <w:r w:rsidR="00D06A53" w:rsidRPr="004C70EC">
        <w:rPr>
          <w:rFonts w:eastAsiaTheme="minorEastAsia"/>
          <w:noProof/>
          <w:color w:val="000000" w:themeColor="text1"/>
          <w:lang w:val="en-IE" w:eastAsia="ja-JP"/>
        </w:rPr>
        <w:t>)</w:t>
      </w:r>
      <w:r w:rsidR="00D06A53" w:rsidRPr="004C70EC">
        <w:rPr>
          <w:noProof/>
        </w:rPr>
        <w:tab/>
      </w:r>
      <w:r w:rsidR="00D06A53" w:rsidRPr="004C70EC">
        <w:rPr>
          <w:rFonts w:eastAsiaTheme="minorEastAsia"/>
          <w:noProof/>
          <w:color w:val="000000" w:themeColor="text1"/>
          <w:lang w:val="en-IE" w:eastAsia="ja-JP"/>
        </w:rPr>
        <w:t xml:space="preserve">mobilising private capital through </w:t>
      </w:r>
      <w:r w:rsidR="10046C10" w:rsidRPr="004C70EC">
        <w:rPr>
          <w:rFonts w:eastAsiaTheme="minorEastAsia"/>
          <w:noProof/>
          <w:color w:val="000000" w:themeColor="text1"/>
          <w:lang w:val="en-IE" w:eastAsia="ja-JP"/>
        </w:rPr>
        <w:t>biotechnology</w:t>
      </w:r>
      <w:r w:rsidRPr="004C70EC" w:rsidDel="00D06A53">
        <w:rPr>
          <w:rFonts w:eastAsiaTheme="minorEastAsia"/>
          <w:noProof/>
          <w:color w:val="000000" w:themeColor="text1"/>
          <w:lang w:val="en-IE" w:eastAsia="ja-JP"/>
        </w:rPr>
        <w:t xml:space="preserve"> </w:t>
      </w:r>
      <w:r w:rsidR="00D06A53" w:rsidRPr="004C70EC">
        <w:rPr>
          <w:rFonts w:eastAsiaTheme="minorEastAsia"/>
          <w:noProof/>
          <w:color w:val="000000" w:themeColor="text1"/>
          <w:lang w:val="en-IE" w:eastAsia="ja-JP"/>
        </w:rPr>
        <w:t>accelerators and venture builders, including potential use of risk-sharing mechanisms.</w:t>
      </w:r>
    </w:p>
    <w:p w14:paraId="4AEE7D5C" w14:textId="77777777" w:rsidR="00273F36" w:rsidRPr="004C70EC" w:rsidRDefault="00CB78B1" w:rsidP="00CB78B1">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3.</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The projects referred in paragraph 1 shall:</w:t>
      </w:r>
    </w:p>
    <w:p w14:paraId="3A4C0299" w14:textId="77777777" w:rsidR="00273F36" w:rsidRPr="004C70EC" w:rsidRDefault="00CB78B1" w:rsidP="00CB78B1">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(a)</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 xml:space="preserve">ensure non-discriminatory, transparent and criteria-based access for eligible issuers; </w:t>
      </w:r>
    </w:p>
    <w:p w14:paraId="110C68B3" w14:textId="77777777" w:rsidR="00273F36" w:rsidRPr="004C70EC" w:rsidRDefault="00CB78B1" w:rsidP="00CB78B1">
      <w:pPr>
        <w:pStyle w:val="Point1"/>
        <w:rPr>
          <w:rFonts w:eastAsiaTheme="minorEastAsia"/>
          <w:noProof/>
          <w:color w:val="000000" w:themeColor="text1"/>
          <w:szCs w:val="24"/>
          <w:lang w:eastAsia="ja-JP"/>
        </w:rPr>
      </w:pPr>
      <w:r w:rsidRPr="004C70EC">
        <w:rPr>
          <w:rFonts w:eastAsiaTheme="minorEastAsia"/>
          <w:noProof/>
          <w:color w:val="000000" w:themeColor="text1"/>
          <w:szCs w:val="24"/>
          <w:lang w:eastAsia="ja-JP"/>
        </w:rPr>
        <w:t>(b)</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 xml:space="preserve">ensure the possibility of cross-border participation from any Member State; </w:t>
      </w:r>
    </w:p>
    <w:p w14:paraId="24194896" w14:textId="77777777" w:rsidR="00273F36" w:rsidRPr="004C70EC" w:rsidRDefault="00CB78B1" w:rsidP="00CB78B1">
      <w:pPr>
        <w:pStyle w:val="Point1"/>
        <w:rPr>
          <w:rFonts w:eastAsiaTheme="minorEastAsia"/>
          <w:noProof/>
          <w:color w:val="000000" w:themeColor="text1"/>
          <w:lang w:eastAsia="ja-JP"/>
        </w:rPr>
      </w:pPr>
      <w:r w:rsidRPr="004C70EC">
        <w:rPr>
          <w:rFonts w:eastAsiaTheme="minorEastAsia"/>
          <w:noProof/>
          <w:color w:val="000000" w:themeColor="text1"/>
          <w:lang w:eastAsia="ja-JP"/>
        </w:rPr>
        <w:t>(c)</w:t>
      </w:r>
      <w:r w:rsidRPr="004C70EC">
        <w:rPr>
          <w:noProof/>
        </w:rPr>
        <w:tab/>
      </w:r>
      <w:r w:rsidR="00273F36" w:rsidRPr="004C70EC">
        <w:rPr>
          <w:rFonts w:eastAsiaTheme="minorEastAsia"/>
          <w:noProof/>
          <w:color w:val="000000" w:themeColor="text1"/>
          <w:lang w:eastAsia="ja-JP"/>
        </w:rPr>
        <w:t>include proportionate risk-management, governance and reporting arrangements and operate without prejudice to applicable Union financial</w:t>
      </w:r>
      <w:r w:rsidR="008B205F" w:rsidRPr="004C70EC">
        <w:rPr>
          <w:rFonts w:eastAsiaTheme="minorEastAsia"/>
          <w:noProof/>
          <w:color w:val="000000" w:themeColor="text1"/>
          <w:lang w:eastAsia="ja-JP"/>
        </w:rPr>
        <w:t xml:space="preserve"> </w:t>
      </w:r>
      <w:r w:rsidR="00273F36" w:rsidRPr="004C70EC">
        <w:rPr>
          <w:rFonts w:eastAsiaTheme="minorEastAsia"/>
          <w:noProof/>
          <w:color w:val="000000" w:themeColor="text1"/>
          <w:lang w:eastAsia="ja-JP"/>
        </w:rPr>
        <w:t>services legislation and the mandates of competent authorities</w:t>
      </w:r>
      <w:r w:rsidR="0049599C" w:rsidRPr="004C70EC">
        <w:rPr>
          <w:rFonts w:eastAsiaTheme="minorEastAsia"/>
          <w:noProof/>
          <w:color w:val="000000" w:themeColor="text1"/>
          <w:lang w:eastAsia="ja-JP"/>
        </w:rPr>
        <w:t>.</w:t>
      </w:r>
    </w:p>
    <w:p w14:paraId="790266C0" w14:textId="77777777" w:rsidR="006B0E0E" w:rsidRPr="004C70EC" w:rsidRDefault="00083FFE" w:rsidP="006B0E0E">
      <w:pPr>
        <w:pStyle w:val="Point0"/>
        <w:rPr>
          <w:rFonts w:eastAsiaTheme="minorEastAsia"/>
          <w:noProof/>
          <w:lang w:eastAsia="ja-JP"/>
        </w:rPr>
      </w:pPr>
      <w:r w:rsidRPr="004C70EC">
        <w:rPr>
          <w:rFonts w:eastAsiaTheme="minorEastAsia"/>
          <w:noProof/>
          <w:color w:val="000000" w:themeColor="text1"/>
          <w:lang w:eastAsia="ja-JP"/>
        </w:rPr>
        <w:t xml:space="preserve">4. </w:t>
      </w:r>
      <w:r w:rsidRPr="004C70EC">
        <w:rPr>
          <w:noProof/>
        </w:rPr>
        <w:tab/>
      </w:r>
      <w:r w:rsidR="006B0E0E" w:rsidRPr="004C70EC">
        <w:rPr>
          <w:rFonts w:eastAsiaTheme="minorEastAsia"/>
          <w:noProof/>
          <w:lang w:eastAsia="ja-JP"/>
        </w:rPr>
        <w:t xml:space="preserve">The provisions of this Regulation regarding the application for, and the recognition of, high-impact </w:t>
      </w:r>
      <w:r w:rsidR="008E2DA5" w:rsidRPr="004C70EC">
        <w:rPr>
          <w:rFonts w:eastAsiaTheme="minorEastAsia"/>
          <w:noProof/>
          <w:lang w:eastAsia="ja-JP"/>
        </w:rPr>
        <w:t xml:space="preserve">health </w:t>
      </w:r>
      <w:r w:rsidR="006B0E0E" w:rsidRPr="004C70EC">
        <w:rPr>
          <w:rFonts w:eastAsiaTheme="minorEastAsia"/>
          <w:noProof/>
          <w:lang w:eastAsia="ja-JP"/>
        </w:rPr>
        <w:t>biotechnology strategic projects laid down in Articles 8 and [10], respectively, apply to projects referred to in this Article.</w:t>
      </w:r>
    </w:p>
    <w:p w14:paraId="6C2CBFCB" w14:textId="77777777" w:rsidR="00083FFE" w:rsidRPr="004C70EC" w:rsidRDefault="00083FFE" w:rsidP="002D7694">
      <w:pPr>
        <w:pStyle w:val="Point1"/>
        <w:ind w:left="0" w:firstLine="0"/>
        <w:rPr>
          <w:rFonts w:eastAsiaTheme="minorEastAsia"/>
          <w:noProof/>
          <w:color w:val="000000" w:themeColor="text1"/>
          <w:lang w:eastAsia="ja-JP"/>
        </w:rPr>
      </w:pPr>
    </w:p>
    <w:p w14:paraId="0BC6CC41" w14:textId="77777777" w:rsidR="00273F36" w:rsidRPr="004C70EC" w:rsidRDefault="00273F36" w:rsidP="00CB78B1">
      <w:pPr>
        <w:pStyle w:val="Titrearticle"/>
        <w:rPr>
          <w:rFonts w:eastAsiaTheme="minorEastAsia"/>
          <w:i w:val="0"/>
          <w:noProof/>
          <w:color w:val="000000" w:themeColor="text1"/>
          <w:szCs w:val="24"/>
          <w:lang w:eastAsia="ja-JP"/>
        </w:rPr>
      </w:pPr>
      <w:bookmarkStart w:id="27" w:name="_Hlk215498449"/>
      <w:r w:rsidRPr="004C70EC">
        <w:rPr>
          <w:rFonts w:eastAsiaTheme="minorEastAsia"/>
          <w:noProof/>
          <w:color w:val="000000" w:themeColor="text1"/>
          <w:szCs w:val="24"/>
          <w:lang w:eastAsia="ja-JP"/>
        </w:rPr>
        <w:t>Article 2</w:t>
      </w:r>
      <w:r w:rsidR="00E958E5" w:rsidRPr="004C70EC">
        <w:rPr>
          <w:rFonts w:eastAsiaTheme="minorEastAsia"/>
          <w:noProof/>
          <w:color w:val="000000" w:themeColor="text1"/>
          <w:szCs w:val="24"/>
          <w:lang w:eastAsia="ja-JP"/>
        </w:rPr>
        <w:t>4</w:t>
      </w:r>
    </w:p>
    <w:p w14:paraId="649696AE" w14:textId="77777777" w:rsidR="00273F36" w:rsidRPr="004C70EC" w:rsidRDefault="00273F36" w:rsidP="00273F36">
      <w:pPr>
        <w:keepNext/>
        <w:tabs>
          <w:tab w:val="left" w:pos="850"/>
        </w:tabs>
        <w:ind w:left="850" w:hanging="850"/>
        <w:jc w:val="center"/>
        <w:outlineLvl w:val="1"/>
        <w:rPr>
          <w:rFonts w:eastAsiaTheme="minorEastAsia"/>
          <w:b/>
          <w:noProof/>
          <w:color w:val="000000" w:themeColor="text1"/>
          <w:szCs w:val="24"/>
          <w:lang w:eastAsia="ja-JP"/>
        </w:rPr>
      </w:pPr>
      <w:r w:rsidRPr="004C70EC">
        <w:rPr>
          <w:rFonts w:eastAsiaTheme="minorEastAsia"/>
          <w:b/>
          <w:bCs/>
          <w:noProof/>
          <w:color w:val="000000" w:themeColor="text1"/>
          <w:szCs w:val="24"/>
          <w:lang w:eastAsia="ja-JP"/>
        </w:rPr>
        <w:t xml:space="preserve">Biotechnology as a </w:t>
      </w:r>
      <w:r w:rsidR="005A2375" w:rsidRPr="004C70EC">
        <w:rPr>
          <w:rFonts w:eastAsiaTheme="minorEastAsia"/>
          <w:b/>
          <w:bCs/>
          <w:noProof/>
          <w:color w:val="000000" w:themeColor="text1"/>
          <w:szCs w:val="24"/>
          <w:lang w:eastAsia="ja-JP"/>
        </w:rPr>
        <w:t>s</w:t>
      </w:r>
      <w:r w:rsidRPr="004C70EC">
        <w:rPr>
          <w:rFonts w:eastAsiaTheme="minorEastAsia"/>
          <w:b/>
          <w:bCs/>
          <w:noProof/>
          <w:color w:val="000000" w:themeColor="text1"/>
          <w:szCs w:val="24"/>
          <w:lang w:eastAsia="ja-JP"/>
        </w:rPr>
        <w:t xml:space="preserve">trategic </w:t>
      </w:r>
      <w:r w:rsidR="005A2375" w:rsidRPr="004C70EC">
        <w:rPr>
          <w:rFonts w:eastAsiaTheme="minorEastAsia"/>
          <w:b/>
          <w:bCs/>
          <w:noProof/>
          <w:color w:val="000000" w:themeColor="text1"/>
          <w:szCs w:val="24"/>
          <w:lang w:eastAsia="ja-JP"/>
        </w:rPr>
        <w:t>t</w:t>
      </w:r>
      <w:r w:rsidRPr="004C70EC">
        <w:rPr>
          <w:rFonts w:eastAsiaTheme="minorEastAsia"/>
          <w:b/>
          <w:bCs/>
          <w:noProof/>
          <w:color w:val="000000" w:themeColor="text1"/>
          <w:szCs w:val="24"/>
          <w:lang w:eastAsia="ja-JP"/>
        </w:rPr>
        <w:t xml:space="preserve">echnology </w:t>
      </w:r>
      <w:r w:rsidR="005A2375" w:rsidRPr="004C70EC">
        <w:rPr>
          <w:rFonts w:eastAsiaTheme="minorEastAsia"/>
          <w:b/>
          <w:bCs/>
          <w:noProof/>
          <w:color w:val="000000" w:themeColor="text1"/>
          <w:szCs w:val="24"/>
          <w:lang w:eastAsia="ja-JP"/>
        </w:rPr>
        <w:t>e</w:t>
      </w:r>
      <w:r w:rsidRPr="004C70EC">
        <w:rPr>
          <w:rFonts w:eastAsiaTheme="minorEastAsia"/>
          <w:b/>
          <w:bCs/>
          <w:noProof/>
          <w:color w:val="000000" w:themeColor="text1"/>
          <w:szCs w:val="24"/>
          <w:lang w:eastAsia="ja-JP"/>
        </w:rPr>
        <w:t>ligible for Union</w:t>
      </w:r>
      <w:r w:rsidR="00F137C5" w:rsidRPr="004C70EC">
        <w:rPr>
          <w:rFonts w:eastAsiaTheme="minorEastAsia"/>
          <w:b/>
          <w:bCs/>
          <w:noProof/>
          <w:color w:val="000000" w:themeColor="text1"/>
          <w:szCs w:val="24"/>
          <w:lang w:eastAsia="ja-JP"/>
        </w:rPr>
        <w:t xml:space="preserve"> and national</w:t>
      </w:r>
      <w:r w:rsidRPr="004C70EC">
        <w:rPr>
          <w:rFonts w:eastAsiaTheme="minorEastAsia"/>
          <w:b/>
          <w:bCs/>
          <w:noProof/>
          <w:color w:val="000000" w:themeColor="text1"/>
          <w:szCs w:val="24"/>
          <w:lang w:eastAsia="ja-JP"/>
        </w:rPr>
        <w:t xml:space="preserve"> </w:t>
      </w:r>
      <w:r w:rsidR="005A2375" w:rsidRPr="004C70EC">
        <w:rPr>
          <w:rFonts w:eastAsiaTheme="minorEastAsia"/>
          <w:b/>
          <w:bCs/>
          <w:noProof/>
          <w:color w:val="000000" w:themeColor="text1"/>
          <w:szCs w:val="24"/>
          <w:lang w:eastAsia="ja-JP"/>
        </w:rPr>
        <w:t>f</w:t>
      </w:r>
      <w:r w:rsidRPr="004C70EC">
        <w:rPr>
          <w:rFonts w:eastAsiaTheme="minorEastAsia"/>
          <w:b/>
          <w:bCs/>
          <w:noProof/>
          <w:color w:val="000000" w:themeColor="text1"/>
          <w:szCs w:val="24"/>
          <w:lang w:eastAsia="ja-JP"/>
        </w:rPr>
        <w:t xml:space="preserve">inancial </w:t>
      </w:r>
      <w:r w:rsidR="005A2375" w:rsidRPr="004C70EC">
        <w:rPr>
          <w:rFonts w:eastAsiaTheme="minorEastAsia"/>
          <w:b/>
          <w:bCs/>
          <w:noProof/>
          <w:color w:val="000000" w:themeColor="text1"/>
          <w:szCs w:val="24"/>
          <w:lang w:eastAsia="ja-JP"/>
        </w:rPr>
        <w:t>s</w:t>
      </w:r>
      <w:r w:rsidRPr="004C70EC">
        <w:rPr>
          <w:rFonts w:eastAsiaTheme="minorEastAsia"/>
          <w:b/>
          <w:bCs/>
          <w:noProof/>
          <w:color w:val="000000" w:themeColor="text1"/>
          <w:szCs w:val="24"/>
          <w:lang w:eastAsia="ja-JP"/>
        </w:rPr>
        <w:t>upport</w:t>
      </w:r>
    </w:p>
    <w:p w14:paraId="001F6C7A" w14:textId="77777777" w:rsidR="00273F36" w:rsidRPr="004C70EC" w:rsidRDefault="00273F36" w:rsidP="00431990">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1.</w:t>
      </w:r>
      <w:r w:rsidRPr="004C70EC">
        <w:rPr>
          <w:noProof/>
          <w:color w:val="000000" w:themeColor="text1"/>
          <w:szCs w:val="24"/>
        </w:rPr>
        <w:tab/>
      </w:r>
      <w:r w:rsidRPr="004C70EC">
        <w:rPr>
          <w:rFonts w:eastAsiaTheme="minorEastAsia"/>
          <w:noProof/>
          <w:color w:val="000000" w:themeColor="text1"/>
          <w:szCs w:val="24"/>
          <w:lang w:eastAsia="ja-JP"/>
        </w:rPr>
        <w:t>Union programmes</w:t>
      </w:r>
      <w:r w:rsidR="00F137C5" w:rsidRPr="004C70EC">
        <w:rPr>
          <w:rFonts w:eastAsiaTheme="minorEastAsia"/>
          <w:noProof/>
          <w:color w:val="000000" w:themeColor="text1"/>
          <w:szCs w:val="24"/>
          <w:lang w:eastAsia="ja-JP"/>
        </w:rPr>
        <w:t xml:space="preserve"> </w:t>
      </w:r>
      <w:r w:rsidR="00CA2FED" w:rsidRPr="004C70EC">
        <w:rPr>
          <w:rFonts w:eastAsiaTheme="minorEastAsia"/>
          <w:noProof/>
          <w:color w:val="000000" w:themeColor="text1"/>
          <w:szCs w:val="24"/>
          <w:lang w:eastAsia="ja-JP"/>
        </w:rPr>
        <w:t>may</w:t>
      </w:r>
      <w:r w:rsidR="000909B1" w:rsidRPr="004C70EC">
        <w:rPr>
          <w:rFonts w:eastAsiaTheme="minorEastAsia"/>
          <w:noProof/>
          <w:color w:val="000000" w:themeColor="text1"/>
          <w:szCs w:val="24"/>
          <w:lang w:eastAsia="ja-JP"/>
        </w:rPr>
        <w:t xml:space="preserve"> </w:t>
      </w:r>
      <w:r w:rsidRPr="004C70EC">
        <w:rPr>
          <w:rFonts w:eastAsiaTheme="minorEastAsia"/>
          <w:noProof/>
          <w:color w:val="000000" w:themeColor="text1"/>
          <w:szCs w:val="24"/>
          <w:lang w:eastAsia="ja-JP"/>
        </w:rPr>
        <w:t>support biotechnology as a strategic technology for the Union’s innovation capacity, sovereignty, resilience and leadership</w:t>
      </w:r>
      <w:r w:rsidR="0064083C" w:rsidRPr="004C70EC">
        <w:rPr>
          <w:noProof/>
          <w:color w:val="000000" w:themeColor="text1"/>
          <w:szCs w:val="24"/>
        </w:rPr>
        <w:t xml:space="preserve"> </w:t>
      </w:r>
      <w:r w:rsidR="00E343EF" w:rsidRPr="004C70EC">
        <w:rPr>
          <w:rFonts w:eastAsiaTheme="minorEastAsia"/>
          <w:noProof/>
          <w:color w:val="000000" w:themeColor="text1"/>
          <w:szCs w:val="24"/>
          <w:lang w:eastAsia="ja-JP"/>
        </w:rPr>
        <w:t>in line with the objectives set out in the Regulations establishing those Union programmes.</w:t>
      </w:r>
    </w:p>
    <w:p w14:paraId="509140F0" w14:textId="77777777" w:rsidR="00273F36" w:rsidRPr="004C70EC" w:rsidRDefault="00273F36" w:rsidP="00AA2675">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2.</w:t>
      </w:r>
      <w:r w:rsidRPr="004C70EC">
        <w:rPr>
          <w:rFonts w:eastAsiaTheme="minorEastAsia"/>
          <w:noProof/>
          <w:color w:val="000000" w:themeColor="text1"/>
          <w:szCs w:val="24"/>
          <w:lang w:eastAsia="ja-JP"/>
        </w:rPr>
        <w:tab/>
        <w:t xml:space="preserve">The Commission </w:t>
      </w:r>
      <w:r w:rsidR="00E932E5" w:rsidRPr="004C70EC">
        <w:rPr>
          <w:rFonts w:eastAsiaTheme="minorEastAsia"/>
          <w:noProof/>
          <w:color w:val="000000" w:themeColor="text1"/>
          <w:szCs w:val="24"/>
          <w:lang w:eastAsia="ja-JP"/>
        </w:rPr>
        <w:t>may</w:t>
      </w:r>
      <w:r w:rsidR="007B5E14" w:rsidRPr="004C70EC">
        <w:rPr>
          <w:rFonts w:eastAsiaTheme="minorEastAsia"/>
          <w:noProof/>
          <w:color w:val="000000" w:themeColor="text1"/>
          <w:szCs w:val="24"/>
          <w:lang w:eastAsia="ja-JP"/>
        </w:rPr>
        <w:t xml:space="preserve"> </w:t>
      </w:r>
      <w:r w:rsidRPr="004C70EC">
        <w:rPr>
          <w:rFonts w:eastAsiaTheme="minorEastAsia"/>
          <w:noProof/>
          <w:color w:val="000000" w:themeColor="text1"/>
          <w:szCs w:val="24"/>
          <w:lang w:eastAsia="ja-JP"/>
        </w:rPr>
        <w:t xml:space="preserve">adopt calls, windows or compartments for biotechnology and </w:t>
      </w:r>
      <w:r w:rsidR="007276EF" w:rsidRPr="004C70EC">
        <w:rPr>
          <w:rFonts w:eastAsiaTheme="minorEastAsia"/>
          <w:noProof/>
          <w:color w:val="000000" w:themeColor="text1"/>
          <w:szCs w:val="24"/>
          <w:lang w:eastAsia="ja-JP"/>
        </w:rPr>
        <w:t xml:space="preserve">may </w:t>
      </w:r>
      <w:r w:rsidRPr="004C70EC">
        <w:rPr>
          <w:rFonts w:eastAsiaTheme="minorEastAsia"/>
          <w:noProof/>
          <w:color w:val="000000" w:themeColor="text1"/>
          <w:szCs w:val="24"/>
          <w:lang w:eastAsia="ja-JP"/>
        </w:rPr>
        <w:t xml:space="preserve">establish instruments in the implementation of those programmes, funds and instruments, that </w:t>
      </w:r>
      <w:r w:rsidR="0078158D" w:rsidRPr="004C70EC">
        <w:rPr>
          <w:rFonts w:eastAsiaTheme="minorEastAsia"/>
          <w:noProof/>
          <w:color w:val="000000" w:themeColor="text1"/>
          <w:szCs w:val="24"/>
          <w:lang w:eastAsia="ja-JP"/>
        </w:rPr>
        <w:t>support</w:t>
      </w:r>
      <w:r w:rsidR="00CC7F18" w:rsidRPr="004C70EC">
        <w:rPr>
          <w:rFonts w:eastAsiaTheme="minorEastAsia"/>
          <w:noProof/>
          <w:color w:val="000000" w:themeColor="text1"/>
          <w:szCs w:val="24"/>
          <w:lang w:eastAsia="ja-JP"/>
        </w:rPr>
        <w:t xml:space="preserve"> </w:t>
      </w:r>
      <w:r w:rsidRPr="004C70EC">
        <w:rPr>
          <w:rFonts w:eastAsiaTheme="minorEastAsia"/>
          <w:noProof/>
          <w:color w:val="000000" w:themeColor="text1"/>
          <w:szCs w:val="24"/>
          <w:lang w:eastAsia="ja-JP"/>
        </w:rPr>
        <w:t>biotechnology companies, projects and initiatives falling within the scope of this Regulation, in line with the objectives</w:t>
      </w:r>
      <w:r w:rsidR="00445587" w:rsidRPr="004C70EC">
        <w:rPr>
          <w:rFonts w:eastAsiaTheme="minorEastAsia"/>
          <w:noProof/>
          <w:color w:val="000000" w:themeColor="text1"/>
          <w:szCs w:val="24"/>
          <w:lang w:eastAsia="ja-JP"/>
        </w:rPr>
        <w:t xml:space="preserve"> and rules</w:t>
      </w:r>
      <w:r w:rsidRPr="004C70EC">
        <w:rPr>
          <w:rFonts w:eastAsiaTheme="minorEastAsia"/>
          <w:noProof/>
          <w:color w:val="000000" w:themeColor="text1"/>
          <w:szCs w:val="24"/>
          <w:lang w:eastAsia="ja-JP"/>
        </w:rPr>
        <w:t xml:space="preserve"> set out in the regulations establishing those programmes, funds and instruments. </w:t>
      </w:r>
    </w:p>
    <w:bookmarkEnd w:id="27"/>
    <w:p w14:paraId="6F750F01" w14:textId="77777777" w:rsidR="00273F36" w:rsidRPr="004C70EC" w:rsidRDefault="00273F36" w:rsidP="00431990">
      <w:pPr>
        <w:pStyle w:val="Point0"/>
        <w:rPr>
          <w:rFonts w:eastAsia="Times New Roman"/>
          <w:noProof/>
          <w:color w:val="000000" w:themeColor="text1"/>
          <w:lang w:eastAsia="en-GB"/>
        </w:rPr>
      </w:pPr>
      <w:r w:rsidRPr="004C70EC">
        <w:rPr>
          <w:rFonts w:eastAsiaTheme="minorEastAsia"/>
          <w:noProof/>
          <w:color w:val="000000" w:themeColor="text1"/>
          <w:lang w:eastAsia="ja-JP"/>
        </w:rPr>
        <w:t>3.</w:t>
      </w:r>
      <w:r w:rsidRPr="004C70EC">
        <w:rPr>
          <w:noProof/>
        </w:rPr>
        <w:tab/>
      </w:r>
      <w:r w:rsidRPr="004C70EC">
        <w:rPr>
          <w:rFonts w:eastAsiaTheme="minorEastAsia"/>
          <w:noProof/>
          <w:color w:val="000000" w:themeColor="text1"/>
          <w:lang w:eastAsia="ja-JP"/>
        </w:rPr>
        <w:t xml:space="preserve">Companies, projects and initiatives falling within the scope of this Regulation </w:t>
      </w:r>
      <w:r w:rsidR="00445587" w:rsidRPr="004C70EC">
        <w:rPr>
          <w:rFonts w:eastAsiaTheme="minorEastAsia"/>
          <w:noProof/>
          <w:color w:val="000000" w:themeColor="text1"/>
          <w:lang w:eastAsia="ja-JP"/>
        </w:rPr>
        <w:t xml:space="preserve">may </w:t>
      </w:r>
      <w:r w:rsidRPr="004C70EC">
        <w:rPr>
          <w:rFonts w:eastAsiaTheme="minorEastAsia"/>
          <w:noProof/>
          <w:color w:val="000000" w:themeColor="text1"/>
          <w:lang w:eastAsia="ja-JP"/>
        </w:rPr>
        <w:t>be targeted for financial support from Union</w:t>
      </w:r>
      <w:r w:rsidR="5D03CEAE" w:rsidRPr="004C70EC">
        <w:rPr>
          <w:rFonts w:eastAsiaTheme="minorEastAsia"/>
          <w:noProof/>
          <w:color w:val="000000" w:themeColor="text1"/>
          <w:lang w:eastAsia="ja-JP"/>
        </w:rPr>
        <w:t>-</w:t>
      </w:r>
      <w:r w:rsidRPr="004C70EC">
        <w:rPr>
          <w:rFonts w:eastAsiaTheme="minorEastAsia"/>
          <w:noProof/>
          <w:color w:val="000000" w:themeColor="text1"/>
          <w:lang w:eastAsia="ja-JP"/>
        </w:rPr>
        <w:t>led funding initiatives and from Union funding programmes and instruments, as projects in a strategic technology and, as appropriate, in a strategic deep tech area.</w:t>
      </w:r>
    </w:p>
    <w:p w14:paraId="78CD7D17" w14:textId="77777777" w:rsidR="00F137C5" w:rsidRPr="004C70EC" w:rsidRDefault="45448169" w:rsidP="00F137C5">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4</w:t>
      </w:r>
      <w:r w:rsidR="2F263E33" w:rsidRPr="004C70EC">
        <w:rPr>
          <w:rFonts w:eastAsiaTheme="minorEastAsia"/>
          <w:noProof/>
          <w:color w:val="000000" w:themeColor="text1"/>
          <w:szCs w:val="24"/>
          <w:lang w:eastAsia="ja-JP"/>
        </w:rPr>
        <w:t>.</w:t>
      </w:r>
      <w:r w:rsidR="00624040" w:rsidRPr="004C70EC">
        <w:rPr>
          <w:noProof/>
          <w:color w:val="000000" w:themeColor="text1"/>
          <w:szCs w:val="24"/>
        </w:rPr>
        <w:tab/>
      </w:r>
      <w:r w:rsidR="2F263E33" w:rsidRPr="004C70EC">
        <w:rPr>
          <w:rFonts w:eastAsiaTheme="minorEastAsia"/>
          <w:noProof/>
          <w:color w:val="000000" w:themeColor="text1"/>
          <w:szCs w:val="24"/>
          <w:lang w:eastAsia="ja-JP"/>
        </w:rPr>
        <w:t xml:space="preserve">Member States </w:t>
      </w:r>
      <w:r w:rsidR="1DA89B7A" w:rsidRPr="004C70EC">
        <w:rPr>
          <w:rFonts w:eastAsiaTheme="minorEastAsia"/>
          <w:noProof/>
          <w:color w:val="000000" w:themeColor="text1"/>
          <w:szCs w:val="24"/>
          <w:lang w:eastAsia="ja-JP"/>
        </w:rPr>
        <w:t xml:space="preserve">may, in line with applicable State aid rules, </w:t>
      </w:r>
      <w:r w:rsidR="2F263E33" w:rsidRPr="004C70EC">
        <w:rPr>
          <w:rFonts w:eastAsiaTheme="minorEastAsia"/>
          <w:noProof/>
          <w:color w:val="000000" w:themeColor="text1"/>
          <w:szCs w:val="24"/>
          <w:lang w:eastAsia="ja-JP"/>
        </w:rPr>
        <w:t xml:space="preserve">provide financial support to biotechnology as a strategic technology for the Union’s innovation </w:t>
      </w:r>
      <w:r w:rsidR="00645CBB" w:rsidRPr="004C70EC">
        <w:rPr>
          <w:rFonts w:eastAsiaTheme="minorEastAsia"/>
          <w:noProof/>
          <w:color w:val="000000" w:themeColor="text1"/>
          <w:szCs w:val="24"/>
          <w:lang w:eastAsia="ja-JP"/>
        </w:rPr>
        <w:t>capacity, sovereignty</w:t>
      </w:r>
      <w:r w:rsidR="2F263E33" w:rsidRPr="004C70EC">
        <w:rPr>
          <w:rFonts w:eastAsiaTheme="minorEastAsia"/>
          <w:noProof/>
          <w:color w:val="000000" w:themeColor="text1"/>
          <w:szCs w:val="24"/>
          <w:lang w:eastAsia="ja-JP"/>
        </w:rPr>
        <w:t>, resilience and leadershi</w:t>
      </w:r>
      <w:r w:rsidR="2562C9AE" w:rsidRPr="004C70EC">
        <w:rPr>
          <w:rFonts w:eastAsiaTheme="minorEastAsia"/>
          <w:noProof/>
          <w:color w:val="000000" w:themeColor="text1"/>
          <w:szCs w:val="24"/>
          <w:lang w:eastAsia="ja-JP"/>
        </w:rPr>
        <w:t>p.</w:t>
      </w:r>
    </w:p>
    <w:p w14:paraId="7E44D290" w14:textId="1B2AAA9A" w:rsidR="00F137C5" w:rsidRPr="004C70EC" w:rsidRDefault="00F137C5" w:rsidP="002544E7">
      <w:pPr>
        <w:pStyle w:val="Point0"/>
        <w:rPr>
          <w:rFonts w:eastAsia="Times New Roman"/>
          <w:noProof/>
          <w:color w:val="000000" w:themeColor="text1"/>
          <w:szCs w:val="24"/>
        </w:rPr>
      </w:pPr>
      <w:r w:rsidRPr="004C70EC">
        <w:rPr>
          <w:rFonts w:eastAsiaTheme="minorEastAsia"/>
          <w:noProof/>
          <w:color w:val="000000" w:themeColor="text1"/>
          <w:szCs w:val="24"/>
          <w:lang w:eastAsia="ja-JP"/>
        </w:rPr>
        <w:t>5.</w:t>
      </w:r>
      <w:r w:rsidRPr="004C70EC">
        <w:rPr>
          <w:rFonts w:eastAsiaTheme="minorEastAsia"/>
          <w:noProof/>
          <w:color w:val="000000" w:themeColor="text1"/>
          <w:szCs w:val="24"/>
          <w:lang w:eastAsia="ja-JP"/>
        </w:rPr>
        <w:tab/>
      </w:r>
      <w:r w:rsidR="000D1D6E" w:rsidRPr="004C70EC">
        <w:rPr>
          <w:rFonts w:eastAsiaTheme="minorEastAsia"/>
          <w:noProof/>
          <w:color w:val="000000" w:themeColor="text1"/>
          <w:szCs w:val="24"/>
          <w:lang w:eastAsia="ja-JP"/>
        </w:rPr>
        <w:t xml:space="preserve">Member States </w:t>
      </w:r>
      <w:r w:rsidR="2562C9AE" w:rsidRPr="004C70EC">
        <w:rPr>
          <w:rFonts w:eastAsia="Times New Roman"/>
          <w:noProof/>
          <w:color w:val="000000" w:themeColor="text1"/>
          <w:szCs w:val="24"/>
        </w:rPr>
        <w:t>shall pursu</w:t>
      </w:r>
      <w:r w:rsidR="00BA3522" w:rsidRPr="004C70EC">
        <w:rPr>
          <w:rFonts w:eastAsia="Times New Roman"/>
          <w:noProof/>
          <w:color w:val="000000" w:themeColor="text1"/>
          <w:szCs w:val="24"/>
        </w:rPr>
        <w:t xml:space="preserve">e </w:t>
      </w:r>
      <w:r w:rsidR="006444A6" w:rsidRPr="004C70EC">
        <w:rPr>
          <w:rFonts w:eastAsia="Times New Roman"/>
          <w:noProof/>
          <w:color w:val="000000" w:themeColor="text1"/>
          <w:szCs w:val="24"/>
        </w:rPr>
        <w:t>the support as referred to in paragrap</w:t>
      </w:r>
      <w:r w:rsidR="002525BF" w:rsidRPr="004C70EC">
        <w:rPr>
          <w:rFonts w:eastAsia="Times New Roman"/>
          <w:noProof/>
          <w:color w:val="000000" w:themeColor="text1"/>
          <w:szCs w:val="24"/>
        </w:rPr>
        <w:t>h 4,</w:t>
      </w:r>
      <w:r w:rsidR="2562C9AE" w:rsidRPr="004C70EC">
        <w:rPr>
          <w:rFonts w:eastAsia="Times New Roman"/>
          <w:noProof/>
          <w:color w:val="000000" w:themeColor="text1"/>
          <w:szCs w:val="24"/>
        </w:rPr>
        <w:t xml:space="preserve"> </w:t>
      </w:r>
      <w:r w:rsidR="00B85C57" w:rsidRPr="004C70EC">
        <w:rPr>
          <w:rFonts w:eastAsia="Times New Roman"/>
          <w:noProof/>
          <w:color w:val="000000" w:themeColor="text1"/>
          <w:szCs w:val="24"/>
        </w:rPr>
        <w:t>including for health b</w:t>
      </w:r>
      <w:r w:rsidR="00E33760" w:rsidRPr="004C70EC">
        <w:rPr>
          <w:rFonts w:eastAsia="Times New Roman"/>
          <w:noProof/>
          <w:color w:val="000000" w:themeColor="text1"/>
          <w:szCs w:val="24"/>
        </w:rPr>
        <w:t>iotechnology strategic projects and high impact health biotechnology strategic projects</w:t>
      </w:r>
      <w:r w:rsidR="0021586A" w:rsidRPr="004C70EC">
        <w:rPr>
          <w:rFonts w:eastAsia="Times New Roman"/>
          <w:noProof/>
          <w:color w:val="000000" w:themeColor="text1"/>
          <w:szCs w:val="24"/>
        </w:rPr>
        <w:t>,</w:t>
      </w:r>
      <w:r w:rsidR="00E33760" w:rsidRPr="004C70EC">
        <w:rPr>
          <w:rFonts w:eastAsia="Times New Roman"/>
          <w:noProof/>
          <w:color w:val="000000" w:themeColor="text1"/>
          <w:szCs w:val="24"/>
        </w:rPr>
        <w:t xml:space="preserve"> </w:t>
      </w:r>
      <w:r w:rsidR="2562C9AE" w:rsidRPr="004C70EC">
        <w:rPr>
          <w:rFonts w:eastAsia="Times New Roman"/>
          <w:noProof/>
          <w:color w:val="000000" w:themeColor="text1"/>
          <w:szCs w:val="24"/>
        </w:rPr>
        <w:t xml:space="preserve">in the implementation </w:t>
      </w:r>
      <w:r w:rsidR="00B7632F" w:rsidRPr="004C70EC">
        <w:rPr>
          <w:rFonts w:eastAsia="Times New Roman"/>
          <w:noProof/>
          <w:color w:val="000000" w:themeColor="text1"/>
          <w:szCs w:val="24"/>
        </w:rPr>
        <w:t xml:space="preserve">at national level </w:t>
      </w:r>
      <w:r w:rsidR="2562C9AE" w:rsidRPr="004C70EC">
        <w:rPr>
          <w:rFonts w:eastAsia="Times New Roman"/>
          <w:noProof/>
          <w:color w:val="000000" w:themeColor="text1"/>
          <w:szCs w:val="24"/>
        </w:rPr>
        <w:t xml:space="preserve">of the relevant Union programmes </w:t>
      </w:r>
      <w:r w:rsidR="00B7632F" w:rsidRPr="004C70EC">
        <w:rPr>
          <w:rFonts w:eastAsia="Times New Roman"/>
          <w:noProof/>
          <w:color w:val="000000" w:themeColor="text1"/>
          <w:szCs w:val="24"/>
        </w:rPr>
        <w:t>that are</w:t>
      </w:r>
      <w:r w:rsidR="2562C9AE" w:rsidRPr="004C70EC">
        <w:rPr>
          <w:rFonts w:eastAsia="Times New Roman"/>
          <w:noProof/>
          <w:color w:val="000000" w:themeColor="text1"/>
          <w:szCs w:val="24"/>
        </w:rPr>
        <w:t xml:space="preserve"> shared-management basic acts</w:t>
      </w:r>
      <w:r w:rsidR="003560C0" w:rsidRPr="004C70EC">
        <w:rPr>
          <w:rFonts w:eastAsia="Times New Roman"/>
          <w:noProof/>
          <w:color w:val="000000" w:themeColor="text1"/>
          <w:szCs w:val="24"/>
        </w:rPr>
        <w:t>.</w:t>
      </w:r>
      <w:r w:rsidR="00E3588C" w:rsidRPr="004C70EC">
        <w:rPr>
          <w:rFonts w:eastAsia="Times New Roman"/>
          <w:noProof/>
          <w:color w:val="000000" w:themeColor="text1"/>
          <w:szCs w:val="24"/>
        </w:rPr>
        <w:t xml:space="preserve"> </w:t>
      </w:r>
    </w:p>
    <w:p w14:paraId="314EDE37" w14:textId="77777777" w:rsidR="00D50BEB" w:rsidRPr="004C70EC" w:rsidRDefault="002544E7" w:rsidP="00D50BEB">
      <w:pPr>
        <w:pStyle w:val="Point0"/>
        <w:rPr>
          <w:rFonts w:eastAsiaTheme="minorEastAsia"/>
          <w:noProof/>
          <w:color w:val="000000" w:themeColor="text1"/>
          <w:lang w:eastAsia="ja-JP"/>
        </w:rPr>
      </w:pPr>
      <w:r w:rsidRPr="004C70EC">
        <w:rPr>
          <w:rFonts w:eastAsia="Times New Roman"/>
          <w:noProof/>
          <w:color w:val="000000" w:themeColor="text1"/>
        </w:rPr>
        <w:t>6</w:t>
      </w:r>
      <w:r w:rsidR="00F137C5" w:rsidRPr="004C70EC">
        <w:rPr>
          <w:rFonts w:eastAsia="Times New Roman"/>
          <w:noProof/>
          <w:color w:val="000000" w:themeColor="text1"/>
        </w:rPr>
        <w:t>.</w:t>
      </w:r>
      <w:r w:rsidR="00F137C5" w:rsidRPr="004C70EC">
        <w:rPr>
          <w:noProof/>
        </w:rPr>
        <w:tab/>
      </w:r>
      <w:r w:rsidR="2562C9AE" w:rsidRPr="004C70EC">
        <w:rPr>
          <w:rFonts w:eastAsia="Times New Roman"/>
          <w:noProof/>
          <w:color w:val="000000" w:themeColor="text1"/>
        </w:rPr>
        <w:t xml:space="preserve">Where State aid instruments, designed in compliance with Union competition law and making use of related EU guidance, are used by Member States for the purpose of supporting the health biotechnology sector or parts thereof, Member States </w:t>
      </w:r>
      <w:r w:rsidR="00240092" w:rsidRPr="004C70EC">
        <w:rPr>
          <w:rFonts w:eastAsia="Times New Roman"/>
          <w:noProof/>
          <w:color w:val="000000" w:themeColor="text1"/>
        </w:rPr>
        <w:t>shall</w:t>
      </w:r>
      <w:r w:rsidR="00DF1D65" w:rsidRPr="004C70EC">
        <w:rPr>
          <w:rFonts w:eastAsia="Times New Roman"/>
          <w:noProof/>
          <w:color w:val="000000" w:themeColor="text1"/>
        </w:rPr>
        <w:t xml:space="preserve"> </w:t>
      </w:r>
      <w:r w:rsidR="2562C9AE" w:rsidRPr="004C70EC">
        <w:rPr>
          <w:rFonts w:eastAsia="Times New Roman"/>
          <w:noProof/>
          <w:color w:val="000000" w:themeColor="text1"/>
        </w:rPr>
        <w:t xml:space="preserve">give </w:t>
      </w:r>
      <w:r w:rsidR="006A71B7" w:rsidRPr="004C70EC">
        <w:rPr>
          <w:rFonts w:eastAsia="Times New Roman"/>
          <w:noProof/>
          <w:color w:val="000000" w:themeColor="text1"/>
        </w:rPr>
        <w:t>particular</w:t>
      </w:r>
      <w:r w:rsidR="2562C9AE" w:rsidRPr="004C70EC">
        <w:rPr>
          <w:rFonts w:eastAsia="Times New Roman"/>
          <w:noProof/>
          <w:color w:val="000000" w:themeColor="text1"/>
        </w:rPr>
        <w:t xml:space="preserve"> consideration </w:t>
      </w:r>
      <w:r w:rsidR="0092373A" w:rsidRPr="004C70EC">
        <w:rPr>
          <w:rFonts w:eastAsia="Times New Roman"/>
          <w:noProof/>
          <w:color w:val="000000" w:themeColor="text1"/>
        </w:rPr>
        <w:t>to</w:t>
      </w:r>
      <w:r w:rsidR="00A87039" w:rsidRPr="004C70EC">
        <w:rPr>
          <w:rFonts w:eastAsia="Times New Roman"/>
          <w:noProof/>
          <w:color w:val="000000" w:themeColor="text1"/>
        </w:rPr>
        <w:t xml:space="preserve"> </w:t>
      </w:r>
      <w:r w:rsidR="2562C9AE" w:rsidRPr="004C70EC">
        <w:rPr>
          <w:rFonts w:eastAsia="Times New Roman"/>
          <w:noProof/>
          <w:color w:val="000000" w:themeColor="text1"/>
        </w:rPr>
        <w:t xml:space="preserve">high-impact </w:t>
      </w:r>
      <w:r w:rsidR="0097076E" w:rsidRPr="004C70EC">
        <w:rPr>
          <w:rFonts w:eastAsia="Times New Roman"/>
          <w:noProof/>
          <w:color w:val="000000" w:themeColor="text1"/>
        </w:rPr>
        <w:t xml:space="preserve">health </w:t>
      </w:r>
      <w:r w:rsidR="2562C9AE" w:rsidRPr="004C70EC">
        <w:rPr>
          <w:rFonts w:eastAsia="Times New Roman"/>
          <w:noProof/>
          <w:color w:val="000000" w:themeColor="text1"/>
        </w:rPr>
        <w:t>biotechnology strategic projects for support under such instruments.</w:t>
      </w:r>
    </w:p>
    <w:p w14:paraId="39AFC038" w14:textId="77777777" w:rsidR="00273F36" w:rsidRPr="004C70EC" w:rsidRDefault="00273F36" w:rsidP="00AA2675">
      <w:pPr>
        <w:pStyle w:val="Titrearticle"/>
        <w:rPr>
          <w:rFonts w:eastAsia="Times New Roman"/>
          <w:i w:val="0"/>
          <w:noProof/>
          <w:color w:val="000000" w:themeColor="text1"/>
          <w:szCs w:val="24"/>
          <w:lang w:eastAsia="en-GB"/>
        </w:rPr>
      </w:pPr>
      <w:r w:rsidRPr="004C70EC">
        <w:rPr>
          <w:rFonts w:eastAsia="Times New Roman"/>
          <w:noProof/>
          <w:color w:val="000000" w:themeColor="text1"/>
          <w:szCs w:val="24"/>
          <w:lang w:eastAsia="en-GB"/>
        </w:rPr>
        <w:t>Article 2</w:t>
      </w:r>
      <w:r w:rsidR="00AA2D6C" w:rsidRPr="004C70EC">
        <w:rPr>
          <w:rFonts w:eastAsia="Times New Roman"/>
          <w:noProof/>
          <w:color w:val="000000" w:themeColor="text1"/>
          <w:szCs w:val="24"/>
          <w:lang w:eastAsia="en-GB"/>
        </w:rPr>
        <w:t>5</w:t>
      </w:r>
    </w:p>
    <w:p w14:paraId="266DEED3" w14:textId="77777777" w:rsidR="00273F36" w:rsidRPr="004C70EC" w:rsidRDefault="00EB43F3" w:rsidP="00AA2675">
      <w:pPr>
        <w:keepNext/>
        <w:tabs>
          <w:tab w:val="left" w:pos="850"/>
        </w:tabs>
        <w:ind w:left="850" w:hanging="850"/>
        <w:jc w:val="center"/>
        <w:outlineLvl w:val="1"/>
        <w:rPr>
          <w:rFonts w:eastAsia="Times New Roman"/>
          <w:b/>
          <w:noProof/>
          <w:color w:val="000000" w:themeColor="text1"/>
          <w:szCs w:val="24"/>
          <w:lang w:eastAsia="en-GB"/>
        </w:rPr>
      </w:pPr>
      <w:bookmarkStart w:id="28" w:name="_Hlk213420156"/>
      <w:r w:rsidRPr="004C70EC">
        <w:rPr>
          <w:rFonts w:eastAsia="Times New Roman"/>
          <w:b/>
          <w:noProof/>
          <w:color w:val="000000" w:themeColor="text1"/>
          <w:szCs w:val="24"/>
          <w:lang w:eastAsia="en-GB"/>
        </w:rPr>
        <w:t>F</w:t>
      </w:r>
      <w:r w:rsidR="00273F36" w:rsidRPr="004C70EC">
        <w:rPr>
          <w:rFonts w:eastAsia="Times New Roman"/>
          <w:b/>
          <w:noProof/>
          <w:color w:val="000000" w:themeColor="text1"/>
          <w:szCs w:val="24"/>
          <w:lang w:eastAsia="en-GB"/>
        </w:rPr>
        <w:t xml:space="preserve">unding for </w:t>
      </w:r>
      <w:r w:rsidR="005A2375" w:rsidRPr="004C70EC">
        <w:rPr>
          <w:rFonts w:eastAsia="Times New Roman"/>
          <w:b/>
          <w:noProof/>
          <w:color w:val="000000" w:themeColor="text1"/>
          <w:szCs w:val="24"/>
          <w:lang w:eastAsia="en-GB"/>
        </w:rPr>
        <w:t>h</w:t>
      </w:r>
      <w:r w:rsidR="00273F36" w:rsidRPr="004C70EC">
        <w:rPr>
          <w:rFonts w:eastAsia="Times New Roman"/>
          <w:b/>
          <w:noProof/>
          <w:color w:val="000000" w:themeColor="text1"/>
          <w:szCs w:val="24"/>
          <w:lang w:eastAsia="en-GB"/>
        </w:rPr>
        <w:t xml:space="preserve">igh </w:t>
      </w:r>
      <w:r w:rsidR="005A2375" w:rsidRPr="004C70EC">
        <w:rPr>
          <w:rFonts w:eastAsia="Times New Roman"/>
          <w:b/>
          <w:noProof/>
          <w:color w:val="000000" w:themeColor="text1"/>
          <w:szCs w:val="24"/>
          <w:lang w:eastAsia="en-GB"/>
        </w:rPr>
        <w:t>i</w:t>
      </w:r>
      <w:r w:rsidR="00273F36" w:rsidRPr="004C70EC">
        <w:rPr>
          <w:rFonts w:eastAsia="Times New Roman"/>
          <w:b/>
          <w:noProof/>
          <w:color w:val="000000" w:themeColor="text1"/>
          <w:szCs w:val="24"/>
          <w:lang w:eastAsia="en-GB"/>
        </w:rPr>
        <w:t xml:space="preserve">mpact </w:t>
      </w:r>
      <w:r w:rsidR="007F0476" w:rsidRPr="004C70EC">
        <w:rPr>
          <w:rFonts w:eastAsia="Times New Roman"/>
          <w:b/>
          <w:bCs/>
          <w:noProof/>
          <w:color w:val="000000" w:themeColor="text1"/>
          <w:szCs w:val="24"/>
          <w:lang w:val="en-IE" w:eastAsia="de-DE"/>
        </w:rPr>
        <w:t>health</w:t>
      </w:r>
      <w:r w:rsidR="007F0476" w:rsidRPr="004C70EC">
        <w:rPr>
          <w:rFonts w:eastAsia="Times New Roman"/>
          <w:noProof/>
          <w:color w:val="000000" w:themeColor="text1"/>
          <w:szCs w:val="24"/>
          <w:lang w:val="en-IE" w:eastAsia="de-DE"/>
        </w:rPr>
        <w:t xml:space="preserve"> </w:t>
      </w:r>
      <w:r w:rsidR="005A2375" w:rsidRPr="004C70EC">
        <w:rPr>
          <w:rFonts w:eastAsia="Times New Roman"/>
          <w:b/>
          <w:noProof/>
          <w:color w:val="000000" w:themeColor="text1"/>
          <w:szCs w:val="24"/>
          <w:lang w:eastAsia="en-GB"/>
        </w:rPr>
        <w:t>b</w:t>
      </w:r>
      <w:r w:rsidR="00273F36" w:rsidRPr="004C70EC">
        <w:rPr>
          <w:rFonts w:eastAsia="Times New Roman"/>
          <w:b/>
          <w:noProof/>
          <w:color w:val="000000" w:themeColor="text1"/>
          <w:szCs w:val="24"/>
          <w:lang w:eastAsia="en-GB"/>
        </w:rPr>
        <w:t xml:space="preserve">iotechnology </w:t>
      </w:r>
      <w:r w:rsidR="005A2375" w:rsidRPr="004C70EC">
        <w:rPr>
          <w:rFonts w:eastAsia="Times New Roman"/>
          <w:b/>
          <w:noProof/>
          <w:color w:val="000000" w:themeColor="text1"/>
          <w:szCs w:val="24"/>
          <w:lang w:eastAsia="en-GB"/>
        </w:rPr>
        <w:t>s</w:t>
      </w:r>
      <w:r w:rsidR="00273F36" w:rsidRPr="004C70EC">
        <w:rPr>
          <w:rFonts w:eastAsia="Times New Roman"/>
          <w:b/>
          <w:noProof/>
          <w:color w:val="000000" w:themeColor="text1"/>
          <w:szCs w:val="24"/>
          <w:lang w:eastAsia="en-GB"/>
        </w:rPr>
        <w:t xml:space="preserve">trategic </w:t>
      </w:r>
      <w:r w:rsidR="005A2375" w:rsidRPr="004C70EC">
        <w:rPr>
          <w:rFonts w:eastAsia="Times New Roman"/>
          <w:b/>
          <w:noProof/>
          <w:color w:val="000000" w:themeColor="text1"/>
          <w:szCs w:val="24"/>
          <w:lang w:eastAsia="en-GB"/>
        </w:rPr>
        <w:t>p</w:t>
      </w:r>
      <w:r w:rsidR="00273F36" w:rsidRPr="004C70EC">
        <w:rPr>
          <w:rFonts w:eastAsia="Times New Roman"/>
          <w:b/>
          <w:noProof/>
          <w:color w:val="000000" w:themeColor="text1"/>
          <w:szCs w:val="24"/>
          <w:lang w:eastAsia="en-GB"/>
        </w:rPr>
        <w:t xml:space="preserve">rojects </w:t>
      </w:r>
    </w:p>
    <w:bookmarkEnd w:id="28"/>
    <w:p w14:paraId="626FDD42" w14:textId="77777777" w:rsidR="00273F36" w:rsidRPr="004C70EC" w:rsidRDefault="00273F36" w:rsidP="00AA2675">
      <w:pPr>
        <w:pStyle w:val="Point0"/>
        <w:rPr>
          <w:rFonts w:eastAsiaTheme="minorEastAsia"/>
          <w:noProof/>
          <w:color w:val="000000" w:themeColor="text1"/>
          <w:lang w:eastAsia="en-GB"/>
        </w:rPr>
      </w:pPr>
      <w:r w:rsidRPr="004C70EC">
        <w:rPr>
          <w:rFonts w:eastAsiaTheme="minorEastAsia"/>
          <w:noProof/>
          <w:color w:val="000000" w:themeColor="text1"/>
          <w:lang w:eastAsia="en-GB"/>
        </w:rPr>
        <w:t>1.</w:t>
      </w:r>
      <w:r w:rsidRPr="004C70EC">
        <w:rPr>
          <w:noProof/>
        </w:rPr>
        <w:tab/>
      </w:r>
      <w:r w:rsidRPr="004C70EC">
        <w:rPr>
          <w:rFonts w:eastAsiaTheme="minorEastAsia"/>
          <w:noProof/>
          <w:color w:val="000000" w:themeColor="text1"/>
          <w:lang w:eastAsia="en-GB"/>
        </w:rPr>
        <w:t>High</w:t>
      </w:r>
      <w:r w:rsidR="6CE5E48E" w:rsidRPr="004C70EC">
        <w:rPr>
          <w:rFonts w:eastAsiaTheme="minorEastAsia"/>
          <w:noProof/>
          <w:color w:val="000000" w:themeColor="text1"/>
          <w:lang w:eastAsia="en-GB"/>
        </w:rPr>
        <w:t xml:space="preserve"> </w:t>
      </w:r>
      <w:r w:rsidRPr="004C70EC">
        <w:rPr>
          <w:rFonts w:eastAsiaTheme="minorEastAsia"/>
          <w:noProof/>
          <w:color w:val="000000" w:themeColor="text1"/>
          <w:lang w:eastAsia="en-GB"/>
        </w:rPr>
        <w:t xml:space="preserve">impact </w:t>
      </w:r>
      <w:r w:rsidR="007F0476" w:rsidRPr="004C70EC">
        <w:rPr>
          <w:rFonts w:eastAsia="Times New Roman"/>
          <w:noProof/>
          <w:color w:val="000000" w:themeColor="text1"/>
          <w:lang w:val="en-IE" w:eastAsia="de-DE"/>
        </w:rPr>
        <w:t>health</w:t>
      </w:r>
      <w:r w:rsidRPr="004C70EC">
        <w:rPr>
          <w:rFonts w:eastAsia="Times New Roman"/>
          <w:noProof/>
          <w:color w:val="000000" w:themeColor="text1"/>
          <w:lang w:val="en-IE" w:eastAsia="de-DE"/>
        </w:rPr>
        <w:t xml:space="preserve"> </w:t>
      </w:r>
      <w:r w:rsidRPr="004C70EC">
        <w:rPr>
          <w:rFonts w:eastAsiaTheme="minorEastAsia"/>
          <w:noProof/>
          <w:color w:val="000000" w:themeColor="text1"/>
          <w:lang w:eastAsia="en-GB"/>
        </w:rPr>
        <w:t xml:space="preserve">biotechnology strategic projects </w:t>
      </w:r>
      <w:r w:rsidR="00EB43F3" w:rsidRPr="004C70EC">
        <w:rPr>
          <w:rFonts w:eastAsiaTheme="minorEastAsia"/>
          <w:noProof/>
          <w:color w:val="000000" w:themeColor="text1"/>
          <w:lang w:eastAsia="en-GB"/>
        </w:rPr>
        <w:t xml:space="preserve">may be given particular consideration </w:t>
      </w:r>
      <w:r w:rsidRPr="004C70EC">
        <w:rPr>
          <w:rFonts w:eastAsiaTheme="minorEastAsia"/>
          <w:noProof/>
          <w:color w:val="000000" w:themeColor="text1"/>
          <w:lang w:eastAsia="en-GB"/>
        </w:rPr>
        <w:t xml:space="preserve">for financial support under Union </w:t>
      </w:r>
      <w:r w:rsidR="000952C8" w:rsidRPr="004C70EC">
        <w:rPr>
          <w:rFonts w:eastAsiaTheme="minorEastAsia"/>
          <w:noProof/>
          <w:color w:val="000000" w:themeColor="text1"/>
          <w:lang w:eastAsia="ja-JP"/>
        </w:rPr>
        <w:t xml:space="preserve">funds, programmes and </w:t>
      </w:r>
      <w:r w:rsidR="000952C8" w:rsidRPr="004C70EC">
        <w:rPr>
          <w:rFonts w:eastAsiaTheme="minorEastAsia"/>
          <w:noProof/>
          <w:color w:val="000000" w:themeColor="text1"/>
          <w:lang w:eastAsia="en-GB"/>
        </w:rPr>
        <w:t>instruments</w:t>
      </w:r>
      <w:r w:rsidR="00703AEF" w:rsidRPr="004C70EC">
        <w:rPr>
          <w:rFonts w:eastAsiaTheme="minorEastAsia"/>
          <w:noProof/>
          <w:color w:val="000000" w:themeColor="text1"/>
          <w:lang w:eastAsia="en-GB"/>
        </w:rPr>
        <w:t xml:space="preserve"> in accordance with </w:t>
      </w:r>
      <w:r w:rsidRPr="004C70EC">
        <w:rPr>
          <w:rFonts w:eastAsiaTheme="minorEastAsia"/>
          <w:noProof/>
          <w:color w:val="000000" w:themeColor="text1"/>
          <w:lang w:eastAsia="en-GB"/>
        </w:rPr>
        <w:t>the objectives set out in the regulations establishing those</w:t>
      </w:r>
      <w:r w:rsidR="00CB7537" w:rsidRPr="004C70EC">
        <w:rPr>
          <w:rFonts w:eastAsiaTheme="minorEastAsia"/>
          <w:noProof/>
          <w:color w:val="000000" w:themeColor="text1"/>
          <w:lang w:eastAsia="en-GB"/>
        </w:rPr>
        <w:t xml:space="preserve"> </w:t>
      </w:r>
      <w:r w:rsidR="00413095" w:rsidRPr="004C70EC">
        <w:rPr>
          <w:rFonts w:eastAsiaTheme="minorEastAsia"/>
          <w:noProof/>
          <w:color w:val="000000" w:themeColor="text1"/>
          <w:lang w:eastAsia="ja-JP"/>
        </w:rPr>
        <w:t>funds, programmes and instruments</w:t>
      </w:r>
      <w:r w:rsidRPr="004C70EC">
        <w:rPr>
          <w:rFonts w:eastAsiaTheme="minorEastAsia"/>
          <w:noProof/>
          <w:color w:val="000000" w:themeColor="text1"/>
          <w:lang w:eastAsia="en-GB"/>
        </w:rPr>
        <w:t>.</w:t>
      </w:r>
      <w:r w:rsidR="00B00F8A" w:rsidRPr="004C70EC">
        <w:rPr>
          <w:rFonts w:eastAsiaTheme="minorEastAsia"/>
          <w:noProof/>
          <w:color w:val="000000" w:themeColor="text1"/>
          <w:lang w:eastAsia="en-GB"/>
        </w:rPr>
        <w:t xml:space="preserve"> </w:t>
      </w:r>
    </w:p>
    <w:p w14:paraId="78880730" w14:textId="77777777" w:rsidR="00273F36" w:rsidRPr="004C70EC" w:rsidRDefault="00273F36" w:rsidP="00AA2675">
      <w:pPr>
        <w:pStyle w:val="Point0"/>
        <w:rPr>
          <w:rFonts w:eastAsiaTheme="minorEastAsia"/>
          <w:noProof/>
          <w:color w:val="000000" w:themeColor="text1"/>
          <w:szCs w:val="24"/>
          <w:lang w:eastAsia="en-GB"/>
        </w:rPr>
      </w:pPr>
      <w:r w:rsidRPr="004C70EC">
        <w:rPr>
          <w:rFonts w:eastAsiaTheme="minorEastAsia"/>
          <w:noProof/>
          <w:color w:val="000000" w:themeColor="text1"/>
          <w:szCs w:val="24"/>
          <w:lang w:eastAsia="ja-JP"/>
        </w:rPr>
        <w:t>2.</w:t>
      </w:r>
      <w:r w:rsidR="00AA2675" w:rsidRPr="004C70EC">
        <w:rPr>
          <w:rFonts w:eastAsiaTheme="minorEastAsia"/>
          <w:noProof/>
          <w:color w:val="000000" w:themeColor="text1"/>
          <w:szCs w:val="24"/>
          <w:lang w:eastAsia="ja-JP"/>
        </w:rPr>
        <w:tab/>
      </w:r>
      <w:r w:rsidRPr="004C70EC">
        <w:rPr>
          <w:rFonts w:eastAsiaTheme="minorEastAsia"/>
          <w:noProof/>
          <w:color w:val="000000" w:themeColor="text1"/>
          <w:szCs w:val="24"/>
          <w:lang w:eastAsia="ja-JP"/>
        </w:rPr>
        <w:t xml:space="preserve">Where high impact </w:t>
      </w:r>
      <w:r w:rsidR="007F0476" w:rsidRPr="004C70EC">
        <w:rPr>
          <w:rFonts w:eastAsia="Times New Roman"/>
          <w:noProof/>
          <w:color w:val="000000" w:themeColor="text1"/>
          <w:szCs w:val="24"/>
          <w:lang w:val="en-IE" w:eastAsia="de-DE"/>
        </w:rPr>
        <w:t>health</w:t>
      </w:r>
      <w:r w:rsidRPr="004C70EC">
        <w:rPr>
          <w:rFonts w:eastAsia="Times New Roman"/>
          <w:noProof/>
          <w:color w:val="000000" w:themeColor="text1"/>
          <w:szCs w:val="24"/>
          <w:lang w:val="en-IE" w:eastAsia="de-DE"/>
        </w:rPr>
        <w:t xml:space="preserve"> </w:t>
      </w:r>
      <w:r w:rsidRPr="004C70EC">
        <w:rPr>
          <w:rFonts w:eastAsiaTheme="minorEastAsia"/>
          <w:noProof/>
          <w:color w:val="000000" w:themeColor="text1"/>
          <w:szCs w:val="24"/>
          <w:lang w:eastAsia="ja-JP"/>
        </w:rPr>
        <w:t xml:space="preserve">biotechnology strategic projects benefit from financial support under Union </w:t>
      </w:r>
      <w:r w:rsidR="00F32DCC" w:rsidRPr="004C70EC">
        <w:rPr>
          <w:rFonts w:eastAsiaTheme="minorEastAsia"/>
          <w:noProof/>
          <w:color w:val="000000" w:themeColor="text1"/>
          <w:szCs w:val="24"/>
          <w:lang w:eastAsia="ja-JP"/>
        </w:rPr>
        <w:t>funds, programmes and instruments</w:t>
      </w:r>
      <w:r w:rsidRPr="004C70EC">
        <w:rPr>
          <w:rFonts w:eastAsiaTheme="minorEastAsia"/>
          <w:noProof/>
          <w:color w:val="000000" w:themeColor="text1"/>
          <w:szCs w:val="24"/>
          <w:lang w:eastAsia="ja-JP"/>
        </w:rPr>
        <w:t xml:space="preserve">, in accordance with the respective legal bases and eligibility criteria of those </w:t>
      </w:r>
      <w:r w:rsidR="00E351C5" w:rsidRPr="004C70EC">
        <w:rPr>
          <w:rFonts w:eastAsiaTheme="minorEastAsia"/>
          <w:noProof/>
          <w:color w:val="000000" w:themeColor="text1"/>
          <w:szCs w:val="24"/>
          <w:lang w:eastAsia="ja-JP"/>
        </w:rPr>
        <w:t>funds, programmes and instruments</w:t>
      </w:r>
      <w:r w:rsidRPr="004C70EC">
        <w:rPr>
          <w:rFonts w:eastAsiaTheme="minorEastAsia"/>
          <w:noProof/>
          <w:color w:val="000000" w:themeColor="text1"/>
          <w:szCs w:val="24"/>
          <w:lang w:eastAsia="ja-JP"/>
        </w:rPr>
        <w:t xml:space="preserve">, such support may be used in combination with financing from the </w:t>
      </w:r>
      <w:r w:rsidRPr="004C70EC">
        <w:rPr>
          <w:rFonts w:eastAsia="Times New Roman"/>
          <w:noProof/>
          <w:color w:val="000000" w:themeColor="text1"/>
          <w:szCs w:val="24"/>
          <w:lang w:eastAsia="en-GB"/>
        </w:rPr>
        <w:t>European Investment Bank</w:t>
      </w:r>
      <w:r w:rsidRPr="004C70EC">
        <w:rPr>
          <w:rFonts w:eastAsiaTheme="minorEastAsia"/>
          <w:noProof/>
          <w:color w:val="000000" w:themeColor="text1"/>
          <w:szCs w:val="24"/>
          <w:lang w:eastAsia="ja-JP"/>
        </w:rPr>
        <w:t xml:space="preserve"> Group, from </w:t>
      </w:r>
      <w:r w:rsidRPr="004C70EC">
        <w:rPr>
          <w:rFonts w:eastAsia="Times New Roman"/>
          <w:noProof/>
          <w:color w:val="000000" w:themeColor="text1"/>
          <w:szCs w:val="24"/>
          <w:lang w:eastAsia="en-GB"/>
        </w:rPr>
        <w:t>national promotional banks</w:t>
      </w:r>
      <w:r w:rsidRPr="004C70EC">
        <w:rPr>
          <w:rFonts w:eastAsiaTheme="minorEastAsia"/>
          <w:noProof/>
          <w:color w:val="000000" w:themeColor="text1"/>
          <w:szCs w:val="24"/>
          <w:lang w:eastAsia="ja-JP"/>
        </w:rPr>
        <w:t xml:space="preserve"> and institutions or from other </w:t>
      </w:r>
      <w:r w:rsidRPr="004C70EC">
        <w:rPr>
          <w:rFonts w:eastAsia="Times New Roman"/>
          <w:noProof/>
          <w:color w:val="000000" w:themeColor="text1"/>
          <w:szCs w:val="24"/>
          <w:lang w:eastAsia="en-GB"/>
        </w:rPr>
        <w:t>development or public financial institutions</w:t>
      </w:r>
      <w:r w:rsidRPr="004C70EC">
        <w:rPr>
          <w:rFonts w:eastAsiaTheme="minorEastAsia"/>
          <w:noProof/>
          <w:color w:val="000000" w:themeColor="text1"/>
          <w:szCs w:val="24"/>
          <w:lang w:eastAsia="ja-JP"/>
        </w:rPr>
        <w:t xml:space="preserve">, as well as in combination with financing from </w:t>
      </w:r>
      <w:r w:rsidRPr="004C70EC">
        <w:rPr>
          <w:rFonts w:eastAsia="Times New Roman"/>
          <w:noProof/>
          <w:color w:val="000000" w:themeColor="text1"/>
          <w:szCs w:val="24"/>
          <w:lang w:eastAsia="en-GB"/>
        </w:rPr>
        <w:t>private-sector finance institutions</w:t>
      </w:r>
      <w:r w:rsidRPr="004C70EC">
        <w:rPr>
          <w:rFonts w:eastAsiaTheme="minorEastAsia"/>
          <w:noProof/>
          <w:color w:val="000000" w:themeColor="text1"/>
          <w:szCs w:val="24"/>
          <w:lang w:eastAsia="ja-JP"/>
        </w:rPr>
        <w:t xml:space="preserve"> and from </w:t>
      </w:r>
      <w:r w:rsidRPr="004C70EC">
        <w:rPr>
          <w:rFonts w:eastAsia="Times New Roman"/>
          <w:noProof/>
          <w:color w:val="000000" w:themeColor="text1"/>
          <w:szCs w:val="24"/>
          <w:lang w:eastAsia="en-GB"/>
        </w:rPr>
        <w:t>public-sector or private-sector investors</w:t>
      </w:r>
      <w:r w:rsidRPr="004C70EC">
        <w:rPr>
          <w:rFonts w:eastAsiaTheme="minorEastAsia"/>
          <w:noProof/>
          <w:color w:val="000000" w:themeColor="text1"/>
          <w:szCs w:val="24"/>
          <w:lang w:eastAsia="ja-JP"/>
        </w:rPr>
        <w:t xml:space="preserve">, including through </w:t>
      </w:r>
      <w:r w:rsidRPr="004C70EC">
        <w:rPr>
          <w:rFonts w:eastAsia="Times New Roman"/>
          <w:noProof/>
          <w:color w:val="000000" w:themeColor="text1"/>
          <w:szCs w:val="24"/>
          <w:lang w:eastAsia="en-GB"/>
        </w:rPr>
        <w:t>public–public</w:t>
      </w:r>
      <w:r w:rsidRPr="004C70EC">
        <w:rPr>
          <w:rFonts w:eastAsiaTheme="minorEastAsia"/>
          <w:noProof/>
          <w:color w:val="000000" w:themeColor="text1"/>
          <w:szCs w:val="24"/>
          <w:lang w:eastAsia="ja-JP"/>
        </w:rPr>
        <w:t xml:space="preserve"> or </w:t>
      </w:r>
      <w:r w:rsidRPr="004C70EC">
        <w:rPr>
          <w:rFonts w:eastAsia="Times New Roman"/>
          <w:noProof/>
          <w:color w:val="000000" w:themeColor="text1"/>
          <w:szCs w:val="24"/>
          <w:lang w:eastAsia="en-GB"/>
        </w:rPr>
        <w:t>public–private partnerships</w:t>
      </w:r>
      <w:r w:rsidRPr="004C70EC">
        <w:rPr>
          <w:rFonts w:eastAsiaTheme="minorEastAsia"/>
          <w:noProof/>
          <w:color w:val="000000" w:themeColor="text1"/>
          <w:szCs w:val="24"/>
          <w:lang w:eastAsia="ja-JP"/>
        </w:rPr>
        <w:t>.</w:t>
      </w:r>
    </w:p>
    <w:p w14:paraId="1588B0F4" w14:textId="77777777" w:rsidR="00273F36" w:rsidRPr="004C70EC" w:rsidRDefault="2F263E33" w:rsidP="33CE1D06">
      <w:pPr>
        <w:pStyle w:val="Point0"/>
        <w:rPr>
          <w:rFonts w:eastAsiaTheme="minorEastAsia"/>
          <w:noProof/>
          <w:color w:val="000000" w:themeColor="text1"/>
          <w:szCs w:val="24"/>
          <w:lang w:eastAsia="en-GB"/>
        </w:rPr>
      </w:pPr>
      <w:r w:rsidRPr="004C70EC">
        <w:rPr>
          <w:rFonts w:eastAsiaTheme="minorEastAsia"/>
          <w:noProof/>
          <w:color w:val="000000" w:themeColor="text1"/>
          <w:szCs w:val="24"/>
          <w:lang w:eastAsia="en-GB"/>
        </w:rPr>
        <w:t>3.</w:t>
      </w:r>
      <w:r w:rsidR="00273F36" w:rsidRPr="004C70EC">
        <w:rPr>
          <w:noProof/>
          <w:color w:val="000000" w:themeColor="text1"/>
          <w:szCs w:val="24"/>
        </w:rPr>
        <w:tab/>
      </w:r>
      <w:r w:rsidRPr="004C70EC">
        <w:rPr>
          <w:rFonts w:eastAsiaTheme="minorEastAsia"/>
          <w:noProof/>
          <w:color w:val="000000" w:themeColor="text1"/>
          <w:szCs w:val="24"/>
          <w:lang w:eastAsia="ja-JP"/>
        </w:rPr>
        <w:t xml:space="preserve">When preparing and implementing the annual and multiannual work programmes of the relevant Union funds, programmes and instruments referred to in paragraph 1, the Commission </w:t>
      </w:r>
      <w:r w:rsidR="26623835" w:rsidRPr="004C70EC">
        <w:rPr>
          <w:rFonts w:eastAsiaTheme="minorEastAsia"/>
          <w:noProof/>
          <w:color w:val="000000" w:themeColor="text1"/>
          <w:szCs w:val="24"/>
          <w:lang w:eastAsia="ja-JP"/>
        </w:rPr>
        <w:t>may give particular</w:t>
      </w:r>
      <w:r w:rsidRPr="004C70EC">
        <w:rPr>
          <w:rFonts w:eastAsiaTheme="minorEastAsia"/>
          <w:noProof/>
          <w:color w:val="000000" w:themeColor="text1"/>
          <w:szCs w:val="24"/>
          <w:lang w:eastAsia="ja-JP"/>
        </w:rPr>
        <w:t xml:space="preserve"> consideration to actions supporting high-impact </w:t>
      </w:r>
      <w:r w:rsidR="0CF92BD6" w:rsidRPr="004C70EC">
        <w:rPr>
          <w:rFonts w:eastAsia="Times New Roman"/>
          <w:noProof/>
          <w:color w:val="000000" w:themeColor="text1"/>
          <w:szCs w:val="24"/>
          <w:lang w:val="en-IE" w:eastAsia="de-DE"/>
        </w:rPr>
        <w:t xml:space="preserve">health </w:t>
      </w:r>
      <w:r w:rsidRPr="004C70EC">
        <w:rPr>
          <w:rFonts w:eastAsiaTheme="minorEastAsia"/>
          <w:noProof/>
          <w:color w:val="000000" w:themeColor="text1"/>
          <w:szCs w:val="24"/>
          <w:lang w:eastAsia="ja-JP"/>
        </w:rPr>
        <w:t xml:space="preserve">biotechnology strategic projects. </w:t>
      </w:r>
    </w:p>
    <w:p w14:paraId="37F94580" w14:textId="77777777" w:rsidR="00273F36" w:rsidRPr="004C70EC" w:rsidRDefault="00273F36" w:rsidP="00AA2675">
      <w:pPr>
        <w:pStyle w:val="Point0"/>
        <w:rPr>
          <w:rFonts w:eastAsiaTheme="minorEastAsia"/>
          <w:noProof/>
          <w:color w:val="000000" w:themeColor="text1"/>
          <w:lang w:eastAsia="ja-JP"/>
        </w:rPr>
      </w:pPr>
      <w:r w:rsidRPr="004C70EC">
        <w:rPr>
          <w:rFonts w:eastAsiaTheme="minorEastAsia"/>
          <w:noProof/>
          <w:color w:val="000000" w:themeColor="text1"/>
          <w:lang w:eastAsia="ja-JP"/>
        </w:rPr>
        <w:t>4.</w:t>
      </w:r>
      <w:r w:rsidRPr="004C70EC">
        <w:rPr>
          <w:noProof/>
        </w:rPr>
        <w:tab/>
      </w:r>
      <w:r w:rsidRPr="004C70EC">
        <w:rPr>
          <w:rFonts w:eastAsiaTheme="minorEastAsia"/>
          <w:noProof/>
          <w:color w:val="000000" w:themeColor="text1"/>
          <w:lang w:eastAsia="ja-JP"/>
        </w:rPr>
        <w:t>The Commission shall ensure the coordination and the complementarity among the relevant Union funds, programmes and instruments that support actions under this Regulation, and shall provide strategic guidance for the implementation of such funds, programmes and instruments with regard in particular to the high</w:t>
      </w:r>
      <w:r w:rsidR="35EAB8EB" w:rsidRPr="004C70EC">
        <w:rPr>
          <w:rFonts w:eastAsiaTheme="minorEastAsia"/>
          <w:noProof/>
          <w:color w:val="000000" w:themeColor="text1"/>
          <w:lang w:eastAsia="ja-JP"/>
        </w:rPr>
        <w:t xml:space="preserve"> </w:t>
      </w:r>
      <w:r w:rsidRPr="004C70EC">
        <w:rPr>
          <w:rFonts w:eastAsiaTheme="minorEastAsia"/>
          <w:noProof/>
          <w:color w:val="000000" w:themeColor="text1"/>
          <w:lang w:eastAsia="ja-JP"/>
        </w:rPr>
        <w:t xml:space="preserve">impact </w:t>
      </w:r>
      <w:r w:rsidR="007F0476" w:rsidRPr="004C70EC">
        <w:rPr>
          <w:rFonts w:eastAsia="Times New Roman"/>
          <w:noProof/>
          <w:color w:val="000000" w:themeColor="text1"/>
          <w:lang w:val="en-IE" w:eastAsia="de-DE"/>
        </w:rPr>
        <w:t xml:space="preserve">health </w:t>
      </w:r>
      <w:r w:rsidRPr="004C70EC">
        <w:rPr>
          <w:rFonts w:eastAsiaTheme="minorEastAsia"/>
          <w:noProof/>
          <w:color w:val="000000" w:themeColor="text1"/>
          <w:lang w:eastAsia="ja-JP"/>
        </w:rPr>
        <w:t xml:space="preserve">biotechnology strategic projects, including in cooperation with </w:t>
      </w:r>
      <w:r w:rsidR="00890E16" w:rsidRPr="004C70EC">
        <w:rPr>
          <w:rFonts w:eastAsiaTheme="minorEastAsia"/>
          <w:noProof/>
          <w:color w:val="000000" w:themeColor="text1"/>
          <w:lang w:eastAsia="ja-JP"/>
        </w:rPr>
        <w:t>the Steering Group</w:t>
      </w:r>
      <w:r w:rsidRPr="004C70EC">
        <w:rPr>
          <w:rFonts w:eastAsiaTheme="minorEastAsia"/>
          <w:noProof/>
          <w:color w:val="000000" w:themeColor="text1"/>
          <w:lang w:eastAsia="ja-JP"/>
        </w:rPr>
        <w:t xml:space="preserve">, </w:t>
      </w:r>
      <w:r w:rsidR="0029304E" w:rsidRPr="004C70EC">
        <w:rPr>
          <w:rFonts w:eastAsiaTheme="minorEastAsia"/>
          <w:noProof/>
          <w:color w:val="000000" w:themeColor="text1"/>
          <w:lang w:eastAsia="ja-JP"/>
        </w:rPr>
        <w:t xml:space="preserve">referred to in Article </w:t>
      </w:r>
      <w:r w:rsidR="002E50FB" w:rsidRPr="004C70EC">
        <w:rPr>
          <w:rFonts w:eastAsiaTheme="minorEastAsia"/>
          <w:noProof/>
          <w:color w:val="000000" w:themeColor="text1"/>
          <w:lang w:eastAsia="ja-JP"/>
        </w:rPr>
        <w:t>2</w:t>
      </w:r>
      <w:r w:rsidR="00760E64" w:rsidRPr="004C70EC">
        <w:rPr>
          <w:rFonts w:eastAsiaTheme="minorEastAsia"/>
          <w:noProof/>
          <w:color w:val="000000" w:themeColor="text1"/>
          <w:lang w:eastAsia="ja-JP"/>
        </w:rPr>
        <w:t>0</w:t>
      </w:r>
      <w:r w:rsidR="368A25ED" w:rsidRPr="004C70EC">
        <w:rPr>
          <w:rFonts w:eastAsiaTheme="minorEastAsia"/>
          <w:noProof/>
          <w:color w:val="000000" w:themeColor="text1"/>
          <w:lang w:eastAsia="ja-JP"/>
        </w:rPr>
        <w:t>,</w:t>
      </w:r>
      <w:r w:rsidR="0029304E" w:rsidRPr="004C70EC">
        <w:rPr>
          <w:rFonts w:eastAsiaTheme="minorEastAsia"/>
          <w:noProof/>
          <w:color w:val="000000" w:themeColor="text1"/>
          <w:lang w:eastAsia="ja-JP"/>
        </w:rPr>
        <w:t xml:space="preserve"> </w:t>
      </w:r>
      <w:r w:rsidRPr="004C70EC">
        <w:rPr>
          <w:rFonts w:eastAsiaTheme="minorEastAsia"/>
          <w:noProof/>
          <w:color w:val="000000" w:themeColor="text1"/>
          <w:lang w:eastAsia="ja-JP"/>
        </w:rPr>
        <w:t>where appropriate.</w:t>
      </w:r>
    </w:p>
    <w:p w14:paraId="70EC1690" w14:textId="77777777" w:rsidR="00273F36" w:rsidRPr="004C70EC" w:rsidRDefault="00273F36" w:rsidP="00AA2675">
      <w:pPr>
        <w:pStyle w:val="Titrearticle"/>
        <w:rPr>
          <w:rFonts w:eastAsiaTheme="minorEastAsia"/>
          <w:i w:val="0"/>
          <w:noProof/>
          <w:color w:val="000000" w:themeColor="text1"/>
          <w:szCs w:val="24"/>
          <w:lang w:eastAsia="ja-JP"/>
        </w:rPr>
      </w:pPr>
      <w:r w:rsidRPr="004C70EC">
        <w:rPr>
          <w:rFonts w:eastAsiaTheme="minorEastAsia"/>
          <w:noProof/>
          <w:color w:val="000000" w:themeColor="text1"/>
          <w:szCs w:val="24"/>
          <w:lang w:eastAsia="ja-JP"/>
        </w:rPr>
        <w:t xml:space="preserve">Article </w:t>
      </w:r>
      <w:r w:rsidR="006116D3" w:rsidRPr="004C70EC">
        <w:rPr>
          <w:rFonts w:eastAsiaTheme="minorEastAsia"/>
          <w:noProof/>
          <w:color w:val="000000" w:themeColor="text1"/>
          <w:szCs w:val="24"/>
          <w:lang w:eastAsia="ja-JP"/>
        </w:rPr>
        <w:t>2</w:t>
      </w:r>
      <w:r w:rsidR="00AA2D6C" w:rsidRPr="004C70EC">
        <w:rPr>
          <w:rFonts w:eastAsiaTheme="minorEastAsia"/>
          <w:noProof/>
          <w:color w:val="000000" w:themeColor="text1"/>
          <w:szCs w:val="24"/>
          <w:lang w:eastAsia="ja-JP"/>
        </w:rPr>
        <w:t>6</w:t>
      </w:r>
    </w:p>
    <w:p w14:paraId="2C2A9510" w14:textId="77777777" w:rsidR="00273F36" w:rsidRPr="004C70EC" w:rsidRDefault="00273F36" w:rsidP="00273F36">
      <w:pPr>
        <w:keepNext/>
        <w:tabs>
          <w:tab w:val="left" w:pos="850"/>
        </w:tabs>
        <w:ind w:left="850" w:hanging="850"/>
        <w:jc w:val="center"/>
        <w:outlineLvl w:val="1"/>
        <w:rPr>
          <w:rFonts w:eastAsiaTheme="minorEastAsia"/>
          <w:b/>
          <w:noProof/>
          <w:color w:val="000000" w:themeColor="text1"/>
          <w:szCs w:val="24"/>
          <w:lang w:eastAsia="ja-JP"/>
        </w:rPr>
      </w:pPr>
      <w:r w:rsidRPr="004C70EC">
        <w:rPr>
          <w:rFonts w:eastAsiaTheme="minorEastAsia"/>
          <w:b/>
          <w:noProof/>
          <w:color w:val="000000" w:themeColor="text1"/>
          <w:szCs w:val="24"/>
          <w:lang w:eastAsia="ja-JP"/>
        </w:rPr>
        <w:t xml:space="preserve">Coordination of </w:t>
      </w:r>
      <w:r w:rsidR="005A2375" w:rsidRPr="004C70EC">
        <w:rPr>
          <w:rFonts w:eastAsiaTheme="minorEastAsia"/>
          <w:b/>
          <w:noProof/>
          <w:color w:val="000000" w:themeColor="text1"/>
          <w:szCs w:val="24"/>
          <w:lang w:eastAsia="ja-JP"/>
        </w:rPr>
        <w:t>f</w:t>
      </w:r>
      <w:r w:rsidRPr="004C70EC">
        <w:rPr>
          <w:rFonts w:eastAsiaTheme="minorEastAsia"/>
          <w:b/>
          <w:noProof/>
          <w:color w:val="000000" w:themeColor="text1"/>
          <w:szCs w:val="24"/>
          <w:lang w:eastAsia="ja-JP"/>
        </w:rPr>
        <w:t xml:space="preserve">inancing for </w:t>
      </w:r>
      <w:r w:rsidR="007F0476" w:rsidRPr="004C70EC">
        <w:rPr>
          <w:rFonts w:eastAsia="Times New Roman"/>
          <w:b/>
          <w:bCs/>
          <w:noProof/>
          <w:color w:val="000000" w:themeColor="text1"/>
          <w:szCs w:val="24"/>
          <w:lang w:val="en-IE" w:eastAsia="de-DE"/>
        </w:rPr>
        <w:t>health</w:t>
      </w:r>
      <w:r w:rsidR="007F0476" w:rsidRPr="004C70EC">
        <w:rPr>
          <w:rFonts w:eastAsia="Times New Roman"/>
          <w:noProof/>
          <w:color w:val="000000" w:themeColor="text1"/>
          <w:szCs w:val="24"/>
          <w:lang w:val="en-IE" w:eastAsia="de-DE"/>
        </w:rPr>
        <w:t xml:space="preserve"> </w:t>
      </w:r>
      <w:r w:rsidR="00270AC2" w:rsidRPr="004C70EC">
        <w:rPr>
          <w:rFonts w:eastAsiaTheme="minorEastAsia"/>
          <w:b/>
          <w:noProof/>
          <w:color w:val="000000" w:themeColor="text1"/>
          <w:szCs w:val="24"/>
          <w:lang w:eastAsia="ja-JP"/>
        </w:rPr>
        <w:t>biotechnology</w:t>
      </w:r>
      <w:r w:rsidRPr="004C70EC">
        <w:rPr>
          <w:rFonts w:eastAsiaTheme="minorEastAsia"/>
          <w:b/>
          <w:noProof/>
          <w:color w:val="000000" w:themeColor="text1"/>
          <w:szCs w:val="24"/>
          <w:lang w:eastAsia="ja-JP"/>
        </w:rPr>
        <w:t xml:space="preserve"> </w:t>
      </w:r>
      <w:r w:rsidR="005A2375" w:rsidRPr="004C70EC">
        <w:rPr>
          <w:rFonts w:eastAsiaTheme="minorEastAsia"/>
          <w:b/>
          <w:noProof/>
          <w:color w:val="000000" w:themeColor="text1"/>
          <w:szCs w:val="24"/>
          <w:lang w:eastAsia="ja-JP"/>
        </w:rPr>
        <w:t>s</w:t>
      </w:r>
      <w:r w:rsidRPr="004C70EC">
        <w:rPr>
          <w:rFonts w:eastAsiaTheme="minorEastAsia"/>
          <w:b/>
          <w:noProof/>
          <w:color w:val="000000" w:themeColor="text1"/>
          <w:szCs w:val="24"/>
          <w:lang w:eastAsia="ja-JP"/>
        </w:rPr>
        <w:t xml:space="preserve">trategic </w:t>
      </w:r>
      <w:r w:rsidR="005A2375" w:rsidRPr="004C70EC">
        <w:rPr>
          <w:rFonts w:eastAsiaTheme="minorEastAsia"/>
          <w:b/>
          <w:noProof/>
          <w:color w:val="000000" w:themeColor="text1"/>
          <w:szCs w:val="24"/>
          <w:lang w:eastAsia="ja-JP"/>
        </w:rPr>
        <w:t>p</w:t>
      </w:r>
      <w:r w:rsidRPr="004C70EC">
        <w:rPr>
          <w:rFonts w:eastAsiaTheme="minorEastAsia"/>
          <w:b/>
          <w:noProof/>
          <w:color w:val="000000" w:themeColor="text1"/>
          <w:szCs w:val="24"/>
          <w:lang w:eastAsia="ja-JP"/>
        </w:rPr>
        <w:t>rojects</w:t>
      </w:r>
    </w:p>
    <w:p w14:paraId="78A55F4D" w14:textId="77777777" w:rsidR="00273F36" w:rsidRPr="004C70EC" w:rsidRDefault="33D14746" w:rsidP="00DB21CA">
      <w:pPr>
        <w:rPr>
          <w:noProof/>
          <w:lang w:eastAsia="ja-JP"/>
        </w:rPr>
      </w:pPr>
      <w:r w:rsidRPr="004C70EC">
        <w:rPr>
          <w:noProof/>
          <w:lang w:eastAsia="ja-JP"/>
        </w:rPr>
        <w:t>The Steering Group referred to in Article 20</w:t>
      </w:r>
      <w:r w:rsidR="700D1985" w:rsidRPr="004C70EC">
        <w:rPr>
          <w:noProof/>
          <w:lang w:eastAsia="ja-JP"/>
        </w:rPr>
        <w:t xml:space="preserve"> </w:t>
      </w:r>
      <w:r w:rsidRPr="004C70EC">
        <w:rPr>
          <w:noProof/>
          <w:lang w:eastAsia="ja-JP"/>
        </w:rPr>
        <w:t xml:space="preserve">may coordinate </w:t>
      </w:r>
      <w:r w:rsidR="25BF1E3C" w:rsidRPr="004C70EC">
        <w:rPr>
          <w:noProof/>
          <w:lang w:eastAsia="ja-JP"/>
        </w:rPr>
        <w:t>investments into</w:t>
      </w:r>
      <w:r w:rsidR="1357EA3B" w:rsidRPr="004C70EC">
        <w:rPr>
          <w:noProof/>
          <w:lang w:eastAsia="ja-JP"/>
        </w:rPr>
        <w:t xml:space="preserve"> </w:t>
      </w:r>
      <w:r w:rsidR="29FD226A" w:rsidRPr="004C70EC">
        <w:rPr>
          <w:rFonts w:eastAsia="Times New Roman"/>
          <w:noProof/>
          <w:lang w:val="en-IE" w:eastAsia="de-DE"/>
        </w:rPr>
        <w:t xml:space="preserve">health </w:t>
      </w:r>
      <w:r w:rsidR="249CF78E" w:rsidRPr="004C70EC">
        <w:rPr>
          <w:noProof/>
          <w:lang w:eastAsia="ja-JP"/>
        </w:rPr>
        <w:t xml:space="preserve">biotechnology strategic projects, including high impact </w:t>
      </w:r>
      <w:r w:rsidR="29FD226A" w:rsidRPr="004C70EC">
        <w:rPr>
          <w:rFonts w:eastAsia="Times New Roman"/>
          <w:noProof/>
          <w:lang w:val="en-IE" w:eastAsia="de-DE"/>
        </w:rPr>
        <w:t xml:space="preserve">health </w:t>
      </w:r>
      <w:r w:rsidR="249CF78E" w:rsidRPr="004C70EC">
        <w:rPr>
          <w:noProof/>
          <w:lang w:eastAsia="ja-JP"/>
        </w:rPr>
        <w:t>biotechnology strategic projects,</w:t>
      </w:r>
      <w:r w:rsidR="12AF807C" w:rsidRPr="004C70EC">
        <w:rPr>
          <w:noProof/>
          <w:lang w:eastAsia="ja-JP"/>
        </w:rPr>
        <w:t xml:space="preserve"> with the project promoters and other relevant interested parties,</w:t>
      </w:r>
      <w:r w:rsidR="249CF78E" w:rsidRPr="004C70EC">
        <w:rPr>
          <w:noProof/>
          <w:lang w:eastAsia="ja-JP"/>
        </w:rPr>
        <w:t xml:space="preserve"> in compliance with Union competition law. </w:t>
      </w:r>
    </w:p>
    <w:p w14:paraId="7B45FAAA" w14:textId="77777777" w:rsidR="00A80A89" w:rsidRPr="004C70EC" w:rsidRDefault="00A80A89" w:rsidP="00AA2675">
      <w:pPr>
        <w:pStyle w:val="Point0"/>
        <w:rPr>
          <w:rFonts w:eastAsiaTheme="minorEastAsia"/>
          <w:noProof/>
          <w:color w:val="000000" w:themeColor="text1"/>
          <w:szCs w:val="24"/>
          <w:lang w:eastAsia="ja-JP"/>
        </w:rPr>
      </w:pPr>
    </w:p>
    <w:p w14:paraId="46AE48F7" w14:textId="77777777" w:rsidR="004F7E58" w:rsidRPr="004C70EC" w:rsidRDefault="004F7E58" w:rsidP="00AA2675">
      <w:pPr>
        <w:pStyle w:val="ChapterTitle"/>
        <w:rPr>
          <w:noProof/>
          <w:color w:val="000000" w:themeColor="text1"/>
          <w:sz w:val="24"/>
          <w:szCs w:val="24"/>
          <w:lang w:eastAsia="ja-JP"/>
        </w:rPr>
      </w:pPr>
      <w:r w:rsidRPr="004C70EC">
        <w:rPr>
          <w:noProof/>
          <w:color w:val="000000" w:themeColor="text1"/>
          <w:sz w:val="24"/>
          <w:szCs w:val="24"/>
          <w:lang w:eastAsia="ja-JP"/>
        </w:rPr>
        <w:t xml:space="preserve">CHAPTER </w:t>
      </w:r>
      <w:r w:rsidR="00F137C5" w:rsidRPr="004C70EC">
        <w:rPr>
          <w:noProof/>
          <w:color w:val="000000" w:themeColor="text1"/>
          <w:sz w:val="24"/>
          <w:szCs w:val="24"/>
          <w:lang w:eastAsia="ja-JP"/>
        </w:rPr>
        <w:t>I</w:t>
      </w:r>
      <w:r w:rsidRPr="004C70EC">
        <w:rPr>
          <w:noProof/>
          <w:color w:val="000000" w:themeColor="text1"/>
          <w:sz w:val="24"/>
          <w:szCs w:val="24"/>
          <w:lang w:eastAsia="ja-JP"/>
        </w:rPr>
        <w:t>V</w:t>
      </w:r>
    </w:p>
    <w:p w14:paraId="2731F34A" w14:textId="77777777" w:rsidR="004F7E58" w:rsidRPr="004C70EC" w:rsidRDefault="004F7E58" w:rsidP="00A80A89">
      <w:pPr>
        <w:pStyle w:val="ChapterTitle"/>
        <w:rPr>
          <w:rFonts w:eastAsia="Times New Roman"/>
          <w:noProof/>
          <w:color w:val="000000" w:themeColor="text1"/>
          <w:sz w:val="24"/>
          <w:szCs w:val="24"/>
          <w:bdr w:val="nil"/>
          <w:lang w:val="en-US" w:eastAsia="en-GB"/>
        </w:rPr>
      </w:pPr>
      <w:r w:rsidRPr="004C70EC">
        <w:rPr>
          <w:rFonts w:eastAsia="Times New Roman"/>
          <w:noProof/>
          <w:color w:val="000000" w:themeColor="text1"/>
          <w:sz w:val="24"/>
          <w:szCs w:val="24"/>
          <w:bdr w:val="nil"/>
          <w:lang w:val="en-US" w:eastAsia="en-GB"/>
        </w:rPr>
        <w:t>EXTENSION OF THE SUPPLEMENTARY PROTECTION CERTIFICATE</w:t>
      </w:r>
    </w:p>
    <w:p w14:paraId="424F2344" w14:textId="77777777" w:rsidR="004F7E58" w:rsidRPr="004C70EC" w:rsidRDefault="004F7E58" w:rsidP="004F7E58">
      <w:pPr>
        <w:pStyle w:val="Titrearticle"/>
        <w:rPr>
          <w:noProof/>
          <w:color w:val="000000" w:themeColor="text1"/>
          <w:szCs w:val="24"/>
          <w:lang w:val="en-IE"/>
        </w:rPr>
      </w:pPr>
      <w:r w:rsidRPr="004C70EC">
        <w:rPr>
          <w:noProof/>
          <w:color w:val="000000" w:themeColor="text1"/>
          <w:szCs w:val="24"/>
          <w:lang w:val="en-IE"/>
        </w:rPr>
        <w:t xml:space="preserve">Article </w:t>
      </w:r>
      <w:r w:rsidR="006116D3" w:rsidRPr="004C70EC">
        <w:rPr>
          <w:noProof/>
          <w:color w:val="000000" w:themeColor="text1"/>
          <w:szCs w:val="24"/>
          <w:lang w:val="en-IE"/>
        </w:rPr>
        <w:t>2</w:t>
      </w:r>
      <w:r w:rsidR="002955AB" w:rsidRPr="004C70EC">
        <w:rPr>
          <w:noProof/>
          <w:color w:val="000000" w:themeColor="text1"/>
          <w:szCs w:val="24"/>
          <w:lang w:val="en-IE"/>
        </w:rPr>
        <w:t>7</w:t>
      </w:r>
    </w:p>
    <w:p w14:paraId="7108C92F" w14:textId="77777777" w:rsidR="004F7E58" w:rsidRPr="004C70EC" w:rsidRDefault="004F7E58" w:rsidP="6000C7FD">
      <w:pPr>
        <w:keepNext/>
        <w:tabs>
          <w:tab w:val="left" w:pos="850"/>
        </w:tabs>
        <w:ind w:left="850" w:hanging="850"/>
        <w:jc w:val="center"/>
        <w:outlineLvl w:val="1"/>
        <w:rPr>
          <w:rFonts w:eastAsiaTheme="minorEastAsia"/>
          <w:b/>
          <w:noProof/>
          <w:color w:val="000000" w:themeColor="text1"/>
          <w:szCs w:val="24"/>
          <w:lang w:eastAsia="ja-JP"/>
        </w:rPr>
      </w:pPr>
      <w:r w:rsidRPr="004C70EC">
        <w:rPr>
          <w:rFonts w:eastAsiaTheme="minorEastAsia"/>
          <w:b/>
          <w:noProof/>
          <w:color w:val="000000" w:themeColor="text1"/>
          <w:szCs w:val="24"/>
          <w:lang w:eastAsia="ja-JP"/>
        </w:rPr>
        <w:t>Extension of the supplementary protection certificate concerning best-in-class biotechnology medicines developed in the Union</w:t>
      </w:r>
    </w:p>
    <w:p w14:paraId="791AF5F9" w14:textId="77777777" w:rsidR="004F7E58" w:rsidRPr="004C70EC" w:rsidRDefault="362578A3" w:rsidP="004F7E58">
      <w:pPr>
        <w:pStyle w:val="Point0"/>
        <w:rPr>
          <w:noProof/>
          <w:color w:val="000000" w:themeColor="text1"/>
          <w:szCs w:val="24"/>
          <w:lang w:val="en-IE"/>
        </w:rPr>
      </w:pPr>
      <w:r w:rsidRPr="004C70EC">
        <w:rPr>
          <w:noProof/>
          <w:color w:val="000000" w:themeColor="text1"/>
          <w:lang w:val="en-IE"/>
        </w:rPr>
        <w:t>1.</w:t>
      </w:r>
      <w:r w:rsidR="004F7E58" w:rsidRPr="004C70EC">
        <w:rPr>
          <w:noProof/>
          <w:color w:val="000000" w:themeColor="text1"/>
          <w:szCs w:val="24"/>
          <w:lang w:val="en-IE"/>
        </w:rPr>
        <w:tab/>
      </w:r>
      <w:r w:rsidRPr="004C70EC">
        <w:rPr>
          <w:noProof/>
          <w:color w:val="000000" w:themeColor="text1"/>
          <w:lang w:val="en-IE"/>
        </w:rPr>
        <w:t xml:space="preserve">Where a marketing authorisation is granted by the Union to a medicinal product for human use developed by means of biotechnological processes referred to in paragraph 1 of Annex I to </w:t>
      </w:r>
      <w:r w:rsidR="5B3ACE3A" w:rsidRPr="004C70EC">
        <w:rPr>
          <w:rFonts w:eastAsia="Times New Roman"/>
          <w:noProof/>
          <w:color w:val="000000" w:themeColor="text1"/>
          <w:lang w:val="en-US"/>
        </w:rPr>
        <w:t>Regulation (EU) …/… [reference to be added after adoption cf. COM(2023) 193 final</w:t>
      </w:r>
      <w:r w:rsidR="66619470" w:rsidRPr="004C70EC">
        <w:rPr>
          <w:rFonts w:eastAsia="Times New Roman"/>
          <w:noProof/>
          <w:color w:val="000000" w:themeColor="text1"/>
          <w:lang w:val="en-US"/>
        </w:rPr>
        <w:t>]</w:t>
      </w:r>
      <w:r w:rsidR="5B3ACE3A" w:rsidRPr="004C70EC">
        <w:rPr>
          <w:noProof/>
          <w:color w:val="000000" w:themeColor="text1"/>
          <w:lang w:val="en-IE"/>
        </w:rPr>
        <w:t xml:space="preserve"> </w:t>
      </w:r>
      <w:r w:rsidRPr="004C70EC">
        <w:rPr>
          <w:noProof/>
          <w:color w:val="000000" w:themeColor="text1"/>
          <w:lang w:val="en-IE"/>
        </w:rPr>
        <w:t>or to an advanced therapy medicinal product referred to in paragraph 2 of that Annex</w:t>
      </w:r>
      <w:r w:rsidR="358B8880" w:rsidRPr="004C70EC">
        <w:rPr>
          <w:noProof/>
          <w:color w:val="000000" w:themeColor="text1"/>
          <w:lang w:val="en-IE"/>
        </w:rPr>
        <w:t>,</w:t>
      </w:r>
      <w:r w:rsidRPr="004C70EC">
        <w:rPr>
          <w:noProof/>
          <w:color w:val="000000" w:themeColor="text1"/>
          <w:lang w:val="en-IE"/>
        </w:rPr>
        <w:t xml:space="preserve"> and that is protected either by a supplementary protection certificate in accordance with Regulation (EC) No 469/2009</w:t>
      </w:r>
      <w:r w:rsidRPr="004C70EC">
        <w:rPr>
          <w:noProof/>
          <w:color w:val="000000" w:themeColor="text1"/>
        </w:rPr>
        <w:t xml:space="preserve"> </w:t>
      </w:r>
      <w:r w:rsidRPr="004C70EC">
        <w:rPr>
          <w:noProof/>
          <w:color w:val="000000" w:themeColor="text1"/>
          <w:lang w:val="en-IE"/>
        </w:rPr>
        <w:t>of the European Parliament and of the Council</w:t>
      </w:r>
      <w:r w:rsidR="004F7E58" w:rsidRPr="004C70EC">
        <w:rPr>
          <w:rStyle w:val="FootnoteReference"/>
          <w:noProof/>
          <w:color w:val="000000" w:themeColor="text1"/>
          <w:lang w:val="en-IE"/>
        </w:rPr>
        <w:footnoteReference w:id="158"/>
      </w:r>
      <w:r w:rsidRPr="004C70EC">
        <w:rPr>
          <w:noProof/>
          <w:color w:val="000000" w:themeColor="text1"/>
          <w:lang w:val="en-IE"/>
        </w:rPr>
        <w:t xml:space="preserve">, or by a patent which qualifies for the granting of such supplementary protection certificate, the holder of a patent or of such certificate shall be entitled to a 12-month extension of the periods referred to in Article 13, paragraphs </w:t>
      </w:r>
      <w:r w:rsidR="2D98FA90" w:rsidRPr="004C70EC">
        <w:rPr>
          <w:noProof/>
          <w:color w:val="000000" w:themeColor="text1"/>
          <w:lang w:val="en-IE"/>
        </w:rPr>
        <w:t>(</w:t>
      </w:r>
      <w:r w:rsidRPr="004C70EC">
        <w:rPr>
          <w:noProof/>
          <w:color w:val="000000" w:themeColor="text1"/>
          <w:lang w:val="en-IE"/>
        </w:rPr>
        <w:t>1</w:t>
      </w:r>
      <w:r w:rsidR="2D98FA90" w:rsidRPr="004C70EC">
        <w:rPr>
          <w:noProof/>
          <w:color w:val="000000" w:themeColor="text1"/>
          <w:lang w:val="en-IE"/>
        </w:rPr>
        <w:t>)</w:t>
      </w:r>
      <w:r w:rsidRPr="004C70EC">
        <w:rPr>
          <w:noProof/>
          <w:color w:val="000000" w:themeColor="text1"/>
          <w:lang w:val="en-IE"/>
        </w:rPr>
        <w:t xml:space="preserve"> and </w:t>
      </w:r>
      <w:r w:rsidR="2D98FA90" w:rsidRPr="004C70EC">
        <w:rPr>
          <w:noProof/>
          <w:color w:val="000000" w:themeColor="text1"/>
          <w:lang w:val="en-IE"/>
        </w:rPr>
        <w:t>(</w:t>
      </w:r>
      <w:r w:rsidRPr="004C70EC">
        <w:rPr>
          <w:noProof/>
          <w:color w:val="000000" w:themeColor="text1"/>
          <w:lang w:val="en-IE"/>
        </w:rPr>
        <w:t>2</w:t>
      </w:r>
      <w:r w:rsidR="2D98FA90" w:rsidRPr="004C70EC">
        <w:rPr>
          <w:noProof/>
          <w:color w:val="000000" w:themeColor="text1"/>
          <w:lang w:val="en-IE"/>
        </w:rPr>
        <w:t>)</w:t>
      </w:r>
      <w:r w:rsidRPr="004C70EC">
        <w:rPr>
          <w:noProof/>
          <w:color w:val="000000" w:themeColor="text1"/>
          <w:lang w:val="en-IE"/>
        </w:rPr>
        <w:t>, of Regulation (EC) No 469/2009, provided that the marketing authorisation applicant demonstrates that</w:t>
      </w:r>
      <w:r w:rsidRPr="004C70EC">
        <w:rPr>
          <w:b/>
          <w:bCs/>
          <w:noProof/>
          <w:color w:val="000000" w:themeColor="text1"/>
          <w:lang w:val="en-IE"/>
        </w:rPr>
        <w:t xml:space="preserve"> </w:t>
      </w:r>
      <w:r w:rsidRPr="004C70EC">
        <w:rPr>
          <w:noProof/>
          <w:color w:val="000000" w:themeColor="text1"/>
          <w:lang w:val="en-IE"/>
        </w:rPr>
        <w:t>all of the following conditions are met:</w:t>
      </w:r>
    </w:p>
    <w:p w14:paraId="1A5B52DC" w14:textId="77777777" w:rsidR="004F7E58" w:rsidRPr="004C70EC" w:rsidRDefault="004F7E58" w:rsidP="004F7E58">
      <w:pPr>
        <w:pStyle w:val="Point1"/>
        <w:rPr>
          <w:noProof/>
          <w:color w:val="000000" w:themeColor="text1"/>
          <w:szCs w:val="24"/>
          <w:lang w:val="en-IE"/>
        </w:rPr>
      </w:pPr>
      <w:r w:rsidRPr="004C70EC">
        <w:rPr>
          <w:noProof/>
          <w:color w:val="000000" w:themeColor="text1"/>
          <w:szCs w:val="24"/>
          <w:lang w:val="en-US"/>
        </w:rPr>
        <w:t>(a)</w:t>
      </w:r>
      <w:r w:rsidRPr="004C70EC">
        <w:rPr>
          <w:noProof/>
          <w:color w:val="000000" w:themeColor="text1"/>
          <w:szCs w:val="24"/>
          <w:lang w:val="en-US"/>
        </w:rPr>
        <w:tab/>
        <w:t xml:space="preserve">the medicinal product contains a new active substance </w:t>
      </w:r>
      <w:r w:rsidRPr="004C70EC">
        <w:rPr>
          <w:noProof/>
          <w:color w:val="000000" w:themeColor="text1"/>
          <w:szCs w:val="24"/>
          <w:lang w:val="en-IE"/>
        </w:rPr>
        <w:t>distinctly different from that of any authorised medicinal product in the Union;</w:t>
      </w:r>
    </w:p>
    <w:p w14:paraId="3C869013" w14:textId="77777777" w:rsidR="004F7E58" w:rsidRPr="004C70EC" w:rsidRDefault="004F7E58" w:rsidP="004F7E58">
      <w:pPr>
        <w:pStyle w:val="Point1"/>
        <w:rPr>
          <w:noProof/>
          <w:color w:val="000000" w:themeColor="text1"/>
          <w:lang w:val="en-IE"/>
        </w:rPr>
      </w:pPr>
      <w:r w:rsidRPr="004C70EC">
        <w:rPr>
          <w:noProof/>
          <w:color w:val="000000" w:themeColor="text1"/>
          <w:lang w:val="en-IE"/>
        </w:rPr>
        <w:t>(b)</w:t>
      </w:r>
      <w:r w:rsidRPr="004C70EC">
        <w:rPr>
          <w:noProof/>
        </w:rPr>
        <w:tab/>
      </w:r>
      <w:r w:rsidRPr="004C70EC">
        <w:rPr>
          <w:noProof/>
          <w:color w:val="000000" w:themeColor="text1"/>
          <w:lang w:val="en-IE"/>
        </w:rPr>
        <w:t xml:space="preserve">the medicinal product has a mechanism of action distinctly different and shows a level of safety and efficacy which is </w:t>
      </w:r>
      <w:r w:rsidR="005E48CB" w:rsidRPr="004C70EC">
        <w:rPr>
          <w:noProof/>
          <w:color w:val="000000" w:themeColor="text1"/>
          <w:lang w:val="en-IE"/>
        </w:rPr>
        <w:t>at le</w:t>
      </w:r>
      <w:r w:rsidR="5452C478" w:rsidRPr="004C70EC">
        <w:rPr>
          <w:noProof/>
          <w:color w:val="000000" w:themeColor="text1"/>
          <w:lang w:val="en-IE"/>
        </w:rPr>
        <w:t>a</w:t>
      </w:r>
      <w:r w:rsidR="005E48CB" w:rsidRPr="004C70EC">
        <w:rPr>
          <w:noProof/>
          <w:color w:val="000000" w:themeColor="text1"/>
          <w:lang w:val="en-IE"/>
        </w:rPr>
        <w:t>st equivalent</w:t>
      </w:r>
      <w:r w:rsidRPr="004C70EC">
        <w:rPr>
          <w:noProof/>
          <w:color w:val="000000" w:themeColor="text1"/>
          <w:lang w:val="en-IE"/>
        </w:rPr>
        <w:t xml:space="preserve"> to that of any authorised medicinal product in the Union for the same disease;</w:t>
      </w:r>
    </w:p>
    <w:p w14:paraId="1151EDB1" w14:textId="77777777" w:rsidR="004F7E58" w:rsidRPr="004C70EC" w:rsidRDefault="004F7E58" w:rsidP="430507E2">
      <w:pPr>
        <w:pStyle w:val="Point1"/>
        <w:rPr>
          <w:noProof/>
          <w:color w:val="000000" w:themeColor="text1"/>
          <w:szCs w:val="24"/>
          <w:lang w:val="en-IE"/>
        </w:rPr>
      </w:pPr>
      <w:r w:rsidRPr="004C70EC">
        <w:rPr>
          <w:noProof/>
          <w:color w:val="000000" w:themeColor="text1"/>
          <w:szCs w:val="24"/>
          <w:lang w:val="en-IE"/>
        </w:rPr>
        <w:t>(c)</w:t>
      </w:r>
      <w:r w:rsidRPr="004C70EC">
        <w:rPr>
          <w:noProof/>
          <w:color w:val="000000" w:themeColor="text1"/>
          <w:szCs w:val="24"/>
        </w:rPr>
        <w:tab/>
      </w:r>
      <w:r w:rsidRPr="004C70EC">
        <w:rPr>
          <w:noProof/>
          <w:color w:val="000000" w:themeColor="text1"/>
          <w:szCs w:val="24"/>
          <w:lang w:val="en-IE"/>
        </w:rPr>
        <w:t xml:space="preserve">the clinical trials evaluating the efficacy of the medicinal product and supporting its marketing authorisation were conducted in more than two Member States; </w:t>
      </w:r>
    </w:p>
    <w:p w14:paraId="0F18490A" w14:textId="77777777" w:rsidR="004F7E58" w:rsidRPr="004C70EC" w:rsidRDefault="004F7E58" w:rsidP="004F7E58">
      <w:pPr>
        <w:pStyle w:val="Point1"/>
        <w:rPr>
          <w:noProof/>
          <w:color w:val="000000" w:themeColor="text1"/>
          <w:lang w:val="en-IE"/>
        </w:rPr>
      </w:pPr>
      <w:r w:rsidRPr="004C70EC">
        <w:rPr>
          <w:noProof/>
          <w:color w:val="000000" w:themeColor="text1"/>
          <w:lang w:val="en-IE"/>
        </w:rPr>
        <w:t>(d)</w:t>
      </w:r>
      <w:r w:rsidRPr="004C70EC">
        <w:rPr>
          <w:noProof/>
        </w:rPr>
        <w:tab/>
      </w:r>
      <w:r w:rsidR="00392E65" w:rsidRPr="004C70EC">
        <w:rPr>
          <w:noProof/>
          <w:color w:val="000000" w:themeColor="text1"/>
          <w:lang w:val="en-IE"/>
        </w:rPr>
        <w:t xml:space="preserve">at least a manufacturing step, excluding packaging, quality testing and certification is performed </w:t>
      </w:r>
      <w:r w:rsidRPr="004C70EC">
        <w:rPr>
          <w:noProof/>
          <w:color w:val="000000" w:themeColor="text1"/>
          <w:lang w:val="en-IE"/>
        </w:rPr>
        <w:t>in the Union.</w:t>
      </w:r>
    </w:p>
    <w:p w14:paraId="31B6BEC7" w14:textId="7943052E" w:rsidR="004F7E58" w:rsidRPr="004C70EC" w:rsidRDefault="004F7E58" w:rsidP="004F7E58">
      <w:pPr>
        <w:pStyle w:val="Point0"/>
        <w:rPr>
          <w:noProof/>
          <w:color w:val="000000" w:themeColor="text1"/>
          <w:szCs w:val="24"/>
        </w:rPr>
      </w:pPr>
      <w:r w:rsidRPr="004C70EC">
        <w:rPr>
          <w:noProof/>
          <w:color w:val="000000" w:themeColor="text1"/>
          <w:szCs w:val="24"/>
        </w:rPr>
        <w:t>2.</w:t>
      </w:r>
      <w:r w:rsidRPr="004C70EC">
        <w:rPr>
          <w:noProof/>
          <w:color w:val="000000" w:themeColor="text1"/>
          <w:szCs w:val="24"/>
        </w:rPr>
        <w:tab/>
        <w:t xml:space="preserve">The </w:t>
      </w:r>
      <w:r w:rsidR="00A82F8C" w:rsidRPr="004C70EC">
        <w:rPr>
          <w:rFonts w:eastAsia="Times New Roman"/>
          <w:noProof/>
          <w:color w:val="000000" w:themeColor="text1"/>
          <w:szCs w:val="24"/>
          <w:lang w:val="en-IE" w:eastAsia="en-GB"/>
        </w:rPr>
        <w:t>European Medicines Agency</w:t>
      </w:r>
      <w:r w:rsidR="00A82F8C" w:rsidRPr="004C70EC">
        <w:rPr>
          <w:noProof/>
          <w:color w:val="000000" w:themeColor="text1"/>
          <w:szCs w:val="24"/>
        </w:rPr>
        <w:t xml:space="preserve"> (</w:t>
      </w:r>
      <w:r w:rsidR="00BB1387" w:rsidRPr="004C70EC">
        <w:rPr>
          <w:noProof/>
          <w:color w:val="000000" w:themeColor="text1"/>
          <w:szCs w:val="24"/>
        </w:rPr>
        <w:t>‘</w:t>
      </w:r>
      <w:r w:rsidR="00A82F8C" w:rsidRPr="004C70EC">
        <w:rPr>
          <w:noProof/>
          <w:color w:val="000000" w:themeColor="text1"/>
          <w:szCs w:val="24"/>
        </w:rPr>
        <w:t xml:space="preserve">the </w:t>
      </w:r>
      <w:r w:rsidRPr="004C70EC">
        <w:rPr>
          <w:noProof/>
          <w:color w:val="000000" w:themeColor="text1"/>
          <w:szCs w:val="24"/>
        </w:rPr>
        <w:t>Agency</w:t>
      </w:r>
      <w:r w:rsidR="00BB1387" w:rsidRPr="004C70EC">
        <w:rPr>
          <w:noProof/>
          <w:color w:val="000000" w:themeColor="text1"/>
          <w:szCs w:val="24"/>
        </w:rPr>
        <w:t>’</w:t>
      </w:r>
      <w:r w:rsidR="00501AEB" w:rsidRPr="004C70EC">
        <w:rPr>
          <w:noProof/>
          <w:color w:val="000000" w:themeColor="text1"/>
          <w:szCs w:val="24"/>
        </w:rPr>
        <w:t>)</w:t>
      </w:r>
      <w:r w:rsidRPr="004C70EC">
        <w:rPr>
          <w:noProof/>
          <w:color w:val="000000" w:themeColor="text1"/>
          <w:szCs w:val="24"/>
        </w:rPr>
        <w:t xml:space="preserve"> shall assess compliance with the conditions referred to in paragraph 1 as part of the marketing authorisation procedure concerned.</w:t>
      </w:r>
    </w:p>
    <w:p w14:paraId="4AC1B055" w14:textId="77777777" w:rsidR="004F7E58" w:rsidRPr="004C70EC" w:rsidRDefault="004F7E58" w:rsidP="004F7E58">
      <w:pPr>
        <w:pStyle w:val="Point0"/>
        <w:rPr>
          <w:noProof/>
          <w:color w:val="000000" w:themeColor="text1"/>
        </w:rPr>
      </w:pPr>
      <w:r w:rsidRPr="004C70EC">
        <w:rPr>
          <w:noProof/>
          <w:color w:val="000000" w:themeColor="text1"/>
        </w:rPr>
        <w:t>3.</w:t>
      </w:r>
      <w:r w:rsidRPr="004C70EC">
        <w:rPr>
          <w:noProof/>
        </w:rPr>
        <w:tab/>
      </w:r>
      <w:r w:rsidRPr="004C70EC">
        <w:rPr>
          <w:noProof/>
          <w:color w:val="000000" w:themeColor="text1"/>
        </w:rPr>
        <w:t xml:space="preserve">Where compliance is confirmed, the Agency shall </w:t>
      </w:r>
      <w:r w:rsidR="00002C03" w:rsidRPr="004C70EC">
        <w:rPr>
          <w:noProof/>
          <w:color w:val="000000" w:themeColor="text1"/>
        </w:rPr>
        <w:t xml:space="preserve">issue </w:t>
      </w:r>
      <w:r w:rsidRPr="004C70EC">
        <w:rPr>
          <w:noProof/>
          <w:color w:val="000000" w:themeColor="text1"/>
        </w:rPr>
        <w:t>a statement to that effect.</w:t>
      </w:r>
    </w:p>
    <w:p w14:paraId="03969722" w14:textId="77777777" w:rsidR="000A68C7" w:rsidRPr="004C70EC" w:rsidRDefault="000A68C7" w:rsidP="004F7E58">
      <w:pPr>
        <w:pStyle w:val="Point0"/>
        <w:rPr>
          <w:noProof/>
          <w:color w:val="000000" w:themeColor="text1"/>
        </w:rPr>
      </w:pPr>
      <w:r w:rsidRPr="004C70EC">
        <w:rPr>
          <w:noProof/>
          <w:color w:val="000000" w:themeColor="text1"/>
        </w:rPr>
        <w:t>4</w:t>
      </w:r>
      <w:r w:rsidR="0022402E" w:rsidRPr="004C70EC">
        <w:rPr>
          <w:noProof/>
          <w:color w:val="000000" w:themeColor="text1"/>
        </w:rPr>
        <w:t>.</w:t>
      </w:r>
      <w:r w:rsidRPr="004C70EC">
        <w:rPr>
          <w:noProof/>
        </w:rPr>
        <w:tab/>
      </w:r>
      <w:r w:rsidR="00FB231C" w:rsidRPr="004C70EC">
        <w:rPr>
          <w:noProof/>
          <w:color w:val="000000" w:themeColor="text1"/>
        </w:rPr>
        <w:t>A copy of the statement referred to in paragraph 3</w:t>
      </w:r>
      <w:r w:rsidR="008E2DA5" w:rsidRPr="004C70EC">
        <w:rPr>
          <w:noProof/>
          <w:color w:val="000000" w:themeColor="text1"/>
        </w:rPr>
        <w:t xml:space="preserve"> of this Article</w:t>
      </w:r>
      <w:r w:rsidR="00FB231C" w:rsidRPr="004C70EC">
        <w:rPr>
          <w:noProof/>
          <w:color w:val="000000" w:themeColor="text1"/>
        </w:rPr>
        <w:t xml:space="preserve"> shall be included in the application for a certificate</w:t>
      </w:r>
      <w:r w:rsidR="00FB231C" w:rsidRPr="004C70EC">
        <w:rPr>
          <w:noProof/>
          <w:color w:val="000000" w:themeColor="text1"/>
          <w:lang w:val="en-US"/>
        </w:rPr>
        <w:t xml:space="preserve"> lodged under article 7 of </w:t>
      </w:r>
      <w:r w:rsidR="00FB231C" w:rsidRPr="004C70EC">
        <w:rPr>
          <w:noProof/>
          <w:color w:val="000000" w:themeColor="text1"/>
          <w:lang w:val="en-IE"/>
        </w:rPr>
        <w:t>Regulation (EC) No 469/2009.</w:t>
      </w:r>
    </w:p>
    <w:p w14:paraId="43309631" w14:textId="77777777" w:rsidR="00F42DC2" w:rsidRPr="004C70EC" w:rsidRDefault="00F42DC2" w:rsidP="004F7E58">
      <w:pPr>
        <w:pStyle w:val="Point0"/>
        <w:rPr>
          <w:noProof/>
          <w:color w:val="000000" w:themeColor="text1"/>
          <w:szCs w:val="24"/>
        </w:rPr>
      </w:pPr>
    </w:p>
    <w:p w14:paraId="39FEC166" w14:textId="77777777" w:rsidR="00273F36" w:rsidRPr="004C70EC" w:rsidRDefault="00273F36" w:rsidP="00AA2675">
      <w:pPr>
        <w:pStyle w:val="ChapterTitle"/>
        <w:rPr>
          <w:noProof/>
          <w:color w:val="000000" w:themeColor="text1"/>
          <w:sz w:val="24"/>
          <w:szCs w:val="24"/>
          <w:lang w:eastAsia="ja-JP"/>
        </w:rPr>
      </w:pPr>
      <w:r w:rsidRPr="004C70EC">
        <w:rPr>
          <w:noProof/>
          <w:color w:val="000000" w:themeColor="text1"/>
          <w:sz w:val="24"/>
          <w:szCs w:val="24"/>
          <w:lang w:eastAsia="ja-JP"/>
        </w:rPr>
        <w:t>CHAPTER V</w:t>
      </w:r>
    </w:p>
    <w:p w14:paraId="7D4E3999" w14:textId="77777777" w:rsidR="00273F36" w:rsidRPr="004C70EC" w:rsidRDefault="00273F36" w:rsidP="00A80A89">
      <w:pPr>
        <w:pStyle w:val="ChapterTitle"/>
        <w:rPr>
          <w:rFonts w:eastAsia="Times New Roman"/>
          <w:noProof/>
          <w:color w:val="000000" w:themeColor="text1"/>
          <w:sz w:val="24"/>
          <w:szCs w:val="24"/>
          <w:bdr w:val="nil"/>
          <w:lang w:val="en-US" w:eastAsia="en-GB"/>
        </w:rPr>
      </w:pPr>
      <w:r w:rsidRPr="004C70EC">
        <w:rPr>
          <w:rFonts w:eastAsia="Times New Roman"/>
          <w:noProof/>
          <w:color w:val="000000" w:themeColor="text1"/>
          <w:sz w:val="24"/>
          <w:szCs w:val="24"/>
          <w:bdr w:val="nil"/>
          <w:lang w:val="en-US" w:eastAsia="en-GB"/>
        </w:rPr>
        <w:t>ENHANCING COMPETITIV</w:t>
      </w:r>
      <w:r w:rsidR="006970F5" w:rsidRPr="004C70EC">
        <w:rPr>
          <w:rFonts w:eastAsia="Times New Roman"/>
          <w:noProof/>
          <w:color w:val="000000" w:themeColor="text1"/>
          <w:sz w:val="24"/>
          <w:szCs w:val="24"/>
          <w:bdr w:val="nil"/>
          <w:lang w:val="en-US" w:eastAsia="en-GB"/>
        </w:rPr>
        <w:t>E</w:t>
      </w:r>
      <w:r w:rsidRPr="004C70EC">
        <w:rPr>
          <w:rFonts w:eastAsia="Times New Roman"/>
          <w:noProof/>
          <w:color w:val="000000" w:themeColor="text1"/>
          <w:sz w:val="24"/>
          <w:szCs w:val="24"/>
          <w:bdr w:val="nil"/>
          <w:lang w:val="en-US" w:eastAsia="en-GB"/>
        </w:rPr>
        <w:t xml:space="preserve">NESS IN BIOSIMILARS </w:t>
      </w:r>
    </w:p>
    <w:p w14:paraId="3D0490BA" w14:textId="77777777" w:rsidR="00273F36" w:rsidRPr="004C70EC" w:rsidRDefault="00273F36" w:rsidP="00AA2675">
      <w:pPr>
        <w:pStyle w:val="Titrearticle"/>
        <w:rPr>
          <w:rFonts w:eastAsia="Times New Roman"/>
          <w:i w:val="0"/>
          <w:noProof/>
          <w:color w:val="000000" w:themeColor="text1"/>
          <w:szCs w:val="24"/>
          <w:lang w:eastAsia="en-GB"/>
        </w:rPr>
      </w:pPr>
      <w:r w:rsidRPr="004C70EC">
        <w:rPr>
          <w:rFonts w:eastAsia="Times New Roman"/>
          <w:noProof/>
          <w:color w:val="000000" w:themeColor="text1"/>
          <w:szCs w:val="24"/>
          <w:lang w:eastAsia="en-GB"/>
        </w:rPr>
        <w:t xml:space="preserve">Article </w:t>
      </w:r>
      <w:r w:rsidR="00936199" w:rsidRPr="004C70EC">
        <w:rPr>
          <w:rFonts w:eastAsia="Times New Roman"/>
          <w:noProof/>
          <w:color w:val="000000" w:themeColor="text1"/>
          <w:szCs w:val="24"/>
          <w:lang w:eastAsia="en-GB"/>
        </w:rPr>
        <w:t>2</w:t>
      </w:r>
      <w:r w:rsidR="002955AB" w:rsidRPr="004C70EC">
        <w:rPr>
          <w:rFonts w:eastAsia="Times New Roman"/>
          <w:noProof/>
          <w:color w:val="000000" w:themeColor="text1"/>
          <w:szCs w:val="24"/>
          <w:lang w:eastAsia="en-GB"/>
        </w:rPr>
        <w:t>8</w:t>
      </w:r>
    </w:p>
    <w:p w14:paraId="73310A02" w14:textId="77777777" w:rsidR="00273F36" w:rsidRPr="004C70EC" w:rsidRDefault="00F137C5" w:rsidP="00AA2675">
      <w:pPr>
        <w:keepNext/>
        <w:tabs>
          <w:tab w:val="left" w:pos="850"/>
        </w:tabs>
        <w:ind w:left="850" w:hanging="850"/>
        <w:jc w:val="center"/>
        <w:outlineLvl w:val="1"/>
        <w:rPr>
          <w:rFonts w:eastAsia="Times New Roman"/>
          <w:b/>
          <w:noProof/>
          <w:color w:val="000000" w:themeColor="text1"/>
          <w:lang w:eastAsia="en-GB"/>
        </w:rPr>
      </w:pPr>
      <w:r w:rsidRPr="004C70EC">
        <w:rPr>
          <w:rFonts w:eastAsia="Times New Roman"/>
          <w:b/>
          <w:noProof/>
          <w:color w:val="000000" w:themeColor="text1"/>
          <w:lang w:eastAsia="en-GB"/>
        </w:rPr>
        <w:t xml:space="preserve">Guidance by the </w:t>
      </w:r>
      <w:r w:rsidR="00FA63A3" w:rsidRPr="004C70EC">
        <w:rPr>
          <w:rFonts w:eastAsia="Times New Roman"/>
          <w:b/>
          <w:noProof/>
          <w:color w:val="000000" w:themeColor="text1"/>
          <w:lang w:eastAsia="en-GB"/>
        </w:rPr>
        <w:t>Agency</w:t>
      </w:r>
      <w:r w:rsidR="00273F36" w:rsidRPr="004C70EC">
        <w:rPr>
          <w:rFonts w:eastAsia="Times New Roman"/>
          <w:b/>
          <w:noProof/>
          <w:color w:val="000000" w:themeColor="text1"/>
          <w:lang w:eastAsia="en-GB"/>
        </w:rPr>
        <w:t xml:space="preserve"> on </w:t>
      </w:r>
      <w:r w:rsidR="005A2375" w:rsidRPr="004C70EC">
        <w:rPr>
          <w:rFonts w:eastAsia="Times New Roman"/>
          <w:b/>
          <w:noProof/>
          <w:color w:val="000000" w:themeColor="text1"/>
          <w:lang w:eastAsia="en-GB"/>
        </w:rPr>
        <w:t>b</w:t>
      </w:r>
      <w:r w:rsidR="00273F36" w:rsidRPr="004C70EC">
        <w:rPr>
          <w:rFonts w:eastAsia="Times New Roman"/>
          <w:b/>
          <w:noProof/>
          <w:color w:val="000000" w:themeColor="text1"/>
          <w:lang w:eastAsia="en-GB"/>
        </w:rPr>
        <w:t xml:space="preserve">iosimilars </w:t>
      </w:r>
    </w:p>
    <w:p w14:paraId="3B59D1C8" w14:textId="77777777" w:rsidR="00273F36" w:rsidRPr="004C70EC" w:rsidRDefault="2F263E33" w:rsidP="00AA2675">
      <w:pPr>
        <w:spacing w:before="0" w:after="160" w:line="259" w:lineRule="auto"/>
        <w:rPr>
          <w:noProof/>
          <w:color w:val="000000" w:themeColor="text1"/>
          <w:szCs w:val="24"/>
        </w:rPr>
      </w:pPr>
      <w:r w:rsidRPr="004C70EC">
        <w:rPr>
          <w:noProof/>
          <w:color w:val="000000" w:themeColor="text1"/>
          <w:szCs w:val="24"/>
        </w:rPr>
        <w:t>T</w:t>
      </w:r>
      <w:r w:rsidRPr="004C70EC">
        <w:rPr>
          <w:noProof/>
          <w:color w:val="000000" w:themeColor="text1"/>
          <w:szCs w:val="24"/>
          <w:lang w:eastAsia="ja-JP"/>
        </w:rPr>
        <w:t>he Agency, in consultation with the Commission, shall develop and update</w:t>
      </w:r>
      <w:r w:rsidR="00F137C5" w:rsidRPr="004C70EC">
        <w:rPr>
          <w:noProof/>
          <w:color w:val="000000" w:themeColor="text1"/>
          <w:szCs w:val="24"/>
          <w:lang w:eastAsia="ja-JP"/>
        </w:rPr>
        <w:t xml:space="preserve"> non-binding</w:t>
      </w:r>
      <w:r w:rsidRPr="004C70EC">
        <w:rPr>
          <w:noProof/>
          <w:color w:val="000000" w:themeColor="text1"/>
          <w:szCs w:val="24"/>
          <w:lang w:eastAsia="ja-JP"/>
        </w:rPr>
        <w:t xml:space="preserve"> guidance on a tailored regulatory approach for </w:t>
      </w:r>
      <w:r w:rsidR="3985BD7C" w:rsidRPr="004C70EC">
        <w:rPr>
          <w:noProof/>
          <w:color w:val="000000" w:themeColor="text1"/>
          <w:szCs w:val="24"/>
          <w:lang w:eastAsia="ja-JP"/>
        </w:rPr>
        <w:t>the</w:t>
      </w:r>
      <w:r w:rsidRPr="004C70EC">
        <w:rPr>
          <w:noProof/>
          <w:color w:val="000000" w:themeColor="text1"/>
          <w:szCs w:val="24"/>
          <w:lang w:eastAsia="ja-JP"/>
        </w:rPr>
        <w:t xml:space="preserve"> development</w:t>
      </w:r>
      <w:r w:rsidR="37C3A447" w:rsidRPr="004C70EC">
        <w:rPr>
          <w:noProof/>
          <w:color w:val="000000" w:themeColor="text1"/>
          <w:szCs w:val="24"/>
          <w:lang w:eastAsia="ja-JP"/>
        </w:rPr>
        <w:t xml:space="preserve"> of biosimilars</w:t>
      </w:r>
      <w:r w:rsidRPr="004C70EC">
        <w:rPr>
          <w:noProof/>
          <w:color w:val="000000" w:themeColor="text1"/>
          <w:szCs w:val="24"/>
          <w:lang w:eastAsia="ja-JP"/>
        </w:rPr>
        <w:t xml:space="preserve">, reflecting advances in manufacturing and analytical testing. The guidance shall consider a potential reduction of the clinical data required for the development and approval of biosimilars, </w:t>
      </w:r>
      <w:r w:rsidRPr="004C70EC">
        <w:rPr>
          <w:noProof/>
          <w:color w:val="000000" w:themeColor="text1"/>
          <w:szCs w:val="24"/>
        </w:rPr>
        <w:t>without affecting their quality, safety and efficacy.</w:t>
      </w:r>
    </w:p>
    <w:p w14:paraId="7FD1C496" w14:textId="77777777" w:rsidR="00273F36" w:rsidRPr="004C70EC" w:rsidRDefault="00273F36" w:rsidP="00AA2675">
      <w:pPr>
        <w:pStyle w:val="Titrearticle"/>
        <w:rPr>
          <w:rFonts w:eastAsia="Times New Roman"/>
          <w:i w:val="0"/>
          <w:noProof/>
          <w:color w:val="000000" w:themeColor="text1"/>
          <w:szCs w:val="24"/>
          <w:lang w:eastAsia="en-GB"/>
        </w:rPr>
      </w:pPr>
      <w:r w:rsidRPr="004C70EC">
        <w:rPr>
          <w:rFonts w:eastAsia="Times New Roman"/>
          <w:noProof/>
          <w:color w:val="000000" w:themeColor="text1"/>
          <w:szCs w:val="24"/>
          <w:lang w:eastAsia="en-GB"/>
        </w:rPr>
        <w:t xml:space="preserve">Article </w:t>
      </w:r>
      <w:r w:rsidR="00AA2D6C" w:rsidRPr="004C70EC">
        <w:rPr>
          <w:rFonts w:eastAsia="Times New Roman"/>
          <w:noProof/>
          <w:color w:val="000000" w:themeColor="text1"/>
          <w:szCs w:val="24"/>
          <w:lang w:eastAsia="en-GB"/>
        </w:rPr>
        <w:t>2</w:t>
      </w:r>
      <w:r w:rsidR="002955AB" w:rsidRPr="004C70EC">
        <w:rPr>
          <w:rFonts w:eastAsia="Times New Roman"/>
          <w:noProof/>
          <w:color w:val="000000" w:themeColor="text1"/>
          <w:szCs w:val="24"/>
          <w:lang w:eastAsia="en-GB"/>
        </w:rPr>
        <w:t>9</w:t>
      </w:r>
    </w:p>
    <w:p w14:paraId="2D6FB404" w14:textId="77777777" w:rsidR="00273F36" w:rsidRPr="004C70EC" w:rsidRDefault="00BB1387" w:rsidP="33CE1D06">
      <w:pPr>
        <w:keepNext/>
        <w:tabs>
          <w:tab w:val="left" w:pos="850"/>
        </w:tabs>
        <w:ind w:left="850" w:hanging="850"/>
        <w:jc w:val="center"/>
        <w:outlineLvl w:val="1"/>
        <w:rPr>
          <w:rFonts w:eastAsia="Times New Roman"/>
          <w:b/>
          <w:bCs/>
          <w:noProof/>
          <w:color w:val="000000" w:themeColor="text1"/>
          <w:szCs w:val="24"/>
          <w:lang w:eastAsia="en-GB"/>
        </w:rPr>
      </w:pPr>
      <w:bookmarkStart w:id="29" w:name="_Hlk213317140"/>
      <w:r w:rsidRPr="004C70EC">
        <w:rPr>
          <w:rFonts w:eastAsia="Times New Roman"/>
          <w:b/>
          <w:bCs/>
          <w:noProof/>
          <w:color w:val="000000" w:themeColor="text1"/>
          <w:szCs w:val="24"/>
          <w:lang w:eastAsia="en-GB"/>
        </w:rPr>
        <w:t>B</w:t>
      </w:r>
      <w:r w:rsidR="4E3B2248" w:rsidRPr="004C70EC">
        <w:rPr>
          <w:rFonts w:eastAsia="Times New Roman"/>
          <w:b/>
          <w:bCs/>
          <w:noProof/>
          <w:color w:val="000000" w:themeColor="text1"/>
          <w:szCs w:val="24"/>
          <w:lang w:eastAsia="en-GB"/>
        </w:rPr>
        <w:t xml:space="preserve">iotechnology </w:t>
      </w:r>
      <w:r w:rsidRPr="004C70EC">
        <w:rPr>
          <w:rFonts w:eastAsia="Times New Roman"/>
          <w:b/>
          <w:bCs/>
          <w:noProof/>
          <w:color w:val="000000" w:themeColor="text1"/>
          <w:szCs w:val="24"/>
          <w:lang w:eastAsia="en-GB"/>
        </w:rPr>
        <w:t>health s</w:t>
      </w:r>
      <w:r w:rsidR="2F263E33" w:rsidRPr="004C70EC">
        <w:rPr>
          <w:rFonts w:eastAsia="Times New Roman"/>
          <w:b/>
          <w:bCs/>
          <w:noProof/>
          <w:color w:val="000000" w:themeColor="text1"/>
          <w:szCs w:val="24"/>
          <w:lang w:eastAsia="en-GB"/>
        </w:rPr>
        <w:t xml:space="preserve">trategic </w:t>
      </w:r>
      <w:r w:rsidR="7245B01F" w:rsidRPr="004C70EC">
        <w:rPr>
          <w:rFonts w:eastAsia="Times New Roman"/>
          <w:b/>
          <w:bCs/>
          <w:noProof/>
          <w:color w:val="000000" w:themeColor="text1"/>
          <w:szCs w:val="24"/>
          <w:lang w:eastAsia="en-GB"/>
        </w:rPr>
        <w:t>p</w:t>
      </w:r>
      <w:r w:rsidR="2F263E33" w:rsidRPr="004C70EC">
        <w:rPr>
          <w:rFonts w:eastAsia="Times New Roman"/>
          <w:b/>
          <w:bCs/>
          <w:noProof/>
          <w:color w:val="000000" w:themeColor="text1"/>
          <w:szCs w:val="24"/>
          <w:lang w:eastAsia="en-GB"/>
        </w:rPr>
        <w:t xml:space="preserve">rojects for </w:t>
      </w:r>
      <w:r w:rsidR="7245B01F" w:rsidRPr="004C70EC">
        <w:rPr>
          <w:rFonts w:eastAsia="Times New Roman"/>
          <w:b/>
          <w:bCs/>
          <w:noProof/>
          <w:color w:val="000000" w:themeColor="text1"/>
          <w:szCs w:val="24"/>
          <w:lang w:eastAsia="en-GB"/>
        </w:rPr>
        <w:t>b</w:t>
      </w:r>
      <w:r w:rsidR="2F263E33" w:rsidRPr="004C70EC">
        <w:rPr>
          <w:rFonts w:eastAsia="Times New Roman"/>
          <w:b/>
          <w:bCs/>
          <w:noProof/>
          <w:color w:val="000000" w:themeColor="text1"/>
          <w:szCs w:val="24"/>
          <w:lang w:eastAsia="en-GB"/>
        </w:rPr>
        <w:t xml:space="preserve">iosimilars </w:t>
      </w:r>
    </w:p>
    <w:bookmarkEnd w:id="29"/>
    <w:p w14:paraId="3159CB4E" w14:textId="77777777" w:rsidR="00BB1387" w:rsidRPr="004C70EC" w:rsidRDefault="00F137C5" w:rsidP="33CE1D06">
      <w:pPr>
        <w:spacing w:before="0" w:after="160" w:line="259" w:lineRule="auto"/>
        <w:rPr>
          <w:noProof/>
          <w:color w:val="000000" w:themeColor="text1"/>
          <w:szCs w:val="24"/>
        </w:rPr>
      </w:pPr>
      <w:r w:rsidRPr="004C70EC">
        <w:rPr>
          <w:noProof/>
          <w:color w:val="000000" w:themeColor="text1"/>
          <w:szCs w:val="24"/>
        </w:rPr>
        <w:t xml:space="preserve">To enable access to the support measures </w:t>
      </w:r>
      <w:r w:rsidR="004730E3" w:rsidRPr="004C70EC">
        <w:rPr>
          <w:noProof/>
          <w:color w:val="000000" w:themeColor="text1"/>
          <w:szCs w:val="24"/>
        </w:rPr>
        <w:t>l</w:t>
      </w:r>
      <w:r w:rsidRPr="004C70EC">
        <w:rPr>
          <w:noProof/>
          <w:color w:val="000000" w:themeColor="text1"/>
          <w:szCs w:val="24"/>
        </w:rPr>
        <w:t xml:space="preserve">aid down in </w:t>
      </w:r>
      <w:r w:rsidR="2FBB2F67" w:rsidRPr="004C70EC">
        <w:rPr>
          <w:noProof/>
          <w:color w:val="000000" w:themeColor="text1"/>
          <w:szCs w:val="24"/>
        </w:rPr>
        <w:t xml:space="preserve">Section II </w:t>
      </w:r>
      <w:r w:rsidR="7DB58EC8" w:rsidRPr="004C70EC">
        <w:rPr>
          <w:noProof/>
          <w:color w:val="000000" w:themeColor="text1"/>
          <w:szCs w:val="24"/>
        </w:rPr>
        <w:t>o</w:t>
      </w:r>
      <w:r w:rsidR="0B6DAA80" w:rsidRPr="004C70EC">
        <w:rPr>
          <w:noProof/>
          <w:color w:val="000000" w:themeColor="text1"/>
          <w:szCs w:val="24"/>
        </w:rPr>
        <w:t>f</w:t>
      </w:r>
      <w:r w:rsidR="7DB58EC8" w:rsidRPr="004C70EC">
        <w:rPr>
          <w:noProof/>
          <w:color w:val="000000" w:themeColor="text1"/>
          <w:szCs w:val="24"/>
        </w:rPr>
        <w:t xml:space="preserve"> Chapter II, </w:t>
      </w:r>
      <w:r w:rsidR="00BB1387" w:rsidRPr="004C70EC">
        <w:rPr>
          <w:noProof/>
          <w:color w:val="000000" w:themeColor="text1"/>
          <w:szCs w:val="24"/>
        </w:rPr>
        <w:t xml:space="preserve">Member States shall recognise projects located in the Union as biotechnology health </w:t>
      </w:r>
      <w:r w:rsidRPr="004C70EC">
        <w:rPr>
          <w:noProof/>
          <w:color w:val="000000" w:themeColor="text1"/>
          <w:szCs w:val="24"/>
        </w:rPr>
        <w:t>strategic project</w:t>
      </w:r>
      <w:r w:rsidR="004730E3" w:rsidRPr="004C70EC">
        <w:rPr>
          <w:noProof/>
          <w:color w:val="000000" w:themeColor="text1"/>
          <w:szCs w:val="24"/>
        </w:rPr>
        <w:t>s</w:t>
      </w:r>
      <w:r w:rsidRPr="004C70EC">
        <w:rPr>
          <w:noProof/>
          <w:color w:val="000000" w:themeColor="text1"/>
          <w:szCs w:val="24"/>
        </w:rPr>
        <w:t xml:space="preserve"> </w:t>
      </w:r>
      <w:r w:rsidR="00BB1387" w:rsidRPr="004C70EC">
        <w:rPr>
          <w:noProof/>
          <w:color w:val="000000" w:themeColor="text1"/>
          <w:szCs w:val="24"/>
        </w:rPr>
        <w:t xml:space="preserve">in the form of biotechnology health strategic projects for biosimilars only where they </w:t>
      </w:r>
      <w:r w:rsidR="2F263E33" w:rsidRPr="004C70EC">
        <w:rPr>
          <w:noProof/>
          <w:color w:val="000000" w:themeColor="text1"/>
          <w:szCs w:val="24"/>
        </w:rPr>
        <w:t>make a substantial contribution to at least one the specific objectives referred to in Article [</w:t>
      </w:r>
      <w:r w:rsidR="002E50FB" w:rsidRPr="004C70EC">
        <w:rPr>
          <w:noProof/>
          <w:color w:val="000000" w:themeColor="text1"/>
          <w:szCs w:val="24"/>
        </w:rPr>
        <w:t>3</w:t>
      </w:r>
      <w:r w:rsidR="2F263E33" w:rsidRPr="004C70EC">
        <w:rPr>
          <w:noProof/>
          <w:color w:val="000000" w:themeColor="text1"/>
          <w:szCs w:val="24"/>
        </w:rPr>
        <w:t>][</w:t>
      </w:r>
      <w:r w:rsidR="00E01C56" w:rsidRPr="004C70EC">
        <w:rPr>
          <w:noProof/>
          <w:color w:val="000000" w:themeColor="text1"/>
          <w:szCs w:val="24"/>
        </w:rPr>
        <w:t>(</w:t>
      </w:r>
      <w:r w:rsidR="2F263E33" w:rsidRPr="004C70EC">
        <w:rPr>
          <w:noProof/>
          <w:color w:val="000000" w:themeColor="text1"/>
          <w:szCs w:val="24"/>
        </w:rPr>
        <w:t>1</w:t>
      </w:r>
      <w:r w:rsidR="00E01C56" w:rsidRPr="004C70EC">
        <w:rPr>
          <w:noProof/>
          <w:color w:val="000000" w:themeColor="text1"/>
          <w:szCs w:val="24"/>
        </w:rPr>
        <w:t>)</w:t>
      </w:r>
      <w:r w:rsidR="2F263E33" w:rsidRPr="004C70EC">
        <w:rPr>
          <w:noProof/>
          <w:color w:val="000000" w:themeColor="text1"/>
          <w:szCs w:val="24"/>
        </w:rPr>
        <w:t>] and fulfil either of the following conditions:</w:t>
      </w:r>
    </w:p>
    <w:p w14:paraId="5CD93E9C" w14:textId="77777777" w:rsidR="00273F36" w:rsidRPr="004C70EC" w:rsidRDefault="00AA2675" w:rsidP="00AA2675">
      <w:pPr>
        <w:pStyle w:val="Point0"/>
        <w:rPr>
          <w:rFonts w:eastAsiaTheme="minorEastAsia"/>
          <w:noProof/>
          <w:color w:val="000000" w:themeColor="text1"/>
          <w:szCs w:val="24"/>
          <w:lang w:eastAsia="ja-JP"/>
        </w:rPr>
      </w:pPr>
      <w:r w:rsidRPr="004C70EC">
        <w:rPr>
          <w:noProof/>
          <w:color w:val="000000" w:themeColor="text1"/>
          <w:szCs w:val="24"/>
          <w:lang w:eastAsia="en-GB"/>
        </w:rPr>
        <w:t>(a)</w:t>
      </w:r>
      <w:r w:rsidRPr="004C70EC">
        <w:rPr>
          <w:noProof/>
          <w:color w:val="000000" w:themeColor="text1"/>
          <w:szCs w:val="24"/>
          <w:lang w:eastAsia="en-GB"/>
        </w:rPr>
        <w:tab/>
      </w:r>
      <w:r w:rsidR="00BB1387" w:rsidRPr="004C70EC">
        <w:rPr>
          <w:noProof/>
          <w:color w:val="000000" w:themeColor="text1"/>
          <w:szCs w:val="24"/>
          <w:lang w:eastAsia="en-GB"/>
        </w:rPr>
        <w:t xml:space="preserve">they </w:t>
      </w:r>
      <w:r w:rsidR="00273F36" w:rsidRPr="004C70EC">
        <w:rPr>
          <w:noProof/>
          <w:color w:val="000000" w:themeColor="text1"/>
          <w:szCs w:val="24"/>
          <w:lang w:eastAsia="en-GB"/>
        </w:rPr>
        <w:t xml:space="preserve">contribute to the setting up and extension of innovative biomanufacturing capacity, and infrastructures for analytical testing procedures; </w:t>
      </w:r>
    </w:p>
    <w:p w14:paraId="1543C742" w14:textId="77777777" w:rsidR="00273F36" w:rsidRPr="004C70EC" w:rsidRDefault="00AA2675" w:rsidP="00AA2675">
      <w:pPr>
        <w:pStyle w:val="Point0"/>
        <w:rPr>
          <w:rFonts w:eastAsia="Times New Roman"/>
          <w:noProof/>
          <w:color w:val="000000" w:themeColor="text1"/>
          <w:lang w:eastAsia="en-GB"/>
        </w:rPr>
      </w:pPr>
      <w:r w:rsidRPr="004C70EC">
        <w:rPr>
          <w:rFonts w:eastAsiaTheme="minorEastAsia"/>
          <w:noProof/>
          <w:color w:val="000000" w:themeColor="text1"/>
          <w:lang w:eastAsia="en-GB"/>
        </w:rPr>
        <w:t>(b)</w:t>
      </w:r>
      <w:r w:rsidRPr="004C70EC">
        <w:rPr>
          <w:noProof/>
        </w:rPr>
        <w:tab/>
      </w:r>
      <w:r w:rsidR="00BB1387" w:rsidRPr="004C70EC">
        <w:rPr>
          <w:rFonts w:eastAsiaTheme="minorEastAsia"/>
          <w:noProof/>
          <w:color w:val="000000" w:themeColor="text1"/>
          <w:lang w:eastAsia="en-GB"/>
        </w:rPr>
        <w:t xml:space="preserve">they </w:t>
      </w:r>
      <w:r w:rsidR="00273F36" w:rsidRPr="004C70EC">
        <w:rPr>
          <w:rFonts w:eastAsiaTheme="minorEastAsia"/>
          <w:noProof/>
          <w:color w:val="000000" w:themeColor="text1"/>
          <w:lang w:eastAsia="en-GB"/>
        </w:rPr>
        <w:t xml:space="preserve">contribute to the research, development and marketing authorisation of biosimilars, and where appropriate to </w:t>
      </w:r>
      <w:r w:rsidR="012673A1" w:rsidRPr="004C70EC">
        <w:rPr>
          <w:rFonts w:eastAsiaTheme="minorEastAsia"/>
          <w:noProof/>
          <w:color w:val="000000" w:themeColor="text1"/>
          <w:lang w:eastAsia="en-GB"/>
        </w:rPr>
        <w:t>strengthen</w:t>
      </w:r>
      <w:r w:rsidR="3EE29D2E" w:rsidRPr="004C70EC">
        <w:rPr>
          <w:rFonts w:eastAsiaTheme="minorEastAsia"/>
          <w:noProof/>
          <w:color w:val="000000" w:themeColor="text1"/>
          <w:lang w:eastAsia="en-GB"/>
        </w:rPr>
        <w:t>ing</w:t>
      </w:r>
      <w:r w:rsidR="00273F36" w:rsidRPr="004C70EC">
        <w:rPr>
          <w:rFonts w:eastAsiaTheme="minorEastAsia"/>
          <w:noProof/>
          <w:color w:val="000000" w:themeColor="text1"/>
          <w:lang w:eastAsia="en-GB"/>
        </w:rPr>
        <w:t xml:space="preserve"> the use of platform technologies; </w:t>
      </w:r>
      <w:r w:rsidR="012673A1" w:rsidRPr="004C70EC">
        <w:rPr>
          <w:rFonts w:eastAsiaTheme="minorEastAsia"/>
          <w:noProof/>
          <w:color w:val="000000" w:themeColor="text1"/>
          <w:lang w:eastAsia="en-GB"/>
        </w:rPr>
        <w:t>t</w:t>
      </w:r>
      <w:r w:rsidR="78BCD84E" w:rsidRPr="004C70EC">
        <w:rPr>
          <w:rFonts w:eastAsiaTheme="minorEastAsia"/>
          <w:noProof/>
          <w:color w:val="000000" w:themeColor="text1"/>
          <w:lang w:eastAsia="en-GB"/>
        </w:rPr>
        <w:t>his</w:t>
      </w:r>
      <w:r w:rsidR="00273F36" w:rsidRPr="004C70EC">
        <w:rPr>
          <w:rFonts w:eastAsiaTheme="minorEastAsia"/>
          <w:noProof/>
          <w:color w:val="000000" w:themeColor="text1"/>
          <w:lang w:eastAsia="en-GB"/>
        </w:rPr>
        <w:t xml:space="preserve"> includes analytical methodologies </w:t>
      </w:r>
      <w:r w:rsidR="00273F36" w:rsidRPr="004C70EC">
        <w:rPr>
          <w:rFonts w:eastAsia="Times New Roman"/>
          <w:noProof/>
          <w:color w:val="000000" w:themeColor="text1"/>
          <w:lang w:eastAsia="en-GB"/>
        </w:rPr>
        <w:t>that would reduce the need for clinical data for biosimilars, without affecting their quality, safety and efficacy.</w:t>
      </w:r>
    </w:p>
    <w:p w14:paraId="643FE79F" w14:textId="77777777" w:rsidR="00273F36" w:rsidRPr="004C70EC" w:rsidRDefault="00273F36" w:rsidP="00A664B2">
      <w:pPr>
        <w:pStyle w:val="Titrearticle"/>
        <w:rPr>
          <w:rFonts w:eastAsia="Times New Roman"/>
          <w:i w:val="0"/>
          <w:noProof/>
          <w:color w:val="000000" w:themeColor="text1"/>
          <w:szCs w:val="24"/>
          <w:lang w:eastAsia="en-GB"/>
        </w:rPr>
      </w:pPr>
      <w:r w:rsidRPr="004C70EC">
        <w:rPr>
          <w:rFonts w:eastAsia="Times New Roman"/>
          <w:noProof/>
          <w:color w:val="000000" w:themeColor="text1"/>
          <w:szCs w:val="24"/>
          <w:lang w:eastAsia="en-GB"/>
        </w:rPr>
        <w:t xml:space="preserve">Article </w:t>
      </w:r>
      <w:r w:rsidR="002955AB" w:rsidRPr="004C70EC">
        <w:rPr>
          <w:rFonts w:eastAsia="Times New Roman"/>
          <w:noProof/>
          <w:color w:val="000000" w:themeColor="text1"/>
          <w:szCs w:val="24"/>
          <w:lang w:eastAsia="en-GB"/>
        </w:rPr>
        <w:t>30</w:t>
      </w:r>
    </w:p>
    <w:p w14:paraId="02A5A4E5" w14:textId="77777777" w:rsidR="00273F36" w:rsidRPr="004C70EC" w:rsidRDefault="00273F36" w:rsidP="00273F36">
      <w:pPr>
        <w:spacing w:before="0" w:after="160" w:line="279" w:lineRule="auto"/>
        <w:jc w:val="center"/>
        <w:rPr>
          <w:rFonts w:eastAsia="Times New Roman"/>
          <w:i/>
          <w:noProof/>
          <w:color w:val="000000" w:themeColor="text1"/>
          <w:szCs w:val="24"/>
          <w:lang w:eastAsia="en-GB"/>
        </w:rPr>
      </w:pPr>
      <w:r w:rsidRPr="004C70EC">
        <w:rPr>
          <w:rFonts w:eastAsia="Times New Roman"/>
          <w:b/>
          <w:noProof/>
          <w:color w:val="000000" w:themeColor="text1"/>
          <w:szCs w:val="24"/>
          <w:lang w:eastAsia="en-GB"/>
        </w:rPr>
        <w:t xml:space="preserve">International </w:t>
      </w:r>
      <w:r w:rsidR="005A2375" w:rsidRPr="004C70EC">
        <w:rPr>
          <w:rFonts w:eastAsia="Times New Roman"/>
          <w:b/>
          <w:noProof/>
          <w:color w:val="000000" w:themeColor="text1"/>
          <w:szCs w:val="24"/>
          <w:lang w:eastAsia="en-GB"/>
        </w:rPr>
        <w:t>p</w:t>
      </w:r>
      <w:r w:rsidRPr="004C70EC">
        <w:rPr>
          <w:rFonts w:eastAsia="Times New Roman"/>
          <w:b/>
          <w:noProof/>
          <w:color w:val="000000" w:themeColor="text1"/>
          <w:szCs w:val="24"/>
          <w:lang w:eastAsia="en-GB"/>
        </w:rPr>
        <w:t>artnerships</w:t>
      </w:r>
    </w:p>
    <w:p w14:paraId="27B38869" w14:textId="77777777" w:rsidR="00E01C56" w:rsidRPr="004C70EC" w:rsidRDefault="2F263E33" w:rsidP="33CE1D06">
      <w:pPr>
        <w:spacing w:before="0" w:after="160" w:line="259" w:lineRule="auto"/>
        <w:rPr>
          <w:rFonts w:eastAsia="Times New Roman"/>
          <w:noProof/>
          <w:color w:val="000000" w:themeColor="text1"/>
          <w:lang w:eastAsia="en-GB"/>
        </w:rPr>
      </w:pPr>
      <w:r w:rsidRPr="004C70EC">
        <w:rPr>
          <w:rFonts w:eastAsia="Times New Roman"/>
          <w:noProof/>
          <w:color w:val="000000" w:themeColor="text1"/>
          <w:lang w:eastAsia="en-GB"/>
        </w:rPr>
        <w:t xml:space="preserve">Where appropriate, promoters of projects related to biosimilars and other companies working in this area, shall explore opportunities to establish or strengthen cooperation with international biotechnology clusters, including with a view to </w:t>
      </w:r>
      <w:r w:rsidR="38996D0B" w:rsidRPr="004C70EC">
        <w:rPr>
          <w:rFonts w:eastAsia="Times New Roman"/>
          <w:noProof/>
          <w:color w:val="000000" w:themeColor="text1"/>
          <w:lang w:eastAsia="en-GB"/>
        </w:rPr>
        <w:t>fulfil</w:t>
      </w:r>
      <w:r w:rsidR="132734F0" w:rsidRPr="004C70EC">
        <w:rPr>
          <w:rFonts w:eastAsia="Times New Roman"/>
          <w:noProof/>
          <w:color w:val="000000" w:themeColor="text1"/>
          <w:lang w:eastAsia="en-GB"/>
        </w:rPr>
        <w:t>ling</w:t>
      </w:r>
      <w:r w:rsidRPr="004C70EC">
        <w:rPr>
          <w:rFonts w:eastAsia="Times New Roman"/>
          <w:noProof/>
          <w:color w:val="000000" w:themeColor="text1"/>
          <w:lang w:eastAsia="en-GB"/>
        </w:rPr>
        <w:t xml:space="preserve"> the conditions referred to in Article [</w:t>
      </w:r>
      <w:r w:rsidR="00BB1387" w:rsidRPr="004C70EC">
        <w:rPr>
          <w:rFonts w:eastAsia="Times New Roman"/>
          <w:noProof/>
          <w:color w:val="000000" w:themeColor="text1"/>
          <w:lang w:eastAsia="en-GB"/>
        </w:rPr>
        <w:t>29</w:t>
      </w:r>
      <w:r w:rsidRPr="004C70EC">
        <w:rPr>
          <w:rFonts w:eastAsia="Times New Roman"/>
          <w:noProof/>
          <w:color w:val="000000" w:themeColor="text1"/>
          <w:lang w:eastAsia="en-GB"/>
        </w:rPr>
        <w:t xml:space="preserve">] for the recognition of </w:t>
      </w:r>
      <w:r w:rsidR="413E2F12" w:rsidRPr="004C70EC">
        <w:rPr>
          <w:rFonts w:eastAsia="Times New Roman"/>
          <w:noProof/>
          <w:color w:val="000000" w:themeColor="text1"/>
          <w:lang w:eastAsia="en-GB"/>
        </w:rPr>
        <w:t xml:space="preserve">biotechnology </w:t>
      </w:r>
      <w:r w:rsidR="00BB1387" w:rsidRPr="004C70EC">
        <w:rPr>
          <w:rFonts w:eastAsia="Times New Roman"/>
          <w:noProof/>
          <w:color w:val="000000" w:themeColor="text1"/>
          <w:lang w:eastAsia="en-GB"/>
        </w:rPr>
        <w:t xml:space="preserve">health </w:t>
      </w:r>
      <w:r w:rsidRPr="004C70EC">
        <w:rPr>
          <w:rFonts w:eastAsia="Times New Roman"/>
          <w:noProof/>
          <w:color w:val="000000" w:themeColor="text1"/>
          <w:lang w:eastAsia="en-GB"/>
        </w:rPr>
        <w:t>strategic projects for biosimilars.</w:t>
      </w:r>
    </w:p>
    <w:p w14:paraId="2D84E5DC" w14:textId="77777777" w:rsidR="00E01C56" w:rsidRPr="004C70EC" w:rsidRDefault="00E01C56" w:rsidP="33CE1D06">
      <w:pPr>
        <w:spacing w:before="0" w:after="160" w:line="259" w:lineRule="auto"/>
        <w:rPr>
          <w:rFonts w:eastAsia="Times New Roman"/>
          <w:noProof/>
          <w:color w:val="000000" w:themeColor="text1"/>
          <w:szCs w:val="24"/>
          <w:lang w:eastAsia="en-GB"/>
        </w:rPr>
      </w:pPr>
    </w:p>
    <w:p w14:paraId="5E72FEDD" w14:textId="77777777" w:rsidR="00273F36" w:rsidRPr="004C70EC" w:rsidRDefault="00273F36" w:rsidP="00A664B2">
      <w:pPr>
        <w:pStyle w:val="ChapterTitle"/>
        <w:rPr>
          <w:noProof/>
          <w:color w:val="000000" w:themeColor="text1"/>
          <w:sz w:val="24"/>
          <w:szCs w:val="24"/>
          <w:lang w:eastAsia="en-GB"/>
        </w:rPr>
      </w:pPr>
      <w:r w:rsidRPr="004C70EC">
        <w:rPr>
          <w:noProof/>
          <w:color w:val="000000" w:themeColor="text1"/>
          <w:sz w:val="24"/>
          <w:szCs w:val="24"/>
          <w:lang w:eastAsia="en-GB"/>
        </w:rPr>
        <w:t>CHAPTER VI</w:t>
      </w:r>
    </w:p>
    <w:p w14:paraId="7CA84B3C" w14:textId="77777777" w:rsidR="00273F36" w:rsidRPr="004C70EC" w:rsidRDefault="00107452" w:rsidP="00936199">
      <w:pPr>
        <w:pStyle w:val="ChapterTitle"/>
        <w:rPr>
          <w:rFonts w:eastAsia="Times New Roman"/>
          <w:b w:val="0"/>
          <w:noProof/>
          <w:color w:val="000000" w:themeColor="text1"/>
          <w:sz w:val="24"/>
          <w:szCs w:val="24"/>
          <w:lang w:eastAsia="en-GB"/>
        </w:rPr>
      </w:pPr>
      <w:r w:rsidRPr="004C70EC">
        <w:rPr>
          <w:rFonts w:eastAsia="Times New Roman"/>
          <w:noProof/>
          <w:color w:val="000000" w:themeColor="text1"/>
          <w:sz w:val="24"/>
          <w:szCs w:val="24"/>
          <w:bdr w:val="nil"/>
          <w:lang w:val="en-US" w:eastAsia="en-GB"/>
        </w:rPr>
        <w:t>ARTIFICIAL INTELLIGENCE AND DATA AS BIOTECHNOLOGY ENABLERS</w:t>
      </w:r>
    </w:p>
    <w:p w14:paraId="5F5B2CAA" w14:textId="77777777" w:rsidR="00273F36" w:rsidRPr="004C70EC" w:rsidRDefault="00273F36" w:rsidP="00A664B2">
      <w:pPr>
        <w:pStyle w:val="Titrearticle"/>
        <w:rPr>
          <w:rFonts w:eastAsiaTheme="minorEastAsia"/>
          <w:i w:val="0"/>
          <w:iCs/>
          <w:noProof/>
          <w:color w:val="000000" w:themeColor="text1"/>
          <w:szCs w:val="24"/>
          <w:lang w:val="en-IE" w:eastAsia="ja-JP"/>
        </w:rPr>
      </w:pPr>
      <w:r w:rsidRPr="004C70EC">
        <w:rPr>
          <w:rFonts w:eastAsiaTheme="minorEastAsia"/>
          <w:iCs/>
          <w:noProof/>
          <w:color w:val="000000" w:themeColor="text1"/>
          <w:szCs w:val="24"/>
          <w:lang w:val="en-IE" w:eastAsia="ja-JP"/>
        </w:rPr>
        <w:t>Article 3</w:t>
      </w:r>
      <w:r w:rsidR="002955AB" w:rsidRPr="004C70EC">
        <w:rPr>
          <w:rFonts w:eastAsiaTheme="minorEastAsia"/>
          <w:iCs/>
          <w:noProof/>
          <w:color w:val="000000" w:themeColor="text1"/>
          <w:szCs w:val="24"/>
          <w:lang w:val="en-IE" w:eastAsia="ja-JP"/>
        </w:rPr>
        <w:t>1</w:t>
      </w:r>
    </w:p>
    <w:p w14:paraId="47CD56F1" w14:textId="77777777" w:rsidR="00273F36" w:rsidRPr="004C70EC" w:rsidRDefault="00273F36" w:rsidP="00273F36">
      <w:pPr>
        <w:keepNext/>
        <w:tabs>
          <w:tab w:val="left" w:pos="850"/>
        </w:tabs>
        <w:spacing w:line="276" w:lineRule="auto"/>
        <w:ind w:left="850" w:hanging="850"/>
        <w:jc w:val="center"/>
        <w:outlineLvl w:val="2"/>
        <w:rPr>
          <w:rFonts w:eastAsiaTheme="minorEastAsia"/>
          <w:b/>
          <w:bCs/>
          <w:noProof/>
          <w:color w:val="000000" w:themeColor="text1"/>
          <w:szCs w:val="24"/>
          <w:lang w:eastAsia="ja-JP"/>
        </w:rPr>
      </w:pPr>
      <w:r w:rsidRPr="004C70EC">
        <w:rPr>
          <w:rFonts w:eastAsiaTheme="minorEastAsia"/>
          <w:b/>
          <w:bCs/>
          <w:noProof/>
          <w:color w:val="000000" w:themeColor="text1"/>
          <w:szCs w:val="24"/>
          <w:lang w:eastAsia="ja-JP"/>
        </w:rPr>
        <w:t>Guidance on the deployment and use of systems based on advanced technologies, including AI, in the lifecycle of medicinal products</w:t>
      </w:r>
    </w:p>
    <w:p w14:paraId="2B8D2595" w14:textId="77777777" w:rsidR="00273F36" w:rsidRPr="004C70EC" w:rsidRDefault="69C88916" w:rsidP="4CF51068">
      <w:pPr>
        <w:pStyle w:val="Point0"/>
        <w:rPr>
          <w:rFonts w:eastAsiaTheme="minorEastAsia"/>
          <w:noProof/>
          <w:color w:val="000000" w:themeColor="text1"/>
          <w:lang w:eastAsia="ja-JP"/>
        </w:rPr>
      </w:pPr>
      <w:r w:rsidRPr="004C70EC">
        <w:rPr>
          <w:rFonts w:eastAsiaTheme="minorEastAsia"/>
          <w:noProof/>
          <w:color w:val="000000" w:themeColor="text1"/>
          <w:lang w:eastAsia="ja-JP"/>
        </w:rPr>
        <w:t>1.</w:t>
      </w:r>
      <w:r w:rsidR="00A664B2" w:rsidRPr="004C70EC">
        <w:rPr>
          <w:noProof/>
        </w:rPr>
        <w:tab/>
      </w:r>
      <w:r w:rsidR="249CF78E" w:rsidRPr="004C70EC">
        <w:rPr>
          <w:rFonts w:eastAsiaTheme="minorEastAsia"/>
          <w:noProof/>
          <w:color w:val="000000" w:themeColor="text1"/>
          <w:lang w:eastAsia="ja-JP"/>
        </w:rPr>
        <w:t xml:space="preserve">The Agency shall publish and regularly update, as appropriate, </w:t>
      </w:r>
      <w:r w:rsidR="0D661DB0" w:rsidRPr="004C70EC">
        <w:rPr>
          <w:rFonts w:eastAsiaTheme="minorEastAsia"/>
          <w:noProof/>
          <w:color w:val="000000" w:themeColor="text1"/>
          <w:lang w:eastAsia="ja-JP"/>
        </w:rPr>
        <w:t xml:space="preserve">non-binding </w:t>
      </w:r>
      <w:r w:rsidR="249CF78E" w:rsidRPr="004C70EC">
        <w:rPr>
          <w:rFonts w:eastAsiaTheme="minorEastAsia"/>
          <w:noProof/>
          <w:color w:val="000000" w:themeColor="text1"/>
          <w:lang w:eastAsia="ja-JP"/>
        </w:rPr>
        <w:t xml:space="preserve">guidance on the deployment and use of systems based on advanced technologies, including  AI, in the lifecycle of medicinal products development, including during pre-clinical research, clinical development and trials, manufacturing and post-authorisation monitoring. </w:t>
      </w:r>
    </w:p>
    <w:p w14:paraId="60E78A49" w14:textId="49DF404B" w:rsidR="00273F36" w:rsidRPr="004C70EC" w:rsidRDefault="249CF78E" w:rsidP="4CF51068">
      <w:pPr>
        <w:pStyle w:val="Text1"/>
        <w:rPr>
          <w:noProof/>
          <w:color w:val="000000" w:themeColor="text1"/>
          <w:lang w:eastAsia="ja-JP"/>
        </w:rPr>
      </w:pPr>
      <w:r w:rsidRPr="004C70EC">
        <w:rPr>
          <w:noProof/>
          <w:color w:val="000000" w:themeColor="text1"/>
          <w:lang w:eastAsia="ja-JP"/>
        </w:rPr>
        <w:t>Such guidance shall be developed</w:t>
      </w:r>
      <w:r>
        <w:rPr>
          <w:noProof/>
          <w:color w:val="000000" w:themeColor="text1"/>
          <w:lang w:eastAsia="ja-JP"/>
        </w:rPr>
        <w:t xml:space="preserve">, </w:t>
      </w:r>
      <w:r w:rsidRPr="004C70EC">
        <w:rPr>
          <w:noProof/>
          <w:color w:val="000000" w:themeColor="text1"/>
          <w:lang w:eastAsia="ja-JP"/>
        </w:rPr>
        <w:t xml:space="preserve">updated </w:t>
      </w:r>
      <w:r w:rsidR="00106C3B" w:rsidRPr="004C70EC">
        <w:rPr>
          <w:noProof/>
          <w:color w:val="000000" w:themeColor="text1"/>
          <w:lang w:eastAsia="ja-JP"/>
        </w:rPr>
        <w:t xml:space="preserve">and published </w:t>
      </w:r>
      <w:r w:rsidRPr="004C70EC">
        <w:rPr>
          <w:noProof/>
          <w:color w:val="000000" w:themeColor="text1"/>
          <w:lang w:eastAsia="ja-JP"/>
        </w:rPr>
        <w:t xml:space="preserve">in </w:t>
      </w:r>
      <w:r w:rsidR="00C609F6" w:rsidRPr="004C70EC">
        <w:rPr>
          <w:noProof/>
          <w:color w:val="000000" w:themeColor="text1"/>
          <w:lang w:eastAsia="ja-JP"/>
        </w:rPr>
        <w:t>agreement</w:t>
      </w:r>
      <w:r w:rsidRPr="004C70EC">
        <w:rPr>
          <w:noProof/>
          <w:color w:val="000000" w:themeColor="text1"/>
          <w:lang w:eastAsia="ja-JP"/>
        </w:rPr>
        <w:t xml:space="preserve"> with the Commission, including with the AI Office. </w:t>
      </w:r>
    </w:p>
    <w:p w14:paraId="2DB10576" w14:textId="77777777" w:rsidR="00273F36" w:rsidRPr="004C70EC" w:rsidRDefault="00273F36" w:rsidP="00A664B2">
      <w:pPr>
        <w:pStyle w:val="Text1"/>
        <w:rPr>
          <w:rFonts w:eastAsiaTheme="minorEastAsia"/>
          <w:noProof/>
          <w:color w:val="000000" w:themeColor="text1"/>
          <w:lang w:eastAsia="ja-JP"/>
        </w:rPr>
      </w:pPr>
      <w:r w:rsidRPr="004C70EC">
        <w:rPr>
          <w:rFonts w:eastAsiaTheme="minorEastAsia"/>
          <w:noProof/>
          <w:color w:val="000000" w:themeColor="text1"/>
          <w:lang w:eastAsia="ja-JP"/>
        </w:rPr>
        <w:t>Such guidance shall ensure full coherence with the requirements laid down in Regulation (EU) 2024/168</w:t>
      </w:r>
      <w:r w:rsidR="008E04B0" w:rsidRPr="004C70EC">
        <w:rPr>
          <w:rFonts w:eastAsiaTheme="minorEastAsia"/>
          <w:noProof/>
          <w:color w:val="000000" w:themeColor="text1"/>
          <w:lang w:eastAsia="ja-JP"/>
        </w:rPr>
        <w:t>9</w:t>
      </w:r>
      <w:r w:rsidRPr="004C70EC">
        <w:rPr>
          <w:rFonts w:eastAsiaTheme="minorEastAsia"/>
          <w:noProof/>
          <w:color w:val="000000" w:themeColor="text1"/>
          <w:lang w:eastAsia="ja-JP"/>
        </w:rPr>
        <w:t xml:space="preserve"> and with any guidance issued under that Regulation</w:t>
      </w:r>
      <w:r w:rsidRPr="004C70EC">
        <w:rPr>
          <w:noProof/>
          <w:color w:val="000000" w:themeColor="text1"/>
        </w:rPr>
        <w:t xml:space="preserve"> </w:t>
      </w:r>
      <w:r w:rsidRPr="004C70EC">
        <w:rPr>
          <w:rFonts w:eastAsiaTheme="minorEastAsia"/>
          <w:noProof/>
          <w:color w:val="000000" w:themeColor="text1"/>
          <w:lang w:eastAsia="ja-JP"/>
        </w:rPr>
        <w:t xml:space="preserve">regarding general-purpose AI models or AI systems. </w:t>
      </w:r>
    </w:p>
    <w:p w14:paraId="7B2B4BC4" w14:textId="77777777" w:rsidR="00273F36" w:rsidRPr="004C70EC" w:rsidRDefault="00A664B2" w:rsidP="00A664B2">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2.</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 xml:space="preserve">In developing and updating the guidance referred to in paragraph 1, the Agency shall consult the relevant authorities, at national and European level, and stakeholders as appropriate. </w:t>
      </w:r>
    </w:p>
    <w:p w14:paraId="47069E7B" w14:textId="77777777" w:rsidR="00273F36" w:rsidRPr="004C70EC" w:rsidRDefault="249CF78E" w:rsidP="4CF51068">
      <w:pPr>
        <w:pStyle w:val="Text1"/>
        <w:rPr>
          <w:rFonts w:eastAsiaTheme="minorEastAsia"/>
          <w:noProof/>
          <w:color w:val="000000" w:themeColor="text1"/>
          <w:lang w:eastAsia="ja-JP"/>
        </w:rPr>
      </w:pPr>
      <w:r w:rsidRPr="004C70EC">
        <w:rPr>
          <w:rFonts w:eastAsiaTheme="minorEastAsia"/>
          <w:noProof/>
          <w:color w:val="000000" w:themeColor="text1"/>
          <w:lang w:eastAsia="ja-JP"/>
        </w:rPr>
        <w:t>To the extent that the guidance concerns the deployment and use of systems based on advanced technologies, including AI, across the clinical trials lifecycle, the Agency shall further cooperate with the Clinical Trials Coordination [and Advisory] Group (‘CTAG’) referred to in Article [85] of Regulation (EU) No 536/2014, with the Medical Device Coordination Group (‘MDCG’) referred to in Article 103 of Regulation (EU) 2017/745 and with the Artificial Intelligence Board  referred to in Article 65 of Regulation (EU) 2024/1689, as appropriate</w:t>
      </w:r>
      <w:r w:rsidR="009C2441" w:rsidRPr="004C70EC">
        <w:rPr>
          <w:rFonts w:eastAsiaTheme="minorEastAsia"/>
          <w:noProof/>
          <w:color w:val="000000" w:themeColor="text1"/>
          <w:lang w:eastAsia="ja-JP"/>
        </w:rPr>
        <w:t xml:space="preserve"> and shall publish that guidance in a</w:t>
      </w:r>
      <w:r w:rsidR="00106C3B" w:rsidRPr="004C70EC">
        <w:rPr>
          <w:rFonts w:eastAsiaTheme="minorEastAsia"/>
          <w:noProof/>
          <w:color w:val="000000" w:themeColor="text1"/>
          <w:lang w:eastAsia="ja-JP"/>
        </w:rPr>
        <w:t>greement</w:t>
      </w:r>
      <w:r w:rsidR="009C2441" w:rsidRPr="004C70EC">
        <w:rPr>
          <w:rFonts w:eastAsiaTheme="minorEastAsia"/>
          <w:noProof/>
          <w:color w:val="000000" w:themeColor="text1"/>
          <w:lang w:eastAsia="ja-JP"/>
        </w:rPr>
        <w:t xml:space="preserve"> with </w:t>
      </w:r>
      <w:r w:rsidR="008A1CDE" w:rsidRPr="004C70EC">
        <w:rPr>
          <w:rFonts w:eastAsiaTheme="minorEastAsia"/>
          <w:noProof/>
          <w:color w:val="000000" w:themeColor="text1"/>
          <w:lang w:eastAsia="ja-JP"/>
        </w:rPr>
        <w:t>the consulted entities referred to in this subparagraph</w:t>
      </w:r>
      <w:r w:rsidRPr="004C70EC">
        <w:rPr>
          <w:rFonts w:eastAsiaTheme="minorEastAsia"/>
          <w:noProof/>
          <w:color w:val="000000" w:themeColor="text1"/>
          <w:lang w:eastAsia="ja-JP"/>
        </w:rPr>
        <w:t>.</w:t>
      </w:r>
    </w:p>
    <w:p w14:paraId="63FAAD52" w14:textId="77777777" w:rsidR="00273F36" w:rsidRPr="004C70EC" w:rsidRDefault="69C88916" w:rsidP="4CF51068">
      <w:pPr>
        <w:pStyle w:val="Point0"/>
        <w:rPr>
          <w:rFonts w:eastAsiaTheme="minorEastAsia"/>
          <w:noProof/>
          <w:color w:val="000000" w:themeColor="text1"/>
          <w:lang w:eastAsia="ja-JP"/>
        </w:rPr>
      </w:pPr>
      <w:r w:rsidRPr="004C70EC">
        <w:rPr>
          <w:rFonts w:eastAsia="Yu Gothic Light"/>
          <w:noProof/>
          <w:color w:val="000000" w:themeColor="text1"/>
          <w:lang w:val="en-US" w:eastAsia="ja-JP"/>
        </w:rPr>
        <w:t>3.</w:t>
      </w:r>
      <w:r w:rsidR="00A664B2" w:rsidRPr="004C70EC">
        <w:rPr>
          <w:noProof/>
        </w:rPr>
        <w:tab/>
      </w:r>
      <w:r w:rsidR="249CF78E" w:rsidRPr="004C70EC">
        <w:rPr>
          <w:rFonts w:eastAsia="Yu Gothic Light"/>
          <w:noProof/>
          <w:color w:val="000000" w:themeColor="text1"/>
          <w:lang w:val="en-US" w:eastAsia="ja-JP"/>
        </w:rPr>
        <w:t>The Agency shall develop</w:t>
      </w:r>
      <w:r w:rsidR="008E2DA5" w:rsidRPr="004C70EC">
        <w:rPr>
          <w:rFonts w:eastAsia="Yu Gothic Light"/>
          <w:noProof/>
          <w:color w:val="000000" w:themeColor="text1"/>
          <w:lang w:val="en-US" w:eastAsia="ja-JP"/>
        </w:rPr>
        <w:t xml:space="preserve"> and publish</w:t>
      </w:r>
      <w:r w:rsidR="249CF78E" w:rsidRPr="004C70EC">
        <w:rPr>
          <w:rFonts w:eastAsia="Yu Gothic Light"/>
          <w:noProof/>
          <w:color w:val="000000" w:themeColor="text1"/>
          <w:lang w:val="en-US" w:eastAsia="ja-JP"/>
        </w:rPr>
        <w:t xml:space="preserve"> in </w:t>
      </w:r>
      <w:r w:rsidR="00C609F6" w:rsidRPr="004C70EC">
        <w:rPr>
          <w:rFonts w:eastAsia="Yu Gothic Light"/>
          <w:noProof/>
          <w:color w:val="000000" w:themeColor="text1"/>
          <w:lang w:val="en-US" w:eastAsia="ja-JP"/>
        </w:rPr>
        <w:t>agreement</w:t>
      </w:r>
      <w:r w:rsidR="249CF78E" w:rsidRPr="004C70EC">
        <w:rPr>
          <w:rFonts w:eastAsia="Yu Gothic Light"/>
          <w:noProof/>
          <w:color w:val="000000" w:themeColor="text1"/>
          <w:lang w:val="en-US" w:eastAsia="ja-JP"/>
        </w:rPr>
        <w:t xml:space="preserve"> with the Commission</w:t>
      </w:r>
      <w:r w:rsidR="010B43E2" w:rsidRPr="004C70EC">
        <w:rPr>
          <w:rFonts w:eastAsia="Yu Gothic Light"/>
          <w:noProof/>
          <w:color w:val="000000" w:themeColor="text1"/>
          <w:lang w:val="en-US" w:eastAsia="ja-JP"/>
        </w:rPr>
        <w:t xml:space="preserve">, including the AI Office where appropriate, </w:t>
      </w:r>
      <w:r w:rsidR="249CF78E" w:rsidRPr="004C70EC">
        <w:rPr>
          <w:rFonts w:eastAsia="Yu Gothic Light"/>
          <w:noProof/>
          <w:color w:val="000000" w:themeColor="text1"/>
          <w:lang w:val="en-US" w:eastAsia="ja-JP"/>
        </w:rPr>
        <w:t xml:space="preserve">and </w:t>
      </w:r>
      <w:r w:rsidR="007E6F7F" w:rsidRPr="004C70EC">
        <w:rPr>
          <w:rFonts w:eastAsia="Yu Gothic Light"/>
          <w:noProof/>
          <w:color w:val="000000" w:themeColor="text1"/>
          <w:lang w:val="en-US" w:eastAsia="ja-JP"/>
        </w:rPr>
        <w:t xml:space="preserve">in cooperation with </w:t>
      </w:r>
      <w:r w:rsidR="249CF78E" w:rsidRPr="004C70EC">
        <w:rPr>
          <w:rFonts w:eastAsia="Yu Gothic Light"/>
          <w:noProof/>
          <w:color w:val="000000" w:themeColor="text1"/>
          <w:lang w:val="en-US" w:eastAsia="ja-JP"/>
        </w:rPr>
        <w:t xml:space="preserve">the national competent authorities, </w:t>
      </w:r>
      <w:r w:rsidR="0D661DB0" w:rsidRPr="004C70EC">
        <w:rPr>
          <w:rFonts w:eastAsia="Yu Gothic Light"/>
          <w:noProof/>
          <w:color w:val="000000" w:themeColor="text1"/>
          <w:lang w:val="en-US" w:eastAsia="ja-JP"/>
        </w:rPr>
        <w:t xml:space="preserve">non-binding </w:t>
      </w:r>
      <w:r w:rsidR="249CF78E" w:rsidRPr="004C70EC">
        <w:rPr>
          <w:rFonts w:eastAsia="Yu Gothic Light"/>
          <w:noProof/>
          <w:color w:val="000000" w:themeColor="text1"/>
          <w:lang w:val="en-US" w:eastAsia="ja-JP"/>
        </w:rPr>
        <w:t xml:space="preserve">guidance on the </w:t>
      </w:r>
      <w:r w:rsidR="249CF78E" w:rsidRPr="004C70EC">
        <w:rPr>
          <w:rFonts w:eastAsiaTheme="minorEastAsia"/>
          <w:noProof/>
          <w:color w:val="000000" w:themeColor="text1"/>
          <w:lang w:eastAsia="ja-JP"/>
        </w:rPr>
        <w:t>deployment and use of advanced technologies, including AI, in the procedures for the authorisation of medicinal products.</w:t>
      </w:r>
    </w:p>
    <w:p w14:paraId="22D81E6C" w14:textId="77777777" w:rsidR="00273F36" w:rsidRPr="004C70EC" w:rsidRDefault="00273F36" w:rsidP="00A664B2">
      <w:pPr>
        <w:pStyle w:val="Titrearticle"/>
        <w:rPr>
          <w:i w:val="0"/>
          <w:iCs/>
          <w:noProof/>
          <w:color w:val="000000" w:themeColor="text1"/>
          <w:szCs w:val="24"/>
        </w:rPr>
      </w:pPr>
      <w:r w:rsidRPr="004C70EC">
        <w:rPr>
          <w:iCs/>
          <w:noProof/>
          <w:color w:val="000000" w:themeColor="text1"/>
          <w:szCs w:val="24"/>
        </w:rPr>
        <w:t>Article 3</w:t>
      </w:r>
      <w:r w:rsidR="002955AB" w:rsidRPr="004C70EC">
        <w:rPr>
          <w:iCs/>
          <w:noProof/>
          <w:color w:val="000000" w:themeColor="text1"/>
          <w:szCs w:val="24"/>
        </w:rPr>
        <w:t>2</w:t>
      </w:r>
    </w:p>
    <w:p w14:paraId="5813E3D5" w14:textId="77777777" w:rsidR="00273F36" w:rsidRPr="004C70EC" w:rsidRDefault="00273F36" w:rsidP="00273F36">
      <w:pPr>
        <w:keepNext/>
        <w:tabs>
          <w:tab w:val="left" w:pos="850"/>
        </w:tabs>
        <w:spacing w:before="0" w:after="0" w:line="276" w:lineRule="auto"/>
        <w:ind w:left="850" w:hanging="850"/>
        <w:jc w:val="center"/>
        <w:outlineLvl w:val="2"/>
        <w:rPr>
          <w:rFonts w:eastAsiaTheme="minorEastAsia"/>
          <w:b/>
          <w:noProof/>
          <w:color w:val="000000" w:themeColor="text1"/>
          <w:szCs w:val="24"/>
          <w:lang w:eastAsia="ja-JP"/>
        </w:rPr>
      </w:pPr>
      <w:r w:rsidRPr="004C70EC">
        <w:rPr>
          <w:rFonts w:eastAsiaTheme="minorEastAsia"/>
          <w:b/>
          <w:noProof/>
          <w:color w:val="000000" w:themeColor="text1"/>
          <w:szCs w:val="24"/>
          <w:lang w:eastAsia="ja-JP"/>
        </w:rPr>
        <w:t xml:space="preserve">Biotechnology testing environments for advanced biotechnology innovations </w:t>
      </w:r>
      <w:r w:rsidR="005A2375" w:rsidRPr="004C70EC">
        <w:rPr>
          <w:rFonts w:eastAsiaTheme="minorEastAsia"/>
          <w:b/>
          <w:noProof/>
          <w:color w:val="000000" w:themeColor="text1"/>
          <w:szCs w:val="24"/>
          <w:lang w:eastAsia="ja-JP"/>
        </w:rPr>
        <w:t xml:space="preserve"> </w:t>
      </w:r>
    </w:p>
    <w:p w14:paraId="0E1850FA" w14:textId="77777777" w:rsidR="00273F36" w:rsidRPr="004C70EC" w:rsidRDefault="00A80A89" w:rsidP="00A80A89">
      <w:pPr>
        <w:pStyle w:val="Point0"/>
        <w:rPr>
          <w:noProof/>
          <w:color w:val="000000" w:themeColor="text1"/>
          <w:lang w:val="en-US" w:eastAsia="ja-JP"/>
        </w:rPr>
      </w:pPr>
      <w:r w:rsidRPr="004C70EC">
        <w:rPr>
          <w:noProof/>
          <w:color w:val="000000" w:themeColor="text1"/>
        </w:rPr>
        <w:t>1.</w:t>
      </w:r>
      <w:r w:rsidRPr="004C70EC">
        <w:rPr>
          <w:noProof/>
        </w:rPr>
        <w:tab/>
      </w:r>
      <w:r w:rsidR="00E01C56" w:rsidRPr="004C70EC">
        <w:rPr>
          <w:noProof/>
          <w:color w:val="000000" w:themeColor="text1"/>
        </w:rPr>
        <w:t>To enable access to the support measures laid down</w:t>
      </w:r>
      <w:r w:rsidR="00894A5C" w:rsidRPr="004C70EC">
        <w:rPr>
          <w:noProof/>
          <w:color w:val="000000" w:themeColor="text1"/>
        </w:rPr>
        <w:t xml:space="preserve"> in Section </w:t>
      </w:r>
      <w:r w:rsidR="00DC07C0" w:rsidRPr="004C70EC">
        <w:rPr>
          <w:noProof/>
          <w:color w:val="000000" w:themeColor="text1"/>
        </w:rPr>
        <w:t>2</w:t>
      </w:r>
      <w:r w:rsidR="00894A5C" w:rsidRPr="004C70EC">
        <w:rPr>
          <w:noProof/>
          <w:color w:val="000000" w:themeColor="text1"/>
        </w:rPr>
        <w:t xml:space="preserve"> of Chapter II</w:t>
      </w:r>
      <w:r w:rsidR="00E01C56" w:rsidRPr="004C70EC">
        <w:rPr>
          <w:noProof/>
          <w:color w:val="000000" w:themeColor="text1"/>
        </w:rPr>
        <w:t>, the Commission shall recognise projects located in the Union as high impact health biotechnology strategic projects in the form of trusted testing environments for advanced health biotechnology innovations, where such innovations are enabled, enhanced or significantly supported by AI or advanced computational methods</w:t>
      </w:r>
      <w:r w:rsidR="009911A3" w:rsidRPr="004C70EC">
        <w:rPr>
          <w:noProof/>
          <w:color w:val="000000" w:themeColor="text1"/>
        </w:rPr>
        <w:t>,</w:t>
      </w:r>
      <w:r w:rsidR="00E01C56" w:rsidRPr="004C70EC">
        <w:rPr>
          <w:noProof/>
          <w:color w:val="000000" w:themeColor="text1"/>
        </w:rPr>
        <w:t xml:space="preserve"> only where </w:t>
      </w:r>
      <w:r w:rsidR="00011AC5" w:rsidRPr="004C70EC">
        <w:rPr>
          <w:noProof/>
          <w:color w:val="000000" w:themeColor="text1"/>
        </w:rPr>
        <w:t>they</w:t>
      </w:r>
      <w:r w:rsidR="00E01C56" w:rsidRPr="004C70EC">
        <w:rPr>
          <w:noProof/>
          <w:color w:val="000000" w:themeColor="text1"/>
        </w:rPr>
        <w:t xml:space="preserve"> compl</w:t>
      </w:r>
      <w:r w:rsidR="00011AC5" w:rsidRPr="004C70EC">
        <w:rPr>
          <w:noProof/>
          <w:color w:val="000000" w:themeColor="text1"/>
        </w:rPr>
        <w:t>y</w:t>
      </w:r>
      <w:r w:rsidR="00E01C56" w:rsidRPr="004C70EC">
        <w:rPr>
          <w:noProof/>
          <w:color w:val="000000" w:themeColor="text1"/>
        </w:rPr>
        <w:t xml:space="preserve"> with the criteria laid down in Article </w:t>
      </w:r>
      <w:r w:rsidR="002E50FB" w:rsidRPr="004C70EC">
        <w:rPr>
          <w:noProof/>
          <w:color w:val="000000" w:themeColor="text1"/>
        </w:rPr>
        <w:t>4</w:t>
      </w:r>
      <w:r w:rsidR="00E01C56" w:rsidRPr="004C70EC">
        <w:rPr>
          <w:noProof/>
          <w:color w:val="000000" w:themeColor="text1"/>
        </w:rPr>
        <w:t>(1) and</w:t>
      </w:r>
      <w:r w:rsidR="2F263E33" w:rsidRPr="004C70EC">
        <w:rPr>
          <w:noProof/>
          <w:color w:val="000000" w:themeColor="text1"/>
          <w:lang w:val="en-US" w:eastAsia="ja-JP"/>
        </w:rPr>
        <w:t xml:space="preserve"> substantially strengthens the Union’s capacity for responsible experimentation, development, testing and validation of such innovations and </w:t>
      </w:r>
      <w:r w:rsidR="00011AC5" w:rsidRPr="004C70EC">
        <w:rPr>
          <w:noProof/>
          <w:color w:val="000000" w:themeColor="text1"/>
          <w:lang w:val="en-US" w:eastAsia="ja-JP"/>
        </w:rPr>
        <w:t>they</w:t>
      </w:r>
      <w:r w:rsidR="2F263E33" w:rsidRPr="004C70EC">
        <w:rPr>
          <w:noProof/>
          <w:color w:val="000000" w:themeColor="text1"/>
          <w:lang w:val="en-US" w:eastAsia="ja-JP"/>
        </w:rPr>
        <w:t xml:space="preserve"> fulfils </w:t>
      </w:r>
      <w:r w:rsidR="39476DD7" w:rsidRPr="004C70EC">
        <w:rPr>
          <w:noProof/>
          <w:color w:val="000000" w:themeColor="text1"/>
          <w:lang w:val="en-US" w:eastAsia="ja-JP"/>
        </w:rPr>
        <w:t xml:space="preserve">all of </w:t>
      </w:r>
      <w:r w:rsidR="2F263E33" w:rsidRPr="004C70EC">
        <w:rPr>
          <w:noProof/>
          <w:color w:val="000000" w:themeColor="text1"/>
          <w:lang w:val="en-US" w:eastAsia="ja-JP"/>
        </w:rPr>
        <w:t xml:space="preserve">the following conditions: </w:t>
      </w:r>
    </w:p>
    <w:p w14:paraId="55E73E31" w14:textId="77777777" w:rsidR="00273F36" w:rsidRPr="004C70EC" w:rsidRDefault="00A664B2" w:rsidP="00A664B2">
      <w:pPr>
        <w:pStyle w:val="Point1"/>
        <w:rPr>
          <w:noProof/>
          <w:color w:val="000000" w:themeColor="text1"/>
          <w:szCs w:val="24"/>
          <w:lang w:val="en-US" w:eastAsia="ja-JP"/>
        </w:rPr>
      </w:pPr>
      <w:r w:rsidRPr="004C70EC">
        <w:rPr>
          <w:noProof/>
          <w:color w:val="000000" w:themeColor="text1"/>
          <w:szCs w:val="24"/>
          <w:lang w:val="en-US" w:eastAsia="ja-JP"/>
        </w:rPr>
        <w:t>(a)</w:t>
      </w:r>
      <w:r w:rsidRPr="004C70EC">
        <w:rPr>
          <w:noProof/>
          <w:color w:val="000000" w:themeColor="text1"/>
          <w:szCs w:val="24"/>
          <w:lang w:val="en-US" w:eastAsia="ja-JP"/>
        </w:rPr>
        <w:tab/>
      </w:r>
      <w:r w:rsidR="00273F36" w:rsidRPr="004C70EC">
        <w:rPr>
          <w:noProof/>
          <w:color w:val="000000" w:themeColor="text1"/>
          <w:szCs w:val="24"/>
          <w:lang w:val="en-US" w:eastAsia="ja-JP"/>
        </w:rPr>
        <w:t>operate under trusted conditions ensuring compliance and alignment with relevant Union and national legislation and complements where appropriate t</w:t>
      </w:r>
      <w:r w:rsidR="00273F36" w:rsidRPr="004C70EC">
        <w:rPr>
          <w:noProof/>
          <w:color w:val="000000" w:themeColor="text1"/>
          <w:szCs w:val="24"/>
          <w:lang w:eastAsia="ja-JP"/>
        </w:rPr>
        <w:t xml:space="preserve">esting and experimentation facilities and AI regulatory sandboxes </w:t>
      </w:r>
      <w:r w:rsidR="00273F36" w:rsidRPr="004C70EC">
        <w:rPr>
          <w:noProof/>
          <w:color w:val="000000" w:themeColor="text1"/>
          <w:szCs w:val="24"/>
          <w:lang w:val="en-US" w:eastAsia="ja-JP"/>
        </w:rPr>
        <w:t>established in accordance with Regulation (EU) 2024/1689</w:t>
      </w:r>
      <w:r w:rsidR="00BF34E7" w:rsidRPr="004C70EC">
        <w:rPr>
          <w:noProof/>
          <w:color w:val="000000" w:themeColor="text1"/>
          <w:szCs w:val="24"/>
          <w:lang w:val="en-US" w:eastAsia="ja-JP"/>
        </w:rPr>
        <w:t>, while ensuring consistency and synergies in their implementation</w:t>
      </w:r>
      <w:r w:rsidR="00273F36" w:rsidRPr="004C70EC">
        <w:rPr>
          <w:noProof/>
          <w:color w:val="000000" w:themeColor="text1"/>
          <w:szCs w:val="24"/>
          <w:lang w:val="en-US" w:eastAsia="ja-JP"/>
        </w:rPr>
        <w:t>;</w:t>
      </w:r>
    </w:p>
    <w:p w14:paraId="2349C08F" w14:textId="77777777" w:rsidR="00273F36" w:rsidRPr="004C70EC" w:rsidRDefault="00A664B2" w:rsidP="00A664B2">
      <w:pPr>
        <w:pStyle w:val="Point1"/>
        <w:rPr>
          <w:rFonts w:eastAsiaTheme="minorEastAsia"/>
          <w:noProof/>
          <w:color w:val="000000" w:themeColor="text1"/>
          <w:szCs w:val="24"/>
          <w:lang w:val="en-US" w:eastAsia="ja-JP"/>
        </w:rPr>
      </w:pPr>
      <w:r w:rsidRPr="004C70EC">
        <w:rPr>
          <w:rFonts w:eastAsiaTheme="minorEastAsia"/>
          <w:noProof/>
          <w:color w:val="000000" w:themeColor="text1"/>
          <w:szCs w:val="24"/>
          <w:lang w:val="en-US" w:eastAsia="ja-JP"/>
        </w:rPr>
        <w:t>(b)</w:t>
      </w:r>
      <w:r w:rsidRPr="004C70EC">
        <w:rPr>
          <w:rFonts w:eastAsiaTheme="minorEastAsia"/>
          <w:noProof/>
          <w:color w:val="000000" w:themeColor="text1"/>
          <w:szCs w:val="24"/>
          <w:lang w:val="en-US" w:eastAsia="ja-JP"/>
        </w:rPr>
        <w:tab/>
      </w:r>
      <w:r w:rsidR="00273F36" w:rsidRPr="004C70EC">
        <w:rPr>
          <w:rFonts w:eastAsiaTheme="minorEastAsia"/>
          <w:noProof/>
          <w:color w:val="000000" w:themeColor="text1"/>
          <w:szCs w:val="24"/>
          <w:lang w:val="en-US" w:eastAsia="ja-JP"/>
        </w:rPr>
        <w:t xml:space="preserve">seek, where appropriate, to leverage </w:t>
      </w:r>
      <w:r w:rsidR="00273F36" w:rsidRPr="004C70EC">
        <w:rPr>
          <w:rFonts w:eastAsiaTheme="minorEastAsia"/>
          <w:noProof/>
          <w:color w:val="000000" w:themeColor="text1"/>
          <w:szCs w:val="24"/>
          <w:lang w:eastAsia="ja-JP"/>
        </w:rPr>
        <w:t>AI systems or other advanced computational tools,</w:t>
      </w:r>
      <w:r w:rsidR="00273F36" w:rsidRPr="004C70EC">
        <w:rPr>
          <w:noProof/>
          <w:color w:val="000000" w:themeColor="text1"/>
          <w:szCs w:val="24"/>
        </w:rPr>
        <w:t xml:space="preserve"> </w:t>
      </w:r>
      <w:r w:rsidR="00273F36" w:rsidRPr="004C70EC">
        <w:rPr>
          <w:rFonts w:eastAsiaTheme="minorEastAsia"/>
          <w:noProof/>
          <w:color w:val="000000" w:themeColor="text1"/>
          <w:szCs w:val="24"/>
          <w:lang w:eastAsia="ja-JP"/>
        </w:rPr>
        <w:t xml:space="preserve">alongside advanced technologies and analytics, to optimise workflows and increase efficiency; </w:t>
      </w:r>
    </w:p>
    <w:p w14:paraId="5F6CF0DC" w14:textId="77777777" w:rsidR="00273F36" w:rsidRPr="004C70EC" w:rsidRDefault="0C5E5C34" w:rsidP="33CE1D06">
      <w:pPr>
        <w:pStyle w:val="Point1"/>
        <w:rPr>
          <w:rFonts w:eastAsiaTheme="minorEastAsia"/>
          <w:noProof/>
          <w:color w:val="000000" w:themeColor="text1"/>
          <w:szCs w:val="24"/>
          <w:lang w:val="en-US" w:eastAsia="ja-JP"/>
        </w:rPr>
      </w:pPr>
      <w:r w:rsidRPr="004C70EC">
        <w:rPr>
          <w:rFonts w:eastAsiaTheme="minorEastAsia"/>
          <w:noProof/>
          <w:color w:val="000000" w:themeColor="text1"/>
          <w:szCs w:val="24"/>
          <w:lang w:val="en-US" w:eastAsia="ja-JP"/>
        </w:rPr>
        <w:t>(c)</w:t>
      </w:r>
      <w:r w:rsidR="00A664B2" w:rsidRPr="004C70EC">
        <w:rPr>
          <w:noProof/>
          <w:color w:val="000000" w:themeColor="text1"/>
          <w:szCs w:val="24"/>
        </w:rPr>
        <w:tab/>
      </w:r>
      <w:r w:rsidR="2F263E33" w:rsidRPr="004C70EC">
        <w:rPr>
          <w:rFonts w:eastAsiaTheme="minorEastAsia"/>
          <w:noProof/>
          <w:color w:val="000000" w:themeColor="text1"/>
          <w:szCs w:val="24"/>
          <w:lang w:val="en-US" w:eastAsia="ja-JP"/>
        </w:rPr>
        <w:t>aim to enable innovation in biotechnology areas where the use of</w:t>
      </w:r>
      <w:r w:rsidR="2F263E33" w:rsidRPr="004C70EC">
        <w:rPr>
          <w:noProof/>
          <w:color w:val="000000" w:themeColor="text1"/>
          <w:szCs w:val="24"/>
        </w:rPr>
        <w:t xml:space="preserve"> </w:t>
      </w:r>
      <w:r w:rsidR="2F263E33" w:rsidRPr="004C70EC">
        <w:rPr>
          <w:rFonts w:eastAsiaTheme="minorEastAsia"/>
          <w:noProof/>
          <w:color w:val="000000" w:themeColor="text1"/>
          <w:szCs w:val="24"/>
          <w:lang w:eastAsia="ja-JP"/>
        </w:rPr>
        <w:t>AI-enabled or computationally enhanced methods</w:t>
      </w:r>
      <w:r w:rsidR="2F263E33" w:rsidRPr="004C70EC">
        <w:rPr>
          <w:rFonts w:eastAsiaTheme="minorEastAsia"/>
          <w:noProof/>
          <w:color w:val="000000" w:themeColor="text1"/>
          <w:szCs w:val="24"/>
          <w:lang w:val="en-US" w:eastAsia="ja-JP"/>
        </w:rPr>
        <w:t xml:space="preserve"> can be particularly impactful, such as enhancing efficacy and safety of immunology treatments and of ATMP gene therapies, or </w:t>
      </w:r>
      <w:r w:rsidR="007731B5" w:rsidRPr="004C70EC">
        <w:rPr>
          <w:rFonts w:eastAsia="Times New Roman"/>
          <w:noProof/>
          <w:color w:val="000000" w:themeColor="text1"/>
          <w:szCs w:val="24"/>
          <w:lang w:val="en-US"/>
        </w:rPr>
        <w:t>developing NAMs</w:t>
      </w:r>
      <w:r w:rsidR="3EF66E11" w:rsidRPr="004C70EC">
        <w:rPr>
          <w:rFonts w:eastAsia="Times New Roman"/>
          <w:noProof/>
          <w:color w:val="000000" w:themeColor="text1"/>
          <w:szCs w:val="24"/>
          <w:lang w:val="en-US"/>
        </w:rPr>
        <w:t xml:space="preserve"> that combine advanced experimental and computational approaches</w:t>
      </w:r>
      <w:r w:rsidR="2F263E33" w:rsidRPr="004C70EC">
        <w:rPr>
          <w:rFonts w:eastAsiaTheme="minorEastAsia"/>
          <w:noProof/>
          <w:color w:val="000000" w:themeColor="text1"/>
          <w:szCs w:val="24"/>
          <w:lang w:val="en-US" w:eastAsia="ja-JP"/>
        </w:rPr>
        <w:t>;</w:t>
      </w:r>
    </w:p>
    <w:p w14:paraId="716109A0" w14:textId="77777777" w:rsidR="00273F36" w:rsidRPr="004C70EC" w:rsidRDefault="00A664B2" w:rsidP="00A664B2">
      <w:pPr>
        <w:pStyle w:val="Point1"/>
        <w:rPr>
          <w:rFonts w:eastAsiaTheme="minorEastAsia"/>
          <w:noProof/>
          <w:color w:val="000000" w:themeColor="text1"/>
          <w:szCs w:val="24"/>
          <w:lang w:val="en-US" w:eastAsia="ja-JP"/>
        </w:rPr>
      </w:pPr>
      <w:r w:rsidRPr="004C70EC">
        <w:rPr>
          <w:rFonts w:eastAsiaTheme="minorEastAsia"/>
          <w:noProof/>
          <w:color w:val="000000" w:themeColor="text1"/>
          <w:szCs w:val="24"/>
          <w:lang w:val="en-US" w:eastAsia="ja-JP"/>
        </w:rPr>
        <w:t>(d)</w:t>
      </w:r>
      <w:r w:rsidRPr="004C70EC">
        <w:rPr>
          <w:rFonts w:eastAsiaTheme="minorEastAsia"/>
          <w:noProof/>
          <w:color w:val="000000" w:themeColor="text1"/>
          <w:szCs w:val="24"/>
          <w:lang w:val="en-US" w:eastAsia="ja-JP"/>
        </w:rPr>
        <w:tab/>
      </w:r>
      <w:r w:rsidR="00273F36" w:rsidRPr="004C70EC">
        <w:rPr>
          <w:rFonts w:eastAsiaTheme="minorEastAsia"/>
          <w:noProof/>
          <w:color w:val="000000" w:themeColor="text1"/>
          <w:szCs w:val="24"/>
          <w:lang w:val="en-US" w:eastAsia="ja-JP"/>
        </w:rPr>
        <w:t>make available, under fair and transparent conditions, evidence, results and lessons learned generated within such testing environments, to inform Union guidance, standardisation and best-practice frameworks, and, where appropriate, the design or</w:t>
      </w:r>
      <w:r w:rsidR="00273F36" w:rsidRPr="004C70EC">
        <w:rPr>
          <w:rFonts w:eastAsiaTheme="minorEastAsia"/>
          <w:b/>
          <w:bCs/>
          <w:noProof/>
          <w:color w:val="000000" w:themeColor="text1"/>
          <w:szCs w:val="24"/>
          <w:lang w:val="en-US" w:eastAsia="ja-JP"/>
        </w:rPr>
        <w:t xml:space="preserve"> </w:t>
      </w:r>
      <w:r w:rsidR="00273F36" w:rsidRPr="004C70EC">
        <w:rPr>
          <w:rFonts w:eastAsiaTheme="minorEastAsia"/>
          <w:noProof/>
          <w:color w:val="000000" w:themeColor="text1"/>
          <w:szCs w:val="24"/>
          <w:lang w:val="en-US" w:eastAsia="ja-JP"/>
        </w:rPr>
        <w:t>implementation of</w:t>
      </w:r>
      <w:r w:rsidR="00273F36" w:rsidRPr="004C70EC">
        <w:rPr>
          <w:rFonts w:eastAsiaTheme="minorEastAsia"/>
          <w:b/>
          <w:bCs/>
          <w:noProof/>
          <w:color w:val="000000" w:themeColor="text1"/>
          <w:szCs w:val="24"/>
          <w:lang w:val="en-US" w:eastAsia="ja-JP"/>
        </w:rPr>
        <w:t xml:space="preserve"> </w:t>
      </w:r>
      <w:r w:rsidR="00273F36" w:rsidRPr="004C70EC">
        <w:rPr>
          <w:rFonts w:eastAsiaTheme="minorEastAsia"/>
          <w:noProof/>
          <w:color w:val="000000" w:themeColor="text1"/>
          <w:szCs w:val="24"/>
          <w:lang w:val="en-US" w:eastAsia="ja-JP"/>
        </w:rPr>
        <w:t>regulatory sandboxes in accordance with Union or national law.</w:t>
      </w:r>
    </w:p>
    <w:p w14:paraId="32BB39EF" w14:textId="77777777" w:rsidR="00273F36" w:rsidRPr="004C70EC" w:rsidRDefault="00A80A89" w:rsidP="00A664B2">
      <w:pPr>
        <w:pStyle w:val="Point0"/>
        <w:rPr>
          <w:rFonts w:eastAsiaTheme="minorEastAsia"/>
          <w:noProof/>
          <w:color w:val="000000" w:themeColor="text1"/>
          <w:lang w:val="en-US" w:eastAsia="ja-JP"/>
        </w:rPr>
      </w:pPr>
      <w:r w:rsidRPr="004C70EC">
        <w:rPr>
          <w:rFonts w:eastAsiaTheme="minorEastAsia"/>
          <w:noProof/>
          <w:color w:val="000000" w:themeColor="text1"/>
          <w:lang w:val="en-US" w:eastAsia="ja-JP"/>
        </w:rPr>
        <w:t>2</w:t>
      </w:r>
      <w:r w:rsidR="00A664B2" w:rsidRPr="004C70EC">
        <w:rPr>
          <w:rFonts w:eastAsiaTheme="minorEastAsia"/>
          <w:noProof/>
          <w:color w:val="000000" w:themeColor="text1"/>
          <w:lang w:val="en-US" w:eastAsia="ja-JP"/>
        </w:rPr>
        <w:t>.</w:t>
      </w:r>
      <w:r w:rsidR="00A664B2" w:rsidRPr="004C70EC">
        <w:rPr>
          <w:noProof/>
        </w:rPr>
        <w:tab/>
      </w:r>
      <w:r w:rsidR="00273F36" w:rsidRPr="004C70EC">
        <w:rPr>
          <w:rFonts w:eastAsiaTheme="minorEastAsia"/>
          <w:noProof/>
          <w:color w:val="000000" w:themeColor="text1"/>
          <w:lang w:val="en-US" w:eastAsia="ja-JP"/>
        </w:rPr>
        <w:t>The Commission, in cooperation with the Member States, shall promote and facilitate, including through existing networks such the European Digital Innovation Hubs and testing and experimentation facilities and relevant expert groups established under Union legislations, networking, knowledge-sharing and capacity-building among projects and initiatives providing such testing environments.</w:t>
      </w:r>
    </w:p>
    <w:p w14:paraId="53AA5493" w14:textId="77777777" w:rsidR="00877F95" w:rsidRPr="004C70EC" w:rsidRDefault="00877F95" w:rsidP="00A664B2">
      <w:pPr>
        <w:pStyle w:val="Point0"/>
        <w:rPr>
          <w:rFonts w:eastAsiaTheme="minorEastAsia"/>
          <w:noProof/>
          <w:color w:val="000000" w:themeColor="text1"/>
          <w:lang w:val="en-US" w:eastAsia="ja-JP"/>
        </w:rPr>
      </w:pPr>
      <w:r w:rsidRPr="004C70EC">
        <w:rPr>
          <w:rFonts w:eastAsiaTheme="minorEastAsia"/>
          <w:noProof/>
          <w:color w:val="000000" w:themeColor="text1"/>
          <w:lang w:val="en-US" w:eastAsia="ja-JP"/>
        </w:rPr>
        <w:t>3.</w:t>
      </w:r>
      <w:r w:rsidRPr="004C70EC">
        <w:rPr>
          <w:noProof/>
        </w:rPr>
        <w:tab/>
      </w:r>
      <w:r w:rsidRPr="004C70EC">
        <w:rPr>
          <w:rFonts w:eastAsiaTheme="minorEastAsia"/>
          <w:noProof/>
          <w:lang w:eastAsia="ja-JP"/>
        </w:rPr>
        <w:t xml:space="preserve">The provisions of this Regulation regarding the application for, and the recognition of, high-impact </w:t>
      </w:r>
      <w:r w:rsidR="007E6F7F" w:rsidRPr="004C70EC">
        <w:rPr>
          <w:rFonts w:eastAsiaTheme="minorEastAsia"/>
          <w:noProof/>
          <w:lang w:eastAsia="ja-JP"/>
        </w:rPr>
        <w:t xml:space="preserve"> health </w:t>
      </w:r>
      <w:r w:rsidRPr="004C70EC">
        <w:rPr>
          <w:rFonts w:eastAsiaTheme="minorEastAsia"/>
          <w:noProof/>
          <w:lang w:eastAsia="ja-JP"/>
        </w:rPr>
        <w:t>biotechnology strategic projects laid down in Articles 8 and 10, respectively, apply to projects referred to in this Article.</w:t>
      </w:r>
    </w:p>
    <w:p w14:paraId="487B6192" w14:textId="77777777" w:rsidR="00273F36" w:rsidRPr="004C70EC" w:rsidRDefault="00273F36" w:rsidP="00A664B2">
      <w:pPr>
        <w:pStyle w:val="Titrearticle"/>
        <w:rPr>
          <w:i w:val="0"/>
          <w:iCs/>
          <w:noProof/>
          <w:color w:val="000000" w:themeColor="text1"/>
          <w:szCs w:val="24"/>
        </w:rPr>
      </w:pPr>
      <w:r w:rsidRPr="004C70EC">
        <w:rPr>
          <w:iCs/>
          <w:noProof/>
          <w:color w:val="000000" w:themeColor="text1"/>
          <w:szCs w:val="24"/>
        </w:rPr>
        <w:t>Article 3</w:t>
      </w:r>
      <w:r w:rsidR="002955AB" w:rsidRPr="004C70EC">
        <w:rPr>
          <w:iCs/>
          <w:noProof/>
          <w:color w:val="000000" w:themeColor="text1"/>
          <w:szCs w:val="24"/>
        </w:rPr>
        <w:t>3</w:t>
      </w:r>
    </w:p>
    <w:p w14:paraId="405AF388" w14:textId="77777777" w:rsidR="00273F36" w:rsidRPr="004C70EC" w:rsidRDefault="00273F36" w:rsidP="00273F36">
      <w:pPr>
        <w:keepNext/>
        <w:tabs>
          <w:tab w:val="left" w:pos="850"/>
        </w:tabs>
        <w:spacing w:line="276" w:lineRule="auto"/>
        <w:ind w:left="850" w:hanging="850"/>
        <w:jc w:val="center"/>
        <w:outlineLvl w:val="2"/>
        <w:rPr>
          <w:rFonts w:eastAsiaTheme="minorEastAsia"/>
          <w:b/>
          <w:bCs/>
          <w:noProof/>
          <w:color w:val="000000" w:themeColor="text1"/>
          <w:szCs w:val="24"/>
          <w:lang w:val="en-IE" w:eastAsia="ja-JP"/>
        </w:rPr>
      </w:pPr>
      <w:r w:rsidRPr="004C70EC">
        <w:rPr>
          <w:rFonts w:eastAsiaTheme="minorEastAsia"/>
          <w:b/>
          <w:bCs/>
          <w:noProof/>
          <w:color w:val="000000" w:themeColor="text1"/>
          <w:szCs w:val="24"/>
          <w:lang w:val="en-IE" w:eastAsia="ja-JP"/>
        </w:rPr>
        <w:t xml:space="preserve">Biotechnology data quality accelerator </w:t>
      </w:r>
    </w:p>
    <w:p w14:paraId="7C3D8BE8" w14:textId="77777777" w:rsidR="00E01C56" w:rsidRPr="004C70EC" w:rsidRDefault="002024B9" w:rsidP="002024B9">
      <w:pPr>
        <w:pStyle w:val="Point0"/>
        <w:rPr>
          <w:rFonts w:eastAsiaTheme="minorEastAsia"/>
          <w:noProof/>
          <w:color w:val="000000" w:themeColor="text1"/>
          <w:lang w:val="en-US" w:eastAsia="ja-JP"/>
        </w:rPr>
      </w:pPr>
      <w:r w:rsidRPr="004C70EC">
        <w:rPr>
          <w:rFonts w:eastAsiaTheme="minorEastAsia"/>
          <w:noProof/>
          <w:color w:val="000000" w:themeColor="text1"/>
          <w:lang w:val="en-US" w:eastAsia="ja-JP"/>
        </w:rPr>
        <w:t>1.</w:t>
      </w:r>
      <w:r w:rsidRPr="004C70EC">
        <w:rPr>
          <w:noProof/>
        </w:rPr>
        <w:tab/>
      </w:r>
      <w:r w:rsidR="00E01C56" w:rsidRPr="004C70EC">
        <w:rPr>
          <w:rFonts w:eastAsiaTheme="minorEastAsia"/>
          <w:noProof/>
          <w:color w:val="000000" w:themeColor="text1"/>
          <w:lang w:val="en-US" w:eastAsia="ja-JP"/>
        </w:rPr>
        <w:t xml:space="preserve">To enable access to the support measures laid down in </w:t>
      </w:r>
      <w:r w:rsidR="00DC07C0" w:rsidRPr="004C70EC">
        <w:rPr>
          <w:rFonts w:eastAsiaTheme="minorEastAsia"/>
          <w:noProof/>
          <w:color w:val="000000" w:themeColor="text1"/>
          <w:lang w:val="en-US" w:eastAsia="ja-JP"/>
        </w:rPr>
        <w:t>Section 2 of Chapter II</w:t>
      </w:r>
      <w:r w:rsidR="00E01C56" w:rsidRPr="004C70EC">
        <w:rPr>
          <w:rFonts w:eastAsiaTheme="minorEastAsia"/>
          <w:noProof/>
          <w:color w:val="000000" w:themeColor="text1"/>
          <w:lang w:val="en-US" w:eastAsia="ja-JP"/>
        </w:rPr>
        <w:t xml:space="preserve">, the Commission shall </w:t>
      </w:r>
      <w:r w:rsidR="00804A1A" w:rsidRPr="004C70EC">
        <w:rPr>
          <w:rFonts w:eastAsiaTheme="minorEastAsia"/>
          <w:noProof/>
          <w:color w:val="000000" w:themeColor="text1"/>
          <w:lang w:val="en-US" w:eastAsia="ja-JP"/>
        </w:rPr>
        <w:t>recogni</w:t>
      </w:r>
      <w:r w:rsidR="4A2C1B13" w:rsidRPr="004C70EC">
        <w:rPr>
          <w:rFonts w:eastAsiaTheme="minorEastAsia"/>
          <w:noProof/>
          <w:color w:val="000000" w:themeColor="text1"/>
          <w:lang w:val="en-US" w:eastAsia="ja-JP"/>
        </w:rPr>
        <w:t>s</w:t>
      </w:r>
      <w:r w:rsidR="00804A1A" w:rsidRPr="004C70EC">
        <w:rPr>
          <w:rFonts w:eastAsiaTheme="minorEastAsia"/>
          <w:noProof/>
          <w:color w:val="000000" w:themeColor="text1"/>
          <w:lang w:val="en-US" w:eastAsia="ja-JP"/>
        </w:rPr>
        <w:t>e</w:t>
      </w:r>
      <w:r w:rsidR="00E01C56" w:rsidRPr="004C70EC">
        <w:rPr>
          <w:rFonts w:eastAsiaTheme="minorEastAsia"/>
          <w:noProof/>
          <w:color w:val="000000" w:themeColor="text1"/>
          <w:lang w:val="en-US" w:eastAsia="ja-JP"/>
        </w:rPr>
        <w:t xml:space="preserve"> projects located in the Union </w:t>
      </w:r>
      <w:r w:rsidR="00804A1A" w:rsidRPr="004C70EC">
        <w:rPr>
          <w:rFonts w:eastAsiaTheme="minorEastAsia"/>
          <w:noProof/>
          <w:color w:val="000000" w:themeColor="text1"/>
          <w:lang w:val="en-US" w:eastAsia="ja-JP"/>
        </w:rPr>
        <w:t xml:space="preserve">as </w:t>
      </w:r>
      <w:r w:rsidR="00E01C56" w:rsidRPr="004C70EC">
        <w:rPr>
          <w:rFonts w:eastAsiaTheme="minorEastAsia"/>
          <w:noProof/>
          <w:color w:val="000000" w:themeColor="text1"/>
          <w:lang w:val="en-US" w:eastAsia="ja-JP"/>
        </w:rPr>
        <w:t xml:space="preserve">high impact health biotechnology strategic projects </w:t>
      </w:r>
      <w:r w:rsidR="00804A1A" w:rsidRPr="004C70EC">
        <w:rPr>
          <w:rFonts w:eastAsiaTheme="minorEastAsia"/>
          <w:noProof/>
          <w:color w:val="000000" w:themeColor="text1"/>
          <w:lang w:val="en-US" w:eastAsia="ja-JP"/>
        </w:rPr>
        <w:t>in the form of biotechnology data quality accelerator</w:t>
      </w:r>
      <w:r w:rsidR="00DE3BF8" w:rsidRPr="004C70EC">
        <w:rPr>
          <w:rFonts w:eastAsiaTheme="minorEastAsia"/>
          <w:noProof/>
          <w:color w:val="000000" w:themeColor="text1"/>
          <w:lang w:val="en-US" w:eastAsia="ja-JP"/>
        </w:rPr>
        <w:t>s</w:t>
      </w:r>
      <w:r w:rsidR="005B5E97" w:rsidRPr="004C70EC">
        <w:rPr>
          <w:rFonts w:eastAsiaTheme="minorEastAsia"/>
          <w:noProof/>
          <w:color w:val="000000" w:themeColor="text1"/>
          <w:lang w:val="en-US" w:eastAsia="ja-JP"/>
        </w:rPr>
        <w:t xml:space="preserve">, </w:t>
      </w:r>
      <w:r w:rsidR="00E01C56" w:rsidRPr="004C70EC">
        <w:rPr>
          <w:rFonts w:eastAsiaTheme="minorEastAsia"/>
          <w:noProof/>
          <w:color w:val="000000" w:themeColor="text1"/>
          <w:lang w:val="en-US" w:eastAsia="ja-JP"/>
        </w:rPr>
        <w:t xml:space="preserve">only where </w:t>
      </w:r>
      <w:r w:rsidR="00201AEE" w:rsidRPr="004C70EC">
        <w:rPr>
          <w:rFonts w:eastAsiaTheme="minorEastAsia"/>
          <w:noProof/>
          <w:color w:val="000000" w:themeColor="text1"/>
          <w:lang w:val="en-US" w:eastAsia="ja-JP"/>
        </w:rPr>
        <w:t>they</w:t>
      </w:r>
      <w:r w:rsidR="00E01C56" w:rsidRPr="004C70EC">
        <w:rPr>
          <w:rFonts w:eastAsiaTheme="minorEastAsia"/>
          <w:noProof/>
          <w:color w:val="000000" w:themeColor="text1"/>
          <w:lang w:val="en-US" w:eastAsia="ja-JP"/>
        </w:rPr>
        <w:t xml:space="preserve"> compl</w:t>
      </w:r>
      <w:r w:rsidR="00201AEE" w:rsidRPr="004C70EC">
        <w:rPr>
          <w:rFonts w:eastAsiaTheme="minorEastAsia"/>
          <w:noProof/>
          <w:color w:val="000000" w:themeColor="text1"/>
          <w:lang w:val="en-US" w:eastAsia="ja-JP"/>
        </w:rPr>
        <w:t>y</w:t>
      </w:r>
      <w:r w:rsidR="00E01C56" w:rsidRPr="004C70EC">
        <w:rPr>
          <w:rFonts w:eastAsiaTheme="minorEastAsia"/>
          <w:noProof/>
          <w:color w:val="000000" w:themeColor="text1"/>
          <w:lang w:val="en-US" w:eastAsia="ja-JP"/>
        </w:rPr>
        <w:t xml:space="preserve"> with the criteria laid down in Article </w:t>
      </w:r>
      <w:r w:rsidR="002E50FB" w:rsidRPr="004C70EC">
        <w:rPr>
          <w:rFonts w:eastAsiaTheme="minorEastAsia"/>
          <w:noProof/>
          <w:color w:val="000000" w:themeColor="text1"/>
          <w:lang w:val="en-US" w:eastAsia="ja-JP"/>
        </w:rPr>
        <w:t>4</w:t>
      </w:r>
      <w:r w:rsidR="00E01C56" w:rsidRPr="004C70EC">
        <w:rPr>
          <w:rFonts w:eastAsiaTheme="minorEastAsia"/>
          <w:noProof/>
          <w:color w:val="000000" w:themeColor="text1"/>
          <w:lang w:val="en-US" w:eastAsia="ja-JP"/>
        </w:rPr>
        <w:t xml:space="preserve">(1) and </w:t>
      </w:r>
      <w:r w:rsidR="00201AEE" w:rsidRPr="004C70EC">
        <w:rPr>
          <w:rFonts w:eastAsiaTheme="minorEastAsia"/>
          <w:noProof/>
          <w:color w:val="000000" w:themeColor="text1"/>
          <w:lang w:val="en-US" w:eastAsia="ja-JP"/>
        </w:rPr>
        <w:t xml:space="preserve">fulfil the </w:t>
      </w:r>
      <w:r w:rsidR="00E01C56" w:rsidRPr="004C70EC">
        <w:rPr>
          <w:rFonts w:eastAsiaTheme="minorEastAsia"/>
          <w:noProof/>
          <w:color w:val="000000" w:themeColor="text1"/>
          <w:lang w:val="en-US" w:eastAsia="ja-JP"/>
        </w:rPr>
        <w:t xml:space="preserve">conditions laid down in paragraph 2 </w:t>
      </w:r>
      <w:r w:rsidR="004338FC" w:rsidRPr="004C70EC">
        <w:rPr>
          <w:rFonts w:eastAsiaTheme="minorEastAsia"/>
          <w:noProof/>
          <w:color w:val="000000" w:themeColor="text1"/>
          <w:lang w:val="en-US" w:eastAsia="ja-JP"/>
        </w:rPr>
        <w:t xml:space="preserve">of this Article </w:t>
      </w:r>
      <w:r w:rsidR="00E01C56" w:rsidRPr="004C70EC">
        <w:rPr>
          <w:rFonts w:eastAsiaTheme="minorEastAsia"/>
          <w:noProof/>
          <w:color w:val="000000" w:themeColor="text1"/>
          <w:lang w:val="en-US" w:eastAsia="ja-JP"/>
        </w:rPr>
        <w:t xml:space="preserve">and </w:t>
      </w:r>
      <w:r w:rsidR="000169C7" w:rsidRPr="004C70EC">
        <w:rPr>
          <w:rFonts w:eastAsiaTheme="minorEastAsia"/>
          <w:noProof/>
          <w:color w:val="000000" w:themeColor="text1"/>
          <w:lang w:val="en-US" w:eastAsia="ja-JP"/>
        </w:rPr>
        <w:t>they</w:t>
      </w:r>
      <w:r w:rsidR="00273F36" w:rsidRPr="004C70EC">
        <w:rPr>
          <w:rFonts w:eastAsiaTheme="minorEastAsia"/>
          <w:noProof/>
          <w:color w:val="000000" w:themeColor="text1"/>
          <w:lang w:val="en-US" w:eastAsia="ja-JP"/>
        </w:rPr>
        <w:t xml:space="preserve"> make a significant contribution to the curation, maintenance and responsible use of high-quality, appropriately annotated and </w:t>
      </w:r>
      <w:r w:rsidR="00273F36" w:rsidRPr="004C70EC">
        <w:rPr>
          <w:rFonts w:eastAsiaTheme="minorEastAsia"/>
          <w:noProof/>
          <w:color w:val="000000" w:themeColor="text1"/>
          <w:lang w:eastAsia="ja-JP"/>
        </w:rPr>
        <w:t xml:space="preserve">provenance-verified datasets that are essential for the training, validation and testing of AI systems and models used in </w:t>
      </w:r>
      <w:r w:rsidR="00076809" w:rsidRPr="004C70EC">
        <w:rPr>
          <w:noProof/>
          <w:color w:val="000000" w:themeColor="text1"/>
          <w:lang w:val="en-IE" w:eastAsia="de-DE"/>
        </w:rPr>
        <w:t xml:space="preserve">health </w:t>
      </w:r>
      <w:r w:rsidR="00273F36" w:rsidRPr="004C70EC">
        <w:rPr>
          <w:rFonts w:eastAsiaTheme="minorEastAsia"/>
          <w:noProof/>
          <w:color w:val="000000" w:themeColor="text1"/>
          <w:lang w:eastAsia="ja-JP"/>
        </w:rPr>
        <w:t>biotechnology applications</w:t>
      </w:r>
      <w:r w:rsidR="00A664B2" w:rsidRPr="004C70EC">
        <w:rPr>
          <w:rFonts w:eastAsiaTheme="minorEastAsia"/>
          <w:noProof/>
          <w:color w:val="000000" w:themeColor="text1"/>
          <w:lang w:val="en-US" w:eastAsia="ja-JP"/>
        </w:rPr>
        <w:t>.</w:t>
      </w:r>
    </w:p>
    <w:p w14:paraId="602D4BE0" w14:textId="34B9EE7F" w:rsidR="00273F36" w:rsidRPr="004C70EC" w:rsidRDefault="00A80A89" w:rsidP="00A80A89">
      <w:pPr>
        <w:pStyle w:val="Point0"/>
        <w:rPr>
          <w:rFonts w:eastAsiaTheme="minorEastAsia"/>
          <w:noProof/>
          <w:color w:val="000000" w:themeColor="text1"/>
          <w:szCs w:val="24"/>
          <w:lang w:val="en-US" w:eastAsia="ja-JP"/>
        </w:rPr>
      </w:pPr>
      <w:r w:rsidRPr="004C70EC">
        <w:rPr>
          <w:rFonts w:eastAsiaTheme="minorEastAsia"/>
          <w:noProof/>
          <w:color w:val="000000" w:themeColor="text1"/>
          <w:szCs w:val="24"/>
          <w:lang w:val="en-US" w:eastAsia="ja-JP"/>
        </w:rPr>
        <w:t>2.</w:t>
      </w:r>
      <w:r w:rsidRPr="004C70EC">
        <w:rPr>
          <w:rFonts w:eastAsiaTheme="minorEastAsia"/>
          <w:noProof/>
          <w:color w:val="000000" w:themeColor="text1"/>
          <w:szCs w:val="24"/>
          <w:lang w:val="en-US" w:eastAsia="ja-JP"/>
        </w:rPr>
        <w:tab/>
      </w:r>
      <w:r w:rsidR="00273F36" w:rsidRPr="004C70EC">
        <w:rPr>
          <w:rFonts w:eastAsiaTheme="minorEastAsia"/>
          <w:noProof/>
          <w:color w:val="000000" w:themeColor="text1"/>
          <w:szCs w:val="24"/>
          <w:lang w:val="en-US" w:eastAsia="ja-JP"/>
        </w:rPr>
        <w:t>The projects referred to in paragraph 1 shall:</w:t>
      </w:r>
    </w:p>
    <w:p w14:paraId="44C4AF4F" w14:textId="77777777" w:rsidR="00273F36" w:rsidRPr="004C70EC" w:rsidRDefault="69C88916" w:rsidP="4CF51068">
      <w:pPr>
        <w:pStyle w:val="Point1"/>
        <w:rPr>
          <w:noProof/>
          <w:color w:val="000000" w:themeColor="text1"/>
          <w:lang w:val="en-US" w:eastAsia="ja-JP"/>
        </w:rPr>
      </w:pPr>
      <w:r w:rsidRPr="004C70EC">
        <w:rPr>
          <w:noProof/>
          <w:color w:val="000000" w:themeColor="text1"/>
          <w:lang w:val="en-US" w:eastAsia="ja-JP"/>
        </w:rPr>
        <w:t>(a)</w:t>
      </w:r>
      <w:r w:rsidR="00A664B2" w:rsidRPr="004C70EC">
        <w:rPr>
          <w:noProof/>
        </w:rPr>
        <w:tab/>
      </w:r>
      <w:r w:rsidR="249CF78E" w:rsidRPr="004C70EC">
        <w:rPr>
          <w:noProof/>
          <w:color w:val="000000" w:themeColor="text1"/>
          <w:lang w:val="en-US" w:eastAsia="ja-JP"/>
        </w:rPr>
        <w:t xml:space="preserve">aim to foster the development and deployment of trustworthy and competitive AI </w:t>
      </w:r>
      <w:r w:rsidR="006D7CDD" w:rsidRPr="002D7694">
        <w:rPr>
          <w:noProof/>
          <w:color w:val="000000" w:themeColor="text1"/>
          <w:lang w:val="en-US" w:eastAsia="ja-JP"/>
        </w:rPr>
        <w:t xml:space="preserve">systems </w:t>
      </w:r>
      <w:r w:rsidR="249CF78E" w:rsidRPr="004C70EC">
        <w:rPr>
          <w:noProof/>
          <w:color w:val="000000" w:themeColor="text1"/>
          <w:lang w:val="en-US" w:eastAsia="ja-JP"/>
        </w:rPr>
        <w:t>in health biotechnologies, including large-scale and general-purpose models</w:t>
      </w:r>
      <w:r w:rsidR="249CF78E" w:rsidRPr="004C70EC">
        <w:rPr>
          <w:noProof/>
          <w:color w:val="000000" w:themeColor="text1"/>
        </w:rPr>
        <w:t xml:space="preserve"> </w:t>
      </w:r>
      <w:r w:rsidR="249CF78E" w:rsidRPr="004C70EC">
        <w:rPr>
          <w:noProof/>
          <w:color w:val="000000" w:themeColor="text1"/>
          <w:lang w:eastAsia="ja-JP"/>
        </w:rPr>
        <w:t>relevant for biological, biomedical or biomanufacturing use cases</w:t>
      </w:r>
      <w:r w:rsidR="249CF78E" w:rsidRPr="004C70EC">
        <w:rPr>
          <w:noProof/>
          <w:color w:val="000000" w:themeColor="text1"/>
          <w:lang w:val="en-US" w:eastAsia="ja-JP"/>
        </w:rPr>
        <w:t>;</w:t>
      </w:r>
    </w:p>
    <w:p w14:paraId="488648DC" w14:textId="0117920B" w:rsidR="002019B2" w:rsidRPr="004C70EC" w:rsidRDefault="69C88916" w:rsidP="00A664B2">
      <w:pPr>
        <w:pStyle w:val="Point1"/>
        <w:rPr>
          <w:noProof/>
          <w:color w:val="000000" w:themeColor="text1"/>
          <w:szCs w:val="24"/>
        </w:rPr>
      </w:pPr>
      <w:r w:rsidRPr="004C70EC">
        <w:rPr>
          <w:rFonts w:eastAsiaTheme="minorEastAsia"/>
          <w:noProof/>
          <w:color w:val="000000" w:themeColor="text1"/>
          <w:lang w:val="en-US" w:eastAsia="ja-JP"/>
        </w:rPr>
        <w:t>(</w:t>
      </w:r>
      <w:r w:rsidR="269C0049" w:rsidRPr="004C70EC">
        <w:rPr>
          <w:rFonts w:eastAsiaTheme="minorEastAsia"/>
          <w:noProof/>
          <w:color w:val="000000" w:themeColor="text1"/>
          <w:lang w:val="en-US" w:eastAsia="ja-JP"/>
        </w:rPr>
        <w:t>b</w:t>
      </w:r>
      <w:r w:rsidRPr="004C70EC">
        <w:rPr>
          <w:rFonts w:eastAsiaTheme="minorEastAsia"/>
          <w:noProof/>
          <w:color w:val="000000" w:themeColor="text1"/>
          <w:lang w:val="en-US" w:eastAsia="ja-JP"/>
        </w:rPr>
        <w:t>)</w:t>
      </w:r>
      <w:r w:rsidR="00A664B2" w:rsidRPr="004C70EC">
        <w:rPr>
          <w:noProof/>
          <w:color w:val="000000" w:themeColor="text1"/>
          <w:szCs w:val="24"/>
        </w:rPr>
        <w:tab/>
      </w:r>
      <w:r w:rsidR="002251ED" w:rsidRPr="004C70EC">
        <w:rPr>
          <w:noProof/>
          <w:color w:val="000000" w:themeColor="text1"/>
        </w:rPr>
        <w:t xml:space="preserve">assist entities that lawfully </w:t>
      </w:r>
      <w:r w:rsidR="009B0248" w:rsidRPr="004C70EC">
        <w:rPr>
          <w:noProof/>
          <w:color w:val="000000" w:themeColor="text1"/>
        </w:rPr>
        <w:t xml:space="preserve">hold </w:t>
      </w:r>
      <w:r w:rsidR="00C143E8" w:rsidRPr="004C70EC">
        <w:rPr>
          <w:noProof/>
          <w:color w:val="000000" w:themeColor="text1"/>
        </w:rPr>
        <w:t xml:space="preserve">relevant data and, as regards </w:t>
      </w:r>
      <w:r w:rsidR="6A3FD093" w:rsidRPr="004C70EC">
        <w:rPr>
          <w:noProof/>
          <w:color w:val="000000" w:themeColor="text1"/>
        </w:rPr>
        <w:t xml:space="preserve">health </w:t>
      </w:r>
      <w:r w:rsidR="75D30685" w:rsidRPr="004C70EC">
        <w:rPr>
          <w:noProof/>
          <w:color w:val="000000" w:themeColor="text1"/>
        </w:rPr>
        <w:t>data</w:t>
      </w:r>
      <w:r w:rsidR="00C143E8" w:rsidRPr="004C70EC">
        <w:rPr>
          <w:noProof/>
          <w:color w:val="000000" w:themeColor="text1"/>
        </w:rPr>
        <w:t>,</w:t>
      </w:r>
      <w:r w:rsidR="75D30685" w:rsidRPr="004C70EC">
        <w:rPr>
          <w:noProof/>
          <w:color w:val="000000" w:themeColor="text1"/>
        </w:rPr>
        <w:t xml:space="preserve"> holders </w:t>
      </w:r>
      <w:r w:rsidR="09528602" w:rsidRPr="004C70EC">
        <w:rPr>
          <w:noProof/>
          <w:color w:val="000000" w:themeColor="text1"/>
        </w:rPr>
        <w:t xml:space="preserve">as defined in Article </w:t>
      </w:r>
      <w:r w:rsidR="7939E524" w:rsidRPr="004C70EC">
        <w:rPr>
          <w:noProof/>
          <w:color w:val="000000" w:themeColor="text1"/>
        </w:rPr>
        <w:t>2(</w:t>
      </w:r>
      <w:r>
        <w:rPr>
          <w:noProof/>
          <w:color w:val="000000" w:themeColor="text1"/>
        </w:rPr>
        <w:t>2</w:t>
      </w:r>
      <w:r w:rsidR="7939E524" w:rsidRPr="004C70EC">
        <w:rPr>
          <w:noProof/>
          <w:color w:val="000000" w:themeColor="text1"/>
        </w:rPr>
        <w:t>), point (</w:t>
      </w:r>
      <w:r w:rsidR="089C0334" w:rsidRPr="004C70EC">
        <w:rPr>
          <w:noProof/>
          <w:color w:val="000000" w:themeColor="text1"/>
        </w:rPr>
        <w:t>t</w:t>
      </w:r>
      <w:r w:rsidR="7939E524" w:rsidRPr="004C70EC">
        <w:rPr>
          <w:noProof/>
          <w:color w:val="000000" w:themeColor="text1"/>
        </w:rPr>
        <w:t xml:space="preserve">), of </w:t>
      </w:r>
      <w:r w:rsidR="5E22F39B" w:rsidRPr="004C70EC">
        <w:rPr>
          <w:noProof/>
          <w:color w:val="000000" w:themeColor="text1"/>
        </w:rPr>
        <w:t xml:space="preserve">Regulation (EU) 2025/327 </w:t>
      </w:r>
      <w:r w:rsidR="09528602" w:rsidRPr="004C70EC">
        <w:rPr>
          <w:noProof/>
          <w:color w:val="000000" w:themeColor="text1"/>
        </w:rPr>
        <w:t xml:space="preserve">(‘health data holders’) </w:t>
      </w:r>
      <w:r w:rsidR="0E1307A9" w:rsidRPr="004C70EC">
        <w:rPr>
          <w:noProof/>
          <w:color w:val="000000" w:themeColor="text1"/>
        </w:rPr>
        <w:t>to</w:t>
      </w:r>
      <w:r w:rsidR="249A04FE" w:rsidRPr="004C70EC">
        <w:rPr>
          <w:noProof/>
          <w:color w:val="000000" w:themeColor="text1"/>
        </w:rPr>
        <w:t xml:space="preserve"> </w:t>
      </w:r>
      <w:r w:rsidR="75D30685" w:rsidRPr="004C70EC">
        <w:rPr>
          <w:noProof/>
          <w:color w:val="000000" w:themeColor="text1"/>
        </w:rPr>
        <w:t xml:space="preserve">improve </w:t>
      </w:r>
      <w:r w:rsidR="0E1307A9" w:rsidRPr="004C70EC">
        <w:rPr>
          <w:noProof/>
          <w:color w:val="000000" w:themeColor="text1"/>
        </w:rPr>
        <w:t xml:space="preserve">data </w:t>
      </w:r>
      <w:r w:rsidR="75D30685" w:rsidRPr="004C70EC">
        <w:rPr>
          <w:noProof/>
          <w:color w:val="000000" w:themeColor="text1"/>
        </w:rPr>
        <w:t xml:space="preserve">quality, standardize and make </w:t>
      </w:r>
      <w:r w:rsidR="0E1307A9" w:rsidRPr="004C70EC">
        <w:rPr>
          <w:noProof/>
          <w:color w:val="000000" w:themeColor="text1"/>
        </w:rPr>
        <w:t xml:space="preserve">other </w:t>
      </w:r>
      <w:r w:rsidR="75D30685" w:rsidRPr="004C70EC">
        <w:rPr>
          <w:noProof/>
          <w:color w:val="000000" w:themeColor="text1"/>
        </w:rPr>
        <w:t>improvements</w:t>
      </w:r>
      <w:r w:rsidR="0E1307A9" w:rsidRPr="004C70EC">
        <w:rPr>
          <w:noProof/>
          <w:color w:val="000000" w:themeColor="text1"/>
        </w:rPr>
        <w:t xml:space="preserve"> to such data</w:t>
      </w:r>
      <w:r w:rsidR="1F235C7C" w:rsidRPr="004C70EC">
        <w:rPr>
          <w:noProof/>
          <w:color w:val="000000" w:themeColor="text1"/>
        </w:rPr>
        <w:t xml:space="preserve"> as </w:t>
      </w:r>
      <w:r w:rsidR="4309128D" w:rsidRPr="004C70EC">
        <w:rPr>
          <w:noProof/>
          <w:color w:val="000000" w:themeColor="text1"/>
        </w:rPr>
        <w:t>referred to in paragraph 1</w:t>
      </w:r>
      <w:r w:rsidR="12A8F005" w:rsidRPr="004C70EC">
        <w:rPr>
          <w:noProof/>
          <w:color w:val="000000" w:themeColor="text1"/>
        </w:rPr>
        <w:t xml:space="preserve"> of this Article;</w:t>
      </w:r>
    </w:p>
    <w:p w14:paraId="62A5ED9F" w14:textId="77777777" w:rsidR="00273F36" w:rsidRPr="004C70EC" w:rsidRDefault="002019B2" w:rsidP="00A664B2">
      <w:pPr>
        <w:pStyle w:val="Point1"/>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xml:space="preserve">(c) </w:t>
      </w:r>
      <w:r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 xml:space="preserve">contribute to the development of </w:t>
      </w:r>
      <w:r w:rsidR="00273F36" w:rsidRPr="004C70EC">
        <w:rPr>
          <w:rFonts w:eastAsiaTheme="majorEastAsia"/>
          <w:noProof/>
          <w:color w:val="000000" w:themeColor="text1"/>
          <w:szCs w:val="24"/>
          <w:lang w:val="en-IE" w:eastAsia="en-IE"/>
        </w:rPr>
        <w:t>Union standards and quality frameworks</w:t>
      </w:r>
      <w:r w:rsidR="00273F36" w:rsidRPr="004C70EC">
        <w:rPr>
          <w:rFonts w:eastAsia="Times New Roman"/>
          <w:noProof/>
          <w:color w:val="000000" w:themeColor="text1"/>
          <w:szCs w:val="24"/>
          <w:lang w:val="en-IE" w:eastAsia="en-IE"/>
        </w:rPr>
        <w:t xml:space="preserve"> for data representativeness, provenance, interoperability and annotation in biotechnology; </w:t>
      </w:r>
    </w:p>
    <w:p w14:paraId="1299D477" w14:textId="77777777" w:rsidR="00273F36" w:rsidRPr="004C70EC" w:rsidRDefault="00A664B2" w:rsidP="075EE1DE">
      <w:pPr>
        <w:pStyle w:val="Point1"/>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w:t>
      </w:r>
      <w:r w:rsidR="00960A60" w:rsidRPr="004C70EC">
        <w:rPr>
          <w:rFonts w:eastAsia="Times New Roman"/>
          <w:noProof/>
          <w:color w:val="000000" w:themeColor="text1"/>
          <w:szCs w:val="24"/>
          <w:lang w:val="en-IE" w:eastAsia="en-IE"/>
        </w:rPr>
        <w:t>c</w:t>
      </w:r>
      <w:r w:rsidRPr="004C70EC">
        <w:rPr>
          <w:rFonts w:eastAsia="Times New Roman"/>
          <w:noProof/>
          <w:color w:val="000000" w:themeColor="text1"/>
          <w:szCs w:val="24"/>
          <w:lang w:val="en-IE" w:eastAsia="en-IE"/>
        </w:rPr>
        <w:t>)</w:t>
      </w:r>
      <w:r w:rsidRPr="004C70EC">
        <w:rPr>
          <w:noProof/>
          <w:color w:val="000000" w:themeColor="text1"/>
          <w:szCs w:val="24"/>
        </w:rPr>
        <w:tab/>
      </w:r>
      <w:r w:rsidR="00273F36" w:rsidRPr="004C70EC">
        <w:rPr>
          <w:rFonts w:eastAsia="Times New Roman"/>
          <w:noProof/>
          <w:color w:val="000000" w:themeColor="text1"/>
          <w:szCs w:val="24"/>
          <w:lang w:val="en-IE" w:eastAsia="en-IE"/>
        </w:rPr>
        <w:t>give due consideration to the interoperability with platforms deployed pursuant to the</w:t>
      </w:r>
      <w:r w:rsidR="007E6F7F" w:rsidRPr="004C70EC">
        <w:rPr>
          <w:rFonts w:eastAsia="Times New Roman"/>
          <w:noProof/>
          <w:color w:val="000000" w:themeColor="text1"/>
          <w:szCs w:val="24"/>
          <w:lang w:val="en-IE" w:eastAsia="en-IE"/>
        </w:rPr>
        <w:t xml:space="preserve"> European Health Data Space (</w:t>
      </w:r>
      <w:r w:rsidR="00273F36" w:rsidRPr="004C70EC">
        <w:rPr>
          <w:rFonts w:eastAsia="Times New Roman"/>
          <w:noProof/>
          <w:color w:val="000000" w:themeColor="text1"/>
          <w:szCs w:val="24"/>
          <w:lang w:val="en-IE" w:eastAsia="en-IE"/>
        </w:rPr>
        <w:t>EHDS</w:t>
      </w:r>
      <w:r w:rsidR="007E6F7F" w:rsidRPr="004C70EC">
        <w:rPr>
          <w:rFonts w:eastAsia="Times New Roman"/>
          <w:noProof/>
          <w:color w:val="000000" w:themeColor="text1"/>
          <w:szCs w:val="24"/>
          <w:lang w:val="en-IE" w:eastAsia="en-IE"/>
        </w:rPr>
        <w:t>)</w:t>
      </w:r>
      <w:r w:rsidR="00273F36" w:rsidRPr="004C70EC">
        <w:rPr>
          <w:rFonts w:eastAsia="Times New Roman"/>
          <w:noProof/>
          <w:color w:val="000000" w:themeColor="text1"/>
          <w:szCs w:val="24"/>
          <w:lang w:val="en-IE" w:eastAsia="en-IE"/>
        </w:rPr>
        <w:t xml:space="preserve"> and other relevant data spaces;</w:t>
      </w:r>
    </w:p>
    <w:p w14:paraId="32789BB1" w14:textId="77777777" w:rsidR="00273F36" w:rsidRPr="004C70EC" w:rsidRDefault="00A664B2" w:rsidP="00A664B2">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960A60" w:rsidRPr="004C70EC">
        <w:rPr>
          <w:rFonts w:eastAsia="Times New Roman"/>
          <w:noProof/>
          <w:color w:val="000000" w:themeColor="text1"/>
          <w:szCs w:val="24"/>
          <w:lang w:eastAsia="en-IE"/>
        </w:rPr>
        <w:t>d</w:t>
      </w:r>
      <w:r w:rsidRPr="004C70EC">
        <w:rPr>
          <w:rFonts w:eastAsia="Times New Roman"/>
          <w:noProof/>
          <w:color w:val="000000" w:themeColor="text1"/>
          <w:szCs w:val="24"/>
          <w:lang w:eastAsia="en-IE"/>
        </w:rPr>
        <w:t>)</w:t>
      </w:r>
      <w:r w:rsidRPr="004C70EC">
        <w:rPr>
          <w:noProof/>
          <w:color w:val="000000" w:themeColor="text1"/>
          <w:szCs w:val="24"/>
        </w:rPr>
        <w:tab/>
      </w:r>
      <w:r w:rsidR="00273F36" w:rsidRPr="004C70EC">
        <w:rPr>
          <w:rFonts w:eastAsia="Times New Roman"/>
          <w:noProof/>
          <w:color w:val="000000" w:themeColor="text1"/>
          <w:szCs w:val="24"/>
          <w:lang w:eastAsia="en-IE"/>
        </w:rPr>
        <w:t xml:space="preserve">be aligned with and complement Union initiatives such as </w:t>
      </w:r>
      <w:r w:rsidR="00261EA9" w:rsidRPr="004C70EC">
        <w:rPr>
          <w:rFonts w:eastAsia="Times New Roman"/>
          <w:noProof/>
          <w:color w:val="000000" w:themeColor="text1"/>
          <w:szCs w:val="24"/>
          <w:lang w:eastAsia="en-IE"/>
        </w:rPr>
        <w:t xml:space="preserve">the Data Union Strategy, including </w:t>
      </w:r>
      <w:r w:rsidR="00273F36" w:rsidRPr="004C70EC">
        <w:rPr>
          <w:rFonts w:eastAsia="Times New Roman"/>
          <w:noProof/>
          <w:color w:val="000000" w:themeColor="text1"/>
          <w:szCs w:val="24"/>
          <w:lang w:eastAsia="en-IE"/>
        </w:rPr>
        <w:t xml:space="preserve">data labs and AI factories, while addressing the specific requirements of biotechnology datasets, including biological metadata, scientific taxonomies, experimental traceability and regulatory-grade data quality. </w:t>
      </w:r>
    </w:p>
    <w:p w14:paraId="57F9B38F" w14:textId="77777777" w:rsidR="00140C76" w:rsidRPr="004C70EC" w:rsidRDefault="000F438C" w:rsidP="00140C76">
      <w:pPr>
        <w:pStyle w:val="Point0"/>
        <w:rPr>
          <w:rFonts w:eastAsiaTheme="minorEastAsia"/>
          <w:noProof/>
          <w:lang w:eastAsia="ja-JP"/>
        </w:rPr>
      </w:pPr>
      <w:r w:rsidRPr="004C70EC">
        <w:rPr>
          <w:noProof/>
          <w:color w:val="000000" w:themeColor="text1"/>
        </w:rPr>
        <w:t>3</w:t>
      </w:r>
      <w:r w:rsidR="4DDA691E" w:rsidRPr="004C70EC">
        <w:rPr>
          <w:noProof/>
          <w:color w:val="000000" w:themeColor="text1"/>
        </w:rPr>
        <w:t>.</w:t>
      </w:r>
      <w:r w:rsidR="00F90108" w:rsidRPr="004C70EC">
        <w:rPr>
          <w:noProof/>
        </w:rPr>
        <w:tab/>
      </w:r>
      <w:r w:rsidR="00140C76" w:rsidRPr="004C70EC">
        <w:rPr>
          <w:rFonts w:eastAsiaTheme="minorEastAsia"/>
          <w:noProof/>
          <w:lang w:eastAsia="ja-JP"/>
        </w:rPr>
        <w:t xml:space="preserve">The provisions of this Regulation regarding the application for, and the recognition of, high-impact </w:t>
      </w:r>
      <w:r w:rsidR="007E6F7F" w:rsidRPr="004C70EC">
        <w:rPr>
          <w:rFonts w:eastAsiaTheme="minorEastAsia"/>
          <w:noProof/>
          <w:lang w:eastAsia="ja-JP"/>
        </w:rPr>
        <w:t xml:space="preserve">health </w:t>
      </w:r>
      <w:r w:rsidR="00140C76" w:rsidRPr="004C70EC">
        <w:rPr>
          <w:rFonts w:eastAsiaTheme="minorEastAsia"/>
          <w:noProof/>
          <w:lang w:eastAsia="ja-JP"/>
        </w:rPr>
        <w:t>biotechnology strategic projects laid down in Articles 8 and 10, respectively, apply to projects referred to in this Article.</w:t>
      </w:r>
    </w:p>
    <w:p w14:paraId="216A621F" w14:textId="77777777" w:rsidR="00C16C83" w:rsidRPr="002D7694" w:rsidRDefault="000F438C" w:rsidP="00140C76">
      <w:pPr>
        <w:pStyle w:val="Point0"/>
        <w:rPr>
          <w:noProof/>
        </w:rPr>
      </w:pPr>
      <w:r w:rsidRPr="004C70EC">
        <w:rPr>
          <w:noProof/>
          <w:color w:val="000000" w:themeColor="text1"/>
        </w:rPr>
        <w:t>4</w:t>
      </w:r>
      <w:r w:rsidR="00140C76" w:rsidRPr="004C70EC">
        <w:rPr>
          <w:noProof/>
          <w:color w:val="000000" w:themeColor="text1"/>
        </w:rPr>
        <w:t>.</w:t>
      </w:r>
      <w:r w:rsidR="00140C76" w:rsidRPr="004C70EC">
        <w:rPr>
          <w:noProof/>
          <w:color w:val="000000" w:themeColor="text1"/>
        </w:rPr>
        <w:tab/>
      </w:r>
      <w:r w:rsidR="00874EBB" w:rsidRPr="004C70EC">
        <w:rPr>
          <w:noProof/>
          <w:color w:val="000000" w:themeColor="text1"/>
        </w:rPr>
        <w:t xml:space="preserve">The processing of personal data by the entities that lawfully hold the relevant </w:t>
      </w:r>
      <w:r w:rsidR="00874EBB" w:rsidRPr="004C70EC">
        <w:rPr>
          <w:noProof/>
          <w:color w:val="000000" w:themeColor="text1"/>
          <w:szCs w:val="24"/>
        </w:rPr>
        <w:t>data</w:t>
      </w:r>
      <w:r w:rsidR="00FF049A" w:rsidRPr="004C70EC">
        <w:rPr>
          <w:noProof/>
          <w:color w:val="000000" w:themeColor="text1"/>
          <w:szCs w:val="24"/>
        </w:rPr>
        <w:t>sets</w:t>
      </w:r>
      <w:r w:rsidR="00874EBB" w:rsidRPr="004C70EC">
        <w:rPr>
          <w:noProof/>
          <w:color w:val="000000" w:themeColor="text1"/>
        </w:rPr>
        <w:t xml:space="preserve"> enhanced as provided for in paragraph 2, point (b) of this Article</w:t>
      </w:r>
      <w:r w:rsidR="00FF049A" w:rsidRPr="004C70EC">
        <w:rPr>
          <w:noProof/>
          <w:color w:val="000000" w:themeColor="text1"/>
          <w:szCs w:val="24"/>
        </w:rPr>
        <w:t>,</w:t>
      </w:r>
      <w:r w:rsidR="00874EBB" w:rsidRPr="004C70EC">
        <w:rPr>
          <w:noProof/>
          <w:color w:val="000000" w:themeColor="text1"/>
        </w:rPr>
        <w:t xml:space="preserve"> and by the biotechnology data quality accelerator projects takes place in the public interest.</w:t>
      </w:r>
    </w:p>
    <w:p w14:paraId="09430BB1" w14:textId="77777777" w:rsidR="009E27CB" w:rsidRPr="004C70EC" w:rsidRDefault="000F438C" w:rsidP="00F90108">
      <w:pPr>
        <w:pStyle w:val="Point0"/>
        <w:rPr>
          <w:noProof/>
          <w:color w:val="000000" w:themeColor="text1"/>
        </w:rPr>
      </w:pPr>
      <w:r w:rsidRPr="004C70EC">
        <w:rPr>
          <w:noProof/>
          <w:color w:val="000000" w:themeColor="text1"/>
        </w:rPr>
        <w:t>5</w:t>
      </w:r>
      <w:r w:rsidR="009E27CB" w:rsidRPr="004C70EC">
        <w:rPr>
          <w:noProof/>
          <w:color w:val="000000" w:themeColor="text1"/>
        </w:rPr>
        <w:t xml:space="preserve">. </w:t>
      </w:r>
      <w:r w:rsidR="009E27CB" w:rsidRPr="004C70EC">
        <w:rPr>
          <w:noProof/>
        </w:rPr>
        <w:tab/>
      </w:r>
      <w:r w:rsidR="009E27CB" w:rsidRPr="004C70EC">
        <w:rPr>
          <w:noProof/>
          <w:color w:val="000000" w:themeColor="text1"/>
        </w:rPr>
        <w:t xml:space="preserve">Entities that lawfully </w:t>
      </w:r>
      <w:r w:rsidR="00FF049A" w:rsidRPr="004C70EC">
        <w:rPr>
          <w:noProof/>
          <w:color w:val="000000" w:themeColor="text1"/>
        </w:rPr>
        <w:t>hold relevant datasets enhanced as provided for in paragraph 2, point (b) of this Article,</w:t>
      </w:r>
      <w:r w:rsidR="000343D1" w:rsidRPr="004C70EC">
        <w:rPr>
          <w:noProof/>
        </w:rPr>
        <w:t xml:space="preserve"> </w:t>
      </w:r>
      <w:r w:rsidR="000343D1" w:rsidRPr="004C70EC">
        <w:rPr>
          <w:noProof/>
          <w:color w:val="000000" w:themeColor="text1"/>
        </w:rPr>
        <w:t>shall make available such datasets under fair, reasonable and non-discriminatory conditions, ensuring equitable access for users including research organisations, SMEs and public institutions, under the conditions referred to in Article 16 of this Regulation.</w:t>
      </w:r>
    </w:p>
    <w:p w14:paraId="6C244344" w14:textId="77777777" w:rsidR="00F90108" w:rsidRPr="004C70EC" w:rsidRDefault="000A34FA" w:rsidP="002D7694">
      <w:pPr>
        <w:pStyle w:val="Point0"/>
        <w:ind w:firstLine="0"/>
        <w:rPr>
          <w:noProof/>
          <w:color w:val="000000" w:themeColor="text1"/>
          <w:szCs w:val="24"/>
          <w:lang w:val="en-US" w:eastAsia="en-IE"/>
        </w:rPr>
      </w:pPr>
      <w:r w:rsidRPr="004C70EC">
        <w:rPr>
          <w:noProof/>
          <w:color w:val="000000" w:themeColor="text1"/>
          <w:lang w:val="en-US" w:eastAsia="en-IE"/>
        </w:rPr>
        <w:t>E</w:t>
      </w:r>
      <w:r w:rsidR="4DDA691E" w:rsidRPr="004C70EC">
        <w:rPr>
          <w:noProof/>
          <w:color w:val="000000" w:themeColor="text1"/>
          <w:lang w:val="en-US" w:eastAsia="en-IE"/>
        </w:rPr>
        <w:t>lectronic</w:t>
      </w:r>
      <w:r w:rsidRPr="004C70EC">
        <w:rPr>
          <w:noProof/>
          <w:color w:val="000000" w:themeColor="text1"/>
          <w:lang w:val="en-US" w:eastAsia="en-IE"/>
        </w:rPr>
        <w:t xml:space="preserve"> health</w:t>
      </w:r>
      <w:r w:rsidR="4DDA691E" w:rsidRPr="004C70EC">
        <w:rPr>
          <w:noProof/>
          <w:color w:val="000000" w:themeColor="text1"/>
          <w:lang w:val="en-US" w:eastAsia="en-IE"/>
        </w:rPr>
        <w:t xml:space="preserve"> data </w:t>
      </w:r>
      <w:r w:rsidR="4DDA691E" w:rsidRPr="004C70EC">
        <w:rPr>
          <w:noProof/>
          <w:color w:val="000000" w:themeColor="text1"/>
        </w:rPr>
        <w:t>referred to in Article 51 of Regulation (EU) 2025/327</w:t>
      </w:r>
      <w:r w:rsidR="4DDA691E" w:rsidRPr="004C70EC">
        <w:rPr>
          <w:noProof/>
          <w:color w:val="000000" w:themeColor="text1"/>
          <w:lang w:val="en-US" w:eastAsia="en-IE"/>
        </w:rPr>
        <w:t xml:space="preserve"> shall be made available</w:t>
      </w:r>
      <w:r w:rsidR="75B3D27C" w:rsidRPr="004C70EC">
        <w:rPr>
          <w:noProof/>
          <w:color w:val="000000" w:themeColor="text1"/>
          <w:lang w:val="en-US" w:eastAsia="en-IE"/>
        </w:rPr>
        <w:t xml:space="preserve"> in accordance with that Regulation</w:t>
      </w:r>
      <w:r w:rsidR="4DDA691E" w:rsidRPr="004C70EC">
        <w:rPr>
          <w:noProof/>
          <w:color w:val="000000" w:themeColor="text1"/>
          <w:lang w:val="en-US" w:eastAsia="en-IE"/>
        </w:rPr>
        <w:t xml:space="preserve">. </w:t>
      </w:r>
    </w:p>
    <w:p w14:paraId="463569DC" w14:textId="5F5CC9D1" w:rsidR="00C051A1" w:rsidRPr="004C70EC" w:rsidRDefault="000F438C" w:rsidP="007E6F7F">
      <w:pPr>
        <w:pStyle w:val="Point0"/>
        <w:rPr>
          <w:noProof/>
          <w:color w:val="000000" w:themeColor="text1"/>
          <w:lang w:eastAsia="en-IE"/>
        </w:rPr>
      </w:pPr>
      <w:r w:rsidRPr="004C70EC">
        <w:rPr>
          <w:noProof/>
          <w:color w:val="000000" w:themeColor="text1"/>
          <w:szCs w:val="24"/>
          <w:lang w:eastAsia="en-IE"/>
        </w:rPr>
        <w:t>6</w:t>
      </w:r>
      <w:r w:rsidR="005F03E0" w:rsidRPr="004C70EC">
        <w:rPr>
          <w:noProof/>
          <w:color w:val="000000" w:themeColor="text1"/>
          <w:szCs w:val="24"/>
          <w:lang w:eastAsia="en-IE"/>
        </w:rPr>
        <w:t>.</w:t>
      </w:r>
      <w:r w:rsidR="005F03E0" w:rsidRPr="004C70EC">
        <w:rPr>
          <w:noProof/>
          <w:color w:val="000000" w:themeColor="text1"/>
          <w:szCs w:val="24"/>
          <w:lang w:eastAsia="en-IE"/>
        </w:rPr>
        <w:tab/>
      </w:r>
      <w:r w:rsidR="00140C76" w:rsidRPr="002D7694">
        <w:rPr>
          <w:rFonts w:eastAsiaTheme="minorEastAsia"/>
          <w:noProof/>
          <w:szCs w:val="24"/>
          <w:lang w:eastAsia="ja-JP"/>
        </w:rPr>
        <w:t>Entities that lawfully hold relevant datasets</w:t>
      </w:r>
      <w:r w:rsidR="00140C76" w:rsidRPr="002D7694">
        <w:rPr>
          <w:rFonts w:eastAsiaTheme="minorEastAsia"/>
          <w:noProof/>
          <w:szCs w:val="24"/>
          <w:lang w:val="en-US" w:eastAsia="ja-JP"/>
        </w:rPr>
        <w:t xml:space="preserve"> </w:t>
      </w:r>
      <w:r w:rsidR="00140C76" w:rsidRPr="004C70EC">
        <w:rPr>
          <w:noProof/>
        </w:rPr>
        <w:t xml:space="preserve"> </w:t>
      </w:r>
      <w:r w:rsidR="00140C76" w:rsidRPr="004C70EC">
        <w:rPr>
          <w:rFonts w:eastAsiaTheme="minorEastAsia"/>
          <w:noProof/>
          <w:szCs w:val="24"/>
          <w:lang w:eastAsia="ja-JP"/>
        </w:rPr>
        <w:t>enhanced as provided for in paragraph 2, point (b) of the Article, shall support, where appropriate, the integration of such datasets into Union infrastructures, including the European Research Area data spaces, data labs, AI factories</w:t>
      </w:r>
      <w:r>
        <w:rPr>
          <w:rFonts w:eastAsiaTheme="minorEastAsia"/>
          <w:noProof/>
          <w:szCs w:val="24"/>
          <w:lang w:eastAsia="ja-JP"/>
        </w:rPr>
        <w:t xml:space="preserve"> and </w:t>
      </w:r>
      <w:r w:rsidR="00140C76" w:rsidRPr="004C70EC">
        <w:rPr>
          <w:rFonts w:eastAsiaTheme="minorEastAsia"/>
          <w:noProof/>
          <w:szCs w:val="24"/>
          <w:lang w:eastAsia="ja-JP"/>
        </w:rPr>
        <w:t>the infrastructures operated by high impact health biotechnology strategic projects.</w:t>
      </w:r>
      <w:r w:rsidR="00C051A1" w:rsidRPr="004C70EC">
        <w:rPr>
          <w:noProof/>
        </w:rPr>
        <w:tab/>
      </w:r>
      <w:r w:rsidR="00D659F0" w:rsidRPr="004C70EC">
        <w:rPr>
          <w:noProof/>
          <w:color w:val="000000" w:themeColor="text1"/>
          <w:lang w:eastAsia="en-IE"/>
        </w:rPr>
        <w:t xml:space="preserve"> </w:t>
      </w:r>
    </w:p>
    <w:p w14:paraId="0A2AF4F7" w14:textId="77777777" w:rsidR="00A05B69" w:rsidRPr="002D7694" w:rsidRDefault="00140C76" w:rsidP="00A05B69">
      <w:pPr>
        <w:pStyle w:val="Point0"/>
        <w:rPr>
          <w:noProof/>
        </w:rPr>
      </w:pPr>
      <w:r w:rsidRPr="004C70EC">
        <w:rPr>
          <w:noProof/>
        </w:rPr>
        <w:t xml:space="preserve">7. </w:t>
      </w:r>
      <w:r w:rsidRPr="004C70EC">
        <w:rPr>
          <w:noProof/>
        </w:rPr>
        <w:tab/>
      </w:r>
      <w:r w:rsidR="0040081B" w:rsidRPr="004C70EC">
        <w:rPr>
          <w:noProof/>
        </w:rPr>
        <w:t xml:space="preserve">The decision of the Commission </w:t>
      </w:r>
      <w:r w:rsidR="00CC6661" w:rsidRPr="004C70EC">
        <w:rPr>
          <w:noProof/>
        </w:rPr>
        <w:t>regarding the recognition of</w:t>
      </w:r>
      <w:r w:rsidR="00E11F96" w:rsidRPr="004C70EC">
        <w:rPr>
          <w:noProof/>
        </w:rPr>
        <w:t xml:space="preserve"> a high impact health biotechnology strategic project in the form of a</w:t>
      </w:r>
      <w:r w:rsidR="00CC6661" w:rsidRPr="004C70EC">
        <w:rPr>
          <w:noProof/>
        </w:rPr>
        <w:t xml:space="preserve"> biotechnology data </w:t>
      </w:r>
      <w:r w:rsidR="00B77DBA" w:rsidRPr="004C70EC">
        <w:rPr>
          <w:noProof/>
        </w:rPr>
        <w:t xml:space="preserve">quality </w:t>
      </w:r>
      <w:r w:rsidR="00CC6661" w:rsidRPr="004C70EC">
        <w:rPr>
          <w:noProof/>
        </w:rPr>
        <w:t>accelerators</w:t>
      </w:r>
      <w:r w:rsidR="00E11F96" w:rsidRPr="004C70EC">
        <w:rPr>
          <w:noProof/>
        </w:rPr>
        <w:t>, referred to in Article 10</w:t>
      </w:r>
      <w:r w:rsidR="007E6F7F" w:rsidRPr="004C70EC">
        <w:rPr>
          <w:noProof/>
        </w:rPr>
        <w:t>(2)</w:t>
      </w:r>
      <w:r w:rsidR="00E11F96" w:rsidRPr="004C70EC">
        <w:rPr>
          <w:noProof/>
        </w:rPr>
        <w:t>, shall</w:t>
      </w:r>
      <w:r w:rsidR="0040081B" w:rsidRPr="004C70EC">
        <w:rPr>
          <w:noProof/>
        </w:rPr>
        <w:t xml:space="preserve"> specify the modalities of processing of personal data necessary to achieve the purpose of the project. In particular the Commission shall specify the categories of data to be processed, the roles of the entities participating in the project, the categories of the entities which may use the curated data and the safeguards.</w:t>
      </w:r>
    </w:p>
    <w:p w14:paraId="2D046B9E" w14:textId="32465274" w:rsidR="00735B11" w:rsidRPr="004C70EC" w:rsidRDefault="00A05B69" w:rsidP="00B77DBA">
      <w:pPr>
        <w:pStyle w:val="Point0"/>
        <w:rPr>
          <w:noProof/>
          <w:color w:val="000000" w:themeColor="text1"/>
          <w:szCs w:val="24"/>
          <w:lang w:eastAsia="en-IE"/>
        </w:rPr>
      </w:pPr>
      <w:r w:rsidRPr="004C70EC">
        <w:rPr>
          <w:noProof/>
          <w:color w:val="000000" w:themeColor="text1"/>
          <w:szCs w:val="24"/>
          <w:lang w:eastAsia="en-IE"/>
        </w:rPr>
        <w:t xml:space="preserve">8.   </w:t>
      </w:r>
      <w:r w:rsidRPr="004C70EC">
        <w:rPr>
          <w:noProof/>
          <w:color w:val="000000" w:themeColor="text1"/>
          <w:szCs w:val="24"/>
          <w:lang w:eastAsia="en-IE"/>
        </w:rPr>
        <w:tab/>
        <w:t>With regard to biotechnology</w:t>
      </w:r>
      <w:r w:rsidR="00B77DBA" w:rsidRPr="004C70EC">
        <w:rPr>
          <w:noProof/>
          <w:color w:val="000000" w:themeColor="text1"/>
          <w:szCs w:val="24"/>
          <w:lang w:eastAsia="en-IE"/>
        </w:rPr>
        <w:t xml:space="preserve"> </w:t>
      </w:r>
      <w:r w:rsidRPr="004C70EC">
        <w:rPr>
          <w:noProof/>
          <w:color w:val="000000" w:themeColor="text1"/>
          <w:szCs w:val="24"/>
          <w:lang w:eastAsia="en-IE"/>
        </w:rPr>
        <w:t xml:space="preserve">data </w:t>
      </w:r>
      <w:r w:rsidR="00B77DBA" w:rsidRPr="004C70EC">
        <w:rPr>
          <w:noProof/>
          <w:color w:val="000000" w:themeColor="text1"/>
          <w:szCs w:val="24"/>
          <w:lang w:eastAsia="en-IE"/>
        </w:rPr>
        <w:t xml:space="preserve">quality </w:t>
      </w:r>
      <w:r w:rsidRPr="004C70EC">
        <w:rPr>
          <w:noProof/>
          <w:color w:val="000000" w:themeColor="text1"/>
          <w:szCs w:val="24"/>
          <w:lang w:eastAsia="en-IE"/>
        </w:rPr>
        <w:t xml:space="preserve">accelerators recognised in the context of a call for proposals as provided for in Article 10(3), </w:t>
      </w:r>
      <w:r>
        <w:rPr>
          <w:noProof/>
          <w:color w:val="000000" w:themeColor="text1"/>
          <w:szCs w:val="24"/>
          <w:lang w:eastAsia="en-IE"/>
        </w:rPr>
        <w:t xml:space="preserve">the Commission shall, by means of implementing acts, adopt, before the launch of the related call, a decision establishing </w:t>
      </w:r>
      <w:r w:rsidR="00B77DBA" w:rsidRPr="004C70EC">
        <w:rPr>
          <w:noProof/>
          <w:color w:val="000000" w:themeColor="text1"/>
          <w:szCs w:val="24"/>
          <w:lang w:eastAsia="en-IE"/>
        </w:rPr>
        <w:t>the modalities of processing of personal data necessary to achieve the purpose of the project. Tha</w:t>
      </w:r>
      <w:r>
        <w:rPr>
          <w:noProof/>
          <w:color w:val="000000" w:themeColor="text1"/>
          <w:szCs w:val="24"/>
          <w:lang w:eastAsia="en-IE"/>
        </w:rPr>
        <w:t>t</w:t>
      </w:r>
      <w:r w:rsidR="00B77DBA" w:rsidRPr="004C70EC">
        <w:rPr>
          <w:noProof/>
          <w:color w:val="000000" w:themeColor="text1"/>
          <w:szCs w:val="24"/>
          <w:lang w:eastAsia="en-IE"/>
        </w:rPr>
        <w:t xml:space="preserve"> decision shall specify the categories of data to be processed, the roles of the entities participating in the project, the categories of the entities which may use the curated data and the safeguards. The selected beneficiaries shall comply with the conditions laid down in that decision.</w:t>
      </w:r>
    </w:p>
    <w:p w14:paraId="1DA1559B" w14:textId="77777777" w:rsidR="00273F36" w:rsidRPr="004C70EC" w:rsidRDefault="00273F36" w:rsidP="00895C7F">
      <w:pPr>
        <w:pStyle w:val="ChapterTitle"/>
        <w:rPr>
          <w:rFonts w:eastAsia="Times New Roman"/>
          <w:noProof/>
          <w:color w:val="000000" w:themeColor="text1"/>
          <w:sz w:val="24"/>
          <w:szCs w:val="24"/>
          <w:lang w:val="en-IE" w:eastAsia="en-IE"/>
        </w:rPr>
      </w:pPr>
      <w:r w:rsidRPr="004C70EC">
        <w:rPr>
          <w:noProof/>
          <w:color w:val="000000" w:themeColor="text1"/>
          <w:sz w:val="24"/>
          <w:szCs w:val="24"/>
          <w:lang w:eastAsia="en-IE"/>
        </w:rPr>
        <w:t xml:space="preserve">CHAPTER </w:t>
      </w:r>
      <w:r w:rsidR="00804A1A" w:rsidRPr="004C70EC">
        <w:rPr>
          <w:noProof/>
          <w:color w:val="000000" w:themeColor="text1"/>
          <w:sz w:val="24"/>
          <w:szCs w:val="24"/>
          <w:lang w:eastAsia="en-IE"/>
        </w:rPr>
        <w:t>VII</w:t>
      </w:r>
    </w:p>
    <w:p w14:paraId="515DE08B" w14:textId="77777777" w:rsidR="00273F36" w:rsidRPr="004C70EC" w:rsidRDefault="00273F36" w:rsidP="00A80A89">
      <w:pPr>
        <w:pStyle w:val="ChapterTitle"/>
        <w:rPr>
          <w:rFonts w:eastAsia="Times New Roman"/>
          <w:noProof/>
          <w:color w:val="000000" w:themeColor="text1"/>
          <w:sz w:val="24"/>
          <w:szCs w:val="24"/>
          <w:bdr w:val="nil"/>
          <w:lang w:val="en-US" w:eastAsia="en-GB"/>
        </w:rPr>
      </w:pPr>
      <w:r w:rsidRPr="004C70EC">
        <w:rPr>
          <w:rFonts w:eastAsia="Times New Roman"/>
          <w:noProof/>
          <w:color w:val="000000" w:themeColor="text1"/>
          <w:sz w:val="24"/>
          <w:szCs w:val="24"/>
          <w:bdr w:val="nil"/>
          <w:lang w:val="en-US" w:eastAsia="en-GB"/>
        </w:rPr>
        <w:t xml:space="preserve">REGULATORY </w:t>
      </w:r>
      <w:r w:rsidR="00725CA2" w:rsidRPr="004C70EC">
        <w:rPr>
          <w:rFonts w:eastAsia="Times New Roman"/>
          <w:noProof/>
          <w:color w:val="000000" w:themeColor="text1"/>
          <w:sz w:val="24"/>
          <w:szCs w:val="24"/>
          <w:bdr w:val="nil"/>
          <w:lang w:val="en-US" w:eastAsia="en-GB"/>
        </w:rPr>
        <w:t xml:space="preserve">TOOLS </w:t>
      </w:r>
      <w:r w:rsidRPr="004C70EC">
        <w:rPr>
          <w:rFonts w:eastAsia="Times New Roman"/>
          <w:noProof/>
          <w:color w:val="000000" w:themeColor="text1"/>
          <w:sz w:val="24"/>
          <w:szCs w:val="24"/>
          <w:bdr w:val="nil"/>
          <w:lang w:val="en-US" w:eastAsia="en-GB"/>
        </w:rPr>
        <w:t>FOR NOVEL HEALTH BIOTECHNOLOGY PRODUCTS</w:t>
      </w:r>
    </w:p>
    <w:p w14:paraId="197C080B" w14:textId="77777777" w:rsidR="00273F36" w:rsidRPr="004C70EC" w:rsidRDefault="00273F36" w:rsidP="00895C7F">
      <w:pPr>
        <w:pStyle w:val="SectionTitle"/>
        <w:rPr>
          <w:noProof/>
          <w:color w:val="000000" w:themeColor="text1"/>
          <w:sz w:val="24"/>
          <w:szCs w:val="24"/>
          <w:lang w:eastAsia="en-IE"/>
        </w:rPr>
      </w:pPr>
      <w:r w:rsidRPr="004C70EC">
        <w:rPr>
          <w:noProof/>
          <w:color w:val="000000" w:themeColor="text1"/>
          <w:sz w:val="24"/>
          <w:szCs w:val="24"/>
          <w:lang w:eastAsia="en-IE"/>
        </w:rPr>
        <w:t>SECTION 1</w:t>
      </w:r>
    </w:p>
    <w:p w14:paraId="464D55C7" w14:textId="77777777" w:rsidR="00273F36" w:rsidRPr="004C70EC" w:rsidRDefault="00273F36" w:rsidP="00895C7F">
      <w:pPr>
        <w:pStyle w:val="SectionTitle"/>
        <w:rPr>
          <w:rFonts w:eastAsia="Times New Roman"/>
          <w:b w:val="0"/>
          <w:bCs/>
          <w:noProof/>
          <w:color w:val="000000" w:themeColor="text1"/>
          <w:sz w:val="24"/>
          <w:szCs w:val="24"/>
          <w:lang w:eastAsia="ja-JP"/>
        </w:rPr>
      </w:pPr>
      <w:r w:rsidRPr="004C70EC">
        <w:rPr>
          <w:rFonts w:eastAsia="Times New Roman"/>
          <w:bCs/>
          <w:noProof/>
          <w:color w:val="000000" w:themeColor="text1"/>
          <w:sz w:val="24"/>
          <w:szCs w:val="24"/>
          <w:lang w:eastAsia="ja-JP"/>
        </w:rPr>
        <w:t xml:space="preserve">Support in </w:t>
      </w:r>
      <w:r w:rsidR="009B0089" w:rsidRPr="004C70EC">
        <w:rPr>
          <w:rFonts w:eastAsia="Times New Roman"/>
          <w:bCs/>
          <w:noProof/>
          <w:color w:val="000000" w:themeColor="text1"/>
          <w:sz w:val="24"/>
          <w:szCs w:val="24"/>
          <w:lang w:eastAsia="ja-JP"/>
        </w:rPr>
        <w:t>determining the regulatory status of novel health biotechnology products</w:t>
      </w:r>
    </w:p>
    <w:p w14:paraId="1FE08D95" w14:textId="77777777" w:rsidR="00273F36" w:rsidRPr="004C70EC" w:rsidRDefault="00273F36" w:rsidP="00895C7F">
      <w:pPr>
        <w:pStyle w:val="Titrearticle"/>
        <w:rPr>
          <w:rFonts w:eastAsiaTheme="majorEastAsia"/>
          <w:i w:val="0"/>
          <w:noProof/>
          <w:color w:val="000000" w:themeColor="text1"/>
          <w:szCs w:val="24"/>
          <w:lang w:eastAsia="en-IE"/>
        </w:rPr>
      </w:pPr>
      <w:r w:rsidRPr="004C70EC">
        <w:rPr>
          <w:rFonts w:eastAsiaTheme="majorEastAsia"/>
          <w:iCs/>
          <w:noProof/>
          <w:color w:val="000000" w:themeColor="text1"/>
          <w:szCs w:val="24"/>
          <w:lang w:eastAsia="en-IE"/>
        </w:rPr>
        <w:t xml:space="preserve">Article </w:t>
      </w:r>
      <w:r w:rsidR="006116D3" w:rsidRPr="004C70EC">
        <w:rPr>
          <w:rFonts w:eastAsiaTheme="majorEastAsia"/>
          <w:iCs/>
          <w:noProof/>
          <w:color w:val="000000" w:themeColor="text1"/>
          <w:szCs w:val="24"/>
          <w:lang w:eastAsia="en-IE"/>
        </w:rPr>
        <w:t>3</w:t>
      </w:r>
      <w:r w:rsidR="005F03E0" w:rsidRPr="004C70EC">
        <w:rPr>
          <w:rFonts w:eastAsiaTheme="majorEastAsia"/>
          <w:iCs/>
          <w:noProof/>
          <w:color w:val="000000" w:themeColor="text1"/>
          <w:szCs w:val="24"/>
          <w:lang w:eastAsia="en-IE"/>
        </w:rPr>
        <w:t>4</w:t>
      </w:r>
    </w:p>
    <w:p w14:paraId="04A46240" w14:textId="77777777" w:rsidR="00273F36" w:rsidRPr="004C70EC" w:rsidRDefault="00273F36" w:rsidP="18D3BF3E">
      <w:pPr>
        <w:keepNext/>
        <w:keepLines/>
        <w:spacing w:before="160" w:after="80" w:line="279" w:lineRule="auto"/>
        <w:jc w:val="center"/>
        <w:outlineLvl w:val="2"/>
        <w:rPr>
          <w:rFonts w:eastAsiaTheme="majorEastAsia"/>
          <w:noProof/>
          <w:color w:val="000000" w:themeColor="text1"/>
          <w:szCs w:val="24"/>
          <w:lang w:eastAsia="ja-JP"/>
        </w:rPr>
      </w:pPr>
      <w:r w:rsidRPr="004C70EC">
        <w:rPr>
          <w:rFonts w:eastAsiaTheme="majorEastAsia"/>
          <w:b/>
          <w:bCs/>
          <w:noProof/>
          <w:color w:val="000000" w:themeColor="text1"/>
          <w:szCs w:val="24"/>
          <w:lang w:eastAsia="ja-JP"/>
        </w:rPr>
        <w:t xml:space="preserve">Assistance on regulatory </w:t>
      </w:r>
      <w:r w:rsidR="00E61BB5" w:rsidRPr="004C70EC">
        <w:rPr>
          <w:rFonts w:eastAsiaTheme="majorEastAsia"/>
          <w:b/>
          <w:bCs/>
          <w:noProof/>
          <w:color w:val="000000" w:themeColor="text1"/>
          <w:szCs w:val="24"/>
          <w:lang w:eastAsia="ja-JP"/>
        </w:rPr>
        <w:t xml:space="preserve">procedural pathways </w:t>
      </w:r>
    </w:p>
    <w:p w14:paraId="3159F1EA" w14:textId="77777777" w:rsidR="000453F2" w:rsidRPr="004C70EC" w:rsidRDefault="00A83681" w:rsidP="18D3BF3E">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1</w:t>
      </w:r>
      <w:r w:rsidR="00273F36" w:rsidRPr="004C70EC">
        <w:rPr>
          <w:rFonts w:eastAsia="Times New Roman"/>
          <w:noProof/>
          <w:color w:val="000000" w:themeColor="text1"/>
          <w:szCs w:val="24"/>
          <w:lang w:eastAsia="en-IE"/>
        </w:rPr>
        <w:t>.</w:t>
      </w:r>
      <w:r w:rsidRPr="004C70EC">
        <w:rPr>
          <w:noProof/>
          <w:color w:val="000000" w:themeColor="text1"/>
          <w:szCs w:val="24"/>
        </w:rPr>
        <w:tab/>
      </w:r>
      <w:r w:rsidRPr="004C70EC">
        <w:rPr>
          <w:noProof/>
          <w:color w:val="000000" w:themeColor="text1"/>
          <w:szCs w:val="24"/>
          <w:lang w:eastAsia="en-IE"/>
        </w:rPr>
        <w:t xml:space="preserve">The EU Health Biotechnology Support Network referred to in Article </w:t>
      </w:r>
      <w:r w:rsidR="00AD5962" w:rsidRPr="004C70EC">
        <w:rPr>
          <w:noProof/>
          <w:color w:val="000000" w:themeColor="text1"/>
          <w:szCs w:val="24"/>
          <w:lang w:eastAsia="en-IE"/>
        </w:rPr>
        <w:t>19</w:t>
      </w:r>
      <w:r w:rsidRPr="004C70EC">
        <w:rPr>
          <w:noProof/>
          <w:color w:val="000000" w:themeColor="text1"/>
          <w:szCs w:val="24"/>
          <w:lang w:eastAsia="en-IE"/>
        </w:rPr>
        <w:t xml:space="preserve"> shall, upon request, assist developers, in particular SMEs, start-ups </w:t>
      </w:r>
      <w:r w:rsidRPr="004C70EC">
        <w:rPr>
          <w:rFonts w:eastAsiaTheme="majorEastAsia"/>
          <w:noProof/>
          <w:color w:val="000000" w:themeColor="text1"/>
          <w:szCs w:val="24"/>
          <w:lang w:eastAsia="ja-JP"/>
        </w:rPr>
        <w:t>and scale-ups</w:t>
      </w:r>
      <w:r w:rsidRPr="004C70EC">
        <w:rPr>
          <w:noProof/>
          <w:color w:val="000000" w:themeColor="text1"/>
          <w:szCs w:val="24"/>
          <w:lang w:eastAsia="en-IE"/>
        </w:rPr>
        <w:t xml:space="preserve">, with identifying and using the appropriate regulatory </w:t>
      </w:r>
      <w:r w:rsidR="509F3274" w:rsidRPr="004C70EC">
        <w:rPr>
          <w:noProof/>
          <w:color w:val="000000" w:themeColor="text1"/>
          <w:szCs w:val="24"/>
          <w:lang w:eastAsia="en-IE"/>
        </w:rPr>
        <w:t>procedural pathway</w:t>
      </w:r>
      <w:r w:rsidRPr="004C70EC">
        <w:rPr>
          <w:noProof/>
          <w:color w:val="000000" w:themeColor="text1"/>
          <w:szCs w:val="24"/>
          <w:lang w:eastAsia="en-IE"/>
        </w:rPr>
        <w:t xml:space="preserve"> and regulatory support mechanisms with regard to innovative health biotechnology products or biotechnology services for human use that exhibit characteristics that raise questions on the application or applicability of the </w:t>
      </w:r>
      <w:r w:rsidRPr="004C70EC">
        <w:rPr>
          <w:rFonts w:eastAsiaTheme="majorEastAsia"/>
          <w:noProof/>
          <w:color w:val="000000" w:themeColor="text1"/>
          <w:szCs w:val="24"/>
          <w:lang w:eastAsia="en-IE"/>
        </w:rPr>
        <w:t>Regulation (EU) 2017/745, Regulation (EU) 2017/746, Regulation (EU) 2024/1938</w:t>
      </w:r>
      <w:r w:rsidR="006E2BE1" w:rsidRPr="004C70EC">
        <w:rPr>
          <w:rFonts w:eastAsiaTheme="majorEastAsia"/>
          <w:noProof/>
          <w:color w:val="000000" w:themeColor="text1"/>
          <w:szCs w:val="24"/>
          <w:lang w:eastAsia="en-IE"/>
        </w:rPr>
        <w:t xml:space="preserve">, </w:t>
      </w:r>
      <w:r w:rsidR="3174939E" w:rsidRPr="004C70EC">
        <w:rPr>
          <w:rFonts w:eastAsia="Times New Roman"/>
          <w:noProof/>
          <w:color w:val="000000" w:themeColor="text1"/>
          <w:szCs w:val="24"/>
          <w:lang w:val="en-US"/>
        </w:rPr>
        <w:t xml:space="preserve">Regulation (EU) …/… [reference to be added after adoption cf. COM(2023) 193 final] </w:t>
      </w:r>
      <w:r w:rsidR="006E2BE1" w:rsidRPr="004C70EC">
        <w:rPr>
          <w:rFonts w:eastAsia="Times New Roman"/>
          <w:noProof/>
          <w:color w:val="000000" w:themeColor="text1"/>
          <w:szCs w:val="24"/>
          <w:lang w:eastAsia="en-IE"/>
        </w:rPr>
        <w:t xml:space="preserve"> </w:t>
      </w:r>
      <w:r w:rsidR="4BA5FC25" w:rsidRPr="004C70EC">
        <w:rPr>
          <w:rFonts w:eastAsia="Times New Roman"/>
          <w:noProof/>
          <w:color w:val="000000" w:themeColor="text1"/>
          <w:szCs w:val="24"/>
          <w:lang w:eastAsia="en-IE"/>
        </w:rPr>
        <w:t>and</w:t>
      </w:r>
      <w:r w:rsidR="2637BCB8" w:rsidRPr="004C70EC">
        <w:rPr>
          <w:rFonts w:eastAsia="Times New Roman"/>
          <w:noProof/>
          <w:color w:val="000000" w:themeColor="text1"/>
          <w:szCs w:val="24"/>
          <w:lang w:eastAsia="en-IE"/>
        </w:rPr>
        <w:t xml:space="preserve"> </w:t>
      </w:r>
      <w:r w:rsidR="006E2BE1" w:rsidRPr="004C70EC">
        <w:rPr>
          <w:rFonts w:eastAsia="Times New Roman"/>
          <w:noProof/>
          <w:color w:val="000000" w:themeColor="text1"/>
          <w:szCs w:val="24"/>
          <w:lang w:val="en-US"/>
        </w:rPr>
        <w:t>Regulation (</w:t>
      </w:r>
      <w:r w:rsidR="4BA5FC25" w:rsidRPr="004C70EC">
        <w:rPr>
          <w:rFonts w:eastAsia="Times New Roman"/>
          <w:noProof/>
          <w:color w:val="000000" w:themeColor="text1"/>
          <w:szCs w:val="24"/>
          <w:lang w:val="en-US"/>
        </w:rPr>
        <w:t>EU) …/… [reference to be added after adoption cf. COM(2023) 192 final]</w:t>
      </w:r>
      <w:r w:rsidR="4BA5FC25" w:rsidRPr="004C70EC">
        <w:rPr>
          <w:noProof/>
          <w:color w:val="000000" w:themeColor="text1"/>
          <w:szCs w:val="24"/>
        </w:rPr>
        <w:t xml:space="preserve"> </w:t>
      </w:r>
      <w:r w:rsidR="006E2BE1" w:rsidRPr="004C70EC">
        <w:rPr>
          <w:rFonts w:eastAsia="Times New Roman"/>
          <w:noProof/>
          <w:color w:val="000000" w:themeColor="text1"/>
          <w:szCs w:val="24"/>
          <w:lang w:eastAsia="en-IE"/>
        </w:rPr>
        <w:t>Regulation (EC) 1394/2007  and Directive 2010/45/EU</w:t>
      </w:r>
      <w:r w:rsidR="006E2BE1" w:rsidRPr="004C70EC">
        <w:rPr>
          <w:noProof/>
          <w:color w:val="000000" w:themeColor="text1"/>
          <w:szCs w:val="24"/>
          <w:lang w:eastAsia="en-IE"/>
        </w:rPr>
        <w:t>.</w:t>
      </w:r>
    </w:p>
    <w:p w14:paraId="62A26E7B" w14:textId="77777777" w:rsidR="00273F36" w:rsidRPr="004C70EC" w:rsidRDefault="124A385C" w:rsidP="33CE1D06">
      <w:pPr>
        <w:pStyle w:val="Point0"/>
        <w:rPr>
          <w:rFonts w:eastAsia="Times New Roman"/>
          <w:noProof/>
          <w:color w:val="000000" w:themeColor="text1"/>
          <w:szCs w:val="24"/>
          <w:lang w:eastAsia="en-IE"/>
        </w:rPr>
      </w:pPr>
      <w:r w:rsidRPr="004C70EC">
        <w:rPr>
          <w:noProof/>
          <w:color w:val="000000" w:themeColor="text1"/>
          <w:szCs w:val="24"/>
        </w:rPr>
        <w:t>2.</w:t>
      </w:r>
      <w:r w:rsidR="00D50BEB" w:rsidRPr="004C70EC">
        <w:rPr>
          <w:noProof/>
          <w:color w:val="000000" w:themeColor="text1"/>
          <w:szCs w:val="24"/>
        </w:rPr>
        <w:tab/>
      </w:r>
      <w:r w:rsidR="2F263E33" w:rsidRPr="004C70EC">
        <w:rPr>
          <w:rFonts w:eastAsia="Times New Roman"/>
          <w:noProof/>
          <w:color w:val="000000" w:themeColor="text1"/>
          <w:szCs w:val="24"/>
          <w:lang w:eastAsia="en-IE"/>
        </w:rPr>
        <w:t xml:space="preserve">The support provided pursuant to this Article shall not duplicate </w:t>
      </w:r>
      <w:r w:rsidR="10503F8A" w:rsidRPr="004C70EC">
        <w:rPr>
          <w:rFonts w:eastAsia="Times New Roman"/>
          <w:noProof/>
          <w:color w:val="000000" w:themeColor="text1"/>
          <w:szCs w:val="24"/>
          <w:lang w:eastAsia="en-IE"/>
        </w:rPr>
        <w:t>procedures pertaining to recommendations or opinion</w:t>
      </w:r>
      <w:r w:rsidR="5878E72D" w:rsidRPr="004C70EC">
        <w:rPr>
          <w:rFonts w:eastAsia="Times New Roman"/>
          <w:noProof/>
          <w:color w:val="000000" w:themeColor="text1"/>
          <w:szCs w:val="24"/>
          <w:lang w:eastAsia="en-IE"/>
        </w:rPr>
        <w:t>s</w:t>
      </w:r>
      <w:r w:rsidR="10503F8A" w:rsidRPr="004C70EC">
        <w:rPr>
          <w:rFonts w:eastAsia="Times New Roman"/>
          <w:noProof/>
          <w:color w:val="000000" w:themeColor="text1"/>
          <w:szCs w:val="24"/>
          <w:lang w:eastAsia="en-IE"/>
        </w:rPr>
        <w:t xml:space="preserve"> on regulatory </w:t>
      </w:r>
      <w:r w:rsidR="00E950E4" w:rsidRPr="004C70EC">
        <w:rPr>
          <w:rFonts w:eastAsia="Times New Roman"/>
          <w:noProof/>
          <w:color w:val="000000" w:themeColor="text1"/>
          <w:szCs w:val="24"/>
          <w:lang w:eastAsia="en-IE"/>
        </w:rPr>
        <w:t>status</w:t>
      </w:r>
      <w:r w:rsidR="10503F8A" w:rsidRPr="004C70EC">
        <w:rPr>
          <w:rFonts w:eastAsia="Times New Roman"/>
          <w:noProof/>
          <w:color w:val="000000" w:themeColor="text1"/>
          <w:szCs w:val="24"/>
          <w:lang w:eastAsia="en-IE"/>
        </w:rPr>
        <w:t xml:space="preserve"> s</w:t>
      </w:r>
      <w:r w:rsidR="5F3001E4" w:rsidRPr="004C70EC">
        <w:rPr>
          <w:rFonts w:eastAsia="Times New Roman"/>
          <w:noProof/>
          <w:color w:val="000000" w:themeColor="text1"/>
          <w:szCs w:val="24"/>
          <w:lang w:eastAsia="en-IE"/>
        </w:rPr>
        <w:t>et out in</w:t>
      </w:r>
      <w:r w:rsidR="2F263E33" w:rsidRPr="004C70EC">
        <w:rPr>
          <w:rFonts w:eastAsiaTheme="majorEastAsia"/>
          <w:noProof/>
          <w:color w:val="000000" w:themeColor="text1"/>
          <w:szCs w:val="24"/>
          <w:lang w:eastAsia="en-IE"/>
        </w:rPr>
        <w:t xml:space="preserve"> with </w:t>
      </w:r>
      <w:r w:rsidR="00531DB9" w:rsidRPr="004C70EC">
        <w:rPr>
          <w:rFonts w:eastAsiaTheme="majorEastAsia"/>
          <w:noProof/>
          <w:color w:val="000000" w:themeColor="text1"/>
          <w:szCs w:val="24"/>
          <w:lang w:eastAsia="en-IE"/>
        </w:rPr>
        <w:t xml:space="preserve"> </w:t>
      </w:r>
      <w:r w:rsidR="2F263E33" w:rsidRPr="004C70EC">
        <w:rPr>
          <w:rFonts w:eastAsiaTheme="majorEastAsia"/>
          <w:noProof/>
          <w:color w:val="000000" w:themeColor="text1"/>
          <w:szCs w:val="24"/>
          <w:lang w:eastAsia="en-IE"/>
        </w:rPr>
        <w:t>Regulation (EU) 2017/745, Regulation (EU) 2017/746, Regulation (EU) 2024/1938</w:t>
      </w:r>
      <w:r w:rsidR="245BF273" w:rsidRPr="004C70EC">
        <w:rPr>
          <w:rFonts w:eastAsiaTheme="majorEastAsia"/>
          <w:noProof/>
          <w:color w:val="000000" w:themeColor="text1"/>
          <w:szCs w:val="24"/>
          <w:lang w:eastAsia="en-IE"/>
        </w:rPr>
        <w:t>,</w:t>
      </w:r>
      <w:r w:rsidR="2F263E33" w:rsidRPr="004C70EC">
        <w:rPr>
          <w:rFonts w:eastAsiaTheme="majorEastAsia"/>
          <w:noProof/>
          <w:color w:val="000000" w:themeColor="text1"/>
          <w:szCs w:val="24"/>
          <w:lang w:eastAsia="en-IE"/>
        </w:rPr>
        <w:t xml:space="preserve"> </w:t>
      </w:r>
      <w:r w:rsidR="459C78D5" w:rsidRPr="004C70EC">
        <w:rPr>
          <w:rFonts w:eastAsia="Times New Roman"/>
          <w:noProof/>
          <w:color w:val="000000" w:themeColor="text1"/>
          <w:szCs w:val="24"/>
          <w:lang w:val="en-US"/>
        </w:rPr>
        <w:t xml:space="preserve">Regulation (EU) …/… [reference to be added after adoption cf. COM(2023) 193 final] </w:t>
      </w:r>
      <w:r w:rsidR="459C78D5" w:rsidRPr="004C70EC">
        <w:rPr>
          <w:rFonts w:eastAsia="Times New Roman"/>
          <w:noProof/>
          <w:color w:val="000000" w:themeColor="text1"/>
          <w:szCs w:val="24"/>
        </w:rPr>
        <w:t xml:space="preserve">and </w:t>
      </w:r>
      <w:r w:rsidR="459C78D5" w:rsidRPr="004C70EC">
        <w:rPr>
          <w:rFonts w:eastAsia="Times New Roman"/>
          <w:noProof/>
          <w:color w:val="000000" w:themeColor="text1"/>
          <w:szCs w:val="24"/>
          <w:lang w:val="en-US"/>
        </w:rPr>
        <w:t>Regulation (EU) …/… [reference to be added after adoption cf. COM(2023) 192 final]</w:t>
      </w:r>
      <w:r w:rsidR="2F263E33" w:rsidRPr="004C70EC">
        <w:rPr>
          <w:rFonts w:eastAsiaTheme="majorEastAsia"/>
          <w:noProof/>
          <w:color w:val="000000" w:themeColor="text1"/>
          <w:szCs w:val="24"/>
          <w:lang w:eastAsia="en-IE"/>
        </w:rPr>
        <w:t xml:space="preserve"> </w:t>
      </w:r>
      <w:r w:rsidR="2F263E33" w:rsidRPr="004C70EC">
        <w:rPr>
          <w:rFonts w:eastAsia="Times New Roman"/>
          <w:noProof/>
          <w:color w:val="000000" w:themeColor="text1"/>
          <w:szCs w:val="24"/>
          <w:lang w:eastAsia="en-IE"/>
        </w:rPr>
        <w:t>.</w:t>
      </w:r>
    </w:p>
    <w:p w14:paraId="0C7541AC" w14:textId="77777777" w:rsidR="00273F36" w:rsidRPr="004C70EC" w:rsidRDefault="00273F36" w:rsidP="00895C7F">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3.</w:t>
      </w:r>
      <w:r w:rsidRPr="004C70EC">
        <w:rPr>
          <w:rFonts w:eastAsia="Times New Roman"/>
          <w:noProof/>
          <w:color w:val="000000" w:themeColor="text1"/>
          <w:szCs w:val="24"/>
          <w:lang w:eastAsia="en-IE"/>
        </w:rPr>
        <w:tab/>
        <w:t>The support referred to in paragraph 1 shall be provided in particular on the following:</w:t>
      </w:r>
    </w:p>
    <w:p w14:paraId="096526EC" w14:textId="77777777" w:rsidR="00273F36" w:rsidRPr="004C70EC" w:rsidRDefault="00895C7F" w:rsidP="00895C7F">
      <w:pPr>
        <w:pStyle w:val="Point1"/>
        <w:rPr>
          <w:noProof/>
          <w:color w:val="000000" w:themeColor="text1"/>
          <w:szCs w:val="24"/>
          <w:lang w:eastAsia="en-IE"/>
        </w:rPr>
      </w:pPr>
      <w:r w:rsidRPr="004C70EC">
        <w:rPr>
          <w:noProof/>
          <w:color w:val="000000" w:themeColor="text1"/>
          <w:szCs w:val="24"/>
          <w:lang w:eastAsia="en-IE"/>
        </w:rPr>
        <w:t>(a)</w:t>
      </w:r>
      <w:r w:rsidRPr="004C70EC">
        <w:rPr>
          <w:noProof/>
          <w:color w:val="000000" w:themeColor="text1"/>
          <w:szCs w:val="24"/>
          <w:lang w:eastAsia="en-IE"/>
        </w:rPr>
        <w:tab/>
      </w:r>
      <w:r w:rsidR="00273F36" w:rsidRPr="004C70EC">
        <w:rPr>
          <w:noProof/>
          <w:color w:val="000000" w:themeColor="text1"/>
          <w:szCs w:val="24"/>
          <w:lang w:eastAsia="en-IE"/>
        </w:rPr>
        <w:t>procedures for seeking guidance on the regulatory status and on the nature and scope of such guidance;</w:t>
      </w:r>
    </w:p>
    <w:p w14:paraId="0892F17F" w14:textId="77777777" w:rsidR="00273F36" w:rsidRPr="004C70EC" w:rsidRDefault="00895C7F" w:rsidP="00895C7F">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(b)</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applicable rules for the authorisation of health biotechnology products</w:t>
      </w:r>
      <w:r w:rsidR="00273F36" w:rsidRPr="004C70EC" w:rsidDel="00E914A4">
        <w:rPr>
          <w:rFonts w:eastAsia="Times New Roman"/>
          <w:noProof/>
          <w:color w:val="000000" w:themeColor="text1"/>
          <w:szCs w:val="24"/>
          <w:lang w:eastAsia="en-IE"/>
        </w:rPr>
        <w:t xml:space="preserve"> </w:t>
      </w:r>
      <w:r w:rsidR="00273F36" w:rsidRPr="004C70EC">
        <w:rPr>
          <w:rFonts w:eastAsia="Times New Roman"/>
          <w:noProof/>
          <w:color w:val="000000" w:themeColor="text1"/>
          <w:szCs w:val="24"/>
          <w:lang w:eastAsia="en-IE"/>
        </w:rPr>
        <w:t>that combine different products</w:t>
      </w:r>
      <w:r w:rsidR="00744895" w:rsidRPr="004C70EC">
        <w:rPr>
          <w:rFonts w:eastAsia="Times New Roman"/>
          <w:noProof/>
          <w:color w:val="000000" w:themeColor="text1"/>
          <w:szCs w:val="24"/>
          <w:lang w:eastAsia="en-IE"/>
        </w:rPr>
        <w:t>,</w:t>
      </w:r>
      <w:r w:rsidR="00273F36" w:rsidRPr="004C70EC">
        <w:rPr>
          <w:rFonts w:eastAsia="Times New Roman"/>
          <w:noProof/>
          <w:color w:val="000000" w:themeColor="text1"/>
          <w:szCs w:val="24"/>
          <w:lang w:eastAsia="en-IE"/>
        </w:rPr>
        <w:t xml:space="preserve"> technologies, processes, or components regulated under different regulatory frameworks;</w:t>
      </w:r>
    </w:p>
    <w:p w14:paraId="08474CBD" w14:textId="77777777" w:rsidR="00273F36" w:rsidRPr="004C70EC" w:rsidRDefault="00895C7F" w:rsidP="00895C7F">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(c)</w:t>
      </w:r>
      <w:r w:rsidRPr="004C70EC">
        <w:rPr>
          <w:noProof/>
          <w:color w:val="000000" w:themeColor="text1"/>
          <w:szCs w:val="24"/>
        </w:rPr>
        <w:tab/>
      </w:r>
      <w:r w:rsidR="00273F36" w:rsidRPr="004C70EC">
        <w:rPr>
          <w:rFonts w:eastAsia="Times New Roman"/>
          <w:noProof/>
          <w:color w:val="000000" w:themeColor="text1"/>
          <w:szCs w:val="24"/>
          <w:lang w:eastAsia="en-IE"/>
        </w:rPr>
        <w:t xml:space="preserve">regulatory sandboxes established in </w:t>
      </w:r>
      <w:r w:rsidR="00AA19B3" w:rsidRPr="004C70EC">
        <w:rPr>
          <w:rFonts w:eastAsia="Times New Roman"/>
          <w:noProof/>
          <w:color w:val="000000" w:themeColor="text1"/>
          <w:szCs w:val="24"/>
          <w:lang w:eastAsia="en-IE"/>
        </w:rPr>
        <w:t xml:space="preserve">Article </w:t>
      </w:r>
      <w:r w:rsidR="002E50FB" w:rsidRPr="004C70EC">
        <w:rPr>
          <w:rFonts w:eastAsia="Times New Roman"/>
          <w:noProof/>
          <w:color w:val="000000" w:themeColor="text1"/>
          <w:szCs w:val="24"/>
          <w:lang w:eastAsia="en-IE"/>
        </w:rPr>
        <w:t>4</w:t>
      </w:r>
      <w:r w:rsidR="00BF2623" w:rsidRPr="004C70EC">
        <w:rPr>
          <w:rFonts w:eastAsia="Times New Roman"/>
          <w:noProof/>
          <w:color w:val="000000" w:themeColor="text1"/>
          <w:szCs w:val="24"/>
          <w:lang w:eastAsia="en-IE"/>
        </w:rPr>
        <w:t>0</w:t>
      </w:r>
      <w:r w:rsidR="00AA19B3" w:rsidRPr="004C70EC">
        <w:rPr>
          <w:rFonts w:eastAsia="Times New Roman"/>
          <w:noProof/>
          <w:color w:val="000000" w:themeColor="text1"/>
          <w:szCs w:val="24"/>
          <w:lang w:eastAsia="en-IE"/>
        </w:rPr>
        <w:t xml:space="preserve"> </w:t>
      </w:r>
      <w:r w:rsidR="00273F36" w:rsidRPr="004C70EC">
        <w:rPr>
          <w:rFonts w:eastAsia="Times New Roman"/>
          <w:noProof/>
          <w:color w:val="000000" w:themeColor="text1"/>
          <w:szCs w:val="24"/>
          <w:lang w:eastAsia="en-IE"/>
        </w:rPr>
        <w:t xml:space="preserve">and under </w:t>
      </w:r>
      <w:r w:rsidR="007976BA" w:rsidRPr="004C70EC">
        <w:rPr>
          <w:rFonts w:eastAsia="Times New Roman"/>
          <w:noProof/>
          <w:color w:val="000000" w:themeColor="text1"/>
          <w:szCs w:val="24"/>
          <w:lang w:eastAsia="en-IE"/>
        </w:rPr>
        <w:t>[revised</w:t>
      </w:r>
      <w:r w:rsidR="00BF2623" w:rsidRPr="004C70EC">
        <w:rPr>
          <w:rFonts w:eastAsia="Times New Roman"/>
          <w:noProof/>
          <w:color w:val="000000" w:themeColor="text1"/>
          <w:szCs w:val="24"/>
          <w:lang w:eastAsia="en-IE"/>
        </w:rPr>
        <w:t xml:space="preserve"> </w:t>
      </w:r>
      <w:r w:rsidR="00F43C8E" w:rsidRPr="004C70EC">
        <w:rPr>
          <w:rFonts w:eastAsia="Times New Roman"/>
          <w:noProof/>
          <w:color w:val="000000" w:themeColor="text1"/>
          <w:szCs w:val="24"/>
          <w:lang w:eastAsia="en-IE"/>
        </w:rPr>
        <w:t>Regulation (EU) 2017/745</w:t>
      </w:r>
      <w:r w:rsidR="4F55A901" w:rsidRPr="004C70EC">
        <w:rPr>
          <w:rFonts w:eastAsia="Times New Roman"/>
          <w:noProof/>
          <w:color w:val="000000" w:themeColor="text1"/>
          <w:szCs w:val="24"/>
          <w:lang w:eastAsia="en-IE"/>
        </w:rPr>
        <w:t>]</w:t>
      </w:r>
      <w:r w:rsidR="00F43C8E" w:rsidRPr="004C70EC">
        <w:rPr>
          <w:rFonts w:eastAsia="Times New Roman"/>
          <w:noProof/>
          <w:color w:val="000000" w:themeColor="text1"/>
          <w:szCs w:val="24"/>
          <w:lang w:eastAsia="en-IE"/>
        </w:rPr>
        <w:t xml:space="preserve">, </w:t>
      </w:r>
      <w:r w:rsidR="6A310802" w:rsidRPr="004C70EC">
        <w:rPr>
          <w:rFonts w:eastAsia="Times New Roman"/>
          <w:noProof/>
          <w:color w:val="000000" w:themeColor="text1"/>
          <w:szCs w:val="24"/>
          <w:lang w:eastAsia="en-IE"/>
        </w:rPr>
        <w:t>[rev</w:t>
      </w:r>
      <w:r w:rsidR="007976BA" w:rsidRPr="004C70EC">
        <w:rPr>
          <w:rFonts w:eastAsia="Times New Roman"/>
          <w:noProof/>
          <w:color w:val="000000" w:themeColor="text1"/>
          <w:szCs w:val="24"/>
          <w:lang w:eastAsia="en-IE"/>
        </w:rPr>
        <w:t>ised</w:t>
      </w:r>
      <w:r w:rsidR="00F43C8E" w:rsidRPr="004C70EC">
        <w:rPr>
          <w:rFonts w:eastAsia="Times New Roman"/>
          <w:noProof/>
          <w:color w:val="000000" w:themeColor="text1"/>
          <w:szCs w:val="24"/>
          <w:lang w:eastAsia="en-IE"/>
        </w:rPr>
        <w:t xml:space="preserve"> Regulation (EU) 2017/746</w:t>
      </w:r>
      <w:r w:rsidR="00BF2623" w:rsidRPr="004C70EC">
        <w:rPr>
          <w:rFonts w:eastAsia="Times New Roman"/>
          <w:noProof/>
          <w:color w:val="000000" w:themeColor="text1"/>
          <w:szCs w:val="24"/>
          <w:lang w:eastAsia="en-IE"/>
        </w:rPr>
        <w:t>]</w:t>
      </w:r>
      <w:r w:rsidR="00F43C8E" w:rsidRPr="004C70EC">
        <w:rPr>
          <w:rFonts w:eastAsia="Times New Roman"/>
          <w:noProof/>
          <w:color w:val="000000" w:themeColor="text1"/>
          <w:szCs w:val="24"/>
          <w:lang w:eastAsia="en-IE"/>
        </w:rPr>
        <w:t>, Regulation (EU) 2024/1938</w:t>
      </w:r>
      <w:r w:rsidR="00546D17" w:rsidRPr="004C70EC">
        <w:rPr>
          <w:rFonts w:eastAsia="Times New Roman"/>
          <w:noProof/>
          <w:color w:val="000000" w:themeColor="text1"/>
          <w:szCs w:val="24"/>
          <w:lang w:eastAsia="en-IE"/>
        </w:rPr>
        <w:t xml:space="preserve"> </w:t>
      </w:r>
      <w:r w:rsidR="00611B82" w:rsidRPr="004C70EC">
        <w:rPr>
          <w:rFonts w:eastAsia="Times New Roman"/>
          <w:noProof/>
          <w:color w:val="000000" w:themeColor="text1"/>
          <w:szCs w:val="24"/>
          <w:lang w:eastAsia="en-IE"/>
        </w:rPr>
        <w:t>and in</w:t>
      </w:r>
      <w:r w:rsidR="00546D17" w:rsidRPr="004C70EC">
        <w:rPr>
          <w:rFonts w:eastAsia="Times New Roman"/>
          <w:noProof/>
          <w:color w:val="000000" w:themeColor="text1"/>
          <w:szCs w:val="24"/>
          <w:lang w:eastAsia="en-IE"/>
        </w:rPr>
        <w:t xml:space="preserve"> </w:t>
      </w:r>
      <w:r w:rsidR="5A00E456" w:rsidRPr="004C70EC">
        <w:rPr>
          <w:rFonts w:eastAsia="Times New Roman"/>
          <w:noProof/>
          <w:color w:val="000000" w:themeColor="text1"/>
          <w:szCs w:val="24"/>
          <w:lang w:val="en-US"/>
        </w:rPr>
        <w:t xml:space="preserve">Regulation (EU) …/… [reference to be added after adoption cf. COM(2023) 193 final]. </w:t>
      </w:r>
      <w:r w:rsidR="00273F36" w:rsidRPr="004C70EC">
        <w:rPr>
          <w:rFonts w:eastAsia="Times New Roman"/>
          <w:noProof/>
          <w:color w:val="000000" w:themeColor="text1"/>
          <w:szCs w:val="24"/>
          <w:lang w:eastAsia="en-IE"/>
        </w:rPr>
        <w:t xml:space="preserve"> </w:t>
      </w:r>
    </w:p>
    <w:p w14:paraId="32579998" w14:textId="77777777" w:rsidR="00273F36" w:rsidRPr="004C70EC" w:rsidRDefault="00895C7F" w:rsidP="00895C7F">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4.</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 xml:space="preserve">In providing the support referred to in this </w:t>
      </w:r>
      <w:r w:rsidR="00371BAE" w:rsidRPr="004C70EC">
        <w:rPr>
          <w:rFonts w:eastAsiaTheme="minorEastAsia"/>
          <w:noProof/>
          <w:color w:val="000000" w:themeColor="text1"/>
          <w:szCs w:val="24"/>
          <w:lang w:eastAsia="ja-JP"/>
        </w:rPr>
        <w:t>A</w:t>
      </w:r>
      <w:r w:rsidR="00273F36" w:rsidRPr="004C70EC">
        <w:rPr>
          <w:rFonts w:eastAsiaTheme="minorEastAsia"/>
          <w:noProof/>
          <w:color w:val="000000" w:themeColor="text1"/>
          <w:szCs w:val="24"/>
          <w:lang w:eastAsia="ja-JP"/>
        </w:rPr>
        <w:t xml:space="preserve">rticle, the </w:t>
      </w:r>
      <w:r w:rsidR="00053BDB" w:rsidRPr="004C70EC">
        <w:rPr>
          <w:rFonts w:eastAsiaTheme="minorEastAsia"/>
          <w:noProof/>
          <w:color w:val="000000" w:themeColor="text1"/>
          <w:szCs w:val="24"/>
          <w:lang w:eastAsia="ja-JP"/>
        </w:rPr>
        <w:t>EU Health Biotechnology Support Network</w:t>
      </w:r>
      <w:r w:rsidR="00273F36" w:rsidRPr="004C70EC">
        <w:rPr>
          <w:rFonts w:eastAsiaTheme="minorEastAsia"/>
          <w:noProof/>
          <w:color w:val="000000" w:themeColor="text1"/>
          <w:szCs w:val="24"/>
          <w:lang w:eastAsia="ja-JP"/>
        </w:rPr>
        <w:t xml:space="preserve"> </w:t>
      </w:r>
      <w:r w:rsidR="00FB1AF6" w:rsidRPr="004C70EC">
        <w:rPr>
          <w:rFonts w:eastAsiaTheme="minorEastAsia"/>
          <w:noProof/>
          <w:color w:val="000000" w:themeColor="text1"/>
          <w:szCs w:val="24"/>
          <w:lang w:eastAsia="ja-JP"/>
        </w:rPr>
        <w:t xml:space="preserve">referred to in Article </w:t>
      </w:r>
      <w:r w:rsidR="00AD5962" w:rsidRPr="004C70EC">
        <w:rPr>
          <w:rFonts w:eastAsiaTheme="minorEastAsia"/>
          <w:noProof/>
          <w:color w:val="000000" w:themeColor="text1"/>
          <w:szCs w:val="24"/>
          <w:lang w:eastAsia="ja-JP"/>
        </w:rPr>
        <w:t>19</w:t>
      </w:r>
      <w:r w:rsidR="00273F36" w:rsidRPr="004C70EC">
        <w:rPr>
          <w:rFonts w:eastAsiaTheme="minorEastAsia"/>
          <w:noProof/>
          <w:color w:val="000000" w:themeColor="text1"/>
          <w:szCs w:val="24"/>
          <w:lang w:eastAsia="ja-JP"/>
        </w:rPr>
        <w:t xml:space="preserve"> may </w:t>
      </w:r>
      <w:r w:rsidR="006C79FF" w:rsidRPr="004C70EC">
        <w:rPr>
          <w:rFonts w:eastAsiaTheme="minorEastAsia"/>
          <w:noProof/>
          <w:color w:val="000000" w:themeColor="text1"/>
          <w:szCs w:val="24"/>
          <w:lang w:eastAsia="ja-JP"/>
        </w:rPr>
        <w:t xml:space="preserve">request </w:t>
      </w:r>
      <w:r w:rsidR="00273F36" w:rsidRPr="004C70EC">
        <w:rPr>
          <w:rFonts w:eastAsiaTheme="minorEastAsia"/>
          <w:noProof/>
          <w:color w:val="000000" w:themeColor="text1"/>
          <w:szCs w:val="24"/>
          <w:lang w:eastAsia="ja-JP"/>
        </w:rPr>
        <w:t xml:space="preserve">the assistance of the </w:t>
      </w:r>
      <w:r w:rsidR="00605279" w:rsidRPr="004C70EC">
        <w:rPr>
          <w:rFonts w:eastAsia="Times New Roman"/>
          <w:noProof/>
          <w:color w:val="000000" w:themeColor="text1"/>
          <w:szCs w:val="24"/>
          <w:lang w:eastAsia="en-IE"/>
        </w:rPr>
        <w:t>Foresight Panel for Emerging Health Innovation</w:t>
      </w:r>
      <w:r w:rsidR="00273F36" w:rsidRPr="004C70EC">
        <w:rPr>
          <w:rFonts w:eastAsia="Times New Roman"/>
          <w:noProof/>
          <w:color w:val="000000" w:themeColor="text1"/>
          <w:szCs w:val="24"/>
          <w:lang w:eastAsia="en-IE"/>
        </w:rPr>
        <w:t>.</w:t>
      </w:r>
    </w:p>
    <w:p w14:paraId="65AC3921" w14:textId="77777777" w:rsidR="00273F36" w:rsidRPr="004C70EC" w:rsidRDefault="00273F36" w:rsidP="00895C7F">
      <w:pPr>
        <w:pStyle w:val="Titrearticle"/>
        <w:rPr>
          <w:rFonts w:eastAsia="Times New Roman"/>
          <w:i w:val="0"/>
          <w:noProof/>
          <w:color w:val="000000" w:themeColor="text1"/>
          <w:szCs w:val="24"/>
          <w:lang w:eastAsia="en-IE"/>
        </w:rPr>
      </w:pPr>
      <w:r w:rsidRPr="004C70EC">
        <w:rPr>
          <w:rFonts w:eastAsia="Times New Roman"/>
          <w:iCs/>
          <w:noProof/>
          <w:color w:val="000000" w:themeColor="text1"/>
          <w:szCs w:val="24"/>
          <w:lang w:eastAsia="en-IE"/>
        </w:rPr>
        <w:t xml:space="preserve">Article </w:t>
      </w:r>
      <w:r w:rsidR="006116D3" w:rsidRPr="004C70EC">
        <w:rPr>
          <w:rFonts w:eastAsia="Times New Roman"/>
          <w:iCs/>
          <w:noProof/>
          <w:color w:val="000000" w:themeColor="text1"/>
          <w:szCs w:val="24"/>
          <w:lang w:eastAsia="en-IE"/>
        </w:rPr>
        <w:t>3</w:t>
      </w:r>
      <w:r w:rsidR="005F03E0" w:rsidRPr="004C70EC">
        <w:rPr>
          <w:rFonts w:eastAsia="Times New Roman"/>
          <w:iCs/>
          <w:noProof/>
          <w:color w:val="000000" w:themeColor="text1"/>
          <w:szCs w:val="24"/>
          <w:lang w:eastAsia="en-IE"/>
        </w:rPr>
        <w:t>5</w:t>
      </w:r>
    </w:p>
    <w:p w14:paraId="1B1889D2" w14:textId="77777777" w:rsidR="00273F36" w:rsidRPr="004C70EC" w:rsidRDefault="00273F36" w:rsidP="00273F36">
      <w:pPr>
        <w:keepNext/>
        <w:keepLines/>
        <w:spacing w:before="160" w:after="80" w:line="279" w:lineRule="auto"/>
        <w:jc w:val="center"/>
        <w:outlineLvl w:val="2"/>
        <w:rPr>
          <w:rFonts w:eastAsia="Times New Roman"/>
          <w:b/>
          <w:bCs/>
          <w:noProof/>
          <w:color w:val="000000" w:themeColor="text1"/>
          <w:szCs w:val="24"/>
        </w:rPr>
      </w:pPr>
      <w:r w:rsidRPr="004C70EC">
        <w:rPr>
          <w:rFonts w:eastAsia="Times New Roman"/>
          <w:b/>
          <w:noProof/>
          <w:color w:val="000000" w:themeColor="text1"/>
          <w:szCs w:val="24"/>
        </w:rPr>
        <w:t>Union regulatory status repository</w:t>
      </w:r>
    </w:p>
    <w:p w14:paraId="176C072C" w14:textId="77777777" w:rsidR="00273F36" w:rsidRPr="004C70EC" w:rsidRDefault="00895C7F" w:rsidP="00895C7F">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ja-JP"/>
        </w:rPr>
        <w:t>1.</w:t>
      </w:r>
      <w:r w:rsidRPr="004C70EC">
        <w:rPr>
          <w:rFonts w:eastAsia="Times New Roman"/>
          <w:noProof/>
          <w:color w:val="000000" w:themeColor="text1"/>
          <w:szCs w:val="24"/>
          <w:lang w:eastAsia="ja-JP"/>
        </w:rPr>
        <w:tab/>
      </w:r>
      <w:r w:rsidR="00273F36" w:rsidRPr="004C70EC">
        <w:rPr>
          <w:rFonts w:eastAsia="Times New Roman"/>
          <w:noProof/>
          <w:color w:val="000000" w:themeColor="text1"/>
          <w:szCs w:val="24"/>
          <w:lang w:eastAsia="ja-JP"/>
        </w:rPr>
        <w:t>The Commission shall compile, maintain, develop and make publicly available a regulatory status repository (‘regulatory status repository’).</w:t>
      </w:r>
    </w:p>
    <w:p w14:paraId="265BDA35" w14:textId="77777777" w:rsidR="00273F36" w:rsidRPr="004C70EC" w:rsidRDefault="00895C7F" w:rsidP="00895C7F">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2.</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The regulatory status repository shall contain:</w:t>
      </w:r>
    </w:p>
    <w:p w14:paraId="2CCEF813" w14:textId="748F6D02" w:rsidR="00273F36" w:rsidRPr="004C70EC" w:rsidRDefault="008D3838" w:rsidP="00895C7F">
      <w:pPr>
        <w:pStyle w:val="Point1"/>
        <w:rPr>
          <w:rFonts w:eastAsia="Times New Roman"/>
          <w:noProof/>
          <w:color w:val="000000" w:themeColor="text1"/>
          <w:lang w:eastAsia="en-IE"/>
        </w:rPr>
      </w:pPr>
      <w:r w:rsidRPr="004C70EC">
        <w:rPr>
          <w:rFonts w:eastAsia="Times New Roman"/>
          <w:noProof/>
          <w:color w:val="000000" w:themeColor="text1"/>
          <w:lang w:eastAsia="en-IE"/>
        </w:rPr>
        <w:t>(</w:t>
      </w:r>
      <w:r w:rsidR="00273F36" w:rsidRPr="004C70EC">
        <w:rPr>
          <w:rFonts w:eastAsia="Times New Roman"/>
          <w:noProof/>
          <w:color w:val="000000" w:themeColor="text1"/>
          <w:lang w:eastAsia="en-IE"/>
        </w:rPr>
        <w:t>a)</w:t>
      </w:r>
      <w:r w:rsidRPr="004C70EC">
        <w:rPr>
          <w:noProof/>
        </w:rPr>
        <w:tab/>
      </w:r>
      <w:r w:rsidR="00273F36" w:rsidRPr="004C70EC">
        <w:rPr>
          <w:rFonts w:eastAsia="Times New Roman"/>
          <w:noProof/>
          <w:color w:val="000000" w:themeColor="text1"/>
          <w:lang w:eastAsia="en-IE"/>
        </w:rPr>
        <w:t xml:space="preserve">decisions, opinions, scientific recommendations regarding the regulatory status of a health innovations, issued pursuant to the mechanisms laid down in Article 4 of Regulation (EU) 2017/745, Articles 61 and 62 of </w:t>
      </w:r>
      <w:r w:rsidR="0D8FB488" w:rsidRPr="004C70EC">
        <w:rPr>
          <w:rFonts w:eastAsia="Times New Roman"/>
          <w:noProof/>
          <w:color w:val="000000" w:themeColor="text1"/>
          <w:lang w:val="en-US"/>
        </w:rPr>
        <w:t>Regulation (EU) …/… [reference to be added after adoption cf. COM(2023) 193 final</w:t>
      </w:r>
      <w:r w:rsidR="00BF2623" w:rsidRPr="004C70EC">
        <w:rPr>
          <w:rFonts w:eastAsia="Times New Roman"/>
          <w:noProof/>
          <w:color w:val="000000" w:themeColor="text1"/>
          <w:lang w:val="en-US"/>
        </w:rPr>
        <w:t>]</w:t>
      </w:r>
      <w:r w:rsidR="007E6F7F" w:rsidRPr="004C70EC">
        <w:rPr>
          <w:rFonts w:eastAsia="Times New Roman"/>
          <w:noProof/>
          <w:color w:val="000000" w:themeColor="text1"/>
          <w:lang w:eastAsia="en-IE"/>
        </w:rPr>
        <w:t xml:space="preserve">, </w:t>
      </w:r>
      <w:r w:rsidR="00273F36" w:rsidRPr="004C70EC">
        <w:rPr>
          <w:rFonts w:eastAsia="Times New Roman"/>
          <w:noProof/>
          <w:color w:val="000000" w:themeColor="text1"/>
          <w:lang w:eastAsia="en-IE"/>
        </w:rPr>
        <w:t>Article 13 of Regulation (EU) 2024/1938</w:t>
      </w:r>
      <w:r w:rsidR="56336D9F" w:rsidRPr="004C70EC">
        <w:rPr>
          <w:rFonts w:eastAsia="Times New Roman"/>
          <w:noProof/>
          <w:color w:val="000000" w:themeColor="text1"/>
          <w:lang w:eastAsia="en-IE"/>
        </w:rPr>
        <w:t>,</w:t>
      </w:r>
      <w:r w:rsidR="4710A29A" w:rsidRPr="004C70EC">
        <w:rPr>
          <w:rFonts w:eastAsia="Times New Roman"/>
          <w:noProof/>
          <w:color w:val="000000" w:themeColor="text1"/>
          <w:lang w:eastAsia="en-IE"/>
        </w:rPr>
        <w:t xml:space="preserve"> and</w:t>
      </w:r>
      <w:r w:rsidR="3A67C1FB" w:rsidRPr="004C70EC">
        <w:rPr>
          <w:rFonts w:eastAsia="Times New Roman"/>
          <w:noProof/>
          <w:color w:val="000000" w:themeColor="text1"/>
          <w:lang w:eastAsia="en-IE"/>
        </w:rPr>
        <w:t>, whe</w:t>
      </w:r>
      <w:r w:rsidR="007E6F7F" w:rsidRPr="004C70EC">
        <w:rPr>
          <w:rFonts w:eastAsia="Times New Roman"/>
          <w:noProof/>
          <w:color w:val="000000" w:themeColor="text1"/>
          <w:lang w:eastAsia="en-IE"/>
        </w:rPr>
        <w:t>re</w:t>
      </w:r>
      <w:r w:rsidR="3A67C1FB" w:rsidRPr="004C70EC">
        <w:rPr>
          <w:rFonts w:eastAsia="Times New Roman"/>
          <w:noProof/>
          <w:color w:val="000000" w:themeColor="text1"/>
          <w:lang w:eastAsia="en-IE"/>
        </w:rPr>
        <w:t xml:space="preserve"> relevant,</w:t>
      </w:r>
      <w:r w:rsidR="4710A29A" w:rsidRPr="004C70EC">
        <w:rPr>
          <w:rFonts w:eastAsia="Times New Roman"/>
          <w:noProof/>
          <w:color w:val="000000" w:themeColor="text1"/>
          <w:lang w:eastAsia="en-IE"/>
        </w:rPr>
        <w:t xml:space="preserve"> pursuant to </w:t>
      </w:r>
      <w:r w:rsidR="305F8F62" w:rsidRPr="004C70EC">
        <w:rPr>
          <w:rFonts w:eastAsia="Times New Roman"/>
          <w:noProof/>
          <w:color w:val="000000" w:themeColor="text1"/>
          <w:lang w:eastAsia="en-IE"/>
        </w:rPr>
        <w:t>similar</w:t>
      </w:r>
      <w:r w:rsidR="4710A29A" w:rsidRPr="004C70EC">
        <w:rPr>
          <w:rFonts w:eastAsia="Times New Roman"/>
          <w:noProof/>
          <w:color w:val="000000" w:themeColor="text1"/>
          <w:lang w:eastAsia="en-IE"/>
        </w:rPr>
        <w:t xml:space="preserve"> mechanism</w:t>
      </w:r>
      <w:r>
        <w:rPr>
          <w:rFonts w:eastAsia="Times New Roman"/>
          <w:noProof/>
          <w:color w:val="000000" w:themeColor="text1"/>
          <w:lang w:eastAsia="en-IE"/>
        </w:rPr>
        <w:t>s</w:t>
      </w:r>
      <w:r w:rsidR="4710A29A" w:rsidRPr="004C70EC">
        <w:rPr>
          <w:rFonts w:eastAsia="Times New Roman"/>
          <w:noProof/>
          <w:color w:val="000000" w:themeColor="text1"/>
          <w:lang w:eastAsia="en-IE"/>
        </w:rPr>
        <w:t xml:space="preserve"> laid down in other legislative acts</w:t>
      </w:r>
      <w:r w:rsidR="007E6F7F" w:rsidRPr="004C70EC">
        <w:rPr>
          <w:rFonts w:eastAsia="Times New Roman"/>
          <w:noProof/>
          <w:color w:val="000000" w:themeColor="text1"/>
          <w:lang w:eastAsia="en-IE"/>
        </w:rPr>
        <w:t>;</w:t>
      </w:r>
      <w:r w:rsidR="4710A29A" w:rsidRPr="004C70EC">
        <w:rPr>
          <w:rFonts w:eastAsia="Times New Roman"/>
          <w:noProof/>
          <w:color w:val="000000" w:themeColor="text1"/>
          <w:lang w:eastAsia="en-IE"/>
        </w:rPr>
        <w:t xml:space="preserve"> </w:t>
      </w:r>
    </w:p>
    <w:p w14:paraId="1B0FBC0F" w14:textId="77777777" w:rsidR="00273F36" w:rsidRPr="004C70EC" w:rsidRDefault="008D3838" w:rsidP="00895C7F">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273F36" w:rsidRPr="004C70EC">
        <w:rPr>
          <w:rFonts w:eastAsia="Times New Roman"/>
          <w:noProof/>
          <w:color w:val="000000" w:themeColor="text1"/>
          <w:szCs w:val="24"/>
          <w:lang w:eastAsia="en-IE"/>
        </w:rPr>
        <w:t>b)</w:t>
      </w:r>
      <w:r w:rsidR="00273F36" w:rsidRPr="004C70EC">
        <w:rPr>
          <w:noProof/>
          <w:color w:val="000000" w:themeColor="text1"/>
          <w:szCs w:val="24"/>
        </w:rPr>
        <w:tab/>
      </w:r>
      <w:r w:rsidR="00273F36" w:rsidRPr="004C70EC">
        <w:rPr>
          <w:rFonts w:eastAsia="Times New Roman"/>
          <w:noProof/>
          <w:color w:val="000000" w:themeColor="text1"/>
          <w:szCs w:val="24"/>
          <w:lang w:eastAsia="en-IE"/>
        </w:rPr>
        <w:t>the summaries of the scientific</w:t>
      </w:r>
      <w:r w:rsidR="00273F36" w:rsidRPr="004C70EC" w:rsidDel="00770341">
        <w:rPr>
          <w:rFonts w:eastAsia="Times New Roman"/>
          <w:noProof/>
          <w:color w:val="000000" w:themeColor="text1"/>
          <w:szCs w:val="24"/>
          <w:lang w:eastAsia="en-IE"/>
        </w:rPr>
        <w:t xml:space="preserve"> </w:t>
      </w:r>
      <w:r w:rsidR="00273F36" w:rsidRPr="004C70EC">
        <w:rPr>
          <w:rFonts w:eastAsia="Times New Roman"/>
          <w:noProof/>
          <w:color w:val="000000" w:themeColor="text1"/>
          <w:szCs w:val="24"/>
          <w:lang w:eastAsia="en-IE"/>
        </w:rPr>
        <w:t xml:space="preserve">recommendations delivered by the Agency, prior to the application of </w:t>
      </w:r>
      <w:r w:rsidR="6AF54379" w:rsidRPr="004C70EC">
        <w:rPr>
          <w:rFonts w:eastAsia="Times New Roman"/>
          <w:noProof/>
          <w:color w:val="000000" w:themeColor="text1"/>
          <w:szCs w:val="24"/>
          <w:lang w:val="en-US"/>
        </w:rPr>
        <w:t>Regulation (EU) …/… [reference to be added after adoption cf. COM(2023) 193 final]</w:t>
      </w:r>
      <w:r w:rsidR="00273F36" w:rsidRPr="004C70EC">
        <w:rPr>
          <w:rFonts w:eastAsia="Times New Roman"/>
          <w:noProof/>
          <w:color w:val="000000" w:themeColor="text1"/>
          <w:szCs w:val="24"/>
          <w:lang w:eastAsia="en-IE"/>
        </w:rPr>
        <w:t>, in accordance with Article 17 of Regulation (EC) No 1394/2007 on whether a product falls within the definition of an advanced therapy medicinal product or not;</w:t>
      </w:r>
    </w:p>
    <w:p w14:paraId="45AE460B" w14:textId="77777777" w:rsidR="00273F36" w:rsidRPr="004C70EC" w:rsidRDefault="008D3838" w:rsidP="00895C7F">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273F36" w:rsidRPr="004C70EC">
        <w:rPr>
          <w:rFonts w:eastAsia="Times New Roman"/>
          <w:noProof/>
          <w:color w:val="000000" w:themeColor="text1"/>
          <w:szCs w:val="24"/>
          <w:lang w:eastAsia="en-IE"/>
        </w:rPr>
        <w:t>c)</w:t>
      </w:r>
      <w:r w:rsidR="00273F36" w:rsidRPr="004C70EC">
        <w:rPr>
          <w:rFonts w:eastAsia="Times New Roman"/>
          <w:noProof/>
          <w:color w:val="000000" w:themeColor="text1"/>
          <w:szCs w:val="24"/>
          <w:lang w:eastAsia="en-IE"/>
        </w:rPr>
        <w:tab/>
        <w:t xml:space="preserve">the discussion papers delivered by the </w:t>
      </w:r>
      <w:r w:rsidR="00605279" w:rsidRPr="004C70EC">
        <w:rPr>
          <w:rFonts w:eastAsia="Times New Roman"/>
          <w:noProof/>
          <w:color w:val="000000" w:themeColor="text1"/>
          <w:szCs w:val="24"/>
          <w:lang w:eastAsia="en-IE"/>
        </w:rPr>
        <w:t>Foresight Panel for Emerging Health Innovation</w:t>
      </w:r>
      <w:r w:rsidR="00273F36" w:rsidRPr="004C70EC">
        <w:rPr>
          <w:rFonts w:eastAsia="Times New Roman"/>
          <w:noProof/>
          <w:color w:val="000000" w:themeColor="text1"/>
          <w:szCs w:val="24"/>
          <w:lang w:eastAsia="en-IE"/>
        </w:rPr>
        <w:t xml:space="preserve">. </w:t>
      </w:r>
    </w:p>
    <w:p w14:paraId="49C1EF7C" w14:textId="77777777" w:rsidR="00273F36" w:rsidRPr="004C70EC" w:rsidRDefault="00273F36" w:rsidP="00895C7F">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3.</w:t>
      </w:r>
      <w:r w:rsidRPr="004C70EC">
        <w:rPr>
          <w:rFonts w:eastAsia="Calibri"/>
          <w:noProof/>
          <w:color w:val="000000" w:themeColor="text1"/>
          <w:szCs w:val="24"/>
        </w:rPr>
        <w:tab/>
      </w:r>
      <w:r w:rsidRPr="004C70EC">
        <w:rPr>
          <w:rFonts w:eastAsia="Times New Roman"/>
          <w:noProof/>
          <w:color w:val="000000" w:themeColor="text1"/>
          <w:szCs w:val="24"/>
          <w:lang w:eastAsia="en-IE"/>
        </w:rPr>
        <w:t xml:space="preserve">Member States shall make publicly available, through the relevant national platforms or registries, decisions, opinions, scientific recommendations, and other outputs issued at national level concerning the regulatory status of health biotechnology products. Member States shall inform the Commission where such information is made available. </w:t>
      </w:r>
    </w:p>
    <w:p w14:paraId="300D3992" w14:textId="77777777" w:rsidR="00273F36" w:rsidRPr="004C70EC" w:rsidRDefault="00273F36" w:rsidP="00895C7F">
      <w:pPr>
        <w:pStyle w:val="Titrearticle"/>
        <w:rPr>
          <w:rFonts w:eastAsia="Times New Roman"/>
          <w:noProof/>
          <w:color w:val="000000" w:themeColor="text1"/>
          <w:szCs w:val="24"/>
          <w:lang w:eastAsia="en-IE"/>
        </w:rPr>
      </w:pPr>
      <w:r w:rsidRPr="004C70EC">
        <w:rPr>
          <w:rFonts w:eastAsia="Times New Roman"/>
          <w:iCs/>
          <w:noProof/>
          <w:color w:val="000000" w:themeColor="text1"/>
          <w:szCs w:val="24"/>
          <w:lang w:eastAsia="en-IE"/>
        </w:rPr>
        <w:t xml:space="preserve">Article </w:t>
      </w:r>
      <w:r w:rsidR="006116D3" w:rsidRPr="004C70EC">
        <w:rPr>
          <w:rFonts w:eastAsia="Times New Roman"/>
          <w:iCs/>
          <w:noProof/>
          <w:color w:val="000000" w:themeColor="text1"/>
          <w:szCs w:val="24"/>
          <w:lang w:eastAsia="en-IE"/>
        </w:rPr>
        <w:t>3</w:t>
      </w:r>
      <w:r w:rsidR="005F03E0" w:rsidRPr="004C70EC">
        <w:rPr>
          <w:rFonts w:eastAsia="Times New Roman"/>
          <w:iCs/>
          <w:noProof/>
          <w:color w:val="000000" w:themeColor="text1"/>
          <w:szCs w:val="24"/>
          <w:lang w:eastAsia="en-IE"/>
        </w:rPr>
        <w:t>6</w:t>
      </w:r>
    </w:p>
    <w:p w14:paraId="0666617F" w14:textId="77777777" w:rsidR="00273F36" w:rsidRPr="004C70EC" w:rsidRDefault="00273F36" w:rsidP="00273F36">
      <w:pPr>
        <w:spacing w:after="0"/>
        <w:jc w:val="center"/>
        <w:textAlignment w:val="baseline"/>
        <w:rPr>
          <w:rFonts w:eastAsia="Times New Roman"/>
          <w:noProof/>
          <w:color w:val="000000" w:themeColor="text1"/>
          <w:szCs w:val="24"/>
          <w:lang w:eastAsia="en-IE"/>
        </w:rPr>
      </w:pPr>
      <w:r w:rsidRPr="004C70EC">
        <w:rPr>
          <w:rFonts w:eastAsia="Times New Roman"/>
          <w:b/>
          <w:bCs/>
          <w:noProof/>
          <w:color w:val="000000" w:themeColor="text1"/>
          <w:szCs w:val="24"/>
          <w:lang w:eastAsia="en-IE"/>
        </w:rPr>
        <w:t>Time limits in the regulatory status process</w:t>
      </w:r>
      <w:r w:rsidRPr="004C70EC">
        <w:rPr>
          <w:rFonts w:eastAsia="Times New Roman"/>
          <w:noProof/>
          <w:color w:val="000000" w:themeColor="text1"/>
          <w:szCs w:val="24"/>
          <w:lang w:eastAsia="en-IE"/>
        </w:rPr>
        <w:t> </w:t>
      </w:r>
    </w:p>
    <w:p w14:paraId="20B6F53E" w14:textId="77777777" w:rsidR="00273F36" w:rsidRPr="004C70EC" w:rsidRDefault="00273F36" w:rsidP="00273F36">
      <w:pPr>
        <w:spacing w:after="0"/>
        <w:textAlignment w:val="baseline"/>
        <w:rPr>
          <w:rFonts w:eastAsia="Times New Roman"/>
          <w:noProof/>
          <w:color w:val="000000" w:themeColor="text1"/>
          <w:szCs w:val="24"/>
          <w:lang w:eastAsia="en-IE"/>
        </w:rPr>
      </w:pPr>
      <w:r w:rsidRPr="004C70EC">
        <w:rPr>
          <w:rFonts w:eastAsia="Times New Roman"/>
          <w:noProof/>
          <w:color w:val="000000" w:themeColor="text1"/>
          <w:szCs w:val="24"/>
          <w:lang w:eastAsia="en-IE"/>
        </w:rPr>
        <w:t>With a view to ensuring the timely assessment of the regulatory status of health biotechnology products,</w:t>
      </w:r>
      <w:r w:rsidR="004F3586" w:rsidRPr="004C70EC">
        <w:rPr>
          <w:rFonts w:eastAsia="Times New Roman"/>
          <w:noProof/>
          <w:color w:val="000000" w:themeColor="text1"/>
          <w:szCs w:val="24"/>
          <w:lang w:eastAsia="en-IE"/>
        </w:rPr>
        <w:t xml:space="preserve"> </w:t>
      </w:r>
      <w:r w:rsidRPr="004C70EC">
        <w:rPr>
          <w:rFonts w:eastAsia="Times New Roman"/>
          <w:noProof/>
          <w:color w:val="000000" w:themeColor="text1"/>
          <w:szCs w:val="24"/>
          <w:lang w:eastAsia="en-IE"/>
        </w:rPr>
        <w:t>the</w:t>
      </w:r>
      <w:r w:rsidR="004F3586" w:rsidRPr="004C70EC">
        <w:rPr>
          <w:rFonts w:eastAsia="Times New Roman"/>
          <w:noProof/>
          <w:color w:val="000000" w:themeColor="text1"/>
          <w:szCs w:val="24"/>
          <w:lang w:eastAsia="en-IE"/>
        </w:rPr>
        <w:t xml:space="preserve"> </w:t>
      </w:r>
      <w:r w:rsidRPr="004C70EC">
        <w:rPr>
          <w:rFonts w:eastAsia="Times New Roman"/>
          <w:noProof/>
          <w:color w:val="000000" w:themeColor="text1"/>
          <w:szCs w:val="24"/>
          <w:lang w:eastAsia="en-IE"/>
        </w:rPr>
        <w:t xml:space="preserve">advisory bodies and other relevant entities </w:t>
      </w:r>
      <w:r w:rsidR="00D154E0" w:rsidRPr="004C70EC">
        <w:rPr>
          <w:rFonts w:eastAsia="Times New Roman"/>
          <w:noProof/>
          <w:color w:val="000000" w:themeColor="text1"/>
          <w:szCs w:val="24"/>
          <w:lang w:eastAsia="en-IE"/>
        </w:rPr>
        <w:t xml:space="preserve">mandated under </w:t>
      </w:r>
      <w:r w:rsidR="1E3579A6" w:rsidRPr="004C70EC">
        <w:rPr>
          <w:rFonts w:eastAsia="Times New Roman"/>
          <w:noProof/>
          <w:color w:val="000000" w:themeColor="text1"/>
          <w:szCs w:val="24"/>
          <w:lang w:eastAsia="en-IE"/>
        </w:rPr>
        <w:t>[</w:t>
      </w:r>
      <w:r w:rsidR="00E85DC6" w:rsidRPr="004C70EC">
        <w:rPr>
          <w:rFonts w:eastAsia="Times New Roman"/>
          <w:noProof/>
          <w:color w:val="000000" w:themeColor="text1"/>
          <w:szCs w:val="24"/>
          <w:lang w:eastAsia="en-IE"/>
        </w:rPr>
        <w:t xml:space="preserve">revised </w:t>
      </w:r>
      <w:r w:rsidR="00D154E0" w:rsidRPr="004C70EC">
        <w:rPr>
          <w:rFonts w:eastAsiaTheme="majorEastAsia"/>
          <w:noProof/>
          <w:color w:val="000000" w:themeColor="text1"/>
          <w:szCs w:val="24"/>
          <w:lang w:eastAsia="en-IE"/>
        </w:rPr>
        <w:t xml:space="preserve">Regulation (EU) 2017/745, </w:t>
      </w:r>
      <w:r w:rsidR="00E85DC6" w:rsidRPr="004C70EC">
        <w:rPr>
          <w:rFonts w:eastAsiaTheme="majorEastAsia"/>
          <w:noProof/>
          <w:color w:val="000000" w:themeColor="text1"/>
          <w:szCs w:val="24"/>
          <w:lang w:eastAsia="en-IE"/>
        </w:rPr>
        <w:t xml:space="preserve">[revised </w:t>
      </w:r>
      <w:r w:rsidR="00D154E0" w:rsidRPr="004C70EC">
        <w:rPr>
          <w:rFonts w:eastAsiaTheme="majorEastAsia"/>
          <w:noProof/>
          <w:color w:val="000000" w:themeColor="text1"/>
          <w:szCs w:val="24"/>
          <w:lang w:eastAsia="en-IE"/>
        </w:rPr>
        <w:t>Regulation (EU) 2017/746</w:t>
      </w:r>
      <w:r w:rsidR="00B23396" w:rsidRPr="004C70EC">
        <w:rPr>
          <w:rFonts w:eastAsiaTheme="majorEastAsia"/>
          <w:noProof/>
          <w:color w:val="000000" w:themeColor="text1"/>
          <w:szCs w:val="24"/>
          <w:lang w:eastAsia="en-IE"/>
        </w:rPr>
        <w:t>]</w:t>
      </w:r>
      <w:r w:rsidR="00D154E0" w:rsidRPr="004C70EC">
        <w:rPr>
          <w:rFonts w:eastAsiaTheme="majorEastAsia"/>
          <w:noProof/>
          <w:color w:val="000000" w:themeColor="text1"/>
          <w:szCs w:val="24"/>
          <w:lang w:eastAsia="en-IE"/>
        </w:rPr>
        <w:t xml:space="preserve">, Regulation (EU) 2024/1938  Regulation], </w:t>
      </w:r>
      <w:r w:rsidR="4B72F6A3" w:rsidRPr="004C70EC">
        <w:rPr>
          <w:rFonts w:eastAsia="Times New Roman"/>
          <w:noProof/>
          <w:color w:val="000000" w:themeColor="text1"/>
          <w:szCs w:val="24"/>
          <w:lang w:val="en-US"/>
        </w:rPr>
        <w:t>Regulation (EU) …/… [reference to be added after adoption cf. COM(2023) 193 final]</w:t>
      </w:r>
      <w:r w:rsidR="4B72F6A3" w:rsidRPr="004C70EC">
        <w:rPr>
          <w:rFonts w:eastAsia="Times New Roman"/>
          <w:noProof/>
          <w:color w:val="000000" w:themeColor="text1"/>
          <w:szCs w:val="24"/>
        </w:rPr>
        <w:t xml:space="preserve"> </w:t>
      </w:r>
      <w:r w:rsidR="00D154E0" w:rsidRPr="004C70EC">
        <w:rPr>
          <w:rFonts w:eastAsia="Times New Roman"/>
          <w:noProof/>
          <w:color w:val="000000" w:themeColor="text1"/>
          <w:szCs w:val="24"/>
          <w:lang w:eastAsia="en-IE"/>
        </w:rPr>
        <w:t xml:space="preserve">and </w:t>
      </w:r>
      <w:r w:rsidR="18D245E5" w:rsidRPr="004C70EC">
        <w:rPr>
          <w:rFonts w:eastAsia="Times New Roman"/>
          <w:noProof/>
          <w:color w:val="000000" w:themeColor="text1"/>
          <w:szCs w:val="24"/>
          <w:lang w:val="en-US"/>
        </w:rPr>
        <w:t>Regulation (EU) …/… [reference to be added after adoption cf. COM(2023) 192 final]</w:t>
      </w:r>
      <w:r w:rsidR="18D245E5" w:rsidRPr="004C70EC">
        <w:rPr>
          <w:rFonts w:eastAsia="Times New Roman"/>
          <w:noProof/>
          <w:color w:val="000000" w:themeColor="text1"/>
          <w:szCs w:val="24"/>
        </w:rPr>
        <w:t xml:space="preserve"> </w:t>
      </w:r>
      <w:r w:rsidRPr="004C70EC">
        <w:rPr>
          <w:rFonts w:eastAsia="Times New Roman"/>
          <w:noProof/>
          <w:color w:val="000000" w:themeColor="text1"/>
          <w:szCs w:val="24"/>
          <w:lang w:eastAsia="en-IE"/>
        </w:rPr>
        <w:t>to provide a recommendation or opinion, including preparatory consultations, on the regulatory status of a product</w:t>
      </w:r>
      <w:r w:rsidR="0039792C"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 xml:space="preserve"> shall act swiftly</w:t>
      </w:r>
      <w:r w:rsidR="004F3586" w:rsidRPr="004C70EC">
        <w:rPr>
          <w:rFonts w:eastAsia="Times New Roman"/>
          <w:noProof/>
          <w:color w:val="000000" w:themeColor="text1"/>
          <w:szCs w:val="24"/>
          <w:lang w:eastAsia="en-IE"/>
        </w:rPr>
        <w:t>,</w:t>
      </w:r>
      <w:r w:rsidR="002A33FD" w:rsidRPr="004C70EC">
        <w:rPr>
          <w:rFonts w:eastAsia="Times New Roman"/>
          <w:noProof/>
          <w:color w:val="000000" w:themeColor="text1"/>
          <w:szCs w:val="24"/>
          <w:lang w:eastAsia="en-IE"/>
        </w:rPr>
        <w:t xml:space="preserve"> </w:t>
      </w:r>
      <w:r w:rsidRPr="004C70EC">
        <w:rPr>
          <w:rFonts w:eastAsia="Times New Roman"/>
          <w:noProof/>
          <w:color w:val="000000" w:themeColor="text1"/>
          <w:szCs w:val="24"/>
          <w:lang w:eastAsia="en-IE"/>
        </w:rPr>
        <w:t xml:space="preserve">without prejudice to the time limits for the forming of such recommendations or opinions established in </w:t>
      </w:r>
      <w:r w:rsidR="00A214E2" w:rsidRPr="004C70EC">
        <w:rPr>
          <w:rFonts w:eastAsia="Times New Roman"/>
          <w:noProof/>
          <w:color w:val="000000" w:themeColor="text1"/>
          <w:szCs w:val="24"/>
          <w:lang w:eastAsia="en-IE"/>
        </w:rPr>
        <w:t xml:space="preserve">the </w:t>
      </w:r>
      <w:r w:rsidR="00C40D08" w:rsidRPr="004C70EC">
        <w:rPr>
          <w:rFonts w:eastAsia="Times New Roman"/>
          <w:noProof/>
          <w:color w:val="000000" w:themeColor="text1"/>
          <w:szCs w:val="24"/>
          <w:lang w:eastAsia="en-IE"/>
        </w:rPr>
        <w:t>above</w:t>
      </w:r>
      <w:r w:rsidR="00A214E2" w:rsidRPr="004C70EC">
        <w:rPr>
          <w:rFonts w:eastAsia="Times New Roman"/>
          <w:noProof/>
          <w:color w:val="000000" w:themeColor="text1"/>
          <w:szCs w:val="24"/>
          <w:lang w:eastAsia="en-IE"/>
        </w:rPr>
        <w:t xml:space="preserve"> legal acts</w:t>
      </w:r>
      <w:r w:rsidRPr="004C70EC">
        <w:rPr>
          <w:rFonts w:eastAsia="Times New Roman"/>
          <w:noProof/>
          <w:color w:val="000000" w:themeColor="text1"/>
          <w:szCs w:val="24"/>
          <w:lang w:eastAsia="en-IE"/>
        </w:rPr>
        <w:t>. </w:t>
      </w:r>
    </w:p>
    <w:p w14:paraId="25EB1687" w14:textId="77777777" w:rsidR="00F31D34" w:rsidRPr="004C70EC" w:rsidRDefault="00F31D34" w:rsidP="00273F36">
      <w:pPr>
        <w:spacing w:after="0"/>
        <w:textAlignment w:val="baseline"/>
        <w:rPr>
          <w:rFonts w:eastAsia="Times New Roman"/>
          <w:noProof/>
          <w:color w:val="000000" w:themeColor="text1"/>
          <w:szCs w:val="24"/>
          <w:lang w:eastAsia="en-IE"/>
        </w:rPr>
      </w:pPr>
    </w:p>
    <w:p w14:paraId="46CC0C10" w14:textId="77777777" w:rsidR="00273F36" w:rsidRPr="004C70EC" w:rsidRDefault="00273F36" w:rsidP="00895C7F">
      <w:pPr>
        <w:pStyle w:val="SectionTitle"/>
        <w:rPr>
          <w:noProof/>
          <w:color w:val="000000" w:themeColor="text1"/>
          <w:sz w:val="24"/>
          <w:szCs w:val="24"/>
          <w:lang w:eastAsia="en-IE"/>
        </w:rPr>
      </w:pPr>
      <w:r w:rsidRPr="004C70EC">
        <w:rPr>
          <w:noProof/>
          <w:color w:val="000000" w:themeColor="text1"/>
          <w:sz w:val="24"/>
          <w:szCs w:val="24"/>
          <w:lang w:eastAsia="en-IE"/>
        </w:rPr>
        <w:t>SECTION 2 </w:t>
      </w:r>
    </w:p>
    <w:p w14:paraId="1CF7A58B" w14:textId="77777777" w:rsidR="00273F36" w:rsidRPr="004C70EC" w:rsidRDefault="00273F36" w:rsidP="00895C7F">
      <w:pPr>
        <w:pStyle w:val="SectionTitle"/>
        <w:rPr>
          <w:rFonts w:eastAsia="Times New Roman"/>
          <w:noProof/>
          <w:color w:val="000000" w:themeColor="text1"/>
          <w:sz w:val="24"/>
          <w:szCs w:val="24"/>
          <w:lang w:eastAsia="en-IE"/>
        </w:rPr>
      </w:pPr>
      <w:r w:rsidRPr="004C70EC">
        <w:rPr>
          <w:rFonts w:eastAsia="Times New Roman"/>
          <w:bCs/>
          <w:noProof/>
          <w:color w:val="000000" w:themeColor="text1"/>
          <w:sz w:val="24"/>
          <w:szCs w:val="24"/>
          <w:lang w:eastAsia="en-IE"/>
        </w:rPr>
        <w:t xml:space="preserve">foresight on emerging </w:t>
      </w:r>
      <w:r w:rsidR="000D54FF" w:rsidRPr="004C70EC">
        <w:rPr>
          <w:rFonts w:eastAsia="Times New Roman"/>
          <w:bCs/>
          <w:noProof/>
          <w:color w:val="000000" w:themeColor="text1"/>
          <w:sz w:val="24"/>
          <w:szCs w:val="24"/>
          <w:lang w:eastAsia="en-IE"/>
        </w:rPr>
        <w:t>health</w:t>
      </w:r>
      <w:r w:rsidRPr="004C70EC">
        <w:rPr>
          <w:rFonts w:eastAsia="Times New Roman"/>
          <w:bCs/>
          <w:noProof/>
          <w:color w:val="000000" w:themeColor="text1"/>
          <w:sz w:val="24"/>
          <w:szCs w:val="24"/>
          <w:lang w:eastAsia="en-IE"/>
        </w:rPr>
        <w:t xml:space="preserve"> innovation</w:t>
      </w:r>
      <w:r w:rsidRPr="004C70EC">
        <w:rPr>
          <w:rFonts w:eastAsia="Times New Roman"/>
          <w:noProof/>
          <w:color w:val="000000" w:themeColor="text1"/>
          <w:sz w:val="24"/>
          <w:szCs w:val="24"/>
          <w:lang w:eastAsia="en-IE"/>
        </w:rPr>
        <w:t> </w:t>
      </w:r>
    </w:p>
    <w:p w14:paraId="63969644" w14:textId="77777777" w:rsidR="00273F36" w:rsidRPr="004C70EC" w:rsidRDefault="00273F36" w:rsidP="00895C7F">
      <w:pPr>
        <w:pStyle w:val="Titrearticle"/>
        <w:rPr>
          <w:rFonts w:eastAsia="Times New Roman"/>
          <w:noProof/>
          <w:color w:val="000000" w:themeColor="text1"/>
          <w:szCs w:val="24"/>
          <w:lang w:eastAsia="en-IE"/>
        </w:rPr>
      </w:pPr>
      <w:r w:rsidRPr="004C70EC">
        <w:rPr>
          <w:rFonts w:eastAsia="Times New Roman"/>
          <w:iCs/>
          <w:noProof/>
          <w:color w:val="000000" w:themeColor="text1"/>
          <w:szCs w:val="24"/>
          <w:lang w:eastAsia="en-IE"/>
        </w:rPr>
        <w:t xml:space="preserve">Article </w:t>
      </w:r>
      <w:r w:rsidR="006116D3" w:rsidRPr="004C70EC">
        <w:rPr>
          <w:rFonts w:eastAsia="Times New Roman"/>
          <w:iCs/>
          <w:noProof/>
          <w:color w:val="000000" w:themeColor="text1"/>
          <w:szCs w:val="24"/>
          <w:lang w:eastAsia="en-IE"/>
        </w:rPr>
        <w:t>3</w:t>
      </w:r>
      <w:r w:rsidR="005F03E0" w:rsidRPr="004C70EC">
        <w:rPr>
          <w:rFonts w:eastAsia="Times New Roman"/>
          <w:iCs/>
          <w:noProof/>
          <w:color w:val="000000" w:themeColor="text1"/>
          <w:szCs w:val="24"/>
          <w:lang w:eastAsia="en-IE"/>
        </w:rPr>
        <w:t>7</w:t>
      </w:r>
    </w:p>
    <w:p w14:paraId="230FA791" w14:textId="77777777" w:rsidR="00273F36" w:rsidRPr="004C70EC" w:rsidRDefault="00605279" w:rsidP="00273F36">
      <w:pPr>
        <w:spacing w:after="0"/>
        <w:jc w:val="center"/>
        <w:textAlignment w:val="baseline"/>
        <w:rPr>
          <w:rFonts w:eastAsia="Times New Roman"/>
          <w:noProof/>
          <w:color w:val="000000" w:themeColor="text1"/>
          <w:szCs w:val="24"/>
          <w:lang w:eastAsia="en-IE"/>
        </w:rPr>
      </w:pPr>
      <w:r w:rsidRPr="004C70EC">
        <w:rPr>
          <w:rFonts w:eastAsia="Times New Roman"/>
          <w:b/>
          <w:noProof/>
          <w:color w:val="000000" w:themeColor="text1"/>
          <w:szCs w:val="24"/>
          <w:lang w:eastAsia="en-IE"/>
        </w:rPr>
        <w:t>Foresight Panel for Emerging Health Innovation</w:t>
      </w:r>
      <w:r w:rsidR="00273F36" w:rsidRPr="004C70EC">
        <w:rPr>
          <w:rFonts w:eastAsia="Times New Roman"/>
          <w:noProof/>
          <w:color w:val="000000" w:themeColor="text1"/>
          <w:szCs w:val="24"/>
          <w:lang w:eastAsia="en-IE"/>
        </w:rPr>
        <w:t> </w:t>
      </w:r>
    </w:p>
    <w:p w14:paraId="2A9C18A1" w14:textId="77777777" w:rsidR="008811BF" w:rsidRPr="004C70EC" w:rsidRDefault="005B26B0" w:rsidP="005B26B0">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1.</w:t>
      </w:r>
      <w:r w:rsidRPr="004C70EC">
        <w:rPr>
          <w:rFonts w:eastAsia="Times New Roman"/>
          <w:noProof/>
          <w:color w:val="000000" w:themeColor="text1"/>
          <w:szCs w:val="24"/>
          <w:lang w:eastAsia="en-IE"/>
        </w:rPr>
        <w:tab/>
      </w:r>
      <w:r w:rsidR="00321D2B" w:rsidRPr="004C70EC">
        <w:rPr>
          <w:rFonts w:eastAsia="Times New Roman"/>
          <w:noProof/>
          <w:color w:val="000000" w:themeColor="text1"/>
          <w:szCs w:val="24"/>
          <w:lang w:eastAsia="en-IE"/>
        </w:rPr>
        <w:t>A</w:t>
      </w:r>
      <w:r w:rsidR="00273F36" w:rsidRPr="004C70EC">
        <w:rPr>
          <w:rFonts w:eastAsia="Times New Roman"/>
          <w:noProof/>
          <w:color w:val="000000" w:themeColor="text1"/>
          <w:szCs w:val="24"/>
          <w:lang w:eastAsia="en-IE"/>
        </w:rPr>
        <w:t xml:space="preserve"> </w:t>
      </w:r>
      <w:r w:rsidR="00605279" w:rsidRPr="004C70EC">
        <w:rPr>
          <w:rFonts w:eastAsia="Times New Roman"/>
          <w:noProof/>
          <w:color w:val="000000" w:themeColor="text1"/>
          <w:szCs w:val="24"/>
          <w:lang w:eastAsia="en-IE"/>
        </w:rPr>
        <w:t>Foresight Panel for Emerging Health Innovation</w:t>
      </w:r>
      <w:r w:rsidR="00273F36" w:rsidRPr="004C70EC">
        <w:rPr>
          <w:rFonts w:eastAsia="Times New Roman"/>
          <w:noProof/>
          <w:color w:val="000000" w:themeColor="text1"/>
          <w:szCs w:val="24"/>
          <w:lang w:eastAsia="en-IE"/>
        </w:rPr>
        <w:t xml:space="preserve"> </w:t>
      </w:r>
      <w:r w:rsidR="00E7279E" w:rsidRPr="004C70EC">
        <w:rPr>
          <w:rFonts w:eastAsia="Times New Roman"/>
          <w:noProof/>
          <w:color w:val="000000" w:themeColor="text1"/>
          <w:szCs w:val="24"/>
          <w:lang w:eastAsia="en-IE"/>
        </w:rPr>
        <w:t>is hereby established</w:t>
      </w:r>
      <w:r w:rsidR="00273F36" w:rsidRPr="004C70EC">
        <w:rPr>
          <w:rFonts w:eastAsia="Times New Roman"/>
          <w:noProof/>
          <w:color w:val="000000" w:themeColor="text1"/>
          <w:szCs w:val="24"/>
          <w:lang w:eastAsia="en-IE"/>
        </w:rPr>
        <w:t xml:space="preserve"> ('the Foresight Panel')</w:t>
      </w:r>
      <w:r w:rsidR="00E7279E" w:rsidRPr="004C70EC">
        <w:rPr>
          <w:rFonts w:eastAsia="Times New Roman"/>
          <w:noProof/>
          <w:color w:val="000000" w:themeColor="text1"/>
          <w:szCs w:val="24"/>
          <w:lang w:eastAsia="en-IE"/>
        </w:rPr>
        <w:t>.</w:t>
      </w:r>
      <w:r w:rsidR="00273F36" w:rsidRPr="004C70EC">
        <w:rPr>
          <w:rFonts w:eastAsia="Times New Roman"/>
          <w:noProof/>
          <w:color w:val="000000" w:themeColor="text1"/>
          <w:szCs w:val="24"/>
          <w:lang w:eastAsia="en-IE"/>
        </w:rPr>
        <w:t xml:space="preserve"> </w:t>
      </w:r>
    </w:p>
    <w:p w14:paraId="41699FBF" w14:textId="77777777" w:rsidR="00960A60" w:rsidRPr="004C70EC" w:rsidRDefault="005B26B0" w:rsidP="005B26B0">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2.</w:t>
      </w:r>
      <w:r w:rsidRPr="004C70EC">
        <w:rPr>
          <w:rFonts w:eastAsia="Times New Roman"/>
          <w:noProof/>
          <w:color w:val="000000" w:themeColor="text1"/>
          <w:szCs w:val="24"/>
          <w:lang w:eastAsia="en-IE"/>
        </w:rPr>
        <w:tab/>
      </w:r>
      <w:r w:rsidR="00E7279E" w:rsidRPr="004C70EC">
        <w:rPr>
          <w:rFonts w:eastAsia="Times New Roman"/>
          <w:noProof/>
          <w:color w:val="000000" w:themeColor="text1"/>
          <w:szCs w:val="24"/>
          <w:lang w:eastAsia="en-IE"/>
        </w:rPr>
        <w:t xml:space="preserve">The Foresight Panel </w:t>
      </w:r>
      <w:r w:rsidR="007731B5" w:rsidRPr="004C70EC">
        <w:rPr>
          <w:rFonts w:eastAsia="Times New Roman"/>
          <w:noProof/>
          <w:color w:val="000000" w:themeColor="text1"/>
          <w:szCs w:val="24"/>
          <w:lang w:eastAsia="en-IE"/>
        </w:rPr>
        <w:t>shall provide</w:t>
      </w:r>
      <w:r w:rsidR="00273F36" w:rsidRPr="004C70EC">
        <w:rPr>
          <w:rFonts w:eastAsia="Times New Roman"/>
          <w:noProof/>
          <w:color w:val="000000" w:themeColor="text1"/>
          <w:szCs w:val="24"/>
          <w:lang w:eastAsia="en-IE"/>
        </w:rPr>
        <w:t xml:space="preserve"> regulatory,</w:t>
      </w:r>
      <w:r w:rsidR="00835133" w:rsidRPr="004C70EC">
        <w:rPr>
          <w:rFonts w:eastAsia="Times New Roman"/>
          <w:noProof/>
          <w:color w:val="000000" w:themeColor="text1"/>
          <w:szCs w:val="24"/>
          <w:lang w:eastAsia="en-IE"/>
        </w:rPr>
        <w:t xml:space="preserve"> scientific </w:t>
      </w:r>
      <w:r w:rsidR="00273F36" w:rsidRPr="004C70EC">
        <w:rPr>
          <w:rFonts w:eastAsia="Times New Roman"/>
          <w:noProof/>
          <w:color w:val="000000" w:themeColor="text1"/>
          <w:szCs w:val="24"/>
          <w:lang w:eastAsia="en-IE"/>
        </w:rPr>
        <w:t>and technical</w:t>
      </w:r>
      <w:r w:rsidR="00835133" w:rsidRPr="004C70EC">
        <w:rPr>
          <w:rFonts w:eastAsia="Times New Roman"/>
          <w:noProof/>
          <w:color w:val="000000" w:themeColor="text1"/>
          <w:szCs w:val="24"/>
          <w:lang w:eastAsia="en-IE"/>
        </w:rPr>
        <w:t xml:space="preserve"> </w:t>
      </w:r>
      <w:r w:rsidR="006C00A8" w:rsidRPr="004C70EC">
        <w:rPr>
          <w:rFonts w:eastAsia="Times New Roman"/>
          <w:noProof/>
          <w:color w:val="000000" w:themeColor="text1"/>
          <w:szCs w:val="24"/>
          <w:lang w:eastAsia="en-IE"/>
        </w:rPr>
        <w:t>expertise</w:t>
      </w:r>
      <w:r w:rsidR="00835133" w:rsidRPr="004C70EC">
        <w:rPr>
          <w:rFonts w:eastAsia="Times New Roman"/>
          <w:noProof/>
          <w:color w:val="000000" w:themeColor="text1"/>
          <w:szCs w:val="24"/>
          <w:lang w:eastAsia="en-IE"/>
        </w:rPr>
        <w:t xml:space="preserve"> </w:t>
      </w:r>
      <w:r w:rsidR="00273F36" w:rsidRPr="004C70EC">
        <w:rPr>
          <w:rFonts w:eastAsia="Times New Roman"/>
          <w:noProof/>
          <w:color w:val="000000" w:themeColor="text1"/>
          <w:szCs w:val="24"/>
          <w:lang w:eastAsia="en-IE"/>
        </w:rPr>
        <w:t>on emerging science and technology in the field of health underpinning the development of health biotechnology products</w:t>
      </w:r>
      <w:r w:rsidR="00B72347" w:rsidRPr="004C70EC">
        <w:rPr>
          <w:rFonts w:eastAsia="Times New Roman"/>
          <w:noProof/>
          <w:color w:val="000000" w:themeColor="text1"/>
          <w:szCs w:val="24"/>
          <w:lang w:eastAsia="en-IE"/>
        </w:rPr>
        <w:t xml:space="preserve"> </w:t>
      </w:r>
      <w:r w:rsidR="00B561CB" w:rsidRPr="004C70EC">
        <w:rPr>
          <w:rFonts w:eastAsia="Times New Roman"/>
          <w:noProof/>
          <w:color w:val="000000" w:themeColor="text1"/>
          <w:szCs w:val="24"/>
          <w:lang w:eastAsia="en-IE"/>
        </w:rPr>
        <w:t xml:space="preserve">to the </w:t>
      </w:r>
      <w:r w:rsidR="0008500A" w:rsidRPr="004C70EC">
        <w:rPr>
          <w:rFonts w:eastAsia="Times New Roman"/>
          <w:noProof/>
          <w:color w:val="000000" w:themeColor="text1"/>
          <w:szCs w:val="24"/>
          <w:lang w:eastAsia="en-IE"/>
        </w:rPr>
        <w:t>Commission</w:t>
      </w:r>
      <w:r w:rsidR="00B561CB" w:rsidRPr="004C70EC">
        <w:rPr>
          <w:rFonts w:eastAsia="Times New Roman"/>
          <w:noProof/>
          <w:color w:val="000000" w:themeColor="text1"/>
          <w:szCs w:val="24"/>
          <w:lang w:eastAsia="en-IE"/>
        </w:rPr>
        <w:t xml:space="preserve">, </w:t>
      </w:r>
      <w:r w:rsidR="0008500A" w:rsidRPr="004C70EC">
        <w:rPr>
          <w:rFonts w:eastAsia="Times New Roman"/>
          <w:noProof/>
          <w:color w:val="000000" w:themeColor="text1"/>
          <w:szCs w:val="24"/>
          <w:lang w:eastAsia="en-IE"/>
        </w:rPr>
        <w:t xml:space="preserve">the Agency and </w:t>
      </w:r>
      <w:r w:rsidR="003D531D" w:rsidRPr="004C70EC">
        <w:rPr>
          <w:rFonts w:eastAsia="Times New Roman"/>
          <w:noProof/>
          <w:color w:val="000000" w:themeColor="text1"/>
          <w:szCs w:val="24"/>
          <w:lang w:eastAsia="en-IE"/>
        </w:rPr>
        <w:t xml:space="preserve">to </w:t>
      </w:r>
      <w:r w:rsidR="0008500A" w:rsidRPr="004C70EC">
        <w:rPr>
          <w:rFonts w:eastAsia="Times New Roman"/>
          <w:noProof/>
          <w:color w:val="000000" w:themeColor="text1"/>
          <w:szCs w:val="24"/>
          <w:lang w:eastAsia="en-IE"/>
        </w:rPr>
        <w:t>relevant Union-level advisory bodies and competent authorities and other entities in the Member States</w:t>
      </w:r>
      <w:r w:rsidR="0068695B" w:rsidRPr="004C70EC">
        <w:rPr>
          <w:rFonts w:eastAsia="Times New Roman"/>
          <w:noProof/>
          <w:color w:val="000000" w:themeColor="text1"/>
          <w:szCs w:val="24"/>
          <w:lang w:eastAsia="en-IE"/>
        </w:rPr>
        <w:t xml:space="preserve"> in the area of health</w:t>
      </w:r>
      <w:r w:rsidR="00E7279E" w:rsidRPr="004C70EC">
        <w:rPr>
          <w:rFonts w:eastAsia="Times New Roman"/>
          <w:noProof/>
          <w:color w:val="000000" w:themeColor="text1"/>
          <w:szCs w:val="24"/>
          <w:lang w:eastAsia="en-IE"/>
        </w:rPr>
        <w:t>.</w:t>
      </w:r>
      <w:r w:rsidR="001152C5" w:rsidRPr="004C70EC">
        <w:rPr>
          <w:noProof/>
          <w:color w:val="000000" w:themeColor="text1"/>
          <w:szCs w:val="24"/>
        </w:rPr>
        <w:t xml:space="preserve"> </w:t>
      </w:r>
      <w:r w:rsidR="001152C5" w:rsidRPr="004C70EC">
        <w:rPr>
          <w:rFonts w:eastAsia="Times New Roman"/>
          <w:noProof/>
          <w:color w:val="000000" w:themeColor="text1"/>
          <w:szCs w:val="24"/>
          <w:lang w:eastAsia="en-IE"/>
        </w:rPr>
        <w:t>The Foresight Panel shall operate in accordance with the Commission’s framework for expert groups.</w:t>
      </w:r>
    </w:p>
    <w:p w14:paraId="0C223244" w14:textId="77777777" w:rsidR="00273F36" w:rsidRPr="004C70EC" w:rsidRDefault="005B26B0" w:rsidP="005B26B0">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3.</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The Foresight Panel shall carry out the following tasks:</w:t>
      </w:r>
    </w:p>
    <w:p w14:paraId="16EEFFF2" w14:textId="77777777" w:rsidR="00273F36" w:rsidRPr="004C70EC" w:rsidRDefault="00273F36" w:rsidP="005B26B0">
      <w:pPr>
        <w:pStyle w:val="Point1"/>
        <w:rPr>
          <w:noProof/>
          <w:color w:val="000000" w:themeColor="text1"/>
          <w:szCs w:val="24"/>
        </w:rPr>
      </w:pPr>
      <w:r w:rsidRPr="004C70EC">
        <w:rPr>
          <w:noProof/>
          <w:color w:val="000000" w:themeColor="text1"/>
          <w:szCs w:val="24"/>
          <w:lang w:eastAsia="en-IE"/>
        </w:rPr>
        <w:t>(a)</w:t>
      </w:r>
      <w:r w:rsidRPr="004C70EC">
        <w:rPr>
          <w:noProof/>
          <w:color w:val="000000" w:themeColor="text1"/>
          <w:szCs w:val="24"/>
          <w:lang w:eastAsia="en-IE"/>
        </w:rPr>
        <w:tab/>
        <w:t xml:space="preserve">conduct horizon scanning </w:t>
      </w:r>
      <w:r w:rsidR="00810F49" w:rsidRPr="004C70EC">
        <w:rPr>
          <w:noProof/>
          <w:color w:val="000000" w:themeColor="text1"/>
          <w:szCs w:val="24"/>
          <w:lang w:eastAsia="en-IE"/>
        </w:rPr>
        <w:t>by</w:t>
      </w:r>
      <w:r w:rsidRPr="004C70EC">
        <w:rPr>
          <w:noProof/>
          <w:color w:val="000000" w:themeColor="text1"/>
          <w:szCs w:val="24"/>
          <w:lang w:eastAsia="en-IE"/>
        </w:rPr>
        <w:t xml:space="preserve"> analys</w:t>
      </w:r>
      <w:r w:rsidR="00810F49" w:rsidRPr="004C70EC">
        <w:rPr>
          <w:noProof/>
          <w:color w:val="000000" w:themeColor="text1"/>
          <w:szCs w:val="24"/>
          <w:lang w:eastAsia="en-IE"/>
        </w:rPr>
        <w:t>ing</w:t>
      </w:r>
      <w:r w:rsidRPr="004C70EC">
        <w:rPr>
          <w:noProof/>
          <w:color w:val="000000" w:themeColor="text1"/>
          <w:szCs w:val="24"/>
          <w:lang w:eastAsia="en-IE"/>
        </w:rPr>
        <w:t xml:space="preserve">, </w:t>
      </w:r>
      <w:r w:rsidR="00873658" w:rsidRPr="004C70EC">
        <w:rPr>
          <w:noProof/>
          <w:color w:val="000000" w:themeColor="text1"/>
          <w:szCs w:val="24"/>
          <w:lang w:eastAsia="en-IE"/>
        </w:rPr>
        <w:t>identifying</w:t>
      </w:r>
      <w:r w:rsidRPr="004C70EC">
        <w:rPr>
          <w:noProof/>
          <w:color w:val="000000" w:themeColor="text1"/>
          <w:szCs w:val="24"/>
          <w:lang w:eastAsia="en-IE"/>
        </w:rPr>
        <w:t xml:space="preserve"> and discuss</w:t>
      </w:r>
      <w:r w:rsidR="00810F49" w:rsidRPr="004C70EC">
        <w:rPr>
          <w:noProof/>
          <w:color w:val="000000" w:themeColor="text1"/>
          <w:szCs w:val="24"/>
          <w:lang w:eastAsia="en-IE"/>
        </w:rPr>
        <w:t>ing</w:t>
      </w:r>
      <w:r w:rsidRPr="004C70EC">
        <w:rPr>
          <w:noProof/>
          <w:color w:val="000000" w:themeColor="text1"/>
          <w:szCs w:val="24"/>
          <w:lang w:eastAsia="en-IE"/>
        </w:rPr>
        <w:t xml:space="preserve"> emerging science and technology with the potential to drive the development of health biotechnology products, including upon request from the Commission,</w:t>
      </w:r>
      <w:r w:rsidR="00825766" w:rsidRPr="004C70EC">
        <w:rPr>
          <w:noProof/>
          <w:color w:val="000000" w:themeColor="text1"/>
          <w:szCs w:val="24"/>
          <w:lang w:eastAsia="en-IE"/>
        </w:rPr>
        <w:t xml:space="preserve"> </w:t>
      </w:r>
      <w:r w:rsidRPr="004C70EC">
        <w:rPr>
          <w:noProof/>
          <w:color w:val="000000" w:themeColor="text1"/>
          <w:szCs w:val="24"/>
          <w:lang w:eastAsia="en-IE"/>
        </w:rPr>
        <w:t>the Agency,</w:t>
      </w:r>
      <w:r w:rsidR="00825766" w:rsidRPr="004C70EC">
        <w:rPr>
          <w:noProof/>
          <w:color w:val="000000" w:themeColor="text1"/>
          <w:szCs w:val="24"/>
          <w:lang w:eastAsia="en-IE"/>
        </w:rPr>
        <w:t xml:space="preserve"> </w:t>
      </w:r>
      <w:r w:rsidRPr="004C70EC">
        <w:rPr>
          <w:noProof/>
          <w:color w:val="000000" w:themeColor="text1"/>
          <w:szCs w:val="24"/>
          <w:lang w:eastAsia="en-IE"/>
        </w:rPr>
        <w:t>Union-level advisory bodies</w:t>
      </w:r>
      <w:r w:rsidR="00825766" w:rsidRPr="004C70EC">
        <w:rPr>
          <w:noProof/>
          <w:color w:val="000000" w:themeColor="text1"/>
          <w:szCs w:val="24"/>
          <w:lang w:eastAsia="en-IE"/>
        </w:rPr>
        <w:t xml:space="preserve"> </w:t>
      </w:r>
      <w:r w:rsidRPr="004C70EC">
        <w:rPr>
          <w:noProof/>
          <w:color w:val="000000" w:themeColor="text1"/>
          <w:szCs w:val="24"/>
          <w:lang w:eastAsia="en-IE"/>
        </w:rPr>
        <w:t>or competent authorities in the Member States</w:t>
      </w:r>
      <w:r w:rsidR="001A3CEE" w:rsidRPr="004C70EC">
        <w:rPr>
          <w:noProof/>
          <w:color w:val="000000" w:themeColor="text1"/>
          <w:szCs w:val="24"/>
          <w:lang w:eastAsia="en-IE"/>
        </w:rPr>
        <w:t xml:space="preserve"> in the area of health</w:t>
      </w:r>
      <w:r w:rsidRPr="004C70EC">
        <w:rPr>
          <w:noProof/>
          <w:color w:val="000000" w:themeColor="text1"/>
          <w:szCs w:val="24"/>
          <w:lang w:eastAsia="en-IE"/>
        </w:rPr>
        <w:t>, and develop and publish related considerations in the form of discussion papers </w:t>
      </w:r>
    </w:p>
    <w:p w14:paraId="69DDA4F4" w14:textId="77777777" w:rsidR="00273F36" w:rsidRPr="004C70EC" w:rsidRDefault="00273F36" w:rsidP="00895C7F">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(b)</w:t>
      </w:r>
      <w:r w:rsidRPr="004C70EC">
        <w:rPr>
          <w:rFonts w:eastAsia="Times New Roman"/>
          <w:noProof/>
          <w:color w:val="000000" w:themeColor="text1"/>
          <w:szCs w:val="24"/>
          <w:lang w:eastAsia="en-IE"/>
        </w:rPr>
        <w:tab/>
        <w:t>engage with the Agency and relevant Union-level advisory bodies and competent authorities and other entities in the Member States</w:t>
      </w:r>
      <w:r w:rsidR="00146EBD" w:rsidRPr="004C70EC">
        <w:rPr>
          <w:rFonts w:eastAsia="Times New Roman"/>
          <w:noProof/>
          <w:color w:val="000000" w:themeColor="text1"/>
          <w:szCs w:val="24"/>
          <w:lang w:eastAsia="en-IE"/>
        </w:rPr>
        <w:t xml:space="preserve"> in the area of health</w:t>
      </w:r>
      <w:r w:rsidRPr="004C70EC">
        <w:rPr>
          <w:rFonts w:eastAsia="Times New Roman"/>
          <w:noProof/>
          <w:color w:val="000000" w:themeColor="text1"/>
          <w:szCs w:val="24"/>
          <w:lang w:eastAsia="en-IE"/>
        </w:rPr>
        <w:t>, to</w:t>
      </w:r>
      <w:r w:rsidR="00146EBD" w:rsidRPr="004C70EC">
        <w:rPr>
          <w:rFonts w:eastAsia="Times New Roman"/>
          <w:noProof/>
          <w:color w:val="000000" w:themeColor="text1"/>
          <w:szCs w:val="24"/>
          <w:lang w:eastAsia="en-IE"/>
        </w:rPr>
        <w:t xml:space="preserve"> </w:t>
      </w:r>
      <w:r w:rsidRPr="004C70EC">
        <w:rPr>
          <w:rFonts w:eastAsia="Times New Roman"/>
          <w:noProof/>
          <w:color w:val="000000" w:themeColor="text1"/>
          <w:szCs w:val="24"/>
          <w:lang w:eastAsia="en-IE"/>
        </w:rPr>
        <w:t>facilitate</w:t>
      </w:r>
      <w:r w:rsidR="00146EBD" w:rsidRPr="004C70EC">
        <w:rPr>
          <w:rFonts w:eastAsia="Times New Roman"/>
          <w:noProof/>
          <w:color w:val="000000" w:themeColor="text1"/>
          <w:szCs w:val="24"/>
          <w:lang w:eastAsia="en-IE"/>
        </w:rPr>
        <w:t xml:space="preserve"> </w:t>
      </w:r>
      <w:r w:rsidRPr="004C70EC">
        <w:rPr>
          <w:rFonts w:eastAsia="Times New Roman"/>
          <w:noProof/>
          <w:color w:val="000000" w:themeColor="text1"/>
          <w:szCs w:val="24"/>
          <w:lang w:eastAsia="en-IE"/>
        </w:rPr>
        <w:t>cross-framework dialogue and consistency; </w:t>
      </w:r>
    </w:p>
    <w:p w14:paraId="770E0DC3" w14:textId="77777777" w:rsidR="00273F36" w:rsidRPr="004C70EC" w:rsidRDefault="00273F36" w:rsidP="00895C7F">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(c)</w:t>
      </w:r>
      <w:r w:rsidRPr="004C70EC">
        <w:rPr>
          <w:noProof/>
          <w:color w:val="000000" w:themeColor="text1"/>
          <w:szCs w:val="24"/>
        </w:rPr>
        <w:tab/>
      </w:r>
      <w:r w:rsidRPr="004C70EC">
        <w:rPr>
          <w:rFonts w:eastAsia="Times New Roman"/>
          <w:noProof/>
          <w:color w:val="000000" w:themeColor="text1"/>
          <w:szCs w:val="24"/>
          <w:lang w:eastAsia="en-IE"/>
        </w:rPr>
        <w:t>engage with existing relevant networks to contribute to enhancing regulatory</w:t>
      </w:r>
      <w:r w:rsidR="00146EBD" w:rsidRPr="004C70EC">
        <w:rPr>
          <w:rFonts w:eastAsia="Times New Roman"/>
          <w:noProof/>
          <w:color w:val="000000" w:themeColor="text1"/>
          <w:szCs w:val="24"/>
          <w:lang w:eastAsia="en-IE"/>
        </w:rPr>
        <w:t xml:space="preserve"> </w:t>
      </w:r>
      <w:r w:rsidRPr="004C70EC">
        <w:rPr>
          <w:rFonts w:eastAsia="Times New Roman"/>
          <w:noProof/>
          <w:color w:val="000000" w:themeColor="text1"/>
          <w:szCs w:val="24"/>
          <w:lang w:eastAsia="en-IE"/>
        </w:rPr>
        <w:t>expertise</w:t>
      </w:r>
      <w:r w:rsidR="00146EBD" w:rsidRPr="004C70EC">
        <w:rPr>
          <w:rFonts w:eastAsia="Times New Roman"/>
          <w:noProof/>
          <w:color w:val="000000" w:themeColor="text1"/>
          <w:szCs w:val="24"/>
          <w:lang w:eastAsia="en-IE"/>
        </w:rPr>
        <w:t xml:space="preserve"> </w:t>
      </w:r>
      <w:r w:rsidRPr="004C70EC">
        <w:rPr>
          <w:rFonts w:eastAsia="Times New Roman"/>
          <w:noProof/>
          <w:color w:val="000000" w:themeColor="text1"/>
          <w:szCs w:val="24"/>
          <w:lang w:eastAsia="en-IE"/>
        </w:rPr>
        <w:t>regarding health biotechnology products. </w:t>
      </w:r>
    </w:p>
    <w:p w14:paraId="7132EBF8" w14:textId="1531E2E6" w:rsidR="00340230" w:rsidRPr="004C70EC" w:rsidRDefault="003A6790" w:rsidP="00895C7F">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(d)</w:t>
      </w:r>
      <w:r w:rsidRPr="004C70EC">
        <w:rPr>
          <w:rFonts w:eastAsia="Times New Roman"/>
          <w:noProof/>
          <w:color w:val="000000" w:themeColor="text1"/>
          <w:szCs w:val="24"/>
          <w:lang w:eastAsia="en-IE"/>
        </w:rPr>
        <w:tab/>
        <w:t xml:space="preserve">accommodate exchanges among the authorities responsible for the setting up and the operation of regulatory sandboxes </w:t>
      </w:r>
      <w:r w:rsidR="006600F6" w:rsidRPr="004C70EC">
        <w:rPr>
          <w:rFonts w:eastAsia="Times New Roman"/>
          <w:noProof/>
          <w:color w:val="000000" w:themeColor="text1"/>
          <w:szCs w:val="24"/>
          <w:lang w:eastAsia="en-IE"/>
        </w:rPr>
        <w:t>in accordance with</w:t>
      </w:r>
      <w:r w:rsidR="00A30AD8" w:rsidRPr="004C70EC">
        <w:rPr>
          <w:rFonts w:eastAsia="Times New Roman"/>
          <w:noProof/>
          <w:color w:val="000000" w:themeColor="text1"/>
          <w:szCs w:val="24"/>
          <w:lang w:eastAsia="en-IE"/>
        </w:rPr>
        <w:t xml:space="preserve"> article </w:t>
      </w:r>
      <w:r w:rsidR="002D14B0" w:rsidRPr="004C70EC">
        <w:rPr>
          <w:rFonts w:eastAsia="Times New Roman"/>
          <w:noProof/>
          <w:color w:val="000000" w:themeColor="text1"/>
          <w:szCs w:val="24"/>
          <w:lang w:eastAsia="en-IE"/>
        </w:rPr>
        <w:t>39</w:t>
      </w:r>
      <w:r>
        <w:rPr>
          <w:rFonts w:eastAsia="Times New Roman"/>
          <w:noProof/>
          <w:color w:val="000000" w:themeColor="text1"/>
          <w:szCs w:val="24"/>
          <w:lang w:eastAsia="en-IE"/>
        </w:rPr>
        <w:t>(</w:t>
      </w:r>
      <w:r w:rsidR="00CA75B1" w:rsidRPr="004C70EC">
        <w:rPr>
          <w:rFonts w:eastAsia="Times New Roman"/>
          <w:noProof/>
          <w:color w:val="000000" w:themeColor="text1"/>
          <w:szCs w:val="24"/>
          <w:lang w:eastAsia="en-IE"/>
        </w:rPr>
        <w:t>5</w:t>
      </w:r>
      <w:r w:rsidR="007E6F7F" w:rsidRPr="004C70EC">
        <w:rPr>
          <w:rFonts w:eastAsia="Times New Roman"/>
          <w:noProof/>
          <w:color w:val="000000" w:themeColor="text1"/>
          <w:szCs w:val="24"/>
          <w:lang w:eastAsia="en-IE"/>
        </w:rPr>
        <w:t>)</w:t>
      </w:r>
      <w:r w:rsidR="00CA75B1" w:rsidRPr="004C70EC">
        <w:rPr>
          <w:rFonts w:eastAsia="Times New Roman"/>
          <w:noProof/>
          <w:color w:val="000000" w:themeColor="text1"/>
          <w:szCs w:val="24"/>
          <w:lang w:eastAsia="en-IE"/>
        </w:rPr>
        <w:t xml:space="preserve">. </w:t>
      </w:r>
    </w:p>
    <w:p w14:paraId="49938C4B" w14:textId="77777777" w:rsidR="00273F36" w:rsidRPr="004C70EC" w:rsidRDefault="005B26B0" w:rsidP="005B26B0">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4.</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 xml:space="preserve">For the purpose of performing the tasks referred to in paragraph 2, point (a), </w:t>
      </w:r>
      <w:r w:rsidR="004338FC" w:rsidRPr="004C70EC">
        <w:rPr>
          <w:rFonts w:eastAsia="Times New Roman"/>
          <w:noProof/>
          <w:color w:val="000000" w:themeColor="text1"/>
          <w:szCs w:val="24"/>
          <w:lang w:eastAsia="en-IE"/>
        </w:rPr>
        <w:t xml:space="preserve">of this Article, </w:t>
      </w:r>
      <w:r w:rsidR="00273F36" w:rsidRPr="004C70EC">
        <w:rPr>
          <w:rFonts w:eastAsia="Times New Roman"/>
          <w:noProof/>
          <w:color w:val="000000" w:themeColor="text1"/>
          <w:szCs w:val="24"/>
          <w:lang w:eastAsia="en-IE"/>
        </w:rPr>
        <w:t>the Foresight Panel may engage in preliminary discussions with the Agency or relevant Union level advisory bodies in the area of health, networks and informal task forces, national</w:t>
      </w:r>
      <w:r w:rsidR="00E75226" w:rsidRPr="004C70EC">
        <w:rPr>
          <w:rFonts w:eastAsia="Times New Roman"/>
          <w:noProof/>
          <w:color w:val="000000" w:themeColor="text1"/>
          <w:szCs w:val="24"/>
          <w:lang w:eastAsia="en-IE"/>
        </w:rPr>
        <w:t xml:space="preserve"> </w:t>
      </w:r>
      <w:r w:rsidR="00273F36" w:rsidRPr="004C70EC">
        <w:rPr>
          <w:rFonts w:eastAsia="Times New Roman"/>
          <w:noProof/>
          <w:color w:val="000000" w:themeColor="text1"/>
          <w:szCs w:val="24"/>
          <w:lang w:eastAsia="en-IE"/>
        </w:rPr>
        <w:t>competent authorities, developers, and other relevant actors and shall implement a collaborative approach with a view to ensuring</w:t>
      </w:r>
      <w:r w:rsidR="00E75226" w:rsidRPr="004C70EC">
        <w:rPr>
          <w:rFonts w:eastAsia="Times New Roman"/>
          <w:noProof/>
          <w:color w:val="000000" w:themeColor="text1"/>
          <w:szCs w:val="24"/>
          <w:lang w:eastAsia="en-IE"/>
        </w:rPr>
        <w:t xml:space="preserve"> </w:t>
      </w:r>
      <w:r w:rsidR="00273F36" w:rsidRPr="004C70EC">
        <w:rPr>
          <w:rFonts w:eastAsia="Times New Roman"/>
          <w:noProof/>
          <w:color w:val="000000" w:themeColor="text1"/>
          <w:szCs w:val="24"/>
          <w:lang w:eastAsia="en-IE"/>
        </w:rPr>
        <w:t>an effective uptake of its discussion papers.</w:t>
      </w:r>
    </w:p>
    <w:p w14:paraId="3C79F52F" w14:textId="77777777" w:rsidR="00880B57" w:rsidRPr="004C70EC" w:rsidRDefault="005B26B0" w:rsidP="005B26B0">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5.</w:t>
      </w:r>
      <w:r w:rsidRPr="004C70EC">
        <w:rPr>
          <w:rFonts w:eastAsia="Times New Roman"/>
          <w:noProof/>
          <w:color w:val="000000" w:themeColor="text1"/>
          <w:szCs w:val="24"/>
          <w:lang w:eastAsia="en-IE"/>
        </w:rPr>
        <w:tab/>
      </w:r>
      <w:r w:rsidR="00880B57" w:rsidRPr="004C70EC">
        <w:rPr>
          <w:rFonts w:eastAsia="Times New Roman"/>
          <w:noProof/>
          <w:color w:val="000000" w:themeColor="text1"/>
          <w:szCs w:val="24"/>
          <w:lang w:eastAsia="en-IE"/>
        </w:rPr>
        <w:t>The Foresight Panel shall consist of scientific and regulatory experts from the  SoHO Coordination Board (‘the SCB’), the Medical Devices Coordination Group (‘the MDCG’), the Coordination group on Health Technology Assessment (‘the HTACG’), the Agency and the competent authorities of the Member States, appointed by the Commission in view of their regulatory, scientific or technical expertise in the relevant identified fields and frameworks. The panel may invite external experts selected to assist with specific tasks when such relevant external expertise is needed.</w:t>
      </w:r>
    </w:p>
    <w:p w14:paraId="2DBFE10B" w14:textId="77777777" w:rsidR="001152C5" w:rsidRPr="004C70EC" w:rsidRDefault="005B26B0" w:rsidP="005B26B0">
      <w:pPr>
        <w:pStyle w:val="Point0"/>
        <w:rPr>
          <w:noProof/>
          <w:color w:val="000000" w:themeColor="text1"/>
          <w:szCs w:val="24"/>
        </w:rPr>
      </w:pPr>
      <w:r w:rsidRPr="004C70EC">
        <w:rPr>
          <w:noProof/>
          <w:color w:val="000000" w:themeColor="text1"/>
          <w:szCs w:val="24"/>
        </w:rPr>
        <w:t>6.</w:t>
      </w:r>
      <w:r w:rsidRPr="004C70EC">
        <w:rPr>
          <w:noProof/>
          <w:color w:val="000000" w:themeColor="text1"/>
          <w:szCs w:val="24"/>
        </w:rPr>
        <w:tab/>
      </w:r>
      <w:r w:rsidR="009A4D27" w:rsidRPr="004C70EC">
        <w:rPr>
          <w:noProof/>
          <w:color w:val="000000" w:themeColor="text1"/>
          <w:szCs w:val="24"/>
        </w:rPr>
        <w:t xml:space="preserve">The Commission shall adopt an implementing </w:t>
      </w:r>
      <w:r w:rsidR="112120A0" w:rsidRPr="004C70EC">
        <w:rPr>
          <w:noProof/>
          <w:color w:val="000000" w:themeColor="text1"/>
          <w:szCs w:val="24"/>
        </w:rPr>
        <w:t xml:space="preserve">act </w:t>
      </w:r>
      <w:r w:rsidR="009A4D27" w:rsidRPr="004C70EC">
        <w:rPr>
          <w:noProof/>
          <w:color w:val="000000" w:themeColor="text1"/>
          <w:szCs w:val="24"/>
        </w:rPr>
        <w:t>laying down detailed rules on the selection, composition, number of members, and functioning of the Foresight panel. The implementing act shall be adopted in accordance with the examination procedure referred to in Article 6</w:t>
      </w:r>
      <w:r w:rsidR="00457521" w:rsidRPr="004C70EC">
        <w:rPr>
          <w:noProof/>
          <w:color w:val="000000" w:themeColor="text1"/>
          <w:szCs w:val="24"/>
        </w:rPr>
        <w:t>5</w:t>
      </w:r>
      <w:r w:rsidR="009A4D27" w:rsidRPr="004C70EC">
        <w:rPr>
          <w:noProof/>
          <w:color w:val="000000" w:themeColor="text1"/>
          <w:szCs w:val="24"/>
        </w:rPr>
        <w:t>(2).</w:t>
      </w:r>
    </w:p>
    <w:p w14:paraId="35293C16" w14:textId="77777777" w:rsidR="00273F36" w:rsidRPr="004C70EC" w:rsidRDefault="00273F36" w:rsidP="00895C7F">
      <w:pPr>
        <w:pStyle w:val="Titrearticle"/>
        <w:rPr>
          <w:rFonts w:eastAsia="Times New Roman"/>
          <w:noProof/>
          <w:color w:val="000000" w:themeColor="text1"/>
          <w:szCs w:val="24"/>
          <w:lang w:eastAsia="en-IE"/>
        </w:rPr>
      </w:pPr>
      <w:r w:rsidRPr="004C70EC">
        <w:rPr>
          <w:rFonts w:eastAsia="Times New Roman"/>
          <w:iCs/>
          <w:noProof/>
          <w:color w:val="000000" w:themeColor="text1"/>
          <w:szCs w:val="24"/>
          <w:lang w:eastAsia="en-IE"/>
        </w:rPr>
        <w:t xml:space="preserve">Article </w:t>
      </w:r>
      <w:r w:rsidR="005F03E0" w:rsidRPr="004C70EC">
        <w:rPr>
          <w:rFonts w:eastAsia="Times New Roman"/>
          <w:iCs/>
          <w:noProof/>
          <w:color w:val="000000" w:themeColor="text1"/>
          <w:szCs w:val="24"/>
          <w:lang w:eastAsia="en-IE"/>
        </w:rPr>
        <w:t>38</w:t>
      </w:r>
    </w:p>
    <w:p w14:paraId="09F2F0B6" w14:textId="77777777" w:rsidR="00273F36" w:rsidRPr="004C70EC" w:rsidRDefault="00273F36" w:rsidP="00F17125">
      <w:pPr>
        <w:spacing w:after="0"/>
        <w:jc w:val="center"/>
        <w:textAlignment w:val="baseline"/>
        <w:rPr>
          <w:rFonts w:eastAsia="Times New Roman"/>
          <w:b/>
          <w:bCs/>
          <w:noProof/>
          <w:color w:val="000000" w:themeColor="text1"/>
          <w:szCs w:val="24"/>
          <w:lang w:eastAsia="en-IE"/>
        </w:rPr>
      </w:pPr>
      <w:r w:rsidRPr="004C70EC">
        <w:rPr>
          <w:rFonts w:eastAsia="Times New Roman"/>
          <w:b/>
          <w:bCs/>
          <w:noProof/>
          <w:color w:val="000000" w:themeColor="text1"/>
          <w:szCs w:val="24"/>
          <w:lang w:eastAsia="en-IE"/>
        </w:rPr>
        <w:t>Support to the</w:t>
      </w:r>
      <w:r w:rsidR="00FA17D8" w:rsidRPr="004C70EC">
        <w:rPr>
          <w:rFonts w:eastAsia="Times New Roman"/>
          <w:b/>
          <w:bCs/>
          <w:noProof/>
          <w:color w:val="000000" w:themeColor="text1"/>
          <w:szCs w:val="24"/>
          <w:lang w:eastAsia="en-IE"/>
        </w:rPr>
        <w:t xml:space="preserve"> </w:t>
      </w:r>
      <w:r w:rsidR="00605279" w:rsidRPr="004C70EC">
        <w:rPr>
          <w:rFonts w:eastAsia="Times New Roman"/>
          <w:b/>
          <w:bCs/>
          <w:noProof/>
          <w:color w:val="000000" w:themeColor="text1"/>
          <w:szCs w:val="24"/>
          <w:lang w:eastAsia="en-IE"/>
        </w:rPr>
        <w:t>Foresight Panel for Emerging Health Innovation</w:t>
      </w:r>
    </w:p>
    <w:p w14:paraId="48092BFE" w14:textId="77777777" w:rsidR="00273F36" w:rsidRPr="004C70EC" w:rsidRDefault="00895C7F" w:rsidP="007731B5">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1.</w:t>
      </w:r>
      <w:r w:rsidRPr="004C70EC">
        <w:rPr>
          <w:noProof/>
          <w:color w:val="000000" w:themeColor="text1"/>
          <w:szCs w:val="24"/>
        </w:rPr>
        <w:tab/>
      </w:r>
      <w:r w:rsidR="00273F36" w:rsidRPr="004C70EC">
        <w:rPr>
          <w:rFonts w:eastAsia="Times New Roman"/>
          <w:noProof/>
          <w:color w:val="000000" w:themeColor="text1"/>
          <w:szCs w:val="24"/>
          <w:lang w:eastAsia="en-IE"/>
        </w:rPr>
        <w:t xml:space="preserve">The </w:t>
      </w:r>
      <w:r w:rsidR="769CF17E" w:rsidRPr="004C70EC">
        <w:rPr>
          <w:rFonts w:eastAsia="Times New Roman"/>
          <w:noProof/>
          <w:color w:val="000000" w:themeColor="text1"/>
          <w:szCs w:val="24"/>
          <w:lang w:eastAsia="en-IE"/>
        </w:rPr>
        <w:t>Commission</w:t>
      </w:r>
      <w:r w:rsidR="00273F36" w:rsidRPr="004C70EC">
        <w:rPr>
          <w:rFonts w:eastAsia="Times New Roman"/>
          <w:noProof/>
          <w:color w:val="000000" w:themeColor="text1"/>
          <w:szCs w:val="24"/>
          <w:lang w:eastAsia="en-IE"/>
        </w:rPr>
        <w:t xml:space="preserve"> shall </w:t>
      </w:r>
      <w:r w:rsidR="00F609ED" w:rsidRPr="004C70EC">
        <w:rPr>
          <w:rFonts w:eastAsia="Times New Roman"/>
          <w:noProof/>
          <w:color w:val="000000" w:themeColor="text1"/>
          <w:szCs w:val="24"/>
          <w:lang w:eastAsia="en-IE"/>
        </w:rPr>
        <w:t xml:space="preserve">chair and </w:t>
      </w:r>
      <w:r w:rsidR="00273F36" w:rsidRPr="004C70EC">
        <w:rPr>
          <w:rFonts w:eastAsia="Times New Roman"/>
          <w:noProof/>
          <w:color w:val="000000" w:themeColor="text1"/>
          <w:szCs w:val="24"/>
          <w:lang w:eastAsia="en-IE"/>
        </w:rPr>
        <w:t>provide the</w:t>
      </w:r>
      <w:r w:rsidR="00131880" w:rsidRPr="004C70EC">
        <w:rPr>
          <w:rFonts w:eastAsia="Times New Roman"/>
          <w:noProof/>
          <w:color w:val="000000" w:themeColor="text1"/>
          <w:szCs w:val="24"/>
          <w:lang w:eastAsia="en-IE"/>
        </w:rPr>
        <w:t xml:space="preserve"> </w:t>
      </w:r>
      <w:r w:rsidR="00273F36" w:rsidRPr="004C70EC">
        <w:rPr>
          <w:rFonts w:eastAsia="Times New Roman"/>
          <w:noProof/>
          <w:color w:val="000000" w:themeColor="text1"/>
          <w:szCs w:val="24"/>
          <w:lang w:eastAsia="en-IE"/>
        </w:rPr>
        <w:t>secretariat for the Foresight Panel and shall provide the support necessary to ensure it can efficiently perform its tasks.</w:t>
      </w:r>
    </w:p>
    <w:p w14:paraId="22E979C1" w14:textId="77777777" w:rsidR="00273F36" w:rsidRPr="004C70EC" w:rsidRDefault="00895C7F" w:rsidP="007731B5">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2.</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 xml:space="preserve">The </w:t>
      </w:r>
      <w:r w:rsidR="003E284A" w:rsidRPr="004C70EC">
        <w:rPr>
          <w:rFonts w:eastAsia="Times New Roman"/>
          <w:noProof/>
          <w:color w:val="000000" w:themeColor="text1"/>
          <w:szCs w:val="24"/>
          <w:lang w:eastAsia="en-IE"/>
        </w:rPr>
        <w:t>Commission</w:t>
      </w:r>
      <w:r w:rsidR="00273F36" w:rsidRPr="004C70EC">
        <w:rPr>
          <w:rFonts w:eastAsia="Times New Roman"/>
          <w:noProof/>
          <w:color w:val="000000" w:themeColor="text1"/>
          <w:szCs w:val="24"/>
          <w:lang w:eastAsia="en-IE"/>
        </w:rPr>
        <w:t xml:space="preserve"> shall in particular</w:t>
      </w:r>
      <w:r w:rsidR="00BC3356" w:rsidRPr="004C70EC">
        <w:rPr>
          <w:rFonts w:eastAsia="Times New Roman"/>
          <w:noProof/>
          <w:color w:val="000000" w:themeColor="text1"/>
          <w:szCs w:val="24"/>
          <w:lang w:eastAsia="en-IE"/>
        </w:rPr>
        <w:t xml:space="preserve"> have the following tasks</w:t>
      </w:r>
      <w:r w:rsidR="00273F36" w:rsidRPr="004C70EC">
        <w:rPr>
          <w:rFonts w:eastAsia="Times New Roman"/>
          <w:noProof/>
          <w:color w:val="000000" w:themeColor="text1"/>
          <w:szCs w:val="24"/>
          <w:lang w:eastAsia="en-IE"/>
        </w:rPr>
        <w:t>:</w:t>
      </w:r>
    </w:p>
    <w:p w14:paraId="71F0A9B7" w14:textId="77777777" w:rsidR="00273F36" w:rsidRPr="004C70EC" w:rsidRDefault="00273F36" w:rsidP="007731B5">
      <w:pPr>
        <w:pStyle w:val="Point1"/>
        <w:rPr>
          <w:noProof/>
          <w:color w:val="000000" w:themeColor="text1"/>
          <w:szCs w:val="24"/>
          <w:lang w:eastAsia="en-IE"/>
        </w:rPr>
      </w:pPr>
      <w:r w:rsidRPr="004C70EC">
        <w:rPr>
          <w:noProof/>
          <w:color w:val="000000" w:themeColor="text1"/>
          <w:szCs w:val="24"/>
          <w:lang w:eastAsia="en-IE"/>
        </w:rPr>
        <w:t>(a)</w:t>
      </w:r>
      <w:r w:rsidRPr="004C70EC">
        <w:rPr>
          <w:noProof/>
          <w:color w:val="000000" w:themeColor="text1"/>
          <w:szCs w:val="24"/>
          <w:lang w:eastAsia="en-IE"/>
        </w:rPr>
        <w:tab/>
      </w:r>
      <w:r w:rsidR="00BC3356" w:rsidRPr="004C70EC">
        <w:rPr>
          <w:noProof/>
          <w:color w:val="000000" w:themeColor="text1"/>
          <w:szCs w:val="24"/>
          <w:lang w:eastAsia="en-IE"/>
        </w:rPr>
        <w:t xml:space="preserve">to </w:t>
      </w:r>
      <w:r w:rsidRPr="004C70EC">
        <w:rPr>
          <w:noProof/>
          <w:color w:val="000000" w:themeColor="text1"/>
          <w:szCs w:val="24"/>
          <w:lang w:eastAsia="en-IE"/>
        </w:rPr>
        <w:t>provide administrative and technical support to the Foresight Panel;</w:t>
      </w:r>
    </w:p>
    <w:p w14:paraId="38ABD20F" w14:textId="77777777" w:rsidR="00273F36" w:rsidRPr="004C70EC" w:rsidRDefault="00273F36" w:rsidP="007731B5">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(b)</w:t>
      </w:r>
      <w:r w:rsidRPr="004C70EC">
        <w:rPr>
          <w:rFonts w:eastAsia="Times New Roman"/>
          <w:noProof/>
          <w:color w:val="000000" w:themeColor="text1"/>
          <w:szCs w:val="24"/>
          <w:lang w:eastAsia="en-IE"/>
        </w:rPr>
        <w:tab/>
      </w:r>
      <w:r w:rsidR="00BC3356" w:rsidRPr="004C70EC">
        <w:rPr>
          <w:rFonts w:eastAsia="Times New Roman"/>
          <w:noProof/>
          <w:color w:val="000000" w:themeColor="text1"/>
          <w:szCs w:val="24"/>
          <w:lang w:eastAsia="en-IE"/>
        </w:rPr>
        <w:t xml:space="preserve">to </w:t>
      </w:r>
      <w:r w:rsidRPr="004C70EC">
        <w:rPr>
          <w:rFonts w:eastAsia="Times New Roman"/>
          <w:noProof/>
          <w:color w:val="000000" w:themeColor="text1"/>
          <w:szCs w:val="24"/>
          <w:lang w:eastAsia="en-IE"/>
        </w:rPr>
        <w:t>facilitate and manage remote and physical meetings of the Foresight Panel;</w:t>
      </w:r>
    </w:p>
    <w:p w14:paraId="32A6579A" w14:textId="77777777" w:rsidR="00273F36" w:rsidRPr="004C70EC" w:rsidRDefault="00273F36" w:rsidP="007731B5">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(c)</w:t>
      </w:r>
      <w:r w:rsidRPr="004C70EC">
        <w:rPr>
          <w:rFonts w:eastAsia="Times New Roman"/>
          <w:noProof/>
          <w:color w:val="000000" w:themeColor="text1"/>
          <w:szCs w:val="24"/>
          <w:lang w:eastAsia="en-IE"/>
        </w:rPr>
        <w:tab/>
      </w:r>
      <w:r w:rsidR="00BC3356" w:rsidRPr="004C70EC">
        <w:rPr>
          <w:rFonts w:eastAsia="Times New Roman"/>
          <w:noProof/>
          <w:color w:val="000000" w:themeColor="text1"/>
          <w:szCs w:val="24"/>
          <w:lang w:eastAsia="en-IE"/>
        </w:rPr>
        <w:t xml:space="preserve">to </w:t>
      </w:r>
      <w:r w:rsidRPr="004C70EC">
        <w:rPr>
          <w:rFonts w:eastAsia="Times New Roman"/>
          <w:noProof/>
          <w:color w:val="000000" w:themeColor="text1"/>
          <w:szCs w:val="24"/>
          <w:lang w:eastAsia="en-IE"/>
        </w:rPr>
        <w:t>ensure that the work of the Foresight Panel is carried out in an independent manner;</w:t>
      </w:r>
    </w:p>
    <w:p w14:paraId="327B73BB" w14:textId="77777777" w:rsidR="00273F36" w:rsidRPr="004C70EC" w:rsidRDefault="00273F36" w:rsidP="007731B5">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(d)</w:t>
      </w:r>
      <w:r w:rsidRPr="004C70EC">
        <w:rPr>
          <w:rFonts w:eastAsia="Times New Roman"/>
          <w:noProof/>
          <w:color w:val="000000" w:themeColor="text1"/>
          <w:szCs w:val="24"/>
          <w:lang w:eastAsia="en-IE"/>
        </w:rPr>
        <w:tab/>
      </w:r>
      <w:r w:rsidR="00356326" w:rsidRPr="004C70EC">
        <w:rPr>
          <w:rFonts w:eastAsia="Times New Roman"/>
          <w:noProof/>
          <w:color w:val="000000" w:themeColor="text1"/>
          <w:szCs w:val="24"/>
          <w:lang w:eastAsia="en-IE"/>
        </w:rPr>
        <w:t xml:space="preserve">to facilitate </w:t>
      </w:r>
      <w:r w:rsidRPr="004C70EC">
        <w:rPr>
          <w:rFonts w:eastAsia="Times New Roman"/>
          <w:noProof/>
          <w:color w:val="000000" w:themeColor="text1"/>
          <w:szCs w:val="24"/>
          <w:lang w:eastAsia="en-IE"/>
        </w:rPr>
        <w:t>the dissemination of the discussion papers produced by the Foresight Panel with relevant competent authorities and advisory bodies; </w:t>
      </w:r>
    </w:p>
    <w:p w14:paraId="45139D08" w14:textId="77777777" w:rsidR="00273F36" w:rsidRPr="004C70EC" w:rsidRDefault="00273F36" w:rsidP="007731B5">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(e)</w:t>
      </w:r>
      <w:r w:rsidRPr="004C70EC">
        <w:rPr>
          <w:rFonts w:eastAsia="Times New Roman"/>
          <w:noProof/>
          <w:color w:val="000000" w:themeColor="text1"/>
          <w:szCs w:val="24"/>
          <w:lang w:eastAsia="en-IE"/>
        </w:rPr>
        <w:tab/>
      </w:r>
      <w:r w:rsidR="00356326" w:rsidRPr="004C70EC">
        <w:rPr>
          <w:rFonts w:eastAsia="Times New Roman"/>
          <w:noProof/>
          <w:color w:val="000000" w:themeColor="text1"/>
          <w:szCs w:val="24"/>
          <w:lang w:eastAsia="en-IE"/>
        </w:rPr>
        <w:t xml:space="preserve">to </w:t>
      </w:r>
      <w:r w:rsidRPr="004C70EC">
        <w:rPr>
          <w:rFonts w:eastAsia="Times New Roman"/>
          <w:noProof/>
          <w:color w:val="000000" w:themeColor="text1"/>
          <w:szCs w:val="24"/>
          <w:lang w:eastAsia="en-IE"/>
        </w:rPr>
        <w:t>ensure that</w:t>
      </w:r>
      <w:r w:rsidR="00131880" w:rsidRPr="004C70EC">
        <w:rPr>
          <w:rFonts w:eastAsia="Times New Roman"/>
          <w:noProof/>
          <w:color w:val="000000" w:themeColor="text1"/>
          <w:szCs w:val="24"/>
          <w:lang w:eastAsia="en-IE"/>
        </w:rPr>
        <w:t xml:space="preserve"> </w:t>
      </w:r>
      <w:r w:rsidRPr="004C70EC">
        <w:rPr>
          <w:rFonts w:eastAsia="Times New Roman"/>
          <w:noProof/>
          <w:color w:val="000000" w:themeColor="text1"/>
          <w:szCs w:val="24"/>
          <w:lang w:eastAsia="en-IE"/>
        </w:rPr>
        <w:t>remuneration</w:t>
      </w:r>
      <w:r w:rsidR="00DB302B" w:rsidRPr="004C70EC">
        <w:rPr>
          <w:rFonts w:eastAsia="Times New Roman"/>
          <w:noProof/>
          <w:color w:val="000000" w:themeColor="text1"/>
          <w:szCs w:val="24"/>
          <w:lang w:eastAsia="en-IE"/>
        </w:rPr>
        <w:t xml:space="preserve"> </w:t>
      </w:r>
      <w:r w:rsidRPr="004C70EC">
        <w:rPr>
          <w:rFonts w:eastAsia="Times New Roman"/>
          <w:noProof/>
          <w:color w:val="000000" w:themeColor="text1"/>
          <w:szCs w:val="24"/>
          <w:lang w:eastAsia="en-IE"/>
        </w:rPr>
        <w:t>and expenses are provided to the experts composing the Foresight Panel;</w:t>
      </w:r>
    </w:p>
    <w:p w14:paraId="1C7C1C6B" w14:textId="77777777" w:rsidR="00273F36" w:rsidRPr="004C70EC" w:rsidRDefault="00273F36" w:rsidP="007731B5">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(f)</w:t>
      </w:r>
      <w:r w:rsidRPr="004C70EC">
        <w:rPr>
          <w:rFonts w:eastAsia="Times New Roman"/>
          <w:noProof/>
          <w:color w:val="000000" w:themeColor="text1"/>
          <w:szCs w:val="24"/>
          <w:lang w:eastAsia="en-IE"/>
        </w:rPr>
        <w:tab/>
      </w:r>
      <w:r w:rsidR="00356326" w:rsidRPr="004C70EC">
        <w:rPr>
          <w:rFonts w:eastAsia="Times New Roman"/>
          <w:noProof/>
          <w:color w:val="000000" w:themeColor="text1"/>
          <w:szCs w:val="24"/>
          <w:lang w:eastAsia="en-IE"/>
        </w:rPr>
        <w:t xml:space="preserve">to </w:t>
      </w:r>
      <w:r w:rsidRPr="004C70EC">
        <w:rPr>
          <w:rFonts w:eastAsia="Times New Roman"/>
          <w:noProof/>
          <w:color w:val="000000" w:themeColor="text1"/>
          <w:szCs w:val="24"/>
          <w:lang w:eastAsia="en-IE"/>
        </w:rPr>
        <w:t>monitor compliance with the rules of procedure of the Foresight Panel; </w:t>
      </w:r>
    </w:p>
    <w:p w14:paraId="605AE68C" w14:textId="77777777" w:rsidR="00273F36" w:rsidRPr="004C70EC" w:rsidRDefault="00273F36" w:rsidP="007731B5">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(g)</w:t>
      </w:r>
      <w:r w:rsidRPr="004C70EC">
        <w:rPr>
          <w:noProof/>
          <w:color w:val="000000" w:themeColor="text1"/>
          <w:szCs w:val="24"/>
        </w:rPr>
        <w:tab/>
      </w:r>
      <w:r w:rsidR="00356326" w:rsidRPr="004C70EC">
        <w:rPr>
          <w:rFonts w:eastAsia="Times New Roman"/>
          <w:noProof/>
          <w:color w:val="000000" w:themeColor="text1"/>
          <w:szCs w:val="24"/>
          <w:lang w:eastAsia="en-IE"/>
        </w:rPr>
        <w:t xml:space="preserve">to </w:t>
      </w:r>
      <w:r w:rsidRPr="004C70EC">
        <w:rPr>
          <w:rFonts w:eastAsia="Times New Roman"/>
          <w:noProof/>
          <w:color w:val="000000" w:themeColor="text1"/>
          <w:szCs w:val="24"/>
          <w:lang w:eastAsia="en-IE"/>
        </w:rPr>
        <w:t>issue annual reports on the work of the Foresight Panel, including on the number of discussion papers delivered by the Panel. </w:t>
      </w:r>
    </w:p>
    <w:p w14:paraId="1A4B731C" w14:textId="77777777" w:rsidR="00B52007" w:rsidRPr="004C70EC" w:rsidRDefault="00256B14" w:rsidP="007731B5">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3</w:t>
      </w:r>
      <w:r w:rsidR="003E38D2" w:rsidRPr="004C70EC">
        <w:rPr>
          <w:rFonts w:eastAsia="Times New Roman"/>
          <w:noProof/>
          <w:color w:val="000000" w:themeColor="text1"/>
          <w:szCs w:val="24"/>
          <w:lang w:eastAsia="en-IE"/>
        </w:rPr>
        <w:t>.</w:t>
      </w:r>
      <w:r w:rsidRPr="004C70EC">
        <w:rPr>
          <w:noProof/>
          <w:color w:val="000000" w:themeColor="text1"/>
          <w:szCs w:val="24"/>
        </w:rPr>
        <w:tab/>
      </w:r>
      <w:r w:rsidR="00B52007" w:rsidRPr="004C70EC">
        <w:rPr>
          <w:rFonts w:eastAsia="Times New Roman"/>
          <w:noProof/>
          <w:color w:val="000000" w:themeColor="text1"/>
          <w:szCs w:val="24"/>
          <w:lang w:eastAsia="en-IE"/>
        </w:rPr>
        <w:t xml:space="preserve">The Foresight panel shall establish </w:t>
      </w:r>
      <w:r w:rsidR="005C7E5F" w:rsidRPr="004C70EC">
        <w:rPr>
          <w:rFonts w:eastAsia="Times New Roman"/>
          <w:noProof/>
          <w:color w:val="000000" w:themeColor="text1"/>
          <w:szCs w:val="24"/>
          <w:lang w:eastAsia="en-IE"/>
        </w:rPr>
        <w:t>its own rules of procedure</w:t>
      </w:r>
      <w:r w:rsidR="003E38D2" w:rsidRPr="004C70EC">
        <w:rPr>
          <w:rFonts w:eastAsia="Times New Roman"/>
          <w:noProof/>
          <w:color w:val="000000" w:themeColor="text1"/>
          <w:szCs w:val="24"/>
          <w:lang w:eastAsia="en-IE"/>
        </w:rPr>
        <w:t>.</w:t>
      </w:r>
    </w:p>
    <w:p w14:paraId="5B8BC260" w14:textId="77777777" w:rsidR="007633FE" w:rsidRPr="004C70EC" w:rsidRDefault="007633FE" w:rsidP="00895C7F">
      <w:pPr>
        <w:pStyle w:val="Point1"/>
        <w:rPr>
          <w:rFonts w:eastAsia="Times New Roman"/>
          <w:noProof/>
          <w:color w:val="000000" w:themeColor="text1"/>
          <w:szCs w:val="24"/>
          <w:lang w:eastAsia="en-IE"/>
        </w:rPr>
      </w:pPr>
    </w:p>
    <w:p w14:paraId="1BACC879" w14:textId="77777777" w:rsidR="00273F36" w:rsidRPr="004C70EC" w:rsidRDefault="00273F36" w:rsidP="00895C7F">
      <w:pPr>
        <w:pStyle w:val="SectionTitle"/>
        <w:rPr>
          <w:noProof/>
          <w:color w:val="000000" w:themeColor="text1"/>
          <w:sz w:val="24"/>
          <w:szCs w:val="24"/>
          <w:lang w:eastAsia="en-IE"/>
        </w:rPr>
      </w:pPr>
      <w:r w:rsidRPr="004C70EC">
        <w:rPr>
          <w:noProof/>
          <w:color w:val="000000" w:themeColor="text1"/>
          <w:sz w:val="24"/>
          <w:szCs w:val="24"/>
          <w:lang w:eastAsia="en-IE"/>
        </w:rPr>
        <w:t>SECTION 3</w:t>
      </w:r>
    </w:p>
    <w:p w14:paraId="4E939D80" w14:textId="77777777" w:rsidR="00273F36" w:rsidRPr="004C70EC" w:rsidRDefault="00273F36" w:rsidP="00895C7F">
      <w:pPr>
        <w:pStyle w:val="SectionTitle"/>
        <w:rPr>
          <w:rFonts w:eastAsiaTheme="majorEastAsia"/>
          <w:b w:val="0"/>
          <w:bCs/>
          <w:noProof/>
          <w:color w:val="000000" w:themeColor="text1"/>
          <w:sz w:val="24"/>
          <w:szCs w:val="24"/>
        </w:rPr>
      </w:pPr>
      <w:r w:rsidRPr="004C70EC">
        <w:rPr>
          <w:rFonts w:eastAsiaTheme="majorEastAsia"/>
          <w:bCs/>
          <w:noProof/>
          <w:color w:val="000000" w:themeColor="text1"/>
          <w:sz w:val="24"/>
          <w:szCs w:val="24"/>
        </w:rPr>
        <w:t>Regulatory sandboxes as tools for novel health biotechnology products</w:t>
      </w:r>
    </w:p>
    <w:p w14:paraId="100E25A6" w14:textId="77777777" w:rsidR="00273F36" w:rsidRPr="004C70EC" w:rsidRDefault="00273F36" w:rsidP="00895C7F">
      <w:pPr>
        <w:pStyle w:val="Titrearticle"/>
        <w:rPr>
          <w:rFonts w:eastAsiaTheme="majorEastAsia"/>
          <w:i w:val="0"/>
          <w:iCs/>
          <w:noProof/>
          <w:color w:val="000000" w:themeColor="text1"/>
          <w:szCs w:val="24"/>
          <w:lang w:eastAsia="en-IE"/>
        </w:rPr>
      </w:pPr>
      <w:r w:rsidRPr="004C70EC">
        <w:rPr>
          <w:rFonts w:eastAsiaTheme="majorEastAsia"/>
          <w:iCs/>
          <w:noProof/>
          <w:color w:val="000000" w:themeColor="text1"/>
          <w:szCs w:val="24"/>
          <w:lang w:eastAsia="en-IE"/>
        </w:rPr>
        <w:t xml:space="preserve">Article </w:t>
      </w:r>
      <w:r w:rsidR="005F03E0" w:rsidRPr="004C70EC">
        <w:rPr>
          <w:rFonts w:eastAsiaTheme="majorEastAsia"/>
          <w:iCs/>
          <w:noProof/>
          <w:color w:val="000000" w:themeColor="text1"/>
          <w:szCs w:val="24"/>
          <w:lang w:eastAsia="en-IE"/>
        </w:rPr>
        <w:t>39</w:t>
      </w:r>
    </w:p>
    <w:p w14:paraId="09C7053C" w14:textId="77777777" w:rsidR="00273F36" w:rsidRPr="004C70EC" w:rsidRDefault="00273F36" w:rsidP="00273F36">
      <w:pPr>
        <w:keepNext/>
        <w:keepLines/>
        <w:spacing w:before="160" w:after="80" w:line="279" w:lineRule="auto"/>
        <w:jc w:val="center"/>
        <w:outlineLvl w:val="1"/>
        <w:rPr>
          <w:rFonts w:eastAsiaTheme="majorEastAsia"/>
          <w:b/>
          <w:noProof/>
          <w:color w:val="000000" w:themeColor="text1"/>
          <w:szCs w:val="24"/>
          <w:lang w:eastAsia="ja-JP"/>
        </w:rPr>
      </w:pPr>
      <w:r w:rsidRPr="004C70EC">
        <w:rPr>
          <w:rFonts w:eastAsiaTheme="majorEastAsia"/>
          <w:b/>
          <w:noProof/>
          <w:color w:val="000000" w:themeColor="text1"/>
          <w:szCs w:val="24"/>
          <w:lang w:eastAsia="ja-JP"/>
        </w:rPr>
        <w:t xml:space="preserve">Regulatory sandboxes </w:t>
      </w:r>
      <w:r w:rsidRPr="004C70EC">
        <w:rPr>
          <w:rFonts w:eastAsiaTheme="majorEastAsia"/>
          <w:b/>
          <w:bCs/>
          <w:noProof/>
          <w:color w:val="000000" w:themeColor="text1"/>
          <w:szCs w:val="24"/>
          <w:lang w:eastAsia="ja-JP"/>
        </w:rPr>
        <w:t xml:space="preserve">provided for in the applicable frameworks </w:t>
      </w:r>
      <w:r w:rsidRPr="004C70EC">
        <w:rPr>
          <w:rFonts w:eastAsiaTheme="majorEastAsia"/>
          <w:b/>
          <w:noProof/>
          <w:color w:val="000000" w:themeColor="text1"/>
          <w:szCs w:val="24"/>
          <w:lang w:eastAsia="ja-JP"/>
        </w:rPr>
        <w:t xml:space="preserve">and cross-framework communication </w:t>
      </w:r>
    </w:p>
    <w:p w14:paraId="33207D8E" w14:textId="77777777" w:rsidR="00273F36" w:rsidRPr="004C70EC" w:rsidRDefault="00273F36" w:rsidP="00EB6145">
      <w:pPr>
        <w:pStyle w:val="Point0"/>
        <w:rPr>
          <w:rFonts w:eastAsiaTheme="majorEastAsia"/>
          <w:noProof/>
          <w:color w:val="000000" w:themeColor="text1"/>
          <w:szCs w:val="24"/>
          <w:lang w:eastAsia="en-IE"/>
        </w:rPr>
      </w:pPr>
      <w:r w:rsidRPr="004C70EC">
        <w:rPr>
          <w:rFonts w:eastAsiaTheme="majorEastAsia"/>
          <w:noProof/>
          <w:color w:val="000000" w:themeColor="text1"/>
          <w:szCs w:val="24"/>
          <w:lang w:eastAsia="en-IE"/>
        </w:rPr>
        <w:t>1.</w:t>
      </w:r>
      <w:r w:rsidRPr="004C70EC">
        <w:rPr>
          <w:noProof/>
          <w:color w:val="000000" w:themeColor="text1"/>
          <w:szCs w:val="24"/>
        </w:rPr>
        <w:tab/>
      </w:r>
      <w:r w:rsidRPr="004C70EC">
        <w:rPr>
          <w:rFonts w:eastAsiaTheme="majorEastAsia"/>
          <w:noProof/>
          <w:color w:val="000000" w:themeColor="text1"/>
          <w:szCs w:val="24"/>
          <w:lang w:eastAsia="en-IE"/>
        </w:rPr>
        <w:t xml:space="preserve">Where a regulatory sandbox is </w:t>
      </w:r>
      <w:r w:rsidR="006C70B5" w:rsidRPr="004C70EC">
        <w:rPr>
          <w:rFonts w:eastAsiaTheme="majorEastAsia"/>
          <w:noProof/>
          <w:color w:val="000000" w:themeColor="text1"/>
          <w:szCs w:val="24"/>
          <w:lang w:eastAsia="en-IE"/>
        </w:rPr>
        <w:t>established</w:t>
      </w:r>
      <w:r w:rsidRPr="004C70EC">
        <w:rPr>
          <w:rFonts w:eastAsiaTheme="majorEastAsia"/>
          <w:noProof/>
          <w:color w:val="000000" w:themeColor="text1"/>
          <w:szCs w:val="24"/>
          <w:lang w:eastAsia="en-IE"/>
        </w:rPr>
        <w:t xml:space="preserve"> at Member State level for a health biotechnology product in accordance with </w:t>
      </w:r>
      <w:r w:rsidR="008F6BBA" w:rsidRPr="004C70EC">
        <w:rPr>
          <w:rFonts w:eastAsiaTheme="majorEastAsia"/>
          <w:noProof/>
          <w:color w:val="000000" w:themeColor="text1"/>
          <w:szCs w:val="24"/>
          <w:lang w:eastAsia="en-IE"/>
        </w:rPr>
        <w:t xml:space="preserve">[revised </w:t>
      </w:r>
      <w:r w:rsidRPr="004C70EC">
        <w:rPr>
          <w:rFonts w:eastAsiaTheme="majorEastAsia"/>
          <w:noProof/>
          <w:color w:val="000000" w:themeColor="text1"/>
          <w:szCs w:val="24"/>
          <w:lang w:eastAsia="en-IE"/>
        </w:rPr>
        <w:t>Regulation (EU) 2017/745</w:t>
      </w:r>
      <w:r w:rsidR="008F6BBA" w:rsidRPr="004C70EC">
        <w:rPr>
          <w:rFonts w:eastAsiaTheme="majorEastAsia"/>
          <w:noProof/>
          <w:color w:val="000000" w:themeColor="text1"/>
          <w:szCs w:val="24"/>
          <w:lang w:eastAsia="en-IE"/>
        </w:rPr>
        <w:t>]</w:t>
      </w:r>
      <w:r w:rsidRPr="004C70EC">
        <w:rPr>
          <w:rFonts w:eastAsiaTheme="majorEastAsia"/>
          <w:noProof/>
          <w:color w:val="000000" w:themeColor="text1"/>
          <w:szCs w:val="24"/>
          <w:lang w:eastAsia="en-IE"/>
        </w:rPr>
        <w:t xml:space="preserve">, </w:t>
      </w:r>
      <w:r w:rsidR="008F6BBA" w:rsidRPr="004C70EC">
        <w:rPr>
          <w:rFonts w:eastAsiaTheme="majorEastAsia"/>
          <w:noProof/>
          <w:color w:val="000000" w:themeColor="text1"/>
          <w:szCs w:val="24"/>
          <w:lang w:eastAsia="en-IE"/>
        </w:rPr>
        <w:t xml:space="preserve">[revised </w:t>
      </w:r>
      <w:r w:rsidRPr="004C70EC">
        <w:rPr>
          <w:rFonts w:eastAsiaTheme="majorEastAsia"/>
          <w:noProof/>
          <w:color w:val="000000" w:themeColor="text1"/>
          <w:szCs w:val="24"/>
          <w:lang w:eastAsia="en-IE"/>
        </w:rPr>
        <w:t>Regulation (EU) 2017/746</w:t>
      </w:r>
      <w:r w:rsidR="008F6BBA" w:rsidRPr="004C70EC">
        <w:rPr>
          <w:rFonts w:eastAsiaTheme="majorEastAsia"/>
          <w:noProof/>
          <w:color w:val="000000" w:themeColor="text1"/>
          <w:szCs w:val="24"/>
          <w:lang w:eastAsia="en-IE"/>
        </w:rPr>
        <w:t>]</w:t>
      </w:r>
      <w:r w:rsidRPr="004C70EC">
        <w:rPr>
          <w:rFonts w:eastAsiaTheme="majorEastAsia"/>
          <w:noProof/>
          <w:color w:val="000000" w:themeColor="text1"/>
          <w:szCs w:val="24"/>
          <w:lang w:eastAsia="en-IE"/>
        </w:rPr>
        <w:t xml:space="preserve">, Regulation (EU) 2024/1938, the authorities responsible for </w:t>
      </w:r>
      <w:r w:rsidR="009431C2" w:rsidRPr="004C70EC">
        <w:rPr>
          <w:rFonts w:eastAsiaTheme="majorEastAsia"/>
          <w:noProof/>
          <w:color w:val="000000" w:themeColor="text1"/>
          <w:szCs w:val="24"/>
          <w:lang w:eastAsia="en-IE"/>
        </w:rPr>
        <w:t xml:space="preserve">the operation of </w:t>
      </w:r>
      <w:r w:rsidRPr="004C70EC">
        <w:rPr>
          <w:rFonts w:eastAsiaTheme="majorEastAsia"/>
          <w:noProof/>
          <w:color w:val="000000" w:themeColor="text1"/>
          <w:szCs w:val="24"/>
          <w:lang w:eastAsia="en-IE"/>
        </w:rPr>
        <w:t xml:space="preserve">that sandbox shall, where appropriate and in accordance with </w:t>
      </w:r>
      <w:r w:rsidR="001933AD" w:rsidRPr="004C70EC">
        <w:rPr>
          <w:rFonts w:eastAsiaTheme="majorEastAsia"/>
          <w:noProof/>
          <w:color w:val="000000" w:themeColor="text1"/>
          <w:szCs w:val="24"/>
          <w:lang w:eastAsia="en-IE"/>
        </w:rPr>
        <w:t xml:space="preserve">the </w:t>
      </w:r>
      <w:r w:rsidR="008F080F" w:rsidRPr="004C70EC">
        <w:rPr>
          <w:rFonts w:eastAsiaTheme="majorEastAsia"/>
          <w:noProof/>
          <w:color w:val="000000" w:themeColor="text1"/>
          <w:szCs w:val="24"/>
          <w:lang w:eastAsia="en-IE"/>
        </w:rPr>
        <w:t xml:space="preserve">relevant </w:t>
      </w:r>
      <w:r w:rsidR="00CB46D9" w:rsidRPr="004C70EC">
        <w:rPr>
          <w:rFonts w:eastAsiaTheme="majorEastAsia"/>
          <w:noProof/>
          <w:color w:val="000000" w:themeColor="text1"/>
          <w:szCs w:val="24"/>
          <w:lang w:eastAsia="en-IE"/>
        </w:rPr>
        <w:t xml:space="preserve">legislative </w:t>
      </w:r>
      <w:r w:rsidR="001933AD" w:rsidRPr="004C70EC">
        <w:rPr>
          <w:rFonts w:eastAsiaTheme="majorEastAsia"/>
          <w:noProof/>
          <w:color w:val="000000" w:themeColor="text1"/>
          <w:szCs w:val="24"/>
          <w:lang w:eastAsia="en-IE"/>
        </w:rPr>
        <w:t>act referred to in this paragraph</w:t>
      </w:r>
      <w:r w:rsidRPr="004C70EC">
        <w:rPr>
          <w:rFonts w:eastAsiaTheme="majorEastAsia"/>
          <w:noProof/>
          <w:color w:val="000000" w:themeColor="text1"/>
          <w:szCs w:val="24"/>
          <w:lang w:eastAsia="en-IE"/>
        </w:rPr>
        <w:t xml:space="preserve">, conduct consultations with the competent authorities </w:t>
      </w:r>
      <w:r w:rsidR="00B35761" w:rsidRPr="004C70EC">
        <w:rPr>
          <w:rFonts w:eastAsiaTheme="majorEastAsia"/>
          <w:noProof/>
          <w:color w:val="000000" w:themeColor="text1"/>
          <w:szCs w:val="24"/>
          <w:lang w:eastAsia="en-IE"/>
        </w:rPr>
        <w:t>and the Commission</w:t>
      </w:r>
      <w:r w:rsidR="001800C7" w:rsidRPr="004C70EC">
        <w:rPr>
          <w:rFonts w:eastAsiaTheme="majorEastAsia"/>
          <w:noProof/>
          <w:color w:val="000000" w:themeColor="text1"/>
          <w:szCs w:val="24"/>
          <w:lang w:eastAsia="en-IE"/>
        </w:rPr>
        <w:t>,</w:t>
      </w:r>
      <w:r w:rsidRPr="004C70EC">
        <w:rPr>
          <w:rFonts w:eastAsiaTheme="majorEastAsia"/>
          <w:noProof/>
          <w:color w:val="000000" w:themeColor="text1"/>
          <w:szCs w:val="24"/>
          <w:lang w:eastAsia="en-IE"/>
        </w:rPr>
        <w:t xml:space="preserve"> </w:t>
      </w:r>
      <w:r w:rsidR="00E54F90" w:rsidRPr="004C70EC">
        <w:rPr>
          <w:rFonts w:eastAsiaTheme="majorEastAsia"/>
          <w:noProof/>
          <w:color w:val="000000" w:themeColor="text1"/>
          <w:szCs w:val="24"/>
          <w:lang w:eastAsia="en-IE"/>
        </w:rPr>
        <w:t xml:space="preserve">responsible for the operation of </w:t>
      </w:r>
      <w:r w:rsidR="0001457C" w:rsidRPr="004C70EC">
        <w:rPr>
          <w:rFonts w:eastAsiaTheme="majorEastAsia"/>
          <w:noProof/>
          <w:color w:val="000000" w:themeColor="text1"/>
          <w:szCs w:val="24"/>
          <w:lang w:eastAsia="en-IE"/>
        </w:rPr>
        <w:t>sandboxes</w:t>
      </w:r>
      <w:r w:rsidRPr="004C70EC">
        <w:rPr>
          <w:rFonts w:eastAsiaTheme="majorEastAsia"/>
          <w:noProof/>
          <w:color w:val="000000" w:themeColor="text1"/>
          <w:szCs w:val="24"/>
          <w:lang w:eastAsia="en-IE"/>
        </w:rPr>
        <w:t xml:space="preserve"> under the other relevant Union legislative </w:t>
      </w:r>
      <w:r w:rsidR="00CD23A9" w:rsidRPr="004C70EC">
        <w:rPr>
          <w:rFonts w:eastAsiaTheme="majorEastAsia"/>
          <w:noProof/>
          <w:color w:val="000000" w:themeColor="text1"/>
          <w:szCs w:val="24"/>
          <w:lang w:eastAsia="en-IE"/>
        </w:rPr>
        <w:t>acts</w:t>
      </w:r>
      <w:r w:rsidRPr="004C70EC">
        <w:rPr>
          <w:rFonts w:eastAsiaTheme="majorEastAsia"/>
          <w:noProof/>
          <w:color w:val="000000" w:themeColor="text1"/>
          <w:szCs w:val="24"/>
          <w:lang w:eastAsia="en-IE"/>
        </w:rPr>
        <w:t xml:space="preserve"> </w:t>
      </w:r>
      <w:r w:rsidR="0077386B" w:rsidRPr="004C70EC">
        <w:rPr>
          <w:rFonts w:eastAsiaTheme="majorEastAsia"/>
          <w:noProof/>
          <w:color w:val="000000" w:themeColor="text1"/>
          <w:szCs w:val="24"/>
          <w:lang w:eastAsia="en-IE"/>
        </w:rPr>
        <w:t xml:space="preserve">referred to </w:t>
      </w:r>
      <w:r w:rsidR="005233BF" w:rsidRPr="004C70EC">
        <w:rPr>
          <w:rFonts w:eastAsiaTheme="majorEastAsia"/>
          <w:noProof/>
          <w:color w:val="000000" w:themeColor="text1"/>
          <w:szCs w:val="24"/>
          <w:lang w:eastAsia="en-IE"/>
        </w:rPr>
        <w:t>in this paragraph</w:t>
      </w:r>
      <w:r w:rsidR="00145023" w:rsidRPr="004C70EC">
        <w:rPr>
          <w:rFonts w:eastAsiaTheme="majorEastAsia"/>
          <w:noProof/>
          <w:color w:val="000000" w:themeColor="text1"/>
          <w:szCs w:val="24"/>
          <w:lang w:eastAsia="en-IE"/>
        </w:rPr>
        <w:t xml:space="preserve"> and in paragraph 2</w:t>
      </w:r>
      <w:r w:rsidR="00F00329" w:rsidRPr="004C70EC">
        <w:rPr>
          <w:rFonts w:eastAsiaTheme="majorEastAsia"/>
          <w:noProof/>
          <w:color w:val="000000" w:themeColor="text1"/>
          <w:szCs w:val="24"/>
          <w:lang w:eastAsia="en-IE"/>
        </w:rPr>
        <w:t xml:space="preserve"> of this Article</w:t>
      </w:r>
      <w:r w:rsidR="008F080F" w:rsidRPr="004C70EC">
        <w:rPr>
          <w:rFonts w:eastAsiaTheme="majorEastAsia"/>
          <w:noProof/>
          <w:color w:val="000000" w:themeColor="text1"/>
          <w:szCs w:val="24"/>
          <w:lang w:eastAsia="en-IE"/>
        </w:rPr>
        <w:t>,</w:t>
      </w:r>
      <w:r w:rsidR="00413215" w:rsidRPr="004C70EC">
        <w:rPr>
          <w:rFonts w:eastAsiaTheme="majorEastAsia"/>
          <w:noProof/>
          <w:color w:val="000000" w:themeColor="text1"/>
          <w:szCs w:val="24"/>
          <w:lang w:eastAsia="en-IE"/>
        </w:rPr>
        <w:t xml:space="preserve"> and </w:t>
      </w:r>
      <w:r w:rsidR="008F080F" w:rsidRPr="004C70EC">
        <w:rPr>
          <w:rFonts w:eastAsiaTheme="majorEastAsia"/>
          <w:noProof/>
          <w:color w:val="000000" w:themeColor="text1"/>
          <w:szCs w:val="24"/>
          <w:lang w:eastAsia="en-IE"/>
        </w:rPr>
        <w:t>with</w:t>
      </w:r>
      <w:r w:rsidR="00413215" w:rsidRPr="004C70EC">
        <w:rPr>
          <w:rFonts w:eastAsiaTheme="majorEastAsia"/>
          <w:noProof/>
          <w:color w:val="000000" w:themeColor="text1"/>
          <w:szCs w:val="24"/>
          <w:lang w:eastAsia="en-IE"/>
        </w:rPr>
        <w:t xml:space="preserve"> </w:t>
      </w:r>
      <w:r w:rsidR="00697505" w:rsidRPr="004C70EC">
        <w:rPr>
          <w:rFonts w:eastAsiaTheme="majorEastAsia"/>
          <w:noProof/>
          <w:color w:val="000000" w:themeColor="text1"/>
          <w:szCs w:val="24"/>
          <w:lang w:eastAsia="en-IE"/>
        </w:rPr>
        <w:t xml:space="preserve">the Foresight </w:t>
      </w:r>
      <w:r w:rsidR="007E6F7F" w:rsidRPr="004C70EC">
        <w:rPr>
          <w:rFonts w:eastAsiaTheme="majorEastAsia"/>
          <w:noProof/>
          <w:color w:val="000000" w:themeColor="text1"/>
          <w:szCs w:val="24"/>
          <w:lang w:eastAsia="en-IE"/>
        </w:rPr>
        <w:t>P</w:t>
      </w:r>
      <w:r w:rsidR="00697505" w:rsidRPr="004C70EC">
        <w:rPr>
          <w:rFonts w:eastAsiaTheme="majorEastAsia"/>
          <w:noProof/>
          <w:color w:val="000000" w:themeColor="text1"/>
          <w:szCs w:val="24"/>
          <w:lang w:eastAsia="en-IE"/>
        </w:rPr>
        <w:t>anel</w:t>
      </w:r>
      <w:r w:rsidR="007E6F7F" w:rsidRPr="004C70EC">
        <w:rPr>
          <w:rFonts w:eastAsiaTheme="majorEastAsia"/>
          <w:noProof/>
          <w:color w:val="000000" w:themeColor="text1"/>
          <w:szCs w:val="24"/>
          <w:lang w:eastAsia="en-IE"/>
        </w:rPr>
        <w:t xml:space="preserve"> referred to in Article 37</w:t>
      </w:r>
      <w:r w:rsidR="00496E2D" w:rsidRPr="004C70EC">
        <w:rPr>
          <w:rFonts w:eastAsiaTheme="majorEastAsia"/>
          <w:noProof/>
          <w:color w:val="000000" w:themeColor="text1"/>
          <w:szCs w:val="24"/>
          <w:lang w:eastAsia="en-IE"/>
        </w:rPr>
        <w:t>,</w:t>
      </w:r>
      <w:r w:rsidR="00697505" w:rsidRPr="004C70EC" w:rsidDel="005233BF">
        <w:rPr>
          <w:rFonts w:eastAsiaTheme="majorEastAsia"/>
          <w:noProof/>
          <w:color w:val="000000" w:themeColor="text1"/>
          <w:szCs w:val="24"/>
          <w:lang w:eastAsia="en-IE"/>
        </w:rPr>
        <w:t xml:space="preserve"> </w:t>
      </w:r>
      <w:r w:rsidRPr="004C70EC">
        <w:rPr>
          <w:rFonts w:eastAsiaTheme="majorEastAsia"/>
          <w:noProof/>
          <w:color w:val="000000" w:themeColor="text1"/>
          <w:szCs w:val="24"/>
          <w:lang w:eastAsia="en-IE"/>
        </w:rPr>
        <w:t xml:space="preserve">regarding the design and the implementation of the </w:t>
      </w:r>
      <w:r w:rsidR="006C70B5" w:rsidRPr="004C70EC">
        <w:rPr>
          <w:rFonts w:eastAsiaTheme="majorEastAsia"/>
          <w:noProof/>
          <w:color w:val="000000" w:themeColor="text1"/>
          <w:szCs w:val="24"/>
          <w:lang w:eastAsia="en-IE"/>
        </w:rPr>
        <w:t xml:space="preserve">regulatory </w:t>
      </w:r>
      <w:r w:rsidRPr="004C70EC">
        <w:rPr>
          <w:rFonts w:eastAsiaTheme="majorEastAsia"/>
          <w:noProof/>
          <w:color w:val="000000" w:themeColor="text1"/>
          <w:szCs w:val="24"/>
          <w:lang w:eastAsia="en-IE"/>
        </w:rPr>
        <w:t xml:space="preserve">sandbox. </w:t>
      </w:r>
    </w:p>
    <w:p w14:paraId="007D7141" w14:textId="77777777" w:rsidR="00273F36" w:rsidRPr="004C70EC" w:rsidRDefault="00273F36" w:rsidP="00EB6145">
      <w:pPr>
        <w:pStyle w:val="Point0"/>
        <w:rPr>
          <w:rFonts w:eastAsiaTheme="majorEastAsia"/>
          <w:noProof/>
          <w:color w:val="000000" w:themeColor="text1"/>
          <w:szCs w:val="24"/>
          <w:lang w:eastAsia="en-IE"/>
        </w:rPr>
      </w:pPr>
      <w:r w:rsidRPr="004C70EC">
        <w:rPr>
          <w:rFonts w:eastAsiaTheme="majorEastAsia"/>
          <w:noProof/>
          <w:color w:val="000000" w:themeColor="text1"/>
          <w:szCs w:val="24"/>
          <w:lang w:eastAsia="en-IE"/>
        </w:rPr>
        <w:t>2.</w:t>
      </w:r>
      <w:r w:rsidRPr="004C70EC">
        <w:rPr>
          <w:noProof/>
          <w:color w:val="000000" w:themeColor="text1"/>
          <w:szCs w:val="24"/>
        </w:rPr>
        <w:tab/>
      </w:r>
      <w:r w:rsidRPr="004C70EC">
        <w:rPr>
          <w:rFonts w:eastAsiaTheme="majorEastAsia"/>
          <w:noProof/>
          <w:color w:val="000000" w:themeColor="text1"/>
          <w:szCs w:val="24"/>
          <w:lang w:eastAsia="en-IE"/>
        </w:rPr>
        <w:t xml:space="preserve">Where a regulatory sandbox is </w:t>
      </w:r>
      <w:r w:rsidR="006773CA" w:rsidRPr="004C70EC">
        <w:rPr>
          <w:rFonts w:eastAsiaTheme="majorEastAsia"/>
          <w:noProof/>
          <w:color w:val="000000" w:themeColor="text1"/>
          <w:szCs w:val="24"/>
          <w:lang w:eastAsia="en-IE"/>
        </w:rPr>
        <w:t xml:space="preserve">established </w:t>
      </w:r>
      <w:r w:rsidRPr="004C70EC">
        <w:rPr>
          <w:rFonts w:eastAsiaTheme="majorEastAsia"/>
          <w:noProof/>
          <w:color w:val="000000" w:themeColor="text1"/>
          <w:szCs w:val="24"/>
          <w:lang w:eastAsia="en-IE"/>
        </w:rPr>
        <w:t xml:space="preserve">at Union level for a health biotechnology product in accordance with </w:t>
      </w:r>
      <w:r w:rsidR="324FFF9D" w:rsidRPr="004C70EC">
        <w:rPr>
          <w:rFonts w:eastAsia="Times New Roman"/>
          <w:noProof/>
          <w:color w:val="000000" w:themeColor="text1"/>
          <w:szCs w:val="24"/>
          <w:lang w:val="en-US"/>
        </w:rPr>
        <w:t>Regulation (EU) …/… [reference to be added after adoption cf. COM(2023) 193 final</w:t>
      </w:r>
      <w:r w:rsidR="00DA13F6" w:rsidRPr="004C70EC">
        <w:rPr>
          <w:rFonts w:eastAsia="Times New Roman"/>
          <w:noProof/>
          <w:color w:val="000000" w:themeColor="text1"/>
          <w:szCs w:val="24"/>
          <w:lang w:val="en-US"/>
        </w:rPr>
        <w:t>]</w:t>
      </w:r>
      <w:r w:rsidR="324FFF9D" w:rsidRPr="004C70EC">
        <w:rPr>
          <w:noProof/>
          <w:color w:val="000000" w:themeColor="text1"/>
          <w:szCs w:val="24"/>
        </w:rPr>
        <w:t xml:space="preserve"> </w:t>
      </w:r>
      <w:r w:rsidRPr="004C70EC">
        <w:rPr>
          <w:rFonts w:eastAsiaTheme="majorEastAsia"/>
          <w:noProof/>
          <w:color w:val="000000" w:themeColor="text1"/>
          <w:szCs w:val="24"/>
          <w:lang w:eastAsia="en-IE"/>
        </w:rPr>
        <w:t>or with Article [4</w:t>
      </w:r>
      <w:r w:rsidR="002D14B0" w:rsidRPr="004C70EC">
        <w:rPr>
          <w:rFonts w:eastAsiaTheme="majorEastAsia"/>
          <w:noProof/>
          <w:color w:val="000000" w:themeColor="text1"/>
          <w:szCs w:val="24"/>
          <w:lang w:eastAsia="en-IE"/>
        </w:rPr>
        <w:t>0</w:t>
      </w:r>
      <w:r w:rsidRPr="004C70EC">
        <w:rPr>
          <w:rFonts w:eastAsiaTheme="majorEastAsia"/>
          <w:noProof/>
          <w:color w:val="000000" w:themeColor="text1"/>
          <w:szCs w:val="24"/>
          <w:lang w:eastAsia="en-IE"/>
        </w:rPr>
        <w:t xml:space="preserve">] of this Regulation, the Commission or the Agency shall consult, where appropriate and in accordance with </w:t>
      </w:r>
      <w:r w:rsidR="00DF1760" w:rsidRPr="004C70EC">
        <w:rPr>
          <w:rFonts w:eastAsiaTheme="majorEastAsia"/>
          <w:noProof/>
          <w:color w:val="000000" w:themeColor="text1"/>
          <w:szCs w:val="24"/>
          <w:lang w:eastAsia="en-IE"/>
        </w:rPr>
        <w:t xml:space="preserve">the legislative acts </w:t>
      </w:r>
      <w:r w:rsidR="0070132F" w:rsidRPr="004C70EC">
        <w:rPr>
          <w:rFonts w:eastAsiaTheme="majorEastAsia"/>
          <w:noProof/>
          <w:color w:val="000000" w:themeColor="text1"/>
          <w:szCs w:val="24"/>
          <w:lang w:eastAsia="en-IE"/>
        </w:rPr>
        <w:t xml:space="preserve">referred to in </w:t>
      </w:r>
      <w:r w:rsidR="000D7BAB" w:rsidRPr="004C70EC">
        <w:rPr>
          <w:rFonts w:eastAsiaTheme="majorEastAsia"/>
          <w:noProof/>
          <w:color w:val="000000" w:themeColor="text1"/>
          <w:szCs w:val="24"/>
          <w:lang w:eastAsia="en-IE"/>
        </w:rPr>
        <w:t xml:space="preserve">this </w:t>
      </w:r>
      <w:r w:rsidR="0070132F" w:rsidRPr="004C70EC">
        <w:rPr>
          <w:rFonts w:eastAsiaTheme="majorEastAsia"/>
          <w:noProof/>
          <w:color w:val="000000" w:themeColor="text1"/>
          <w:szCs w:val="24"/>
          <w:lang w:eastAsia="en-IE"/>
        </w:rPr>
        <w:t>paragraph</w:t>
      </w:r>
      <w:r w:rsidRPr="004C70EC">
        <w:rPr>
          <w:rFonts w:eastAsiaTheme="majorEastAsia"/>
          <w:noProof/>
          <w:color w:val="000000" w:themeColor="text1"/>
          <w:szCs w:val="24"/>
          <w:lang w:eastAsia="en-IE"/>
        </w:rPr>
        <w:t xml:space="preserve">, the Agency, the SCB, the MDCG, </w:t>
      </w:r>
      <w:r w:rsidR="005B4682" w:rsidRPr="004C70EC">
        <w:rPr>
          <w:rFonts w:eastAsiaTheme="majorEastAsia"/>
          <w:noProof/>
          <w:color w:val="000000" w:themeColor="text1"/>
          <w:szCs w:val="24"/>
          <w:lang w:eastAsia="en-IE"/>
        </w:rPr>
        <w:t xml:space="preserve">and </w:t>
      </w:r>
      <w:r w:rsidRPr="004C70EC">
        <w:rPr>
          <w:rFonts w:eastAsiaTheme="majorEastAsia"/>
          <w:noProof/>
          <w:color w:val="000000" w:themeColor="text1"/>
          <w:szCs w:val="24"/>
          <w:lang w:eastAsia="en-IE"/>
        </w:rPr>
        <w:t xml:space="preserve">the </w:t>
      </w:r>
      <w:r w:rsidR="00605279" w:rsidRPr="004C70EC">
        <w:rPr>
          <w:rFonts w:eastAsiaTheme="majorEastAsia"/>
          <w:noProof/>
          <w:color w:val="000000" w:themeColor="text1"/>
          <w:szCs w:val="24"/>
          <w:lang w:eastAsia="en-IE"/>
        </w:rPr>
        <w:t>Foresight</w:t>
      </w:r>
      <w:r w:rsidR="00DA6499" w:rsidRPr="004C70EC">
        <w:rPr>
          <w:rFonts w:eastAsiaTheme="majorEastAsia"/>
          <w:noProof/>
          <w:color w:val="000000" w:themeColor="text1"/>
          <w:szCs w:val="24"/>
          <w:lang w:eastAsia="en-IE"/>
        </w:rPr>
        <w:t xml:space="preserve"> </w:t>
      </w:r>
      <w:r w:rsidR="0028442C" w:rsidRPr="004C70EC">
        <w:rPr>
          <w:rFonts w:eastAsiaTheme="majorEastAsia"/>
          <w:noProof/>
          <w:color w:val="000000" w:themeColor="text1"/>
          <w:szCs w:val="24"/>
          <w:lang w:eastAsia="en-IE"/>
        </w:rPr>
        <w:t>P</w:t>
      </w:r>
      <w:r w:rsidR="00DA6499" w:rsidRPr="004C70EC">
        <w:rPr>
          <w:rFonts w:eastAsiaTheme="majorEastAsia"/>
          <w:noProof/>
          <w:color w:val="000000" w:themeColor="text1"/>
          <w:szCs w:val="24"/>
          <w:lang w:eastAsia="en-IE"/>
        </w:rPr>
        <w:t>anel</w:t>
      </w:r>
      <w:r w:rsidR="0028442C" w:rsidRPr="004C70EC">
        <w:rPr>
          <w:rFonts w:eastAsiaTheme="majorEastAsia"/>
          <w:noProof/>
          <w:color w:val="000000" w:themeColor="text1"/>
          <w:szCs w:val="24"/>
          <w:lang w:eastAsia="en-IE"/>
        </w:rPr>
        <w:t xml:space="preserve"> referred to in Article 37</w:t>
      </w:r>
      <w:r w:rsidR="00956800" w:rsidRPr="004C70EC">
        <w:rPr>
          <w:rFonts w:eastAsiaTheme="majorEastAsia"/>
          <w:noProof/>
          <w:color w:val="000000" w:themeColor="text1"/>
          <w:szCs w:val="24"/>
          <w:lang w:eastAsia="en-IE"/>
        </w:rPr>
        <w:t>, regarding the design and the implementation of the regulatory sandbox</w:t>
      </w:r>
      <w:r w:rsidRPr="004C70EC">
        <w:rPr>
          <w:rFonts w:eastAsiaTheme="majorEastAsia"/>
          <w:noProof/>
          <w:color w:val="000000" w:themeColor="text1"/>
          <w:szCs w:val="24"/>
          <w:lang w:eastAsia="en-IE"/>
        </w:rPr>
        <w:t xml:space="preserve">. </w:t>
      </w:r>
    </w:p>
    <w:p w14:paraId="676E74B9" w14:textId="77777777" w:rsidR="00273F36" w:rsidRPr="004C70EC" w:rsidRDefault="00EB6145" w:rsidP="00EB6145">
      <w:pPr>
        <w:pStyle w:val="Point0"/>
        <w:rPr>
          <w:rFonts w:eastAsia="Times New Roman"/>
          <w:noProof/>
          <w:color w:val="000000" w:themeColor="text1"/>
          <w:szCs w:val="24"/>
          <w:lang w:eastAsia="en-IE"/>
        </w:rPr>
      </w:pPr>
      <w:r w:rsidRPr="004C70EC">
        <w:rPr>
          <w:rFonts w:eastAsiaTheme="majorEastAsia"/>
          <w:noProof/>
          <w:color w:val="000000" w:themeColor="text1"/>
          <w:szCs w:val="24"/>
          <w:lang w:eastAsia="en-IE"/>
        </w:rPr>
        <w:t>3.</w:t>
      </w:r>
      <w:r w:rsidRPr="004C70EC">
        <w:rPr>
          <w:rFonts w:eastAsiaTheme="majorEastAsia"/>
          <w:noProof/>
          <w:color w:val="000000" w:themeColor="text1"/>
          <w:szCs w:val="24"/>
          <w:lang w:eastAsia="en-IE"/>
        </w:rPr>
        <w:tab/>
      </w:r>
      <w:r w:rsidR="00273F36" w:rsidRPr="004C70EC">
        <w:rPr>
          <w:rFonts w:eastAsiaTheme="majorEastAsia"/>
          <w:noProof/>
          <w:color w:val="000000" w:themeColor="text1"/>
          <w:szCs w:val="24"/>
          <w:lang w:eastAsia="en-IE"/>
        </w:rPr>
        <w:t>T</w:t>
      </w:r>
      <w:r w:rsidR="00273F36" w:rsidRPr="004C70EC">
        <w:rPr>
          <w:rFonts w:eastAsia="Times New Roman"/>
          <w:noProof/>
          <w:color w:val="000000" w:themeColor="text1"/>
          <w:szCs w:val="24"/>
          <w:lang w:eastAsia="en-IE"/>
        </w:rPr>
        <w:t xml:space="preserve">he authorities responsible, pursuant to </w:t>
      </w:r>
      <w:r w:rsidR="0041510C" w:rsidRPr="004C70EC">
        <w:rPr>
          <w:rFonts w:eastAsia="Times New Roman"/>
          <w:noProof/>
          <w:color w:val="000000" w:themeColor="text1"/>
          <w:szCs w:val="24"/>
          <w:lang w:eastAsia="en-IE"/>
        </w:rPr>
        <w:t xml:space="preserve">the </w:t>
      </w:r>
      <w:r w:rsidR="00273F36" w:rsidRPr="004C70EC">
        <w:rPr>
          <w:rFonts w:eastAsia="Times New Roman"/>
          <w:noProof/>
          <w:color w:val="000000" w:themeColor="text1"/>
          <w:szCs w:val="24"/>
          <w:lang w:eastAsia="en-IE"/>
        </w:rPr>
        <w:t xml:space="preserve">applicable </w:t>
      </w:r>
      <w:r w:rsidR="0041510C" w:rsidRPr="004C70EC">
        <w:rPr>
          <w:rFonts w:eastAsia="Times New Roman"/>
          <w:noProof/>
          <w:color w:val="000000" w:themeColor="text1"/>
          <w:szCs w:val="24"/>
          <w:lang w:eastAsia="en-IE"/>
        </w:rPr>
        <w:t>legislative act</w:t>
      </w:r>
      <w:r w:rsidR="00273F36" w:rsidRPr="004C70EC">
        <w:rPr>
          <w:rFonts w:eastAsia="Times New Roman"/>
          <w:noProof/>
          <w:color w:val="000000" w:themeColor="text1"/>
          <w:szCs w:val="24"/>
          <w:lang w:eastAsia="en-IE"/>
        </w:rPr>
        <w:t>, for setting up a regulatory sandbox referred to in paragraph</w:t>
      </w:r>
      <w:r w:rsidR="00F00329" w:rsidRPr="004C70EC">
        <w:rPr>
          <w:rFonts w:eastAsia="Times New Roman"/>
          <w:noProof/>
          <w:color w:val="000000" w:themeColor="text1"/>
          <w:szCs w:val="24"/>
          <w:lang w:eastAsia="en-IE"/>
        </w:rPr>
        <w:t>s</w:t>
      </w:r>
      <w:r w:rsidR="00273F36" w:rsidRPr="004C70EC">
        <w:rPr>
          <w:rFonts w:eastAsia="Times New Roman"/>
          <w:noProof/>
          <w:color w:val="000000" w:themeColor="text1"/>
          <w:szCs w:val="24"/>
          <w:lang w:eastAsia="en-IE"/>
        </w:rPr>
        <w:t xml:space="preserve"> 1 and 2</w:t>
      </w:r>
      <w:r w:rsidR="0028442C" w:rsidRPr="004C70EC">
        <w:rPr>
          <w:rFonts w:eastAsia="Times New Roman"/>
          <w:noProof/>
          <w:color w:val="000000" w:themeColor="text1"/>
          <w:szCs w:val="24"/>
          <w:lang w:eastAsia="en-IE"/>
        </w:rPr>
        <w:t xml:space="preserve"> of this Article</w:t>
      </w:r>
      <w:r w:rsidR="00273F36" w:rsidRPr="004C70EC">
        <w:rPr>
          <w:rFonts w:eastAsia="Times New Roman"/>
          <w:noProof/>
          <w:color w:val="000000" w:themeColor="text1"/>
          <w:szCs w:val="24"/>
          <w:lang w:eastAsia="en-IE"/>
        </w:rPr>
        <w:t>, shall ensure that due consideration is given to the regulatory challenges posed by combination products, and to consultations with the relevant authorities with expertise regarding the associated parts of such products.</w:t>
      </w:r>
    </w:p>
    <w:p w14:paraId="1380BA32" w14:textId="77777777" w:rsidR="00273F36" w:rsidRPr="004C70EC" w:rsidRDefault="00EB6145" w:rsidP="00EB6145">
      <w:pPr>
        <w:pStyle w:val="Point0"/>
        <w:rPr>
          <w:rFonts w:eastAsiaTheme="majorEastAsia"/>
          <w:noProof/>
          <w:color w:val="000000" w:themeColor="text1"/>
          <w:szCs w:val="24"/>
          <w:lang w:eastAsia="en-IE"/>
        </w:rPr>
      </w:pPr>
      <w:r w:rsidRPr="004C70EC">
        <w:rPr>
          <w:rFonts w:eastAsia="Times New Roman"/>
          <w:noProof/>
          <w:color w:val="000000" w:themeColor="text1"/>
          <w:szCs w:val="24"/>
          <w:lang w:eastAsia="en-IE"/>
        </w:rPr>
        <w:t>4.</w:t>
      </w:r>
      <w:r w:rsidRPr="004C70EC">
        <w:rPr>
          <w:rFonts w:eastAsia="Times New Roman"/>
          <w:noProof/>
          <w:color w:val="000000" w:themeColor="text1"/>
          <w:szCs w:val="24"/>
          <w:lang w:eastAsia="en-IE"/>
        </w:rPr>
        <w:tab/>
      </w:r>
      <w:r w:rsidR="009A64E1" w:rsidRPr="004C70EC">
        <w:rPr>
          <w:rFonts w:eastAsia="Times New Roman"/>
          <w:noProof/>
          <w:color w:val="000000" w:themeColor="text1"/>
          <w:szCs w:val="24"/>
          <w:lang w:eastAsia="en-IE"/>
        </w:rPr>
        <w:t>For the purposes of</w:t>
      </w:r>
      <w:r w:rsidR="00273F36" w:rsidRPr="004C70EC">
        <w:rPr>
          <w:rFonts w:eastAsia="Times New Roman"/>
          <w:noProof/>
          <w:color w:val="000000" w:themeColor="text1"/>
          <w:szCs w:val="24"/>
          <w:lang w:eastAsia="en-IE"/>
        </w:rPr>
        <w:t xml:space="preserve"> the consultations referred to in paragraphs 1 and</w:t>
      </w:r>
      <w:r w:rsidR="009068DB" w:rsidRPr="004C70EC">
        <w:rPr>
          <w:rFonts w:eastAsia="Times New Roman"/>
          <w:noProof/>
          <w:color w:val="000000" w:themeColor="text1"/>
          <w:szCs w:val="24"/>
          <w:lang w:eastAsia="en-IE"/>
        </w:rPr>
        <w:t xml:space="preserve"> </w:t>
      </w:r>
      <w:r w:rsidR="009A64E1" w:rsidRPr="004C70EC">
        <w:rPr>
          <w:rFonts w:eastAsia="Times New Roman"/>
          <w:noProof/>
          <w:color w:val="000000" w:themeColor="text1"/>
          <w:szCs w:val="24"/>
          <w:lang w:eastAsia="en-IE"/>
        </w:rPr>
        <w:t>2</w:t>
      </w:r>
      <w:r w:rsidR="0028442C" w:rsidRPr="004C70EC">
        <w:rPr>
          <w:rFonts w:eastAsia="Times New Roman"/>
          <w:noProof/>
          <w:color w:val="000000" w:themeColor="text1"/>
          <w:szCs w:val="24"/>
          <w:lang w:eastAsia="en-IE"/>
        </w:rPr>
        <w:t xml:space="preserve"> of this Article</w:t>
      </w:r>
      <w:r w:rsidR="00273F36" w:rsidRPr="004C70EC">
        <w:rPr>
          <w:rFonts w:eastAsia="Times New Roman"/>
          <w:noProof/>
          <w:color w:val="000000" w:themeColor="text1"/>
          <w:szCs w:val="24"/>
          <w:lang w:eastAsia="en-IE"/>
        </w:rPr>
        <w:t xml:space="preserve">, all </w:t>
      </w:r>
      <w:r w:rsidR="00E06B42" w:rsidRPr="004C70EC">
        <w:rPr>
          <w:rFonts w:eastAsia="Times New Roman"/>
          <w:noProof/>
          <w:color w:val="000000" w:themeColor="text1"/>
          <w:szCs w:val="24"/>
          <w:lang w:eastAsia="en-IE"/>
        </w:rPr>
        <w:t xml:space="preserve">authorities </w:t>
      </w:r>
      <w:r w:rsidR="00273F36" w:rsidRPr="004C70EC">
        <w:rPr>
          <w:rFonts w:eastAsia="Times New Roman"/>
          <w:noProof/>
          <w:color w:val="000000" w:themeColor="text1"/>
          <w:szCs w:val="24"/>
          <w:lang w:eastAsia="en-IE"/>
        </w:rPr>
        <w:t xml:space="preserve">shall endeavour to provide their contribution swiftly, without prejudice to time limits </w:t>
      </w:r>
      <w:r w:rsidR="00076F66" w:rsidRPr="004C70EC">
        <w:rPr>
          <w:rFonts w:eastAsia="Times New Roman"/>
          <w:noProof/>
          <w:color w:val="000000" w:themeColor="text1"/>
          <w:szCs w:val="24"/>
          <w:lang w:eastAsia="en-IE"/>
        </w:rPr>
        <w:t xml:space="preserve">set out </w:t>
      </w:r>
      <w:r w:rsidR="00273F36" w:rsidRPr="004C70EC">
        <w:rPr>
          <w:rFonts w:eastAsia="Times New Roman"/>
          <w:noProof/>
          <w:color w:val="000000" w:themeColor="text1"/>
          <w:szCs w:val="24"/>
          <w:lang w:eastAsia="en-IE"/>
        </w:rPr>
        <w:t xml:space="preserve">in </w:t>
      </w:r>
      <w:r w:rsidR="00C208C0" w:rsidRPr="004C70EC">
        <w:rPr>
          <w:rFonts w:eastAsia="Times New Roman"/>
          <w:noProof/>
          <w:color w:val="000000" w:themeColor="text1"/>
          <w:szCs w:val="24"/>
          <w:lang w:eastAsia="en-IE"/>
        </w:rPr>
        <w:t xml:space="preserve">the provisions of </w:t>
      </w:r>
      <w:r w:rsidR="00273F36" w:rsidRPr="004C70EC">
        <w:rPr>
          <w:rFonts w:eastAsia="Times New Roman"/>
          <w:noProof/>
          <w:color w:val="000000" w:themeColor="text1"/>
          <w:szCs w:val="24"/>
          <w:lang w:eastAsia="en-IE"/>
        </w:rPr>
        <w:t>the Union legislati</w:t>
      </w:r>
      <w:r w:rsidR="00076F66" w:rsidRPr="004C70EC">
        <w:rPr>
          <w:rFonts w:eastAsia="Times New Roman"/>
          <w:noProof/>
          <w:color w:val="000000" w:themeColor="text1"/>
          <w:szCs w:val="24"/>
          <w:lang w:eastAsia="en-IE"/>
        </w:rPr>
        <w:t xml:space="preserve">ve acts </w:t>
      </w:r>
      <w:r w:rsidR="00273F36" w:rsidRPr="004C70EC">
        <w:rPr>
          <w:rFonts w:eastAsia="Times New Roman"/>
          <w:noProof/>
          <w:color w:val="000000" w:themeColor="text1"/>
          <w:szCs w:val="24"/>
          <w:lang w:eastAsia="en-IE"/>
        </w:rPr>
        <w:t>in the area of health governing the regulatory sandbox</w:t>
      </w:r>
      <w:r w:rsidR="0028442C" w:rsidRPr="004C70EC">
        <w:rPr>
          <w:rFonts w:eastAsia="Times New Roman"/>
          <w:noProof/>
          <w:color w:val="000000" w:themeColor="text1"/>
          <w:szCs w:val="24"/>
          <w:lang w:eastAsia="en-IE"/>
        </w:rPr>
        <w:t xml:space="preserve"> referred to in those paragraphs</w:t>
      </w:r>
      <w:r w:rsidR="00273F36" w:rsidRPr="004C70EC">
        <w:rPr>
          <w:rFonts w:eastAsia="Times New Roman"/>
          <w:noProof/>
          <w:color w:val="000000" w:themeColor="text1"/>
          <w:szCs w:val="24"/>
          <w:lang w:eastAsia="en-IE"/>
        </w:rPr>
        <w:t xml:space="preserve">. </w:t>
      </w:r>
    </w:p>
    <w:p w14:paraId="4C73DF10" w14:textId="77777777" w:rsidR="00273F36" w:rsidRPr="004C70EC" w:rsidRDefault="00EB6145" w:rsidP="00EB6145">
      <w:pPr>
        <w:pStyle w:val="Point0"/>
        <w:rPr>
          <w:rFonts w:eastAsiaTheme="majorEastAsia"/>
          <w:noProof/>
          <w:color w:val="000000" w:themeColor="text1"/>
          <w:szCs w:val="24"/>
          <w:lang w:eastAsia="en-IE"/>
        </w:rPr>
      </w:pPr>
      <w:r w:rsidRPr="004C70EC">
        <w:rPr>
          <w:rFonts w:eastAsia="Times New Roman"/>
          <w:noProof/>
          <w:color w:val="000000" w:themeColor="text1"/>
          <w:szCs w:val="24"/>
          <w:lang w:eastAsia="en-IE"/>
        </w:rPr>
        <w:t>5.</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The</w:t>
      </w:r>
      <w:r w:rsidR="0071146B" w:rsidRPr="004C70EC">
        <w:rPr>
          <w:rFonts w:eastAsia="Times New Roman"/>
          <w:noProof/>
          <w:color w:val="000000" w:themeColor="text1"/>
          <w:szCs w:val="24"/>
          <w:lang w:eastAsia="en-IE"/>
        </w:rPr>
        <w:t xml:space="preserve"> Commission, the</w:t>
      </w:r>
      <w:r w:rsidR="00273F36" w:rsidRPr="004C70EC">
        <w:rPr>
          <w:rFonts w:eastAsia="Times New Roman"/>
          <w:noProof/>
          <w:color w:val="000000" w:themeColor="text1"/>
          <w:szCs w:val="24"/>
          <w:lang w:eastAsia="en-IE"/>
        </w:rPr>
        <w:t xml:space="preserve"> Agency, the MDCG and the SCB shall, through the Foresight Panel, facilitate the exchange of views and experiences among the authorities responsible for the setting up and the </w:t>
      </w:r>
      <w:r w:rsidR="004E01AD" w:rsidRPr="004C70EC">
        <w:rPr>
          <w:rFonts w:eastAsia="Times New Roman"/>
          <w:noProof/>
          <w:color w:val="000000" w:themeColor="text1"/>
          <w:szCs w:val="24"/>
          <w:lang w:eastAsia="en-IE"/>
        </w:rPr>
        <w:t xml:space="preserve">operation </w:t>
      </w:r>
      <w:r w:rsidR="00273F36" w:rsidRPr="004C70EC">
        <w:rPr>
          <w:rFonts w:eastAsia="Times New Roman"/>
          <w:noProof/>
          <w:color w:val="000000" w:themeColor="text1"/>
          <w:szCs w:val="24"/>
          <w:lang w:eastAsia="en-IE"/>
        </w:rPr>
        <w:t>of regulatory sandboxes for health biotechnology products. Th</w:t>
      </w:r>
      <w:r w:rsidR="004E01AD" w:rsidRPr="004C70EC">
        <w:rPr>
          <w:rFonts w:eastAsia="Times New Roman"/>
          <w:noProof/>
          <w:color w:val="000000" w:themeColor="text1"/>
          <w:szCs w:val="24"/>
          <w:lang w:eastAsia="en-IE"/>
        </w:rPr>
        <w:t>o</w:t>
      </w:r>
      <w:r w:rsidR="00273F36" w:rsidRPr="004C70EC">
        <w:rPr>
          <w:rFonts w:eastAsia="Times New Roman"/>
          <w:noProof/>
          <w:color w:val="000000" w:themeColor="text1"/>
          <w:szCs w:val="24"/>
          <w:lang w:eastAsia="en-IE"/>
        </w:rPr>
        <w:t>se exchanges shall include</w:t>
      </w:r>
      <w:r w:rsidR="004E01AD" w:rsidRPr="004C70EC">
        <w:rPr>
          <w:rFonts w:eastAsia="Times New Roman"/>
          <w:noProof/>
          <w:color w:val="000000" w:themeColor="text1"/>
          <w:szCs w:val="24"/>
          <w:lang w:eastAsia="en-IE"/>
        </w:rPr>
        <w:t xml:space="preserve"> the following</w:t>
      </w:r>
      <w:r w:rsidR="00273F36" w:rsidRPr="004C70EC">
        <w:rPr>
          <w:rFonts w:eastAsia="Times New Roman"/>
          <w:noProof/>
          <w:color w:val="000000" w:themeColor="text1"/>
          <w:szCs w:val="24"/>
          <w:lang w:eastAsia="en-IE"/>
        </w:rPr>
        <w:t>:</w:t>
      </w:r>
    </w:p>
    <w:p w14:paraId="14414CEB" w14:textId="77777777" w:rsidR="00273F36" w:rsidRPr="004C70EC" w:rsidRDefault="00EB6145" w:rsidP="00EB6145">
      <w:pPr>
        <w:pStyle w:val="Point1"/>
        <w:rPr>
          <w:noProof/>
          <w:color w:val="000000" w:themeColor="text1"/>
          <w:szCs w:val="24"/>
          <w:lang w:eastAsia="ja-JP"/>
        </w:rPr>
      </w:pPr>
      <w:r w:rsidRPr="004C70EC">
        <w:rPr>
          <w:noProof/>
          <w:color w:val="000000" w:themeColor="text1"/>
          <w:szCs w:val="24"/>
          <w:lang w:eastAsia="ja-JP"/>
        </w:rPr>
        <w:t>(a)</w:t>
      </w:r>
      <w:r w:rsidRPr="004C70EC">
        <w:rPr>
          <w:noProof/>
          <w:color w:val="000000" w:themeColor="text1"/>
          <w:szCs w:val="24"/>
          <w:lang w:eastAsia="ja-JP"/>
        </w:rPr>
        <w:tab/>
      </w:r>
      <w:r w:rsidR="00273F36" w:rsidRPr="004C70EC">
        <w:rPr>
          <w:noProof/>
          <w:color w:val="000000" w:themeColor="text1"/>
          <w:szCs w:val="24"/>
          <w:lang w:eastAsia="ja-JP"/>
        </w:rPr>
        <w:t>promoting knowledge sharing, by facilitating the exchange of information, experiences and best practices, including on regulatory approaches, technological challenges, and emerging scientific insights and the appropriate regulatory responses (cross-framework knowledge sharing);</w:t>
      </w:r>
    </w:p>
    <w:p w14:paraId="2830A0A0" w14:textId="77777777" w:rsidR="00273F36" w:rsidRPr="004C70EC" w:rsidRDefault="00EB6145" w:rsidP="00EB6145">
      <w:pPr>
        <w:pStyle w:val="Point1"/>
        <w:rPr>
          <w:rFonts w:eastAsiaTheme="majorEastAsia"/>
          <w:b/>
          <w:noProof/>
          <w:color w:val="000000" w:themeColor="text1"/>
          <w:szCs w:val="24"/>
        </w:rPr>
      </w:pPr>
      <w:r w:rsidRPr="004C70EC">
        <w:rPr>
          <w:rFonts w:eastAsiaTheme="minorEastAsia"/>
          <w:noProof/>
          <w:color w:val="000000" w:themeColor="text1"/>
          <w:szCs w:val="24"/>
          <w:lang w:eastAsia="ja-JP"/>
        </w:rPr>
        <w:t>(b)</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 xml:space="preserve">identifying potential implications for the evolution or adaptation of the relevant Union legislative </w:t>
      </w:r>
      <w:r w:rsidR="004E01AD" w:rsidRPr="004C70EC">
        <w:rPr>
          <w:rFonts w:eastAsiaTheme="minorEastAsia"/>
          <w:noProof/>
          <w:color w:val="000000" w:themeColor="text1"/>
          <w:szCs w:val="24"/>
          <w:lang w:eastAsia="ja-JP"/>
        </w:rPr>
        <w:t xml:space="preserve">acts </w:t>
      </w:r>
      <w:r w:rsidR="00273F36" w:rsidRPr="004C70EC">
        <w:rPr>
          <w:rFonts w:eastAsiaTheme="minorEastAsia"/>
          <w:noProof/>
          <w:color w:val="000000" w:themeColor="text1"/>
          <w:szCs w:val="24"/>
          <w:lang w:eastAsia="ja-JP"/>
        </w:rPr>
        <w:t>in the area of health (cross-framework regulatory learning)</w:t>
      </w:r>
      <w:r w:rsidR="00273F36" w:rsidRPr="004C70EC">
        <w:rPr>
          <w:rFonts w:eastAsiaTheme="minorEastAsia"/>
          <w:noProof/>
          <w:color w:val="000000" w:themeColor="text1"/>
          <w:szCs w:val="24"/>
        </w:rPr>
        <w:t xml:space="preserve">. </w:t>
      </w:r>
    </w:p>
    <w:p w14:paraId="6C8ED803" w14:textId="77777777" w:rsidR="00273F36" w:rsidRPr="004C70EC" w:rsidRDefault="00273F36" w:rsidP="00EB6145">
      <w:pPr>
        <w:pStyle w:val="Titrearticle"/>
        <w:rPr>
          <w:rFonts w:eastAsiaTheme="majorEastAsia"/>
          <w:i w:val="0"/>
          <w:noProof/>
          <w:color w:val="000000" w:themeColor="text1"/>
          <w:szCs w:val="24"/>
          <w:lang w:eastAsia="en-IE"/>
        </w:rPr>
      </w:pPr>
      <w:r w:rsidRPr="004C70EC">
        <w:rPr>
          <w:rFonts w:eastAsiaTheme="majorEastAsia"/>
          <w:noProof/>
          <w:color w:val="000000" w:themeColor="text1"/>
          <w:szCs w:val="24"/>
          <w:lang w:eastAsia="en-IE"/>
        </w:rPr>
        <w:t>Article 4</w:t>
      </w:r>
      <w:r w:rsidR="00A01B18" w:rsidRPr="004C70EC">
        <w:rPr>
          <w:rFonts w:eastAsiaTheme="majorEastAsia"/>
          <w:noProof/>
          <w:color w:val="000000" w:themeColor="text1"/>
          <w:szCs w:val="24"/>
          <w:lang w:eastAsia="en-IE"/>
        </w:rPr>
        <w:t>0</w:t>
      </w:r>
    </w:p>
    <w:p w14:paraId="3F01ECA4" w14:textId="77777777" w:rsidR="00273F36" w:rsidRPr="004C70EC" w:rsidRDefault="00273F36" w:rsidP="00273F36">
      <w:pPr>
        <w:keepNext/>
        <w:keepLines/>
        <w:spacing w:before="160" w:after="80" w:line="279" w:lineRule="auto"/>
        <w:jc w:val="center"/>
        <w:outlineLvl w:val="1"/>
        <w:rPr>
          <w:rFonts w:eastAsiaTheme="majorEastAsia"/>
          <w:b/>
          <w:noProof/>
          <w:color w:val="000000" w:themeColor="text1"/>
          <w:szCs w:val="24"/>
        </w:rPr>
      </w:pPr>
      <w:r w:rsidRPr="004C70EC">
        <w:rPr>
          <w:rFonts w:eastAsiaTheme="majorEastAsia"/>
          <w:b/>
          <w:noProof/>
          <w:color w:val="000000" w:themeColor="text1"/>
          <w:szCs w:val="24"/>
        </w:rPr>
        <w:t xml:space="preserve">Regulatory sandboxes for novel health biotechnology products not falling under other </w:t>
      </w:r>
      <w:r w:rsidR="00EB4784" w:rsidRPr="004C70EC">
        <w:rPr>
          <w:rFonts w:eastAsiaTheme="majorEastAsia"/>
          <w:b/>
          <w:noProof/>
          <w:color w:val="000000" w:themeColor="text1"/>
          <w:szCs w:val="24"/>
        </w:rPr>
        <w:t xml:space="preserve">regulatory </w:t>
      </w:r>
      <w:r w:rsidRPr="004C70EC">
        <w:rPr>
          <w:rFonts w:eastAsiaTheme="majorEastAsia"/>
          <w:b/>
          <w:noProof/>
          <w:color w:val="000000" w:themeColor="text1"/>
          <w:szCs w:val="24"/>
        </w:rPr>
        <w:t xml:space="preserve">sandboxes in Union legislation </w:t>
      </w:r>
      <w:r w:rsidR="0028442C" w:rsidRPr="004C70EC">
        <w:rPr>
          <w:rFonts w:eastAsiaTheme="majorEastAsia"/>
          <w:b/>
          <w:noProof/>
          <w:color w:val="000000" w:themeColor="text1"/>
          <w:szCs w:val="24"/>
        </w:rPr>
        <w:t>in the area of health</w:t>
      </w:r>
    </w:p>
    <w:p w14:paraId="47E02BAA" w14:textId="77777777" w:rsidR="00273F36" w:rsidRPr="004C70EC" w:rsidRDefault="00EB6145" w:rsidP="00EB6145">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1.</w:t>
      </w:r>
      <w:r w:rsidRPr="004C70EC">
        <w:rPr>
          <w:rFonts w:eastAsia="Times New Roman"/>
          <w:noProof/>
          <w:color w:val="000000" w:themeColor="text1"/>
          <w:szCs w:val="24"/>
          <w:lang w:eastAsia="en-IE"/>
        </w:rPr>
        <w:tab/>
      </w:r>
      <w:r w:rsidR="004A7727" w:rsidRPr="004C70EC">
        <w:rPr>
          <w:rFonts w:eastAsia="Times New Roman"/>
          <w:noProof/>
          <w:color w:val="000000" w:themeColor="text1"/>
          <w:szCs w:val="24"/>
          <w:lang w:eastAsia="en-IE"/>
        </w:rPr>
        <w:t>Upon</w:t>
      </w:r>
      <w:r w:rsidR="00801AC0" w:rsidRPr="004C70EC">
        <w:rPr>
          <w:rFonts w:eastAsia="Times New Roman"/>
          <w:noProof/>
          <w:color w:val="000000" w:themeColor="text1"/>
          <w:szCs w:val="24"/>
          <w:lang w:eastAsia="en-IE"/>
        </w:rPr>
        <w:t xml:space="preserve"> a substantiated</w:t>
      </w:r>
      <w:r w:rsidR="004A7727" w:rsidRPr="004C70EC">
        <w:rPr>
          <w:rFonts w:eastAsia="Times New Roman"/>
          <w:noProof/>
          <w:color w:val="000000" w:themeColor="text1"/>
          <w:szCs w:val="24"/>
          <w:lang w:eastAsia="en-IE"/>
        </w:rPr>
        <w:t xml:space="preserve"> request from developers, t</w:t>
      </w:r>
      <w:r w:rsidR="00273F36" w:rsidRPr="004C70EC">
        <w:rPr>
          <w:rFonts w:eastAsia="Times New Roman"/>
          <w:noProof/>
          <w:color w:val="000000" w:themeColor="text1"/>
          <w:szCs w:val="24"/>
          <w:lang w:eastAsia="en-IE"/>
        </w:rPr>
        <w:t xml:space="preserve">he Commission may set up a regulatory sandbox that provides a controlled </w:t>
      </w:r>
      <w:r w:rsidR="00273F36" w:rsidRPr="004C70EC" w:rsidDel="0091417E">
        <w:rPr>
          <w:rFonts w:eastAsia="Times New Roman"/>
          <w:noProof/>
          <w:color w:val="000000" w:themeColor="text1"/>
          <w:szCs w:val="24"/>
          <w:lang w:eastAsia="en-IE"/>
        </w:rPr>
        <w:t>regulatory</w:t>
      </w:r>
      <w:r w:rsidR="00273F36" w:rsidRPr="004C70EC">
        <w:rPr>
          <w:rFonts w:eastAsia="Times New Roman"/>
          <w:noProof/>
          <w:color w:val="000000" w:themeColor="text1"/>
          <w:szCs w:val="24"/>
          <w:lang w:eastAsia="en-IE"/>
        </w:rPr>
        <w:t xml:space="preserve"> environment for </w:t>
      </w:r>
      <w:r w:rsidR="00676288" w:rsidRPr="004C70EC">
        <w:rPr>
          <w:rFonts w:eastAsia="Times New Roman"/>
          <w:noProof/>
          <w:color w:val="000000" w:themeColor="text1"/>
          <w:szCs w:val="24"/>
          <w:lang w:eastAsia="en-IE"/>
        </w:rPr>
        <w:t>the testing and development of a</w:t>
      </w:r>
      <w:r w:rsidR="00273F36" w:rsidRPr="004C70EC">
        <w:rPr>
          <w:rFonts w:eastAsia="Times New Roman"/>
          <w:noProof/>
          <w:color w:val="000000" w:themeColor="text1"/>
          <w:szCs w:val="24"/>
          <w:lang w:eastAsia="en-IE"/>
        </w:rPr>
        <w:t xml:space="preserve"> health biotechnology product, that:</w:t>
      </w:r>
    </w:p>
    <w:p w14:paraId="7DF7FBA9" w14:textId="2F78B60A" w:rsidR="00273F36" w:rsidRPr="004C70EC" w:rsidRDefault="00EB6145" w:rsidP="00EB6145">
      <w:pPr>
        <w:pStyle w:val="Point1"/>
        <w:rPr>
          <w:noProof/>
          <w:color w:val="000000" w:themeColor="text1"/>
          <w:lang w:eastAsia="en-GB"/>
        </w:rPr>
      </w:pPr>
      <w:r w:rsidRPr="004C70EC">
        <w:rPr>
          <w:noProof/>
          <w:color w:val="000000" w:themeColor="text1"/>
          <w:lang w:eastAsia="en-IE"/>
        </w:rPr>
        <w:t>(a)</w:t>
      </w:r>
      <w:r w:rsidRPr="004C70EC">
        <w:rPr>
          <w:noProof/>
        </w:rPr>
        <w:tab/>
      </w:r>
      <w:r w:rsidR="00273F36" w:rsidRPr="004C70EC">
        <w:rPr>
          <w:noProof/>
          <w:color w:val="000000" w:themeColor="text1"/>
          <w:lang w:eastAsia="en-IE"/>
        </w:rPr>
        <w:t xml:space="preserve">cannot be appropriately accommodated in any of the regulatory sandboxes available under the Union legislation in the area of health referred to in Article </w:t>
      </w:r>
      <w:r w:rsidR="002D14B0" w:rsidRPr="004C70EC">
        <w:rPr>
          <w:noProof/>
          <w:color w:val="000000" w:themeColor="text1"/>
          <w:lang w:eastAsia="en-IE"/>
        </w:rPr>
        <w:t>39</w:t>
      </w:r>
      <w:r>
        <w:rPr>
          <w:noProof/>
          <w:color w:val="000000" w:themeColor="text1"/>
          <w:lang w:eastAsia="en-IE"/>
        </w:rPr>
        <w:t xml:space="preserve">, </w:t>
      </w:r>
      <w:r w:rsidR="0028442C" w:rsidRPr="004C70EC">
        <w:rPr>
          <w:noProof/>
          <w:color w:val="000000" w:themeColor="text1"/>
          <w:lang w:eastAsia="en-IE"/>
        </w:rPr>
        <w:t xml:space="preserve">paragraphs </w:t>
      </w:r>
      <w:r w:rsidR="00676288" w:rsidRPr="004C70EC">
        <w:rPr>
          <w:noProof/>
          <w:color w:val="000000" w:themeColor="text1"/>
          <w:lang w:eastAsia="en-IE"/>
        </w:rPr>
        <w:t>(</w:t>
      </w:r>
      <w:r w:rsidR="00273F36" w:rsidRPr="004C70EC">
        <w:rPr>
          <w:noProof/>
          <w:color w:val="000000" w:themeColor="text1"/>
          <w:lang w:eastAsia="en-IE"/>
        </w:rPr>
        <w:t>1</w:t>
      </w:r>
      <w:r w:rsidR="00676288" w:rsidRPr="004C70EC">
        <w:rPr>
          <w:noProof/>
          <w:color w:val="000000" w:themeColor="text1"/>
          <w:lang w:eastAsia="en-IE"/>
        </w:rPr>
        <w:t>)</w:t>
      </w:r>
      <w:r w:rsidR="00273F36" w:rsidRPr="004C70EC">
        <w:rPr>
          <w:noProof/>
          <w:color w:val="000000" w:themeColor="text1"/>
          <w:lang w:eastAsia="en-IE"/>
        </w:rPr>
        <w:t xml:space="preserve"> and </w:t>
      </w:r>
      <w:r w:rsidR="00676288" w:rsidRPr="004C70EC">
        <w:rPr>
          <w:noProof/>
          <w:color w:val="000000" w:themeColor="text1"/>
          <w:lang w:eastAsia="en-IE"/>
        </w:rPr>
        <w:t>(</w:t>
      </w:r>
      <w:r w:rsidR="00273F36" w:rsidRPr="004C70EC">
        <w:rPr>
          <w:noProof/>
          <w:color w:val="000000" w:themeColor="text1"/>
          <w:lang w:eastAsia="en-IE"/>
        </w:rPr>
        <w:t>2</w:t>
      </w:r>
      <w:r w:rsidR="00676288" w:rsidRPr="004C70EC">
        <w:rPr>
          <w:noProof/>
          <w:color w:val="000000" w:themeColor="text1"/>
          <w:lang w:eastAsia="en-IE"/>
        </w:rPr>
        <w:t>)</w:t>
      </w:r>
      <w:r w:rsidR="00273F36" w:rsidRPr="004C70EC">
        <w:rPr>
          <w:noProof/>
          <w:color w:val="000000" w:themeColor="text1"/>
          <w:lang w:eastAsia="en-IE"/>
        </w:rPr>
        <w:t xml:space="preserve">; </w:t>
      </w:r>
      <w:r w:rsidR="00273F36" w:rsidRPr="004C70EC">
        <w:rPr>
          <w:noProof/>
          <w:color w:val="000000" w:themeColor="text1"/>
          <w:lang w:eastAsia="en-GB"/>
        </w:rPr>
        <w:t xml:space="preserve">and </w:t>
      </w:r>
    </w:p>
    <w:p w14:paraId="2D7E799B" w14:textId="77777777" w:rsidR="00273F36" w:rsidRPr="004C70EC" w:rsidRDefault="00EB6145" w:rsidP="00EB6145">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en-GB"/>
        </w:rPr>
        <w:t>(b)</w:t>
      </w:r>
      <w:r w:rsidRPr="004C70EC">
        <w:rPr>
          <w:noProof/>
          <w:color w:val="000000" w:themeColor="text1"/>
          <w:szCs w:val="24"/>
        </w:rPr>
        <w:tab/>
      </w:r>
      <w:r w:rsidR="00273F36" w:rsidRPr="004C70EC">
        <w:rPr>
          <w:rFonts w:eastAsia="Times New Roman"/>
          <w:noProof/>
          <w:color w:val="000000" w:themeColor="text1"/>
          <w:szCs w:val="24"/>
          <w:lang w:eastAsia="en-GB"/>
        </w:rPr>
        <w:t xml:space="preserve">whose development is hindered by the challenge to identify a suitable regulatory </w:t>
      </w:r>
      <w:r w:rsidR="76D26D56" w:rsidRPr="004C70EC">
        <w:rPr>
          <w:rFonts w:eastAsia="Times New Roman"/>
          <w:noProof/>
          <w:color w:val="000000" w:themeColor="text1"/>
          <w:szCs w:val="24"/>
          <w:lang w:eastAsia="en-GB"/>
        </w:rPr>
        <w:t>procedure</w:t>
      </w:r>
      <w:r w:rsidR="00273F36" w:rsidRPr="004C70EC">
        <w:rPr>
          <w:rFonts w:eastAsia="Times New Roman"/>
          <w:noProof/>
          <w:color w:val="000000" w:themeColor="text1"/>
          <w:szCs w:val="24"/>
          <w:lang w:eastAsia="en-GB"/>
        </w:rPr>
        <w:t xml:space="preserve"> in the area of health. </w:t>
      </w:r>
    </w:p>
    <w:p w14:paraId="680C08D9" w14:textId="77777777" w:rsidR="007D445F" w:rsidRPr="004C70EC" w:rsidRDefault="00415C25" w:rsidP="005B26B0">
      <w:pPr>
        <w:pStyle w:val="Text1"/>
        <w:rPr>
          <w:rFonts w:eastAsia="Times New Roman"/>
          <w:noProof/>
          <w:color w:val="000000" w:themeColor="text1"/>
          <w:lang w:eastAsia="en-GB"/>
        </w:rPr>
      </w:pPr>
      <w:r w:rsidRPr="004C70EC">
        <w:rPr>
          <w:rFonts w:eastAsia="Times New Roman"/>
          <w:noProof/>
          <w:color w:val="000000" w:themeColor="text1"/>
          <w:lang w:eastAsia="en-IE"/>
        </w:rPr>
        <w:t>A regulatory sandbox shall not be set up for h</w:t>
      </w:r>
      <w:r w:rsidR="007D445F" w:rsidRPr="004C70EC">
        <w:rPr>
          <w:rFonts w:eastAsia="Times New Roman"/>
          <w:noProof/>
          <w:color w:val="000000" w:themeColor="text1"/>
          <w:lang w:eastAsia="en-IE"/>
        </w:rPr>
        <w:t>ealth biotechnology product</w:t>
      </w:r>
      <w:r w:rsidR="00746678" w:rsidRPr="004C70EC">
        <w:rPr>
          <w:rFonts w:eastAsia="Times New Roman"/>
          <w:noProof/>
          <w:color w:val="000000" w:themeColor="text1"/>
          <w:lang w:eastAsia="en-IE"/>
        </w:rPr>
        <w:t>s</w:t>
      </w:r>
      <w:r w:rsidR="007D445F" w:rsidRPr="004C70EC">
        <w:rPr>
          <w:rFonts w:eastAsia="Times New Roman"/>
          <w:noProof/>
          <w:color w:val="000000" w:themeColor="text1"/>
          <w:lang w:eastAsia="en-IE"/>
        </w:rPr>
        <w:t xml:space="preserve"> which are likely </w:t>
      </w:r>
      <w:r w:rsidR="00DD6414" w:rsidRPr="004C70EC">
        <w:rPr>
          <w:rFonts w:eastAsia="Times New Roman"/>
          <w:noProof/>
          <w:color w:val="000000" w:themeColor="text1"/>
          <w:lang w:eastAsia="en-IE"/>
        </w:rPr>
        <w:t>to fall under the scope</w:t>
      </w:r>
      <w:r w:rsidRPr="004C70EC">
        <w:rPr>
          <w:rFonts w:eastAsia="Times New Roman"/>
          <w:noProof/>
          <w:color w:val="000000" w:themeColor="text1"/>
          <w:lang w:eastAsia="en-IE"/>
        </w:rPr>
        <w:t xml:space="preserve"> </w:t>
      </w:r>
      <w:r w:rsidR="00DD6414" w:rsidRPr="004C70EC">
        <w:rPr>
          <w:rFonts w:eastAsia="Times New Roman"/>
          <w:noProof/>
          <w:color w:val="000000" w:themeColor="text1"/>
          <w:lang w:eastAsia="en-IE"/>
        </w:rPr>
        <w:t xml:space="preserve">of </w:t>
      </w:r>
      <w:r w:rsidR="00DD6414" w:rsidRPr="004C70EC">
        <w:rPr>
          <w:noProof/>
          <w:color w:val="000000" w:themeColor="text1"/>
          <w:lang w:eastAsia="en-IE"/>
        </w:rPr>
        <w:t xml:space="preserve">the Union legislation in the area of health referred to in Article </w:t>
      </w:r>
      <w:r w:rsidR="002D14B0" w:rsidRPr="004C70EC">
        <w:rPr>
          <w:noProof/>
          <w:color w:val="000000" w:themeColor="text1"/>
          <w:lang w:eastAsia="en-IE"/>
        </w:rPr>
        <w:t>39</w:t>
      </w:r>
      <w:r w:rsidR="0028442C" w:rsidRPr="004C70EC">
        <w:rPr>
          <w:noProof/>
          <w:color w:val="000000" w:themeColor="text1"/>
          <w:lang w:eastAsia="en-IE"/>
        </w:rPr>
        <w:t>, paragraphs</w:t>
      </w:r>
      <w:r w:rsidR="004338FC" w:rsidRPr="004C70EC">
        <w:rPr>
          <w:noProof/>
          <w:color w:val="000000" w:themeColor="text1"/>
          <w:lang w:eastAsia="en-IE"/>
        </w:rPr>
        <w:t xml:space="preserve"> </w:t>
      </w:r>
      <w:r w:rsidR="00DD6414" w:rsidRPr="004C70EC">
        <w:rPr>
          <w:noProof/>
          <w:color w:val="000000" w:themeColor="text1"/>
          <w:lang w:eastAsia="en-IE"/>
        </w:rPr>
        <w:t>(1) and (2)</w:t>
      </w:r>
      <w:r w:rsidR="00DE24B7" w:rsidRPr="004C70EC">
        <w:rPr>
          <w:rFonts w:eastAsia="Times New Roman"/>
          <w:noProof/>
          <w:color w:val="000000" w:themeColor="text1"/>
          <w:lang w:eastAsia="en-IE"/>
        </w:rPr>
        <w:t>.</w:t>
      </w:r>
      <w:r w:rsidRPr="004C70EC">
        <w:rPr>
          <w:rFonts w:eastAsia="Times New Roman"/>
          <w:noProof/>
          <w:color w:val="000000" w:themeColor="text1"/>
          <w:lang w:eastAsia="en-IE"/>
        </w:rPr>
        <w:t xml:space="preserve"> </w:t>
      </w:r>
    </w:p>
    <w:p w14:paraId="30BC48FF" w14:textId="77777777" w:rsidR="00273F36" w:rsidRPr="004C70EC" w:rsidRDefault="00273F36" w:rsidP="00EB6145">
      <w:pPr>
        <w:pStyle w:val="Text1"/>
        <w:rPr>
          <w:rFonts w:eastAsia="Times New Roman"/>
          <w:noProof/>
          <w:color w:val="000000" w:themeColor="text1"/>
          <w:szCs w:val="24"/>
          <w:lang w:eastAsia="en-IE"/>
        </w:rPr>
      </w:pPr>
      <w:r w:rsidRPr="004C70EC">
        <w:rPr>
          <w:noProof/>
          <w:color w:val="000000" w:themeColor="text1"/>
          <w:szCs w:val="24"/>
        </w:rPr>
        <w:t>The sandbox shall be set up in accordance with</w:t>
      </w:r>
      <w:r w:rsidR="00804A1A" w:rsidRPr="004C70EC">
        <w:rPr>
          <w:noProof/>
          <w:color w:val="000000" w:themeColor="text1"/>
          <w:szCs w:val="24"/>
        </w:rPr>
        <w:t xml:space="preserve"> this Article</w:t>
      </w:r>
      <w:r w:rsidRPr="004C70EC">
        <w:rPr>
          <w:rFonts w:eastAsia="Times New Roman"/>
          <w:noProof/>
          <w:color w:val="000000" w:themeColor="text1"/>
          <w:szCs w:val="24"/>
          <w:lang w:eastAsia="en-IE"/>
        </w:rPr>
        <w:t xml:space="preserve">. </w:t>
      </w:r>
    </w:p>
    <w:p w14:paraId="42492226" w14:textId="77777777" w:rsidR="00273F36" w:rsidRPr="004C70EC" w:rsidRDefault="00EB6145" w:rsidP="00EB6145">
      <w:pPr>
        <w:pStyle w:val="Point0"/>
        <w:rPr>
          <w:noProof/>
          <w:color w:val="000000" w:themeColor="text1"/>
          <w:szCs w:val="24"/>
        </w:rPr>
      </w:pPr>
      <w:r w:rsidRPr="004C70EC">
        <w:rPr>
          <w:noProof/>
          <w:color w:val="000000" w:themeColor="text1"/>
          <w:szCs w:val="24"/>
        </w:rPr>
        <w:t>2.</w:t>
      </w:r>
      <w:r w:rsidRPr="004C70EC">
        <w:rPr>
          <w:noProof/>
          <w:color w:val="000000" w:themeColor="text1"/>
          <w:szCs w:val="24"/>
        </w:rPr>
        <w:tab/>
      </w:r>
      <w:r w:rsidR="00273F36" w:rsidRPr="004C70EC">
        <w:rPr>
          <w:noProof/>
          <w:color w:val="000000" w:themeColor="text1"/>
          <w:szCs w:val="24"/>
        </w:rPr>
        <w:t xml:space="preserve">Such regulatory sandbox shall set out a </w:t>
      </w:r>
      <w:r w:rsidR="007D16AA" w:rsidRPr="004C70EC">
        <w:rPr>
          <w:noProof/>
          <w:color w:val="000000" w:themeColor="text1"/>
          <w:szCs w:val="24"/>
        </w:rPr>
        <w:t xml:space="preserve">time limited </w:t>
      </w:r>
      <w:r w:rsidR="00273F36" w:rsidRPr="004C70EC">
        <w:rPr>
          <w:noProof/>
          <w:color w:val="000000" w:themeColor="text1"/>
          <w:szCs w:val="24"/>
        </w:rPr>
        <w:t>framework to allow for the generation of evidence and data, in a real-world environment and under supervision</w:t>
      </w:r>
      <w:r w:rsidR="00014B94" w:rsidRPr="004C70EC">
        <w:rPr>
          <w:noProof/>
          <w:color w:val="000000" w:themeColor="text1"/>
          <w:szCs w:val="24"/>
        </w:rPr>
        <w:t xml:space="preserve"> of one or more competent authorities</w:t>
      </w:r>
      <w:r w:rsidR="00273F36" w:rsidRPr="004C70EC">
        <w:rPr>
          <w:noProof/>
          <w:color w:val="000000" w:themeColor="text1"/>
          <w:szCs w:val="24"/>
        </w:rPr>
        <w:t>.</w:t>
      </w:r>
    </w:p>
    <w:p w14:paraId="0AAFD889" w14:textId="77777777" w:rsidR="00273F36" w:rsidRPr="004C70EC" w:rsidRDefault="00EB6145" w:rsidP="00EB6145">
      <w:pPr>
        <w:pStyle w:val="Point0"/>
        <w:rPr>
          <w:noProof/>
          <w:color w:val="000000" w:themeColor="text1"/>
          <w:szCs w:val="24"/>
        </w:rPr>
      </w:pPr>
      <w:r w:rsidRPr="004C70EC">
        <w:rPr>
          <w:noProof/>
          <w:color w:val="000000" w:themeColor="text1"/>
          <w:szCs w:val="24"/>
        </w:rPr>
        <w:t>3.</w:t>
      </w:r>
      <w:r w:rsidRPr="004C70EC">
        <w:rPr>
          <w:noProof/>
          <w:color w:val="000000" w:themeColor="text1"/>
          <w:szCs w:val="24"/>
        </w:rPr>
        <w:tab/>
      </w:r>
      <w:r w:rsidR="0054147C" w:rsidRPr="004C70EC">
        <w:rPr>
          <w:noProof/>
          <w:color w:val="000000" w:themeColor="text1"/>
          <w:szCs w:val="24"/>
        </w:rPr>
        <w:t xml:space="preserve">Developers wishing to participate in a regulatory sandbox referred to in paragraph 1 shall submit </w:t>
      </w:r>
      <w:r w:rsidR="0001660E" w:rsidRPr="004C70EC">
        <w:rPr>
          <w:noProof/>
          <w:color w:val="000000" w:themeColor="text1"/>
          <w:szCs w:val="24"/>
        </w:rPr>
        <w:t xml:space="preserve">a </w:t>
      </w:r>
      <w:r w:rsidR="00273F36" w:rsidRPr="004C70EC">
        <w:rPr>
          <w:noProof/>
          <w:color w:val="000000" w:themeColor="text1"/>
          <w:szCs w:val="24"/>
        </w:rPr>
        <w:t xml:space="preserve">substantiated application </w:t>
      </w:r>
      <w:r w:rsidR="0001660E" w:rsidRPr="004C70EC">
        <w:rPr>
          <w:noProof/>
          <w:color w:val="000000" w:themeColor="text1"/>
          <w:szCs w:val="24"/>
        </w:rPr>
        <w:t>to the Commission. That application shall include the following:</w:t>
      </w:r>
    </w:p>
    <w:p w14:paraId="1712B340" w14:textId="77777777" w:rsidR="00273F36" w:rsidRPr="004C70EC" w:rsidRDefault="00EB6145" w:rsidP="00431990">
      <w:pPr>
        <w:pStyle w:val="Point1"/>
        <w:ind w:left="1418"/>
        <w:rPr>
          <w:rFonts w:eastAsia="Times New Roman"/>
          <w:noProof/>
          <w:color w:val="000000" w:themeColor="text1"/>
          <w:szCs w:val="24"/>
          <w:lang w:eastAsia="en-IE"/>
        </w:rPr>
      </w:pPr>
      <w:r w:rsidRPr="004C70EC">
        <w:rPr>
          <w:rFonts w:eastAsia="Times New Roman"/>
          <w:noProof/>
          <w:color w:val="000000" w:themeColor="text1"/>
          <w:szCs w:val="24"/>
          <w:lang w:eastAsia="en-IE"/>
        </w:rPr>
        <w:t>(a)</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 xml:space="preserve">a justification for the </w:t>
      </w:r>
      <w:r w:rsidR="00185C17" w:rsidRPr="004C70EC">
        <w:rPr>
          <w:rFonts w:eastAsia="Times New Roman"/>
          <w:noProof/>
          <w:color w:val="000000" w:themeColor="text1"/>
          <w:szCs w:val="24"/>
          <w:lang w:eastAsia="en-IE"/>
        </w:rPr>
        <w:t>establishment</w:t>
      </w:r>
      <w:r w:rsidR="00273F36" w:rsidRPr="004C70EC">
        <w:rPr>
          <w:rFonts w:eastAsia="Times New Roman"/>
          <w:noProof/>
          <w:color w:val="000000" w:themeColor="text1"/>
          <w:szCs w:val="24"/>
          <w:lang w:eastAsia="en-IE"/>
        </w:rPr>
        <w:t xml:space="preserve"> </w:t>
      </w:r>
      <w:r w:rsidR="007164D1" w:rsidRPr="004C70EC">
        <w:rPr>
          <w:rFonts w:eastAsia="Times New Roman"/>
          <w:noProof/>
          <w:color w:val="000000" w:themeColor="text1"/>
          <w:szCs w:val="24"/>
          <w:lang w:eastAsia="en-IE"/>
        </w:rPr>
        <w:t>of a</w:t>
      </w:r>
      <w:r w:rsidR="00273F36" w:rsidRPr="004C70EC">
        <w:rPr>
          <w:rFonts w:eastAsia="Times New Roman"/>
          <w:noProof/>
          <w:color w:val="000000" w:themeColor="text1"/>
          <w:szCs w:val="24"/>
          <w:lang w:eastAsia="en-IE"/>
        </w:rPr>
        <w:t xml:space="preserve"> </w:t>
      </w:r>
      <w:r w:rsidR="00014B94" w:rsidRPr="004C70EC">
        <w:rPr>
          <w:rFonts w:eastAsia="Times New Roman"/>
          <w:noProof/>
          <w:color w:val="000000" w:themeColor="text1"/>
          <w:szCs w:val="24"/>
          <w:lang w:eastAsia="en-IE"/>
        </w:rPr>
        <w:t>regulatory</w:t>
      </w:r>
      <w:r w:rsidR="00273F36" w:rsidRPr="004C70EC">
        <w:rPr>
          <w:rFonts w:eastAsia="Times New Roman"/>
          <w:noProof/>
          <w:color w:val="000000" w:themeColor="text1"/>
          <w:szCs w:val="24"/>
          <w:lang w:eastAsia="en-IE"/>
        </w:rPr>
        <w:t xml:space="preserve"> sandbox, including </w:t>
      </w:r>
      <w:r w:rsidR="00ED68A2" w:rsidRPr="004C70EC">
        <w:rPr>
          <w:rFonts w:eastAsia="Times New Roman"/>
          <w:noProof/>
          <w:color w:val="000000" w:themeColor="text1"/>
          <w:szCs w:val="24"/>
          <w:lang w:eastAsia="en-IE"/>
        </w:rPr>
        <w:t>a description of the product in question</w:t>
      </w:r>
      <w:r w:rsidR="00051974" w:rsidRPr="004C70EC">
        <w:rPr>
          <w:rFonts w:eastAsia="Times New Roman"/>
          <w:noProof/>
          <w:color w:val="000000" w:themeColor="text1"/>
          <w:szCs w:val="24"/>
          <w:lang w:eastAsia="en-IE"/>
        </w:rPr>
        <w:t>,</w:t>
      </w:r>
      <w:r w:rsidR="00ED68A2" w:rsidRPr="004C70EC">
        <w:rPr>
          <w:rFonts w:eastAsia="Times New Roman"/>
          <w:noProof/>
          <w:color w:val="000000" w:themeColor="text1"/>
          <w:szCs w:val="24"/>
          <w:lang w:eastAsia="en-IE"/>
        </w:rPr>
        <w:t xml:space="preserve"> its level of development</w:t>
      </w:r>
      <w:r w:rsidR="00051974" w:rsidRPr="004C70EC">
        <w:rPr>
          <w:rFonts w:eastAsia="Times New Roman"/>
          <w:noProof/>
          <w:color w:val="000000" w:themeColor="text1"/>
          <w:szCs w:val="24"/>
          <w:lang w:eastAsia="en-IE"/>
        </w:rPr>
        <w:t>,</w:t>
      </w:r>
      <w:r w:rsidR="000003AE" w:rsidRPr="004C70EC">
        <w:rPr>
          <w:rFonts w:eastAsia="Times New Roman"/>
          <w:noProof/>
          <w:color w:val="000000" w:themeColor="text1"/>
          <w:szCs w:val="24"/>
          <w:lang w:eastAsia="en-IE"/>
        </w:rPr>
        <w:t xml:space="preserve"> and</w:t>
      </w:r>
      <w:r w:rsidR="0069391B" w:rsidRPr="004C70EC">
        <w:rPr>
          <w:rFonts w:eastAsia="Times New Roman"/>
          <w:noProof/>
          <w:color w:val="000000" w:themeColor="text1"/>
          <w:szCs w:val="24"/>
          <w:lang w:eastAsia="en-IE"/>
        </w:rPr>
        <w:t xml:space="preserve"> a justification</w:t>
      </w:r>
      <w:r w:rsidR="00273F36" w:rsidRPr="004C70EC">
        <w:rPr>
          <w:rFonts w:eastAsia="Times New Roman"/>
          <w:noProof/>
          <w:color w:val="000000" w:themeColor="text1"/>
          <w:szCs w:val="24"/>
          <w:lang w:eastAsia="en-IE"/>
        </w:rPr>
        <w:t xml:space="preserve"> with regard to the </w:t>
      </w:r>
      <w:r w:rsidR="00051974" w:rsidRPr="004C70EC">
        <w:rPr>
          <w:rFonts w:eastAsia="Times New Roman"/>
          <w:noProof/>
          <w:color w:val="000000" w:themeColor="text1"/>
          <w:szCs w:val="24"/>
          <w:lang w:eastAsia="en-IE"/>
        </w:rPr>
        <w:t xml:space="preserve">impossibility of appropriately accommodating the proposed sandbox in any of the regulatory sandboxes available under the Union legislation in the area of health referred to in Article </w:t>
      </w:r>
      <w:r w:rsidR="002D14B0" w:rsidRPr="004C70EC">
        <w:rPr>
          <w:rFonts w:eastAsia="Times New Roman"/>
          <w:noProof/>
          <w:color w:val="000000" w:themeColor="text1"/>
          <w:szCs w:val="24"/>
          <w:lang w:eastAsia="en-IE"/>
        </w:rPr>
        <w:t>39</w:t>
      </w:r>
      <w:r w:rsidR="004338FC" w:rsidRPr="004C70EC">
        <w:rPr>
          <w:rFonts w:eastAsia="Times New Roman"/>
          <w:noProof/>
          <w:color w:val="000000" w:themeColor="text1"/>
          <w:szCs w:val="24"/>
          <w:lang w:eastAsia="en-IE"/>
        </w:rPr>
        <w:t>, paragraphs</w:t>
      </w:r>
      <w:r w:rsidR="00051974" w:rsidRPr="004C70EC">
        <w:rPr>
          <w:rFonts w:eastAsia="Times New Roman"/>
          <w:noProof/>
          <w:color w:val="000000" w:themeColor="text1"/>
          <w:szCs w:val="24"/>
          <w:lang w:eastAsia="en-IE"/>
        </w:rPr>
        <w:t xml:space="preserve"> (1) and (2)</w:t>
      </w:r>
      <w:r w:rsidR="00B14EA3" w:rsidRPr="004C70EC">
        <w:rPr>
          <w:rFonts w:eastAsia="Times New Roman"/>
          <w:noProof/>
          <w:color w:val="000000" w:themeColor="text1"/>
          <w:szCs w:val="24"/>
          <w:lang w:eastAsia="en-IE"/>
        </w:rPr>
        <w:t xml:space="preserve">. </w:t>
      </w:r>
    </w:p>
    <w:p w14:paraId="4373498F" w14:textId="77777777" w:rsidR="00273F36" w:rsidRPr="004C70EC" w:rsidRDefault="00EB6145" w:rsidP="00EB6145">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(b)</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the identification of existing regulatory challenges;</w:t>
      </w:r>
    </w:p>
    <w:p w14:paraId="38D9CC57" w14:textId="77777777" w:rsidR="00273F36" w:rsidRPr="004C70EC" w:rsidRDefault="00EB6145" w:rsidP="00EB6145">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(c)</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 xml:space="preserve">the assessment of potential benefits and potential risks of the </w:t>
      </w:r>
      <w:r w:rsidR="008A3884" w:rsidRPr="004C70EC">
        <w:rPr>
          <w:rFonts w:eastAsia="Times New Roman"/>
          <w:noProof/>
          <w:color w:val="000000" w:themeColor="text1"/>
          <w:szCs w:val="24"/>
          <w:lang w:eastAsia="en-IE"/>
        </w:rPr>
        <w:t>health biotechnology</w:t>
      </w:r>
      <w:r w:rsidR="0040262F" w:rsidRPr="004C70EC">
        <w:rPr>
          <w:rFonts w:eastAsia="Times New Roman"/>
          <w:noProof/>
          <w:color w:val="000000" w:themeColor="text1"/>
          <w:szCs w:val="24"/>
          <w:lang w:eastAsia="en-IE"/>
        </w:rPr>
        <w:t xml:space="preserve"> </w:t>
      </w:r>
      <w:r w:rsidR="00273F36" w:rsidRPr="004C70EC">
        <w:rPr>
          <w:rFonts w:eastAsia="Times New Roman"/>
          <w:noProof/>
          <w:color w:val="000000" w:themeColor="text1"/>
          <w:szCs w:val="24"/>
          <w:lang w:eastAsia="en-IE"/>
        </w:rPr>
        <w:t>product</w:t>
      </w:r>
      <w:r w:rsidR="0040262F" w:rsidRPr="004C70EC">
        <w:rPr>
          <w:rFonts w:eastAsia="Times New Roman"/>
          <w:noProof/>
          <w:color w:val="000000" w:themeColor="text1"/>
          <w:szCs w:val="24"/>
          <w:lang w:eastAsia="en-IE"/>
        </w:rPr>
        <w:t xml:space="preserve"> to be tested or developed</w:t>
      </w:r>
      <w:r w:rsidR="00273F36" w:rsidRPr="004C70EC">
        <w:rPr>
          <w:rFonts w:eastAsia="Times New Roman"/>
          <w:noProof/>
          <w:color w:val="000000" w:themeColor="text1"/>
          <w:szCs w:val="24"/>
          <w:lang w:eastAsia="en-IE"/>
        </w:rPr>
        <w:t xml:space="preserve">. </w:t>
      </w:r>
    </w:p>
    <w:p w14:paraId="1680F3D5" w14:textId="77777777" w:rsidR="00273F36" w:rsidRPr="004C70EC" w:rsidRDefault="00EB6145" w:rsidP="00431990">
      <w:pPr>
        <w:pStyle w:val="Point0"/>
        <w:ind w:left="851" w:hanging="851"/>
        <w:rPr>
          <w:rFonts w:eastAsia="Times New Roman"/>
          <w:noProof/>
          <w:color w:val="000000" w:themeColor="text1"/>
          <w:szCs w:val="24"/>
          <w:lang w:eastAsia="en-IE"/>
        </w:rPr>
      </w:pPr>
      <w:r w:rsidRPr="004C70EC">
        <w:rPr>
          <w:rFonts w:eastAsia="Times New Roman"/>
          <w:noProof/>
          <w:color w:val="000000" w:themeColor="text1"/>
          <w:szCs w:val="24"/>
          <w:lang w:eastAsia="en-IE"/>
        </w:rPr>
        <w:t>4.</w:t>
      </w:r>
      <w:r w:rsidRPr="004C70EC">
        <w:rPr>
          <w:noProof/>
          <w:color w:val="000000" w:themeColor="text1"/>
          <w:szCs w:val="24"/>
        </w:rPr>
        <w:tab/>
      </w:r>
      <w:r w:rsidR="00A14B80" w:rsidRPr="004C70EC">
        <w:rPr>
          <w:rFonts w:eastAsia="Times New Roman"/>
          <w:noProof/>
          <w:color w:val="000000" w:themeColor="text1"/>
          <w:szCs w:val="24"/>
          <w:lang w:eastAsia="en-IE"/>
        </w:rPr>
        <w:t>Where the Commission concludes, on the basis of its assessment, that the application shall be accepted, it shall</w:t>
      </w:r>
      <w:r w:rsidR="510C7900" w:rsidRPr="004C70EC">
        <w:rPr>
          <w:rFonts w:eastAsia="Times New Roman"/>
          <w:noProof/>
          <w:color w:val="000000" w:themeColor="text1"/>
          <w:szCs w:val="24"/>
          <w:lang w:eastAsia="en-IE"/>
        </w:rPr>
        <w:t xml:space="preserve"> take a decision regarding the establishment of </w:t>
      </w:r>
      <w:r w:rsidR="61D0EE60" w:rsidRPr="004C70EC">
        <w:rPr>
          <w:rFonts w:eastAsia="Times New Roman"/>
          <w:noProof/>
          <w:color w:val="000000" w:themeColor="text1"/>
          <w:szCs w:val="24"/>
          <w:lang w:eastAsia="en-IE"/>
        </w:rPr>
        <w:t>a regulatory sandbox, by means of an implementing act, in accordance with the examination procedure referred to in Article 6</w:t>
      </w:r>
      <w:r w:rsidR="00ED45FF" w:rsidRPr="004C70EC">
        <w:rPr>
          <w:rFonts w:eastAsia="Times New Roman"/>
          <w:noProof/>
          <w:color w:val="000000" w:themeColor="text1"/>
          <w:szCs w:val="24"/>
          <w:lang w:eastAsia="en-IE"/>
        </w:rPr>
        <w:t>5(</w:t>
      </w:r>
      <w:r w:rsidR="61D0EE60" w:rsidRPr="004C70EC">
        <w:rPr>
          <w:rFonts w:eastAsia="Times New Roman"/>
          <w:noProof/>
          <w:color w:val="000000" w:themeColor="text1"/>
          <w:szCs w:val="24"/>
          <w:lang w:eastAsia="en-IE"/>
        </w:rPr>
        <w:t>2</w:t>
      </w:r>
      <w:r w:rsidR="00ED45FF" w:rsidRPr="004C70EC">
        <w:rPr>
          <w:rFonts w:eastAsia="Times New Roman"/>
          <w:noProof/>
          <w:color w:val="000000" w:themeColor="text1"/>
          <w:szCs w:val="24"/>
          <w:lang w:eastAsia="en-IE"/>
        </w:rPr>
        <w:t>)</w:t>
      </w:r>
      <w:r w:rsidR="00273F36" w:rsidRPr="004C70EC">
        <w:rPr>
          <w:rFonts w:eastAsia="Times New Roman"/>
          <w:noProof/>
          <w:color w:val="000000" w:themeColor="text1"/>
          <w:szCs w:val="24"/>
          <w:lang w:eastAsia="en-IE"/>
        </w:rPr>
        <w:t>. Th</w:t>
      </w:r>
      <w:r w:rsidR="00E96A87" w:rsidRPr="004C70EC">
        <w:rPr>
          <w:rFonts w:eastAsia="Times New Roman"/>
          <w:noProof/>
          <w:color w:val="000000" w:themeColor="text1"/>
          <w:szCs w:val="24"/>
          <w:lang w:eastAsia="en-IE"/>
        </w:rPr>
        <w:t xml:space="preserve">at implementing act </w:t>
      </w:r>
      <w:r w:rsidR="00273F36" w:rsidRPr="004C70EC">
        <w:rPr>
          <w:rFonts w:eastAsia="Times New Roman"/>
          <w:noProof/>
          <w:color w:val="000000" w:themeColor="text1"/>
          <w:szCs w:val="24"/>
          <w:lang w:eastAsia="en-IE"/>
        </w:rPr>
        <w:t xml:space="preserve">shall set out the duration of the </w:t>
      </w:r>
      <w:r w:rsidR="00B1432A" w:rsidRPr="004C70EC">
        <w:rPr>
          <w:rFonts w:eastAsia="Times New Roman"/>
          <w:noProof/>
          <w:color w:val="000000" w:themeColor="text1"/>
          <w:szCs w:val="24"/>
          <w:lang w:eastAsia="en-IE"/>
        </w:rPr>
        <w:t xml:space="preserve">regulatory </w:t>
      </w:r>
      <w:r w:rsidR="00273F36" w:rsidRPr="004C70EC">
        <w:rPr>
          <w:rFonts w:eastAsia="Times New Roman"/>
          <w:noProof/>
          <w:color w:val="000000" w:themeColor="text1"/>
          <w:szCs w:val="24"/>
          <w:lang w:eastAsia="en-IE"/>
        </w:rPr>
        <w:t xml:space="preserve">sandbox and the principles for operating the </w:t>
      </w:r>
      <w:r w:rsidR="00B1432A" w:rsidRPr="004C70EC">
        <w:rPr>
          <w:rFonts w:eastAsia="Times New Roman"/>
          <w:noProof/>
          <w:color w:val="000000" w:themeColor="text1"/>
          <w:szCs w:val="24"/>
          <w:lang w:eastAsia="en-IE"/>
        </w:rPr>
        <w:t>regulatory</w:t>
      </w:r>
      <w:r w:rsidR="00273F36" w:rsidRPr="004C70EC">
        <w:rPr>
          <w:rFonts w:eastAsia="Times New Roman"/>
          <w:noProof/>
          <w:color w:val="000000" w:themeColor="text1"/>
          <w:szCs w:val="24"/>
          <w:lang w:eastAsia="en-IE"/>
        </w:rPr>
        <w:t xml:space="preserve"> sandbox.</w:t>
      </w:r>
    </w:p>
    <w:p w14:paraId="6C16FE21" w14:textId="77777777" w:rsidR="00273F36" w:rsidRPr="004C70EC" w:rsidRDefault="00EB6145" w:rsidP="005B26B0">
      <w:pPr>
        <w:pStyle w:val="Point0"/>
        <w:rPr>
          <w:noProof/>
          <w:color w:val="000000" w:themeColor="text1"/>
          <w:szCs w:val="24"/>
        </w:rPr>
      </w:pPr>
      <w:r w:rsidRPr="004C70EC">
        <w:rPr>
          <w:noProof/>
          <w:color w:val="000000" w:themeColor="text1"/>
          <w:szCs w:val="24"/>
          <w:lang w:eastAsia="en-IE"/>
        </w:rPr>
        <w:t>5.</w:t>
      </w:r>
      <w:r w:rsidRPr="004C70EC">
        <w:rPr>
          <w:noProof/>
          <w:color w:val="000000" w:themeColor="text1"/>
          <w:szCs w:val="24"/>
        </w:rPr>
        <w:tab/>
      </w:r>
      <w:r w:rsidR="00273F36" w:rsidRPr="004C70EC">
        <w:rPr>
          <w:noProof/>
          <w:color w:val="000000" w:themeColor="text1"/>
          <w:szCs w:val="24"/>
          <w:lang w:eastAsia="en-IE"/>
        </w:rPr>
        <w:t>The</w:t>
      </w:r>
      <w:r w:rsidR="00901C9A" w:rsidRPr="004C70EC">
        <w:rPr>
          <w:noProof/>
          <w:color w:val="000000" w:themeColor="text1"/>
          <w:szCs w:val="24"/>
          <w:lang w:eastAsia="en-IE"/>
        </w:rPr>
        <w:t xml:space="preserve"> testing and development</w:t>
      </w:r>
      <w:r w:rsidR="00273F36" w:rsidRPr="004C70EC">
        <w:rPr>
          <w:noProof/>
          <w:color w:val="000000" w:themeColor="text1"/>
          <w:szCs w:val="24"/>
          <w:lang w:eastAsia="en-IE"/>
        </w:rPr>
        <w:t xml:space="preserve"> activities within the regulatory sandbox shall take place in accordance with a sandbox plan developed and updated as appropriate </w:t>
      </w:r>
      <w:r w:rsidR="009E5E08" w:rsidRPr="004C70EC">
        <w:rPr>
          <w:noProof/>
          <w:color w:val="000000" w:themeColor="text1"/>
          <w:szCs w:val="24"/>
          <w:lang w:eastAsia="en-IE"/>
        </w:rPr>
        <w:t xml:space="preserve">by the Commission </w:t>
      </w:r>
      <w:r w:rsidR="00273F36" w:rsidRPr="004C70EC">
        <w:rPr>
          <w:noProof/>
          <w:color w:val="000000" w:themeColor="text1"/>
          <w:szCs w:val="24"/>
          <w:lang w:eastAsia="en-IE"/>
        </w:rPr>
        <w:t>based on the principles referred in paragraph 4</w:t>
      </w:r>
      <w:r w:rsidR="004338FC" w:rsidRPr="004C70EC">
        <w:rPr>
          <w:noProof/>
          <w:color w:val="000000" w:themeColor="text1"/>
          <w:szCs w:val="24"/>
          <w:lang w:eastAsia="en-IE"/>
        </w:rPr>
        <w:t xml:space="preserve"> of this Article</w:t>
      </w:r>
      <w:r w:rsidR="00273F36" w:rsidRPr="004C70EC">
        <w:rPr>
          <w:noProof/>
          <w:color w:val="000000" w:themeColor="text1"/>
          <w:szCs w:val="24"/>
          <w:lang w:eastAsia="en-IE"/>
        </w:rPr>
        <w:t>. The</w:t>
      </w:r>
      <w:r w:rsidR="00A3068A" w:rsidRPr="004C70EC">
        <w:rPr>
          <w:noProof/>
          <w:color w:val="000000" w:themeColor="text1"/>
          <w:szCs w:val="24"/>
          <w:lang w:eastAsia="en-IE"/>
        </w:rPr>
        <w:t xml:space="preserve"> regulatory</w:t>
      </w:r>
      <w:r w:rsidR="00273F36" w:rsidRPr="004C70EC">
        <w:rPr>
          <w:noProof/>
          <w:color w:val="000000" w:themeColor="text1"/>
          <w:szCs w:val="24"/>
          <w:lang w:eastAsia="en-IE"/>
        </w:rPr>
        <w:t xml:space="preserve"> sandbox plan shall:</w:t>
      </w:r>
    </w:p>
    <w:p w14:paraId="49202A54" w14:textId="77777777" w:rsidR="00273F36" w:rsidRPr="004C70EC" w:rsidRDefault="3F62804C" w:rsidP="00BB3D84">
      <w:pPr>
        <w:pStyle w:val="Point1"/>
        <w:rPr>
          <w:rFonts w:eastAsia="Times New Roman"/>
          <w:noProof/>
          <w:color w:val="000000" w:themeColor="text1"/>
          <w:lang w:eastAsia="en-IE"/>
        </w:rPr>
      </w:pPr>
      <w:r w:rsidRPr="004C70EC">
        <w:rPr>
          <w:rFonts w:eastAsia="Times New Roman"/>
          <w:noProof/>
          <w:color w:val="000000" w:themeColor="text1"/>
          <w:lang w:val="en-IE"/>
        </w:rPr>
        <w:t>(</w:t>
      </w:r>
      <w:r w:rsidR="0CD7F339" w:rsidRPr="004C70EC">
        <w:rPr>
          <w:rFonts w:eastAsia="Times New Roman"/>
          <w:noProof/>
          <w:color w:val="000000" w:themeColor="text1"/>
          <w:lang w:val="en-IE"/>
        </w:rPr>
        <w:t>a</w:t>
      </w:r>
      <w:r w:rsidRPr="004C70EC">
        <w:rPr>
          <w:rFonts w:eastAsia="Times New Roman"/>
          <w:noProof/>
          <w:color w:val="000000" w:themeColor="text1"/>
          <w:lang w:val="en-IE"/>
        </w:rPr>
        <w:t>)</w:t>
      </w:r>
      <w:r w:rsidR="60566FC6" w:rsidRPr="004C70EC">
        <w:rPr>
          <w:noProof/>
        </w:rPr>
        <w:tab/>
      </w:r>
      <w:r w:rsidR="0EF3C1AC" w:rsidRPr="004C70EC">
        <w:rPr>
          <w:rFonts w:eastAsia="Times New Roman"/>
          <w:noProof/>
          <w:color w:val="000000" w:themeColor="text1"/>
          <w:lang w:val="en-IE"/>
        </w:rPr>
        <w:t>set out the objectives, the specific innovations to be tested in the regulatory sandbox, the relevant activities to be carried out within the regulatory sandbox, the geographical and temporal scope of those activities, as well as the relevant conditions and requirements thereof;</w:t>
      </w:r>
    </w:p>
    <w:p w14:paraId="7204B98C" w14:textId="77777777" w:rsidR="00273F36" w:rsidRPr="004C70EC" w:rsidRDefault="00EB6145" w:rsidP="00BB3D84">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2C235C" w:rsidRPr="004C70EC">
        <w:rPr>
          <w:rFonts w:eastAsia="Times New Roman"/>
          <w:noProof/>
          <w:color w:val="000000" w:themeColor="text1"/>
          <w:szCs w:val="24"/>
          <w:lang w:eastAsia="en-IE"/>
        </w:rPr>
        <w:t>b</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 xml:space="preserve">be informed by data provided by, and consultations with, the developer of the </w:t>
      </w:r>
      <w:r w:rsidR="00BB2FC5" w:rsidRPr="004C70EC">
        <w:rPr>
          <w:rFonts w:eastAsia="Times New Roman"/>
          <w:noProof/>
          <w:color w:val="000000" w:themeColor="text1"/>
          <w:szCs w:val="24"/>
          <w:lang w:eastAsia="en-IE"/>
        </w:rPr>
        <w:t xml:space="preserve">health biotechnology product </w:t>
      </w:r>
      <w:r w:rsidR="00273F36" w:rsidRPr="004C70EC">
        <w:rPr>
          <w:rFonts w:eastAsia="Times New Roman"/>
          <w:noProof/>
          <w:color w:val="000000" w:themeColor="text1"/>
          <w:szCs w:val="24"/>
          <w:lang w:eastAsia="en-IE"/>
        </w:rPr>
        <w:t>concerned</w:t>
      </w:r>
      <w:r w:rsidR="0028442C" w:rsidRPr="004C70EC">
        <w:rPr>
          <w:rFonts w:eastAsia="Times New Roman"/>
          <w:noProof/>
          <w:color w:val="000000" w:themeColor="text1"/>
          <w:szCs w:val="24"/>
          <w:lang w:eastAsia="en-IE"/>
        </w:rPr>
        <w:t>;</w:t>
      </w:r>
    </w:p>
    <w:p w14:paraId="3A4F1251" w14:textId="77777777" w:rsidR="00273F36" w:rsidRPr="004C70EC" w:rsidRDefault="00EB6145" w:rsidP="00EB6145">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2C235C" w:rsidRPr="004C70EC">
        <w:rPr>
          <w:rFonts w:eastAsia="Times New Roman"/>
          <w:noProof/>
          <w:color w:val="000000" w:themeColor="text1"/>
          <w:szCs w:val="24"/>
          <w:lang w:eastAsia="en-IE"/>
        </w:rPr>
        <w:t>c</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 xml:space="preserve">identify the participants in the regulatory sandbox and their respective roles; </w:t>
      </w:r>
    </w:p>
    <w:p w14:paraId="067E7AFB" w14:textId="77777777" w:rsidR="00273F36" w:rsidRPr="004C70EC" w:rsidRDefault="00EB6145" w:rsidP="00EB6145">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2C235C" w:rsidRPr="004C70EC">
        <w:rPr>
          <w:rFonts w:eastAsia="Times New Roman"/>
          <w:noProof/>
          <w:color w:val="000000" w:themeColor="text1"/>
          <w:szCs w:val="24"/>
          <w:lang w:eastAsia="en-IE"/>
        </w:rPr>
        <w:t>d</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include appropriate measures to mitigate potential risks, in particular</w:t>
      </w:r>
      <w:r w:rsidR="005B4655" w:rsidRPr="004C70EC">
        <w:rPr>
          <w:rFonts w:eastAsia="Times New Roman"/>
          <w:noProof/>
          <w:color w:val="000000" w:themeColor="text1"/>
          <w:szCs w:val="24"/>
          <w:lang w:eastAsia="en-IE"/>
        </w:rPr>
        <w:t xml:space="preserve"> </w:t>
      </w:r>
      <w:r w:rsidR="00273F36" w:rsidRPr="004C70EC">
        <w:rPr>
          <w:rFonts w:eastAsia="Times New Roman"/>
          <w:noProof/>
          <w:color w:val="000000" w:themeColor="text1"/>
          <w:szCs w:val="24"/>
          <w:lang w:eastAsia="en-IE"/>
        </w:rPr>
        <w:t>to health and to the environment;</w:t>
      </w:r>
    </w:p>
    <w:p w14:paraId="3D40A296" w14:textId="77777777" w:rsidR="6E6EDFCE" w:rsidRPr="004C70EC" w:rsidRDefault="6E6EDFCE" w:rsidP="39956CAD">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2C235C" w:rsidRPr="004C70EC">
        <w:rPr>
          <w:rFonts w:eastAsia="Times New Roman"/>
          <w:noProof/>
          <w:color w:val="000000" w:themeColor="text1"/>
          <w:szCs w:val="24"/>
          <w:lang w:eastAsia="en-IE"/>
        </w:rPr>
        <w:t>e</w:t>
      </w:r>
      <w:r w:rsidRPr="004C70EC">
        <w:rPr>
          <w:rFonts w:eastAsia="Times New Roman"/>
          <w:noProof/>
          <w:color w:val="000000" w:themeColor="text1"/>
          <w:szCs w:val="24"/>
          <w:lang w:eastAsia="en-IE"/>
        </w:rPr>
        <w:t>)</w:t>
      </w:r>
      <w:r w:rsidRPr="004C70EC">
        <w:rPr>
          <w:noProof/>
          <w:color w:val="000000" w:themeColor="text1"/>
          <w:szCs w:val="24"/>
        </w:rPr>
        <w:tab/>
      </w:r>
      <w:r w:rsidR="0086560B" w:rsidRPr="004C70EC">
        <w:rPr>
          <w:rFonts w:eastAsia="Times New Roman"/>
          <w:noProof/>
          <w:color w:val="000000" w:themeColor="text1"/>
          <w:szCs w:val="24"/>
          <w:lang w:eastAsia="en-IE"/>
        </w:rPr>
        <w:t xml:space="preserve">include </w:t>
      </w:r>
      <w:r w:rsidR="0086560B" w:rsidRPr="004C70EC">
        <w:rPr>
          <w:rFonts w:eastAsiaTheme="minorEastAsia"/>
          <w:noProof/>
          <w:color w:val="000000" w:themeColor="text1"/>
          <w:szCs w:val="24"/>
          <w:lang w:eastAsia="ja-JP"/>
        </w:rPr>
        <w:t xml:space="preserve">conditions regarding </w:t>
      </w:r>
      <w:r w:rsidR="00D979E4" w:rsidRPr="004C70EC">
        <w:rPr>
          <w:rFonts w:eastAsiaTheme="minorEastAsia"/>
          <w:noProof/>
          <w:color w:val="000000" w:themeColor="text1"/>
          <w:szCs w:val="24"/>
          <w:lang w:eastAsia="ja-JP"/>
        </w:rPr>
        <w:t xml:space="preserve">the </w:t>
      </w:r>
      <w:r w:rsidR="0086560B" w:rsidRPr="004C70EC">
        <w:rPr>
          <w:rFonts w:eastAsiaTheme="minorEastAsia"/>
          <w:noProof/>
          <w:color w:val="000000" w:themeColor="text1"/>
          <w:szCs w:val="24"/>
          <w:lang w:eastAsia="ja-JP"/>
        </w:rPr>
        <w:t xml:space="preserve">suspension or </w:t>
      </w:r>
      <w:r w:rsidR="006E1EAE" w:rsidRPr="004C70EC">
        <w:rPr>
          <w:rFonts w:eastAsiaTheme="minorEastAsia"/>
          <w:noProof/>
          <w:color w:val="000000" w:themeColor="text1"/>
          <w:szCs w:val="24"/>
          <w:lang w:eastAsia="ja-JP"/>
        </w:rPr>
        <w:t>the termination of the regulatory sandbox</w:t>
      </w:r>
      <w:r w:rsidR="002C235C" w:rsidRPr="004C70EC">
        <w:rPr>
          <w:rFonts w:eastAsiaTheme="minorEastAsia"/>
          <w:noProof/>
          <w:color w:val="000000" w:themeColor="text1"/>
          <w:szCs w:val="24"/>
          <w:lang w:eastAsia="ja-JP"/>
        </w:rPr>
        <w:t>;</w:t>
      </w:r>
    </w:p>
    <w:p w14:paraId="73AA1F31" w14:textId="5330FDEF" w:rsidR="00697E0B" w:rsidRPr="004C70EC" w:rsidRDefault="64AD6D28" w:rsidP="00FD5971">
      <w:pPr>
        <w:pStyle w:val="Point1"/>
        <w:rPr>
          <w:noProof/>
          <w:color w:val="000000" w:themeColor="text1"/>
        </w:rPr>
      </w:pPr>
      <w:r w:rsidRPr="004C70EC">
        <w:rPr>
          <w:rFonts w:eastAsiaTheme="minorEastAsia"/>
          <w:noProof/>
          <w:color w:val="000000" w:themeColor="text1"/>
          <w:lang w:eastAsia="en-IE"/>
        </w:rPr>
        <w:t>(</w:t>
      </w:r>
      <w:r w:rsidR="002C235C" w:rsidRPr="004C70EC">
        <w:rPr>
          <w:rFonts w:eastAsiaTheme="minorEastAsia"/>
          <w:noProof/>
          <w:color w:val="000000" w:themeColor="text1"/>
          <w:lang w:eastAsia="en-IE"/>
        </w:rPr>
        <w:t>f</w:t>
      </w:r>
      <w:r w:rsidRPr="004C70EC">
        <w:rPr>
          <w:rFonts w:eastAsiaTheme="minorEastAsia"/>
          <w:noProof/>
          <w:color w:val="000000" w:themeColor="text1"/>
          <w:lang w:eastAsia="en-IE"/>
        </w:rPr>
        <w:t>)</w:t>
      </w:r>
      <w:r w:rsidR="00631586" w:rsidRPr="004C70EC">
        <w:rPr>
          <w:noProof/>
        </w:rPr>
        <w:tab/>
      </w:r>
      <w:r>
        <w:rPr>
          <w:noProof/>
          <w:color w:val="000000" w:themeColor="text1"/>
        </w:rPr>
        <w:t>set out</w:t>
      </w:r>
      <w:r w:rsidR="425D98BD" w:rsidRPr="004C70EC">
        <w:rPr>
          <w:noProof/>
          <w:color w:val="000000" w:themeColor="text1"/>
        </w:rPr>
        <w:t xml:space="preserve"> the supervision measures and the related responsibilities</w:t>
      </w:r>
      <w:r w:rsidR="5256636F" w:rsidRPr="004C70EC">
        <w:rPr>
          <w:noProof/>
          <w:color w:val="000000" w:themeColor="text1"/>
        </w:rPr>
        <w:t>.</w:t>
      </w:r>
    </w:p>
    <w:p w14:paraId="607B9EAC" w14:textId="77777777" w:rsidR="00273F36" w:rsidRPr="004C70EC" w:rsidRDefault="6FF6F83B" w:rsidP="005A7799">
      <w:pPr>
        <w:pStyle w:val="Point0"/>
        <w:rPr>
          <w:rFonts w:eastAsia="Times New Roman"/>
          <w:noProof/>
          <w:color w:val="000000" w:themeColor="text1"/>
          <w:szCs w:val="24"/>
          <w:lang w:eastAsia="en-IE"/>
        </w:rPr>
      </w:pPr>
      <w:r w:rsidRPr="004C70EC">
        <w:rPr>
          <w:rFonts w:eastAsiaTheme="minorEastAsia"/>
          <w:noProof/>
          <w:color w:val="000000" w:themeColor="text1"/>
          <w:szCs w:val="24"/>
          <w:lang w:eastAsia="ja-JP"/>
        </w:rPr>
        <w:t>6.</w:t>
      </w:r>
      <w:r w:rsidR="005A7799" w:rsidRPr="004C70EC">
        <w:rPr>
          <w:noProof/>
          <w:color w:val="000000" w:themeColor="text1"/>
          <w:szCs w:val="24"/>
        </w:rPr>
        <w:tab/>
      </w:r>
      <w:r w:rsidR="2F263E33" w:rsidRPr="004C70EC">
        <w:rPr>
          <w:rFonts w:eastAsiaTheme="minorEastAsia"/>
          <w:noProof/>
          <w:color w:val="000000" w:themeColor="text1"/>
          <w:szCs w:val="24"/>
          <w:lang w:eastAsia="ja-JP"/>
        </w:rPr>
        <w:t xml:space="preserve">When assessing the applications received in accordance with paragraph 3 </w:t>
      </w:r>
      <w:r w:rsidR="0028442C" w:rsidRPr="004C70EC">
        <w:rPr>
          <w:rFonts w:eastAsiaTheme="minorEastAsia"/>
          <w:noProof/>
          <w:color w:val="000000" w:themeColor="text1"/>
          <w:szCs w:val="24"/>
          <w:lang w:eastAsia="ja-JP"/>
        </w:rPr>
        <w:t xml:space="preserve">of this Article </w:t>
      </w:r>
      <w:r w:rsidR="2F263E33" w:rsidRPr="004C70EC">
        <w:rPr>
          <w:rFonts w:eastAsiaTheme="minorEastAsia"/>
          <w:noProof/>
          <w:color w:val="000000" w:themeColor="text1"/>
          <w:szCs w:val="24"/>
          <w:lang w:eastAsia="ja-JP"/>
        </w:rPr>
        <w:t xml:space="preserve">and when developing and implementing the sandbox plan, the Commission may consult the Agency, </w:t>
      </w:r>
      <w:r w:rsidR="2F263E33" w:rsidRPr="004C70EC">
        <w:rPr>
          <w:rFonts w:eastAsia="Times New Roman"/>
          <w:noProof/>
          <w:color w:val="000000" w:themeColor="text1"/>
          <w:szCs w:val="24"/>
          <w:lang w:eastAsia="en-IE"/>
        </w:rPr>
        <w:t xml:space="preserve">the SCB, </w:t>
      </w:r>
      <w:r w:rsidR="008B6202" w:rsidRPr="004C70EC">
        <w:rPr>
          <w:rFonts w:eastAsia="Times New Roman"/>
          <w:noProof/>
          <w:color w:val="000000" w:themeColor="text1"/>
          <w:szCs w:val="24"/>
          <w:lang w:eastAsia="en-IE"/>
        </w:rPr>
        <w:t xml:space="preserve">the MDCG, </w:t>
      </w:r>
      <w:r w:rsidR="2F263E33" w:rsidRPr="004C70EC">
        <w:rPr>
          <w:rFonts w:eastAsia="Times New Roman"/>
          <w:noProof/>
          <w:color w:val="000000" w:themeColor="text1"/>
          <w:szCs w:val="24"/>
          <w:lang w:eastAsia="en-IE"/>
        </w:rPr>
        <w:t>or the</w:t>
      </w:r>
      <w:r w:rsidR="40B33E12" w:rsidRPr="004C70EC">
        <w:rPr>
          <w:rFonts w:eastAsia="Times New Roman"/>
          <w:noProof/>
          <w:color w:val="000000" w:themeColor="text1"/>
          <w:szCs w:val="24"/>
          <w:lang w:eastAsia="en-IE"/>
        </w:rPr>
        <w:t xml:space="preserve"> Foresight Panel</w:t>
      </w:r>
      <w:r w:rsidR="2F263E33" w:rsidRPr="004C70EC">
        <w:rPr>
          <w:rFonts w:eastAsia="Times New Roman"/>
          <w:noProof/>
          <w:color w:val="000000" w:themeColor="text1"/>
          <w:szCs w:val="24"/>
          <w:lang w:eastAsia="en-IE"/>
        </w:rPr>
        <w:t>, as appropriate.</w:t>
      </w:r>
    </w:p>
    <w:p w14:paraId="018320B4" w14:textId="77777777" w:rsidR="00B52447" w:rsidRPr="004C70EC" w:rsidRDefault="382BC2AA">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7.</w:t>
      </w:r>
      <w:r w:rsidR="00046392" w:rsidRPr="004C70EC">
        <w:rPr>
          <w:noProof/>
          <w:color w:val="000000" w:themeColor="text1"/>
          <w:szCs w:val="24"/>
        </w:rPr>
        <w:tab/>
      </w:r>
      <w:r w:rsidRPr="004C70EC">
        <w:rPr>
          <w:rFonts w:eastAsia="Times New Roman"/>
          <w:noProof/>
          <w:color w:val="000000" w:themeColor="text1"/>
          <w:szCs w:val="24"/>
          <w:lang w:eastAsia="ja-JP"/>
        </w:rPr>
        <w:t>Participants in the regulatory sandbox, in particular the developer</w:t>
      </w:r>
      <w:r w:rsidR="00861FEC" w:rsidRPr="004C70EC">
        <w:rPr>
          <w:rFonts w:eastAsia="Times New Roman"/>
          <w:noProof/>
          <w:color w:val="000000" w:themeColor="text1"/>
          <w:szCs w:val="24"/>
          <w:lang w:eastAsia="ja-JP"/>
        </w:rPr>
        <w:t>,</w:t>
      </w:r>
      <w:r w:rsidRPr="004C70EC">
        <w:rPr>
          <w:rFonts w:eastAsia="Times New Roman"/>
          <w:noProof/>
          <w:color w:val="000000" w:themeColor="text1"/>
          <w:szCs w:val="24"/>
          <w:lang w:eastAsia="ja-JP"/>
        </w:rPr>
        <w:t xml:space="preserve"> shall remain liable under applicable national legislation for any harm inflicted on third parties as a result </w:t>
      </w:r>
      <w:r w:rsidR="0028442C" w:rsidRPr="004C70EC">
        <w:rPr>
          <w:rFonts w:eastAsia="Times New Roman"/>
          <w:noProof/>
          <w:color w:val="000000" w:themeColor="text1"/>
          <w:szCs w:val="24"/>
          <w:lang w:eastAsia="ja-JP"/>
        </w:rPr>
        <w:t xml:space="preserve">of </w:t>
      </w:r>
      <w:r w:rsidRPr="004C70EC">
        <w:rPr>
          <w:rFonts w:eastAsia="Times New Roman"/>
          <w:noProof/>
          <w:color w:val="000000" w:themeColor="text1"/>
          <w:szCs w:val="24"/>
          <w:lang w:eastAsia="ja-JP"/>
        </w:rPr>
        <w:t>the testing taking place in the sandbox. They shall inform the Commission without undue delay of any information which might entail the amendment of the regulatory sandbox or concerns the quality, safety or efficacy of products developed as part of a regulatory sandbox.</w:t>
      </w:r>
    </w:p>
    <w:p w14:paraId="1E8A424E" w14:textId="77777777" w:rsidR="00BC5DBE" w:rsidRPr="004C70EC" w:rsidRDefault="00EA7467" w:rsidP="00E72B8D">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ja-JP"/>
        </w:rPr>
        <w:t>8.</w:t>
      </w:r>
      <w:r w:rsidRPr="004C70EC">
        <w:rPr>
          <w:rFonts w:eastAsia="Times New Roman"/>
          <w:noProof/>
          <w:color w:val="000000" w:themeColor="text1"/>
          <w:szCs w:val="24"/>
          <w:lang w:eastAsia="ja-JP"/>
        </w:rPr>
        <w:tab/>
        <w:t>The regulatory sandboxes shall not affect the supervisory and corrective powers of the competent authorities. In case of identification of risks to public health or safety concerns associated with the use of products covered by a sandbox, competent authorities shall take immediate and adequate temporary measures in order to suspend or restrict their use and inform the Commission. Where such mitigation is not possible or proves to be ineffective, the development and testing process shall be suspended without delay until an effective mitigation takes place.</w:t>
      </w:r>
    </w:p>
    <w:p w14:paraId="391E648F" w14:textId="77777777" w:rsidR="00273F36" w:rsidRPr="004C70EC" w:rsidRDefault="004D6E23" w:rsidP="00EB6145">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9</w:t>
      </w:r>
      <w:r w:rsidR="6E6EDFCE" w:rsidRPr="004C70EC">
        <w:rPr>
          <w:rFonts w:eastAsia="Times New Roman"/>
          <w:noProof/>
          <w:color w:val="000000" w:themeColor="text1"/>
          <w:szCs w:val="24"/>
          <w:lang w:eastAsia="en-IE"/>
        </w:rPr>
        <w:t>.</w:t>
      </w:r>
      <w:r w:rsidRPr="004C70EC">
        <w:rPr>
          <w:noProof/>
          <w:color w:val="000000" w:themeColor="text1"/>
          <w:szCs w:val="24"/>
        </w:rPr>
        <w:tab/>
      </w:r>
      <w:r w:rsidR="0086560B" w:rsidRPr="004C70EC">
        <w:rPr>
          <w:rFonts w:eastAsia="Times New Roman"/>
          <w:noProof/>
          <w:color w:val="000000" w:themeColor="text1"/>
          <w:szCs w:val="24"/>
          <w:lang w:eastAsia="en-IE"/>
        </w:rPr>
        <w:t xml:space="preserve">When concluding the </w:t>
      </w:r>
      <w:r w:rsidR="00BC6C84" w:rsidRPr="004C70EC">
        <w:rPr>
          <w:rFonts w:eastAsia="Times New Roman"/>
          <w:noProof/>
          <w:color w:val="000000" w:themeColor="text1"/>
          <w:szCs w:val="24"/>
          <w:lang w:eastAsia="en-IE"/>
        </w:rPr>
        <w:t>regulatory sandbox</w:t>
      </w:r>
      <w:r w:rsidR="0086560B" w:rsidRPr="004C70EC">
        <w:rPr>
          <w:rFonts w:eastAsia="Times New Roman"/>
          <w:noProof/>
          <w:color w:val="000000" w:themeColor="text1"/>
          <w:szCs w:val="24"/>
          <w:lang w:eastAsia="en-IE"/>
        </w:rPr>
        <w:t xml:space="preserve">, </w:t>
      </w:r>
      <w:r w:rsidR="005C3085" w:rsidRPr="004C70EC">
        <w:rPr>
          <w:rFonts w:eastAsia="Times New Roman"/>
          <w:noProof/>
          <w:color w:val="000000" w:themeColor="text1"/>
          <w:szCs w:val="24"/>
          <w:lang w:eastAsia="en-IE"/>
        </w:rPr>
        <w:t xml:space="preserve">the Commission shall, </w:t>
      </w:r>
      <w:r w:rsidR="0086560B" w:rsidRPr="004C70EC">
        <w:rPr>
          <w:rFonts w:eastAsia="Times New Roman"/>
          <w:noProof/>
          <w:color w:val="000000" w:themeColor="text1"/>
          <w:szCs w:val="24"/>
          <w:lang w:eastAsia="en-IE"/>
        </w:rPr>
        <w:t xml:space="preserve">at </w:t>
      </w:r>
      <w:r w:rsidR="22D1E4E2" w:rsidRPr="004C70EC">
        <w:rPr>
          <w:rFonts w:eastAsia="Times New Roman"/>
          <w:noProof/>
          <w:color w:val="000000" w:themeColor="text1"/>
          <w:szCs w:val="24"/>
          <w:lang w:eastAsia="en-IE"/>
        </w:rPr>
        <w:t xml:space="preserve">the </w:t>
      </w:r>
      <w:r w:rsidR="0086560B" w:rsidRPr="004C70EC">
        <w:rPr>
          <w:rFonts w:eastAsia="Times New Roman"/>
          <w:noProof/>
          <w:color w:val="000000" w:themeColor="text1"/>
          <w:szCs w:val="24"/>
          <w:lang w:eastAsia="en-IE"/>
        </w:rPr>
        <w:t>request of a developer and after having consulted the bodies referred to in paragraph [6]</w:t>
      </w:r>
      <w:r w:rsidR="0028442C" w:rsidRPr="004C70EC">
        <w:rPr>
          <w:rFonts w:eastAsia="Times New Roman"/>
          <w:noProof/>
          <w:color w:val="000000" w:themeColor="text1"/>
          <w:szCs w:val="24"/>
          <w:lang w:eastAsia="en-IE"/>
        </w:rPr>
        <w:t xml:space="preserve"> of this Article</w:t>
      </w:r>
      <w:r w:rsidR="0086560B" w:rsidRPr="004C70EC">
        <w:rPr>
          <w:rFonts w:eastAsia="Times New Roman"/>
          <w:noProof/>
          <w:color w:val="000000" w:themeColor="text1"/>
          <w:szCs w:val="24"/>
          <w:lang w:eastAsia="en-IE"/>
        </w:rPr>
        <w:t>, deliver a recommendation on an</w:t>
      </w:r>
      <w:r w:rsidR="2E3F0C6D" w:rsidRPr="004C70EC">
        <w:rPr>
          <w:rFonts w:eastAsia="Times New Roman"/>
          <w:noProof/>
          <w:color w:val="000000" w:themeColor="text1"/>
          <w:szCs w:val="24"/>
          <w:lang w:eastAsia="en-IE"/>
        </w:rPr>
        <w:t xml:space="preserve"> existing</w:t>
      </w:r>
      <w:r w:rsidR="00F07937" w:rsidRPr="004C70EC">
        <w:rPr>
          <w:rFonts w:eastAsia="Times New Roman"/>
          <w:noProof/>
          <w:color w:val="000000" w:themeColor="text1"/>
          <w:szCs w:val="24"/>
          <w:lang w:eastAsia="en-IE"/>
        </w:rPr>
        <w:t xml:space="preserve"> </w:t>
      </w:r>
      <w:r w:rsidR="0086560B" w:rsidRPr="004C70EC">
        <w:rPr>
          <w:rFonts w:eastAsia="Times New Roman"/>
          <w:noProof/>
          <w:color w:val="000000" w:themeColor="text1"/>
          <w:szCs w:val="24"/>
          <w:lang w:eastAsia="en-IE"/>
        </w:rPr>
        <w:t xml:space="preserve">appropriate regulatory </w:t>
      </w:r>
      <w:r w:rsidR="00914B72" w:rsidRPr="004C70EC">
        <w:rPr>
          <w:rFonts w:eastAsia="Times New Roman"/>
          <w:noProof/>
          <w:color w:val="000000" w:themeColor="text1"/>
          <w:szCs w:val="24"/>
          <w:lang w:eastAsia="en-IE"/>
        </w:rPr>
        <w:t>procedur</w:t>
      </w:r>
      <w:r w:rsidR="1568BCBE" w:rsidRPr="004C70EC">
        <w:rPr>
          <w:rFonts w:eastAsia="Times New Roman"/>
          <w:noProof/>
          <w:color w:val="000000" w:themeColor="text1"/>
          <w:szCs w:val="24"/>
          <w:lang w:eastAsia="en-IE"/>
        </w:rPr>
        <w:t>al pathway</w:t>
      </w:r>
      <w:r w:rsidR="0086560B" w:rsidRPr="004C70EC">
        <w:rPr>
          <w:rFonts w:eastAsia="Times New Roman"/>
          <w:noProof/>
          <w:color w:val="000000" w:themeColor="text1"/>
          <w:szCs w:val="24"/>
          <w:lang w:eastAsia="en-IE"/>
        </w:rPr>
        <w:t xml:space="preserve"> for authorising the placing on the market and post</w:t>
      </w:r>
      <w:r w:rsidR="1D841FE2" w:rsidRPr="004C70EC">
        <w:rPr>
          <w:rFonts w:eastAsia="Times New Roman"/>
          <w:noProof/>
          <w:color w:val="000000" w:themeColor="text1"/>
          <w:szCs w:val="24"/>
          <w:lang w:eastAsia="en-IE"/>
        </w:rPr>
        <w:t>-</w:t>
      </w:r>
      <w:r w:rsidR="0086560B" w:rsidRPr="004C70EC">
        <w:rPr>
          <w:rFonts w:eastAsia="Times New Roman"/>
          <w:noProof/>
          <w:color w:val="000000" w:themeColor="text1"/>
          <w:szCs w:val="24"/>
          <w:lang w:eastAsia="en-IE"/>
        </w:rPr>
        <w:t xml:space="preserve">marketing surveillance and vigilance </w:t>
      </w:r>
      <w:r w:rsidR="001421F1" w:rsidRPr="004C70EC">
        <w:rPr>
          <w:rFonts w:eastAsia="Times New Roman"/>
          <w:noProof/>
          <w:color w:val="000000" w:themeColor="text1"/>
          <w:szCs w:val="24"/>
          <w:lang w:eastAsia="en-IE"/>
        </w:rPr>
        <w:t xml:space="preserve">of </w:t>
      </w:r>
      <w:r w:rsidR="0086560B" w:rsidRPr="004C70EC">
        <w:rPr>
          <w:rFonts w:eastAsia="Times New Roman"/>
          <w:noProof/>
          <w:color w:val="000000" w:themeColor="text1"/>
          <w:szCs w:val="24"/>
          <w:lang w:eastAsia="en-IE"/>
        </w:rPr>
        <w:t xml:space="preserve">the products concerned. </w:t>
      </w:r>
    </w:p>
    <w:p w14:paraId="5E048618" w14:textId="1284D232" w:rsidR="00273F36" w:rsidRPr="004C70EC" w:rsidRDefault="004D6E23" w:rsidP="00EB6145">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10</w:t>
      </w:r>
      <w:r w:rsidR="00EB6145" w:rsidRPr="004C70EC">
        <w:rPr>
          <w:rFonts w:eastAsia="Times New Roman"/>
          <w:noProof/>
          <w:color w:val="000000" w:themeColor="text1"/>
          <w:szCs w:val="24"/>
          <w:lang w:eastAsia="en-IE"/>
        </w:rPr>
        <w:t>.</w:t>
      </w:r>
      <w:r w:rsidR="00EB6145"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 xml:space="preserve">When a product is submitted for authorisation following a recommendation delivered in accordance with paragraph </w:t>
      </w:r>
      <w:r w:rsidR="00C93E3F" w:rsidRPr="004C70EC">
        <w:rPr>
          <w:rFonts w:eastAsia="Times New Roman"/>
          <w:noProof/>
          <w:color w:val="000000" w:themeColor="text1"/>
          <w:szCs w:val="24"/>
          <w:lang w:eastAsia="en-IE"/>
        </w:rPr>
        <w:t>9</w:t>
      </w:r>
      <w:r>
        <w:rPr>
          <w:rFonts w:eastAsia="Times New Roman"/>
          <w:noProof/>
          <w:color w:val="000000" w:themeColor="text1"/>
          <w:szCs w:val="24"/>
          <w:lang w:eastAsia="en-IE"/>
        </w:rPr>
        <w:t xml:space="preserve"> </w:t>
      </w:r>
      <w:r w:rsidR="0028442C" w:rsidRPr="004C70EC">
        <w:rPr>
          <w:rFonts w:eastAsia="Times New Roman"/>
          <w:noProof/>
          <w:color w:val="000000" w:themeColor="text1"/>
          <w:szCs w:val="24"/>
          <w:lang w:eastAsia="en-IE"/>
        </w:rPr>
        <w:t>o</w:t>
      </w:r>
      <w:r>
        <w:rPr>
          <w:rFonts w:eastAsia="Times New Roman"/>
          <w:noProof/>
          <w:color w:val="000000" w:themeColor="text1"/>
          <w:szCs w:val="24"/>
          <w:lang w:eastAsia="en-IE"/>
        </w:rPr>
        <w:t>f</w:t>
      </w:r>
      <w:r w:rsidR="0028442C" w:rsidRPr="004C70EC">
        <w:rPr>
          <w:rFonts w:eastAsia="Times New Roman"/>
          <w:noProof/>
          <w:color w:val="000000" w:themeColor="text1"/>
          <w:szCs w:val="24"/>
          <w:lang w:eastAsia="en-IE"/>
        </w:rPr>
        <w:t xml:space="preserve"> this</w:t>
      </w:r>
      <w:r>
        <w:rPr>
          <w:rFonts w:eastAsia="Times New Roman"/>
          <w:noProof/>
          <w:color w:val="000000" w:themeColor="text1"/>
          <w:szCs w:val="24"/>
          <w:lang w:eastAsia="en-IE"/>
        </w:rPr>
        <w:t xml:space="preserve"> </w:t>
      </w:r>
      <w:r w:rsidR="0028442C" w:rsidRPr="004C70EC">
        <w:rPr>
          <w:rFonts w:eastAsia="Times New Roman"/>
          <w:noProof/>
          <w:color w:val="000000" w:themeColor="text1"/>
          <w:szCs w:val="24"/>
          <w:lang w:eastAsia="en-IE"/>
        </w:rPr>
        <w:t>Article</w:t>
      </w:r>
      <w:r w:rsidR="00273F36" w:rsidRPr="004C70EC">
        <w:rPr>
          <w:rFonts w:eastAsia="Times New Roman"/>
          <w:noProof/>
          <w:color w:val="000000" w:themeColor="text1"/>
          <w:szCs w:val="24"/>
          <w:lang w:eastAsia="en-IE"/>
        </w:rPr>
        <w:t xml:space="preserve">, due consideration by the authorities responsible for the assessment of the application </w:t>
      </w:r>
      <w:r w:rsidR="003E1C99" w:rsidRPr="004C70EC">
        <w:rPr>
          <w:rFonts w:eastAsia="Times New Roman"/>
          <w:noProof/>
          <w:color w:val="000000" w:themeColor="text1"/>
          <w:szCs w:val="24"/>
          <w:lang w:eastAsia="en-IE"/>
        </w:rPr>
        <w:t>for authorisation</w:t>
      </w:r>
      <w:r w:rsidR="00273F36" w:rsidRPr="004C70EC">
        <w:rPr>
          <w:rFonts w:eastAsia="Times New Roman"/>
          <w:noProof/>
          <w:color w:val="000000" w:themeColor="text1"/>
          <w:szCs w:val="24"/>
          <w:lang w:eastAsia="en-IE"/>
        </w:rPr>
        <w:t xml:space="preserve"> shall be given to data and evidence collected in the regulatory sandbox.</w:t>
      </w:r>
    </w:p>
    <w:p w14:paraId="6E993B74" w14:textId="77777777" w:rsidR="00273F36" w:rsidRPr="004C70EC" w:rsidRDefault="2C4622F7">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11</w:t>
      </w:r>
      <w:r w:rsidR="75B377D9" w:rsidRPr="004C70EC">
        <w:rPr>
          <w:rFonts w:eastAsia="Times New Roman"/>
          <w:noProof/>
          <w:color w:val="000000" w:themeColor="text1"/>
          <w:szCs w:val="24"/>
          <w:lang w:eastAsia="en-IE"/>
        </w:rPr>
        <w:t>.</w:t>
      </w:r>
      <w:r w:rsidR="00C14F9C" w:rsidRPr="004C70EC">
        <w:rPr>
          <w:noProof/>
          <w:color w:val="000000" w:themeColor="text1"/>
          <w:szCs w:val="24"/>
        </w:rPr>
        <w:tab/>
      </w:r>
      <w:r w:rsidR="2F263E33" w:rsidRPr="004C70EC">
        <w:rPr>
          <w:rFonts w:eastAsia="Times New Roman"/>
          <w:noProof/>
          <w:color w:val="000000" w:themeColor="text1"/>
          <w:szCs w:val="24"/>
          <w:lang w:eastAsia="en-IE"/>
        </w:rPr>
        <w:t xml:space="preserve">The Commission, </w:t>
      </w:r>
      <w:r w:rsidR="5D268CEA" w:rsidRPr="004C70EC">
        <w:rPr>
          <w:rFonts w:eastAsia="Times New Roman"/>
          <w:noProof/>
          <w:color w:val="000000" w:themeColor="text1"/>
          <w:szCs w:val="24"/>
          <w:lang w:eastAsia="en-IE"/>
        </w:rPr>
        <w:t>after consulting</w:t>
      </w:r>
      <w:r w:rsidR="2F263E33" w:rsidRPr="004C70EC">
        <w:rPr>
          <w:rFonts w:eastAsia="Times New Roman"/>
          <w:noProof/>
          <w:color w:val="000000" w:themeColor="text1"/>
          <w:szCs w:val="24"/>
          <w:lang w:eastAsia="en-IE"/>
        </w:rPr>
        <w:t xml:space="preserve"> competent authorities of the Member States, and </w:t>
      </w:r>
      <w:r w:rsidR="4E19500E" w:rsidRPr="004C70EC">
        <w:rPr>
          <w:rFonts w:eastAsia="Times New Roman"/>
          <w:noProof/>
          <w:color w:val="000000" w:themeColor="text1"/>
          <w:szCs w:val="24"/>
          <w:lang w:eastAsia="en-IE"/>
        </w:rPr>
        <w:t>after seeking the opinion of the</w:t>
      </w:r>
      <w:r w:rsidR="2F263E33" w:rsidRPr="004C70EC">
        <w:rPr>
          <w:rFonts w:eastAsia="Times New Roman"/>
          <w:noProof/>
          <w:color w:val="000000" w:themeColor="text1"/>
          <w:szCs w:val="24"/>
          <w:lang w:eastAsia="en-IE"/>
        </w:rPr>
        <w:t xml:space="preserve"> bodies consulted in accordance with paragraph [6]</w:t>
      </w:r>
      <w:r w:rsidR="0028442C" w:rsidRPr="004C70EC">
        <w:rPr>
          <w:rFonts w:eastAsia="Times New Roman"/>
          <w:noProof/>
          <w:color w:val="000000" w:themeColor="text1"/>
          <w:szCs w:val="24"/>
          <w:lang w:eastAsia="en-IE"/>
        </w:rPr>
        <w:t xml:space="preserve"> of this Article</w:t>
      </w:r>
      <w:r w:rsidR="2F263E33" w:rsidRPr="004C70EC">
        <w:rPr>
          <w:rFonts w:eastAsia="Times New Roman"/>
          <w:noProof/>
          <w:color w:val="000000" w:themeColor="text1"/>
          <w:szCs w:val="24"/>
          <w:lang w:eastAsia="en-IE"/>
        </w:rPr>
        <w:t xml:space="preserve">, may publish a report on the lessons learned from the regulatory sandbox and, where appropriate, conclusions regarding possible measures at </w:t>
      </w:r>
      <w:r w:rsidR="6A458704" w:rsidRPr="004C70EC">
        <w:rPr>
          <w:rFonts w:eastAsia="Times New Roman"/>
          <w:noProof/>
          <w:color w:val="000000" w:themeColor="text1"/>
          <w:szCs w:val="24"/>
          <w:lang w:eastAsia="en-IE"/>
        </w:rPr>
        <w:t xml:space="preserve">Union </w:t>
      </w:r>
      <w:r w:rsidR="2F263E33" w:rsidRPr="004C70EC">
        <w:rPr>
          <w:rFonts w:eastAsia="Times New Roman"/>
          <w:noProof/>
          <w:color w:val="000000" w:themeColor="text1"/>
          <w:szCs w:val="24"/>
          <w:lang w:eastAsia="en-IE"/>
        </w:rPr>
        <w:t xml:space="preserve">level for the regulation of the health biotechnology product or similar innovation categories concerned by the </w:t>
      </w:r>
      <w:r w:rsidR="5CB8BEA0" w:rsidRPr="004C70EC">
        <w:rPr>
          <w:rFonts w:eastAsia="Times New Roman"/>
          <w:noProof/>
          <w:color w:val="000000" w:themeColor="text1"/>
          <w:szCs w:val="24"/>
          <w:lang w:eastAsia="en-IE"/>
        </w:rPr>
        <w:t xml:space="preserve">regulatory </w:t>
      </w:r>
      <w:r w:rsidR="2F263E33" w:rsidRPr="004C70EC">
        <w:rPr>
          <w:rFonts w:eastAsia="Times New Roman"/>
          <w:noProof/>
          <w:color w:val="000000" w:themeColor="text1"/>
          <w:szCs w:val="24"/>
          <w:lang w:eastAsia="en-IE"/>
        </w:rPr>
        <w:t>sandbox.</w:t>
      </w:r>
    </w:p>
    <w:p w14:paraId="078AD132" w14:textId="77777777" w:rsidR="00273F36" w:rsidRPr="004C70EC" w:rsidRDefault="00EB6145" w:rsidP="00EB6145">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1</w:t>
      </w:r>
      <w:r w:rsidR="00C14F9C" w:rsidRPr="004C70EC">
        <w:rPr>
          <w:rFonts w:eastAsia="Times New Roman"/>
          <w:noProof/>
          <w:color w:val="000000" w:themeColor="text1"/>
          <w:szCs w:val="24"/>
          <w:lang w:eastAsia="en-IE"/>
        </w:rPr>
        <w:t>2</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 xml:space="preserve">The Commission may, by means of implementing acts, lay down common principles, criteria and practical arrangements for the assessment of applications received from developers and for the establishment and supervision of the regulatory sandboxes and for sandbox plans referred to in this </w:t>
      </w:r>
      <w:r w:rsidR="00133BFA" w:rsidRPr="004C70EC">
        <w:rPr>
          <w:rFonts w:eastAsia="Times New Roman"/>
          <w:noProof/>
          <w:color w:val="000000" w:themeColor="text1"/>
          <w:szCs w:val="24"/>
          <w:lang w:eastAsia="en-IE"/>
        </w:rPr>
        <w:t>a</w:t>
      </w:r>
      <w:r w:rsidR="00273F36" w:rsidRPr="004C70EC">
        <w:rPr>
          <w:rFonts w:eastAsia="Times New Roman"/>
          <w:noProof/>
          <w:color w:val="000000" w:themeColor="text1"/>
          <w:szCs w:val="24"/>
          <w:lang w:eastAsia="en-IE"/>
        </w:rPr>
        <w:t>rticle</w:t>
      </w:r>
      <w:r w:rsidR="00133BFA" w:rsidRPr="004C70EC">
        <w:rPr>
          <w:rFonts w:eastAsia="Times New Roman"/>
          <w:noProof/>
          <w:color w:val="000000" w:themeColor="text1"/>
          <w:szCs w:val="24"/>
          <w:lang w:eastAsia="en-IE"/>
        </w:rPr>
        <w:t xml:space="preserve">. </w:t>
      </w:r>
      <w:r w:rsidR="00273F36" w:rsidRPr="004C70EC">
        <w:rPr>
          <w:rFonts w:eastAsia="Times New Roman"/>
          <w:noProof/>
          <w:color w:val="000000" w:themeColor="text1"/>
          <w:szCs w:val="24"/>
          <w:lang w:eastAsia="en-IE"/>
        </w:rPr>
        <w:t>Th</w:t>
      </w:r>
      <w:r w:rsidR="00E729AB" w:rsidRPr="004C70EC">
        <w:rPr>
          <w:rFonts w:eastAsia="Times New Roman"/>
          <w:noProof/>
          <w:color w:val="000000" w:themeColor="text1"/>
          <w:szCs w:val="24"/>
          <w:lang w:eastAsia="en-IE"/>
        </w:rPr>
        <w:t>e</w:t>
      </w:r>
      <w:r w:rsidR="00273F36" w:rsidRPr="004C70EC">
        <w:rPr>
          <w:rFonts w:eastAsia="Times New Roman"/>
          <w:noProof/>
          <w:color w:val="000000" w:themeColor="text1"/>
          <w:szCs w:val="24"/>
          <w:lang w:eastAsia="en-IE"/>
        </w:rPr>
        <w:t xml:space="preserve">se implementing acts shall be adopted in accordance with the examination procedure referred to in Article </w:t>
      </w:r>
      <w:r w:rsidR="002E50FB" w:rsidRPr="004C70EC">
        <w:rPr>
          <w:rFonts w:eastAsia="Times New Roman"/>
          <w:noProof/>
          <w:color w:val="000000" w:themeColor="text1"/>
          <w:szCs w:val="24"/>
          <w:lang w:eastAsia="en-IE"/>
        </w:rPr>
        <w:t>6</w:t>
      </w:r>
      <w:r w:rsidR="00ED45FF" w:rsidRPr="004C70EC">
        <w:rPr>
          <w:rFonts w:eastAsia="Times New Roman"/>
          <w:noProof/>
          <w:color w:val="000000" w:themeColor="text1"/>
          <w:szCs w:val="24"/>
          <w:lang w:eastAsia="en-IE"/>
        </w:rPr>
        <w:t>5(</w:t>
      </w:r>
      <w:r w:rsidR="00273F36" w:rsidRPr="004C70EC">
        <w:rPr>
          <w:rFonts w:eastAsia="Times New Roman"/>
          <w:noProof/>
          <w:color w:val="000000" w:themeColor="text1"/>
          <w:szCs w:val="24"/>
          <w:lang w:eastAsia="en-IE"/>
        </w:rPr>
        <w:t>2</w:t>
      </w:r>
      <w:r w:rsidR="00ED45FF" w:rsidRPr="004C70EC">
        <w:rPr>
          <w:rFonts w:eastAsia="Times New Roman"/>
          <w:noProof/>
          <w:color w:val="000000" w:themeColor="text1"/>
          <w:szCs w:val="24"/>
          <w:lang w:eastAsia="en-IE"/>
        </w:rPr>
        <w:t>)</w:t>
      </w:r>
      <w:r w:rsidR="00273F36" w:rsidRPr="004C70EC">
        <w:rPr>
          <w:rFonts w:eastAsia="Times New Roman"/>
          <w:noProof/>
          <w:color w:val="000000" w:themeColor="text1"/>
          <w:szCs w:val="24"/>
          <w:lang w:eastAsia="en-IE"/>
        </w:rPr>
        <w:t>.</w:t>
      </w:r>
    </w:p>
    <w:p w14:paraId="73882EF9" w14:textId="77777777" w:rsidR="00D16DBA" w:rsidRPr="004C70EC" w:rsidRDefault="00D16DBA" w:rsidP="00EB6145">
      <w:pPr>
        <w:pStyle w:val="Point0"/>
        <w:rPr>
          <w:rFonts w:eastAsia="Times New Roman"/>
          <w:noProof/>
          <w:color w:val="000000" w:themeColor="text1"/>
          <w:szCs w:val="24"/>
          <w:lang w:eastAsia="en-IE"/>
        </w:rPr>
      </w:pPr>
    </w:p>
    <w:p w14:paraId="4A7EEF0E" w14:textId="77777777" w:rsidR="00D16DBA" w:rsidRPr="004C70EC" w:rsidRDefault="00D16DBA" w:rsidP="00D16DBA">
      <w:pPr>
        <w:pStyle w:val="ChapterTitle"/>
        <w:rPr>
          <w:noProof/>
          <w:color w:val="000000" w:themeColor="text1"/>
          <w:sz w:val="24"/>
          <w:szCs w:val="24"/>
        </w:rPr>
      </w:pPr>
      <w:r w:rsidRPr="004C70EC">
        <w:rPr>
          <w:noProof/>
          <w:color w:val="000000" w:themeColor="text1"/>
          <w:sz w:val="24"/>
          <w:szCs w:val="24"/>
        </w:rPr>
        <w:t xml:space="preserve">CHAPTER </w:t>
      </w:r>
      <w:r w:rsidR="00BC1224" w:rsidRPr="004C70EC">
        <w:rPr>
          <w:noProof/>
          <w:color w:val="000000" w:themeColor="text1"/>
          <w:sz w:val="24"/>
          <w:szCs w:val="24"/>
        </w:rPr>
        <w:t>VIII</w:t>
      </w:r>
    </w:p>
    <w:p w14:paraId="02A5DBCF" w14:textId="77777777" w:rsidR="00D16DBA" w:rsidRPr="004C70EC" w:rsidRDefault="00D16DBA" w:rsidP="00D16DBA">
      <w:pPr>
        <w:pStyle w:val="ChapterTitle"/>
        <w:rPr>
          <w:rFonts w:eastAsiaTheme="minorEastAsia"/>
          <w:b w:val="0"/>
          <w:bCs/>
          <w:noProof/>
          <w:color w:val="000000" w:themeColor="text1"/>
          <w:sz w:val="24"/>
          <w:szCs w:val="24"/>
        </w:rPr>
      </w:pPr>
      <w:r w:rsidRPr="004C70EC">
        <w:rPr>
          <w:rFonts w:eastAsiaTheme="majorEastAsia"/>
          <w:bCs/>
          <w:noProof/>
          <w:color w:val="000000" w:themeColor="text1"/>
          <w:sz w:val="24"/>
          <w:szCs w:val="24"/>
        </w:rPr>
        <w:t>BIODEFENCE AND PREVENTING BIOTECHNOLOGY MISUSE</w:t>
      </w:r>
    </w:p>
    <w:p w14:paraId="2FEE4102" w14:textId="77777777" w:rsidR="00D16DBA" w:rsidRPr="004C70EC" w:rsidRDefault="00D16DBA" w:rsidP="00D16DBA">
      <w:pPr>
        <w:pStyle w:val="SectionTitle"/>
        <w:rPr>
          <w:noProof/>
          <w:color w:val="000000" w:themeColor="text1"/>
          <w:sz w:val="24"/>
          <w:szCs w:val="24"/>
        </w:rPr>
      </w:pPr>
      <w:r w:rsidRPr="004C70EC">
        <w:rPr>
          <w:noProof/>
          <w:color w:val="000000" w:themeColor="text1"/>
          <w:sz w:val="24"/>
          <w:szCs w:val="24"/>
        </w:rPr>
        <w:t>SECTION 1</w:t>
      </w:r>
    </w:p>
    <w:p w14:paraId="6240B508" w14:textId="77777777" w:rsidR="00D16DBA" w:rsidRPr="004C70EC" w:rsidRDefault="00D16DBA" w:rsidP="00D16DBA">
      <w:pPr>
        <w:pStyle w:val="SectionTitle"/>
        <w:rPr>
          <w:rFonts w:eastAsiaTheme="majorEastAsia"/>
          <w:b w:val="0"/>
          <w:bCs/>
          <w:noProof/>
          <w:color w:val="000000" w:themeColor="text1"/>
          <w:sz w:val="24"/>
          <w:szCs w:val="24"/>
        </w:rPr>
      </w:pPr>
      <w:r w:rsidRPr="004C70EC">
        <w:rPr>
          <w:rFonts w:eastAsiaTheme="majorEastAsia"/>
          <w:bCs/>
          <w:noProof/>
          <w:color w:val="000000" w:themeColor="text1"/>
          <w:sz w:val="24"/>
          <w:szCs w:val="24"/>
        </w:rPr>
        <w:t>Union biodefence and biosecurity</w:t>
      </w:r>
    </w:p>
    <w:p w14:paraId="676DD370" w14:textId="77777777" w:rsidR="00D16DBA" w:rsidRPr="004C70EC" w:rsidRDefault="00D16DBA" w:rsidP="00D16DBA">
      <w:pPr>
        <w:pStyle w:val="Titrearticle"/>
        <w:rPr>
          <w:rFonts w:eastAsiaTheme="majorEastAsia"/>
          <w:i w:val="0"/>
          <w:noProof/>
          <w:color w:val="000000" w:themeColor="text1"/>
          <w:szCs w:val="24"/>
          <w:lang w:eastAsia="en-IE"/>
        </w:rPr>
      </w:pPr>
      <w:r w:rsidRPr="004C70EC">
        <w:rPr>
          <w:rFonts w:eastAsiaTheme="majorEastAsia"/>
          <w:noProof/>
          <w:color w:val="000000" w:themeColor="text1"/>
          <w:szCs w:val="24"/>
          <w:lang w:eastAsia="en-IE"/>
        </w:rPr>
        <w:t>Article 4</w:t>
      </w:r>
      <w:r w:rsidR="00A01B18" w:rsidRPr="004C70EC">
        <w:rPr>
          <w:rFonts w:eastAsiaTheme="majorEastAsia"/>
          <w:noProof/>
          <w:color w:val="000000" w:themeColor="text1"/>
          <w:szCs w:val="24"/>
          <w:lang w:eastAsia="en-IE"/>
        </w:rPr>
        <w:t>1</w:t>
      </w:r>
    </w:p>
    <w:p w14:paraId="7B55603A" w14:textId="77777777" w:rsidR="00D16DBA" w:rsidRPr="004C70EC" w:rsidRDefault="00D16DBA" w:rsidP="00D16DBA">
      <w:pPr>
        <w:keepNext/>
        <w:ind w:left="850" w:hanging="850"/>
        <w:jc w:val="center"/>
        <w:outlineLvl w:val="1"/>
        <w:rPr>
          <w:rFonts w:eastAsia="Times New Roman"/>
          <w:b/>
          <w:noProof/>
          <w:color w:val="000000" w:themeColor="text1"/>
          <w:szCs w:val="24"/>
          <w:lang w:eastAsia="en-IE"/>
        </w:rPr>
      </w:pPr>
      <w:r w:rsidRPr="004C70EC">
        <w:rPr>
          <w:rFonts w:eastAsiaTheme="majorEastAsia"/>
          <w:b/>
          <w:noProof/>
          <w:color w:val="000000" w:themeColor="text1"/>
          <w:szCs w:val="24"/>
          <w:lang w:eastAsia="en-IE"/>
        </w:rPr>
        <w:t xml:space="preserve">EU biothreat radar high impact </w:t>
      </w:r>
      <w:r w:rsidRPr="004C70EC">
        <w:rPr>
          <w:rFonts w:eastAsia="Times New Roman"/>
          <w:b/>
          <w:noProof/>
          <w:color w:val="000000" w:themeColor="text1"/>
          <w:szCs w:val="24"/>
          <w:lang w:val="en-IE" w:eastAsia="de-DE"/>
        </w:rPr>
        <w:t>health</w:t>
      </w:r>
      <w:r w:rsidRPr="004C70EC">
        <w:rPr>
          <w:rFonts w:eastAsia="Times New Roman"/>
          <w:noProof/>
          <w:color w:val="000000" w:themeColor="text1"/>
          <w:szCs w:val="24"/>
          <w:lang w:val="en-IE" w:eastAsia="de-DE"/>
        </w:rPr>
        <w:t xml:space="preserve"> </w:t>
      </w:r>
      <w:r w:rsidRPr="004C70EC">
        <w:rPr>
          <w:rFonts w:eastAsiaTheme="majorEastAsia"/>
          <w:b/>
          <w:noProof/>
          <w:color w:val="000000" w:themeColor="text1"/>
          <w:szCs w:val="24"/>
          <w:lang w:eastAsia="en-IE"/>
        </w:rPr>
        <w:t>biotechnology strategic projects</w:t>
      </w:r>
    </w:p>
    <w:p w14:paraId="15598A88" w14:textId="77777777" w:rsidR="00D16DBA" w:rsidRPr="004C70EC" w:rsidRDefault="00877F95" w:rsidP="00A4296A">
      <w:pPr>
        <w:spacing w:before="0" w:after="0" w:line="279" w:lineRule="auto"/>
        <w:ind w:left="720" w:hanging="720"/>
        <w:textAlignment w:val="baseline"/>
        <w:rPr>
          <w:rFonts w:eastAsiaTheme="minorEastAsia"/>
          <w:noProof/>
          <w:color w:val="000000" w:themeColor="text1"/>
          <w:lang w:eastAsia="ja-JP"/>
        </w:rPr>
      </w:pPr>
      <w:r w:rsidRPr="004C70EC">
        <w:rPr>
          <w:rFonts w:eastAsiaTheme="majorEastAsia"/>
          <w:noProof/>
          <w:color w:val="000000" w:themeColor="text1"/>
          <w:lang w:eastAsia="en-IE"/>
        </w:rPr>
        <w:t>1.</w:t>
      </w:r>
      <w:r w:rsidRPr="004C70EC">
        <w:rPr>
          <w:rFonts w:eastAsiaTheme="majorEastAsia"/>
          <w:noProof/>
          <w:color w:val="000000" w:themeColor="text1"/>
          <w:lang w:eastAsia="en-IE"/>
        </w:rPr>
        <w:tab/>
      </w:r>
      <w:r w:rsidR="008D0D3E" w:rsidRPr="004C70EC">
        <w:rPr>
          <w:rFonts w:eastAsiaTheme="majorEastAsia"/>
          <w:noProof/>
          <w:color w:val="000000" w:themeColor="text1"/>
          <w:lang w:eastAsia="en-IE"/>
        </w:rPr>
        <w:t>To enable access to the support measures laid down in Section 2 of Chapter II, t</w:t>
      </w:r>
      <w:r w:rsidR="00D16DBA" w:rsidRPr="004C70EC">
        <w:rPr>
          <w:rFonts w:eastAsiaTheme="majorEastAsia"/>
          <w:noProof/>
          <w:color w:val="000000" w:themeColor="text1"/>
          <w:lang w:eastAsia="en-IE"/>
        </w:rPr>
        <w:t>he Commission</w:t>
      </w:r>
      <w:r w:rsidR="006514EF" w:rsidRPr="004C70EC">
        <w:rPr>
          <w:rFonts w:eastAsiaTheme="majorEastAsia"/>
          <w:noProof/>
          <w:color w:val="000000" w:themeColor="text1"/>
          <w:lang w:eastAsia="en-IE"/>
        </w:rPr>
        <w:t xml:space="preserve"> </w:t>
      </w:r>
      <w:r w:rsidR="00D16DBA" w:rsidRPr="004C70EC">
        <w:rPr>
          <w:rFonts w:eastAsiaTheme="majorEastAsia"/>
          <w:noProof/>
          <w:color w:val="000000" w:themeColor="text1"/>
          <w:lang w:eastAsia="en-IE"/>
        </w:rPr>
        <w:t>shall recognise project</w:t>
      </w:r>
      <w:r w:rsidR="00AC5ACF" w:rsidRPr="004C70EC">
        <w:rPr>
          <w:rFonts w:eastAsiaTheme="majorEastAsia"/>
          <w:noProof/>
          <w:color w:val="000000" w:themeColor="text1"/>
          <w:lang w:eastAsia="en-IE"/>
        </w:rPr>
        <w:t>s</w:t>
      </w:r>
      <w:r w:rsidR="004338FC" w:rsidRPr="004C70EC">
        <w:rPr>
          <w:rFonts w:eastAsiaTheme="majorEastAsia"/>
          <w:noProof/>
          <w:color w:val="000000" w:themeColor="text1"/>
          <w:lang w:eastAsia="en-IE"/>
        </w:rPr>
        <w:t xml:space="preserve"> located in the Union</w:t>
      </w:r>
      <w:r w:rsidR="00D16DBA" w:rsidRPr="004C70EC">
        <w:rPr>
          <w:rFonts w:eastAsiaTheme="majorEastAsia"/>
          <w:noProof/>
          <w:color w:val="000000" w:themeColor="text1"/>
          <w:lang w:eastAsia="en-IE"/>
        </w:rPr>
        <w:t xml:space="preserve"> as high-impact </w:t>
      </w:r>
      <w:r w:rsidR="0028442C" w:rsidRPr="004C70EC">
        <w:rPr>
          <w:rFonts w:eastAsiaTheme="majorEastAsia"/>
          <w:noProof/>
          <w:color w:val="000000" w:themeColor="text1"/>
          <w:lang w:eastAsia="en-IE"/>
        </w:rPr>
        <w:t xml:space="preserve">health biotechnology </w:t>
      </w:r>
      <w:r w:rsidR="00D16DBA" w:rsidRPr="004C70EC">
        <w:rPr>
          <w:rFonts w:eastAsiaTheme="majorEastAsia"/>
          <w:noProof/>
          <w:color w:val="000000" w:themeColor="text1"/>
          <w:lang w:eastAsia="en-IE"/>
        </w:rPr>
        <w:t>strategic project</w:t>
      </w:r>
      <w:r w:rsidR="0028442C" w:rsidRPr="004C70EC">
        <w:rPr>
          <w:rFonts w:eastAsiaTheme="majorEastAsia"/>
          <w:noProof/>
          <w:color w:val="000000" w:themeColor="text1"/>
          <w:lang w:eastAsia="en-IE"/>
        </w:rPr>
        <w:t>s</w:t>
      </w:r>
      <w:r w:rsidR="00D16DBA" w:rsidRPr="004C70EC">
        <w:rPr>
          <w:rFonts w:eastAsiaTheme="majorEastAsia"/>
          <w:noProof/>
          <w:color w:val="000000" w:themeColor="text1"/>
          <w:lang w:eastAsia="en-IE"/>
        </w:rPr>
        <w:t xml:space="preserve"> contributing to the EU Biothreat Radar </w:t>
      </w:r>
      <w:r w:rsidR="00D16DBA" w:rsidRPr="004C70EC">
        <w:rPr>
          <w:rFonts w:eastAsia="Times New Roman"/>
          <w:noProof/>
          <w:color w:val="000000" w:themeColor="text1"/>
          <w:lang w:eastAsia="en-IE"/>
        </w:rPr>
        <w:t xml:space="preserve">for the </w:t>
      </w:r>
      <w:r w:rsidR="00D16DBA" w:rsidRPr="004C70EC">
        <w:rPr>
          <w:rFonts w:eastAsiaTheme="majorEastAsia"/>
          <w:noProof/>
          <w:color w:val="000000" w:themeColor="text1"/>
          <w:lang w:eastAsia="en-IE"/>
        </w:rPr>
        <w:t xml:space="preserve">detection, characterisation, identification, analysis and assessment of biological threats, including novel, unknown and engineered pathogens to ensure pathogen-agnostic cross-border surveillance and early threat detection, as well as the generation and sharing of data required for this, </w:t>
      </w:r>
      <w:r w:rsidR="00911BE2" w:rsidRPr="004C70EC">
        <w:rPr>
          <w:rFonts w:eastAsiaTheme="majorEastAsia"/>
          <w:noProof/>
          <w:color w:val="000000" w:themeColor="text1"/>
          <w:lang w:eastAsia="en-IE"/>
        </w:rPr>
        <w:t xml:space="preserve">only where </w:t>
      </w:r>
      <w:r w:rsidR="00AC5ACF" w:rsidRPr="004C70EC">
        <w:rPr>
          <w:rFonts w:eastAsiaTheme="majorEastAsia"/>
          <w:noProof/>
          <w:color w:val="000000" w:themeColor="text1"/>
          <w:lang w:eastAsia="en-IE"/>
        </w:rPr>
        <w:t xml:space="preserve">they </w:t>
      </w:r>
      <w:r w:rsidR="00911BE2" w:rsidRPr="004C70EC">
        <w:rPr>
          <w:rFonts w:eastAsiaTheme="majorEastAsia"/>
          <w:noProof/>
          <w:color w:val="000000" w:themeColor="text1"/>
          <w:lang w:eastAsia="en-IE"/>
        </w:rPr>
        <w:t>compl</w:t>
      </w:r>
      <w:r w:rsidR="00AC5ACF" w:rsidRPr="004C70EC">
        <w:rPr>
          <w:rFonts w:eastAsiaTheme="majorEastAsia"/>
          <w:noProof/>
          <w:color w:val="000000" w:themeColor="text1"/>
          <w:lang w:eastAsia="en-IE"/>
        </w:rPr>
        <w:t>y</w:t>
      </w:r>
      <w:r w:rsidR="00911BE2" w:rsidRPr="004C70EC">
        <w:rPr>
          <w:rFonts w:eastAsiaTheme="majorEastAsia"/>
          <w:noProof/>
          <w:color w:val="000000" w:themeColor="text1"/>
          <w:lang w:eastAsia="en-IE"/>
        </w:rPr>
        <w:t xml:space="preserve"> with the conditions laid down in Article 4[(1)]</w:t>
      </w:r>
      <w:r w:rsidR="00C826D1" w:rsidRPr="004C70EC">
        <w:rPr>
          <w:rFonts w:eastAsiaTheme="majorEastAsia"/>
          <w:noProof/>
          <w:color w:val="000000" w:themeColor="text1"/>
          <w:lang w:eastAsia="en-IE"/>
        </w:rPr>
        <w:t xml:space="preserve"> and</w:t>
      </w:r>
      <w:r w:rsidR="00911BE2" w:rsidRPr="004C70EC">
        <w:rPr>
          <w:rFonts w:eastAsiaTheme="majorEastAsia"/>
          <w:noProof/>
          <w:color w:val="000000" w:themeColor="text1"/>
          <w:lang w:eastAsia="en-IE"/>
        </w:rPr>
        <w:t xml:space="preserve"> </w:t>
      </w:r>
      <w:r w:rsidR="00D16DBA" w:rsidRPr="004C70EC">
        <w:rPr>
          <w:rFonts w:eastAsiaTheme="majorEastAsia"/>
          <w:noProof/>
          <w:color w:val="000000" w:themeColor="text1"/>
          <w:lang w:eastAsia="en-IE"/>
        </w:rPr>
        <w:t>make a substantial contribution to at least one of the following:</w:t>
      </w:r>
    </w:p>
    <w:p w14:paraId="272447D1" w14:textId="77777777" w:rsidR="00D16DBA" w:rsidRPr="004C70EC" w:rsidRDefault="00D16DBA" w:rsidP="00D16DBA">
      <w:pPr>
        <w:pStyle w:val="Point0"/>
        <w:rPr>
          <w:rFonts w:eastAsia="Times New Roman"/>
          <w:noProof/>
          <w:color w:val="000000" w:themeColor="text1"/>
          <w:szCs w:val="24"/>
          <w:lang w:eastAsia="en-IE"/>
        </w:rPr>
      </w:pPr>
      <w:r w:rsidRPr="004C70EC">
        <w:rPr>
          <w:rFonts w:eastAsiaTheme="majorEastAsia"/>
          <w:noProof/>
          <w:color w:val="000000" w:themeColor="text1"/>
          <w:szCs w:val="24"/>
          <w:lang w:eastAsia="en-IE"/>
        </w:rPr>
        <w:t>(a)</w:t>
      </w:r>
      <w:r w:rsidRPr="004C70EC">
        <w:rPr>
          <w:rFonts w:eastAsiaTheme="majorEastAsia"/>
          <w:noProof/>
          <w:color w:val="000000" w:themeColor="text1"/>
          <w:szCs w:val="24"/>
          <w:lang w:eastAsia="en-IE"/>
        </w:rPr>
        <w:tab/>
        <w:t>detection, characterisation, identification, analysis and assessment of biological threats, including novel, unknown and engineered pathogens; </w:t>
      </w:r>
    </w:p>
    <w:p w14:paraId="35E3F08C" w14:textId="77777777" w:rsidR="00D16DBA" w:rsidRPr="004C70EC" w:rsidRDefault="00D16DBA" w:rsidP="00D16DBA">
      <w:pPr>
        <w:pStyle w:val="Point0"/>
        <w:rPr>
          <w:rFonts w:eastAsia="Times New Roman"/>
          <w:noProof/>
          <w:color w:val="000000" w:themeColor="text1"/>
          <w:szCs w:val="24"/>
          <w:lang w:eastAsia="en-IE"/>
        </w:rPr>
      </w:pPr>
      <w:r w:rsidRPr="004C70EC">
        <w:rPr>
          <w:rFonts w:eastAsiaTheme="majorEastAsia"/>
          <w:noProof/>
          <w:color w:val="000000" w:themeColor="text1"/>
          <w:szCs w:val="24"/>
          <w:lang w:eastAsia="en-IE"/>
        </w:rPr>
        <w:t>(b)</w:t>
      </w:r>
      <w:r w:rsidRPr="004C70EC">
        <w:rPr>
          <w:rFonts w:eastAsiaTheme="majorEastAsia"/>
          <w:noProof/>
          <w:color w:val="000000" w:themeColor="text1"/>
          <w:szCs w:val="24"/>
          <w:lang w:eastAsia="en-IE"/>
        </w:rPr>
        <w:tab/>
        <w:t>interoperable and pathogen-agnostic cross-border surveillance, as well as the generation and sharing of data required for such surveillance; </w:t>
      </w:r>
    </w:p>
    <w:p w14:paraId="048FF99D" w14:textId="77777777" w:rsidR="1A2F9CEB" w:rsidRPr="004C70EC" w:rsidRDefault="00D16DBA" w:rsidP="77CFD433">
      <w:pPr>
        <w:pStyle w:val="Point0"/>
        <w:rPr>
          <w:rFonts w:eastAsia="Times New Roman"/>
          <w:noProof/>
          <w:color w:val="000000" w:themeColor="text1"/>
          <w:lang w:eastAsia="en-IE"/>
        </w:rPr>
      </w:pPr>
      <w:r w:rsidRPr="004C70EC">
        <w:rPr>
          <w:rFonts w:eastAsiaTheme="majorEastAsia"/>
          <w:noProof/>
          <w:color w:val="000000" w:themeColor="text1"/>
          <w:lang w:eastAsia="en-IE"/>
        </w:rPr>
        <w:t>(c)</w:t>
      </w:r>
      <w:r w:rsidRPr="004C70EC">
        <w:rPr>
          <w:noProof/>
        </w:rPr>
        <w:tab/>
      </w:r>
      <w:r w:rsidRPr="004C70EC">
        <w:rPr>
          <w:rFonts w:eastAsiaTheme="majorEastAsia"/>
          <w:noProof/>
          <w:color w:val="000000" w:themeColor="text1"/>
          <w:lang w:eastAsia="en-IE"/>
        </w:rPr>
        <w:t>building sampling and detection infrastructure for early detection of novel pathogens and situational awareness across environmental and clinical sources, including basic logistics for collection and transport, and support for the deployment of advanced detection methods, such as metagenomic sequencing;</w:t>
      </w:r>
    </w:p>
    <w:p w14:paraId="2267ABD7" w14:textId="77777777" w:rsidR="6F96B87C" w:rsidRPr="004C70EC" w:rsidRDefault="2F85CA59" w:rsidP="000F438C">
      <w:pPr>
        <w:pStyle w:val="Point0"/>
        <w:rPr>
          <w:rFonts w:asciiTheme="minorHAnsi" w:eastAsiaTheme="majorEastAsia" w:hAnsiTheme="minorHAnsi" w:cstheme="minorBidi"/>
          <w:noProof/>
          <w:color w:val="000000" w:themeColor="text1"/>
          <w:lang w:eastAsia="en-IE"/>
        </w:rPr>
      </w:pPr>
      <w:r w:rsidRPr="002D7694">
        <w:rPr>
          <w:rFonts w:eastAsiaTheme="majorEastAsia"/>
          <w:noProof/>
          <w:color w:val="000000" w:themeColor="text1"/>
          <w:szCs w:val="24"/>
          <w:lang w:eastAsia="en-IE"/>
        </w:rPr>
        <w:t>(d)</w:t>
      </w:r>
      <w:r w:rsidR="0B245D41" w:rsidRPr="004C70EC">
        <w:rPr>
          <w:noProof/>
        </w:rPr>
        <w:tab/>
      </w:r>
      <w:r w:rsidRPr="002D7694">
        <w:rPr>
          <w:rFonts w:eastAsiaTheme="majorEastAsia"/>
          <w:noProof/>
          <w:color w:val="000000" w:themeColor="text1"/>
          <w:lang w:eastAsia="en-IE"/>
        </w:rPr>
        <w:t>ensuring the appropriate use of internationally recognised pathogen data standards;</w:t>
      </w:r>
    </w:p>
    <w:p w14:paraId="7E382C98" w14:textId="77777777" w:rsidR="00D16DBA" w:rsidRPr="004C70EC" w:rsidRDefault="5765DC4D" w:rsidP="00D16DBA">
      <w:pPr>
        <w:pStyle w:val="Point0"/>
        <w:rPr>
          <w:rFonts w:eastAsia="Times New Roman"/>
          <w:noProof/>
          <w:color w:val="000000" w:themeColor="text1"/>
          <w:lang w:eastAsia="en-IE"/>
        </w:rPr>
      </w:pPr>
      <w:r w:rsidRPr="004C70EC">
        <w:rPr>
          <w:rFonts w:eastAsia="Times New Roman"/>
          <w:noProof/>
          <w:color w:val="000000" w:themeColor="text1"/>
          <w:lang w:eastAsia="en-IE"/>
        </w:rPr>
        <w:t>(</w:t>
      </w:r>
      <w:r w:rsidR="6EBDB278" w:rsidRPr="004C70EC">
        <w:rPr>
          <w:rFonts w:eastAsia="Times New Roman"/>
          <w:noProof/>
          <w:color w:val="000000" w:themeColor="text1"/>
          <w:lang w:eastAsia="en-IE"/>
        </w:rPr>
        <w:t>e</w:t>
      </w:r>
      <w:r w:rsidRPr="004C70EC">
        <w:rPr>
          <w:rFonts w:eastAsia="Times New Roman"/>
          <w:noProof/>
          <w:color w:val="000000" w:themeColor="text1"/>
          <w:lang w:eastAsia="en-IE"/>
        </w:rPr>
        <w:t>)</w:t>
      </w:r>
      <w:r w:rsidR="00D16DBA" w:rsidRPr="004C70EC">
        <w:rPr>
          <w:noProof/>
          <w:color w:val="000000" w:themeColor="text1"/>
          <w:szCs w:val="24"/>
        </w:rPr>
        <w:tab/>
      </w:r>
      <w:r w:rsidRPr="004C70EC">
        <w:rPr>
          <w:rFonts w:eastAsia="Times New Roman"/>
          <w:noProof/>
          <w:color w:val="000000" w:themeColor="text1"/>
          <w:lang w:eastAsia="en-IE"/>
        </w:rPr>
        <w:t>ensur</w:t>
      </w:r>
      <w:r w:rsidR="21A230D3" w:rsidRPr="004C70EC">
        <w:rPr>
          <w:rFonts w:eastAsia="Times New Roman"/>
          <w:noProof/>
          <w:color w:val="000000" w:themeColor="text1"/>
          <w:lang w:eastAsia="en-IE"/>
        </w:rPr>
        <w:t>ing</w:t>
      </w:r>
      <w:r w:rsidRPr="004C70EC">
        <w:rPr>
          <w:rFonts w:eastAsia="Times New Roman"/>
          <w:noProof/>
          <w:color w:val="000000" w:themeColor="text1"/>
          <w:lang w:eastAsia="en-IE"/>
        </w:rPr>
        <w:t xml:space="preserve"> that sequencing data generated through early detection activities is shared in a timely manner through the European Nucleotide Archive (ENA)</w:t>
      </w:r>
      <w:r w:rsidR="00D16DBA" w:rsidRPr="004C70EC">
        <w:rPr>
          <w:rStyle w:val="FootnoteReference"/>
          <w:noProof/>
          <w:color w:val="000000" w:themeColor="text1"/>
        </w:rPr>
        <w:footnoteReference w:id="159"/>
      </w:r>
      <w:r w:rsidRPr="004C70EC">
        <w:rPr>
          <w:rFonts w:eastAsia="Times New Roman"/>
          <w:noProof/>
          <w:color w:val="000000" w:themeColor="text1"/>
          <w:lang w:eastAsia="en-IE"/>
        </w:rPr>
        <w:t>, to enable access and use by actors across the Union for the development, validation and deployment of advanced pathogen detection and characterisation methods</w:t>
      </w:r>
      <w:r w:rsidR="3977FF8E" w:rsidRPr="004C70EC">
        <w:rPr>
          <w:rFonts w:eastAsia="Times New Roman"/>
          <w:noProof/>
          <w:color w:val="000000" w:themeColor="text1"/>
          <w:lang w:eastAsia="en-IE"/>
        </w:rPr>
        <w:t>, by engaging</w:t>
      </w:r>
      <w:r w:rsidRPr="004C70EC">
        <w:rPr>
          <w:rFonts w:eastAsia="Times New Roman"/>
          <w:noProof/>
          <w:color w:val="000000" w:themeColor="text1"/>
          <w:lang w:eastAsia="en-IE"/>
        </w:rPr>
        <w:t xml:space="preserve"> in partnerships among industry, academia, public authorities and defence actors to ensure data sharing and integration of warning systems.</w:t>
      </w:r>
    </w:p>
    <w:p w14:paraId="4C13CD16" w14:textId="77777777" w:rsidR="68D115B4" w:rsidRPr="004C70EC" w:rsidRDefault="00877F95" w:rsidP="68D115B4">
      <w:pPr>
        <w:pStyle w:val="Point0"/>
        <w:rPr>
          <w:rFonts w:eastAsia="Times New Roman"/>
          <w:noProof/>
          <w:color w:val="000000" w:themeColor="text1"/>
          <w:lang w:eastAsia="en-IE"/>
        </w:rPr>
      </w:pPr>
      <w:r w:rsidRPr="004C70EC">
        <w:rPr>
          <w:rFonts w:eastAsia="Times New Roman"/>
          <w:noProof/>
          <w:color w:val="000000" w:themeColor="text1"/>
          <w:lang w:eastAsia="en-IE"/>
        </w:rPr>
        <w:t xml:space="preserve">2. </w:t>
      </w:r>
      <w:r w:rsidRPr="004C70EC">
        <w:rPr>
          <w:rFonts w:eastAsia="Times New Roman"/>
          <w:noProof/>
          <w:color w:val="000000" w:themeColor="text1"/>
          <w:lang w:eastAsia="en-IE"/>
        </w:rPr>
        <w:tab/>
        <w:t xml:space="preserve">The provisions of this Regulation regarding the application for, and the recognition of, high-impact </w:t>
      </w:r>
      <w:r w:rsidR="0028442C" w:rsidRPr="004C70EC">
        <w:rPr>
          <w:rFonts w:eastAsia="Times New Roman"/>
          <w:noProof/>
          <w:color w:val="000000" w:themeColor="text1"/>
          <w:lang w:eastAsia="en-IE"/>
        </w:rPr>
        <w:t xml:space="preserve">health </w:t>
      </w:r>
      <w:r w:rsidRPr="004C70EC">
        <w:rPr>
          <w:rFonts w:eastAsia="Times New Roman"/>
          <w:noProof/>
          <w:color w:val="000000" w:themeColor="text1"/>
          <w:lang w:eastAsia="en-IE"/>
        </w:rPr>
        <w:t>biotechnology strategic projects laid down in Articles 8 and 10, respectively, apply to projects referred to in this Article.</w:t>
      </w:r>
    </w:p>
    <w:p w14:paraId="2EAFA739" w14:textId="77777777" w:rsidR="00D16DBA" w:rsidRPr="004C70EC" w:rsidRDefault="00D16DBA" w:rsidP="00D16DBA">
      <w:pPr>
        <w:pStyle w:val="Titrearticle"/>
        <w:rPr>
          <w:rFonts w:eastAsia="Times New Roman"/>
          <w:i w:val="0"/>
          <w:noProof/>
          <w:color w:val="000000" w:themeColor="text1"/>
          <w:szCs w:val="24"/>
          <w:lang w:eastAsia="en-IE"/>
        </w:rPr>
      </w:pPr>
      <w:r w:rsidRPr="004C70EC">
        <w:rPr>
          <w:rFonts w:eastAsia="Times New Roman"/>
          <w:noProof/>
          <w:color w:val="000000" w:themeColor="text1"/>
          <w:szCs w:val="24"/>
          <w:lang w:eastAsia="en-IE"/>
        </w:rPr>
        <w:t xml:space="preserve">Article </w:t>
      </w:r>
      <w:r w:rsidR="00A01B18" w:rsidRPr="004C70EC">
        <w:rPr>
          <w:rFonts w:eastAsia="Times New Roman"/>
          <w:noProof/>
          <w:color w:val="000000" w:themeColor="text1"/>
          <w:szCs w:val="24"/>
          <w:lang w:eastAsia="en-IE"/>
        </w:rPr>
        <w:t>42</w:t>
      </w:r>
    </w:p>
    <w:p w14:paraId="23AF1491" w14:textId="77777777" w:rsidR="00D16DBA" w:rsidRPr="004C70EC" w:rsidRDefault="00D16DBA" w:rsidP="00D16DBA">
      <w:pPr>
        <w:keepNext/>
        <w:keepLines/>
        <w:spacing w:before="160" w:after="80" w:line="279" w:lineRule="auto"/>
        <w:jc w:val="center"/>
        <w:outlineLvl w:val="2"/>
        <w:rPr>
          <w:rFonts w:eastAsiaTheme="majorEastAsia"/>
          <w:b/>
          <w:bCs/>
          <w:noProof/>
          <w:color w:val="000000" w:themeColor="text1"/>
          <w:szCs w:val="24"/>
          <w:lang w:eastAsia="en-IE"/>
        </w:rPr>
      </w:pPr>
      <w:r w:rsidRPr="004C70EC">
        <w:rPr>
          <w:rFonts w:eastAsiaTheme="majorEastAsia"/>
          <w:b/>
          <w:bCs/>
          <w:noProof/>
          <w:color w:val="000000" w:themeColor="text1"/>
          <w:szCs w:val="24"/>
          <w:lang w:eastAsia="en-IE"/>
        </w:rPr>
        <w:t xml:space="preserve">Biodefence capability high impact strategic project  </w:t>
      </w:r>
    </w:p>
    <w:p w14:paraId="0EB4D6DF" w14:textId="77777777" w:rsidR="00D16DBA" w:rsidRPr="004C70EC" w:rsidRDefault="00877F95" w:rsidP="006514EF">
      <w:pPr>
        <w:spacing w:before="0" w:after="0" w:line="279" w:lineRule="auto"/>
        <w:ind w:left="720" w:hanging="720"/>
        <w:textAlignment w:val="baseline"/>
        <w:rPr>
          <w:rFonts w:eastAsia="Times New Roman"/>
          <w:noProof/>
          <w:color w:val="000000" w:themeColor="text1"/>
          <w:lang w:eastAsia="en-IE"/>
        </w:rPr>
      </w:pPr>
      <w:r w:rsidRPr="004C70EC">
        <w:rPr>
          <w:rFonts w:eastAsiaTheme="majorEastAsia"/>
          <w:noProof/>
          <w:color w:val="000000" w:themeColor="text1"/>
          <w:lang w:eastAsia="en-IE"/>
        </w:rPr>
        <w:t>1.</w:t>
      </w:r>
      <w:r w:rsidRPr="004C70EC">
        <w:rPr>
          <w:rFonts w:eastAsiaTheme="majorEastAsia"/>
          <w:noProof/>
          <w:color w:val="000000" w:themeColor="text1"/>
          <w:lang w:eastAsia="en-IE"/>
        </w:rPr>
        <w:tab/>
      </w:r>
      <w:r w:rsidR="00033D50" w:rsidRPr="004C70EC">
        <w:rPr>
          <w:rFonts w:eastAsiaTheme="majorEastAsia"/>
          <w:noProof/>
          <w:color w:val="000000" w:themeColor="text1"/>
          <w:lang w:eastAsia="en-IE"/>
        </w:rPr>
        <w:t>To enable access to the support measures laid down in Section 2 of Chapter II, t</w:t>
      </w:r>
      <w:r w:rsidR="00D16DBA" w:rsidRPr="004C70EC">
        <w:rPr>
          <w:rFonts w:eastAsiaTheme="majorEastAsia"/>
          <w:noProof/>
          <w:color w:val="000000" w:themeColor="text1"/>
          <w:lang w:eastAsia="en-IE"/>
        </w:rPr>
        <w:t>he Commission</w:t>
      </w:r>
      <w:r w:rsidR="006514EF" w:rsidRPr="004C70EC">
        <w:rPr>
          <w:rFonts w:eastAsiaTheme="majorEastAsia"/>
          <w:noProof/>
          <w:color w:val="000000" w:themeColor="text1"/>
          <w:lang w:eastAsia="en-IE"/>
        </w:rPr>
        <w:t xml:space="preserve"> </w:t>
      </w:r>
      <w:r w:rsidR="00D16DBA" w:rsidRPr="004C70EC">
        <w:rPr>
          <w:rFonts w:eastAsiaTheme="majorEastAsia"/>
          <w:noProof/>
          <w:color w:val="000000" w:themeColor="text1"/>
          <w:lang w:eastAsia="en-IE"/>
        </w:rPr>
        <w:t>shall recognise project</w:t>
      </w:r>
      <w:r w:rsidR="00033D50" w:rsidRPr="004C70EC">
        <w:rPr>
          <w:rFonts w:eastAsiaTheme="majorEastAsia"/>
          <w:noProof/>
          <w:color w:val="000000" w:themeColor="text1"/>
          <w:lang w:eastAsia="en-IE"/>
        </w:rPr>
        <w:t>s</w:t>
      </w:r>
      <w:r w:rsidR="00D16DBA" w:rsidRPr="004C70EC">
        <w:rPr>
          <w:rFonts w:eastAsiaTheme="majorEastAsia"/>
          <w:noProof/>
          <w:color w:val="000000" w:themeColor="text1"/>
          <w:lang w:eastAsia="en-IE"/>
        </w:rPr>
        <w:t xml:space="preserve"> </w:t>
      </w:r>
      <w:r w:rsidR="004338FC" w:rsidRPr="004C70EC">
        <w:rPr>
          <w:rFonts w:eastAsiaTheme="majorEastAsia"/>
          <w:noProof/>
          <w:color w:val="000000" w:themeColor="text1"/>
          <w:lang w:eastAsia="en-IE"/>
        </w:rPr>
        <w:t xml:space="preserve">located in the Union </w:t>
      </w:r>
      <w:r w:rsidR="00D16DBA" w:rsidRPr="004C70EC">
        <w:rPr>
          <w:rFonts w:eastAsiaTheme="majorEastAsia"/>
          <w:noProof/>
          <w:color w:val="000000" w:themeColor="text1"/>
          <w:lang w:eastAsia="en-IE"/>
        </w:rPr>
        <w:t>as high impact health biotechnology strategic</w:t>
      </w:r>
      <w:r w:rsidR="00D16DBA" w:rsidRPr="004C70EC">
        <w:rPr>
          <w:rFonts w:eastAsiaTheme="majorEastAsia"/>
          <w:b/>
          <w:noProof/>
          <w:color w:val="000000" w:themeColor="text1"/>
          <w:lang w:eastAsia="en-IE"/>
        </w:rPr>
        <w:t xml:space="preserve"> </w:t>
      </w:r>
      <w:r w:rsidR="00D16DBA" w:rsidRPr="004C70EC">
        <w:rPr>
          <w:rFonts w:eastAsiaTheme="majorEastAsia"/>
          <w:noProof/>
          <w:color w:val="000000" w:themeColor="text1"/>
          <w:lang w:eastAsia="en-IE"/>
        </w:rPr>
        <w:t>project</w:t>
      </w:r>
      <w:r w:rsidR="00033D50" w:rsidRPr="004C70EC">
        <w:rPr>
          <w:rFonts w:eastAsiaTheme="majorEastAsia"/>
          <w:noProof/>
          <w:color w:val="000000" w:themeColor="text1"/>
          <w:lang w:eastAsia="en-IE"/>
        </w:rPr>
        <w:t>s</w:t>
      </w:r>
      <w:r w:rsidR="00D16DBA" w:rsidRPr="004C70EC">
        <w:rPr>
          <w:rFonts w:eastAsiaTheme="majorEastAsia"/>
          <w:noProof/>
          <w:color w:val="000000" w:themeColor="text1"/>
          <w:lang w:eastAsia="en-IE"/>
        </w:rPr>
        <w:t xml:space="preserve"> for biodefence capability </w:t>
      </w:r>
      <w:r w:rsidR="003A78C6" w:rsidRPr="004C70EC">
        <w:rPr>
          <w:rFonts w:eastAsiaTheme="majorEastAsia"/>
          <w:noProof/>
          <w:color w:val="000000" w:themeColor="text1"/>
          <w:lang w:eastAsia="en-IE"/>
        </w:rPr>
        <w:t xml:space="preserve">only where </w:t>
      </w:r>
      <w:r w:rsidR="00033D50" w:rsidRPr="004C70EC">
        <w:rPr>
          <w:rFonts w:eastAsiaTheme="majorEastAsia"/>
          <w:noProof/>
          <w:color w:val="000000" w:themeColor="text1"/>
          <w:lang w:eastAsia="en-IE"/>
        </w:rPr>
        <w:t>they</w:t>
      </w:r>
      <w:r w:rsidR="003A78C6" w:rsidRPr="004C70EC">
        <w:rPr>
          <w:rFonts w:eastAsiaTheme="majorEastAsia"/>
          <w:noProof/>
          <w:color w:val="000000" w:themeColor="text1"/>
          <w:lang w:eastAsia="en-IE"/>
        </w:rPr>
        <w:t xml:space="preserve"> compl</w:t>
      </w:r>
      <w:r w:rsidR="00033D50" w:rsidRPr="004C70EC">
        <w:rPr>
          <w:rFonts w:eastAsiaTheme="majorEastAsia"/>
          <w:noProof/>
          <w:color w:val="000000" w:themeColor="text1"/>
          <w:lang w:eastAsia="en-IE"/>
        </w:rPr>
        <w:t>y</w:t>
      </w:r>
      <w:r w:rsidR="003A78C6" w:rsidRPr="004C70EC">
        <w:rPr>
          <w:rFonts w:eastAsiaTheme="majorEastAsia"/>
          <w:noProof/>
          <w:color w:val="000000" w:themeColor="text1"/>
          <w:lang w:eastAsia="en-IE"/>
        </w:rPr>
        <w:t xml:space="preserve"> with the conditions laid down in Article 4(1) </w:t>
      </w:r>
      <w:r w:rsidR="00911BE2" w:rsidRPr="004C70EC">
        <w:rPr>
          <w:rFonts w:eastAsiaTheme="majorEastAsia"/>
          <w:noProof/>
          <w:color w:val="000000" w:themeColor="text1"/>
          <w:lang w:eastAsia="en-IE"/>
        </w:rPr>
        <w:t>an</w:t>
      </w:r>
      <w:r w:rsidR="00A622D8" w:rsidRPr="004C70EC">
        <w:rPr>
          <w:rFonts w:eastAsiaTheme="majorEastAsia"/>
          <w:noProof/>
          <w:color w:val="000000" w:themeColor="text1"/>
          <w:lang w:eastAsia="en-IE"/>
        </w:rPr>
        <w:t>d</w:t>
      </w:r>
      <w:r w:rsidR="00D16DBA" w:rsidRPr="004C70EC">
        <w:rPr>
          <w:rFonts w:eastAsiaTheme="majorEastAsia"/>
          <w:noProof/>
          <w:color w:val="000000" w:themeColor="text1"/>
          <w:lang w:eastAsia="en-IE"/>
        </w:rPr>
        <w:t xml:space="preserve"> make a substantial contribution to at least one of the following:</w:t>
      </w:r>
    </w:p>
    <w:p w14:paraId="4AA3D478" w14:textId="77777777" w:rsidR="00D16DBA" w:rsidRPr="004C70EC" w:rsidRDefault="00D16DBA" w:rsidP="00D16DBA">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(a)</w:t>
      </w:r>
      <w:r w:rsidRPr="004C70EC">
        <w:rPr>
          <w:rFonts w:eastAsia="Times New Roman"/>
          <w:noProof/>
          <w:color w:val="000000" w:themeColor="text1"/>
          <w:szCs w:val="24"/>
          <w:lang w:eastAsia="en-IE"/>
        </w:rPr>
        <w:tab/>
        <w:t xml:space="preserve">preventing or mitigating misuse of biotechnologies; </w:t>
      </w:r>
    </w:p>
    <w:p w14:paraId="0A1AE6EC" w14:textId="77777777" w:rsidR="00D16DBA" w:rsidRPr="004C70EC" w:rsidRDefault="00D16DBA" w:rsidP="00D16DBA">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(b)</w:t>
      </w:r>
      <w:r w:rsidRPr="004C70EC">
        <w:rPr>
          <w:rFonts w:eastAsia="Times New Roman"/>
          <w:noProof/>
          <w:color w:val="000000" w:themeColor="text1"/>
          <w:szCs w:val="24"/>
          <w:lang w:eastAsia="en-IE"/>
        </w:rPr>
        <w:tab/>
        <w:t xml:space="preserve">rapid surge capacity for safe sampling, testing sequencing and swift manufacturing of rapid diagnostics; </w:t>
      </w:r>
    </w:p>
    <w:p w14:paraId="4519B1B8" w14:textId="77777777" w:rsidR="00D16DBA" w:rsidRPr="004C70EC" w:rsidRDefault="00D16DBA" w:rsidP="00D16DBA">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(c)</w:t>
      </w:r>
      <w:r w:rsidRPr="004C70EC">
        <w:rPr>
          <w:rFonts w:eastAsia="Times New Roman"/>
          <w:noProof/>
          <w:color w:val="000000" w:themeColor="text1"/>
          <w:szCs w:val="24"/>
          <w:lang w:eastAsia="en-IE"/>
        </w:rPr>
        <w:tab/>
        <w:t>analysis and assessment capacity of testing and sequencing data that can be mobilised across Member States;</w:t>
      </w:r>
      <w:r w:rsidRPr="004C70EC">
        <w:rPr>
          <w:rFonts w:eastAsia="Times New Roman"/>
          <w:noProof/>
          <w:color w:val="000000" w:themeColor="text1"/>
          <w:szCs w:val="24"/>
          <w:lang w:eastAsia="en-GB"/>
        </w:rPr>
        <w:t xml:space="preserve"> </w:t>
      </w:r>
    </w:p>
    <w:p w14:paraId="05C3AC59" w14:textId="77777777" w:rsidR="00D16DBA" w:rsidRPr="004C70EC" w:rsidRDefault="00D16DBA" w:rsidP="00D16DBA">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(d)</w:t>
      </w:r>
      <w:r w:rsidRPr="004C70EC">
        <w:rPr>
          <w:rFonts w:eastAsia="Times New Roman"/>
          <w:noProof/>
          <w:color w:val="000000" w:themeColor="text1"/>
          <w:szCs w:val="24"/>
          <w:lang w:eastAsia="en-IE"/>
        </w:rPr>
        <w:tab/>
        <w:t>robust pathogen-agnostic pharmaceutical and non-pharmaceutical defences against biological threats;</w:t>
      </w:r>
    </w:p>
    <w:p w14:paraId="3EB79744" w14:textId="77777777" w:rsidR="00D16DBA" w:rsidRPr="004C70EC" w:rsidRDefault="00D16DBA" w:rsidP="00D16DBA">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(e)</w:t>
      </w:r>
      <w:r w:rsidRPr="004C70EC">
        <w:rPr>
          <w:rFonts w:eastAsia="Times New Roman"/>
          <w:noProof/>
          <w:color w:val="000000" w:themeColor="text1"/>
          <w:szCs w:val="24"/>
          <w:lang w:eastAsia="en-IE"/>
        </w:rPr>
        <w:tab/>
        <w:t>development, validation and benchmarking of methods for the detection and attribution of genetic engineering, including the creation of open genetic engineering detection tools; </w:t>
      </w:r>
    </w:p>
    <w:p w14:paraId="2432E9BD" w14:textId="77777777" w:rsidR="00877F95" w:rsidRPr="004C70EC" w:rsidRDefault="00D16DBA" w:rsidP="00877F95">
      <w:pPr>
        <w:pStyle w:val="Point0"/>
        <w:rPr>
          <w:rFonts w:eastAsia="Times New Roman"/>
          <w:noProof/>
          <w:color w:val="000000" w:themeColor="text1"/>
          <w:lang w:eastAsia="en-IE"/>
        </w:rPr>
      </w:pPr>
      <w:r w:rsidRPr="004C70EC">
        <w:rPr>
          <w:rFonts w:eastAsia="Times New Roman"/>
          <w:noProof/>
          <w:color w:val="000000" w:themeColor="text1"/>
          <w:lang w:eastAsia="en-IE"/>
        </w:rPr>
        <w:t>(f)</w:t>
      </w:r>
      <w:r w:rsidRPr="004C70EC">
        <w:rPr>
          <w:noProof/>
        </w:rPr>
        <w:tab/>
      </w:r>
      <w:r w:rsidRPr="004C70EC">
        <w:rPr>
          <w:rFonts w:eastAsia="Times New Roman"/>
          <w:noProof/>
          <w:color w:val="000000" w:themeColor="text1"/>
          <w:lang w:eastAsia="en-IE"/>
        </w:rPr>
        <w:t>civilian and defence research, testing or demonstration infrastructures for biotechnology activities relevant to defence, security and resilience, provided that governance ensures clear separation of mandates and access regimes, with appropriate confidentiality and security safeguards, in line with relevant requirements arising from the Convention on the Prohibition of the Development, Production and Stockpiling of Bacteriological (Biological) and Toxin Weapons and on their Destruction (‘BTWC’), Union and national law. </w:t>
      </w:r>
    </w:p>
    <w:p w14:paraId="503DCFED" w14:textId="1E412082" w:rsidR="00877F95" w:rsidRPr="004C70EC" w:rsidRDefault="00877F95" w:rsidP="00D16DBA">
      <w:pPr>
        <w:pStyle w:val="Point0"/>
        <w:rPr>
          <w:rFonts w:eastAsia="Times New Roman"/>
          <w:noProof/>
          <w:color w:val="000000" w:themeColor="text1"/>
          <w:lang w:eastAsia="en-IE"/>
        </w:rPr>
      </w:pPr>
      <w:r w:rsidRPr="004C70EC">
        <w:rPr>
          <w:rFonts w:eastAsia="Times New Roman"/>
          <w:noProof/>
          <w:color w:val="000000" w:themeColor="text1"/>
          <w:lang w:eastAsia="en-IE"/>
        </w:rPr>
        <w:t>2.</w:t>
      </w:r>
      <w:r w:rsidRPr="004C70EC">
        <w:rPr>
          <w:noProof/>
        </w:rPr>
        <w:tab/>
      </w:r>
      <w:r w:rsidRPr="004C70EC">
        <w:rPr>
          <w:rFonts w:eastAsiaTheme="minorEastAsia"/>
          <w:noProof/>
          <w:lang w:eastAsia="ja-JP"/>
        </w:rPr>
        <w:t xml:space="preserve">The provisions of this Regulation regarding the application for, and the recognition of, high-impact </w:t>
      </w:r>
      <w:r w:rsidR="0028442C" w:rsidRPr="004C70EC">
        <w:rPr>
          <w:rFonts w:eastAsiaTheme="minorEastAsia"/>
          <w:noProof/>
          <w:lang w:eastAsia="ja-JP"/>
        </w:rPr>
        <w:t xml:space="preserve">health </w:t>
      </w:r>
      <w:r w:rsidRPr="004C70EC">
        <w:rPr>
          <w:rFonts w:eastAsiaTheme="minorEastAsia"/>
          <w:noProof/>
          <w:lang w:eastAsia="ja-JP"/>
        </w:rPr>
        <w:t>biotechnology strategic projects laid down in Articles</w:t>
      </w:r>
      <w:r>
        <w:rPr>
          <w:rFonts w:eastAsiaTheme="minorEastAsia"/>
          <w:noProof/>
          <w:lang w:eastAsia="ja-JP"/>
        </w:rPr>
        <w:t xml:space="preserve"> </w:t>
      </w:r>
      <w:r w:rsidRPr="004C70EC">
        <w:rPr>
          <w:rFonts w:eastAsiaTheme="minorEastAsia"/>
          <w:noProof/>
          <w:lang w:eastAsia="ja-JP"/>
        </w:rPr>
        <w:t>8 and 10, respectively, apply to projects referred to in this Article.</w:t>
      </w:r>
    </w:p>
    <w:p w14:paraId="6E5E8FE3" w14:textId="77777777" w:rsidR="00780471" w:rsidRPr="004C70EC" w:rsidRDefault="00780471" w:rsidP="00D16DBA">
      <w:pPr>
        <w:pStyle w:val="Point0"/>
        <w:rPr>
          <w:rFonts w:eastAsia="Times New Roman"/>
          <w:noProof/>
          <w:color w:val="000000" w:themeColor="text1"/>
          <w:szCs w:val="24"/>
          <w:lang w:eastAsia="en-IE"/>
        </w:rPr>
      </w:pPr>
    </w:p>
    <w:p w14:paraId="3CC2DAAC" w14:textId="77777777" w:rsidR="00D16DBA" w:rsidRPr="004C70EC" w:rsidRDefault="00D16DBA" w:rsidP="00D16DBA">
      <w:pPr>
        <w:pStyle w:val="SectionTitle"/>
        <w:rPr>
          <w:noProof/>
          <w:color w:val="000000" w:themeColor="text1"/>
          <w:sz w:val="24"/>
          <w:szCs w:val="24"/>
        </w:rPr>
      </w:pPr>
      <w:r w:rsidRPr="004C70EC">
        <w:rPr>
          <w:noProof/>
          <w:color w:val="000000" w:themeColor="text1"/>
          <w:sz w:val="24"/>
          <w:szCs w:val="24"/>
        </w:rPr>
        <w:t>SECTION 2</w:t>
      </w:r>
    </w:p>
    <w:p w14:paraId="1A4BBED8" w14:textId="77777777" w:rsidR="00D16DBA" w:rsidRPr="004C70EC" w:rsidRDefault="00D16DBA" w:rsidP="00D16DBA">
      <w:pPr>
        <w:pStyle w:val="SectionTitle"/>
        <w:rPr>
          <w:rFonts w:eastAsiaTheme="majorEastAsia"/>
          <w:b w:val="0"/>
          <w:bCs/>
          <w:noProof/>
          <w:color w:val="000000" w:themeColor="text1"/>
          <w:sz w:val="24"/>
          <w:szCs w:val="24"/>
        </w:rPr>
      </w:pPr>
      <w:r w:rsidRPr="004C70EC">
        <w:rPr>
          <w:rFonts w:eastAsiaTheme="majorEastAsia"/>
          <w:bCs/>
          <w:noProof/>
          <w:color w:val="000000" w:themeColor="text1"/>
          <w:sz w:val="24"/>
          <w:szCs w:val="24"/>
        </w:rPr>
        <w:t>Prevention of biotechnology misuse</w:t>
      </w:r>
    </w:p>
    <w:p w14:paraId="66E52D72" w14:textId="77777777" w:rsidR="00D16DBA" w:rsidRPr="004C70EC" w:rsidRDefault="00D16DBA" w:rsidP="00D16DBA">
      <w:pPr>
        <w:pStyle w:val="Titrearticle"/>
        <w:rPr>
          <w:rFonts w:eastAsia="Calibri"/>
          <w:i w:val="0"/>
          <w:noProof/>
          <w:color w:val="000000" w:themeColor="text1"/>
          <w:szCs w:val="24"/>
        </w:rPr>
      </w:pPr>
      <w:r w:rsidRPr="004C70EC">
        <w:rPr>
          <w:rFonts w:eastAsia="Calibri"/>
          <w:noProof/>
          <w:color w:val="000000" w:themeColor="text1"/>
          <w:szCs w:val="24"/>
        </w:rPr>
        <w:t xml:space="preserve">Article </w:t>
      </w:r>
      <w:r w:rsidR="00A01B18" w:rsidRPr="004C70EC">
        <w:rPr>
          <w:rFonts w:eastAsia="Calibri"/>
          <w:noProof/>
          <w:color w:val="000000" w:themeColor="text1"/>
          <w:szCs w:val="24"/>
        </w:rPr>
        <w:t>43</w:t>
      </w:r>
    </w:p>
    <w:p w14:paraId="010D6B79" w14:textId="77777777" w:rsidR="00D16DBA" w:rsidRPr="004C70EC" w:rsidRDefault="00D16DBA" w:rsidP="00D16DBA">
      <w:pPr>
        <w:keepNext/>
        <w:keepLines/>
        <w:spacing w:before="160" w:after="80" w:line="279" w:lineRule="auto"/>
        <w:jc w:val="center"/>
        <w:outlineLvl w:val="2"/>
        <w:rPr>
          <w:rFonts w:eastAsia="Calibri"/>
          <w:b/>
          <w:bCs/>
          <w:noProof/>
          <w:color w:val="000000" w:themeColor="text1"/>
          <w:szCs w:val="24"/>
        </w:rPr>
      </w:pPr>
      <w:r w:rsidRPr="004C70EC">
        <w:rPr>
          <w:rFonts w:eastAsia="Calibri"/>
          <w:b/>
          <w:bCs/>
          <w:noProof/>
          <w:color w:val="000000" w:themeColor="text1"/>
          <w:szCs w:val="24"/>
        </w:rPr>
        <w:t>Biotechnology products of concern</w:t>
      </w:r>
    </w:p>
    <w:p w14:paraId="7AE0BA80" w14:textId="77777777" w:rsidR="00D16DBA" w:rsidRPr="004C70EC" w:rsidRDefault="00D16DBA" w:rsidP="00D16DBA">
      <w:pPr>
        <w:pStyle w:val="Point0"/>
        <w:rPr>
          <w:rFonts w:eastAsia="Calibri"/>
          <w:noProof/>
          <w:color w:val="000000" w:themeColor="text1"/>
          <w:szCs w:val="24"/>
        </w:rPr>
      </w:pPr>
      <w:r w:rsidRPr="004C70EC">
        <w:rPr>
          <w:rFonts w:eastAsia="Calibri"/>
          <w:noProof/>
          <w:color w:val="000000" w:themeColor="text1"/>
          <w:szCs w:val="24"/>
        </w:rPr>
        <w:t>1.</w:t>
      </w:r>
      <w:r w:rsidRPr="004C70EC">
        <w:rPr>
          <w:noProof/>
          <w:color w:val="000000" w:themeColor="text1"/>
          <w:szCs w:val="24"/>
        </w:rPr>
        <w:tab/>
      </w:r>
      <w:r w:rsidRPr="004C70EC">
        <w:rPr>
          <w:rFonts w:eastAsia="Calibri"/>
          <w:noProof/>
          <w:color w:val="000000" w:themeColor="text1"/>
          <w:szCs w:val="24"/>
        </w:rPr>
        <w:t>Biotechnology products of concern in Annex I shall only be made available to, introduced, or used by any natural or legal person in the Union, as well as made available to any natural or legal person outside the Union, that has a legitimate need for those products, in accordance with this Section.</w:t>
      </w:r>
    </w:p>
    <w:p w14:paraId="1A5FAD86" w14:textId="00F967E2" w:rsidR="00D16DBA" w:rsidRPr="004C70EC" w:rsidRDefault="00D16DBA" w:rsidP="00D16DBA">
      <w:pPr>
        <w:pStyle w:val="Point0"/>
        <w:rPr>
          <w:rFonts w:eastAsia="Calibri"/>
          <w:noProof/>
          <w:color w:val="000000" w:themeColor="text1"/>
          <w:szCs w:val="24"/>
        </w:rPr>
      </w:pPr>
      <w:r w:rsidRPr="004C70EC">
        <w:rPr>
          <w:rFonts w:eastAsia="Calibri"/>
          <w:noProof/>
          <w:color w:val="000000" w:themeColor="text1"/>
          <w:szCs w:val="24"/>
        </w:rPr>
        <w:t>2.</w:t>
      </w:r>
      <w:r w:rsidRPr="004C70EC">
        <w:rPr>
          <w:noProof/>
          <w:color w:val="000000" w:themeColor="text1"/>
          <w:szCs w:val="24"/>
        </w:rPr>
        <w:tab/>
      </w:r>
      <w:r w:rsidRPr="004C70EC">
        <w:rPr>
          <w:rFonts w:eastAsia="Calibri"/>
          <w:noProof/>
          <w:color w:val="000000" w:themeColor="text1"/>
          <w:szCs w:val="24"/>
        </w:rPr>
        <w:t>The Commission is empowered to adopt delegated acts in accordance with Article 6</w:t>
      </w:r>
      <w:r w:rsidR="006343B8" w:rsidRPr="004C70EC">
        <w:rPr>
          <w:rFonts w:eastAsia="Calibri"/>
          <w:noProof/>
          <w:color w:val="000000" w:themeColor="text1"/>
          <w:szCs w:val="24"/>
        </w:rPr>
        <w:t>4</w:t>
      </w:r>
      <w:r>
        <w:rPr>
          <w:rFonts w:eastAsia="Calibri"/>
          <w:noProof/>
          <w:color w:val="000000" w:themeColor="text1"/>
          <w:szCs w:val="24"/>
        </w:rPr>
        <w:t xml:space="preserve"> (</w:t>
      </w:r>
      <w:r w:rsidRPr="004C70EC">
        <w:rPr>
          <w:rFonts w:eastAsia="Calibri"/>
          <w:noProof/>
          <w:color w:val="000000" w:themeColor="text1"/>
          <w:szCs w:val="24"/>
        </w:rPr>
        <w:t>2</w:t>
      </w:r>
      <w:r>
        <w:rPr>
          <w:rFonts w:eastAsia="Calibri"/>
          <w:noProof/>
          <w:color w:val="000000" w:themeColor="text1"/>
          <w:szCs w:val="24"/>
        </w:rPr>
        <w:t xml:space="preserve">) </w:t>
      </w:r>
      <w:r w:rsidRPr="004C70EC">
        <w:rPr>
          <w:rFonts w:eastAsia="Calibri"/>
          <w:noProof/>
          <w:color w:val="000000" w:themeColor="text1"/>
          <w:szCs w:val="24"/>
        </w:rPr>
        <w:t>to amend Annex I by adding, removing or modifying categories of biotechnology products of concern, setting or adjusting thresholds or exclusions, and specifying technical parameters, in order to reflect developments in scientific evidence, biosecurity and biosafety risks or patterns of misuse, also considering the latest developments under relevant international fora and instruments.</w:t>
      </w:r>
    </w:p>
    <w:p w14:paraId="6390B7C8" w14:textId="77777777" w:rsidR="00D16DBA" w:rsidRPr="004C70EC" w:rsidRDefault="00D16DBA" w:rsidP="00D16DBA">
      <w:pPr>
        <w:pStyle w:val="Titrearticle"/>
        <w:rPr>
          <w:rFonts w:eastAsia="Calibri"/>
          <w:i w:val="0"/>
          <w:noProof/>
          <w:color w:val="000000" w:themeColor="text1"/>
          <w:szCs w:val="24"/>
        </w:rPr>
      </w:pPr>
      <w:r w:rsidRPr="004C70EC">
        <w:rPr>
          <w:rFonts w:eastAsia="Calibri"/>
          <w:noProof/>
          <w:color w:val="000000" w:themeColor="text1"/>
          <w:szCs w:val="24"/>
        </w:rPr>
        <w:t>Article</w:t>
      </w:r>
      <w:r w:rsidRPr="004C70EC">
        <w:rPr>
          <w:rFonts w:eastAsia="Calibri"/>
          <w:iCs/>
          <w:noProof/>
          <w:color w:val="000000" w:themeColor="text1"/>
          <w:szCs w:val="24"/>
        </w:rPr>
        <w:t xml:space="preserve"> </w:t>
      </w:r>
      <w:r w:rsidR="00A01B18" w:rsidRPr="004C70EC">
        <w:rPr>
          <w:rFonts w:eastAsia="Calibri"/>
          <w:iCs/>
          <w:noProof/>
          <w:color w:val="000000" w:themeColor="text1"/>
          <w:szCs w:val="24"/>
        </w:rPr>
        <w:t>44</w:t>
      </w:r>
    </w:p>
    <w:p w14:paraId="41E76626" w14:textId="77777777" w:rsidR="00D16DBA" w:rsidRPr="004C70EC" w:rsidRDefault="00D16DBA" w:rsidP="00D16DBA">
      <w:pPr>
        <w:keepNext/>
        <w:keepLines/>
        <w:spacing w:before="160" w:after="80" w:line="279" w:lineRule="auto"/>
        <w:jc w:val="center"/>
        <w:outlineLvl w:val="2"/>
        <w:rPr>
          <w:rFonts w:eastAsia="Calibri"/>
          <w:b/>
          <w:bCs/>
          <w:noProof/>
          <w:color w:val="000000" w:themeColor="text1"/>
          <w:szCs w:val="24"/>
        </w:rPr>
      </w:pPr>
      <w:r w:rsidRPr="004C70EC">
        <w:rPr>
          <w:rFonts w:eastAsia="Calibri"/>
          <w:b/>
          <w:bCs/>
          <w:noProof/>
          <w:color w:val="000000" w:themeColor="text1"/>
          <w:szCs w:val="24"/>
        </w:rPr>
        <w:t>Verification of legitimate need</w:t>
      </w:r>
    </w:p>
    <w:p w14:paraId="65468842" w14:textId="77777777" w:rsidR="00D16DBA" w:rsidRPr="004C70EC" w:rsidRDefault="00D16DBA" w:rsidP="00D16DBA">
      <w:pPr>
        <w:pStyle w:val="Point0"/>
        <w:rPr>
          <w:rFonts w:eastAsia="Calibri"/>
          <w:noProof/>
          <w:color w:val="000000" w:themeColor="text1"/>
          <w:szCs w:val="24"/>
        </w:rPr>
      </w:pPr>
      <w:r w:rsidRPr="004C70EC">
        <w:rPr>
          <w:rFonts w:eastAsia="Calibri"/>
          <w:noProof/>
          <w:color w:val="000000" w:themeColor="text1"/>
          <w:szCs w:val="24"/>
        </w:rPr>
        <w:t>1.</w:t>
      </w:r>
      <w:r w:rsidRPr="004C70EC">
        <w:rPr>
          <w:rFonts w:eastAsia="Calibri"/>
          <w:noProof/>
          <w:color w:val="000000" w:themeColor="text1"/>
          <w:szCs w:val="24"/>
        </w:rPr>
        <w:tab/>
        <w:t xml:space="preserve">An economic operator that makes available on the Union market, including through online marketplaces, </w:t>
      </w:r>
      <w:r w:rsidRPr="004C70EC">
        <w:rPr>
          <w:rFonts w:eastAsiaTheme="minorEastAsia"/>
          <w:noProof/>
          <w:color w:val="000000" w:themeColor="text1"/>
          <w:szCs w:val="24"/>
        </w:rPr>
        <w:t xml:space="preserve">biotechnology </w:t>
      </w:r>
      <w:r w:rsidRPr="004C70EC">
        <w:rPr>
          <w:rFonts w:eastAsia="Calibri"/>
          <w:noProof/>
          <w:color w:val="000000" w:themeColor="text1"/>
          <w:szCs w:val="24"/>
        </w:rPr>
        <w:t>products of concern, shall, for each transaction, verify proof of identity of the prospective customer, record the transaction, including the quantities ordered, and assess whether the customer has a legitimate need.</w:t>
      </w:r>
    </w:p>
    <w:p w14:paraId="5DE63E9E" w14:textId="77777777" w:rsidR="00D16DBA" w:rsidRPr="004C70EC" w:rsidRDefault="00D16DBA" w:rsidP="00D16DBA">
      <w:pPr>
        <w:pStyle w:val="Point0"/>
        <w:rPr>
          <w:rFonts w:eastAsia="Calibri"/>
          <w:noProof/>
          <w:color w:val="000000" w:themeColor="text1"/>
          <w:szCs w:val="24"/>
        </w:rPr>
      </w:pPr>
      <w:r w:rsidRPr="004C70EC">
        <w:rPr>
          <w:rFonts w:eastAsia="Calibri"/>
          <w:noProof/>
          <w:color w:val="000000" w:themeColor="text1"/>
          <w:szCs w:val="24"/>
        </w:rPr>
        <w:t>2.</w:t>
      </w:r>
      <w:r w:rsidRPr="004C70EC">
        <w:rPr>
          <w:rFonts w:eastAsia="Calibri"/>
          <w:noProof/>
          <w:color w:val="000000" w:themeColor="text1"/>
          <w:szCs w:val="24"/>
        </w:rPr>
        <w:tab/>
        <w:t>For the purposes of conducting the verification referred to in paragraph 1, the economic operator shall request the following information from the prospective customer prior to facilitating the exchange:</w:t>
      </w:r>
    </w:p>
    <w:p w14:paraId="64FD09CA" w14:textId="77777777" w:rsidR="00D16DBA" w:rsidRPr="004C70EC" w:rsidRDefault="00D16DBA" w:rsidP="00D16DBA">
      <w:pPr>
        <w:pStyle w:val="Point1"/>
        <w:rPr>
          <w:noProof/>
          <w:color w:val="000000" w:themeColor="text1"/>
          <w:szCs w:val="24"/>
        </w:rPr>
      </w:pPr>
      <w:r w:rsidRPr="004C70EC">
        <w:rPr>
          <w:noProof/>
          <w:color w:val="000000" w:themeColor="text1"/>
          <w:szCs w:val="24"/>
        </w:rPr>
        <w:t>(a)</w:t>
      </w:r>
      <w:r w:rsidRPr="004C70EC">
        <w:rPr>
          <w:noProof/>
          <w:color w:val="000000" w:themeColor="text1"/>
          <w:szCs w:val="24"/>
        </w:rPr>
        <w:tab/>
        <w:t>proof of identity of the person;</w:t>
      </w:r>
    </w:p>
    <w:p w14:paraId="5A6D74C8" w14:textId="77777777" w:rsidR="00D16DBA" w:rsidRPr="004C70EC" w:rsidRDefault="00D16DBA" w:rsidP="00D16DBA">
      <w:pPr>
        <w:pStyle w:val="Point1"/>
        <w:rPr>
          <w:rFonts w:eastAsia="Calibri"/>
          <w:noProof/>
          <w:color w:val="000000" w:themeColor="text1"/>
          <w:szCs w:val="24"/>
        </w:rPr>
      </w:pPr>
      <w:r w:rsidRPr="004C70EC">
        <w:rPr>
          <w:rFonts w:eastAsia="Calibri"/>
          <w:noProof/>
          <w:color w:val="000000" w:themeColor="text1"/>
          <w:szCs w:val="24"/>
        </w:rPr>
        <w:t>(b)</w:t>
      </w:r>
      <w:r w:rsidRPr="004C70EC">
        <w:rPr>
          <w:rFonts w:eastAsia="Calibri"/>
          <w:noProof/>
          <w:color w:val="000000" w:themeColor="text1"/>
          <w:szCs w:val="24"/>
        </w:rPr>
        <w:tab/>
        <w:t>institutional or corporate affiliation;</w:t>
      </w:r>
    </w:p>
    <w:p w14:paraId="3425F3CD" w14:textId="77777777" w:rsidR="00D16DBA" w:rsidRPr="004C70EC" w:rsidRDefault="00D16DBA" w:rsidP="00D16DBA">
      <w:pPr>
        <w:pStyle w:val="Point1"/>
        <w:rPr>
          <w:rFonts w:eastAsia="Calibri"/>
          <w:noProof/>
          <w:color w:val="000000" w:themeColor="text1"/>
          <w:szCs w:val="24"/>
        </w:rPr>
      </w:pPr>
      <w:r w:rsidRPr="004C70EC">
        <w:rPr>
          <w:rFonts w:eastAsia="Calibri"/>
          <w:noProof/>
          <w:color w:val="000000" w:themeColor="text1"/>
          <w:szCs w:val="24"/>
        </w:rPr>
        <w:t>(c)</w:t>
      </w:r>
      <w:r w:rsidRPr="004C70EC">
        <w:rPr>
          <w:noProof/>
          <w:color w:val="000000" w:themeColor="text1"/>
          <w:szCs w:val="24"/>
        </w:rPr>
        <w:tab/>
      </w:r>
      <w:r w:rsidRPr="004C70EC">
        <w:rPr>
          <w:rFonts w:eastAsia="Calibri"/>
          <w:noProof/>
          <w:color w:val="000000" w:themeColor="text1"/>
          <w:szCs w:val="24"/>
        </w:rPr>
        <w:t>documentation establishing the legitimacy of the institution or corporation, such as address, any official registration number, evidence of legal personality and of a purpose, and, where applicable, evidence of authorisations, certifications or biosafety approvals appropriate to the intended use;</w:t>
      </w:r>
      <w:r w:rsidRPr="004C70EC">
        <w:rPr>
          <w:rFonts w:eastAsiaTheme="minorEastAsia"/>
          <w:noProof/>
          <w:color w:val="000000" w:themeColor="text1"/>
          <w:szCs w:val="24"/>
        </w:rPr>
        <w:t xml:space="preserve"> </w:t>
      </w:r>
    </w:p>
    <w:p w14:paraId="2F06BC77" w14:textId="77777777" w:rsidR="00D16DBA" w:rsidRPr="004C70EC" w:rsidRDefault="00D16DBA" w:rsidP="00D16DBA">
      <w:pPr>
        <w:pStyle w:val="Point1"/>
        <w:rPr>
          <w:rFonts w:eastAsia="Calibri"/>
          <w:noProof/>
          <w:color w:val="000000" w:themeColor="text1"/>
          <w:szCs w:val="24"/>
        </w:rPr>
      </w:pPr>
      <w:r w:rsidRPr="004C70EC">
        <w:rPr>
          <w:rFonts w:eastAsia="Calibri"/>
          <w:noProof/>
          <w:color w:val="000000" w:themeColor="text1"/>
          <w:szCs w:val="24"/>
        </w:rPr>
        <w:t>(d)</w:t>
      </w:r>
      <w:r w:rsidRPr="004C70EC">
        <w:rPr>
          <w:rFonts w:eastAsia="Calibri"/>
          <w:noProof/>
          <w:color w:val="000000" w:themeColor="text1"/>
          <w:szCs w:val="24"/>
        </w:rPr>
        <w:tab/>
        <w:t xml:space="preserve">information on the intended use of the product. </w:t>
      </w:r>
    </w:p>
    <w:p w14:paraId="3078F587" w14:textId="77777777" w:rsidR="00D16DBA" w:rsidRPr="004C70EC" w:rsidRDefault="00D16DBA" w:rsidP="00D16DBA">
      <w:pPr>
        <w:pStyle w:val="Text1"/>
        <w:rPr>
          <w:noProof/>
          <w:color w:val="000000" w:themeColor="text1"/>
          <w:szCs w:val="24"/>
          <w:lang w:val="en-IE"/>
        </w:rPr>
      </w:pPr>
      <w:r w:rsidRPr="004C70EC">
        <w:rPr>
          <w:noProof/>
          <w:color w:val="000000" w:themeColor="text1"/>
          <w:szCs w:val="24"/>
          <w:lang w:val="en-IE"/>
        </w:rPr>
        <w:t>The first subparagraph, with the exception of transaction recording, shall not apply where the economic operator has conducted an equivalent verification for the same customer within the preceding five years and the new transaction does not significantly deviate in nature or scale from previous transactions.</w:t>
      </w:r>
    </w:p>
    <w:p w14:paraId="2B6FFCC8" w14:textId="77777777" w:rsidR="00D16DBA" w:rsidRPr="004C70EC" w:rsidRDefault="00D16DBA" w:rsidP="00D16DBA">
      <w:pPr>
        <w:pStyle w:val="Point0"/>
        <w:rPr>
          <w:rFonts w:eastAsia="Calibri"/>
          <w:noProof/>
          <w:color w:val="000000" w:themeColor="text1"/>
          <w:szCs w:val="24"/>
          <w:lang w:val="en-IE"/>
        </w:rPr>
      </w:pPr>
      <w:r w:rsidRPr="004C70EC">
        <w:rPr>
          <w:rFonts w:eastAsia="Calibri"/>
          <w:noProof/>
          <w:color w:val="000000" w:themeColor="text1"/>
          <w:szCs w:val="24"/>
          <w:lang w:val="en-IE"/>
        </w:rPr>
        <w:t>3.</w:t>
      </w:r>
      <w:r w:rsidRPr="004C70EC">
        <w:rPr>
          <w:rFonts w:eastAsia="Calibri"/>
          <w:noProof/>
          <w:color w:val="000000" w:themeColor="text1"/>
          <w:szCs w:val="24"/>
          <w:lang w:val="en-IE"/>
        </w:rPr>
        <w:tab/>
        <w:t>When assessing legitimate need, the economic operator shall take into account all relevant circumstances, in particular, as applicable:</w:t>
      </w:r>
    </w:p>
    <w:p w14:paraId="02415C1A" w14:textId="77777777" w:rsidR="00D16DBA" w:rsidRPr="004C70EC" w:rsidRDefault="00D16DBA" w:rsidP="00D16DBA">
      <w:pPr>
        <w:pStyle w:val="Point1"/>
        <w:rPr>
          <w:rFonts w:eastAsia="Calibri"/>
          <w:noProof/>
          <w:color w:val="000000" w:themeColor="text1"/>
          <w:szCs w:val="24"/>
        </w:rPr>
      </w:pPr>
      <w:r w:rsidRPr="004C70EC">
        <w:rPr>
          <w:rFonts w:eastAsia="Calibri"/>
          <w:noProof/>
          <w:color w:val="000000" w:themeColor="text1"/>
          <w:szCs w:val="24"/>
        </w:rPr>
        <w:t>(a)</w:t>
      </w:r>
      <w:r w:rsidRPr="004C70EC">
        <w:rPr>
          <w:noProof/>
          <w:color w:val="000000" w:themeColor="text1"/>
          <w:szCs w:val="24"/>
        </w:rPr>
        <w:tab/>
      </w:r>
      <w:r w:rsidRPr="004C70EC">
        <w:rPr>
          <w:rFonts w:eastAsia="Calibri"/>
          <w:noProof/>
          <w:color w:val="000000" w:themeColor="text1"/>
          <w:szCs w:val="24"/>
        </w:rPr>
        <w:t>the demonstrable need for the biotechnology product of concern and the legitimacy of its intended use;</w:t>
      </w:r>
    </w:p>
    <w:p w14:paraId="207703F3" w14:textId="77777777" w:rsidR="00D16DBA" w:rsidRPr="004C70EC" w:rsidRDefault="00D16DBA" w:rsidP="00D16DBA">
      <w:pPr>
        <w:pStyle w:val="Point1"/>
        <w:rPr>
          <w:rFonts w:eastAsia="Calibri"/>
          <w:noProof/>
          <w:color w:val="000000" w:themeColor="text1"/>
          <w:szCs w:val="24"/>
        </w:rPr>
      </w:pPr>
      <w:r w:rsidRPr="004C70EC">
        <w:rPr>
          <w:rFonts w:eastAsia="Calibri"/>
          <w:noProof/>
          <w:color w:val="000000" w:themeColor="text1"/>
          <w:szCs w:val="24"/>
        </w:rPr>
        <w:t>(b)</w:t>
      </w:r>
      <w:r w:rsidRPr="004C70EC">
        <w:rPr>
          <w:noProof/>
          <w:color w:val="000000" w:themeColor="text1"/>
          <w:szCs w:val="24"/>
        </w:rPr>
        <w:tab/>
      </w:r>
      <w:r w:rsidRPr="004C70EC">
        <w:rPr>
          <w:rFonts w:eastAsia="Calibri"/>
          <w:noProof/>
          <w:color w:val="000000" w:themeColor="text1"/>
          <w:szCs w:val="24"/>
        </w:rPr>
        <w:t>the background of the applicant;</w:t>
      </w:r>
    </w:p>
    <w:p w14:paraId="10DF4518" w14:textId="77777777" w:rsidR="00D16DBA" w:rsidRPr="004C70EC" w:rsidRDefault="00D16DBA" w:rsidP="00D16DBA">
      <w:pPr>
        <w:pStyle w:val="Point1"/>
        <w:rPr>
          <w:rFonts w:eastAsia="Calibri"/>
          <w:noProof/>
          <w:color w:val="000000" w:themeColor="text1"/>
          <w:szCs w:val="24"/>
        </w:rPr>
      </w:pPr>
      <w:r w:rsidRPr="004C70EC">
        <w:rPr>
          <w:rFonts w:eastAsia="Calibri"/>
          <w:noProof/>
          <w:color w:val="000000" w:themeColor="text1"/>
          <w:szCs w:val="24"/>
        </w:rPr>
        <w:t>(c)</w:t>
      </w:r>
      <w:r w:rsidRPr="004C70EC">
        <w:rPr>
          <w:noProof/>
          <w:color w:val="000000" w:themeColor="text1"/>
          <w:szCs w:val="24"/>
        </w:rPr>
        <w:tab/>
      </w:r>
      <w:r w:rsidRPr="004C70EC">
        <w:rPr>
          <w:rFonts w:eastAsia="Calibri"/>
          <w:noProof/>
          <w:color w:val="000000" w:themeColor="text1"/>
          <w:szCs w:val="24"/>
        </w:rPr>
        <w:t>the applicant’s compliance history with the economic operator and, where available, with other operators, including past incidents or refused orders;</w:t>
      </w:r>
    </w:p>
    <w:p w14:paraId="606A5C98" w14:textId="77777777" w:rsidR="00D16DBA" w:rsidRPr="004C70EC" w:rsidRDefault="00D16DBA" w:rsidP="00D16DBA">
      <w:pPr>
        <w:pStyle w:val="Point1"/>
        <w:rPr>
          <w:rFonts w:eastAsia="Calibri"/>
          <w:noProof/>
          <w:color w:val="000000" w:themeColor="text1"/>
          <w:szCs w:val="24"/>
        </w:rPr>
      </w:pPr>
      <w:r w:rsidRPr="004C70EC">
        <w:rPr>
          <w:rFonts w:eastAsia="Calibri"/>
          <w:noProof/>
          <w:color w:val="000000" w:themeColor="text1"/>
          <w:szCs w:val="24"/>
        </w:rPr>
        <w:t>(d)</w:t>
      </w:r>
      <w:r w:rsidRPr="004C70EC">
        <w:rPr>
          <w:rFonts w:eastAsia="Calibri"/>
          <w:noProof/>
          <w:color w:val="000000" w:themeColor="text1"/>
          <w:szCs w:val="24"/>
        </w:rPr>
        <w:tab/>
        <w:t>credentials that demonstrate evidence of the legitimate need, including relevant academic publications, history or track record in a related domain;</w:t>
      </w:r>
    </w:p>
    <w:p w14:paraId="6B6F19DE" w14:textId="77777777" w:rsidR="00D16DBA" w:rsidRPr="004C70EC" w:rsidRDefault="00D16DBA" w:rsidP="00D16DBA">
      <w:pPr>
        <w:pStyle w:val="Point1"/>
        <w:rPr>
          <w:rFonts w:eastAsia="Calibri"/>
          <w:noProof/>
          <w:color w:val="000000" w:themeColor="text1"/>
          <w:szCs w:val="24"/>
        </w:rPr>
      </w:pPr>
      <w:r w:rsidRPr="004C70EC">
        <w:rPr>
          <w:rFonts w:eastAsia="Calibri"/>
          <w:noProof/>
          <w:color w:val="000000" w:themeColor="text1"/>
          <w:szCs w:val="24"/>
        </w:rPr>
        <w:t>(e)</w:t>
      </w:r>
      <w:r w:rsidRPr="004C70EC">
        <w:rPr>
          <w:rFonts w:eastAsia="Calibri"/>
          <w:noProof/>
          <w:color w:val="000000" w:themeColor="text1"/>
          <w:szCs w:val="24"/>
        </w:rPr>
        <w:tab/>
        <w:t>documentation establishing the existence of suitable facilities, competencies and biosafety arrangements appropriate to the intended use.</w:t>
      </w:r>
    </w:p>
    <w:p w14:paraId="20405402" w14:textId="77777777" w:rsidR="00D16DBA" w:rsidRPr="004C70EC" w:rsidRDefault="00D16DBA" w:rsidP="00D16DBA">
      <w:pPr>
        <w:pStyle w:val="Point0"/>
        <w:rPr>
          <w:rFonts w:eastAsia="Calibri"/>
          <w:noProof/>
          <w:color w:val="000000" w:themeColor="text1"/>
          <w:szCs w:val="24"/>
        </w:rPr>
      </w:pPr>
      <w:r w:rsidRPr="004C70EC">
        <w:rPr>
          <w:rFonts w:eastAsia="Calibri"/>
          <w:noProof/>
          <w:color w:val="000000" w:themeColor="text1"/>
          <w:szCs w:val="24"/>
        </w:rPr>
        <w:t>4.</w:t>
      </w:r>
      <w:r w:rsidRPr="004C70EC">
        <w:rPr>
          <w:rFonts w:eastAsia="Calibri"/>
          <w:noProof/>
          <w:color w:val="000000" w:themeColor="text1"/>
          <w:szCs w:val="24"/>
        </w:rPr>
        <w:tab/>
        <w:t>The economic operator shall refuse to make the biotechnology products of concern available in the case of a suspicious transaction.</w:t>
      </w:r>
    </w:p>
    <w:p w14:paraId="5EE39C07" w14:textId="77777777" w:rsidR="00D16DBA" w:rsidRPr="004C70EC" w:rsidRDefault="00D16DBA" w:rsidP="00D16DBA">
      <w:pPr>
        <w:pStyle w:val="Point0"/>
        <w:rPr>
          <w:rFonts w:eastAsia="Calibri"/>
          <w:noProof/>
          <w:color w:val="000000" w:themeColor="text1"/>
          <w:szCs w:val="24"/>
        </w:rPr>
      </w:pPr>
      <w:r w:rsidRPr="004C70EC">
        <w:rPr>
          <w:rFonts w:eastAsia="Calibri"/>
          <w:noProof/>
          <w:color w:val="000000" w:themeColor="text1"/>
          <w:szCs w:val="24"/>
        </w:rPr>
        <w:t>5.</w:t>
      </w:r>
      <w:r w:rsidRPr="004C70EC">
        <w:rPr>
          <w:rFonts w:eastAsia="Calibri"/>
          <w:noProof/>
          <w:color w:val="000000" w:themeColor="text1"/>
          <w:szCs w:val="24"/>
        </w:rPr>
        <w:tab/>
        <w:t xml:space="preserve">The economic operator shall report to the national contact point referred to in Article </w:t>
      </w:r>
      <w:r w:rsidR="005D7DF2" w:rsidRPr="004C70EC">
        <w:rPr>
          <w:rFonts w:eastAsia="Calibri"/>
          <w:noProof/>
          <w:color w:val="000000" w:themeColor="text1"/>
          <w:szCs w:val="24"/>
        </w:rPr>
        <w:t>46</w:t>
      </w:r>
      <w:r w:rsidR="00173B01" w:rsidRPr="004C70EC">
        <w:rPr>
          <w:rFonts w:eastAsia="Calibri"/>
          <w:noProof/>
          <w:color w:val="000000" w:themeColor="text1"/>
          <w:szCs w:val="24"/>
        </w:rPr>
        <w:t>(</w:t>
      </w:r>
      <w:r w:rsidRPr="004C70EC">
        <w:rPr>
          <w:rFonts w:eastAsia="Calibri"/>
          <w:noProof/>
          <w:color w:val="000000" w:themeColor="text1"/>
          <w:szCs w:val="24"/>
        </w:rPr>
        <w:t>3</w:t>
      </w:r>
      <w:r w:rsidR="00173B01" w:rsidRPr="004C70EC">
        <w:rPr>
          <w:rFonts w:eastAsia="Calibri"/>
          <w:noProof/>
          <w:color w:val="000000" w:themeColor="text1"/>
          <w:szCs w:val="24"/>
        </w:rPr>
        <w:t>)</w:t>
      </w:r>
      <w:r w:rsidRPr="004C70EC">
        <w:rPr>
          <w:rFonts w:eastAsia="Calibri"/>
          <w:noProof/>
          <w:color w:val="000000" w:themeColor="text1"/>
          <w:szCs w:val="24"/>
        </w:rPr>
        <w:t xml:space="preserve"> any suspicious transaction, or attempted suspicious transaction, in accordance with Article </w:t>
      </w:r>
      <w:r w:rsidR="00766420" w:rsidRPr="004C70EC">
        <w:rPr>
          <w:rFonts w:eastAsia="Calibri"/>
          <w:noProof/>
          <w:color w:val="000000" w:themeColor="text1"/>
          <w:szCs w:val="24"/>
        </w:rPr>
        <w:t>4</w:t>
      </w:r>
      <w:r w:rsidR="00721D3B" w:rsidRPr="004C70EC">
        <w:rPr>
          <w:rFonts w:eastAsia="Calibri"/>
          <w:noProof/>
          <w:color w:val="000000" w:themeColor="text1"/>
          <w:szCs w:val="24"/>
        </w:rPr>
        <w:t>6</w:t>
      </w:r>
      <w:r w:rsidR="00766420" w:rsidRPr="004C70EC">
        <w:rPr>
          <w:rFonts w:eastAsia="Calibri"/>
          <w:noProof/>
          <w:color w:val="000000" w:themeColor="text1"/>
          <w:szCs w:val="24"/>
        </w:rPr>
        <w:t>(5)</w:t>
      </w:r>
      <w:r w:rsidRPr="004C70EC">
        <w:rPr>
          <w:rFonts w:eastAsia="Calibri"/>
          <w:noProof/>
          <w:color w:val="000000" w:themeColor="text1"/>
          <w:szCs w:val="24"/>
        </w:rPr>
        <w:t>.</w:t>
      </w:r>
    </w:p>
    <w:p w14:paraId="5CE5A76F" w14:textId="77777777" w:rsidR="00D16DBA" w:rsidRPr="004C70EC" w:rsidRDefault="00D16DBA" w:rsidP="00D16DBA">
      <w:pPr>
        <w:pStyle w:val="Point0"/>
        <w:rPr>
          <w:rFonts w:eastAsia="Calibri"/>
          <w:noProof/>
          <w:color w:val="000000" w:themeColor="text1"/>
          <w:szCs w:val="24"/>
        </w:rPr>
      </w:pPr>
      <w:r w:rsidRPr="004C70EC">
        <w:rPr>
          <w:rFonts w:eastAsia="Calibri"/>
          <w:noProof/>
          <w:color w:val="000000" w:themeColor="text1"/>
          <w:szCs w:val="24"/>
        </w:rPr>
        <w:t>6.</w:t>
      </w:r>
      <w:r w:rsidRPr="004C70EC">
        <w:rPr>
          <w:rFonts w:eastAsia="Calibri"/>
          <w:noProof/>
          <w:color w:val="000000" w:themeColor="text1"/>
          <w:szCs w:val="24"/>
        </w:rPr>
        <w:tab/>
        <w:t>Economic operators shall keep and retain records of the transactions referred to in this Article for three years and shall make them available without undue delay to the competent authorities upon request.</w:t>
      </w:r>
    </w:p>
    <w:p w14:paraId="715546EE" w14:textId="77777777" w:rsidR="00D16DBA" w:rsidRPr="004C70EC" w:rsidRDefault="00D16DBA" w:rsidP="00D16DBA">
      <w:pPr>
        <w:pStyle w:val="Point0"/>
        <w:rPr>
          <w:rFonts w:eastAsia="MS Mincho"/>
          <w:noProof/>
          <w:color w:val="000000" w:themeColor="text1"/>
          <w:szCs w:val="24"/>
        </w:rPr>
      </w:pPr>
      <w:r w:rsidRPr="004C70EC">
        <w:rPr>
          <w:rFonts w:eastAsia="MS Mincho"/>
          <w:noProof/>
          <w:color w:val="000000" w:themeColor="text1"/>
          <w:szCs w:val="24"/>
        </w:rPr>
        <w:t>7.</w:t>
      </w:r>
      <w:r w:rsidRPr="004C70EC">
        <w:rPr>
          <w:rFonts w:eastAsia="MS Mincho"/>
          <w:noProof/>
          <w:color w:val="000000" w:themeColor="text1"/>
          <w:szCs w:val="24"/>
        </w:rPr>
        <w:tab/>
        <w:t xml:space="preserve">Paragraphs 1 to 7 shall also apply by analogy to persons that are not economic operators, except in the case where the biotechnology product of concern is supplied to a person that is employed by the same legal entity. </w:t>
      </w:r>
    </w:p>
    <w:p w14:paraId="6F8F1118" w14:textId="77777777" w:rsidR="00D16DBA" w:rsidRPr="004C70EC" w:rsidRDefault="00D16DBA" w:rsidP="00D16DBA">
      <w:pPr>
        <w:pStyle w:val="Titrearticle"/>
        <w:rPr>
          <w:rFonts w:eastAsia="Calibri"/>
          <w:i w:val="0"/>
          <w:noProof/>
          <w:color w:val="000000" w:themeColor="text1"/>
          <w:szCs w:val="24"/>
        </w:rPr>
      </w:pPr>
      <w:r w:rsidRPr="004C70EC">
        <w:rPr>
          <w:rFonts w:eastAsia="Calibri"/>
          <w:noProof/>
          <w:color w:val="000000" w:themeColor="text1"/>
          <w:szCs w:val="24"/>
        </w:rPr>
        <w:t xml:space="preserve">Article </w:t>
      </w:r>
      <w:r w:rsidR="00A01B18" w:rsidRPr="004C70EC">
        <w:rPr>
          <w:rFonts w:eastAsia="Calibri"/>
          <w:bCs/>
          <w:iCs/>
          <w:noProof/>
          <w:color w:val="000000" w:themeColor="text1"/>
          <w:szCs w:val="24"/>
        </w:rPr>
        <w:t>45</w:t>
      </w:r>
    </w:p>
    <w:p w14:paraId="5E8FB0A4" w14:textId="77777777" w:rsidR="00D16DBA" w:rsidRPr="004C70EC" w:rsidRDefault="00D16DBA" w:rsidP="00D16DBA">
      <w:pPr>
        <w:keepNext/>
        <w:keepLines/>
        <w:spacing w:before="160" w:after="80" w:line="279" w:lineRule="auto"/>
        <w:jc w:val="center"/>
        <w:outlineLvl w:val="2"/>
        <w:rPr>
          <w:rFonts w:eastAsia="Calibri"/>
          <w:b/>
          <w:bCs/>
          <w:noProof/>
          <w:color w:val="000000" w:themeColor="text1"/>
          <w:szCs w:val="24"/>
        </w:rPr>
      </w:pPr>
      <w:r w:rsidRPr="004C70EC">
        <w:rPr>
          <w:rFonts w:eastAsia="Calibri"/>
          <w:b/>
          <w:bCs/>
          <w:noProof/>
          <w:color w:val="000000" w:themeColor="text1"/>
          <w:szCs w:val="24"/>
        </w:rPr>
        <w:t>Benchtop equipment</w:t>
      </w:r>
    </w:p>
    <w:p w14:paraId="49786536" w14:textId="77777777" w:rsidR="00D16DBA" w:rsidRPr="004C70EC" w:rsidRDefault="00D16DBA" w:rsidP="00D16DBA">
      <w:pPr>
        <w:rPr>
          <w:noProof/>
          <w:color w:val="000000" w:themeColor="text1"/>
          <w:szCs w:val="24"/>
        </w:rPr>
      </w:pPr>
      <w:r w:rsidRPr="004C70EC">
        <w:rPr>
          <w:noProof/>
          <w:color w:val="000000" w:themeColor="text1"/>
          <w:szCs w:val="24"/>
        </w:rPr>
        <w:t>Benchtop nucleic acid synthesis devices</w:t>
      </w:r>
      <w:r w:rsidRPr="004C70EC">
        <w:rPr>
          <w:rFonts w:eastAsia="MS Mincho"/>
          <w:noProof/>
          <w:color w:val="000000" w:themeColor="text1"/>
          <w:szCs w:val="24"/>
        </w:rPr>
        <w:t xml:space="preserve"> made available in the Union shall contain a mechanism to screen for </w:t>
      </w:r>
      <w:r w:rsidRPr="004C70EC">
        <w:rPr>
          <w:noProof/>
          <w:color w:val="000000" w:themeColor="text1"/>
          <w:szCs w:val="24"/>
        </w:rPr>
        <w:t xml:space="preserve">sequences of concern as defined in Annex I, provided that databases of sequences of concern are not stored on the equipment itself, in an unencrypted manner or a manner that could allow users to extract the database. </w:t>
      </w:r>
    </w:p>
    <w:p w14:paraId="2ACF9618" w14:textId="77777777" w:rsidR="00D16DBA" w:rsidRPr="004C70EC" w:rsidRDefault="00D16DBA" w:rsidP="00D16DBA">
      <w:pPr>
        <w:pStyle w:val="Titrearticle"/>
        <w:rPr>
          <w:rFonts w:eastAsia="Calibri"/>
          <w:bCs/>
          <w:i w:val="0"/>
          <w:iCs/>
          <w:noProof/>
          <w:color w:val="000000" w:themeColor="text1"/>
          <w:szCs w:val="24"/>
        </w:rPr>
      </w:pPr>
      <w:r w:rsidRPr="004C70EC">
        <w:rPr>
          <w:rFonts w:eastAsia="Calibri"/>
          <w:bCs/>
          <w:iCs/>
          <w:noProof/>
          <w:color w:val="000000" w:themeColor="text1"/>
          <w:szCs w:val="24"/>
        </w:rPr>
        <w:t xml:space="preserve">Article </w:t>
      </w:r>
      <w:r w:rsidR="00A01B18" w:rsidRPr="004C70EC">
        <w:rPr>
          <w:rFonts w:eastAsia="Calibri"/>
          <w:bCs/>
          <w:iCs/>
          <w:noProof/>
          <w:color w:val="000000" w:themeColor="text1"/>
          <w:szCs w:val="24"/>
        </w:rPr>
        <w:t>46</w:t>
      </w:r>
    </w:p>
    <w:p w14:paraId="78BDE983" w14:textId="77777777" w:rsidR="00D16DBA" w:rsidRPr="004C70EC" w:rsidRDefault="00D16DBA" w:rsidP="00D16DBA">
      <w:pPr>
        <w:keepNext/>
        <w:keepLines/>
        <w:spacing w:before="160" w:after="80" w:line="279" w:lineRule="auto"/>
        <w:jc w:val="center"/>
        <w:outlineLvl w:val="2"/>
        <w:rPr>
          <w:rFonts w:eastAsia="Calibri"/>
          <w:b/>
          <w:bCs/>
          <w:noProof/>
          <w:color w:val="000000" w:themeColor="text1"/>
          <w:szCs w:val="24"/>
        </w:rPr>
      </w:pPr>
      <w:r w:rsidRPr="004C70EC">
        <w:rPr>
          <w:rFonts w:eastAsia="Calibri"/>
          <w:b/>
          <w:bCs/>
          <w:noProof/>
          <w:color w:val="000000" w:themeColor="text1"/>
          <w:szCs w:val="24"/>
        </w:rPr>
        <w:t>Prevention and reporting of biotechnology misuse</w:t>
      </w:r>
    </w:p>
    <w:p w14:paraId="28B43BC8" w14:textId="77777777" w:rsidR="00D16DBA" w:rsidRPr="004C70EC" w:rsidRDefault="00D16DBA" w:rsidP="00D16DBA">
      <w:pPr>
        <w:pStyle w:val="Point0"/>
        <w:rPr>
          <w:rFonts w:eastAsia="Calibri"/>
          <w:noProof/>
          <w:color w:val="000000" w:themeColor="text1"/>
          <w:szCs w:val="24"/>
        </w:rPr>
      </w:pPr>
      <w:r w:rsidRPr="004C70EC">
        <w:rPr>
          <w:rFonts w:eastAsia="Calibri"/>
          <w:noProof/>
          <w:color w:val="000000" w:themeColor="text1"/>
          <w:szCs w:val="24"/>
        </w:rPr>
        <w:t>1.</w:t>
      </w:r>
      <w:r w:rsidRPr="004C70EC">
        <w:rPr>
          <w:rFonts w:eastAsia="Calibri"/>
          <w:noProof/>
          <w:color w:val="000000" w:themeColor="text1"/>
          <w:szCs w:val="24"/>
        </w:rPr>
        <w:tab/>
        <w:t>For the purpose of preventing and detecting biotechnology misuse, economic operators and online marketplaces shall report suspicious transactions, having regard to all circumstances and in particular where the prospective customer:</w:t>
      </w:r>
    </w:p>
    <w:p w14:paraId="25661E6E" w14:textId="77777777" w:rsidR="00D16DBA" w:rsidRPr="004C70EC" w:rsidRDefault="00D16DBA" w:rsidP="00D16DBA">
      <w:pPr>
        <w:pStyle w:val="Point1"/>
        <w:rPr>
          <w:noProof/>
          <w:color w:val="000000" w:themeColor="text1"/>
          <w:szCs w:val="24"/>
        </w:rPr>
      </w:pPr>
      <w:r w:rsidRPr="004C70EC">
        <w:rPr>
          <w:noProof/>
          <w:color w:val="000000" w:themeColor="text1"/>
          <w:szCs w:val="24"/>
        </w:rPr>
        <w:t>(a)</w:t>
      </w:r>
      <w:r w:rsidRPr="004C70EC">
        <w:rPr>
          <w:noProof/>
          <w:color w:val="000000" w:themeColor="text1"/>
          <w:szCs w:val="24"/>
        </w:rPr>
        <w:tab/>
        <w:t>is not clear about their identity or affiliations, or provides information that cannot be confirmed or verified, including inconsistent addresses or unverifiable company details;</w:t>
      </w:r>
    </w:p>
    <w:p w14:paraId="59AA3355" w14:textId="77777777" w:rsidR="00D16DBA" w:rsidRPr="004C70EC" w:rsidRDefault="00D16DBA" w:rsidP="00D16DBA">
      <w:pPr>
        <w:pStyle w:val="Point1"/>
        <w:rPr>
          <w:rFonts w:eastAsia="Calibri"/>
          <w:noProof/>
          <w:color w:val="000000" w:themeColor="text1"/>
          <w:szCs w:val="24"/>
        </w:rPr>
      </w:pPr>
      <w:r w:rsidRPr="004C70EC">
        <w:rPr>
          <w:rFonts w:eastAsia="Calibri"/>
          <w:noProof/>
          <w:color w:val="000000" w:themeColor="text1"/>
          <w:szCs w:val="24"/>
        </w:rPr>
        <w:t>(b)</w:t>
      </w:r>
      <w:r w:rsidRPr="004C70EC">
        <w:rPr>
          <w:rFonts w:eastAsia="Calibri"/>
          <w:noProof/>
          <w:color w:val="000000" w:themeColor="text1"/>
          <w:szCs w:val="24"/>
        </w:rPr>
        <w:tab/>
        <w:t>would not be expected, in the normal course of business, to place such an order, including where there is no link to life science research or biotechnology, or no plausible requirement for biotechnology products of concern;</w:t>
      </w:r>
    </w:p>
    <w:p w14:paraId="718027C1" w14:textId="77777777" w:rsidR="00D16DBA" w:rsidRPr="004C70EC" w:rsidRDefault="00D16DBA" w:rsidP="00D16DBA">
      <w:pPr>
        <w:pStyle w:val="Point1"/>
        <w:rPr>
          <w:rFonts w:eastAsiaTheme="minorEastAsia"/>
          <w:noProof/>
          <w:color w:val="000000" w:themeColor="text1"/>
          <w:szCs w:val="24"/>
        </w:rPr>
      </w:pPr>
      <w:r w:rsidRPr="004C70EC">
        <w:rPr>
          <w:rFonts w:eastAsia="Calibri"/>
          <w:noProof/>
          <w:color w:val="000000" w:themeColor="text1"/>
          <w:szCs w:val="24"/>
        </w:rPr>
        <w:t>(c)</w:t>
      </w:r>
      <w:r w:rsidRPr="004C70EC">
        <w:rPr>
          <w:rFonts w:eastAsia="Calibri"/>
          <w:noProof/>
          <w:color w:val="000000" w:themeColor="text1"/>
          <w:szCs w:val="24"/>
        </w:rPr>
        <w:tab/>
        <w:t>proposes an intended use that does not match their reported job role or institutional affiliation;</w:t>
      </w:r>
    </w:p>
    <w:p w14:paraId="5C821C2F" w14:textId="77777777" w:rsidR="00D16DBA" w:rsidRPr="004C70EC" w:rsidRDefault="00D16DBA" w:rsidP="00D16DBA">
      <w:pPr>
        <w:pStyle w:val="Point1"/>
        <w:rPr>
          <w:rFonts w:eastAsia="Calibri"/>
          <w:noProof/>
          <w:color w:val="000000" w:themeColor="text1"/>
          <w:szCs w:val="24"/>
        </w:rPr>
      </w:pPr>
      <w:r w:rsidRPr="004C70EC">
        <w:rPr>
          <w:rFonts w:eastAsia="Calibri"/>
          <w:noProof/>
          <w:color w:val="000000" w:themeColor="text1"/>
          <w:szCs w:val="24"/>
        </w:rPr>
        <w:t>(d)</w:t>
      </w:r>
      <w:r w:rsidRPr="004C70EC">
        <w:rPr>
          <w:rFonts w:eastAsia="Calibri"/>
          <w:noProof/>
          <w:color w:val="000000" w:themeColor="text1"/>
          <w:szCs w:val="24"/>
        </w:rPr>
        <w:tab/>
        <w:t>requests unusual labelling or shipping procedures, including misidentification of goods on packaging or changes to the recipient’s name after the order has been placed but before shipment;</w:t>
      </w:r>
    </w:p>
    <w:p w14:paraId="068027B2" w14:textId="77777777" w:rsidR="00D16DBA" w:rsidRPr="004C70EC" w:rsidRDefault="00D16DBA" w:rsidP="00D16DBA">
      <w:pPr>
        <w:pStyle w:val="Point1"/>
        <w:rPr>
          <w:rFonts w:eastAsia="Calibri"/>
          <w:noProof/>
          <w:color w:val="000000" w:themeColor="text1"/>
          <w:szCs w:val="24"/>
        </w:rPr>
      </w:pPr>
      <w:r w:rsidRPr="004C70EC">
        <w:rPr>
          <w:rFonts w:eastAsia="Calibri"/>
          <w:noProof/>
          <w:color w:val="000000" w:themeColor="text1"/>
          <w:szCs w:val="24"/>
        </w:rPr>
        <w:t>(e)</w:t>
      </w:r>
      <w:r w:rsidRPr="004C70EC">
        <w:rPr>
          <w:rFonts w:eastAsia="Calibri"/>
          <w:noProof/>
          <w:color w:val="000000" w:themeColor="text1"/>
          <w:szCs w:val="24"/>
        </w:rPr>
        <w:tab/>
        <w:t>proposes unusual methods of payment, including cash for high-value items, personal credit cards for institutional purchases, or payment through non-bank third parties, or offers unusually favourable terms including above market prices;</w:t>
      </w:r>
    </w:p>
    <w:p w14:paraId="7D7F8B5C" w14:textId="77777777" w:rsidR="00D16DBA" w:rsidRPr="004C70EC" w:rsidRDefault="00D16DBA" w:rsidP="00D16DBA">
      <w:pPr>
        <w:pStyle w:val="Point1"/>
        <w:rPr>
          <w:rFonts w:eastAsia="Calibri"/>
          <w:noProof/>
          <w:color w:val="000000" w:themeColor="text1"/>
          <w:szCs w:val="24"/>
        </w:rPr>
      </w:pPr>
      <w:r w:rsidRPr="004C70EC">
        <w:rPr>
          <w:rFonts w:eastAsia="Calibri"/>
          <w:noProof/>
          <w:color w:val="000000" w:themeColor="text1"/>
          <w:szCs w:val="24"/>
        </w:rPr>
        <w:t>(f)</w:t>
      </w:r>
      <w:r w:rsidRPr="004C70EC">
        <w:rPr>
          <w:rFonts w:eastAsia="Calibri"/>
          <w:noProof/>
          <w:color w:val="000000" w:themeColor="text1"/>
          <w:szCs w:val="24"/>
        </w:rPr>
        <w:tab/>
        <w:t>requests unusual confidentiality conditions regarding the order, including with respect to their identity, the final destination or the destruction of transaction records;</w:t>
      </w:r>
    </w:p>
    <w:p w14:paraId="2112555D" w14:textId="77777777" w:rsidR="00D16DBA" w:rsidRPr="004C70EC" w:rsidRDefault="00D16DBA" w:rsidP="00D16DBA">
      <w:pPr>
        <w:pStyle w:val="Point1"/>
        <w:rPr>
          <w:rFonts w:eastAsia="Calibri"/>
          <w:noProof/>
          <w:color w:val="000000" w:themeColor="text1"/>
          <w:szCs w:val="24"/>
        </w:rPr>
      </w:pPr>
      <w:r w:rsidRPr="004C70EC">
        <w:rPr>
          <w:rFonts w:eastAsia="Calibri"/>
          <w:noProof/>
          <w:color w:val="000000" w:themeColor="text1"/>
          <w:szCs w:val="24"/>
        </w:rPr>
        <w:t>(g)</w:t>
      </w:r>
      <w:r w:rsidRPr="004C70EC">
        <w:rPr>
          <w:rFonts w:eastAsia="Calibri"/>
          <w:noProof/>
          <w:color w:val="000000" w:themeColor="text1"/>
          <w:szCs w:val="24"/>
        </w:rPr>
        <w:tab/>
        <w:t>requests delivery to an address without a legitimate biotechnology business or research justification, including a residential address.</w:t>
      </w:r>
    </w:p>
    <w:p w14:paraId="57619DE3" w14:textId="77777777" w:rsidR="00D16DBA" w:rsidRPr="004C70EC" w:rsidRDefault="00D16DBA" w:rsidP="00D16DBA">
      <w:pPr>
        <w:pStyle w:val="Point0"/>
        <w:rPr>
          <w:rFonts w:eastAsia="Calibri"/>
          <w:noProof/>
          <w:color w:val="000000" w:themeColor="text1"/>
          <w:szCs w:val="24"/>
        </w:rPr>
      </w:pPr>
      <w:r w:rsidRPr="004C70EC">
        <w:rPr>
          <w:rFonts w:eastAsia="Calibri"/>
          <w:noProof/>
          <w:color w:val="000000" w:themeColor="text1"/>
          <w:szCs w:val="24"/>
        </w:rPr>
        <w:t>2.</w:t>
      </w:r>
      <w:r w:rsidRPr="004C70EC">
        <w:rPr>
          <w:rFonts w:eastAsia="Calibri"/>
          <w:noProof/>
          <w:color w:val="000000" w:themeColor="text1"/>
          <w:szCs w:val="24"/>
        </w:rPr>
        <w:tab/>
        <w:t>Economic operators and online marketplaces shall have appropriate, reasonable and proportionate procedures in place to detect suspicious transactions, adapted to the specific environment in which biotechnology products of concern are made available.</w:t>
      </w:r>
    </w:p>
    <w:p w14:paraId="56F2E3C8" w14:textId="77777777" w:rsidR="00D16DBA" w:rsidRPr="004C70EC" w:rsidRDefault="00D16DBA" w:rsidP="00D16DBA">
      <w:pPr>
        <w:pStyle w:val="Point0"/>
        <w:rPr>
          <w:rFonts w:eastAsia="Calibri"/>
          <w:noProof/>
          <w:color w:val="000000" w:themeColor="text1"/>
          <w:szCs w:val="24"/>
        </w:rPr>
      </w:pPr>
      <w:r w:rsidRPr="004C70EC">
        <w:rPr>
          <w:rFonts w:eastAsia="Calibri"/>
          <w:noProof/>
          <w:color w:val="000000" w:themeColor="text1"/>
          <w:szCs w:val="24"/>
        </w:rPr>
        <w:t>3.</w:t>
      </w:r>
      <w:r w:rsidRPr="004C70EC">
        <w:rPr>
          <w:rFonts w:eastAsia="Calibri"/>
          <w:noProof/>
          <w:color w:val="000000" w:themeColor="text1"/>
          <w:szCs w:val="24"/>
        </w:rPr>
        <w:tab/>
        <w:t>Each Member State shall set up at least one national contact point with clearly identified contact details, web form or other effective tool for the reporting of suspicious transactions of biotechnology products of concern. The contact point shall be part of or have direct links to law enforcement and national inspection authorities.</w:t>
      </w:r>
    </w:p>
    <w:p w14:paraId="3F195316" w14:textId="77777777" w:rsidR="00D16DBA" w:rsidRPr="004C70EC" w:rsidRDefault="00D16DBA" w:rsidP="00D16DBA">
      <w:pPr>
        <w:pStyle w:val="Point0"/>
        <w:rPr>
          <w:rFonts w:eastAsia="Calibri"/>
          <w:noProof/>
          <w:color w:val="000000" w:themeColor="text1"/>
          <w:szCs w:val="24"/>
        </w:rPr>
      </w:pPr>
      <w:r w:rsidRPr="004C70EC">
        <w:rPr>
          <w:rFonts w:eastAsia="Calibri"/>
          <w:noProof/>
          <w:color w:val="000000" w:themeColor="text1"/>
          <w:szCs w:val="24"/>
        </w:rPr>
        <w:t>4.</w:t>
      </w:r>
      <w:r w:rsidRPr="004C70EC">
        <w:rPr>
          <w:rFonts w:eastAsia="Calibri"/>
          <w:noProof/>
          <w:color w:val="000000" w:themeColor="text1"/>
          <w:szCs w:val="24"/>
        </w:rPr>
        <w:tab/>
        <w:t>Economic operators and online marketplaces shall refuse a suspicious transaction. They shall report any suspicious transaction or attempted suspicious transaction within 24 hours of determining that it is suspicious. Reports shall include, where possible, the identity of the prospective customer and the facts that led to the suspicion and shall be addressed to the national contact point of the Member State where the transaction was concluded or attempted.</w:t>
      </w:r>
    </w:p>
    <w:p w14:paraId="49954E41" w14:textId="77777777" w:rsidR="00D16DBA" w:rsidRPr="004C70EC" w:rsidRDefault="5765DC4D" w:rsidP="00D16DBA">
      <w:pPr>
        <w:pStyle w:val="Point0"/>
        <w:rPr>
          <w:rFonts w:eastAsia="Calibri"/>
          <w:noProof/>
          <w:color w:val="000000" w:themeColor="text1"/>
          <w:szCs w:val="24"/>
        </w:rPr>
      </w:pPr>
      <w:r w:rsidRPr="004C70EC">
        <w:rPr>
          <w:rFonts w:eastAsia="Calibri"/>
          <w:noProof/>
          <w:color w:val="000000" w:themeColor="text1"/>
        </w:rPr>
        <w:t>5.</w:t>
      </w:r>
      <w:r w:rsidR="00D16DBA" w:rsidRPr="004C70EC">
        <w:rPr>
          <w:rFonts w:eastAsia="Calibri"/>
          <w:noProof/>
          <w:color w:val="000000" w:themeColor="text1"/>
          <w:szCs w:val="24"/>
        </w:rPr>
        <w:tab/>
      </w:r>
      <w:r w:rsidRPr="004C70EC">
        <w:rPr>
          <w:rFonts w:eastAsia="Calibri"/>
          <w:noProof/>
          <w:color w:val="000000" w:themeColor="text1"/>
        </w:rPr>
        <w:t>Where a biotechnology product of concern falls also under categories regulated under other EU legislation, to avoid duplication of reporting, where the transaction for that biotechnology product of concern has already been reported as a suspicious transaction under one legal framework, it shall not be reported again. Where in doubt, its intended use should be prioritised for reporting obligations, pursuant to Regulation (EU) 2021/821[</w:t>
      </w:r>
      <w:r w:rsidR="00D16DBA" w:rsidRPr="004C70EC">
        <w:rPr>
          <w:rStyle w:val="FootnoteReference"/>
          <w:noProof/>
          <w:color w:val="000000" w:themeColor="text1"/>
        </w:rPr>
        <w:footnoteReference w:id="160"/>
      </w:r>
      <w:r w:rsidRPr="004C70EC">
        <w:rPr>
          <w:rFonts w:eastAsia="Calibri"/>
          <w:noProof/>
          <w:color w:val="000000" w:themeColor="text1"/>
        </w:rPr>
        <w:t>] and Regulation (EU) 2019/1148[</w:t>
      </w:r>
      <w:r w:rsidR="00D16DBA" w:rsidRPr="004C70EC">
        <w:rPr>
          <w:rStyle w:val="FootnoteReference"/>
          <w:noProof/>
          <w:color w:val="000000" w:themeColor="text1"/>
        </w:rPr>
        <w:footnoteReference w:id="161"/>
      </w:r>
      <w:r w:rsidRPr="004C70EC">
        <w:rPr>
          <w:rFonts w:eastAsia="Calibri"/>
          <w:noProof/>
          <w:color w:val="000000" w:themeColor="text1"/>
        </w:rPr>
        <w:t>].</w:t>
      </w:r>
    </w:p>
    <w:p w14:paraId="7FE7F697" w14:textId="77777777" w:rsidR="00D16DBA" w:rsidRPr="004C70EC" w:rsidRDefault="00D16DBA" w:rsidP="00D16DBA">
      <w:pPr>
        <w:pStyle w:val="Titrearticle"/>
        <w:rPr>
          <w:rFonts w:eastAsia="Calibri"/>
          <w:i w:val="0"/>
          <w:noProof/>
          <w:color w:val="000000" w:themeColor="text1"/>
        </w:rPr>
      </w:pPr>
      <w:r w:rsidRPr="004C70EC">
        <w:rPr>
          <w:rFonts w:eastAsia="Calibri"/>
          <w:noProof/>
          <w:color w:val="000000" w:themeColor="text1"/>
        </w:rPr>
        <w:t xml:space="preserve">Article </w:t>
      </w:r>
      <w:r w:rsidR="00A01B18" w:rsidRPr="004C70EC">
        <w:rPr>
          <w:rFonts w:eastAsia="Calibri"/>
          <w:noProof/>
          <w:color w:val="000000" w:themeColor="text1"/>
        </w:rPr>
        <w:t>47</w:t>
      </w:r>
    </w:p>
    <w:p w14:paraId="00EBFD0A" w14:textId="77777777" w:rsidR="00D16DBA" w:rsidRPr="004C70EC" w:rsidRDefault="00D16DBA" w:rsidP="00D16DBA">
      <w:pPr>
        <w:keepNext/>
        <w:keepLines/>
        <w:spacing w:before="160" w:after="80" w:line="279" w:lineRule="auto"/>
        <w:jc w:val="center"/>
        <w:outlineLvl w:val="2"/>
        <w:rPr>
          <w:rFonts w:eastAsia="Calibri"/>
          <w:b/>
          <w:noProof/>
          <w:color w:val="000000" w:themeColor="text1"/>
        </w:rPr>
      </w:pPr>
      <w:r w:rsidRPr="004C70EC">
        <w:rPr>
          <w:rFonts w:eastAsia="Calibri"/>
          <w:b/>
          <w:noProof/>
          <w:color w:val="000000" w:themeColor="text1"/>
        </w:rPr>
        <w:t>Training and awareness-</w:t>
      </w:r>
      <w:r w:rsidRPr="004C70EC">
        <w:rPr>
          <w:rFonts w:eastAsia="Calibri"/>
          <w:b/>
          <w:bCs/>
          <w:noProof/>
          <w:color w:val="000000" w:themeColor="text1"/>
        </w:rPr>
        <w:t>raising</w:t>
      </w:r>
    </w:p>
    <w:p w14:paraId="7857179C" w14:textId="77777777" w:rsidR="00D16DBA" w:rsidRPr="004C70EC" w:rsidRDefault="00EF5245" w:rsidP="00EF5245">
      <w:pPr>
        <w:pStyle w:val="Point0"/>
        <w:ind w:left="720" w:hanging="720"/>
        <w:rPr>
          <w:rFonts w:eastAsia="Calibri"/>
          <w:noProof/>
          <w:color w:val="000000" w:themeColor="text1"/>
        </w:rPr>
      </w:pPr>
      <w:r w:rsidRPr="004C70EC">
        <w:rPr>
          <w:rFonts w:eastAsia="Calibri"/>
          <w:noProof/>
          <w:color w:val="000000" w:themeColor="text1"/>
        </w:rPr>
        <w:t>1.</w:t>
      </w:r>
      <w:r w:rsidRPr="004C70EC">
        <w:rPr>
          <w:rFonts w:eastAsia="Calibri"/>
          <w:noProof/>
          <w:color w:val="000000" w:themeColor="text1"/>
        </w:rPr>
        <w:tab/>
      </w:r>
      <w:r w:rsidR="00D16DBA" w:rsidRPr="004C70EC">
        <w:rPr>
          <w:rFonts w:eastAsia="Calibri"/>
          <w:noProof/>
          <w:color w:val="000000" w:themeColor="text1"/>
        </w:rPr>
        <w:t xml:space="preserve">Member States shall ensure adequate resources for, and the provision of, training for law enforcement authorities, first responders and customs authorities to recognise biotechnology products of concern and to react in a timely and appropriate manner to suspicious activity. </w:t>
      </w:r>
    </w:p>
    <w:p w14:paraId="4031B79B" w14:textId="77777777" w:rsidR="00D16DBA" w:rsidRPr="004C70EC" w:rsidRDefault="00D16DBA" w:rsidP="00D16DBA">
      <w:pPr>
        <w:pStyle w:val="Point0"/>
        <w:rPr>
          <w:rFonts w:eastAsia="Calibri"/>
          <w:noProof/>
          <w:color w:val="000000" w:themeColor="text1"/>
          <w:szCs w:val="24"/>
        </w:rPr>
      </w:pPr>
      <w:r w:rsidRPr="004C70EC">
        <w:rPr>
          <w:rFonts w:eastAsia="Calibri"/>
          <w:noProof/>
          <w:color w:val="000000" w:themeColor="text1"/>
          <w:szCs w:val="24"/>
        </w:rPr>
        <w:t>2.</w:t>
      </w:r>
      <w:r w:rsidRPr="004C70EC">
        <w:rPr>
          <w:rFonts w:eastAsia="Calibri"/>
          <w:noProof/>
          <w:color w:val="000000" w:themeColor="text1"/>
          <w:szCs w:val="24"/>
        </w:rPr>
        <w:tab/>
        <w:t xml:space="preserve">Member States shall organise awareness-raising actions, including on the issue of insider threats, adapted to the specificities of each sector that uses biotechnology products of concern. </w:t>
      </w:r>
    </w:p>
    <w:p w14:paraId="4E5D84F5" w14:textId="77777777" w:rsidR="00D16DBA" w:rsidRPr="004C70EC" w:rsidRDefault="00D16DBA" w:rsidP="00D16DBA">
      <w:pPr>
        <w:pStyle w:val="Point0"/>
        <w:rPr>
          <w:rFonts w:eastAsia="Calibri"/>
          <w:noProof/>
          <w:color w:val="000000" w:themeColor="text1"/>
          <w:szCs w:val="24"/>
        </w:rPr>
      </w:pPr>
      <w:r w:rsidRPr="004C70EC">
        <w:rPr>
          <w:rFonts w:eastAsia="Calibri"/>
          <w:noProof/>
          <w:color w:val="000000" w:themeColor="text1"/>
          <w:szCs w:val="24"/>
        </w:rPr>
        <w:t>3.</w:t>
      </w:r>
      <w:r w:rsidRPr="004C70EC">
        <w:rPr>
          <w:rFonts w:eastAsia="Calibri"/>
          <w:noProof/>
          <w:color w:val="000000" w:themeColor="text1"/>
          <w:szCs w:val="24"/>
        </w:rPr>
        <w:tab/>
        <w:t xml:space="preserve">To facilitate cooperation and effective implementation, and avoid duplicate reporting, Member States shall organise regular exchanges between law enforcement authorities, national supervisory authorities, economic operators, online marketplaces and representatives of sectors that use biotechnology products of concern. </w:t>
      </w:r>
    </w:p>
    <w:p w14:paraId="74C28810" w14:textId="77777777" w:rsidR="00D16DBA" w:rsidRPr="004C70EC" w:rsidRDefault="00D16DBA" w:rsidP="00D16DBA">
      <w:pPr>
        <w:pStyle w:val="Point0"/>
        <w:rPr>
          <w:rFonts w:eastAsia="Calibri"/>
          <w:noProof/>
          <w:color w:val="000000" w:themeColor="text1"/>
          <w:szCs w:val="24"/>
        </w:rPr>
      </w:pPr>
      <w:r w:rsidRPr="004C70EC">
        <w:rPr>
          <w:rFonts w:eastAsia="Calibri"/>
          <w:noProof/>
          <w:color w:val="000000" w:themeColor="text1"/>
          <w:szCs w:val="24"/>
        </w:rPr>
        <w:t>4.</w:t>
      </w:r>
      <w:r w:rsidRPr="004C70EC">
        <w:rPr>
          <w:rFonts w:eastAsia="Calibri"/>
          <w:noProof/>
          <w:color w:val="000000" w:themeColor="text1"/>
          <w:szCs w:val="24"/>
        </w:rPr>
        <w:tab/>
        <w:t>Economic operators shall inform their personnel about the conditions under which biotechnology products of concern may be made available and shall raise personnel’s awareness accordingly.</w:t>
      </w:r>
    </w:p>
    <w:p w14:paraId="65EABE94" w14:textId="77777777" w:rsidR="00D16DBA" w:rsidRPr="004C70EC" w:rsidRDefault="00D16DBA" w:rsidP="00D16DBA">
      <w:pPr>
        <w:pStyle w:val="Titrearticle"/>
        <w:rPr>
          <w:rFonts w:eastAsia="Calibri"/>
          <w:i w:val="0"/>
          <w:noProof/>
          <w:color w:val="000000" w:themeColor="text1"/>
        </w:rPr>
      </w:pPr>
      <w:r w:rsidRPr="004C70EC">
        <w:rPr>
          <w:rFonts w:eastAsia="Calibri"/>
          <w:noProof/>
          <w:color w:val="000000" w:themeColor="text1"/>
        </w:rPr>
        <w:t xml:space="preserve">Article </w:t>
      </w:r>
      <w:r w:rsidR="00A01B18" w:rsidRPr="004C70EC">
        <w:rPr>
          <w:rFonts w:eastAsia="Calibri"/>
          <w:noProof/>
          <w:color w:val="000000" w:themeColor="text1"/>
        </w:rPr>
        <w:t>48</w:t>
      </w:r>
    </w:p>
    <w:p w14:paraId="799E1BD6" w14:textId="77777777" w:rsidR="00D16DBA" w:rsidRPr="004C70EC" w:rsidRDefault="00D16DBA" w:rsidP="00D16DBA">
      <w:pPr>
        <w:keepNext/>
        <w:keepLines/>
        <w:spacing w:before="160" w:after="80" w:line="279" w:lineRule="auto"/>
        <w:jc w:val="center"/>
        <w:outlineLvl w:val="2"/>
        <w:rPr>
          <w:rFonts w:eastAsia="Calibri"/>
          <w:b/>
          <w:noProof/>
          <w:color w:val="000000" w:themeColor="text1"/>
        </w:rPr>
      </w:pPr>
      <w:r w:rsidRPr="004C70EC">
        <w:rPr>
          <w:rFonts w:eastAsia="Calibri"/>
          <w:b/>
          <w:noProof/>
          <w:color w:val="000000" w:themeColor="text1"/>
        </w:rPr>
        <w:t>National inspection authorities</w:t>
      </w:r>
    </w:p>
    <w:p w14:paraId="419EEC69" w14:textId="77777777" w:rsidR="00D467A3" w:rsidRPr="004C70EC" w:rsidRDefault="00D16DBA" w:rsidP="000931AD">
      <w:pPr>
        <w:pStyle w:val="Point0"/>
        <w:rPr>
          <w:rFonts w:eastAsia="Calibri"/>
          <w:noProof/>
          <w:color w:val="000000" w:themeColor="text1"/>
          <w:szCs w:val="24"/>
        </w:rPr>
      </w:pPr>
      <w:r w:rsidRPr="004C70EC">
        <w:rPr>
          <w:rFonts w:eastAsia="Calibri"/>
          <w:noProof/>
          <w:color w:val="000000" w:themeColor="text1"/>
          <w:szCs w:val="24"/>
        </w:rPr>
        <w:t>1.</w:t>
      </w:r>
      <w:r w:rsidRPr="004C70EC">
        <w:rPr>
          <w:rFonts w:eastAsia="Calibri"/>
          <w:noProof/>
          <w:color w:val="000000" w:themeColor="text1"/>
          <w:szCs w:val="24"/>
        </w:rPr>
        <w:tab/>
        <w:t>Each Member State shall designate a competent authority responsible for the inspection and control of compliance with the obligations laid down in this Section.</w:t>
      </w:r>
    </w:p>
    <w:p w14:paraId="08E041CD" w14:textId="77777777" w:rsidR="00D16DBA" w:rsidRPr="004C70EC" w:rsidRDefault="00D16DBA" w:rsidP="000931AD">
      <w:pPr>
        <w:pStyle w:val="Point0"/>
        <w:rPr>
          <w:rFonts w:eastAsia="Calibri"/>
          <w:noProof/>
          <w:color w:val="000000" w:themeColor="text1"/>
          <w:szCs w:val="24"/>
        </w:rPr>
      </w:pPr>
      <w:r w:rsidRPr="004C70EC">
        <w:rPr>
          <w:rFonts w:eastAsia="Calibri"/>
          <w:noProof/>
          <w:color w:val="000000" w:themeColor="text1"/>
          <w:szCs w:val="24"/>
        </w:rPr>
        <w:t>2.</w:t>
      </w:r>
      <w:r w:rsidRPr="004C70EC">
        <w:rPr>
          <w:noProof/>
        </w:rPr>
        <w:tab/>
      </w:r>
      <w:r w:rsidRPr="004C70EC">
        <w:rPr>
          <w:rFonts w:eastAsia="Calibri"/>
          <w:noProof/>
          <w:color w:val="000000" w:themeColor="text1"/>
          <w:szCs w:val="24"/>
        </w:rPr>
        <w:t>Member States shall ensure that the national inspection authority has the resources and investigative powers necessary to perform their tasks, including the power to request information and records, to carry out on-site inspections and, where appropriate, to conduct test purchases, including online.</w:t>
      </w:r>
    </w:p>
    <w:p w14:paraId="1E491E28" w14:textId="77777777" w:rsidR="00D16DBA" w:rsidRPr="004C70EC" w:rsidRDefault="00D16DBA" w:rsidP="000931AD">
      <w:pPr>
        <w:pStyle w:val="Point0"/>
        <w:rPr>
          <w:rFonts w:eastAsia="Calibri"/>
          <w:noProof/>
          <w:color w:val="000000" w:themeColor="text1"/>
          <w:szCs w:val="24"/>
        </w:rPr>
      </w:pPr>
      <w:r w:rsidRPr="004C70EC">
        <w:rPr>
          <w:rFonts w:eastAsia="Calibri"/>
          <w:noProof/>
          <w:color w:val="000000" w:themeColor="text1"/>
          <w:szCs w:val="24"/>
        </w:rPr>
        <w:t>3.</w:t>
      </w:r>
      <w:r w:rsidRPr="004C70EC">
        <w:rPr>
          <w:rFonts w:eastAsia="Calibri"/>
          <w:noProof/>
          <w:color w:val="000000" w:themeColor="text1"/>
          <w:szCs w:val="24"/>
        </w:rPr>
        <w:tab/>
        <w:t>Member States shall ensure that the national inspection authorities regularly run simulation exercises to test the procedures in place and to ensure appropriate response to incidents.</w:t>
      </w:r>
    </w:p>
    <w:p w14:paraId="76169F59" w14:textId="77777777" w:rsidR="00C434FC" w:rsidRPr="004C70EC" w:rsidRDefault="00D16DBA" w:rsidP="000931AD">
      <w:pPr>
        <w:pStyle w:val="Point0"/>
        <w:rPr>
          <w:rFonts w:eastAsia="Calibri"/>
          <w:noProof/>
          <w:color w:val="000000" w:themeColor="text1"/>
        </w:rPr>
      </w:pPr>
      <w:r w:rsidRPr="004C70EC">
        <w:rPr>
          <w:rFonts w:eastAsia="Calibri"/>
          <w:noProof/>
          <w:color w:val="000000" w:themeColor="text1"/>
        </w:rPr>
        <w:t>4.</w:t>
      </w:r>
      <w:r w:rsidRPr="004C70EC">
        <w:rPr>
          <w:noProof/>
        </w:rPr>
        <w:tab/>
      </w:r>
      <w:r w:rsidRPr="004C70EC">
        <w:rPr>
          <w:rFonts w:eastAsia="Calibri"/>
          <w:noProof/>
          <w:color w:val="000000" w:themeColor="text1"/>
        </w:rPr>
        <w:t>Member States shall ensure the participation of national inspection authorities, as appropriate, in the relevant activities of the Steering Group, in particular for the exchange of information on implementation practices, inspection findings and emerging risks.</w:t>
      </w:r>
      <w:r w:rsidR="008E02C6" w:rsidRPr="004C70EC">
        <w:rPr>
          <w:rFonts w:eastAsia="Calibri"/>
          <w:noProof/>
          <w:color w:val="000000" w:themeColor="text1"/>
        </w:rPr>
        <w:t>Member States shall ensure risk-based audits of economic operators, verifying, in particular, the existence and effectiveness of screening mechanisms for legitimate need, record-keeping as provided for in Article [44][(6)] and detection of suspicious transactions and incidents, and response procedures.</w:t>
      </w:r>
    </w:p>
    <w:p w14:paraId="5CEC09B9" w14:textId="77777777" w:rsidR="00D16DBA" w:rsidRPr="004C70EC" w:rsidRDefault="00D16DBA" w:rsidP="000931AD">
      <w:pPr>
        <w:pStyle w:val="Titrearticle"/>
        <w:rPr>
          <w:rFonts w:eastAsia="Calibri"/>
          <w:bCs/>
          <w:i w:val="0"/>
          <w:iCs/>
          <w:noProof/>
          <w:color w:val="000000" w:themeColor="text1"/>
          <w:szCs w:val="24"/>
        </w:rPr>
      </w:pPr>
      <w:r w:rsidRPr="004C70EC">
        <w:rPr>
          <w:rFonts w:eastAsia="Calibri"/>
          <w:bCs/>
          <w:iCs/>
          <w:noProof/>
          <w:color w:val="000000" w:themeColor="text1"/>
          <w:szCs w:val="24"/>
        </w:rPr>
        <w:t xml:space="preserve">Article </w:t>
      </w:r>
      <w:r w:rsidR="00A01B18" w:rsidRPr="004C70EC">
        <w:rPr>
          <w:rFonts w:eastAsia="Calibri"/>
          <w:bCs/>
          <w:iCs/>
          <w:noProof/>
          <w:color w:val="000000" w:themeColor="text1"/>
          <w:szCs w:val="24"/>
        </w:rPr>
        <w:t>49</w:t>
      </w:r>
    </w:p>
    <w:p w14:paraId="663DE9BA" w14:textId="77777777" w:rsidR="00D16DBA" w:rsidRPr="004C70EC" w:rsidRDefault="00D16DBA" w:rsidP="00350AE3">
      <w:pPr>
        <w:keepNext/>
        <w:keepLines/>
        <w:spacing w:before="160" w:after="80" w:line="279" w:lineRule="auto"/>
        <w:jc w:val="center"/>
        <w:outlineLvl w:val="2"/>
        <w:rPr>
          <w:rFonts w:eastAsia="Calibri"/>
          <w:b/>
          <w:bCs/>
          <w:noProof/>
          <w:color w:val="000000" w:themeColor="text1"/>
          <w:szCs w:val="24"/>
        </w:rPr>
      </w:pPr>
      <w:r w:rsidRPr="004C70EC">
        <w:rPr>
          <w:rFonts w:eastAsia="Calibri"/>
          <w:b/>
          <w:bCs/>
          <w:noProof/>
          <w:color w:val="000000" w:themeColor="text1"/>
          <w:szCs w:val="24"/>
        </w:rPr>
        <w:t>Commission enforcement support and monitoring</w:t>
      </w:r>
    </w:p>
    <w:p w14:paraId="703C7782" w14:textId="77777777" w:rsidR="00D16DBA" w:rsidRPr="004C70EC" w:rsidRDefault="00D16DBA" w:rsidP="000931AD">
      <w:pPr>
        <w:rPr>
          <w:rFonts w:eastAsia="Calibri"/>
          <w:noProof/>
          <w:color w:val="000000" w:themeColor="text1"/>
          <w:szCs w:val="24"/>
        </w:rPr>
      </w:pPr>
      <w:r w:rsidRPr="004C70EC">
        <w:rPr>
          <w:rFonts w:eastAsia="Calibri"/>
          <w:noProof/>
          <w:color w:val="000000" w:themeColor="text1"/>
          <w:szCs w:val="24"/>
        </w:rPr>
        <w:t>The Commission may support and monitor national competent authorities in the enforcement of this section, by taking actions such as requesting information and records and running training exercises.</w:t>
      </w:r>
    </w:p>
    <w:p w14:paraId="5AC1A87E" w14:textId="77777777" w:rsidR="00D16DBA" w:rsidRPr="004C70EC" w:rsidRDefault="00D16DBA" w:rsidP="00350AE3">
      <w:pPr>
        <w:pStyle w:val="Titrearticle"/>
        <w:rPr>
          <w:rFonts w:eastAsia="Calibri"/>
          <w:i w:val="0"/>
          <w:iCs/>
          <w:noProof/>
          <w:color w:val="000000" w:themeColor="text1"/>
          <w:szCs w:val="24"/>
        </w:rPr>
      </w:pPr>
      <w:r w:rsidRPr="004C70EC">
        <w:rPr>
          <w:rFonts w:eastAsia="Calibri"/>
          <w:iCs/>
          <w:noProof/>
          <w:color w:val="000000" w:themeColor="text1"/>
          <w:szCs w:val="24"/>
        </w:rPr>
        <w:t>Article 5</w:t>
      </w:r>
      <w:r w:rsidR="00A01B18" w:rsidRPr="004C70EC">
        <w:rPr>
          <w:rFonts w:eastAsia="Calibri"/>
          <w:iCs/>
          <w:noProof/>
          <w:color w:val="000000" w:themeColor="text1"/>
          <w:szCs w:val="24"/>
        </w:rPr>
        <w:t>0</w:t>
      </w:r>
    </w:p>
    <w:p w14:paraId="5269C3C3" w14:textId="77777777" w:rsidR="00D16DBA" w:rsidRPr="004C70EC" w:rsidRDefault="00D16DBA" w:rsidP="00350AE3">
      <w:pPr>
        <w:keepNext/>
        <w:keepLines/>
        <w:spacing w:before="160" w:after="80" w:line="279" w:lineRule="auto"/>
        <w:jc w:val="center"/>
        <w:outlineLvl w:val="2"/>
        <w:rPr>
          <w:rFonts w:eastAsia="Calibri"/>
          <w:b/>
          <w:bCs/>
          <w:noProof/>
          <w:color w:val="000000" w:themeColor="text1"/>
          <w:szCs w:val="24"/>
        </w:rPr>
      </w:pPr>
      <w:r w:rsidRPr="004C70EC">
        <w:rPr>
          <w:rFonts w:eastAsia="Calibri"/>
          <w:b/>
          <w:bCs/>
          <w:noProof/>
          <w:color w:val="000000" w:themeColor="text1"/>
          <w:szCs w:val="24"/>
        </w:rPr>
        <w:t>Audits</w:t>
      </w:r>
    </w:p>
    <w:p w14:paraId="3E87EF73" w14:textId="77777777" w:rsidR="00D16DBA" w:rsidRPr="004C70EC" w:rsidRDefault="00D16DBA" w:rsidP="000931AD">
      <w:pPr>
        <w:spacing w:before="0" w:after="160" w:line="279" w:lineRule="auto"/>
        <w:rPr>
          <w:rFonts w:eastAsia="Calibri"/>
          <w:noProof/>
          <w:color w:val="000000" w:themeColor="text1"/>
          <w:szCs w:val="24"/>
        </w:rPr>
      </w:pPr>
      <w:r w:rsidRPr="004C70EC">
        <w:rPr>
          <w:rFonts w:eastAsia="Calibri"/>
          <w:noProof/>
          <w:color w:val="000000" w:themeColor="text1"/>
          <w:szCs w:val="24"/>
        </w:rPr>
        <w:t xml:space="preserve">Member States shall ensure risk-based audits of economic operators, verifying, in particular, the existence and effectiveness of screening mechanisms for legitimate need, record-keeping as provided for in Article </w:t>
      </w:r>
      <w:r w:rsidR="0054286E" w:rsidRPr="004C70EC">
        <w:rPr>
          <w:rFonts w:eastAsia="Calibri"/>
          <w:noProof/>
          <w:color w:val="000000" w:themeColor="text1"/>
          <w:szCs w:val="24"/>
        </w:rPr>
        <w:t>44</w:t>
      </w:r>
      <w:r w:rsidRPr="004C70EC">
        <w:rPr>
          <w:rFonts w:eastAsia="Calibri"/>
          <w:noProof/>
          <w:color w:val="000000" w:themeColor="text1"/>
          <w:szCs w:val="24"/>
        </w:rPr>
        <w:t>[</w:t>
      </w:r>
      <w:r w:rsidR="00505D31" w:rsidRPr="004C70EC">
        <w:rPr>
          <w:rFonts w:eastAsia="Calibri"/>
          <w:noProof/>
          <w:color w:val="000000" w:themeColor="text1"/>
          <w:szCs w:val="24"/>
        </w:rPr>
        <w:t>(</w:t>
      </w:r>
      <w:r w:rsidRPr="004C70EC">
        <w:rPr>
          <w:rFonts w:eastAsia="Calibri"/>
          <w:noProof/>
          <w:color w:val="000000" w:themeColor="text1"/>
          <w:szCs w:val="24"/>
        </w:rPr>
        <w:t>6</w:t>
      </w:r>
      <w:r w:rsidR="00505D31" w:rsidRPr="004C70EC">
        <w:rPr>
          <w:rFonts w:eastAsia="Calibri"/>
          <w:noProof/>
          <w:color w:val="000000" w:themeColor="text1"/>
          <w:szCs w:val="24"/>
        </w:rPr>
        <w:t>)</w:t>
      </w:r>
      <w:r w:rsidRPr="004C70EC">
        <w:rPr>
          <w:rFonts w:eastAsia="Calibri"/>
          <w:noProof/>
          <w:color w:val="000000" w:themeColor="text1"/>
          <w:szCs w:val="24"/>
        </w:rPr>
        <w:t>] and detection of suspicious transactions and incidents, and response procedures.</w:t>
      </w:r>
    </w:p>
    <w:p w14:paraId="7FF9DFEC" w14:textId="77777777" w:rsidR="00D16DBA" w:rsidRPr="004C70EC" w:rsidRDefault="00D16DBA" w:rsidP="00350AE3">
      <w:pPr>
        <w:pStyle w:val="Titrearticle"/>
        <w:rPr>
          <w:rFonts w:eastAsia="Calibri"/>
          <w:i w:val="0"/>
          <w:iCs/>
          <w:noProof/>
          <w:color w:val="000000" w:themeColor="text1"/>
          <w:szCs w:val="24"/>
        </w:rPr>
      </w:pPr>
      <w:r w:rsidRPr="004C70EC">
        <w:rPr>
          <w:rFonts w:eastAsia="Calibri"/>
          <w:iCs/>
          <w:noProof/>
          <w:color w:val="000000" w:themeColor="text1"/>
          <w:szCs w:val="24"/>
        </w:rPr>
        <w:t>Article 5</w:t>
      </w:r>
      <w:r w:rsidR="00A01B18" w:rsidRPr="004C70EC">
        <w:rPr>
          <w:rFonts w:eastAsia="Calibri"/>
          <w:iCs/>
          <w:noProof/>
          <w:color w:val="000000" w:themeColor="text1"/>
          <w:szCs w:val="24"/>
        </w:rPr>
        <w:t>1</w:t>
      </w:r>
    </w:p>
    <w:p w14:paraId="30105613" w14:textId="77777777" w:rsidR="00D16DBA" w:rsidRPr="004C70EC" w:rsidRDefault="00D16DBA" w:rsidP="00350AE3">
      <w:pPr>
        <w:keepNext/>
        <w:keepLines/>
        <w:spacing w:before="160" w:after="80" w:line="279" w:lineRule="auto"/>
        <w:ind w:left="360"/>
        <w:jc w:val="center"/>
        <w:outlineLvl w:val="2"/>
        <w:rPr>
          <w:rFonts w:eastAsia="Calibri"/>
          <w:b/>
          <w:bCs/>
          <w:noProof/>
          <w:color w:val="000000" w:themeColor="text1"/>
          <w:szCs w:val="24"/>
        </w:rPr>
      </w:pPr>
      <w:r w:rsidRPr="004C70EC">
        <w:rPr>
          <w:rFonts w:eastAsia="Calibri"/>
          <w:b/>
          <w:bCs/>
          <w:noProof/>
          <w:color w:val="000000" w:themeColor="text1"/>
          <w:szCs w:val="24"/>
        </w:rPr>
        <w:t>Penalties</w:t>
      </w:r>
    </w:p>
    <w:p w14:paraId="7DC2DBC2" w14:textId="77777777" w:rsidR="00D16DBA" w:rsidRPr="004C70EC" w:rsidRDefault="00D16DBA" w:rsidP="000931AD">
      <w:pPr>
        <w:pStyle w:val="Point0"/>
        <w:rPr>
          <w:rFonts w:eastAsia="Calibri"/>
          <w:noProof/>
          <w:color w:val="000000" w:themeColor="text1"/>
          <w:szCs w:val="24"/>
        </w:rPr>
      </w:pPr>
      <w:r w:rsidRPr="004C70EC">
        <w:rPr>
          <w:rFonts w:eastAsia="Calibri"/>
          <w:noProof/>
          <w:color w:val="000000" w:themeColor="text1"/>
          <w:szCs w:val="24"/>
        </w:rPr>
        <w:t>1.</w:t>
      </w:r>
      <w:r w:rsidRPr="004C70EC">
        <w:rPr>
          <w:rFonts w:eastAsia="Calibri"/>
          <w:noProof/>
          <w:color w:val="000000" w:themeColor="text1"/>
          <w:szCs w:val="24"/>
        </w:rPr>
        <w:tab/>
        <w:t>Member States shall lay down the rules on penalties applicable to infringements of this Section and shall take all measures necessary to ensure that they are implemented. The penalties provided for shall be effective, proportionate and dissuasive.</w:t>
      </w:r>
    </w:p>
    <w:p w14:paraId="37759EE8" w14:textId="77777777" w:rsidR="00D16DBA" w:rsidRPr="004C70EC" w:rsidRDefault="00D16DBA" w:rsidP="000931AD">
      <w:pPr>
        <w:pStyle w:val="Point0"/>
        <w:rPr>
          <w:rFonts w:eastAsia="Calibri"/>
          <w:noProof/>
          <w:color w:val="000000" w:themeColor="text1"/>
          <w:szCs w:val="24"/>
        </w:rPr>
      </w:pPr>
      <w:r w:rsidRPr="004C70EC">
        <w:rPr>
          <w:rFonts w:eastAsia="Calibri"/>
          <w:noProof/>
          <w:color w:val="000000" w:themeColor="text1"/>
          <w:szCs w:val="24"/>
        </w:rPr>
        <w:t>2.</w:t>
      </w:r>
      <w:r w:rsidRPr="004C70EC">
        <w:rPr>
          <w:rFonts w:eastAsia="Calibri"/>
          <w:noProof/>
          <w:color w:val="000000" w:themeColor="text1"/>
          <w:szCs w:val="24"/>
        </w:rPr>
        <w:tab/>
        <w:t>Member States may impose fines on economic operators not exceeding 5% of their annual total worldwide turnover in the preceding financial year when Member States finds that the provider intentionally or negligently infringed the relevant provisions of this Section.</w:t>
      </w:r>
    </w:p>
    <w:p w14:paraId="365E06D2" w14:textId="77777777" w:rsidR="00D16DBA" w:rsidRPr="004C70EC" w:rsidRDefault="00D16DBA" w:rsidP="000931AD">
      <w:pPr>
        <w:pStyle w:val="Point0"/>
        <w:rPr>
          <w:rFonts w:eastAsia="Calibri"/>
          <w:noProof/>
          <w:color w:val="000000" w:themeColor="text1"/>
          <w:szCs w:val="24"/>
        </w:rPr>
      </w:pPr>
      <w:r w:rsidRPr="004C70EC">
        <w:rPr>
          <w:rFonts w:eastAsia="Calibri"/>
          <w:noProof/>
          <w:color w:val="000000" w:themeColor="text1"/>
          <w:szCs w:val="24"/>
        </w:rPr>
        <w:t>3.</w:t>
      </w:r>
      <w:r w:rsidRPr="004C70EC">
        <w:rPr>
          <w:rFonts w:eastAsia="Calibri"/>
          <w:noProof/>
          <w:color w:val="000000" w:themeColor="text1"/>
          <w:szCs w:val="24"/>
        </w:rPr>
        <w:tab/>
        <w:t>In fixing the amount of the fine or periodic penalty payment, regard shall be had to the nature, gravity and duration of the infringement, taking due account of the principles of proportionality and appropriateness.</w:t>
      </w:r>
    </w:p>
    <w:p w14:paraId="50386647" w14:textId="77777777" w:rsidR="00D16DBA" w:rsidRPr="004C70EC" w:rsidRDefault="00D16DBA" w:rsidP="000931AD">
      <w:pPr>
        <w:pStyle w:val="Titrearticle"/>
        <w:rPr>
          <w:noProof/>
        </w:rPr>
      </w:pPr>
      <w:r w:rsidRPr="004C70EC">
        <w:rPr>
          <w:noProof/>
        </w:rPr>
        <w:t xml:space="preserve">Article </w:t>
      </w:r>
      <w:r w:rsidR="00A01B18" w:rsidRPr="004C70EC">
        <w:rPr>
          <w:noProof/>
        </w:rPr>
        <w:t>52</w:t>
      </w:r>
    </w:p>
    <w:p w14:paraId="1EB89048" w14:textId="77777777" w:rsidR="00D16DBA" w:rsidRPr="004C70EC" w:rsidRDefault="00D16DBA" w:rsidP="0032672C">
      <w:pPr>
        <w:keepNext/>
        <w:keepLines/>
        <w:spacing w:before="160" w:after="80" w:line="279" w:lineRule="auto"/>
        <w:jc w:val="center"/>
        <w:outlineLvl w:val="2"/>
        <w:rPr>
          <w:rFonts w:eastAsia="Times New Roman"/>
          <w:b/>
          <w:noProof/>
          <w:color w:val="000000" w:themeColor="text1"/>
          <w:szCs w:val="24"/>
        </w:rPr>
      </w:pPr>
      <w:r w:rsidRPr="004C70EC">
        <w:rPr>
          <w:rFonts w:eastAsia="Times New Roman"/>
          <w:b/>
          <w:noProof/>
          <w:color w:val="000000" w:themeColor="text1"/>
          <w:szCs w:val="24"/>
        </w:rPr>
        <w:t xml:space="preserve">Advisory </w:t>
      </w:r>
      <w:r w:rsidR="00FE75F7" w:rsidRPr="004C70EC">
        <w:rPr>
          <w:rFonts w:eastAsia="Times New Roman"/>
          <w:b/>
          <w:noProof/>
          <w:color w:val="000000" w:themeColor="text1"/>
          <w:szCs w:val="24"/>
        </w:rPr>
        <w:t>g</w:t>
      </w:r>
      <w:r w:rsidRPr="004C70EC">
        <w:rPr>
          <w:rFonts w:eastAsia="Times New Roman"/>
          <w:b/>
          <w:noProof/>
          <w:color w:val="000000" w:themeColor="text1"/>
          <w:szCs w:val="24"/>
        </w:rPr>
        <w:t>roup</w:t>
      </w:r>
      <w:r w:rsidR="62B7C08B" w:rsidRPr="004C70EC">
        <w:rPr>
          <w:rFonts w:eastAsia="Times New Roman"/>
          <w:b/>
          <w:bCs/>
          <w:noProof/>
          <w:color w:val="000000" w:themeColor="text1"/>
          <w:szCs w:val="24"/>
        </w:rPr>
        <w:t xml:space="preserve"> on </w:t>
      </w:r>
      <w:r w:rsidR="00FE75F7" w:rsidRPr="004C70EC">
        <w:rPr>
          <w:rFonts w:eastAsia="Times New Roman"/>
          <w:b/>
          <w:bCs/>
          <w:noProof/>
          <w:color w:val="000000" w:themeColor="text1"/>
          <w:szCs w:val="24"/>
        </w:rPr>
        <w:t>b</w:t>
      </w:r>
      <w:r w:rsidR="62B7C08B" w:rsidRPr="004C70EC">
        <w:rPr>
          <w:rFonts w:eastAsia="Times New Roman"/>
          <w:b/>
          <w:bCs/>
          <w:noProof/>
          <w:color w:val="000000" w:themeColor="text1"/>
          <w:szCs w:val="24"/>
        </w:rPr>
        <w:t>iosecurity</w:t>
      </w:r>
    </w:p>
    <w:p w14:paraId="2983CF82" w14:textId="77777777" w:rsidR="00A82C21" w:rsidRPr="004C70EC" w:rsidRDefault="00513C5B" w:rsidP="00513C5B">
      <w:pPr>
        <w:pStyle w:val="Point0"/>
        <w:rPr>
          <w:rFonts w:eastAsiaTheme="minorEastAsia"/>
          <w:noProof/>
          <w:color w:val="000000" w:themeColor="text1"/>
        </w:rPr>
      </w:pPr>
      <w:r w:rsidRPr="004C70EC">
        <w:rPr>
          <w:noProof/>
          <w:color w:val="000000" w:themeColor="text1"/>
        </w:rPr>
        <w:t>1.</w:t>
      </w:r>
      <w:r w:rsidRPr="004C70EC">
        <w:rPr>
          <w:noProof/>
        </w:rPr>
        <w:tab/>
      </w:r>
      <w:r w:rsidR="00D16DBA" w:rsidRPr="004C70EC">
        <w:rPr>
          <w:noProof/>
          <w:color w:val="000000" w:themeColor="text1"/>
        </w:rPr>
        <w:t xml:space="preserve">An </w:t>
      </w:r>
      <w:r w:rsidR="00D16DBA" w:rsidRPr="004C70EC">
        <w:rPr>
          <w:rFonts w:eastAsiaTheme="minorEastAsia"/>
          <w:noProof/>
          <w:color w:val="000000" w:themeColor="text1"/>
        </w:rPr>
        <w:t xml:space="preserve">Advisory Group on Biosecurity (‘the </w:t>
      </w:r>
      <w:r w:rsidR="00D16DBA" w:rsidRPr="004C70EC">
        <w:rPr>
          <w:rFonts w:eastAsia="Calibri"/>
          <w:noProof/>
          <w:color w:val="000000" w:themeColor="text1"/>
        </w:rPr>
        <w:t>Advisory Group</w:t>
      </w:r>
      <w:r w:rsidR="00D16DBA" w:rsidRPr="004C70EC">
        <w:rPr>
          <w:rFonts w:eastAsiaTheme="minorEastAsia"/>
          <w:noProof/>
          <w:color w:val="000000" w:themeColor="text1"/>
        </w:rPr>
        <w:t>’) is hereby established</w:t>
      </w:r>
      <w:r w:rsidR="3D578E8F" w:rsidRPr="004C70EC">
        <w:rPr>
          <w:rFonts w:eastAsiaTheme="minorEastAsia"/>
          <w:noProof/>
          <w:color w:val="000000" w:themeColor="text1"/>
        </w:rPr>
        <w:t>.</w:t>
      </w:r>
    </w:p>
    <w:p w14:paraId="40BC6E4A" w14:textId="005CE73A" w:rsidR="00A82C21" w:rsidRPr="004C70EC" w:rsidRDefault="77D354D1" w:rsidP="00513C5B">
      <w:pPr>
        <w:pStyle w:val="Point0"/>
        <w:rPr>
          <w:rFonts w:eastAsiaTheme="minorEastAsia"/>
          <w:noProof/>
          <w:color w:val="000000" w:themeColor="text1"/>
        </w:rPr>
      </w:pPr>
      <w:r w:rsidRPr="004C70EC">
        <w:rPr>
          <w:rFonts w:eastAsiaTheme="minorEastAsia"/>
          <w:noProof/>
          <w:color w:val="000000" w:themeColor="text1"/>
        </w:rPr>
        <w:t>2.</w:t>
      </w:r>
      <w:r w:rsidR="00513C5B" w:rsidRPr="004C70EC">
        <w:rPr>
          <w:rFonts w:eastAsiaTheme="minorEastAsia"/>
          <w:noProof/>
          <w:color w:val="000000" w:themeColor="text1"/>
          <w:szCs w:val="24"/>
        </w:rPr>
        <w:tab/>
      </w:r>
      <w:r w:rsidR="5765DC4D" w:rsidRPr="004C70EC">
        <w:rPr>
          <w:rFonts w:eastAsiaTheme="minorEastAsia"/>
          <w:noProof/>
          <w:color w:val="000000" w:themeColor="text1"/>
        </w:rPr>
        <w:t xml:space="preserve">The Advisory Group shall provide independent scientific advice to the Commission on biosecurity risks arising from </w:t>
      </w:r>
      <w:r w:rsidR="5765DC4D" w:rsidRPr="004C70EC">
        <w:rPr>
          <w:noProof/>
          <w:color w:val="000000" w:themeColor="text1"/>
        </w:rPr>
        <w:t xml:space="preserve">the rapid development of </w:t>
      </w:r>
      <w:r w:rsidR="5765DC4D" w:rsidRPr="004C70EC">
        <w:rPr>
          <w:rFonts w:eastAsiaTheme="minorEastAsia"/>
          <w:noProof/>
          <w:color w:val="000000" w:themeColor="text1"/>
        </w:rPr>
        <w:t xml:space="preserve">biotechnology, including from AI models </w:t>
      </w:r>
      <w:r w:rsidR="00284838" w:rsidRPr="004C70EC">
        <w:rPr>
          <w:rFonts w:eastAsiaTheme="minorEastAsia"/>
          <w:noProof/>
          <w:color w:val="000000" w:themeColor="text1"/>
        </w:rPr>
        <w:t xml:space="preserve">as described in </w:t>
      </w:r>
      <w:r w:rsidR="001825FC" w:rsidRPr="004C70EC">
        <w:rPr>
          <w:rFonts w:eastAsiaTheme="minorEastAsia"/>
          <w:noProof/>
          <w:color w:val="000000" w:themeColor="text1"/>
        </w:rPr>
        <w:t xml:space="preserve">Regulation </w:t>
      </w:r>
      <w:r w:rsidR="00B91FA6" w:rsidRPr="004C70EC">
        <w:rPr>
          <w:rFonts w:eastAsiaTheme="minorEastAsia"/>
          <w:noProof/>
          <w:color w:val="000000" w:themeColor="text1"/>
        </w:rPr>
        <w:t xml:space="preserve">(EU) 2024/1689 </w:t>
      </w:r>
      <w:r w:rsidR="5765DC4D" w:rsidRPr="004C70EC">
        <w:rPr>
          <w:rFonts w:eastAsiaTheme="minorEastAsia"/>
          <w:noProof/>
          <w:color w:val="000000" w:themeColor="text1"/>
        </w:rPr>
        <w:t>in biological applications</w:t>
      </w:r>
      <w:r w:rsidR="00284838" w:rsidRPr="004C70EC">
        <w:rPr>
          <w:rFonts w:eastAsiaTheme="minorEastAsia"/>
          <w:noProof/>
          <w:color w:val="000000" w:themeColor="text1"/>
        </w:rPr>
        <w:t xml:space="preserve"> (‘AI models in biological applications’)</w:t>
      </w:r>
      <w:r w:rsidR="5765DC4D" w:rsidRPr="004C70EC">
        <w:rPr>
          <w:rFonts w:eastAsiaTheme="minorEastAsia"/>
          <w:noProof/>
          <w:color w:val="000000" w:themeColor="text1"/>
        </w:rPr>
        <w:t>.</w:t>
      </w:r>
      <w:r w:rsidR="5765DC4D" w:rsidRPr="004C70EC">
        <w:rPr>
          <w:noProof/>
          <w:color w:val="000000" w:themeColor="text1"/>
        </w:rPr>
        <w:t xml:space="preserve"> </w:t>
      </w:r>
      <w:r w:rsidR="5765DC4D" w:rsidRPr="004C70EC">
        <w:rPr>
          <w:rFonts w:eastAsiaTheme="minorEastAsia"/>
          <w:noProof/>
          <w:color w:val="000000" w:themeColor="text1"/>
        </w:rPr>
        <w:t>It shall be selected and operate in accordance with the Commission’s framework for expert groups</w:t>
      </w:r>
      <w:r w:rsidR="00D16DBA" w:rsidRPr="004C70EC">
        <w:rPr>
          <w:rStyle w:val="FootnoteReference"/>
          <w:rFonts w:eastAsiaTheme="minorEastAsia"/>
          <w:noProof/>
          <w:color w:val="000000" w:themeColor="text1"/>
        </w:rPr>
        <w:footnoteReference w:id="162"/>
      </w:r>
      <w:r w:rsidR="5765DC4D" w:rsidRPr="004C70EC">
        <w:rPr>
          <w:rFonts w:eastAsiaTheme="minorEastAsia"/>
          <w:noProof/>
          <w:color w:val="000000" w:themeColor="text1"/>
        </w:rPr>
        <w:t>.</w:t>
      </w:r>
      <w:r w:rsidR="006A7DFE" w:rsidRPr="004C70EC">
        <w:rPr>
          <w:rFonts w:eastAsiaTheme="minorEastAsia"/>
          <w:noProof/>
          <w:color w:val="000000" w:themeColor="text1"/>
        </w:rPr>
        <w:t xml:space="preserve"> </w:t>
      </w:r>
    </w:p>
    <w:p w14:paraId="17DFF257" w14:textId="77777777" w:rsidR="00D16DBA" w:rsidRPr="004C70EC" w:rsidRDefault="00513C5B" w:rsidP="00513C5B">
      <w:pPr>
        <w:pStyle w:val="Point0"/>
        <w:rPr>
          <w:rFonts w:eastAsiaTheme="minorEastAsia"/>
          <w:noProof/>
          <w:color w:val="000000" w:themeColor="text1"/>
          <w:szCs w:val="24"/>
        </w:rPr>
      </w:pPr>
      <w:r w:rsidRPr="004C70EC">
        <w:rPr>
          <w:rFonts w:eastAsiaTheme="minorEastAsia"/>
          <w:noProof/>
          <w:color w:val="000000" w:themeColor="text1"/>
          <w:szCs w:val="24"/>
        </w:rPr>
        <w:t>3.</w:t>
      </w:r>
      <w:r w:rsidRPr="004C70EC">
        <w:rPr>
          <w:rFonts w:eastAsiaTheme="minorEastAsia"/>
          <w:noProof/>
          <w:color w:val="000000" w:themeColor="text1"/>
          <w:szCs w:val="24"/>
        </w:rPr>
        <w:tab/>
      </w:r>
      <w:r w:rsidR="00D16DBA" w:rsidRPr="004C70EC">
        <w:rPr>
          <w:rFonts w:eastAsiaTheme="minorEastAsia"/>
          <w:noProof/>
          <w:color w:val="000000" w:themeColor="text1"/>
          <w:szCs w:val="24"/>
        </w:rPr>
        <w:t xml:space="preserve">The tasks of the </w:t>
      </w:r>
      <w:r w:rsidR="00D16DBA" w:rsidRPr="004C70EC">
        <w:rPr>
          <w:rFonts w:eastAsia="Times New Roman"/>
          <w:noProof/>
          <w:color w:val="000000" w:themeColor="text1"/>
          <w:szCs w:val="24"/>
        </w:rPr>
        <w:t>Advisory Group</w:t>
      </w:r>
      <w:r w:rsidR="00D16DBA" w:rsidRPr="004C70EC">
        <w:rPr>
          <w:rFonts w:eastAsiaTheme="minorEastAsia"/>
          <w:noProof/>
          <w:color w:val="000000" w:themeColor="text1"/>
          <w:szCs w:val="24"/>
        </w:rPr>
        <w:t xml:space="preserve"> shall include:</w:t>
      </w:r>
    </w:p>
    <w:p w14:paraId="0560A4D6" w14:textId="77777777" w:rsidR="00D16DBA" w:rsidRPr="004C70EC" w:rsidRDefault="00D16DBA" w:rsidP="00D16DBA">
      <w:pPr>
        <w:pStyle w:val="Point1"/>
        <w:rPr>
          <w:rFonts w:eastAsia="Calibri"/>
          <w:noProof/>
          <w:color w:val="000000" w:themeColor="text1"/>
          <w:szCs w:val="24"/>
        </w:rPr>
      </w:pPr>
      <w:r w:rsidRPr="004C70EC">
        <w:rPr>
          <w:rFonts w:eastAsia="Calibri"/>
          <w:noProof/>
          <w:color w:val="000000" w:themeColor="text1"/>
          <w:szCs w:val="24"/>
        </w:rPr>
        <w:t>(a)</w:t>
      </w:r>
      <w:r w:rsidRPr="004C70EC">
        <w:rPr>
          <w:noProof/>
          <w:color w:val="000000" w:themeColor="text1"/>
          <w:szCs w:val="24"/>
        </w:rPr>
        <w:tab/>
      </w:r>
      <w:r w:rsidRPr="004C70EC">
        <w:rPr>
          <w:rFonts w:eastAsia="Calibri"/>
          <w:noProof/>
          <w:color w:val="000000" w:themeColor="text1"/>
          <w:szCs w:val="24"/>
        </w:rPr>
        <w:t>monitoring advances in biotechnology to advise the Commission on emerging biosecurity challenges, including on any potentially necessary updates to the list of biotechnology products of concern laid down in Annex I and on risk-based audits of economic operators;</w:t>
      </w:r>
    </w:p>
    <w:p w14:paraId="67A0662E" w14:textId="77777777" w:rsidR="00D16DBA" w:rsidRPr="004C70EC" w:rsidRDefault="00D16DBA" w:rsidP="00D16DBA">
      <w:pPr>
        <w:pStyle w:val="Point1"/>
        <w:rPr>
          <w:noProof/>
          <w:color w:val="000000" w:themeColor="text1"/>
        </w:rPr>
      </w:pPr>
      <w:r w:rsidRPr="004C70EC">
        <w:rPr>
          <w:noProof/>
          <w:color w:val="000000" w:themeColor="text1"/>
        </w:rPr>
        <w:t>(b)</w:t>
      </w:r>
      <w:r w:rsidRPr="004C70EC">
        <w:rPr>
          <w:noProof/>
        </w:rPr>
        <w:tab/>
      </w:r>
      <w:r w:rsidRPr="004C70EC">
        <w:rPr>
          <w:noProof/>
          <w:color w:val="000000" w:themeColor="text1"/>
        </w:rPr>
        <w:t>monitoring the capabilities and risk profile of AI models in biological applications throughout their life cycle;</w:t>
      </w:r>
    </w:p>
    <w:p w14:paraId="0F7CD4A5" w14:textId="77777777" w:rsidR="00D16DBA" w:rsidRPr="004C70EC" w:rsidRDefault="00D16DBA" w:rsidP="00D16DBA">
      <w:pPr>
        <w:pStyle w:val="Point1"/>
        <w:rPr>
          <w:rFonts w:eastAsia="Times New Roman"/>
          <w:noProof/>
          <w:color w:val="000000" w:themeColor="text1"/>
          <w:szCs w:val="24"/>
        </w:rPr>
      </w:pPr>
      <w:r w:rsidRPr="004C70EC">
        <w:rPr>
          <w:rFonts w:eastAsia="Calibri"/>
          <w:noProof/>
          <w:color w:val="000000" w:themeColor="text1"/>
          <w:szCs w:val="24"/>
        </w:rPr>
        <w:t>(c)</w:t>
      </w:r>
      <w:r w:rsidRPr="004C70EC">
        <w:rPr>
          <w:noProof/>
          <w:color w:val="000000" w:themeColor="text1"/>
          <w:szCs w:val="24"/>
        </w:rPr>
        <w:tab/>
      </w:r>
      <w:r w:rsidRPr="004C70EC">
        <w:rPr>
          <w:rFonts w:eastAsia="Calibri"/>
          <w:noProof/>
          <w:color w:val="000000" w:themeColor="text1"/>
          <w:szCs w:val="24"/>
        </w:rPr>
        <w:t>contributing to the preparation of Union guidance and best practices for responsible innovation on AI models in biological applications;</w:t>
      </w:r>
    </w:p>
    <w:p w14:paraId="42F680ED" w14:textId="77777777" w:rsidR="00D16DBA" w:rsidRPr="004C70EC" w:rsidRDefault="00D16DBA" w:rsidP="00D16DBA">
      <w:pPr>
        <w:pStyle w:val="Point1"/>
        <w:rPr>
          <w:rFonts w:eastAsia="Calibri"/>
          <w:noProof/>
          <w:color w:val="000000" w:themeColor="text1"/>
          <w:szCs w:val="24"/>
        </w:rPr>
      </w:pPr>
      <w:r w:rsidRPr="004C70EC">
        <w:rPr>
          <w:rFonts w:eastAsia="Calibri"/>
          <w:noProof/>
          <w:color w:val="000000" w:themeColor="text1"/>
          <w:szCs w:val="24"/>
        </w:rPr>
        <w:t>(</w:t>
      </w:r>
      <w:r w:rsidR="00B238E2" w:rsidRPr="004C70EC">
        <w:rPr>
          <w:rFonts w:eastAsia="Calibri"/>
          <w:noProof/>
          <w:color w:val="000000" w:themeColor="text1"/>
          <w:szCs w:val="24"/>
        </w:rPr>
        <w:t>d</w:t>
      </w:r>
      <w:r w:rsidRPr="004C70EC">
        <w:rPr>
          <w:rFonts w:eastAsia="Calibri"/>
          <w:noProof/>
          <w:color w:val="000000" w:themeColor="text1"/>
          <w:szCs w:val="24"/>
        </w:rPr>
        <w:t>)</w:t>
      </w:r>
      <w:r w:rsidRPr="004C70EC">
        <w:rPr>
          <w:noProof/>
          <w:color w:val="000000" w:themeColor="text1"/>
          <w:szCs w:val="24"/>
        </w:rPr>
        <w:tab/>
      </w:r>
      <w:r w:rsidRPr="004C70EC">
        <w:rPr>
          <w:rFonts w:eastAsia="Calibri"/>
          <w:noProof/>
          <w:color w:val="000000" w:themeColor="text1"/>
          <w:szCs w:val="24"/>
        </w:rPr>
        <w:t>facilitate dialogue and coordination among scientific, industry, and security stakeholders and support, where appropriate, international cooperation on biosecurity.</w:t>
      </w:r>
    </w:p>
    <w:p w14:paraId="05BCECC7" w14:textId="77777777" w:rsidR="00FC340F" w:rsidRPr="004C70EC" w:rsidRDefault="00FC340F" w:rsidP="00FC340F">
      <w:pPr>
        <w:pStyle w:val="Point0"/>
        <w:rPr>
          <w:rFonts w:eastAsiaTheme="minorEastAsia"/>
          <w:noProof/>
          <w:color w:val="000000" w:themeColor="text1"/>
        </w:rPr>
      </w:pPr>
      <w:r w:rsidRPr="004C70EC">
        <w:rPr>
          <w:rFonts w:eastAsiaTheme="minorEastAsia"/>
          <w:noProof/>
          <w:color w:val="000000" w:themeColor="text1"/>
        </w:rPr>
        <w:t>4</w:t>
      </w:r>
      <w:r w:rsidR="00D16DBA" w:rsidRPr="004C70EC">
        <w:rPr>
          <w:rFonts w:eastAsiaTheme="minorEastAsia"/>
          <w:noProof/>
          <w:color w:val="000000" w:themeColor="text1"/>
        </w:rPr>
        <w:t>.</w:t>
      </w:r>
      <w:r w:rsidR="00D16DBA" w:rsidRPr="004C70EC">
        <w:rPr>
          <w:noProof/>
        </w:rPr>
        <w:tab/>
      </w:r>
      <w:r w:rsidR="00D16DBA" w:rsidRPr="004C70EC">
        <w:rPr>
          <w:rFonts w:eastAsiaTheme="minorEastAsia"/>
          <w:noProof/>
          <w:color w:val="000000" w:themeColor="text1"/>
        </w:rPr>
        <w:t xml:space="preserve">Where the Advisory Group has reasonable grounds to suspect that an AI model in a biological application </w:t>
      </w:r>
      <w:r w:rsidR="116A39F9" w:rsidRPr="004C70EC">
        <w:rPr>
          <w:rFonts w:eastAsia="Times New Roman"/>
          <w:noProof/>
          <w:color w:val="000000" w:themeColor="text1"/>
        </w:rPr>
        <w:t>not covered by Regulation (EU) 2024/1689</w:t>
      </w:r>
      <w:r w:rsidR="00FE75F7" w:rsidRPr="004C70EC">
        <w:rPr>
          <w:rFonts w:eastAsia="Times New Roman"/>
          <w:noProof/>
          <w:color w:val="000000" w:themeColor="text1"/>
        </w:rPr>
        <w:t>,</w:t>
      </w:r>
      <w:r w:rsidR="007F740C" w:rsidRPr="004C70EC">
        <w:rPr>
          <w:rFonts w:eastAsia="Times New Roman"/>
          <w:noProof/>
          <w:color w:val="000000" w:themeColor="text1"/>
        </w:rPr>
        <w:t xml:space="preserve"> </w:t>
      </w:r>
      <w:r w:rsidR="00D16DBA" w:rsidRPr="004C70EC">
        <w:rPr>
          <w:rFonts w:eastAsiaTheme="minorEastAsia"/>
          <w:noProof/>
          <w:color w:val="000000" w:themeColor="text1"/>
        </w:rPr>
        <w:t xml:space="preserve">poses biological systemic risk, it </w:t>
      </w:r>
      <w:r w:rsidR="007F740C" w:rsidRPr="004C70EC">
        <w:rPr>
          <w:rFonts w:eastAsiaTheme="minorEastAsia"/>
          <w:noProof/>
          <w:color w:val="000000" w:themeColor="text1"/>
        </w:rPr>
        <w:t xml:space="preserve">shall </w:t>
      </w:r>
      <w:r w:rsidR="00D16DBA" w:rsidRPr="004C70EC">
        <w:rPr>
          <w:rFonts w:eastAsiaTheme="minorEastAsia"/>
          <w:noProof/>
          <w:color w:val="000000" w:themeColor="text1"/>
        </w:rPr>
        <w:t xml:space="preserve">issue a qualified alert to the Commission and to the Member States. A qualified alert may be issued following a decision of the Advisory Group or at the initiative of at least 50% of its members. The alert shall be concise and duly reasoned and shall indicate at least the point of contact of the developer of the model concerned and the factual basis for the alert. </w:t>
      </w:r>
    </w:p>
    <w:p w14:paraId="3BD43841" w14:textId="77777777" w:rsidR="00FC340F" w:rsidRPr="004C70EC" w:rsidRDefault="36BE0544" w:rsidP="4CF51068">
      <w:pPr>
        <w:pStyle w:val="Point0"/>
        <w:rPr>
          <w:rFonts w:eastAsiaTheme="minorEastAsia"/>
          <w:noProof/>
          <w:color w:val="000000" w:themeColor="text1"/>
        </w:rPr>
      </w:pPr>
      <w:r w:rsidRPr="004C70EC">
        <w:rPr>
          <w:rFonts w:eastAsiaTheme="minorEastAsia"/>
          <w:noProof/>
          <w:color w:val="000000" w:themeColor="text1"/>
        </w:rPr>
        <w:t>5.</w:t>
      </w:r>
      <w:r w:rsidR="00FC340F" w:rsidRPr="004C70EC">
        <w:rPr>
          <w:noProof/>
        </w:rPr>
        <w:tab/>
      </w:r>
      <w:r w:rsidR="00DC5BD3" w:rsidRPr="004C70EC">
        <w:rPr>
          <w:rFonts w:eastAsia="Times New Roman"/>
          <w:noProof/>
          <w:color w:val="000000" w:themeColor="text1"/>
        </w:rPr>
        <w:t>W</w:t>
      </w:r>
      <w:r w:rsidR="3138B21A" w:rsidRPr="004C70EC">
        <w:rPr>
          <w:rFonts w:eastAsia="Times New Roman"/>
          <w:noProof/>
          <w:color w:val="000000" w:themeColor="text1"/>
        </w:rPr>
        <w:t>her</w:t>
      </w:r>
      <w:r w:rsidR="5765DC4D" w:rsidRPr="004C70EC">
        <w:rPr>
          <w:rFonts w:eastAsia="Times New Roman"/>
          <w:noProof/>
          <w:color w:val="000000" w:themeColor="text1"/>
        </w:rPr>
        <w:t xml:space="preserve">e the </w:t>
      </w:r>
      <w:r w:rsidR="2053ACF3" w:rsidRPr="004C70EC">
        <w:rPr>
          <w:rFonts w:eastAsia="Times New Roman"/>
          <w:noProof/>
          <w:color w:val="000000" w:themeColor="text1"/>
        </w:rPr>
        <w:t>Advisory Group has reasonable grounds to suspect that a</w:t>
      </w:r>
      <w:r w:rsidR="00DC5BD3" w:rsidRPr="004C70EC">
        <w:rPr>
          <w:rFonts w:eastAsia="Times New Roman"/>
          <w:noProof/>
          <w:color w:val="000000" w:themeColor="text1"/>
        </w:rPr>
        <w:t>n</w:t>
      </w:r>
      <w:r w:rsidR="2053ACF3" w:rsidRPr="004C70EC">
        <w:rPr>
          <w:rFonts w:eastAsia="Times New Roman"/>
          <w:noProof/>
          <w:color w:val="000000" w:themeColor="text1"/>
        </w:rPr>
        <w:t xml:space="preserve"> </w:t>
      </w:r>
      <w:r w:rsidR="006A7DFE" w:rsidRPr="004C70EC">
        <w:rPr>
          <w:rFonts w:eastAsia="Times New Roman"/>
          <w:noProof/>
          <w:color w:val="000000" w:themeColor="text1"/>
        </w:rPr>
        <w:t xml:space="preserve">AI model </w:t>
      </w:r>
      <w:r w:rsidR="7593334E" w:rsidRPr="004C70EC">
        <w:rPr>
          <w:rFonts w:eastAsia="Times New Roman"/>
          <w:noProof/>
          <w:color w:val="000000" w:themeColor="text1"/>
        </w:rPr>
        <w:t>covered by</w:t>
      </w:r>
      <w:r w:rsidR="2053ACF3" w:rsidRPr="004C70EC">
        <w:rPr>
          <w:rFonts w:eastAsia="Times New Roman"/>
          <w:noProof/>
          <w:color w:val="000000" w:themeColor="text1"/>
        </w:rPr>
        <w:t xml:space="preserve"> Regulation (EU) 2024/1689 poses biological systemic risk, </w:t>
      </w:r>
      <w:r w:rsidR="5B2A0281" w:rsidRPr="004C70EC">
        <w:rPr>
          <w:rFonts w:eastAsia="Times New Roman"/>
          <w:noProof/>
          <w:color w:val="000000" w:themeColor="text1"/>
        </w:rPr>
        <w:t xml:space="preserve">it shall inform </w:t>
      </w:r>
      <w:r w:rsidR="5765DC4D" w:rsidRPr="004C70EC">
        <w:rPr>
          <w:rFonts w:eastAsia="Times New Roman"/>
          <w:noProof/>
          <w:color w:val="000000" w:themeColor="text1"/>
        </w:rPr>
        <w:t xml:space="preserve">the scientific panel of independent experts </w:t>
      </w:r>
      <w:r w:rsidR="00FE75F7" w:rsidRPr="004C70EC">
        <w:rPr>
          <w:rFonts w:eastAsia="Times New Roman"/>
          <w:noProof/>
          <w:color w:val="000000" w:themeColor="text1"/>
        </w:rPr>
        <w:t xml:space="preserve">referred to in </w:t>
      </w:r>
      <w:r w:rsidR="5765DC4D" w:rsidRPr="004C70EC">
        <w:rPr>
          <w:rFonts w:eastAsia="Times New Roman"/>
          <w:noProof/>
          <w:color w:val="000000" w:themeColor="text1"/>
        </w:rPr>
        <w:t>Article 68 Regulation (EU) 2024/1689. Th</w:t>
      </w:r>
      <w:r w:rsidR="006A167C" w:rsidRPr="004C70EC">
        <w:rPr>
          <w:rFonts w:eastAsia="Times New Roman"/>
          <w:noProof/>
          <w:color w:val="000000" w:themeColor="text1"/>
        </w:rPr>
        <w:t>at panel</w:t>
      </w:r>
      <w:r w:rsidR="5765DC4D" w:rsidRPr="004C70EC">
        <w:rPr>
          <w:rFonts w:eastAsia="Times New Roman"/>
          <w:noProof/>
          <w:color w:val="000000" w:themeColor="text1"/>
        </w:rPr>
        <w:t xml:space="preserve"> may issue a qualified alert to the AI Office in accordance with Regulation</w:t>
      </w:r>
      <w:r w:rsidR="00FD1C50" w:rsidRPr="004C70EC">
        <w:rPr>
          <w:rFonts w:eastAsia="Times New Roman"/>
          <w:noProof/>
          <w:color w:val="000000" w:themeColor="text1"/>
        </w:rPr>
        <w:t xml:space="preserve"> (EU) 2019/1689</w:t>
      </w:r>
      <w:r w:rsidR="5765DC4D" w:rsidRPr="004C70EC">
        <w:rPr>
          <w:rFonts w:eastAsia="Times New Roman"/>
          <w:noProof/>
          <w:color w:val="000000" w:themeColor="text1"/>
        </w:rPr>
        <w:t>.</w:t>
      </w:r>
    </w:p>
    <w:p w14:paraId="577EE4A9" w14:textId="77777777" w:rsidR="00D16DBA" w:rsidRPr="004C70EC" w:rsidRDefault="36BE0544" w:rsidP="4CF51068">
      <w:pPr>
        <w:pStyle w:val="Point0"/>
        <w:rPr>
          <w:rFonts w:eastAsiaTheme="minorEastAsia"/>
          <w:noProof/>
          <w:color w:val="000000" w:themeColor="text1"/>
        </w:rPr>
      </w:pPr>
      <w:r w:rsidRPr="004C70EC">
        <w:rPr>
          <w:rFonts w:eastAsiaTheme="minorEastAsia"/>
          <w:noProof/>
          <w:color w:val="000000" w:themeColor="text1"/>
        </w:rPr>
        <w:t>6.</w:t>
      </w:r>
      <w:r w:rsidR="00FC340F" w:rsidRPr="004C70EC">
        <w:rPr>
          <w:noProof/>
        </w:rPr>
        <w:tab/>
      </w:r>
      <w:r w:rsidR="5765DC4D" w:rsidRPr="004C70EC">
        <w:rPr>
          <w:rFonts w:eastAsiaTheme="minorEastAsia"/>
          <w:noProof/>
          <w:color w:val="000000" w:themeColor="text1"/>
        </w:rPr>
        <w:t>The Advisory Group shall be composed of up to 25 globally leading independent experts appointed by the Commission based on their recognized expertise in the areas of biotechnology, biosecurity, biodefence and A</w:t>
      </w:r>
      <w:r w:rsidR="62B85EF4" w:rsidRPr="004C70EC">
        <w:rPr>
          <w:rFonts w:eastAsiaTheme="minorEastAsia"/>
          <w:noProof/>
          <w:color w:val="000000" w:themeColor="text1"/>
        </w:rPr>
        <w:t>I</w:t>
      </w:r>
      <w:r w:rsidR="5765DC4D" w:rsidRPr="004C70EC">
        <w:rPr>
          <w:rFonts w:eastAsiaTheme="minorEastAsia"/>
          <w:noProof/>
          <w:color w:val="000000" w:themeColor="text1"/>
        </w:rPr>
        <w:t xml:space="preserve">. </w:t>
      </w:r>
    </w:p>
    <w:p w14:paraId="3A171970" w14:textId="77777777" w:rsidR="00D16DBA" w:rsidRPr="004C70EC" w:rsidRDefault="00FC340F" w:rsidP="00D16DBA">
      <w:pPr>
        <w:pStyle w:val="Point0"/>
        <w:rPr>
          <w:rFonts w:eastAsiaTheme="minorEastAsia"/>
          <w:noProof/>
          <w:color w:val="000000" w:themeColor="text1"/>
          <w:szCs w:val="24"/>
        </w:rPr>
      </w:pPr>
      <w:r w:rsidRPr="004C70EC">
        <w:rPr>
          <w:rFonts w:eastAsiaTheme="minorEastAsia"/>
          <w:noProof/>
          <w:color w:val="000000" w:themeColor="text1"/>
          <w:szCs w:val="24"/>
        </w:rPr>
        <w:t>7</w:t>
      </w:r>
      <w:r w:rsidR="00D16DBA" w:rsidRPr="004C70EC">
        <w:rPr>
          <w:rFonts w:eastAsiaTheme="minorEastAsia"/>
          <w:noProof/>
          <w:color w:val="000000" w:themeColor="text1"/>
          <w:szCs w:val="24"/>
        </w:rPr>
        <w:t>.</w:t>
      </w:r>
      <w:r w:rsidR="00D16DBA" w:rsidRPr="004C70EC">
        <w:rPr>
          <w:noProof/>
          <w:color w:val="000000" w:themeColor="text1"/>
          <w:szCs w:val="24"/>
        </w:rPr>
        <w:tab/>
      </w:r>
      <w:r w:rsidR="00D16DBA" w:rsidRPr="004C70EC">
        <w:rPr>
          <w:rFonts w:eastAsiaTheme="minorEastAsia"/>
          <w:noProof/>
          <w:color w:val="000000" w:themeColor="text1"/>
          <w:szCs w:val="24"/>
        </w:rPr>
        <w:t xml:space="preserve">The members of the Advisory Group shall perform their tasks with impartiality and objectivity. The Advisory Group shall liaise, where appropriate, with other Union and international expert structures addressing biotechnology, AI, or biosecurity to ensure coherence and efficiency, including the </w:t>
      </w:r>
      <w:r w:rsidR="00FE75F7" w:rsidRPr="004C70EC">
        <w:rPr>
          <w:rFonts w:eastAsiaTheme="minorEastAsia"/>
          <w:noProof/>
          <w:color w:val="000000" w:themeColor="text1"/>
          <w:szCs w:val="24"/>
        </w:rPr>
        <w:t>s</w:t>
      </w:r>
      <w:r w:rsidR="00D16DBA" w:rsidRPr="004C70EC">
        <w:rPr>
          <w:rFonts w:eastAsiaTheme="minorEastAsia"/>
          <w:noProof/>
          <w:color w:val="000000" w:themeColor="text1"/>
          <w:szCs w:val="24"/>
        </w:rPr>
        <w:t xml:space="preserve">cientific </w:t>
      </w:r>
      <w:r w:rsidR="00FE75F7" w:rsidRPr="004C70EC">
        <w:rPr>
          <w:rFonts w:eastAsiaTheme="minorEastAsia"/>
          <w:noProof/>
          <w:color w:val="000000" w:themeColor="text1"/>
          <w:szCs w:val="24"/>
        </w:rPr>
        <w:t>p</w:t>
      </w:r>
      <w:r w:rsidR="00D16DBA" w:rsidRPr="004C70EC">
        <w:rPr>
          <w:rFonts w:eastAsiaTheme="minorEastAsia"/>
          <w:noProof/>
          <w:color w:val="000000" w:themeColor="text1"/>
          <w:szCs w:val="24"/>
        </w:rPr>
        <w:t>anel referred to in Article 68 of Regulation (EU) 2024/1689.</w:t>
      </w:r>
    </w:p>
    <w:p w14:paraId="2337A2B3" w14:textId="77777777" w:rsidR="00D16DBA" w:rsidRPr="004C70EC" w:rsidRDefault="00FC340F" w:rsidP="00D16DBA">
      <w:pPr>
        <w:pStyle w:val="Point0"/>
        <w:rPr>
          <w:rFonts w:eastAsiaTheme="minorEastAsia"/>
          <w:noProof/>
          <w:color w:val="000000" w:themeColor="text1"/>
          <w:szCs w:val="24"/>
        </w:rPr>
      </w:pPr>
      <w:r w:rsidRPr="004C70EC">
        <w:rPr>
          <w:rFonts w:eastAsiaTheme="minorEastAsia"/>
          <w:noProof/>
          <w:color w:val="000000" w:themeColor="text1"/>
          <w:szCs w:val="24"/>
        </w:rPr>
        <w:t>8</w:t>
      </w:r>
      <w:r w:rsidR="00D16DBA" w:rsidRPr="004C70EC">
        <w:rPr>
          <w:rFonts w:eastAsiaTheme="minorEastAsia"/>
          <w:noProof/>
          <w:color w:val="000000" w:themeColor="text1"/>
          <w:szCs w:val="24"/>
        </w:rPr>
        <w:t>.</w:t>
      </w:r>
      <w:r w:rsidR="00D16DBA" w:rsidRPr="004C70EC">
        <w:rPr>
          <w:noProof/>
          <w:color w:val="000000" w:themeColor="text1"/>
          <w:szCs w:val="24"/>
        </w:rPr>
        <w:tab/>
      </w:r>
      <w:r w:rsidR="00D16DBA" w:rsidRPr="004C70EC">
        <w:rPr>
          <w:rFonts w:eastAsiaTheme="minorEastAsia"/>
          <w:noProof/>
          <w:color w:val="000000" w:themeColor="text1"/>
          <w:szCs w:val="24"/>
        </w:rPr>
        <w:t>The Advisory Group may adopt opinions, recommendations, or principles on matters within its mandate.</w:t>
      </w:r>
    </w:p>
    <w:p w14:paraId="28696BAB" w14:textId="77777777" w:rsidR="00D16DBA" w:rsidRPr="004C70EC" w:rsidRDefault="00D16DBA" w:rsidP="00D16DBA">
      <w:pPr>
        <w:pStyle w:val="Titrearticle"/>
        <w:rPr>
          <w:rFonts w:eastAsia="Times New Roman"/>
          <w:i w:val="0"/>
          <w:iCs/>
          <w:noProof/>
          <w:color w:val="000000" w:themeColor="text1"/>
          <w:szCs w:val="24"/>
        </w:rPr>
      </w:pPr>
      <w:r w:rsidRPr="004C70EC">
        <w:rPr>
          <w:rFonts w:eastAsia="Times New Roman"/>
          <w:iCs/>
          <w:noProof/>
          <w:color w:val="000000" w:themeColor="text1"/>
          <w:szCs w:val="24"/>
        </w:rPr>
        <w:t xml:space="preserve">Article </w:t>
      </w:r>
      <w:r w:rsidR="00A01B18" w:rsidRPr="004C70EC">
        <w:rPr>
          <w:rFonts w:eastAsia="Times New Roman"/>
          <w:iCs/>
          <w:noProof/>
          <w:color w:val="000000" w:themeColor="text1"/>
          <w:szCs w:val="24"/>
        </w:rPr>
        <w:t>53</w:t>
      </w:r>
    </w:p>
    <w:p w14:paraId="6F545343" w14:textId="77777777" w:rsidR="00D16DBA" w:rsidRPr="004C70EC" w:rsidRDefault="00D16DBA" w:rsidP="00D16DBA">
      <w:pPr>
        <w:spacing w:before="160" w:after="80" w:line="278" w:lineRule="auto"/>
        <w:jc w:val="center"/>
        <w:rPr>
          <w:rFonts w:eastAsia="Times New Roman"/>
          <w:b/>
          <w:noProof/>
          <w:color w:val="000000" w:themeColor="text1"/>
          <w:szCs w:val="24"/>
        </w:rPr>
      </w:pPr>
      <w:r w:rsidRPr="004C70EC">
        <w:rPr>
          <w:rFonts w:eastAsia="Times New Roman"/>
          <w:b/>
          <w:noProof/>
          <w:color w:val="000000" w:themeColor="text1"/>
          <w:szCs w:val="24"/>
        </w:rPr>
        <w:t xml:space="preserve">Biological systemic risk </w:t>
      </w:r>
    </w:p>
    <w:p w14:paraId="110B30DF" w14:textId="77777777" w:rsidR="00A52646" w:rsidRPr="004C70EC" w:rsidRDefault="00513C5B" w:rsidP="00513C5B">
      <w:pPr>
        <w:pStyle w:val="Point0"/>
        <w:rPr>
          <w:rFonts w:eastAsiaTheme="minorEastAsia"/>
          <w:noProof/>
          <w:color w:val="000000" w:themeColor="text1"/>
          <w:szCs w:val="24"/>
        </w:rPr>
      </w:pPr>
      <w:r w:rsidRPr="004C70EC">
        <w:rPr>
          <w:rFonts w:eastAsiaTheme="minorEastAsia"/>
          <w:noProof/>
          <w:color w:val="000000" w:themeColor="text1"/>
          <w:szCs w:val="24"/>
        </w:rPr>
        <w:t>1.</w:t>
      </w:r>
      <w:r w:rsidRPr="004C70EC">
        <w:rPr>
          <w:rFonts w:eastAsiaTheme="minorEastAsia"/>
          <w:noProof/>
          <w:color w:val="000000" w:themeColor="text1"/>
          <w:szCs w:val="24"/>
        </w:rPr>
        <w:tab/>
      </w:r>
      <w:r w:rsidR="00D16DBA" w:rsidRPr="004C70EC">
        <w:rPr>
          <w:rFonts w:eastAsiaTheme="minorEastAsia"/>
          <w:noProof/>
          <w:color w:val="000000" w:themeColor="text1"/>
          <w:szCs w:val="24"/>
        </w:rPr>
        <w:t xml:space="preserve">The Commission shall monitor biological systemic risk from AI models in biological applications and propose mitigating actions, based on advice provided by the Advisory Group and in line with the Union harmonisation legislation on </w:t>
      </w:r>
      <w:r w:rsidR="005C2FB2" w:rsidRPr="004C70EC">
        <w:rPr>
          <w:rFonts w:eastAsiaTheme="minorEastAsia"/>
          <w:noProof/>
          <w:color w:val="000000" w:themeColor="text1"/>
          <w:szCs w:val="24"/>
        </w:rPr>
        <w:t>AI</w:t>
      </w:r>
      <w:r w:rsidR="00D16DBA" w:rsidRPr="004C70EC">
        <w:rPr>
          <w:rFonts w:eastAsiaTheme="minorEastAsia"/>
          <w:noProof/>
          <w:color w:val="000000" w:themeColor="text1"/>
          <w:szCs w:val="24"/>
        </w:rPr>
        <w:t xml:space="preserve">, including boosting biodefence capabilities or regulation, including on assessment and mitigation of systemic risk from those </w:t>
      </w:r>
      <w:r w:rsidR="006B6741" w:rsidRPr="004C70EC">
        <w:rPr>
          <w:rFonts w:eastAsiaTheme="minorEastAsia"/>
          <w:noProof/>
          <w:color w:val="000000" w:themeColor="text1"/>
          <w:szCs w:val="24"/>
        </w:rPr>
        <w:t xml:space="preserve">AI </w:t>
      </w:r>
      <w:r w:rsidR="00D16DBA" w:rsidRPr="004C70EC">
        <w:rPr>
          <w:rFonts w:eastAsiaTheme="minorEastAsia"/>
          <w:noProof/>
          <w:color w:val="000000" w:themeColor="text1"/>
          <w:szCs w:val="24"/>
        </w:rPr>
        <w:t>models, as appropriate.</w:t>
      </w:r>
    </w:p>
    <w:p w14:paraId="755E947B" w14:textId="77777777" w:rsidR="00194BBA" w:rsidRPr="004C70EC" w:rsidRDefault="00513C5B" w:rsidP="00513C5B">
      <w:pPr>
        <w:pStyle w:val="Point0"/>
        <w:rPr>
          <w:noProof/>
          <w:color w:val="000000" w:themeColor="text1"/>
          <w:szCs w:val="24"/>
        </w:rPr>
      </w:pPr>
      <w:r w:rsidRPr="004C70EC">
        <w:rPr>
          <w:rFonts w:eastAsiaTheme="minorEastAsia"/>
          <w:noProof/>
          <w:color w:val="000000" w:themeColor="text1"/>
          <w:szCs w:val="24"/>
        </w:rPr>
        <w:t>2.</w:t>
      </w:r>
      <w:r w:rsidRPr="004C70EC">
        <w:rPr>
          <w:noProof/>
        </w:rPr>
        <w:tab/>
      </w:r>
      <w:r w:rsidR="00D16DBA" w:rsidRPr="004C70EC">
        <w:rPr>
          <w:rFonts w:eastAsiaTheme="minorEastAsia"/>
          <w:noProof/>
          <w:color w:val="000000" w:themeColor="text1"/>
          <w:szCs w:val="24"/>
        </w:rPr>
        <w:t xml:space="preserve">Where a qualified alert is issued by the Advisory Group as referred to in Article </w:t>
      </w:r>
      <w:r w:rsidR="00C84CB4" w:rsidRPr="004C70EC">
        <w:rPr>
          <w:rFonts w:eastAsiaTheme="minorEastAsia"/>
          <w:noProof/>
          <w:color w:val="000000" w:themeColor="text1"/>
          <w:szCs w:val="24"/>
        </w:rPr>
        <w:t>5</w:t>
      </w:r>
      <w:r w:rsidR="00D445A8" w:rsidRPr="004C70EC">
        <w:rPr>
          <w:rFonts w:eastAsiaTheme="minorEastAsia"/>
          <w:noProof/>
          <w:color w:val="000000" w:themeColor="text1"/>
          <w:szCs w:val="24"/>
        </w:rPr>
        <w:t>2(</w:t>
      </w:r>
      <w:r w:rsidR="00D16DBA" w:rsidRPr="004C70EC">
        <w:rPr>
          <w:rFonts w:eastAsiaTheme="minorEastAsia"/>
          <w:noProof/>
          <w:color w:val="000000" w:themeColor="text1"/>
          <w:szCs w:val="24"/>
        </w:rPr>
        <w:t>3</w:t>
      </w:r>
      <w:r w:rsidR="00D445A8" w:rsidRPr="004C70EC">
        <w:rPr>
          <w:rFonts w:eastAsiaTheme="minorEastAsia"/>
          <w:noProof/>
          <w:color w:val="000000" w:themeColor="text1"/>
          <w:szCs w:val="24"/>
        </w:rPr>
        <w:t>),</w:t>
      </w:r>
      <w:r w:rsidR="00D16DBA" w:rsidRPr="004C70EC">
        <w:rPr>
          <w:rFonts w:eastAsiaTheme="minorEastAsia"/>
          <w:noProof/>
          <w:color w:val="000000" w:themeColor="text1"/>
          <w:szCs w:val="24"/>
        </w:rPr>
        <w:t xml:space="preserve"> </w:t>
      </w:r>
      <w:r w:rsidR="00C40D00" w:rsidRPr="004C70EC">
        <w:rPr>
          <w:rFonts w:eastAsiaTheme="minorEastAsia"/>
          <w:noProof/>
          <w:color w:val="000000" w:themeColor="text1"/>
          <w:szCs w:val="24"/>
        </w:rPr>
        <w:t xml:space="preserve">point (d), </w:t>
      </w:r>
      <w:r w:rsidR="00D16DBA" w:rsidRPr="004C70EC">
        <w:rPr>
          <w:rFonts w:eastAsiaTheme="minorEastAsia"/>
          <w:noProof/>
          <w:color w:val="000000" w:themeColor="text1"/>
          <w:szCs w:val="24"/>
        </w:rPr>
        <w:t>the Commission and the Member States shall take appropriate measures to ensure a proper control of risks.</w:t>
      </w:r>
    </w:p>
    <w:p w14:paraId="487318BC" w14:textId="77777777" w:rsidR="00D16DBA" w:rsidRPr="004C70EC" w:rsidRDefault="00D16DBA" w:rsidP="00D16DBA">
      <w:pPr>
        <w:pStyle w:val="Titrearticle"/>
        <w:rPr>
          <w:rFonts w:eastAsia="Calibri"/>
          <w:i w:val="0"/>
          <w:iCs/>
          <w:noProof/>
          <w:color w:val="000000" w:themeColor="text1"/>
          <w:szCs w:val="24"/>
        </w:rPr>
      </w:pPr>
      <w:r w:rsidRPr="004C70EC">
        <w:rPr>
          <w:rFonts w:eastAsia="Calibri"/>
          <w:iCs/>
          <w:noProof/>
          <w:color w:val="000000" w:themeColor="text1"/>
          <w:szCs w:val="24"/>
        </w:rPr>
        <w:t xml:space="preserve">Article </w:t>
      </w:r>
      <w:r w:rsidR="00A01B18" w:rsidRPr="004C70EC">
        <w:rPr>
          <w:rFonts w:eastAsia="Calibri"/>
          <w:iCs/>
          <w:noProof/>
          <w:color w:val="000000" w:themeColor="text1"/>
          <w:szCs w:val="24"/>
        </w:rPr>
        <w:t>54</w:t>
      </w:r>
    </w:p>
    <w:p w14:paraId="0288CD6D" w14:textId="77777777" w:rsidR="00D16DBA" w:rsidRPr="004C70EC" w:rsidRDefault="00D16DBA" w:rsidP="00D16DBA">
      <w:pPr>
        <w:keepNext/>
        <w:keepLines/>
        <w:spacing w:before="160" w:after="80" w:line="279" w:lineRule="auto"/>
        <w:jc w:val="center"/>
        <w:outlineLvl w:val="2"/>
        <w:rPr>
          <w:rFonts w:eastAsia="Calibri"/>
          <w:b/>
          <w:bCs/>
          <w:noProof/>
          <w:color w:val="000000" w:themeColor="text1"/>
          <w:szCs w:val="24"/>
        </w:rPr>
      </w:pPr>
      <w:r w:rsidRPr="004C70EC">
        <w:rPr>
          <w:rFonts w:eastAsia="Calibri"/>
          <w:b/>
          <w:bCs/>
          <w:noProof/>
          <w:color w:val="000000" w:themeColor="text1"/>
          <w:szCs w:val="24"/>
        </w:rPr>
        <w:t>Monitoring and guidance</w:t>
      </w:r>
    </w:p>
    <w:p w14:paraId="553D7C01" w14:textId="77777777" w:rsidR="00D16DBA" w:rsidRPr="004C70EC" w:rsidRDefault="00D16DBA" w:rsidP="00513C5B">
      <w:pPr>
        <w:rPr>
          <w:noProof/>
          <w:color w:val="000000" w:themeColor="text1"/>
        </w:rPr>
      </w:pPr>
      <w:r w:rsidRPr="004C70EC">
        <w:rPr>
          <w:rFonts w:eastAsia="Calibri"/>
          <w:noProof/>
          <w:color w:val="000000" w:themeColor="text1"/>
        </w:rPr>
        <w:t xml:space="preserve">The Commission, based on advice by the Advisory Group </w:t>
      </w:r>
      <w:r w:rsidRPr="004C70EC">
        <w:rPr>
          <w:noProof/>
          <w:color w:val="000000" w:themeColor="text1"/>
        </w:rPr>
        <w:t>on Biosecurity</w:t>
      </w:r>
      <w:r w:rsidRPr="004C70EC">
        <w:rPr>
          <w:rFonts w:eastAsia="Calibri"/>
          <w:noProof/>
          <w:color w:val="000000" w:themeColor="text1"/>
        </w:rPr>
        <w:t>, and where appropriate, in cooperation with the Steering Group, may</w:t>
      </w:r>
      <w:r w:rsidRPr="004C70EC">
        <w:rPr>
          <w:noProof/>
          <w:color w:val="000000" w:themeColor="text1"/>
        </w:rPr>
        <w:t xml:space="preserve"> issue and regularly update guidance, to assist actors in the supply chain and the competent authorities. The guidance may provide:</w:t>
      </w:r>
    </w:p>
    <w:p w14:paraId="32CB0F0E" w14:textId="77777777" w:rsidR="00D16DBA" w:rsidRPr="004C70EC" w:rsidRDefault="00D16DBA" w:rsidP="00513C5B">
      <w:pPr>
        <w:pStyle w:val="Point0"/>
        <w:rPr>
          <w:noProof/>
          <w:color w:val="000000" w:themeColor="text1"/>
          <w:szCs w:val="24"/>
        </w:rPr>
      </w:pPr>
      <w:r w:rsidRPr="004C70EC">
        <w:rPr>
          <w:noProof/>
          <w:color w:val="000000" w:themeColor="text1"/>
          <w:szCs w:val="24"/>
        </w:rPr>
        <w:t>(a)</w:t>
      </w:r>
      <w:r w:rsidRPr="004C70EC">
        <w:rPr>
          <w:noProof/>
          <w:color w:val="000000" w:themeColor="text1"/>
          <w:szCs w:val="24"/>
        </w:rPr>
        <w:tab/>
        <w:t>clarifications regarding the biotechnology products of concern listed in the Annex I;</w:t>
      </w:r>
    </w:p>
    <w:p w14:paraId="330D4AA7" w14:textId="77777777" w:rsidR="00D16DBA" w:rsidRPr="004C70EC" w:rsidRDefault="00D16DBA" w:rsidP="00513C5B">
      <w:pPr>
        <w:pStyle w:val="Point0"/>
        <w:rPr>
          <w:rFonts w:eastAsia="Calibri"/>
          <w:noProof/>
          <w:color w:val="000000" w:themeColor="text1"/>
          <w:szCs w:val="24"/>
        </w:rPr>
      </w:pPr>
      <w:r w:rsidRPr="004C70EC">
        <w:rPr>
          <w:rFonts w:eastAsia="Calibri"/>
          <w:noProof/>
          <w:color w:val="000000" w:themeColor="text1"/>
          <w:szCs w:val="24"/>
        </w:rPr>
        <w:t>(b)</w:t>
      </w:r>
      <w:r w:rsidRPr="004C70EC">
        <w:rPr>
          <w:noProof/>
          <w:color w:val="000000" w:themeColor="text1"/>
          <w:szCs w:val="24"/>
        </w:rPr>
        <w:tab/>
      </w:r>
      <w:r w:rsidRPr="004C70EC">
        <w:rPr>
          <w:rFonts w:eastAsia="Calibri"/>
          <w:noProof/>
          <w:color w:val="000000" w:themeColor="text1"/>
          <w:szCs w:val="24"/>
        </w:rPr>
        <w:t>clarification on the criteria for determining the sequences of concern</w:t>
      </w:r>
      <w:r w:rsidRPr="004C70EC">
        <w:rPr>
          <w:rFonts w:eastAsiaTheme="minorEastAsia"/>
          <w:noProof/>
          <w:color w:val="000000" w:themeColor="text1"/>
          <w:szCs w:val="24"/>
        </w:rPr>
        <w:t xml:space="preserve"> </w:t>
      </w:r>
      <w:r w:rsidRPr="004C70EC">
        <w:rPr>
          <w:rFonts w:eastAsia="Calibri"/>
          <w:noProof/>
          <w:color w:val="000000" w:themeColor="text1"/>
          <w:szCs w:val="24"/>
        </w:rPr>
        <w:t>referred to in Annex I;</w:t>
      </w:r>
    </w:p>
    <w:p w14:paraId="1FF5B5D9" w14:textId="77777777" w:rsidR="00D16DBA" w:rsidRPr="004C70EC" w:rsidRDefault="00D16DBA" w:rsidP="00513C5B">
      <w:pPr>
        <w:pStyle w:val="Point0"/>
        <w:rPr>
          <w:rFonts w:eastAsia="Calibri"/>
          <w:noProof/>
          <w:color w:val="000000" w:themeColor="text1"/>
          <w:szCs w:val="24"/>
        </w:rPr>
      </w:pPr>
      <w:r w:rsidRPr="004C70EC">
        <w:rPr>
          <w:rFonts w:eastAsia="Calibri"/>
          <w:noProof/>
          <w:color w:val="000000" w:themeColor="text1"/>
          <w:szCs w:val="24"/>
        </w:rPr>
        <w:t>(c)</w:t>
      </w:r>
      <w:r w:rsidRPr="004C70EC">
        <w:rPr>
          <w:rFonts w:eastAsia="Calibri"/>
          <w:noProof/>
          <w:color w:val="000000" w:themeColor="text1"/>
          <w:szCs w:val="24"/>
        </w:rPr>
        <w:tab/>
        <w:t>information and methodologies for the assessment of legitimate need for the purposes of this Section;</w:t>
      </w:r>
    </w:p>
    <w:p w14:paraId="304DFCC1" w14:textId="77777777" w:rsidR="00D16DBA" w:rsidRPr="004C70EC" w:rsidRDefault="00D16DBA" w:rsidP="00513C5B">
      <w:pPr>
        <w:pStyle w:val="Point0"/>
        <w:rPr>
          <w:rFonts w:eastAsia="Calibri"/>
          <w:noProof/>
          <w:color w:val="000000" w:themeColor="text1"/>
          <w:szCs w:val="24"/>
        </w:rPr>
      </w:pPr>
      <w:r w:rsidRPr="004C70EC">
        <w:rPr>
          <w:rFonts w:eastAsia="Calibri"/>
          <w:noProof/>
          <w:color w:val="000000" w:themeColor="text1"/>
          <w:szCs w:val="24"/>
        </w:rPr>
        <w:t>(d)</w:t>
      </w:r>
      <w:r w:rsidRPr="004C70EC">
        <w:rPr>
          <w:rFonts w:eastAsia="Calibri"/>
          <w:noProof/>
          <w:color w:val="000000" w:themeColor="text1"/>
          <w:szCs w:val="24"/>
        </w:rPr>
        <w:tab/>
        <w:t>information on how to exchange relevant information between competent authorities, national contact points and among Member States;</w:t>
      </w:r>
    </w:p>
    <w:p w14:paraId="3AE6576C" w14:textId="77777777" w:rsidR="00D16DBA" w:rsidRPr="004C70EC" w:rsidRDefault="00D16DBA" w:rsidP="00513C5B">
      <w:pPr>
        <w:pStyle w:val="Point0"/>
        <w:rPr>
          <w:rFonts w:eastAsia="Calibri"/>
          <w:noProof/>
          <w:color w:val="000000" w:themeColor="text1"/>
          <w:szCs w:val="24"/>
        </w:rPr>
      </w:pPr>
      <w:r w:rsidRPr="004C70EC">
        <w:rPr>
          <w:rFonts w:eastAsia="Calibri"/>
          <w:noProof/>
          <w:color w:val="000000" w:themeColor="text1"/>
          <w:szCs w:val="24"/>
        </w:rPr>
        <w:t>(e)</w:t>
      </w:r>
      <w:r w:rsidRPr="004C70EC">
        <w:rPr>
          <w:rFonts w:eastAsia="Calibri"/>
          <w:noProof/>
          <w:color w:val="000000" w:themeColor="text1"/>
          <w:szCs w:val="24"/>
        </w:rPr>
        <w:tab/>
        <w:t>information on how to recognise, refuse, and report suspicious transactions;</w:t>
      </w:r>
    </w:p>
    <w:p w14:paraId="31B4A5DF" w14:textId="77777777" w:rsidR="00D16DBA" w:rsidRPr="004C70EC" w:rsidRDefault="00D16DBA" w:rsidP="00513C5B">
      <w:pPr>
        <w:pStyle w:val="Point0"/>
        <w:rPr>
          <w:rFonts w:eastAsia="Calibri"/>
          <w:noProof/>
          <w:color w:val="000000" w:themeColor="text1"/>
          <w:szCs w:val="24"/>
        </w:rPr>
      </w:pPr>
      <w:r w:rsidRPr="004C70EC">
        <w:rPr>
          <w:rFonts w:eastAsia="Calibri"/>
          <w:noProof/>
          <w:color w:val="000000" w:themeColor="text1"/>
          <w:szCs w:val="24"/>
        </w:rPr>
        <w:t>(f)</w:t>
      </w:r>
      <w:r w:rsidRPr="004C70EC">
        <w:rPr>
          <w:rFonts w:eastAsia="Calibri"/>
          <w:noProof/>
          <w:color w:val="000000" w:themeColor="text1"/>
          <w:szCs w:val="24"/>
        </w:rPr>
        <w:tab/>
        <w:t xml:space="preserve">obligations for </w:t>
      </w:r>
      <w:r w:rsidRPr="004C70EC">
        <w:rPr>
          <w:rFonts w:eastAsia="MS Mincho"/>
          <w:noProof/>
          <w:color w:val="000000" w:themeColor="text1"/>
          <w:szCs w:val="24"/>
        </w:rPr>
        <w:t>natural or legal persons that are not economic operators that make available biotechnology products of concern</w:t>
      </w:r>
      <w:r w:rsidRPr="004C70EC">
        <w:rPr>
          <w:rFonts w:eastAsia="Calibri"/>
          <w:noProof/>
          <w:color w:val="000000" w:themeColor="text1"/>
          <w:szCs w:val="24"/>
        </w:rPr>
        <w:t>;</w:t>
      </w:r>
    </w:p>
    <w:p w14:paraId="7A4C3B78" w14:textId="77777777" w:rsidR="00D16DBA" w:rsidRPr="004C70EC" w:rsidRDefault="00D16DBA" w:rsidP="00513C5B">
      <w:pPr>
        <w:pStyle w:val="Point0"/>
        <w:rPr>
          <w:rFonts w:eastAsia="Calibri"/>
          <w:noProof/>
          <w:color w:val="000000" w:themeColor="text1"/>
          <w:szCs w:val="24"/>
        </w:rPr>
      </w:pPr>
      <w:r w:rsidRPr="004C70EC">
        <w:rPr>
          <w:rFonts w:eastAsia="Calibri"/>
          <w:noProof/>
          <w:color w:val="000000" w:themeColor="text1"/>
          <w:szCs w:val="24"/>
        </w:rPr>
        <w:t>(g)</w:t>
      </w:r>
      <w:r w:rsidRPr="004C70EC">
        <w:rPr>
          <w:noProof/>
          <w:color w:val="000000" w:themeColor="text1"/>
          <w:szCs w:val="24"/>
        </w:rPr>
        <w:tab/>
      </w:r>
      <w:r w:rsidRPr="004C70EC">
        <w:rPr>
          <w:rFonts w:eastAsia="Calibri"/>
          <w:noProof/>
          <w:color w:val="000000" w:themeColor="text1"/>
          <w:szCs w:val="24"/>
        </w:rPr>
        <w:t xml:space="preserve">requirements regarding benchtop nucleic acid synthesis equipment referred to in Article </w:t>
      </w:r>
      <w:r w:rsidR="00C77C27" w:rsidRPr="004C70EC">
        <w:rPr>
          <w:rFonts w:eastAsia="Calibri"/>
          <w:noProof/>
          <w:color w:val="000000" w:themeColor="text1"/>
          <w:szCs w:val="24"/>
        </w:rPr>
        <w:t>45</w:t>
      </w:r>
      <w:r w:rsidRPr="004C70EC">
        <w:rPr>
          <w:rFonts w:eastAsia="Calibri"/>
          <w:noProof/>
          <w:color w:val="000000" w:themeColor="text1"/>
          <w:szCs w:val="24"/>
        </w:rPr>
        <w:t>;</w:t>
      </w:r>
    </w:p>
    <w:p w14:paraId="5992542B" w14:textId="77777777" w:rsidR="00D16DBA" w:rsidRPr="004C70EC" w:rsidRDefault="00D16DBA" w:rsidP="00513C5B">
      <w:pPr>
        <w:pStyle w:val="Point0"/>
        <w:rPr>
          <w:rFonts w:eastAsia="Calibri"/>
          <w:noProof/>
          <w:color w:val="000000" w:themeColor="text1"/>
          <w:szCs w:val="24"/>
        </w:rPr>
      </w:pPr>
      <w:r w:rsidRPr="004C70EC">
        <w:rPr>
          <w:rFonts w:eastAsia="Calibri"/>
          <w:noProof/>
          <w:color w:val="000000" w:themeColor="text1"/>
          <w:szCs w:val="24"/>
        </w:rPr>
        <w:t>(h)</w:t>
      </w:r>
      <w:r w:rsidRPr="004C70EC">
        <w:rPr>
          <w:rFonts w:eastAsia="Calibri"/>
          <w:noProof/>
          <w:color w:val="000000" w:themeColor="text1"/>
          <w:szCs w:val="24"/>
        </w:rPr>
        <w:tab/>
        <w:t>information on risk-based audits of economic operators referred to in Article 5</w:t>
      </w:r>
      <w:r w:rsidR="00C56F0B" w:rsidRPr="004C70EC">
        <w:rPr>
          <w:rFonts w:eastAsia="Calibri"/>
          <w:noProof/>
          <w:color w:val="000000" w:themeColor="text1"/>
          <w:szCs w:val="24"/>
        </w:rPr>
        <w:t>0</w:t>
      </w:r>
      <w:r w:rsidRPr="004C70EC">
        <w:rPr>
          <w:rFonts w:eastAsia="Calibri"/>
          <w:noProof/>
          <w:color w:val="000000" w:themeColor="text1"/>
          <w:szCs w:val="24"/>
        </w:rPr>
        <w:t>;</w:t>
      </w:r>
    </w:p>
    <w:p w14:paraId="5DB3CCE9" w14:textId="77777777" w:rsidR="00D16DBA" w:rsidRPr="004C70EC" w:rsidRDefault="00D16DBA" w:rsidP="00513C5B">
      <w:pPr>
        <w:pStyle w:val="Point0"/>
        <w:rPr>
          <w:rFonts w:eastAsia="Calibri"/>
          <w:noProof/>
          <w:color w:val="000000" w:themeColor="text1"/>
          <w:szCs w:val="24"/>
        </w:rPr>
      </w:pPr>
      <w:r w:rsidRPr="004C70EC">
        <w:rPr>
          <w:rFonts w:eastAsia="Calibri"/>
          <w:noProof/>
          <w:color w:val="000000" w:themeColor="text1"/>
          <w:szCs w:val="24"/>
        </w:rPr>
        <w:t>(i)</w:t>
      </w:r>
      <w:r w:rsidRPr="004C70EC">
        <w:rPr>
          <w:rFonts w:eastAsia="Calibri"/>
          <w:noProof/>
          <w:color w:val="000000" w:themeColor="text1"/>
          <w:szCs w:val="24"/>
        </w:rPr>
        <w:tab/>
        <w:t>any other information deemed useful for effective implementation, including on the investigative powers</w:t>
      </w:r>
      <w:r w:rsidRPr="004C70EC">
        <w:rPr>
          <w:noProof/>
          <w:color w:val="000000" w:themeColor="text1"/>
          <w:szCs w:val="24"/>
        </w:rPr>
        <w:t xml:space="preserve"> </w:t>
      </w:r>
      <w:r w:rsidRPr="004C70EC">
        <w:rPr>
          <w:rFonts w:eastAsia="Calibri"/>
          <w:noProof/>
          <w:color w:val="000000" w:themeColor="text1"/>
          <w:szCs w:val="24"/>
        </w:rPr>
        <w:t>of national inspection authorities, test purchases, information requests from, and resources of, such authorities, or requested by relevant economic operators.</w:t>
      </w:r>
    </w:p>
    <w:p w14:paraId="55C8F7EF" w14:textId="77777777" w:rsidR="00D16DBA" w:rsidRPr="004C70EC" w:rsidRDefault="00D16DBA" w:rsidP="00D16DBA">
      <w:pPr>
        <w:pStyle w:val="Titrearticle"/>
        <w:rPr>
          <w:rFonts w:eastAsia="Calibri"/>
          <w:i w:val="0"/>
          <w:iCs/>
          <w:noProof/>
          <w:color w:val="000000" w:themeColor="text1"/>
          <w:szCs w:val="24"/>
        </w:rPr>
      </w:pPr>
      <w:r w:rsidRPr="004C70EC">
        <w:rPr>
          <w:rFonts w:eastAsia="Calibri"/>
          <w:iCs/>
          <w:noProof/>
          <w:color w:val="000000" w:themeColor="text1"/>
          <w:szCs w:val="24"/>
        </w:rPr>
        <w:t xml:space="preserve">Article </w:t>
      </w:r>
      <w:r w:rsidR="00A01B18" w:rsidRPr="004C70EC">
        <w:rPr>
          <w:rFonts w:eastAsia="Calibri"/>
          <w:iCs/>
          <w:noProof/>
          <w:color w:val="000000" w:themeColor="text1"/>
          <w:szCs w:val="24"/>
        </w:rPr>
        <w:t>55</w:t>
      </w:r>
    </w:p>
    <w:p w14:paraId="19DC7E3E" w14:textId="77777777" w:rsidR="00D16DBA" w:rsidRPr="004C70EC" w:rsidRDefault="00D16DBA" w:rsidP="00D16DBA">
      <w:pPr>
        <w:keepNext/>
        <w:keepLines/>
        <w:spacing w:before="160" w:after="80" w:line="279" w:lineRule="auto"/>
        <w:jc w:val="center"/>
        <w:outlineLvl w:val="2"/>
        <w:rPr>
          <w:rFonts w:eastAsia="Calibri"/>
          <w:b/>
          <w:bCs/>
          <w:noProof/>
          <w:color w:val="000000" w:themeColor="text1"/>
          <w:szCs w:val="24"/>
        </w:rPr>
      </w:pPr>
      <w:r w:rsidRPr="004C70EC">
        <w:rPr>
          <w:rFonts w:eastAsia="Calibri"/>
          <w:b/>
          <w:bCs/>
          <w:noProof/>
          <w:color w:val="000000" w:themeColor="text1"/>
          <w:szCs w:val="24"/>
        </w:rPr>
        <w:t>Coordination on biosecurity and biosafety</w:t>
      </w:r>
    </w:p>
    <w:p w14:paraId="3AE3D203" w14:textId="77777777" w:rsidR="00D16DBA" w:rsidRPr="004C70EC" w:rsidRDefault="00D16DBA" w:rsidP="00D16DBA">
      <w:pPr>
        <w:spacing w:before="0" w:after="160" w:line="259" w:lineRule="auto"/>
        <w:rPr>
          <w:rFonts w:eastAsia="Calibri"/>
          <w:noProof/>
          <w:color w:val="000000" w:themeColor="text1"/>
          <w:szCs w:val="24"/>
        </w:rPr>
      </w:pPr>
      <w:r w:rsidRPr="004C70EC">
        <w:rPr>
          <w:rFonts w:eastAsia="Calibri"/>
          <w:noProof/>
          <w:color w:val="000000" w:themeColor="text1"/>
          <w:szCs w:val="24"/>
        </w:rPr>
        <w:t xml:space="preserve">The Steering Group </w:t>
      </w:r>
      <w:r w:rsidR="70D47325" w:rsidRPr="004C70EC">
        <w:rPr>
          <w:rFonts w:eastAsia="Calibri"/>
          <w:noProof/>
          <w:color w:val="000000" w:themeColor="text1"/>
          <w:szCs w:val="24"/>
        </w:rPr>
        <w:t xml:space="preserve">referred to in Article 20 </w:t>
      </w:r>
      <w:r w:rsidR="3ACE125E" w:rsidRPr="004C70EC">
        <w:rPr>
          <w:rFonts w:eastAsia="Calibri"/>
          <w:noProof/>
          <w:color w:val="000000" w:themeColor="text1"/>
          <w:szCs w:val="24"/>
        </w:rPr>
        <w:t>shall</w:t>
      </w:r>
      <w:r w:rsidR="2F8C8114" w:rsidRPr="004C70EC">
        <w:rPr>
          <w:rFonts w:eastAsia="Calibri"/>
          <w:noProof/>
          <w:color w:val="000000" w:themeColor="text1"/>
          <w:szCs w:val="24"/>
        </w:rPr>
        <w:t xml:space="preserve"> facilitate the coordination of and information exchange on the enforcement of the provisions in this section among Member States</w:t>
      </w:r>
      <w:r w:rsidR="19905BF6" w:rsidRPr="004C70EC">
        <w:rPr>
          <w:rFonts w:eastAsia="Aptos"/>
          <w:noProof/>
          <w:color w:val="000000" w:themeColor="text1"/>
          <w:szCs w:val="24"/>
        </w:rPr>
        <w:t>.</w:t>
      </w:r>
    </w:p>
    <w:p w14:paraId="50FC8D7D" w14:textId="77777777" w:rsidR="00E14C4B" w:rsidRPr="004C70EC" w:rsidRDefault="00E14C4B" w:rsidP="004338FC">
      <w:pPr>
        <w:pStyle w:val="Point0"/>
        <w:ind w:left="0" w:firstLine="0"/>
        <w:rPr>
          <w:noProof/>
          <w:color w:val="000000" w:themeColor="text1"/>
          <w:szCs w:val="24"/>
          <w:lang w:eastAsia="en-IE"/>
        </w:rPr>
      </w:pPr>
    </w:p>
    <w:p w14:paraId="03CCCA6F" w14:textId="77777777" w:rsidR="00273F36" w:rsidRPr="004C70EC" w:rsidRDefault="00273F36" w:rsidP="00EB6145">
      <w:pPr>
        <w:pStyle w:val="ChapterTitle"/>
        <w:rPr>
          <w:noProof/>
          <w:color w:val="000000" w:themeColor="text1"/>
          <w:sz w:val="24"/>
          <w:szCs w:val="24"/>
          <w:lang w:val="es-CU" w:eastAsia="en-IE"/>
        </w:rPr>
      </w:pPr>
      <w:r w:rsidRPr="004C70EC">
        <w:rPr>
          <w:noProof/>
          <w:color w:val="000000" w:themeColor="text1"/>
          <w:sz w:val="24"/>
          <w:szCs w:val="24"/>
          <w:lang w:val="es-CU" w:eastAsia="en-IE"/>
        </w:rPr>
        <w:t xml:space="preserve">CHAPTER </w:t>
      </w:r>
      <w:r w:rsidR="001D0734" w:rsidRPr="004C70EC">
        <w:rPr>
          <w:noProof/>
          <w:color w:val="000000" w:themeColor="text1"/>
          <w:sz w:val="24"/>
          <w:szCs w:val="24"/>
          <w:lang w:val="es-CU" w:eastAsia="en-IE"/>
        </w:rPr>
        <w:t>I</w:t>
      </w:r>
      <w:r w:rsidR="00804A1A" w:rsidRPr="004C70EC">
        <w:rPr>
          <w:noProof/>
          <w:color w:val="000000" w:themeColor="text1"/>
          <w:sz w:val="24"/>
          <w:szCs w:val="24"/>
          <w:lang w:val="es-CU" w:eastAsia="en-IE"/>
        </w:rPr>
        <w:t>X</w:t>
      </w:r>
    </w:p>
    <w:p w14:paraId="627EA584" w14:textId="77777777" w:rsidR="00273F36" w:rsidRPr="004C70EC" w:rsidRDefault="001F2C4C" w:rsidP="00117E3F">
      <w:pPr>
        <w:pStyle w:val="ChapterTitle"/>
        <w:rPr>
          <w:rFonts w:eastAsiaTheme="majorEastAsia"/>
          <w:noProof/>
          <w:color w:val="000000" w:themeColor="text1"/>
          <w:sz w:val="24"/>
          <w:szCs w:val="24"/>
          <w:lang w:val="es-CU" w:eastAsia="ja-JP"/>
        </w:rPr>
      </w:pPr>
      <w:r w:rsidRPr="004C70EC">
        <w:rPr>
          <w:rFonts w:eastAsiaTheme="majorEastAsia"/>
          <w:noProof/>
          <w:color w:val="000000" w:themeColor="text1"/>
          <w:sz w:val="24"/>
          <w:szCs w:val="24"/>
          <w:lang w:val="es-CU" w:eastAsia="ja-JP"/>
        </w:rPr>
        <w:t xml:space="preserve">AMENDMENTS TO REGULATIONS </w:t>
      </w:r>
      <w:r w:rsidR="00313BBF" w:rsidRPr="004C70EC">
        <w:rPr>
          <w:rFonts w:eastAsiaTheme="majorEastAsia"/>
          <w:noProof/>
          <w:color w:val="000000" w:themeColor="text1"/>
          <w:sz w:val="24"/>
          <w:szCs w:val="24"/>
          <w:lang w:val="es-CU" w:eastAsia="ja-JP"/>
        </w:rPr>
        <w:t>(EC) No 178/</w:t>
      </w:r>
      <w:r w:rsidR="0012363D" w:rsidRPr="004C70EC">
        <w:rPr>
          <w:rFonts w:eastAsiaTheme="majorEastAsia"/>
          <w:noProof/>
          <w:color w:val="000000" w:themeColor="text1"/>
          <w:sz w:val="24"/>
          <w:szCs w:val="24"/>
          <w:lang w:val="es-CU" w:eastAsia="ja-JP"/>
        </w:rPr>
        <w:t>2002, (</w:t>
      </w:r>
      <w:r w:rsidR="00313BBF" w:rsidRPr="004C70EC">
        <w:rPr>
          <w:rFonts w:eastAsiaTheme="majorEastAsia"/>
          <w:noProof/>
          <w:color w:val="000000" w:themeColor="text1"/>
          <w:sz w:val="24"/>
          <w:szCs w:val="24"/>
          <w:lang w:val="es-CU" w:eastAsia="ja-JP"/>
        </w:rPr>
        <w:t xml:space="preserve">EC) No 1394/2007, </w:t>
      </w:r>
      <w:r w:rsidRPr="004C70EC">
        <w:rPr>
          <w:rFonts w:eastAsiaTheme="majorEastAsia"/>
          <w:noProof/>
          <w:color w:val="000000" w:themeColor="text1"/>
          <w:sz w:val="24"/>
          <w:szCs w:val="24"/>
          <w:lang w:val="es-CU" w:eastAsia="ja-JP"/>
        </w:rPr>
        <w:t xml:space="preserve">(EU) No 536/2014, (EU) 2019/6, </w:t>
      </w:r>
      <w:r w:rsidR="001024FE" w:rsidRPr="004C70EC">
        <w:rPr>
          <w:rFonts w:eastAsiaTheme="majorEastAsia"/>
          <w:noProof/>
          <w:color w:val="000000" w:themeColor="text1"/>
          <w:sz w:val="24"/>
          <w:szCs w:val="24"/>
          <w:lang w:val="es-CU" w:eastAsia="ja-JP"/>
        </w:rPr>
        <w:t>(EU) 2024/795 and (EU) 2024/1938</w:t>
      </w:r>
    </w:p>
    <w:p w14:paraId="2FA0A4B4" w14:textId="77777777" w:rsidR="00E54565" w:rsidRPr="004C70EC" w:rsidRDefault="00273F36" w:rsidP="00E54565">
      <w:pPr>
        <w:pStyle w:val="Titrearticle"/>
        <w:rPr>
          <w:i w:val="0"/>
          <w:iCs/>
          <w:noProof/>
          <w:color w:val="000000" w:themeColor="text1"/>
          <w:szCs w:val="24"/>
        </w:rPr>
      </w:pPr>
      <w:r w:rsidRPr="004C70EC">
        <w:rPr>
          <w:noProof/>
          <w:color w:val="000000" w:themeColor="text1"/>
          <w:szCs w:val="24"/>
        </w:rPr>
        <w:t xml:space="preserve">Article </w:t>
      </w:r>
      <w:r w:rsidR="00A01B18" w:rsidRPr="004C70EC">
        <w:rPr>
          <w:noProof/>
          <w:color w:val="000000" w:themeColor="text1"/>
          <w:szCs w:val="24"/>
        </w:rPr>
        <w:t>5</w:t>
      </w:r>
      <w:r w:rsidR="007731B5" w:rsidRPr="004C70EC">
        <w:rPr>
          <w:noProof/>
          <w:color w:val="000000" w:themeColor="text1"/>
          <w:szCs w:val="24"/>
        </w:rPr>
        <w:t>6</w:t>
      </w:r>
    </w:p>
    <w:p w14:paraId="40DB4882" w14:textId="77777777" w:rsidR="00E54565" w:rsidRPr="004C70EC" w:rsidRDefault="00E54565" w:rsidP="00E54565">
      <w:pPr>
        <w:jc w:val="center"/>
        <w:rPr>
          <w:b/>
          <w:noProof/>
          <w:color w:val="000000" w:themeColor="text1"/>
          <w:szCs w:val="24"/>
        </w:rPr>
      </w:pPr>
      <w:r w:rsidRPr="004C70EC">
        <w:rPr>
          <w:b/>
          <w:noProof/>
          <w:color w:val="000000" w:themeColor="text1"/>
          <w:szCs w:val="24"/>
        </w:rPr>
        <w:t xml:space="preserve">Amendments to Regulation (EC) No 178/2002 </w:t>
      </w:r>
    </w:p>
    <w:p w14:paraId="37798921" w14:textId="77777777" w:rsidR="00E54565" w:rsidRPr="004C70EC" w:rsidRDefault="00E54565" w:rsidP="00E54565">
      <w:pPr>
        <w:rPr>
          <w:noProof/>
          <w:color w:val="000000" w:themeColor="text1"/>
          <w:szCs w:val="24"/>
        </w:rPr>
      </w:pPr>
      <w:r w:rsidRPr="004C70EC">
        <w:rPr>
          <w:noProof/>
          <w:color w:val="000000" w:themeColor="text1"/>
          <w:szCs w:val="24"/>
        </w:rPr>
        <w:t>Regulation (EC) No 178/2002 is amended as follows:</w:t>
      </w:r>
    </w:p>
    <w:p w14:paraId="4C8E9207" w14:textId="77777777" w:rsidR="00E54565" w:rsidRPr="004C70EC" w:rsidRDefault="00E54565" w:rsidP="00E54565">
      <w:pPr>
        <w:pStyle w:val="Point0"/>
        <w:rPr>
          <w:rFonts w:eastAsia="Times New Roman"/>
          <w:noProof/>
          <w:color w:val="000000" w:themeColor="text1"/>
          <w:szCs w:val="24"/>
          <w:lang w:eastAsia="en-GB"/>
        </w:rPr>
      </w:pPr>
      <w:r w:rsidRPr="004C70EC">
        <w:rPr>
          <w:rFonts w:eastAsia="Times New Roman"/>
          <w:noProof/>
          <w:color w:val="000000" w:themeColor="text1"/>
          <w:szCs w:val="24"/>
          <w:lang w:eastAsia="en-GB"/>
        </w:rPr>
        <w:t>(1)</w:t>
      </w:r>
      <w:r w:rsidRPr="004C70EC">
        <w:rPr>
          <w:noProof/>
          <w:color w:val="000000" w:themeColor="text1"/>
          <w:szCs w:val="24"/>
        </w:rPr>
        <w:tab/>
        <w:t>i</w:t>
      </w:r>
      <w:r w:rsidRPr="004C70EC">
        <w:rPr>
          <w:rFonts w:eastAsia="Times New Roman"/>
          <w:noProof/>
          <w:color w:val="000000" w:themeColor="text1"/>
          <w:szCs w:val="24"/>
          <w:lang w:eastAsia="en-GB"/>
        </w:rPr>
        <w:t xml:space="preserve">n Article 3, the following points 19, 20 and 21 are added: </w:t>
      </w:r>
    </w:p>
    <w:p w14:paraId="1484E49F" w14:textId="77777777" w:rsidR="00E54565" w:rsidRPr="004C70EC" w:rsidRDefault="00E54565" w:rsidP="00E54565">
      <w:pPr>
        <w:pStyle w:val="Point1"/>
        <w:rPr>
          <w:noProof/>
          <w:color w:val="000000" w:themeColor="text1"/>
          <w:szCs w:val="24"/>
          <w:lang w:val="en-IE"/>
        </w:rPr>
      </w:pPr>
      <w:r w:rsidRPr="004C70EC">
        <w:rPr>
          <w:noProof/>
          <w:color w:val="000000" w:themeColor="text1"/>
          <w:szCs w:val="24"/>
          <w:lang w:val="en-IE"/>
        </w:rPr>
        <w:t>‘19.</w:t>
      </w:r>
      <w:r w:rsidRPr="004C70EC">
        <w:rPr>
          <w:noProof/>
          <w:color w:val="000000" w:themeColor="text1"/>
          <w:szCs w:val="24"/>
        </w:rPr>
        <w:tab/>
      </w:r>
      <w:r w:rsidRPr="004C70EC">
        <w:rPr>
          <w:noProof/>
          <w:color w:val="000000" w:themeColor="text1"/>
          <w:szCs w:val="24"/>
          <w:lang w:val="en-IE"/>
        </w:rPr>
        <w:t xml:space="preserve">‘regulatory sandbox’ means a controlled environment where participants can test innovative products or substances and related processes as well as data and other regulatory requirements at a pre-market stage under a set of defined rules and monitoring and for a limited period of time; </w:t>
      </w:r>
    </w:p>
    <w:p w14:paraId="49436594" w14:textId="77777777" w:rsidR="00E54565" w:rsidRPr="004C70EC" w:rsidRDefault="00E54565" w:rsidP="00E54565">
      <w:pPr>
        <w:pStyle w:val="Point1"/>
        <w:rPr>
          <w:noProof/>
          <w:color w:val="000000" w:themeColor="text1"/>
          <w:szCs w:val="24"/>
          <w:lang w:val="en-IE"/>
        </w:rPr>
      </w:pPr>
      <w:r w:rsidRPr="004C70EC">
        <w:rPr>
          <w:noProof/>
          <w:color w:val="000000" w:themeColor="text1"/>
          <w:szCs w:val="24"/>
          <w:lang w:val="en-IE"/>
        </w:rPr>
        <w:t>20.</w:t>
      </w:r>
      <w:r w:rsidRPr="004C70EC">
        <w:rPr>
          <w:noProof/>
          <w:color w:val="000000" w:themeColor="text1"/>
          <w:szCs w:val="24"/>
        </w:rPr>
        <w:tab/>
      </w:r>
      <w:r w:rsidRPr="004C70EC">
        <w:rPr>
          <w:noProof/>
          <w:color w:val="000000" w:themeColor="text1"/>
          <w:szCs w:val="24"/>
          <w:lang w:val="en-IE"/>
        </w:rPr>
        <w:t xml:space="preserve">‘regulatory sandbox plan’ means a plan setting out the scope, the requirements and the conditions governing the operation of a specific regulatory sandbox; </w:t>
      </w:r>
    </w:p>
    <w:p w14:paraId="399CB2FC" w14:textId="77777777" w:rsidR="00E54565" w:rsidRPr="004C70EC" w:rsidRDefault="00E54565" w:rsidP="00E54565">
      <w:pPr>
        <w:pStyle w:val="Point1"/>
        <w:rPr>
          <w:noProof/>
          <w:color w:val="000000" w:themeColor="text1"/>
          <w:szCs w:val="24"/>
          <w:lang w:val="en-IE"/>
        </w:rPr>
      </w:pPr>
      <w:r w:rsidRPr="004C70EC">
        <w:rPr>
          <w:noProof/>
          <w:color w:val="000000" w:themeColor="text1"/>
          <w:szCs w:val="24"/>
          <w:lang w:val="en-IE"/>
        </w:rPr>
        <w:t>21.</w:t>
      </w:r>
      <w:r w:rsidRPr="004C70EC">
        <w:rPr>
          <w:noProof/>
          <w:color w:val="000000" w:themeColor="text1"/>
          <w:szCs w:val="24"/>
        </w:rPr>
        <w:tab/>
      </w:r>
      <w:r w:rsidRPr="004C70EC">
        <w:rPr>
          <w:noProof/>
          <w:color w:val="000000" w:themeColor="text1"/>
          <w:szCs w:val="24"/>
          <w:lang w:val="en-IE"/>
        </w:rPr>
        <w:t xml:space="preserve">‘participants’ means any natural or legal person participating in a regulatory sandbox to whom specific tasks are assigned in the regulatory sandbox plan, such as business operators, Union and national agencies, final consumers, academia and research institutions.’; </w:t>
      </w:r>
    </w:p>
    <w:p w14:paraId="4B8B4DAE" w14:textId="77777777" w:rsidR="00E54565" w:rsidRPr="004C70EC" w:rsidRDefault="00E54565" w:rsidP="00E54565">
      <w:pPr>
        <w:pStyle w:val="Point0"/>
        <w:rPr>
          <w:rFonts w:eastAsia="Times New Roman"/>
          <w:noProof/>
          <w:color w:val="000000" w:themeColor="text1"/>
          <w:szCs w:val="24"/>
          <w:lang w:eastAsia="en-GB"/>
        </w:rPr>
      </w:pPr>
      <w:r w:rsidRPr="004C70EC">
        <w:rPr>
          <w:rFonts w:eastAsia="Times New Roman"/>
          <w:noProof/>
          <w:color w:val="000000" w:themeColor="text1"/>
          <w:szCs w:val="24"/>
          <w:lang w:eastAsia="en-GB"/>
        </w:rPr>
        <w:t>(2)</w:t>
      </w:r>
      <w:r w:rsidRPr="004C70EC">
        <w:rPr>
          <w:rFonts w:eastAsia="Times New Roman"/>
          <w:noProof/>
          <w:color w:val="000000" w:themeColor="text1"/>
          <w:szCs w:val="24"/>
          <w:lang w:eastAsia="en-GB"/>
        </w:rPr>
        <w:tab/>
        <w:t xml:space="preserve">in Article 22(5), point (a) is replaced by the following: </w:t>
      </w:r>
    </w:p>
    <w:p w14:paraId="3A2FE7C6" w14:textId="77777777" w:rsidR="00E54565" w:rsidRPr="004C70EC" w:rsidRDefault="00E54565" w:rsidP="00E54565">
      <w:pPr>
        <w:pStyle w:val="Point1"/>
        <w:rPr>
          <w:noProof/>
          <w:color w:val="000000" w:themeColor="text1"/>
          <w:szCs w:val="24"/>
        </w:rPr>
      </w:pPr>
      <w:r w:rsidRPr="004C70EC">
        <w:rPr>
          <w:noProof/>
          <w:color w:val="000000" w:themeColor="text1"/>
          <w:szCs w:val="24"/>
        </w:rPr>
        <w:t>‘</w:t>
      </w:r>
      <w:r w:rsidRPr="004C70EC">
        <w:rPr>
          <w:noProof/>
          <w:color w:val="000000" w:themeColor="text1"/>
          <w:szCs w:val="24"/>
          <w:lang w:val="en-IE"/>
        </w:rPr>
        <w:t>(a)</w:t>
      </w:r>
      <w:r w:rsidRPr="004C70EC">
        <w:rPr>
          <w:noProof/>
          <w:color w:val="000000" w:themeColor="text1"/>
          <w:szCs w:val="24"/>
          <w:lang w:val="en-IE"/>
        </w:rPr>
        <w:tab/>
        <w:t xml:space="preserve">scientific advice and scientific and technical support on human nutrition;’ </w:t>
      </w:r>
    </w:p>
    <w:p w14:paraId="5ADB6F6B" w14:textId="77777777" w:rsidR="00E54565" w:rsidRPr="004C70EC" w:rsidRDefault="00E54565" w:rsidP="00E54565">
      <w:pPr>
        <w:pStyle w:val="Point0"/>
        <w:rPr>
          <w:rFonts w:eastAsia="Times New Roman"/>
          <w:noProof/>
          <w:color w:val="000000" w:themeColor="text1"/>
          <w:szCs w:val="24"/>
          <w:lang w:eastAsia="en-GB"/>
        </w:rPr>
      </w:pPr>
      <w:r w:rsidRPr="004C70EC">
        <w:rPr>
          <w:rFonts w:eastAsia="Times New Roman"/>
          <w:noProof/>
          <w:color w:val="000000" w:themeColor="text1"/>
          <w:szCs w:val="24"/>
          <w:lang w:eastAsia="en-GB"/>
        </w:rPr>
        <w:t>(3)</w:t>
      </w:r>
      <w:r w:rsidRPr="004C70EC">
        <w:rPr>
          <w:rFonts w:eastAsia="Times New Roman"/>
          <w:noProof/>
          <w:color w:val="000000" w:themeColor="text1"/>
          <w:szCs w:val="24"/>
          <w:lang w:eastAsia="en-GB"/>
        </w:rPr>
        <w:tab/>
        <w:t>Article 28 is amended as follows:</w:t>
      </w:r>
    </w:p>
    <w:p w14:paraId="2F4E4991" w14:textId="77777777" w:rsidR="00E54565" w:rsidRPr="004C70EC" w:rsidRDefault="00E54565" w:rsidP="00E54565">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en-GB"/>
        </w:rPr>
        <w:t>(a)</w:t>
      </w:r>
      <w:r w:rsidRPr="004C70EC">
        <w:rPr>
          <w:rFonts w:eastAsia="Times New Roman"/>
          <w:noProof/>
          <w:color w:val="000000" w:themeColor="text1"/>
          <w:szCs w:val="24"/>
          <w:lang w:eastAsia="en-GB"/>
        </w:rPr>
        <w:tab/>
        <w:t>paragraph 3 is replaced by the following:</w:t>
      </w:r>
    </w:p>
    <w:p w14:paraId="69691684" w14:textId="77777777" w:rsidR="00E54565" w:rsidRPr="004C70EC" w:rsidRDefault="00E54565" w:rsidP="00E54565">
      <w:pPr>
        <w:pStyle w:val="Point2"/>
        <w:rPr>
          <w:noProof/>
          <w:color w:val="000000" w:themeColor="text1"/>
          <w:szCs w:val="24"/>
          <w:u w:color="000000"/>
          <w:bdr w:val="nil"/>
          <w:lang w:val="en-IE" w:eastAsia="en-GB"/>
        </w:rPr>
      </w:pPr>
      <w:r w:rsidRPr="004C70EC">
        <w:rPr>
          <w:noProof/>
          <w:color w:val="000000" w:themeColor="text1"/>
          <w:szCs w:val="24"/>
          <w:u w:color="000000"/>
          <w:bdr w:val="nil"/>
          <w:lang w:val="en-US" w:eastAsia="en-GB"/>
        </w:rPr>
        <w:t>‘</w:t>
      </w:r>
      <w:r w:rsidRPr="004C70EC">
        <w:rPr>
          <w:noProof/>
          <w:color w:val="000000" w:themeColor="text1"/>
          <w:szCs w:val="24"/>
          <w:u w:color="000000"/>
          <w:bdr w:val="nil"/>
          <w:lang w:val="en-IE" w:eastAsia="en-GB"/>
        </w:rPr>
        <w:t>3.</w:t>
      </w:r>
      <w:r w:rsidRPr="004C70EC">
        <w:rPr>
          <w:noProof/>
          <w:color w:val="000000" w:themeColor="text1"/>
          <w:szCs w:val="24"/>
          <w:u w:color="000000"/>
          <w:bdr w:val="nil"/>
          <w:lang w:val="en-IE" w:eastAsia="en-GB"/>
        </w:rPr>
        <w:tab/>
        <w:t>The Scientific Committee shall be composed of the first Vice-Chairs of the Scientific Panels and six independent scientific experts who do not belong to any of the Scientific Panels.’</w:t>
      </w:r>
    </w:p>
    <w:p w14:paraId="7F91B3CB" w14:textId="77777777" w:rsidR="00E54565" w:rsidRPr="004C70EC" w:rsidRDefault="00E54565" w:rsidP="00E54565">
      <w:pPr>
        <w:pStyle w:val="Point1"/>
        <w:rPr>
          <w:noProof/>
          <w:color w:val="000000" w:themeColor="text1"/>
          <w:szCs w:val="24"/>
        </w:rPr>
      </w:pPr>
      <w:r w:rsidRPr="004C70EC">
        <w:rPr>
          <w:noProof/>
          <w:color w:val="000000" w:themeColor="text1"/>
          <w:szCs w:val="24"/>
        </w:rPr>
        <w:t>(b)</w:t>
      </w:r>
      <w:r w:rsidRPr="004C70EC">
        <w:rPr>
          <w:noProof/>
          <w:color w:val="000000" w:themeColor="text1"/>
          <w:szCs w:val="24"/>
        </w:rPr>
        <w:tab/>
        <w:t>paragraph 6 is replaced by the following:</w:t>
      </w:r>
    </w:p>
    <w:p w14:paraId="13AB7DE4" w14:textId="77777777" w:rsidR="00E54565" w:rsidRPr="004C70EC" w:rsidRDefault="00E54565" w:rsidP="00E54565">
      <w:pPr>
        <w:pStyle w:val="Point2"/>
        <w:rPr>
          <w:noProof/>
          <w:color w:val="000000" w:themeColor="text1"/>
          <w:szCs w:val="24"/>
          <w:lang w:val="en-IE"/>
        </w:rPr>
      </w:pPr>
      <w:r w:rsidRPr="004C70EC">
        <w:rPr>
          <w:noProof/>
          <w:color w:val="000000" w:themeColor="text1"/>
          <w:szCs w:val="24"/>
          <w:lang w:val="en-IE"/>
        </w:rPr>
        <w:t>‘6.</w:t>
      </w:r>
      <w:r w:rsidRPr="004C70EC">
        <w:rPr>
          <w:noProof/>
          <w:color w:val="000000" w:themeColor="text1"/>
          <w:szCs w:val="24"/>
          <w:lang w:val="en-IE"/>
        </w:rPr>
        <w:tab/>
        <w:t>The Scientific Committee and the Scientific Panels shall be chaired by the staff of the Authority without the right to vote. The Scientific Committee and the Scientific Panels shall each choose two Vice-Chairs from among their members.’</w:t>
      </w:r>
    </w:p>
    <w:p w14:paraId="35095325" w14:textId="77777777" w:rsidR="00E54565" w:rsidRPr="004C70EC" w:rsidRDefault="00E54565" w:rsidP="00E54565">
      <w:pPr>
        <w:pStyle w:val="Point1"/>
        <w:rPr>
          <w:noProof/>
          <w:color w:val="000000" w:themeColor="text1"/>
          <w:szCs w:val="24"/>
        </w:rPr>
      </w:pPr>
      <w:r w:rsidRPr="004C70EC">
        <w:rPr>
          <w:noProof/>
          <w:color w:val="000000" w:themeColor="text1"/>
          <w:szCs w:val="24"/>
        </w:rPr>
        <w:t>(c)</w:t>
      </w:r>
      <w:r w:rsidRPr="004C70EC">
        <w:rPr>
          <w:noProof/>
          <w:color w:val="000000" w:themeColor="text1"/>
          <w:szCs w:val="24"/>
        </w:rPr>
        <w:tab/>
        <w:t>in paragraph 9, the following point (h) is added:</w:t>
      </w:r>
    </w:p>
    <w:p w14:paraId="41C77893" w14:textId="77777777" w:rsidR="00E54565" w:rsidRPr="004C70EC" w:rsidRDefault="00E54565" w:rsidP="00E54565">
      <w:pPr>
        <w:pStyle w:val="Point2"/>
        <w:rPr>
          <w:rFonts w:eastAsia="Arial Unicode MS"/>
          <w:noProof/>
          <w:color w:val="000000" w:themeColor="text1"/>
          <w:szCs w:val="24"/>
          <w:u w:color="000000"/>
          <w:bdr w:val="nil"/>
          <w:lang w:val="en-IE" w:eastAsia="en-GB"/>
        </w:rPr>
      </w:pPr>
      <w:r w:rsidRPr="004C70EC">
        <w:rPr>
          <w:rFonts w:eastAsia="Arial Unicode MS"/>
          <w:noProof/>
          <w:color w:val="000000" w:themeColor="text1"/>
          <w:szCs w:val="24"/>
          <w:u w:color="000000"/>
          <w:bdr w:val="nil"/>
          <w:lang w:val="en-US" w:eastAsia="en-GB"/>
        </w:rPr>
        <w:t>‘</w:t>
      </w:r>
      <w:r w:rsidRPr="004C70EC">
        <w:rPr>
          <w:rFonts w:eastAsia="Arial Unicode MS"/>
          <w:noProof/>
          <w:color w:val="000000" w:themeColor="text1"/>
          <w:szCs w:val="24"/>
          <w:u w:color="000000"/>
          <w:bdr w:val="nil"/>
          <w:lang w:val="en-IE" w:eastAsia="en-GB"/>
        </w:rPr>
        <w:t>(h)</w:t>
      </w:r>
      <w:r w:rsidRPr="004C70EC">
        <w:rPr>
          <w:rFonts w:eastAsia="Arial Unicode MS"/>
          <w:noProof/>
          <w:color w:val="000000" w:themeColor="text1"/>
          <w:szCs w:val="24"/>
          <w:u w:color="000000"/>
          <w:bdr w:val="nil"/>
          <w:lang w:val="en-IE" w:eastAsia="en-GB"/>
        </w:rPr>
        <w:tab/>
        <w:t>the role of the Authority when chairing the Scientific Committee and the Scientific Panels.’</w:t>
      </w:r>
    </w:p>
    <w:p w14:paraId="1C6979D8" w14:textId="77777777" w:rsidR="00E54565" w:rsidRPr="004C70EC" w:rsidRDefault="00E54565" w:rsidP="00E54565">
      <w:pPr>
        <w:pStyle w:val="Point0"/>
        <w:rPr>
          <w:rFonts w:eastAsia="Times New Roman"/>
          <w:noProof/>
          <w:color w:val="000000" w:themeColor="text1"/>
          <w:szCs w:val="24"/>
          <w:lang w:eastAsia="en-GB"/>
        </w:rPr>
      </w:pPr>
      <w:r w:rsidRPr="004C70EC">
        <w:rPr>
          <w:rFonts w:eastAsia="Times New Roman"/>
          <w:noProof/>
          <w:color w:val="000000" w:themeColor="text1"/>
          <w:szCs w:val="24"/>
          <w:lang w:eastAsia="en-GB"/>
        </w:rPr>
        <w:t>(4)</w:t>
      </w:r>
      <w:r w:rsidRPr="004C70EC">
        <w:rPr>
          <w:noProof/>
          <w:color w:val="000000" w:themeColor="text1"/>
          <w:szCs w:val="24"/>
        </w:rPr>
        <w:tab/>
        <w:t>i</w:t>
      </w:r>
      <w:r w:rsidRPr="004C70EC">
        <w:rPr>
          <w:rFonts w:eastAsia="Times New Roman"/>
          <w:noProof/>
          <w:color w:val="000000" w:themeColor="text1"/>
          <w:szCs w:val="24"/>
          <w:lang w:eastAsia="en-GB"/>
        </w:rPr>
        <w:t xml:space="preserve">n Article 32a, paragraph 1 is replaced by the following: </w:t>
      </w:r>
    </w:p>
    <w:p w14:paraId="1574102A" w14:textId="77777777" w:rsidR="00E54565" w:rsidRPr="004C70EC" w:rsidRDefault="00E54565" w:rsidP="00E54565">
      <w:pPr>
        <w:pStyle w:val="Point1"/>
        <w:rPr>
          <w:noProof/>
          <w:color w:val="000000" w:themeColor="text1"/>
          <w:szCs w:val="24"/>
          <w:lang w:val="en-IE"/>
        </w:rPr>
      </w:pPr>
      <w:r w:rsidRPr="004C70EC">
        <w:rPr>
          <w:noProof/>
          <w:color w:val="000000" w:themeColor="text1"/>
          <w:szCs w:val="24"/>
          <w:lang w:val="en-IE"/>
        </w:rPr>
        <w:t>‘1.</w:t>
      </w:r>
      <w:r w:rsidRPr="004C70EC">
        <w:rPr>
          <w:noProof/>
          <w:color w:val="000000" w:themeColor="text1"/>
          <w:szCs w:val="24"/>
        </w:rPr>
        <w:tab/>
      </w:r>
      <w:r w:rsidRPr="004C70EC">
        <w:rPr>
          <w:noProof/>
          <w:color w:val="000000" w:themeColor="text1"/>
          <w:szCs w:val="24"/>
          <w:lang w:val="en-IE"/>
        </w:rPr>
        <w:t>Where Union law contains provisions for the Authority to provide a scientific output, including a scientific opinion, the Authority shall, at the request of a potential applicant or notifier, provide advice on the content of the application or notification, prior to its submission, including the rules applicable to and the required content  thereof as well as on the design of the studies and testing strategies to support such an application or notification. Such advice provided by the Authority shall be without prejudice and non-committal as to any subsequent assessment of applications or notifications by the Scientific Panels.’</w:t>
      </w:r>
    </w:p>
    <w:p w14:paraId="209CD3AE" w14:textId="77777777" w:rsidR="00E54565" w:rsidRPr="004C70EC" w:rsidRDefault="00E54565" w:rsidP="00E54565">
      <w:pPr>
        <w:pStyle w:val="Point0"/>
        <w:rPr>
          <w:rFonts w:eastAsia="Times New Roman"/>
          <w:noProof/>
          <w:color w:val="000000" w:themeColor="text1"/>
          <w:szCs w:val="24"/>
          <w:lang w:eastAsia="en-GB"/>
        </w:rPr>
      </w:pPr>
      <w:r w:rsidRPr="004C70EC">
        <w:rPr>
          <w:rFonts w:eastAsia="Times New Roman"/>
          <w:noProof/>
          <w:color w:val="000000" w:themeColor="text1"/>
          <w:szCs w:val="24"/>
          <w:lang w:eastAsia="en-GB"/>
        </w:rPr>
        <w:t>(5)</w:t>
      </w:r>
      <w:r w:rsidRPr="004C70EC">
        <w:rPr>
          <w:rFonts w:eastAsia="Times New Roman"/>
          <w:noProof/>
          <w:color w:val="000000" w:themeColor="text1"/>
          <w:szCs w:val="24"/>
          <w:lang w:eastAsia="en-GB"/>
        </w:rPr>
        <w:tab/>
        <w:t>Article 32b is amended as follows:</w:t>
      </w:r>
    </w:p>
    <w:p w14:paraId="3B718B6F" w14:textId="77777777" w:rsidR="00E54565" w:rsidRPr="004C70EC" w:rsidRDefault="00E54565" w:rsidP="00E54565">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en-GB"/>
        </w:rPr>
        <w:t>(a)</w:t>
      </w:r>
      <w:r w:rsidRPr="004C70EC">
        <w:rPr>
          <w:noProof/>
          <w:color w:val="000000" w:themeColor="text1"/>
          <w:szCs w:val="24"/>
        </w:rPr>
        <w:tab/>
      </w:r>
      <w:r w:rsidRPr="004C70EC">
        <w:rPr>
          <w:rFonts w:eastAsia="Times New Roman"/>
          <w:noProof/>
          <w:color w:val="000000" w:themeColor="text1"/>
          <w:szCs w:val="24"/>
          <w:lang w:eastAsia="en-GB"/>
        </w:rPr>
        <w:t>in paragraph 4, the third subparagraph is replaced by the following:</w:t>
      </w:r>
    </w:p>
    <w:p w14:paraId="0DFEF745" w14:textId="77777777" w:rsidR="00E54565" w:rsidRPr="004C70EC" w:rsidRDefault="00E54565" w:rsidP="00513C5B">
      <w:pPr>
        <w:pStyle w:val="Text2"/>
        <w:rPr>
          <w:noProof/>
          <w:color w:val="000000" w:themeColor="text1"/>
          <w:szCs w:val="24"/>
        </w:rPr>
      </w:pPr>
      <w:r w:rsidRPr="004C70EC">
        <w:rPr>
          <w:noProof/>
          <w:color w:val="000000" w:themeColor="text1"/>
          <w:szCs w:val="24"/>
          <w:bdr w:val="nil"/>
          <w:lang w:val="en-US" w:eastAsia="en-GB"/>
        </w:rPr>
        <w:t>‘</w:t>
      </w:r>
      <w:r w:rsidRPr="004C70EC">
        <w:rPr>
          <w:noProof/>
          <w:color w:val="000000" w:themeColor="text1"/>
          <w:szCs w:val="24"/>
          <w:bdr w:val="nil"/>
          <w:lang w:val="en-IE" w:eastAsia="en-GB"/>
        </w:rPr>
        <w:t>The assessment of the validity or the admissibility of such re-submitted application or notification shall commence three months after the date of re-submission of the application and provided that a notification of the studies pursuant to the second subparagraph has taken place.’</w:t>
      </w:r>
    </w:p>
    <w:p w14:paraId="0960D2A9" w14:textId="77777777" w:rsidR="00E54565" w:rsidRPr="004C70EC" w:rsidRDefault="00E54565" w:rsidP="00E54565">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en-GB"/>
        </w:rPr>
        <w:t>(b)</w:t>
      </w:r>
      <w:r w:rsidRPr="004C70EC">
        <w:rPr>
          <w:noProof/>
          <w:color w:val="000000" w:themeColor="text1"/>
          <w:szCs w:val="24"/>
        </w:rPr>
        <w:tab/>
      </w:r>
      <w:r w:rsidRPr="004C70EC">
        <w:rPr>
          <w:rFonts w:eastAsia="Times New Roman"/>
          <w:noProof/>
          <w:color w:val="000000" w:themeColor="text1"/>
          <w:szCs w:val="24"/>
          <w:lang w:eastAsia="en-GB"/>
        </w:rPr>
        <w:t>in paragraph 5, the third subparagraph is replaced by the following:</w:t>
      </w:r>
    </w:p>
    <w:p w14:paraId="627E4089" w14:textId="77777777" w:rsidR="00E54565" w:rsidRPr="004C70EC" w:rsidRDefault="00E54565" w:rsidP="00513C5B">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 xml:space="preserve">‘The assessment of the validity or admissibility of such re-submitted application or notification shall commence three months after the date of re-submission of the application and provided that all studies that had previously been notified in accordance with paragraph 2 or 3 are included in the resubmitted application or notification.’; </w:t>
      </w:r>
    </w:p>
    <w:p w14:paraId="207EA8E1" w14:textId="77777777" w:rsidR="00E54565" w:rsidRPr="004C70EC" w:rsidRDefault="00E54565" w:rsidP="00E54565">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en-GB"/>
        </w:rPr>
        <w:t>(c)</w:t>
      </w:r>
      <w:r w:rsidRPr="004C70EC">
        <w:rPr>
          <w:rFonts w:eastAsia="Times New Roman"/>
          <w:noProof/>
          <w:color w:val="000000" w:themeColor="text1"/>
          <w:szCs w:val="24"/>
          <w:lang w:eastAsia="en-GB"/>
        </w:rPr>
        <w:tab/>
        <w:t>paragraph 6 is replaced by the following:</w:t>
      </w:r>
    </w:p>
    <w:p w14:paraId="362182CD" w14:textId="77777777" w:rsidR="00E54565" w:rsidRPr="004C70EC" w:rsidRDefault="00E54565" w:rsidP="00E54565">
      <w:pPr>
        <w:pStyle w:val="Point2"/>
        <w:rPr>
          <w:noProof/>
          <w:color w:val="000000" w:themeColor="text1"/>
          <w:szCs w:val="24"/>
          <w:u w:color="000000"/>
          <w:bdr w:val="nil"/>
          <w:lang w:val="en-IE" w:eastAsia="en-GB"/>
        </w:rPr>
      </w:pPr>
      <w:r w:rsidRPr="004C70EC">
        <w:rPr>
          <w:noProof/>
          <w:color w:val="000000" w:themeColor="text1"/>
          <w:szCs w:val="24"/>
          <w:u w:color="000000"/>
          <w:bdr w:val="nil"/>
          <w:lang w:val="en-US" w:eastAsia="en-GB"/>
        </w:rPr>
        <w:t>‘</w:t>
      </w:r>
      <w:r w:rsidRPr="004C70EC">
        <w:rPr>
          <w:noProof/>
          <w:color w:val="000000" w:themeColor="text1"/>
          <w:szCs w:val="24"/>
          <w:u w:color="000000"/>
          <w:bdr w:val="nil"/>
          <w:lang w:val="en-IE" w:eastAsia="en-GB"/>
        </w:rPr>
        <w:t>6.</w:t>
      </w:r>
      <w:r w:rsidRPr="004C70EC">
        <w:rPr>
          <w:noProof/>
          <w:color w:val="000000" w:themeColor="text1"/>
          <w:szCs w:val="24"/>
          <w:u w:color="000000"/>
          <w:bdr w:val="nil"/>
          <w:lang w:val="en-IE" w:eastAsia="en-GB"/>
        </w:rPr>
        <w:tab/>
        <w:t>Where the Authority detects, during its risk assessment, that studies notified in accordance with paragraph 2 or 3 are not included in the corresponding application or notification in full, and in the absence of a valid justification of the applicant or notifier to that effect, the applicable time limits within which the Authority is required to deliver its scientific output shall be suspended. That suspension shall end three months after the submission of all data of those studies.’</w:t>
      </w:r>
    </w:p>
    <w:p w14:paraId="3EA3BBC1" w14:textId="77777777" w:rsidR="00E54565" w:rsidRPr="004C70EC" w:rsidRDefault="00E54565" w:rsidP="00E54565">
      <w:pPr>
        <w:pStyle w:val="Point0"/>
        <w:rPr>
          <w:rFonts w:eastAsia="Times New Roman"/>
          <w:noProof/>
          <w:color w:val="000000" w:themeColor="text1"/>
          <w:szCs w:val="24"/>
          <w:lang w:eastAsia="en-GB"/>
        </w:rPr>
      </w:pPr>
      <w:r w:rsidRPr="004C70EC">
        <w:rPr>
          <w:rFonts w:eastAsia="Times New Roman"/>
          <w:noProof/>
          <w:color w:val="000000" w:themeColor="text1"/>
          <w:szCs w:val="24"/>
          <w:lang w:eastAsia="en-GB"/>
        </w:rPr>
        <w:t>(6)</w:t>
      </w:r>
      <w:r w:rsidRPr="004C70EC">
        <w:rPr>
          <w:rFonts w:eastAsia="Times New Roman"/>
          <w:noProof/>
          <w:color w:val="000000" w:themeColor="text1"/>
          <w:szCs w:val="24"/>
          <w:lang w:eastAsia="en-GB"/>
        </w:rPr>
        <w:tab/>
        <w:t>in Article 32c, paragraph 1 is deleted.</w:t>
      </w:r>
    </w:p>
    <w:p w14:paraId="2A66A751" w14:textId="77777777" w:rsidR="00E54565" w:rsidRPr="004C70EC" w:rsidRDefault="00E54565" w:rsidP="00E54565">
      <w:pPr>
        <w:pStyle w:val="Point0"/>
        <w:rPr>
          <w:noProof/>
          <w:color w:val="000000" w:themeColor="text1"/>
          <w:szCs w:val="24"/>
        </w:rPr>
      </w:pPr>
      <w:r w:rsidRPr="004C70EC">
        <w:rPr>
          <w:noProof/>
          <w:color w:val="000000" w:themeColor="text1"/>
          <w:szCs w:val="24"/>
          <w:lang w:eastAsia="en-GB"/>
        </w:rPr>
        <w:t>(7)</w:t>
      </w:r>
      <w:r w:rsidRPr="004C70EC">
        <w:rPr>
          <w:noProof/>
          <w:color w:val="000000" w:themeColor="text1"/>
          <w:szCs w:val="24"/>
          <w:lang w:eastAsia="en-GB"/>
        </w:rPr>
        <w:tab/>
        <w:t>the following Chapter IIIA is inserted:</w:t>
      </w:r>
    </w:p>
    <w:p w14:paraId="3F2D9DDA" w14:textId="77777777" w:rsidR="00E54565" w:rsidRPr="004C70EC" w:rsidRDefault="00E54565" w:rsidP="00E54565">
      <w:pPr>
        <w:keepNext/>
        <w:keepLines/>
        <w:spacing w:before="360" w:after="80" w:line="279" w:lineRule="auto"/>
        <w:jc w:val="center"/>
        <w:outlineLvl w:val="0"/>
        <w:rPr>
          <w:rFonts w:eastAsia="Times New Roman"/>
          <w:i/>
          <w:iCs/>
          <w:noProof/>
          <w:color w:val="000000" w:themeColor="text1"/>
          <w:szCs w:val="24"/>
          <w:u w:color="000000"/>
          <w:bdr w:val="nil"/>
          <w:lang w:val="en-IE" w:eastAsia="en-GB"/>
        </w:rPr>
      </w:pPr>
      <w:r w:rsidRPr="004C70EC">
        <w:rPr>
          <w:rFonts w:eastAsia="Times New Roman"/>
          <w:i/>
          <w:iCs/>
          <w:noProof/>
          <w:color w:val="000000" w:themeColor="text1"/>
          <w:szCs w:val="24"/>
          <w:u w:color="000000"/>
          <w:bdr w:val="nil"/>
          <w:lang w:val="en-IE" w:eastAsia="en-GB"/>
        </w:rPr>
        <w:t xml:space="preserve">‘CHAPTER IIIA </w:t>
      </w:r>
    </w:p>
    <w:p w14:paraId="540D7C5A" w14:textId="77777777" w:rsidR="00E54565" w:rsidRPr="004C70EC" w:rsidRDefault="00E54565" w:rsidP="00E54565">
      <w:pPr>
        <w:keepNext/>
        <w:keepLines/>
        <w:spacing w:before="360" w:after="80" w:line="279" w:lineRule="auto"/>
        <w:jc w:val="center"/>
        <w:outlineLvl w:val="0"/>
        <w:rPr>
          <w:rFonts w:eastAsia="Times New Roman"/>
          <w:i/>
          <w:iCs/>
          <w:noProof/>
          <w:color w:val="000000" w:themeColor="text1"/>
          <w:szCs w:val="24"/>
          <w:u w:color="000000"/>
          <w:bdr w:val="nil"/>
          <w:lang w:val="en-IE" w:eastAsia="en-GB"/>
        </w:rPr>
      </w:pPr>
      <w:r w:rsidRPr="004C70EC">
        <w:rPr>
          <w:rFonts w:eastAsia="Times New Roman"/>
          <w:i/>
          <w:iCs/>
          <w:noProof/>
          <w:color w:val="000000" w:themeColor="text1"/>
          <w:szCs w:val="24"/>
          <w:u w:color="000000"/>
          <w:bdr w:val="nil"/>
          <w:lang w:val="en-IE" w:eastAsia="en-GB"/>
        </w:rPr>
        <w:t>REGULATORY SANDBOXES</w:t>
      </w:r>
    </w:p>
    <w:p w14:paraId="24685F77" w14:textId="77777777" w:rsidR="00E54565" w:rsidRPr="004C70EC" w:rsidRDefault="00E54565" w:rsidP="00E54565">
      <w:pPr>
        <w:pStyle w:val="Titrearticle"/>
        <w:rPr>
          <w:rFonts w:eastAsia="Times New Roman"/>
          <w:i w:val="0"/>
          <w:iCs/>
          <w:noProof/>
          <w:color w:val="000000" w:themeColor="text1"/>
          <w:szCs w:val="24"/>
          <w:u w:color="000000"/>
          <w:bdr w:val="nil"/>
          <w:lang w:val="en-IE" w:eastAsia="en-GB"/>
        </w:rPr>
      </w:pPr>
      <w:r w:rsidRPr="004C70EC">
        <w:rPr>
          <w:rFonts w:eastAsia="Times New Roman"/>
          <w:iCs/>
          <w:noProof/>
          <w:color w:val="000000" w:themeColor="text1"/>
          <w:szCs w:val="24"/>
          <w:u w:color="000000"/>
          <w:bdr w:val="nil"/>
          <w:lang w:val="en-IE" w:eastAsia="en-GB"/>
        </w:rPr>
        <w:t>Article 49a</w:t>
      </w:r>
    </w:p>
    <w:p w14:paraId="532318BE" w14:textId="77777777" w:rsidR="00E54565" w:rsidRPr="004C70EC" w:rsidRDefault="00E54565" w:rsidP="00E54565">
      <w:pPr>
        <w:jc w:val="center"/>
        <w:rPr>
          <w:rFonts w:eastAsia="Times New Roman"/>
          <w:noProof/>
          <w:color w:val="000000" w:themeColor="text1"/>
          <w:szCs w:val="24"/>
          <w:u w:color="000000"/>
          <w:bdr w:val="nil"/>
          <w:lang w:val="en-IE" w:eastAsia="en-GB"/>
        </w:rPr>
      </w:pPr>
      <w:r w:rsidRPr="004C70EC">
        <w:rPr>
          <w:rFonts w:eastAsia="Times New Roman"/>
          <w:b/>
          <w:bCs/>
          <w:noProof/>
          <w:color w:val="000000" w:themeColor="text1"/>
          <w:szCs w:val="24"/>
          <w:u w:color="000000"/>
          <w:bdr w:val="nil"/>
          <w:lang w:val="en-IE" w:eastAsia="en-GB"/>
        </w:rPr>
        <w:t>General provisions on regulatory sandboxes</w:t>
      </w:r>
    </w:p>
    <w:p w14:paraId="047919ED" w14:textId="77777777" w:rsidR="00E54565" w:rsidRPr="004C70EC" w:rsidRDefault="002024B9" w:rsidP="002024B9">
      <w:pPr>
        <w:pStyle w:val="Point1"/>
        <w:rPr>
          <w:noProof/>
          <w:color w:val="000000" w:themeColor="text1"/>
          <w:szCs w:val="24"/>
          <w:lang w:val="en-US" w:eastAsia="en-GB"/>
        </w:rPr>
      </w:pPr>
      <w:r w:rsidRPr="004C70EC">
        <w:rPr>
          <w:noProof/>
          <w:color w:val="000000" w:themeColor="text1"/>
          <w:szCs w:val="24"/>
          <w:bdr w:val="nil"/>
          <w:lang w:val="en-US" w:eastAsia="en-GB"/>
        </w:rPr>
        <w:t>1.</w:t>
      </w:r>
      <w:r w:rsidRPr="004C70EC">
        <w:rPr>
          <w:noProof/>
          <w:color w:val="000000" w:themeColor="text1"/>
          <w:szCs w:val="24"/>
          <w:bdr w:val="nil"/>
          <w:lang w:val="en-US" w:eastAsia="en-GB"/>
        </w:rPr>
        <w:tab/>
      </w:r>
      <w:r w:rsidR="00E54565" w:rsidRPr="004C70EC">
        <w:rPr>
          <w:noProof/>
          <w:color w:val="000000" w:themeColor="text1"/>
          <w:szCs w:val="24"/>
          <w:bdr w:val="nil"/>
          <w:lang w:val="en-US" w:eastAsia="en-GB"/>
        </w:rPr>
        <w:t>A Member State or several Member States jointly may establish regulatory sandboxes</w:t>
      </w:r>
      <w:r w:rsidR="00E54565" w:rsidRPr="004C70EC">
        <w:rPr>
          <w:noProof/>
          <w:color w:val="000000" w:themeColor="text1"/>
          <w:szCs w:val="24"/>
          <w:lang w:val="en-IE"/>
        </w:rPr>
        <w:t xml:space="preserve"> </w:t>
      </w:r>
      <w:r w:rsidR="00E54565" w:rsidRPr="004C70EC">
        <w:rPr>
          <w:noProof/>
          <w:color w:val="000000" w:themeColor="text1"/>
          <w:szCs w:val="24"/>
          <w:bdr w:val="nil"/>
          <w:lang w:val="en-US" w:eastAsia="en-GB"/>
        </w:rPr>
        <w:t>in accordance with this Article and the procedure set out in Article 49b</w:t>
      </w:r>
      <w:r w:rsidR="00E54565" w:rsidRPr="004C70EC">
        <w:rPr>
          <w:noProof/>
          <w:color w:val="000000" w:themeColor="text1"/>
          <w:szCs w:val="24"/>
          <w:lang w:val="en-US" w:eastAsia="en-GB"/>
        </w:rPr>
        <w:t>.</w:t>
      </w:r>
    </w:p>
    <w:p w14:paraId="34E457F7" w14:textId="77777777" w:rsidR="00E54565" w:rsidRPr="004C70EC" w:rsidRDefault="002024B9" w:rsidP="002024B9">
      <w:pPr>
        <w:pStyle w:val="Point1"/>
        <w:rPr>
          <w:noProof/>
          <w:color w:val="000000" w:themeColor="text1"/>
          <w:szCs w:val="24"/>
          <w:bdr w:val="nil"/>
          <w:lang w:val="en-US" w:eastAsia="en-GB"/>
        </w:rPr>
      </w:pPr>
      <w:r w:rsidRPr="004C70EC">
        <w:rPr>
          <w:noProof/>
          <w:color w:val="000000" w:themeColor="text1"/>
          <w:szCs w:val="24"/>
          <w:lang w:val="en-US" w:eastAsia="en-GB"/>
        </w:rPr>
        <w:t>2.</w:t>
      </w:r>
      <w:r w:rsidRPr="004C70EC">
        <w:rPr>
          <w:noProof/>
          <w:color w:val="000000" w:themeColor="text1"/>
          <w:szCs w:val="24"/>
          <w:lang w:val="en-US" w:eastAsia="en-GB"/>
        </w:rPr>
        <w:tab/>
      </w:r>
      <w:r w:rsidR="00E54565" w:rsidRPr="004C70EC">
        <w:rPr>
          <w:noProof/>
          <w:color w:val="000000" w:themeColor="text1"/>
          <w:szCs w:val="24"/>
          <w:lang w:val="en-US" w:eastAsia="en-GB"/>
        </w:rPr>
        <w:t>Regulatory sandboxes may be established in relation to the following:</w:t>
      </w:r>
    </w:p>
    <w:p w14:paraId="370F616B" w14:textId="77777777" w:rsidR="00E54565" w:rsidRPr="004C70EC" w:rsidRDefault="00E54565" w:rsidP="00E54565">
      <w:pPr>
        <w:pStyle w:val="Point2"/>
        <w:rPr>
          <w:noProof/>
          <w:color w:val="000000" w:themeColor="text1"/>
          <w:szCs w:val="24"/>
          <w:bdr w:val="nil"/>
          <w:lang w:eastAsia="en-GB"/>
        </w:rPr>
      </w:pPr>
      <w:r w:rsidRPr="004C70EC">
        <w:rPr>
          <w:noProof/>
          <w:color w:val="000000" w:themeColor="text1"/>
          <w:szCs w:val="24"/>
          <w:bdr w:val="nil"/>
          <w:lang w:eastAsia="en-GB"/>
        </w:rPr>
        <w:t>(a)</w:t>
      </w:r>
      <w:r w:rsidRPr="004C70EC">
        <w:rPr>
          <w:noProof/>
          <w:color w:val="000000" w:themeColor="text1"/>
          <w:szCs w:val="24"/>
          <w:u w:color="000000"/>
          <w:bdr w:val="nil"/>
          <w:lang w:eastAsia="en-GB"/>
        </w:rPr>
        <w:tab/>
      </w:r>
      <w:r w:rsidRPr="004C70EC">
        <w:rPr>
          <w:noProof/>
          <w:color w:val="000000" w:themeColor="text1"/>
          <w:szCs w:val="24"/>
          <w:bdr w:val="nil"/>
          <w:lang w:eastAsia="en-GB"/>
        </w:rPr>
        <w:t xml:space="preserve">all stages of the production, processing and distribution of food with the exception of novel foods, and also of the feed produced for, or fed to food-producing animals; </w:t>
      </w:r>
    </w:p>
    <w:p w14:paraId="641912AC" w14:textId="77777777" w:rsidR="00E54565" w:rsidRPr="004C70EC" w:rsidRDefault="00E54565" w:rsidP="00E54565">
      <w:pPr>
        <w:pStyle w:val="Point2"/>
        <w:rPr>
          <w:noProof/>
          <w:color w:val="000000" w:themeColor="text1"/>
          <w:szCs w:val="24"/>
          <w:bdr w:val="nil"/>
          <w:lang w:eastAsia="en-GB"/>
        </w:rPr>
      </w:pPr>
      <w:r w:rsidRPr="004C70EC">
        <w:rPr>
          <w:noProof/>
          <w:color w:val="000000" w:themeColor="text1"/>
          <w:szCs w:val="24"/>
          <w:bdr w:val="nil"/>
          <w:lang w:eastAsia="en-GB"/>
        </w:rPr>
        <w:t>(b)</w:t>
      </w:r>
      <w:r w:rsidRPr="004C70EC">
        <w:rPr>
          <w:noProof/>
          <w:color w:val="000000" w:themeColor="text1"/>
          <w:szCs w:val="24"/>
          <w:u w:color="000000"/>
          <w:bdr w:val="nil"/>
          <w:lang w:eastAsia="en-GB"/>
        </w:rPr>
        <w:tab/>
      </w:r>
      <w:r w:rsidRPr="004C70EC">
        <w:rPr>
          <w:noProof/>
          <w:color w:val="000000" w:themeColor="text1"/>
          <w:szCs w:val="24"/>
          <w:bdr w:val="nil"/>
          <w:lang w:eastAsia="en-GB"/>
        </w:rPr>
        <w:t xml:space="preserve">food contact materials, with the exception of plastic recycled materials;  </w:t>
      </w:r>
    </w:p>
    <w:p w14:paraId="30EE314B" w14:textId="77777777" w:rsidR="00E54565" w:rsidRPr="004C70EC" w:rsidRDefault="00E54565" w:rsidP="00E54565">
      <w:pPr>
        <w:pStyle w:val="Point2"/>
        <w:rPr>
          <w:noProof/>
          <w:color w:val="000000" w:themeColor="text1"/>
          <w:szCs w:val="24"/>
          <w:bdr w:val="nil"/>
          <w:lang w:eastAsia="en-GB"/>
        </w:rPr>
      </w:pPr>
      <w:r w:rsidRPr="004C70EC">
        <w:rPr>
          <w:noProof/>
          <w:color w:val="000000" w:themeColor="text1"/>
          <w:szCs w:val="24"/>
          <w:bdr w:val="nil"/>
          <w:lang w:eastAsia="en-GB"/>
        </w:rPr>
        <w:t>(c)</w:t>
      </w:r>
      <w:r w:rsidRPr="004C70EC">
        <w:rPr>
          <w:noProof/>
          <w:color w:val="000000" w:themeColor="text1"/>
          <w:szCs w:val="24"/>
          <w:u w:color="000000"/>
          <w:bdr w:val="nil"/>
          <w:lang w:eastAsia="en-GB"/>
        </w:rPr>
        <w:tab/>
      </w:r>
      <w:r w:rsidRPr="004C70EC">
        <w:rPr>
          <w:noProof/>
          <w:color w:val="000000" w:themeColor="text1"/>
          <w:szCs w:val="24"/>
          <w:bdr w:val="nil"/>
          <w:lang w:eastAsia="en-GB"/>
        </w:rPr>
        <w:t>products, other than food and feed, containing or consisting of genetically modified organisms as defined in Article 2, point (2), of Directive 2001/18/EC</w:t>
      </w:r>
      <w:r w:rsidR="00930CFC" w:rsidRPr="004C70EC">
        <w:rPr>
          <w:noProof/>
          <w:color w:val="000000" w:themeColor="text1"/>
          <w:szCs w:val="24"/>
          <w:bdr w:val="nil"/>
          <w:lang w:eastAsia="en-GB"/>
        </w:rPr>
        <w:t xml:space="preserve">. </w:t>
      </w:r>
    </w:p>
    <w:p w14:paraId="3CE5D7CC" w14:textId="77777777" w:rsidR="00E54565" w:rsidRPr="004C70EC" w:rsidRDefault="00E54565" w:rsidP="00E54565">
      <w:pPr>
        <w:pStyle w:val="Text2"/>
        <w:rPr>
          <w:noProof/>
          <w:color w:val="000000" w:themeColor="text1"/>
          <w:szCs w:val="24"/>
          <w:bdr w:val="nil"/>
          <w:lang w:eastAsia="en-GB"/>
        </w:rPr>
      </w:pPr>
      <w:r w:rsidRPr="004C70EC">
        <w:rPr>
          <w:noProof/>
          <w:color w:val="000000" w:themeColor="text1"/>
          <w:szCs w:val="24"/>
          <w:lang w:val="en-IE"/>
        </w:rPr>
        <w:t>The making available of products within a regulatory sandbox shall not be regarded as placing on the market.</w:t>
      </w:r>
    </w:p>
    <w:p w14:paraId="589486DF" w14:textId="77777777" w:rsidR="00E54565" w:rsidRPr="004C70EC" w:rsidRDefault="00E54565" w:rsidP="00E54565">
      <w:pPr>
        <w:pStyle w:val="Point1"/>
        <w:rPr>
          <w:rFonts w:eastAsia="Arial Unicode MS"/>
          <w:noProof/>
          <w:color w:val="000000" w:themeColor="text1"/>
          <w:szCs w:val="24"/>
          <w:bdr w:val="nil"/>
          <w:lang w:val="en-US" w:eastAsia="en-GB"/>
        </w:rPr>
      </w:pPr>
      <w:r w:rsidRPr="004C70EC">
        <w:rPr>
          <w:rFonts w:eastAsia="Arial Unicode MS"/>
          <w:noProof/>
          <w:color w:val="000000" w:themeColor="text1"/>
          <w:szCs w:val="24"/>
          <w:bdr w:val="nil"/>
          <w:lang w:val="en-US" w:eastAsia="en-GB"/>
        </w:rPr>
        <w:t>3.</w:t>
      </w:r>
      <w:r w:rsidRPr="004C70EC">
        <w:rPr>
          <w:rFonts w:eastAsia="Arial Unicode MS"/>
          <w:noProof/>
          <w:color w:val="000000" w:themeColor="text1"/>
          <w:szCs w:val="24"/>
          <w:u w:color="000000"/>
          <w:bdr w:val="nil"/>
          <w:lang w:val="en-US" w:eastAsia="en-GB"/>
        </w:rPr>
        <w:tab/>
      </w:r>
      <w:r w:rsidRPr="004C70EC">
        <w:rPr>
          <w:rFonts w:eastAsia="Arial Unicode MS"/>
          <w:noProof/>
          <w:color w:val="000000" w:themeColor="text1"/>
          <w:szCs w:val="24"/>
          <w:bdr w:val="nil"/>
          <w:lang w:val="en-US" w:eastAsia="en-GB"/>
        </w:rPr>
        <w:t>Regulatory sandboxes shall pursue one or more of the following objectives</w:t>
      </w:r>
      <w:r w:rsidRPr="004C70EC">
        <w:rPr>
          <w:rFonts w:eastAsia="Arial Unicode MS"/>
          <w:noProof/>
          <w:color w:val="000000" w:themeColor="text1"/>
          <w:szCs w:val="24"/>
          <w:lang w:val="en-US" w:eastAsia="en-GB"/>
        </w:rPr>
        <w:t>:</w:t>
      </w:r>
    </w:p>
    <w:p w14:paraId="55070A14" w14:textId="77777777" w:rsidR="00E54565" w:rsidRPr="004C70EC" w:rsidRDefault="00E54565" w:rsidP="00E54565">
      <w:pPr>
        <w:pStyle w:val="Point2"/>
        <w:rPr>
          <w:rFonts w:eastAsia="Arial Unicode MS"/>
          <w:noProof/>
          <w:color w:val="000000" w:themeColor="text1"/>
          <w:szCs w:val="24"/>
          <w:bdr w:val="nil"/>
          <w:lang w:val="en-US" w:eastAsia="en-GB"/>
        </w:rPr>
      </w:pPr>
      <w:r w:rsidRPr="004C70EC">
        <w:rPr>
          <w:rFonts w:eastAsia="Arial Unicode MS"/>
          <w:noProof/>
          <w:color w:val="000000" w:themeColor="text1"/>
          <w:szCs w:val="24"/>
          <w:bdr w:val="nil"/>
          <w:lang w:val="en-US" w:eastAsia="en-GB"/>
        </w:rPr>
        <w:t>(a)</w:t>
      </w:r>
      <w:r w:rsidRPr="004C70EC">
        <w:rPr>
          <w:rFonts w:eastAsia="Arial Unicode MS"/>
          <w:noProof/>
          <w:color w:val="000000" w:themeColor="text1"/>
          <w:szCs w:val="24"/>
          <w:u w:color="000000"/>
          <w:bdr w:val="nil"/>
          <w:lang w:val="en-US" w:eastAsia="en-GB"/>
        </w:rPr>
        <w:tab/>
      </w:r>
      <w:r w:rsidRPr="004C70EC">
        <w:rPr>
          <w:rFonts w:eastAsia="Arial Unicode MS"/>
          <w:noProof/>
          <w:color w:val="000000" w:themeColor="text1"/>
          <w:szCs w:val="24"/>
          <w:bdr w:val="nil"/>
          <w:lang w:val="en-US" w:eastAsia="en-GB"/>
        </w:rPr>
        <w:t>facilitating the development, testing</w:t>
      </w:r>
      <w:r w:rsidRPr="004C70EC">
        <w:rPr>
          <w:rFonts w:eastAsia="Arial Unicode MS"/>
          <w:noProof/>
          <w:color w:val="000000" w:themeColor="text1"/>
          <w:szCs w:val="24"/>
          <w:lang w:val="en-US" w:eastAsia="en-GB"/>
        </w:rPr>
        <w:t xml:space="preserve"> and</w:t>
      </w:r>
      <w:r w:rsidRPr="004C70EC">
        <w:rPr>
          <w:rFonts w:eastAsia="Arial Unicode MS"/>
          <w:noProof/>
          <w:color w:val="000000" w:themeColor="text1"/>
          <w:szCs w:val="24"/>
          <w:bdr w:val="nil"/>
          <w:lang w:val="en-US" w:eastAsia="en-GB"/>
        </w:rPr>
        <w:t xml:space="preserve"> validation of technologies, products and substances before they obtain authorisation or approval for placing on the market, where so required by Union law;</w:t>
      </w:r>
    </w:p>
    <w:p w14:paraId="0A1A7EC8" w14:textId="77777777" w:rsidR="00E54565" w:rsidRPr="004C70EC" w:rsidRDefault="00E54565" w:rsidP="00E54565">
      <w:pPr>
        <w:pStyle w:val="Point2"/>
        <w:rPr>
          <w:rFonts w:eastAsia="Arial Unicode MS"/>
          <w:noProof/>
          <w:color w:val="000000" w:themeColor="text1"/>
          <w:szCs w:val="24"/>
          <w:bdr w:val="nil"/>
          <w:lang w:val="en-US" w:eastAsia="en-GB"/>
        </w:rPr>
      </w:pPr>
      <w:r w:rsidRPr="004C70EC">
        <w:rPr>
          <w:rFonts w:eastAsia="Arial Unicode MS"/>
          <w:noProof/>
          <w:color w:val="000000" w:themeColor="text1"/>
          <w:szCs w:val="24"/>
          <w:bdr w:val="nil"/>
          <w:lang w:val="en-US" w:eastAsia="en-GB"/>
        </w:rPr>
        <w:t>(b)</w:t>
      </w:r>
      <w:r w:rsidRPr="004C70EC">
        <w:rPr>
          <w:rFonts w:eastAsia="Arial Unicode MS"/>
          <w:noProof/>
          <w:color w:val="000000" w:themeColor="text1"/>
          <w:szCs w:val="24"/>
          <w:u w:color="000000"/>
          <w:bdr w:val="nil"/>
          <w:lang w:val="en-US" w:eastAsia="en-GB"/>
        </w:rPr>
        <w:tab/>
      </w:r>
      <w:r w:rsidRPr="004C70EC">
        <w:rPr>
          <w:rFonts w:eastAsia="Arial Unicode MS"/>
          <w:noProof/>
          <w:color w:val="000000" w:themeColor="text1"/>
          <w:szCs w:val="24"/>
          <w:bdr w:val="nil"/>
          <w:lang w:val="en-US" w:eastAsia="en-GB"/>
        </w:rPr>
        <w:t xml:space="preserve">testing data requirements, including the type and design of studies required for conducting a safety and/or efficacy assessment; </w:t>
      </w:r>
    </w:p>
    <w:p w14:paraId="357E6625" w14:textId="77777777" w:rsidR="00E54565" w:rsidRPr="004C70EC" w:rsidRDefault="00E54565" w:rsidP="00E54565">
      <w:pPr>
        <w:pStyle w:val="Point2"/>
        <w:rPr>
          <w:rFonts w:eastAsia="Arial Unicode MS"/>
          <w:noProof/>
          <w:color w:val="000000" w:themeColor="text1"/>
          <w:szCs w:val="24"/>
          <w:bdr w:val="nil"/>
          <w:lang w:val="en-US" w:eastAsia="en-GB"/>
        </w:rPr>
      </w:pPr>
      <w:r w:rsidRPr="004C70EC">
        <w:rPr>
          <w:rFonts w:eastAsia="Arial Unicode MS"/>
          <w:noProof/>
          <w:color w:val="000000" w:themeColor="text1"/>
          <w:szCs w:val="24"/>
          <w:bdr w:val="nil"/>
          <w:lang w:val="en-US" w:eastAsia="en-GB"/>
        </w:rPr>
        <w:t>(c)</w:t>
      </w:r>
      <w:r w:rsidRPr="004C70EC">
        <w:rPr>
          <w:rFonts w:eastAsia="Arial Unicode MS"/>
          <w:noProof/>
          <w:color w:val="000000" w:themeColor="text1"/>
          <w:szCs w:val="24"/>
          <w:u w:color="000000"/>
          <w:bdr w:val="nil"/>
          <w:lang w:val="en-US" w:eastAsia="en-GB"/>
        </w:rPr>
        <w:tab/>
      </w:r>
      <w:r w:rsidRPr="004C70EC">
        <w:rPr>
          <w:rFonts w:eastAsia="Arial Unicode MS"/>
          <w:noProof/>
          <w:color w:val="000000" w:themeColor="text1"/>
          <w:szCs w:val="24"/>
          <w:bdr w:val="nil"/>
          <w:lang w:val="en-US" w:eastAsia="en-GB"/>
        </w:rPr>
        <w:t>testing alternative regulatory requirements and appraising their performance</w:t>
      </w:r>
      <w:r w:rsidRPr="004C70EC">
        <w:rPr>
          <w:rFonts w:eastAsia="Arial Unicode MS"/>
          <w:noProof/>
          <w:color w:val="000000" w:themeColor="text1"/>
          <w:szCs w:val="24"/>
          <w:lang w:val="en-US" w:eastAsia="en-GB"/>
        </w:rPr>
        <w:t xml:space="preserve"> as regards the attainment of the objectives of the applicable Union sectoral law</w:t>
      </w:r>
      <w:r w:rsidRPr="004C70EC">
        <w:rPr>
          <w:rFonts w:eastAsia="Arial Unicode MS"/>
          <w:noProof/>
          <w:color w:val="000000" w:themeColor="text1"/>
          <w:szCs w:val="24"/>
          <w:bdr w:val="nil"/>
          <w:lang w:val="en-US" w:eastAsia="en-GB"/>
        </w:rPr>
        <w:t xml:space="preserve"> in comparison to the existing requirements; in the areas where Union law provides for an approval or authorisation, as well as in the area of food information to consumers. </w:t>
      </w:r>
    </w:p>
    <w:p w14:paraId="4D2168B7" w14:textId="77777777" w:rsidR="00E54565" w:rsidRPr="004C70EC" w:rsidRDefault="00E54565" w:rsidP="00E54565">
      <w:pPr>
        <w:pStyle w:val="Point1"/>
        <w:rPr>
          <w:rFonts w:eastAsia="Arial Unicode MS"/>
          <w:noProof/>
          <w:color w:val="000000" w:themeColor="text1"/>
          <w:szCs w:val="24"/>
          <w:bdr w:val="nil"/>
          <w:lang w:val="en-US" w:eastAsia="en-GB"/>
        </w:rPr>
      </w:pPr>
      <w:r w:rsidRPr="004C70EC">
        <w:rPr>
          <w:noProof/>
          <w:color w:val="000000" w:themeColor="text1"/>
          <w:szCs w:val="24"/>
        </w:rPr>
        <w:t>4.</w:t>
      </w:r>
      <w:r w:rsidRPr="004C70EC">
        <w:rPr>
          <w:noProof/>
          <w:color w:val="000000" w:themeColor="text1"/>
          <w:szCs w:val="24"/>
        </w:rPr>
        <w:tab/>
        <w:t xml:space="preserve">Member States shall </w:t>
      </w:r>
      <w:r w:rsidRPr="004C70EC">
        <w:rPr>
          <w:noProof/>
          <w:color w:val="000000" w:themeColor="text1"/>
          <w:szCs w:val="24"/>
          <w:lang w:val="en-IE"/>
        </w:rPr>
        <w:t>monitor and supervise the operation of regulatory sandboxes that they establish and ensure compliance with the regulatory sandbox plan.</w:t>
      </w:r>
    </w:p>
    <w:p w14:paraId="15BB1511" w14:textId="77777777" w:rsidR="00E54565" w:rsidRPr="004C70EC" w:rsidRDefault="00E54565" w:rsidP="00E54565">
      <w:pPr>
        <w:pStyle w:val="Point1"/>
        <w:rPr>
          <w:rFonts w:eastAsia="Times New Roman"/>
          <w:noProof/>
          <w:color w:val="000000" w:themeColor="text1"/>
          <w:szCs w:val="24"/>
          <w:lang w:val="en-IE" w:eastAsia="en-GB"/>
        </w:rPr>
      </w:pPr>
      <w:r w:rsidRPr="004C70EC">
        <w:rPr>
          <w:noProof/>
          <w:color w:val="000000" w:themeColor="text1"/>
          <w:szCs w:val="24"/>
        </w:rPr>
        <w:t>5.</w:t>
      </w:r>
      <w:r w:rsidRPr="004C70EC">
        <w:rPr>
          <w:noProof/>
          <w:color w:val="000000" w:themeColor="text1"/>
          <w:szCs w:val="24"/>
        </w:rPr>
        <w:tab/>
      </w:r>
      <w:r w:rsidRPr="004C70EC">
        <w:rPr>
          <w:rFonts w:eastAsia="Arial Unicode MS"/>
          <w:noProof/>
          <w:color w:val="000000" w:themeColor="text1"/>
          <w:szCs w:val="24"/>
          <w:lang w:val="en-IE" w:eastAsia="en-GB"/>
        </w:rPr>
        <w:t xml:space="preserve">A participant to an established regulatory sandbox shall immediately inform the competent authorities of the Member State(s) concerned if it considers or has reason to believe that the conditions of the regulatory sandbox plan have not been complied with and/or there are potential risks to public health, animal health or welfare, plant health or to the environment, which may require the revocation of the regulatory sandbox or the amendment of the regulatory sandbox plan to provide for mitigating measures. Participants shall also immediately inform the competent authorities of any other information that concerns </w:t>
      </w:r>
      <w:r w:rsidRPr="004C70EC">
        <w:rPr>
          <w:rFonts w:eastAsia="Times New Roman"/>
          <w:noProof/>
          <w:color w:val="000000" w:themeColor="text1"/>
          <w:szCs w:val="24"/>
          <w:lang w:val="en-IE" w:eastAsia="en-GB"/>
        </w:rPr>
        <w:t>the quality, safety or efficacy of the subject matter of the relevant regulatory sandbox.</w:t>
      </w:r>
    </w:p>
    <w:p w14:paraId="4523E5D2" w14:textId="77777777" w:rsidR="00E54565" w:rsidRPr="004C70EC" w:rsidRDefault="00E54565" w:rsidP="00E54565">
      <w:pPr>
        <w:pStyle w:val="Point1"/>
        <w:rPr>
          <w:noProof/>
          <w:color w:val="000000" w:themeColor="text1"/>
          <w:szCs w:val="24"/>
        </w:rPr>
      </w:pPr>
      <w:r w:rsidRPr="004C70EC">
        <w:rPr>
          <w:noProof/>
          <w:color w:val="000000" w:themeColor="text1"/>
          <w:szCs w:val="24"/>
        </w:rPr>
        <w:t>6.</w:t>
      </w:r>
      <w:r w:rsidRPr="004C70EC">
        <w:rPr>
          <w:noProof/>
          <w:color w:val="000000" w:themeColor="text1"/>
          <w:szCs w:val="24"/>
        </w:rPr>
        <w:tab/>
      </w:r>
      <w:r w:rsidRPr="004C70EC">
        <w:rPr>
          <w:rFonts w:eastAsia="Arial Unicode MS"/>
          <w:noProof/>
          <w:color w:val="000000" w:themeColor="text1"/>
          <w:szCs w:val="24"/>
          <w:lang w:val="en-IE" w:eastAsia="en-GB"/>
        </w:rPr>
        <w:t xml:space="preserve">Member States shall immediately notify to the Commission and, where relevant, to the Authority any violation of the conditions set out in the </w:t>
      </w:r>
      <w:r w:rsidRPr="004C70EC">
        <w:rPr>
          <w:noProof/>
          <w:color w:val="000000" w:themeColor="text1"/>
          <w:szCs w:val="24"/>
          <w:lang w:val="en-IE"/>
        </w:rPr>
        <w:t>regulatory sandbox plan and/or the identification of any potential risks to public health, animal health or welfare, plant health or to the environment.</w:t>
      </w:r>
    </w:p>
    <w:p w14:paraId="0D348F6B" w14:textId="77777777" w:rsidR="00E54565" w:rsidRPr="004C70EC" w:rsidRDefault="00E54565" w:rsidP="00E54565">
      <w:pPr>
        <w:pStyle w:val="Point1"/>
        <w:rPr>
          <w:rFonts w:eastAsia="Arial Unicode MS"/>
          <w:noProof/>
          <w:color w:val="000000" w:themeColor="text1"/>
          <w:szCs w:val="24"/>
          <w:bdr w:val="nil"/>
          <w:lang w:val="en-US" w:eastAsia="en-GB"/>
        </w:rPr>
      </w:pPr>
      <w:r w:rsidRPr="004C70EC">
        <w:rPr>
          <w:noProof/>
          <w:color w:val="000000" w:themeColor="text1"/>
          <w:szCs w:val="24"/>
          <w:lang w:val="en-IE"/>
        </w:rPr>
        <w:t>7.</w:t>
      </w:r>
      <w:r w:rsidR="00513C5B" w:rsidRPr="004C70EC">
        <w:rPr>
          <w:noProof/>
          <w:color w:val="000000" w:themeColor="text1"/>
          <w:szCs w:val="24"/>
          <w:lang w:val="en-IE"/>
        </w:rPr>
        <w:tab/>
      </w:r>
      <w:r w:rsidRPr="004C70EC">
        <w:rPr>
          <w:noProof/>
          <w:color w:val="000000" w:themeColor="text1"/>
          <w:szCs w:val="24"/>
          <w:lang w:val="en-IE"/>
        </w:rPr>
        <w:t>Member States shall suspend or revoke a regulatory sandbox at any time on their</w:t>
      </w:r>
      <w:r w:rsidRPr="004C70EC">
        <w:rPr>
          <w:noProof/>
          <w:color w:val="000000" w:themeColor="text1"/>
          <w:szCs w:val="24"/>
        </w:rPr>
        <w:t xml:space="preserve"> own motion, or at the request of the Commission in accordance with paragraph 9, in either of the following cases:</w:t>
      </w:r>
    </w:p>
    <w:p w14:paraId="346EC574" w14:textId="77777777" w:rsidR="00E54565" w:rsidRPr="004C70EC" w:rsidRDefault="00E54565" w:rsidP="00E54565">
      <w:pPr>
        <w:pStyle w:val="Point2"/>
        <w:rPr>
          <w:rFonts w:eastAsia="Arial Unicode MS"/>
          <w:noProof/>
          <w:color w:val="000000" w:themeColor="text1"/>
          <w:szCs w:val="24"/>
          <w:bdr w:val="nil"/>
          <w:lang w:val="en-US" w:eastAsia="en-GB"/>
        </w:rPr>
      </w:pPr>
      <w:r w:rsidRPr="004C70EC">
        <w:rPr>
          <w:rFonts w:eastAsia="Arial Unicode MS"/>
          <w:noProof/>
          <w:color w:val="000000" w:themeColor="text1"/>
          <w:szCs w:val="24"/>
          <w:bdr w:val="nil"/>
          <w:lang w:val="en-US" w:eastAsia="en-GB"/>
        </w:rPr>
        <w:t>(a)</w:t>
      </w:r>
      <w:r w:rsidRPr="004C70EC">
        <w:rPr>
          <w:rFonts w:eastAsia="Arial Unicode MS"/>
          <w:noProof/>
          <w:color w:val="000000" w:themeColor="text1"/>
          <w:szCs w:val="24"/>
          <w:u w:color="000000"/>
          <w:bdr w:val="nil"/>
          <w:lang w:val="en-US" w:eastAsia="en-GB"/>
        </w:rPr>
        <w:tab/>
      </w:r>
      <w:r w:rsidRPr="004C70EC">
        <w:rPr>
          <w:rFonts w:eastAsia="Arial Unicode MS"/>
          <w:noProof/>
          <w:color w:val="000000" w:themeColor="text1"/>
          <w:szCs w:val="24"/>
          <w:bdr w:val="nil"/>
          <w:lang w:val="en-US" w:eastAsia="en-GB"/>
        </w:rPr>
        <w:t>the requirements and conditions governing the regulatory sandbox plan are no</w:t>
      </w:r>
      <w:r w:rsidRPr="004C70EC">
        <w:rPr>
          <w:rFonts w:eastAsia="Arial Unicode MS"/>
          <w:noProof/>
          <w:color w:val="000000" w:themeColor="text1"/>
          <w:szCs w:val="24"/>
          <w:lang w:val="en-US" w:eastAsia="en-GB"/>
        </w:rPr>
        <w:t>t</w:t>
      </w:r>
      <w:r w:rsidRPr="004C70EC">
        <w:rPr>
          <w:rFonts w:eastAsia="Arial Unicode MS"/>
          <w:noProof/>
          <w:color w:val="000000" w:themeColor="text1"/>
          <w:szCs w:val="24"/>
          <w:bdr w:val="nil"/>
          <w:lang w:val="en-US" w:eastAsia="en-GB"/>
        </w:rPr>
        <w:t xml:space="preserve"> met; </w:t>
      </w:r>
    </w:p>
    <w:p w14:paraId="1899B4DB" w14:textId="77777777" w:rsidR="00E54565" w:rsidRPr="004C70EC" w:rsidRDefault="00E54565" w:rsidP="00E54565">
      <w:pPr>
        <w:pStyle w:val="Point2"/>
        <w:rPr>
          <w:rFonts w:eastAsia="Arial Unicode MS"/>
          <w:noProof/>
          <w:color w:val="000000" w:themeColor="text1"/>
          <w:szCs w:val="24"/>
          <w:bdr w:val="nil"/>
          <w:lang w:val="en-US" w:eastAsia="en-GB"/>
        </w:rPr>
      </w:pPr>
      <w:r w:rsidRPr="004C70EC">
        <w:rPr>
          <w:rFonts w:eastAsia="Arial Unicode MS"/>
          <w:noProof/>
          <w:color w:val="000000" w:themeColor="text1"/>
          <w:szCs w:val="24"/>
          <w:bdr w:val="nil"/>
          <w:lang w:val="en-US" w:eastAsia="en-GB"/>
        </w:rPr>
        <w:t>(b)</w:t>
      </w:r>
      <w:r w:rsidRPr="004C70EC">
        <w:rPr>
          <w:rFonts w:eastAsia="Arial Unicode MS"/>
          <w:noProof/>
          <w:color w:val="000000" w:themeColor="text1"/>
          <w:szCs w:val="24"/>
          <w:u w:color="000000"/>
          <w:bdr w:val="nil"/>
          <w:lang w:val="en-US" w:eastAsia="en-GB"/>
        </w:rPr>
        <w:tab/>
      </w:r>
      <w:r w:rsidRPr="004C70EC">
        <w:rPr>
          <w:rFonts w:eastAsia="Arial Unicode MS"/>
          <w:noProof/>
          <w:color w:val="000000" w:themeColor="text1"/>
          <w:szCs w:val="24"/>
          <w:bdr w:val="nil"/>
          <w:lang w:val="en-US" w:eastAsia="en-GB"/>
        </w:rPr>
        <w:t xml:space="preserve">where necessary to protect public health, animal health or welfare, plant health </w:t>
      </w:r>
      <w:r w:rsidRPr="004C70EC">
        <w:rPr>
          <w:rFonts w:eastAsia="Arial Unicode MS"/>
          <w:noProof/>
          <w:color w:val="000000" w:themeColor="text1"/>
          <w:szCs w:val="24"/>
          <w:lang w:val="en-US" w:eastAsia="en-GB"/>
        </w:rPr>
        <w:t>or</w:t>
      </w:r>
      <w:r w:rsidRPr="004C70EC">
        <w:rPr>
          <w:rFonts w:eastAsia="Arial Unicode MS"/>
          <w:noProof/>
          <w:color w:val="000000" w:themeColor="text1"/>
          <w:szCs w:val="24"/>
          <w:bdr w:val="nil"/>
          <w:lang w:val="en-US" w:eastAsia="en-GB"/>
        </w:rPr>
        <w:t xml:space="preserve"> the environment</w:t>
      </w:r>
      <w:r w:rsidRPr="004C70EC">
        <w:rPr>
          <w:rFonts w:eastAsia="Arial Unicode MS"/>
          <w:noProof/>
          <w:color w:val="000000" w:themeColor="text1"/>
          <w:szCs w:val="24"/>
          <w:lang w:val="en-US" w:eastAsia="en-GB"/>
        </w:rPr>
        <w:t xml:space="preserve"> and there is no possibility for effective mitigation measures</w:t>
      </w:r>
      <w:r w:rsidRPr="004C70EC">
        <w:rPr>
          <w:rFonts w:eastAsia="Arial Unicode MS"/>
          <w:noProof/>
          <w:color w:val="000000" w:themeColor="text1"/>
          <w:szCs w:val="24"/>
          <w:bdr w:val="nil"/>
          <w:lang w:val="en-US" w:eastAsia="en-GB"/>
        </w:rPr>
        <w:t>.</w:t>
      </w:r>
    </w:p>
    <w:p w14:paraId="5BBBF47F" w14:textId="77777777" w:rsidR="00E54565" w:rsidRPr="004C70EC" w:rsidRDefault="00E54565" w:rsidP="00E54565">
      <w:pPr>
        <w:pStyle w:val="Text2"/>
        <w:rPr>
          <w:rFonts w:eastAsia="Arial Unicode MS"/>
          <w:noProof/>
          <w:color w:val="000000" w:themeColor="text1"/>
          <w:szCs w:val="24"/>
          <w:bdr w:val="nil"/>
          <w:lang w:val="en-US" w:eastAsia="en-GB"/>
        </w:rPr>
      </w:pPr>
      <w:r w:rsidRPr="004C70EC">
        <w:rPr>
          <w:rFonts w:eastAsia="Arial Unicode MS"/>
          <w:noProof/>
          <w:color w:val="000000" w:themeColor="text1"/>
          <w:szCs w:val="24"/>
          <w:bdr w:val="nil"/>
          <w:lang w:val="en-US" w:eastAsia="en-GB"/>
        </w:rPr>
        <w:t>Member States shall inform the Commission, the Authority and the other Member States without delay of the suspension or revocation of a regulatory sandbox and of the reasons.</w:t>
      </w:r>
    </w:p>
    <w:p w14:paraId="549F9C27" w14:textId="77777777" w:rsidR="00E54565" w:rsidRPr="004C70EC" w:rsidRDefault="00E54565" w:rsidP="00E54565">
      <w:pPr>
        <w:pStyle w:val="Point1"/>
        <w:rPr>
          <w:rFonts w:eastAsia="Arial Unicode MS"/>
          <w:noProof/>
          <w:color w:val="000000" w:themeColor="text1"/>
          <w:szCs w:val="24"/>
          <w:bdr w:val="nil"/>
          <w:lang w:val="en-US" w:eastAsia="en-GB"/>
        </w:rPr>
      </w:pPr>
      <w:r w:rsidRPr="004C70EC">
        <w:rPr>
          <w:rFonts w:eastAsia="Arial Unicode MS"/>
          <w:noProof/>
          <w:color w:val="000000" w:themeColor="text1"/>
          <w:szCs w:val="24"/>
          <w:bdr w:val="nil"/>
          <w:lang w:val="en-US" w:eastAsia="en-GB"/>
        </w:rPr>
        <w:t>8.</w:t>
      </w:r>
      <w:r w:rsidRPr="004C70EC">
        <w:rPr>
          <w:rFonts w:eastAsia="Arial Unicode MS"/>
          <w:noProof/>
          <w:color w:val="000000" w:themeColor="text1"/>
          <w:szCs w:val="24"/>
          <w:u w:color="000000"/>
          <w:bdr w:val="nil"/>
          <w:lang w:val="en-US" w:eastAsia="en-GB"/>
        </w:rPr>
        <w:tab/>
      </w:r>
      <w:r w:rsidRPr="004C70EC">
        <w:rPr>
          <w:rFonts w:eastAsia="Arial Unicode MS"/>
          <w:noProof/>
          <w:color w:val="000000" w:themeColor="text1"/>
          <w:szCs w:val="24"/>
          <w:bdr w:val="nil"/>
          <w:lang w:val="en-US" w:eastAsia="en-GB"/>
        </w:rPr>
        <w:t xml:space="preserve">Where after the setting up of a regulatory sandbox in their territory, a Member State identifies risks </w:t>
      </w:r>
      <w:r w:rsidRPr="004C70EC">
        <w:rPr>
          <w:rFonts w:eastAsia="Arial Unicode MS"/>
          <w:noProof/>
          <w:color w:val="000000" w:themeColor="text1"/>
          <w:szCs w:val="24"/>
          <w:bdr w:val="nil"/>
          <w:lang w:val="en-IE" w:eastAsia="en-GB"/>
        </w:rPr>
        <w:t xml:space="preserve">to public health, animal health and welfare, plant health and to the environment which can be fully mitigated by </w:t>
      </w:r>
      <w:r w:rsidRPr="004C70EC">
        <w:rPr>
          <w:rFonts w:eastAsia="Arial Unicode MS"/>
          <w:noProof/>
          <w:color w:val="000000" w:themeColor="text1"/>
          <w:szCs w:val="24"/>
          <w:lang w:val="en-IE" w:eastAsia="en-GB"/>
        </w:rPr>
        <w:t>amendments to the regulatory sandbox plan</w:t>
      </w:r>
      <w:r w:rsidRPr="004C70EC">
        <w:rPr>
          <w:rFonts w:eastAsia="Arial Unicode MS"/>
          <w:noProof/>
          <w:color w:val="000000" w:themeColor="text1"/>
          <w:szCs w:val="24"/>
          <w:bdr w:val="nil"/>
          <w:lang w:val="en-IE" w:eastAsia="en-GB"/>
        </w:rPr>
        <w:t xml:space="preserve">, it shall communicate to the Commission, the Authority and the other Member States the draft amendments in accordance with the procedure laid down in Article 49b. </w:t>
      </w:r>
    </w:p>
    <w:p w14:paraId="0A367337" w14:textId="77777777" w:rsidR="00E54565" w:rsidRPr="004C70EC" w:rsidRDefault="64F31D6C" w:rsidP="4CF51068">
      <w:pPr>
        <w:pStyle w:val="Point1"/>
        <w:rPr>
          <w:rFonts w:eastAsia="Arial Unicode MS"/>
          <w:noProof/>
          <w:color w:val="000000" w:themeColor="text1"/>
          <w:bdr w:val="nil"/>
          <w:lang w:val="en-US" w:eastAsia="en-GB"/>
        </w:rPr>
      </w:pPr>
      <w:r w:rsidRPr="004C70EC">
        <w:rPr>
          <w:noProof/>
          <w:color w:val="000000" w:themeColor="text1"/>
          <w:lang w:val="en-IE"/>
        </w:rPr>
        <w:t>9.</w:t>
      </w:r>
      <w:r w:rsidR="00E54565" w:rsidRPr="004C70EC">
        <w:rPr>
          <w:noProof/>
        </w:rPr>
        <w:tab/>
      </w:r>
      <w:r w:rsidRPr="004C70EC">
        <w:rPr>
          <w:noProof/>
          <w:color w:val="000000" w:themeColor="text1"/>
          <w:lang w:val="en-IE"/>
        </w:rPr>
        <w:t>Where the Commission considers that one of the cases referred to in paragraph 7 is fulfilled, it shall immediately adopt implementing acts</w:t>
      </w:r>
      <w:r w:rsidR="021716A9" w:rsidRPr="004C70EC">
        <w:rPr>
          <w:noProof/>
          <w:color w:val="000000" w:themeColor="text1"/>
          <w:lang w:val="en-IE"/>
        </w:rPr>
        <w:t xml:space="preserve"> </w:t>
      </w:r>
      <w:r w:rsidRPr="004C70EC">
        <w:rPr>
          <w:noProof/>
          <w:color w:val="000000" w:themeColor="text1"/>
          <w:lang w:val="en-IE"/>
        </w:rPr>
        <w:t xml:space="preserve">in accordance with the procedure referred to in Article 58(2) requesting the suspension or the revocation of the regulatory sandbox concerned. </w:t>
      </w:r>
    </w:p>
    <w:p w14:paraId="65EEBFCC" w14:textId="77777777" w:rsidR="00E54565" w:rsidRPr="004C70EC" w:rsidRDefault="00E54565" w:rsidP="00E54565">
      <w:pPr>
        <w:pStyle w:val="Text2"/>
        <w:rPr>
          <w:noProof/>
          <w:color w:val="000000" w:themeColor="text1"/>
          <w:szCs w:val="24"/>
          <w:lang w:val="en-IE"/>
        </w:rPr>
      </w:pPr>
      <w:r w:rsidRPr="004C70EC">
        <w:rPr>
          <w:noProof/>
          <w:color w:val="000000" w:themeColor="text1"/>
          <w:szCs w:val="24"/>
          <w:lang w:val="en-IE"/>
        </w:rPr>
        <w:t xml:space="preserve">However, in emergencies, the Commission may provisionally adopt an implementing act requesting the suspension of the regulatory sandbox concerned after consulting the Member State(s) concerned and informing the other Member States. As soon as possible, and at most within 10 working days, the measure taken shall be confirmed, amended or revoked in accordance with the procedure referred to in Article 58(2) and the reasons for the Commission’s decision shall be made public without delay. </w:t>
      </w:r>
    </w:p>
    <w:p w14:paraId="1340E581" w14:textId="77777777" w:rsidR="00E54565" w:rsidRPr="004C70EC" w:rsidRDefault="00E54565" w:rsidP="00E54565">
      <w:pPr>
        <w:pStyle w:val="Point1"/>
        <w:rPr>
          <w:noProof/>
          <w:color w:val="000000" w:themeColor="text1"/>
          <w:szCs w:val="24"/>
        </w:rPr>
      </w:pPr>
      <w:r w:rsidRPr="004C70EC">
        <w:rPr>
          <w:noProof/>
          <w:color w:val="000000" w:themeColor="text1"/>
          <w:szCs w:val="24"/>
          <w:lang w:val="en-IE"/>
        </w:rPr>
        <w:t>10.</w:t>
      </w:r>
      <w:r w:rsidRPr="004C70EC">
        <w:rPr>
          <w:noProof/>
          <w:color w:val="000000" w:themeColor="text1"/>
          <w:szCs w:val="24"/>
        </w:rPr>
        <w:tab/>
      </w:r>
      <w:r w:rsidRPr="004C70EC">
        <w:rPr>
          <w:noProof/>
          <w:color w:val="000000" w:themeColor="text1"/>
          <w:szCs w:val="24"/>
          <w:lang w:val="en-IE"/>
        </w:rPr>
        <w:t xml:space="preserve">A Member State may prolong the duration once of a regulatory sandbox for a limited time where this is justified </w:t>
      </w:r>
      <w:r w:rsidRPr="004C70EC">
        <w:rPr>
          <w:rFonts w:eastAsia="Times New Roman"/>
          <w:noProof/>
          <w:color w:val="000000" w:themeColor="text1"/>
          <w:szCs w:val="24"/>
          <w:lang w:val="en-IE"/>
        </w:rPr>
        <w:t>by the need to attain the objective of the specific regulatory sandbox at hand</w:t>
      </w:r>
      <w:r w:rsidRPr="004C70EC">
        <w:rPr>
          <w:noProof/>
          <w:color w:val="000000" w:themeColor="text1"/>
          <w:szCs w:val="24"/>
          <w:lang w:val="en-IE"/>
        </w:rPr>
        <w:t xml:space="preserve"> and shall inform the Commission, the Authority and the other Member States thereof. </w:t>
      </w:r>
    </w:p>
    <w:p w14:paraId="3BB14B06" w14:textId="77777777" w:rsidR="00E54565" w:rsidRPr="004C70EC" w:rsidRDefault="00E54565" w:rsidP="00E54565">
      <w:pPr>
        <w:pStyle w:val="Point1"/>
        <w:rPr>
          <w:noProof/>
          <w:color w:val="000000" w:themeColor="text1"/>
          <w:szCs w:val="24"/>
        </w:rPr>
      </w:pPr>
      <w:r w:rsidRPr="004C70EC">
        <w:rPr>
          <w:noProof/>
          <w:color w:val="000000" w:themeColor="text1"/>
          <w:szCs w:val="24"/>
          <w:lang w:val="en-IE"/>
        </w:rPr>
        <w:t>11.</w:t>
      </w:r>
      <w:r w:rsidRPr="004C70EC">
        <w:rPr>
          <w:noProof/>
          <w:color w:val="000000" w:themeColor="text1"/>
          <w:szCs w:val="24"/>
        </w:rPr>
        <w:tab/>
      </w:r>
      <w:r w:rsidRPr="004C70EC">
        <w:rPr>
          <w:noProof/>
          <w:color w:val="000000" w:themeColor="text1"/>
          <w:szCs w:val="24"/>
          <w:lang w:val="en-IE"/>
        </w:rPr>
        <w:t>T</w:t>
      </w:r>
      <w:r w:rsidRPr="004C70EC">
        <w:rPr>
          <w:noProof/>
          <w:color w:val="000000" w:themeColor="text1"/>
          <w:szCs w:val="24"/>
        </w:rPr>
        <w:t>he Commission may, by means of implementing acts, specify common principles or practical arrangements for the establishment and supervision of regulatory sandboxes, including the establishment of sandboxes involving several Member States pursuant to this Article, Article 49b and 49c.</w:t>
      </w:r>
      <w:r w:rsidR="006462F6" w:rsidRPr="004C70EC">
        <w:rPr>
          <w:noProof/>
          <w:color w:val="000000" w:themeColor="text1"/>
          <w:szCs w:val="24"/>
        </w:rPr>
        <w:t xml:space="preserve"> </w:t>
      </w:r>
      <w:r w:rsidRPr="004C70EC">
        <w:rPr>
          <w:noProof/>
          <w:color w:val="000000" w:themeColor="text1"/>
          <w:szCs w:val="24"/>
        </w:rPr>
        <w:t>Those implementing acts shall be adopted in accordance with the procedure referred to in Article 58(2). </w:t>
      </w:r>
    </w:p>
    <w:p w14:paraId="1B97F1C2" w14:textId="77777777" w:rsidR="00E54565" w:rsidRPr="004C70EC" w:rsidRDefault="00E54565" w:rsidP="00E54565">
      <w:pPr>
        <w:pStyle w:val="Titrearticle"/>
        <w:rPr>
          <w:rFonts w:eastAsia="Times New Roman"/>
          <w:i w:val="0"/>
          <w:iCs/>
          <w:noProof/>
          <w:color w:val="000000" w:themeColor="text1"/>
          <w:szCs w:val="24"/>
          <w:u w:color="000000"/>
          <w:bdr w:val="nil"/>
          <w:lang w:val="en-IE" w:eastAsia="en-GB"/>
        </w:rPr>
      </w:pPr>
      <w:r w:rsidRPr="004C70EC">
        <w:rPr>
          <w:rFonts w:eastAsia="Times New Roman"/>
          <w:iCs/>
          <w:noProof/>
          <w:color w:val="000000" w:themeColor="text1"/>
          <w:szCs w:val="24"/>
          <w:u w:color="000000"/>
          <w:bdr w:val="nil"/>
          <w:lang w:val="en-IE" w:eastAsia="en-GB"/>
        </w:rPr>
        <w:t>Article 49b</w:t>
      </w:r>
    </w:p>
    <w:p w14:paraId="2F226B61" w14:textId="77777777" w:rsidR="00E54565" w:rsidRPr="004C70EC" w:rsidRDefault="00E54565" w:rsidP="00E54565">
      <w:pPr>
        <w:jc w:val="center"/>
        <w:rPr>
          <w:rFonts w:eastAsia="Times New Roman"/>
          <w:b/>
          <w:noProof/>
          <w:color w:val="000000" w:themeColor="text1"/>
          <w:szCs w:val="24"/>
          <w:bdr w:val="nil"/>
          <w:lang w:val="en-IE" w:eastAsia="en-GB"/>
        </w:rPr>
      </w:pPr>
      <w:r w:rsidRPr="004C70EC">
        <w:rPr>
          <w:rFonts w:eastAsia="Times New Roman"/>
          <w:b/>
          <w:noProof/>
          <w:color w:val="000000" w:themeColor="text1"/>
          <w:szCs w:val="24"/>
          <w:bdr w:val="nil"/>
          <w:lang w:val="en-IE" w:eastAsia="en-GB"/>
        </w:rPr>
        <w:t xml:space="preserve">Establishment of regulatory sandboxes </w:t>
      </w:r>
    </w:p>
    <w:p w14:paraId="567E4227"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Arial Unicode MS"/>
          <w:noProof/>
          <w:color w:val="000000" w:themeColor="text1"/>
          <w:szCs w:val="24"/>
          <w:bdr w:val="nil"/>
          <w:lang w:val="en-US" w:eastAsia="en-GB"/>
        </w:rPr>
        <w:t>1.</w:t>
      </w:r>
      <w:r w:rsidRPr="004C70EC">
        <w:rPr>
          <w:rFonts w:eastAsia="Arial Unicode MS"/>
          <w:noProof/>
          <w:color w:val="000000" w:themeColor="text1"/>
          <w:szCs w:val="24"/>
          <w:u w:color="000000"/>
          <w:bdr w:val="nil"/>
          <w:lang w:val="en-US" w:eastAsia="en-GB"/>
        </w:rPr>
        <w:tab/>
      </w:r>
      <w:r w:rsidRPr="004C70EC">
        <w:rPr>
          <w:rFonts w:eastAsia="Arial Unicode MS"/>
          <w:noProof/>
          <w:color w:val="000000" w:themeColor="text1"/>
          <w:szCs w:val="24"/>
          <w:bdr w:val="nil"/>
          <w:lang w:val="en-US" w:eastAsia="en-GB"/>
        </w:rPr>
        <w:t>Where a Member State deems it appropriate to establish a regulatory sandbox, it shall communicate to the Commission, the Authority and the other Member States a</w:t>
      </w:r>
      <w:r w:rsidRPr="004C70EC">
        <w:rPr>
          <w:rFonts w:eastAsia="Times New Roman"/>
          <w:noProof/>
          <w:color w:val="000000" w:themeColor="text1"/>
          <w:szCs w:val="24"/>
          <w:lang w:val="en-IE" w:eastAsia="en-GB"/>
        </w:rPr>
        <w:t xml:space="preserve"> draft regulatory sandbox plan, which shall contain the following elements:</w:t>
      </w:r>
    </w:p>
    <w:p w14:paraId="44BCAACF" w14:textId="77777777" w:rsidR="00E54565" w:rsidRPr="004C70EC" w:rsidRDefault="00E54565" w:rsidP="00E54565">
      <w:pPr>
        <w:pStyle w:val="Point2"/>
        <w:rPr>
          <w:noProof/>
          <w:color w:val="000000" w:themeColor="text1"/>
          <w:szCs w:val="24"/>
          <w:u w:color="000000"/>
          <w:bdr w:val="nil"/>
          <w:lang w:val="en-US" w:eastAsia="en-GB"/>
        </w:rPr>
      </w:pPr>
      <w:r w:rsidRPr="004C70EC">
        <w:rPr>
          <w:noProof/>
          <w:color w:val="000000" w:themeColor="text1"/>
          <w:szCs w:val="24"/>
          <w:u w:color="000000"/>
          <w:bdr w:val="nil"/>
          <w:lang w:val="en-US" w:eastAsia="en-GB"/>
        </w:rPr>
        <w:t>(a)</w:t>
      </w:r>
      <w:r w:rsidRPr="004C70EC">
        <w:rPr>
          <w:noProof/>
          <w:color w:val="000000" w:themeColor="text1"/>
          <w:szCs w:val="24"/>
          <w:u w:color="000000"/>
          <w:bdr w:val="nil"/>
          <w:lang w:val="en-US" w:eastAsia="en-GB"/>
        </w:rPr>
        <w:tab/>
        <w:t xml:space="preserve">the objectives of the regulatory sandbox; </w:t>
      </w:r>
    </w:p>
    <w:p w14:paraId="14F19C78" w14:textId="77777777" w:rsidR="00E54565" w:rsidRPr="004C70EC" w:rsidRDefault="00E54565" w:rsidP="00E54565">
      <w:pPr>
        <w:pStyle w:val="Point2"/>
        <w:rPr>
          <w:rFonts w:eastAsia="Arial Unicode MS"/>
          <w:noProof/>
          <w:color w:val="000000" w:themeColor="text1"/>
          <w:szCs w:val="24"/>
          <w:bdr w:val="nil"/>
          <w:lang w:val="en-US" w:eastAsia="en-GB"/>
        </w:rPr>
      </w:pPr>
      <w:r w:rsidRPr="004C70EC">
        <w:rPr>
          <w:rFonts w:eastAsia="Times New Roman"/>
          <w:noProof/>
          <w:color w:val="000000" w:themeColor="text1"/>
          <w:szCs w:val="24"/>
          <w:bdr w:val="nil"/>
          <w:lang w:val="en-IE" w:eastAsia="en-GB"/>
        </w:rPr>
        <w:t>(b)</w:t>
      </w:r>
      <w:r w:rsidRPr="004C70EC">
        <w:rPr>
          <w:rFonts w:eastAsia="Times New Roman"/>
          <w:noProof/>
          <w:color w:val="000000" w:themeColor="text1"/>
          <w:szCs w:val="24"/>
          <w:u w:color="000000"/>
          <w:bdr w:val="nil"/>
          <w:lang w:val="en-IE" w:eastAsia="en-GB"/>
        </w:rPr>
        <w:tab/>
      </w:r>
      <w:r w:rsidRPr="004C70EC">
        <w:rPr>
          <w:rFonts w:eastAsia="Times New Roman"/>
          <w:noProof/>
          <w:color w:val="000000" w:themeColor="text1"/>
          <w:szCs w:val="24"/>
          <w:bdr w:val="nil"/>
          <w:lang w:val="en-IE" w:eastAsia="en-GB"/>
        </w:rPr>
        <w:t>a description of the specific areas that the sandbox will cover, including the products</w:t>
      </w:r>
      <w:r w:rsidRPr="004C70EC">
        <w:rPr>
          <w:rFonts w:eastAsia="Times New Roman"/>
          <w:noProof/>
          <w:color w:val="000000" w:themeColor="text1"/>
          <w:szCs w:val="24"/>
          <w:lang w:val="en-IE" w:eastAsia="en-GB"/>
        </w:rPr>
        <w:t xml:space="preserve"> or </w:t>
      </w:r>
      <w:r w:rsidRPr="004C70EC">
        <w:rPr>
          <w:rFonts w:eastAsia="Times New Roman"/>
          <w:noProof/>
          <w:color w:val="000000" w:themeColor="text1"/>
          <w:szCs w:val="24"/>
          <w:bdr w:val="nil"/>
          <w:lang w:val="en-IE" w:eastAsia="en-GB"/>
        </w:rPr>
        <w:t>substances, processes, technologies and practices;</w:t>
      </w:r>
    </w:p>
    <w:p w14:paraId="140C7632" w14:textId="77777777" w:rsidR="00E54565" w:rsidRPr="004C70EC" w:rsidRDefault="00E54565" w:rsidP="00E54565">
      <w:pPr>
        <w:pStyle w:val="Point2"/>
        <w:rPr>
          <w:rFonts w:eastAsia="Arial Unicode MS"/>
          <w:noProof/>
          <w:color w:val="000000" w:themeColor="text1"/>
          <w:szCs w:val="24"/>
          <w:bdr w:val="nil"/>
          <w:lang w:val="en-US" w:eastAsia="en-GB"/>
        </w:rPr>
      </w:pPr>
      <w:r w:rsidRPr="004C70EC">
        <w:rPr>
          <w:rFonts w:eastAsia="Times New Roman"/>
          <w:noProof/>
          <w:color w:val="000000" w:themeColor="text1"/>
          <w:szCs w:val="24"/>
          <w:bdr w:val="nil"/>
          <w:lang w:val="en-IE" w:eastAsia="en-GB"/>
        </w:rPr>
        <w:t>(c)</w:t>
      </w:r>
      <w:r w:rsidRPr="004C70EC">
        <w:rPr>
          <w:rFonts w:eastAsia="Times New Roman"/>
          <w:noProof/>
          <w:color w:val="000000" w:themeColor="text1"/>
          <w:szCs w:val="24"/>
          <w:u w:color="000000"/>
          <w:bdr w:val="nil"/>
          <w:lang w:val="en-IE" w:eastAsia="en-GB"/>
        </w:rPr>
        <w:tab/>
      </w:r>
      <w:r w:rsidRPr="004C70EC">
        <w:rPr>
          <w:rFonts w:eastAsia="Times New Roman"/>
          <w:noProof/>
          <w:color w:val="000000" w:themeColor="text1"/>
          <w:szCs w:val="24"/>
          <w:bdr w:val="nil"/>
          <w:lang w:val="en-IE" w:eastAsia="en-GB"/>
        </w:rPr>
        <w:t>a clearly defined geographical scope;</w:t>
      </w:r>
    </w:p>
    <w:p w14:paraId="3D1F2465" w14:textId="77777777" w:rsidR="00E54565" w:rsidRPr="004C70EC" w:rsidRDefault="00E54565" w:rsidP="00E54565">
      <w:pPr>
        <w:pStyle w:val="Point2"/>
        <w:rPr>
          <w:rFonts w:eastAsia="Arial Unicode MS"/>
          <w:noProof/>
          <w:color w:val="000000" w:themeColor="text1"/>
          <w:szCs w:val="24"/>
          <w:u w:color="000000"/>
          <w:bdr w:val="nil"/>
          <w:lang w:val="en-US" w:eastAsia="en-GB"/>
        </w:rPr>
      </w:pPr>
      <w:r w:rsidRPr="004C70EC">
        <w:rPr>
          <w:rFonts w:eastAsia="Times New Roman"/>
          <w:noProof/>
          <w:color w:val="000000" w:themeColor="text1"/>
          <w:szCs w:val="24"/>
          <w:u w:color="000000"/>
          <w:bdr w:val="nil"/>
          <w:lang w:val="en-IE" w:eastAsia="en-GB"/>
        </w:rPr>
        <w:t>(d)</w:t>
      </w:r>
      <w:r w:rsidRPr="004C70EC">
        <w:rPr>
          <w:rFonts w:eastAsia="Times New Roman"/>
          <w:noProof/>
          <w:color w:val="000000" w:themeColor="text1"/>
          <w:szCs w:val="24"/>
          <w:u w:color="000000"/>
          <w:bdr w:val="nil"/>
          <w:lang w:val="en-IE" w:eastAsia="en-GB"/>
        </w:rPr>
        <w:tab/>
        <w:t>a clearly defined and limited temporal scope;</w:t>
      </w:r>
    </w:p>
    <w:p w14:paraId="6EC4146D" w14:textId="77777777" w:rsidR="00E54565" w:rsidRPr="004C70EC" w:rsidRDefault="00E54565" w:rsidP="00E54565">
      <w:pPr>
        <w:pStyle w:val="Point2"/>
        <w:rPr>
          <w:rFonts w:eastAsia="Arial Unicode MS"/>
          <w:noProof/>
          <w:color w:val="000000" w:themeColor="text1"/>
          <w:szCs w:val="24"/>
          <w:bdr w:val="nil"/>
          <w:lang w:val="en-US" w:eastAsia="en-GB"/>
        </w:rPr>
      </w:pPr>
      <w:r w:rsidRPr="004C70EC">
        <w:rPr>
          <w:rFonts w:eastAsia="Times New Roman"/>
          <w:noProof/>
          <w:color w:val="000000" w:themeColor="text1"/>
          <w:szCs w:val="24"/>
          <w:bdr w:val="nil"/>
          <w:lang w:val="en-IE" w:eastAsia="en-GB"/>
        </w:rPr>
        <w:t>(e)</w:t>
      </w:r>
      <w:r w:rsidRPr="004C70EC">
        <w:rPr>
          <w:rFonts w:eastAsia="Times New Roman"/>
          <w:noProof/>
          <w:color w:val="000000" w:themeColor="text1"/>
          <w:szCs w:val="24"/>
          <w:u w:color="000000"/>
          <w:bdr w:val="nil"/>
          <w:lang w:val="en-IE" w:eastAsia="en-GB"/>
        </w:rPr>
        <w:tab/>
      </w:r>
      <w:r w:rsidRPr="004C70EC">
        <w:rPr>
          <w:rFonts w:eastAsia="Times New Roman"/>
          <w:noProof/>
          <w:color w:val="000000" w:themeColor="text1"/>
          <w:szCs w:val="24"/>
          <w:bdr w:val="nil"/>
          <w:lang w:val="en-IE" w:eastAsia="en-GB"/>
        </w:rPr>
        <w:t xml:space="preserve">the regulatory </w:t>
      </w:r>
      <w:r w:rsidRPr="004C70EC">
        <w:rPr>
          <w:rFonts w:eastAsia="Times New Roman"/>
          <w:noProof/>
          <w:color w:val="000000" w:themeColor="text1"/>
          <w:szCs w:val="24"/>
          <w:lang w:val="en-IE" w:eastAsia="en-GB"/>
        </w:rPr>
        <w:t>or</w:t>
      </w:r>
      <w:r w:rsidRPr="004C70EC">
        <w:rPr>
          <w:rFonts w:eastAsia="Times New Roman"/>
          <w:noProof/>
          <w:color w:val="000000" w:themeColor="text1"/>
          <w:szCs w:val="24"/>
          <w:bdr w:val="nil"/>
          <w:lang w:val="en-IE" w:eastAsia="en-GB"/>
        </w:rPr>
        <w:t xml:space="preserve"> scientific justifications for setting up the regulatory sandbox;</w:t>
      </w:r>
    </w:p>
    <w:p w14:paraId="73507C5A" w14:textId="77777777" w:rsidR="00E54565" w:rsidRPr="004C70EC" w:rsidRDefault="00E54565" w:rsidP="00E54565">
      <w:pPr>
        <w:pStyle w:val="Point2"/>
        <w:rPr>
          <w:rFonts w:eastAsia="Times New Roman"/>
          <w:noProof/>
          <w:color w:val="000000" w:themeColor="text1"/>
          <w:szCs w:val="24"/>
          <w:lang w:val="en-US"/>
        </w:rPr>
      </w:pPr>
      <w:r w:rsidRPr="004C70EC">
        <w:rPr>
          <w:rFonts w:eastAsia="Times New Roman"/>
          <w:noProof/>
          <w:color w:val="000000" w:themeColor="text1"/>
          <w:szCs w:val="24"/>
          <w:bdr w:val="nil"/>
          <w:lang w:val="en-IE" w:eastAsia="en-GB"/>
        </w:rPr>
        <w:t>(f)</w:t>
      </w:r>
      <w:r w:rsidRPr="004C70EC">
        <w:rPr>
          <w:rFonts w:eastAsia="Times New Roman"/>
          <w:noProof/>
          <w:color w:val="000000" w:themeColor="text1"/>
          <w:szCs w:val="24"/>
          <w:u w:color="000000"/>
          <w:bdr w:val="nil"/>
          <w:lang w:val="en-IE" w:eastAsia="en-GB"/>
        </w:rPr>
        <w:tab/>
      </w:r>
      <w:r w:rsidRPr="004C70EC">
        <w:rPr>
          <w:rFonts w:eastAsia="Times New Roman"/>
          <w:noProof/>
          <w:color w:val="000000" w:themeColor="text1"/>
          <w:szCs w:val="24"/>
          <w:lang w:val="en-IE"/>
        </w:rPr>
        <w:t xml:space="preserve">an identification of the relevant provisions of Union law </w:t>
      </w:r>
      <w:r w:rsidRPr="004C70EC">
        <w:rPr>
          <w:rFonts w:eastAsia="Times New Roman"/>
          <w:noProof/>
          <w:color w:val="000000" w:themeColor="text1"/>
          <w:szCs w:val="24"/>
          <w:lang w:val="en-US"/>
        </w:rPr>
        <w:t>that apply for the purposes of the regulatory sandbox and those that do not apply or are adapted;</w:t>
      </w:r>
      <w:r w:rsidRPr="004C70EC">
        <w:rPr>
          <w:rFonts w:eastAsia="Times New Roman"/>
          <w:noProof/>
          <w:color w:val="000000" w:themeColor="text1"/>
          <w:szCs w:val="24"/>
          <w:lang w:val="en-IE"/>
        </w:rPr>
        <w:t xml:space="preserve"> </w:t>
      </w:r>
    </w:p>
    <w:p w14:paraId="71BF721E" w14:textId="77777777" w:rsidR="00E54565" w:rsidRPr="004C70EC" w:rsidRDefault="00E54565" w:rsidP="00E54565">
      <w:pPr>
        <w:pStyle w:val="Point2"/>
        <w:rPr>
          <w:rFonts w:eastAsia="Arial Unicode MS"/>
          <w:noProof/>
          <w:color w:val="000000" w:themeColor="text1"/>
          <w:szCs w:val="24"/>
          <w:bdr w:val="nil"/>
          <w:lang w:val="en-US" w:eastAsia="en-GB"/>
        </w:rPr>
      </w:pPr>
      <w:r w:rsidRPr="004C70EC">
        <w:rPr>
          <w:rFonts w:eastAsia="Arial Unicode MS"/>
          <w:noProof/>
          <w:color w:val="000000" w:themeColor="text1"/>
          <w:szCs w:val="24"/>
          <w:bdr w:val="nil"/>
          <w:lang w:val="en-IE" w:eastAsia="en-GB"/>
        </w:rPr>
        <w:t>(g)</w:t>
      </w:r>
      <w:r w:rsidRPr="004C70EC">
        <w:rPr>
          <w:rFonts w:eastAsia="Arial Unicode MS"/>
          <w:noProof/>
          <w:color w:val="000000" w:themeColor="text1"/>
          <w:szCs w:val="24"/>
          <w:u w:color="000000"/>
          <w:bdr w:val="nil"/>
          <w:lang w:val="en-IE" w:eastAsia="en-GB"/>
        </w:rPr>
        <w:tab/>
      </w:r>
      <w:r w:rsidRPr="004C70EC">
        <w:rPr>
          <w:rFonts w:eastAsia="Arial Unicode MS"/>
          <w:noProof/>
          <w:color w:val="000000" w:themeColor="text1"/>
          <w:szCs w:val="24"/>
          <w:bdr w:val="nil"/>
          <w:lang w:val="en-IE" w:eastAsia="en-GB"/>
        </w:rPr>
        <w:t xml:space="preserve">the procedure for the application and selection for participants, including </w:t>
      </w:r>
      <w:r w:rsidRPr="004C70EC">
        <w:rPr>
          <w:rFonts w:eastAsia="Times New Roman"/>
          <w:noProof/>
          <w:color w:val="000000" w:themeColor="text1"/>
          <w:szCs w:val="24"/>
          <w:bdr w:val="nil"/>
          <w:lang w:val="en-IE" w:eastAsia="en-GB"/>
        </w:rPr>
        <w:t>clearly defined eligibility criteria, the modalities governing the provision of the explicit and prior consent from participating final consumers</w:t>
      </w:r>
      <w:r w:rsidRPr="004C70EC">
        <w:rPr>
          <w:rFonts w:eastAsia="Arial Unicode MS"/>
          <w:noProof/>
          <w:color w:val="000000" w:themeColor="text1"/>
          <w:szCs w:val="24"/>
          <w:bdr w:val="nil"/>
          <w:lang w:val="en-IE" w:eastAsia="en-GB"/>
        </w:rPr>
        <w:t xml:space="preserve"> as well as the modalities by which the participants may end their participation;</w:t>
      </w:r>
      <w:r w:rsidRPr="004C70EC">
        <w:rPr>
          <w:rFonts w:eastAsia="Times New Roman"/>
          <w:noProof/>
          <w:color w:val="000000" w:themeColor="text1"/>
          <w:szCs w:val="24"/>
          <w:bdr w:val="nil"/>
          <w:lang w:val="en-IE" w:eastAsia="en-GB"/>
        </w:rPr>
        <w:t xml:space="preserve"> </w:t>
      </w:r>
    </w:p>
    <w:p w14:paraId="5889D89E" w14:textId="77777777" w:rsidR="00E54565" w:rsidRPr="004C70EC" w:rsidRDefault="00E54565" w:rsidP="00E54565">
      <w:pPr>
        <w:pStyle w:val="Point2"/>
        <w:rPr>
          <w:rFonts w:eastAsia="Arial Unicode MS"/>
          <w:noProof/>
          <w:color w:val="000000" w:themeColor="text1"/>
          <w:szCs w:val="24"/>
          <w:u w:color="000000"/>
          <w:bdr w:val="nil"/>
          <w:lang w:val="en-US" w:eastAsia="en-GB"/>
        </w:rPr>
      </w:pPr>
      <w:r w:rsidRPr="004C70EC">
        <w:rPr>
          <w:rFonts w:eastAsia="Times New Roman"/>
          <w:noProof/>
          <w:color w:val="000000" w:themeColor="text1"/>
          <w:szCs w:val="24"/>
          <w:u w:color="000000"/>
          <w:bdr w:val="nil"/>
          <w:lang w:val="en-IE" w:eastAsia="en-GB"/>
        </w:rPr>
        <w:t>(h)</w:t>
      </w:r>
      <w:r w:rsidRPr="004C70EC">
        <w:rPr>
          <w:rFonts w:eastAsia="Times New Roman"/>
          <w:noProof/>
          <w:color w:val="000000" w:themeColor="text1"/>
          <w:szCs w:val="24"/>
          <w:u w:color="000000"/>
          <w:bdr w:val="nil"/>
          <w:lang w:val="en-IE" w:eastAsia="en-GB"/>
        </w:rPr>
        <w:tab/>
        <w:t>the possible involvement of the Authority, other Union agencies and national agencies, where relevant, provided that they have expressed interest to join the regulatory sandbox;</w:t>
      </w:r>
    </w:p>
    <w:p w14:paraId="3B47F8A5" w14:textId="77777777" w:rsidR="00E54565" w:rsidRPr="004C70EC" w:rsidRDefault="00E54565" w:rsidP="00E54565">
      <w:pPr>
        <w:pStyle w:val="Point2"/>
        <w:rPr>
          <w:rFonts w:eastAsia="Arial Unicode MS"/>
          <w:noProof/>
          <w:color w:val="000000" w:themeColor="text1"/>
          <w:szCs w:val="24"/>
          <w:bdr w:val="nil"/>
          <w:lang w:val="en-US" w:eastAsia="en-GB"/>
        </w:rPr>
      </w:pPr>
      <w:r w:rsidRPr="004C70EC">
        <w:rPr>
          <w:rFonts w:eastAsia="Times New Roman"/>
          <w:noProof/>
          <w:color w:val="000000" w:themeColor="text1"/>
          <w:szCs w:val="24"/>
          <w:bdr w:val="nil"/>
          <w:lang w:val="en-IE" w:eastAsia="en-GB"/>
        </w:rPr>
        <w:t>(i)</w:t>
      </w:r>
      <w:r w:rsidRPr="004C70EC">
        <w:rPr>
          <w:rFonts w:eastAsia="Times New Roman"/>
          <w:noProof/>
          <w:color w:val="000000" w:themeColor="text1"/>
          <w:szCs w:val="24"/>
          <w:u w:color="000000"/>
          <w:bdr w:val="nil"/>
          <w:lang w:val="en-IE" w:eastAsia="en-GB"/>
        </w:rPr>
        <w:tab/>
      </w:r>
      <w:r w:rsidRPr="004C70EC">
        <w:rPr>
          <w:rFonts w:eastAsia="Times New Roman"/>
          <w:noProof/>
          <w:color w:val="000000" w:themeColor="text1"/>
          <w:szCs w:val="24"/>
          <w:bdr w:val="nil"/>
          <w:lang w:val="en-IE" w:eastAsia="en-GB"/>
        </w:rPr>
        <w:t>t</w:t>
      </w:r>
      <w:r w:rsidRPr="004C70EC">
        <w:rPr>
          <w:rFonts w:eastAsia="Arial Unicode MS"/>
          <w:noProof/>
          <w:color w:val="000000" w:themeColor="text1"/>
          <w:szCs w:val="24"/>
          <w:bdr w:val="nil"/>
          <w:lang w:val="en-US" w:eastAsia="en-GB"/>
        </w:rPr>
        <w:t xml:space="preserve">he activities </w:t>
      </w:r>
      <w:r w:rsidRPr="004C70EC">
        <w:rPr>
          <w:rFonts w:eastAsia="Times New Roman"/>
          <w:noProof/>
          <w:color w:val="000000" w:themeColor="text1"/>
          <w:szCs w:val="24"/>
          <w:bdr w:val="nil"/>
          <w:lang w:val="en-US" w:eastAsia="en-GB"/>
        </w:rPr>
        <w:t xml:space="preserve">allowed </w:t>
      </w:r>
      <w:r w:rsidRPr="004C70EC">
        <w:rPr>
          <w:rFonts w:eastAsia="Arial Unicode MS"/>
          <w:noProof/>
          <w:color w:val="000000" w:themeColor="text1"/>
          <w:szCs w:val="24"/>
          <w:bdr w:val="nil"/>
          <w:lang w:val="en-US" w:eastAsia="en-GB"/>
        </w:rPr>
        <w:t xml:space="preserve">to be carried out </w:t>
      </w:r>
      <w:r w:rsidRPr="004C70EC">
        <w:rPr>
          <w:rFonts w:eastAsia="Times New Roman"/>
          <w:noProof/>
          <w:color w:val="000000" w:themeColor="text1"/>
          <w:szCs w:val="24"/>
          <w:bdr w:val="nil"/>
          <w:lang w:val="en-US" w:eastAsia="en-GB"/>
        </w:rPr>
        <w:t xml:space="preserve">and the </w:t>
      </w:r>
      <w:r w:rsidRPr="004C70EC">
        <w:rPr>
          <w:rFonts w:eastAsia="Arial Unicode MS"/>
          <w:noProof/>
          <w:color w:val="000000" w:themeColor="text1"/>
          <w:szCs w:val="24"/>
          <w:bdr w:val="nil"/>
          <w:lang w:val="en-US" w:eastAsia="en-GB"/>
        </w:rPr>
        <w:t>conditions and requirements that apply;</w:t>
      </w:r>
    </w:p>
    <w:p w14:paraId="531AA436" w14:textId="77777777" w:rsidR="00E54565" w:rsidRPr="004C70EC" w:rsidRDefault="00E54565" w:rsidP="00E54565">
      <w:pPr>
        <w:pStyle w:val="Point2"/>
        <w:rPr>
          <w:rFonts w:eastAsia="Arial Unicode MS"/>
          <w:noProof/>
          <w:color w:val="000000" w:themeColor="text1"/>
          <w:szCs w:val="24"/>
          <w:bdr w:val="nil"/>
          <w:lang w:val="en-US" w:eastAsia="en-GB"/>
        </w:rPr>
      </w:pPr>
      <w:r w:rsidRPr="004C70EC">
        <w:rPr>
          <w:rFonts w:eastAsia="Arial Unicode MS"/>
          <w:noProof/>
          <w:color w:val="000000" w:themeColor="text1"/>
          <w:szCs w:val="24"/>
          <w:bdr w:val="nil"/>
          <w:lang w:val="en-US" w:eastAsia="en-GB"/>
        </w:rPr>
        <w:t>(j)</w:t>
      </w:r>
      <w:r w:rsidRPr="004C70EC">
        <w:rPr>
          <w:rFonts w:eastAsia="Arial Unicode MS"/>
          <w:noProof/>
          <w:color w:val="000000" w:themeColor="text1"/>
          <w:szCs w:val="24"/>
          <w:u w:color="000000"/>
          <w:bdr w:val="nil"/>
          <w:lang w:val="en-US" w:eastAsia="en-GB"/>
        </w:rPr>
        <w:tab/>
      </w:r>
      <w:r w:rsidRPr="004C70EC">
        <w:rPr>
          <w:rFonts w:eastAsia="Arial Unicode MS"/>
          <w:noProof/>
          <w:color w:val="000000" w:themeColor="text1"/>
          <w:szCs w:val="24"/>
          <w:bdr w:val="nil"/>
          <w:lang w:val="en-US" w:eastAsia="en-GB"/>
        </w:rPr>
        <w:t xml:space="preserve">an assessment that identifies how potential risks to public health, animal health or welfare, plant health or the environment are mitigated; </w:t>
      </w:r>
    </w:p>
    <w:p w14:paraId="401A9664" w14:textId="77777777" w:rsidR="00E54565" w:rsidRPr="004C70EC" w:rsidRDefault="00E54565" w:rsidP="00E54565">
      <w:pPr>
        <w:pStyle w:val="Point2"/>
        <w:rPr>
          <w:rFonts w:eastAsia="Arial Unicode MS"/>
          <w:noProof/>
          <w:color w:val="000000" w:themeColor="text1"/>
          <w:szCs w:val="24"/>
          <w:bdr w:val="nil"/>
          <w:lang w:val="en-US" w:eastAsia="en-GB"/>
        </w:rPr>
      </w:pPr>
      <w:r w:rsidRPr="004C70EC">
        <w:rPr>
          <w:rFonts w:eastAsia="Arial Unicode MS"/>
          <w:noProof/>
          <w:color w:val="000000" w:themeColor="text1"/>
          <w:szCs w:val="24"/>
          <w:bdr w:val="nil"/>
          <w:lang w:val="en-IE" w:eastAsia="en-GB"/>
        </w:rPr>
        <w:t>(k)</w:t>
      </w:r>
      <w:r w:rsidRPr="004C70EC">
        <w:rPr>
          <w:rFonts w:eastAsia="Arial Unicode MS"/>
          <w:noProof/>
          <w:color w:val="000000" w:themeColor="text1"/>
          <w:szCs w:val="24"/>
          <w:u w:color="000000"/>
          <w:bdr w:val="nil"/>
          <w:lang w:val="en-IE" w:eastAsia="en-GB"/>
        </w:rPr>
        <w:tab/>
      </w:r>
      <w:r w:rsidRPr="004C70EC">
        <w:rPr>
          <w:rFonts w:eastAsia="Arial Unicode MS"/>
          <w:noProof/>
          <w:color w:val="000000" w:themeColor="text1"/>
          <w:szCs w:val="24"/>
          <w:bdr w:val="nil"/>
          <w:lang w:val="en-IE" w:eastAsia="en-GB"/>
        </w:rPr>
        <w:t>details on how activities will be monitored, including responsibilities of the competent authorities entrusted with the supervision of the implementation of the sandbox plan.</w:t>
      </w:r>
    </w:p>
    <w:p w14:paraId="57084DF2" w14:textId="77777777" w:rsidR="00E54565" w:rsidRPr="004C70EC" w:rsidRDefault="00E54565" w:rsidP="00E54565">
      <w:pPr>
        <w:pStyle w:val="Point1"/>
        <w:rPr>
          <w:rFonts w:eastAsia="Arial Unicode MS"/>
          <w:noProof/>
          <w:color w:val="000000" w:themeColor="text1"/>
          <w:szCs w:val="24"/>
          <w:bdr w:val="nil"/>
          <w:lang w:val="en-US" w:eastAsia="en-GB"/>
        </w:rPr>
      </w:pPr>
      <w:r w:rsidRPr="004C70EC">
        <w:rPr>
          <w:rFonts w:eastAsia="Arial Unicode MS"/>
          <w:noProof/>
          <w:color w:val="000000" w:themeColor="text1"/>
          <w:szCs w:val="24"/>
          <w:bdr w:val="nil"/>
          <w:lang w:val="en-US" w:eastAsia="en-GB"/>
        </w:rPr>
        <w:t>2.</w:t>
      </w:r>
      <w:r w:rsidRPr="004C70EC">
        <w:rPr>
          <w:rFonts w:eastAsia="Arial Unicode MS"/>
          <w:noProof/>
          <w:color w:val="000000" w:themeColor="text1"/>
          <w:szCs w:val="24"/>
          <w:u w:color="000000"/>
          <w:bdr w:val="nil"/>
          <w:lang w:val="en-US" w:eastAsia="en-GB"/>
        </w:rPr>
        <w:tab/>
      </w:r>
      <w:r w:rsidRPr="004C70EC">
        <w:rPr>
          <w:rFonts w:eastAsia="Arial Unicode MS"/>
          <w:noProof/>
          <w:color w:val="000000" w:themeColor="text1"/>
          <w:szCs w:val="24"/>
          <w:bdr w:val="nil"/>
          <w:lang w:val="en-US" w:eastAsia="en-GB"/>
        </w:rPr>
        <w:t xml:space="preserve">Where </w:t>
      </w:r>
      <w:r w:rsidRPr="004C70EC">
        <w:rPr>
          <w:rFonts w:eastAsia="Arial Unicode MS"/>
          <w:noProof/>
          <w:color w:val="000000" w:themeColor="text1"/>
          <w:szCs w:val="24"/>
          <w:lang w:val="en-US" w:eastAsia="en-GB"/>
        </w:rPr>
        <w:t xml:space="preserve">several </w:t>
      </w:r>
      <w:r w:rsidRPr="004C70EC">
        <w:rPr>
          <w:rFonts w:eastAsia="Arial Unicode MS"/>
          <w:noProof/>
          <w:color w:val="000000" w:themeColor="text1"/>
          <w:szCs w:val="24"/>
          <w:bdr w:val="nil"/>
          <w:lang w:val="en-US" w:eastAsia="en-GB"/>
        </w:rPr>
        <w:t xml:space="preserve">Member States </w:t>
      </w:r>
      <w:r w:rsidRPr="004C70EC">
        <w:rPr>
          <w:rFonts w:eastAsia="Arial Unicode MS"/>
          <w:noProof/>
          <w:color w:val="000000" w:themeColor="text1"/>
          <w:szCs w:val="24"/>
          <w:lang w:val="en-US" w:eastAsia="en-GB"/>
        </w:rPr>
        <w:t xml:space="preserve">deem it appropriate to </w:t>
      </w:r>
      <w:r w:rsidRPr="004C70EC">
        <w:rPr>
          <w:rFonts w:eastAsia="Arial Unicode MS"/>
          <w:noProof/>
          <w:color w:val="000000" w:themeColor="text1"/>
          <w:szCs w:val="24"/>
          <w:bdr w:val="nil"/>
          <w:lang w:val="en-US" w:eastAsia="en-GB"/>
        </w:rPr>
        <w:t xml:space="preserve">jointly establish regulatory sandboxes, they shall collectively communicate </w:t>
      </w:r>
      <w:r w:rsidRPr="004C70EC">
        <w:rPr>
          <w:rFonts w:eastAsia="Arial Unicode MS"/>
          <w:noProof/>
          <w:color w:val="000000" w:themeColor="text1"/>
          <w:szCs w:val="24"/>
          <w:lang w:val="en-US" w:eastAsia="en-GB"/>
        </w:rPr>
        <w:t>a</w:t>
      </w:r>
      <w:r w:rsidRPr="004C70EC">
        <w:rPr>
          <w:rFonts w:eastAsia="Arial Unicode MS"/>
          <w:noProof/>
          <w:color w:val="000000" w:themeColor="text1"/>
          <w:szCs w:val="24"/>
          <w:bdr w:val="nil"/>
          <w:lang w:val="en-US" w:eastAsia="en-GB"/>
        </w:rPr>
        <w:t xml:space="preserve"> draft regulatory sandbox plan to the Commission, the Authority and the other Member States. The regulatory sandbox plan shall specify the activities to take place in each of the participating Member States in addition to the elements </w:t>
      </w:r>
      <w:r w:rsidRPr="004C70EC">
        <w:rPr>
          <w:rFonts w:eastAsia="Arial Unicode MS"/>
          <w:noProof/>
          <w:color w:val="000000" w:themeColor="text1"/>
          <w:szCs w:val="24"/>
          <w:lang w:val="en-US" w:eastAsia="en-GB"/>
        </w:rPr>
        <w:t>listed</w:t>
      </w:r>
      <w:r w:rsidRPr="004C70EC">
        <w:rPr>
          <w:rFonts w:eastAsia="Arial Unicode MS"/>
          <w:noProof/>
          <w:color w:val="000000" w:themeColor="text1"/>
          <w:szCs w:val="24"/>
          <w:bdr w:val="nil"/>
          <w:lang w:val="en-US" w:eastAsia="en-GB"/>
        </w:rPr>
        <w:t xml:space="preserve"> in paragraph 1.</w:t>
      </w:r>
    </w:p>
    <w:p w14:paraId="74A33206" w14:textId="77777777" w:rsidR="00E54565" w:rsidRPr="004C70EC" w:rsidRDefault="00E54565" w:rsidP="00E54565">
      <w:pPr>
        <w:pStyle w:val="Point1"/>
        <w:rPr>
          <w:rFonts w:eastAsia="Arial Unicode MS"/>
          <w:noProof/>
          <w:color w:val="000000" w:themeColor="text1"/>
          <w:szCs w:val="24"/>
          <w:bdr w:val="nil"/>
          <w:lang w:val="en-US" w:eastAsia="en-GB"/>
        </w:rPr>
      </w:pPr>
      <w:r w:rsidRPr="004C70EC">
        <w:rPr>
          <w:rFonts w:eastAsia="Arial Unicode MS"/>
          <w:noProof/>
          <w:color w:val="000000" w:themeColor="text1"/>
          <w:szCs w:val="24"/>
          <w:bdr w:val="nil"/>
          <w:lang w:val="en-US" w:eastAsia="en-GB"/>
        </w:rPr>
        <w:t>3.</w:t>
      </w:r>
      <w:r w:rsidRPr="004C70EC">
        <w:rPr>
          <w:rFonts w:eastAsia="Arial Unicode MS"/>
          <w:noProof/>
          <w:color w:val="000000" w:themeColor="text1"/>
          <w:szCs w:val="24"/>
          <w:u w:color="000000"/>
          <w:bdr w:val="nil"/>
          <w:lang w:val="en-US" w:eastAsia="en-GB"/>
        </w:rPr>
        <w:tab/>
      </w:r>
      <w:r w:rsidRPr="004C70EC">
        <w:rPr>
          <w:rFonts w:eastAsia="Arial Unicode MS"/>
          <w:noProof/>
          <w:color w:val="000000" w:themeColor="text1"/>
          <w:szCs w:val="24"/>
          <w:bdr w:val="nil"/>
          <w:lang w:val="en-US" w:eastAsia="en-GB"/>
        </w:rPr>
        <w:t>Member States shall engage with relevant stakeholders during the preparation of a draft regulatory sandbox plan to gather diverse perspectives and foster collaboration.</w:t>
      </w:r>
    </w:p>
    <w:p w14:paraId="33C30CB6" w14:textId="77777777" w:rsidR="00E54565" w:rsidRPr="004C70EC" w:rsidRDefault="00E54565" w:rsidP="00E54565">
      <w:pPr>
        <w:pStyle w:val="Point1"/>
        <w:rPr>
          <w:rFonts w:eastAsia="Arial Unicode MS"/>
          <w:noProof/>
          <w:color w:val="000000" w:themeColor="text1"/>
          <w:szCs w:val="24"/>
          <w:bdr w:val="nil"/>
          <w:lang w:val="en-US" w:eastAsia="en-GB"/>
        </w:rPr>
      </w:pPr>
      <w:r w:rsidRPr="004C70EC">
        <w:rPr>
          <w:rFonts w:eastAsia="Arial Unicode MS"/>
          <w:noProof/>
          <w:color w:val="000000" w:themeColor="text1"/>
          <w:szCs w:val="24"/>
          <w:bdr w:val="nil"/>
          <w:lang w:val="en-IE" w:eastAsia="en-GB"/>
        </w:rPr>
        <w:t>4.</w:t>
      </w:r>
      <w:r w:rsidRPr="004C70EC">
        <w:rPr>
          <w:rFonts w:eastAsia="Arial Unicode MS"/>
          <w:noProof/>
          <w:color w:val="000000" w:themeColor="text1"/>
          <w:szCs w:val="24"/>
          <w:u w:color="000000"/>
          <w:bdr w:val="nil"/>
          <w:lang w:val="en-IE" w:eastAsia="en-GB"/>
        </w:rPr>
        <w:tab/>
      </w:r>
      <w:r w:rsidRPr="004C70EC">
        <w:rPr>
          <w:rFonts w:eastAsia="Arial Unicode MS"/>
          <w:noProof/>
          <w:color w:val="000000" w:themeColor="text1"/>
          <w:szCs w:val="24"/>
          <w:bdr w:val="nil"/>
          <w:lang w:val="en-IE" w:eastAsia="en-GB"/>
        </w:rPr>
        <w:t xml:space="preserve">The Member State(s) which deem it appropriate to set up a regulatory sandbox alone or jointly, shall communicate the draft regulatory sandbox plan to the Commission, the Authority and other Member States at least 60 days prior to the intended commencement of the sandbox activities. Member State(s) shall consider any feedback or recommendations from the Commission, the other Member States and the Authority before deciding whether to establish the regulatory sandbox. </w:t>
      </w:r>
    </w:p>
    <w:p w14:paraId="5CCB77C2" w14:textId="77777777" w:rsidR="00E54565" w:rsidRPr="004C70EC" w:rsidRDefault="00E54565" w:rsidP="00E54565">
      <w:pPr>
        <w:pStyle w:val="Point1"/>
        <w:rPr>
          <w:rFonts w:eastAsia="Arial Unicode MS"/>
          <w:noProof/>
          <w:color w:val="000000" w:themeColor="text1"/>
          <w:szCs w:val="24"/>
          <w:bdr w:val="nil"/>
          <w:lang w:val="en-US" w:eastAsia="en-GB"/>
        </w:rPr>
      </w:pPr>
      <w:r w:rsidRPr="004C70EC">
        <w:rPr>
          <w:rFonts w:eastAsia="Arial Unicode MS"/>
          <w:noProof/>
          <w:color w:val="000000" w:themeColor="text1"/>
          <w:szCs w:val="24"/>
          <w:bdr w:val="nil"/>
          <w:lang w:val="en-IE" w:eastAsia="en-GB"/>
        </w:rPr>
        <w:t>5.</w:t>
      </w:r>
      <w:r w:rsidRPr="004C70EC">
        <w:rPr>
          <w:rFonts w:eastAsia="Arial Unicode MS"/>
          <w:noProof/>
          <w:color w:val="000000" w:themeColor="text1"/>
          <w:szCs w:val="24"/>
          <w:u w:color="000000"/>
          <w:bdr w:val="nil"/>
          <w:lang w:val="en-IE" w:eastAsia="en-GB"/>
        </w:rPr>
        <w:tab/>
      </w:r>
      <w:r w:rsidRPr="004C70EC">
        <w:rPr>
          <w:rFonts w:eastAsia="Arial Unicode MS"/>
          <w:noProof/>
          <w:color w:val="000000" w:themeColor="text1"/>
          <w:szCs w:val="24"/>
          <w:lang w:val="en-IE" w:eastAsia="en-GB"/>
        </w:rPr>
        <w:t xml:space="preserve">Member State(s) shall communicate to the Commission, the Authority and the other Member States any subsequent draft amendment </w:t>
      </w:r>
      <w:r w:rsidRPr="004C70EC">
        <w:rPr>
          <w:rFonts w:eastAsia="Times New Roman"/>
          <w:noProof/>
          <w:color w:val="000000" w:themeColor="text1"/>
          <w:szCs w:val="24"/>
          <w:lang w:val="en-IE"/>
        </w:rPr>
        <w:t>to regulatory sandbox plans and the reasons thereof</w:t>
      </w:r>
      <w:r w:rsidRPr="004C70EC">
        <w:rPr>
          <w:rFonts w:eastAsia="Arial Unicode MS"/>
          <w:noProof/>
          <w:color w:val="000000" w:themeColor="text1"/>
          <w:szCs w:val="24"/>
          <w:lang w:val="en-IE" w:eastAsia="en-GB"/>
        </w:rPr>
        <w:t xml:space="preserve">. Paragraphs 1 to 4 shall apply </w:t>
      </w:r>
      <w:r w:rsidRPr="004C70EC">
        <w:rPr>
          <w:rFonts w:eastAsia="Arial Unicode MS"/>
          <w:i/>
          <w:noProof/>
          <w:color w:val="000000" w:themeColor="text1"/>
          <w:szCs w:val="24"/>
          <w:lang w:val="en-IE" w:eastAsia="en-GB"/>
        </w:rPr>
        <w:t>mutatis mutandis</w:t>
      </w:r>
      <w:r w:rsidRPr="004C70EC">
        <w:rPr>
          <w:rFonts w:eastAsia="Arial Unicode MS"/>
          <w:i/>
          <w:noProof/>
          <w:color w:val="000000" w:themeColor="text1"/>
          <w:szCs w:val="24"/>
          <w:bdr w:val="nil"/>
          <w:lang w:val="en-IE" w:eastAsia="en-GB"/>
        </w:rPr>
        <w:t>.</w:t>
      </w:r>
    </w:p>
    <w:p w14:paraId="04BE3EEC" w14:textId="77777777" w:rsidR="00E54565" w:rsidRPr="004C70EC" w:rsidRDefault="00E54565" w:rsidP="00E54565">
      <w:pPr>
        <w:pStyle w:val="Titrearticle"/>
        <w:rPr>
          <w:rFonts w:eastAsia="Times New Roman"/>
          <w:i w:val="0"/>
          <w:iCs/>
          <w:noProof/>
          <w:color w:val="000000" w:themeColor="text1"/>
          <w:szCs w:val="24"/>
          <w:u w:color="000000"/>
          <w:bdr w:val="nil"/>
          <w:lang w:val="en-IE" w:eastAsia="en-GB"/>
        </w:rPr>
      </w:pPr>
      <w:r w:rsidRPr="004C70EC">
        <w:rPr>
          <w:rFonts w:eastAsia="Times New Roman"/>
          <w:iCs/>
          <w:noProof/>
          <w:color w:val="000000" w:themeColor="text1"/>
          <w:szCs w:val="24"/>
          <w:u w:color="000000"/>
          <w:bdr w:val="nil"/>
          <w:lang w:val="en-IE" w:eastAsia="en-GB"/>
        </w:rPr>
        <w:t>Article 49c</w:t>
      </w:r>
    </w:p>
    <w:p w14:paraId="1180975D" w14:textId="77777777" w:rsidR="00E54565" w:rsidRPr="004C70EC" w:rsidRDefault="00E54565" w:rsidP="00E54565">
      <w:pPr>
        <w:jc w:val="center"/>
        <w:rPr>
          <w:rFonts w:eastAsia="Arial Unicode MS"/>
          <w:b/>
          <w:bCs/>
          <w:noProof/>
          <w:color w:val="000000" w:themeColor="text1"/>
          <w:szCs w:val="24"/>
          <w:u w:color="000000"/>
          <w:bdr w:val="nil"/>
          <w:lang w:val="en-IE" w:eastAsia="en-GB"/>
        </w:rPr>
      </w:pPr>
      <w:r w:rsidRPr="004C70EC">
        <w:rPr>
          <w:rFonts w:eastAsia="Arial Unicode MS"/>
          <w:b/>
          <w:bCs/>
          <w:noProof/>
          <w:color w:val="000000" w:themeColor="text1"/>
          <w:szCs w:val="24"/>
          <w:u w:color="000000"/>
          <w:bdr w:val="nil"/>
          <w:lang w:val="en-IE" w:eastAsia="en-GB"/>
        </w:rPr>
        <w:t>Other responsibilities, monitoring and reporting obligations regarding regulatory sandboxes</w:t>
      </w:r>
    </w:p>
    <w:p w14:paraId="0D3B8409"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1.</w:t>
      </w:r>
      <w:r w:rsidRPr="004C70EC">
        <w:rPr>
          <w:noProof/>
          <w:color w:val="000000" w:themeColor="text1"/>
          <w:szCs w:val="24"/>
        </w:rPr>
        <w:tab/>
      </w:r>
      <w:r w:rsidRPr="004C70EC">
        <w:rPr>
          <w:rFonts w:eastAsia="Times New Roman"/>
          <w:noProof/>
          <w:color w:val="000000" w:themeColor="text1"/>
          <w:szCs w:val="24"/>
          <w:lang w:val="en-IE" w:eastAsia="en-GB"/>
        </w:rPr>
        <w:t xml:space="preserve">Regulatory sandboxes shall not affect the enforcement and monitoring responsibilities of the competent authorities set out in Article 17 and in other sectoral legislation. </w:t>
      </w:r>
    </w:p>
    <w:p w14:paraId="3F44F80E"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2.</w:t>
      </w:r>
      <w:r w:rsidRPr="004C70EC">
        <w:rPr>
          <w:noProof/>
          <w:color w:val="000000" w:themeColor="text1"/>
          <w:szCs w:val="24"/>
        </w:rPr>
        <w:tab/>
      </w:r>
      <w:r w:rsidRPr="004C70EC">
        <w:rPr>
          <w:rFonts w:eastAsia="Times New Roman"/>
          <w:noProof/>
          <w:color w:val="000000" w:themeColor="text1"/>
          <w:szCs w:val="24"/>
          <w:lang w:val="en-IE" w:eastAsia="en-GB"/>
        </w:rPr>
        <w:t>Participants, with the exception of final consumers, in particular the operator that is the developer of the product or substance concerned, shall remain liable under applicable national legislation for any harm inflicted on third parties as a result from the testing taking place in the sandbox.</w:t>
      </w:r>
    </w:p>
    <w:p w14:paraId="53ED000F"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3.</w:t>
      </w:r>
      <w:r w:rsidRPr="004C70EC">
        <w:rPr>
          <w:noProof/>
          <w:color w:val="000000" w:themeColor="text1"/>
          <w:szCs w:val="24"/>
        </w:rPr>
        <w:tab/>
      </w:r>
      <w:r w:rsidRPr="004C70EC">
        <w:rPr>
          <w:rFonts w:eastAsia="Times New Roman"/>
          <w:noProof/>
          <w:color w:val="000000" w:themeColor="text1"/>
          <w:szCs w:val="24"/>
          <w:lang w:val="en-IE" w:eastAsia="en-GB"/>
        </w:rPr>
        <w:t>Member States shall submit annual reports to the Commission on the results from the implementation of regulatory sandboxes, including good practices developed, lessons learnt and recommendations on their setup and, where relevant, on the application of the relevant sectorial Union legislation. Those reports shall be made publicly available by the Commission.</w:t>
      </w:r>
    </w:p>
    <w:p w14:paraId="46282A86" w14:textId="77777777" w:rsidR="00F22173" w:rsidRPr="004C70EC" w:rsidRDefault="00E54565" w:rsidP="00F22173">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4.</w:t>
      </w:r>
      <w:r w:rsidRPr="004C70EC">
        <w:rPr>
          <w:noProof/>
          <w:color w:val="000000" w:themeColor="text1"/>
          <w:szCs w:val="24"/>
        </w:rPr>
        <w:tab/>
      </w:r>
      <w:r w:rsidRPr="004C70EC">
        <w:rPr>
          <w:rFonts w:eastAsia="Times New Roman"/>
          <w:noProof/>
          <w:color w:val="000000" w:themeColor="text1"/>
          <w:szCs w:val="24"/>
          <w:lang w:val="en-IE" w:eastAsia="en-GB"/>
        </w:rPr>
        <w:t>The Authority shall also ensure the necessary revisions of its guidance where relevant and appropriate on the basis of those annual reports.</w:t>
      </w:r>
    </w:p>
    <w:p w14:paraId="0DF41FD0" w14:textId="77777777" w:rsidR="00F22173" w:rsidRPr="004C70EC" w:rsidRDefault="00F22173" w:rsidP="00F22173">
      <w:pPr>
        <w:pStyle w:val="Titrearticle"/>
        <w:rPr>
          <w:rFonts w:eastAsiaTheme="majorEastAsia"/>
          <w:i w:val="0"/>
          <w:iCs/>
          <w:noProof/>
          <w:color w:val="000000" w:themeColor="text1"/>
          <w:szCs w:val="24"/>
          <w:lang w:val="en-US" w:eastAsia="ja-JP"/>
        </w:rPr>
      </w:pPr>
      <w:r w:rsidRPr="004C70EC">
        <w:rPr>
          <w:rFonts w:eastAsiaTheme="majorEastAsia"/>
          <w:iCs/>
          <w:noProof/>
          <w:color w:val="000000" w:themeColor="text1"/>
          <w:szCs w:val="24"/>
          <w:lang w:val="en-US" w:eastAsia="ja-JP"/>
        </w:rPr>
        <w:t>Article 5</w:t>
      </w:r>
      <w:r w:rsidR="00CA35A1" w:rsidRPr="004C70EC">
        <w:rPr>
          <w:rFonts w:eastAsiaTheme="majorEastAsia"/>
          <w:iCs/>
          <w:noProof/>
          <w:color w:val="000000" w:themeColor="text1"/>
          <w:szCs w:val="24"/>
          <w:lang w:val="en-US" w:eastAsia="ja-JP"/>
        </w:rPr>
        <w:t>7</w:t>
      </w:r>
    </w:p>
    <w:p w14:paraId="69752CD3" w14:textId="77777777" w:rsidR="00F22173" w:rsidRPr="004C70EC" w:rsidRDefault="00F22173" w:rsidP="00F22173">
      <w:pPr>
        <w:keepNext/>
        <w:keepLines/>
        <w:spacing w:before="360" w:after="80" w:line="279" w:lineRule="auto"/>
        <w:jc w:val="center"/>
        <w:outlineLvl w:val="0"/>
        <w:rPr>
          <w:rFonts w:eastAsiaTheme="majorEastAsia"/>
          <w:b/>
          <w:bCs/>
          <w:noProof/>
          <w:color w:val="000000" w:themeColor="text1"/>
          <w:szCs w:val="24"/>
          <w:lang w:val="en-US"/>
        </w:rPr>
      </w:pPr>
      <w:r w:rsidRPr="004C70EC">
        <w:rPr>
          <w:rFonts w:eastAsiaTheme="majorEastAsia"/>
          <w:b/>
          <w:bCs/>
          <w:noProof/>
          <w:color w:val="000000" w:themeColor="text1"/>
          <w:szCs w:val="24"/>
          <w:lang w:val="en-US"/>
        </w:rPr>
        <w:t xml:space="preserve">Amendments to Regulation (EC) No 1394/2007 </w:t>
      </w:r>
    </w:p>
    <w:p w14:paraId="4F4598AE" w14:textId="77777777" w:rsidR="00F22173" w:rsidRPr="004C70EC" w:rsidRDefault="00F22173" w:rsidP="00F22173">
      <w:pPr>
        <w:spacing w:before="0" w:after="0"/>
        <w:textAlignment w:val="baseline"/>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Regulation (EC) No 1394/2007 is amended as follows:</w:t>
      </w:r>
    </w:p>
    <w:p w14:paraId="47F1568C" w14:textId="77777777" w:rsidR="00D61999" w:rsidRDefault="00F22173" w:rsidP="00F83739">
      <w:pPr>
        <w:pStyle w:val="Point0"/>
        <w:numPr>
          <w:ilvl w:val="0"/>
          <w:numId w:val="51"/>
        </w:numPr>
        <w:rPr>
          <w:rFonts w:eastAsia="Times New Roman"/>
          <w:noProof/>
          <w:color w:val="000000" w:themeColor="text1"/>
          <w:szCs w:val="24"/>
          <w:lang w:val="en-IE" w:eastAsia="en-IE"/>
        </w:rPr>
      </w:pPr>
      <w:r>
        <w:rPr>
          <w:rFonts w:eastAsia="Times New Roman"/>
          <w:noProof/>
          <w:color w:val="000000" w:themeColor="text1"/>
          <w:szCs w:val="24"/>
          <w:lang w:val="en-IE" w:eastAsia="en-IE"/>
        </w:rPr>
        <w:t>Article 2 is amended as follows:</w:t>
      </w:r>
    </w:p>
    <w:p w14:paraId="5526A0D7" w14:textId="2EFE082D" w:rsidR="00714B99" w:rsidRDefault="00D61999">
      <w:pPr>
        <w:pStyle w:val="Point0"/>
        <w:numPr>
          <w:ilvl w:val="0"/>
          <w:numId w:val="54"/>
        </w:numPr>
        <w:rPr>
          <w:rFonts w:eastAsia="Times New Roman"/>
          <w:noProof/>
          <w:color w:val="000000" w:themeColor="text1"/>
          <w:szCs w:val="24"/>
          <w:lang w:val="en-IE" w:eastAsia="en-IE"/>
        </w:rPr>
      </w:pPr>
      <w:r>
        <w:rPr>
          <w:rFonts w:eastAsia="Times New Roman"/>
          <w:noProof/>
          <w:color w:val="000000" w:themeColor="text1"/>
          <w:szCs w:val="24"/>
          <w:lang w:val="en-IE" w:eastAsia="en-IE"/>
        </w:rPr>
        <w:t>in paragraph 1, the following point (e) is added:</w:t>
      </w:r>
    </w:p>
    <w:p w14:paraId="0D202B06" w14:textId="5B67532F" w:rsidR="00714B99" w:rsidRPr="00714B99" w:rsidRDefault="00714B99">
      <w:pPr>
        <w:pStyle w:val="Point0"/>
        <w:ind w:hanging="490"/>
        <w:rPr>
          <w:rFonts w:eastAsia="Times New Roman"/>
          <w:noProof/>
          <w:color w:val="000000" w:themeColor="text1"/>
          <w:szCs w:val="24"/>
          <w:lang w:val="en-IE" w:eastAsia="en-IE"/>
        </w:rPr>
      </w:pPr>
      <w:r>
        <w:rPr>
          <w:rFonts w:eastAsia="Times New Roman"/>
          <w:noProof/>
          <w:color w:val="000000" w:themeColor="text1"/>
          <w:szCs w:val="24"/>
          <w:lang w:val="en-IE" w:eastAsia="en-IE"/>
        </w:rPr>
        <w:t xml:space="preserve">‘(e) </w:t>
      </w:r>
      <w:r>
        <w:rPr>
          <w:rFonts w:eastAsia="Times New Roman"/>
          <w:noProof/>
          <w:color w:val="000000" w:themeColor="text1"/>
          <w:szCs w:val="24"/>
          <w:lang w:val="en-IE" w:eastAsia="en-IE"/>
        </w:rPr>
        <w:tab/>
        <w:t>‘viral vector’ means a genetically modified virus that is used to deliver genetic material into cells.’</w:t>
      </w:r>
    </w:p>
    <w:p w14:paraId="3BFF38FB" w14:textId="29C2C8AF" w:rsidR="00F22173" w:rsidRPr="004C70EC" w:rsidRDefault="005B0145">
      <w:pPr>
        <w:pStyle w:val="Point0"/>
        <w:ind w:hanging="130"/>
        <w:rPr>
          <w:rFonts w:eastAsia="Times New Roman"/>
          <w:noProof/>
          <w:color w:val="000000" w:themeColor="text1"/>
          <w:szCs w:val="24"/>
          <w:lang w:val="en-IE" w:eastAsia="en-IE"/>
        </w:rPr>
      </w:pPr>
      <w:r>
        <w:rPr>
          <w:rFonts w:ascii="Aptos Narrow" w:eastAsia="Times New Roman" w:hAnsi="Aptos Narrow"/>
          <w:noProof/>
          <w:color w:val="000000" w:themeColor="text1"/>
          <w:szCs w:val="24"/>
          <w:lang w:val="en-IE" w:eastAsia="en-IE"/>
        </w:rPr>
        <w:softHyphen/>
      </w:r>
      <w:r>
        <w:rPr>
          <w:rFonts w:ascii="Aptos Narrow" w:eastAsia="Times New Roman" w:hAnsi="Aptos Narrow"/>
          <w:noProof/>
          <w:color w:val="000000" w:themeColor="text1"/>
          <w:szCs w:val="24"/>
          <w:lang w:val="en-IE" w:eastAsia="en-IE"/>
        </w:rPr>
        <w:softHyphen/>
      </w:r>
      <w:r>
        <w:rPr>
          <w:rFonts w:ascii="Aptos Narrow" w:eastAsia="Times New Roman" w:hAnsi="Aptos Narrow"/>
          <w:noProof/>
          <w:color w:val="000000" w:themeColor="text1"/>
          <w:szCs w:val="24"/>
          <w:lang w:val="en-IE" w:eastAsia="en-IE"/>
        </w:rPr>
        <w:softHyphen/>
      </w:r>
      <w:r>
        <w:rPr>
          <w:rFonts w:ascii="Aptos Narrow" w:eastAsia="Times New Roman" w:hAnsi="Aptos Narrow"/>
          <w:noProof/>
          <w:color w:val="000000" w:themeColor="text1"/>
          <w:szCs w:val="24"/>
          <w:lang w:val="en-IE" w:eastAsia="en-IE"/>
        </w:rPr>
        <w:softHyphen/>
      </w:r>
      <w:r>
        <w:rPr>
          <w:rFonts w:ascii="Aptos Narrow" w:eastAsia="Times New Roman" w:hAnsi="Aptos Narrow"/>
          <w:noProof/>
          <w:color w:val="000000" w:themeColor="text1"/>
          <w:szCs w:val="24"/>
          <w:lang w:val="en-IE" w:eastAsia="en-IE"/>
        </w:rPr>
        <w:softHyphen/>
      </w:r>
      <w:r>
        <w:rPr>
          <w:rFonts w:ascii="Aptos Narrow" w:eastAsia="Times New Roman" w:hAnsi="Aptos Narrow"/>
          <w:noProof/>
          <w:color w:val="000000" w:themeColor="text1"/>
          <w:szCs w:val="24"/>
          <w:lang w:val="en-IE" w:eastAsia="en-IE"/>
        </w:rPr>
        <w:softHyphen/>
      </w:r>
      <w:r>
        <w:rPr>
          <w:rFonts w:ascii="Aptos Narrow" w:eastAsia="Times New Roman" w:hAnsi="Aptos Narrow"/>
          <w:noProof/>
          <w:color w:val="000000" w:themeColor="text1"/>
          <w:szCs w:val="24"/>
          <w:lang w:val="en-IE" w:eastAsia="en-IE"/>
        </w:rPr>
        <w:softHyphen/>
      </w:r>
      <w:r>
        <w:rPr>
          <w:rFonts w:ascii="Aptos Narrow" w:eastAsia="Times New Roman" w:hAnsi="Aptos Narrow"/>
          <w:noProof/>
          <w:color w:val="000000" w:themeColor="text1"/>
          <w:szCs w:val="24"/>
          <w:lang w:val="en-IE" w:eastAsia="en-IE"/>
        </w:rPr>
        <w:softHyphen/>
      </w:r>
      <w:r>
        <w:rPr>
          <w:rFonts w:ascii="Aptos Narrow" w:eastAsia="Times New Roman" w:hAnsi="Aptos Narrow"/>
          <w:noProof/>
          <w:color w:val="000000" w:themeColor="text1"/>
          <w:szCs w:val="24"/>
          <w:lang w:val="en-IE" w:eastAsia="en-IE"/>
        </w:rPr>
        <w:softHyphen/>
      </w:r>
      <w:r>
        <w:rPr>
          <w:rFonts w:ascii="Aptos Narrow" w:eastAsia="Times New Roman" w:hAnsi="Aptos Narrow"/>
          <w:noProof/>
          <w:color w:val="000000" w:themeColor="text1"/>
          <w:szCs w:val="24"/>
          <w:lang w:val="en-IE" w:eastAsia="en-IE"/>
        </w:rPr>
        <w:softHyphen/>
      </w:r>
      <w:r>
        <w:rPr>
          <w:rFonts w:ascii="Aptos Narrow" w:eastAsia="Times New Roman" w:hAnsi="Aptos Narrow"/>
          <w:noProof/>
          <w:color w:val="000000" w:themeColor="text1"/>
          <w:szCs w:val="24"/>
          <w:lang w:val="en-IE" w:eastAsia="en-IE"/>
        </w:rPr>
        <w:softHyphen/>
      </w:r>
      <w:r>
        <w:rPr>
          <w:rFonts w:ascii="Aptos Narrow" w:eastAsia="Times New Roman" w:hAnsi="Aptos Narrow"/>
          <w:noProof/>
          <w:color w:val="000000" w:themeColor="text1"/>
          <w:szCs w:val="24"/>
          <w:lang w:val="en-IE" w:eastAsia="en-IE"/>
        </w:rPr>
        <w:softHyphen/>
      </w:r>
      <w:r>
        <w:rPr>
          <w:rFonts w:ascii="Aptos Narrow" w:eastAsia="Times New Roman" w:hAnsi="Aptos Narrow"/>
          <w:noProof/>
          <w:color w:val="000000" w:themeColor="text1"/>
          <w:szCs w:val="24"/>
          <w:lang w:val="en-IE" w:eastAsia="en-IE"/>
        </w:rPr>
        <w:softHyphen/>
      </w:r>
      <w:r>
        <w:rPr>
          <w:rFonts w:ascii="Aptos Narrow" w:eastAsia="Times New Roman" w:hAnsi="Aptos Narrow"/>
          <w:noProof/>
          <w:color w:val="000000" w:themeColor="text1"/>
          <w:szCs w:val="24"/>
          <w:lang w:val="en-IE" w:eastAsia="en-IE"/>
        </w:rPr>
        <w:softHyphen/>
      </w:r>
      <w:r>
        <w:rPr>
          <w:rFonts w:ascii="Aptos Narrow" w:eastAsia="Times New Roman" w:hAnsi="Aptos Narrow"/>
          <w:noProof/>
          <w:color w:val="000000" w:themeColor="text1"/>
          <w:szCs w:val="24"/>
          <w:lang w:val="en-IE" w:eastAsia="en-IE"/>
        </w:rPr>
        <w:softHyphen/>
      </w:r>
      <w:r>
        <w:rPr>
          <w:rFonts w:ascii="Aptos Narrow" w:eastAsia="Times New Roman" w:hAnsi="Aptos Narrow"/>
          <w:noProof/>
          <w:color w:val="000000" w:themeColor="text1"/>
          <w:szCs w:val="24"/>
          <w:lang w:val="en-IE" w:eastAsia="en-IE"/>
        </w:rPr>
        <w:softHyphen/>
      </w:r>
      <w:r>
        <w:rPr>
          <w:rFonts w:ascii="Aptos Narrow" w:eastAsia="Times New Roman" w:hAnsi="Aptos Narrow"/>
          <w:noProof/>
          <w:color w:val="000000" w:themeColor="text1"/>
          <w:szCs w:val="24"/>
          <w:lang w:val="en-IE" w:eastAsia="en-IE"/>
        </w:rPr>
        <w:softHyphen/>
      </w:r>
      <w:r>
        <w:rPr>
          <w:rFonts w:ascii="Aptos Narrow" w:eastAsia="Times New Roman" w:hAnsi="Aptos Narrow"/>
          <w:noProof/>
          <w:color w:val="000000" w:themeColor="text1"/>
          <w:szCs w:val="24"/>
          <w:lang w:val="en-IE" w:eastAsia="en-IE"/>
        </w:rPr>
        <w:softHyphen/>
      </w:r>
      <w:r>
        <w:rPr>
          <w:rFonts w:ascii="Aptos Narrow" w:eastAsia="Times New Roman" w:hAnsi="Aptos Narrow"/>
          <w:noProof/>
          <w:color w:val="000000" w:themeColor="text1"/>
          <w:szCs w:val="24"/>
          <w:lang w:val="en-IE" w:eastAsia="en-IE"/>
        </w:rPr>
        <w:softHyphen/>
      </w:r>
      <w:r>
        <w:rPr>
          <w:rFonts w:ascii="Aptos Narrow" w:eastAsia="Times New Roman" w:hAnsi="Aptos Narrow"/>
          <w:noProof/>
          <w:color w:val="000000" w:themeColor="text1"/>
          <w:szCs w:val="24"/>
          <w:lang w:val="en-IE" w:eastAsia="en-IE"/>
        </w:rPr>
        <w:softHyphen/>
      </w:r>
      <w:r>
        <w:rPr>
          <w:rFonts w:ascii="Aptos Narrow" w:eastAsia="Times New Roman" w:hAnsi="Aptos Narrow"/>
          <w:noProof/>
          <w:color w:val="000000" w:themeColor="text1"/>
          <w:szCs w:val="24"/>
          <w:lang w:val="en-IE" w:eastAsia="en-IE"/>
        </w:rPr>
        <w:softHyphen/>
      </w:r>
      <w:r>
        <w:rPr>
          <w:rFonts w:ascii="Aptos Narrow" w:eastAsia="Times New Roman" w:hAnsi="Aptos Narrow"/>
          <w:noProof/>
          <w:color w:val="000000" w:themeColor="text1"/>
          <w:szCs w:val="24"/>
          <w:lang w:val="en-IE" w:eastAsia="en-IE"/>
        </w:rPr>
        <w:softHyphen/>
      </w:r>
      <w:r>
        <w:rPr>
          <w:rFonts w:ascii="Aptos Narrow" w:eastAsia="Times New Roman" w:hAnsi="Aptos Narrow"/>
          <w:noProof/>
          <w:color w:val="000000" w:themeColor="text1"/>
          <w:szCs w:val="24"/>
          <w:lang w:val="en-IE" w:eastAsia="en-IE"/>
        </w:rPr>
        <w:softHyphen/>
      </w:r>
      <w:r>
        <w:rPr>
          <w:rFonts w:eastAsia="Times New Roman"/>
          <w:noProof/>
          <w:color w:val="000000" w:themeColor="text1"/>
          <w:szCs w:val="24"/>
          <w:lang w:val="en-IE" w:eastAsia="en-IE"/>
        </w:rPr>
        <w:t xml:space="preserve">(ii) the </w:t>
      </w:r>
      <w:r w:rsidR="00F22173" w:rsidRPr="004C70EC">
        <w:rPr>
          <w:rFonts w:eastAsia="Times New Roman"/>
          <w:noProof/>
          <w:color w:val="000000" w:themeColor="text1"/>
          <w:szCs w:val="24"/>
          <w:lang w:val="en-IE" w:eastAsia="en-IE"/>
        </w:rPr>
        <w:t>following paragraph 6 is added:</w:t>
      </w:r>
    </w:p>
    <w:p w14:paraId="0AD01D1B" w14:textId="7599F7C4" w:rsidR="005B0145" w:rsidRDefault="00714B99">
      <w:pPr>
        <w:pStyle w:val="Point1"/>
        <w:rPr>
          <w:rFonts w:eastAsia="Times New Roman"/>
          <w:noProof/>
          <w:color w:val="000000" w:themeColor="text1"/>
          <w:szCs w:val="24"/>
          <w:lang w:val="en-IE" w:eastAsia="en-IE"/>
        </w:rPr>
      </w:pPr>
      <w:r>
        <w:rPr>
          <w:rFonts w:eastAsia="Times New Roman"/>
          <w:noProof/>
          <w:color w:val="000000" w:themeColor="text1"/>
          <w:szCs w:val="24"/>
          <w:lang w:eastAsia="en-IE"/>
        </w:rPr>
        <w:t>‘</w:t>
      </w:r>
      <w:r w:rsidR="00F22173" w:rsidRPr="004C70EC">
        <w:rPr>
          <w:rFonts w:eastAsia="Times New Roman"/>
          <w:noProof/>
          <w:color w:val="000000" w:themeColor="text1"/>
          <w:szCs w:val="24"/>
          <w:lang w:eastAsia="en-IE"/>
        </w:rPr>
        <w:t>6.</w:t>
      </w:r>
      <w:r w:rsidR="00F22173" w:rsidRPr="004C70EC">
        <w:rPr>
          <w:rFonts w:eastAsia="Times New Roman"/>
          <w:noProof/>
          <w:color w:val="000000" w:themeColor="text1"/>
          <w:szCs w:val="24"/>
          <w:lang w:eastAsia="en-IE"/>
        </w:rPr>
        <w:tab/>
        <w:t xml:space="preserve">The Commission is empowered to adopt delegated acts in accordance with Article 25a to amend this Regulation in order to amend the definitions referred to in paragraph 1, regarding what constitutes a tissue engineered product, </w:t>
      </w:r>
      <w:r w:rsidR="00F22173" w:rsidRPr="004C70EC">
        <w:rPr>
          <w:rFonts w:eastAsia="Times New Roman"/>
          <w:noProof/>
          <w:color w:val="000000" w:themeColor="text1"/>
          <w:szCs w:val="24"/>
          <w:lang w:val="en-IE" w:eastAsia="en-IE"/>
        </w:rPr>
        <w:t xml:space="preserve">in light of technical and scientific advancements in the field of advance therapy medical products and taking into account definitions agreed at Union and international level </w:t>
      </w:r>
      <w:r w:rsidR="00F22173" w:rsidRPr="004C70EC">
        <w:rPr>
          <w:rFonts w:eastAsia="Times New Roman"/>
          <w:noProof/>
          <w:color w:val="000000" w:themeColor="text1"/>
          <w:szCs w:val="24"/>
          <w:lang w:val="en-US" w:eastAsia="en-IE"/>
        </w:rPr>
        <w:t>without extending the scope of this definition</w:t>
      </w:r>
      <w:r w:rsidR="00F22173" w:rsidRPr="004C70EC">
        <w:rPr>
          <w:rFonts w:eastAsia="Times New Roman"/>
          <w:noProof/>
          <w:color w:val="000000" w:themeColor="text1"/>
          <w:szCs w:val="24"/>
          <w:lang w:val="en-IE" w:eastAsia="en-IE"/>
        </w:rPr>
        <w:t>. The delegated acts shall be adopted after consultations with the European Medicines Agency and the SoHO Coordination Board.</w:t>
      </w:r>
      <w:r>
        <w:rPr>
          <w:rFonts w:eastAsia="Times New Roman"/>
          <w:noProof/>
          <w:color w:val="000000" w:themeColor="text1"/>
          <w:szCs w:val="24"/>
          <w:lang w:val="en-IE" w:eastAsia="en-IE"/>
        </w:rPr>
        <w:t>’;</w:t>
      </w:r>
    </w:p>
    <w:p w14:paraId="336819E0" w14:textId="77777777" w:rsidR="005B0145" w:rsidRPr="005B0145" w:rsidRDefault="005B0145" w:rsidP="005B0145">
      <w:pPr>
        <w:spacing w:before="0" w:after="200" w:line="360" w:lineRule="auto"/>
        <w:rPr>
          <w:noProof/>
          <w:kern w:val="2"/>
          <w:szCs w:val="24"/>
          <w14:ligatures w14:val="standardContextual"/>
        </w:rPr>
      </w:pPr>
      <w:r>
        <w:rPr>
          <w:noProof/>
          <w:kern w:val="2"/>
          <w:szCs w:val="24"/>
          <w14:ligatures w14:val="standardContextual"/>
        </w:rPr>
        <w:t xml:space="preserve">(2) </w:t>
      </w:r>
      <w:r>
        <w:rPr>
          <w:noProof/>
          <w:kern w:val="2"/>
          <w:szCs w:val="24"/>
          <w14:ligatures w14:val="standardContextual"/>
        </w:rPr>
        <w:tab/>
        <w:t>The following Article 4a is inserted:</w:t>
      </w:r>
    </w:p>
    <w:p w14:paraId="3BB56E28" w14:textId="77777777" w:rsidR="005B0145" w:rsidRPr="005B0145" w:rsidRDefault="005B0145" w:rsidP="005B0145">
      <w:pPr>
        <w:spacing w:before="0" w:after="200" w:line="360" w:lineRule="auto"/>
        <w:jc w:val="center"/>
        <w:rPr>
          <w:noProof/>
          <w:kern w:val="2"/>
          <w:szCs w:val="24"/>
          <w:lang w:val="en-IE"/>
          <w14:ligatures w14:val="standardContextual"/>
        </w:rPr>
      </w:pPr>
      <w:r>
        <w:rPr>
          <w:noProof/>
          <w:kern w:val="2"/>
          <w:szCs w:val="24"/>
          <w:lang w:val="en-IE"/>
          <w14:ligatures w14:val="standardContextual"/>
        </w:rPr>
        <w:t>‘</w:t>
      </w:r>
      <w:r>
        <w:rPr>
          <w:i/>
          <w:iCs/>
          <w:noProof/>
          <w:kern w:val="2"/>
          <w:szCs w:val="24"/>
          <w:lang w:val="en-IE"/>
          <w14:ligatures w14:val="standardContextual"/>
        </w:rPr>
        <w:t>Article 4a</w:t>
      </w:r>
    </w:p>
    <w:p w14:paraId="3A4FCED2" w14:textId="1D257BA9" w:rsidR="005B0145" w:rsidRPr="005B0145" w:rsidRDefault="000A676A" w:rsidP="005B0145">
      <w:pPr>
        <w:spacing w:before="0" w:after="200" w:line="360" w:lineRule="auto"/>
        <w:jc w:val="center"/>
        <w:rPr>
          <w:b/>
          <w:noProof/>
          <w:kern w:val="2"/>
          <w:szCs w:val="24"/>
          <w:lang w:val="en-IE"/>
          <w14:ligatures w14:val="standardContextual"/>
        </w:rPr>
      </w:pPr>
      <w:r>
        <w:rPr>
          <w:b/>
          <w:bCs/>
          <w:noProof/>
          <w:kern w:val="2"/>
          <w:szCs w:val="24"/>
          <w:lang w:val="en-IE"/>
          <w14:ligatures w14:val="standardContextual"/>
        </w:rPr>
        <w:t>Advanced therapy investigational medicinal p</w:t>
      </w:r>
      <w:r>
        <w:rPr>
          <w:b/>
          <w:noProof/>
          <w:kern w:val="2"/>
          <w:szCs w:val="24"/>
          <w:lang w:val="en-IE"/>
          <w14:ligatures w14:val="standardContextual"/>
        </w:rPr>
        <w:t xml:space="preserve">roducts containing or consisting </w:t>
      </w:r>
      <w:r>
        <w:rPr>
          <w:b/>
          <w:bCs/>
          <w:noProof/>
          <w:kern w:val="2"/>
          <w:szCs w:val="24"/>
          <w:lang w:val="en-IE"/>
          <w14:ligatures w14:val="standardContextual"/>
        </w:rPr>
        <w:t xml:space="preserve">of </w:t>
      </w:r>
      <w:r>
        <w:rPr>
          <w:b/>
          <w:noProof/>
          <w:kern w:val="2"/>
          <w:szCs w:val="24"/>
          <w:lang w:val="en-IE"/>
          <w14:ligatures w14:val="standardContextual"/>
        </w:rPr>
        <w:t>genetically modified organisms</w:t>
      </w:r>
      <w:r>
        <w:rPr>
          <w:b/>
          <w:bCs/>
          <w:noProof/>
          <w:kern w:val="2"/>
          <w:szCs w:val="24"/>
          <w:lang w:val="en-IE"/>
          <w14:ligatures w14:val="standardContextual"/>
        </w:rPr>
        <w:t xml:space="preserve"> presenting no or negligible risks</w:t>
      </w:r>
    </w:p>
    <w:p w14:paraId="6934CCF6" w14:textId="01B4A5E7" w:rsidR="005B0145" w:rsidRDefault="005B0145" w:rsidP="00F83739">
      <w:pPr>
        <w:numPr>
          <w:ilvl w:val="0"/>
          <w:numId w:val="53"/>
        </w:numPr>
        <w:spacing w:before="0" w:after="200" w:line="360" w:lineRule="auto"/>
        <w:contextualSpacing/>
        <w:rPr>
          <w:noProof/>
          <w:kern w:val="2"/>
          <w:szCs w:val="24"/>
          <w14:ligatures w14:val="standardContextual"/>
        </w:rPr>
      </w:pPr>
      <w:r>
        <w:rPr>
          <w:noProof/>
          <w:kern w:val="2"/>
          <w:szCs w:val="24"/>
          <w14:ligatures w14:val="standardContextual"/>
        </w:rPr>
        <w:t>By way of exemption from Article 5a of Regulation (EU) No 536/2014 [</w:t>
      </w:r>
      <w:r>
        <w:rPr>
          <w:i/>
          <w:iCs/>
          <w:noProof/>
          <w:kern w:val="2"/>
          <w:szCs w:val="24"/>
          <w14:ligatures w14:val="standardContextual"/>
        </w:rPr>
        <w:t>as added by the revised Regulation No (EC) 726/2004</w:t>
      </w:r>
      <w:r>
        <w:rPr>
          <w:noProof/>
          <w:kern w:val="2"/>
          <w:szCs w:val="24"/>
          <w14:ligatures w14:val="standardContextual"/>
        </w:rPr>
        <w:t xml:space="preserve">], sponsors of clinical trials that concern advanced therapy investigational medicinal products as defined in Article 2(7) of that Regulation, consisting or containing GMOs, are not required to submit an environmental risk assessment, if those products belong to at least one of the following categories: </w:t>
      </w:r>
    </w:p>
    <w:p w14:paraId="2EE1D620" w14:textId="77777777" w:rsidR="00D61999" w:rsidRPr="00D61999" w:rsidRDefault="00D61999">
      <w:pPr>
        <w:spacing w:before="0" w:after="200" w:line="360" w:lineRule="auto"/>
        <w:ind w:left="360"/>
        <w:contextualSpacing/>
        <w:rPr>
          <w:noProof/>
          <w:kern w:val="2"/>
          <w:szCs w:val="24"/>
          <w14:ligatures w14:val="standardContextual"/>
        </w:rPr>
      </w:pPr>
    </w:p>
    <w:p w14:paraId="7D48ADB7" w14:textId="60CA2301" w:rsidR="00D61999" w:rsidRPr="00D61999" w:rsidRDefault="005B0145">
      <w:pPr>
        <w:numPr>
          <w:ilvl w:val="1"/>
          <w:numId w:val="53"/>
        </w:numPr>
        <w:spacing w:before="0" w:after="200" w:line="360" w:lineRule="auto"/>
        <w:contextualSpacing/>
        <w:rPr>
          <w:noProof/>
          <w:kern w:val="2"/>
          <w:szCs w:val="24"/>
          <w14:ligatures w14:val="standardContextual"/>
        </w:rPr>
      </w:pPr>
      <w:r>
        <w:rPr>
          <w:noProof/>
          <w:kern w:val="2"/>
          <w:szCs w:val="24"/>
          <w14:ligatures w14:val="standardContextual"/>
        </w:rPr>
        <w:t>non-viable or replication deficient viral vector that is used to deliver a genetic sequence of human origin, and the vector does not carry an antimicrobial resistance gene;</w:t>
      </w:r>
    </w:p>
    <w:p w14:paraId="730D5CAB" w14:textId="77777777" w:rsidR="005B0145" w:rsidRPr="005B0145" w:rsidRDefault="005B0145">
      <w:pPr>
        <w:numPr>
          <w:ilvl w:val="1"/>
          <w:numId w:val="53"/>
        </w:numPr>
        <w:spacing w:before="0" w:after="200" w:line="360" w:lineRule="auto"/>
        <w:contextualSpacing/>
        <w:rPr>
          <w:noProof/>
          <w:kern w:val="2"/>
          <w:szCs w:val="24"/>
          <w14:ligatures w14:val="standardContextual"/>
        </w:rPr>
      </w:pPr>
      <w:r>
        <w:rPr>
          <w:noProof/>
          <w:kern w:val="2"/>
          <w:szCs w:val="24"/>
          <w14:ligatures w14:val="standardContextual"/>
        </w:rPr>
        <w:t>genetically modified somatic cells, that cannot secrete or produce infectious agents due to the genetic modification;</w:t>
      </w:r>
    </w:p>
    <w:p w14:paraId="62A90F9E" w14:textId="77777777" w:rsidR="005B0145" w:rsidRPr="005B0145" w:rsidRDefault="005B0145">
      <w:pPr>
        <w:numPr>
          <w:ilvl w:val="1"/>
          <w:numId w:val="53"/>
        </w:numPr>
        <w:spacing w:before="0" w:after="200" w:line="360" w:lineRule="auto"/>
        <w:contextualSpacing/>
        <w:rPr>
          <w:noProof/>
          <w:kern w:val="2"/>
          <w:szCs w:val="24"/>
          <w14:ligatures w14:val="standardContextual"/>
        </w:rPr>
      </w:pPr>
      <w:r>
        <w:rPr>
          <w:noProof/>
          <w:kern w:val="2"/>
          <w:szCs w:val="24"/>
          <w14:ligatures w14:val="standardContextual"/>
        </w:rPr>
        <w:t>genetically modified bacteria that do not carry an antimicrobial resistance gene;</w:t>
      </w:r>
    </w:p>
    <w:p w14:paraId="66013FC3" w14:textId="4CEDA6EF" w:rsidR="00D61999" w:rsidRPr="0066444B" w:rsidRDefault="005B0145">
      <w:pPr>
        <w:numPr>
          <w:ilvl w:val="1"/>
          <w:numId w:val="53"/>
        </w:numPr>
        <w:spacing w:before="0" w:after="200" w:line="360" w:lineRule="auto"/>
        <w:contextualSpacing/>
        <w:rPr>
          <w:noProof/>
          <w:kern w:val="2"/>
          <w:szCs w:val="24"/>
          <w14:ligatures w14:val="standardContextual"/>
        </w:rPr>
      </w:pPr>
      <w:r>
        <w:rPr>
          <w:noProof/>
          <w:kern w:val="2"/>
          <w:szCs w:val="24"/>
          <w14:ligatures w14:val="standardContextual"/>
        </w:rPr>
        <w:t>genetic material altered using genome editing techniques (ex vivo or in vivo), provided that it has generally negligible adverse effects on human health and the environment.</w:t>
      </w:r>
    </w:p>
    <w:p w14:paraId="5FB2941A" w14:textId="4C50CB8F" w:rsidR="005B0145" w:rsidRPr="005B0145" w:rsidRDefault="005B0145">
      <w:pPr>
        <w:numPr>
          <w:ilvl w:val="0"/>
          <w:numId w:val="53"/>
        </w:numPr>
        <w:spacing w:before="0" w:after="200" w:line="360" w:lineRule="auto"/>
        <w:contextualSpacing/>
        <w:rPr>
          <w:noProof/>
          <w:kern w:val="2"/>
          <w:szCs w:val="24"/>
          <w14:ligatures w14:val="standardContextual"/>
        </w:rPr>
      </w:pPr>
      <w:r>
        <w:rPr>
          <w:noProof/>
          <w:kern w:val="2"/>
          <w:szCs w:val="24"/>
          <w14:ligatures w14:val="standardContextual"/>
        </w:rPr>
        <w:t>The exemption provided for in paragraph 1 of this Article is subject to the sponsor submitting, through the EU Portal and as part of the clinical trial application dossier, a reasoned</w:t>
      </w:r>
      <w:r>
        <w:rPr>
          <w:strike/>
          <w:noProof/>
          <w:kern w:val="2"/>
          <w:szCs w:val="24"/>
          <w14:ligatures w14:val="standardContextual"/>
        </w:rPr>
        <w:t xml:space="preserve"> </w:t>
      </w:r>
      <w:r>
        <w:rPr>
          <w:noProof/>
          <w:kern w:val="2"/>
          <w:szCs w:val="24"/>
          <w14:ligatures w14:val="standardContextual"/>
        </w:rPr>
        <w:t xml:space="preserve">declaration confirming that the advanced investigational therapy medicinal product concerned falls into one or more of the categories referred to in points (a) to (d) of paragraph 1, of this Article. The Committee for Medicinal Products for Human Use (CHMP) referred to in Article [148] of Regulation […] [revised Regulation No (EC) 726/2004] shall verify this declaration and the reasons provided, and the CHMP may, to this end, access the information on the clinical trial application in the EU portal.  The CHMP shall communicate its opinion on the declaration to the sponsor and to the reporting Member State within 21 days after the submission date referred to in Article 5(1) of Regulation (EU) No 536/2014 [as revised by European Biotech Act].  </w:t>
      </w:r>
    </w:p>
    <w:p w14:paraId="60E88408" w14:textId="77777777" w:rsidR="005B0145" w:rsidRPr="005B0145" w:rsidRDefault="005B0145">
      <w:pPr>
        <w:numPr>
          <w:ilvl w:val="0"/>
          <w:numId w:val="53"/>
        </w:numPr>
        <w:spacing w:before="0" w:after="200" w:line="360" w:lineRule="auto"/>
        <w:contextualSpacing/>
        <w:rPr>
          <w:noProof/>
          <w:kern w:val="2"/>
          <w:szCs w:val="24"/>
          <w14:ligatures w14:val="standardContextual"/>
        </w:rPr>
      </w:pPr>
      <w:r>
        <w:rPr>
          <w:noProof/>
          <w:kern w:val="2"/>
          <w:szCs w:val="24"/>
          <w14:ligatures w14:val="standardContextual"/>
        </w:rPr>
        <w:t xml:space="preserve">The reporting Member State, giving due consideration to the opinion of the CHMP, shall assess if the conditions of paragraph 1 of this Article apply or if the sponsor is to be requested to submit an environmental risk assessment pursuant to Article 5a of Regulation (EU) No 536/2014 [as introduced by the revised Regulation No (EC) 726/2004]. </w:t>
      </w:r>
    </w:p>
    <w:p w14:paraId="531E17E6" w14:textId="508E58B5" w:rsidR="005B0145" w:rsidRPr="005B0145" w:rsidRDefault="005B0145">
      <w:pPr>
        <w:numPr>
          <w:ilvl w:val="0"/>
          <w:numId w:val="53"/>
        </w:numPr>
        <w:spacing w:before="0" w:after="200" w:line="360" w:lineRule="auto"/>
        <w:contextualSpacing/>
        <w:rPr>
          <w:noProof/>
          <w:kern w:val="2"/>
          <w:szCs w:val="24"/>
          <w14:ligatures w14:val="standardContextual"/>
        </w:rPr>
      </w:pPr>
      <w:bookmarkStart w:id="30" w:name="_Hlk216614626"/>
      <w:r>
        <w:rPr>
          <w:noProof/>
          <w:kern w:val="2"/>
          <w:szCs w:val="24"/>
          <w14:ligatures w14:val="standardContextual"/>
        </w:rPr>
        <w:t xml:space="preserve">Sponsors of clinical trials concerning advanced investigational therapy medicinal products that fall under paragraph 1 of this Article are also exempted from complying with the GMO related requirements of Article 61(2), point (a), of Regulation (EU) No 536/2014 [as introduced by the revised Regulation No (EC) 726/2004] regarding the authorisation of manufacturing and import of advanced investigational therapy medicinal products. </w:t>
      </w:r>
    </w:p>
    <w:bookmarkEnd w:id="30"/>
    <w:p w14:paraId="6354574F" w14:textId="1AF1833C" w:rsidR="005B0145" w:rsidRDefault="005B0145">
      <w:pPr>
        <w:numPr>
          <w:ilvl w:val="0"/>
          <w:numId w:val="53"/>
        </w:numPr>
        <w:spacing w:before="0" w:after="200" w:line="360" w:lineRule="auto"/>
        <w:contextualSpacing/>
        <w:rPr>
          <w:noProof/>
          <w:kern w:val="2"/>
          <w:szCs w:val="24"/>
          <w14:ligatures w14:val="standardContextual"/>
        </w:rPr>
      </w:pPr>
      <w:r>
        <w:rPr>
          <w:noProof/>
          <w:kern w:val="2"/>
          <w:szCs w:val="24"/>
          <w14:ligatures w14:val="standardContextual"/>
        </w:rPr>
        <w:t>The exemptions provided for in this Article shall apply only for the duration of the clinical trial, limited to the activities within the clinical trial.’;</w:t>
      </w:r>
    </w:p>
    <w:p w14:paraId="72185365" w14:textId="77777777" w:rsidR="005B0145" w:rsidRPr="004C70EC" w:rsidRDefault="005B0145">
      <w:pPr>
        <w:pStyle w:val="Point1"/>
        <w:ind w:left="0" w:firstLine="0"/>
        <w:rPr>
          <w:rFonts w:eastAsia="Times New Roman"/>
          <w:noProof/>
          <w:color w:val="000000" w:themeColor="text1"/>
          <w:szCs w:val="24"/>
          <w:lang w:val="en-IE" w:eastAsia="en-IE"/>
        </w:rPr>
      </w:pPr>
    </w:p>
    <w:p w14:paraId="4A6043FF" w14:textId="3FC5EF51" w:rsidR="00F22173" w:rsidRPr="004C70EC" w:rsidRDefault="00F22173" w:rsidP="00F22173">
      <w:pPr>
        <w:pStyle w:val="Point0"/>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w:t>
      </w:r>
      <w:r>
        <w:rPr>
          <w:rFonts w:eastAsia="Times New Roman"/>
          <w:noProof/>
          <w:color w:val="000000" w:themeColor="text1"/>
          <w:szCs w:val="24"/>
          <w:lang w:val="en-IE" w:eastAsia="en-IE"/>
        </w:rPr>
        <w:t>3</w:t>
      </w:r>
      <w:r w:rsidRPr="004C70EC">
        <w:rPr>
          <w:rFonts w:eastAsia="Times New Roman"/>
          <w:noProof/>
          <w:color w:val="000000" w:themeColor="text1"/>
          <w:szCs w:val="24"/>
          <w:lang w:val="en-IE" w:eastAsia="en-IE"/>
        </w:rPr>
        <w:t>)</w:t>
      </w:r>
      <w:r w:rsidRPr="004C70EC">
        <w:rPr>
          <w:rFonts w:eastAsia="Times New Roman"/>
          <w:noProof/>
          <w:color w:val="000000" w:themeColor="text1"/>
          <w:szCs w:val="24"/>
          <w:lang w:val="en-IE" w:eastAsia="en-IE"/>
        </w:rPr>
        <w:tab/>
        <w:t xml:space="preserve">Article 25a is replaced by the following: </w:t>
      </w:r>
    </w:p>
    <w:p w14:paraId="6A1D72CA" w14:textId="77777777" w:rsidR="00F22173" w:rsidRPr="004C70EC" w:rsidRDefault="00F22173" w:rsidP="00F22173">
      <w:pPr>
        <w:pStyle w:val="Titrearticle"/>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w:t>
      </w:r>
      <w:r w:rsidRPr="004C70EC">
        <w:rPr>
          <w:rFonts w:eastAsia="Times New Roman"/>
          <w:iCs/>
          <w:noProof/>
          <w:color w:val="000000" w:themeColor="text1"/>
          <w:szCs w:val="24"/>
          <w:lang w:val="en-IE" w:eastAsia="en-IE"/>
        </w:rPr>
        <w:t>Article 25a</w:t>
      </w:r>
    </w:p>
    <w:p w14:paraId="06C99178" w14:textId="77777777" w:rsidR="00F22173" w:rsidRPr="004C70EC" w:rsidRDefault="00F22173" w:rsidP="00F22173">
      <w:pPr>
        <w:jc w:val="center"/>
        <w:rPr>
          <w:rFonts w:eastAsiaTheme="majorEastAsia"/>
          <w:b/>
          <w:bCs/>
          <w:noProof/>
          <w:color w:val="000000" w:themeColor="text1"/>
          <w:kern w:val="2"/>
          <w:szCs w:val="24"/>
          <w:lang w:val="en-US"/>
          <w14:ligatures w14:val="standardContextual"/>
        </w:rPr>
      </w:pPr>
      <w:r w:rsidRPr="004C70EC">
        <w:rPr>
          <w:rFonts w:eastAsiaTheme="majorEastAsia"/>
          <w:b/>
          <w:bCs/>
          <w:noProof/>
          <w:color w:val="000000" w:themeColor="text1"/>
          <w:kern w:val="2"/>
          <w:szCs w:val="24"/>
          <w:lang w:val="en-US"/>
          <w14:ligatures w14:val="standardContextual"/>
        </w:rPr>
        <w:t>Exercise of the delegation</w:t>
      </w:r>
    </w:p>
    <w:p w14:paraId="7DDE5326" w14:textId="77777777" w:rsidR="00F22173" w:rsidRPr="004C70EC" w:rsidRDefault="00F22173" w:rsidP="00F22173">
      <w:pPr>
        <w:pStyle w:val="Point1"/>
        <w:rPr>
          <w:noProof/>
          <w:color w:val="000000" w:themeColor="text1"/>
          <w:szCs w:val="24"/>
          <w:lang w:val="en-IE" w:eastAsia="en-IE"/>
        </w:rPr>
      </w:pPr>
      <w:r w:rsidRPr="004C70EC">
        <w:rPr>
          <w:noProof/>
          <w:color w:val="000000" w:themeColor="text1"/>
          <w:szCs w:val="24"/>
          <w:lang w:val="en-IE" w:eastAsia="en-IE"/>
        </w:rPr>
        <w:t>1.</w:t>
      </w:r>
      <w:r w:rsidRPr="004C70EC">
        <w:rPr>
          <w:noProof/>
          <w:color w:val="000000" w:themeColor="text1"/>
          <w:szCs w:val="24"/>
          <w:lang w:val="en-IE" w:eastAsia="en-IE"/>
        </w:rPr>
        <w:tab/>
        <w:t>The power to adopt delegated acts is conferred on the Commission subject to the conditions laid down in this Article.</w:t>
      </w:r>
    </w:p>
    <w:p w14:paraId="5528DF9A" w14:textId="77777777" w:rsidR="00F22173" w:rsidRPr="004C70EC" w:rsidRDefault="00F22173" w:rsidP="00F22173">
      <w:pPr>
        <w:pStyle w:val="Point1"/>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w:t>
      </w:r>
      <w:r w:rsidRPr="004C70EC">
        <w:rPr>
          <w:rFonts w:eastAsia="Times New Roman"/>
          <w:noProof/>
          <w:color w:val="000000" w:themeColor="text1"/>
          <w:szCs w:val="24"/>
          <w:lang w:val="en-IE" w:eastAsia="en-IE"/>
        </w:rPr>
        <w:tab/>
        <w:t>The power to adopt delegated referred to in Article 2, paragraph 6, and in Article 24 shall be conferred on the Commission for a period of five years from [</w:t>
      </w:r>
      <w:r w:rsidRPr="004C70EC">
        <w:rPr>
          <w:rFonts w:eastAsia="Times New Roman"/>
          <w:i/>
          <w:noProof/>
          <w:color w:val="000000" w:themeColor="text1"/>
          <w:szCs w:val="24"/>
          <w:lang w:val="en-IE" w:eastAsia="en-IE"/>
        </w:rPr>
        <w:t>insert date xx, from the entry into force of this Regulation]</w:t>
      </w:r>
      <w:r w:rsidRPr="004C70EC">
        <w:rPr>
          <w:rFonts w:eastAsia="Times New Roman"/>
          <w:noProof/>
          <w:color w:val="000000" w:themeColor="text1"/>
          <w:szCs w:val="24"/>
          <w:lang w:val="en-IE" w:eastAsia="en-IE"/>
        </w:rPr>
        <w:t xml:space="preserve">. </w:t>
      </w:r>
    </w:p>
    <w:p w14:paraId="1C16E818" w14:textId="77777777" w:rsidR="00F22173" w:rsidRPr="004C70EC" w:rsidRDefault="00F22173" w:rsidP="00F22173">
      <w:pPr>
        <w:pStyle w:val="Text2"/>
        <w:rPr>
          <w:noProof/>
          <w:color w:val="000000" w:themeColor="text1"/>
          <w:szCs w:val="24"/>
          <w:lang w:val="en-IE" w:eastAsia="en-IE"/>
        </w:rPr>
      </w:pPr>
      <w:r w:rsidRPr="004C70EC">
        <w:rPr>
          <w:noProof/>
          <w:color w:val="000000" w:themeColor="text1"/>
          <w:szCs w:val="24"/>
          <w:lang w:val="en-IE" w:eastAsia="en-IE"/>
        </w:rPr>
        <w:t>The Commission shall draw up a report in respect of the delegation of power not later than nine months before the end of the five-year period. The delegation of power shall be tacitly extended for periods of an identical duration, unless the European Parliament or the Council opposes such extension not later than three months before the end of each period.</w:t>
      </w:r>
    </w:p>
    <w:p w14:paraId="35D2AFB2" w14:textId="77777777" w:rsidR="00F22173" w:rsidRPr="004C70EC" w:rsidRDefault="00F22173" w:rsidP="00F22173">
      <w:pPr>
        <w:pStyle w:val="Point1"/>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3.</w:t>
      </w:r>
      <w:r w:rsidRPr="004C70EC">
        <w:rPr>
          <w:rFonts w:eastAsia="Times New Roman"/>
          <w:noProof/>
          <w:color w:val="000000" w:themeColor="text1"/>
          <w:szCs w:val="24"/>
          <w:lang w:val="en-IE" w:eastAsia="en-IE"/>
        </w:rPr>
        <w:tab/>
        <w:t>The delegation of power referred to in Article 2, paragraph 6, and in</w:t>
      </w:r>
      <w:r w:rsidRPr="004C70EC">
        <w:rPr>
          <w:rFonts w:eastAsia="Times New Roman"/>
          <w:b/>
          <w:bCs/>
          <w:noProof/>
          <w:color w:val="000000" w:themeColor="text1"/>
          <w:szCs w:val="24"/>
          <w:lang w:val="en-IE" w:eastAsia="en-IE"/>
        </w:rPr>
        <w:t xml:space="preserve"> </w:t>
      </w:r>
      <w:r w:rsidRPr="004C70EC">
        <w:rPr>
          <w:rFonts w:eastAsia="Times New Roman"/>
          <w:noProof/>
          <w:color w:val="000000" w:themeColor="text1"/>
          <w:szCs w:val="24"/>
          <w:lang w:val="en-IE" w:eastAsia="en-IE"/>
        </w:rPr>
        <w:t>Article 24 may be revoked at any time by the European Parliament or by the Council. A decision to revoke shall put an end to the delegation of the power specified in that decision. It shall take effect the day following the publication of the decision in the Official Journal of the European Union or at a later date specified therein. It shall not affect the validity of any delegated acts already in force.</w:t>
      </w:r>
    </w:p>
    <w:p w14:paraId="6EAB045F" w14:textId="77777777" w:rsidR="00F22173" w:rsidRPr="004C70EC" w:rsidRDefault="00F22173" w:rsidP="00F22173">
      <w:pPr>
        <w:pStyle w:val="Point1"/>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4.</w:t>
      </w:r>
      <w:r w:rsidRPr="004C70EC">
        <w:rPr>
          <w:rFonts w:eastAsia="Times New Roman"/>
          <w:noProof/>
          <w:color w:val="000000" w:themeColor="text1"/>
          <w:szCs w:val="24"/>
          <w:lang w:val="en-IE" w:eastAsia="en-IE"/>
        </w:rPr>
        <w:tab/>
        <w:t>Before adopting a delegated act, the Commission shall consult experts designated by each Member State in accordance with the principles laid down in the Interinstitutional Agreement of 13 April 2016 on Better Law-Making.</w:t>
      </w:r>
    </w:p>
    <w:p w14:paraId="31D3A002" w14:textId="77777777" w:rsidR="00F22173" w:rsidRPr="004C70EC" w:rsidRDefault="00F22173" w:rsidP="00F22173">
      <w:pPr>
        <w:pStyle w:val="Point1"/>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5.</w:t>
      </w:r>
      <w:r w:rsidRPr="004C70EC">
        <w:rPr>
          <w:rFonts w:eastAsia="Times New Roman"/>
          <w:noProof/>
          <w:color w:val="000000" w:themeColor="text1"/>
          <w:szCs w:val="24"/>
          <w:lang w:val="en-IE" w:eastAsia="en-IE"/>
        </w:rPr>
        <w:tab/>
        <w:t>As soon as it adopts a delegated act, the Commission shall notify it simultaneously to the European Parliament and to the Council.</w:t>
      </w:r>
    </w:p>
    <w:p w14:paraId="1EAE2AFF" w14:textId="77777777" w:rsidR="00E54565" w:rsidRPr="004C70EC" w:rsidRDefault="00F22173" w:rsidP="00686ED3">
      <w:pPr>
        <w:pStyle w:val="Point1"/>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w:t>
      </w:r>
      <w:r w:rsidRPr="004C70EC">
        <w:rPr>
          <w:rFonts w:eastAsia="Times New Roman"/>
          <w:noProof/>
          <w:color w:val="000000" w:themeColor="text1"/>
          <w:szCs w:val="24"/>
          <w:lang w:val="en-IE" w:eastAsia="en-IE"/>
        </w:rPr>
        <w:tab/>
        <w:t>A delegated act adopted pursuant to Article 2, paragraph 6, and Article 24 shall enter into force only if no objection has been expressed either by the European Parliament or by the Council within a period of two months of notification of that act to the European Parliament and the Council or if, before the expiry of that period, the European Parliament and the Council have both informed the Commission that they will not object. That period shall be extended by two months at the initiative of the European Parliament or of the Council.</w:t>
      </w:r>
    </w:p>
    <w:p w14:paraId="1AB429F1" w14:textId="77777777" w:rsidR="00273F36" w:rsidRPr="004C70EC" w:rsidRDefault="00273F36" w:rsidP="00EB6145">
      <w:pPr>
        <w:pStyle w:val="Titrearticle"/>
        <w:rPr>
          <w:rFonts w:eastAsiaTheme="majorEastAsia"/>
          <w:i w:val="0"/>
          <w:noProof/>
          <w:color w:val="000000" w:themeColor="text1"/>
          <w:szCs w:val="24"/>
          <w:lang w:eastAsia="ja-JP"/>
        </w:rPr>
      </w:pPr>
      <w:r w:rsidRPr="004C70EC">
        <w:rPr>
          <w:rFonts w:eastAsiaTheme="majorEastAsia"/>
          <w:noProof/>
          <w:color w:val="000000" w:themeColor="text1"/>
          <w:szCs w:val="24"/>
          <w:lang w:eastAsia="ja-JP"/>
        </w:rPr>
        <w:t xml:space="preserve">Article </w:t>
      </w:r>
      <w:r w:rsidR="00A01B18" w:rsidRPr="004C70EC">
        <w:rPr>
          <w:rFonts w:eastAsiaTheme="majorEastAsia"/>
          <w:noProof/>
          <w:color w:val="000000" w:themeColor="text1"/>
          <w:szCs w:val="24"/>
          <w:lang w:eastAsia="ja-JP"/>
        </w:rPr>
        <w:t>5</w:t>
      </w:r>
      <w:r w:rsidR="00686ED3" w:rsidRPr="004C70EC">
        <w:rPr>
          <w:rFonts w:eastAsiaTheme="majorEastAsia"/>
          <w:noProof/>
          <w:color w:val="000000" w:themeColor="text1"/>
          <w:szCs w:val="24"/>
          <w:lang w:eastAsia="ja-JP"/>
        </w:rPr>
        <w:t>8</w:t>
      </w:r>
    </w:p>
    <w:p w14:paraId="0CB9C9F6" w14:textId="77777777" w:rsidR="00273F36" w:rsidRPr="004C70EC" w:rsidRDefault="00273F36" w:rsidP="00273F36">
      <w:pPr>
        <w:keepNext/>
        <w:keepLines/>
        <w:spacing w:before="360" w:after="80" w:line="279" w:lineRule="auto"/>
        <w:jc w:val="center"/>
        <w:outlineLvl w:val="0"/>
        <w:rPr>
          <w:rFonts w:eastAsiaTheme="majorEastAsia"/>
          <w:b/>
          <w:noProof/>
          <w:color w:val="000000" w:themeColor="text1"/>
          <w:szCs w:val="24"/>
          <w:lang w:eastAsia="ja-JP"/>
        </w:rPr>
      </w:pPr>
      <w:r w:rsidRPr="004C70EC">
        <w:rPr>
          <w:rFonts w:eastAsiaTheme="majorEastAsia"/>
          <w:b/>
          <w:noProof/>
          <w:color w:val="000000" w:themeColor="text1"/>
          <w:szCs w:val="24"/>
          <w:lang w:eastAsia="ja-JP"/>
        </w:rPr>
        <w:t xml:space="preserve">Amendments to Regulation (EU) No 536/2014 </w:t>
      </w:r>
    </w:p>
    <w:p w14:paraId="4E8599D0" w14:textId="77777777" w:rsidR="00273F36" w:rsidRPr="004C70EC" w:rsidRDefault="00273F36" w:rsidP="00273F36">
      <w:pPr>
        <w:rPr>
          <w:noProof/>
          <w:color w:val="000000" w:themeColor="text1"/>
          <w:szCs w:val="24"/>
        </w:rPr>
      </w:pPr>
      <w:r w:rsidRPr="004C70EC">
        <w:rPr>
          <w:noProof/>
          <w:color w:val="000000" w:themeColor="text1"/>
          <w:szCs w:val="24"/>
        </w:rPr>
        <w:t>Regulation (EU) 536/2014 is amended as follows:</w:t>
      </w:r>
    </w:p>
    <w:p w14:paraId="766AAA49" w14:textId="77777777" w:rsidR="00273F36" w:rsidRPr="004C70EC" w:rsidRDefault="00EB6145" w:rsidP="00EB6145">
      <w:pPr>
        <w:pStyle w:val="Point0"/>
        <w:rPr>
          <w:noProof/>
          <w:color w:val="000000" w:themeColor="text1"/>
          <w:szCs w:val="24"/>
          <w:lang w:eastAsia="en-GB"/>
        </w:rPr>
      </w:pPr>
      <w:r w:rsidRPr="004C70EC">
        <w:rPr>
          <w:noProof/>
          <w:color w:val="000000" w:themeColor="text1"/>
          <w:szCs w:val="24"/>
          <w:lang w:eastAsia="en-GB"/>
        </w:rPr>
        <w:t>(1)</w:t>
      </w:r>
      <w:r w:rsidRPr="004C70EC">
        <w:rPr>
          <w:noProof/>
          <w:color w:val="000000" w:themeColor="text1"/>
          <w:szCs w:val="24"/>
          <w:lang w:eastAsia="en-GB"/>
        </w:rPr>
        <w:tab/>
      </w:r>
      <w:r w:rsidR="00273F36" w:rsidRPr="004C70EC">
        <w:rPr>
          <w:noProof/>
          <w:color w:val="000000" w:themeColor="text1"/>
          <w:szCs w:val="24"/>
          <w:lang w:eastAsia="en-GB"/>
        </w:rPr>
        <w:t>Article 2 is amended as follows:</w:t>
      </w:r>
    </w:p>
    <w:p w14:paraId="751397AB" w14:textId="77777777" w:rsidR="00273F36" w:rsidRPr="004C70EC" w:rsidRDefault="00600357" w:rsidP="00600357">
      <w:pPr>
        <w:pStyle w:val="Point1"/>
        <w:rPr>
          <w:noProof/>
          <w:color w:val="000000" w:themeColor="text1"/>
          <w:szCs w:val="24"/>
          <w:lang w:eastAsia="en-GB"/>
        </w:rPr>
      </w:pPr>
      <w:r w:rsidRPr="004C70EC">
        <w:rPr>
          <w:noProof/>
          <w:color w:val="000000" w:themeColor="text1"/>
          <w:szCs w:val="24"/>
          <w:lang w:eastAsia="en-GB"/>
        </w:rPr>
        <w:t>(a)</w:t>
      </w:r>
      <w:r w:rsidRPr="004C70EC">
        <w:rPr>
          <w:noProof/>
          <w:color w:val="000000" w:themeColor="text1"/>
          <w:szCs w:val="24"/>
          <w:lang w:eastAsia="en-GB"/>
        </w:rPr>
        <w:tab/>
      </w:r>
      <w:r w:rsidR="006D2827" w:rsidRPr="004C70EC">
        <w:rPr>
          <w:noProof/>
          <w:color w:val="000000" w:themeColor="text1"/>
          <w:szCs w:val="24"/>
          <w:lang w:eastAsia="en-GB"/>
        </w:rPr>
        <w:t>p</w:t>
      </w:r>
      <w:r w:rsidR="00273F36" w:rsidRPr="004C70EC">
        <w:rPr>
          <w:noProof/>
          <w:color w:val="000000" w:themeColor="text1"/>
          <w:szCs w:val="24"/>
          <w:lang w:eastAsia="en-GB"/>
        </w:rPr>
        <w:t xml:space="preserve">oint </w:t>
      </w:r>
      <w:r w:rsidR="006D2827" w:rsidRPr="004C70EC">
        <w:rPr>
          <w:noProof/>
          <w:color w:val="000000" w:themeColor="text1"/>
          <w:szCs w:val="24"/>
          <w:lang w:eastAsia="en-GB"/>
        </w:rPr>
        <w:t>(</w:t>
      </w:r>
      <w:r w:rsidR="00273F36" w:rsidRPr="004C70EC">
        <w:rPr>
          <w:noProof/>
          <w:color w:val="000000" w:themeColor="text1"/>
          <w:szCs w:val="24"/>
          <w:lang w:eastAsia="en-GB"/>
        </w:rPr>
        <w:t>3</w:t>
      </w:r>
      <w:r w:rsidR="00105D71" w:rsidRPr="004C70EC">
        <w:rPr>
          <w:noProof/>
          <w:color w:val="000000" w:themeColor="text1"/>
          <w:szCs w:val="24"/>
          <w:lang w:eastAsia="en-GB"/>
        </w:rPr>
        <w:t>)</w:t>
      </w:r>
      <w:r w:rsidR="00273F36" w:rsidRPr="004C70EC">
        <w:rPr>
          <w:noProof/>
          <w:color w:val="000000" w:themeColor="text1"/>
          <w:szCs w:val="24"/>
          <w:lang w:eastAsia="en-GB"/>
        </w:rPr>
        <w:t xml:space="preserve"> is replaced by the following:</w:t>
      </w:r>
    </w:p>
    <w:p w14:paraId="0BAE83B8" w14:textId="77777777" w:rsidR="00273F36" w:rsidRPr="004C70EC" w:rsidRDefault="003A213C" w:rsidP="00600357">
      <w:pPr>
        <w:pStyle w:val="Point2"/>
        <w:rPr>
          <w:noProof/>
          <w:color w:val="000000" w:themeColor="text1"/>
          <w:szCs w:val="24"/>
          <w:lang w:eastAsia="en-GB"/>
        </w:rPr>
      </w:pPr>
      <w:r w:rsidRPr="004C70EC">
        <w:rPr>
          <w:noProof/>
          <w:color w:val="000000" w:themeColor="text1"/>
          <w:szCs w:val="24"/>
          <w:lang w:eastAsia="en-GB"/>
        </w:rPr>
        <w:t>‘</w:t>
      </w:r>
      <w:r w:rsidR="00273F36" w:rsidRPr="004C70EC">
        <w:rPr>
          <w:noProof/>
          <w:color w:val="000000" w:themeColor="text1"/>
          <w:szCs w:val="24"/>
          <w:lang w:eastAsia="en-GB"/>
        </w:rPr>
        <w:t>(3)</w:t>
      </w:r>
      <w:r w:rsidR="00600357" w:rsidRPr="004C70EC">
        <w:rPr>
          <w:noProof/>
          <w:color w:val="000000" w:themeColor="text1"/>
          <w:szCs w:val="24"/>
          <w:lang w:eastAsia="en-GB"/>
        </w:rPr>
        <w:tab/>
      </w:r>
      <w:r w:rsidR="00273F36" w:rsidRPr="004C70EC">
        <w:rPr>
          <w:noProof/>
          <w:color w:val="000000" w:themeColor="text1"/>
          <w:szCs w:val="24"/>
          <w:lang w:eastAsia="en-GB"/>
        </w:rPr>
        <w:t>‘Low-intervention clinical trial’ means a clinical trial which fulfils all of the following conditions:</w:t>
      </w:r>
    </w:p>
    <w:p w14:paraId="40FFE26A" w14:textId="77777777" w:rsidR="00273F36" w:rsidRPr="004C70EC" w:rsidRDefault="00600357" w:rsidP="00600357">
      <w:pPr>
        <w:pStyle w:val="Point3"/>
        <w:rPr>
          <w:noProof/>
          <w:color w:val="000000" w:themeColor="text1"/>
          <w:szCs w:val="24"/>
          <w:lang w:eastAsia="en-GB"/>
        </w:rPr>
      </w:pPr>
      <w:r w:rsidRPr="004C70EC">
        <w:rPr>
          <w:noProof/>
          <w:color w:val="000000" w:themeColor="text1"/>
          <w:szCs w:val="24"/>
          <w:lang w:eastAsia="en-GB"/>
        </w:rPr>
        <w:t>(a)</w:t>
      </w:r>
      <w:r w:rsidRPr="004C70EC">
        <w:rPr>
          <w:noProof/>
          <w:color w:val="000000" w:themeColor="text1"/>
          <w:szCs w:val="24"/>
          <w:lang w:eastAsia="en-GB"/>
        </w:rPr>
        <w:tab/>
      </w:r>
      <w:r w:rsidR="00273F36" w:rsidRPr="004C70EC">
        <w:rPr>
          <w:noProof/>
          <w:color w:val="000000" w:themeColor="text1"/>
          <w:szCs w:val="24"/>
          <w:lang w:eastAsia="en-GB"/>
        </w:rPr>
        <w:t>the investigational medicinal products, excluding placebos, are authorised;</w:t>
      </w:r>
    </w:p>
    <w:p w14:paraId="339DDBAB" w14:textId="77777777" w:rsidR="00273F36" w:rsidRPr="004C70EC" w:rsidRDefault="00600357" w:rsidP="00600357">
      <w:pPr>
        <w:pStyle w:val="Point3"/>
        <w:rPr>
          <w:rFonts w:eastAsia="Times New Roman"/>
          <w:noProof/>
          <w:color w:val="000000" w:themeColor="text1"/>
          <w:szCs w:val="24"/>
          <w:lang w:eastAsia="en-GB"/>
        </w:rPr>
      </w:pPr>
      <w:r w:rsidRPr="004C70EC">
        <w:rPr>
          <w:rFonts w:eastAsia="Times New Roman"/>
          <w:noProof/>
          <w:color w:val="000000" w:themeColor="text1"/>
          <w:szCs w:val="24"/>
          <w:lang w:eastAsia="en-GB"/>
        </w:rPr>
        <w:t>(b)</w:t>
      </w:r>
      <w:r w:rsidRPr="004C70EC">
        <w:rPr>
          <w:rFonts w:eastAsia="Times New Roman"/>
          <w:noProof/>
          <w:color w:val="000000" w:themeColor="text1"/>
          <w:szCs w:val="24"/>
          <w:lang w:eastAsia="en-GB"/>
        </w:rPr>
        <w:tab/>
      </w:r>
      <w:r w:rsidR="00273F36" w:rsidRPr="004C70EC">
        <w:rPr>
          <w:rFonts w:eastAsia="Times New Roman"/>
          <w:noProof/>
          <w:color w:val="000000" w:themeColor="text1"/>
          <w:szCs w:val="24"/>
          <w:lang w:eastAsia="en-GB"/>
        </w:rPr>
        <w:t>according to the protocol of the clinical trial, the use of the investigational medicinal product is evidence-based and supported by published scientific evidence on the safety and efficacy of those investigational medicinal products concerned; and</w:t>
      </w:r>
    </w:p>
    <w:p w14:paraId="4A00FCD2" w14:textId="77777777" w:rsidR="00273F36" w:rsidRPr="004C70EC" w:rsidRDefault="00600357" w:rsidP="00600357">
      <w:pPr>
        <w:pStyle w:val="Point3"/>
        <w:rPr>
          <w:rFonts w:eastAsia="Times New Roman"/>
          <w:noProof/>
          <w:color w:val="000000" w:themeColor="text1"/>
          <w:szCs w:val="24"/>
          <w:lang w:eastAsia="en-GB"/>
        </w:rPr>
      </w:pPr>
      <w:r w:rsidRPr="004C70EC">
        <w:rPr>
          <w:rFonts w:eastAsia="Times New Roman"/>
          <w:noProof/>
          <w:color w:val="000000" w:themeColor="text1"/>
          <w:szCs w:val="24"/>
          <w:lang w:eastAsia="en-GB"/>
        </w:rPr>
        <w:t>(c)</w:t>
      </w:r>
      <w:r w:rsidRPr="004C70EC">
        <w:rPr>
          <w:rFonts w:eastAsia="Times New Roman"/>
          <w:noProof/>
          <w:color w:val="000000" w:themeColor="text1"/>
          <w:szCs w:val="24"/>
          <w:lang w:eastAsia="en-GB"/>
        </w:rPr>
        <w:tab/>
      </w:r>
      <w:r w:rsidR="00273F36" w:rsidRPr="004C70EC">
        <w:rPr>
          <w:rFonts w:eastAsia="Times New Roman"/>
          <w:noProof/>
          <w:color w:val="000000" w:themeColor="text1"/>
          <w:szCs w:val="24"/>
          <w:lang w:eastAsia="en-GB"/>
        </w:rPr>
        <w:t>the additional diagnostic or monitoring procedures do not pose more than minimal additional risk or burden to the safety of the subjects compared to normal clinical practice in any Member State concerned;</w:t>
      </w:r>
      <w:r w:rsidR="003A213C" w:rsidRPr="004C70EC">
        <w:rPr>
          <w:rFonts w:eastAsia="Times New Roman"/>
          <w:noProof/>
          <w:color w:val="000000" w:themeColor="text1"/>
          <w:szCs w:val="24"/>
          <w:lang w:eastAsia="en-GB"/>
        </w:rPr>
        <w:t>’</w:t>
      </w:r>
    </w:p>
    <w:p w14:paraId="22EFEBFE" w14:textId="77777777" w:rsidR="00273F36" w:rsidRPr="004C70EC" w:rsidRDefault="00600357" w:rsidP="00600357">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en-GB"/>
        </w:rPr>
        <w:t>(b)</w:t>
      </w:r>
      <w:r w:rsidRPr="004C70EC">
        <w:rPr>
          <w:rFonts w:eastAsia="Times New Roman"/>
          <w:noProof/>
          <w:color w:val="000000" w:themeColor="text1"/>
          <w:szCs w:val="24"/>
          <w:lang w:eastAsia="en-GB"/>
        </w:rPr>
        <w:tab/>
      </w:r>
      <w:r w:rsidR="003A213C" w:rsidRPr="004C70EC">
        <w:rPr>
          <w:rFonts w:eastAsia="Times New Roman"/>
          <w:noProof/>
          <w:color w:val="000000" w:themeColor="text1"/>
          <w:szCs w:val="24"/>
          <w:lang w:eastAsia="en-GB"/>
        </w:rPr>
        <w:t>the following p</w:t>
      </w:r>
      <w:r w:rsidR="00273F36" w:rsidRPr="004C70EC">
        <w:rPr>
          <w:rFonts w:eastAsia="Times New Roman"/>
          <w:noProof/>
          <w:color w:val="000000" w:themeColor="text1"/>
          <w:szCs w:val="24"/>
          <w:lang w:eastAsia="en-GB"/>
        </w:rPr>
        <w:t xml:space="preserve">oint </w:t>
      </w:r>
      <w:r w:rsidR="003A213C" w:rsidRPr="004C70EC">
        <w:rPr>
          <w:rFonts w:eastAsia="Times New Roman"/>
          <w:noProof/>
          <w:color w:val="000000" w:themeColor="text1"/>
          <w:szCs w:val="24"/>
          <w:lang w:eastAsia="en-GB"/>
        </w:rPr>
        <w:t>(</w:t>
      </w:r>
      <w:r w:rsidR="00273F36" w:rsidRPr="004C70EC">
        <w:rPr>
          <w:rFonts w:eastAsia="Times New Roman"/>
          <w:noProof/>
          <w:color w:val="000000" w:themeColor="text1"/>
          <w:szCs w:val="24"/>
          <w:lang w:eastAsia="en-GB"/>
        </w:rPr>
        <w:t>3a</w:t>
      </w:r>
      <w:r w:rsidR="003A213C" w:rsidRPr="004C70EC">
        <w:rPr>
          <w:rFonts w:eastAsia="Times New Roman"/>
          <w:noProof/>
          <w:color w:val="000000" w:themeColor="text1"/>
          <w:szCs w:val="24"/>
          <w:lang w:eastAsia="en-GB"/>
        </w:rPr>
        <w:t>)</w:t>
      </w:r>
      <w:r w:rsidR="00273F36" w:rsidRPr="004C70EC">
        <w:rPr>
          <w:rFonts w:eastAsia="Times New Roman"/>
          <w:noProof/>
          <w:color w:val="000000" w:themeColor="text1"/>
          <w:szCs w:val="24"/>
          <w:lang w:eastAsia="en-GB"/>
        </w:rPr>
        <w:t xml:space="preserve"> is </w:t>
      </w:r>
      <w:r w:rsidR="003A213C" w:rsidRPr="004C70EC">
        <w:rPr>
          <w:rFonts w:eastAsia="Times New Roman"/>
          <w:noProof/>
          <w:color w:val="000000" w:themeColor="text1"/>
          <w:szCs w:val="24"/>
          <w:lang w:eastAsia="en-GB"/>
        </w:rPr>
        <w:t>inserted:</w:t>
      </w:r>
    </w:p>
    <w:p w14:paraId="693D31BC" w14:textId="77777777" w:rsidR="00273F36" w:rsidRPr="004C70EC" w:rsidRDefault="003A213C" w:rsidP="00600357">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(3a)</w:t>
      </w:r>
      <w:r w:rsidR="00BB3D84"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‘Minimal-intervention clinical trial’ means a clinical trial which fulfils all of the following conditions:</w:t>
      </w:r>
    </w:p>
    <w:p w14:paraId="6BA9D78E" w14:textId="77777777" w:rsidR="00273F36" w:rsidRPr="004C70EC" w:rsidRDefault="00600357" w:rsidP="00600357">
      <w:pPr>
        <w:pStyle w:val="Poin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the investigational medicinal products are authorised;</w:t>
      </w:r>
    </w:p>
    <w:p w14:paraId="6DBF4FC1" w14:textId="77777777" w:rsidR="00273F36" w:rsidRPr="004C70EC" w:rsidRDefault="00600357" w:rsidP="00600357">
      <w:pPr>
        <w:pStyle w:val="Poin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according to the protocol of the clinical trial, the investigational medicinal products are used in accordance with the terms of marketing authorisation; and</w:t>
      </w:r>
    </w:p>
    <w:p w14:paraId="5F6391FA" w14:textId="77777777" w:rsidR="00273F36" w:rsidRPr="004C70EC" w:rsidRDefault="00600357" w:rsidP="00600357">
      <w:pPr>
        <w:pStyle w:val="Point3"/>
        <w:rPr>
          <w:rFonts w:eastAsia="Times New Roman"/>
          <w:noProof/>
          <w:color w:val="000000" w:themeColor="text1"/>
          <w:szCs w:val="24"/>
          <w:lang w:val="en-IE" w:eastAsia="en-GB"/>
        </w:rPr>
      </w:pPr>
      <w:r w:rsidRPr="004C70EC">
        <w:rPr>
          <w:rFonts w:eastAsia="Times New Roman"/>
          <w:noProof/>
          <w:color w:val="000000" w:themeColor="text1"/>
          <w:szCs w:val="24"/>
          <w:lang w:eastAsia="en-GB"/>
        </w:rPr>
        <w:t>(c)</w:t>
      </w:r>
      <w:r w:rsidRPr="004C70EC">
        <w:rPr>
          <w:noProof/>
          <w:color w:val="000000" w:themeColor="text1"/>
          <w:szCs w:val="24"/>
        </w:rPr>
        <w:tab/>
      </w:r>
      <w:r w:rsidR="00273F36" w:rsidRPr="004C70EC">
        <w:rPr>
          <w:rFonts w:eastAsia="Times New Roman"/>
          <w:noProof/>
          <w:color w:val="000000" w:themeColor="text1"/>
          <w:szCs w:val="24"/>
          <w:lang w:eastAsia="en-GB"/>
        </w:rPr>
        <w:t>the additional diagnostic or monitoring procedures do not pose more than minimal additional risk or burden to the safety of the subjects compared to normal clinical practice in any Member State concerned</w:t>
      </w:r>
      <w:r w:rsidR="003A213C" w:rsidRPr="004C70EC">
        <w:rPr>
          <w:rFonts w:eastAsia="Times New Roman"/>
          <w:noProof/>
          <w:color w:val="000000" w:themeColor="text1"/>
          <w:szCs w:val="24"/>
          <w:lang w:eastAsia="en-GB"/>
        </w:rPr>
        <w:t>’</w:t>
      </w:r>
      <w:r w:rsidR="2E105F16" w:rsidRPr="004C70EC">
        <w:rPr>
          <w:rFonts w:eastAsia="Times New Roman"/>
          <w:noProof/>
          <w:color w:val="000000" w:themeColor="text1"/>
          <w:szCs w:val="24"/>
          <w:lang w:eastAsia="en-GB"/>
        </w:rPr>
        <w:t>;</w:t>
      </w:r>
    </w:p>
    <w:p w14:paraId="09E40F32" w14:textId="77777777" w:rsidR="00273F36" w:rsidRPr="004C70EC" w:rsidRDefault="00600357" w:rsidP="00600357">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(c)</w:t>
      </w:r>
      <w:r w:rsidRPr="004C70EC">
        <w:rPr>
          <w:noProof/>
          <w:color w:val="000000" w:themeColor="text1"/>
          <w:szCs w:val="24"/>
        </w:rPr>
        <w:tab/>
      </w:r>
      <w:r w:rsidR="003A213C" w:rsidRPr="004C70EC">
        <w:rPr>
          <w:rFonts w:eastAsia="Times New Roman"/>
          <w:noProof/>
          <w:color w:val="000000" w:themeColor="text1"/>
          <w:szCs w:val="24"/>
          <w:lang w:val="en-IE" w:eastAsia="en-GB"/>
        </w:rPr>
        <w:t>p</w:t>
      </w:r>
      <w:r w:rsidR="00273F36" w:rsidRPr="004C70EC">
        <w:rPr>
          <w:rFonts w:eastAsia="Times New Roman"/>
          <w:noProof/>
          <w:color w:val="000000" w:themeColor="text1"/>
          <w:szCs w:val="24"/>
          <w:lang w:val="en-IE" w:eastAsia="en-GB"/>
        </w:rPr>
        <w:t>oint</w:t>
      </w:r>
      <w:r w:rsidR="01938B67" w:rsidRPr="004C70EC">
        <w:rPr>
          <w:rFonts w:eastAsia="Times New Roman"/>
          <w:noProof/>
          <w:color w:val="000000" w:themeColor="text1"/>
          <w:szCs w:val="24"/>
          <w:lang w:val="en-IE" w:eastAsia="en-GB"/>
        </w:rPr>
        <w:t>s</w:t>
      </w:r>
      <w:r w:rsidR="00273F36" w:rsidRPr="004C70EC">
        <w:rPr>
          <w:rFonts w:eastAsia="Times New Roman"/>
          <w:noProof/>
          <w:color w:val="000000" w:themeColor="text1"/>
          <w:szCs w:val="24"/>
          <w:lang w:val="en-IE" w:eastAsia="en-GB"/>
        </w:rPr>
        <w:t xml:space="preserve"> 12 </w:t>
      </w:r>
      <w:r w:rsidR="003A213C" w:rsidRPr="004C70EC">
        <w:rPr>
          <w:rFonts w:eastAsia="Times New Roman"/>
          <w:noProof/>
          <w:color w:val="000000" w:themeColor="text1"/>
          <w:szCs w:val="24"/>
          <w:lang w:val="en-IE" w:eastAsia="en-GB"/>
        </w:rPr>
        <w:t>and 13 are</w:t>
      </w:r>
      <w:r w:rsidR="00273F36" w:rsidRPr="004C70EC">
        <w:rPr>
          <w:rFonts w:eastAsia="Times New Roman"/>
          <w:noProof/>
          <w:color w:val="000000" w:themeColor="text1"/>
          <w:szCs w:val="24"/>
          <w:lang w:val="en-IE" w:eastAsia="en-GB"/>
        </w:rPr>
        <w:t xml:space="preserve"> replaced by the following:</w:t>
      </w:r>
    </w:p>
    <w:p w14:paraId="0D27AFCF" w14:textId="77777777" w:rsidR="00273F36" w:rsidRPr="004C70EC" w:rsidRDefault="009B450E" w:rsidP="0043199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(12)</w:t>
      </w:r>
      <w:r w:rsidR="00600357" w:rsidRPr="004C70EC">
        <w:rPr>
          <w:noProof/>
          <w:color w:val="000000" w:themeColor="text1"/>
          <w:szCs w:val="24"/>
        </w:rPr>
        <w:tab/>
      </w:r>
      <w:r w:rsidR="00273F36" w:rsidRPr="004C70EC">
        <w:rPr>
          <w:rFonts w:eastAsia="Times New Roman"/>
          <w:noProof/>
          <w:color w:val="000000" w:themeColor="text1"/>
          <w:szCs w:val="24"/>
          <w:lang w:val="en-IE" w:eastAsia="en-GB"/>
        </w:rPr>
        <w:t>‘Member State concerned’ means the Member State where an application for authorisation of a clinical trial or a combined study of a substantial modification has been submitted under Chapters II, IIa or III of this Regulation respectively;”</w:t>
      </w:r>
    </w:p>
    <w:p w14:paraId="469045FB" w14:textId="77777777" w:rsidR="00273F36" w:rsidRPr="004C70EC" w:rsidRDefault="30AC66A1" w:rsidP="33CE1D06">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2F263E33" w:rsidRPr="004C70EC">
        <w:rPr>
          <w:rFonts w:eastAsia="Times New Roman"/>
          <w:noProof/>
          <w:color w:val="000000" w:themeColor="text1"/>
          <w:szCs w:val="24"/>
          <w:lang w:val="en-IE" w:eastAsia="en-GB"/>
        </w:rPr>
        <w:t>(13)</w:t>
      </w:r>
      <w:r w:rsidR="00273F36" w:rsidRPr="004C70EC">
        <w:rPr>
          <w:noProof/>
          <w:color w:val="000000" w:themeColor="text1"/>
          <w:szCs w:val="24"/>
        </w:rPr>
        <w:tab/>
      </w:r>
      <w:r w:rsidR="2F263E33" w:rsidRPr="004C70EC">
        <w:rPr>
          <w:rFonts w:eastAsia="Times New Roman"/>
          <w:noProof/>
          <w:color w:val="000000" w:themeColor="text1"/>
          <w:szCs w:val="24"/>
          <w:lang w:val="en-IE" w:eastAsia="en-GB"/>
        </w:rPr>
        <w:t>‘Substantial modification’ means any change to any aspect of the clinical trial which is made after the notification of a decision referred to in Article 8 in at least one Member State concerned and which is likely to have a substantial impact on the safety or rights of the subject or on the reliability and robustness of data generated in the clinical trial;</w:t>
      </w:r>
      <w:r w:rsidR="5B87553E" w:rsidRPr="004C70EC">
        <w:rPr>
          <w:rFonts w:eastAsia="Times New Roman"/>
          <w:noProof/>
          <w:color w:val="000000" w:themeColor="text1"/>
          <w:szCs w:val="24"/>
          <w:lang w:val="en-IE" w:eastAsia="en-GB"/>
        </w:rPr>
        <w:t>’</w:t>
      </w:r>
    </w:p>
    <w:p w14:paraId="27D9875A" w14:textId="77777777" w:rsidR="00273F36" w:rsidRPr="004C70EC" w:rsidRDefault="00600357" w:rsidP="00600357">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EA71EC" w:rsidRPr="004C70EC">
        <w:rPr>
          <w:rFonts w:eastAsia="Times New Roman"/>
          <w:noProof/>
          <w:color w:val="000000" w:themeColor="text1"/>
          <w:szCs w:val="24"/>
          <w:lang w:val="en-IE" w:eastAsia="en-GB"/>
        </w:rPr>
        <w:t>d</w:t>
      </w:r>
      <w:r w:rsidRPr="004C70EC">
        <w:rPr>
          <w:rFonts w:eastAsia="Times New Roman"/>
          <w:noProof/>
          <w:color w:val="000000" w:themeColor="text1"/>
          <w:szCs w:val="24"/>
          <w:lang w:val="en-IE" w:eastAsia="en-GB"/>
        </w:rPr>
        <w:t>)</w:t>
      </w:r>
      <w:r w:rsidRPr="004C70EC">
        <w:rPr>
          <w:rFonts w:eastAsia="Times New Roman"/>
          <w:noProof/>
          <w:color w:val="000000" w:themeColor="text1"/>
          <w:szCs w:val="24"/>
          <w:lang w:val="en-IE" w:eastAsia="en-GB"/>
        </w:rPr>
        <w:tab/>
      </w:r>
      <w:r w:rsidR="00EA71EC" w:rsidRPr="004C70EC">
        <w:rPr>
          <w:rFonts w:eastAsia="Times New Roman"/>
          <w:noProof/>
          <w:color w:val="000000" w:themeColor="text1"/>
          <w:szCs w:val="24"/>
          <w:lang w:val="en-IE" w:eastAsia="en-GB"/>
        </w:rPr>
        <w:t>the following p</w:t>
      </w:r>
      <w:r w:rsidR="00273F36" w:rsidRPr="004C70EC">
        <w:rPr>
          <w:rFonts w:eastAsia="Times New Roman"/>
          <w:noProof/>
          <w:color w:val="000000" w:themeColor="text1"/>
          <w:szCs w:val="24"/>
          <w:lang w:val="en-IE" w:eastAsia="en-GB"/>
        </w:rPr>
        <w:t xml:space="preserve">oint </w:t>
      </w:r>
      <w:r w:rsidR="00EA71EC"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13a</w:t>
      </w:r>
      <w:r w:rsidR="00EA71EC"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 xml:space="preserve"> is </w:t>
      </w:r>
      <w:r w:rsidR="00EA71EC" w:rsidRPr="004C70EC">
        <w:rPr>
          <w:rFonts w:eastAsia="Times New Roman"/>
          <w:noProof/>
          <w:color w:val="000000" w:themeColor="text1"/>
          <w:szCs w:val="24"/>
          <w:lang w:val="en-IE" w:eastAsia="en-GB"/>
        </w:rPr>
        <w:t>inserted</w:t>
      </w:r>
      <w:r w:rsidR="00273F36" w:rsidRPr="004C70EC">
        <w:rPr>
          <w:rFonts w:eastAsia="Times New Roman"/>
          <w:noProof/>
          <w:color w:val="000000" w:themeColor="text1"/>
          <w:szCs w:val="24"/>
          <w:lang w:val="en-IE" w:eastAsia="en-GB"/>
        </w:rPr>
        <w:t>:</w:t>
      </w:r>
    </w:p>
    <w:p w14:paraId="5F2A4104" w14:textId="77777777" w:rsidR="00273F36" w:rsidRPr="004C70EC" w:rsidRDefault="009B450E" w:rsidP="00600357">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(13a)</w:t>
      </w:r>
      <w:r w:rsidR="00600357"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‘Parallel substantial modification’ means a substantial modification for which an application is submitted to a Member State concerned before a decision on a previous application for a substantial modification to the same clinical trial is notified by that Member State to the sponsor;</w:t>
      </w:r>
      <w:r w:rsidRPr="004C70EC">
        <w:rPr>
          <w:rFonts w:eastAsia="Times New Roman"/>
          <w:noProof/>
          <w:color w:val="000000" w:themeColor="text1"/>
          <w:szCs w:val="24"/>
          <w:lang w:val="en-IE" w:eastAsia="en-GB"/>
        </w:rPr>
        <w:t>’</w:t>
      </w:r>
    </w:p>
    <w:p w14:paraId="730D0E91" w14:textId="77777777" w:rsidR="00273F36" w:rsidRPr="004C70EC" w:rsidRDefault="00600357" w:rsidP="00600357">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B53BF6" w:rsidRPr="004C70EC">
        <w:rPr>
          <w:rFonts w:eastAsia="Times New Roman"/>
          <w:noProof/>
          <w:color w:val="000000" w:themeColor="text1"/>
          <w:szCs w:val="24"/>
          <w:lang w:val="en-IE" w:eastAsia="en-GB"/>
        </w:rPr>
        <w:t>e</w:t>
      </w:r>
      <w:r w:rsidRPr="004C70EC">
        <w:rPr>
          <w:rFonts w:eastAsia="Times New Roman"/>
          <w:noProof/>
          <w:color w:val="000000" w:themeColor="text1"/>
          <w:szCs w:val="24"/>
          <w:lang w:val="en-IE" w:eastAsia="en-GB"/>
        </w:rPr>
        <w:t>)</w:t>
      </w:r>
      <w:r w:rsidRPr="004C70EC">
        <w:rPr>
          <w:rFonts w:eastAsia="Times New Roman"/>
          <w:noProof/>
          <w:color w:val="000000" w:themeColor="text1"/>
          <w:szCs w:val="24"/>
          <w:lang w:val="en-IE" w:eastAsia="en-GB"/>
        </w:rPr>
        <w:tab/>
      </w:r>
      <w:r w:rsidR="009B450E" w:rsidRPr="004C70EC">
        <w:rPr>
          <w:rFonts w:eastAsia="Times New Roman"/>
          <w:noProof/>
          <w:color w:val="000000" w:themeColor="text1"/>
          <w:szCs w:val="24"/>
          <w:lang w:val="en-IE" w:eastAsia="en-GB"/>
        </w:rPr>
        <w:t>p</w:t>
      </w:r>
      <w:r w:rsidR="00273F36" w:rsidRPr="004C70EC">
        <w:rPr>
          <w:rFonts w:eastAsia="Times New Roman"/>
          <w:noProof/>
          <w:color w:val="000000" w:themeColor="text1"/>
          <w:szCs w:val="24"/>
          <w:lang w:val="en-IE" w:eastAsia="en-GB"/>
        </w:rPr>
        <w:t xml:space="preserve">oint </w:t>
      </w:r>
      <w:r w:rsidR="009B450E"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21</w:t>
      </w:r>
      <w:r w:rsidR="009B450E"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 xml:space="preserve"> is replaced by the following:</w:t>
      </w:r>
    </w:p>
    <w:p w14:paraId="56F4C1E4" w14:textId="77777777" w:rsidR="00273F36" w:rsidRPr="004C70EC" w:rsidRDefault="009B450E" w:rsidP="00600357">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(21)</w:t>
      </w:r>
      <w:r w:rsidR="00600357"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‘Informed consent’ means a subject’s free and voluntary expression of his or her willingness to participate in a particular clinical trial, after having been informed of all aspects of the clinical trial that are relevant to the subject’s decision to participate or, in case of minors and of incapacitated subjects, an authorisation or agreement from their legally designated representative to include them in a clinical trial, including consent given through the use of electronic systems, methods and processes, and signed electronically in accordance with Union law or equivalent standards;</w:t>
      </w:r>
      <w:r w:rsidRPr="004C70EC">
        <w:rPr>
          <w:rFonts w:eastAsia="Times New Roman"/>
          <w:noProof/>
          <w:color w:val="000000" w:themeColor="text1"/>
          <w:szCs w:val="24"/>
          <w:lang w:val="en-IE" w:eastAsia="en-GB"/>
        </w:rPr>
        <w:t>’</w:t>
      </w:r>
    </w:p>
    <w:p w14:paraId="06BF335B" w14:textId="77777777" w:rsidR="00273F36" w:rsidRPr="004C70EC" w:rsidRDefault="00600357" w:rsidP="00600357">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902DEC" w:rsidRPr="004C70EC">
        <w:rPr>
          <w:rFonts w:eastAsia="Times New Roman"/>
          <w:noProof/>
          <w:color w:val="000000" w:themeColor="text1"/>
          <w:szCs w:val="24"/>
          <w:lang w:val="en-IE" w:eastAsia="en-GB"/>
        </w:rPr>
        <w:t>f</w:t>
      </w:r>
      <w:r w:rsidRPr="004C70EC">
        <w:rPr>
          <w:rFonts w:eastAsia="Times New Roman"/>
          <w:noProof/>
          <w:color w:val="000000" w:themeColor="text1"/>
          <w:szCs w:val="24"/>
          <w:lang w:val="en-IE" w:eastAsia="en-GB"/>
        </w:rPr>
        <w:t>)</w:t>
      </w:r>
      <w:r w:rsidRPr="004C70EC">
        <w:rPr>
          <w:rFonts w:eastAsia="Times New Roman"/>
          <w:noProof/>
          <w:color w:val="000000" w:themeColor="text1"/>
          <w:szCs w:val="24"/>
          <w:lang w:val="en-IE" w:eastAsia="en-GB"/>
        </w:rPr>
        <w:tab/>
      </w:r>
      <w:r w:rsidR="009B450E" w:rsidRPr="004C70EC">
        <w:rPr>
          <w:rFonts w:eastAsia="Times New Roman"/>
          <w:noProof/>
          <w:color w:val="000000" w:themeColor="text1"/>
          <w:szCs w:val="24"/>
          <w:lang w:val="en-IE" w:eastAsia="en-GB"/>
        </w:rPr>
        <w:t>the following p</w:t>
      </w:r>
      <w:r w:rsidR="00273F36" w:rsidRPr="004C70EC">
        <w:rPr>
          <w:rFonts w:eastAsia="Times New Roman"/>
          <w:noProof/>
          <w:color w:val="000000" w:themeColor="text1"/>
          <w:szCs w:val="24"/>
          <w:lang w:val="en-IE" w:eastAsia="en-GB"/>
        </w:rPr>
        <w:t xml:space="preserve">oints </w:t>
      </w:r>
      <w:r w:rsidR="009B450E"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36</w:t>
      </w:r>
      <w:r w:rsidR="009B450E"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 xml:space="preserve">, </w:t>
      </w:r>
      <w:r w:rsidR="009B450E" w:rsidRPr="004C70EC">
        <w:rPr>
          <w:rFonts w:eastAsia="Times New Roman"/>
          <w:noProof/>
          <w:color w:val="000000" w:themeColor="text1"/>
          <w:szCs w:val="24"/>
          <w:lang w:val="en-IE" w:eastAsia="en-GB"/>
        </w:rPr>
        <w:t>to</w:t>
      </w:r>
      <w:r w:rsidR="00273F36" w:rsidRPr="004C70EC">
        <w:rPr>
          <w:rFonts w:eastAsia="Times New Roman"/>
          <w:noProof/>
          <w:color w:val="000000" w:themeColor="text1"/>
          <w:szCs w:val="24"/>
          <w:lang w:val="en-IE" w:eastAsia="en-GB"/>
        </w:rPr>
        <w:t xml:space="preserve"> </w:t>
      </w:r>
      <w:r w:rsidR="007A1733" w:rsidRPr="004C70EC">
        <w:rPr>
          <w:rFonts w:eastAsia="Times New Roman"/>
          <w:noProof/>
          <w:color w:val="000000" w:themeColor="text1"/>
          <w:szCs w:val="24"/>
          <w:lang w:val="en-IE" w:eastAsia="en-GB"/>
        </w:rPr>
        <w:t>47</w:t>
      </w:r>
      <w:r w:rsidR="00A26EA7" w:rsidRPr="004C70EC">
        <w:rPr>
          <w:rFonts w:eastAsia="Times New Roman"/>
          <w:noProof/>
          <w:color w:val="000000" w:themeColor="text1"/>
          <w:szCs w:val="24"/>
          <w:lang w:val="en-IE" w:eastAsia="en-GB"/>
        </w:rPr>
        <w:t xml:space="preserve"> </w:t>
      </w:r>
      <w:r w:rsidR="00273F36" w:rsidRPr="004C70EC">
        <w:rPr>
          <w:rFonts w:eastAsia="Times New Roman"/>
          <w:noProof/>
          <w:color w:val="000000" w:themeColor="text1"/>
          <w:szCs w:val="24"/>
          <w:lang w:val="en-IE" w:eastAsia="en-GB"/>
        </w:rPr>
        <w:t xml:space="preserve">are </w:t>
      </w:r>
      <w:r w:rsidR="009B450E" w:rsidRPr="004C70EC">
        <w:rPr>
          <w:rFonts w:eastAsia="Times New Roman"/>
          <w:noProof/>
          <w:color w:val="000000" w:themeColor="text1"/>
          <w:szCs w:val="24"/>
          <w:lang w:val="en-IE" w:eastAsia="en-GB"/>
        </w:rPr>
        <w:t>inserted</w:t>
      </w:r>
      <w:r w:rsidR="00273F36" w:rsidRPr="004C70EC">
        <w:rPr>
          <w:rFonts w:eastAsia="Times New Roman"/>
          <w:noProof/>
          <w:color w:val="000000" w:themeColor="text1"/>
          <w:szCs w:val="24"/>
          <w:lang w:val="en-IE" w:eastAsia="en-GB"/>
        </w:rPr>
        <w:t>:</w:t>
      </w:r>
    </w:p>
    <w:p w14:paraId="7021D045" w14:textId="77777777" w:rsidR="00273F36" w:rsidRPr="004C70EC" w:rsidRDefault="00B666ED" w:rsidP="00B666ED">
      <w:pPr>
        <w:pStyle w:val="Point2"/>
        <w:rPr>
          <w:noProof/>
          <w:color w:val="000000" w:themeColor="text1"/>
          <w:szCs w:val="24"/>
          <w:lang w:eastAsia="en-IE"/>
        </w:rPr>
      </w:pPr>
      <w:r w:rsidRPr="004C70EC">
        <w:rPr>
          <w:noProof/>
          <w:color w:val="000000" w:themeColor="text1"/>
          <w:szCs w:val="24"/>
          <w:lang w:eastAsia="en-IE"/>
        </w:rPr>
        <w:t>(36)</w:t>
      </w:r>
      <w:r w:rsidRPr="004C70EC">
        <w:rPr>
          <w:noProof/>
          <w:color w:val="000000" w:themeColor="text1"/>
          <w:szCs w:val="24"/>
          <w:lang w:eastAsia="en-IE"/>
        </w:rPr>
        <w:tab/>
      </w:r>
      <w:r w:rsidR="2F263E33" w:rsidRPr="004C70EC">
        <w:rPr>
          <w:noProof/>
          <w:color w:val="000000" w:themeColor="text1"/>
          <w:szCs w:val="24"/>
          <w:lang w:eastAsia="en-IE"/>
        </w:rPr>
        <w:t xml:space="preserve">‘Consideration’ means a justified concern or divergent view raised by a Member State concerned in the process of an assessment of an application for an authorisation of a clinical trial or </w:t>
      </w:r>
      <w:r w:rsidR="00F35D94" w:rsidRPr="004C70EC">
        <w:rPr>
          <w:noProof/>
          <w:color w:val="000000" w:themeColor="text1"/>
          <w:szCs w:val="24"/>
          <w:lang w:eastAsia="en-IE"/>
        </w:rPr>
        <w:t xml:space="preserve">for </w:t>
      </w:r>
      <w:r w:rsidR="2F263E33" w:rsidRPr="004C70EC">
        <w:rPr>
          <w:noProof/>
          <w:color w:val="000000" w:themeColor="text1"/>
          <w:szCs w:val="24"/>
          <w:lang w:eastAsia="en-IE"/>
        </w:rPr>
        <w:t xml:space="preserve">a substantial modification </w:t>
      </w:r>
      <w:r w:rsidR="28E8941B" w:rsidRPr="004C70EC">
        <w:rPr>
          <w:noProof/>
          <w:color w:val="000000" w:themeColor="text1"/>
          <w:szCs w:val="24"/>
          <w:lang w:eastAsia="en-IE"/>
        </w:rPr>
        <w:t xml:space="preserve"> </w:t>
      </w:r>
      <w:r w:rsidR="2F263E33" w:rsidRPr="004C70EC">
        <w:rPr>
          <w:noProof/>
          <w:color w:val="000000" w:themeColor="text1"/>
          <w:szCs w:val="24"/>
          <w:lang w:eastAsia="en-IE"/>
        </w:rPr>
        <w:t>on the aspects that, if unresolved, will result in a negative decision on the clinical trial or substantial modification application;</w:t>
      </w:r>
    </w:p>
    <w:p w14:paraId="5C3FD955" w14:textId="77777777" w:rsidR="00273F36" w:rsidRPr="004C70EC" w:rsidRDefault="00273F36" w:rsidP="00600357">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(37)</w:t>
      </w:r>
      <w:r w:rsidR="00600357" w:rsidRPr="004C70EC">
        <w:rPr>
          <w:rFonts w:eastAsia="Times New Roman"/>
          <w:noProof/>
          <w:color w:val="000000" w:themeColor="text1"/>
          <w:szCs w:val="24"/>
          <w:lang w:eastAsia="en-IE"/>
        </w:rPr>
        <w:tab/>
      </w:r>
      <w:r w:rsidRPr="004C70EC">
        <w:rPr>
          <w:rFonts w:eastAsia="Times New Roman"/>
          <w:noProof/>
          <w:color w:val="000000" w:themeColor="text1"/>
          <w:szCs w:val="24"/>
          <w:lang w:eastAsia="en-IE"/>
        </w:rPr>
        <w:t xml:space="preserve">‘Reporting Member State’ means the Member State concerned that: </w:t>
      </w:r>
    </w:p>
    <w:p w14:paraId="18816BDF" w14:textId="77777777" w:rsidR="00273F36" w:rsidRPr="004C70EC" w:rsidRDefault="00273F36" w:rsidP="00600357">
      <w:pPr>
        <w:pStyle w:val="Point3"/>
        <w:rPr>
          <w:noProof/>
          <w:color w:val="000000" w:themeColor="text1"/>
          <w:szCs w:val="24"/>
          <w:lang w:eastAsia="en-IE"/>
        </w:rPr>
      </w:pPr>
      <w:r w:rsidRPr="004C70EC">
        <w:rPr>
          <w:noProof/>
          <w:color w:val="000000" w:themeColor="text1"/>
          <w:szCs w:val="24"/>
          <w:lang w:eastAsia="en-IE"/>
        </w:rPr>
        <w:t>(a)</w:t>
      </w:r>
      <w:r w:rsidR="00600357" w:rsidRPr="004C70EC">
        <w:rPr>
          <w:noProof/>
          <w:color w:val="000000" w:themeColor="text1"/>
          <w:szCs w:val="24"/>
          <w:lang w:eastAsia="en-IE"/>
        </w:rPr>
        <w:tab/>
      </w:r>
      <w:r w:rsidRPr="004C70EC">
        <w:rPr>
          <w:noProof/>
          <w:color w:val="000000" w:themeColor="text1"/>
          <w:szCs w:val="24"/>
          <w:lang w:eastAsia="en-IE"/>
        </w:rPr>
        <w:t>is responsible for the assessment and authorisation of the clinical trial application in mono-national clinical trials, or</w:t>
      </w:r>
    </w:p>
    <w:p w14:paraId="38140342" w14:textId="77777777" w:rsidR="00273F36" w:rsidRPr="004C70EC" w:rsidRDefault="00273F36" w:rsidP="00600357">
      <w:pPr>
        <w:pStyle w:val="Point3"/>
        <w:rPr>
          <w:rFonts w:eastAsia="Times New Roman"/>
          <w:noProof/>
          <w:color w:val="000000" w:themeColor="text1"/>
          <w:szCs w:val="24"/>
          <w:lang w:eastAsia="en-IE"/>
        </w:rPr>
      </w:pPr>
      <w:r w:rsidRPr="004C70EC">
        <w:rPr>
          <w:rFonts w:eastAsia="Times New Roman"/>
          <w:noProof/>
          <w:color w:val="000000" w:themeColor="text1"/>
          <w:szCs w:val="24"/>
          <w:lang w:eastAsia="en-IE"/>
        </w:rPr>
        <w:t>(b)</w:t>
      </w:r>
      <w:r w:rsidR="00600357" w:rsidRPr="004C70EC">
        <w:rPr>
          <w:rFonts w:eastAsia="Times New Roman"/>
          <w:noProof/>
          <w:color w:val="000000" w:themeColor="text1"/>
          <w:szCs w:val="24"/>
          <w:lang w:eastAsia="en-IE"/>
        </w:rPr>
        <w:tab/>
      </w:r>
      <w:r w:rsidRPr="004C70EC">
        <w:rPr>
          <w:rFonts w:eastAsia="Times New Roman"/>
          <w:noProof/>
          <w:color w:val="000000" w:themeColor="text1"/>
          <w:szCs w:val="24"/>
          <w:lang w:eastAsia="en-IE"/>
        </w:rPr>
        <w:t xml:space="preserve">is leading the assessment for the authorisation of a multinational clinical trial or of a substantial modification regarding aspects covered by Part I of the application dossier, or </w:t>
      </w:r>
    </w:p>
    <w:p w14:paraId="72CDCC1F" w14:textId="77777777" w:rsidR="00273F36" w:rsidRPr="004C70EC" w:rsidRDefault="00273F36" w:rsidP="00600357">
      <w:pPr>
        <w:pStyle w:val="Point3"/>
        <w:rPr>
          <w:rFonts w:eastAsia="Times New Roman"/>
          <w:noProof/>
          <w:color w:val="000000" w:themeColor="text1"/>
          <w:szCs w:val="24"/>
          <w:lang w:eastAsia="en-IE"/>
        </w:rPr>
      </w:pPr>
      <w:r w:rsidRPr="004C70EC">
        <w:rPr>
          <w:rFonts w:eastAsia="Times New Roman"/>
          <w:noProof/>
          <w:color w:val="000000" w:themeColor="text1"/>
          <w:szCs w:val="24"/>
          <w:lang w:eastAsia="en-IE"/>
        </w:rPr>
        <w:t>(c)</w:t>
      </w:r>
      <w:r w:rsidR="00600357" w:rsidRPr="004C70EC">
        <w:rPr>
          <w:rFonts w:eastAsia="Times New Roman"/>
          <w:noProof/>
          <w:color w:val="000000" w:themeColor="text1"/>
          <w:szCs w:val="24"/>
          <w:lang w:eastAsia="en-IE"/>
        </w:rPr>
        <w:tab/>
      </w:r>
      <w:r w:rsidRPr="004C70EC">
        <w:rPr>
          <w:rFonts w:eastAsia="Times New Roman"/>
          <w:noProof/>
          <w:color w:val="000000" w:themeColor="text1"/>
          <w:szCs w:val="24"/>
          <w:lang w:eastAsia="en-IE"/>
        </w:rPr>
        <w:t>is leading the assessment for the authorisation of a multinational combined study;</w:t>
      </w:r>
    </w:p>
    <w:p w14:paraId="5C1CB699" w14:textId="77777777" w:rsidR="00B666ED" w:rsidRPr="004C70EC" w:rsidRDefault="00273F36" w:rsidP="00600357">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(38)</w:t>
      </w:r>
      <w:r w:rsidRPr="004C70EC">
        <w:rPr>
          <w:noProof/>
          <w:color w:val="000000" w:themeColor="text1"/>
          <w:szCs w:val="24"/>
        </w:rPr>
        <w:tab/>
      </w:r>
      <w:r w:rsidRPr="004C70EC">
        <w:rPr>
          <w:rFonts w:eastAsia="Times New Roman"/>
          <w:noProof/>
          <w:color w:val="000000" w:themeColor="text1"/>
          <w:szCs w:val="24"/>
          <w:lang w:eastAsia="en-IE"/>
        </w:rPr>
        <w:t xml:space="preserve">‘Investigational medicinal product core dossier’ means a dossier, containing documents referred to in </w:t>
      </w:r>
      <w:r w:rsidR="00155C11" w:rsidRPr="004C70EC">
        <w:rPr>
          <w:rFonts w:eastAsia="Times New Roman"/>
          <w:noProof/>
          <w:color w:val="000000" w:themeColor="text1"/>
          <w:szCs w:val="24"/>
          <w:lang w:eastAsia="en-IE"/>
        </w:rPr>
        <w:t xml:space="preserve">point (Ga), </w:t>
      </w:r>
      <w:r w:rsidR="007F165C" w:rsidRPr="004C70EC">
        <w:rPr>
          <w:rFonts w:eastAsia="Times New Roman"/>
          <w:noProof/>
          <w:color w:val="000000" w:themeColor="text1"/>
          <w:szCs w:val="24"/>
          <w:lang w:eastAsia="en-IE"/>
        </w:rPr>
        <w:t>P</w:t>
      </w:r>
      <w:r w:rsidR="00155C11" w:rsidRPr="004C70EC">
        <w:rPr>
          <w:rFonts w:eastAsia="Times New Roman"/>
          <w:noProof/>
          <w:color w:val="000000" w:themeColor="text1"/>
          <w:szCs w:val="24"/>
          <w:lang w:eastAsia="en-IE"/>
        </w:rPr>
        <w:t>art II of</w:t>
      </w:r>
      <w:r w:rsidRPr="004C70EC">
        <w:rPr>
          <w:rFonts w:eastAsia="Times New Roman"/>
          <w:noProof/>
          <w:color w:val="000000" w:themeColor="text1"/>
          <w:szCs w:val="24"/>
          <w:lang w:eastAsia="en-IE"/>
        </w:rPr>
        <w:t xml:space="preserve"> Annex I</w:t>
      </w:r>
      <w:r w:rsidR="496F00E5" w:rsidRPr="004C70EC">
        <w:rPr>
          <w:rFonts w:eastAsia="Times New Roman"/>
          <w:noProof/>
          <w:color w:val="000000" w:themeColor="text1"/>
          <w:szCs w:val="24"/>
          <w:lang w:eastAsia="en-IE"/>
        </w:rPr>
        <w:t xml:space="preserve"> </w:t>
      </w:r>
      <w:r w:rsidRPr="004C70EC">
        <w:rPr>
          <w:rFonts w:eastAsia="Times New Roman"/>
          <w:noProof/>
          <w:color w:val="000000" w:themeColor="text1"/>
          <w:szCs w:val="24"/>
          <w:lang w:eastAsia="en-IE"/>
        </w:rPr>
        <w:t xml:space="preserve">concerning the investigational medicinal product, established at the request of the sponsor </w:t>
      </w:r>
      <w:r w:rsidR="2CF5CB1C" w:rsidRPr="004C70EC">
        <w:rPr>
          <w:rFonts w:eastAsia="Times New Roman"/>
          <w:noProof/>
          <w:color w:val="000000" w:themeColor="text1"/>
          <w:szCs w:val="24"/>
          <w:lang w:eastAsia="en-IE"/>
        </w:rPr>
        <w:t xml:space="preserve">in view of </w:t>
      </w:r>
      <w:r w:rsidRPr="004C70EC">
        <w:rPr>
          <w:rFonts w:eastAsia="Times New Roman"/>
          <w:noProof/>
          <w:color w:val="000000" w:themeColor="text1"/>
          <w:szCs w:val="24"/>
          <w:lang w:eastAsia="en-IE"/>
        </w:rPr>
        <w:t xml:space="preserve"> support</w:t>
      </w:r>
      <w:r w:rsidR="7CAAAF6D" w:rsidRPr="004C70EC">
        <w:rPr>
          <w:rFonts w:eastAsia="Times New Roman"/>
          <w:noProof/>
          <w:color w:val="000000" w:themeColor="text1"/>
          <w:szCs w:val="24"/>
          <w:lang w:eastAsia="en-IE"/>
        </w:rPr>
        <w:t>ing</w:t>
      </w:r>
      <w:r w:rsidRPr="004C70EC">
        <w:rPr>
          <w:rFonts w:eastAsia="Times New Roman"/>
          <w:noProof/>
          <w:color w:val="000000" w:themeColor="text1"/>
          <w:szCs w:val="24"/>
          <w:lang w:eastAsia="en-IE"/>
        </w:rPr>
        <w:t xml:space="preserve"> the development of the investigational medicinal product</w:t>
      </w:r>
      <w:r w:rsidR="14640B77" w:rsidRPr="004C70EC">
        <w:rPr>
          <w:rFonts w:eastAsia="Times New Roman"/>
          <w:noProof/>
          <w:color w:val="000000" w:themeColor="text1"/>
          <w:szCs w:val="24"/>
          <w:lang w:eastAsia="en-IE"/>
        </w:rPr>
        <w:t>.</w:t>
      </w:r>
    </w:p>
    <w:p w14:paraId="5495F6CE" w14:textId="77777777" w:rsidR="00273F36" w:rsidRPr="004C70EC" w:rsidRDefault="00273F36" w:rsidP="00600357">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(39)</w:t>
      </w:r>
      <w:r w:rsidR="00600357" w:rsidRPr="004C70EC">
        <w:rPr>
          <w:rFonts w:eastAsia="Times New Roman"/>
          <w:noProof/>
          <w:color w:val="000000" w:themeColor="text1"/>
          <w:szCs w:val="24"/>
          <w:lang w:eastAsia="en-IE"/>
        </w:rPr>
        <w:tab/>
      </w:r>
      <w:r w:rsidRPr="004C70EC">
        <w:rPr>
          <w:rFonts w:eastAsia="Times New Roman"/>
          <w:b/>
          <w:bCs/>
          <w:noProof/>
          <w:color w:val="000000" w:themeColor="text1"/>
          <w:szCs w:val="24"/>
          <w:lang w:eastAsia="en-IE"/>
        </w:rPr>
        <w:t>‘</w:t>
      </w:r>
      <w:r w:rsidRPr="004C70EC">
        <w:rPr>
          <w:rFonts w:eastAsia="Times New Roman"/>
          <w:noProof/>
          <w:color w:val="000000" w:themeColor="text1"/>
          <w:szCs w:val="24"/>
          <w:lang w:eastAsia="en-IE"/>
        </w:rPr>
        <w:t>Core dossier depositary Member State’</w:t>
      </w:r>
      <w:r w:rsidRPr="004C70EC">
        <w:rPr>
          <w:rFonts w:eastAsia="Times New Roman"/>
          <w:b/>
          <w:bCs/>
          <w:noProof/>
          <w:color w:val="000000" w:themeColor="text1"/>
          <w:szCs w:val="24"/>
          <w:lang w:eastAsia="en-IE"/>
        </w:rPr>
        <w:t xml:space="preserve"> </w:t>
      </w:r>
      <w:r w:rsidRPr="004C70EC">
        <w:rPr>
          <w:rFonts w:eastAsia="Times New Roman"/>
          <w:noProof/>
          <w:color w:val="000000" w:themeColor="text1"/>
          <w:szCs w:val="24"/>
          <w:lang w:eastAsia="en-IE"/>
        </w:rPr>
        <w:t>means a Member State responsible for assessing suitability and completeness of the investigational medicinal product core dossier to be established and for the regulatory oversight of an already established dossier;</w:t>
      </w:r>
    </w:p>
    <w:p w14:paraId="182A13E8" w14:textId="77777777" w:rsidR="00273F36" w:rsidRPr="004C70EC" w:rsidRDefault="00273F36" w:rsidP="00600357">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(40)</w:t>
      </w:r>
      <w:r w:rsidR="00600357" w:rsidRPr="004C70EC">
        <w:rPr>
          <w:rFonts w:eastAsia="Times New Roman"/>
          <w:noProof/>
          <w:color w:val="000000" w:themeColor="text1"/>
          <w:szCs w:val="24"/>
          <w:lang w:eastAsia="en-IE"/>
        </w:rPr>
        <w:tab/>
      </w:r>
      <w:r w:rsidRPr="004C70EC">
        <w:rPr>
          <w:rFonts w:eastAsia="Times New Roman"/>
          <w:noProof/>
          <w:color w:val="000000" w:themeColor="text1"/>
          <w:szCs w:val="24"/>
          <w:lang w:eastAsia="en-IE"/>
        </w:rPr>
        <w:t>‘Core dossier competent Member States’ means the Member States concerned for all corresponding clinical trials and the Member States indicated by a sponsor at the time of the initial request for the establishment of the investigational medicinal product core dossier;</w:t>
      </w:r>
    </w:p>
    <w:p w14:paraId="214A614F" w14:textId="77777777" w:rsidR="00273F36" w:rsidRPr="004C70EC" w:rsidRDefault="00273F36" w:rsidP="00600357">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(41)</w:t>
      </w:r>
      <w:r w:rsidR="00600357" w:rsidRPr="004C70EC">
        <w:rPr>
          <w:noProof/>
          <w:color w:val="000000" w:themeColor="text1"/>
          <w:szCs w:val="24"/>
        </w:rPr>
        <w:tab/>
      </w:r>
      <w:r w:rsidRPr="004C70EC">
        <w:rPr>
          <w:rFonts w:eastAsia="Times New Roman"/>
          <w:noProof/>
          <w:color w:val="000000" w:themeColor="text1"/>
          <w:szCs w:val="24"/>
          <w:lang w:eastAsia="en-IE"/>
        </w:rPr>
        <w:t xml:space="preserve">‘Corresponding clinical trial’ means a clinical trial </w:t>
      </w:r>
      <w:r w:rsidR="4013C15D" w:rsidRPr="004C70EC">
        <w:rPr>
          <w:rFonts w:eastAsia="Times New Roman"/>
          <w:noProof/>
          <w:color w:val="000000" w:themeColor="text1"/>
          <w:szCs w:val="24"/>
          <w:lang w:eastAsia="en-IE"/>
        </w:rPr>
        <w:t>test</w:t>
      </w:r>
      <w:r w:rsidRPr="004C70EC">
        <w:rPr>
          <w:rFonts w:eastAsia="Times New Roman"/>
          <w:noProof/>
          <w:color w:val="000000" w:themeColor="text1"/>
          <w:szCs w:val="24"/>
          <w:lang w:eastAsia="en-IE"/>
        </w:rPr>
        <w:t xml:space="preserve">ed to the investigational medicinal product for which an establishment of an investigational medicinal product core dossier has been requested and any subsequent clinical trial </w:t>
      </w:r>
      <w:r w:rsidR="77B59818" w:rsidRPr="004C70EC">
        <w:rPr>
          <w:rFonts w:eastAsia="Times New Roman"/>
          <w:noProof/>
          <w:color w:val="000000" w:themeColor="text1"/>
          <w:szCs w:val="24"/>
          <w:lang w:eastAsia="en-IE"/>
        </w:rPr>
        <w:t>tes</w:t>
      </w:r>
      <w:r w:rsidRPr="004C70EC">
        <w:rPr>
          <w:rFonts w:eastAsia="Times New Roman"/>
          <w:noProof/>
          <w:color w:val="000000" w:themeColor="text1"/>
          <w:szCs w:val="24"/>
          <w:lang w:eastAsia="en-IE"/>
        </w:rPr>
        <w:t>ted to that investigational medicinal product;</w:t>
      </w:r>
    </w:p>
    <w:p w14:paraId="3D83C5C0" w14:textId="77777777" w:rsidR="00273F36" w:rsidRPr="004C70EC" w:rsidRDefault="00273F36" w:rsidP="00600357">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(42)</w:t>
      </w:r>
      <w:r w:rsidR="00600357" w:rsidRPr="004C70EC">
        <w:rPr>
          <w:noProof/>
          <w:color w:val="000000" w:themeColor="text1"/>
          <w:szCs w:val="24"/>
        </w:rPr>
        <w:tab/>
      </w:r>
      <w:r w:rsidRPr="004C70EC">
        <w:rPr>
          <w:rFonts w:eastAsia="Times New Roman"/>
          <w:noProof/>
          <w:color w:val="000000" w:themeColor="text1"/>
          <w:szCs w:val="24"/>
          <w:lang w:eastAsia="en-IE"/>
        </w:rPr>
        <w:t>‘Distribution’ means all activities, consisting of procuring, holding, supplying, shipping across Member States or exporting investigational medicinal product or auxiliary medicinal products, , including delivery of investigational and auxiliary medicinal products to the clinical trial participants;</w:t>
      </w:r>
    </w:p>
    <w:p w14:paraId="03463D7B" w14:textId="77777777" w:rsidR="00273F36" w:rsidRPr="004C70EC" w:rsidRDefault="00273F36" w:rsidP="00600357">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(43)</w:t>
      </w:r>
      <w:r w:rsidR="00600357" w:rsidRPr="004C70EC">
        <w:rPr>
          <w:noProof/>
          <w:color w:val="000000" w:themeColor="text1"/>
          <w:szCs w:val="24"/>
        </w:rPr>
        <w:tab/>
      </w:r>
      <w:r w:rsidRPr="004C70EC">
        <w:rPr>
          <w:rFonts w:eastAsia="Times New Roman"/>
          <w:noProof/>
          <w:color w:val="000000" w:themeColor="text1"/>
          <w:szCs w:val="24"/>
          <w:lang w:eastAsia="en-IE"/>
        </w:rPr>
        <w:t>‘Direct delivery to the subject’ means controlled and documented direct delivery of an investigational medicinal product or an auxiliary medicinal product to the subject’s place of residence</w:t>
      </w:r>
      <w:r w:rsidR="00780484" w:rsidRPr="004C70EC">
        <w:rPr>
          <w:rFonts w:eastAsia="Times New Roman"/>
          <w:noProof/>
          <w:color w:val="000000" w:themeColor="text1"/>
          <w:szCs w:val="24"/>
          <w:lang w:eastAsia="en-IE"/>
        </w:rPr>
        <w:t xml:space="preserve"> in a Member State, where the clinical trial has been authorised</w:t>
      </w:r>
      <w:r w:rsidRPr="004C70EC">
        <w:rPr>
          <w:rFonts w:eastAsia="Times New Roman"/>
          <w:noProof/>
          <w:color w:val="000000" w:themeColor="text1"/>
          <w:szCs w:val="24"/>
          <w:lang w:eastAsia="en-IE"/>
        </w:rPr>
        <w:t>;</w:t>
      </w:r>
    </w:p>
    <w:p w14:paraId="38B14C49" w14:textId="77777777" w:rsidR="00273F36" w:rsidRPr="004C70EC" w:rsidRDefault="2F263E33" w:rsidP="00600357">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(44)</w:t>
      </w:r>
      <w:r w:rsidR="00600357" w:rsidRPr="004C70EC">
        <w:rPr>
          <w:rFonts w:eastAsia="Times New Roman"/>
          <w:noProof/>
          <w:color w:val="000000" w:themeColor="text1"/>
          <w:szCs w:val="24"/>
          <w:lang w:eastAsia="en-IE"/>
        </w:rPr>
        <w:tab/>
      </w:r>
      <w:r w:rsidRPr="004C70EC">
        <w:rPr>
          <w:rFonts w:eastAsia="Times New Roman"/>
          <w:noProof/>
          <w:color w:val="000000" w:themeColor="text1"/>
          <w:szCs w:val="24"/>
          <w:lang w:eastAsia="en-IE"/>
        </w:rPr>
        <w:t>‘Combined study’ means a clinical trial concerning one or more medicinal products combined with a performance study of one or more in vitro diagnostic medical devices, as defined in Article 2</w:t>
      </w:r>
      <w:r w:rsidR="0F6F7637" w:rsidRPr="004C70EC">
        <w:rPr>
          <w:rFonts w:eastAsia="Times New Roman"/>
          <w:noProof/>
          <w:color w:val="000000" w:themeColor="text1"/>
          <w:szCs w:val="24"/>
          <w:lang w:eastAsia="en-IE"/>
        </w:rPr>
        <w:t xml:space="preserve"> point </w:t>
      </w:r>
      <w:r w:rsidRPr="004C70EC">
        <w:rPr>
          <w:rFonts w:eastAsia="Times New Roman"/>
          <w:noProof/>
          <w:color w:val="000000" w:themeColor="text1"/>
          <w:szCs w:val="24"/>
          <w:lang w:eastAsia="en-IE"/>
        </w:rPr>
        <w:t>(42) of Regulation (EU) 2017/746</w:t>
      </w:r>
      <w:r w:rsidR="7E944E9A" w:rsidRPr="004C70EC">
        <w:rPr>
          <w:rFonts w:eastAsia="Times New Roman"/>
          <w:noProof/>
          <w:color w:val="000000" w:themeColor="text1"/>
          <w:szCs w:val="24"/>
          <w:lang w:eastAsia="en-IE"/>
        </w:rPr>
        <w:t xml:space="preserve"> of the European Parliament and of the Council </w:t>
      </w:r>
      <w:r w:rsidR="6B45E99A"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and/or clinical investigation of one or more medical devices as defined in Article 2</w:t>
      </w:r>
      <w:r w:rsidR="7E944E9A" w:rsidRPr="004C70EC">
        <w:rPr>
          <w:rFonts w:eastAsia="Times New Roman"/>
          <w:noProof/>
          <w:color w:val="000000" w:themeColor="text1"/>
          <w:szCs w:val="24"/>
          <w:lang w:eastAsia="en-IE"/>
        </w:rPr>
        <w:t xml:space="preserve"> point </w:t>
      </w:r>
      <w:r w:rsidRPr="004C70EC">
        <w:rPr>
          <w:rFonts w:eastAsia="Times New Roman"/>
          <w:noProof/>
          <w:color w:val="000000" w:themeColor="text1"/>
          <w:szCs w:val="24"/>
          <w:lang w:eastAsia="en-IE"/>
        </w:rPr>
        <w:t>(45) of Regulation (EU) 2017/745</w:t>
      </w:r>
      <w:r w:rsidR="7E944E9A" w:rsidRPr="004C70EC">
        <w:rPr>
          <w:rFonts w:eastAsia="Times New Roman"/>
          <w:noProof/>
          <w:color w:val="000000" w:themeColor="text1"/>
          <w:szCs w:val="24"/>
          <w:lang w:eastAsia="en-IE"/>
        </w:rPr>
        <w:t xml:space="preserve"> of the European Parliament and of the Council</w:t>
      </w:r>
      <w:r w:rsidR="6B45E99A" w:rsidRPr="004C70EC">
        <w:rPr>
          <w:rFonts w:eastAsia="Times New Roman"/>
          <w:noProof/>
          <w:color w:val="000000" w:themeColor="text1"/>
          <w:szCs w:val="24"/>
          <w:lang w:eastAsia="en-IE"/>
        </w:rPr>
        <w:t xml:space="preserve"> **</w:t>
      </w:r>
      <w:r w:rsidRPr="004C70EC">
        <w:rPr>
          <w:rFonts w:eastAsia="Times New Roman"/>
          <w:noProof/>
          <w:color w:val="000000" w:themeColor="text1"/>
          <w:szCs w:val="24"/>
          <w:lang w:eastAsia="en-IE"/>
        </w:rPr>
        <w:t>;</w:t>
      </w:r>
    </w:p>
    <w:p w14:paraId="04C853A2" w14:textId="77777777" w:rsidR="004247A8" w:rsidRPr="004C70EC" w:rsidRDefault="2F263E33" w:rsidP="33CE1D06">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(45)</w:t>
      </w:r>
      <w:r w:rsidRPr="004C70EC">
        <w:rPr>
          <w:noProof/>
          <w:color w:val="000000" w:themeColor="text1"/>
          <w:szCs w:val="24"/>
        </w:rPr>
        <w:tab/>
      </w:r>
      <w:r w:rsidRPr="004C70EC">
        <w:rPr>
          <w:rFonts w:eastAsia="Times New Roman"/>
          <w:noProof/>
          <w:color w:val="000000" w:themeColor="text1"/>
          <w:szCs w:val="24"/>
          <w:lang w:eastAsia="en-IE"/>
        </w:rPr>
        <w:t xml:space="preserve">'Regulatory sandbox' means a regulatory framework </w:t>
      </w:r>
      <w:r w:rsidR="5BDEC634" w:rsidRPr="004C70EC">
        <w:rPr>
          <w:rFonts w:eastAsia="Times New Roman"/>
          <w:noProof/>
          <w:color w:val="000000" w:themeColor="text1"/>
          <w:szCs w:val="24"/>
          <w:lang w:eastAsia="en-IE"/>
        </w:rPr>
        <w:t>that</w:t>
      </w:r>
      <w:r w:rsidRPr="004C70EC">
        <w:rPr>
          <w:rFonts w:eastAsia="Times New Roman"/>
          <w:noProof/>
          <w:color w:val="000000" w:themeColor="text1"/>
          <w:szCs w:val="24"/>
          <w:lang w:eastAsia="en-IE"/>
        </w:rPr>
        <w:t xml:space="preserve"> allows for the development</w:t>
      </w:r>
      <w:r w:rsidR="7EB7F74C" w:rsidRPr="004C70EC">
        <w:rPr>
          <w:rFonts w:eastAsia="Times New Roman"/>
          <w:noProof/>
          <w:color w:val="000000" w:themeColor="text1"/>
          <w:szCs w:val="24"/>
          <w:lang w:eastAsia="en-IE"/>
        </w:rPr>
        <w:t xml:space="preserve"> </w:t>
      </w:r>
      <w:r w:rsidRPr="004C70EC">
        <w:rPr>
          <w:rFonts w:eastAsia="Times New Roman"/>
          <w:noProof/>
          <w:color w:val="000000" w:themeColor="text1"/>
          <w:szCs w:val="24"/>
          <w:lang w:eastAsia="en-IE"/>
        </w:rPr>
        <w:t xml:space="preserve">and testing of innovative or adapted regulatory </w:t>
      </w:r>
      <w:r w:rsidR="1268C1FE" w:rsidRPr="004C70EC">
        <w:rPr>
          <w:rFonts w:eastAsia="Times New Roman"/>
          <w:noProof/>
          <w:color w:val="000000" w:themeColor="text1"/>
          <w:szCs w:val="24"/>
          <w:lang w:eastAsia="en-IE"/>
        </w:rPr>
        <w:t xml:space="preserve"> approache</w:t>
      </w:r>
      <w:r w:rsidRPr="004C70EC">
        <w:rPr>
          <w:rFonts w:eastAsia="Times New Roman"/>
          <w:noProof/>
          <w:color w:val="000000" w:themeColor="text1"/>
          <w:szCs w:val="24"/>
          <w:lang w:eastAsia="en-IE"/>
        </w:rPr>
        <w:t xml:space="preserve">s in a controlled environment pursuant to a specific plan, for a limited time and under regulatory supervision, that enables </w:t>
      </w:r>
      <w:r w:rsidR="50A8C134" w:rsidRPr="004C70EC">
        <w:rPr>
          <w:rFonts w:eastAsia="Times New Roman"/>
          <w:noProof/>
          <w:color w:val="000000" w:themeColor="text1"/>
          <w:szCs w:val="24"/>
          <w:lang w:eastAsia="en-IE"/>
        </w:rPr>
        <w:t xml:space="preserve">innovation driven </w:t>
      </w:r>
      <w:r w:rsidR="2CC41214" w:rsidRPr="004C70EC">
        <w:rPr>
          <w:rFonts w:eastAsia="Times New Roman"/>
          <w:noProof/>
          <w:color w:val="000000" w:themeColor="text1"/>
          <w:szCs w:val="24"/>
          <w:lang w:eastAsia="en-IE"/>
        </w:rPr>
        <w:t xml:space="preserve">approaches to </w:t>
      </w:r>
      <w:r w:rsidR="3AA339A7" w:rsidRPr="004C70EC">
        <w:rPr>
          <w:rFonts w:eastAsia="Times New Roman"/>
          <w:noProof/>
          <w:color w:val="000000" w:themeColor="text1"/>
          <w:szCs w:val="24"/>
          <w:lang w:eastAsia="en-IE"/>
        </w:rPr>
        <w:t xml:space="preserve">an </w:t>
      </w:r>
      <w:r w:rsidR="36C153B4" w:rsidRPr="004C70EC">
        <w:rPr>
          <w:rFonts w:eastAsia="Times New Roman"/>
          <w:noProof/>
          <w:color w:val="000000" w:themeColor="text1"/>
          <w:szCs w:val="24"/>
          <w:lang w:eastAsia="en-IE"/>
        </w:rPr>
        <w:t xml:space="preserve">authorisation </w:t>
      </w:r>
      <w:r w:rsidR="3AA339A7" w:rsidRPr="004C70EC">
        <w:rPr>
          <w:rFonts w:eastAsia="Times New Roman"/>
          <w:noProof/>
          <w:color w:val="000000" w:themeColor="text1"/>
          <w:szCs w:val="24"/>
          <w:lang w:eastAsia="en-IE"/>
        </w:rPr>
        <w:t xml:space="preserve"> and  conduct of clinical trials</w:t>
      </w:r>
      <w:r w:rsidRPr="004C70EC">
        <w:rPr>
          <w:rFonts w:eastAsia="Times New Roman"/>
          <w:noProof/>
          <w:color w:val="000000" w:themeColor="text1"/>
          <w:szCs w:val="24"/>
          <w:lang w:eastAsia="en-IE"/>
        </w:rPr>
        <w:t xml:space="preserve"> </w:t>
      </w:r>
      <w:r w:rsidR="0F2EC236" w:rsidRPr="004C70EC">
        <w:rPr>
          <w:rFonts w:eastAsia="Times New Roman"/>
          <w:noProof/>
          <w:color w:val="000000" w:themeColor="text1"/>
          <w:szCs w:val="24"/>
          <w:lang w:eastAsia="en-IE"/>
        </w:rPr>
        <w:t xml:space="preserve">that </w:t>
      </w:r>
      <w:r w:rsidR="2CC41214" w:rsidRPr="004C70EC">
        <w:rPr>
          <w:rFonts w:eastAsia="Times New Roman"/>
          <w:noProof/>
          <w:color w:val="000000" w:themeColor="text1"/>
          <w:szCs w:val="24"/>
          <w:lang w:eastAsia="en-IE"/>
        </w:rPr>
        <w:t xml:space="preserve"> </w:t>
      </w:r>
      <w:r w:rsidRPr="004C70EC">
        <w:rPr>
          <w:rFonts w:eastAsia="Times New Roman"/>
          <w:noProof/>
          <w:color w:val="000000" w:themeColor="text1"/>
          <w:szCs w:val="24"/>
          <w:lang w:eastAsia="en-IE"/>
        </w:rPr>
        <w:t xml:space="preserve">otherwise </w:t>
      </w:r>
      <w:r w:rsidR="50A8C134" w:rsidRPr="004C70EC">
        <w:rPr>
          <w:rFonts w:eastAsia="Times New Roman"/>
          <w:noProof/>
          <w:color w:val="000000" w:themeColor="text1"/>
          <w:szCs w:val="24"/>
          <w:lang w:eastAsia="en-IE"/>
        </w:rPr>
        <w:t xml:space="preserve">would </w:t>
      </w:r>
      <w:r w:rsidR="0F2EC236" w:rsidRPr="004C70EC">
        <w:rPr>
          <w:rFonts w:eastAsia="Times New Roman"/>
          <w:noProof/>
          <w:color w:val="000000" w:themeColor="text1"/>
          <w:szCs w:val="24"/>
          <w:lang w:eastAsia="en-IE"/>
        </w:rPr>
        <w:t xml:space="preserve"> not</w:t>
      </w:r>
      <w:r w:rsidRPr="004C70EC">
        <w:rPr>
          <w:rFonts w:eastAsia="Times New Roman"/>
          <w:noProof/>
          <w:color w:val="000000" w:themeColor="text1"/>
          <w:szCs w:val="24"/>
          <w:lang w:eastAsia="en-IE"/>
        </w:rPr>
        <w:t xml:space="preserve"> be possible or appropriate given current legal </w:t>
      </w:r>
      <w:r w:rsidR="50A8C134" w:rsidRPr="004C70EC">
        <w:rPr>
          <w:rFonts w:eastAsia="Times New Roman"/>
          <w:noProof/>
          <w:color w:val="000000" w:themeColor="text1"/>
          <w:szCs w:val="24"/>
          <w:lang w:eastAsia="en-IE"/>
        </w:rPr>
        <w:t>framework</w:t>
      </w:r>
      <w:r w:rsidRPr="004C70EC">
        <w:rPr>
          <w:rFonts w:eastAsia="Times New Roman"/>
          <w:noProof/>
          <w:color w:val="000000" w:themeColor="text1"/>
          <w:szCs w:val="24"/>
          <w:lang w:eastAsia="en-IE"/>
        </w:rPr>
        <w:t>;</w:t>
      </w:r>
      <w:r w:rsidR="6C64B925" w:rsidRPr="004C70EC">
        <w:rPr>
          <w:rFonts w:eastAsia="Times New Roman"/>
          <w:noProof/>
          <w:color w:val="000000" w:themeColor="text1"/>
          <w:szCs w:val="24"/>
          <w:lang w:eastAsia="en-IE"/>
        </w:rPr>
        <w:t>’</w:t>
      </w:r>
    </w:p>
    <w:p w14:paraId="143D206E" w14:textId="77777777" w:rsidR="00402BF2" w:rsidRPr="004C70EC" w:rsidRDefault="004247A8" w:rsidP="00600357">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(4</w:t>
      </w:r>
      <w:r w:rsidR="00E8535E" w:rsidRPr="004C70EC">
        <w:rPr>
          <w:rFonts w:eastAsia="Times New Roman"/>
          <w:noProof/>
          <w:color w:val="000000" w:themeColor="text1"/>
          <w:szCs w:val="24"/>
          <w:lang w:eastAsia="en-IE"/>
        </w:rPr>
        <w:t>6</w:t>
      </w:r>
      <w:r w:rsidRPr="004C70EC">
        <w:rPr>
          <w:rFonts w:eastAsia="Times New Roman"/>
          <w:noProof/>
          <w:color w:val="000000" w:themeColor="text1"/>
          <w:szCs w:val="24"/>
          <w:lang w:eastAsia="en-IE"/>
        </w:rPr>
        <w:t>)</w:t>
      </w:r>
      <w:r w:rsidR="00E8535E" w:rsidRPr="004C70EC">
        <w:rPr>
          <w:rFonts w:eastAsia="Times New Roman"/>
          <w:noProof/>
          <w:color w:val="000000" w:themeColor="text1"/>
          <w:szCs w:val="24"/>
          <w:lang w:eastAsia="en-IE"/>
        </w:rPr>
        <w:tab/>
      </w:r>
      <w:r w:rsidR="00EB4529"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w:t>
      </w:r>
      <w:r w:rsidR="00EB4529" w:rsidRPr="004C70EC">
        <w:rPr>
          <w:rFonts w:eastAsia="Times New Roman"/>
          <w:noProof/>
          <w:color w:val="000000" w:themeColor="text1"/>
          <w:szCs w:val="24"/>
          <w:lang w:eastAsia="en-IE"/>
        </w:rPr>
        <w:t xml:space="preserve">I system’ means </w:t>
      </w:r>
      <w:r w:rsidR="00270A36" w:rsidRPr="004C70EC">
        <w:rPr>
          <w:rFonts w:eastAsia="Times New Roman"/>
          <w:noProof/>
          <w:color w:val="000000" w:themeColor="text1"/>
          <w:szCs w:val="24"/>
          <w:lang w:eastAsia="en-IE"/>
        </w:rPr>
        <w:t>AI system as defined in Article 3(1) of Regulation (EU)</w:t>
      </w:r>
      <w:r w:rsidR="009A26A9" w:rsidRPr="004C70EC">
        <w:rPr>
          <w:rFonts w:eastAsia="Times New Roman"/>
          <w:noProof/>
          <w:color w:val="000000" w:themeColor="text1"/>
          <w:szCs w:val="24"/>
          <w:lang w:eastAsia="en-IE"/>
        </w:rPr>
        <w:t xml:space="preserve"> 2024/1689 of the European Parliament and of the Council***;</w:t>
      </w:r>
    </w:p>
    <w:p w14:paraId="0811E6BE" w14:textId="77777777" w:rsidR="007C03FF" w:rsidRPr="004C70EC" w:rsidRDefault="00402BF2" w:rsidP="00600357">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813833" w:rsidRPr="004C70EC">
        <w:rPr>
          <w:rFonts w:eastAsia="Times New Roman"/>
          <w:noProof/>
          <w:color w:val="000000" w:themeColor="text1"/>
          <w:szCs w:val="24"/>
          <w:lang w:eastAsia="en-IE"/>
        </w:rPr>
        <w:t>4</w:t>
      </w:r>
      <w:r w:rsidR="00E8535E" w:rsidRPr="004C70EC">
        <w:rPr>
          <w:rFonts w:eastAsia="Times New Roman"/>
          <w:noProof/>
          <w:color w:val="000000" w:themeColor="text1"/>
          <w:szCs w:val="24"/>
          <w:lang w:eastAsia="en-IE"/>
        </w:rPr>
        <w:t>7</w:t>
      </w:r>
      <w:r w:rsidR="00813833" w:rsidRPr="004C70EC">
        <w:rPr>
          <w:rFonts w:eastAsia="Times New Roman"/>
          <w:noProof/>
          <w:color w:val="000000" w:themeColor="text1"/>
          <w:szCs w:val="24"/>
          <w:lang w:eastAsia="en-IE"/>
        </w:rPr>
        <w:t>)</w:t>
      </w:r>
      <w:r w:rsidR="00E8535E" w:rsidRPr="004C70EC">
        <w:rPr>
          <w:rFonts w:eastAsia="Times New Roman"/>
          <w:noProof/>
          <w:color w:val="000000" w:themeColor="text1"/>
          <w:szCs w:val="24"/>
          <w:lang w:eastAsia="en-IE"/>
        </w:rPr>
        <w:tab/>
      </w:r>
      <w:r w:rsidR="00813833" w:rsidRPr="004C70EC">
        <w:rPr>
          <w:rFonts w:eastAsia="Times New Roman"/>
          <w:noProof/>
          <w:color w:val="000000" w:themeColor="text1"/>
          <w:szCs w:val="24"/>
          <w:lang w:eastAsia="en-IE"/>
        </w:rPr>
        <w:t>‘serious cross-border threat to health</w:t>
      </w:r>
      <w:r w:rsidR="0065661C" w:rsidRPr="004C70EC">
        <w:rPr>
          <w:rFonts w:eastAsia="Times New Roman"/>
          <w:noProof/>
          <w:color w:val="000000" w:themeColor="text1"/>
          <w:szCs w:val="24"/>
          <w:lang w:eastAsia="en-IE"/>
        </w:rPr>
        <w:t>’</w:t>
      </w:r>
      <w:r w:rsidR="005C1785" w:rsidRPr="004C70EC">
        <w:rPr>
          <w:rFonts w:eastAsia="Times New Roman"/>
          <w:noProof/>
          <w:color w:val="000000" w:themeColor="text1"/>
          <w:szCs w:val="24"/>
          <w:lang w:eastAsia="en-IE"/>
        </w:rPr>
        <w:t xml:space="preserve"> means</w:t>
      </w:r>
      <w:r w:rsidR="0065661C" w:rsidRPr="004C70EC">
        <w:rPr>
          <w:rFonts w:eastAsia="Times New Roman"/>
          <w:noProof/>
          <w:color w:val="000000" w:themeColor="text1"/>
          <w:szCs w:val="24"/>
          <w:lang w:eastAsia="en-IE"/>
        </w:rPr>
        <w:t xml:space="preserve"> </w:t>
      </w:r>
      <w:r w:rsidR="004C2057" w:rsidRPr="004C70EC">
        <w:rPr>
          <w:rFonts w:eastAsia="Times New Roman"/>
          <w:noProof/>
          <w:color w:val="000000" w:themeColor="text1"/>
          <w:szCs w:val="24"/>
          <w:lang w:eastAsia="en-IE"/>
        </w:rPr>
        <w:t>serious cross-border threat to health as defined in Article 3(1) of Regulation</w:t>
      </w:r>
      <w:r w:rsidR="00CF41A1" w:rsidRPr="004C70EC">
        <w:rPr>
          <w:rFonts w:eastAsia="Times New Roman"/>
          <w:noProof/>
          <w:color w:val="000000" w:themeColor="text1"/>
          <w:szCs w:val="24"/>
          <w:lang w:eastAsia="en-IE"/>
        </w:rPr>
        <w:t xml:space="preserve"> (EU) 2022/2371</w:t>
      </w:r>
      <w:r w:rsidR="00B6276E" w:rsidRPr="004C70EC">
        <w:rPr>
          <w:rFonts w:eastAsia="Times New Roman"/>
          <w:noProof/>
          <w:color w:val="000000" w:themeColor="text1"/>
          <w:szCs w:val="24"/>
          <w:lang w:eastAsia="en-IE"/>
        </w:rPr>
        <w:t xml:space="preserve"> of the European Parliament and of the Council****</w:t>
      </w:r>
      <w:r w:rsidR="007A1733" w:rsidRPr="004C70EC">
        <w:rPr>
          <w:rFonts w:eastAsia="Times New Roman"/>
          <w:noProof/>
          <w:color w:val="000000" w:themeColor="text1"/>
          <w:szCs w:val="24"/>
          <w:lang w:eastAsia="en-IE"/>
        </w:rPr>
        <w:t>‘</w:t>
      </w:r>
    </w:p>
    <w:p w14:paraId="31CDC524" w14:textId="77777777" w:rsidR="007C03FF" w:rsidRPr="004C70EC" w:rsidRDefault="007C03FF" w:rsidP="00600357">
      <w:pPr>
        <w:pStyle w:val="Point2"/>
        <w:pBdr>
          <w:bottom w:val="single" w:sz="6" w:space="1" w:color="auto"/>
        </w:pBdr>
        <w:rPr>
          <w:rFonts w:eastAsia="Times New Roman"/>
          <w:noProof/>
          <w:color w:val="000000" w:themeColor="text1"/>
          <w:szCs w:val="24"/>
          <w:lang w:eastAsia="en-IE"/>
        </w:rPr>
      </w:pPr>
    </w:p>
    <w:p w14:paraId="3E10BFCF" w14:textId="77777777" w:rsidR="007C03FF" w:rsidRPr="004C70EC" w:rsidRDefault="007C03FF" w:rsidP="00600357">
      <w:pPr>
        <w:pStyle w:val="Point2"/>
        <w:rPr>
          <w:noProof/>
          <w:color w:val="000000" w:themeColor="text1"/>
          <w:szCs w:val="24"/>
        </w:rPr>
      </w:pPr>
      <w:r w:rsidRPr="004C70EC">
        <w:rPr>
          <w:rFonts w:eastAsia="Times New Roman"/>
          <w:noProof/>
          <w:color w:val="000000" w:themeColor="text1"/>
          <w:szCs w:val="24"/>
          <w:lang w:eastAsia="en-IE"/>
        </w:rPr>
        <w:t>*</w:t>
      </w:r>
      <w:r w:rsidRPr="004C70EC">
        <w:rPr>
          <w:noProof/>
          <w:color w:val="000000" w:themeColor="text1"/>
          <w:szCs w:val="24"/>
        </w:rPr>
        <w:t xml:space="preserve"> </w:t>
      </w:r>
      <w:r w:rsidRPr="004C70EC">
        <w:rPr>
          <w:noProof/>
          <w:color w:val="000000" w:themeColor="text1"/>
          <w:szCs w:val="24"/>
        </w:rPr>
        <w:tab/>
        <w:t xml:space="preserve">Regulation (EU) 2017/746 of the European Parliament and of the Council of 5 April 2017 on in vitro diagnostic medical devices and repealing Directive 98/79/EC and Commission Decision 2010/227/EU </w:t>
      </w:r>
      <w:r w:rsidR="000310A7" w:rsidRPr="004C70EC">
        <w:rPr>
          <w:noProof/>
          <w:color w:val="000000" w:themeColor="text1"/>
          <w:szCs w:val="24"/>
        </w:rPr>
        <w:t>(</w:t>
      </w:r>
      <w:r w:rsidRPr="004C70EC">
        <w:rPr>
          <w:noProof/>
          <w:color w:val="000000" w:themeColor="text1"/>
          <w:szCs w:val="24"/>
        </w:rPr>
        <w:t>JO 5.5.2017, L117/176.,  </w:t>
      </w:r>
      <w:r w:rsidRPr="004C70EC">
        <w:rPr>
          <w:noProof/>
          <w:color w:val="000000" w:themeColor="text1"/>
          <w:szCs w:val="24"/>
          <w:shd w:val="clear" w:color="auto" w:fill="FFFFFF"/>
        </w:rPr>
        <w:t>ELI: </w:t>
      </w:r>
      <w:hyperlink r:id="rId24" w:tooltip="Gives access to this document through its ELI URI." w:history="1">
        <w:r w:rsidRPr="004C70EC">
          <w:rPr>
            <w:noProof/>
            <w:color w:val="000000" w:themeColor="text1"/>
            <w:szCs w:val="24"/>
            <w:u w:val="single"/>
            <w:shd w:val="clear" w:color="auto" w:fill="FFFFFF"/>
          </w:rPr>
          <w:t>http://data.europa.eu/eli/reg/2017/746/oj</w:t>
        </w:r>
      </w:hyperlink>
      <w:r w:rsidR="000310A7" w:rsidRPr="004C70EC">
        <w:rPr>
          <w:noProof/>
          <w:color w:val="000000" w:themeColor="text1"/>
          <w:szCs w:val="24"/>
        </w:rPr>
        <w:t>)</w:t>
      </w:r>
      <w:r w:rsidRPr="004C70EC">
        <w:rPr>
          <w:noProof/>
          <w:color w:val="000000" w:themeColor="text1"/>
          <w:szCs w:val="24"/>
        </w:rPr>
        <w:t>.</w:t>
      </w:r>
    </w:p>
    <w:p w14:paraId="239B37DA" w14:textId="77777777" w:rsidR="009A26A9" w:rsidRPr="004C70EC" w:rsidRDefault="007C03FF" w:rsidP="00600357">
      <w:pPr>
        <w:pStyle w:val="Point2"/>
        <w:rPr>
          <w:noProof/>
          <w:color w:val="000000" w:themeColor="text1"/>
          <w:szCs w:val="24"/>
        </w:rPr>
      </w:pPr>
      <w:r w:rsidRPr="004C70EC">
        <w:rPr>
          <w:rFonts w:eastAsia="Times New Roman"/>
          <w:noProof/>
          <w:color w:val="000000" w:themeColor="text1"/>
          <w:szCs w:val="24"/>
          <w:lang w:eastAsia="en-IE"/>
        </w:rPr>
        <w:t>**</w:t>
      </w:r>
      <w:r w:rsidRPr="004C70EC">
        <w:rPr>
          <w:noProof/>
          <w:color w:val="000000" w:themeColor="text1"/>
          <w:szCs w:val="24"/>
        </w:rPr>
        <w:tab/>
        <w:t xml:space="preserve">Regulation (EU) 2017/745 of the European Parliament and of the Council of 5 April 2017 on medical devices, amending Directive 2001/83/EC, Regulation (EC) No 178/2002 and Regulation (EC) No 1223/2009 and repealing Council Directives 90/385/EEC and 93/42/EEC </w:t>
      </w:r>
      <w:r w:rsidR="005E58EC" w:rsidRPr="004C70EC">
        <w:rPr>
          <w:noProof/>
          <w:color w:val="000000" w:themeColor="text1"/>
          <w:szCs w:val="24"/>
        </w:rPr>
        <w:t>(</w:t>
      </w:r>
      <w:r w:rsidRPr="004C70EC">
        <w:rPr>
          <w:noProof/>
          <w:color w:val="000000" w:themeColor="text1"/>
          <w:szCs w:val="24"/>
        </w:rPr>
        <w:t>JO 5.5.2017, L 117/1., ELI: </w:t>
      </w:r>
      <w:hyperlink r:id="rId25" w:tooltip="Gives access to this document through its ELI URI." w:history="1">
        <w:r w:rsidRPr="004C70EC">
          <w:rPr>
            <w:noProof/>
            <w:color w:val="000000" w:themeColor="text1"/>
            <w:szCs w:val="24"/>
            <w:u w:val="single"/>
          </w:rPr>
          <w:t>http://data.europa.eu/eli/reg/2017/745/oj</w:t>
        </w:r>
      </w:hyperlink>
      <w:r w:rsidR="000310A7" w:rsidRPr="004C70EC">
        <w:rPr>
          <w:noProof/>
          <w:color w:val="000000" w:themeColor="text1"/>
          <w:szCs w:val="24"/>
        </w:rPr>
        <w:t>)</w:t>
      </w:r>
      <w:r w:rsidRPr="004C70EC">
        <w:rPr>
          <w:noProof/>
          <w:color w:val="000000" w:themeColor="text1"/>
          <w:szCs w:val="24"/>
        </w:rPr>
        <w:t>.</w:t>
      </w:r>
    </w:p>
    <w:p w14:paraId="14BA5CE5" w14:textId="77777777" w:rsidR="00B6276E" w:rsidRPr="004C70EC" w:rsidRDefault="009A26A9" w:rsidP="00600357">
      <w:pPr>
        <w:pStyle w:val="Point2"/>
        <w:rPr>
          <w:noProof/>
          <w:color w:val="000000" w:themeColor="text1"/>
          <w:szCs w:val="24"/>
          <w:shd w:val="clear" w:color="auto" w:fill="FFFFFF"/>
        </w:rPr>
      </w:pPr>
      <w:r w:rsidRPr="004C70EC">
        <w:rPr>
          <w:rFonts w:eastAsia="Times New Roman"/>
          <w:noProof/>
          <w:color w:val="000000" w:themeColor="text1"/>
          <w:szCs w:val="24"/>
          <w:lang w:eastAsia="en-IE"/>
        </w:rPr>
        <w:t xml:space="preserve">*** </w:t>
      </w:r>
      <w:r w:rsidR="003F4610" w:rsidRPr="004C70EC">
        <w:rPr>
          <w:noProof/>
          <w:color w:val="000000" w:themeColor="text1"/>
          <w:szCs w:val="24"/>
        </w:rPr>
        <w:tab/>
        <w:t>Regulation (EU) 2024/1689 of the European Parliament and of the Council of 13 June 2024 laying down harmonised rules on artificial intelligence and amending Regulations (EC) No 300/2008, (EU) No 167/2013, (EU) No 168/2013, (EU) 2018/858, (EU) 2018/1139 and (EU) 2019/2144 and Directives 2014/90/EU, (EU) 2016/797 and (EU) 2020/1828 (OJ L, 2024/1689, 12.7.2024, ELI: </w:t>
      </w:r>
      <w:hyperlink r:id="rId26" w:tgtFrame="_blank" w:tooltip="Gives access to this document through its ELI URI." w:history="1">
        <w:r w:rsidR="003F4610" w:rsidRPr="004C70EC">
          <w:rPr>
            <w:noProof/>
            <w:color w:val="000000" w:themeColor="text1"/>
            <w:szCs w:val="24"/>
            <w:u w:val="single"/>
          </w:rPr>
          <w:t>http://data.europa.eu/eli/reg/2024/1689/oj</w:t>
        </w:r>
      </w:hyperlink>
      <w:r w:rsidR="005E58EC" w:rsidRPr="004C70EC">
        <w:rPr>
          <w:noProof/>
          <w:color w:val="000000" w:themeColor="text1"/>
          <w:szCs w:val="24"/>
        </w:rPr>
        <w:t>)</w:t>
      </w:r>
    </w:p>
    <w:p w14:paraId="4C8A8798" w14:textId="77777777" w:rsidR="00273F36" w:rsidRPr="004C70EC" w:rsidRDefault="00B6276E" w:rsidP="00600357">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 xml:space="preserve">**** </w:t>
      </w:r>
      <w:r w:rsidRPr="004C70EC">
        <w:rPr>
          <w:noProof/>
          <w:color w:val="000000" w:themeColor="text1"/>
          <w:szCs w:val="24"/>
        </w:rPr>
        <w:t>Regulation (EU) 2022/2371 of the European Parliament and of the Council of 23 November 2022 on serious cross-border threats to health and repealing Decision No 1082/2013/EU (OJ L 314, 6.12.2022, p. 26, http://data.europa.eu/eli/reg/2022/2371/oj).</w:t>
      </w:r>
    </w:p>
    <w:p w14:paraId="7980BA37" w14:textId="77777777" w:rsidR="00554E4A" w:rsidRPr="004C70EC" w:rsidRDefault="00600357" w:rsidP="00600357">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(2)</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 xml:space="preserve">Article 3 is </w:t>
      </w:r>
      <w:r w:rsidR="008419DE" w:rsidRPr="004C70EC">
        <w:rPr>
          <w:rFonts w:eastAsia="Times New Roman"/>
          <w:noProof/>
          <w:color w:val="000000" w:themeColor="text1"/>
          <w:szCs w:val="24"/>
          <w:lang w:eastAsia="en-IE"/>
        </w:rPr>
        <w:t>replaced</w:t>
      </w:r>
      <w:r w:rsidR="00554E4A" w:rsidRPr="004C70EC">
        <w:rPr>
          <w:rFonts w:eastAsia="Times New Roman"/>
          <w:noProof/>
          <w:color w:val="000000" w:themeColor="text1"/>
          <w:szCs w:val="24"/>
          <w:lang w:eastAsia="en-IE"/>
        </w:rPr>
        <w:t xml:space="preserve"> by the following</w:t>
      </w:r>
      <w:r w:rsidR="00800349" w:rsidRPr="004C70EC">
        <w:rPr>
          <w:rFonts w:eastAsia="Times New Roman"/>
          <w:noProof/>
          <w:color w:val="000000" w:themeColor="text1"/>
          <w:szCs w:val="24"/>
          <w:lang w:eastAsia="en-IE"/>
        </w:rPr>
        <w:t>:</w:t>
      </w:r>
      <w:r w:rsidR="00554E4A" w:rsidRPr="004C70EC">
        <w:rPr>
          <w:rFonts w:eastAsia="Times New Roman"/>
          <w:noProof/>
          <w:color w:val="000000" w:themeColor="text1"/>
          <w:szCs w:val="24"/>
          <w:lang w:eastAsia="en-IE"/>
        </w:rPr>
        <w:t xml:space="preserve"> </w:t>
      </w:r>
    </w:p>
    <w:p w14:paraId="5A74D4AD" w14:textId="77777777" w:rsidR="00554E4A" w:rsidRPr="004C70EC" w:rsidRDefault="00800349" w:rsidP="00804A93">
      <w:pPr>
        <w:pStyle w:val="Titrearticle"/>
        <w:rPr>
          <w:rFonts w:eastAsia="Times New Roman"/>
          <w:i w:val="0"/>
          <w:noProof/>
          <w:color w:val="000000" w:themeColor="text1"/>
          <w:szCs w:val="24"/>
          <w:lang w:eastAsia="en-IE"/>
        </w:rPr>
      </w:pPr>
      <w:r w:rsidRPr="004C70EC">
        <w:rPr>
          <w:rFonts w:eastAsia="Times New Roman"/>
          <w:noProof/>
          <w:color w:val="000000" w:themeColor="text1"/>
          <w:szCs w:val="24"/>
          <w:lang w:eastAsia="en-IE"/>
        </w:rPr>
        <w:t>‘</w:t>
      </w:r>
      <w:r w:rsidR="00554E4A" w:rsidRPr="004C70EC">
        <w:rPr>
          <w:rFonts w:eastAsia="Times New Roman"/>
          <w:noProof/>
          <w:color w:val="000000" w:themeColor="text1"/>
          <w:szCs w:val="24"/>
          <w:lang w:eastAsia="en-IE"/>
        </w:rPr>
        <w:t>Article 3</w:t>
      </w:r>
    </w:p>
    <w:p w14:paraId="4F0FE510" w14:textId="77777777" w:rsidR="00554E4A" w:rsidRPr="004C70EC" w:rsidRDefault="00554E4A" w:rsidP="00804A93">
      <w:pPr>
        <w:jc w:val="center"/>
        <w:rPr>
          <w:rFonts w:eastAsia="Times New Roman"/>
          <w:i/>
          <w:noProof/>
          <w:color w:val="000000" w:themeColor="text1"/>
          <w:szCs w:val="24"/>
          <w:lang w:eastAsia="en-IE"/>
        </w:rPr>
      </w:pPr>
      <w:r w:rsidRPr="004C70EC">
        <w:rPr>
          <w:rFonts w:eastAsia="Times New Roman"/>
          <w:i/>
          <w:noProof/>
          <w:color w:val="000000" w:themeColor="text1"/>
          <w:szCs w:val="24"/>
          <w:lang w:eastAsia="en-IE"/>
        </w:rPr>
        <w:t>General principles</w:t>
      </w:r>
    </w:p>
    <w:p w14:paraId="2FD36617" w14:textId="77777777" w:rsidR="00A066AC" w:rsidRPr="004C70EC" w:rsidRDefault="00804A93" w:rsidP="00804A93">
      <w:pPr>
        <w:pStyle w:val="Point1"/>
        <w:rPr>
          <w:noProof/>
          <w:color w:val="000000" w:themeColor="text1"/>
          <w:szCs w:val="24"/>
          <w:lang w:eastAsia="en-IE"/>
        </w:rPr>
      </w:pPr>
      <w:r w:rsidRPr="004C70EC">
        <w:rPr>
          <w:noProof/>
          <w:color w:val="000000" w:themeColor="text1"/>
          <w:szCs w:val="24"/>
          <w:lang w:eastAsia="en-IE"/>
        </w:rPr>
        <w:t>1.</w:t>
      </w:r>
      <w:r w:rsidRPr="004C70EC">
        <w:rPr>
          <w:noProof/>
          <w:color w:val="000000" w:themeColor="text1"/>
          <w:szCs w:val="24"/>
          <w:lang w:eastAsia="en-IE"/>
        </w:rPr>
        <w:tab/>
      </w:r>
      <w:r w:rsidR="00A066AC" w:rsidRPr="004C70EC">
        <w:rPr>
          <w:noProof/>
          <w:color w:val="000000" w:themeColor="text1"/>
          <w:szCs w:val="24"/>
          <w:lang w:eastAsia="en-IE"/>
        </w:rPr>
        <w:t>A clinical trial may be conducted only if:</w:t>
      </w:r>
    </w:p>
    <w:p w14:paraId="5C003A93" w14:textId="77777777" w:rsidR="00A066AC" w:rsidRPr="004C70EC" w:rsidRDefault="00A066AC" w:rsidP="00513C5B">
      <w:pPr>
        <w:pStyle w:val="Point2"/>
        <w:rPr>
          <w:noProof/>
          <w:color w:val="000000" w:themeColor="text1"/>
          <w:szCs w:val="24"/>
          <w:lang w:val="en-IE" w:eastAsia="en-GB"/>
        </w:rPr>
      </w:pPr>
      <w:r w:rsidRPr="004C70EC">
        <w:rPr>
          <w:noProof/>
          <w:color w:val="000000" w:themeColor="text1"/>
          <w:szCs w:val="24"/>
          <w:lang w:eastAsia="en-IE"/>
        </w:rPr>
        <w:t>(a)</w:t>
      </w:r>
      <w:r w:rsidR="00513C5B" w:rsidRPr="004C70EC">
        <w:rPr>
          <w:noProof/>
          <w:color w:val="000000" w:themeColor="text1"/>
          <w:szCs w:val="24"/>
          <w:lang w:eastAsia="en-IE"/>
        </w:rPr>
        <w:tab/>
      </w:r>
      <w:r w:rsidRPr="004C70EC">
        <w:rPr>
          <w:noProof/>
          <w:color w:val="000000" w:themeColor="text1"/>
          <w:szCs w:val="24"/>
          <w:lang w:eastAsia="en-IE"/>
        </w:rPr>
        <w:t>the rights, safety, dignity and well-being of subjects are protected and prevail over all other interests; and</w:t>
      </w:r>
    </w:p>
    <w:p w14:paraId="0FD3F86A" w14:textId="77777777" w:rsidR="00273F36" w:rsidRPr="004C70EC" w:rsidRDefault="00A066AC" w:rsidP="00513C5B">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eastAsia="en-IE"/>
        </w:rPr>
        <w:t>(b)</w:t>
      </w:r>
      <w:r w:rsidR="00513C5B" w:rsidRPr="004C70EC">
        <w:rPr>
          <w:rFonts w:eastAsia="Times New Roman"/>
          <w:noProof/>
          <w:color w:val="000000" w:themeColor="text1"/>
          <w:szCs w:val="24"/>
          <w:lang w:eastAsia="en-IE"/>
        </w:rPr>
        <w:tab/>
      </w:r>
      <w:r w:rsidRPr="004C70EC">
        <w:rPr>
          <w:rFonts w:eastAsia="Times New Roman"/>
          <w:noProof/>
          <w:color w:val="000000" w:themeColor="text1"/>
          <w:szCs w:val="24"/>
          <w:lang w:eastAsia="en-IE"/>
        </w:rPr>
        <w:t>it is designed to generate reliable and robust data.</w:t>
      </w:r>
    </w:p>
    <w:p w14:paraId="51EDBA45" w14:textId="77777777" w:rsidR="00273F36" w:rsidRPr="004C70EC" w:rsidRDefault="00273F36" w:rsidP="00513C5B">
      <w:pPr>
        <w:pStyle w:val="Point1"/>
        <w:rPr>
          <w:noProof/>
          <w:color w:val="000000" w:themeColor="text1"/>
          <w:szCs w:val="24"/>
          <w:lang w:eastAsia="en-IE"/>
        </w:rPr>
      </w:pPr>
      <w:r w:rsidRPr="004C70EC">
        <w:rPr>
          <w:noProof/>
          <w:color w:val="000000" w:themeColor="text1"/>
          <w:szCs w:val="24"/>
          <w:lang w:eastAsia="en-IE"/>
        </w:rPr>
        <w:t>2.</w:t>
      </w:r>
      <w:r w:rsidR="00600357" w:rsidRPr="004C70EC">
        <w:rPr>
          <w:noProof/>
          <w:color w:val="000000" w:themeColor="text1"/>
          <w:szCs w:val="24"/>
        </w:rPr>
        <w:tab/>
      </w:r>
      <w:r w:rsidRPr="004C70EC">
        <w:rPr>
          <w:noProof/>
          <w:color w:val="000000" w:themeColor="text1"/>
          <w:szCs w:val="24"/>
          <w:lang w:eastAsia="en-IE"/>
        </w:rPr>
        <w:t>Member States concerned shall cooperate closely and efficiently to ensure the effective and timely application of the provisions of this Regulation.</w:t>
      </w:r>
    </w:p>
    <w:p w14:paraId="280FD903" w14:textId="77777777" w:rsidR="00273F36" w:rsidRPr="004C70EC" w:rsidRDefault="00273F36" w:rsidP="00513C5B">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3.</w:t>
      </w:r>
      <w:r w:rsidR="00600357" w:rsidRPr="004C70EC">
        <w:rPr>
          <w:noProof/>
          <w:color w:val="000000" w:themeColor="text1"/>
          <w:szCs w:val="24"/>
        </w:rPr>
        <w:tab/>
      </w:r>
      <w:r w:rsidRPr="004C70EC">
        <w:rPr>
          <w:rFonts w:eastAsia="Times New Roman"/>
          <w:noProof/>
          <w:color w:val="000000" w:themeColor="text1"/>
          <w:szCs w:val="24"/>
          <w:lang w:eastAsia="en-IE"/>
        </w:rPr>
        <w:t xml:space="preserve">Member States shall take into account whether a clinical trial is a </w:t>
      </w:r>
      <w:r w:rsidR="2F3EF898" w:rsidRPr="004C70EC">
        <w:rPr>
          <w:rFonts w:eastAsia="Times New Roman"/>
          <w:noProof/>
          <w:color w:val="000000" w:themeColor="text1"/>
          <w:szCs w:val="24"/>
          <w:lang w:eastAsia="en-IE"/>
        </w:rPr>
        <w:t xml:space="preserve">minimal-intervention or </w:t>
      </w:r>
      <w:r w:rsidRPr="004C70EC">
        <w:rPr>
          <w:rFonts w:eastAsia="Times New Roman"/>
          <w:noProof/>
          <w:color w:val="000000" w:themeColor="text1"/>
          <w:szCs w:val="24"/>
          <w:lang w:eastAsia="en-IE"/>
        </w:rPr>
        <w:t>low-intervention  clinical trial and, where this is the case, adapt the regulatory requirements throughout the lifecycle of such clinical trial, in particular with regard to the application dossier, the authorisation procedures, the safety reporting and oversight.</w:t>
      </w:r>
      <w:r w:rsidR="004047B8" w:rsidRPr="004C70EC">
        <w:rPr>
          <w:rFonts w:eastAsia="Times New Roman"/>
          <w:noProof/>
          <w:color w:val="000000" w:themeColor="text1"/>
          <w:szCs w:val="24"/>
          <w:lang w:eastAsia="en-IE"/>
        </w:rPr>
        <w:t>’</w:t>
      </w:r>
    </w:p>
    <w:p w14:paraId="030509CE" w14:textId="77777777" w:rsidR="00A50EE0" w:rsidRPr="004C70EC" w:rsidRDefault="00A50EE0" w:rsidP="0058181D">
      <w:pPr>
        <w:pStyle w:val="Point2"/>
        <w:ind w:left="0" w:firstLine="0"/>
        <w:rPr>
          <w:rFonts w:eastAsia="Times New Roman"/>
          <w:noProof/>
          <w:color w:val="000000" w:themeColor="text1"/>
          <w:szCs w:val="24"/>
          <w:lang w:eastAsia="en-IE"/>
        </w:rPr>
      </w:pPr>
    </w:p>
    <w:p w14:paraId="7355E2C6" w14:textId="77777777" w:rsidR="00273F36" w:rsidRPr="004C70EC" w:rsidRDefault="00600357" w:rsidP="00600357">
      <w:pPr>
        <w:pStyle w:val="Point0"/>
        <w:rPr>
          <w:rFonts w:eastAsia="Times New Roman"/>
          <w:noProof/>
          <w:color w:val="000000" w:themeColor="text1"/>
          <w:szCs w:val="24"/>
          <w:lang w:eastAsia="en-GB"/>
        </w:rPr>
      </w:pPr>
      <w:r w:rsidRPr="004C70EC">
        <w:rPr>
          <w:rFonts w:eastAsia="Times New Roman"/>
          <w:noProof/>
          <w:color w:val="000000" w:themeColor="text1"/>
          <w:szCs w:val="24"/>
          <w:lang w:eastAsia="en-GB"/>
        </w:rPr>
        <w:t>(3)</w:t>
      </w:r>
      <w:r w:rsidRPr="004C70EC">
        <w:rPr>
          <w:rFonts w:eastAsia="Times New Roman"/>
          <w:noProof/>
          <w:color w:val="000000" w:themeColor="text1"/>
          <w:szCs w:val="24"/>
          <w:lang w:eastAsia="en-GB"/>
        </w:rPr>
        <w:tab/>
      </w:r>
      <w:r w:rsidR="00273F36" w:rsidRPr="004C70EC">
        <w:rPr>
          <w:rFonts w:eastAsia="Times New Roman"/>
          <w:noProof/>
          <w:color w:val="000000" w:themeColor="text1"/>
          <w:szCs w:val="24"/>
          <w:lang w:eastAsia="en-GB"/>
        </w:rPr>
        <w:t>Article</w:t>
      </w:r>
      <w:r w:rsidR="004047B8" w:rsidRPr="004C70EC">
        <w:rPr>
          <w:rFonts w:eastAsia="Times New Roman"/>
          <w:noProof/>
          <w:color w:val="000000" w:themeColor="text1"/>
          <w:szCs w:val="24"/>
          <w:lang w:eastAsia="en-GB"/>
        </w:rPr>
        <w:t>s</w:t>
      </w:r>
      <w:r w:rsidR="00273F36" w:rsidRPr="004C70EC">
        <w:rPr>
          <w:rFonts w:eastAsia="Times New Roman"/>
          <w:noProof/>
          <w:color w:val="000000" w:themeColor="text1"/>
          <w:szCs w:val="24"/>
          <w:lang w:eastAsia="en-GB"/>
        </w:rPr>
        <w:t xml:space="preserve"> 4 </w:t>
      </w:r>
      <w:r w:rsidR="004047B8" w:rsidRPr="004C70EC">
        <w:rPr>
          <w:rFonts w:eastAsia="Times New Roman"/>
          <w:noProof/>
          <w:color w:val="000000" w:themeColor="text1"/>
          <w:szCs w:val="24"/>
          <w:lang w:eastAsia="en-GB"/>
        </w:rPr>
        <w:t xml:space="preserve">and 5 </w:t>
      </w:r>
      <w:r w:rsidR="005A17D8" w:rsidRPr="004C70EC">
        <w:rPr>
          <w:rFonts w:eastAsia="Times New Roman"/>
          <w:noProof/>
          <w:color w:val="000000" w:themeColor="text1"/>
          <w:szCs w:val="24"/>
          <w:lang w:eastAsia="en-GB"/>
        </w:rPr>
        <w:t>a</w:t>
      </w:r>
      <w:r w:rsidR="004047B8" w:rsidRPr="004C70EC">
        <w:rPr>
          <w:rFonts w:eastAsia="Times New Roman"/>
          <w:noProof/>
          <w:color w:val="000000" w:themeColor="text1"/>
          <w:szCs w:val="24"/>
          <w:lang w:eastAsia="en-GB"/>
        </w:rPr>
        <w:t>re</w:t>
      </w:r>
      <w:r w:rsidR="00273F36" w:rsidRPr="004C70EC">
        <w:rPr>
          <w:rFonts w:eastAsia="Times New Roman"/>
          <w:noProof/>
          <w:color w:val="000000" w:themeColor="text1"/>
          <w:szCs w:val="24"/>
          <w:lang w:eastAsia="en-GB"/>
        </w:rPr>
        <w:t xml:space="preserve"> replaced by the following:</w:t>
      </w:r>
    </w:p>
    <w:p w14:paraId="40E9B5F3" w14:textId="77777777" w:rsidR="00273F36" w:rsidRPr="004C70EC" w:rsidRDefault="00FB050D" w:rsidP="00600357">
      <w:pPr>
        <w:pStyle w:val="Titrearticle"/>
        <w:rPr>
          <w:noProof/>
          <w:color w:val="000000" w:themeColor="text1"/>
          <w:szCs w:val="24"/>
          <w:lang w:val="en-IE" w:eastAsia="en-GB"/>
        </w:rPr>
      </w:pPr>
      <w:r w:rsidRPr="004C70EC">
        <w:rPr>
          <w:noProof/>
          <w:color w:val="000000" w:themeColor="text1"/>
          <w:szCs w:val="24"/>
          <w:lang w:val="en-IE" w:eastAsia="en-GB"/>
        </w:rPr>
        <w:t>’</w:t>
      </w:r>
      <w:r w:rsidR="00273F36" w:rsidRPr="004C70EC">
        <w:rPr>
          <w:noProof/>
          <w:color w:val="000000" w:themeColor="text1"/>
          <w:szCs w:val="24"/>
          <w:lang w:val="en-IE" w:eastAsia="en-GB"/>
        </w:rPr>
        <w:t>Article 4</w:t>
      </w:r>
    </w:p>
    <w:p w14:paraId="60F60AF6" w14:textId="77777777" w:rsidR="00273F36" w:rsidRPr="004C70EC" w:rsidRDefault="00273F36" w:rsidP="00600357">
      <w:pPr>
        <w:jc w:val="center"/>
        <w:rPr>
          <w:i/>
          <w:iCs/>
          <w:noProof/>
          <w:color w:val="000000" w:themeColor="text1"/>
          <w:szCs w:val="24"/>
          <w:lang w:val="en-IE" w:eastAsia="en-GB"/>
        </w:rPr>
      </w:pPr>
      <w:r w:rsidRPr="004C70EC">
        <w:rPr>
          <w:i/>
          <w:iCs/>
          <w:noProof/>
          <w:color w:val="000000" w:themeColor="text1"/>
          <w:szCs w:val="24"/>
          <w:lang w:val="en-IE" w:eastAsia="en-GB"/>
        </w:rPr>
        <w:t>Prior authorisation</w:t>
      </w:r>
    </w:p>
    <w:p w14:paraId="5A0F577B" w14:textId="77777777" w:rsidR="00273F36" w:rsidRPr="004C70EC" w:rsidRDefault="00273F36" w:rsidP="00600357">
      <w:pPr>
        <w:pStyle w:val="Text1"/>
        <w:rPr>
          <w:noProof/>
          <w:color w:val="000000" w:themeColor="text1"/>
          <w:szCs w:val="24"/>
          <w:lang w:val="en-IE" w:eastAsia="en-GB"/>
        </w:rPr>
      </w:pPr>
      <w:r w:rsidRPr="004C70EC">
        <w:rPr>
          <w:noProof/>
          <w:color w:val="000000" w:themeColor="text1"/>
          <w:szCs w:val="24"/>
          <w:lang w:val="en-IE" w:eastAsia="en-GB"/>
        </w:rPr>
        <w:t>A clinical trial shall be conducted only if it has been authorised by the Member State concerned in accordance with this Regulation. Applications for an authorisation shall be subject to scientific and ethical review.</w:t>
      </w:r>
    </w:p>
    <w:p w14:paraId="199BFAE7" w14:textId="77777777" w:rsidR="00273F36" w:rsidRPr="004C70EC" w:rsidRDefault="00273F36" w:rsidP="00600357">
      <w:pPr>
        <w:pStyle w:val="Tex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 xml:space="preserve">In clinical trials concerning more than one Member States (multinational clinical trials) all the Member States concerned including the reporting Member State shall cooperate in good faith and in spirit of mutual trust and reliance. The reporting Member State shall have a leading role in the assessments. </w:t>
      </w:r>
    </w:p>
    <w:p w14:paraId="0FF53501" w14:textId="77777777" w:rsidR="00273F36" w:rsidRPr="004C70EC" w:rsidRDefault="00273F36" w:rsidP="00600357">
      <w:pPr>
        <w:pStyle w:val="Tex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 xml:space="preserve">The ethical review shall be performed by an ethics committee in accordance with the law of the Member State concerned. The reporting Member State shall involve its ethics committee in the assessment of ethical aspects of Part I of the application dossier referred to in Article 6. </w:t>
      </w:r>
    </w:p>
    <w:p w14:paraId="4CFF2CF9" w14:textId="77777777" w:rsidR="00273F36" w:rsidRPr="004C70EC" w:rsidRDefault="00273F36" w:rsidP="00600357">
      <w:pPr>
        <w:pStyle w:val="Tex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Each Member State shall ensure that the organisation, timelines and procedures for the review by an ethics committee are compatible with the timelines and procedures set out in this Regulation for the assessment of the application for authorisation of a clinical trial and substantial modifications thereof.</w:t>
      </w:r>
    </w:p>
    <w:p w14:paraId="746D1C7A" w14:textId="77777777" w:rsidR="00273F36" w:rsidRPr="004C70EC" w:rsidRDefault="00273F36" w:rsidP="00600357">
      <w:pPr>
        <w:pStyle w:val="Titrearticle"/>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Article 5</w:t>
      </w:r>
    </w:p>
    <w:p w14:paraId="18EA743A" w14:textId="77777777" w:rsidR="00273F36" w:rsidRPr="004C70EC" w:rsidRDefault="00273F36" w:rsidP="00600357">
      <w:pPr>
        <w:jc w:val="center"/>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Submission of an application</w:t>
      </w:r>
    </w:p>
    <w:p w14:paraId="75798AF1" w14:textId="77777777" w:rsidR="00273F36" w:rsidRPr="004C70EC" w:rsidRDefault="00600357" w:rsidP="00600357">
      <w:pPr>
        <w:pStyle w:val="Point1"/>
        <w:rPr>
          <w:noProof/>
          <w:color w:val="000000" w:themeColor="text1"/>
          <w:szCs w:val="24"/>
          <w:lang w:val="en-IE" w:eastAsia="en-GB"/>
        </w:rPr>
      </w:pPr>
      <w:r w:rsidRPr="004C70EC">
        <w:rPr>
          <w:noProof/>
          <w:color w:val="000000" w:themeColor="text1"/>
          <w:szCs w:val="24"/>
          <w:lang w:val="en-IE" w:eastAsia="en-IE"/>
        </w:rPr>
        <w:t>1.</w:t>
      </w:r>
      <w:r w:rsidRPr="004C70EC">
        <w:rPr>
          <w:noProof/>
          <w:color w:val="000000" w:themeColor="text1"/>
          <w:szCs w:val="24"/>
        </w:rPr>
        <w:tab/>
      </w:r>
      <w:r w:rsidR="00273F36" w:rsidRPr="004C70EC">
        <w:rPr>
          <w:noProof/>
          <w:color w:val="000000" w:themeColor="text1"/>
          <w:szCs w:val="24"/>
          <w:lang w:val="en-IE" w:eastAsia="en-IE"/>
        </w:rPr>
        <w:t xml:space="preserve">In order to obtain an authorisation, the sponsor shall submit an application dossier to the intended Member States concerned throughout the </w:t>
      </w:r>
      <w:r w:rsidR="487E1C55" w:rsidRPr="004C70EC">
        <w:rPr>
          <w:noProof/>
          <w:color w:val="000000" w:themeColor="text1"/>
          <w:szCs w:val="24"/>
          <w:lang w:val="en-IE" w:eastAsia="en-IE"/>
        </w:rPr>
        <w:t>P</w:t>
      </w:r>
      <w:r w:rsidR="00273F36" w:rsidRPr="004C70EC">
        <w:rPr>
          <w:noProof/>
          <w:color w:val="000000" w:themeColor="text1"/>
          <w:szCs w:val="24"/>
          <w:lang w:val="en-IE" w:eastAsia="en-IE"/>
        </w:rPr>
        <w:t>ortal referred to in Article 80 (‘the EU portal’)</w:t>
      </w:r>
      <w:r w:rsidR="000B7121" w:rsidRPr="004C70EC">
        <w:rPr>
          <w:noProof/>
          <w:color w:val="000000" w:themeColor="text1"/>
          <w:szCs w:val="24"/>
          <w:lang w:val="en-IE" w:eastAsia="en-IE"/>
        </w:rPr>
        <w:t xml:space="preserve"> referred to in Article 25</w:t>
      </w:r>
      <w:r w:rsidR="00273F36" w:rsidRPr="004C70EC">
        <w:rPr>
          <w:noProof/>
          <w:color w:val="000000" w:themeColor="text1"/>
          <w:szCs w:val="24"/>
          <w:lang w:val="en-IE" w:eastAsia="en-IE"/>
        </w:rPr>
        <w:t>. The date on which the sponsor submits the application for an authorisation of a clinical trial is referred to within this Chapter as the submission date.</w:t>
      </w:r>
    </w:p>
    <w:p w14:paraId="52D43064" w14:textId="77777777" w:rsidR="00273F36" w:rsidRPr="004C70EC" w:rsidRDefault="00600357" w:rsidP="00600357">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IE"/>
        </w:rPr>
        <w:t>2.</w:t>
      </w:r>
      <w:r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The authorisation procedure of a clinical trial consists of three steps:</w:t>
      </w:r>
    </w:p>
    <w:p w14:paraId="31515B73" w14:textId="77777777" w:rsidR="00273F36" w:rsidRPr="004C70EC" w:rsidRDefault="00600357" w:rsidP="00600357">
      <w:pPr>
        <w:pStyle w:val="Point2"/>
        <w:rPr>
          <w:noProof/>
          <w:color w:val="000000" w:themeColor="text1"/>
          <w:szCs w:val="24"/>
          <w:lang w:val="en-IE" w:eastAsia="en-GB"/>
        </w:rPr>
      </w:pPr>
      <w:r w:rsidRPr="004C70EC">
        <w:rPr>
          <w:noProof/>
          <w:color w:val="000000" w:themeColor="text1"/>
          <w:szCs w:val="24"/>
          <w:lang w:val="en-IE" w:eastAsia="en-IE"/>
        </w:rPr>
        <w:t>(a)</w:t>
      </w:r>
      <w:r w:rsidRPr="004C70EC">
        <w:rPr>
          <w:noProof/>
          <w:color w:val="000000" w:themeColor="text1"/>
          <w:szCs w:val="24"/>
          <w:lang w:val="en-IE" w:eastAsia="en-IE"/>
        </w:rPr>
        <w:tab/>
      </w:r>
      <w:r w:rsidR="00273F36" w:rsidRPr="004C70EC">
        <w:rPr>
          <w:noProof/>
          <w:color w:val="000000" w:themeColor="text1"/>
          <w:szCs w:val="24"/>
          <w:lang w:val="en-IE" w:eastAsia="en-IE"/>
        </w:rPr>
        <w:t>a validation</w:t>
      </w:r>
      <w:r w:rsidR="008A1575" w:rsidRPr="004C70EC">
        <w:rPr>
          <w:noProof/>
          <w:color w:val="000000" w:themeColor="text1"/>
          <w:szCs w:val="24"/>
          <w:lang w:val="en-IE" w:eastAsia="en-IE"/>
        </w:rPr>
        <w:t xml:space="preserve"> of the application dossier</w:t>
      </w:r>
      <w:r w:rsidR="00273F36" w:rsidRPr="004C70EC">
        <w:rPr>
          <w:noProof/>
          <w:color w:val="000000" w:themeColor="text1"/>
          <w:szCs w:val="24"/>
          <w:lang w:val="en-IE" w:eastAsia="en-IE"/>
        </w:rPr>
        <w:t>, as set out in Article 5b;</w:t>
      </w:r>
    </w:p>
    <w:p w14:paraId="192E0C91" w14:textId="77777777" w:rsidR="00273F36" w:rsidRPr="004C70EC" w:rsidRDefault="00600357" w:rsidP="00600357">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IE"/>
        </w:rPr>
        <w:t>(b)</w:t>
      </w:r>
      <w:r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an assessment, that consists of:</w:t>
      </w:r>
    </w:p>
    <w:p w14:paraId="16A4DC96" w14:textId="77777777" w:rsidR="00273F36" w:rsidRPr="004C70EC" w:rsidRDefault="00273F36" w:rsidP="00811FF3">
      <w:pPr>
        <w:pStyle w:val="Tiret3"/>
        <w:numPr>
          <w:ilvl w:val="0"/>
          <w:numId w:val="28"/>
        </w:numPr>
        <w:rPr>
          <w:noProof/>
          <w:color w:val="000000" w:themeColor="text1"/>
          <w:szCs w:val="24"/>
          <w:lang w:val="en-IE" w:eastAsia="en-GB"/>
        </w:rPr>
      </w:pPr>
      <w:r w:rsidRPr="004C70EC">
        <w:rPr>
          <w:noProof/>
          <w:color w:val="000000" w:themeColor="text1"/>
          <w:szCs w:val="24"/>
          <w:lang w:val="en-IE" w:eastAsia="en-IE"/>
        </w:rPr>
        <w:t xml:space="preserve">an assessment of Part I, as set out in Article 6, of the elements of the application dossier listed in </w:t>
      </w:r>
      <w:r w:rsidR="00816110" w:rsidRPr="004C70EC">
        <w:rPr>
          <w:noProof/>
          <w:color w:val="000000" w:themeColor="text1"/>
          <w:szCs w:val="24"/>
          <w:lang w:val="en-IE" w:eastAsia="en-IE"/>
        </w:rPr>
        <w:t xml:space="preserve">Part I of </w:t>
      </w:r>
      <w:r w:rsidRPr="004C70EC">
        <w:rPr>
          <w:noProof/>
          <w:color w:val="000000" w:themeColor="text1"/>
          <w:szCs w:val="24"/>
          <w:lang w:val="en-IE" w:eastAsia="en-IE"/>
        </w:rPr>
        <w:t>Annex I, that constitute Part I of the assessment dossier, and</w:t>
      </w:r>
    </w:p>
    <w:p w14:paraId="4DAF2C06" w14:textId="77777777" w:rsidR="00273F36" w:rsidRPr="004C70EC" w:rsidRDefault="00273F36" w:rsidP="009C38AD">
      <w:pPr>
        <w:pStyle w:val="Tiret3"/>
        <w:rPr>
          <w:rFonts w:eastAsia="Times New Roman"/>
          <w:noProof/>
          <w:color w:val="000000" w:themeColor="text1"/>
          <w:szCs w:val="24"/>
          <w:lang w:val="en-IE" w:eastAsia="en-GB"/>
        </w:rPr>
      </w:pPr>
      <w:r w:rsidRPr="004C70EC">
        <w:rPr>
          <w:rFonts w:eastAsia="Times New Roman"/>
          <w:noProof/>
          <w:color w:val="000000" w:themeColor="text1"/>
          <w:szCs w:val="24"/>
          <w:lang w:val="en-IE" w:eastAsia="en-IE"/>
        </w:rPr>
        <w:t xml:space="preserve">an assessment of Part II, as set out Article 7 of the application dossier, of the elements listed in </w:t>
      </w:r>
      <w:r w:rsidR="00816110" w:rsidRPr="004C70EC">
        <w:rPr>
          <w:rFonts w:eastAsia="Times New Roman"/>
          <w:noProof/>
          <w:color w:val="000000" w:themeColor="text1"/>
          <w:szCs w:val="24"/>
          <w:lang w:val="en-IE" w:eastAsia="en-IE"/>
        </w:rPr>
        <w:t xml:space="preserve">Part II of </w:t>
      </w:r>
      <w:r w:rsidRPr="004C70EC">
        <w:rPr>
          <w:rFonts w:eastAsia="Times New Roman"/>
          <w:noProof/>
          <w:color w:val="000000" w:themeColor="text1"/>
          <w:szCs w:val="24"/>
          <w:lang w:val="en-IE" w:eastAsia="en-IE"/>
        </w:rPr>
        <w:t>Annex I, that constitute Part II of the application dossier.</w:t>
      </w:r>
    </w:p>
    <w:p w14:paraId="5438D199" w14:textId="77777777" w:rsidR="00273F36" w:rsidRPr="004C70EC" w:rsidRDefault="00600357" w:rsidP="00600357">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(c)</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a decision resulting either an authorisation, conditional authorisation or refusal of an authorisation, as set out in Article 8.</w:t>
      </w:r>
      <w:r w:rsidR="00F262C4" w:rsidRPr="004C70EC">
        <w:rPr>
          <w:rFonts w:eastAsia="Times New Roman"/>
          <w:noProof/>
          <w:color w:val="000000" w:themeColor="text1"/>
          <w:szCs w:val="24"/>
          <w:lang w:eastAsia="en-IE"/>
        </w:rPr>
        <w:t>’</w:t>
      </w:r>
    </w:p>
    <w:p w14:paraId="22CDB83F" w14:textId="77777777" w:rsidR="00A50EE0" w:rsidRPr="004C70EC" w:rsidRDefault="00A50EE0" w:rsidP="00600357">
      <w:pPr>
        <w:pStyle w:val="Point2"/>
        <w:rPr>
          <w:rFonts w:eastAsia="Times New Roman"/>
          <w:noProof/>
          <w:color w:val="000000" w:themeColor="text1"/>
          <w:szCs w:val="24"/>
          <w:lang w:val="en-IE" w:eastAsia="en-GB"/>
        </w:rPr>
      </w:pPr>
    </w:p>
    <w:p w14:paraId="4921FE4F" w14:textId="77777777" w:rsidR="00273F36" w:rsidRPr="004C70EC" w:rsidRDefault="009C38AD" w:rsidP="009C38AD">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F262C4" w:rsidRPr="004C70EC">
        <w:rPr>
          <w:rFonts w:eastAsia="Times New Roman"/>
          <w:noProof/>
          <w:color w:val="000000" w:themeColor="text1"/>
          <w:szCs w:val="24"/>
          <w:lang w:eastAsia="en-IE"/>
        </w:rPr>
        <w:t>4</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F262C4" w:rsidRPr="004C70EC">
        <w:rPr>
          <w:rFonts w:eastAsia="Times New Roman"/>
          <w:noProof/>
          <w:color w:val="000000" w:themeColor="text1"/>
          <w:szCs w:val="24"/>
          <w:lang w:eastAsia="en-IE"/>
        </w:rPr>
        <w:t xml:space="preserve">the following </w:t>
      </w:r>
      <w:r w:rsidR="00273F36" w:rsidRPr="004C70EC">
        <w:rPr>
          <w:rFonts w:eastAsia="Times New Roman"/>
          <w:noProof/>
          <w:color w:val="000000" w:themeColor="text1"/>
          <w:szCs w:val="24"/>
          <w:lang w:eastAsia="en-IE"/>
        </w:rPr>
        <w:t>Article</w:t>
      </w:r>
      <w:r w:rsidR="00F262C4" w:rsidRPr="004C70EC">
        <w:rPr>
          <w:rFonts w:eastAsia="Times New Roman"/>
          <w:noProof/>
          <w:color w:val="000000" w:themeColor="text1"/>
          <w:szCs w:val="24"/>
          <w:lang w:eastAsia="en-IE"/>
        </w:rPr>
        <w:t>s</w:t>
      </w:r>
      <w:r w:rsidR="00273F36" w:rsidRPr="004C70EC">
        <w:rPr>
          <w:rFonts w:eastAsia="Times New Roman"/>
          <w:noProof/>
          <w:color w:val="000000" w:themeColor="text1"/>
          <w:szCs w:val="24"/>
          <w:lang w:eastAsia="en-IE"/>
        </w:rPr>
        <w:t xml:space="preserve"> 5a and Article 5b are </w:t>
      </w:r>
      <w:r w:rsidR="00F262C4" w:rsidRPr="004C70EC">
        <w:rPr>
          <w:rFonts w:eastAsia="Times New Roman"/>
          <w:noProof/>
          <w:color w:val="000000" w:themeColor="text1"/>
          <w:szCs w:val="24"/>
          <w:lang w:eastAsia="en-IE"/>
        </w:rPr>
        <w:t>inserted</w:t>
      </w:r>
      <w:r w:rsidR="00273F36" w:rsidRPr="004C70EC">
        <w:rPr>
          <w:rFonts w:eastAsia="Times New Roman"/>
          <w:noProof/>
          <w:color w:val="000000" w:themeColor="text1"/>
          <w:szCs w:val="24"/>
          <w:lang w:eastAsia="en-IE"/>
        </w:rPr>
        <w:t>:</w:t>
      </w:r>
    </w:p>
    <w:p w14:paraId="38260A18" w14:textId="77777777" w:rsidR="00273F36" w:rsidRPr="004C70EC" w:rsidRDefault="00273F36" w:rsidP="009C38AD">
      <w:pPr>
        <w:pStyle w:val="Titrearticle"/>
        <w:rPr>
          <w:rFonts w:eastAsia="Times New Roman"/>
          <w:noProof/>
          <w:color w:val="000000" w:themeColor="text1"/>
          <w:szCs w:val="24"/>
          <w:lang w:eastAsia="en-IE"/>
        </w:rPr>
      </w:pPr>
      <w:r w:rsidRPr="004C70EC">
        <w:rPr>
          <w:rFonts w:eastAsia="Times New Roman"/>
          <w:noProof/>
          <w:color w:val="000000" w:themeColor="text1"/>
          <w:szCs w:val="24"/>
          <w:lang w:eastAsia="en-IE"/>
        </w:rPr>
        <w:t>“Article 5a</w:t>
      </w:r>
    </w:p>
    <w:p w14:paraId="265E1C0D" w14:textId="77777777" w:rsidR="00273F36" w:rsidRPr="004C70EC" w:rsidRDefault="00273F36" w:rsidP="009C38AD">
      <w:pPr>
        <w:jc w:val="center"/>
        <w:rPr>
          <w:rFonts w:eastAsia="Times New Roman"/>
          <w:i/>
          <w:iCs/>
          <w:noProof/>
          <w:color w:val="000000" w:themeColor="text1"/>
          <w:szCs w:val="24"/>
          <w:lang w:eastAsia="en-IE"/>
        </w:rPr>
      </w:pPr>
      <w:r w:rsidRPr="004C70EC">
        <w:rPr>
          <w:rFonts w:eastAsia="Times New Roman"/>
          <w:i/>
          <w:iCs/>
          <w:noProof/>
          <w:color w:val="000000" w:themeColor="text1"/>
          <w:szCs w:val="24"/>
          <w:lang w:eastAsia="en-IE"/>
        </w:rPr>
        <w:t>Appointment of the reporting Member State</w:t>
      </w:r>
    </w:p>
    <w:p w14:paraId="0366F6B1" w14:textId="77777777" w:rsidR="00273F36" w:rsidRPr="004C70EC" w:rsidRDefault="009C38AD" w:rsidP="009C38AD">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eastAsia="en-IE"/>
        </w:rPr>
        <w:t>1.</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 xml:space="preserve">In clinical trials concerning only one Member State, this Member State is the reporting Member State. </w:t>
      </w:r>
    </w:p>
    <w:p w14:paraId="2012A138" w14:textId="77777777" w:rsidR="00273F36" w:rsidRPr="004C70EC" w:rsidRDefault="009C38AD" w:rsidP="009C38AD">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eastAsia="en-IE"/>
        </w:rPr>
        <w:t>2.</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In clinical trials concerning more than one Member States, the sponsor shall propose one of the Member States concerned as the reporting Member State. A</w:t>
      </w:r>
      <w:r w:rsidR="00273F36" w:rsidRPr="004C70EC">
        <w:rPr>
          <w:rFonts w:eastAsia="Times New Roman"/>
          <w:noProof/>
          <w:color w:val="000000" w:themeColor="text1"/>
          <w:szCs w:val="24"/>
          <w:lang w:val="en-IE" w:eastAsia="en-IE"/>
        </w:rPr>
        <w:t xml:space="preserve">ll Member States concerned willing to become the reporting Member State shall declare their willingness through the EU portal. </w:t>
      </w:r>
    </w:p>
    <w:p w14:paraId="05BFAEAC" w14:textId="77777777" w:rsidR="00273F36" w:rsidRPr="004C70EC" w:rsidRDefault="00273F36" w:rsidP="009C38AD">
      <w:pPr>
        <w:pStyle w:val="Text2"/>
        <w:rPr>
          <w:noProof/>
          <w:color w:val="000000" w:themeColor="text1"/>
          <w:szCs w:val="24"/>
          <w:lang w:val="en-IE" w:eastAsia="en-GB"/>
        </w:rPr>
      </w:pPr>
      <w:r w:rsidRPr="004C70EC">
        <w:rPr>
          <w:noProof/>
          <w:color w:val="000000" w:themeColor="text1"/>
          <w:szCs w:val="24"/>
          <w:lang w:val="en-IE" w:eastAsia="en-GB"/>
        </w:rPr>
        <w:t>The sponsor shall, when applying for a low-intervention clinical trial propose one of the Member States concerned where the use of the investigational medicinal product is evidence-based as a reporting Member State.</w:t>
      </w:r>
    </w:p>
    <w:p w14:paraId="259CC158" w14:textId="77777777" w:rsidR="00273F36" w:rsidRPr="004C70EC" w:rsidRDefault="009C38AD" w:rsidP="009C38AD">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eastAsia="en-IE"/>
        </w:rPr>
        <w:t>3.</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 xml:space="preserve">If the proposed Member State accepts </w:t>
      </w:r>
      <w:r w:rsidR="00265F8F" w:rsidRPr="004C70EC">
        <w:rPr>
          <w:rFonts w:eastAsia="Times New Roman"/>
          <w:noProof/>
          <w:color w:val="000000" w:themeColor="text1"/>
          <w:szCs w:val="24"/>
          <w:lang w:eastAsia="en-IE"/>
        </w:rPr>
        <w:t xml:space="preserve">the proposal </w:t>
      </w:r>
      <w:r w:rsidR="00273F36" w:rsidRPr="004C70EC">
        <w:rPr>
          <w:rFonts w:eastAsia="Times New Roman"/>
          <w:noProof/>
          <w:color w:val="000000" w:themeColor="text1"/>
          <w:szCs w:val="24"/>
          <w:lang w:eastAsia="en-IE"/>
        </w:rPr>
        <w:t>by expressing willingness</w:t>
      </w:r>
      <w:r w:rsidR="00265F8F" w:rsidRPr="004C70EC">
        <w:rPr>
          <w:rFonts w:eastAsia="Times New Roman"/>
          <w:noProof/>
          <w:color w:val="000000" w:themeColor="text1"/>
          <w:szCs w:val="24"/>
          <w:lang w:eastAsia="en-IE"/>
        </w:rPr>
        <w:t xml:space="preserve"> to become the reporting Member State</w:t>
      </w:r>
      <w:r w:rsidR="00273F36" w:rsidRPr="004C70EC">
        <w:rPr>
          <w:rFonts w:eastAsia="Times New Roman"/>
          <w:noProof/>
          <w:color w:val="000000" w:themeColor="text1"/>
          <w:szCs w:val="24"/>
          <w:lang w:eastAsia="en-IE"/>
        </w:rPr>
        <w:t>, it shall be the reporting Member State.</w:t>
      </w:r>
    </w:p>
    <w:p w14:paraId="09B2240A" w14:textId="77777777" w:rsidR="00273F36" w:rsidRPr="004C70EC" w:rsidRDefault="009C38AD" w:rsidP="009C38AD">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IE"/>
        </w:rPr>
        <w:t>4.</w:t>
      </w:r>
      <w:r w:rsidRPr="004C70EC">
        <w:rPr>
          <w:noProof/>
          <w:color w:val="000000" w:themeColor="text1"/>
          <w:szCs w:val="24"/>
        </w:rPr>
        <w:tab/>
      </w:r>
      <w:r w:rsidR="00273F36" w:rsidRPr="004C70EC">
        <w:rPr>
          <w:rFonts w:eastAsia="Times New Roman"/>
          <w:noProof/>
          <w:color w:val="000000" w:themeColor="text1"/>
          <w:szCs w:val="24"/>
          <w:lang w:val="en-IE" w:eastAsia="en-IE"/>
        </w:rPr>
        <w:t xml:space="preserve">If the proposed Member State does not accept the proposal, the following rules shall apply, and their application shall be supported by the EU </w:t>
      </w:r>
      <w:r w:rsidR="7963FBB8" w:rsidRPr="004C70EC">
        <w:rPr>
          <w:rFonts w:eastAsia="Times New Roman"/>
          <w:noProof/>
          <w:color w:val="000000" w:themeColor="text1"/>
          <w:szCs w:val="24"/>
          <w:lang w:val="en-IE" w:eastAsia="en-IE"/>
        </w:rPr>
        <w:t>P</w:t>
      </w:r>
      <w:r w:rsidR="00273F36" w:rsidRPr="004C70EC">
        <w:rPr>
          <w:rFonts w:eastAsia="Times New Roman"/>
          <w:noProof/>
          <w:color w:val="000000" w:themeColor="text1"/>
          <w:szCs w:val="24"/>
          <w:lang w:val="en-IE" w:eastAsia="en-IE"/>
        </w:rPr>
        <w:t>ortal:</w:t>
      </w:r>
    </w:p>
    <w:p w14:paraId="121D49A9" w14:textId="77777777" w:rsidR="00273F36" w:rsidRPr="004C70EC" w:rsidRDefault="009C38AD" w:rsidP="009C38AD">
      <w:pPr>
        <w:pStyle w:val="Point2"/>
        <w:rPr>
          <w:noProof/>
          <w:color w:val="000000" w:themeColor="text1"/>
          <w:szCs w:val="24"/>
          <w:lang w:val="en-IE" w:eastAsia="en-GB"/>
        </w:rPr>
      </w:pPr>
      <w:r w:rsidRPr="004C70EC">
        <w:rPr>
          <w:noProof/>
          <w:color w:val="000000" w:themeColor="text1"/>
          <w:szCs w:val="24"/>
          <w:lang w:val="en-IE" w:eastAsia="en-IE"/>
        </w:rPr>
        <w:t>(a)</w:t>
      </w:r>
      <w:r w:rsidRPr="004C70EC">
        <w:rPr>
          <w:noProof/>
          <w:color w:val="000000" w:themeColor="text1"/>
          <w:szCs w:val="24"/>
          <w:lang w:val="en-IE" w:eastAsia="en-IE"/>
        </w:rPr>
        <w:tab/>
      </w:r>
      <w:r w:rsidR="00273F36" w:rsidRPr="004C70EC">
        <w:rPr>
          <w:noProof/>
          <w:color w:val="000000" w:themeColor="text1"/>
          <w:szCs w:val="24"/>
          <w:lang w:val="en-IE" w:eastAsia="en-IE"/>
        </w:rPr>
        <w:t>where there is only one other Member State concerned willing to become the reporting Member State, that Member State shall become the reporting Member State;</w:t>
      </w:r>
    </w:p>
    <w:p w14:paraId="089F8A73" w14:textId="77777777" w:rsidR="00273F36" w:rsidRPr="004C70EC" w:rsidRDefault="009C38AD" w:rsidP="009C38AD">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IE"/>
        </w:rPr>
        <w:t>(b)</w:t>
      </w:r>
      <w:r w:rsidRPr="004C70EC">
        <w:rPr>
          <w:noProof/>
          <w:color w:val="000000" w:themeColor="text1"/>
          <w:szCs w:val="24"/>
        </w:rPr>
        <w:tab/>
      </w:r>
      <w:r w:rsidR="00273F36" w:rsidRPr="004C70EC">
        <w:rPr>
          <w:rFonts w:eastAsia="Times New Roman"/>
          <w:noProof/>
          <w:color w:val="000000" w:themeColor="text1"/>
          <w:szCs w:val="24"/>
          <w:lang w:val="en-IE" w:eastAsia="en-IE"/>
        </w:rPr>
        <w:t xml:space="preserve">where there is more than one Member State concerned willing to become the reporting Member State or none of the Member States concerned is willing to become the reporting Member State, the reporting Member State shall be designated automatically by the </w:t>
      </w:r>
      <w:r w:rsidR="5FF0EC63" w:rsidRPr="004C70EC">
        <w:rPr>
          <w:rFonts w:eastAsia="Times New Roman"/>
          <w:noProof/>
          <w:color w:val="000000" w:themeColor="text1"/>
          <w:szCs w:val="24"/>
          <w:lang w:val="en-IE" w:eastAsia="en-IE"/>
        </w:rPr>
        <w:t xml:space="preserve">EU </w:t>
      </w:r>
      <w:r w:rsidR="00273F36" w:rsidRPr="004C70EC">
        <w:rPr>
          <w:rFonts w:eastAsia="Times New Roman"/>
          <w:noProof/>
          <w:color w:val="000000" w:themeColor="text1"/>
          <w:szCs w:val="24"/>
          <w:lang w:val="en-IE" w:eastAsia="en-IE"/>
        </w:rPr>
        <w:t>Portal in application of the recommendation referred to in article 85(</w:t>
      </w:r>
      <w:r w:rsidR="00AF0028" w:rsidRPr="004C70EC">
        <w:rPr>
          <w:rFonts w:eastAsia="Times New Roman"/>
          <w:noProof/>
          <w:color w:val="000000" w:themeColor="text1"/>
          <w:szCs w:val="24"/>
          <w:lang w:val="en-IE" w:eastAsia="en-IE"/>
        </w:rPr>
        <w:t>2</w:t>
      </w:r>
      <w:r w:rsidR="00273F36" w:rsidRPr="004C70EC">
        <w:rPr>
          <w:rFonts w:eastAsia="Times New Roman"/>
          <w:noProof/>
          <w:color w:val="000000" w:themeColor="text1"/>
          <w:szCs w:val="24"/>
          <w:lang w:val="en-IE" w:eastAsia="en-IE"/>
        </w:rPr>
        <w:t>)(c).</w:t>
      </w:r>
    </w:p>
    <w:p w14:paraId="6B8F1E23" w14:textId="77777777" w:rsidR="00273F36" w:rsidRPr="004C70EC" w:rsidRDefault="009C38AD" w:rsidP="009C38AD">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5.</w:t>
      </w:r>
      <w:r w:rsidRPr="004C70EC">
        <w:rPr>
          <w:noProof/>
          <w:color w:val="000000" w:themeColor="text1"/>
          <w:szCs w:val="24"/>
        </w:rPr>
        <w:tab/>
      </w:r>
      <w:r w:rsidR="00273F36" w:rsidRPr="004C70EC">
        <w:rPr>
          <w:rFonts w:eastAsia="Times New Roman"/>
          <w:noProof/>
          <w:color w:val="000000" w:themeColor="text1"/>
          <w:szCs w:val="24"/>
          <w:lang w:val="en-IE" w:eastAsia="en-GB"/>
        </w:rPr>
        <w:t xml:space="preserve">Within </w:t>
      </w:r>
      <w:r w:rsidR="550095A4" w:rsidRPr="004C70EC">
        <w:rPr>
          <w:rFonts w:eastAsia="Times New Roman"/>
          <w:noProof/>
          <w:color w:val="000000" w:themeColor="text1"/>
          <w:szCs w:val="24"/>
          <w:lang w:val="en-IE" w:eastAsia="en-GB"/>
        </w:rPr>
        <w:t xml:space="preserve">three </w:t>
      </w:r>
      <w:r w:rsidR="00273F36" w:rsidRPr="004C70EC">
        <w:rPr>
          <w:rFonts w:eastAsia="Times New Roman"/>
          <w:noProof/>
          <w:color w:val="000000" w:themeColor="text1"/>
          <w:szCs w:val="24"/>
          <w:lang w:val="en-IE" w:eastAsia="en-GB"/>
        </w:rPr>
        <w:t xml:space="preserve"> days from the submission date, all Member States concerned, the sponsor and the reporting Member State shall be notified by the EU </w:t>
      </w:r>
      <w:r w:rsidR="38D8F68C" w:rsidRPr="004C70EC">
        <w:rPr>
          <w:rFonts w:eastAsia="Times New Roman"/>
          <w:noProof/>
          <w:color w:val="000000" w:themeColor="text1"/>
          <w:szCs w:val="24"/>
          <w:lang w:val="en-IE" w:eastAsia="en-GB"/>
        </w:rPr>
        <w:t>P</w:t>
      </w:r>
      <w:r w:rsidR="00273F36" w:rsidRPr="004C70EC">
        <w:rPr>
          <w:rFonts w:eastAsia="Times New Roman"/>
          <w:noProof/>
          <w:color w:val="000000" w:themeColor="text1"/>
          <w:szCs w:val="24"/>
          <w:lang w:val="en-IE" w:eastAsia="en-GB"/>
        </w:rPr>
        <w:t>ortal of the appointment of the reporting Member State.</w:t>
      </w:r>
    </w:p>
    <w:p w14:paraId="6C84260A" w14:textId="77777777" w:rsidR="00273F36" w:rsidRPr="004C70EC" w:rsidRDefault="00273F36" w:rsidP="009C38AD">
      <w:pPr>
        <w:pStyle w:val="Titrearticle"/>
        <w:rPr>
          <w:noProof/>
          <w:color w:val="000000" w:themeColor="text1"/>
          <w:szCs w:val="24"/>
          <w:lang w:val="en-IE"/>
        </w:rPr>
      </w:pPr>
      <w:r w:rsidRPr="004C70EC">
        <w:rPr>
          <w:noProof/>
          <w:color w:val="000000" w:themeColor="text1"/>
          <w:szCs w:val="24"/>
          <w:lang w:val="en-IE"/>
        </w:rPr>
        <w:t>Article 5b</w:t>
      </w:r>
    </w:p>
    <w:p w14:paraId="24B43B41" w14:textId="77777777" w:rsidR="00273F36" w:rsidRPr="004C70EC" w:rsidRDefault="00273F36" w:rsidP="009C38AD">
      <w:pPr>
        <w:jc w:val="center"/>
        <w:rPr>
          <w:i/>
          <w:iCs/>
          <w:noProof/>
          <w:color w:val="000000" w:themeColor="text1"/>
          <w:szCs w:val="24"/>
          <w:lang w:val="en-IE"/>
        </w:rPr>
      </w:pPr>
      <w:r w:rsidRPr="004C70EC">
        <w:rPr>
          <w:i/>
          <w:iCs/>
          <w:noProof/>
          <w:color w:val="000000" w:themeColor="text1"/>
          <w:szCs w:val="24"/>
          <w:lang w:val="en-IE"/>
        </w:rPr>
        <w:t>Validation of Part I of the application dossier</w:t>
      </w:r>
    </w:p>
    <w:p w14:paraId="3151FC90" w14:textId="77777777" w:rsidR="00273F36" w:rsidRPr="004C70EC" w:rsidRDefault="009C38AD" w:rsidP="009C38AD">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1.</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Within seven days from the submission date, the reporting Member State shall validate Part I of application dossier referred to in Article 6 and notify the sponsor, through the EU portal, of the following:</w:t>
      </w:r>
    </w:p>
    <w:p w14:paraId="3152F2E2" w14:textId="77777777" w:rsidR="00273F36" w:rsidRPr="004C70EC" w:rsidRDefault="009C38AD" w:rsidP="009C38AD">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 xml:space="preserve">whether the clinical trial applied for falls within the scope of this Regulation; </w:t>
      </w:r>
    </w:p>
    <w:p w14:paraId="563CA862" w14:textId="77777777" w:rsidR="00273F36" w:rsidRPr="004C70EC" w:rsidRDefault="78BB248C" w:rsidP="33CE1D06">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009C38AD" w:rsidRPr="004C70EC">
        <w:rPr>
          <w:noProof/>
          <w:color w:val="000000" w:themeColor="text1"/>
          <w:szCs w:val="24"/>
        </w:rPr>
        <w:tab/>
      </w:r>
      <w:r w:rsidR="2F263E33" w:rsidRPr="004C70EC">
        <w:rPr>
          <w:rFonts w:eastAsia="Times New Roman"/>
          <w:noProof/>
          <w:color w:val="000000" w:themeColor="text1"/>
          <w:szCs w:val="24"/>
          <w:lang w:val="en-IE" w:eastAsia="en-GB"/>
        </w:rPr>
        <w:t xml:space="preserve">whether the application dossier is complete in accordance with </w:t>
      </w:r>
      <w:r w:rsidR="34C8A9F9" w:rsidRPr="004C70EC">
        <w:rPr>
          <w:rFonts w:eastAsia="Times New Roman"/>
          <w:noProof/>
          <w:color w:val="000000" w:themeColor="text1"/>
          <w:szCs w:val="24"/>
          <w:lang w:val="en-IE" w:eastAsia="en-GB"/>
        </w:rPr>
        <w:t xml:space="preserve">Part I of </w:t>
      </w:r>
      <w:r w:rsidR="2F263E33" w:rsidRPr="004C70EC">
        <w:rPr>
          <w:rFonts w:eastAsia="Times New Roman"/>
          <w:noProof/>
          <w:color w:val="000000" w:themeColor="text1"/>
          <w:szCs w:val="24"/>
          <w:lang w:val="en-IE" w:eastAsia="en-GB"/>
        </w:rPr>
        <w:t>Annex I;</w:t>
      </w:r>
    </w:p>
    <w:p w14:paraId="7014A119" w14:textId="77777777" w:rsidR="00273F36" w:rsidRPr="004C70EC" w:rsidRDefault="009C38AD" w:rsidP="009C38AD">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(c)</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 xml:space="preserve">whether it confirms that the clinical trial is a minimal-intervention or </w:t>
      </w:r>
      <w:r w:rsidR="00940FA6" w:rsidRPr="004C70EC">
        <w:rPr>
          <w:rFonts w:eastAsia="Times New Roman"/>
          <w:noProof/>
          <w:color w:val="000000" w:themeColor="text1"/>
          <w:szCs w:val="24"/>
          <w:lang w:val="en-IE" w:eastAsia="en-GB"/>
        </w:rPr>
        <w:t xml:space="preserve">a </w:t>
      </w:r>
      <w:r w:rsidR="00273F36" w:rsidRPr="004C70EC">
        <w:rPr>
          <w:rFonts w:eastAsia="Times New Roman"/>
          <w:noProof/>
          <w:color w:val="000000" w:themeColor="text1"/>
          <w:szCs w:val="24"/>
          <w:lang w:val="en-IE" w:eastAsia="en-GB"/>
        </w:rPr>
        <w:t>low- intervention clinical trial, respectively, if such a claim was made by the sponsor.</w:t>
      </w:r>
    </w:p>
    <w:p w14:paraId="627532B1" w14:textId="77777777" w:rsidR="00273F36" w:rsidRPr="004C70EC" w:rsidRDefault="009C38AD" w:rsidP="009C38AD">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2.</w:t>
      </w:r>
      <w:r w:rsidRPr="004C70EC">
        <w:rPr>
          <w:noProof/>
          <w:color w:val="000000" w:themeColor="text1"/>
          <w:szCs w:val="24"/>
        </w:rPr>
        <w:tab/>
      </w:r>
      <w:r w:rsidR="00273F36" w:rsidRPr="004C70EC">
        <w:rPr>
          <w:rFonts w:eastAsia="Times New Roman"/>
          <w:noProof/>
          <w:color w:val="000000" w:themeColor="text1"/>
          <w:szCs w:val="24"/>
          <w:lang w:val="en-IE" w:eastAsia="en-GB"/>
        </w:rPr>
        <w:t xml:space="preserve">Where the reporting Member State has not notified the sponsor within the period referred to in paragraph 1, the clinical trial applied for shall be deemed to fall within the scope of this Regulation and the application dossier shall be considered complete and, if applicable, the clinical trial shall be considered </w:t>
      </w:r>
      <w:r w:rsidR="6C950ACE" w:rsidRPr="004C70EC">
        <w:rPr>
          <w:rFonts w:eastAsia="Times New Roman"/>
          <w:noProof/>
          <w:color w:val="000000" w:themeColor="text1"/>
          <w:szCs w:val="24"/>
          <w:lang w:val="en-IE" w:eastAsia="en-GB"/>
        </w:rPr>
        <w:t xml:space="preserve">a </w:t>
      </w:r>
      <w:r w:rsidR="00273F36" w:rsidRPr="004C70EC">
        <w:rPr>
          <w:rFonts w:eastAsia="Times New Roman"/>
          <w:noProof/>
          <w:color w:val="000000" w:themeColor="text1"/>
          <w:szCs w:val="24"/>
          <w:lang w:val="en-IE" w:eastAsia="en-GB"/>
        </w:rPr>
        <w:t>minimal-intervention or low-intervention</w:t>
      </w:r>
      <w:r w:rsidR="33066231" w:rsidRPr="004C70EC">
        <w:rPr>
          <w:rFonts w:eastAsia="Times New Roman"/>
          <w:noProof/>
          <w:color w:val="000000" w:themeColor="text1"/>
          <w:szCs w:val="24"/>
          <w:lang w:val="en-IE" w:eastAsia="en-GB"/>
        </w:rPr>
        <w:t xml:space="preserve"> clinical trial</w:t>
      </w:r>
      <w:r w:rsidR="00273F36" w:rsidRPr="004C70EC">
        <w:rPr>
          <w:rFonts w:eastAsia="Times New Roman"/>
          <w:noProof/>
          <w:color w:val="000000" w:themeColor="text1"/>
          <w:szCs w:val="24"/>
          <w:lang w:val="en-IE" w:eastAsia="en-GB"/>
        </w:rPr>
        <w:t>.</w:t>
      </w:r>
    </w:p>
    <w:p w14:paraId="45269ED2" w14:textId="77777777" w:rsidR="00273F36" w:rsidRPr="004C70EC" w:rsidRDefault="009C38AD" w:rsidP="009C38AD">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3.</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Where the reporting Member State finds that the application dossier is not complete, or that the clinical trial applied for does not fall within the scope of this Regulation, or, if applicable, has doubts whether the clinical trial is a minimal-intervention or low-intervention clinical trial, the reporting Member State shall:</w:t>
      </w:r>
    </w:p>
    <w:p w14:paraId="75A7B50E" w14:textId="77777777" w:rsidR="00273F36" w:rsidRPr="004C70EC" w:rsidRDefault="009C38AD" w:rsidP="009C38AD">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w:t>
      </w:r>
      <w:r w:rsidRPr="004C70EC">
        <w:rPr>
          <w:noProof/>
          <w:color w:val="000000" w:themeColor="text1"/>
          <w:szCs w:val="24"/>
        </w:rPr>
        <w:tab/>
      </w:r>
      <w:r w:rsidR="00273F36" w:rsidRPr="004C70EC">
        <w:rPr>
          <w:rFonts w:eastAsia="Times New Roman"/>
          <w:noProof/>
          <w:color w:val="000000" w:themeColor="text1"/>
          <w:szCs w:val="24"/>
          <w:lang w:val="en-IE" w:eastAsia="en-GB"/>
        </w:rPr>
        <w:t>inform the sponsor thereof through the EU portal and shall set a deadline of maximum seven days for the sponsor to comment on the application or to complete the application dossier through the EU portal;</w:t>
      </w:r>
    </w:p>
    <w:p w14:paraId="3DD9C0F7" w14:textId="77777777" w:rsidR="00273F36" w:rsidRPr="004C70EC" w:rsidRDefault="009C38AD" w:rsidP="009C38AD">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noProof/>
          <w:color w:val="000000" w:themeColor="text1"/>
          <w:szCs w:val="24"/>
        </w:rPr>
        <w:tab/>
      </w:r>
      <w:r w:rsidR="00273F36" w:rsidRPr="004C70EC">
        <w:rPr>
          <w:rFonts w:eastAsia="Times New Roman"/>
          <w:noProof/>
          <w:color w:val="000000" w:themeColor="text1"/>
          <w:szCs w:val="24"/>
          <w:lang w:val="en-IE" w:eastAsia="en-GB"/>
        </w:rPr>
        <w:t>within seven days from the submission of the comments or the completed application dossier referred to in point (a) notify the sponsor as to whether or not the application complies with the requirements set out in paragraph 1 points (a), (b) and (c).</w:t>
      </w:r>
    </w:p>
    <w:p w14:paraId="65CC8657" w14:textId="77777777" w:rsidR="00273F36" w:rsidRPr="004C70EC" w:rsidRDefault="00273F36" w:rsidP="009C38AD">
      <w:pPr>
        <w:pStyle w:val="Text2"/>
        <w:rPr>
          <w:noProof/>
          <w:color w:val="000000" w:themeColor="text1"/>
          <w:szCs w:val="24"/>
          <w:lang w:val="en-IE"/>
        </w:rPr>
      </w:pPr>
      <w:r w:rsidRPr="004C70EC">
        <w:rPr>
          <w:noProof/>
          <w:color w:val="000000" w:themeColor="text1"/>
          <w:szCs w:val="24"/>
          <w:lang w:val="en-IE"/>
        </w:rPr>
        <w:t>In case the reporting Member State requests the sponsor to comment on the application pursuant to this paragraph, the period referred to in paragraph 1 may be extended by a maximum of 14 days.</w:t>
      </w:r>
    </w:p>
    <w:p w14:paraId="724AA3CD" w14:textId="77777777" w:rsidR="00273F36" w:rsidRPr="004C70EC" w:rsidRDefault="009C38AD" w:rsidP="009C38AD">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4.</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 xml:space="preserve">Where the reporting Member State has not notified </w:t>
      </w:r>
      <w:r w:rsidR="00940FA6" w:rsidRPr="004C70EC">
        <w:rPr>
          <w:rFonts w:eastAsia="Times New Roman"/>
          <w:noProof/>
          <w:color w:val="000000" w:themeColor="text1"/>
          <w:szCs w:val="24"/>
          <w:lang w:val="en-IE" w:eastAsia="en-GB"/>
        </w:rPr>
        <w:t xml:space="preserve">the </w:t>
      </w:r>
      <w:r w:rsidR="00273F36" w:rsidRPr="004C70EC">
        <w:rPr>
          <w:rFonts w:eastAsia="Times New Roman"/>
          <w:noProof/>
          <w:color w:val="000000" w:themeColor="text1"/>
          <w:szCs w:val="24"/>
          <w:lang w:val="en-IE" w:eastAsia="en-GB"/>
        </w:rPr>
        <w:t xml:space="preserve">sponsor within the period referred to in paragraph 3, point (b), the clinical trial applied for shall be deemed to fall within the scope of this Regulation, the application dossier shall be considered complete in accordance with </w:t>
      </w:r>
      <w:r w:rsidR="00940FA6" w:rsidRPr="004C70EC">
        <w:rPr>
          <w:rFonts w:eastAsia="Times New Roman"/>
          <w:noProof/>
          <w:color w:val="000000" w:themeColor="text1"/>
          <w:szCs w:val="24"/>
          <w:lang w:val="en-IE" w:eastAsia="en-GB"/>
        </w:rPr>
        <w:t>Part I of</w:t>
      </w:r>
      <w:r w:rsidR="00273F36" w:rsidRPr="004C70EC">
        <w:rPr>
          <w:rFonts w:eastAsia="Times New Roman"/>
          <w:noProof/>
          <w:color w:val="000000" w:themeColor="text1"/>
          <w:szCs w:val="24"/>
          <w:lang w:val="en-IE" w:eastAsia="en-GB"/>
        </w:rPr>
        <w:t xml:space="preserve"> Annex I and the clinical trials is deemed to be </w:t>
      </w:r>
      <w:r w:rsidR="00940FA6" w:rsidRPr="004C70EC">
        <w:rPr>
          <w:rFonts w:eastAsia="Times New Roman"/>
          <w:noProof/>
          <w:color w:val="000000" w:themeColor="text1"/>
          <w:szCs w:val="24"/>
          <w:lang w:val="en-IE" w:eastAsia="en-GB"/>
        </w:rPr>
        <w:t xml:space="preserve">a </w:t>
      </w:r>
      <w:r w:rsidR="00273F36" w:rsidRPr="004C70EC">
        <w:rPr>
          <w:rFonts w:eastAsia="Times New Roman"/>
          <w:noProof/>
          <w:color w:val="000000" w:themeColor="text1"/>
          <w:szCs w:val="24"/>
          <w:lang w:val="en-IE" w:eastAsia="en-GB"/>
        </w:rPr>
        <w:t xml:space="preserve">minimal-intervention or </w:t>
      </w:r>
      <w:r w:rsidR="00940FA6" w:rsidRPr="004C70EC">
        <w:rPr>
          <w:rFonts w:eastAsia="Times New Roman"/>
          <w:noProof/>
          <w:color w:val="000000" w:themeColor="text1"/>
          <w:szCs w:val="24"/>
          <w:lang w:val="en-IE" w:eastAsia="en-GB"/>
        </w:rPr>
        <w:t xml:space="preserve">a </w:t>
      </w:r>
      <w:r w:rsidR="00273F36" w:rsidRPr="004C70EC">
        <w:rPr>
          <w:rFonts w:eastAsia="Times New Roman"/>
          <w:noProof/>
          <w:color w:val="000000" w:themeColor="text1"/>
          <w:szCs w:val="24"/>
          <w:lang w:val="en-IE" w:eastAsia="en-GB"/>
        </w:rPr>
        <w:t>low-intervention clinical trial, if claimed by the sponsor.</w:t>
      </w:r>
    </w:p>
    <w:p w14:paraId="347AD467" w14:textId="77777777" w:rsidR="00273F36" w:rsidRPr="004C70EC" w:rsidRDefault="009C38AD" w:rsidP="009C38AD">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5.</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Where the sponsor has not provided comments o</w:t>
      </w:r>
      <w:r w:rsidR="00276889" w:rsidRPr="004C70EC">
        <w:rPr>
          <w:rFonts w:eastAsia="Times New Roman"/>
          <w:noProof/>
          <w:color w:val="000000" w:themeColor="text1"/>
          <w:szCs w:val="24"/>
          <w:lang w:val="en-IE" w:eastAsia="en-GB"/>
        </w:rPr>
        <w:t>r</w:t>
      </w:r>
      <w:r w:rsidR="00273F36" w:rsidRPr="004C70EC">
        <w:rPr>
          <w:rFonts w:eastAsia="Times New Roman"/>
          <w:noProof/>
          <w:color w:val="000000" w:themeColor="text1"/>
          <w:szCs w:val="24"/>
          <w:lang w:val="en-IE" w:eastAsia="en-GB"/>
        </w:rPr>
        <w:t xml:space="preserve"> completed the application dossier within the period referred to in paragraph 3, point (a), the application shall be deemed to have lapsed in all Member States concerned.</w:t>
      </w:r>
    </w:p>
    <w:p w14:paraId="673340AB" w14:textId="77777777" w:rsidR="00273F36" w:rsidRPr="004C70EC" w:rsidRDefault="009C38AD" w:rsidP="009C38AD">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6.</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 xml:space="preserve">For the purpose of this Chapter, the date on which the sponsor is notified in accordance with paragraph 1 or </w:t>
      </w:r>
      <w:r w:rsidR="00276889" w:rsidRPr="004C70EC">
        <w:rPr>
          <w:rFonts w:eastAsia="Times New Roman"/>
          <w:noProof/>
          <w:color w:val="000000" w:themeColor="text1"/>
          <w:szCs w:val="24"/>
          <w:lang w:val="en-IE" w:eastAsia="en-GB"/>
        </w:rPr>
        <w:t>paragraph</w:t>
      </w:r>
      <w:r w:rsidR="00273F36" w:rsidRPr="004C70EC">
        <w:rPr>
          <w:rFonts w:eastAsia="Times New Roman"/>
          <w:noProof/>
          <w:color w:val="000000" w:themeColor="text1"/>
          <w:szCs w:val="24"/>
          <w:lang w:val="en-IE" w:eastAsia="en-GB"/>
        </w:rPr>
        <w:t xml:space="preserve"> 3, point (b) shall be </w:t>
      </w:r>
      <w:r w:rsidR="00276889" w:rsidRPr="004C70EC">
        <w:rPr>
          <w:rFonts w:eastAsia="Times New Roman"/>
          <w:noProof/>
          <w:color w:val="000000" w:themeColor="text1"/>
          <w:szCs w:val="24"/>
          <w:lang w:val="en-IE" w:eastAsia="en-GB"/>
        </w:rPr>
        <w:t>the</w:t>
      </w:r>
      <w:r w:rsidR="00273F36" w:rsidRPr="004C70EC">
        <w:rPr>
          <w:rFonts w:eastAsia="Times New Roman"/>
          <w:noProof/>
          <w:color w:val="000000" w:themeColor="text1"/>
          <w:szCs w:val="24"/>
          <w:lang w:val="en-IE" w:eastAsia="en-GB"/>
        </w:rPr>
        <w:t xml:space="preserve"> validation date of the application. Where the sponsor is not notified within these time periods, the validation date shall be the last day of respective periods referred to in paragraph 1 or </w:t>
      </w:r>
      <w:r w:rsidR="00276889" w:rsidRPr="004C70EC">
        <w:rPr>
          <w:rFonts w:eastAsia="Times New Roman"/>
          <w:noProof/>
          <w:color w:val="000000" w:themeColor="text1"/>
          <w:szCs w:val="24"/>
          <w:lang w:val="en-IE" w:eastAsia="en-GB"/>
        </w:rPr>
        <w:t>paragraph</w:t>
      </w:r>
      <w:r w:rsidR="00273F36" w:rsidRPr="004C70EC">
        <w:rPr>
          <w:rFonts w:eastAsia="Times New Roman"/>
          <w:noProof/>
          <w:color w:val="000000" w:themeColor="text1"/>
          <w:szCs w:val="24"/>
          <w:lang w:val="en-IE" w:eastAsia="en-GB"/>
        </w:rPr>
        <w:t xml:space="preserve"> 3, point (b).”</w:t>
      </w:r>
    </w:p>
    <w:p w14:paraId="3444C460" w14:textId="77777777" w:rsidR="0078389A" w:rsidRPr="004C70EC" w:rsidRDefault="0078389A" w:rsidP="009C38AD">
      <w:pPr>
        <w:pStyle w:val="Point1"/>
        <w:rPr>
          <w:rFonts w:eastAsia="Times New Roman"/>
          <w:noProof/>
          <w:color w:val="000000" w:themeColor="text1"/>
          <w:szCs w:val="24"/>
          <w:lang w:val="en-IE" w:eastAsia="en-GB"/>
        </w:rPr>
      </w:pPr>
    </w:p>
    <w:p w14:paraId="4D2E7210" w14:textId="77777777" w:rsidR="00273F36" w:rsidRPr="004C70EC" w:rsidRDefault="009C38AD" w:rsidP="009C38AD">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445641" w:rsidRPr="004C70EC">
        <w:rPr>
          <w:rFonts w:eastAsia="Times New Roman"/>
          <w:noProof/>
          <w:color w:val="000000" w:themeColor="text1"/>
          <w:szCs w:val="24"/>
          <w:lang w:eastAsia="en-IE"/>
        </w:rPr>
        <w:t>5</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 xml:space="preserve">Article 6 </w:t>
      </w:r>
      <w:r w:rsidR="00F2263F" w:rsidRPr="004C70EC">
        <w:rPr>
          <w:rFonts w:eastAsia="Times New Roman"/>
          <w:noProof/>
          <w:color w:val="000000" w:themeColor="text1"/>
          <w:szCs w:val="24"/>
          <w:lang w:eastAsia="en-IE"/>
        </w:rPr>
        <w:t>is replaced by the following</w:t>
      </w:r>
      <w:r w:rsidR="00273F36" w:rsidRPr="004C70EC">
        <w:rPr>
          <w:rFonts w:eastAsia="Times New Roman"/>
          <w:noProof/>
          <w:color w:val="000000" w:themeColor="text1"/>
          <w:szCs w:val="24"/>
          <w:lang w:eastAsia="en-IE"/>
        </w:rPr>
        <w:t>:</w:t>
      </w:r>
    </w:p>
    <w:p w14:paraId="09DAABD4" w14:textId="77777777" w:rsidR="00273F36" w:rsidRPr="004C70EC" w:rsidRDefault="00F2263F" w:rsidP="00804A93">
      <w:pPr>
        <w:pStyle w:val="Titrearticle"/>
        <w:rPr>
          <w:noProof/>
          <w:color w:val="000000" w:themeColor="text1"/>
          <w:szCs w:val="24"/>
          <w:lang w:val="en-IE" w:eastAsia="en-IE"/>
        </w:rPr>
      </w:pPr>
      <w:r w:rsidRPr="004C70EC">
        <w:rPr>
          <w:noProof/>
          <w:color w:val="000000" w:themeColor="text1"/>
          <w:szCs w:val="24"/>
          <w:lang w:val="en-IE" w:eastAsia="en-IE"/>
        </w:rPr>
        <w:t>’</w:t>
      </w:r>
      <w:r w:rsidR="004E70C9" w:rsidRPr="004C70EC">
        <w:rPr>
          <w:noProof/>
          <w:color w:val="000000" w:themeColor="text1"/>
          <w:szCs w:val="24"/>
          <w:lang w:val="en-IE" w:eastAsia="en-IE"/>
        </w:rPr>
        <w:t>Article 6</w:t>
      </w:r>
    </w:p>
    <w:p w14:paraId="24FE9997" w14:textId="77777777" w:rsidR="00273F36" w:rsidRPr="004C70EC" w:rsidRDefault="00273F36" w:rsidP="00804A93">
      <w:pPr>
        <w:jc w:val="center"/>
        <w:rPr>
          <w:i/>
          <w:iCs/>
          <w:noProof/>
          <w:color w:val="000000" w:themeColor="text1"/>
          <w:szCs w:val="24"/>
          <w:lang w:val="en-IE" w:eastAsia="en-IE"/>
        </w:rPr>
      </w:pPr>
      <w:r w:rsidRPr="004C70EC">
        <w:rPr>
          <w:i/>
          <w:iCs/>
          <w:noProof/>
          <w:color w:val="000000" w:themeColor="text1"/>
          <w:szCs w:val="24"/>
          <w:lang w:val="en-IE" w:eastAsia="en-IE"/>
        </w:rPr>
        <w:t>Assessment report – Aspects covered by Part I of the assessment report</w:t>
      </w:r>
    </w:p>
    <w:p w14:paraId="56570AD3" w14:textId="77777777" w:rsidR="00273F36" w:rsidRPr="004C70EC" w:rsidRDefault="009C38AD" w:rsidP="00804A93">
      <w:pPr>
        <w:pStyle w:val="Point1"/>
        <w:rPr>
          <w:noProof/>
          <w:color w:val="000000" w:themeColor="text1"/>
          <w:szCs w:val="24"/>
          <w:lang w:val="en-IE" w:eastAsia="en-GB"/>
        </w:rPr>
      </w:pPr>
      <w:r w:rsidRPr="004C70EC">
        <w:rPr>
          <w:noProof/>
          <w:color w:val="000000" w:themeColor="text1"/>
          <w:szCs w:val="24"/>
          <w:lang w:val="en-IE" w:eastAsia="en-IE"/>
        </w:rPr>
        <w:t>1.</w:t>
      </w:r>
      <w:r w:rsidRPr="004C70EC">
        <w:rPr>
          <w:noProof/>
          <w:color w:val="000000" w:themeColor="text1"/>
          <w:szCs w:val="24"/>
          <w:lang w:val="en-IE" w:eastAsia="en-IE"/>
        </w:rPr>
        <w:tab/>
      </w:r>
      <w:r w:rsidR="00273F36" w:rsidRPr="004C70EC">
        <w:rPr>
          <w:noProof/>
          <w:color w:val="000000" w:themeColor="text1"/>
          <w:szCs w:val="24"/>
          <w:lang w:val="en-IE" w:eastAsia="en-IE"/>
        </w:rPr>
        <w:t xml:space="preserve">The reporting Member State shall assess the application relying on the information and the documents listed in </w:t>
      </w:r>
      <w:r w:rsidR="00816110" w:rsidRPr="004C70EC">
        <w:rPr>
          <w:noProof/>
          <w:color w:val="000000" w:themeColor="text1"/>
          <w:szCs w:val="24"/>
          <w:lang w:val="en-IE" w:eastAsia="en-IE"/>
        </w:rPr>
        <w:t xml:space="preserve">Part I of </w:t>
      </w:r>
      <w:r w:rsidR="00273F36" w:rsidRPr="004C70EC">
        <w:rPr>
          <w:noProof/>
          <w:color w:val="000000" w:themeColor="text1"/>
          <w:szCs w:val="24"/>
          <w:lang w:val="en-IE" w:eastAsia="en-IE"/>
        </w:rPr>
        <w:t>Annex I, with regard to the following aspects:</w:t>
      </w:r>
    </w:p>
    <w:p w14:paraId="644719BD" w14:textId="77777777" w:rsidR="00273F36" w:rsidRPr="004C70EC" w:rsidRDefault="009C38AD" w:rsidP="00804A93">
      <w:pPr>
        <w:pStyle w:val="Point2"/>
        <w:rPr>
          <w:noProof/>
          <w:color w:val="000000" w:themeColor="text1"/>
          <w:szCs w:val="24"/>
          <w:lang w:val="en-IE" w:eastAsia="en-GB"/>
        </w:rPr>
      </w:pPr>
      <w:r w:rsidRPr="004C70EC">
        <w:rPr>
          <w:noProof/>
          <w:color w:val="000000" w:themeColor="text1"/>
          <w:szCs w:val="24"/>
          <w:lang w:val="en-IE" w:eastAsia="en-IE"/>
        </w:rPr>
        <w:t>(a)</w:t>
      </w:r>
      <w:r w:rsidRPr="004C70EC">
        <w:rPr>
          <w:noProof/>
          <w:color w:val="000000" w:themeColor="text1"/>
          <w:szCs w:val="24"/>
          <w:lang w:val="en-IE" w:eastAsia="en-IE"/>
        </w:rPr>
        <w:tab/>
      </w:r>
      <w:r w:rsidR="00273F36" w:rsidRPr="004C70EC">
        <w:rPr>
          <w:noProof/>
          <w:color w:val="000000" w:themeColor="text1"/>
          <w:szCs w:val="24"/>
          <w:lang w:val="en-IE" w:eastAsia="en-IE"/>
        </w:rPr>
        <w:t>compliance with Chapter V as with respect to the following:</w:t>
      </w:r>
    </w:p>
    <w:p w14:paraId="16B366BE" w14:textId="77777777" w:rsidR="00273F36" w:rsidRPr="004C70EC" w:rsidRDefault="009C38AD" w:rsidP="00804A93">
      <w:pPr>
        <w:pStyle w:val="Point3"/>
        <w:rPr>
          <w:noProof/>
          <w:color w:val="000000" w:themeColor="text1"/>
          <w:szCs w:val="24"/>
          <w:lang w:val="en-IE" w:eastAsia="en-GB"/>
        </w:rPr>
      </w:pPr>
      <w:r w:rsidRPr="004C70EC">
        <w:rPr>
          <w:noProof/>
          <w:color w:val="000000" w:themeColor="text1"/>
          <w:szCs w:val="24"/>
          <w:lang w:val="en-IE" w:eastAsia="en-IE"/>
        </w:rPr>
        <w:t>(i)</w:t>
      </w:r>
      <w:r w:rsidRPr="004C70EC">
        <w:rPr>
          <w:noProof/>
          <w:color w:val="000000" w:themeColor="text1"/>
          <w:szCs w:val="24"/>
          <w:lang w:val="en-IE" w:eastAsia="en-IE"/>
        </w:rPr>
        <w:tab/>
      </w:r>
      <w:r w:rsidR="00273F36" w:rsidRPr="004C70EC">
        <w:rPr>
          <w:noProof/>
          <w:color w:val="000000" w:themeColor="text1"/>
          <w:szCs w:val="24"/>
          <w:lang w:val="en-IE" w:eastAsia="en-IE"/>
        </w:rPr>
        <w:t>the anticipated therapeutic and public health benefits taking account of all of the following:</w:t>
      </w:r>
    </w:p>
    <w:p w14:paraId="7B793CE5" w14:textId="77777777" w:rsidR="00273F36" w:rsidRPr="004C70EC" w:rsidRDefault="00273F36" w:rsidP="00811FF3">
      <w:pPr>
        <w:pStyle w:val="Tiret4"/>
        <w:numPr>
          <w:ilvl w:val="0"/>
          <w:numId w:val="30"/>
        </w:numPr>
        <w:rPr>
          <w:noProof/>
          <w:color w:val="000000" w:themeColor="text1"/>
          <w:szCs w:val="24"/>
        </w:rPr>
      </w:pPr>
      <w:r w:rsidRPr="004C70EC">
        <w:rPr>
          <w:noProof/>
          <w:color w:val="000000" w:themeColor="text1"/>
          <w:szCs w:val="24"/>
        </w:rPr>
        <w:t>characteristic of and knowledge about the investigational medicinal products;</w:t>
      </w:r>
    </w:p>
    <w:p w14:paraId="75220E08" w14:textId="77777777" w:rsidR="00273F36" w:rsidRPr="004C70EC" w:rsidRDefault="00273F36" w:rsidP="00804A93">
      <w:pPr>
        <w:pStyle w:val="Tiret4"/>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 xml:space="preserve">relevance of the clinical trial, including whether the groups of subjects participating in the clinical trial represent the population to be treated, or if not, the explanation and justification provided in accordance with </w:t>
      </w:r>
      <w:r w:rsidR="00F63533" w:rsidRPr="004C70EC">
        <w:rPr>
          <w:rFonts w:eastAsia="Times New Roman"/>
          <w:noProof/>
          <w:color w:val="000000" w:themeColor="text1"/>
          <w:szCs w:val="24"/>
          <w:lang w:val="en-IE" w:eastAsia="en-GB"/>
        </w:rPr>
        <w:t xml:space="preserve">point 17(y) of Part I of </w:t>
      </w:r>
      <w:r w:rsidRPr="004C70EC">
        <w:rPr>
          <w:rFonts w:eastAsia="Times New Roman"/>
          <w:noProof/>
          <w:color w:val="000000" w:themeColor="text1"/>
          <w:szCs w:val="24"/>
          <w:lang w:val="en-IE" w:eastAsia="en-GB"/>
        </w:rPr>
        <w:t>Annex I; the current state of scientific knowledge; whether the clinical trial has been recommended or imposed by regulatory authorities in charge of the assessment and authorisation of the placing on the market of medicinal products; where applicable, taking into account any opinion formulated by the Paediatric Committee on paediatric investigational plan in accordance with Chapter VII of Regulation (EU) …/…[</w:t>
      </w:r>
      <w:r w:rsidRPr="004C70EC">
        <w:rPr>
          <w:rFonts w:eastAsia="Times New Roman"/>
          <w:i/>
          <w:iCs/>
          <w:noProof/>
          <w:color w:val="000000" w:themeColor="text1"/>
          <w:szCs w:val="24"/>
          <w:lang w:val="en-IE" w:eastAsia="en-GB"/>
        </w:rPr>
        <w:t>reference to be added after adoption cf. COM(2023)196final</w:t>
      </w:r>
      <w:r w:rsidRPr="004C70EC">
        <w:rPr>
          <w:rFonts w:eastAsia="Times New Roman"/>
          <w:noProof/>
          <w:color w:val="000000" w:themeColor="text1"/>
          <w:szCs w:val="24"/>
          <w:lang w:val="en-IE" w:eastAsia="en-GB"/>
        </w:rPr>
        <w:t>];</w:t>
      </w:r>
    </w:p>
    <w:p w14:paraId="36813807" w14:textId="77777777" w:rsidR="00273F36" w:rsidRPr="004C70EC" w:rsidRDefault="00273F36" w:rsidP="00804A93">
      <w:pPr>
        <w:pStyle w:val="Tiret4"/>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reliability and robustness of the data generated in clinical trial, taking into account of statistical approaches, design of the clinical trial and methodology, including sample size and randomisation, comparator and endpoints;</w:t>
      </w:r>
    </w:p>
    <w:p w14:paraId="164F2668" w14:textId="77777777" w:rsidR="00273F36" w:rsidRPr="004C70EC" w:rsidRDefault="009C38AD" w:rsidP="00804A93">
      <w:pPr>
        <w:pStyle w:val="Poin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(ii)</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risk and inconveniencies for the subjects, taking into account all of the following:</w:t>
      </w:r>
    </w:p>
    <w:p w14:paraId="758130A8" w14:textId="77777777" w:rsidR="00273F36" w:rsidRPr="004C70EC" w:rsidRDefault="00273F36" w:rsidP="00804A93">
      <w:pPr>
        <w:pStyle w:val="Tiret4"/>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characteristic of and knowledge about the investigational medicinal product and the auxiliary medicinal product;</w:t>
      </w:r>
    </w:p>
    <w:p w14:paraId="783484CE" w14:textId="77777777" w:rsidR="00273F36" w:rsidRPr="004C70EC" w:rsidRDefault="00273F36" w:rsidP="00804A93">
      <w:pPr>
        <w:pStyle w:val="Tiret4"/>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characteristic of the investigational medicinal product;</w:t>
      </w:r>
    </w:p>
    <w:p w14:paraId="11D7C2B5" w14:textId="77777777" w:rsidR="00273F36" w:rsidRPr="004C70EC" w:rsidRDefault="00273F36" w:rsidP="00804A93">
      <w:pPr>
        <w:pStyle w:val="Tiret4"/>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safety measures, including provisions for risk minimisation measures, monitoring, safety reporting, and the safety plan;</w:t>
      </w:r>
    </w:p>
    <w:p w14:paraId="1D555493" w14:textId="77777777" w:rsidR="00273F36" w:rsidRPr="004C70EC" w:rsidRDefault="00273F36" w:rsidP="00804A93">
      <w:pPr>
        <w:pStyle w:val="Tiret4"/>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risk to subjects’ health posed by the medical condition for which the investigational medicinal product is being investigated;</w:t>
      </w:r>
    </w:p>
    <w:p w14:paraId="6D9A556E" w14:textId="77777777" w:rsidR="00273F36" w:rsidRPr="004C70EC" w:rsidRDefault="00273F36" w:rsidP="00804A93">
      <w:pPr>
        <w:pStyle w:val="Tiret4"/>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aspects related to the protection of the subjects’ safety, well-being and fundamental rights as a clinical trial participant.</w:t>
      </w:r>
    </w:p>
    <w:p w14:paraId="54CC487B" w14:textId="77777777" w:rsidR="00273F36" w:rsidRPr="004C70EC" w:rsidRDefault="00E43500" w:rsidP="00804A93">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IE"/>
        </w:rPr>
        <w:t>(b)</w:t>
      </w:r>
      <w:r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compliance with the requirements concerning the manufacturing and import of investigational medicinal product set out in Chapter IX;</w:t>
      </w:r>
    </w:p>
    <w:p w14:paraId="3C0589B3" w14:textId="77777777" w:rsidR="00273F36" w:rsidRPr="004C70EC" w:rsidRDefault="00E43500" w:rsidP="00804A93">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IE"/>
        </w:rPr>
        <w:t>(c)</w:t>
      </w:r>
      <w:r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compliance with the labelling requirements set out in Chapter X;</w:t>
      </w:r>
    </w:p>
    <w:p w14:paraId="3B806AE6" w14:textId="77777777" w:rsidR="00273F36" w:rsidRPr="004C70EC" w:rsidRDefault="00E43500" w:rsidP="00804A93">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IE"/>
        </w:rPr>
        <w:t>(d)</w:t>
      </w:r>
      <w:r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 xml:space="preserve">completeness and adequacy of the investigator’s brochure. </w:t>
      </w:r>
    </w:p>
    <w:p w14:paraId="4891CF59" w14:textId="77777777" w:rsidR="00273F36" w:rsidRPr="004C70EC" w:rsidRDefault="00273F36" w:rsidP="00804A93">
      <w:pPr>
        <w:pStyle w:val="Text2"/>
        <w:rPr>
          <w:noProof/>
          <w:color w:val="000000" w:themeColor="text1"/>
          <w:szCs w:val="24"/>
          <w:lang w:val="en-IE" w:eastAsia="en-GB"/>
        </w:rPr>
      </w:pPr>
      <w:r w:rsidRPr="004C70EC">
        <w:rPr>
          <w:noProof/>
          <w:color w:val="000000" w:themeColor="text1"/>
          <w:szCs w:val="24"/>
          <w:lang w:val="en-IE" w:eastAsia="en-IE"/>
        </w:rPr>
        <w:t>The</w:t>
      </w:r>
      <w:r w:rsidRPr="004C70EC">
        <w:rPr>
          <w:noProof/>
          <w:color w:val="000000" w:themeColor="text1"/>
          <w:szCs w:val="24"/>
          <w:lang w:val="en-IE" w:eastAsia="en-GB"/>
        </w:rPr>
        <w:t xml:space="preserve"> adequacy of the translations of the documents, when translations are required pursuant to Article 26</w:t>
      </w:r>
      <w:r w:rsidR="0A4CD934" w:rsidRPr="004C70EC">
        <w:rPr>
          <w:noProof/>
          <w:color w:val="000000" w:themeColor="text1"/>
          <w:szCs w:val="24"/>
          <w:lang w:val="en-IE" w:eastAsia="en-GB"/>
        </w:rPr>
        <w:t xml:space="preserve"> and Article 69</w:t>
      </w:r>
      <w:r w:rsidRPr="004C70EC">
        <w:rPr>
          <w:noProof/>
          <w:color w:val="000000" w:themeColor="text1"/>
          <w:szCs w:val="24"/>
          <w:lang w:val="en-IE" w:eastAsia="en-GB"/>
        </w:rPr>
        <w:t xml:space="preserve">, submitted in </w:t>
      </w:r>
      <w:r w:rsidRPr="004C70EC">
        <w:rPr>
          <w:noProof/>
          <w:color w:val="000000" w:themeColor="text1"/>
          <w:szCs w:val="24"/>
          <w:lang w:val="en-IE" w:eastAsia="en-IE"/>
        </w:rPr>
        <w:t>Part I shall be assessed in Part II.</w:t>
      </w:r>
    </w:p>
    <w:p w14:paraId="1CCC6259" w14:textId="77777777" w:rsidR="00273F36" w:rsidRPr="004C70EC" w:rsidRDefault="00E43500" w:rsidP="00804A93">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IE"/>
        </w:rPr>
        <w:t>2.</w:t>
      </w:r>
      <w:r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 xml:space="preserve">The reporting Member State shall draw up an assessment report. The assessment of the aspects referred to in paragraph 1 shall constitute Part I of the assessment report. </w:t>
      </w:r>
    </w:p>
    <w:p w14:paraId="67E5C214" w14:textId="77777777" w:rsidR="00273F36" w:rsidRPr="004C70EC" w:rsidRDefault="00273F36" w:rsidP="00804A93">
      <w:pPr>
        <w:pStyle w:val="Text2"/>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The ethics committee of the reporting Member State shall review, from the ethical perspective, aspects covered by Part I of the assessment report. That ethical review shall complement the scientific and regulatory assessment and shall cover Part I of the application dossier in order to evaluate whether the subjects’ rights, safety and well-being are being ensured in the clinical trial.”</w:t>
      </w:r>
    </w:p>
    <w:p w14:paraId="7453599F" w14:textId="77777777" w:rsidR="004E70C9" w:rsidRPr="004C70EC" w:rsidRDefault="00273F36" w:rsidP="00804A93">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2a.</w:t>
      </w:r>
      <w:r w:rsidR="00E43500" w:rsidRPr="004C70EC">
        <w:rPr>
          <w:rFonts w:eastAsia="Times New Roman"/>
          <w:noProof/>
          <w:color w:val="000000" w:themeColor="text1"/>
          <w:szCs w:val="24"/>
          <w:lang w:eastAsia="en-IE"/>
        </w:rPr>
        <w:tab/>
      </w:r>
      <w:r w:rsidRPr="004C70EC">
        <w:rPr>
          <w:rFonts w:eastAsia="Times New Roman"/>
          <w:noProof/>
          <w:color w:val="000000" w:themeColor="text1"/>
          <w:szCs w:val="24"/>
          <w:lang w:eastAsia="en-IE"/>
        </w:rPr>
        <w:t>Notwithstanding paragraph 2, where the clinical trial is a minimal-intervention clinical trial, the assessment of the reporting Member State shall be limited to an ethical review by its ethics committee of the aspects referred to points (a) and (d) of paragraph 1.</w:t>
      </w:r>
    </w:p>
    <w:p w14:paraId="3CA2193B" w14:textId="77777777" w:rsidR="00C83908" w:rsidRPr="004C70EC" w:rsidRDefault="6F665F77" w:rsidP="00804A93">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3.</w:t>
      </w:r>
      <w:r w:rsidR="0038612E" w:rsidRPr="004C70EC">
        <w:rPr>
          <w:noProof/>
          <w:color w:val="000000" w:themeColor="text1"/>
          <w:szCs w:val="24"/>
        </w:rPr>
        <w:tab/>
      </w:r>
      <w:r w:rsidR="15A3D2C3" w:rsidRPr="004C70EC">
        <w:rPr>
          <w:rFonts w:eastAsia="Times New Roman"/>
          <w:noProof/>
          <w:color w:val="000000" w:themeColor="text1"/>
          <w:szCs w:val="24"/>
          <w:lang w:eastAsia="en-IE"/>
        </w:rPr>
        <w:t>T</w:t>
      </w:r>
      <w:r w:rsidR="4201F1B8" w:rsidRPr="004C70EC">
        <w:rPr>
          <w:rFonts w:eastAsia="Times New Roman"/>
          <w:noProof/>
          <w:color w:val="000000" w:themeColor="text1"/>
          <w:szCs w:val="24"/>
          <w:lang w:eastAsia="en-IE"/>
        </w:rPr>
        <w:t>he assessment report</w:t>
      </w:r>
      <w:r w:rsidR="5AA8C568" w:rsidRPr="004C70EC">
        <w:rPr>
          <w:rFonts w:eastAsia="Times New Roman"/>
          <w:noProof/>
          <w:color w:val="000000" w:themeColor="text1"/>
          <w:szCs w:val="24"/>
          <w:lang w:eastAsia="en-IE"/>
        </w:rPr>
        <w:t xml:space="preserve"> shall contain one of the following conclusions concerning the aspects addressed in Part </w:t>
      </w:r>
      <w:r w:rsidR="0570DD29" w:rsidRPr="004C70EC">
        <w:rPr>
          <w:rFonts w:eastAsia="Times New Roman"/>
          <w:noProof/>
          <w:color w:val="000000" w:themeColor="text1"/>
          <w:szCs w:val="24"/>
          <w:lang w:eastAsia="en-IE"/>
        </w:rPr>
        <w:t>I of the assessment report:</w:t>
      </w:r>
    </w:p>
    <w:p w14:paraId="31AEB8A3" w14:textId="77777777" w:rsidR="00C83908" w:rsidRPr="004C70EC" w:rsidRDefault="00804A93" w:rsidP="00804A93">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(a)</w:t>
      </w:r>
      <w:r w:rsidRPr="004C70EC">
        <w:rPr>
          <w:rFonts w:eastAsia="Times New Roman"/>
          <w:noProof/>
          <w:color w:val="000000" w:themeColor="text1"/>
          <w:szCs w:val="24"/>
          <w:lang w:eastAsia="en-IE"/>
        </w:rPr>
        <w:tab/>
      </w:r>
      <w:r w:rsidR="00C83908" w:rsidRPr="004C70EC">
        <w:rPr>
          <w:rFonts w:eastAsia="Times New Roman"/>
          <w:noProof/>
          <w:color w:val="000000" w:themeColor="text1"/>
          <w:szCs w:val="24"/>
          <w:lang w:eastAsia="en-IE"/>
        </w:rPr>
        <w:t>the conduct of the clinical trial is acceptable in view of the requirements set out in this Regulation:</w:t>
      </w:r>
    </w:p>
    <w:p w14:paraId="16EE14A4" w14:textId="77777777" w:rsidR="00E864DC" w:rsidRPr="004C70EC" w:rsidRDefault="00804A93" w:rsidP="00804A93">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(b)</w:t>
      </w:r>
      <w:r w:rsidRPr="004C70EC">
        <w:rPr>
          <w:rFonts w:eastAsia="Times New Roman"/>
          <w:noProof/>
          <w:color w:val="000000" w:themeColor="text1"/>
          <w:szCs w:val="24"/>
          <w:lang w:eastAsia="en-IE"/>
        </w:rPr>
        <w:tab/>
      </w:r>
      <w:r w:rsidR="00712313" w:rsidRPr="004C70EC">
        <w:rPr>
          <w:rFonts w:eastAsia="Times New Roman"/>
          <w:noProof/>
          <w:color w:val="000000" w:themeColor="text1"/>
          <w:szCs w:val="24"/>
          <w:lang w:eastAsia="en-IE"/>
        </w:rPr>
        <w:t>the conduct of the clinical trial is acceptable in view of the requirements set out in this Regulation, but subject to compliance with specific conditions which shall be specifically listed in that conclusion; or</w:t>
      </w:r>
    </w:p>
    <w:p w14:paraId="469A9FBC" w14:textId="77777777" w:rsidR="00712313" w:rsidRPr="004C70EC" w:rsidRDefault="00804A93" w:rsidP="00804A93">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(c)</w:t>
      </w:r>
      <w:r w:rsidRPr="004C70EC">
        <w:rPr>
          <w:rFonts w:eastAsia="Times New Roman"/>
          <w:noProof/>
          <w:color w:val="000000" w:themeColor="text1"/>
          <w:szCs w:val="24"/>
          <w:lang w:eastAsia="en-IE"/>
        </w:rPr>
        <w:tab/>
      </w:r>
      <w:r w:rsidR="00712313" w:rsidRPr="004C70EC">
        <w:rPr>
          <w:rFonts w:eastAsia="Times New Roman"/>
          <w:noProof/>
          <w:color w:val="000000" w:themeColor="text1"/>
          <w:szCs w:val="24"/>
          <w:lang w:eastAsia="en-IE"/>
        </w:rPr>
        <w:t xml:space="preserve">the conduct of the clinical trial </w:t>
      </w:r>
      <w:r w:rsidR="00C0611A" w:rsidRPr="004C70EC">
        <w:rPr>
          <w:rFonts w:eastAsia="Times New Roman"/>
          <w:noProof/>
          <w:color w:val="000000" w:themeColor="text1"/>
          <w:szCs w:val="24"/>
          <w:lang w:eastAsia="en-IE"/>
        </w:rPr>
        <w:t>is not acceptable in view of the requirements set out in this Regulation.</w:t>
      </w:r>
    </w:p>
    <w:p w14:paraId="34EEC611" w14:textId="77777777" w:rsidR="00273F36" w:rsidRPr="004C70EC" w:rsidRDefault="0083172B" w:rsidP="00804A93">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4.</w:t>
      </w:r>
      <w:r w:rsidRPr="004C70EC">
        <w:rPr>
          <w:rFonts w:eastAsia="Times New Roman"/>
          <w:noProof/>
          <w:color w:val="000000" w:themeColor="text1"/>
          <w:szCs w:val="24"/>
          <w:lang w:eastAsia="en-IE"/>
        </w:rPr>
        <w:tab/>
      </w:r>
      <w:r w:rsidR="00C0611A" w:rsidRPr="004C70EC">
        <w:rPr>
          <w:rFonts w:eastAsia="Times New Roman"/>
          <w:noProof/>
          <w:color w:val="000000" w:themeColor="text1"/>
          <w:szCs w:val="24"/>
          <w:lang w:eastAsia="en-IE"/>
        </w:rPr>
        <w:t>The reporting Member state shall submit, through EU portal, the final Part I of the assessment report</w:t>
      </w:r>
      <w:r w:rsidR="00CA6304" w:rsidRPr="004C70EC">
        <w:rPr>
          <w:rFonts w:eastAsia="Times New Roman"/>
          <w:noProof/>
          <w:color w:val="000000" w:themeColor="text1"/>
          <w:szCs w:val="24"/>
          <w:lang w:eastAsia="en-IE"/>
        </w:rPr>
        <w:t>, including its conclusions, to the sponsors and to the other Member States concerned within 42 days from the submission date.</w:t>
      </w:r>
    </w:p>
    <w:p w14:paraId="47313AB0" w14:textId="77777777" w:rsidR="00273F36" w:rsidRPr="004C70EC" w:rsidRDefault="68AA3B27" w:rsidP="00804A93">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IE"/>
        </w:rPr>
        <w:t>5.</w:t>
      </w:r>
      <w:r w:rsidR="00273F36" w:rsidRPr="004C70EC">
        <w:rPr>
          <w:noProof/>
          <w:color w:val="000000" w:themeColor="text1"/>
          <w:szCs w:val="24"/>
        </w:rPr>
        <w:tab/>
      </w:r>
      <w:r w:rsidR="2F263E33" w:rsidRPr="004C70EC">
        <w:rPr>
          <w:rFonts w:eastAsia="Times New Roman"/>
          <w:noProof/>
          <w:color w:val="000000" w:themeColor="text1"/>
          <w:szCs w:val="24"/>
          <w:lang w:eastAsia="en-IE"/>
        </w:rPr>
        <w:t>For clinical trials involving more than one Member State concerned, the assessment process shall include three phases:</w:t>
      </w:r>
    </w:p>
    <w:p w14:paraId="46A55AD6" w14:textId="77777777" w:rsidR="00273F36" w:rsidRPr="004C70EC" w:rsidRDefault="00E43500" w:rsidP="00804A93">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an initial assessment phase within 28 days from the submission date;</w:t>
      </w:r>
    </w:p>
    <w:p w14:paraId="509AA8F8" w14:textId="77777777" w:rsidR="00273F36" w:rsidRPr="004C70EC" w:rsidRDefault="00E43500" w:rsidP="00804A93">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noProof/>
          <w:color w:val="000000" w:themeColor="text1"/>
          <w:szCs w:val="24"/>
        </w:rPr>
        <w:tab/>
      </w:r>
      <w:r w:rsidR="00273F36" w:rsidRPr="004C70EC">
        <w:rPr>
          <w:rFonts w:eastAsia="Times New Roman"/>
          <w:noProof/>
          <w:color w:val="000000" w:themeColor="text1"/>
          <w:szCs w:val="24"/>
          <w:lang w:val="en-IE" w:eastAsia="en-GB"/>
        </w:rPr>
        <w:t>a review phase within seven days from the end of the initial assessment;</w:t>
      </w:r>
    </w:p>
    <w:p w14:paraId="58511B24" w14:textId="77777777" w:rsidR="00273F36" w:rsidRPr="004C70EC" w:rsidRDefault="00E43500" w:rsidP="00804A93">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(c)</w:t>
      </w:r>
      <w:r w:rsidRPr="004C70EC">
        <w:rPr>
          <w:noProof/>
          <w:color w:val="000000" w:themeColor="text1"/>
          <w:szCs w:val="24"/>
        </w:rPr>
        <w:tab/>
      </w:r>
      <w:r w:rsidR="00273F36" w:rsidRPr="004C70EC">
        <w:rPr>
          <w:rFonts w:eastAsia="Times New Roman"/>
          <w:noProof/>
          <w:color w:val="000000" w:themeColor="text1"/>
          <w:szCs w:val="24"/>
          <w:lang w:val="en-IE" w:eastAsia="en-GB"/>
        </w:rPr>
        <w:t xml:space="preserve">a consolidation phase within seven days from the end date of the review phase. </w:t>
      </w:r>
    </w:p>
    <w:p w14:paraId="3A8B273E" w14:textId="77777777" w:rsidR="00273F36" w:rsidRPr="004C70EC" w:rsidRDefault="00273F36" w:rsidP="00E43500">
      <w:pPr>
        <w:pStyle w:val="Text2"/>
        <w:rPr>
          <w:rFonts w:eastAsia="Times New Roman"/>
          <w:noProof/>
          <w:color w:val="000000" w:themeColor="text1"/>
          <w:szCs w:val="24"/>
          <w:lang w:eastAsia="en-IE"/>
        </w:rPr>
      </w:pPr>
      <w:r w:rsidRPr="004C70EC">
        <w:rPr>
          <w:rFonts w:eastAsia="Times New Roman"/>
          <w:noProof/>
          <w:color w:val="000000" w:themeColor="text1"/>
          <w:szCs w:val="24"/>
          <w:lang w:eastAsia="en-IE"/>
        </w:rPr>
        <w:t>During the initial assessment phase, the reporting Member State shall assess Part I of the application dossier and draw up a draft Part I of the assessment report and circulate it to all other Member States concerned within 28 days from the submission date.</w:t>
      </w:r>
    </w:p>
    <w:p w14:paraId="076D5656" w14:textId="77777777" w:rsidR="00273F36" w:rsidRPr="004C70EC" w:rsidRDefault="00273F36" w:rsidP="00E43500">
      <w:pPr>
        <w:pStyle w:val="Text2"/>
        <w:rPr>
          <w:rFonts w:eastAsia="Times New Roman"/>
          <w:noProof/>
          <w:color w:val="000000" w:themeColor="text1"/>
          <w:szCs w:val="24"/>
          <w:lang w:eastAsia="en-IE"/>
        </w:rPr>
      </w:pPr>
      <w:r w:rsidRPr="004C70EC">
        <w:rPr>
          <w:rFonts w:eastAsia="Times New Roman"/>
          <w:noProof/>
          <w:color w:val="000000" w:themeColor="text1"/>
          <w:szCs w:val="24"/>
          <w:lang w:eastAsia="en-IE"/>
        </w:rPr>
        <w:t>During the review phase, within seven days from the circulation of the draft assessment report all Member States concerned shall review the application based on the draft Part I of the assessment report and shall share considerations for their Member States relevant to the application. The consideration may be raised only on one of the following grounds:</w:t>
      </w:r>
    </w:p>
    <w:p w14:paraId="0895C86F" w14:textId="77777777" w:rsidR="00273F36" w:rsidRPr="004C70EC" w:rsidRDefault="00E43500" w:rsidP="00804A93">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eastAsia="en-IE"/>
        </w:rPr>
        <w:t>(a)</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 xml:space="preserve">one of the grounds referred to in Article 8(2); </w:t>
      </w:r>
    </w:p>
    <w:p w14:paraId="7536FDB9" w14:textId="77777777" w:rsidR="00273F36" w:rsidRPr="004C70EC" w:rsidRDefault="00E43500" w:rsidP="00804A93">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eastAsia="en-IE"/>
        </w:rPr>
        <w:t>(b)</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issues that would lead to a negative opinion of the ethics committee of the Member State concerned.</w:t>
      </w:r>
    </w:p>
    <w:p w14:paraId="59B09346" w14:textId="77777777" w:rsidR="00273F36" w:rsidRPr="004C70EC" w:rsidRDefault="00273F36" w:rsidP="00E43500">
      <w:pPr>
        <w:pStyle w:val="Text2"/>
        <w:rPr>
          <w:rFonts w:eastAsia="Times New Roman"/>
          <w:noProof/>
          <w:color w:val="000000" w:themeColor="text1"/>
          <w:szCs w:val="24"/>
          <w:lang w:eastAsia="en-IE"/>
        </w:rPr>
      </w:pPr>
      <w:r w:rsidRPr="004C70EC">
        <w:rPr>
          <w:rFonts w:eastAsia="Times New Roman"/>
          <w:noProof/>
          <w:color w:val="000000" w:themeColor="text1"/>
          <w:szCs w:val="24"/>
          <w:lang w:eastAsia="en-IE"/>
        </w:rPr>
        <w:t>During the consolidation phase, the reporting Member State shall take due account of the considerations of the other Member States concerned and finalise Part I of the assessment report and shall record how all considerations have been dealt with. The reporting Member State shall submit the final Part I of the assessment report to the sponsor and all other Member States concerned within seven days from the end of the review phase.”</w:t>
      </w:r>
    </w:p>
    <w:p w14:paraId="660EC203" w14:textId="77777777" w:rsidR="00273F36" w:rsidRPr="004C70EC" w:rsidRDefault="00ED7504" w:rsidP="00804A93">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5a.</w:t>
      </w:r>
      <w:r w:rsidR="00804A93"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Where the clinical trial is a minimal-intervention clinical trial, other Member States concerned may only raise during the review phase considerations referred to in paragraph 5related to ethical aspects of the draft assessment report.”</w:t>
      </w:r>
    </w:p>
    <w:p w14:paraId="5F35E845" w14:textId="77777777" w:rsidR="00273F36" w:rsidRPr="004C70EC" w:rsidRDefault="00ED7504" w:rsidP="00804A93">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IE"/>
        </w:rPr>
        <w:t>6</w:t>
      </w:r>
      <w:r w:rsidR="00F26320" w:rsidRPr="004C70EC">
        <w:rPr>
          <w:rFonts w:eastAsia="Times New Roman"/>
          <w:noProof/>
          <w:color w:val="000000" w:themeColor="text1"/>
          <w:szCs w:val="24"/>
          <w:lang w:val="en-IE" w:eastAsia="en-IE"/>
        </w:rPr>
        <w:t>.</w:t>
      </w:r>
      <w:r w:rsidR="00804A93"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eastAsia="en-IE"/>
        </w:rPr>
        <w:t>For the purpose of this Chapter, the date on which the final Part I of the assessment report is submitted by the reporting Member State to the sponsor and to the other Member States concerned through the EU portal shall be the reporting date.”</w:t>
      </w:r>
    </w:p>
    <w:p w14:paraId="321C9095" w14:textId="77777777" w:rsidR="00273F36" w:rsidRPr="004C70EC" w:rsidRDefault="0B1C87A7" w:rsidP="00804A93">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eastAsia="en-IE"/>
        </w:rPr>
        <w:t>7</w:t>
      </w:r>
      <w:r w:rsidR="00F26320" w:rsidRPr="004C70EC">
        <w:rPr>
          <w:rFonts w:eastAsia="Times New Roman"/>
          <w:noProof/>
          <w:color w:val="000000" w:themeColor="text1"/>
          <w:szCs w:val="24"/>
          <w:lang w:eastAsia="en-IE"/>
        </w:rPr>
        <w:t>.</w:t>
      </w:r>
      <w:r w:rsidR="00804A93" w:rsidRPr="004C70EC">
        <w:rPr>
          <w:noProof/>
          <w:color w:val="000000" w:themeColor="text1"/>
          <w:szCs w:val="24"/>
        </w:rPr>
        <w:tab/>
      </w:r>
      <w:r w:rsidR="00273F36" w:rsidRPr="004C70EC">
        <w:rPr>
          <w:rFonts w:eastAsia="Times New Roman"/>
          <w:noProof/>
          <w:color w:val="000000" w:themeColor="text1"/>
          <w:szCs w:val="24"/>
          <w:lang w:eastAsia="en-IE"/>
        </w:rPr>
        <w:t>Between the validation date and the reporting date, only the reporting Member State may request additional information from the sponsor, taking into account the considerations referred to in paragraph 5.</w:t>
      </w:r>
    </w:p>
    <w:p w14:paraId="0CE38517" w14:textId="77777777" w:rsidR="00273F36" w:rsidRPr="004C70EC" w:rsidRDefault="00273F36" w:rsidP="00E43500">
      <w:pPr>
        <w:pStyle w:val="Text2"/>
        <w:rPr>
          <w:rFonts w:eastAsia="Times New Roman"/>
          <w:noProof/>
          <w:color w:val="000000" w:themeColor="text1"/>
          <w:szCs w:val="24"/>
          <w:lang w:eastAsia="en-IE"/>
        </w:rPr>
      </w:pPr>
      <w:r w:rsidRPr="004C70EC">
        <w:rPr>
          <w:rFonts w:eastAsia="Times New Roman"/>
          <w:noProof/>
          <w:color w:val="000000" w:themeColor="text1"/>
          <w:szCs w:val="24"/>
          <w:lang w:eastAsia="en-IE"/>
        </w:rPr>
        <w:t>For the purpose of obtaining and reviewing this additional information from the sponsor, the reporting Member State may extend the period referred to in paragraph 4 by maximum of 28 days.</w:t>
      </w:r>
    </w:p>
    <w:p w14:paraId="0F75787C" w14:textId="77777777" w:rsidR="00273F36" w:rsidRPr="004C70EC" w:rsidRDefault="00273F36" w:rsidP="00E43500">
      <w:pPr>
        <w:pStyle w:val="Text2"/>
        <w:rPr>
          <w:rFonts w:eastAsia="Times New Roman"/>
          <w:noProof/>
          <w:color w:val="000000" w:themeColor="text1"/>
          <w:szCs w:val="24"/>
          <w:lang w:eastAsia="en-IE"/>
        </w:rPr>
      </w:pPr>
      <w:r w:rsidRPr="004C70EC">
        <w:rPr>
          <w:rFonts w:eastAsia="Times New Roman"/>
          <w:noProof/>
          <w:color w:val="000000" w:themeColor="text1"/>
          <w:szCs w:val="24"/>
          <w:lang w:eastAsia="en-IE"/>
        </w:rPr>
        <w:t>The sponsor shall submit the requested information within the period set by the reporting Member State which shall not exceed 14 days from the receipt of the request.</w:t>
      </w:r>
    </w:p>
    <w:p w14:paraId="289BD835" w14:textId="77777777" w:rsidR="00273F36" w:rsidRPr="004C70EC" w:rsidRDefault="00273F36" w:rsidP="00E43500">
      <w:pPr>
        <w:pStyle w:val="Text2"/>
        <w:rPr>
          <w:rFonts w:eastAsia="Times New Roman"/>
          <w:noProof/>
          <w:color w:val="000000" w:themeColor="text1"/>
          <w:szCs w:val="24"/>
          <w:lang w:eastAsia="en-IE"/>
        </w:rPr>
      </w:pPr>
      <w:r w:rsidRPr="004C70EC">
        <w:rPr>
          <w:rFonts w:eastAsia="Times New Roman"/>
          <w:noProof/>
          <w:color w:val="000000" w:themeColor="text1"/>
          <w:szCs w:val="24"/>
          <w:lang w:eastAsia="en-IE"/>
        </w:rPr>
        <w:t>Upon receipt of the requested additional information, the Member State concerned shall review additional information provided by the sponsor and shall identify and share with the reporting Member State any unaddressed considerations, relevant for the application. The coordinated review shall be performed within maximum 7 days of the receipt of the additional information and the further consolidation shall be performed within maximum seven days of the end of the coordinated review. When finalising Part I of the assessment report, the reporting Member State shall take due account of the considerations of the other Member States concerned and shall record how the considerations have been dealt with.</w:t>
      </w:r>
    </w:p>
    <w:p w14:paraId="7DC234B4" w14:textId="77777777" w:rsidR="00273F36" w:rsidRPr="004C70EC" w:rsidRDefault="00273F36" w:rsidP="00E43500">
      <w:pPr>
        <w:pStyle w:val="Text2"/>
        <w:rPr>
          <w:rFonts w:eastAsia="Times New Roman"/>
          <w:noProof/>
          <w:color w:val="000000" w:themeColor="text1"/>
          <w:szCs w:val="24"/>
          <w:lang w:eastAsia="en-IE"/>
        </w:rPr>
      </w:pPr>
      <w:r w:rsidRPr="004C70EC">
        <w:rPr>
          <w:rFonts w:eastAsia="Times New Roman"/>
          <w:noProof/>
          <w:color w:val="000000" w:themeColor="text1"/>
          <w:szCs w:val="24"/>
          <w:lang w:eastAsia="en-IE"/>
        </w:rPr>
        <w:t>Where the sponsor does not provide additional information within the period set by the reporting Member State in accordance with the third subparagraph, the application shall be deemed to have lapsed in all Member States concerned.</w:t>
      </w:r>
    </w:p>
    <w:p w14:paraId="1E6CDA39" w14:textId="77777777" w:rsidR="00273F36" w:rsidRPr="004C70EC" w:rsidRDefault="00273F36" w:rsidP="00E43500">
      <w:pPr>
        <w:pStyle w:val="Text2"/>
        <w:rPr>
          <w:rFonts w:eastAsia="Times New Roman"/>
          <w:noProof/>
          <w:color w:val="000000" w:themeColor="text1"/>
          <w:szCs w:val="24"/>
          <w:lang w:eastAsia="en-IE"/>
        </w:rPr>
      </w:pPr>
      <w:r w:rsidRPr="004C70EC">
        <w:rPr>
          <w:rFonts w:eastAsia="Times New Roman"/>
          <w:noProof/>
          <w:color w:val="000000" w:themeColor="text1"/>
          <w:szCs w:val="24"/>
          <w:lang w:eastAsia="en-IE"/>
        </w:rPr>
        <w:t>The request for additional information and additional information shall be submitted through the EU Portal.</w:t>
      </w:r>
      <w:r w:rsidR="00F26320" w:rsidRPr="004C70EC">
        <w:rPr>
          <w:rFonts w:eastAsia="Times New Roman"/>
          <w:noProof/>
          <w:color w:val="000000" w:themeColor="text1"/>
          <w:szCs w:val="24"/>
          <w:lang w:eastAsia="en-IE"/>
        </w:rPr>
        <w:t>’</w:t>
      </w:r>
    </w:p>
    <w:p w14:paraId="50FC87DC" w14:textId="77777777" w:rsidR="00B52F67" w:rsidRPr="004C70EC" w:rsidRDefault="00B52F67" w:rsidP="00E43500">
      <w:pPr>
        <w:pStyle w:val="Text2"/>
        <w:rPr>
          <w:rFonts w:eastAsia="Times New Roman"/>
          <w:noProof/>
          <w:color w:val="000000" w:themeColor="text1"/>
          <w:szCs w:val="24"/>
          <w:lang w:eastAsia="en-IE"/>
        </w:rPr>
      </w:pPr>
    </w:p>
    <w:p w14:paraId="02F4E3E2" w14:textId="77777777" w:rsidR="00273F36" w:rsidRPr="004C70EC" w:rsidRDefault="00E43500" w:rsidP="00E43500">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6A6247" w:rsidRPr="004C70EC">
        <w:rPr>
          <w:rFonts w:eastAsia="Times New Roman"/>
          <w:noProof/>
          <w:color w:val="000000" w:themeColor="text1"/>
          <w:szCs w:val="24"/>
          <w:lang w:eastAsia="en-IE"/>
        </w:rPr>
        <w:t>6</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Article 7 is replaced by the following:</w:t>
      </w:r>
    </w:p>
    <w:p w14:paraId="07D70A3B" w14:textId="77777777" w:rsidR="00273F36" w:rsidRPr="004C70EC" w:rsidRDefault="002E29DB" w:rsidP="00E43500">
      <w:pPr>
        <w:pStyle w:val="Titrearticle"/>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273F36" w:rsidRPr="004C70EC">
        <w:rPr>
          <w:rFonts w:eastAsia="Times New Roman"/>
          <w:noProof/>
          <w:color w:val="000000" w:themeColor="text1"/>
          <w:szCs w:val="24"/>
          <w:lang w:eastAsia="en-IE"/>
        </w:rPr>
        <w:t>Article 7</w:t>
      </w:r>
    </w:p>
    <w:p w14:paraId="5FB02498" w14:textId="77777777" w:rsidR="00273F36" w:rsidRPr="004C70EC" w:rsidRDefault="00273F36" w:rsidP="00E43500">
      <w:pPr>
        <w:jc w:val="center"/>
        <w:rPr>
          <w:rFonts w:eastAsia="Times New Roman"/>
          <w:i/>
          <w:iCs/>
          <w:noProof/>
          <w:color w:val="000000" w:themeColor="text1"/>
          <w:szCs w:val="24"/>
          <w:lang w:eastAsia="en-IE"/>
        </w:rPr>
      </w:pPr>
      <w:r w:rsidRPr="004C70EC">
        <w:rPr>
          <w:rFonts w:eastAsia="Times New Roman"/>
          <w:i/>
          <w:iCs/>
          <w:noProof/>
          <w:color w:val="000000" w:themeColor="text1"/>
          <w:szCs w:val="24"/>
          <w:lang w:eastAsia="en-IE"/>
        </w:rPr>
        <w:t xml:space="preserve">Assessment report – Aspects covered by Part II of the application dossier </w:t>
      </w:r>
    </w:p>
    <w:p w14:paraId="0378BDAB" w14:textId="77777777" w:rsidR="00273F36" w:rsidRPr="004C70EC" w:rsidRDefault="00E43500" w:rsidP="00E43500">
      <w:pPr>
        <w:pStyle w:val="Point1"/>
        <w:rPr>
          <w:noProof/>
          <w:color w:val="000000" w:themeColor="text1"/>
          <w:szCs w:val="24"/>
          <w:lang w:val="en-IE" w:eastAsia="en-GB"/>
        </w:rPr>
      </w:pPr>
      <w:r w:rsidRPr="004C70EC">
        <w:rPr>
          <w:noProof/>
          <w:color w:val="000000" w:themeColor="text1"/>
          <w:szCs w:val="24"/>
          <w:lang w:eastAsia="en-IE"/>
        </w:rPr>
        <w:t>1.</w:t>
      </w:r>
      <w:r w:rsidRPr="004C70EC">
        <w:rPr>
          <w:noProof/>
          <w:color w:val="000000" w:themeColor="text1"/>
          <w:szCs w:val="24"/>
          <w:lang w:eastAsia="en-IE"/>
        </w:rPr>
        <w:tab/>
      </w:r>
      <w:r w:rsidR="00273F36" w:rsidRPr="004C70EC">
        <w:rPr>
          <w:noProof/>
          <w:color w:val="000000" w:themeColor="text1"/>
          <w:szCs w:val="24"/>
          <w:lang w:eastAsia="en-IE"/>
        </w:rPr>
        <w:t xml:space="preserve">Each Member State concerned shall assess, for its own territory, the application with respect to the following aspects. Such assessment shall constitute Part II of the assessment report: </w:t>
      </w:r>
    </w:p>
    <w:p w14:paraId="4A11073D" w14:textId="77777777" w:rsidR="00273F36" w:rsidRPr="004C70EC" w:rsidRDefault="00E43500" w:rsidP="00E43500">
      <w:pPr>
        <w:pStyle w:val="Point2"/>
        <w:rPr>
          <w:noProof/>
          <w:color w:val="000000" w:themeColor="text1"/>
          <w:szCs w:val="24"/>
          <w:lang w:val="en-IE" w:eastAsia="en-GB"/>
        </w:rPr>
      </w:pPr>
      <w:r w:rsidRPr="004C70EC">
        <w:rPr>
          <w:noProof/>
          <w:color w:val="000000" w:themeColor="text1"/>
          <w:szCs w:val="24"/>
          <w:lang w:eastAsia="en-IE"/>
        </w:rPr>
        <w:t>(a)</w:t>
      </w:r>
      <w:r w:rsidRPr="004C70EC">
        <w:rPr>
          <w:noProof/>
          <w:color w:val="000000" w:themeColor="text1"/>
          <w:szCs w:val="24"/>
          <w:lang w:eastAsia="en-IE"/>
        </w:rPr>
        <w:tab/>
      </w:r>
      <w:r w:rsidR="00273F36" w:rsidRPr="004C70EC">
        <w:rPr>
          <w:noProof/>
          <w:color w:val="000000" w:themeColor="text1"/>
          <w:szCs w:val="24"/>
          <w:lang w:eastAsia="en-IE"/>
        </w:rPr>
        <w:t>compliance with the requirements for informed consent set out in Chapter V;</w:t>
      </w:r>
    </w:p>
    <w:p w14:paraId="0A4F78E5" w14:textId="77777777" w:rsidR="00273F36" w:rsidRPr="004C70EC" w:rsidRDefault="00E43500" w:rsidP="00E4350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eastAsia="en-IE"/>
        </w:rPr>
        <w:t>(b)</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compliance of the arrangements for rewarding or compensating subjects with the requirements set out in Chapter V;</w:t>
      </w:r>
    </w:p>
    <w:p w14:paraId="25DD927B" w14:textId="77777777" w:rsidR="00273F36" w:rsidRPr="004C70EC" w:rsidRDefault="00E43500" w:rsidP="00E4350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eastAsia="en-IE"/>
        </w:rPr>
        <w:t>(c)</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compliance of the arrangements for recruitment of subjects with the requirements set out in Chapter V;</w:t>
      </w:r>
    </w:p>
    <w:p w14:paraId="40492F62" w14:textId="77777777" w:rsidR="00273F36" w:rsidRPr="004C70EC" w:rsidRDefault="3AF7EBF8" w:rsidP="00E4350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eastAsia="en-IE"/>
        </w:rPr>
        <w:t>(d)</w:t>
      </w:r>
      <w:r w:rsidR="00E43500" w:rsidRPr="004C70EC">
        <w:rPr>
          <w:rFonts w:eastAsia="Times New Roman"/>
          <w:noProof/>
          <w:color w:val="000000" w:themeColor="text1"/>
          <w:szCs w:val="24"/>
          <w:lang w:eastAsia="en-IE"/>
        </w:rPr>
        <w:tab/>
      </w:r>
      <w:r w:rsidR="2F263E33" w:rsidRPr="004C70EC">
        <w:rPr>
          <w:rFonts w:eastAsia="Times New Roman"/>
          <w:noProof/>
          <w:color w:val="000000" w:themeColor="text1"/>
          <w:szCs w:val="24"/>
          <w:lang w:eastAsia="en-IE"/>
        </w:rPr>
        <w:t>compliance with Regulation (EU) 2016/679</w:t>
      </w:r>
      <w:r w:rsidR="72ED32DA" w:rsidRPr="004C70EC">
        <w:rPr>
          <w:rFonts w:eastAsia="Times New Roman"/>
          <w:noProof/>
          <w:color w:val="000000" w:themeColor="text1"/>
          <w:szCs w:val="24"/>
          <w:lang w:eastAsia="en-IE"/>
        </w:rPr>
        <w:t xml:space="preserve"> of the European Parli</w:t>
      </w:r>
      <w:r w:rsidR="4F3CA57A" w:rsidRPr="004C70EC">
        <w:rPr>
          <w:rFonts w:eastAsia="Times New Roman"/>
          <w:noProof/>
          <w:color w:val="000000" w:themeColor="text1"/>
          <w:szCs w:val="24"/>
          <w:lang w:eastAsia="en-IE"/>
        </w:rPr>
        <w:t>a</w:t>
      </w:r>
      <w:r w:rsidR="72ED32DA" w:rsidRPr="004C70EC">
        <w:rPr>
          <w:rFonts w:eastAsia="Times New Roman"/>
          <w:noProof/>
          <w:color w:val="000000" w:themeColor="text1"/>
          <w:szCs w:val="24"/>
          <w:lang w:eastAsia="en-IE"/>
        </w:rPr>
        <w:t>ment and of the Council*</w:t>
      </w:r>
      <w:r w:rsidR="2F263E33" w:rsidRPr="004C70EC">
        <w:rPr>
          <w:rFonts w:eastAsia="Times New Roman"/>
          <w:noProof/>
          <w:color w:val="000000" w:themeColor="text1"/>
          <w:szCs w:val="24"/>
          <w:lang w:eastAsia="en-IE"/>
        </w:rPr>
        <w:t>;</w:t>
      </w:r>
    </w:p>
    <w:p w14:paraId="52AB8D01" w14:textId="77777777" w:rsidR="00273F36" w:rsidRPr="004C70EC" w:rsidRDefault="00E43500" w:rsidP="00E4350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eastAsia="en-IE"/>
        </w:rPr>
        <w:t>(e)</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compliance with Article 49;</w:t>
      </w:r>
    </w:p>
    <w:p w14:paraId="1A4D475E" w14:textId="77777777" w:rsidR="00273F36" w:rsidRPr="004C70EC" w:rsidRDefault="00E43500" w:rsidP="00E4350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eastAsia="en-IE"/>
        </w:rPr>
        <w:t>(f)</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compliance with Article 50;</w:t>
      </w:r>
    </w:p>
    <w:p w14:paraId="21B7991F" w14:textId="77777777" w:rsidR="00273F36" w:rsidRPr="004C70EC" w:rsidRDefault="00E43500" w:rsidP="00E4350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eastAsia="en-IE"/>
        </w:rPr>
        <w:t>(g)</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compliance with Article 76;</w:t>
      </w:r>
    </w:p>
    <w:p w14:paraId="1B7A080A" w14:textId="77777777" w:rsidR="00273F36" w:rsidRPr="004C70EC" w:rsidRDefault="00E43500" w:rsidP="00E4350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eastAsia="en-IE"/>
        </w:rPr>
        <w:t>(h)</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compliance with applicable rules for the collection, storage and future use of biological samples of the subject;</w:t>
      </w:r>
    </w:p>
    <w:p w14:paraId="33932FF1" w14:textId="77777777" w:rsidR="00273F36" w:rsidRPr="004C70EC" w:rsidRDefault="00E43500" w:rsidP="00E4350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(i)</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accuracy of the translations of the documents and information submitted in Part I of the application dossier, when such documents are required to be submitted in the national language in accordance with Article 26 and 69.</w:t>
      </w:r>
    </w:p>
    <w:p w14:paraId="30A2EEE4" w14:textId="77777777" w:rsidR="00273F36" w:rsidRPr="004C70EC" w:rsidRDefault="00E43500" w:rsidP="00E43500">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2.</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Each Member State concerned shall complete the assessment within 42 days from the submission date and submit, through the EU portal, Part II of the assessment report, including its conclusions, to the sponsor.</w:t>
      </w:r>
    </w:p>
    <w:p w14:paraId="75B37F76" w14:textId="77777777" w:rsidR="00273F36" w:rsidRPr="004C70EC" w:rsidRDefault="00273F36" w:rsidP="00E43500">
      <w:pPr>
        <w:pStyle w:val="Text2"/>
        <w:rPr>
          <w:noProof/>
          <w:color w:val="000000" w:themeColor="text1"/>
          <w:szCs w:val="24"/>
          <w:lang w:val="en-IE" w:eastAsia="en-GB"/>
        </w:rPr>
      </w:pPr>
      <w:r w:rsidRPr="004C70EC">
        <w:rPr>
          <w:noProof/>
          <w:color w:val="000000" w:themeColor="text1"/>
          <w:szCs w:val="24"/>
          <w:lang w:val="en-IE" w:eastAsia="en-GB"/>
        </w:rPr>
        <w:t xml:space="preserve">Each Member State concerned may within the period referred to in this paragraph, and through EU portal, request on duly justified grounds additional information , from the sponsor regarding the aspects covered in paragraph 1 or to request to complement the documentation, required pursuant to </w:t>
      </w:r>
      <w:r w:rsidR="00196B3E" w:rsidRPr="004C70EC">
        <w:rPr>
          <w:noProof/>
          <w:color w:val="000000" w:themeColor="text1"/>
          <w:szCs w:val="24"/>
          <w:lang w:val="en-IE" w:eastAsia="en-GB"/>
        </w:rPr>
        <w:t xml:space="preserve">Part II of </w:t>
      </w:r>
      <w:r w:rsidRPr="004C70EC">
        <w:rPr>
          <w:noProof/>
          <w:color w:val="000000" w:themeColor="text1"/>
          <w:szCs w:val="24"/>
          <w:lang w:val="en-IE" w:eastAsia="en-GB"/>
        </w:rPr>
        <w:t xml:space="preserve">Annex I, if such documentation is missing or documentation provided is not adequate or is incomplete. </w:t>
      </w:r>
    </w:p>
    <w:p w14:paraId="022DBB85" w14:textId="77777777" w:rsidR="00273F36" w:rsidRPr="004C70EC" w:rsidRDefault="00273F36" w:rsidP="00E43500">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The Member State concerned may decide within 28 days of the submission date to rely on the ethical review of the ethics committee of the reporting Member State of the common elements of the application dossier of Part II and inform the sponsor accordingly.</w:t>
      </w:r>
    </w:p>
    <w:p w14:paraId="2F7F954A" w14:textId="77777777" w:rsidR="00273F36" w:rsidRPr="004C70EC" w:rsidRDefault="00E43500" w:rsidP="00E43500">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3.</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Each Member State concerned may extend the assessment period referred to in paragraph 2 by a maximum of 28 days:</w:t>
      </w:r>
    </w:p>
    <w:p w14:paraId="4C8F05A9" w14:textId="77777777" w:rsidR="00273F36" w:rsidRPr="004C70EC" w:rsidRDefault="00E43500" w:rsidP="00E4350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to requests additional documentation or information, as referred in paragraph 2, from the sponsor regarding Part II of the assessment for its territory;</w:t>
      </w:r>
    </w:p>
    <w:p w14:paraId="25D903B5" w14:textId="77777777" w:rsidR="00273F36" w:rsidRPr="004C70EC" w:rsidRDefault="00E43500" w:rsidP="00E4350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to align with the timeline for the assessment referred to in Article 6, when it has been extended to allow for a request for information by the reporting Member State related to Part I assessment and its review.</w:t>
      </w:r>
    </w:p>
    <w:p w14:paraId="116FEC08" w14:textId="77777777" w:rsidR="00273F36" w:rsidRPr="004C70EC" w:rsidRDefault="00273F36" w:rsidP="00E43500">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The sponsor shall submit the requested additional information and documentation within the period set by the Member State concerned which shall not exceed 14 days from the receipt of the request.</w:t>
      </w:r>
    </w:p>
    <w:p w14:paraId="0DBEA801" w14:textId="77777777" w:rsidR="00273F36" w:rsidRPr="004C70EC" w:rsidRDefault="00273F36" w:rsidP="00E43500">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Upon receipt of the additional information and documentation, the Member State concerned shall complete its assessment within maximum of 14 days from the submission of the requested information by the sponsor.</w:t>
      </w:r>
    </w:p>
    <w:p w14:paraId="663FF192" w14:textId="77777777" w:rsidR="00A8374F" w:rsidRPr="004C70EC" w:rsidRDefault="00273F36" w:rsidP="00E43500">
      <w:pPr>
        <w:pStyle w:val="Text2"/>
        <w:pBdr>
          <w:bottom w:val="single" w:sz="6" w:space="1" w:color="auto"/>
        </w:pBdr>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Where the sponsor does not provide additional information and documentation within the period set by the Member State concerned in accordance with this paragraph, the application shall be deemed to have lapsed in that Member State concerned.</w:t>
      </w:r>
    </w:p>
    <w:p w14:paraId="3E236B9F" w14:textId="77777777" w:rsidR="00273F36" w:rsidRPr="004C70EC" w:rsidRDefault="00A8374F" w:rsidP="00E43500">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 xml:space="preserve">* </w:t>
      </w:r>
      <w:r w:rsidRPr="004C70EC">
        <w:rPr>
          <w:noProof/>
          <w:color w:val="000000" w:themeColor="text1"/>
          <w:szCs w:val="24"/>
        </w:rPr>
        <w:t>Regulation (EU) 2016/679 of the European Parliament and of the Council of 27 April 2016 on the protection of natural persons with regard to the processing of personal data and on the free movement of such data, and repealing Directive 95/46/EC (General Data Protection Regulation), OJ  L 119, 4.5.2016., ELI: </w:t>
      </w:r>
      <w:hyperlink r:id="rId27" w:tooltip="Gives access to this document through its ELI URI." w:history="1">
        <w:r w:rsidRPr="004C70EC">
          <w:rPr>
            <w:rStyle w:val="Hyperlink"/>
            <w:noProof/>
            <w:color w:val="000000" w:themeColor="text1"/>
            <w:szCs w:val="24"/>
          </w:rPr>
          <w:t>http://data.europa.eu/eli/reg/2016/679/oj</w:t>
        </w:r>
      </w:hyperlink>
      <w:r w:rsidRPr="004C70EC">
        <w:rPr>
          <w:noProof/>
          <w:color w:val="000000" w:themeColor="text1"/>
          <w:szCs w:val="24"/>
        </w:rPr>
        <w:t>.</w:t>
      </w:r>
      <w:r w:rsidRPr="004C70EC">
        <w:rPr>
          <w:rFonts w:eastAsia="Times New Roman"/>
          <w:noProof/>
          <w:color w:val="000000" w:themeColor="text1"/>
          <w:szCs w:val="24"/>
          <w:lang w:val="en-IE" w:eastAsia="en-GB"/>
        </w:rPr>
        <w:t>’</w:t>
      </w:r>
    </w:p>
    <w:p w14:paraId="6FE476B8" w14:textId="77777777" w:rsidR="00273F36" w:rsidRPr="004C70EC" w:rsidRDefault="00E43500" w:rsidP="00E43500">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6A6247" w:rsidRPr="004C70EC">
        <w:rPr>
          <w:rFonts w:eastAsia="Times New Roman"/>
          <w:noProof/>
          <w:color w:val="000000" w:themeColor="text1"/>
          <w:szCs w:val="24"/>
          <w:lang w:eastAsia="en-IE"/>
        </w:rPr>
        <w:t>7</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8D3E2C" w:rsidRPr="004C70EC">
        <w:rPr>
          <w:rFonts w:eastAsia="Times New Roman"/>
          <w:noProof/>
          <w:color w:val="000000" w:themeColor="text1"/>
          <w:szCs w:val="24"/>
          <w:lang w:eastAsia="en-IE"/>
        </w:rPr>
        <w:t>i</w:t>
      </w:r>
      <w:r w:rsidR="00273F36" w:rsidRPr="004C70EC">
        <w:rPr>
          <w:rFonts w:eastAsia="Times New Roman"/>
          <w:noProof/>
          <w:color w:val="000000" w:themeColor="text1"/>
          <w:szCs w:val="24"/>
          <w:lang w:eastAsia="en-IE"/>
        </w:rPr>
        <w:t>n Article 8, paragraphs 1 and 2 are replaced by the following:</w:t>
      </w:r>
    </w:p>
    <w:p w14:paraId="2AAB6762" w14:textId="77777777" w:rsidR="00273F36" w:rsidRPr="004C70EC" w:rsidRDefault="008D3E2C" w:rsidP="00E43500">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IE"/>
        </w:rPr>
        <w:t>‘</w:t>
      </w:r>
      <w:r w:rsidR="00E43500" w:rsidRPr="004C70EC">
        <w:rPr>
          <w:rFonts w:eastAsia="Times New Roman"/>
          <w:noProof/>
          <w:color w:val="000000" w:themeColor="text1"/>
          <w:szCs w:val="24"/>
          <w:lang w:val="en-IE" w:eastAsia="en-IE"/>
        </w:rPr>
        <w:t>1.</w:t>
      </w:r>
      <w:r w:rsidR="00E43500"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Each Member State concerned shall notify the sponsor through the EU portal and by way of one single decision as to whether the clinical trial is authorised, authorised subject to conditions, or whether authorisation is refused.</w:t>
      </w:r>
    </w:p>
    <w:p w14:paraId="0CA9DBDE" w14:textId="77777777" w:rsidR="00273F36" w:rsidRPr="004C70EC" w:rsidRDefault="00273F36" w:rsidP="00E43500">
      <w:pPr>
        <w:pStyle w:val="Text2"/>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The notification shall be made within five days from the reporting date or from the last day of the assessment referred to in Article 7, whichever is later.</w:t>
      </w:r>
    </w:p>
    <w:p w14:paraId="6B648F24" w14:textId="77777777" w:rsidR="00273F36" w:rsidRPr="004C70EC" w:rsidRDefault="00E43500" w:rsidP="00E43500">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IE"/>
        </w:rPr>
        <w:t>2.</w:t>
      </w:r>
      <w:r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 xml:space="preserve">Where the conclusion of the reporting Member State as regards Part I of the assessment report is that the conduct of the clinical trial is acceptable or acceptable subject to compliance with specific conditions, that conclusion shall be deemed to be the conclusion of the Member States concerned. </w:t>
      </w:r>
    </w:p>
    <w:p w14:paraId="0BD43A76" w14:textId="77777777" w:rsidR="00273F36" w:rsidRPr="004C70EC" w:rsidRDefault="00273F36" w:rsidP="00E43500">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IE"/>
        </w:rPr>
        <w:t>A clinical trial subject to conditions may start, unless the Member State concerned specified that the condition is suspensive. Unless otherwise specified, a fulfilment of the condition shall not require a submission of a request for a substantial modification.</w:t>
      </w:r>
    </w:p>
    <w:p w14:paraId="67D3875F" w14:textId="77777777" w:rsidR="00273F36" w:rsidRPr="004C70EC" w:rsidRDefault="00273F36" w:rsidP="00E43500">
      <w:pPr>
        <w:pStyle w:val="Text2"/>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xml:space="preserve">Notwithstanding </w:t>
      </w:r>
      <w:r w:rsidR="008D3E2C" w:rsidRPr="004C70EC">
        <w:rPr>
          <w:rFonts w:eastAsia="Times New Roman"/>
          <w:noProof/>
          <w:color w:val="000000" w:themeColor="text1"/>
          <w:szCs w:val="24"/>
          <w:lang w:val="en-IE" w:eastAsia="en-IE"/>
        </w:rPr>
        <w:t>the</w:t>
      </w:r>
      <w:r w:rsidRPr="004C70EC">
        <w:rPr>
          <w:rFonts w:eastAsia="Times New Roman"/>
          <w:noProof/>
          <w:color w:val="000000" w:themeColor="text1"/>
          <w:szCs w:val="24"/>
          <w:lang w:val="en-IE" w:eastAsia="en-IE"/>
        </w:rPr>
        <w:t xml:space="preserve"> first subparagraph of this paragraph, a Member State concerned may disagree with the conclusion of the reporting Member State as regards Part I of the assessment report only on the following grounds, </w:t>
      </w:r>
      <w:bookmarkStart w:id="31" w:name="_Hlk214279558"/>
      <w:r w:rsidRPr="004C70EC">
        <w:rPr>
          <w:rFonts w:eastAsia="Times New Roman"/>
          <w:noProof/>
          <w:color w:val="000000" w:themeColor="text1"/>
          <w:szCs w:val="24"/>
          <w:lang w:val="en-IE" w:eastAsia="en-IE"/>
        </w:rPr>
        <w:t>provided that the corresponding consideration was raised during the process pursuant to Article 6(5) point (b) and the Member State concerned considers that it was not sufficiently addressed:</w:t>
      </w:r>
    </w:p>
    <w:p w14:paraId="38FD44CB" w14:textId="77777777" w:rsidR="00273F36" w:rsidRPr="004C70EC" w:rsidRDefault="00E43500" w:rsidP="00E43500">
      <w:pPr>
        <w:pStyle w:val="Point2"/>
        <w:rPr>
          <w:noProof/>
          <w:color w:val="000000" w:themeColor="text1"/>
          <w:szCs w:val="24"/>
          <w:lang w:val="en-IE" w:eastAsia="en-IE"/>
        </w:rPr>
      </w:pPr>
      <w:r w:rsidRPr="004C70EC">
        <w:rPr>
          <w:noProof/>
          <w:color w:val="000000" w:themeColor="text1"/>
          <w:szCs w:val="24"/>
          <w:lang w:val="en-IE" w:eastAsia="en-IE"/>
        </w:rPr>
        <w:t>(a)</w:t>
      </w:r>
      <w:r w:rsidRPr="004C70EC">
        <w:rPr>
          <w:noProof/>
          <w:color w:val="000000" w:themeColor="text1"/>
          <w:szCs w:val="24"/>
          <w:lang w:val="en-IE" w:eastAsia="en-IE"/>
        </w:rPr>
        <w:tab/>
      </w:r>
      <w:r w:rsidR="00273F36" w:rsidRPr="004C70EC">
        <w:rPr>
          <w:noProof/>
          <w:color w:val="000000" w:themeColor="text1"/>
          <w:szCs w:val="24"/>
          <w:lang w:val="en-IE" w:eastAsia="en-IE"/>
        </w:rPr>
        <w:t>participation in the clinical trial would lead to a subject receiving an inferior treatment than in normal clinical practice in the Member State concerned; or</w:t>
      </w:r>
    </w:p>
    <w:p w14:paraId="6744EE32" w14:textId="77777777" w:rsidR="00273F36" w:rsidRPr="004C70EC" w:rsidRDefault="00E43500" w:rsidP="00E43500">
      <w:pPr>
        <w:pStyle w:val="Point2"/>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(b)</w:t>
      </w:r>
      <w:r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infringement of its national law as referred to in Article 90.</w:t>
      </w:r>
    </w:p>
    <w:bookmarkEnd w:id="31"/>
    <w:p w14:paraId="5A72D4D2" w14:textId="77777777" w:rsidR="00273F36" w:rsidRPr="004C70EC" w:rsidRDefault="00273F36" w:rsidP="00E43500">
      <w:pPr>
        <w:pStyle w:val="Text2"/>
        <w:rPr>
          <w:noProof/>
          <w:color w:val="000000" w:themeColor="text1"/>
          <w:szCs w:val="24"/>
          <w:lang w:val="en-IE" w:eastAsia="en-IE"/>
        </w:rPr>
      </w:pPr>
      <w:r w:rsidRPr="004C70EC">
        <w:rPr>
          <w:noProof/>
          <w:color w:val="000000" w:themeColor="text1"/>
          <w:szCs w:val="24"/>
          <w:lang w:val="en-IE" w:eastAsia="en-IE"/>
        </w:rPr>
        <w:t>Where a Member State concerned disagrees with the conclusion, it shall communicate its disagreement, together with a detailed justification, through the EU portal, to the Commission, to all Member States, and to the sponsor.</w:t>
      </w:r>
      <w:r w:rsidR="008D3E2C" w:rsidRPr="004C70EC">
        <w:rPr>
          <w:noProof/>
          <w:color w:val="000000" w:themeColor="text1"/>
          <w:szCs w:val="24"/>
          <w:lang w:val="en-IE" w:eastAsia="en-IE"/>
        </w:rPr>
        <w:t>’</w:t>
      </w:r>
    </w:p>
    <w:p w14:paraId="025B6245" w14:textId="77777777" w:rsidR="004D3F64" w:rsidRPr="004C70EC" w:rsidRDefault="004D3F64" w:rsidP="00E43500">
      <w:pPr>
        <w:pStyle w:val="Text2"/>
        <w:rPr>
          <w:noProof/>
          <w:color w:val="000000" w:themeColor="text1"/>
          <w:szCs w:val="24"/>
          <w:lang w:val="en-IE" w:eastAsia="en-IE"/>
        </w:rPr>
      </w:pPr>
    </w:p>
    <w:p w14:paraId="06D5ACB7" w14:textId="77777777" w:rsidR="00273F36" w:rsidRPr="004C70EC" w:rsidRDefault="00E43500" w:rsidP="00E43500">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D14C31" w:rsidRPr="004C70EC">
        <w:rPr>
          <w:rFonts w:eastAsia="Times New Roman"/>
          <w:noProof/>
          <w:color w:val="000000" w:themeColor="text1"/>
          <w:szCs w:val="24"/>
          <w:lang w:eastAsia="en-IE"/>
        </w:rPr>
        <w:t>8</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Article 9 is replaced by the following:</w:t>
      </w:r>
    </w:p>
    <w:p w14:paraId="4E4F8C13" w14:textId="77777777" w:rsidR="00273F36" w:rsidRPr="004C70EC" w:rsidRDefault="008D3E2C" w:rsidP="00323C03">
      <w:pPr>
        <w:pStyle w:val="Titrearticle"/>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w:t>
      </w:r>
      <w:r w:rsidR="00273F36" w:rsidRPr="004C70EC">
        <w:rPr>
          <w:rFonts w:eastAsia="Times New Roman"/>
          <w:noProof/>
          <w:color w:val="000000" w:themeColor="text1"/>
          <w:szCs w:val="24"/>
          <w:lang w:val="en-IE" w:eastAsia="en-IE"/>
        </w:rPr>
        <w:t>Article 9</w:t>
      </w:r>
    </w:p>
    <w:p w14:paraId="5CBD8A16" w14:textId="77777777" w:rsidR="00273F36" w:rsidRPr="004C70EC" w:rsidRDefault="00273F36" w:rsidP="00323C03">
      <w:pPr>
        <w:jc w:val="center"/>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Persons assessing the application</w:t>
      </w:r>
    </w:p>
    <w:p w14:paraId="6E674CB3" w14:textId="77777777" w:rsidR="00273F36" w:rsidRPr="004C70EC" w:rsidRDefault="00323C03" w:rsidP="00323C03">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IE"/>
        </w:rPr>
        <w:t>1.</w:t>
      </w:r>
      <w:r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 xml:space="preserve">Member States shall ensure, including through the institutional safeguards, that persons validating and assessing the application do not have conflicts of interest, are independent of the sponsors, or the clinical trial site and the investigators involved and of persons financing the clinical trial, as well as free of any other undue influence and ensure their sufficient independence in performance of their tasks. </w:t>
      </w:r>
    </w:p>
    <w:p w14:paraId="0BF65FA6" w14:textId="77777777" w:rsidR="00273F36" w:rsidRPr="004C70EC" w:rsidRDefault="00273F36" w:rsidP="00323C03">
      <w:pPr>
        <w:pStyle w:val="Text2"/>
        <w:rPr>
          <w:noProof/>
          <w:color w:val="000000" w:themeColor="text1"/>
          <w:lang w:val="en-IE" w:eastAsia="en-IE"/>
        </w:rPr>
      </w:pPr>
      <w:r w:rsidRPr="004C70EC">
        <w:rPr>
          <w:noProof/>
          <w:color w:val="000000" w:themeColor="text1"/>
          <w:lang w:val="en-IE" w:eastAsia="en-IE"/>
        </w:rPr>
        <w:t xml:space="preserve">In order to guarantee independency and transparency, the Member States shall ensure that persons </w:t>
      </w:r>
      <w:r w:rsidR="1836C411" w:rsidRPr="004C70EC">
        <w:rPr>
          <w:noProof/>
          <w:color w:val="000000" w:themeColor="text1"/>
          <w:lang w:val="en-IE" w:eastAsia="en-IE"/>
        </w:rPr>
        <w:t xml:space="preserve">validating </w:t>
      </w:r>
      <w:r w:rsidRPr="004C70EC">
        <w:rPr>
          <w:noProof/>
          <w:color w:val="000000" w:themeColor="text1"/>
          <w:lang w:val="en-IE" w:eastAsia="en-IE"/>
        </w:rPr>
        <w:t xml:space="preserve"> and assessing the application as regards the aspects covered in Part</w:t>
      </w:r>
      <w:r w:rsidR="008D3E2C" w:rsidRPr="004C70EC">
        <w:rPr>
          <w:noProof/>
          <w:color w:val="000000" w:themeColor="text1"/>
          <w:lang w:val="en-IE" w:eastAsia="en-IE"/>
        </w:rPr>
        <w:t>s</w:t>
      </w:r>
      <w:r w:rsidRPr="004C70EC">
        <w:rPr>
          <w:noProof/>
          <w:color w:val="000000" w:themeColor="text1"/>
          <w:lang w:val="en-IE" w:eastAsia="en-IE"/>
        </w:rPr>
        <w:t xml:space="preserve"> I and II of the assessment report have no financial or personal interests which could affect their impartiality. These persons shall make an annual declaration of their financial interest.</w:t>
      </w:r>
    </w:p>
    <w:p w14:paraId="05C01716" w14:textId="77777777" w:rsidR="00273F36" w:rsidRPr="004C70EC" w:rsidRDefault="00323C03" w:rsidP="00323C03">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IE"/>
        </w:rPr>
        <w:t>2.</w:t>
      </w:r>
      <w:r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Member States shall ensure that the assessment is done by persons who collectively have the necessary qualifications and experience.</w:t>
      </w:r>
    </w:p>
    <w:p w14:paraId="354247D0" w14:textId="77777777" w:rsidR="00273F36" w:rsidRPr="004C70EC" w:rsidRDefault="00273F36" w:rsidP="00323C03">
      <w:pPr>
        <w:pStyle w:val="Text2"/>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These persons shall be sufficiently equipped and empowered to perform their tasks.</w:t>
      </w:r>
    </w:p>
    <w:p w14:paraId="4AC9BF78" w14:textId="77777777" w:rsidR="00273F36" w:rsidRPr="004C70EC" w:rsidRDefault="00323C03" w:rsidP="00323C03">
      <w:pPr>
        <w:pStyle w:val="Point1"/>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3.</w:t>
      </w:r>
      <w:r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At least one layperson shall participate in the assessment</w:t>
      </w:r>
      <w:r w:rsidR="008D3E2C" w:rsidRPr="004C70EC">
        <w:rPr>
          <w:rFonts w:eastAsia="Times New Roman"/>
          <w:noProof/>
          <w:color w:val="000000" w:themeColor="text1"/>
          <w:szCs w:val="24"/>
          <w:lang w:val="en-IE" w:eastAsia="en-IE"/>
        </w:rPr>
        <w:t>.’</w:t>
      </w:r>
      <w:r w:rsidR="004D3F64" w:rsidRPr="004C70EC">
        <w:rPr>
          <w:rFonts w:eastAsia="Times New Roman"/>
          <w:noProof/>
          <w:color w:val="000000" w:themeColor="text1"/>
          <w:szCs w:val="24"/>
          <w:lang w:val="en-IE" w:eastAsia="en-IE"/>
        </w:rPr>
        <w:t xml:space="preserve"> </w:t>
      </w:r>
    </w:p>
    <w:p w14:paraId="38C32E51" w14:textId="77777777" w:rsidR="004D3F64" w:rsidRPr="004C70EC" w:rsidRDefault="004D3F64" w:rsidP="00323C03">
      <w:pPr>
        <w:pStyle w:val="Point1"/>
        <w:rPr>
          <w:rFonts w:eastAsia="Times New Roman"/>
          <w:noProof/>
          <w:color w:val="000000" w:themeColor="text1"/>
          <w:szCs w:val="24"/>
          <w:lang w:val="en-IE" w:eastAsia="en-GB"/>
        </w:rPr>
      </w:pPr>
    </w:p>
    <w:p w14:paraId="32D4BD75" w14:textId="77777777" w:rsidR="00273F36" w:rsidRPr="004C70EC" w:rsidRDefault="00323C03" w:rsidP="00323C03">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D14C31" w:rsidRPr="004C70EC">
        <w:rPr>
          <w:rFonts w:eastAsia="Times New Roman"/>
          <w:noProof/>
          <w:color w:val="000000" w:themeColor="text1"/>
          <w:szCs w:val="24"/>
          <w:lang w:eastAsia="en-IE"/>
        </w:rPr>
        <w:t>9</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D1075D" w:rsidRPr="004C70EC">
        <w:rPr>
          <w:rFonts w:eastAsia="Times New Roman"/>
          <w:noProof/>
          <w:color w:val="000000" w:themeColor="text1"/>
          <w:szCs w:val="24"/>
          <w:lang w:eastAsia="en-IE"/>
        </w:rPr>
        <w:t>i</w:t>
      </w:r>
      <w:r w:rsidR="00273F36" w:rsidRPr="004C70EC">
        <w:rPr>
          <w:rFonts w:eastAsia="Times New Roman"/>
          <w:noProof/>
          <w:color w:val="000000" w:themeColor="text1"/>
          <w:szCs w:val="24"/>
          <w:lang w:eastAsia="en-IE"/>
        </w:rPr>
        <w:t xml:space="preserve">n Article 10, </w:t>
      </w:r>
      <w:r w:rsidR="00D1075D" w:rsidRPr="004C70EC">
        <w:rPr>
          <w:rFonts w:eastAsia="Times New Roman"/>
          <w:noProof/>
          <w:color w:val="000000" w:themeColor="text1"/>
          <w:szCs w:val="24"/>
          <w:lang w:eastAsia="en-IE"/>
        </w:rPr>
        <w:t xml:space="preserve">the following </w:t>
      </w:r>
      <w:r w:rsidR="00273F36" w:rsidRPr="004C70EC">
        <w:rPr>
          <w:rFonts w:eastAsia="Times New Roman"/>
          <w:noProof/>
          <w:color w:val="000000" w:themeColor="text1"/>
          <w:szCs w:val="24"/>
          <w:lang w:eastAsia="en-IE"/>
        </w:rPr>
        <w:t>paragraph 6 is added:</w:t>
      </w:r>
    </w:p>
    <w:p w14:paraId="2674F7CA" w14:textId="77777777" w:rsidR="00273F36" w:rsidRPr="004C70EC" w:rsidRDefault="00D1075D" w:rsidP="00323C03">
      <w:pPr>
        <w:pStyle w:val="Point1"/>
        <w:rPr>
          <w:rFonts w:eastAsia="Times New Roman"/>
          <w:noProof/>
          <w:color w:val="000000" w:themeColor="text1"/>
          <w:szCs w:val="24"/>
          <w:lang w:eastAsia="en-IE"/>
        </w:rPr>
      </w:pPr>
      <w:r w:rsidRPr="004C70EC">
        <w:rPr>
          <w:rFonts w:eastAsia="Times New Roman"/>
          <w:noProof/>
          <w:color w:val="000000" w:themeColor="text1"/>
          <w:szCs w:val="24"/>
          <w:lang w:val="en-IE" w:eastAsia="en-IE"/>
        </w:rPr>
        <w:t>’</w:t>
      </w:r>
      <w:r w:rsidR="00273F36" w:rsidRPr="004C70EC">
        <w:rPr>
          <w:rFonts w:eastAsia="Times New Roman"/>
          <w:noProof/>
          <w:color w:val="000000" w:themeColor="text1"/>
          <w:szCs w:val="24"/>
          <w:lang w:val="en-IE" w:eastAsia="en-IE"/>
        </w:rPr>
        <w:t>6.</w:t>
      </w:r>
      <w:r w:rsidR="00323C03"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Where potential subjects of a clinical trial belong to vulnerable populations, Member States concerned and sponsors shall consider and weigh the harms and benefits of their inclusion as opposed to their exclusion from a clinical trial. The Member States concerned and sponsors shall assess in particular whether the exclusion of those subjects from a clinical trial could inadvertently perpetuate or exacerbate their vulnerabilities, particularly in relation to their specific health needs</w:t>
      </w:r>
      <w:r w:rsidR="00273F36" w:rsidRPr="004C70EC">
        <w:rPr>
          <w:rFonts w:eastAsia="Times New Roman"/>
          <w:noProof/>
          <w:color w:val="000000" w:themeColor="text1"/>
          <w:szCs w:val="24"/>
          <w:lang w:eastAsia="en-IE"/>
        </w:rPr>
        <w:t>.</w:t>
      </w:r>
      <w:r w:rsidR="00AC7024" w:rsidRPr="004C70EC">
        <w:rPr>
          <w:rFonts w:eastAsia="Times New Roman"/>
          <w:noProof/>
          <w:color w:val="000000" w:themeColor="text1"/>
          <w:szCs w:val="24"/>
          <w:lang w:eastAsia="en-IE"/>
        </w:rPr>
        <w:t>’</w:t>
      </w:r>
    </w:p>
    <w:p w14:paraId="7052C264" w14:textId="77777777" w:rsidR="004D3F64" w:rsidRPr="004C70EC" w:rsidRDefault="004D3F64" w:rsidP="00323C03">
      <w:pPr>
        <w:pStyle w:val="Point1"/>
        <w:rPr>
          <w:rFonts w:eastAsia="Times New Roman"/>
          <w:noProof/>
          <w:color w:val="000000" w:themeColor="text1"/>
          <w:szCs w:val="24"/>
          <w:lang w:eastAsia="en-IE"/>
        </w:rPr>
      </w:pPr>
    </w:p>
    <w:p w14:paraId="31F87781" w14:textId="77777777" w:rsidR="00273F36" w:rsidRPr="004C70EC" w:rsidRDefault="00323C03" w:rsidP="00323C03">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D14C31" w:rsidRPr="004C70EC">
        <w:rPr>
          <w:rFonts w:eastAsia="Times New Roman"/>
          <w:noProof/>
          <w:color w:val="000000" w:themeColor="text1"/>
          <w:szCs w:val="24"/>
          <w:lang w:eastAsia="en-IE"/>
        </w:rPr>
        <w:t>10</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Article 11 is replaced by the following:</w:t>
      </w:r>
    </w:p>
    <w:p w14:paraId="240D6F66" w14:textId="77777777" w:rsidR="00273F36" w:rsidRPr="004C70EC" w:rsidRDefault="18CF239C" w:rsidP="00323C03">
      <w:pPr>
        <w:pStyle w:val="Titrearticle"/>
        <w:rPr>
          <w:rFonts w:eastAsia="Times New Roman"/>
          <w:noProof/>
          <w:color w:val="000000" w:themeColor="text1"/>
          <w:szCs w:val="24"/>
          <w:lang w:val="en-IE" w:eastAsia="en-GB"/>
        </w:rPr>
      </w:pPr>
      <w:r w:rsidRPr="004C70EC">
        <w:rPr>
          <w:rFonts w:eastAsia="Times New Roman"/>
          <w:noProof/>
          <w:color w:val="000000" w:themeColor="text1"/>
          <w:szCs w:val="24"/>
          <w:lang w:val="en-IE"/>
        </w:rPr>
        <w:t xml:space="preserve"> ‘</w:t>
      </w:r>
      <w:r w:rsidRPr="004C70EC">
        <w:rPr>
          <w:noProof/>
          <w:color w:val="000000" w:themeColor="text1"/>
          <w:szCs w:val="24"/>
          <w:lang w:val="en-IE"/>
        </w:rPr>
        <w:t xml:space="preserve"> </w:t>
      </w:r>
      <w:r w:rsidR="00273F36" w:rsidRPr="004C70EC">
        <w:rPr>
          <w:rFonts w:eastAsia="Times New Roman"/>
          <w:noProof/>
          <w:color w:val="000000" w:themeColor="text1"/>
          <w:szCs w:val="24"/>
          <w:lang w:val="en-IE" w:eastAsia="en-GB"/>
        </w:rPr>
        <w:t>Article 11</w:t>
      </w:r>
    </w:p>
    <w:p w14:paraId="3277663C" w14:textId="77777777" w:rsidR="00273F36" w:rsidRPr="004C70EC" w:rsidRDefault="00273F36" w:rsidP="00323C03">
      <w:pPr>
        <w:jc w:val="center"/>
        <w:rPr>
          <w:rFonts w:eastAsia="Times New Roman"/>
          <w:i/>
          <w:iCs/>
          <w:noProof/>
          <w:color w:val="000000" w:themeColor="text1"/>
          <w:szCs w:val="24"/>
          <w:lang w:val="en-IE" w:eastAsia="en-GB"/>
        </w:rPr>
      </w:pPr>
      <w:r w:rsidRPr="004C70EC">
        <w:rPr>
          <w:rFonts w:eastAsia="Times New Roman"/>
          <w:i/>
          <w:iCs/>
          <w:noProof/>
          <w:color w:val="000000" w:themeColor="text1"/>
          <w:szCs w:val="24"/>
          <w:lang w:val="en-IE" w:eastAsia="en-GB"/>
        </w:rPr>
        <w:t>Submission and assessment of applications limited to aspects covered by Part I of the assessment report</w:t>
      </w:r>
    </w:p>
    <w:p w14:paraId="2999DEE5" w14:textId="77777777" w:rsidR="00273F36" w:rsidRPr="004C70EC" w:rsidRDefault="00323C03" w:rsidP="00323C03">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1.</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Where the sponsor so requests, the application for authorisation of a clinical trial, its assessment and the conclusion shall be limited to the aspects covered by Part I of the assessment report.</w:t>
      </w:r>
    </w:p>
    <w:p w14:paraId="0F08BB88" w14:textId="77777777" w:rsidR="00273F36" w:rsidRPr="004C70EC" w:rsidRDefault="00273F36" w:rsidP="00323C03">
      <w:pPr>
        <w:pStyle w:val="Text2"/>
        <w:rPr>
          <w:noProof/>
          <w:color w:val="000000" w:themeColor="text1"/>
          <w:szCs w:val="24"/>
          <w:lang w:val="en-IE" w:eastAsia="en-GB"/>
        </w:rPr>
      </w:pPr>
      <w:r w:rsidRPr="004C70EC">
        <w:rPr>
          <w:noProof/>
          <w:color w:val="000000" w:themeColor="text1"/>
          <w:szCs w:val="24"/>
          <w:lang w:val="en-IE" w:eastAsia="en-GB"/>
        </w:rPr>
        <w:t>After the notification of the conclusion on the aspects covered by Part I of the assessment report, the sponsor may, within two years, apply for an authorisation limited to aspects covered by Part II of the assessment report.</w:t>
      </w:r>
    </w:p>
    <w:p w14:paraId="5D0EF6B1" w14:textId="77777777" w:rsidR="00273F36" w:rsidRPr="004C70EC" w:rsidRDefault="00273F36" w:rsidP="00323C03">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 xml:space="preserve">Where the sponsor submits only Part I of the application dossier to all of the Member States concerned, the sponsor shall declare at the time of the first submission of Part II </w:t>
      </w:r>
      <w:r w:rsidR="00F3408B" w:rsidRPr="004C70EC">
        <w:rPr>
          <w:rFonts w:eastAsia="Times New Roman"/>
          <w:noProof/>
          <w:color w:val="000000" w:themeColor="text1"/>
          <w:szCs w:val="24"/>
          <w:lang w:val="en-IE" w:eastAsia="en-GB"/>
        </w:rPr>
        <w:t xml:space="preserve">of the application dossier </w:t>
      </w:r>
      <w:r w:rsidRPr="004C70EC">
        <w:rPr>
          <w:rFonts w:eastAsia="Times New Roman"/>
          <w:noProof/>
          <w:color w:val="000000" w:themeColor="text1"/>
          <w:szCs w:val="24"/>
          <w:lang w:val="en-IE" w:eastAsia="en-GB"/>
        </w:rPr>
        <w:t xml:space="preserve">to any of the Member States concerned that the sponsor is not aware of any new substantial scientific information that would change the validity of any item submitted in the application on the aspects covered by Part I of the assessment report. If an update of Part I </w:t>
      </w:r>
      <w:r w:rsidR="00F3408B" w:rsidRPr="004C70EC">
        <w:rPr>
          <w:rFonts w:eastAsia="Times New Roman"/>
          <w:noProof/>
          <w:color w:val="000000" w:themeColor="text1"/>
          <w:szCs w:val="24"/>
          <w:lang w:val="en-IE" w:eastAsia="en-GB"/>
        </w:rPr>
        <w:t>of the application dossier</w:t>
      </w:r>
      <w:r w:rsidRPr="004C70EC">
        <w:rPr>
          <w:rFonts w:eastAsia="Times New Roman"/>
          <w:noProof/>
          <w:color w:val="000000" w:themeColor="text1"/>
          <w:szCs w:val="24"/>
          <w:lang w:val="en-IE" w:eastAsia="en-GB"/>
        </w:rPr>
        <w:t xml:space="preserve"> is necessary, the sponsor shall submit a substantial modification of Part I</w:t>
      </w:r>
      <w:r w:rsidR="00DA5D1B" w:rsidRPr="004C70EC">
        <w:rPr>
          <w:rFonts w:eastAsia="Times New Roman"/>
          <w:noProof/>
          <w:color w:val="000000" w:themeColor="text1"/>
          <w:szCs w:val="24"/>
          <w:lang w:val="en-IE" w:eastAsia="en-GB"/>
        </w:rPr>
        <w:t xml:space="preserve"> of the application dossier</w:t>
      </w:r>
      <w:r w:rsidRPr="004C70EC">
        <w:rPr>
          <w:rFonts w:eastAsia="Times New Roman"/>
          <w:noProof/>
          <w:color w:val="000000" w:themeColor="text1"/>
          <w:szCs w:val="24"/>
          <w:lang w:val="en-IE" w:eastAsia="en-GB"/>
        </w:rPr>
        <w:t xml:space="preserve">, at the latest, at the same time as the submission of Part II of the application dossier to at least one of the Member States concerned. </w:t>
      </w:r>
    </w:p>
    <w:p w14:paraId="221ADD89" w14:textId="77777777" w:rsidR="00273F36" w:rsidRPr="004C70EC" w:rsidRDefault="00273F36" w:rsidP="00323C03">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 xml:space="preserve">The Part II </w:t>
      </w:r>
      <w:r w:rsidR="00DA5D1B" w:rsidRPr="004C70EC">
        <w:rPr>
          <w:rFonts w:eastAsia="Times New Roman"/>
          <w:noProof/>
          <w:color w:val="000000" w:themeColor="text1"/>
          <w:szCs w:val="24"/>
          <w:lang w:val="en-IE" w:eastAsia="en-GB"/>
        </w:rPr>
        <w:t>of the</w:t>
      </w:r>
      <w:r w:rsidRPr="004C70EC">
        <w:rPr>
          <w:rFonts w:eastAsia="Times New Roman"/>
          <w:noProof/>
          <w:color w:val="000000" w:themeColor="text1"/>
          <w:szCs w:val="24"/>
          <w:lang w:val="en-IE" w:eastAsia="en-GB"/>
        </w:rPr>
        <w:t xml:space="preserve"> application</w:t>
      </w:r>
      <w:r w:rsidR="00DA5D1B" w:rsidRPr="004C70EC">
        <w:rPr>
          <w:rFonts w:eastAsia="Times New Roman"/>
          <w:noProof/>
          <w:color w:val="000000" w:themeColor="text1"/>
          <w:szCs w:val="24"/>
          <w:lang w:val="en-IE" w:eastAsia="en-GB"/>
        </w:rPr>
        <w:t xml:space="preserve"> dossier</w:t>
      </w:r>
      <w:r w:rsidRPr="004C70EC">
        <w:rPr>
          <w:rFonts w:eastAsia="Times New Roman"/>
          <w:noProof/>
          <w:color w:val="000000" w:themeColor="text1"/>
          <w:szCs w:val="24"/>
          <w:lang w:val="en-IE" w:eastAsia="en-GB"/>
        </w:rPr>
        <w:t xml:space="preserve"> shall be assessed in accordance with Article 7 and the Member State concerned shall notify the decision on clinical trial in accordance with Article 8.</w:t>
      </w:r>
    </w:p>
    <w:p w14:paraId="7BB1A68F" w14:textId="77777777" w:rsidR="00273F36" w:rsidRPr="004C70EC" w:rsidRDefault="00273F36" w:rsidP="00323C03">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 xml:space="preserve">In those Member States concerned where the sponsor does not apply for an authorisation limited to aspects covered by Part II of the assessment report within two years, the application on the aspects </w:t>
      </w:r>
      <w:r w:rsidR="00DA5D1B" w:rsidRPr="004C70EC">
        <w:rPr>
          <w:rFonts w:eastAsia="Times New Roman"/>
          <w:noProof/>
          <w:color w:val="000000" w:themeColor="text1"/>
          <w:szCs w:val="24"/>
          <w:lang w:val="en-IE" w:eastAsia="en-GB"/>
        </w:rPr>
        <w:t>covered</w:t>
      </w:r>
      <w:r w:rsidRPr="004C70EC">
        <w:rPr>
          <w:rFonts w:eastAsia="Times New Roman"/>
          <w:noProof/>
          <w:color w:val="000000" w:themeColor="text1"/>
          <w:szCs w:val="24"/>
          <w:lang w:val="en-IE" w:eastAsia="en-GB"/>
        </w:rPr>
        <w:t xml:space="preserve"> by Part I of the assessment report shall be deemed to have lapsed.</w:t>
      </w:r>
    </w:p>
    <w:p w14:paraId="694FBB53" w14:textId="77777777" w:rsidR="00273F36" w:rsidRPr="004C70EC" w:rsidRDefault="00323C03" w:rsidP="00323C03">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2.</w:t>
      </w:r>
      <w:r w:rsidRPr="004C70EC">
        <w:rPr>
          <w:noProof/>
          <w:color w:val="000000" w:themeColor="text1"/>
          <w:szCs w:val="24"/>
        </w:rPr>
        <w:tab/>
      </w:r>
      <w:r w:rsidR="00273F36" w:rsidRPr="004C70EC">
        <w:rPr>
          <w:rFonts w:eastAsia="Times New Roman"/>
          <w:noProof/>
          <w:color w:val="000000" w:themeColor="text1"/>
          <w:szCs w:val="24"/>
          <w:lang w:val="en-IE" w:eastAsia="en-GB"/>
        </w:rPr>
        <w:t xml:space="preserve">When the sponsor submits a substantial modification of Part I </w:t>
      </w:r>
      <w:r w:rsidR="00DA5D1B" w:rsidRPr="004C70EC">
        <w:rPr>
          <w:rFonts w:eastAsia="Times New Roman"/>
          <w:noProof/>
          <w:color w:val="000000" w:themeColor="text1"/>
          <w:szCs w:val="24"/>
          <w:lang w:val="en-IE" w:eastAsia="en-GB"/>
        </w:rPr>
        <w:t>of the application dossier</w:t>
      </w:r>
      <w:r w:rsidR="00273F36" w:rsidRPr="004C70EC">
        <w:rPr>
          <w:rFonts w:eastAsia="Times New Roman"/>
          <w:noProof/>
          <w:color w:val="000000" w:themeColor="text1"/>
          <w:szCs w:val="24"/>
          <w:lang w:val="en-IE" w:eastAsia="en-GB"/>
        </w:rPr>
        <w:t xml:space="preserve"> with regard to clinical trial that is subject to a request referred to in paragraph 1 and has been authorised or authorised subject to conditions by at least one Member State concerned, all Member States concerned that received the initial application shall participate in the assessment of that substantial modification in accordance with Article 18 or 22 as appropriate.</w:t>
      </w:r>
      <w:r w:rsidR="4C640117" w:rsidRPr="004C70EC">
        <w:rPr>
          <w:rFonts w:eastAsia="Times New Roman"/>
          <w:noProof/>
          <w:color w:val="000000" w:themeColor="text1"/>
          <w:szCs w:val="24"/>
          <w:lang w:val="en-IE"/>
        </w:rPr>
        <w:t>’</w:t>
      </w:r>
    </w:p>
    <w:p w14:paraId="32D25743" w14:textId="77777777" w:rsidR="004D3F64" w:rsidRPr="004C70EC" w:rsidRDefault="004D3F64" w:rsidP="00323C03">
      <w:pPr>
        <w:pStyle w:val="Point1"/>
        <w:rPr>
          <w:rFonts w:eastAsia="Times New Roman"/>
          <w:noProof/>
          <w:color w:val="000000" w:themeColor="text1"/>
          <w:szCs w:val="24"/>
          <w:lang w:val="en-IE" w:eastAsia="en-GB"/>
        </w:rPr>
      </w:pPr>
    </w:p>
    <w:p w14:paraId="4A6A85B3" w14:textId="77777777" w:rsidR="00273F36" w:rsidRPr="004C70EC" w:rsidRDefault="00323C03" w:rsidP="00323C03">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(1</w:t>
      </w:r>
      <w:r w:rsidR="00D14C31" w:rsidRPr="004C70EC">
        <w:rPr>
          <w:rFonts w:eastAsia="Times New Roman"/>
          <w:noProof/>
          <w:color w:val="000000" w:themeColor="text1"/>
          <w:szCs w:val="24"/>
          <w:lang w:eastAsia="en-IE"/>
        </w:rPr>
        <w:t>1</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Article 14 is amended as follows:</w:t>
      </w:r>
    </w:p>
    <w:p w14:paraId="7397EE21" w14:textId="77777777" w:rsidR="00273F36" w:rsidRPr="004C70EC" w:rsidRDefault="00323C03" w:rsidP="00323C03">
      <w:pPr>
        <w:pStyle w:val="Point1"/>
        <w:rPr>
          <w:noProof/>
          <w:color w:val="000000" w:themeColor="text1"/>
          <w:szCs w:val="24"/>
          <w:lang w:eastAsia="en-IE"/>
        </w:rPr>
      </w:pPr>
      <w:r w:rsidRPr="004C70EC">
        <w:rPr>
          <w:noProof/>
          <w:color w:val="000000" w:themeColor="text1"/>
          <w:szCs w:val="24"/>
          <w:lang w:eastAsia="en-IE"/>
        </w:rPr>
        <w:t>(a)</w:t>
      </w:r>
      <w:r w:rsidRPr="004C70EC">
        <w:rPr>
          <w:noProof/>
          <w:color w:val="000000" w:themeColor="text1"/>
          <w:szCs w:val="24"/>
          <w:lang w:eastAsia="en-IE"/>
        </w:rPr>
        <w:tab/>
      </w:r>
      <w:r w:rsidR="0080155C" w:rsidRPr="004C70EC">
        <w:rPr>
          <w:noProof/>
          <w:color w:val="000000" w:themeColor="text1"/>
          <w:szCs w:val="24"/>
          <w:lang w:eastAsia="en-IE"/>
        </w:rPr>
        <w:t>p</w:t>
      </w:r>
      <w:r w:rsidR="00273F36" w:rsidRPr="004C70EC">
        <w:rPr>
          <w:noProof/>
          <w:color w:val="000000" w:themeColor="text1"/>
          <w:szCs w:val="24"/>
          <w:lang w:eastAsia="en-IE"/>
        </w:rPr>
        <w:t xml:space="preserve">aragraph 1 is replaced by the following: </w:t>
      </w:r>
    </w:p>
    <w:p w14:paraId="26975A7B" w14:textId="77777777" w:rsidR="00273F36" w:rsidRPr="004C70EC" w:rsidRDefault="0080155C" w:rsidP="00F604BB">
      <w:pPr>
        <w:pStyle w:val="Point2"/>
        <w:rPr>
          <w:noProof/>
          <w:lang w:eastAsia="en-IE"/>
        </w:rPr>
      </w:pPr>
      <w:r w:rsidRPr="004C70EC">
        <w:rPr>
          <w:noProof/>
          <w:lang w:eastAsia="en-IE"/>
        </w:rPr>
        <w:t>‘</w:t>
      </w:r>
      <w:r w:rsidR="30E5B4EB" w:rsidRPr="004C70EC">
        <w:rPr>
          <w:noProof/>
          <w:lang w:eastAsia="en-IE"/>
        </w:rPr>
        <w:t>1.</w:t>
      </w:r>
      <w:r w:rsidR="00F604BB" w:rsidRPr="004C70EC">
        <w:rPr>
          <w:noProof/>
          <w:lang w:eastAsia="en-IE"/>
        </w:rPr>
        <w:tab/>
      </w:r>
      <w:r w:rsidR="00273F36" w:rsidRPr="004C70EC">
        <w:rPr>
          <w:noProof/>
          <w:lang w:eastAsia="en-GB"/>
        </w:rPr>
        <w:t xml:space="preserve">Where the sponsor wishes to extend an authorised clinical trial to another Member State (additional Member State concerned), the sponsor shall submit an application dossier to that Member State through the EU portal. </w:t>
      </w:r>
    </w:p>
    <w:p w14:paraId="1776E924" w14:textId="77777777" w:rsidR="00273F36" w:rsidRPr="004C70EC" w:rsidRDefault="00273F36" w:rsidP="00F604BB">
      <w:pPr>
        <w:pStyle w:val="Text3"/>
        <w:rPr>
          <w:noProof/>
          <w:lang w:eastAsia="en-GB"/>
        </w:rPr>
      </w:pPr>
      <w:r w:rsidRPr="004C70EC">
        <w:rPr>
          <w:noProof/>
          <w:lang w:eastAsia="en-GB"/>
        </w:rPr>
        <w:t>The application dossier may be submitted only after the notification date of the first initial authorisation decision by at least one Member State concerned.</w:t>
      </w:r>
      <w:r w:rsidR="0080155C" w:rsidRPr="004C70EC">
        <w:rPr>
          <w:noProof/>
          <w:lang w:eastAsia="en-GB"/>
        </w:rPr>
        <w:t>’</w:t>
      </w:r>
    </w:p>
    <w:p w14:paraId="47DAD65B" w14:textId="77777777" w:rsidR="00273F36" w:rsidRPr="004C70EC" w:rsidRDefault="00323C03" w:rsidP="00323C03">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en-GB"/>
        </w:rPr>
        <w:t>(b)</w:t>
      </w:r>
      <w:r w:rsidRPr="004C70EC">
        <w:rPr>
          <w:rFonts w:eastAsia="Times New Roman"/>
          <w:noProof/>
          <w:color w:val="000000" w:themeColor="text1"/>
          <w:szCs w:val="24"/>
          <w:lang w:eastAsia="en-GB"/>
        </w:rPr>
        <w:tab/>
      </w:r>
      <w:r w:rsidR="0080155C" w:rsidRPr="004C70EC">
        <w:rPr>
          <w:rFonts w:eastAsia="Times New Roman"/>
          <w:noProof/>
          <w:color w:val="000000" w:themeColor="text1"/>
          <w:szCs w:val="24"/>
          <w:lang w:eastAsia="en-GB"/>
        </w:rPr>
        <w:t>p</w:t>
      </w:r>
      <w:r w:rsidR="00273F36" w:rsidRPr="004C70EC">
        <w:rPr>
          <w:rFonts w:eastAsia="Times New Roman"/>
          <w:noProof/>
          <w:color w:val="000000" w:themeColor="text1"/>
          <w:szCs w:val="24"/>
          <w:lang w:eastAsia="en-GB"/>
        </w:rPr>
        <w:t>aragraph 3 is replaced by the following:</w:t>
      </w:r>
    </w:p>
    <w:p w14:paraId="315E3774" w14:textId="77777777" w:rsidR="00273F36" w:rsidRPr="004C70EC" w:rsidRDefault="0080155C" w:rsidP="00F604BB">
      <w:pPr>
        <w:pStyle w:val="Point2"/>
        <w:rPr>
          <w:rFonts w:eastAsia="Times New Roman"/>
          <w:noProof/>
          <w:color w:val="000000" w:themeColor="text1"/>
          <w:szCs w:val="24"/>
          <w:lang w:val="en-IE" w:eastAsia="hr-HR" w:bidi="hr-HR"/>
        </w:rPr>
      </w:pPr>
      <w:r w:rsidRPr="004C70EC">
        <w:rPr>
          <w:rFonts w:eastAsia="Times New Roman"/>
          <w:noProof/>
          <w:color w:val="000000" w:themeColor="text1"/>
          <w:szCs w:val="24"/>
          <w:lang w:eastAsia="en-GB"/>
        </w:rPr>
        <w:t>‘</w:t>
      </w:r>
      <w:r w:rsidR="755F968F" w:rsidRPr="004C70EC">
        <w:rPr>
          <w:rFonts w:eastAsia="Times New Roman"/>
          <w:noProof/>
          <w:color w:val="000000" w:themeColor="text1"/>
          <w:szCs w:val="24"/>
          <w:lang w:eastAsia="en-GB"/>
        </w:rPr>
        <w:t>3.</w:t>
      </w:r>
      <w:r w:rsidR="00F604BB" w:rsidRPr="004C70EC">
        <w:rPr>
          <w:rFonts w:eastAsia="Times New Roman"/>
          <w:noProof/>
          <w:color w:val="000000" w:themeColor="text1"/>
          <w:szCs w:val="24"/>
          <w:lang w:eastAsia="en-GB"/>
        </w:rPr>
        <w:tab/>
      </w:r>
      <w:r w:rsidR="00273F36" w:rsidRPr="004C70EC">
        <w:rPr>
          <w:rFonts w:eastAsia="Times New Roman"/>
          <w:noProof/>
          <w:color w:val="000000" w:themeColor="text1"/>
          <w:szCs w:val="24"/>
          <w:lang w:eastAsia="en-GB"/>
        </w:rPr>
        <w:t xml:space="preserve">The additional Member State concerned shall notify the sponsor, through the EU portal, within </w:t>
      </w:r>
      <w:r w:rsidR="00273F36" w:rsidRPr="004C70EC">
        <w:rPr>
          <w:rFonts w:eastAsia="Times New Roman"/>
          <w:noProof/>
          <w:color w:val="000000" w:themeColor="text1"/>
          <w:szCs w:val="24"/>
          <w:lang w:eastAsia="hr-HR" w:bidi="hr-HR"/>
        </w:rPr>
        <w:t>47</w:t>
      </w:r>
      <w:r w:rsidR="00273F36" w:rsidRPr="004C70EC">
        <w:rPr>
          <w:rFonts w:eastAsia="Times New Roman"/>
          <w:noProof/>
          <w:color w:val="000000" w:themeColor="text1"/>
          <w:szCs w:val="24"/>
          <w:lang w:val="en-IE" w:eastAsia="hr-HR" w:bidi="hr-HR"/>
        </w:rPr>
        <w:t xml:space="preserve"> </w:t>
      </w:r>
      <w:r w:rsidR="00273F36" w:rsidRPr="004C70EC">
        <w:rPr>
          <w:rFonts w:eastAsia="Times New Roman"/>
          <w:noProof/>
          <w:color w:val="000000" w:themeColor="text1"/>
          <w:szCs w:val="24"/>
          <w:lang w:eastAsia="en-GB"/>
        </w:rPr>
        <w:t xml:space="preserve">days from the date of submission of the application dossier referred to in paragraph </w:t>
      </w:r>
      <w:r w:rsidR="00273F36" w:rsidRPr="004C70EC">
        <w:rPr>
          <w:rFonts w:eastAsia="Times New Roman"/>
          <w:noProof/>
          <w:color w:val="000000" w:themeColor="text1"/>
          <w:szCs w:val="24"/>
          <w:lang w:val="en-IE" w:eastAsia="hr-HR" w:bidi="hr-HR"/>
        </w:rPr>
        <w:t>1</w:t>
      </w:r>
      <w:r w:rsidR="6B716B44" w:rsidRPr="004C70EC">
        <w:rPr>
          <w:rFonts w:eastAsia="Times New Roman"/>
          <w:noProof/>
          <w:color w:val="000000" w:themeColor="text1"/>
          <w:szCs w:val="24"/>
          <w:lang w:val="en-IE" w:eastAsia="hr-HR" w:bidi="hr-HR"/>
        </w:rPr>
        <w:t xml:space="preserve"> of this Article</w:t>
      </w:r>
      <w:r w:rsidR="00273F36" w:rsidRPr="004C70EC">
        <w:rPr>
          <w:rFonts w:eastAsia="Times New Roman"/>
          <w:noProof/>
          <w:color w:val="000000" w:themeColor="text1"/>
          <w:szCs w:val="24"/>
          <w:lang w:val="en-IE" w:eastAsia="hr-HR" w:bidi="hr-HR"/>
        </w:rPr>
        <w:t xml:space="preserve">, </w:t>
      </w:r>
      <w:r w:rsidR="00273F36" w:rsidRPr="004C70EC">
        <w:rPr>
          <w:rFonts w:eastAsia="Times New Roman"/>
          <w:noProof/>
          <w:color w:val="000000" w:themeColor="text1"/>
          <w:szCs w:val="24"/>
          <w:lang w:eastAsia="en-GB"/>
        </w:rPr>
        <w:t xml:space="preserve">by way of one single decision as to whether the clinical trial is authorised, whether it is authorised subject to conditions, or </w:t>
      </w:r>
      <w:r w:rsidR="00273F36" w:rsidRPr="004C70EC">
        <w:rPr>
          <w:rFonts w:eastAsia="Times New Roman"/>
          <w:noProof/>
          <w:color w:val="000000" w:themeColor="text1"/>
          <w:szCs w:val="24"/>
          <w:lang w:val="en-IE" w:eastAsia="hr-HR" w:bidi="hr-HR"/>
        </w:rPr>
        <w:t>whether the authorisation is refused. Article 8(2), (3), (4) and (5) apply to the decision of the additional Member State concerned.</w:t>
      </w:r>
      <w:r w:rsidRPr="004C70EC">
        <w:rPr>
          <w:rFonts w:eastAsia="Times New Roman"/>
          <w:noProof/>
          <w:color w:val="000000" w:themeColor="text1"/>
          <w:szCs w:val="24"/>
          <w:lang w:val="en-IE" w:eastAsia="hr-HR" w:bidi="hr-HR"/>
        </w:rPr>
        <w:t>’</w:t>
      </w:r>
    </w:p>
    <w:p w14:paraId="0682212E" w14:textId="77777777" w:rsidR="00273F36" w:rsidRPr="004C70EC" w:rsidRDefault="00323C03" w:rsidP="00323C03">
      <w:pPr>
        <w:pStyle w:val="Point1"/>
        <w:rPr>
          <w:rFonts w:eastAsia="Times New Roman"/>
          <w:noProof/>
          <w:color w:val="000000" w:themeColor="text1"/>
          <w:szCs w:val="24"/>
          <w:lang w:eastAsia="en-GB"/>
        </w:rPr>
      </w:pPr>
      <w:r w:rsidRPr="004C70EC">
        <w:rPr>
          <w:rFonts w:eastAsia="Times New Roman"/>
          <w:noProof/>
          <w:color w:val="000000" w:themeColor="text1"/>
          <w:szCs w:val="24"/>
          <w:lang w:val="en-IE" w:eastAsia="hr-HR" w:bidi="hr-HR"/>
        </w:rPr>
        <w:t>(c)</w:t>
      </w:r>
      <w:r w:rsidRPr="004C70EC">
        <w:rPr>
          <w:noProof/>
          <w:color w:val="000000" w:themeColor="text1"/>
          <w:szCs w:val="24"/>
        </w:rPr>
        <w:tab/>
      </w:r>
      <w:r w:rsidR="0080155C" w:rsidRPr="004C70EC">
        <w:rPr>
          <w:rFonts w:eastAsia="Times New Roman"/>
          <w:noProof/>
          <w:color w:val="000000" w:themeColor="text1"/>
          <w:szCs w:val="24"/>
          <w:lang w:val="en-IE" w:eastAsia="hr-HR" w:bidi="hr-HR"/>
        </w:rPr>
        <w:t>p</w:t>
      </w:r>
      <w:r w:rsidR="00273F36" w:rsidRPr="004C70EC">
        <w:rPr>
          <w:rFonts w:eastAsia="Times New Roman"/>
          <w:noProof/>
          <w:color w:val="000000" w:themeColor="text1"/>
          <w:szCs w:val="24"/>
          <w:lang w:val="en-IE" w:eastAsia="hr-HR" w:bidi="hr-HR"/>
        </w:rPr>
        <w:t>aragraph 4 is deleted</w:t>
      </w:r>
      <w:r w:rsidR="2ACC4E22" w:rsidRPr="004C70EC">
        <w:rPr>
          <w:rFonts w:eastAsia="Times New Roman"/>
          <w:noProof/>
          <w:color w:val="000000" w:themeColor="text1"/>
          <w:szCs w:val="24"/>
          <w:lang w:val="en-IE" w:eastAsia="hr-HR" w:bidi="hr-HR"/>
        </w:rPr>
        <w:t>;</w:t>
      </w:r>
    </w:p>
    <w:p w14:paraId="493F927D" w14:textId="77777777" w:rsidR="00273F36" w:rsidRPr="004C70EC" w:rsidRDefault="00323C03" w:rsidP="00323C03">
      <w:pPr>
        <w:pStyle w:val="Point1"/>
        <w:rPr>
          <w:rFonts w:eastAsia="Times New Roman"/>
          <w:noProof/>
          <w:color w:val="000000" w:themeColor="text1"/>
          <w:szCs w:val="24"/>
          <w:lang w:eastAsia="en-GB"/>
        </w:rPr>
      </w:pPr>
      <w:r w:rsidRPr="004C70EC">
        <w:rPr>
          <w:rFonts w:eastAsia="Times New Roman"/>
          <w:noProof/>
          <w:color w:val="000000" w:themeColor="text1"/>
          <w:szCs w:val="24"/>
          <w:lang w:val="en-IE" w:eastAsia="hr-HR" w:bidi="hr-HR"/>
        </w:rPr>
        <w:t>(d)</w:t>
      </w:r>
      <w:r w:rsidRPr="004C70EC">
        <w:rPr>
          <w:rFonts w:eastAsia="Times New Roman"/>
          <w:noProof/>
          <w:color w:val="000000" w:themeColor="text1"/>
          <w:szCs w:val="24"/>
          <w:lang w:val="en-IE" w:eastAsia="hr-HR" w:bidi="hr-HR"/>
        </w:rPr>
        <w:tab/>
      </w:r>
      <w:r w:rsidR="0080155C" w:rsidRPr="004C70EC">
        <w:rPr>
          <w:rFonts w:eastAsia="Times New Roman"/>
          <w:noProof/>
          <w:color w:val="000000" w:themeColor="text1"/>
          <w:szCs w:val="24"/>
          <w:lang w:val="en-IE" w:eastAsia="hr-HR" w:bidi="hr-HR"/>
        </w:rPr>
        <w:t>p</w:t>
      </w:r>
      <w:r w:rsidR="00273F36" w:rsidRPr="004C70EC">
        <w:rPr>
          <w:rFonts w:eastAsia="Times New Roman"/>
          <w:noProof/>
          <w:color w:val="000000" w:themeColor="text1"/>
          <w:szCs w:val="24"/>
          <w:lang w:val="en-IE" w:eastAsia="hr-HR" w:bidi="hr-HR"/>
        </w:rPr>
        <w:t xml:space="preserve">aragraph 5 </w:t>
      </w:r>
      <w:r w:rsidR="0080155C" w:rsidRPr="004C70EC">
        <w:rPr>
          <w:rFonts w:eastAsia="Times New Roman"/>
          <w:noProof/>
          <w:color w:val="000000" w:themeColor="text1"/>
          <w:szCs w:val="24"/>
          <w:lang w:val="en-IE" w:eastAsia="hr-HR" w:bidi="hr-HR"/>
        </w:rPr>
        <w:t xml:space="preserve">to 8 are </w:t>
      </w:r>
      <w:r w:rsidR="00273F36" w:rsidRPr="004C70EC">
        <w:rPr>
          <w:rFonts w:eastAsia="Times New Roman"/>
          <w:noProof/>
          <w:color w:val="000000" w:themeColor="text1"/>
          <w:szCs w:val="24"/>
          <w:lang w:val="en-IE" w:eastAsia="hr-HR" w:bidi="hr-HR"/>
        </w:rPr>
        <w:t>replaced by the following:</w:t>
      </w:r>
    </w:p>
    <w:p w14:paraId="26E3A8C4" w14:textId="77777777" w:rsidR="00273F36" w:rsidRPr="004C70EC" w:rsidRDefault="0080155C" w:rsidP="00804A93">
      <w:pPr>
        <w:pStyle w:val="Point2"/>
        <w:rPr>
          <w:noProof/>
          <w:color w:val="000000" w:themeColor="text1"/>
          <w:szCs w:val="24"/>
          <w:lang w:val="en-IE" w:eastAsia="en-GB"/>
        </w:rPr>
      </w:pPr>
      <w:r w:rsidRPr="004C70EC">
        <w:rPr>
          <w:noProof/>
          <w:color w:val="000000" w:themeColor="text1"/>
          <w:szCs w:val="24"/>
          <w:lang w:eastAsia="en-GB"/>
        </w:rPr>
        <w:t>‘5.</w:t>
      </w:r>
      <w:r w:rsidR="00804A93" w:rsidRPr="004C70EC">
        <w:rPr>
          <w:noProof/>
          <w:color w:val="000000" w:themeColor="text1"/>
          <w:szCs w:val="24"/>
          <w:lang w:eastAsia="en-GB"/>
        </w:rPr>
        <w:tab/>
      </w:r>
      <w:r w:rsidR="00273F36" w:rsidRPr="004C70EC">
        <w:rPr>
          <w:noProof/>
          <w:color w:val="000000" w:themeColor="text1"/>
          <w:szCs w:val="24"/>
          <w:lang w:val="en-IE" w:eastAsia="en-GB"/>
        </w:rPr>
        <w:t>Within 42 days following the submission date referred to in paragraph 1, the additional Member State concerned may communicate to the reporting Member State and the other Member States concerned any considerations through the EU portal.</w:t>
      </w:r>
      <w:r w:rsidRPr="004C70EC">
        <w:rPr>
          <w:noProof/>
          <w:color w:val="000000" w:themeColor="text1"/>
          <w:szCs w:val="24"/>
          <w:lang w:val="en-IE" w:eastAsia="en-GB"/>
        </w:rPr>
        <w:t>’</w:t>
      </w:r>
    </w:p>
    <w:p w14:paraId="06CE3B80" w14:textId="77777777" w:rsidR="00273F36" w:rsidRPr="004C70EC" w:rsidRDefault="00323C03" w:rsidP="00323C03">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en-GB"/>
        </w:rPr>
        <w:t>(e)</w:t>
      </w:r>
      <w:r w:rsidRPr="004C70EC">
        <w:rPr>
          <w:noProof/>
          <w:color w:val="000000" w:themeColor="text1"/>
          <w:szCs w:val="24"/>
        </w:rPr>
        <w:tab/>
      </w:r>
      <w:r w:rsidR="0080155C" w:rsidRPr="004C70EC">
        <w:rPr>
          <w:rFonts w:eastAsia="Times New Roman"/>
          <w:noProof/>
          <w:color w:val="000000" w:themeColor="text1"/>
          <w:szCs w:val="24"/>
          <w:lang w:eastAsia="en-GB"/>
        </w:rPr>
        <w:t>p</w:t>
      </w:r>
      <w:r w:rsidR="00273F36" w:rsidRPr="004C70EC">
        <w:rPr>
          <w:rFonts w:eastAsia="Times New Roman"/>
          <w:noProof/>
          <w:color w:val="000000" w:themeColor="text1"/>
          <w:szCs w:val="24"/>
          <w:lang w:eastAsia="en-GB"/>
        </w:rPr>
        <w:t>aragraph</w:t>
      </w:r>
      <w:r w:rsidR="23BFC14D" w:rsidRPr="004C70EC">
        <w:rPr>
          <w:rFonts w:eastAsia="Times New Roman"/>
          <w:noProof/>
          <w:color w:val="000000" w:themeColor="text1"/>
          <w:szCs w:val="24"/>
          <w:lang w:eastAsia="en-GB"/>
        </w:rPr>
        <w:t>s</w:t>
      </w:r>
      <w:r w:rsidR="00273F36" w:rsidRPr="004C70EC">
        <w:rPr>
          <w:rFonts w:eastAsia="Times New Roman"/>
          <w:noProof/>
          <w:color w:val="000000" w:themeColor="text1"/>
          <w:szCs w:val="24"/>
          <w:lang w:eastAsia="en-GB"/>
        </w:rPr>
        <w:t xml:space="preserve"> 6</w:t>
      </w:r>
      <w:r w:rsidR="662C7EE9" w:rsidRPr="004C70EC">
        <w:rPr>
          <w:rFonts w:eastAsia="Times New Roman"/>
          <w:noProof/>
          <w:color w:val="000000" w:themeColor="text1"/>
          <w:szCs w:val="24"/>
          <w:lang w:eastAsia="en-GB"/>
        </w:rPr>
        <w:t>, 7 and 8</w:t>
      </w:r>
      <w:r w:rsidR="00273F36" w:rsidRPr="004C70EC">
        <w:rPr>
          <w:rFonts w:eastAsia="Times New Roman"/>
          <w:noProof/>
          <w:color w:val="000000" w:themeColor="text1"/>
          <w:szCs w:val="24"/>
          <w:lang w:eastAsia="en-GB"/>
        </w:rPr>
        <w:t xml:space="preserve"> </w:t>
      </w:r>
      <w:r w:rsidR="7D2419D0" w:rsidRPr="004C70EC">
        <w:rPr>
          <w:rFonts w:eastAsia="Times New Roman"/>
          <w:noProof/>
          <w:color w:val="000000" w:themeColor="text1"/>
          <w:szCs w:val="24"/>
          <w:lang w:eastAsia="en-GB"/>
        </w:rPr>
        <w:t>are</w:t>
      </w:r>
      <w:r w:rsidR="00273F36" w:rsidRPr="004C70EC">
        <w:rPr>
          <w:rFonts w:eastAsia="Times New Roman"/>
          <w:noProof/>
          <w:color w:val="000000" w:themeColor="text1"/>
          <w:szCs w:val="24"/>
          <w:lang w:eastAsia="en-GB"/>
        </w:rPr>
        <w:t xml:space="preserve"> replaced by the following:</w:t>
      </w:r>
    </w:p>
    <w:p w14:paraId="30CD5E3D" w14:textId="77777777" w:rsidR="00273F36" w:rsidRPr="004C70EC" w:rsidRDefault="0080155C" w:rsidP="00804A93">
      <w:pPr>
        <w:pStyle w:val="Point2"/>
        <w:rPr>
          <w:rFonts w:eastAsia="Times New Roman"/>
          <w:noProof/>
          <w:color w:val="000000" w:themeColor="text1"/>
          <w:szCs w:val="24"/>
          <w:lang w:eastAsia="en-GB"/>
        </w:rPr>
      </w:pPr>
      <w:r w:rsidRPr="004C70EC">
        <w:rPr>
          <w:rFonts w:eastAsia="Times New Roman"/>
          <w:noProof/>
          <w:color w:val="000000" w:themeColor="text1"/>
          <w:szCs w:val="24"/>
          <w:lang w:eastAsia="en-GB"/>
        </w:rPr>
        <w:t>‘6.</w:t>
      </w:r>
      <w:r w:rsidR="00F604BB" w:rsidRPr="004C70EC">
        <w:rPr>
          <w:rFonts w:eastAsia="Times New Roman"/>
          <w:noProof/>
          <w:color w:val="000000" w:themeColor="text1"/>
          <w:szCs w:val="24"/>
          <w:lang w:eastAsia="en-GB"/>
        </w:rPr>
        <w:tab/>
      </w:r>
      <w:r w:rsidR="00273F36" w:rsidRPr="004C70EC">
        <w:rPr>
          <w:rFonts w:eastAsia="Times New Roman"/>
          <w:noProof/>
          <w:color w:val="000000" w:themeColor="text1"/>
          <w:szCs w:val="24"/>
          <w:lang w:eastAsia="en-GB"/>
        </w:rPr>
        <w:t xml:space="preserve">Between the submission date referred to in paragraph </w:t>
      </w:r>
      <w:r w:rsidR="00273F36" w:rsidRPr="004C70EC">
        <w:rPr>
          <w:rFonts w:eastAsia="Times New Roman"/>
          <w:noProof/>
          <w:color w:val="000000" w:themeColor="text1"/>
          <w:szCs w:val="24"/>
          <w:lang w:val="en-IE" w:eastAsia="hr-HR" w:bidi="hr-HR"/>
        </w:rPr>
        <w:t xml:space="preserve">1 </w:t>
      </w:r>
      <w:r w:rsidR="00273F36" w:rsidRPr="004C70EC">
        <w:rPr>
          <w:rFonts w:eastAsia="Times New Roman"/>
          <w:noProof/>
          <w:color w:val="000000" w:themeColor="text1"/>
          <w:szCs w:val="24"/>
          <w:lang w:eastAsia="en-GB"/>
        </w:rPr>
        <w:t xml:space="preserve">and the expiry of the period referred to in paragraph </w:t>
      </w:r>
      <w:r w:rsidR="00273F36" w:rsidRPr="004C70EC">
        <w:rPr>
          <w:rFonts w:eastAsia="Times New Roman"/>
          <w:noProof/>
          <w:color w:val="000000" w:themeColor="text1"/>
          <w:szCs w:val="24"/>
          <w:lang w:val="en-IE" w:eastAsia="hr-HR" w:bidi="hr-HR"/>
        </w:rPr>
        <w:t xml:space="preserve">3, </w:t>
      </w:r>
      <w:r w:rsidR="00273F36" w:rsidRPr="004C70EC">
        <w:rPr>
          <w:rFonts w:eastAsia="Times New Roman"/>
          <w:noProof/>
          <w:color w:val="000000" w:themeColor="text1"/>
          <w:szCs w:val="24"/>
          <w:lang w:eastAsia="en-GB"/>
        </w:rPr>
        <w:t xml:space="preserve">only the reporting Member State may request additional information from the sponsor concerning the aspects covered in Part I of the assessment report, taking into account the considerations referred to in paragraph </w:t>
      </w:r>
      <w:r w:rsidR="00273F36" w:rsidRPr="004C70EC">
        <w:rPr>
          <w:rFonts w:eastAsia="Times New Roman"/>
          <w:noProof/>
          <w:color w:val="000000" w:themeColor="text1"/>
          <w:szCs w:val="24"/>
          <w:lang w:val="en-IE" w:eastAsia="hr-HR" w:bidi="hr-HR"/>
        </w:rPr>
        <w:t>5.</w:t>
      </w:r>
      <w:r w:rsidR="00273F36" w:rsidRPr="004C70EC">
        <w:rPr>
          <w:rFonts w:eastAsia="Times New Roman"/>
          <w:noProof/>
          <w:color w:val="000000" w:themeColor="text1"/>
          <w:szCs w:val="24"/>
          <w:lang w:eastAsia="en-GB"/>
        </w:rPr>
        <w:t xml:space="preserve"> </w:t>
      </w:r>
    </w:p>
    <w:p w14:paraId="51A5219A" w14:textId="77777777" w:rsidR="00273F36" w:rsidRPr="004C70EC" w:rsidRDefault="00273F36" w:rsidP="00804A93">
      <w:pPr>
        <w:pStyle w:val="Text3"/>
        <w:rPr>
          <w:noProof/>
          <w:color w:val="000000" w:themeColor="text1"/>
          <w:szCs w:val="24"/>
        </w:rPr>
      </w:pPr>
      <w:r w:rsidRPr="004C70EC">
        <w:rPr>
          <w:noProof/>
          <w:color w:val="000000" w:themeColor="text1"/>
          <w:szCs w:val="24"/>
        </w:rPr>
        <w:t xml:space="preserve">For the purpose of obtaining and reviewing this additional information from the sponsor in accordance with the third and fourth subparagraphs, the reporting Member State may extend the period referred to in the first subparagraph of paragraph </w:t>
      </w:r>
      <w:r w:rsidRPr="004C70EC">
        <w:rPr>
          <w:noProof/>
          <w:color w:val="000000" w:themeColor="text1"/>
          <w:szCs w:val="24"/>
          <w:lang w:val="en-IE" w:eastAsia="hr-HR" w:bidi="hr-HR"/>
        </w:rPr>
        <w:t xml:space="preserve">3 </w:t>
      </w:r>
      <w:r w:rsidRPr="004C70EC">
        <w:rPr>
          <w:noProof/>
          <w:color w:val="000000" w:themeColor="text1"/>
          <w:szCs w:val="24"/>
        </w:rPr>
        <w:t xml:space="preserve">by a maximum of </w:t>
      </w:r>
      <w:r w:rsidRPr="004C70EC">
        <w:rPr>
          <w:noProof/>
          <w:color w:val="000000" w:themeColor="text1"/>
          <w:szCs w:val="24"/>
          <w:lang w:eastAsia="hr-HR" w:bidi="hr-HR"/>
        </w:rPr>
        <w:t>28</w:t>
      </w:r>
      <w:r w:rsidRPr="004C70EC">
        <w:rPr>
          <w:noProof/>
          <w:color w:val="000000" w:themeColor="text1"/>
          <w:szCs w:val="24"/>
          <w:lang w:val="en-IE" w:eastAsia="hr-HR" w:bidi="hr-HR"/>
        </w:rPr>
        <w:t xml:space="preserve"> </w:t>
      </w:r>
      <w:r w:rsidRPr="004C70EC">
        <w:rPr>
          <w:noProof/>
          <w:color w:val="000000" w:themeColor="text1"/>
          <w:szCs w:val="24"/>
        </w:rPr>
        <w:t>days.</w:t>
      </w:r>
    </w:p>
    <w:p w14:paraId="4706E9CF" w14:textId="77777777" w:rsidR="00273F36" w:rsidRPr="004C70EC" w:rsidRDefault="00273F36" w:rsidP="00804A93">
      <w:pPr>
        <w:pStyle w:val="Text3"/>
        <w:rPr>
          <w:noProof/>
          <w:color w:val="000000" w:themeColor="text1"/>
          <w:szCs w:val="24"/>
        </w:rPr>
      </w:pPr>
      <w:r w:rsidRPr="004C70EC">
        <w:rPr>
          <w:noProof/>
          <w:color w:val="000000" w:themeColor="text1"/>
          <w:szCs w:val="24"/>
        </w:rPr>
        <w:t xml:space="preserve">The sponsor shall submit the requested additional information within the period set by the reporting Member State, which shall not exceed </w:t>
      </w:r>
      <w:r w:rsidRPr="004C70EC">
        <w:rPr>
          <w:noProof/>
          <w:color w:val="000000" w:themeColor="text1"/>
          <w:szCs w:val="24"/>
          <w:lang w:val="en-IE" w:eastAsia="hr-HR" w:bidi="hr-HR"/>
        </w:rPr>
        <w:t>1</w:t>
      </w:r>
      <w:r w:rsidRPr="004C70EC">
        <w:rPr>
          <w:noProof/>
          <w:color w:val="000000" w:themeColor="text1"/>
          <w:szCs w:val="24"/>
          <w:lang w:eastAsia="hr-HR" w:bidi="hr-HR"/>
        </w:rPr>
        <w:t>4</w:t>
      </w:r>
      <w:r w:rsidRPr="004C70EC">
        <w:rPr>
          <w:noProof/>
          <w:color w:val="000000" w:themeColor="text1"/>
          <w:szCs w:val="24"/>
          <w:lang w:val="en-IE" w:eastAsia="hr-HR" w:bidi="hr-HR"/>
        </w:rPr>
        <w:t xml:space="preserve"> </w:t>
      </w:r>
      <w:r w:rsidRPr="004C70EC">
        <w:rPr>
          <w:noProof/>
          <w:color w:val="000000" w:themeColor="text1"/>
          <w:szCs w:val="24"/>
        </w:rPr>
        <w:t>days from receipt of the request.</w:t>
      </w:r>
    </w:p>
    <w:p w14:paraId="6F44945F" w14:textId="77777777" w:rsidR="00273F36" w:rsidRPr="004C70EC" w:rsidRDefault="00273F36" w:rsidP="00804A93">
      <w:pPr>
        <w:pStyle w:val="Text3"/>
        <w:rPr>
          <w:noProof/>
          <w:color w:val="000000" w:themeColor="text1"/>
          <w:szCs w:val="24"/>
        </w:rPr>
      </w:pPr>
      <w:r w:rsidRPr="004C70EC">
        <w:rPr>
          <w:noProof/>
          <w:color w:val="000000" w:themeColor="text1"/>
          <w:szCs w:val="24"/>
        </w:rPr>
        <w:t>Upon receipt of the additional information the reporting Member State, the additional Member State</w:t>
      </w:r>
      <w:r w:rsidR="00493B4F" w:rsidRPr="004C70EC">
        <w:rPr>
          <w:noProof/>
          <w:color w:val="000000" w:themeColor="text1"/>
          <w:szCs w:val="24"/>
        </w:rPr>
        <w:t xml:space="preserve"> </w:t>
      </w:r>
      <w:r w:rsidRPr="004C70EC">
        <w:rPr>
          <w:noProof/>
          <w:color w:val="000000" w:themeColor="text1"/>
          <w:szCs w:val="24"/>
        </w:rPr>
        <w:t xml:space="preserve">concerned and all other Member States concerned shall review any additional information provided by the sponsor together with the original application and shall share any unaddressed considerations relevant to the application. The coordinated review shall be performed within a maximum of seven days from the receipt of the additional information and the further consolidation shall be performed within a maximum of seven days from the end of the coordinated review. The reporting Member State shall take due account of the considerations of the Member States concerned and shall record how the considerations have been dealt with. </w:t>
      </w:r>
    </w:p>
    <w:p w14:paraId="34FCE91D" w14:textId="77777777" w:rsidR="00273F36" w:rsidRPr="004C70EC" w:rsidRDefault="00273F36" w:rsidP="00804A93">
      <w:pPr>
        <w:pStyle w:val="Text3"/>
        <w:rPr>
          <w:noProof/>
          <w:color w:val="000000" w:themeColor="text1"/>
          <w:szCs w:val="24"/>
        </w:rPr>
      </w:pPr>
      <w:r w:rsidRPr="004C70EC">
        <w:rPr>
          <w:noProof/>
          <w:color w:val="000000" w:themeColor="text1"/>
          <w:szCs w:val="24"/>
        </w:rPr>
        <w:t>Where the sponsor does not provide additional information within the period set by the reporting Member State in accordance with the third subparagraph, the application shall be deemed to have lapsed in the additional Member State concerned.</w:t>
      </w:r>
    </w:p>
    <w:p w14:paraId="6587C6E3" w14:textId="77777777" w:rsidR="00273F36" w:rsidRPr="004C70EC" w:rsidRDefault="00273F36" w:rsidP="00804A93">
      <w:pPr>
        <w:pStyle w:val="Text3"/>
        <w:rPr>
          <w:rFonts w:eastAsia="Times New Roman"/>
          <w:noProof/>
          <w:color w:val="000000" w:themeColor="text1"/>
          <w:szCs w:val="24"/>
          <w:lang w:eastAsia="en-GB"/>
        </w:rPr>
      </w:pPr>
      <w:r w:rsidRPr="004C70EC">
        <w:rPr>
          <w:noProof/>
          <w:color w:val="000000" w:themeColor="text1"/>
          <w:szCs w:val="24"/>
        </w:rPr>
        <w:t>The request for additional information and the additional information shall be submitted through the EU portal</w:t>
      </w:r>
    </w:p>
    <w:p w14:paraId="24E5EC00" w14:textId="77777777" w:rsidR="00273F36" w:rsidRPr="004C70EC" w:rsidRDefault="0080155C" w:rsidP="00804A93">
      <w:pPr>
        <w:pStyle w:val="Point2"/>
        <w:rPr>
          <w:rFonts w:eastAsia="Times New Roman"/>
          <w:noProof/>
          <w:color w:val="000000" w:themeColor="text1"/>
          <w:szCs w:val="24"/>
          <w:lang w:eastAsia="en-GB"/>
        </w:rPr>
      </w:pPr>
      <w:r w:rsidRPr="004C70EC">
        <w:rPr>
          <w:rFonts w:eastAsia="Times New Roman"/>
          <w:noProof/>
          <w:color w:val="000000" w:themeColor="text1"/>
          <w:szCs w:val="24"/>
          <w:lang w:eastAsia="en-GB"/>
        </w:rPr>
        <w:t>7.</w:t>
      </w:r>
      <w:r w:rsidR="00804A93" w:rsidRPr="004C70EC">
        <w:rPr>
          <w:rFonts w:eastAsia="Times New Roman"/>
          <w:noProof/>
          <w:color w:val="000000" w:themeColor="text1"/>
          <w:szCs w:val="24"/>
          <w:lang w:eastAsia="en-GB"/>
        </w:rPr>
        <w:tab/>
      </w:r>
      <w:r w:rsidR="00273F36" w:rsidRPr="004C70EC">
        <w:rPr>
          <w:rFonts w:eastAsia="Times New Roman"/>
          <w:noProof/>
          <w:color w:val="000000" w:themeColor="text1"/>
          <w:szCs w:val="24"/>
          <w:lang w:eastAsia="en-GB"/>
        </w:rPr>
        <w:t xml:space="preserve">The additional Member State concerned shall assess, for its territory, the aspects covered in Part II of the assessment report and submit Part II assessment report, including its conclusions, through the EU portal, to the sponsor. </w:t>
      </w:r>
    </w:p>
    <w:p w14:paraId="239B874E" w14:textId="77777777" w:rsidR="00273F36" w:rsidRPr="004C70EC" w:rsidRDefault="00273F36" w:rsidP="00B23380">
      <w:pPr>
        <w:pStyle w:val="Text3"/>
        <w:rPr>
          <w:rFonts w:eastAsia="Times New Roman"/>
          <w:noProof/>
          <w:color w:val="000000" w:themeColor="text1"/>
          <w:szCs w:val="24"/>
          <w:lang w:val="en-IE" w:eastAsia="hr-HR" w:bidi="hr-HR"/>
        </w:rPr>
      </w:pPr>
      <w:r w:rsidRPr="004C70EC">
        <w:rPr>
          <w:rFonts w:eastAsia="Times New Roman"/>
          <w:noProof/>
          <w:color w:val="000000" w:themeColor="text1"/>
          <w:szCs w:val="24"/>
          <w:lang w:val="en-IE" w:eastAsia="hr-HR" w:bidi="hr-HR"/>
        </w:rPr>
        <w:t>Within period referred to in paragraph 3, additional Member State may request, through the EU portal, with justified reasons, additional information from the sponsor regarding aspects covered in Part II of the assessment report as far as its territory is concerned.</w:t>
      </w:r>
      <w:r w:rsidR="6A20C851" w:rsidRPr="004C70EC">
        <w:rPr>
          <w:rFonts w:eastAsia="Times New Roman"/>
          <w:noProof/>
          <w:color w:val="000000" w:themeColor="text1"/>
          <w:szCs w:val="24"/>
        </w:rPr>
        <w:t>’</w:t>
      </w:r>
    </w:p>
    <w:p w14:paraId="20A283DE" w14:textId="77777777" w:rsidR="00273F36" w:rsidRPr="004C70EC" w:rsidRDefault="00290C08" w:rsidP="00B23380">
      <w:pPr>
        <w:pStyle w:val="Point2"/>
        <w:rPr>
          <w:rFonts w:eastAsia="Times New Roman"/>
          <w:noProof/>
          <w:color w:val="000000" w:themeColor="text1"/>
          <w:szCs w:val="24"/>
          <w:lang w:val="en-IE" w:eastAsia="hr-HR" w:bidi="hr-HR"/>
        </w:rPr>
      </w:pPr>
      <w:r w:rsidRPr="004C70EC">
        <w:rPr>
          <w:rFonts w:eastAsia="Times New Roman"/>
          <w:noProof/>
          <w:color w:val="000000" w:themeColor="text1"/>
          <w:szCs w:val="24"/>
          <w:lang w:eastAsia="en-GB"/>
        </w:rPr>
        <w:t>8.</w:t>
      </w:r>
      <w:r w:rsidR="00B23380" w:rsidRPr="004C70EC">
        <w:rPr>
          <w:rFonts w:eastAsia="Times New Roman"/>
          <w:noProof/>
          <w:color w:val="000000" w:themeColor="text1"/>
          <w:szCs w:val="24"/>
          <w:lang w:eastAsia="en-GB"/>
        </w:rPr>
        <w:tab/>
      </w:r>
      <w:r w:rsidR="00273F36" w:rsidRPr="004C70EC">
        <w:rPr>
          <w:rFonts w:eastAsia="Times New Roman"/>
          <w:noProof/>
          <w:color w:val="000000" w:themeColor="text1"/>
          <w:szCs w:val="24"/>
          <w:lang w:val="en-IE" w:eastAsia="hr-HR" w:bidi="hr-HR"/>
        </w:rPr>
        <w:t xml:space="preserve">For the purpose of obtaining and reviewing the additional information referred to in paragraph 6 or 7 the additional Member State concerned may extend the period referred to in paragraph 5 by maximum of 28 days. </w:t>
      </w:r>
    </w:p>
    <w:p w14:paraId="15A9AEE6" w14:textId="77777777" w:rsidR="00273F36" w:rsidRPr="004C70EC" w:rsidRDefault="00273F36" w:rsidP="00B23380">
      <w:pPr>
        <w:pStyle w:val="Text3"/>
        <w:rPr>
          <w:rFonts w:eastAsia="Times New Roman"/>
          <w:noProof/>
          <w:color w:val="000000" w:themeColor="text1"/>
          <w:szCs w:val="24"/>
          <w:lang w:val="en-IE" w:eastAsia="hr-HR" w:bidi="hr-HR"/>
        </w:rPr>
      </w:pPr>
      <w:r w:rsidRPr="004C70EC">
        <w:rPr>
          <w:rFonts w:eastAsia="Times New Roman"/>
          <w:noProof/>
          <w:color w:val="000000" w:themeColor="text1"/>
          <w:szCs w:val="24"/>
          <w:lang w:val="en-IE" w:eastAsia="hr-HR" w:bidi="hr-HR"/>
        </w:rPr>
        <w:t xml:space="preserve">The sponsor shall submit the requested additional information within the period set be the additional Member State concerned, which shall not exceed 14 days from the receipt of the request. </w:t>
      </w:r>
    </w:p>
    <w:p w14:paraId="29A75977" w14:textId="77777777" w:rsidR="00273F36" w:rsidRPr="004C70EC" w:rsidRDefault="00273F36" w:rsidP="00B23380">
      <w:pPr>
        <w:pStyle w:val="Text3"/>
        <w:rPr>
          <w:rFonts w:eastAsia="Times New Roman"/>
          <w:noProof/>
          <w:color w:val="000000" w:themeColor="text1"/>
          <w:szCs w:val="24"/>
          <w:lang w:val="en-IE" w:eastAsia="hr-HR" w:bidi="hr-HR"/>
        </w:rPr>
      </w:pPr>
      <w:r w:rsidRPr="004C70EC">
        <w:rPr>
          <w:rFonts w:eastAsia="Times New Roman"/>
          <w:noProof/>
          <w:color w:val="000000" w:themeColor="text1"/>
          <w:szCs w:val="24"/>
          <w:lang w:val="en-IE" w:eastAsia="hr-HR" w:bidi="hr-HR"/>
        </w:rPr>
        <w:t>Upon receipt of the additional information, the Member State concerned shall compete its assessment within a maximum of 14 days.</w:t>
      </w:r>
    </w:p>
    <w:p w14:paraId="141FEEA5" w14:textId="77777777" w:rsidR="00273F36" w:rsidRPr="004C70EC" w:rsidRDefault="00273F36" w:rsidP="00B23380">
      <w:pPr>
        <w:pStyle w:val="Text3"/>
        <w:rPr>
          <w:rFonts w:eastAsia="Times New Roman"/>
          <w:noProof/>
          <w:color w:val="000000" w:themeColor="text1"/>
          <w:szCs w:val="24"/>
          <w:lang w:val="en-IE" w:eastAsia="hr-HR" w:bidi="hr-HR"/>
        </w:rPr>
      </w:pPr>
      <w:r w:rsidRPr="004C70EC">
        <w:rPr>
          <w:rFonts w:eastAsia="Times New Roman"/>
          <w:noProof/>
          <w:color w:val="000000" w:themeColor="text1"/>
          <w:szCs w:val="24"/>
          <w:lang w:val="en-IE" w:eastAsia="hr-HR" w:bidi="hr-HR"/>
        </w:rPr>
        <w:t>Where the sponsor does not provide additional information within the period set by the additional Member State concerned in accordance with second subparagraph, the application shall be deemed to have lapsed in the additional Member State concerned.</w:t>
      </w:r>
      <w:r w:rsidR="16B8B33F" w:rsidRPr="004C70EC">
        <w:rPr>
          <w:rFonts w:eastAsia="Times New Roman"/>
          <w:noProof/>
          <w:color w:val="000000" w:themeColor="text1"/>
          <w:szCs w:val="24"/>
        </w:rPr>
        <w:t>’</w:t>
      </w:r>
    </w:p>
    <w:p w14:paraId="2812DD33" w14:textId="77777777" w:rsidR="00273F36" w:rsidRPr="004C70EC" w:rsidRDefault="00323C03" w:rsidP="00323C03">
      <w:pPr>
        <w:pStyle w:val="Point1"/>
        <w:rPr>
          <w:rFonts w:eastAsia="Times New Roman"/>
          <w:noProof/>
          <w:color w:val="000000" w:themeColor="text1"/>
          <w:szCs w:val="24"/>
          <w:lang w:val="en-IE" w:eastAsia="hr-HR" w:bidi="hr-HR"/>
        </w:rPr>
      </w:pPr>
      <w:r w:rsidRPr="004C70EC">
        <w:rPr>
          <w:rFonts w:eastAsia="Times New Roman"/>
          <w:noProof/>
          <w:color w:val="000000" w:themeColor="text1"/>
          <w:szCs w:val="24"/>
          <w:lang w:val="en-IE" w:eastAsia="hr-HR" w:bidi="hr-HR"/>
        </w:rPr>
        <w:t>(</w:t>
      </w:r>
      <w:r w:rsidR="00B23380" w:rsidRPr="004C70EC">
        <w:rPr>
          <w:rFonts w:eastAsia="Times New Roman"/>
          <w:noProof/>
          <w:color w:val="000000" w:themeColor="text1"/>
          <w:szCs w:val="24"/>
          <w:lang w:val="en-IE" w:eastAsia="hr-HR" w:bidi="hr-HR"/>
        </w:rPr>
        <w:t>f</w:t>
      </w:r>
      <w:r w:rsidRPr="004C70EC">
        <w:rPr>
          <w:rFonts w:eastAsia="Times New Roman"/>
          <w:noProof/>
          <w:color w:val="000000" w:themeColor="text1"/>
          <w:szCs w:val="24"/>
          <w:lang w:val="en-IE" w:eastAsia="hr-HR" w:bidi="hr-HR"/>
        </w:rPr>
        <w:t>)</w:t>
      </w:r>
      <w:r w:rsidRPr="004C70EC">
        <w:rPr>
          <w:noProof/>
          <w:color w:val="000000" w:themeColor="text1"/>
          <w:szCs w:val="24"/>
        </w:rPr>
        <w:tab/>
      </w:r>
      <w:r w:rsidR="00290C08" w:rsidRPr="004C70EC">
        <w:rPr>
          <w:rFonts w:eastAsia="Times New Roman"/>
          <w:noProof/>
          <w:color w:val="000000" w:themeColor="text1"/>
          <w:szCs w:val="24"/>
          <w:lang w:val="en-IE" w:eastAsia="hr-HR" w:bidi="hr-HR"/>
        </w:rPr>
        <w:t>p</w:t>
      </w:r>
      <w:r w:rsidR="00273F36" w:rsidRPr="004C70EC">
        <w:rPr>
          <w:rFonts w:eastAsia="Times New Roman"/>
          <w:noProof/>
          <w:color w:val="000000" w:themeColor="text1"/>
          <w:szCs w:val="24"/>
          <w:lang w:val="en-IE" w:eastAsia="hr-HR" w:bidi="hr-HR"/>
        </w:rPr>
        <w:t>aragraphs 9 and 10 are deleted</w:t>
      </w:r>
      <w:r w:rsidR="6D50A883" w:rsidRPr="004C70EC">
        <w:rPr>
          <w:rFonts w:eastAsia="Times New Roman"/>
          <w:noProof/>
          <w:color w:val="000000" w:themeColor="text1"/>
          <w:szCs w:val="24"/>
          <w:lang w:val="en-IE" w:eastAsia="hr-HR" w:bidi="hr-HR"/>
        </w:rPr>
        <w:t>;</w:t>
      </w:r>
    </w:p>
    <w:p w14:paraId="76BCBC46" w14:textId="77777777" w:rsidR="00273F36" w:rsidRPr="004C70EC" w:rsidRDefault="00323C03" w:rsidP="00323C03">
      <w:pPr>
        <w:pStyle w:val="Point1"/>
        <w:rPr>
          <w:rFonts w:eastAsia="Times New Roman"/>
          <w:noProof/>
          <w:color w:val="000000" w:themeColor="text1"/>
          <w:szCs w:val="24"/>
          <w:lang w:val="en-IE" w:eastAsia="hr-HR" w:bidi="hr-HR"/>
        </w:rPr>
      </w:pPr>
      <w:r w:rsidRPr="004C70EC">
        <w:rPr>
          <w:rFonts w:eastAsia="Times New Roman"/>
          <w:noProof/>
          <w:color w:val="000000" w:themeColor="text1"/>
          <w:szCs w:val="24"/>
          <w:lang w:val="en-IE" w:eastAsia="hr-HR" w:bidi="hr-HR"/>
        </w:rPr>
        <w:t>(</w:t>
      </w:r>
      <w:r w:rsidR="00B23380" w:rsidRPr="004C70EC">
        <w:rPr>
          <w:rFonts w:eastAsia="Times New Roman"/>
          <w:noProof/>
          <w:color w:val="000000" w:themeColor="text1"/>
          <w:szCs w:val="24"/>
          <w:lang w:val="en-IE" w:eastAsia="hr-HR" w:bidi="hr-HR"/>
        </w:rPr>
        <w:t>g</w:t>
      </w:r>
      <w:r w:rsidRPr="004C70EC">
        <w:rPr>
          <w:rFonts w:eastAsia="Times New Roman"/>
          <w:noProof/>
          <w:color w:val="000000" w:themeColor="text1"/>
          <w:szCs w:val="24"/>
          <w:lang w:val="en-IE" w:eastAsia="hr-HR" w:bidi="hr-HR"/>
        </w:rPr>
        <w:t>)</w:t>
      </w:r>
      <w:r w:rsidRPr="004C70EC">
        <w:rPr>
          <w:noProof/>
          <w:color w:val="000000" w:themeColor="text1"/>
          <w:szCs w:val="24"/>
        </w:rPr>
        <w:tab/>
      </w:r>
      <w:r w:rsidR="00290C08" w:rsidRPr="004C70EC">
        <w:rPr>
          <w:rFonts w:eastAsia="Times New Roman"/>
          <w:noProof/>
          <w:color w:val="000000" w:themeColor="text1"/>
          <w:szCs w:val="24"/>
          <w:lang w:val="en-IE" w:eastAsia="hr-HR" w:bidi="hr-HR"/>
        </w:rPr>
        <w:t>p</w:t>
      </w:r>
      <w:r w:rsidR="00273F36" w:rsidRPr="004C70EC">
        <w:rPr>
          <w:rFonts w:eastAsia="Times New Roman"/>
          <w:noProof/>
          <w:color w:val="000000" w:themeColor="text1"/>
          <w:szCs w:val="24"/>
          <w:lang w:val="en-IE" w:eastAsia="hr-HR" w:bidi="hr-HR"/>
        </w:rPr>
        <w:t>aragraph</w:t>
      </w:r>
      <w:r w:rsidR="198EB238" w:rsidRPr="004C70EC">
        <w:rPr>
          <w:rFonts w:eastAsia="Times New Roman"/>
          <w:noProof/>
          <w:color w:val="000000" w:themeColor="text1"/>
          <w:szCs w:val="24"/>
          <w:lang w:val="en-IE" w:eastAsia="hr-HR" w:bidi="hr-HR"/>
        </w:rPr>
        <w:t>s</w:t>
      </w:r>
      <w:r w:rsidR="00273F36" w:rsidRPr="004C70EC">
        <w:rPr>
          <w:rFonts w:eastAsia="Times New Roman"/>
          <w:noProof/>
          <w:color w:val="000000" w:themeColor="text1"/>
          <w:szCs w:val="24"/>
          <w:lang w:val="en-IE" w:eastAsia="hr-HR" w:bidi="hr-HR"/>
        </w:rPr>
        <w:t xml:space="preserve"> 11 </w:t>
      </w:r>
      <w:r w:rsidR="00290C08" w:rsidRPr="004C70EC">
        <w:rPr>
          <w:rFonts w:eastAsia="Times New Roman"/>
          <w:noProof/>
          <w:color w:val="000000" w:themeColor="text1"/>
          <w:szCs w:val="24"/>
          <w:lang w:val="en-IE" w:eastAsia="hr-HR" w:bidi="hr-HR"/>
        </w:rPr>
        <w:t xml:space="preserve">and 12 are </w:t>
      </w:r>
      <w:r w:rsidR="00273F36" w:rsidRPr="004C70EC">
        <w:rPr>
          <w:rFonts w:eastAsia="Times New Roman"/>
          <w:noProof/>
          <w:color w:val="000000" w:themeColor="text1"/>
          <w:szCs w:val="24"/>
          <w:lang w:val="en-IE" w:eastAsia="hr-HR" w:bidi="hr-HR"/>
        </w:rPr>
        <w:t>replaced by the following:</w:t>
      </w:r>
    </w:p>
    <w:p w14:paraId="418FC5F6" w14:textId="77777777" w:rsidR="00273F36" w:rsidRPr="004C70EC" w:rsidRDefault="747DBAB7" w:rsidP="00B23380">
      <w:pPr>
        <w:pStyle w:val="Point2"/>
        <w:rPr>
          <w:rFonts w:eastAsia="Times New Roman"/>
          <w:noProof/>
          <w:color w:val="000000" w:themeColor="text1"/>
          <w:szCs w:val="24"/>
          <w:lang w:eastAsia="en-GB"/>
        </w:rPr>
      </w:pPr>
      <w:r w:rsidRPr="004C70EC">
        <w:rPr>
          <w:noProof/>
          <w:color w:val="000000" w:themeColor="text1"/>
          <w:szCs w:val="24"/>
          <w:lang w:eastAsia="en-GB"/>
        </w:rPr>
        <w:t>‘</w:t>
      </w:r>
      <w:r w:rsidR="00290C08" w:rsidRPr="004C70EC">
        <w:rPr>
          <w:rFonts w:eastAsia="Times New Roman"/>
          <w:noProof/>
          <w:color w:val="000000" w:themeColor="text1"/>
          <w:szCs w:val="24"/>
          <w:lang w:eastAsia="en-GB"/>
        </w:rPr>
        <w:t>11.</w:t>
      </w:r>
      <w:r w:rsidR="00B23380" w:rsidRPr="004C70EC">
        <w:rPr>
          <w:noProof/>
          <w:color w:val="000000" w:themeColor="text1"/>
          <w:szCs w:val="24"/>
        </w:rPr>
        <w:tab/>
      </w:r>
      <w:r w:rsidR="00273F36" w:rsidRPr="004C70EC">
        <w:rPr>
          <w:rFonts w:eastAsia="Times New Roman"/>
          <w:noProof/>
          <w:color w:val="000000" w:themeColor="text1"/>
          <w:szCs w:val="24"/>
          <w:lang w:eastAsia="en-GB"/>
        </w:rPr>
        <w:t xml:space="preserve">Where the additional Member State concerned has not notified the sponsor of its decision within the period referred to in paragraph </w:t>
      </w:r>
      <w:r w:rsidR="00273F36" w:rsidRPr="004C70EC">
        <w:rPr>
          <w:rFonts w:eastAsia="Times New Roman"/>
          <w:noProof/>
          <w:color w:val="000000" w:themeColor="text1"/>
          <w:szCs w:val="24"/>
          <w:lang w:val="en-IE" w:eastAsia="hr-HR" w:bidi="hr-HR"/>
        </w:rPr>
        <w:t xml:space="preserve">3, </w:t>
      </w:r>
      <w:r w:rsidR="00273F36" w:rsidRPr="004C70EC">
        <w:rPr>
          <w:rFonts w:eastAsia="Times New Roman"/>
          <w:noProof/>
          <w:color w:val="000000" w:themeColor="text1"/>
          <w:szCs w:val="24"/>
          <w:lang w:eastAsia="en-GB"/>
        </w:rPr>
        <w:t xml:space="preserve">or in case that period has been extended in accordance with paragraph </w:t>
      </w:r>
      <w:r w:rsidR="00273F36" w:rsidRPr="004C70EC">
        <w:rPr>
          <w:rFonts w:eastAsia="Times New Roman"/>
          <w:noProof/>
          <w:color w:val="000000" w:themeColor="text1"/>
          <w:szCs w:val="24"/>
          <w:lang w:val="en-IE" w:eastAsia="hr-HR" w:bidi="hr-HR"/>
        </w:rPr>
        <w:t xml:space="preserve">6 </w:t>
      </w:r>
      <w:r w:rsidR="00273F36" w:rsidRPr="004C70EC">
        <w:rPr>
          <w:rFonts w:eastAsia="Times New Roman"/>
          <w:noProof/>
          <w:color w:val="000000" w:themeColor="text1"/>
          <w:szCs w:val="24"/>
          <w:lang w:eastAsia="en-GB"/>
        </w:rPr>
        <w:t xml:space="preserve">or </w:t>
      </w:r>
      <w:r w:rsidR="00273F36" w:rsidRPr="004C70EC">
        <w:rPr>
          <w:rFonts w:eastAsia="Times New Roman"/>
          <w:noProof/>
          <w:color w:val="000000" w:themeColor="text1"/>
          <w:szCs w:val="24"/>
          <w:lang w:val="en-IE" w:eastAsia="hr-HR" w:bidi="hr-HR"/>
        </w:rPr>
        <w:t xml:space="preserve">8 and </w:t>
      </w:r>
      <w:r w:rsidR="00273F36" w:rsidRPr="004C70EC">
        <w:rPr>
          <w:rFonts w:eastAsia="Times New Roman"/>
          <w:noProof/>
          <w:color w:val="000000" w:themeColor="text1"/>
          <w:szCs w:val="24"/>
          <w:lang w:eastAsia="en-GB"/>
        </w:rPr>
        <w:t>where that additional Member State concerned has not notified the sponsor of its decision within the extended period, the conclusion on Part I of the assessment report shall be deemed to be the decision of that additional Member State concerned on the application for authorisation of the clinical trial.”</w:t>
      </w:r>
    </w:p>
    <w:p w14:paraId="43AA4403" w14:textId="77777777" w:rsidR="00273F36" w:rsidRPr="004C70EC" w:rsidRDefault="028A4157" w:rsidP="00B23380">
      <w:pPr>
        <w:pStyle w:val="Point2"/>
        <w:rPr>
          <w:rFonts w:eastAsia="Times New Roman"/>
          <w:noProof/>
          <w:color w:val="000000" w:themeColor="text1"/>
          <w:szCs w:val="24"/>
          <w:lang w:eastAsia="en-GB"/>
        </w:rPr>
      </w:pPr>
      <w:r w:rsidRPr="004C70EC">
        <w:rPr>
          <w:rFonts w:eastAsia="Times New Roman"/>
          <w:noProof/>
          <w:color w:val="000000" w:themeColor="text1"/>
          <w:szCs w:val="24"/>
          <w:lang w:val="en-IE" w:eastAsia="en-GB"/>
        </w:rPr>
        <w:t>12.</w:t>
      </w:r>
      <w:r w:rsidR="00B23380" w:rsidRPr="004C70EC">
        <w:rPr>
          <w:rFonts w:eastAsia="Times New Roman"/>
          <w:noProof/>
          <w:color w:val="000000" w:themeColor="text1"/>
          <w:szCs w:val="24"/>
          <w:lang w:val="en-IE" w:eastAsia="en-GB"/>
        </w:rPr>
        <w:tab/>
      </w:r>
      <w:r w:rsidR="2F263E33" w:rsidRPr="004C70EC">
        <w:rPr>
          <w:rFonts w:eastAsia="Times New Roman"/>
          <w:noProof/>
          <w:color w:val="000000" w:themeColor="text1"/>
          <w:szCs w:val="24"/>
          <w:lang w:eastAsia="en-GB"/>
        </w:rPr>
        <w:t>A sponsor shall not submit an application dossier in accordance with this Article where a procedure for a substantial modification of Part I of the assessment report, set out in Chapter III, is pending as regards that clinical trial.</w:t>
      </w:r>
      <w:r w:rsidRPr="004C70EC">
        <w:rPr>
          <w:rFonts w:eastAsia="Times New Roman"/>
          <w:noProof/>
          <w:color w:val="000000" w:themeColor="text1"/>
          <w:szCs w:val="24"/>
          <w:lang w:eastAsia="en-GB"/>
        </w:rPr>
        <w:t>’</w:t>
      </w:r>
    </w:p>
    <w:p w14:paraId="75FFF22A" w14:textId="77777777" w:rsidR="004D3F64" w:rsidRPr="004C70EC" w:rsidRDefault="004D3F64" w:rsidP="0058181D">
      <w:pPr>
        <w:pStyle w:val="Point2"/>
        <w:ind w:left="0" w:firstLine="0"/>
        <w:rPr>
          <w:rFonts w:eastAsia="Times New Roman"/>
          <w:noProof/>
          <w:color w:val="000000" w:themeColor="text1"/>
          <w:szCs w:val="24"/>
          <w:lang w:eastAsia="en-GB"/>
        </w:rPr>
      </w:pPr>
    </w:p>
    <w:p w14:paraId="76FA359B" w14:textId="77777777" w:rsidR="00273F36" w:rsidRPr="004C70EC" w:rsidRDefault="00323C03" w:rsidP="00323C03">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(1</w:t>
      </w:r>
      <w:r w:rsidR="00D14C31" w:rsidRPr="004C70EC">
        <w:rPr>
          <w:rFonts w:eastAsia="Times New Roman"/>
          <w:noProof/>
          <w:color w:val="000000" w:themeColor="text1"/>
          <w:szCs w:val="24"/>
          <w:lang w:eastAsia="en-IE"/>
        </w:rPr>
        <w:t>2</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666FBF" w:rsidRPr="004C70EC">
        <w:rPr>
          <w:rFonts w:eastAsia="Times New Roman"/>
          <w:noProof/>
          <w:color w:val="000000" w:themeColor="text1"/>
          <w:szCs w:val="24"/>
          <w:lang w:eastAsia="en-IE"/>
        </w:rPr>
        <w:t xml:space="preserve">the following </w:t>
      </w:r>
      <w:r w:rsidR="00273F36" w:rsidRPr="004C70EC">
        <w:rPr>
          <w:rFonts w:eastAsia="Times New Roman"/>
          <w:noProof/>
          <w:color w:val="000000" w:themeColor="text1"/>
          <w:szCs w:val="24"/>
          <w:lang w:eastAsia="en-IE"/>
        </w:rPr>
        <w:t xml:space="preserve">Article 14a is </w:t>
      </w:r>
      <w:r w:rsidR="00666FBF" w:rsidRPr="004C70EC">
        <w:rPr>
          <w:rFonts w:eastAsia="Times New Roman"/>
          <w:noProof/>
          <w:color w:val="000000" w:themeColor="text1"/>
          <w:szCs w:val="24"/>
          <w:lang w:eastAsia="en-IE"/>
        </w:rPr>
        <w:t>inserted</w:t>
      </w:r>
      <w:r w:rsidR="00273F36" w:rsidRPr="004C70EC">
        <w:rPr>
          <w:rFonts w:eastAsia="Times New Roman"/>
          <w:noProof/>
          <w:color w:val="000000" w:themeColor="text1"/>
          <w:szCs w:val="24"/>
          <w:lang w:eastAsia="en-IE"/>
        </w:rPr>
        <w:t>:</w:t>
      </w:r>
    </w:p>
    <w:p w14:paraId="77E7815A" w14:textId="77777777" w:rsidR="00273F36" w:rsidRPr="004C70EC" w:rsidRDefault="00666FBF" w:rsidP="00323C03">
      <w:pPr>
        <w:pStyle w:val="Titrearticle"/>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Article 14a</w:t>
      </w:r>
    </w:p>
    <w:p w14:paraId="075A5841" w14:textId="77777777" w:rsidR="00273F36" w:rsidRPr="004C70EC" w:rsidRDefault="00273F36" w:rsidP="00323C03">
      <w:pPr>
        <w:jc w:val="center"/>
        <w:rPr>
          <w:rFonts w:eastAsia="Times New Roman"/>
          <w:i/>
          <w:iCs/>
          <w:noProof/>
          <w:color w:val="000000" w:themeColor="text1"/>
          <w:szCs w:val="24"/>
          <w:lang w:val="en-IE" w:eastAsia="en-GB"/>
        </w:rPr>
      </w:pPr>
      <w:r w:rsidRPr="004C70EC">
        <w:rPr>
          <w:rFonts w:eastAsia="Times New Roman"/>
          <w:i/>
          <w:iCs/>
          <w:noProof/>
          <w:color w:val="000000" w:themeColor="text1"/>
          <w:szCs w:val="24"/>
          <w:lang w:val="en-IE" w:eastAsia="en-GB"/>
        </w:rPr>
        <w:t>Appointment of a new reporting Member State</w:t>
      </w:r>
    </w:p>
    <w:p w14:paraId="2FF86126" w14:textId="77777777" w:rsidR="00273F36" w:rsidRPr="004C70EC" w:rsidRDefault="00323C03" w:rsidP="00323C03">
      <w:pPr>
        <w:pStyle w:val="Point1"/>
        <w:rPr>
          <w:noProof/>
          <w:color w:val="000000" w:themeColor="text1"/>
          <w:szCs w:val="24"/>
          <w:lang w:val="en-IE" w:eastAsia="en-GB"/>
        </w:rPr>
      </w:pPr>
      <w:r w:rsidRPr="004C70EC">
        <w:rPr>
          <w:noProof/>
          <w:color w:val="000000" w:themeColor="text1"/>
          <w:szCs w:val="24"/>
          <w:lang w:val="en-IE" w:eastAsia="en-GB"/>
        </w:rPr>
        <w:t>1.</w:t>
      </w:r>
      <w:r w:rsidRPr="004C70EC">
        <w:rPr>
          <w:noProof/>
          <w:color w:val="000000" w:themeColor="text1"/>
          <w:szCs w:val="24"/>
          <w:lang w:val="en-IE" w:eastAsia="en-GB"/>
        </w:rPr>
        <w:tab/>
      </w:r>
      <w:r w:rsidR="00273F36" w:rsidRPr="004C70EC">
        <w:rPr>
          <w:noProof/>
          <w:color w:val="000000" w:themeColor="text1"/>
          <w:szCs w:val="24"/>
          <w:lang w:val="en-IE" w:eastAsia="en-GB"/>
        </w:rPr>
        <w:t>The reporting Member State may initiate the procedure for an appointment of a new reporting Member State if:</w:t>
      </w:r>
    </w:p>
    <w:p w14:paraId="66B3B6BC" w14:textId="77777777" w:rsidR="00273F36" w:rsidRPr="004C70EC" w:rsidRDefault="00323C03" w:rsidP="00323C03">
      <w:pPr>
        <w:pStyle w:val="Point2"/>
        <w:rPr>
          <w:noProof/>
          <w:color w:val="000000" w:themeColor="text1"/>
          <w:szCs w:val="24"/>
          <w:lang w:val="en-IE" w:eastAsia="en-GB"/>
        </w:rPr>
      </w:pPr>
      <w:r w:rsidRPr="004C70EC">
        <w:rPr>
          <w:noProof/>
          <w:color w:val="000000" w:themeColor="text1"/>
          <w:szCs w:val="24"/>
          <w:lang w:val="en-IE" w:eastAsia="en-GB"/>
        </w:rPr>
        <w:t>(a)</w:t>
      </w:r>
      <w:r w:rsidRPr="004C70EC">
        <w:rPr>
          <w:noProof/>
          <w:color w:val="000000" w:themeColor="text1"/>
          <w:szCs w:val="24"/>
          <w:lang w:val="en-IE" w:eastAsia="en-GB"/>
        </w:rPr>
        <w:tab/>
      </w:r>
      <w:r w:rsidR="00273F36" w:rsidRPr="004C70EC">
        <w:rPr>
          <w:noProof/>
          <w:color w:val="000000" w:themeColor="text1"/>
          <w:szCs w:val="24"/>
          <w:lang w:val="en-IE" w:eastAsia="en-GB"/>
        </w:rPr>
        <w:t>the reporting Member State has notified its decision refusing the authorisation of the clinical trial; or</w:t>
      </w:r>
    </w:p>
    <w:p w14:paraId="17763286" w14:textId="77777777" w:rsidR="00273F36" w:rsidRPr="004C70EC" w:rsidRDefault="00323C03" w:rsidP="00323C03">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the clinical trial is no longer taking place in the reporting Member State.</w:t>
      </w:r>
    </w:p>
    <w:p w14:paraId="2C7D0B8F" w14:textId="77777777" w:rsidR="00273F36" w:rsidRPr="004C70EC" w:rsidRDefault="00323C03" w:rsidP="00323C03">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2.</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The procedure can only be launched after the clinical trial has been authorised in at least one Member State concerned.</w:t>
      </w:r>
    </w:p>
    <w:p w14:paraId="54312E5C" w14:textId="77777777" w:rsidR="00273F36" w:rsidRPr="004C70EC" w:rsidRDefault="00323C03" w:rsidP="00323C03">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3.</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The reporting Member State shall notify the sponsor and other Member States concerned of its intention to cease to be a reporting Member State.</w:t>
      </w:r>
    </w:p>
    <w:p w14:paraId="7DCC6F36" w14:textId="77777777" w:rsidR="00273F36" w:rsidRPr="004C70EC" w:rsidRDefault="00323C03" w:rsidP="00323C03">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4.</w:t>
      </w:r>
      <w:r w:rsidRPr="004C70EC">
        <w:rPr>
          <w:noProof/>
          <w:color w:val="000000" w:themeColor="text1"/>
          <w:szCs w:val="24"/>
        </w:rPr>
        <w:tab/>
      </w:r>
      <w:r w:rsidR="00273F36" w:rsidRPr="004C70EC">
        <w:rPr>
          <w:rFonts w:eastAsia="Times New Roman"/>
          <w:noProof/>
          <w:color w:val="000000" w:themeColor="text1"/>
          <w:szCs w:val="24"/>
          <w:lang w:val="en-IE" w:eastAsia="en-GB"/>
        </w:rPr>
        <w:t>The Member States concerned shall declare their willingness to become new reporting Member State. The selection of new reporting Member State shall follow the rules established Article 5a</w:t>
      </w:r>
      <w:r w:rsidR="37309CBA" w:rsidRPr="004C70EC">
        <w:rPr>
          <w:rFonts w:eastAsia="Times New Roman"/>
          <w:noProof/>
          <w:color w:val="000000" w:themeColor="text1"/>
          <w:szCs w:val="24"/>
          <w:lang w:val="en-IE" w:eastAsia="en-GB"/>
        </w:rPr>
        <w:t xml:space="preserve"> </w:t>
      </w:r>
      <w:r w:rsidR="00666FBF" w:rsidRPr="004C70EC">
        <w:rPr>
          <w:rFonts w:eastAsia="Times New Roman"/>
          <w:noProof/>
          <w:color w:val="000000" w:themeColor="text1"/>
          <w:szCs w:val="24"/>
          <w:lang w:val="en-IE" w:eastAsia="en-GB"/>
        </w:rPr>
        <w:t>(4) and (5)</w:t>
      </w:r>
      <w:r w:rsidR="00273F36" w:rsidRPr="004C70EC">
        <w:rPr>
          <w:rFonts w:eastAsia="Times New Roman"/>
          <w:noProof/>
          <w:color w:val="000000" w:themeColor="text1"/>
          <w:szCs w:val="24"/>
          <w:lang w:val="en-IE" w:eastAsia="en-GB"/>
        </w:rPr>
        <w:t xml:space="preserve">. </w:t>
      </w:r>
    </w:p>
    <w:p w14:paraId="26D36B1F" w14:textId="77777777" w:rsidR="00273F36" w:rsidRPr="004C70EC" w:rsidRDefault="00323C03" w:rsidP="00323C03">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5.</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Following the initiation of the procedure for the appointment of a new reporting Member State, the initial reporting Member State shall continue to carry out its tasks until all of the ongoing assessments and records are completed and the respective final assessment reports are submitted to the EU portal. </w:t>
      </w:r>
    </w:p>
    <w:p w14:paraId="17C14B85" w14:textId="77777777" w:rsidR="00273F36" w:rsidRPr="004C70EC" w:rsidRDefault="00323C03" w:rsidP="00323C03">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eastAsia="en-IE"/>
        </w:rPr>
        <w:t>6.</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 xml:space="preserve">The new reporting Member State shall become responsible for the assessment of any application related to Part I of the assessment report, including an application </w:t>
      </w:r>
      <w:r w:rsidR="00666FBF" w:rsidRPr="004C70EC">
        <w:rPr>
          <w:rFonts w:eastAsia="Times New Roman"/>
          <w:noProof/>
          <w:color w:val="000000" w:themeColor="text1"/>
          <w:szCs w:val="24"/>
          <w:lang w:eastAsia="en-IE"/>
        </w:rPr>
        <w:t xml:space="preserve">based </w:t>
      </w:r>
      <w:r w:rsidR="00273F36" w:rsidRPr="004C70EC">
        <w:rPr>
          <w:rFonts w:eastAsia="Times New Roman"/>
          <w:noProof/>
          <w:color w:val="000000" w:themeColor="text1"/>
          <w:szCs w:val="24"/>
          <w:lang w:eastAsia="en-IE"/>
        </w:rPr>
        <w:t>on Article 14, that has been submitted after it has been notified as the reporting Member State to the sponsor and all Member States concerned by the EU portal.</w:t>
      </w:r>
      <w:r w:rsidR="00666FBF" w:rsidRPr="004C70EC">
        <w:rPr>
          <w:rFonts w:eastAsia="Times New Roman"/>
          <w:noProof/>
          <w:color w:val="000000" w:themeColor="text1"/>
          <w:szCs w:val="24"/>
          <w:lang w:eastAsia="en-IE"/>
        </w:rPr>
        <w:t>’</w:t>
      </w:r>
    </w:p>
    <w:p w14:paraId="6D7AFD30" w14:textId="77777777" w:rsidR="00273F36" w:rsidRPr="004C70EC" w:rsidRDefault="00323C03" w:rsidP="00323C03">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(1</w:t>
      </w:r>
      <w:r w:rsidR="00D14C31" w:rsidRPr="004C70EC">
        <w:rPr>
          <w:rFonts w:eastAsia="Times New Roman"/>
          <w:noProof/>
          <w:color w:val="000000" w:themeColor="text1"/>
          <w:szCs w:val="24"/>
          <w:lang w:eastAsia="en-IE"/>
        </w:rPr>
        <w:t>3</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666FBF" w:rsidRPr="004C70EC">
        <w:rPr>
          <w:rFonts w:eastAsia="Times New Roman"/>
          <w:noProof/>
          <w:color w:val="000000" w:themeColor="text1"/>
          <w:szCs w:val="24"/>
          <w:lang w:eastAsia="en-IE"/>
        </w:rPr>
        <w:t>t</w:t>
      </w:r>
      <w:r w:rsidR="00273F36" w:rsidRPr="004C70EC">
        <w:rPr>
          <w:rFonts w:eastAsia="Times New Roman"/>
          <w:noProof/>
          <w:color w:val="000000" w:themeColor="text1"/>
          <w:szCs w:val="24"/>
          <w:lang w:eastAsia="en-IE"/>
        </w:rPr>
        <w:t xml:space="preserve">he following Chapter </w:t>
      </w:r>
      <w:r w:rsidR="00666FBF" w:rsidRPr="004C70EC">
        <w:rPr>
          <w:rFonts w:eastAsia="Times New Roman"/>
          <w:noProof/>
          <w:color w:val="000000" w:themeColor="text1"/>
          <w:szCs w:val="24"/>
          <w:lang w:eastAsia="en-IE"/>
        </w:rPr>
        <w:t xml:space="preserve">IIa </w:t>
      </w:r>
      <w:r w:rsidR="00273F36" w:rsidRPr="004C70EC">
        <w:rPr>
          <w:rFonts w:eastAsia="Times New Roman"/>
          <w:noProof/>
          <w:color w:val="000000" w:themeColor="text1"/>
          <w:szCs w:val="24"/>
          <w:lang w:eastAsia="en-IE"/>
        </w:rPr>
        <w:t xml:space="preserve">is </w:t>
      </w:r>
      <w:r w:rsidR="00666FBF" w:rsidRPr="004C70EC">
        <w:rPr>
          <w:rFonts w:eastAsia="Times New Roman"/>
          <w:noProof/>
          <w:color w:val="000000" w:themeColor="text1"/>
          <w:szCs w:val="24"/>
          <w:lang w:eastAsia="en-IE"/>
        </w:rPr>
        <w:t>inserted</w:t>
      </w:r>
      <w:r w:rsidR="00273F36" w:rsidRPr="004C70EC">
        <w:rPr>
          <w:rFonts w:eastAsia="Times New Roman"/>
          <w:noProof/>
          <w:color w:val="000000" w:themeColor="text1"/>
          <w:szCs w:val="24"/>
          <w:lang w:eastAsia="en-IE"/>
        </w:rPr>
        <w:t>:</w:t>
      </w:r>
    </w:p>
    <w:p w14:paraId="22500C68" w14:textId="77777777" w:rsidR="00273F36" w:rsidRPr="004C70EC" w:rsidRDefault="00273F36" w:rsidP="00323C03">
      <w:pPr>
        <w:jc w:val="center"/>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‘Chapter IIa</w:t>
      </w:r>
    </w:p>
    <w:p w14:paraId="73F8AFE5" w14:textId="77777777" w:rsidR="00273F36" w:rsidRPr="004C70EC" w:rsidRDefault="00273F36" w:rsidP="00323C03">
      <w:pPr>
        <w:jc w:val="center"/>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SPECIAL AUTHORISATION PROCEDURES</w:t>
      </w:r>
    </w:p>
    <w:p w14:paraId="2680D449" w14:textId="77777777" w:rsidR="00273F36" w:rsidRPr="004C70EC" w:rsidRDefault="00273F36" w:rsidP="00323C03">
      <w:pPr>
        <w:pStyle w:val="Titrearticle"/>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Article 14b</w:t>
      </w:r>
    </w:p>
    <w:p w14:paraId="375CC42B" w14:textId="77777777" w:rsidR="00273F36" w:rsidRPr="004C70EC" w:rsidRDefault="2F263E33" w:rsidP="33CE1D06">
      <w:pPr>
        <w:jc w:val="center"/>
        <w:rPr>
          <w:rFonts w:eastAsia="Times New Roman"/>
          <w:i/>
          <w:iCs/>
          <w:noProof/>
          <w:color w:val="000000" w:themeColor="text1"/>
          <w:szCs w:val="24"/>
          <w:lang w:eastAsia="en-GB"/>
        </w:rPr>
      </w:pPr>
      <w:r w:rsidRPr="004C70EC">
        <w:rPr>
          <w:rFonts w:eastAsia="Times New Roman"/>
          <w:i/>
          <w:iCs/>
          <w:noProof/>
          <w:color w:val="000000" w:themeColor="text1"/>
          <w:szCs w:val="24"/>
          <w:lang w:eastAsia="en-GB"/>
        </w:rPr>
        <w:t>Accelerated procedure for the authorisation of multinational clinical trials in the context of  public health emergenc</w:t>
      </w:r>
      <w:r w:rsidR="03031CE4" w:rsidRPr="004C70EC">
        <w:rPr>
          <w:rFonts w:eastAsia="Times New Roman"/>
          <w:i/>
          <w:iCs/>
          <w:noProof/>
          <w:color w:val="000000" w:themeColor="text1"/>
          <w:szCs w:val="24"/>
          <w:lang w:eastAsia="en-GB"/>
        </w:rPr>
        <w:t>ies</w:t>
      </w:r>
    </w:p>
    <w:p w14:paraId="7CDE82AE" w14:textId="77777777" w:rsidR="00273F36" w:rsidRPr="004C70EC" w:rsidRDefault="5719C5AB" w:rsidP="00323C03">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eastAsia="en-GB"/>
        </w:rPr>
        <w:t>1.</w:t>
      </w:r>
      <w:r w:rsidR="00323C03" w:rsidRPr="004C70EC">
        <w:rPr>
          <w:rFonts w:eastAsia="Times New Roman"/>
          <w:noProof/>
          <w:color w:val="000000" w:themeColor="text1"/>
          <w:szCs w:val="24"/>
          <w:lang w:eastAsia="en-GB"/>
        </w:rPr>
        <w:tab/>
      </w:r>
      <w:r w:rsidR="2F263E33" w:rsidRPr="004C70EC">
        <w:rPr>
          <w:rFonts w:eastAsia="Times New Roman"/>
          <w:noProof/>
          <w:color w:val="000000" w:themeColor="text1"/>
          <w:szCs w:val="24"/>
          <w:lang w:eastAsia="en-GB"/>
        </w:rPr>
        <w:t>During a recognised public health emergency at Union level pursuant to Article 23 of Regulation (EU) 2022/2371</w:t>
      </w:r>
      <w:r w:rsidR="21A99C24" w:rsidRPr="004C70EC">
        <w:rPr>
          <w:rFonts w:eastAsia="Times New Roman"/>
          <w:noProof/>
          <w:color w:val="000000" w:themeColor="text1"/>
          <w:szCs w:val="24"/>
          <w:lang w:eastAsia="en-GB"/>
        </w:rPr>
        <w:t xml:space="preserve"> of the European Parliament and of the Council</w:t>
      </w:r>
      <w:r w:rsidR="2F263E33" w:rsidRPr="004C70EC">
        <w:rPr>
          <w:rFonts w:eastAsia="Times New Roman"/>
          <w:noProof/>
          <w:color w:val="000000" w:themeColor="text1"/>
          <w:szCs w:val="24"/>
          <w:lang w:eastAsia="en-GB"/>
        </w:rPr>
        <w:t xml:space="preserve">, Member States shall apply an accelerated procedure for the authorisation of multinational clinical trials for medicinal products intended for the treatment, prevention or medical diagnosis of the </w:t>
      </w:r>
      <w:bookmarkStart w:id="32" w:name="_Hlk213423555"/>
      <w:r w:rsidR="2F263E33" w:rsidRPr="004C70EC">
        <w:rPr>
          <w:rFonts w:eastAsia="Times New Roman"/>
          <w:noProof/>
          <w:color w:val="000000" w:themeColor="text1"/>
          <w:szCs w:val="24"/>
          <w:lang w:eastAsia="en-GB"/>
        </w:rPr>
        <w:t>disease or condition which are directly related to the public health emergency</w:t>
      </w:r>
      <w:bookmarkEnd w:id="32"/>
      <w:r w:rsidR="2F263E33" w:rsidRPr="004C70EC">
        <w:rPr>
          <w:rFonts w:eastAsia="Times New Roman"/>
          <w:noProof/>
          <w:color w:val="000000" w:themeColor="text1"/>
          <w:szCs w:val="24"/>
          <w:lang w:eastAsia="en-GB"/>
        </w:rPr>
        <w:t>. </w:t>
      </w:r>
    </w:p>
    <w:p w14:paraId="7F483DF9" w14:textId="77777777" w:rsidR="00273F36" w:rsidRPr="004C70EC" w:rsidRDefault="2AB87148" w:rsidP="4CF51068">
      <w:pPr>
        <w:pStyle w:val="Point1"/>
        <w:rPr>
          <w:rFonts w:eastAsia="Times New Roman"/>
          <w:noProof/>
          <w:color w:val="000000" w:themeColor="text1"/>
          <w:lang w:val="en-IE" w:eastAsia="en-GB"/>
        </w:rPr>
      </w:pPr>
      <w:r w:rsidRPr="004C70EC">
        <w:rPr>
          <w:rFonts w:eastAsia="Times New Roman"/>
          <w:noProof/>
          <w:color w:val="000000" w:themeColor="text1"/>
          <w:lang w:eastAsia="en-GB"/>
        </w:rPr>
        <w:t>2.</w:t>
      </w:r>
      <w:r w:rsidR="5719C5AB" w:rsidRPr="004C70EC">
        <w:rPr>
          <w:noProof/>
        </w:rPr>
        <w:tab/>
      </w:r>
      <w:r w:rsidR="212FC6E9" w:rsidRPr="004C70EC">
        <w:rPr>
          <w:rFonts w:eastAsia="Times New Roman"/>
          <w:noProof/>
          <w:color w:val="000000" w:themeColor="text1"/>
          <w:lang w:eastAsia="en-GB"/>
        </w:rPr>
        <w:t xml:space="preserve">To address an </w:t>
      </w:r>
      <w:r w:rsidR="344E2C71" w:rsidRPr="004C70EC">
        <w:rPr>
          <w:rFonts w:eastAsia="Times New Roman"/>
          <w:noProof/>
          <w:color w:val="000000" w:themeColor="text1"/>
          <w:lang w:eastAsia="en-GB"/>
        </w:rPr>
        <w:t xml:space="preserve">emergence or development of a </w:t>
      </w:r>
      <w:r w:rsidR="212FC6E9" w:rsidRPr="004C70EC">
        <w:rPr>
          <w:rFonts w:eastAsia="Times New Roman"/>
          <w:noProof/>
          <w:color w:val="000000" w:themeColor="text1"/>
          <w:lang w:eastAsia="en-GB"/>
        </w:rPr>
        <w:t>serious cross-border threat to health</w:t>
      </w:r>
      <w:r w:rsidR="344E2C71" w:rsidRPr="004C70EC">
        <w:rPr>
          <w:rFonts w:eastAsia="Times New Roman"/>
          <w:noProof/>
          <w:color w:val="000000" w:themeColor="text1"/>
          <w:lang w:eastAsia="en-GB"/>
        </w:rPr>
        <w:t xml:space="preserve"> as defined in Article 3(1) of Regulation 2022/2371</w:t>
      </w:r>
      <w:r w:rsidR="212FC6E9" w:rsidRPr="004C70EC">
        <w:rPr>
          <w:rFonts w:eastAsia="Times New Roman"/>
          <w:noProof/>
          <w:color w:val="000000" w:themeColor="text1"/>
          <w:lang w:eastAsia="en-GB"/>
        </w:rPr>
        <w:t xml:space="preserve"> that is likely to lead to </w:t>
      </w:r>
      <w:r w:rsidR="2D10C2BA" w:rsidRPr="004C70EC">
        <w:rPr>
          <w:rFonts w:eastAsia="Times New Roman"/>
          <w:noProof/>
          <w:color w:val="000000" w:themeColor="text1"/>
          <w:lang w:eastAsia="en-GB"/>
        </w:rPr>
        <w:t>the</w:t>
      </w:r>
      <w:r w:rsidR="212FC6E9" w:rsidRPr="004C70EC">
        <w:rPr>
          <w:rFonts w:eastAsia="Times New Roman"/>
          <w:noProof/>
          <w:color w:val="000000" w:themeColor="text1"/>
          <w:lang w:eastAsia="en-GB"/>
        </w:rPr>
        <w:t xml:space="preserve"> recognition of a public health emergency at Union level</w:t>
      </w:r>
      <w:r w:rsidR="22FE2D96" w:rsidRPr="004C70EC">
        <w:rPr>
          <w:rFonts w:eastAsia="Times New Roman"/>
          <w:noProof/>
          <w:color w:val="000000" w:themeColor="text1"/>
          <w:lang w:eastAsia="en-GB"/>
        </w:rPr>
        <w:t xml:space="preserve"> in accordance with Article 23(1) of Regulation (EU) 2022/2371</w:t>
      </w:r>
      <w:r w:rsidR="07A591D3" w:rsidRPr="004C70EC">
        <w:rPr>
          <w:rFonts w:eastAsia="Times New Roman"/>
          <w:noProof/>
          <w:color w:val="000000" w:themeColor="text1"/>
          <w:lang w:eastAsia="en-GB"/>
        </w:rPr>
        <w:t>,</w:t>
      </w:r>
      <w:r w:rsidR="212FC6E9" w:rsidRPr="004C70EC">
        <w:rPr>
          <w:rFonts w:eastAsia="Times New Roman"/>
          <w:noProof/>
          <w:color w:val="000000" w:themeColor="text1"/>
          <w:lang w:eastAsia="en-GB"/>
        </w:rPr>
        <w:t xml:space="preserve"> Member States shall apply an accelerated procedure for the authorisation of multinational clinical trials</w:t>
      </w:r>
      <w:r w:rsidR="19DC63BF" w:rsidRPr="004C70EC">
        <w:rPr>
          <w:rFonts w:eastAsia="Times New Roman"/>
          <w:noProof/>
          <w:color w:val="000000" w:themeColor="text1"/>
          <w:lang w:eastAsia="en-GB"/>
        </w:rPr>
        <w:t xml:space="preserve"> </w:t>
      </w:r>
      <w:r w:rsidR="654DAEB5" w:rsidRPr="004C70EC">
        <w:rPr>
          <w:rFonts w:eastAsia="Times New Roman"/>
          <w:noProof/>
          <w:color w:val="000000" w:themeColor="text1"/>
          <w:lang w:eastAsia="en-GB"/>
        </w:rPr>
        <w:t xml:space="preserve">when this procedure is declared applicable in accordance with the criteria  </w:t>
      </w:r>
      <w:r w:rsidR="1D9DBB45" w:rsidRPr="002D7694">
        <w:rPr>
          <w:rFonts w:eastAsia="Times New Roman"/>
          <w:noProof/>
          <w:color w:val="000000" w:themeColor="text1"/>
          <w:lang w:eastAsia="en-GB"/>
        </w:rPr>
        <w:t xml:space="preserve">in </w:t>
      </w:r>
      <w:r w:rsidR="5719C5AB" w:rsidRPr="004C70EC" w:rsidDel="19DC63BF">
        <w:rPr>
          <w:rFonts w:eastAsia="Times New Roman"/>
          <w:noProof/>
          <w:color w:val="000000" w:themeColor="text1"/>
          <w:lang w:eastAsia="en-GB"/>
        </w:rPr>
        <w:t xml:space="preserve">paragraph 3 of </w:t>
      </w:r>
      <w:r w:rsidR="19DC63BF" w:rsidRPr="004C70EC">
        <w:rPr>
          <w:rFonts w:eastAsia="Times New Roman"/>
          <w:noProof/>
          <w:color w:val="000000" w:themeColor="text1"/>
          <w:lang w:eastAsia="en-GB"/>
        </w:rPr>
        <w:t>this Article</w:t>
      </w:r>
      <w:r w:rsidR="162EA55E" w:rsidRPr="004C70EC">
        <w:rPr>
          <w:rFonts w:eastAsia="Times New Roman"/>
          <w:noProof/>
          <w:color w:val="000000" w:themeColor="text1"/>
          <w:lang w:eastAsia="en-GB"/>
        </w:rPr>
        <w:t>.</w:t>
      </w:r>
      <w:r w:rsidR="212FC6E9" w:rsidRPr="004C70EC">
        <w:rPr>
          <w:rFonts w:eastAsia="Times New Roman"/>
          <w:noProof/>
          <w:color w:val="000000" w:themeColor="text1"/>
          <w:lang w:eastAsia="en-GB"/>
        </w:rPr>
        <w:t xml:space="preserve"> </w:t>
      </w:r>
      <w:r w:rsidR="4D75E0B9" w:rsidRPr="004C70EC">
        <w:rPr>
          <w:rFonts w:eastAsia="Times New Roman"/>
          <w:noProof/>
          <w:color w:val="000000" w:themeColor="text1"/>
          <w:lang w:eastAsia="en-GB"/>
        </w:rPr>
        <w:t>The application of the accelerated procedure s</w:t>
      </w:r>
      <w:r w:rsidR="7A6E6EAF" w:rsidRPr="004C70EC">
        <w:rPr>
          <w:rFonts w:eastAsia="Times New Roman"/>
          <w:noProof/>
          <w:color w:val="000000" w:themeColor="text1"/>
          <w:lang w:eastAsia="en-GB"/>
        </w:rPr>
        <w:t xml:space="preserve">hall </w:t>
      </w:r>
      <w:r w:rsidR="212FC6E9" w:rsidRPr="004C70EC">
        <w:rPr>
          <w:rFonts w:eastAsia="Times New Roman"/>
          <w:noProof/>
          <w:color w:val="000000" w:themeColor="text1"/>
          <w:lang w:eastAsia="en-GB"/>
        </w:rPr>
        <w:t xml:space="preserve">ensure the availability of  medicinal products in order to prevent or swiftly contain the emerging </w:t>
      </w:r>
      <w:r w:rsidR="5FB25856" w:rsidRPr="004C70EC">
        <w:rPr>
          <w:rFonts w:eastAsia="Times New Roman"/>
          <w:noProof/>
          <w:color w:val="000000" w:themeColor="text1"/>
          <w:lang w:eastAsia="en-GB"/>
        </w:rPr>
        <w:t>serious cross-border</w:t>
      </w:r>
      <w:r w:rsidR="212FC6E9" w:rsidRPr="004C70EC">
        <w:rPr>
          <w:rFonts w:eastAsia="Times New Roman"/>
          <w:noProof/>
          <w:color w:val="000000" w:themeColor="text1"/>
          <w:lang w:eastAsia="en-GB"/>
        </w:rPr>
        <w:t xml:space="preserve"> health threat, to provide  timely treatment options grounded in scientifically robust evidence or to facilitate medical diagnosis of the disease or condition directly related to the specific serious cross-border health threat. </w:t>
      </w:r>
    </w:p>
    <w:p w14:paraId="117E87E6" w14:textId="77777777" w:rsidR="003A76F0" w:rsidRPr="004C70EC" w:rsidRDefault="2AB87148" w:rsidP="4CF51068">
      <w:pPr>
        <w:pStyle w:val="Point1"/>
        <w:rPr>
          <w:rFonts w:eastAsia="Times New Roman"/>
          <w:noProof/>
          <w:color w:val="000000" w:themeColor="text1"/>
          <w:lang w:eastAsia="en-GB"/>
        </w:rPr>
      </w:pPr>
      <w:r w:rsidRPr="004C70EC">
        <w:rPr>
          <w:rFonts w:eastAsia="Times New Roman"/>
          <w:noProof/>
          <w:color w:val="000000" w:themeColor="text1"/>
          <w:lang w:eastAsia="en-GB"/>
        </w:rPr>
        <w:t>3.</w:t>
      </w:r>
      <w:r w:rsidR="5719C5AB" w:rsidRPr="004C70EC">
        <w:rPr>
          <w:noProof/>
        </w:rPr>
        <w:tab/>
      </w:r>
      <w:r w:rsidR="212FC6E9" w:rsidRPr="004C70EC">
        <w:rPr>
          <w:rFonts w:eastAsia="Times New Roman"/>
          <w:noProof/>
          <w:color w:val="000000" w:themeColor="text1"/>
          <w:lang w:eastAsia="en-GB"/>
        </w:rPr>
        <w:t>The Commission shall</w:t>
      </w:r>
      <w:r w:rsidR="77112068" w:rsidRPr="004C70EC">
        <w:rPr>
          <w:rFonts w:eastAsia="Times New Roman"/>
          <w:noProof/>
          <w:color w:val="000000" w:themeColor="text1"/>
          <w:lang w:eastAsia="en-GB"/>
        </w:rPr>
        <w:t>, by means of implementing acts,</w:t>
      </w:r>
      <w:r w:rsidR="212FC6E9" w:rsidRPr="004C70EC">
        <w:rPr>
          <w:rFonts w:eastAsia="Times New Roman"/>
          <w:noProof/>
          <w:color w:val="000000" w:themeColor="text1"/>
          <w:lang w:eastAsia="en-GB"/>
        </w:rPr>
        <w:t xml:space="preserve"> lay down the detailed criteria and </w:t>
      </w:r>
      <w:r w:rsidR="77112068" w:rsidRPr="004C70EC">
        <w:rPr>
          <w:rFonts w:eastAsia="Times New Roman"/>
          <w:noProof/>
          <w:color w:val="000000" w:themeColor="text1"/>
          <w:lang w:eastAsia="en-GB"/>
        </w:rPr>
        <w:t>the</w:t>
      </w:r>
      <w:r w:rsidR="212FC6E9" w:rsidRPr="004C70EC">
        <w:rPr>
          <w:rFonts w:eastAsia="Times New Roman"/>
          <w:noProof/>
          <w:color w:val="000000" w:themeColor="text1"/>
          <w:lang w:eastAsia="en-GB"/>
        </w:rPr>
        <w:t xml:space="preserve"> processes for </w:t>
      </w:r>
      <w:r w:rsidR="5F93BC93" w:rsidRPr="004C70EC">
        <w:rPr>
          <w:rFonts w:eastAsia="Times New Roman"/>
          <w:noProof/>
          <w:color w:val="000000" w:themeColor="text1"/>
          <w:lang w:eastAsia="en-GB"/>
        </w:rPr>
        <w:t>declaring applicability</w:t>
      </w:r>
      <w:r w:rsidR="212FC6E9" w:rsidRPr="004C70EC">
        <w:rPr>
          <w:rFonts w:eastAsia="Times New Roman"/>
          <w:noProof/>
          <w:color w:val="000000" w:themeColor="text1"/>
          <w:lang w:eastAsia="en-GB"/>
        </w:rPr>
        <w:t xml:space="preserve"> of the</w:t>
      </w:r>
      <w:r w:rsidR="199DD030" w:rsidRPr="004C70EC">
        <w:rPr>
          <w:rFonts w:eastAsia="Times New Roman"/>
          <w:noProof/>
          <w:color w:val="000000" w:themeColor="text1"/>
          <w:lang w:eastAsia="en-GB"/>
        </w:rPr>
        <w:t xml:space="preserve"> </w:t>
      </w:r>
      <w:r w:rsidR="212FC6E9" w:rsidRPr="004C70EC">
        <w:rPr>
          <w:rFonts w:eastAsia="Times New Roman"/>
          <w:noProof/>
          <w:color w:val="000000" w:themeColor="text1"/>
          <w:lang w:eastAsia="en-GB"/>
        </w:rPr>
        <w:t xml:space="preserve">accelerated </w:t>
      </w:r>
      <w:r w:rsidR="408B6935" w:rsidRPr="004C70EC">
        <w:rPr>
          <w:rFonts w:eastAsia="Times New Roman"/>
          <w:noProof/>
          <w:color w:val="000000" w:themeColor="text1"/>
          <w:lang w:eastAsia="en-GB"/>
        </w:rPr>
        <w:t xml:space="preserve">authorisation </w:t>
      </w:r>
      <w:r w:rsidR="212FC6E9" w:rsidRPr="004C70EC">
        <w:rPr>
          <w:rFonts w:eastAsia="Times New Roman"/>
          <w:noProof/>
          <w:color w:val="000000" w:themeColor="text1"/>
          <w:lang w:eastAsia="en-GB"/>
        </w:rPr>
        <w:t xml:space="preserve">procedure </w:t>
      </w:r>
      <w:r w:rsidR="103C4ADC" w:rsidRPr="004C70EC">
        <w:rPr>
          <w:rFonts w:eastAsia="Times New Roman"/>
          <w:noProof/>
          <w:color w:val="000000" w:themeColor="text1"/>
          <w:lang w:eastAsia="en-GB"/>
        </w:rPr>
        <w:t>to address an emerg</w:t>
      </w:r>
      <w:r w:rsidR="4F81E93A" w:rsidRPr="004C70EC">
        <w:rPr>
          <w:rFonts w:eastAsia="Times New Roman"/>
          <w:noProof/>
          <w:color w:val="000000" w:themeColor="text1"/>
          <w:lang w:eastAsia="en-GB"/>
        </w:rPr>
        <w:t>ence</w:t>
      </w:r>
      <w:r w:rsidR="103C4ADC" w:rsidRPr="004C70EC">
        <w:rPr>
          <w:rFonts w:eastAsia="Times New Roman"/>
          <w:noProof/>
          <w:color w:val="000000" w:themeColor="text1"/>
          <w:lang w:eastAsia="en-GB"/>
        </w:rPr>
        <w:t xml:space="preserve"> </w:t>
      </w:r>
      <w:r w:rsidR="74E036F4" w:rsidRPr="004C70EC">
        <w:rPr>
          <w:rFonts w:eastAsia="Times New Roman"/>
          <w:noProof/>
          <w:color w:val="000000" w:themeColor="text1"/>
          <w:lang w:eastAsia="en-GB"/>
        </w:rPr>
        <w:t>or develop</w:t>
      </w:r>
      <w:r w:rsidR="175D214B" w:rsidRPr="004C70EC">
        <w:rPr>
          <w:rFonts w:eastAsia="Times New Roman"/>
          <w:noProof/>
          <w:color w:val="000000" w:themeColor="text1"/>
          <w:lang w:eastAsia="en-GB"/>
        </w:rPr>
        <w:t xml:space="preserve">ment of </w:t>
      </w:r>
      <w:r w:rsidR="74E036F4" w:rsidRPr="004C70EC">
        <w:rPr>
          <w:rFonts w:eastAsia="Times New Roman"/>
          <w:noProof/>
          <w:color w:val="000000" w:themeColor="text1"/>
          <w:lang w:eastAsia="en-GB"/>
        </w:rPr>
        <w:t xml:space="preserve"> </w:t>
      </w:r>
      <w:r w:rsidR="103C4ADC" w:rsidRPr="004C70EC">
        <w:rPr>
          <w:rFonts w:eastAsia="Times New Roman"/>
          <w:noProof/>
          <w:color w:val="000000" w:themeColor="text1"/>
          <w:lang w:eastAsia="en-GB"/>
        </w:rPr>
        <w:t>serious cross-border threat to health</w:t>
      </w:r>
      <w:r w:rsidR="70138398" w:rsidRPr="004C70EC">
        <w:rPr>
          <w:rFonts w:eastAsia="Times New Roman"/>
          <w:noProof/>
          <w:color w:val="000000" w:themeColor="text1"/>
          <w:lang w:eastAsia="en-GB"/>
        </w:rPr>
        <w:t xml:space="preserve"> that is likely to lead to the recognition of a public health emergency at Union level in</w:t>
      </w:r>
      <w:r w:rsidR="5B4DC060" w:rsidRPr="004C70EC">
        <w:rPr>
          <w:rFonts w:eastAsia="Times New Roman"/>
          <w:noProof/>
          <w:color w:val="000000" w:themeColor="text1"/>
          <w:lang w:eastAsia="en-GB"/>
        </w:rPr>
        <w:t xml:space="preserve"> </w:t>
      </w:r>
      <w:r w:rsidR="70138398" w:rsidRPr="004C70EC">
        <w:rPr>
          <w:rFonts w:eastAsia="Times New Roman"/>
          <w:noProof/>
          <w:color w:val="000000" w:themeColor="text1"/>
          <w:lang w:eastAsia="en-GB"/>
        </w:rPr>
        <w:t>accordance with Article 23 (1) of Regulation (EU) 2022/2371</w:t>
      </w:r>
      <w:r w:rsidR="103C4ADC" w:rsidRPr="004C70EC">
        <w:rPr>
          <w:rFonts w:eastAsia="Times New Roman"/>
          <w:noProof/>
          <w:color w:val="000000" w:themeColor="text1"/>
          <w:lang w:eastAsia="en-GB"/>
        </w:rPr>
        <w:t xml:space="preserve">, </w:t>
      </w:r>
      <w:r w:rsidR="7A9959FF" w:rsidRPr="004C70EC">
        <w:rPr>
          <w:rFonts w:eastAsia="Times New Roman"/>
          <w:noProof/>
          <w:color w:val="000000" w:themeColor="text1"/>
          <w:lang w:eastAsia="en-GB"/>
        </w:rPr>
        <w:t>.</w:t>
      </w:r>
      <w:r w:rsidR="199DD030" w:rsidRPr="004C70EC">
        <w:rPr>
          <w:rFonts w:eastAsia="Times New Roman"/>
          <w:noProof/>
          <w:color w:val="000000" w:themeColor="text1"/>
          <w:lang w:eastAsia="en-GB"/>
        </w:rPr>
        <w:t xml:space="preserve"> </w:t>
      </w:r>
    </w:p>
    <w:p w14:paraId="3E304192" w14:textId="77777777" w:rsidR="00273F36" w:rsidRPr="004C70EC" w:rsidRDefault="212FC6E9" w:rsidP="4CF51068">
      <w:pPr>
        <w:pStyle w:val="Text2"/>
        <w:rPr>
          <w:noProof/>
          <w:color w:val="000000" w:themeColor="text1"/>
          <w:lang w:eastAsia="en-GB"/>
        </w:rPr>
      </w:pPr>
      <w:r w:rsidRPr="004C70EC">
        <w:rPr>
          <w:noProof/>
          <w:color w:val="000000" w:themeColor="text1"/>
          <w:lang w:eastAsia="en-GB"/>
        </w:rPr>
        <w:t xml:space="preserve">The criteria for </w:t>
      </w:r>
      <w:r w:rsidR="7A9959FF" w:rsidRPr="004C70EC">
        <w:rPr>
          <w:noProof/>
          <w:color w:val="000000" w:themeColor="text1"/>
          <w:lang w:eastAsia="en-GB"/>
        </w:rPr>
        <w:t xml:space="preserve">declaring </w:t>
      </w:r>
      <w:r w:rsidR="199DD030" w:rsidRPr="004C70EC">
        <w:rPr>
          <w:noProof/>
          <w:color w:val="000000" w:themeColor="text1"/>
          <w:lang w:eastAsia="en-GB"/>
        </w:rPr>
        <w:t>a</w:t>
      </w:r>
      <w:r w:rsidR="7A9959FF" w:rsidRPr="004C70EC">
        <w:rPr>
          <w:noProof/>
          <w:color w:val="000000" w:themeColor="text1"/>
          <w:lang w:eastAsia="en-GB"/>
        </w:rPr>
        <w:t>pplicability</w:t>
      </w:r>
      <w:r w:rsidRPr="004C70EC">
        <w:rPr>
          <w:noProof/>
          <w:color w:val="000000" w:themeColor="text1"/>
          <w:lang w:eastAsia="en-GB"/>
        </w:rPr>
        <w:t xml:space="preserve"> of an accelerated authorisation procedure shall at least include the epidemiological situation and its dynamics </w:t>
      </w:r>
      <w:r w:rsidR="35140AD4" w:rsidRPr="004C70EC">
        <w:rPr>
          <w:noProof/>
          <w:color w:val="000000" w:themeColor="text1"/>
          <w:lang w:eastAsia="en-GB"/>
        </w:rPr>
        <w:t xml:space="preserve">as well as </w:t>
      </w:r>
      <w:r w:rsidRPr="004C70EC">
        <w:rPr>
          <w:noProof/>
          <w:color w:val="000000" w:themeColor="text1"/>
          <w:lang w:eastAsia="en-GB"/>
        </w:rPr>
        <w:t>the availability of treatment</w:t>
      </w:r>
      <w:r w:rsidR="7B5CB485" w:rsidRPr="004C70EC">
        <w:rPr>
          <w:noProof/>
          <w:color w:val="000000" w:themeColor="text1"/>
          <w:lang w:eastAsia="en-GB"/>
        </w:rPr>
        <w:t>,</w:t>
      </w:r>
      <w:r w:rsidRPr="004C70EC">
        <w:rPr>
          <w:noProof/>
          <w:color w:val="000000" w:themeColor="text1"/>
          <w:lang w:eastAsia="en-GB"/>
        </w:rPr>
        <w:t xml:space="preserve"> </w:t>
      </w:r>
      <w:r w:rsidR="7B5CB485" w:rsidRPr="004C70EC">
        <w:rPr>
          <w:noProof/>
          <w:color w:val="000000" w:themeColor="text1"/>
          <w:lang w:eastAsia="en-GB"/>
        </w:rPr>
        <w:t>prevention and diagnostics</w:t>
      </w:r>
      <w:r w:rsidRPr="004C70EC">
        <w:rPr>
          <w:noProof/>
          <w:color w:val="000000" w:themeColor="text1"/>
          <w:lang w:eastAsia="en-GB"/>
        </w:rPr>
        <w:t xml:space="preserve"> options addressing the emerging serious cross-border threat to health. The process</w:t>
      </w:r>
      <w:r w:rsidR="402D3AB9" w:rsidRPr="004C70EC">
        <w:rPr>
          <w:noProof/>
          <w:color w:val="000000" w:themeColor="text1"/>
          <w:lang w:eastAsia="en-GB"/>
        </w:rPr>
        <w:t xml:space="preserve"> of declaring applica</w:t>
      </w:r>
      <w:r w:rsidR="66F8832D" w:rsidRPr="004C70EC">
        <w:rPr>
          <w:noProof/>
          <w:color w:val="000000" w:themeColor="text1"/>
          <w:lang w:eastAsia="en-GB"/>
        </w:rPr>
        <w:t>bility</w:t>
      </w:r>
      <w:r w:rsidR="34DA29A6" w:rsidRPr="004C70EC">
        <w:rPr>
          <w:noProof/>
          <w:color w:val="000000" w:themeColor="text1"/>
          <w:lang w:eastAsia="en-GB"/>
        </w:rPr>
        <w:t xml:space="preserve"> </w:t>
      </w:r>
      <w:r w:rsidR="1414BAB9" w:rsidRPr="004C70EC">
        <w:rPr>
          <w:noProof/>
          <w:color w:val="000000" w:themeColor="text1"/>
          <w:lang w:eastAsia="en-GB"/>
        </w:rPr>
        <w:t xml:space="preserve">of </w:t>
      </w:r>
      <w:r w:rsidRPr="004C70EC">
        <w:rPr>
          <w:noProof/>
          <w:color w:val="000000" w:themeColor="text1"/>
          <w:lang w:eastAsia="en-GB"/>
        </w:rPr>
        <w:t xml:space="preserve">the accelerated </w:t>
      </w:r>
      <w:r w:rsidR="688C3915" w:rsidRPr="004C70EC">
        <w:rPr>
          <w:noProof/>
          <w:color w:val="000000" w:themeColor="text1"/>
          <w:lang w:eastAsia="en-GB"/>
        </w:rPr>
        <w:t xml:space="preserve">authorisation </w:t>
      </w:r>
      <w:r w:rsidRPr="004C70EC">
        <w:rPr>
          <w:noProof/>
          <w:color w:val="000000" w:themeColor="text1"/>
          <w:lang w:eastAsia="en-GB"/>
        </w:rPr>
        <w:t xml:space="preserve">procedure shall involve consultations with relevant </w:t>
      </w:r>
      <w:r w:rsidR="318F01ED" w:rsidRPr="004C70EC">
        <w:rPr>
          <w:noProof/>
          <w:color w:val="000000" w:themeColor="text1"/>
          <w:lang w:eastAsia="en-GB"/>
        </w:rPr>
        <w:t xml:space="preserve">Union </w:t>
      </w:r>
      <w:r w:rsidRPr="004C70EC">
        <w:rPr>
          <w:noProof/>
          <w:color w:val="000000" w:themeColor="text1"/>
          <w:lang w:eastAsia="en-GB"/>
        </w:rPr>
        <w:t>agencies</w:t>
      </w:r>
      <w:r w:rsidR="7595E8A4" w:rsidRPr="004C70EC">
        <w:rPr>
          <w:noProof/>
          <w:color w:val="000000" w:themeColor="text1"/>
          <w:lang w:eastAsia="en-GB"/>
        </w:rPr>
        <w:t>, expert groups</w:t>
      </w:r>
      <w:r w:rsidRPr="004C70EC">
        <w:rPr>
          <w:noProof/>
          <w:color w:val="000000" w:themeColor="text1"/>
          <w:lang w:eastAsia="en-GB"/>
        </w:rPr>
        <w:t xml:space="preserve"> and advisory bodies</w:t>
      </w:r>
      <w:r w:rsidR="4ECAEC8B" w:rsidRPr="004C70EC">
        <w:rPr>
          <w:noProof/>
          <w:color w:val="000000" w:themeColor="text1"/>
          <w:lang w:eastAsia="en-GB"/>
        </w:rPr>
        <w:t xml:space="preserve"> in the field of public health and clinical trials</w:t>
      </w:r>
      <w:r w:rsidRPr="004C70EC">
        <w:rPr>
          <w:noProof/>
          <w:color w:val="000000" w:themeColor="text1"/>
          <w:lang w:eastAsia="en-GB"/>
        </w:rPr>
        <w:t>.</w:t>
      </w:r>
    </w:p>
    <w:p w14:paraId="5C504EA9" w14:textId="77777777" w:rsidR="00A04370" w:rsidRPr="004C70EC" w:rsidRDefault="00A04370" w:rsidP="00B23380">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eastAsia="en-GB"/>
        </w:rPr>
        <w:t xml:space="preserve">The implementing acts referred to in the first </w:t>
      </w:r>
      <w:r w:rsidR="00846DD6" w:rsidRPr="004C70EC">
        <w:rPr>
          <w:rFonts w:eastAsia="Times New Roman"/>
          <w:noProof/>
          <w:color w:val="000000" w:themeColor="text1"/>
          <w:szCs w:val="24"/>
          <w:lang w:eastAsia="en-GB"/>
        </w:rPr>
        <w:t>subparagraph</w:t>
      </w:r>
      <w:r w:rsidRPr="004C70EC">
        <w:rPr>
          <w:rFonts w:eastAsia="Times New Roman"/>
          <w:noProof/>
          <w:color w:val="000000" w:themeColor="text1"/>
          <w:szCs w:val="24"/>
          <w:lang w:eastAsia="en-GB"/>
        </w:rPr>
        <w:t xml:space="preserve"> </w:t>
      </w:r>
      <w:r w:rsidR="00846DD6" w:rsidRPr="004C70EC">
        <w:rPr>
          <w:rFonts w:eastAsia="Times New Roman"/>
          <w:noProof/>
          <w:color w:val="000000" w:themeColor="text1"/>
          <w:szCs w:val="24"/>
          <w:lang w:eastAsia="en-GB"/>
        </w:rPr>
        <w:t>shall be adopted in accordance with the examination procedure referred to in Article 88.</w:t>
      </w:r>
    </w:p>
    <w:p w14:paraId="0FE69452" w14:textId="77777777" w:rsidR="00273F36" w:rsidRPr="004C70EC" w:rsidRDefault="5719C5AB" w:rsidP="33CE1D06">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eastAsia="en-GB"/>
        </w:rPr>
        <w:t>4.</w:t>
      </w:r>
      <w:r w:rsidR="00323C03" w:rsidRPr="004C70EC">
        <w:rPr>
          <w:noProof/>
          <w:color w:val="000000" w:themeColor="text1"/>
          <w:szCs w:val="24"/>
        </w:rPr>
        <w:tab/>
      </w:r>
      <w:r w:rsidR="2F263E33" w:rsidRPr="004C70EC">
        <w:rPr>
          <w:rFonts w:eastAsia="Times New Roman"/>
          <w:noProof/>
          <w:color w:val="000000" w:themeColor="text1"/>
          <w:szCs w:val="24"/>
          <w:lang w:eastAsia="en-GB"/>
        </w:rPr>
        <w:t xml:space="preserve">When submitting the application for the clinical trial authorisation during a public health emergency as referred to in paragraph 1 or when the accelerated procedure </w:t>
      </w:r>
      <w:r w:rsidR="758FC28E" w:rsidRPr="004C70EC">
        <w:rPr>
          <w:rFonts w:eastAsia="Times New Roman"/>
          <w:noProof/>
          <w:color w:val="000000" w:themeColor="text1"/>
          <w:szCs w:val="24"/>
          <w:lang w:eastAsia="en-GB"/>
        </w:rPr>
        <w:t xml:space="preserve">referred to in paragraph 2 is </w:t>
      </w:r>
      <w:r w:rsidR="1AE368BA" w:rsidRPr="004C70EC">
        <w:rPr>
          <w:rFonts w:eastAsia="Times New Roman"/>
          <w:noProof/>
          <w:color w:val="000000" w:themeColor="text1"/>
          <w:szCs w:val="24"/>
          <w:lang w:eastAsia="en-GB"/>
        </w:rPr>
        <w:t>declared applicable to address an emerging serious cross-border health threat, pursuant to the procedure referred to in paragraph 3,</w:t>
      </w:r>
      <w:r w:rsidR="2F263E33" w:rsidRPr="004C70EC">
        <w:rPr>
          <w:rFonts w:eastAsia="Times New Roman"/>
          <w:noProof/>
          <w:color w:val="000000" w:themeColor="text1"/>
          <w:szCs w:val="24"/>
          <w:lang w:eastAsia="en-GB"/>
        </w:rPr>
        <w:t xml:space="preserve"> the sponsor shall indicate </w:t>
      </w:r>
      <w:r w:rsidR="33FB2C43" w:rsidRPr="004C70EC">
        <w:rPr>
          <w:rFonts w:eastAsia="Times New Roman"/>
          <w:noProof/>
          <w:color w:val="000000" w:themeColor="text1"/>
          <w:szCs w:val="24"/>
          <w:lang w:eastAsia="en-GB"/>
        </w:rPr>
        <w:t xml:space="preserve">whether </w:t>
      </w:r>
      <w:r w:rsidR="2F263E33" w:rsidRPr="004C70EC">
        <w:rPr>
          <w:rFonts w:eastAsia="Times New Roman"/>
          <w:noProof/>
          <w:color w:val="000000" w:themeColor="text1"/>
          <w:szCs w:val="24"/>
          <w:lang w:eastAsia="en-GB"/>
        </w:rPr>
        <w:t xml:space="preserve">the investigational medicinal products </w:t>
      </w:r>
      <w:r w:rsidR="136C7DE5" w:rsidRPr="004C70EC">
        <w:rPr>
          <w:rFonts w:eastAsia="Times New Roman"/>
          <w:noProof/>
          <w:color w:val="000000" w:themeColor="text1"/>
          <w:szCs w:val="24"/>
          <w:lang w:eastAsia="en-GB"/>
        </w:rPr>
        <w:t xml:space="preserve">are </w:t>
      </w:r>
      <w:r w:rsidR="2F263E33" w:rsidRPr="004C70EC">
        <w:rPr>
          <w:rFonts w:eastAsia="Times New Roman"/>
          <w:noProof/>
          <w:color w:val="000000" w:themeColor="text1"/>
          <w:szCs w:val="24"/>
          <w:lang w:eastAsia="en-GB"/>
        </w:rPr>
        <w:t>intended  for the treatment, prevention o</w:t>
      </w:r>
      <w:r w:rsidR="136C7DE5" w:rsidRPr="004C70EC">
        <w:rPr>
          <w:rFonts w:eastAsia="Times New Roman"/>
          <w:noProof/>
          <w:color w:val="000000" w:themeColor="text1"/>
          <w:szCs w:val="24"/>
          <w:lang w:eastAsia="en-GB"/>
        </w:rPr>
        <w:t>r</w:t>
      </w:r>
      <w:r w:rsidR="2F263E33" w:rsidRPr="004C70EC">
        <w:rPr>
          <w:rFonts w:eastAsia="Times New Roman"/>
          <w:noProof/>
          <w:color w:val="000000" w:themeColor="text1"/>
          <w:szCs w:val="24"/>
          <w:lang w:eastAsia="en-GB"/>
        </w:rPr>
        <w:t xml:space="preserve"> medical diagnosis of a disease or a condition directly related to the specific serious cross-border threat to health. The reporting Member State shall confirm whether the accelerated procedure is applicable to the clinical trial application.</w:t>
      </w:r>
    </w:p>
    <w:p w14:paraId="1BD4C8FC" w14:textId="77777777" w:rsidR="00273F36" w:rsidRPr="004C70EC" w:rsidRDefault="5719C5AB" w:rsidP="00323C03">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eastAsia="en-GB"/>
        </w:rPr>
        <w:t>5.</w:t>
      </w:r>
      <w:r w:rsidR="00323C03" w:rsidRPr="004C70EC">
        <w:rPr>
          <w:noProof/>
          <w:color w:val="000000" w:themeColor="text1"/>
          <w:szCs w:val="24"/>
        </w:rPr>
        <w:tab/>
      </w:r>
      <w:r w:rsidR="2F263E33" w:rsidRPr="004C70EC">
        <w:rPr>
          <w:rFonts w:eastAsia="Times New Roman"/>
          <w:noProof/>
          <w:color w:val="000000" w:themeColor="text1"/>
          <w:szCs w:val="24"/>
          <w:lang w:eastAsia="en-GB"/>
        </w:rPr>
        <w:t xml:space="preserve">The Commission shall adopt delegated acts </w:t>
      </w:r>
      <w:r w:rsidR="584DA169" w:rsidRPr="004C70EC">
        <w:rPr>
          <w:rFonts w:eastAsia="Times New Roman"/>
          <w:noProof/>
          <w:color w:val="000000" w:themeColor="text1"/>
          <w:szCs w:val="24"/>
          <w:lang w:eastAsia="en-GB"/>
        </w:rPr>
        <w:t xml:space="preserve"> in accordance with Article 89 to supplement this Regulation by setting </w:t>
      </w:r>
      <w:r w:rsidR="2F263E33" w:rsidRPr="004C70EC">
        <w:rPr>
          <w:rFonts w:eastAsia="Times New Roman"/>
          <w:noProof/>
          <w:color w:val="000000" w:themeColor="text1"/>
          <w:szCs w:val="24"/>
          <w:lang w:eastAsia="en-GB"/>
        </w:rPr>
        <w:t>out the procedures</w:t>
      </w:r>
      <w:r w:rsidR="7047E039" w:rsidRPr="004C70EC">
        <w:rPr>
          <w:rFonts w:eastAsia="Times New Roman"/>
          <w:noProof/>
          <w:color w:val="000000" w:themeColor="text1"/>
          <w:szCs w:val="24"/>
          <w:lang w:eastAsia="en-GB"/>
        </w:rPr>
        <w:t xml:space="preserve"> </w:t>
      </w:r>
      <w:r w:rsidR="2F263E33" w:rsidRPr="004C70EC">
        <w:rPr>
          <w:rFonts w:eastAsia="Times New Roman"/>
          <w:noProof/>
          <w:color w:val="000000" w:themeColor="text1"/>
          <w:szCs w:val="24"/>
          <w:lang w:eastAsia="en-GB"/>
        </w:rPr>
        <w:t>for an accelerated authorisation of multinational clinical</w:t>
      </w:r>
      <w:r w:rsidR="50D34C74" w:rsidRPr="004C70EC">
        <w:rPr>
          <w:rFonts w:eastAsia="Times New Roman"/>
          <w:noProof/>
          <w:color w:val="000000" w:themeColor="text1"/>
          <w:szCs w:val="24"/>
          <w:lang w:eastAsia="en-GB"/>
        </w:rPr>
        <w:t xml:space="preserve"> trials</w:t>
      </w:r>
      <w:r w:rsidR="6299072C" w:rsidRPr="004C70EC">
        <w:rPr>
          <w:rFonts w:eastAsia="Times New Roman"/>
          <w:noProof/>
          <w:color w:val="000000" w:themeColor="text1"/>
          <w:szCs w:val="24"/>
          <w:lang w:eastAsia="en-GB"/>
        </w:rPr>
        <w:t>, including</w:t>
      </w:r>
      <w:r w:rsidR="17C75B0C" w:rsidRPr="004C70EC">
        <w:rPr>
          <w:rFonts w:eastAsia="Times New Roman"/>
          <w:noProof/>
          <w:color w:val="000000" w:themeColor="text1"/>
          <w:szCs w:val="24"/>
          <w:lang w:eastAsia="en-GB"/>
        </w:rPr>
        <w:t xml:space="preserve"> timelines,</w:t>
      </w:r>
      <w:r w:rsidR="6299072C" w:rsidRPr="004C70EC">
        <w:rPr>
          <w:rFonts w:eastAsia="Times New Roman"/>
          <w:noProof/>
          <w:color w:val="000000" w:themeColor="text1"/>
          <w:szCs w:val="24"/>
          <w:lang w:eastAsia="en-GB"/>
        </w:rPr>
        <w:t xml:space="preserve"> </w:t>
      </w:r>
      <w:r w:rsidR="123DE4D6" w:rsidRPr="004C70EC">
        <w:rPr>
          <w:rFonts w:eastAsia="Times New Roman"/>
          <w:noProof/>
          <w:color w:val="000000" w:themeColor="text1"/>
          <w:szCs w:val="24"/>
          <w:lang w:eastAsia="en-GB"/>
        </w:rPr>
        <w:t xml:space="preserve">criteria for evaluating whether a </w:t>
      </w:r>
      <w:r w:rsidR="43BC76E5" w:rsidRPr="004C70EC">
        <w:rPr>
          <w:rFonts w:eastAsia="Times New Roman"/>
          <w:noProof/>
          <w:color w:val="000000" w:themeColor="text1"/>
          <w:szCs w:val="24"/>
          <w:lang w:eastAsia="en-GB"/>
        </w:rPr>
        <w:t>clinical trial</w:t>
      </w:r>
      <w:r w:rsidR="123DE4D6" w:rsidRPr="004C70EC">
        <w:rPr>
          <w:rFonts w:eastAsia="Times New Roman"/>
          <w:noProof/>
          <w:color w:val="000000" w:themeColor="text1"/>
          <w:szCs w:val="24"/>
          <w:lang w:eastAsia="en-GB"/>
        </w:rPr>
        <w:t xml:space="preserve"> qualifies for an accelerated procedure and</w:t>
      </w:r>
      <w:r w:rsidR="6299072C" w:rsidRPr="004C70EC">
        <w:rPr>
          <w:rFonts w:eastAsia="Times New Roman"/>
          <w:noProof/>
          <w:color w:val="000000" w:themeColor="text1"/>
          <w:szCs w:val="24"/>
          <w:lang w:eastAsia="en-GB"/>
        </w:rPr>
        <w:t xml:space="preserve"> an integrated ethical review,</w:t>
      </w:r>
      <w:r w:rsidR="2F263E33" w:rsidRPr="004C70EC">
        <w:rPr>
          <w:rFonts w:eastAsia="Times New Roman"/>
          <w:noProof/>
          <w:color w:val="000000" w:themeColor="text1"/>
          <w:szCs w:val="24"/>
          <w:lang w:eastAsia="en-GB"/>
        </w:rPr>
        <w:t xml:space="preserve"> and </w:t>
      </w:r>
      <w:r w:rsidR="584DA169" w:rsidRPr="004C70EC">
        <w:rPr>
          <w:rFonts w:eastAsia="Times New Roman"/>
          <w:noProof/>
          <w:color w:val="000000" w:themeColor="text1"/>
          <w:szCs w:val="24"/>
          <w:lang w:eastAsia="en-GB"/>
        </w:rPr>
        <w:t xml:space="preserve">by laying down </w:t>
      </w:r>
      <w:r w:rsidR="2F263E33" w:rsidRPr="004C70EC">
        <w:rPr>
          <w:rFonts w:eastAsia="Times New Roman"/>
          <w:noProof/>
          <w:color w:val="000000" w:themeColor="text1"/>
          <w:szCs w:val="24"/>
          <w:lang w:eastAsia="en-GB"/>
        </w:rPr>
        <w:t xml:space="preserve"> simplified requirements for the application dossier</w:t>
      </w:r>
      <w:r w:rsidR="5CA0CE3C" w:rsidRPr="004C70EC">
        <w:rPr>
          <w:rFonts w:eastAsia="Times New Roman"/>
          <w:noProof/>
          <w:color w:val="000000" w:themeColor="text1"/>
          <w:szCs w:val="24"/>
          <w:lang w:eastAsia="en-GB"/>
        </w:rPr>
        <w:t>.</w:t>
      </w:r>
      <w:r w:rsidR="2F263E33" w:rsidRPr="004C70EC">
        <w:rPr>
          <w:rFonts w:eastAsia="Times New Roman"/>
          <w:noProof/>
          <w:color w:val="000000" w:themeColor="text1"/>
          <w:szCs w:val="24"/>
          <w:lang w:eastAsia="en-GB"/>
        </w:rPr>
        <w:t> </w:t>
      </w:r>
    </w:p>
    <w:p w14:paraId="4D2F320E" w14:textId="77777777" w:rsidR="00273F36" w:rsidRPr="004C70EC" w:rsidRDefault="00273F36" w:rsidP="00323C03">
      <w:pPr>
        <w:pStyle w:val="Titrearticle"/>
        <w:rPr>
          <w:noProof/>
          <w:color w:val="000000" w:themeColor="text1"/>
          <w:szCs w:val="24"/>
          <w:lang w:val="en-IE"/>
        </w:rPr>
      </w:pPr>
      <w:r w:rsidRPr="004C70EC">
        <w:rPr>
          <w:noProof/>
          <w:color w:val="000000" w:themeColor="text1"/>
          <w:szCs w:val="24"/>
          <w:lang w:val="en-IE"/>
        </w:rPr>
        <w:t>Article 14c</w:t>
      </w:r>
    </w:p>
    <w:p w14:paraId="26A01A01" w14:textId="77777777" w:rsidR="00273F36" w:rsidRPr="004C70EC" w:rsidRDefault="00273F36" w:rsidP="00323C03">
      <w:pPr>
        <w:jc w:val="center"/>
        <w:rPr>
          <w:i/>
          <w:iCs/>
          <w:noProof/>
          <w:color w:val="000000" w:themeColor="text1"/>
          <w:szCs w:val="24"/>
          <w:lang w:val="en-IE"/>
        </w:rPr>
      </w:pPr>
      <w:r w:rsidRPr="004C70EC">
        <w:rPr>
          <w:i/>
          <w:iCs/>
          <w:noProof/>
          <w:color w:val="000000" w:themeColor="text1"/>
          <w:szCs w:val="24"/>
          <w:lang w:val="en-IE"/>
        </w:rPr>
        <w:t>Combined studies</w:t>
      </w:r>
    </w:p>
    <w:p w14:paraId="671266D0" w14:textId="77777777" w:rsidR="00273F36" w:rsidRPr="004C70EC" w:rsidRDefault="00323C03" w:rsidP="00323C03">
      <w:pPr>
        <w:pStyle w:val="Point1"/>
        <w:rPr>
          <w:noProof/>
          <w:color w:val="000000" w:themeColor="text1"/>
          <w:szCs w:val="24"/>
          <w:lang w:eastAsia="en-IE"/>
        </w:rPr>
      </w:pPr>
      <w:r w:rsidRPr="004C70EC">
        <w:rPr>
          <w:noProof/>
          <w:color w:val="000000" w:themeColor="text1"/>
          <w:szCs w:val="24"/>
          <w:lang w:eastAsia="en-IE"/>
        </w:rPr>
        <w:t>1.</w:t>
      </w:r>
      <w:r w:rsidRPr="004C70EC">
        <w:rPr>
          <w:noProof/>
          <w:color w:val="000000" w:themeColor="text1"/>
          <w:szCs w:val="24"/>
          <w:lang w:eastAsia="en-IE"/>
        </w:rPr>
        <w:tab/>
      </w:r>
      <w:r w:rsidR="00484B0E" w:rsidRPr="004C70EC">
        <w:rPr>
          <w:noProof/>
          <w:color w:val="000000" w:themeColor="text1"/>
          <w:szCs w:val="24"/>
          <w:lang w:eastAsia="en-IE"/>
        </w:rPr>
        <w:t xml:space="preserve">This Article </w:t>
      </w:r>
      <w:r w:rsidR="000D0478" w:rsidRPr="004C70EC">
        <w:rPr>
          <w:noProof/>
          <w:color w:val="000000" w:themeColor="text1"/>
          <w:szCs w:val="24"/>
          <w:lang w:eastAsia="en-IE"/>
        </w:rPr>
        <w:t>applies to</w:t>
      </w:r>
      <w:r w:rsidR="00484B0E" w:rsidRPr="004C70EC">
        <w:rPr>
          <w:noProof/>
          <w:color w:val="000000" w:themeColor="text1"/>
          <w:szCs w:val="24"/>
          <w:lang w:eastAsia="en-IE"/>
        </w:rPr>
        <w:t xml:space="preserve"> </w:t>
      </w:r>
      <w:r w:rsidR="00273F36" w:rsidRPr="004C70EC">
        <w:rPr>
          <w:noProof/>
          <w:color w:val="000000" w:themeColor="text1"/>
          <w:szCs w:val="24"/>
          <w:lang w:eastAsia="en-IE"/>
        </w:rPr>
        <w:t>combined stud</w:t>
      </w:r>
      <w:r w:rsidR="000D0478" w:rsidRPr="004C70EC">
        <w:rPr>
          <w:noProof/>
          <w:color w:val="000000" w:themeColor="text1"/>
          <w:szCs w:val="24"/>
          <w:lang w:eastAsia="en-IE"/>
        </w:rPr>
        <w:t>ies</w:t>
      </w:r>
      <w:r w:rsidR="00273F36" w:rsidRPr="004C70EC">
        <w:rPr>
          <w:noProof/>
          <w:color w:val="000000" w:themeColor="text1"/>
          <w:szCs w:val="24"/>
          <w:lang w:eastAsia="en-IE"/>
        </w:rPr>
        <w:t xml:space="preserve"> in which a clinical trial is combined with a performance study of an </w:t>
      </w:r>
      <w:r w:rsidR="00273F36" w:rsidRPr="004C70EC">
        <w:rPr>
          <w:i/>
          <w:iCs/>
          <w:noProof/>
          <w:color w:val="000000" w:themeColor="text1"/>
          <w:szCs w:val="24"/>
          <w:lang w:eastAsia="en-IE"/>
        </w:rPr>
        <w:t>in vitro</w:t>
      </w:r>
      <w:r w:rsidR="00273F36" w:rsidRPr="004C70EC">
        <w:rPr>
          <w:noProof/>
          <w:color w:val="000000" w:themeColor="text1"/>
          <w:szCs w:val="24"/>
          <w:lang w:eastAsia="en-IE"/>
        </w:rPr>
        <w:t xml:space="preserve"> diagnostic medical device that is subject to authorisation pursuant to Article 58(1) of </w:t>
      </w:r>
      <w:bookmarkStart w:id="33" w:name="_Hlk214365993"/>
      <w:r w:rsidR="00273F36" w:rsidRPr="004C70EC">
        <w:rPr>
          <w:noProof/>
          <w:color w:val="000000" w:themeColor="text1"/>
          <w:szCs w:val="24"/>
          <w:lang w:eastAsia="en-IE"/>
        </w:rPr>
        <w:t>Regulation (EU) 2017/746</w:t>
      </w:r>
      <w:bookmarkEnd w:id="33"/>
      <w:r w:rsidR="00273F36" w:rsidRPr="004C70EC">
        <w:rPr>
          <w:noProof/>
          <w:color w:val="000000" w:themeColor="text1"/>
          <w:szCs w:val="24"/>
          <w:lang w:eastAsia="en-IE"/>
        </w:rPr>
        <w:t xml:space="preserve">, or </w:t>
      </w:r>
      <w:r w:rsidR="00484B0E" w:rsidRPr="004C70EC">
        <w:rPr>
          <w:noProof/>
          <w:color w:val="000000" w:themeColor="text1"/>
          <w:szCs w:val="24"/>
          <w:lang w:eastAsia="en-IE"/>
        </w:rPr>
        <w:t xml:space="preserve">is combined </w:t>
      </w:r>
      <w:r w:rsidR="00273F36" w:rsidRPr="004C70EC">
        <w:rPr>
          <w:noProof/>
          <w:color w:val="000000" w:themeColor="text1"/>
          <w:szCs w:val="24"/>
          <w:lang w:eastAsia="en-IE"/>
        </w:rPr>
        <w:t>with a clinical investigation of a medical device that is subject to authorisation according to Article 62 of Regulation (EU) 2017/745.</w:t>
      </w:r>
    </w:p>
    <w:p w14:paraId="47FF1A38" w14:textId="77777777" w:rsidR="00DC304A" w:rsidRPr="004C70EC" w:rsidRDefault="5719C5AB" w:rsidP="33CE1D06">
      <w:pPr>
        <w:pStyle w:val="Point1"/>
        <w:rPr>
          <w:noProof/>
          <w:color w:val="000000" w:themeColor="text1"/>
          <w:szCs w:val="24"/>
          <w:lang w:eastAsia="en-IE"/>
        </w:rPr>
      </w:pPr>
      <w:r w:rsidRPr="004C70EC">
        <w:rPr>
          <w:noProof/>
          <w:color w:val="000000" w:themeColor="text1"/>
          <w:szCs w:val="24"/>
          <w:lang w:eastAsia="en-IE"/>
        </w:rPr>
        <w:t>2.</w:t>
      </w:r>
      <w:r w:rsidR="00323C03" w:rsidRPr="004C70EC">
        <w:rPr>
          <w:noProof/>
          <w:color w:val="000000" w:themeColor="text1"/>
          <w:szCs w:val="24"/>
        </w:rPr>
        <w:tab/>
      </w:r>
      <w:r w:rsidR="2F263E33" w:rsidRPr="004C70EC">
        <w:rPr>
          <w:noProof/>
          <w:color w:val="000000" w:themeColor="text1"/>
          <w:szCs w:val="24"/>
          <w:lang w:eastAsia="en-IE"/>
        </w:rPr>
        <w:t xml:space="preserve">By way of derogation from Article 5, the sponsor of a combined study referred to in paragraph 1, </w:t>
      </w:r>
      <w:r w:rsidR="0D51F1BF" w:rsidRPr="004C70EC">
        <w:rPr>
          <w:noProof/>
          <w:color w:val="000000" w:themeColor="text1"/>
          <w:szCs w:val="24"/>
          <w:lang w:eastAsia="en-IE"/>
        </w:rPr>
        <w:t xml:space="preserve">which is </w:t>
      </w:r>
      <w:r w:rsidR="2F263E33" w:rsidRPr="004C70EC">
        <w:rPr>
          <w:noProof/>
          <w:color w:val="000000" w:themeColor="text1"/>
          <w:szCs w:val="24"/>
          <w:lang w:eastAsia="en-IE"/>
        </w:rPr>
        <w:t xml:space="preserve">to be conducted in one or more Member States, may submit a single application for authorisation. </w:t>
      </w:r>
    </w:p>
    <w:p w14:paraId="209DBC53" w14:textId="77777777" w:rsidR="00273F36" w:rsidRPr="004C70EC" w:rsidRDefault="002F67A7" w:rsidP="00323C03">
      <w:pPr>
        <w:pStyle w:val="Point1"/>
        <w:rPr>
          <w:noProof/>
          <w:color w:val="000000" w:themeColor="text1"/>
          <w:szCs w:val="24"/>
          <w:lang w:eastAsia="en-IE"/>
        </w:rPr>
      </w:pPr>
      <w:r w:rsidRPr="004C70EC">
        <w:rPr>
          <w:noProof/>
          <w:color w:val="000000" w:themeColor="text1"/>
          <w:szCs w:val="24"/>
          <w:lang w:eastAsia="en-IE"/>
        </w:rPr>
        <w:t>3.</w:t>
      </w:r>
      <w:r w:rsidRPr="004C70EC">
        <w:rPr>
          <w:noProof/>
          <w:color w:val="000000" w:themeColor="text1"/>
          <w:szCs w:val="24"/>
        </w:rPr>
        <w:tab/>
      </w:r>
      <w:r w:rsidR="00273F36" w:rsidRPr="004C70EC">
        <w:rPr>
          <w:noProof/>
          <w:color w:val="000000" w:themeColor="text1"/>
          <w:szCs w:val="24"/>
          <w:lang w:eastAsia="en-IE"/>
        </w:rPr>
        <w:t xml:space="preserve">The </w:t>
      </w:r>
      <w:r w:rsidRPr="004C70EC">
        <w:rPr>
          <w:noProof/>
          <w:color w:val="000000" w:themeColor="text1"/>
          <w:szCs w:val="24"/>
          <w:lang w:eastAsia="en-IE"/>
        </w:rPr>
        <w:t xml:space="preserve">single </w:t>
      </w:r>
      <w:r w:rsidR="00273F36" w:rsidRPr="004C70EC">
        <w:rPr>
          <w:noProof/>
          <w:color w:val="000000" w:themeColor="text1"/>
          <w:szCs w:val="24"/>
          <w:lang w:eastAsia="en-IE"/>
        </w:rPr>
        <w:t>application</w:t>
      </w:r>
      <w:r w:rsidRPr="004C70EC">
        <w:rPr>
          <w:noProof/>
          <w:color w:val="000000" w:themeColor="text1"/>
          <w:szCs w:val="24"/>
          <w:lang w:eastAsia="en-IE"/>
        </w:rPr>
        <w:t xml:space="preserve"> referred to in paragraph 2</w:t>
      </w:r>
      <w:r w:rsidR="00273F36" w:rsidRPr="004C70EC">
        <w:rPr>
          <w:noProof/>
          <w:color w:val="000000" w:themeColor="text1"/>
          <w:szCs w:val="24"/>
          <w:lang w:eastAsia="en-IE"/>
        </w:rPr>
        <w:t xml:space="preserve"> shall be submitted electronically</w:t>
      </w:r>
      <w:r w:rsidR="093F194A" w:rsidRPr="004C70EC">
        <w:rPr>
          <w:noProof/>
          <w:color w:val="000000" w:themeColor="text1"/>
          <w:szCs w:val="24"/>
          <w:lang w:eastAsia="en-IE"/>
        </w:rPr>
        <w:t xml:space="preserve"> through the EU Portal </w:t>
      </w:r>
      <w:r w:rsidR="00273F36" w:rsidRPr="004C70EC">
        <w:rPr>
          <w:noProof/>
          <w:color w:val="000000" w:themeColor="text1"/>
          <w:szCs w:val="24"/>
          <w:lang w:eastAsia="en-IE"/>
        </w:rPr>
        <w:t>to all Member States in which the combined study is to be conducted (‘Member States concerned’).</w:t>
      </w:r>
      <w:r w:rsidR="00ED02EE" w:rsidRPr="004C70EC">
        <w:rPr>
          <w:noProof/>
          <w:color w:val="000000" w:themeColor="text1"/>
          <w:szCs w:val="24"/>
          <w:lang w:eastAsia="en-IE"/>
        </w:rPr>
        <w:t xml:space="preserve"> Where a combined study has more than one sponsor, the sponsors shall designate one coordinating sponsor.</w:t>
      </w:r>
    </w:p>
    <w:p w14:paraId="5E4E77CB" w14:textId="77777777" w:rsidR="00273F36" w:rsidRPr="004C70EC" w:rsidRDefault="001829B3" w:rsidP="00323C03">
      <w:pPr>
        <w:pStyle w:val="Point1"/>
        <w:rPr>
          <w:noProof/>
          <w:color w:val="000000" w:themeColor="text1"/>
          <w:szCs w:val="24"/>
          <w:lang w:eastAsia="en-IE"/>
        </w:rPr>
      </w:pPr>
      <w:r w:rsidRPr="004C70EC">
        <w:rPr>
          <w:noProof/>
          <w:color w:val="000000" w:themeColor="text1"/>
          <w:szCs w:val="24"/>
          <w:lang w:eastAsia="en-IE"/>
        </w:rPr>
        <w:t>4</w:t>
      </w:r>
      <w:r w:rsidR="00323C03" w:rsidRPr="004C70EC">
        <w:rPr>
          <w:noProof/>
          <w:color w:val="000000" w:themeColor="text1"/>
          <w:szCs w:val="24"/>
          <w:lang w:eastAsia="en-IE"/>
        </w:rPr>
        <w:t>.</w:t>
      </w:r>
      <w:r w:rsidR="00323C03" w:rsidRPr="004C70EC">
        <w:rPr>
          <w:noProof/>
          <w:color w:val="000000" w:themeColor="text1"/>
          <w:szCs w:val="24"/>
          <w:lang w:eastAsia="en-IE"/>
        </w:rPr>
        <w:tab/>
      </w:r>
      <w:r w:rsidR="00273F36" w:rsidRPr="004C70EC">
        <w:rPr>
          <w:noProof/>
          <w:color w:val="000000" w:themeColor="text1"/>
          <w:szCs w:val="24"/>
          <w:lang w:eastAsia="en-IE"/>
        </w:rPr>
        <w:t>The Member States concerned shall assess the single application by means of a coordinated assessment procedure under the direction of a reporting Member State chosen from among the Member States concerned. If a combined study involves only one Member State, that Member State shall be the reporting Member State.</w:t>
      </w:r>
    </w:p>
    <w:p w14:paraId="03569711" w14:textId="77777777" w:rsidR="00273F36" w:rsidRPr="004C70EC" w:rsidRDefault="001829B3" w:rsidP="00323C03">
      <w:pPr>
        <w:pStyle w:val="Point1"/>
        <w:rPr>
          <w:noProof/>
          <w:color w:val="000000" w:themeColor="text1"/>
          <w:szCs w:val="24"/>
          <w:lang w:eastAsia="en-IE"/>
        </w:rPr>
      </w:pPr>
      <w:r w:rsidRPr="004C70EC">
        <w:rPr>
          <w:noProof/>
          <w:color w:val="000000" w:themeColor="text1"/>
          <w:szCs w:val="24"/>
          <w:lang w:eastAsia="en-IE"/>
        </w:rPr>
        <w:t>5</w:t>
      </w:r>
      <w:r w:rsidR="00323C03" w:rsidRPr="004C70EC">
        <w:rPr>
          <w:noProof/>
          <w:color w:val="000000" w:themeColor="text1"/>
          <w:szCs w:val="24"/>
          <w:lang w:eastAsia="en-IE"/>
        </w:rPr>
        <w:t>.</w:t>
      </w:r>
      <w:r w:rsidR="00323C03" w:rsidRPr="004C70EC">
        <w:rPr>
          <w:noProof/>
          <w:color w:val="000000" w:themeColor="text1"/>
          <w:szCs w:val="24"/>
          <w:lang w:eastAsia="en-IE"/>
        </w:rPr>
        <w:tab/>
      </w:r>
      <w:r w:rsidR="00273F36" w:rsidRPr="004C70EC">
        <w:rPr>
          <w:noProof/>
          <w:color w:val="000000" w:themeColor="text1"/>
          <w:szCs w:val="24"/>
          <w:lang w:eastAsia="en-IE"/>
        </w:rPr>
        <w:t>The coordinated assessment procedure shall include the assessment by the competent authorities and review by ethics committees. During the assessment procedure, the Member States concerned may only raise considerations related to</w:t>
      </w:r>
      <w:r w:rsidR="0004382E" w:rsidRPr="004C70EC">
        <w:rPr>
          <w:noProof/>
          <w:color w:val="000000" w:themeColor="text1"/>
          <w:szCs w:val="24"/>
          <w:lang w:eastAsia="en-IE"/>
        </w:rPr>
        <w:t xml:space="preserve"> the following</w:t>
      </w:r>
      <w:r w:rsidR="00273F36" w:rsidRPr="004C70EC">
        <w:rPr>
          <w:noProof/>
          <w:color w:val="000000" w:themeColor="text1"/>
          <w:szCs w:val="24"/>
          <w:lang w:eastAsia="en-IE"/>
        </w:rPr>
        <w:t xml:space="preserve">: </w:t>
      </w:r>
    </w:p>
    <w:p w14:paraId="2BEE255E" w14:textId="77777777" w:rsidR="00273F36" w:rsidRPr="004C70EC" w:rsidRDefault="00323C03" w:rsidP="00323C03">
      <w:pPr>
        <w:pStyle w:val="Point2"/>
        <w:rPr>
          <w:noProof/>
          <w:color w:val="000000" w:themeColor="text1"/>
          <w:szCs w:val="24"/>
          <w:lang w:val="en-IE" w:eastAsia="en-GB"/>
        </w:rPr>
      </w:pPr>
      <w:r w:rsidRPr="004C70EC">
        <w:rPr>
          <w:noProof/>
          <w:color w:val="000000" w:themeColor="text1"/>
          <w:szCs w:val="24"/>
          <w:lang w:eastAsia="en-IE"/>
        </w:rPr>
        <w:t>(a)</w:t>
      </w:r>
      <w:r w:rsidRPr="004C70EC">
        <w:rPr>
          <w:noProof/>
          <w:color w:val="000000" w:themeColor="text1"/>
          <w:szCs w:val="24"/>
          <w:lang w:eastAsia="en-IE"/>
        </w:rPr>
        <w:tab/>
      </w:r>
      <w:r w:rsidR="00273F36" w:rsidRPr="004C70EC">
        <w:rPr>
          <w:noProof/>
          <w:color w:val="000000" w:themeColor="text1"/>
          <w:szCs w:val="24"/>
          <w:lang w:eastAsia="en-IE"/>
        </w:rPr>
        <w:t>the grounds referred to in Article 14a(5)</w:t>
      </w:r>
      <w:r w:rsidR="00707D8E" w:rsidRPr="004C70EC">
        <w:rPr>
          <w:noProof/>
          <w:color w:val="000000" w:themeColor="text1"/>
          <w:szCs w:val="24"/>
          <w:lang w:eastAsia="en-IE"/>
        </w:rPr>
        <w:t xml:space="preserve"> of this Regulation</w:t>
      </w:r>
      <w:r w:rsidR="00273F36" w:rsidRPr="004C70EC">
        <w:rPr>
          <w:noProof/>
          <w:color w:val="000000" w:themeColor="text1"/>
          <w:szCs w:val="24"/>
          <w:lang w:eastAsia="en-IE"/>
        </w:rPr>
        <w:t>, Article 78(8) of Regulation (EU) 2017/746 or Article 74(8) of Regulation (EU) 2017/745</w:t>
      </w:r>
      <w:r w:rsidR="00707D8E" w:rsidRPr="004C70EC">
        <w:rPr>
          <w:noProof/>
          <w:color w:val="000000" w:themeColor="text1"/>
          <w:szCs w:val="24"/>
          <w:lang w:eastAsia="en-IE"/>
        </w:rPr>
        <w:t>; or</w:t>
      </w:r>
      <w:r w:rsidR="00273F36" w:rsidRPr="004C70EC">
        <w:rPr>
          <w:noProof/>
          <w:color w:val="000000" w:themeColor="text1"/>
          <w:szCs w:val="24"/>
          <w:lang w:eastAsia="en-IE"/>
        </w:rPr>
        <w:t xml:space="preserve"> </w:t>
      </w:r>
    </w:p>
    <w:p w14:paraId="6A1C57D8" w14:textId="77777777" w:rsidR="00273F36" w:rsidRPr="004C70EC" w:rsidRDefault="00323C03" w:rsidP="00323C03">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eastAsia="en-IE"/>
        </w:rPr>
        <w:t>(b)</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issues that would lead to ethics committee of the Member State concerned</w:t>
      </w:r>
      <w:r w:rsidR="007611CF" w:rsidRPr="004C70EC">
        <w:rPr>
          <w:rFonts w:eastAsia="Times New Roman"/>
          <w:noProof/>
          <w:color w:val="000000" w:themeColor="text1"/>
          <w:szCs w:val="24"/>
          <w:lang w:eastAsia="en-IE"/>
        </w:rPr>
        <w:t xml:space="preserve"> issuing a negative opinion</w:t>
      </w:r>
      <w:r w:rsidR="00273F36" w:rsidRPr="004C70EC">
        <w:rPr>
          <w:rFonts w:eastAsia="Times New Roman"/>
          <w:noProof/>
          <w:color w:val="000000" w:themeColor="text1"/>
          <w:szCs w:val="24"/>
          <w:lang w:eastAsia="en-IE"/>
        </w:rPr>
        <w:t>.</w:t>
      </w:r>
    </w:p>
    <w:p w14:paraId="5C62EB5C" w14:textId="77777777" w:rsidR="00273F36" w:rsidRPr="004C70EC" w:rsidRDefault="001829B3" w:rsidP="00323C03">
      <w:pPr>
        <w:pStyle w:val="Point1"/>
        <w:rPr>
          <w:noProof/>
          <w:color w:val="000000" w:themeColor="text1"/>
          <w:szCs w:val="24"/>
          <w:lang w:eastAsia="en-IE"/>
        </w:rPr>
      </w:pPr>
      <w:r w:rsidRPr="004C70EC">
        <w:rPr>
          <w:noProof/>
          <w:color w:val="000000" w:themeColor="text1"/>
          <w:szCs w:val="24"/>
          <w:lang w:eastAsia="en-IE"/>
        </w:rPr>
        <w:t>6</w:t>
      </w:r>
      <w:r w:rsidR="00323C03" w:rsidRPr="004C70EC">
        <w:rPr>
          <w:noProof/>
          <w:color w:val="000000" w:themeColor="text1"/>
          <w:szCs w:val="24"/>
          <w:lang w:eastAsia="en-IE"/>
        </w:rPr>
        <w:t>.</w:t>
      </w:r>
      <w:r w:rsidR="00323C03" w:rsidRPr="004C70EC">
        <w:rPr>
          <w:noProof/>
          <w:color w:val="000000" w:themeColor="text1"/>
          <w:szCs w:val="24"/>
          <w:lang w:eastAsia="en-IE"/>
        </w:rPr>
        <w:tab/>
      </w:r>
      <w:r w:rsidR="00273F36" w:rsidRPr="004C70EC">
        <w:rPr>
          <w:noProof/>
          <w:color w:val="000000" w:themeColor="text1"/>
          <w:szCs w:val="24"/>
          <w:lang w:eastAsia="en-IE"/>
        </w:rPr>
        <w:t>Where the conclusion of the reporting Member State as regards the area of coordinated assessment is that the conduct of the combined study is acceptable, or acceptable subject to compliance with specific conditions, that conclusion shall be deemed to be the conclusion of all Member States concerned. </w:t>
      </w:r>
    </w:p>
    <w:p w14:paraId="59EC05DB" w14:textId="77777777" w:rsidR="00273F36" w:rsidRPr="004C70EC" w:rsidRDefault="00273F36" w:rsidP="00323C03">
      <w:pPr>
        <w:pStyle w:val="Text2"/>
        <w:rPr>
          <w:noProof/>
          <w:color w:val="000000" w:themeColor="text1"/>
          <w:szCs w:val="24"/>
          <w:lang w:eastAsia="en-IE"/>
        </w:rPr>
      </w:pPr>
      <w:r w:rsidRPr="004C70EC">
        <w:rPr>
          <w:noProof/>
          <w:color w:val="000000" w:themeColor="text1"/>
          <w:szCs w:val="24"/>
          <w:lang w:eastAsia="en-IE"/>
        </w:rPr>
        <w:t>Notwithstanding the first subparagraph</w:t>
      </w:r>
      <w:r w:rsidR="007611CF" w:rsidRPr="004C70EC">
        <w:rPr>
          <w:noProof/>
          <w:color w:val="000000" w:themeColor="text1"/>
          <w:szCs w:val="24"/>
          <w:lang w:eastAsia="en-IE"/>
        </w:rPr>
        <w:t xml:space="preserve"> of this paragraph</w:t>
      </w:r>
      <w:r w:rsidRPr="004C70EC">
        <w:rPr>
          <w:noProof/>
          <w:color w:val="000000" w:themeColor="text1"/>
          <w:szCs w:val="24"/>
          <w:lang w:eastAsia="en-IE"/>
        </w:rPr>
        <w:t xml:space="preserve">, a Member State concerned may disagree with the conclusion of the reporting Member State concerning the area of coordinated assessment </w:t>
      </w:r>
      <w:r w:rsidR="007611CF" w:rsidRPr="004C70EC">
        <w:rPr>
          <w:noProof/>
          <w:color w:val="000000" w:themeColor="text1"/>
          <w:szCs w:val="24"/>
          <w:lang w:eastAsia="en-IE"/>
        </w:rPr>
        <w:t>but</w:t>
      </w:r>
      <w:r w:rsidRPr="004C70EC">
        <w:rPr>
          <w:noProof/>
          <w:color w:val="000000" w:themeColor="text1"/>
          <w:szCs w:val="24"/>
          <w:lang w:eastAsia="en-IE"/>
        </w:rPr>
        <w:t xml:space="preserve"> only on</w:t>
      </w:r>
      <w:r w:rsidR="004909A2" w:rsidRPr="004C70EC">
        <w:rPr>
          <w:noProof/>
          <w:color w:val="000000" w:themeColor="text1"/>
          <w:szCs w:val="24"/>
          <w:lang w:eastAsia="en-IE"/>
        </w:rPr>
        <w:t xml:space="preserve"> one of</w:t>
      </w:r>
      <w:r w:rsidRPr="004C70EC">
        <w:rPr>
          <w:noProof/>
          <w:color w:val="000000" w:themeColor="text1"/>
          <w:szCs w:val="24"/>
          <w:lang w:eastAsia="en-IE"/>
        </w:rPr>
        <w:t xml:space="preserve"> the following grounds, provided that the corresponding consideration was raised during the assessment process and the Member State concerned has substantiated comments that were not sufficiently addressed:</w:t>
      </w:r>
    </w:p>
    <w:p w14:paraId="4EA98FCE" w14:textId="77777777" w:rsidR="00273F36" w:rsidRPr="004C70EC" w:rsidRDefault="00926D87" w:rsidP="00926D87">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(a)</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participation in the combined study would lead to a subject receiving an inferior treatment than in normal clinical practice in the Member State concerned; </w:t>
      </w:r>
    </w:p>
    <w:p w14:paraId="59FEA53B" w14:textId="77777777" w:rsidR="00273F36" w:rsidRPr="004C70EC" w:rsidRDefault="00926D87" w:rsidP="00926D87">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(b)</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infringement of its national law;</w:t>
      </w:r>
    </w:p>
    <w:p w14:paraId="1915A8A5" w14:textId="77777777" w:rsidR="00273F36" w:rsidRPr="004C70EC" w:rsidRDefault="00926D87" w:rsidP="00926D87">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(c)</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with regard to the assessment of the medical device or in vitro medical device, grounds referred to in Article 78(8) of Regulation 2017/746 or Article 74(8) of Regulation (EU) 2017/745, respectively</w:t>
      </w:r>
    </w:p>
    <w:p w14:paraId="6EF37E1B" w14:textId="77777777" w:rsidR="00273F36" w:rsidRPr="004C70EC" w:rsidRDefault="001829B3" w:rsidP="00926D87">
      <w:pPr>
        <w:pStyle w:val="Point1"/>
        <w:rPr>
          <w:noProof/>
          <w:color w:val="000000" w:themeColor="text1"/>
          <w:szCs w:val="24"/>
          <w:lang w:eastAsia="en-IE"/>
        </w:rPr>
      </w:pPr>
      <w:r w:rsidRPr="004C70EC">
        <w:rPr>
          <w:noProof/>
          <w:color w:val="000000" w:themeColor="text1"/>
          <w:szCs w:val="24"/>
          <w:lang w:eastAsia="en-IE"/>
        </w:rPr>
        <w:t>7</w:t>
      </w:r>
      <w:r w:rsidR="00926D87" w:rsidRPr="004C70EC">
        <w:rPr>
          <w:noProof/>
          <w:color w:val="000000" w:themeColor="text1"/>
          <w:szCs w:val="24"/>
          <w:lang w:eastAsia="en-IE"/>
        </w:rPr>
        <w:t>.</w:t>
      </w:r>
      <w:r w:rsidR="00926D87" w:rsidRPr="004C70EC">
        <w:rPr>
          <w:noProof/>
          <w:color w:val="000000" w:themeColor="text1"/>
          <w:szCs w:val="24"/>
        </w:rPr>
        <w:tab/>
      </w:r>
      <w:r w:rsidR="00273F36" w:rsidRPr="004C70EC">
        <w:rPr>
          <w:noProof/>
          <w:color w:val="000000" w:themeColor="text1"/>
          <w:szCs w:val="24"/>
          <w:lang w:eastAsia="en-IE"/>
        </w:rPr>
        <w:t xml:space="preserve">Where a Member State concerned disagrees with the conclusion on the basis of paragraph 5, it shall communicate its disagreement, together with a detailed justification, through the </w:t>
      </w:r>
      <w:r w:rsidR="1D99A7AA" w:rsidRPr="004C70EC">
        <w:rPr>
          <w:noProof/>
          <w:color w:val="000000" w:themeColor="text1"/>
          <w:szCs w:val="24"/>
          <w:lang w:eastAsia="en-IE"/>
        </w:rPr>
        <w:t>EU Portal</w:t>
      </w:r>
      <w:r w:rsidR="00273F36" w:rsidRPr="004C70EC">
        <w:rPr>
          <w:noProof/>
          <w:color w:val="000000" w:themeColor="text1"/>
          <w:szCs w:val="24"/>
          <w:lang w:eastAsia="en-IE"/>
        </w:rPr>
        <w:t xml:space="preserve">, to the Commission, to all other Member States concerned, and to the </w:t>
      </w:r>
      <w:r w:rsidR="00B14A80" w:rsidRPr="004C70EC">
        <w:rPr>
          <w:noProof/>
          <w:color w:val="000000" w:themeColor="text1"/>
          <w:szCs w:val="24"/>
          <w:lang w:eastAsia="en-IE"/>
        </w:rPr>
        <w:t xml:space="preserve">coordinating </w:t>
      </w:r>
      <w:r w:rsidR="00273F36" w:rsidRPr="004C70EC">
        <w:rPr>
          <w:noProof/>
          <w:color w:val="000000" w:themeColor="text1"/>
          <w:szCs w:val="24"/>
          <w:lang w:eastAsia="en-IE"/>
        </w:rPr>
        <w:t>sponsor</w:t>
      </w:r>
      <w:r w:rsidR="00B14A80" w:rsidRPr="004C70EC">
        <w:rPr>
          <w:noProof/>
          <w:color w:val="000000" w:themeColor="text1"/>
          <w:szCs w:val="24"/>
          <w:lang w:eastAsia="en-IE"/>
        </w:rPr>
        <w:t xml:space="preserve"> referred to in paragraph 2</w:t>
      </w:r>
      <w:r w:rsidR="00273F36" w:rsidRPr="004C70EC">
        <w:rPr>
          <w:noProof/>
          <w:color w:val="000000" w:themeColor="text1"/>
          <w:szCs w:val="24"/>
          <w:lang w:eastAsia="en-IE"/>
        </w:rPr>
        <w:t>. </w:t>
      </w:r>
    </w:p>
    <w:p w14:paraId="0E39CC8B" w14:textId="77777777" w:rsidR="00273F36" w:rsidRPr="004C70EC" w:rsidRDefault="001829B3" w:rsidP="00926D87">
      <w:pPr>
        <w:pStyle w:val="Point1"/>
        <w:rPr>
          <w:noProof/>
          <w:color w:val="000000" w:themeColor="text1"/>
          <w:szCs w:val="24"/>
          <w:lang w:eastAsia="en-IE"/>
        </w:rPr>
      </w:pPr>
      <w:r w:rsidRPr="004C70EC">
        <w:rPr>
          <w:noProof/>
          <w:color w:val="000000" w:themeColor="text1"/>
          <w:szCs w:val="24"/>
          <w:lang w:eastAsia="en-IE"/>
        </w:rPr>
        <w:t>8</w:t>
      </w:r>
      <w:r w:rsidR="00926D87" w:rsidRPr="004C70EC">
        <w:rPr>
          <w:noProof/>
          <w:color w:val="000000" w:themeColor="text1"/>
          <w:szCs w:val="24"/>
          <w:lang w:eastAsia="en-IE"/>
        </w:rPr>
        <w:t>.</w:t>
      </w:r>
      <w:r w:rsidR="00926D87" w:rsidRPr="004C70EC">
        <w:rPr>
          <w:noProof/>
          <w:color w:val="000000" w:themeColor="text1"/>
          <w:szCs w:val="24"/>
          <w:lang w:eastAsia="en-IE"/>
        </w:rPr>
        <w:tab/>
      </w:r>
      <w:r w:rsidR="00273F36" w:rsidRPr="004C70EC">
        <w:rPr>
          <w:noProof/>
          <w:color w:val="000000" w:themeColor="text1"/>
          <w:szCs w:val="24"/>
          <w:lang w:eastAsia="en-IE"/>
        </w:rPr>
        <w:t xml:space="preserve">Each Member State concerned shall issue a single decision as to whether the combined study is authorised, whether it is authorised subject to conditions, or whether authorisation is refused and shall notify the </w:t>
      </w:r>
      <w:r w:rsidR="00B14A80" w:rsidRPr="004C70EC">
        <w:rPr>
          <w:noProof/>
          <w:color w:val="000000" w:themeColor="text1"/>
          <w:szCs w:val="24"/>
          <w:lang w:eastAsia="en-IE"/>
        </w:rPr>
        <w:t>coordinating</w:t>
      </w:r>
      <w:r w:rsidR="00273F36" w:rsidRPr="004C70EC">
        <w:rPr>
          <w:noProof/>
          <w:color w:val="000000" w:themeColor="text1"/>
          <w:szCs w:val="24"/>
          <w:lang w:eastAsia="en-IE"/>
        </w:rPr>
        <w:t xml:space="preserve"> sponsor</w:t>
      </w:r>
      <w:r w:rsidR="00B14A80" w:rsidRPr="004C70EC">
        <w:rPr>
          <w:noProof/>
          <w:color w:val="000000" w:themeColor="text1"/>
          <w:szCs w:val="24"/>
          <w:lang w:eastAsia="en-IE"/>
        </w:rPr>
        <w:t xml:space="preserve"> referred to in paragraph 2</w:t>
      </w:r>
      <w:r w:rsidR="00273F36" w:rsidRPr="004C70EC">
        <w:rPr>
          <w:noProof/>
          <w:color w:val="000000" w:themeColor="text1"/>
          <w:szCs w:val="24"/>
          <w:lang w:eastAsia="en-IE"/>
        </w:rPr>
        <w:t>. </w:t>
      </w:r>
    </w:p>
    <w:p w14:paraId="5A68B85A" w14:textId="77777777" w:rsidR="007A61B1" w:rsidRPr="004C70EC" w:rsidRDefault="001829B3" w:rsidP="00926D87">
      <w:pPr>
        <w:pStyle w:val="Point1"/>
        <w:rPr>
          <w:noProof/>
          <w:color w:val="000000" w:themeColor="text1"/>
          <w:szCs w:val="24"/>
          <w:lang w:eastAsia="en-IE"/>
        </w:rPr>
      </w:pPr>
      <w:r w:rsidRPr="004C70EC">
        <w:rPr>
          <w:noProof/>
          <w:color w:val="000000" w:themeColor="text1"/>
          <w:szCs w:val="24"/>
          <w:lang w:eastAsia="en-IE"/>
        </w:rPr>
        <w:t>9</w:t>
      </w:r>
      <w:r w:rsidR="00926D87" w:rsidRPr="004C70EC">
        <w:rPr>
          <w:noProof/>
          <w:color w:val="000000" w:themeColor="text1"/>
          <w:szCs w:val="24"/>
          <w:lang w:eastAsia="en-IE"/>
        </w:rPr>
        <w:t>.</w:t>
      </w:r>
      <w:r w:rsidR="00926D87" w:rsidRPr="004C70EC">
        <w:rPr>
          <w:noProof/>
          <w:color w:val="000000" w:themeColor="text1"/>
          <w:szCs w:val="24"/>
        </w:rPr>
        <w:tab/>
      </w:r>
      <w:r w:rsidR="00273F36" w:rsidRPr="004C70EC">
        <w:rPr>
          <w:noProof/>
          <w:color w:val="000000" w:themeColor="text1"/>
          <w:szCs w:val="24"/>
          <w:lang w:eastAsia="en-IE"/>
        </w:rPr>
        <w:t>The Commission shall, by means of a delegated act in accordance with Article 89, amend or supplement</w:t>
      </w:r>
      <w:r w:rsidR="790CB4C4" w:rsidRPr="004C70EC">
        <w:rPr>
          <w:noProof/>
          <w:color w:val="000000" w:themeColor="text1"/>
          <w:szCs w:val="24"/>
          <w:lang w:eastAsia="en-IE"/>
        </w:rPr>
        <w:t>,</w:t>
      </w:r>
      <w:r w:rsidR="00273F36" w:rsidRPr="004C70EC">
        <w:rPr>
          <w:noProof/>
          <w:color w:val="000000" w:themeColor="text1"/>
          <w:szCs w:val="24"/>
          <w:lang w:eastAsia="en-IE"/>
        </w:rPr>
        <w:t xml:space="preserve"> </w:t>
      </w:r>
      <w:r w:rsidR="790CB4C4" w:rsidRPr="004C70EC">
        <w:rPr>
          <w:noProof/>
          <w:color w:val="000000" w:themeColor="text1"/>
          <w:szCs w:val="24"/>
          <w:lang w:eastAsia="en-IE"/>
        </w:rPr>
        <w:t>as necessary,</w:t>
      </w:r>
      <w:r w:rsidR="00273F36" w:rsidRPr="004C70EC">
        <w:rPr>
          <w:noProof/>
          <w:color w:val="000000" w:themeColor="text1"/>
          <w:szCs w:val="24"/>
          <w:lang w:eastAsia="en-IE"/>
        </w:rPr>
        <w:t xml:space="preserve"> the provisions of </w:t>
      </w:r>
      <w:r w:rsidR="00ED00A9" w:rsidRPr="004C70EC">
        <w:rPr>
          <w:noProof/>
          <w:color w:val="000000" w:themeColor="text1"/>
          <w:szCs w:val="24"/>
          <w:lang w:eastAsia="en-IE"/>
        </w:rPr>
        <w:t>C</w:t>
      </w:r>
      <w:r w:rsidR="00273F36" w:rsidRPr="004C70EC">
        <w:rPr>
          <w:noProof/>
          <w:color w:val="000000" w:themeColor="text1"/>
          <w:szCs w:val="24"/>
          <w:lang w:eastAsia="en-IE"/>
        </w:rPr>
        <w:t>hapters II to V, VII, XIII, XIV</w:t>
      </w:r>
      <w:r w:rsidR="00ED00A9" w:rsidRPr="004C70EC">
        <w:rPr>
          <w:noProof/>
          <w:color w:val="000000" w:themeColor="text1"/>
          <w:szCs w:val="24"/>
          <w:lang w:eastAsia="en-IE"/>
        </w:rPr>
        <w:t xml:space="preserve"> and</w:t>
      </w:r>
      <w:r w:rsidR="00273F36" w:rsidRPr="004C70EC">
        <w:rPr>
          <w:noProof/>
          <w:color w:val="000000" w:themeColor="text1"/>
          <w:szCs w:val="24"/>
          <w:lang w:eastAsia="en-IE"/>
        </w:rPr>
        <w:t xml:space="preserve"> XVI</w:t>
      </w:r>
      <w:r w:rsidR="00ED00A9" w:rsidRPr="004C70EC">
        <w:rPr>
          <w:noProof/>
          <w:color w:val="000000" w:themeColor="text1"/>
          <w:szCs w:val="24"/>
          <w:lang w:eastAsia="en-IE"/>
        </w:rPr>
        <w:t xml:space="preserve"> and</w:t>
      </w:r>
      <w:r w:rsidR="00273F36" w:rsidRPr="004C70EC">
        <w:rPr>
          <w:noProof/>
          <w:color w:val="000000" w:themeColor="text1"/>
          <w:szCs w:val="24"/>
          <w:lang w:eastAsia="en-IE"/>
        </w:rPr>
        <w:t xml:space="preserve"> Articles 71 and 72 of this Regulation </w:t>
      </w:r>
      <w:r w:rsidR="691A1FD8" w:rsidRPr="004C70EC">
        <w:rPr>
          <w:noProof/>
          <w:color w:val="000000" w:themeColor="text1"/>
          <w:szCs w:val="24"/>
          <w:lang w:eastAsia="en-IE"/>
        </w:rPr>
        <w:t>in order</w:t>
      </w:r>
      <w:r w:rsidR="007A61B1" w:rsidRPr="004C70EC">
        <w:rPr>
          <w:noProof/>
          <w:color w:val="000000" w:themeColor="text1"/>
          <w:szCs w:val="24"/>
          <w:lang w:eastAsia="en-IE"/>
        </w:rPr>
        <w:t xml:space="preserve"> to:</w:t>
      </w:r>
    </w:p>
    <w:p w14:paraId="7E7535F3" w14:textId="77777777" w:rsidR="007A61B1" w:rsidRPr="004C70EC" w:rsidRDefault="00411391" w:rsidP="0058181D">
      <w:pPr>
        <w:pStyle w:val="Point2"/>
        <w:rPr>
          <w:noProof/>
          <w:color w:val="000000" w:themeColor="text1"/>
          <w:szCs w:val="24"/>
          <w:lang w:eastAsia="en-IE"/>
        </w:rPr>
      </w:pPr>
      <w:r w:rsidRPr="004C70EC">
        <w:rPr>
          <w:noProof/>
          <w:color w:val="000000" w:themeColor="text1"/>
          <w:szCs w:val="24"/>
          <w:lang w:eastAsia="en-IE"/>
        </w:rPr>
        <w:t>(a)</w:t>
      </w:r>
      <w:r w:rsidR="00E45235" w:rsidRPr="004C70EC">
        <w:rPr>
          <w:noProof/>
          <w:color w:val="000000" w:themeColor="text1"/>
          <w:szCs w:val="24"/>
          <w:lang w:eastAsia="en-IE"/>
        </w:rPr>
        <w:tab/>
      </w:r>
      <w:r w:rsidR="007A61B1" w:rsidRPr="004C70EC">
        <w:rPr>
          <w:noProof/>
          <w:color w:val="000000" w:themeColor="text1"/>
          <w:szCs w:val="24"/>
          <w:lang w:eastAsia="en-IE"/>
        </w:rPr>
        <w:t>enable</w:t>
      </w:r>
      <w:r w:rsidR="00AD6856" w:rsidRPr="004C70EC">
        <w:rPr>
          <w:noProof/>
          <w:color w:val="000000" w:themeColor="text1"/>
          <w:szCs w:val="24"/>
          <w:lang w:eastAsia="en-IE"/>
        </w:rPr>
        <w:t xml:space="preserve"> a streamlined procedure for</w:t>
      </w:r>
      <w:r w:rsidRPr="004C70EC">
        <w:rPr>
          <w:noProof/>
          <w:color w:val="000000" w:themeColor="text1"/>
          <w:szCs w:val="24"/>
          <w:lang w:eastAsia="en-IE"/>
        </w:rPr>
        <w:t xml:space="preserve"> an authorisation</w:t>
      </w:r>
      <w:r w:rsidR="00E20EF2" w:rsidRPr="004C70EC">
        <w:rPr>
          <w:noProof/>
          <w:color w:val="000000" w:themeColor="text1"/>
          <w:szCs w:val="24"/>
          <w:lang w:eastAsia="en-IE"/>
        </w:rPr>
        <w:t xml:space="preserve"> of combined studies</w:t>
      </w:r>
      <w:r w:rsidRPr="004C70EC">
        <w:rPr>
          <w:noProof/>
          <w:color w:val="000000" w:themeColor="text1"/>
          <w:szCs w:val="24"/>
          <w:lang w:eastAsia="en-IE"/>
        </w:rPr>
        <w:t xml:space="preserve">, including the coordinated </w:t>
      </w:r>
      <w:r w:rsidR="00E20EF2" w:rsidRPr="004C70EC">
        <w:rPr>
          <w:noProof/>
          <w:color w:val="000000" w:themeColor="text1"/>
          <w:szCs w:val="24"/>
          <w:lang w:eastAsia="en-IE"/>
        </w:rPr>
        <w:t>assessment</w:t>
      </w:r>
      <w:r w:rsidR="78F870D7" w:rsidRPr="004C70EC">
        <w:rPr>
          <w:noProof/>
          <w:color w:val="000000" w:themeColor="text1"/>
          <w:szCs w:val="24"/>
          <w:lang w:eastAsia="en-IE"/>
        </w:rPr>
        <w:t xml:space="preserve"> of initial applications</w:t>
      </w:r>
      <w:r w:rsidR="00E20EF2" w:rsidRPr="004C70EC">
        <w:rPr>
          <w:noProof/>
          <w:color w:val="000000" w:themeColor="text1"/>
          <w:szCs w:val="24"/>
          <w:lang w:eastAsia="en-IE"/>
        </w:rPr>
        <w:t xml:space="preserve">, coordinated assessment of </w:t>
      </w:r>
      <w:r w:rsidR="00AD6856" w:rsidRPr="004C70EC">
        <w:rPr>
          <w:noProof/>
          <w:color w:val="000000" w:themeColor="text1"/>
          <w:szCs w:val="24"/>
          <w:lang w:eastAsia="en-IE"/>
        </w:rPr>
        <w:t>the request for substantial modifications and additions of Member State concern</w:t>
      </w:r>
      <w:r w:rsidR="1B17F2B2" w:rsidRPr="004C70EC">
        <w:rPr>
          <w:noProof/>
          <w:color w:val="000000" w:themeColor="text1"/>
          <w:szCs w:val="24"/>
          <w:lang w:eastAsia="en-IE"/>
        </w:rPr>
        <w:t>ed</w:t>
      </w:r>
      <w:r w:rsidR="00AD6856" w:rsidRPr="004C70EC">
        <w:rPr>
          <w:noProof/>
          <w:color w:val="000000" w:themeColor="text1"/>
          <w:szCs w:val="24"/>
          <w:lang w:eastAsia="en-IE"/>
        </w:rPr>
        <w:t>;</w:t>
      </w:r>
    </w:p>
    <w:p w14:paraId="71A3A2A3" w14:textId="77777777" w:rsidR="00411391" w:rsidRPr="004C70EC" w:rsidRDefault="00AD6856" w:rsidP="0058181D">
      <w:pPr>
        <w:pStyle w:val="Point2"/>
        <w:rPr>
          <w:noProof/>
          <w:color w:val="000000" w:themeColor="text1"/>
          <w:szCs w:val="24"/>
          <w:lang w:eastAsia="en-IE"/>
        </w:rPr>
      </w:pPr>
      <w:r w:rsidRPr="004C70EC">
        <w:rPr>
          <w:noProof/>
          <w:color w:val="000000" w:themeColor="text1"/>
          <w:szCs w:val="24"/>
          <w:lang w:eastAsia="en-IE"/>
        </w:rPr>
        <w:t>(b)</w:t>
      </w:r>
      <w:r w:rsidR="00E45235" w:rsidRPr="004C70EC">
        <w:rPr>
          <w:noProof/>
          <w:color w:val="000000" w:themeColor="text1"/>
          <w:szCs w:val="24"/>
          <w:lang w:eastAsia="en-IE"/>
        </w:rPr>
        <w:tab/>
      </w:r>
      <w:r w:rsidRPr="004C70EC">
        <w:rPr>
          <w:noProof/>
          <w:color w:val="000000" w:themeColor="text1"/>
          <w:szCs w:val="24"/>
          <w:lang w:eastAsia="en-IE"/>
        </w:rPr>
        <w:t xml:space="preserve">set the requirements applicable during the conduct of the combined studies, including as regards </w:t>
      </w:r>
      <w:r w:rsidR="7B3F88F1" w:rsidRPr="004C70EC">
        <w:rPr>
          <w:noProof/>
          <w:color w:val="000000" w:themeColor="text1"/>
          <w:szCs w:val="24"/>
          <w:lang w:eastAsia="en-IE"/>
        </w:rPr>
        <w:t xml:space="preserve">to </w:t>
      </w:r>
      <w:r w:rsidRPr="004C70EC">
        <w:rPr>
          <w:noProof/>
          <w:color w:val="000000" w:themeColor="text1"/>
          <w:szCs w:val="24"/>
          <w:lang w:eastAsia="en-IE"/>
        </w:rPr>
        <w:t>the specific safety reporting requirements;</w:t>
      </w:r>
    </w:p>
    <w:p w14:paraId="2DA32EB1" w14:textId="77777777" w:rsidR="00AD6856" w:rsidRPr="004C70EC" w:rsidRDefault="00AD6856" w:rsidP="00B23380">
      <w:pPr>
        <w:pStyle w:val="Point2"/>
        <w:rPr>
          <w:noProof/>
          <w:color w:val="000000" w:themeColor="text1"/>
          <w:szCs w:val="24"/>
          <w:lang w:eastAsia="en-IE"/>
        </w:rPr>
      </w:pPr>
      <w:r w:rsidRPr="004C70EC">
        <w:rPr>
          <w:noProof/>
          <w:color w:val="000000" w:themeColor="text1"/>
          <w:szCs w:val="24"/>
          <w:lang w:eastAsia="en-IE"/>
        </w:rPr>
        <w:t>(</w:t>
      </w:r>
      <w:r w:rsidR="006E6B00" w:rsidRPr="004C70EC">
        <w:rPr>
          <w:noProof/>
          <w:color w:val="000000" w:themeColor="text1"/>
          <w:szCs w:val="24"/>
          <w:lang w:eastAsia="en-IE"/>
        </w:rPr>
        <w:t>a</w:t>
      </w:r>
      <w:r w:rsidRPr="004C70EC">
        <w:rPr>
          <w:noProof/>
          <w:color w:val="000000" w:themeColor="text1"/>
          <w:szCs w:val="24"/>
          <w:lang w:eastAsia="en-IE"/>
        </w:rPr>
        <w:t>)</w:t>
      </w:r>
      <w:r w:rsidR="00B23380" w:rsidRPr="004C70EC">
        <w:rPr>
          <w:noProof/>
          <w:color w:val="000000" w:themeColor="text1"/>
          <w:szCs w:val="24"/>
          <w:lang w:eastAsia="en-IE"/>
        </w:rPr>
        <w:tab/>
      </w:r>
      <w:r w:rsidRPr="004C70EC">
        <w:rPr>
          <w:noProof/>
          <w:color w:val="000000" w:themeColor="text1"/>
          <w:szCs w:val="24"/>
          <w:lang w:eastAsia="en-IE"/>
        </w:rPr>
        <w:t>clarify the responsibilities of the combined studies’ sponsors and investigators;</w:t>
      </w:r>
    </w:p>
    <w:p w14:paraId="6843104B" w14:textId="77777777" w:rsidR="00AD6856" w:rsidRPr="004C70EC" w:rsidRDefault="00AD6856" w:rsidP="00B23380">
      <w:pPr>
        <w:pStyle w:val="Point2"/>
        <w:rPr>
          <w:noProof/>
          <w:color w:val="000000" w:themeColor="text1"/>
          <w:szCs w:val="24"/>
          <w:lang w:eastAsia="en-IE"/>
        </w:rPr>
      </w:pPr>
      <w:r w:rsidRPr="004C70EC">
        <w:rPr>
          <w:noProof/>
          <w:color w:val="000000" w:themeColor="text1"/>
          <w:szCs w:val="24"/>
          <w:lang w:eastAsia="en-IE"/>
        </w:rPr>
        <w:t>(</w:t>
      </w:r>
      <w:r w:rsidR="006E6B00" w:rsidRPr="004C70EC">
        <w:rPr>
          <w:noProof/>
          <w:color w:val="000000" w:themeColor="text1"/>
          <w:szCs w:val="24"/>
          <w:lang w:eastAsia="en-IE"/>
        </w:rPr>
        <w:t>b</w:t>
      </w:r>
      <w:r w:rsidRPr="004C70EC">
        <w:rPr>
          <w:noProof/>
          <w:color w:val="000000" w:themeColor="text1"/>
          <w:szCs w:val="24"/>
          <w:lang w:eastAsia="en-IE"/>
        </w:rPr>
        <w:t>)</w:t>
      </w:r>
      <w:r w:rsidR="006E6B00" w:rsidRPr="004C70EC">
        <w:rPr>
          <w:noProof/>
          <w:color w:val="000000" w:themeColor="text1"/>
          <w:szCs w:val="24"/>
          <w:lang w:eastAsia="en-IE"/>
        </w:rPr>
        <w:tab/>
      </w:r>
      <w:r w:rsidRPr="004C70EC">
        <w:rPr>
          <w:noProof/>
          <w:color w:val="000000" w:themeColor="text1"/>
          <w:szCs w:val="24"/>
          <w:lang w:eastAsia="en-IE"/>
        </w:rPr>
        <w:t>ensure supervision</w:t>
      </w:r>
      <w:r w:rsidR="00D52366" w:rsidRPr="004C70EC">
        <w:rPr>
          <w:noProof/>
          <w:color w:val="000000" w:themeColor="text1"/>
          <w:szCs w:val="24"/>
          <w:lang w:eastAsia="en-IE"/>
        </w:rPr>
        <w:t>;</w:t>
      </w:r>
    </w:p>
    <w:p w14:paraId="6FD4FED6" w14:textId="77777777" w:rsidR="00D52366" w:rsidRPr="004C70EC" w:rsidRDefault="00097A7F" w:rsidP="00B23380">
      <w:pPr>
        <w:pStyle w:val="Point2"/>
        <w:rPr>
          <w:noProof/>
          <w:color w:val="000000" w:themeColor="text1"/>
          <w:szCs w:val="24"/>
          <w:lang w:eastAsia="en-IE"/>
        </w:rPr>
      </w:pPr>
      <w:r w:rsidRPr="004C70EC">
        <w:rPr>
          <w:noProof/>
          <w:color w:val="000000" w:themeColor="text1"/>
          <w:szCs w:val="24"/>
          <w:lang w:eastAsia="en-IE"/>
        </w:rPr>
        <w:t>(</w:t>
      </w:r>
      <w:r w:rsidR="006E6B00" w:rsidRPr="004C70EC">
        <w:rPr>
          <w:noProof/>
          <w:color w:val="000000" w:themeColor="text1"/>
          <w:szCs w:val="24"/>
          <w:lang w:eastAsia="en-IE"/>
        </w:rPr>
        <w:t>c</w:t>
      </w:r>
      <w:r w:rsidRPr="004C70EC">
        <w:rPr>
          <w:noProof/>
          <w:color w:val="000000" w:themeColor="text1"/>
          <w:szCs w:val="24"/>
          <w:lang w:eastAsia="en-IE"/>
        </w:rPr>
        <w:t>)</w:t>
      </w:r>
      <w:r w:rsidR="006E6B00" w:rsidRPr="004C70EC">
        <w:rPr>
          <w:noProof/>
          <w:color w:val="000000" w:themeColor="text1"/>
          <w:szCs w:val="24"/>
          <w:lang w:eastAsia="en-IE"/>
        </w:rPr>
        <w:tab/>
      </w:r>
      <w:r w:rsidR="00C72014" w:rsidRPr="004C70EC">
        <w:rPr>
          <w:noProof/>
          <w:color w:val="000000" w:themeColor="text1"/>
          <w:szCs w:val="24"/>
          <w:lang w:eastAsia="en-IE"/>
        </w:rPr>
        <w:t>determine the functionalit</w:t>
      </w:r>
      <w:r w:rsidR="009F43B8" w:rsidRPr="004C70EC">
        <w:rPr>
          <w:noProof/>
          <w:color w:val="000000" w:themeColor="text1"/>
          <w:szCs w:val="24"/>
          <w:lang w:eastAsia="en-IE"/>
        </w:rPr>
        <w:t>ies</w:t>
      </w:r>
      <w:r w:rsidR="00C72014" w:rsidRPr="004C70EC">
        <w:rPr>
          <w:noProof/>
          <w:color w:val="000000" w:themeColor="text1"/>
          <w:szCs w:val="24"/>
          <w:lang w:eastAsia="en-IE"/>
        </w:rPr>
        <w:t xml:space="preserve"> of the EU portal</w:t>
      </w:r>
      <w:r w:rsidR="00D52366" w:rsidRPr="004C70EC">
        <w:rPr>
          <w:noProof/>
          <w:color w:val="000000" w:themeColor="text1"/>
          <w:szCs w:val="24"/>
          <w:lang w:eastAsia="en-IE"/>
        </w:rPr>
        <w:t xml:space="preserve"> </w:t>
      </w:r>
      <w:r w:rsidR="009F43B8" w:rsidRPr="004C70EC">
        <w:rPr>
          <w:noProof/>
          <w:color w:val="000000" w:themeColor="text1"/>
          <w:szCs w:val="24"/>
          <w:lang w:eastAsia="en-IE"/>
        </w:rPr>
        <w:t>and EU database necessary to support application of this Article.</w:t>
      </w:r>
    </w:p>
    <w:p w14:paraId="59413FAB" w14:textId="77777777" w:rsidR="00273F36" w:rsidRPr="004C70EC" w:rsidRDefault="00FE0F10" w:rsidP="0058181D">
      <w:pPr>
        <w:pStyle w:val="Point1"/>
        <w:rPr>
          <w:noProof/>
          <w:color w:val="000000" w:themeColor="text1"/>
          <w:szCs w:val="24"/>
          <w:lang w:eastAsia="en-IE"/>
        </w:rPr>
      </w:pPr>
      <w:r w:rsidRPr="004C70EC">
        <w:rPr>
          <w:noProof/>
          <w:color w:val="000000" w:themeColor="text1"/>
          <w:szCs w:val="24"/>
          <w:lang w:eastAsia="en-IE"/>
        </w:rPr>
        <w:t>10.</w:t>
      </w:r>
      <w:r w:rsidR="00E45235" w:rsidRPr="004C70EC">
        <w:rPr>
          <w:noProof/>
          <w:color w:val="000000" w:themeColor="text1"/>
          <w:szCs w:val="24"/>
          <w:lang w:eastAsia="en-IE"/>
        </w:rPr>
        <w:tab/>
      </w:r>
      <w:r w:rsidR="00330111" w:rsidRPr="004C70EC">
        <w:rPr>
          <w:noProof/>
          <w:color w:val="000000" w:themeColor="text1"/>
          <w:szCs w:val="24"/>
          <w:lang w:eastAsia="en-IE"/>
        </w:rPr>
        <w:t>When doing so, the Commission shall</w:t>
      </w:r>
      <w:r w:rsidR="00273F36" w:rsidRPr="004C70EC">
        <w:rPr>
          <w:noProof/>
          <w:color w:val="000000" w:themeColor="text1"/>
          <w:szCs w:val="24"/>
          <w:lang w:eastAsia="en-IE"/>
        </w:rPr>
        <w:t xml:space="preserve"> </w:t>
      </w:r>
      <w:r w:rsidR="00330111" w:rsidRPr="004C70EC">
        <w:rPr>
          <w:noProof/>
          <w:color w:val="000000" w:themeColor="text1"/>
          <w:szCs w:val="24"/>
          <w:lang w:eastAsia="en-IE"/>
        </w:rPr>
        <w:t xml:space="preserve">take </w:t>
      </w:r>
      <w:r w:rsidR="00273F36" w:rsidRPr="004C70EC">
        <w:rPr>
          <w:noProof/>
          <w:color w:val="000000" w:themeColor="text1"/>
          <w:szCs w:val="24"/>
          <w:lang w:eastAsia="en-IE"/>
        </w:rPr>
        <w:t xml:space="preserve">into consideration, where relevant, provisions </w:t>
      </w:r>
      <w:r w:rsidR="00E62F54" w:rsidRPr="004C70EC">
        <w:rPr>
          <w:noProof/>
          <w:color w:val="000000" w:themeColor="text1"/>
          <w:szCs w:val="24"/>
          <w:lang w:eastAsia="en-IE"/>
        </w:rPr>
        <w:t>of</w:t>
      </w:r>
      <w:r w:rsidR="00273F36" w:rsidRPr="004C70EC">
        <w:rPr>
          <w:noProof/>
          <w:color w:val="000000" w:themeColor="text1"/>
          <w:szCs w:val="24"/>
          <w:lang w:eastAsia="en-IE"/>
        </w:rPr>
        <w:t xml:space="preserve"> </w:t>
      </w:r>
      <w:r w:rsidR="00E62F54" w:rsidRPr="004C70EC">
        <w:rPr>
          <w:noProof/>
          <w:color w:val="000000" w:themeColor="text1"/>
          <w:szCs w:val="24"/>
          <w:lang w:eastAsia="en-IE"/>
        </w:rPr>
        <w:t>C</w:t>
      </w:r>
      <w:r w:rsidR="00273F36" w:rsidRPr="004C70EC">
        <w:rPr>
          <w:noProof/>
          <w:color w:val="000000" w:themeColor="text1"/>
          <w:szCs w:val="24"/>
          <w:lang w:eastAsia="en-IE"/>
        </w:rPr>
        <w:t>hapter VI and Annex XV of Regulation (EU) 2017/</w:t>
      </w:r>
      <w:r w:rsidR="00E02566" w:rsidRPr="004C70EC">
        <w:rPr>
          <w:noProof/>
          <w:color w:val="000000" w:themeColor="text1"/>
          <w:szCs w:val="24"/>
          <w:lang w:eastAsia="en-IE"/>
        </w:rPr>
        <w:t>745 or</w:t>
      </w:r>
      <w:r w:rsidR="00273F36" w:rsidRPr="004C70EC">
        <w:rPr>
          <w:noProof/>
          <w:color w:val="000000" w:themeColor="text1"/>
          <w:szCs w:val="24"/>
          <w:lang w:eastAsia="en-IE"/>
        </w:rPr>
        <w:t xml:space="preserve">  </w:t>
      </w:r>
      <w:r w:rsidR="00E62F54" w:rsidRPr="004C70EC">
        <w:rPr>
          <w:noProof/>
          <w:color w:val="000000" w:themeColor="text1"/>
          <w:szCs w:val="24"/>
          <w:lang w:eastAsia="en-IE"/>
        </w:rPr>
        <w:t>C</w:t>
      </w:r>
      <w:r w:rsidR="00273F36" w:rsidRPr="004C70EC">
        <w:rPr>
          <w:noProof/>
          <w:color w:val="000000" w:themeColor="text1"/>
          <w:szCs w:val="24"/>
          <w:lang w:eastAsia="en-IE"/>
        </w:rPr>
        <w:t>hapter VI and Annexes XIII and XIV of Regulation (EU) 2017/746 concerning the investigational device(s) or device(s) for performance study which are covered by the combined study</w:t>
      </w:r>
      <w:r w:rsidR="00771F95" w:rsidRPr="004C70EC">
        <w:rPr>
          <w:noProof/>
          <w:color w:val="000000" w:themeColor="text1"/>
          <w:szCs w:val="24"/>
          <w:lang w:eastAsia="en-IE"/>
        </w:rPr>
        <w:t>, as applicable</w:t>
      </w:r>
      <w:r w:rsidR="00273F36" w:rsidRPr="004C70EC">
        <w:rPr>
          <w:noProof/>
          <w:color w:val="000000" w:themeColor="text1"/>
          <w:szCs w:val="24"/>
          <w:lang w:eastAsia="en-IE"/>
        </w:rPr>
        <w:t>. </w:t>
      </w:r>
    </w:p>
    <w:p w14:paraId="37345A90" w14:textId="77777777" w:rsidR="00273F36" w:rsidRPr="004C70EC" w:rsidRDefault="00273F36" w:rsidP="00926D87">
      <w:pPr>
        <w:pStyle w:val="Titrearticle"/>
        <w:rPr>
          <w:noProof/>
          <w:color w:val="000000" w:themeColor="text1"/>
          <w:szCs w:val="24"/>
          <w:lang w:val="en-IE"/>
        </w:rPr>
      </w:pPr>
      <w:r w:rsidRPr="004C70EC">
        <w:rPr>
          <w:noProof/>
          <w:color w:val="000000" w:themeColor="text1"/>
          <w:szCs w:val="24"/>
          <w:lang w:val="en-IE"/>
        </w:rPr>
        <w:t>Article 14d</w:t>
      </w:r>
    </w:p>
    <w:p w14:paraId="6E831F2D" w14:textId="77777777" w:rsidR="00273F36" w:rsidRPr="004C70EC" w:rsidRDefault="00273F36" w:rsidP="00926D87">
      <w:pPr>
        <w:jc w:val="center"/>
        <w:rPr>
          <w:i/>
          <w:iCs/>
          <w:noProof/>
          <w:color w:val="000000" w:themeColor="text1"/>
          <w:szCs w:val="24"/>
          <w:lang w:val="en-US"/>
        </w:rPr>
      </w:pPr>
      <w:r w:rsidRPr="004C70EC">
        <w:rPr>
          <w:i/>
          <w:iCs/>
          <w:noProof/>
          <w:color w:val="000000" w:themeColor="text1"/>
          <w:szCs w:val="24"/>
          <w:lang w:val="en-US"/>
        </w:rPr>
        <w:t>Persons assessing the applications</w:t>
      </w:r>
    </w:p>
    <w:p w14:paraId="374FEB86" w14:textId="77777777" w:rsidR="00273F36" w:rsidRPr="004C70EC" w:rsidRDefault="00273F36" w:rsidP="00926D87">
      <w:pPr>
        <w:pStyle w:val="Text1"/>
        <w:rPr>
          <w:noProof/>
          <w:color w:val="000000" w:themeColor="text1"/>
          <w:szCs w:val="24"/>
          <w:lang w:val="en-US"/>
        </w:rPr>
      </w:pPr>
      <w:r w:rsidRPr="004C70EC">
        <w:rPr>
          <w:noProof/>
          <w:color w:val="000000" w:themeColor="text1"/>
          <w:szCs w:val="24"/>
          <w:lang w:val="en-US"/>
        </w:rPr>
        <w:t xml:space="preserve">Article </w:t>
      </w:r>
      <w:r w:rsidRPr="004C70EC">
        <w:rPr>
          <w:noProof/>
          <w:color w:val="000000" w:themeColor="text1"/>
          <w:szCs w:val="24"/>
          <w:lang w:val="bg-BG" w:eastAsia="bg-BG" w:bidi="bg-BG"/>
        </w:rPr>
        <w:t xml:space="preserve">9 </w:t>
      </w:r>
      <w:r w:rsidRPr="004C70EC">
        <w:rPr>
          <w:noProof/>
          <w:color w:val="000000" w:themeColor="text1"/>
          <w:szCs w:val="24"/>
          <w:lang w:val="en-US"/>
        </w:rPr>
        <w:t>applies to assessments made under this Chapter.</w:t>
      </w:r>
      <w:r w:rsidR="2C365CD5" w:rsidRPr="004C70EC">
        <w:rPr>
          <w:rFonts w:eastAsia="Times New Roman"/>
          <w:noProof/>
          <w:color w:val="000000" w:themeColor="text1"/>
          <w:szCs w:val="24"/>
          <w:lang w:val="en-US"/>
        </w:rPr>
        <w:t>’</w:t>
      </w:r>
    </w:p>
    <w:p w14:paraId="100B35FF" w14:textId="77777777" w:rsidR="00273F36" w:rsidRPr="004C70EC" w:rsidRDefault="00926D87" w:rsidP="00926D87">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(1</w:t>
      </w:r>
      <w:r w:rsidR="00D14C31" w:rsidRPr="004C70EC">
        <w:rPr>
          <w:rFonts w:eastAsia="Times New Roman"/>
          <w:noProof/>
          <w:color w:val="000000" w:themeColor="text1"/>
          <w:szCs w:val="24"/>
          <w:lang w:eastAsia="en-IE"/>
        </w:rPr>
        <w:t>4</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Article 16 is replaced by the following:</w:t>
      </w:r>
    </w:p>
    <w:p w14:paraId="19232199" w14:textId="77777777" w:rsidR="00273F36" w:rsidRPr="004C70EC" w:rsidRDefault="77E2B7C2" w:rsidP="00926D87">
      <w:pPr>
        <w:pStyle w:val="Titrearticle"/>
        <w:rPr>
          <w:rFonts w:eastAsia="Times New Roman"/>
          <w:noProof/>
          <w:color w:val="000000" w:themeColor="text1"/>
          <w:szCs w:val="24"/>
          <w:lang w:val="en-IE" w:eastAsia="en-GB"/>
        </w:rPr>
      </w:pPr>
      <w:r w:rsidRPr="004C70EC">
        <w:rPr>
          <w:rFonts w:eastAsia="Times New Roman"/>
          <w:noProof/>
          <w:color w:val="000000" w:themeColor="text1"/>
          <w:szCs w:val="24"/>
          <w:lang w:val="en-IE"/>
        </w:rPr>
        <w:t>‘</w:t>
      </w:r>
      <w:r w:rsidR="00273F36" w:rsidRPr="004C70EC">
        <w:rPr>
          <w:rFonts w:eastAsia="Times New Roman"/>
          <w:noProof/>
          <w:color w:val="000000" w:themeColor="text1"/>
          <w:szCs w:val="24"/>
          <w:lang w:val="en-IE" w:eastAsia="en-GB"/>
        </w:rPr>
        <w:t>Article 16</w:t>
      </w:r>
    </w:p>
    <w:p w14:paraId="73CCB9A1" w14:textId="77777777" w:rsidR="00273F36" w:rsidRPr="004C70EC" w:rsidRDefault="00273F36" w:rsidP="00926D87">
      <w:pPr>
        <w:jc w:val="center"/>
        <w:rPr>
          <w:rFonts w:eastAsia="Times New Roman"/>
          <w:i/>
          <w:iCs/>
          <w:noProof/>
          <w:color w:val="000000" w:themeColor="text1"/>
          <w:szCs w:val="24"/>
          <w:lang w:val="en-IE" w:eastAsia="en-GB"/>
        </w:rPr>
      </w:pPr>
      <w:r w:rsidRPr="004C70EC">
        <w:rPr>
          <w:rFonts w:eastAsia="Times New Roman"/>
          <w:i/>
          <w:iCs/>
          <w:noProof/>
          <w:color w:val="000000" w:themeColor="text1"/>
          <w:szCs w:val="24"/>
          <w:lang w:val="en-IE" w:eastAsia="en-GB"/>
        </w:rPr>
        <w:t>Submission of application</w:t>
      </w:r>
    </w:p>
    <w:p w14:paraId="0FFA4788" w14:textId="77777777" w:rsidR="00273F36" w:rsidRPr="004C70EC" w:rsidRDefault="00273F36" w:rsidP="00926D87">
      <w:pPr>
        <w:pStyle w:val="Text1"/>
        <w:rPr>
          <w:rFonts w:eastAsia="Times New Roman"/>
          <w:noProof/>
          <w:color w:val="000000" w:themeColor="text1"/>
          <w:szCs w:val="24"/>
          <w:lang w:eastAsia="en-GB"/>
        </w:rPr>
      </w:pPr>
      <w:r w:rsidRPr="004C70EC">
        <w:rPr>
          <w:rFonts w:eastAsia="Times New Roman"/>
          <w:noProof/>
          <w:color w:val="000000" w:themeColor="text1"/>
          <w:szCs w:val="24"/>
          <w:lang w:eastAsia="en-GB"/>
        </w:rPr>
        <w:t>In order to obtain an authorisation, the sponsor shall submit an application dossier to the Member States concerned through the EU portal. The date on which the sponsor submitted the application for an authorisation of a substantial modification is referred to within this Chapter as the submission date.</w:t>
      </w:r>
      <w:r w:rsidR="008A2964" w:rsidRPr="004C70EC">
        <w:rPr>
          <w:rFonts w:eastAsia="Times New Roman"/>
          <w:noProof/>
          <w:color w:val="000000" w:themeColor="text1"/>
          <w:szCs w:val="24"/>
          <w:lang w:eastAsia="en-GB"/>
        </w:rPr>
        <w:t>’</w:t>
      </w:r>
      <w:r w:rsidR="76C834A9" w:rsidRPr="004C70EC">
        <w:rPr>
          <w:rFonts w:eastAsia="Times New Roman"/>
          <w:noProof/>
          <w:color w:val="000000" w:themeColor="text1"/>
          <w:szCs w:val="24"/>
          <w:lang w:eastAsia="en-GB"/>
        </w:rPr>
        <w:t>;</w:t>
      </w:r>
    </w:p>
    <w:p w14:paraId="0F96F191" w14:textId="77777777" w:rsidR="00273F36" w:rsidRPr="004C70EC" w:rsidRDefault="00926D87" w:rsidP="00926D87">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(1</w:t>
      </w:r>
      <w:r w:rsidR="00D14C31" w:rsidRPr="004C70EC">
        <w:rPr>
          <w:rFonts w:eastAsia="Times New Roman"/>
          <w:noProof/>
          <w:color w:val="000000" w:themeColor="text1"/>
          <w:szCs w:val="24"/>
          <w:lang w:eastAsia="en-IE"/>
        </w:rPr>
        <w:t>5</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8A2964" w:rsidRPr="004C70EC">
        <w:rPr>
          <w:rFonts w:eastAsia="Times New Roman"/>
          <w:noProof/>
          <w:color w:val="000000" w:themeColor="text1"/>
          <w:szCs w:val="24"/>
          <w:lang w:eastAsia="en-IE"/>
        </w:rPr>
        <w:t>t</w:t>
      </w:r>
      <w:r w:rsidR="00273F36" w:rsidRPr="004C70EC">
        <w:rPr>
          <w:rFonts w:eastAsia="Times New Roman"/>
          <w:noProof/>
          <w:color w:val="000000" w:themeColor="text1"/>
          <w:szCs w:val="24"/>
          <w:lang w:eastAsia="en-IE"/>
        </w:rPr>
        <w:t xml:space="preserve">he following Article </w:t>
      </w:r>
      <w:r w:rsidR="008A2964" w:rsidRPr="004C70EC">
        <w:rPr>
          <w:rFonts w:eastAsia="Times New Roman"/>
          <w:noProof/>
          <w:color w:val="000000" w:themeColor="text1"/>
          <w:szCs w:val="24"/>
          <w:lang w:eastAsia="en-IE"/>
        </w:rPr>
        <w:t>16a</w:t>
      </w:r>
      <w:r w:rsidR="00273F36" w:rsidRPr="004C70EC">
        <w:rPr>
          <w:rFonts w:eastAsia="Times New Roman"/>
          <w:noProof/>
          <w:color w:val="000000" w:themeColor="text1"/>
          <w:szCs w:val="24"/>
          <w:lang w:eastAsia="en-IE"/>
        </w:rPr>
        <w:t xml:space="preserve"> is </w:t>
      </w:r>
      <w:r w:rsidR="008A2964" w:rsidRPr="004C70EC">
        <w:rPr>
          <w:rFonts w:eastAsia="Times New Roman"/>
          <w:noProof/>
          <w:color w:val="000000" w:themeColor="text1"/>
          <w:szCs w:val="24"/>
          <w:lang w:eastAsia="en-IE"/>
        </w:rPr>
        <w:t>inserted</w:t>
      </w:r>
      <w:r w:rsidR="00273F36" w:rsidRPr="004C70EC">
        <w:rPr>
          <w:rFonts w:eastAsia="Times New Roman"/>
          <w:noProof/>
          <w:color w:val="000000" w:themeColor="text1"/>
          <w:szCs w:val="24"/>
          <w:lang w:eastAsia="en-IE"/>
        </w:rPr>
        <w:t>:</w:t>
      </w:r>
    </w:p>
    <w:p w14:paraId="2CBE1441" w14:textId="77777777" w:rsidR="00273F36" w:rsidRPr="004C70EC" w:rsidRDefault="12FC1C3B" w:rsidP="00926D87">
      <w:pPr>
        <w:pStyle w:val="Titrearticle"/>
        <w:rPr>
          <w:rFonts w:eastAsia="Times New Roman"/>
          <w:noProof/>
          <w:color w:val="000000" w:themeColor="text1"/>
          <w:szCs w:val="24"/>
          <w:lang w:val="en-IE" w:eastAsia="en-GB"/>
        </w:rPr>
      </w:pPr>
      <w:r w:rsidRPr="004C70EC">
        <w:rPr>
          <w:rFonts w:eastAsia="Times New Roman"/>
          <w:noProof/>
          <w:color w:val="000000" w:themeColor="text1"/>
          <w:szCs w:val="24"/>
          <w:lang w:val="en-IE"/>
        </w:rPr>
        <w:t>‘</w:t>
      </w:r>
      <w:r w:rsidR="00273F36" w:rsidRPr="004C70EC">
        <w:rPr>
          <w:rFonts w:eastAsia="Times New Roman"/>
          <w:noProof/>
          <w:color w:val="000000" w:themeColor="text1"/>
          <w:szCs w:val="24"/>
          <w:lang w:val="en-IE" w:eastAsia="en-GB"/>
        </w:rPr>
        <w:t>Article 16a</w:t>
      </w:r>
    </w:p>
    <w:p w14:paraId="131BCD85" w14:textId="77777777" w:rsidR="00273F36" w:rsidRPr="004C70EC" w:rsidRDefault="00273F36" w:rsidP="00926D87">
      <w:pPr>
        <w:jc w:val="center"/>
        <w:rPr>
          <w:rFonts w:eastAsia="Times New Roman"/>
          <w:i/>
          <w:iCs/>
          <w:noProof/>
          <w:color w:val="000000" w:themeColor="text1"/>
          <w:szCs w:val="24"/>
          <w:lang w:val="en-IE" w:eastAsia="en-GB"/>
        </w:rPr>
      </w:pPr>
      <w:r w:rsidRPr="004C70EC">
        <w:rPr>
          <w:rFonts w:eastAsia="Times New Roman"/>
          <w:i/>
          <w:iCs/>
          <w:noProof/>
          <w:color w:val="000000" w:themeColor="text1"/>
          <w:szCs w:val="24"/>
          <w:lang w:val="en-IE" w:eastAsia="en-GB"/>
        </w:rPr>
        <w:t>Parallel substantial modification</w:t>
      </w:r>
    </w:p>
    <w:p w14:paraId="2CA81ADE" w14:textId="77777777" w:rsidR="00273F36" w:rsidRPr="004C70EC" w:rsidRDefault="00926D87" w:rsidP="00926D87">
      <w:pPr>
        <w:pStyle w:val="Point1"/>
        <w:rPr>
          <w:noProof/>
          <w:color w:val="000000" w:themeColor="text1"/>
          <w:szCs w:val="24"/>
          <w:lang w:val="en-IE" w:eastAsia="en-GB"/>
        </w:rPr>
      </w:pPr>
      <w:r w:rsidRPr="004C70EC">
        <w:rPr>
          <w:noProof/>
          <w:color w:val="000000" w:themeColor="text1"/>
          <w:szCs w:val="24"/>
          <w:lang w:val="en-IE" w:eastAsia="en-GB"/>
        </w:rPr>
        <w:t>1.</w:t>
      </w:r>
      <w:r w:rsidRPr="004C70EC">
        <w:rPr>
          <w:noProof/>
          <w:color w:val="000000" w:themeColor="text1"/>
          <w:szCs w:val="24"/>
          <w:lang w:val="en-IE" w:eastAsia="en-GB"/>
        </w:rPr>
        <w:tab/>
      </w:r>
      <w:r w:rsidR="00273F36" w:rsidRPr="004C70EC">
        <w:rPr>
          <w:noProof/>
          <w:color w:val="000000" w:themeColor="text1"/>
          <w:szCs w:val="24"/>
          <w:lang w:val="en-IE" w:eastAsia="en-GB"/>
        </w:rPr>
        <w:t>The sponsor may submit to the reporting Member State, through the EU portal, an application for a parallel substantial modification regarding aspects covered by Part I of the assessment report, prior to the notification of a decision on an ongoing assessment of a substantial modification in accordance with Article 19(1) or Article 23(1).</w:t>
      </w:r>
    </w:p>
    <w:p w14:paraId="481B8F4A" w14:textId="77777777" w:rsidR="00273F36" w:rsidRPr="004C70EC" w:rsidRDefault="00926D87" w:rsidP="00926D87">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2.</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 xml:space="preserve">The sponsor may submit to the same Member State concerned, through the EU portal, an application for a parallel substantial modification of an aspect covered by Part II of the assessment report prior to the notification of a decision on an ongoing assessment of a substantial modification in accordance with Article 20(5) or </w:t>
      </w:r>
      <w:r w:rsidR="008A2964" w:rsidRPr="004C70EC">
        <w:rPr>
          <w:rFonts w:eastAsia="Times New Roman"/>
          <w:noProof/>
          <w:color w:val="000000" w:themeColor="text1"/>
          <w:szCs w:val="24"/>
          <w:lang w:val="en-IE" w:eastAsia="en-GB"/>
        </w:rPr>
        <w:t xml:space="preserve">Article </w:t>
      </w:r>
      <w:r w:rsidR="00273F36" w:rsidRPr="004C70EC">
        <w:rPr>
          <w:rFonts w:eastAsia="Times New Roman"/>
          <w:noProof/>
          <w:color w:val="000000" w:themeColor="text1"/>
          <w:szCs w:val="24"/>
          <w:lang w:val="en-IE" w:eastAsia="en-GB"/>
        </w:rPr>
        <w:t>23(1) by the same Member State concerned.</w:t>
      </w:r>
    </w:p>
    <w:p w14:paraId="6454DF26" w14:textId="77777777" w:rsidR="00273F36" w:rsidRPr="004C70EC" w:rsidRDefault="7A88961C" w:rsidP="33CE1D06">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3.</w:t>
      </w:r>
      <w:r w:rsidR="00926D87" w:rsidRPr="004C70EC">
        <w:rPr>
          <w:noProof/>
          <w:color w:val="000000" w:themeColor="text1"/>
          <w:szCs w:val="24"/>
        </w:rPr>
        <w:tab/>
      </w:r>
      <w:r w:rsidR="1EDCB739" w:rsidRPr="004C70EC">
        <w:rPr>
          <w:rFonts w:eastAsia="Times New Roman"/>
          <w:noProof/>
          <w:color w:val="000000" w:themeColor="text1"/>
          <w:szCs w:val="24"/>
          <w:lang w:val="en-IE" w:eastAsia="en-GB"/>
        </w:rPr>
        <w:t>The reporting Member State or Member state concerned, as applicable, shall accept the application for a parallel substantial modification if the parallel substantial modification concerns distinct and independent aspects of the application dossier and may be assessed concurrently by the same Member State concerned or reporting Member State.</w:t>
      </w:r>
    </w:p>
    <w:p w14:paraId="2701A9C5" w14:textId="77777777" w:rsidR="00273F36" w:rsidRPr="004C70EC" w:rsidRDefault="1EDCB739" w:rsidP="33CE1D06">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4.</w:t>
      </w:r>
      <w:r w:rsidR="00B23380" w:rsidRPr="004C70EC">
        <w:rPr>
          <w:noProof/>
          <w:color w:val="000000" w:themeColor="text1"/>
          <w:szCs w:val="24"/>
        </w:rPr>
        <w:tab/>
      </w:r>
      <w:r w:rsidR="2F263E33" w:rsidRPr="004C70EC">
        <w:rPr>
          <w:rFonts w:eastAsia="Times New Roman"/>
          <w:noProof/>
          <w:color w:val="000000" w:themeColor="text1"/>
          <w:szCs w:val="24"/>
          <w:lang w:val="en-IE" w:eastAsia="en-GB"/>
        </w:rPr>
        <w:t xml:space="preserve">When scope of the application for the parallel substantial modification covers both Part I and </w:t>
      </w:r>
      <w:r w:rsidR="4383347E" w:rsidRPr="004C70EC">
        <w:rPr>
          <w:rFonts w:eastAsia="Times New Roman"/>
          <w:noProof/>
          <w:color w:val="000000" w:themeColor="text1"/>
          <w:szCs w:val="24"/>
          <w:lang w:val="en-IE" w:eastAsia="en-GB"/>
        </w:rPr>
        <w:t xml:space="preserve">Part </w:t>
      </w:r>
      <w:r w:rsidR="2F263E33" w:rsidRPr="004C70EC">
        <w:rPr>
          <w:rFonts w:eastAsia="Times New Roman"/>
          <w:noProof/>
          <w:color w:val="000000" w:themeColor="text1"/>
          <w:szCs w:val="24"/>
          <w:lang w:val="en-IE" w:eastAsia="en-GB"/>
        </w:rPr>
        <w:t xml:space="preserve">II of the assessment report, the sponsor shall seek </w:t>
      </w:r>
      <w:r w:rsidR="4383347E" w:rsidRPr="004C70EC">
        <w:rPr>
          <w:rFonts w:eastAsia="Times New Roman"/>
          <w:noProof/>
          <w:color w:val="000000" w:themeColor="text1"/>
          <w:szCs w:val="24"/>
          <w:lang w:val="en-IE" w:eastAsia="en-GB"/>
        </w:rPr>
        <w:t xml:space="preserve">the </w:t>
      </w:r>
      <w:r w:rsidR="2F263E33" w:rsidRPr="004C70EC">
        <w:rPr>
          <w:rFonts w:eastAsia="Times New Roman"/>
          <w:noProof/>
          <w:color w:val="000000" w:themeColor="text1"/>
          <w:szCs w:val="24"/>
          <w:lang w:val="en-IE" w:eastAsia="en-GB"/>
        </w:rPr>
        <w:t>agreement of both, the reporting Member State and the relevant Member States concerned.</w:t>
      </w:r>
      <w:r w:rsidR="7BCAC9AA" w:rsidRPr="004C70EC">
        <w:rPr>
          <w:rFonts w:eastAsia="Times New Roman"/>
          <w:noProof/>
          <w:color w:val="000000" w:themeColor="text1"/>
          <w:szCs w:val="24"/>
          <w:lang w:val="en-IE" w:eastAsia="en-GB"/>
        </w:rPr>
        <w:t xml:space="preserve"> The relevant </w:t>
      </w:r>
      <w:r w:rsidR="625C58E0" w:rsidRPr="004C70EC">
        <w:rPr>
          <w:rFonts w:eastAsia="Times New Roman"/>
          <w:noProof/>
          <w:color w:val="000000" w:themeColor="text1"/>
          <w:szCs w:val="24"/>
          <w:lang w:val="en-IE" w:eastAsia="en-GB"/>
        </w:rPr>
        <w:t>Member</w:t>
      </w:r>
      <w:r w:rsidR="7BCAC9AA" w:rsidRPr="004C70EC">
        <w:rPr>
          <w:rFonts w:eastAsia="Times New Roman"/>
          <w:noProof/>
          <w:color w:val="000000" w:themeColor="text1"/>
          <w:szCs w:val="24"/>
          <w:lang w:val="en-IE" w:eastAsia="en-GB"/>
        </w:rPr>
        <w:t xml:space="preserve"> </w:t>
      </w:r>
      <w:r w:rsidR="625C58E0" w:rsidRPr="004C70EC">
        <w:rPr>
          <w:rFonts w:eastAsia="Times New Roman"/>
          <w:noProof/>
          <w:color w:val="000000" w:themeColor="text1"/>
          <w:szCs w:val="24"/>
          <w:lang w:val="en-IE" w:eastAsia="en-GB"/>
        </w:rPr>
        <w:t>S</w:t>
      </w:r>
      <w:r w:rsidR="7BCAC9AA" w:rsidRPr="004C70EC">
        <w:rPr>
          <w:rFonts w:eastAsia="Times New Roman"/>
          <w:noProof/>
          <w:color w:val="000000" w:themeColor="text1"/>
          <w:szCs w:val="24"/>
          <w:lang w:val="en-IE" w:eastAsia="en-GB"/>
        </w:rPr>
        <w:t>tate concerned</w:t>
      </w:r>
      <w:r w:rsidR="625C58E0" w:rsidRPr="004C70EC">
        <w:rPr>
          <w:rFonts w:eastAsia="Times New Roman"/>
          <w:noProof/>
          <w:color w:val="000000" w:themeColor="text1"/>
          <w:szCs w:val="24"/>
          <w:lang w:val="en-IE" w:eastAsia="en-GB"/>
        </w:rPr>
        <w:t xml:space="preserve"> may oppose the agreement if the substantial modification concerns aspects of Part II covered by an ongoing assessment.</w:t>
      </w:r>
      <w:r w:rsidR="152F2253" w:rsidRPr="004C70EC">
        <w:rPr>
          <w:rFonts w:eastAsia="Times New Roman"/>
          <w:noProof/>
          <w:color w:val="000000" w:themeColor="text1"/>
          <w:szCs w:val="24"/>
          <w:lang w:val="en-IE"/>
        </w:rPr>
        <w:t>’</w:t>
      </w:r>
    </w:p>
    <w:p w14:paraId="05DAB2CD" w14:textId="77777777" w:rsidR="00273F36" w:rsidRPr="004C70EC" w:rsidRDefault="00926D87" w:rsidP="00926D87">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(1</w:t>
      </w:r>
      <w:r w:rsidR="00D14C31" w:rsidRPr="004C70EC">
        <w:rPr>
          <w:rFonts w:eastAsia="Times New Roman"/>
          <w:noProof/>
          <w:color w:val="000000" w:themeColor="text1"/>
          <w:szCs w:val="24"/>
          <w:lang w:eastAsia="en-IE"/>
        </w:rPr>
        <w:t>6</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Article 17 is amended as follows:</w:t>
      </w:r>
    </w:p>
    <w:p w14:paraId="320A19D9" w14:textId="77777777" w:rsidR="00273F36" w:rsidRPr="004C70EC" w:rsidRDefault="00926D87" w:rsidP="00926D87">
      <w:pPr>
        <w:pStyle w:val="Point1"/>
        <w:rPr>
          <w:rFonts w:eastAsia="Times New Roman"/>
          <w:noProof/>
          <w:color w:val="000000" w:themeColor="text1"/>
          <w:szCs w:val="24"/>
          <w:lang w:eastAsia="en-IE"/>
        </w:rPr>
      </w:pPr>
      <w:r w:rsidRPr="004C70EC">
        <w:rPr>
          <w:rFonts w:eastAsia="Times New Roman"/>
          <w:noProof/>
          <w:color w:val="000000" w:themeColor="text1"/>
          <w:szCs w:val="24"/>
          <w:lang w:val="en-IE" w:eastAsia="en-GB"/>
        </w:rPr>
        <w:t>(a)</w:t>
      </w:r>
      <w:r w:rsidRPr="004C70EC">
        <w:rPr>
          <w:rFonts w:eastAsia="Times New Roman"/>
          <w:noProof/>
          <w:color w:val="000000" w:themeColor="text1"/>
          <w:szCs w:val="24"/>
          <w:lang w:val="en-IE" w:eastAsia="en-GB"/>
        </w:rPr>
        <w:tab/>
      </w:r>
      <w:r w:rsidR="00B325A8" w:rsidRPr="004C70EC">
        <w:rPr>
          <w:rFonts w:eastAsia="Times New Roman"/>
          <w:noProof/>
          <w:color w:val="000000" w:themeColor="text1"/>
          <w:szCs w:val="24"/>
          <w:lang w:val="en-IE" w:eastAsia="en-GB"/>
        </w:rPr>
        <w:t>p</w:t>
      </w:r>
      <w:r w:rsidR="00273F36" w:rsidRPr="004C70EC">
        <w:rPr>
          <w:rFonts w:eastAsia="Times New Roman"/>
          <w:noProof/>
          <w:color w:val="000000" w:themeColor="text1"/>
          <w:szCs w:val="24"/>
          <w:lang w:val="en-IE" w:eastAsia="en-GB"/>
        </w:rPr>
        <w:t>aragraphs 1 and 2 are replaced by the following:</w:t>
      </w:r>
    </w:p>
    <w:p w14:paraId="488E5639" w14:textId="77777777" w:rsidR="00273F36" w:rsidRPr="004C70EC" w:rsidRDefault="00B325A8" w:rsidP="00926D87">
      <w:pPr>
        <w:pStyle w:val="Point2"/>
        <w:rPr>
          <w:noProof/>
          <w:color w:val="000000" w:themeColor="text1"/>
          <w:szCs w:val="24"/>
          <w:lang w:val="en-IE" w:eastAsia="en-GB"/>
        </w:rPr>
      </w:pPr>
      <w:r w:rsidRPr="004C70EC">
        <w:rPr>
          <w:noProof/>
          <w:color w:val="000000" w:themeColor="text1"/>
          <w:szCs w:val="24"/>
          <w:lang w:val="en-IE" w:eastAsia="en-GB"/>
        </w:rPr>
        <w:t>‘</w:t>
      </w:r>
      <w:r w:rsidR="00926D87" w:rsidRPr="004C70EC">
        <w:rPr>
          <w:noProof/>
          <w:color w:val="000000" w:themeColor="text1"/>
          <w:szCs w:val="24"/>
          <w:lang w:val="en-IE" w:eastAsia="en-GB"/>
        </w:rPr>
        <w:t>1.</w:t>
      </w:r>
      <w:r w:rsidR="00926D87" w:rsidRPr="004C70EC">
        <w:rPr>
          <w:noProof/>
          <w:color w:val="000000" w:themeColor="text1"/>
          <w:szCs w:val="24"/>
          <w:lang w:val="en-IE" w:eastAsia="en-GB"/>
        </w:rPr>
        <w:tab/>
      </w:r>
      <w:r w:rsidR="00273F36" w:rsidRPr="004C70EC">
        <w:rPr>
          <w:noProof/>
          <w:color w:val="000000" w:themeColor="text1"/>
          <w:szCs w:val="24"/>
          <w:lang w:val="en-IE" w:eastAsia="en-GB"/>
        </w:rPr>
        <w:t>The reporting Member State for the authorisation of the substantial modification shall be the reporting Member State for the initial authorisation procedure.</w:t>
      </w:r>
    </w:p>
    <w:p w14:paraId="178EB1FC" w14:textId="77777777" w:rsidR="00273F36" w:rsidRPr="004C70EC" w:rsidRDefault="00926D87" w:rsidP="00926D87">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2.</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Within four days from the submission date, the reporting Member State shall validate the application and notify the sponsor through the EU portal as to whether:</w:t>
      </w:r>
    </w:p>
    <w:p w14:paraId="584ECBE4" w14:textId="77777777" w:rsidR="00273F36" w:rsidRPr="004C70EC" w:rsidRDefault="00926D87" w:rsidP="00926D87">
      <w:pPr>
        <w:pStyle w:val="Point3"/>
        <w:rPr>
          <w:noProof/>
          <w:color w:val="000000" w:themeColor="text1"/>
          <w:szCs w:val="24"/>
          <w:lang w:val="en-IE" w:eastAsia="en-GB"/>
        </w:rPr>
      </w:pPr>
      <w:r w:rsidRPr="004C70EC">
        <w:rPr>
          <w:noProof/>
          <w:color w:val="000000" w:themeColor="text1"/>
          <w:szCs w:val="24"/>
          <w:lang w:val="en-IE" w:eastAsia="en-GB"/>
        </w:rPr>
        <w:t>(a)</w:t>
      </w:r>
      <w:r w:rsidRPr="004C70EC">
        <w:rPr>
          <w:noProof/>
          <w:color w:val="000000" w:themeColor="text1"/>
          <w:szCs w:val="24"/>
          <w:lang w:val="en-IE" w:eastAsia="en-GB"/>
        </w:rPr>
        <w:tab/>
      </w:r>
      <w:r w:rsidR="00273F36" w:rsidRPr="004C70EC">
        <w:rPr>
          <w:noProof/>
          <w:color w:val="000000" w:themeColor="text1"/>
          <w:szCs w:val="24"/>
          <w:lang w:val="en-IE" w:eastAsia="en-GB"/>
        </w:rPr>
        <w:t xml:space="preserve">the substantial modification concerns an aspect covered by Part I of the assessment report; </w:t>
      </w:r>
    </w:p>
    <w:p w14:paraId="61F0BE45" w14:textId="77777777" w:rsidR="00273F36" w:rsidRPr="004C70EC" w:rsidRDefault="00926D87" w:rsidP="00926D87">
      <w:pPr>
        <w:pStyle w:val="Poin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the application dossier is complete in accordance with Annex II;</w:t>
      </w:r>
      <w:r w:rsidR="00667715" w:rsidRPr="004C70EC">
        <w:rPr>
          <w:rFonts w:eastAsia="Times New Roman"/>
          <w:noProof/>
          <w:color w:val="000000" w:themeColor="text1"/>
          <w:szCs w:val="24"/>
          <w:lang w:val="en-IE" w:eastAsia="en-GB"/>
        </w:rPr>
        <w:t xml:space="preserve"> and</w:t>
      </w:r>
    </w:p>
    <w:p w14:paraId="6BC0521A" w14:textId="77777777" w:rsidR="00273F36" w:rsidRPr="004C70EC" w:rsidRDefault="00926D87" w:rsidP="00926D87">
      <w:pPr>
        <w:pStyle w:val="Poin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(c)</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 xml:space="preserve">in case of parallel substantial modification to Part I, whether such a parallel substantial modification is acceptable taking into account </w:t>
      </w:r>
      <w:r w:rsidR="00667715" w:rsidRPr="004C70EC">
        <w:rPr>
          <w:rFonts w:eastAsia="Times New Roman"/>
          <w:noProof/>
          <w:color w:val="000000" w:themeColor="text1"/>
          <w:szCs w:val="24"/>
          <w:lang w:val="en-IE" w:eastAsia="en-GB"/>
        </w:rPr>
        <w:t xml:space="preserve">the </w:t>
      </w:r>
      <w:r w:rsidR="00273F36" w:rsidRPr="004C70EC">
        <w:rPr>
          <w:rFonts w:eastAsia="Times New Roman"/>
          <w:noProof/>
          <w:color w:val="000000" w:themeColor="text1"/>
          <w:szCs w:val="24"/>
          <w:lang w:val="en-IE" w:eastAsia="en-GB"/>
        </w:rPr>
        <w:t>requirements of Article 16a.</w:t>
      </w:r>
    </w:p>
    <w:p w14:paraId="4C1AA502" w14:textId="77777777" w:rsidR="00273F36" w:rsidRPr="004C70EC" w:rsidRDefault="00273F36" w:rsidP="006E6B00">
      <w:pPr>
        <w:pStyle w:val="Text3"/>
        <w:rPr>
          <w:noProof/>
          <w:color w:val="000000" w:themeColor="text1"/>
          <w:szCs w:val="24"/>
          <w:lang w:val="en-IE" w:eastAsia="en-GB"/>
        </w:rPr>
      </w:pPr>
      <w:r w:rsidRPr="004C70EC">
        <w:rPr>
          <w:noProof/>
          <w:color w:val="000000" w:themeColor="text1"/>
          <w:szCs w:val="24"/>
          <w:lang w:val="en-IE" w:eastAsia="en-GB"/>
        </w:rPr>
        <w:t xml:space="preserve">When applicable, in the context of a substantial modification of Part I, the Member State concerned shall verify whether the translation </w:t>
      </w:r>
      <w:r w:rsidR="00667715" w:rsidRPr="004C70EC">
        <w:rPr>
          <w:noProof/>
          <w:color w:val="000000" w:themeColor="text1"/>
          <w:szCs w:val="24"/>
          <w:lang w:val="en-IE" w:eastAsia="en-GB"/>
        </w:rPr>
        <w:t xml:space="preserve">or translations </w:t>
      </w:r>
      <w:r w:rsidRPr="004C70EC">
        <w:rPr>
          <w:noProof/>
          <w:color w:val="000000" w:themeColor="text1"/>
          <w:szCs w:val="24"/>
          <w:lang w:val="en-IE" w:eastAsia="en-GB"/>
        </w:rPr>
        <w:t xml:space="preserve">in the national language or languages in accordance with the requirements </w:t>
      </w:r>
      <w:r w:rsidR="003975F0" w:rsidRPr="004C70EC">
        <w:rPr>
          <w:noProof/>
          <w:color w:val="000000" w:themeColor="text1"/>
          <w:szCs w:val="24"/>
          <w:lang w:val="en-IE" w:eastAsia="en-GB"/>
        </w:rPr>
        <w:t xml:space="preserve">of </w:t>
      </w:r>
      <w:r w:rsidRPr="004C70EC">
        <w:rPr>
          <w:noProof/>
          <w:color w:val="000000" w:themeColor="text1"/>
          <w:szCs w:val="24"/>
          <w:lang w:val="en-IE" w:eastAsia="en-GB"/>
        </w:rPr>
        <w:t xml:space="preserve">Articles 26 and 69 </w:t>
      </w:r>
      <w:r w:rsidR="003975F0" w:rsidRPr="004C70EC">
        <w:rPr>
          <w:noProof/>
          <w:color w:val="000000" w:themeColor="text1"/>
          <w:szCs w:val="24"/>
          <w:lang w:val="en-IE" w:eastAsia="en-GB"/>
        </w:rPr>
        <w:t xml:space="preserve">has or </w:t>
      </w:r>
      <w:r w:rsidRPr="004C70EC">
        <w:rPr>
          <w:noProof/>
          <w:color w:val="000000" w:themeColor="text1"/>
          <w:szCs w:val="24"/>
          <w:lang w:val="en-IE" w:eastAsia="en-GB"/>
        </w:rPr>
        <w:t>have been submitted as a substantial modification of Part II. Article 21 applies to the assessment of the accuracy of translations.</w:t>
      </w:r>
      <w:r w:rsidR="00584E73" w:rsidRPr="004C70EC">
        <w:rPr>
          <w:noProof/>
          <w:color w:val="000000" w:themeColor="text1"/>
          <w:szCs w:val="24"/>
          <w:lang w:val="en-IE" w:eastAsia="en-GB"/>
        </w:rPr>
        <w:t>’</w:t>
      </w:r>
    </w:p>
    <w:p w14:paraId="3539176B" w14:textId="77777777" w:rsidR="00273F36" w:rsidRPr="004C70EC" w:rsidRDefault="00273F36" w:rsidP="00926D87">
      <w:pPr>
        <w:pStyle w:val="Point1"/>
        <w:rPr>
          <w:noProof/>
          <w:color w:val="000000" w:themeColor="text1"/>
          <w:szCs w:val="24"/>
          <w:lang w:val="en-IE"/>
        </w:rPr>
      </w:pPr>
      <w:r w:rsidRPr="004C70EC">
        <w:rPr>
          <w:noProof/>
          <w:color w:val="000000" w:themeColor="text1"/>
          <w:szCs w:val="24"/>
          <w:lang w:val="en-IE"/>
        </w:rPr>
        <w:t>(b)</w:t>
      </w:r>
      <w:r w:rsidR="00926D87" w:rsidRPr="004C70EC">
        <w:rPr>
          <w:noProof/>
          <w:color w:val="000000" w:themeColor="text1"/>
          <w:szCs w:val="24"/>
          <w:lang w:val="en-IE"/>
        </w:rPr>
        <w:tab/>
      </w:r>
      <w:r w:rsidR="00584E73" w:rsidRPr="004C70EC">
        <w:rPr>
          <w:noProof/>
          <w:color w:val="000000" w:themeColor="text1"/>
          <w:szCs w:val="24"/>
          <w:lang w:val="en-IE"/>
        </w:rPr>
        <w:t>p</w:t>
      </w:r>
      <w:r w:rsidRPr="004C70EC">
        <w:rPr>
          <w:noProof/>
          <w:color w:val="000000" w:themeColor="text1"/>
          <w:szCs w:val="24"/>
          <w:lang w:val="en-IE"/>
        </w:rPr>
        <w:t>aragraph 4 is replaced by the following:</w:t>
      </w:r>
    </w:p>
    <w:p w14:paraId="6A44279B" w14:textId="77777777" w:rsidR="00273F36" w:rsidRPr="004C70EC" w:rsidRDefault="00584E73" w:rsidP="00B2338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‘4.</w:t>
      </w:r>
      <w:r w:rsidR="00B23380"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Where the reporting Member State finds that the application does not concern an aspect covered by Part I of the assessment report or that the application dossier is not complete or, where applicable, that the parallel substantial modification is not acceptable, it shall inform the sponsor thereof though the EU portal and shall set a maximum of four days for the sponsor to comment on the application of to complete the application dossier though the EU portal.</w:t>
      </w:r>
    </w:p>
    <w:p w14:paraId="53B046F0" w14:textId="77777777" w:rsidR="00273F36" w:rsidRPr="004C70EC" w:rsidRDefault="003D1ADD" w:rsidP="00B23380">
      <w:pPr>
        <w:pStyle w:val="Text3"/>
        <w:rPr>
          <w:noProof/>
          <w:color w:val="000000" w:themeColor="text1"/>
          <w:szCs w:val="24"/>
          <w:lang w:val="en-IE" w:eastAsia="en-GB"/>
        </w:rPr>
      </w:pPr>
      <w:r w:rsidRPr="004C70EC">
        <w:rPr>
          <w:noProof/>
          <w:color w:val="000000" w:themeColor="text1"/>
          <w:szCs w:val="24"/>
          <w:lang w:val="en-IE" w:eastAsia="en-GB"/>
        </w:rPr>
        <w:t>T</w:t>
      </w:r>
      <w:r w:rsidR="00273F36" w:rsidRPr="004C70EC">
        <w:rPr>
          <w:noProof/>
          <w:color w:val="000000" w:themeColor="text1"/>
          <w:szCs w:val="24"/>
          <w:lang w:val="en-IE" w:eastAsia="en-GB"/>
        </w:rPr>
        <w:t xml:space="preserve">he reporting Member State shall notify the sponsor </w:t>
      </w:r>
      <w:r w:rsidRPr="004C70EC">
        <w:rPr>
          <w:noProof/>
          <w:color w:val="000000" w:themeColor="text1"/>
          <w:szCs w:val="24"/>
          <w:lang w:val="en-IE" w:eastAsia="en-GB"/>
        </w:rPr>
        <w:t xml:space="preserve">within 14 days from the submission date, </w:t>
      </w:r>
      <w:r w:rsidR="00273F36" w:rsidRPr="004C70EC">
        <w:rPr>
          <w:noProof/>
          <w:color w:val="000000" w:themeColor="text1"/>
          <w:szCs w:val="24"/>
          <w:lang w:val="en-IE" w:eastAsia="en-GB"/>
        </w:rPr>
        <w:t>as to whether or not the application complies with the requirements set out in paragraph 2</w:t>
      </w:r>
      <w:r w:rsidR="00584E73" w:rsidRPr="004C70EC">
        <w:rPr>
          <w:noProof/>
          <w:color w:val="000000" w:themeColor="text1"/>
          <w:szCs w:val="24"/>
          <w:lang w:val="en-IE" w:eastAsia="en-GB"/>
        </w:rPr>
        <w:t>,</w:t>
      </w:r>
      <w:r w:rsidR="00273F36" w:rsidRPr="004C70EC">
        <w:rPr>
          <w:noProof/>
          <w:color w:val="000000" w:themeColor="text1"/>
          <w:szCs w:val="24"/>
          <w:lang w:val="en-IE" w:eastAsia="en-GB"/>
        </w:rPr>
        <w:t xml:space="preserve"> points (a), (b), and when applicable </w:t>
      </w:r>
      <w:r w:rsidR="00584E73" w:rsidRPr="004C70EC">
        <w:rPr>
          <w:noProof/>
          <w:color w:val="000000" w:themeColor="text1"/>
          <w:szCs w:val="24"/>
          <w:lang w:val="en-IE" w:eastAsia="en-GB"/>
        </w:rPr>
        <w:t>point</w:t>
      </w:r>
      <w:r w:rsidR="00273F36" w:rsidRPr="004C70EC">
        <w:rPr>
          <w:noProof/>
          <w:color w:val="000000" w:themeColor="text1"/>
          <w:szCs w:val="24"/>
          <w:lang w:val="en-IE" w:eastAsia="en-GB"/>
        </w:rPr>
        <w:t xml:space="preserve"> (c).</w:t>
      </w:r>
    </w:p>
    <w:p w14:paraId="2C9E5907" w14:textId="77777777" w:rsidR="00273F36" w:rsidRPr="004C70EC" w:rsidRDefault="00273F36" w:rsidP="00B23380">
      <w:pPr>
        <w:pStyle w:val="Tex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Where the reporting Member State has not notified the sponsor within the period referred to in the second subparagraph, the substantial modification applied for shall be deemed to concern an aspect covered by Part I of the assessment report, the application dossier shall be deemed to be complete and, when applicable, the parallel substantial modification shall be deemed to be acceptable taking into account the requirements of Article 16a.</w:t>
      </w:r>
    </w:p>
    <w:p w14:paraId="51CA3457" w14:textId="77777777" w:rsidR="00273F36" w:rsidRPr="004C70EC" w:rsidRDefault="00273F36" w:rsidP="00B23380">
      <w:pPr>
        <w:pStyle w:val="Tex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 xml:space="preserve">Where the sponsor has not provided comments or completed the application dossier within the period referred to in the first subparagraph, the application shall be deemed to have lapsed in all </w:t>
      </w:r>
      <w:r w:rsidR="0041189C" w:rsidRPr="004C70EC">
        <w:rPr>
          <w:rFonts w:eastAsia="Times New Roman"/>
          <w:noProof/>
          <w:color w:val="000000" w:themeColor="text1"/>
          <w:szCs w:val="24"/>
          <w:lang w:val="en-IE" w:eastAsia="en-GB"/>
        </w:rPr>
        <w:t xml:space="preserve">the </w:t>
      </w:r>
      <w:r w:rsidRPr="004C70EC">
        <w:rPr>
          <w:rFonts w:eastAsia="Times New Roman"/>
          <w:noProof/>
          <w:color w:val="000000" w:themeColor="text1"/>
          <w:szCs w:val="24"/>
          <w:lang w:val="en-IE" w:eastAsia="en-GB"/>
        </w:rPr>
        <w:t>Member States concerned.</w:t>
      </w:r>
      <w:r w:rsidR="00584E73" w:rsidRPr="004C70EC">
        <w:rPr>
          <w:rFonts w:eastAsia="Times New Roman"/>
          <w:noProof/>
          <w:color w:val="000000" w:themeColor="text1"/>
          <w:szCs w:val="24"/>
          <w:lang w:val="en-IE" w:eastAsia="en-GB"/>
        </w:rPr>
        <w:t>’</w:t>
      </w:r>
    </w:p>
    <w:p w14:paraId="5546BC6E" w14:textId="77777777" w:rsidR="00273F36" w:rsidRPr="004C70EC" w:rsidRDefault="00926D87" w:rsidP="00926D87">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(1</w:t>
      </w:r>
      <w:r w:rsidR="00D14C31" w:rsidRPr="004C70EC">
        <w:rPr>
          <w:rFonts w:eastAsia="Times New Roman"/>
          <w:noProof/>
          <w:color w:val="000000" w:themeColor="text1"/>
          <w:szCs w:val="24"/>
          <w:lang w:eastAsia="en-IE"/>
        </w:rPr>
        <w:t>7</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Article 18 is amended as follows:</w:t>
      </w:r>
    </w:p>
    <w:p w14:paraId="15B7A51A" w14:textId="77777777" w:rsidR="00273F36" w:rsidRPr="004C70EC" w:rsidRDefault="00926D87" w:rsidP="00926D87">
      <w:pPr>
        <w:pStyle w:val="Point1"/>
        <w:rPr>
          <w:rFonts w:eastAsia="Times New Roman"/>
          <w:noProof/>
          <w:color w:val="000000" w:themeColor="text1"/>
          <w:szCs w:val="24"/>
          <w:lang w:eastAsia="en-IE"/>
        </w:rPr>
      </w:pPr>
      <w:r w:rsidRPr="004C70EC">
        <w:rPr>
          <w:rFonts w:eastAsia="Times New Roman"/>
          <w:noProof/>
          <w:color w:val="000000" w:themeColor="text1"/>
          <w:szCs w:val="24"/>
          <w:lang w:eastAsia="en-IE"/>
        </w:rPr>
        <w:t>(a)</w:t>
      </w:r>
      <w:r w:rsidRPr="004C70EC">
        <w:rPr>
          <w:rFonts w:eastAsia="Times New Roman"/>
          <w:noProof/>
          <w:color w:val="000000" w:themeColor="text1"/>
          <w:szCs w:val="24"/>
          <w:lang w:eastAsia="en-IE"/>
        </w:rPr>
        <w:tab/>
      </w:r>
      <w:r w:rsidR="00584E73" w:rsidRPr="004C70EC">
        <w:rPr>
          <w:rFonts w:eastAsia="Times New Roman"/>
          <w:noProof/>
          <w:color w:val="000000" w:themeColor="text1"/>
          <w:szCs w:val="24"/>
          <w:lang w:eastAsia="en-IE"/>
        </w:rPr>
        <w:t>p</w:t>
      </w:r>
      <w:r w:rsidR="00273F36" w:rsidRPr="004C70EC">
        <w:rPr>
          <w:rFonts w:eastAsia="Times New Roman"/>
          <w:noProof/>
          <w:color w:val="000000" w:themeColor="text1"/>
          <w:szCs w:val="24"/>
          <w:lang w:eastAsia="en-IE"/>
        </w:rPr>
        <w:t xml:space="preserve">aragraphs 3 </w:t>
      </w:r>
      <w:r w:rsidR="00584E73" w:rsidRPr="004C70EC">
        <w:rPr>
          <w:rFonts w:eastAsia="Times New Roman"/>
          <w:noProof/>
          <w:color w:val="000000" w:themeColor="text1"/>
          <w:szCs w:val="24"/>
          <w:lang w:eastAsia="en-IE"/>
        </w:rPr>
        <w:t>and 4 are</w:t>
      </w:r>
      <w:r w:rsidR="00273F36" w:rsidRPr="004C70EC">
        <w:rPr>
          <w:rFonts w:eastAsia="Times New Roman"/>
          <w:noProof/>
          <w:color w:val="000000" w:themeColor="text1"/>
          <w:szCs w:val="24"/>
          <w:lang w:eastAsia="en-IE"/>
        </w:rPr>
        <w:t xml:space="preserve"> replaced by the following:</w:t>
      </w:r>
    </w:p>
    <w:p w14:paraId="41458174" w14:textId="77777777" w:rsidR="00273F36" w:rsidRPr="004C70EC" w:rsidRDefault="00584E73" w:rsidP="00B23380">
      <w:pPr>
        <w:pStyle w:val="Point2"/>
        <w:rPr>
          <w:noProof/>
          <w:color w:val="000000" w:themeColor="text1"/>
          <w:szCs w:val="24"/>
          <w:lang w:val="en-IE" w:eastAsia="en-GB"/>
        </w:rPr>
      </w:pPr>
      <w:r w:rsidRPr="004C70EC">
        <w:rPr>
          <w:noProof/>
          <w:color w:val="000000" w:themeColor="text1"/>
          <w:szCs w:val="24"/>
          <w:lang w:val="en-IE" w:eastAsia="en-GB"/>
        </w:rPr>
        <w:t>‘3.</w:t>
      </w:r>
      <w:r w:rsidR="00B23380" w:rsidRPr="004C70EC">
        <w:rPr>
          <w:noProof/>
          <w:color w:val="000000" w:themeColor="text1"/>
          <w:szCs w:val="24"/>
          <w:lang w:val="en-IE" w:eastAsia="en-GB"/>
        </w:rPr>
        <w:tab/>
      </w:r>
      <w:r w:rsidR="00273F36" w:rsidRPr="004C70EC">
        <w:rPr>
          <w:noProof/>
          <w:color w:val="000000" w:themeColor="text1"/>
          <w:szCs w:val="24"/>
          <w:lang w:val="en-IE" w:eastAsia="en-GB"/>
        </w:rPr>
        <w:t xml:space="preserve">The reporting Member State shall submit, through the EU portal, the final assessment report including its conclusions, to the sponsor and to the other Member States concerned within 28 days from the submission date. </w:t>
      </w:r>
    </w:p>
    <w:p w14:paraId="22842306" w14:textId="77777777" w:rsidR="00273F36" w:rsidRPr="004C70EC" w:rsidRDefault="00273F36" w:rsidP="00B23380">
      <w:pPr>
        <w:pStyle w:val="Tex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 xml:space="preserve">For the purpose of this Article and </w:t>
      </w:r>
      <w:r w:rsidR="0041189C" w:rsidRPr="004C70EC">
        <w:rPr>
          <w:rFonts w:eastAsia="Times New Roman"/>
          <w:noProof/>
          <w:color w:val="000000" w:themeColor="text1"/>
          <w:szCs w:val="24"/>
          <w:lang w:val="en-IE" w:eastAsia="en-GB"/>
        </w:rPr>
        <w:t xml:space="preserve">of </w:t>
      </w:r>
      <w:r w:rsidRPr="004C70EC">
        <w:rPr>
          <w:rFonts w:eastAsia="Times New Roman"/>
          <w:noProof/>
          <w:color w:val="000000" w:themeColor="text1"/>
          <w:szCs w:val="24"/>
          <w:lang w:val="en-IE" w:eastAsia="en-GB"/>
        </w:rPr>
        <w:t xml:space="preserve">Articles 19 and 23, the reporting date shall be the date on which the final assessment report is submitted to the sponsor and </w:t>
      </w:r>
      <w:r w:rsidR="00421DE7" w:rsidRPr="004C70EC">
        <w:rPr>
          <w:rFonts w:eastAsia="Times New Roman"/>
          <w:noProof/>
          <w:color w:val="000000" w:themeColor="text1"/>
          <w:szCs w:val="24"/>
          <w:lang w:val="en-IE" w:eastAsia="en-GB"/>
        </w:rPr>
        <w:t xml:space="preserve">the </w:t>
      </w:r>
      <w:r w:rsidRPr="004C70EC">
        <w:rPr>
          <w:rFonts w:eastAsia="Times New Roman"/>
          <w:noProof/>
          <w:color w:val="000000" w:themeColor="text1"/>
          <w:szCs w:val="24"/>
          <w:lang w:val="en-IE" w:eastAsia="en-GB"/>
        </w:rPr>
        <w:t>other Member States concerned.</w:t>
      </w:r>
    </w:p>
    <w:p w14:paraId="42405587" w14:textId="77777777" w:rsidR="00273F36" w:rsidRPr="004C70EC" w:rsidRDefault="00792F9B" w:rsidP="00B2338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4.</w:t>
      </w:r>
      <w:r w:rsidR="00B23380"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For clinical trials involving more than one Member State the assessment process of substantial modification shall include three phases:</w:t>
      </w:r>
    </w:p>
    <w:p w14:paraId="391DE64C" w14:textId="77777777" w:rsidR="00273F36" w:rsidRPr="004C70EC" w:rsidRDefault="00926D87" w:rsidP="00B23380">
      <w:pPr>
        <w:pStyle w:val="Point3"/>
        <w:rPr>
          <w:noProof/>
          <w:color w:val="000000" w:themeColor="text1"/>
          <w:szCs w:val="24"/>
          <w:lang w:val="en-IE" w:eastAsia="en-GB"/>
        </w:rPr>
      </w:pPr>
      <w:r w:rsidRPr="004C70EC">
        <w:rPr>
          <w:noProof/>
          <w:color w:val="000000" w:themeColor="text1"/>
          <w:szCs w:val="24"/>
          <w:lang w:val="en-IE" w:eastAsia="en-GB"/>
        </w:rPr>
        <w:t>(a)</w:t>
      </w:r>
      <w:r w:rsidRPr="004C70EC">
        <w:rPr>
          <w:noProof/>
          <w:color w:val="000000" w:themeColor="text1"/>
          <w:szCs w:val="24"/>
          <w:lang w:val="en-IE" w:eastAsia="en-GB"/>
        </w:rPr>
        <w:tab/>
      </w:r>
      <w:r w:rsidR="00273F36" w:rsidRPr="004C70EC">
        <w:rPr>
          <w:noProof/>
          <w:color w:val="000000" w:themeColor="text1"/>
          <w:szCs w:val="24"/>
          <w:lang w:val="en-IE" w:eastAsia="en-GB"/>
        </w:rPr>
        <w:t xml:space="preserve">an assessment phase performed by the reporting Member State within 21 days from the submission date. The assessment phase shall end when the reporting Member State circulates the draft assessment report; </w:t>
      </w:r>
    </w:p>
    <w:p w14:paraId="4B18CBAC" w14:textId="77777777" w:rsidR="00273F36" w:rsidRPr="004C70EC" w:rsidRDefault="00926D87" w:rsidP="00B23380">
      <w:pPr>
        <w:pStyle w:val="Poin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a review phase performed within three days from the end of the assessment phase, involving al</w:t>
      </w:r>
      <w:r w:rsidR="00A9334B" w:rsidRPr="004C70EC">
        <w:rPr>
          <w:rFonts w:eastAsia="Times New Roman"/>
          <w:noProof/>
          <w:color w:val="000000" w:themeColor="text1"/>
          <w:szCs w:val="24"/>
          <w:lang w:val="en-IE" w:eastAsia="en-GB"/>
        </w:rPr>
        <w:t>l the</w:t>
      </w:r>
      <w:r w:rsidR="00273F36" w:rsidRPr="004C70EC">
        <w:rPr>
          <w:rFonts w:eastAsia="Times New Roman"/>
          <w:noProof/>
          <w:color w:val="000000" w:themeColor="text1"/>
          <w:szCs w:val="24"/>
          <w:lang w:val="en-IE" w:eastAsia="en-GB"/>
        </w:rPr>
        <w:t xml:space="preserve"> Member States concerned, and;</w:t>
      </w:r>
    </w:p>
    <w:p w14:paraId="114A6C10" w14:textId="77777777" w:rsidR="00273F36" w:rsidRPr="004C70EC" w:rsidRDefault="00926D87" w:rsidP="00B23380">
      <w:pPr>
        <w:pStyle w:val="Poin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(c)</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a coordination phase performed within four days from the end of the review phase.</w:t>
      </w:r>
    </w:p>
    <w:p w14:paraId="6F206ED6" w14:textId="77777777" w:rsidR="00273F36" w:rsidRPr="004C70EC" w:rsidRDefault="00273F36" w:rsidP="00B23380">
      <w:pPr>
        <w:pStyle w:val="Tex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 xml:space="preserve">During the assessment phase, the reporting Member State shall develop a draft assessment report and circulate it to all </w:t>
      </w:r>
      <w:r w:rsidR="00A9334B" w:rsidRPr="004C70EC">
        <w:rPr>
          <w:rFonts w:eastAsia="Times New Roman"/>
          <w:noProof/>
          <w:color w:val="000000" w:themeColor="text1"/>
          <w:szCs w:val="24"/>
          <w:lang w:val="en-IE" w:eastAsia="en-GB"/>
        </w:rPr>
        <w:t>the</w:t>
      </w:r>
      <w:r w:rsidRPr="004C70EC">
        <w:rPr>
          <w:rFonts w:eastAsia="Times New Roman"/>
          <w:noProof/>
          <w:color w:val="000000" w:themeColor="text1"/>
          <w:szCs w:val="24"/>
          <w:lang w:val="en-IE" w:eastAsia="en-GB"/>
        </w:rPr>
        <w:t xml:space="preserve"> Member States concerned.</w:t>
      </w:r>
    </w:p>
    <w:p w14:paraId="4A48FD74" w14:textId="77777777" w:rsidR="00273F36" w:rsidRPr="004C70EC" w:rsidRDefault="00273F36" w:rsidP="00B23380">
      <w:pPr>
        <w:pStyle w:val="Tex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 xml:space="preserve">During the review phase, all Member States concerned shall review the application on the </w:t>
      </w:r>
      <w:r w:rsidR="0015274E" w:rsidRPr="004C70EC">
        <w:rPr>
          <w:rFonts w:eastAsia="Times New Roman"/>
          <w:noProof/>
          <w:color w:val="000000" w:themeColor="text1"/>
          <w:szCs w:val="24"/>
          <w:lang w:val="en-IE" w:eastAsia="en-GB"/>
        </w:rPr>
        <w:t>basis of the</w:t>
      </w:r>
      <w:r w:rsidRPr="004C70EC">
        <w:rPr>
          <w:rFonts w:eastAsia="Times New Roman"/>
          <w:noProof/>
          <w:color w:val="000000" w:themeColor="text1"/>
          <w:szCs w:val="24"/>
          <w:lang w:val="en-IE" w:eastAsia="en-GB"/>
        </w:rPr>
        <w:t xml:space="preserve"> draft assessment report and shall share considerations for their Member State </w:t>
      </w:r>
      <w:r w:rsidR="0015274E" w:rsidRPr="004C70EC">
        <w:rPr>
          <w:rFonts w:eastAsia="Times New Roman"/>
          <w:noProof/>
          <w:color w:val="000000" w:themeColor="text1"/>
          <w:szCs w:val="24"/>
          <w:lang w:val="en-IE" w:eastAsia="en-GB"/>
        </w:rPr>
        <w:t>that are</w:t>
      </w:r>
      <w:r w:rsidRPr="004C70EC">
        <w:rPr>
          <w:rFonts w:eastAsia="Times New Roman"/>
          <w:noProof/>
          <w:color w:val="000000" w:themeColor="text1"/>
          <w:szCs w:val="24"/>
          <w:lang w:val="en-IE" w:eastAsia="en-GB"/>
        </w:rPr>
        <w:t xml:space="preserve"> relevant to the application.</w:t>
      </w:r>
    </w:p>
    <w:p w14:paraId="6D3032C4" w14:textId="77777777" w:rsidR="00273F36" w:rsidRPr="004C70EC" w:rsidRDefault="00273F36" w:rsidP="00B23380">
      <w:pPr>
        <w:pStyle w:val="Tex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Considerations may only be raised on:</w:t>
      </w:r>
    </w:p>
    <w:p w14:paraId="6D186B0F" w14:textId="77777777" w:rsidR="00273F36" w:rsidRPr="004C70EC" w:rsidRDefault="00273F36" w:rsidP="00B23380">
      <w:pPr>
        <w:pStyle w:val="Tiret3"/>
        <w:rPr>
          <w:noProof/>
          <w:color w:val="000000" w:themeColor="text1"/>
          <w:szCs w:val="24"/>
          <w:lang w:val="en-US" w:eastAsia="en-GB"/>
        </w:rPr>
      </w:pPr>
      <w:r w:rsidRPr="004C70EC">
        <w:rPr>
          <w:noProof/>
          <w:color w:val="000000" w:themeColor="text1"/>
          <w:szCs w:val="24"/>
          <w:lang w:val="en-IE" w:eastAsia="en-GB"/>
        </w:rPr>
        <w:t>one or more grounds referred to in Article 19(2) of this Regulation.</w:t>
      </w:r>
    </w:p>
    <w:p w14:paraId="5CD000FA" w14:textId="77777777" w:rsidR="00273F36" w:rsidRPr="004C70EC" w:rsidRDefault="00273F36" w:rsidP="00B23380">
      <w:pPr>
        <w:pStyle w:val="Tiret3"/>
        <w:rPr>
          <w:rFonts w:eastAsia="Times New Roman"/>
          <w:noProof/>
          <w:color w:val="000000" w:themeColor="text1"/>
          <w:szCs w:val="24"/>
          <w:lang w:val="en-US" w:eastAsia="en-GB"/>
        </w:rPr>
      </w:pPr>
      <w:r w:rsidRPr="004C70EC">
        <w:rPr>
          <w:rFonts w:eastAsia="Times New Roman"/>
          <w:noProof/>
          <w:color w:val="000000" w:themeColor="text1"/>
          <w:szCs w:val="24"/>
          <w:lang w:val="en-IE" w:eastAsia="en-GB"/>
        </w:rPr>
        <w:t>on matters that would lead the ethics committee</w:t>
      </w:r>
      <w:r w:rsidR="0073091E" w:rsidRPr="004C70EC">
        <w:rPr>
          <w:rFonts w:eastAsia="Times New Roman"/>
          <w:noProof/>
          <w:color w:val="000000" w:themeColor="text1"/>
          <w:szCs w:val="24"/>
          <w:lang w:val="en-IE" w:eastAsia="en-GB"/>
        </w:rPr>
        <w:t xml:space="preserve"> issuing negative opinion</w:t>
      </w:r>
      <w:r w:rsidRPr="004C70EC">
        <w:rPr>
          <w:rFonts w:eastAsia="Times New Roman"/>
          <w:noProof/>
          <w:color w:val="000000" w:themeColor="text1"/>
          <w:szCs w:val="24"/>
          <w:lang w:val="en-IE" w:eastAsia="en-GB"/>
        </w:rPr>
        <w:t>.</w:t>
      </w:r>
    </w:p>
    <w:p w14:paraId="32C271A1" w14:textId="77777777" w:rsidR="00273F36" w:rsidRPr="004C70EC" w:rsidRDefault="00273F36" w:rsidP="00B23380">
      <w:pPr>
        <w:pStyle w:val="Text3"/>
        <w:rPr>
          <w:noProof/>
          <w:color w:val="000000" w:themeColor="text1"/>
          <w:szCs w:val="24"/>
          <w:lang w:val="en-US"/>
        </w:rPr>
      </w:pPr>
      <w:r w:rsidRPr="004C70EC">
        <w:rPr>
          <w:noProof/>
          <w:color w:val="000000" w:themeColor="text1"/>
          <w:szCs w:val="24"/>
          <w:lang w:val="en-US"/>
        </w:rPr>
        <w:t xml:space="preserve">During the consolidation phase, the reporting Member State shall take due account of the considerations of the other Member States concerned when finalizing the assessment report and shall record how the considerations have been </w:t>
      </w:r>
      <w:r w:rsidR="007F62F9" w:rsidRPr="004C70EC">
        <w:rPr>
          <w:noProof/>
          <w:color w:val="000000" w:themeColor="text1"/>
          <w:szCs w:val="24"/>
          <w:lang w:val="en-US"/>
        </w:rPr>
        <w:t>addressed</w:t>
      </w:r>
      <w:r w:rsidRPr="004C70EC">
        <w:rPr>
          <w:noProof/>
          <w:color w:val="000000" w:themeColor="text1"/>
          <w:szCs w:val="24"/>
          <w:lang w:val="en-US"/>
        </w:rPr>
        <w:t xml:space="preserve">. The reporting Member State shall submit the final assessment report to the sponsor and all </w:t>
      </w:r>
      <w:r w:rsidR="007F62F9" w:rsidRPr="004C70EC">
        <w:rPr>
          <w:noProof/>
          <w:color w:val="000000" w:themeColor="text1"/>
          <w:szCs w:val="24"/>
          <w:lang w:val="en-US"/>
        </w:rPr>
        <w:t xml:space="preserve">the </w:t>
      </w:r>
      <w:r w:rsidRPr="004C70EC">
        <w:rPr>
          <w:noProof/>
          <w:color w:val="000000" w:themeColor="text1"/>
          <w:szCs w:val="24"/>
          <w:lang w:val="en-US"/>
        </w:rPr>
        <w:t>other Member States concerned by the reporting date.</w:t>
      </w:r>
      <w:r w:rsidR="00792F9B" w:rsidRPr="004C70EC">
        <w:rPr>
          <w:noProof/>
          <w:color w:val="000000" w:themeColor="text1"/>
          <w:szCs w:val="24"/>
          <w:lang w:val="en-US"/>
        </w:rPr>
        <w:t>’</w:t>
      </w:r>
    </w:p>
    <w:p w14:paraId="688DFC29" w14:textId="77777777" w:rsidR="00273F36" w:rsidRPr="004C70EC" w:rsidRDefault="00926D87" w:rsidP="000F76BC">
      <w:pPr>
        <w:pStyle w:val="Point1"/>
        <w:rPr>
          <w:rFonts w:eastAsia="Times New Roman"/>
          <w:noProof/>
          <w:color w:val="000000" w:themeColor="text1"/>
          <w:szCs w:val="24"/>
          <w:lang w:val="en-US"/>
        </w:rPr>
      </w:pPr>
      <w:r w:rsidRPr="004C70EC">
        <w:rPr>
          <w:rFonts w:eastAsia="Times New Roman"/>
          <w:noProof/>
          <w:color w:val="000000" w:themeColor="text1"/>
          <w:szCs w:val="24"/>
          <w:lang w:eastAsia="en-IE"/>
        </w:rPr>
        <w:t>(</w:t>
      </w:r>
      <w:r w:rsidR="00B23380" w:rsidRPr="004C70EC">
        <w:rPr>
          <w:rFonts w:eastAsia="Times New Roman"/>
          <w:noProof/>
          <w:color w:val="000000" w:themeColor="text1"/>
          <w:szCs w:val="24"/>
          <w:lang w:eastAsia="en-IE"/>
        </w:rPr>
        <w:t>b</w:t>
      </w:r>
      <w:r w:rsidRPr="004C70EC">
        <w:rPr>
          <w:rFonts w:eastAsia="Times New Roman"/>
          <w:noProof/>
          <w:color w:val="000000" w:themeColor="text1"/>
          <w:szCs w:val="24"/>
          <w:lang w:eastAsia="en-IE"/>
        </w:rPr>
        <w:t>)</w:t>
      </w:r>
      <w:r w:rsidRPr="004C70EC">
        <w:rPr>
          <w:noProof/>
          <w:color w:val="000000" w:themeColor="text1"/>
          <w:szCs w:val="24"/>
        </w:rPr>
        <w:tab/>
      </w:r>
      <w:r w:rsidR="00792F9B" w:rsidRPr="004C70EC">
        <w:rPr>
          <w:rFonts w:eastAsia="Times New Roman"/>
          <w:noProof/>
          <w:color w:val="000000" w:themeColor="text1"/>
          <w:szCs w:val="24"/>
          <w:lang w:eastAsia="en-IE"/>
        </w:rPr>
        <w:t>p</w:t>
      </w:r>
      <w:r w:rsidR="00273F36" w:rsidRPr="004C70EC">
        <w:rPr>
          <w:rFonts w:eastAsia="Times New Roman"/>
          <w:noProof/>
          <w:color w:val="000000" w:themeColor="text1"/>
          <w:szCs w:val="24"/>
          <w:lang w:eastAsia="en-IE"/>
        </w:rPr>
        <w:t>aragraph 5 is deleted</w:t>
      </w:r>
      <w:r w:rsidR="009EDFD2" w:rsidRPr="004C70EC">
        <w:rPr>
          <w:rFonts w:eastAsia="Times New Roman"/>
          <w:noProof/>
          <w:color w:val="000000" w:themeColor="text1"/>
          <w:szCs w:val="24"/>
          <w:lang w:eastAsia="en-IE"/>
        </w:rPr>
        <w:t>;</w:t>
      </w:r>
      <w:r w:rsidR="00273F36" w:rsidRPr="004C70EC">
        <w:rPr>
          <w:rFonts w:eastAsia="Times New Roman"/>
          <w:noProof/>
          <w:color w:val="000000" w:themeColor="text1"/>
          <w:szCs w:val="24"/>
          <w:lang w:eastAsia="en-IE"/>
        </w:rPr>
        <w:t xml:space="preserve"> </w:t>
      </w:r>
    </w:p>
    <w:p w14:paraId="2A0FA675" w14:textId="77777777" w:rsidR="00273F36" w:rsidRPr="004C70EC" w:rsidRDefault="00926D87" w:rsidP="000F76BC">
      <w:pPr>
        <w:pStyle w:val="Point1"/>
        <w:rPr>
          <w:rFonts w:eastAsia="Times New Roman"/>
          <w:noProof/>
          <w:color w:val="000000" w:themeColor="text1"/>
          <w:szCs w:val="24"/>
          <w:lang w:val="en-US"/>
        </w:rPr>
      </w:pPr>
      <w:r w:rsidRPr="004C70EC">
        <w:rPr>
          <w:rFonts w:eastAsia="Times New Roman"/>
          <w:noProof/>
          <w:color w:val="000000" w:themeColor="text1"/>
          <w:szCs w:val="24"/>
          <w:lang w:eastAsia="en-IE"/>
        </w:rPr>
        <w:t>(</w:t>
      </w:r>
      <w:r w:rsidR="00B23380" w:rsidRPr="004C70EC">
        <w:rPr>
          <w:rFonts w:eastAsia="Times New Roman"/>
          <w:noProof/>
          <w:color w:val="000000" w:themeColor="text1"/>
          <w:szCs w:val="24"/>
          <w:lang w:eastAsia="en-IE"/>
        </w:rPr>
        <w:t>c</w:t>
      </w:r>
      <w:r w:rsidRPr="004C70EC">
        <w:rPr>
          <w:rFonts w:eastAsia="Times New Roman"/>
          <w:noProof/>
          <w:color w:val="000000" w:themeColor="text1"/>
          <w:szCs w:val="24"/>
          <w:lang w:eastAsia="en-IE"/>
        </w:rPr>
        <w:t>)</w:t>
      </w:r>
      <w:r w:rsidRPr="004C70EC">
        <w:rPr>
          <w:rFonts w:eastAsia="Times New Roman"/>
          <w:noProof/>
          <w:color w:val="000000" w:themeColor="text1"/>
          <w:szCs w:val="24"/>
          <w:lang w:eastAsia="en-IE"/>
        </w:rPr>
        <w:tab/>
      </w:r>
      <w:r w:rsidR="00792F9B" w:rsidRPr="004C70EC">
        <w:rPr>
          <w:rFonts w:eastAsia="Times New Roman"/>
          <w:noProof/>
          <w:color w:val="000000" w:themeColor="text1"/>
          <w:szCs w:val="24"/>
          <w:lang w:eastAsia="en-IE"/>
        </w:rPr>
        <w:t>p</w:t>
      </w:r>
      <w:r w:rsidR="00273F36" w:rsidRPr="004C70EC">
        <w:rPr>
          <w:rFonts w:eastAsia="Times New Roman"/>
          <w:noProof/>
          <w:color w:val="000000" w:themeColor="text1"/>
          <w:szCs w:val="24"/>
          <w:lang w:eastAsia="en-IE"/>
        </w:rPr>
        <w:t>aragraph 6 is replaced by the following:</w:t>
      </w:r>
    </w:p>
    <w:p w14:paraId="3571B01E" w14:textId="77777777" w:rsidR="00273F36" w:rsidRPr="004C70EC" w:rsidRDefault="00792F9B" w:rsidP="006E6B0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‘6.</w:t>
      </w:r>
      <w:r w:rsidR="006E6B00"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 xml:space="preserve">Between </w:t>
      </w:r>
      <w:r w:rsidR="007F62F9" w:rsidRPr="004C70EC">
        <w:rPr>
          <w:rFonts w:eastAsia="Times New Roman"/>
          <w:noProof/>
          <w:color w:val="000000" w:themeColor="text1"/>
          <w:szCs w:val="24"/>
          <w:lang w:val="en-IE" w:eastAsia="en-GB"/>
        </w:rPr>
        <w:t>the</w:t>
      </w:r>
      <w:r w:rsidR="00273F36" w:rsidRPr="004C70EC">
        <w:rPr>
          <w:rFonts w:eastAsia="Times New Roman"/>
          <w:noProof/>
          <w:color w:val="000000" w:themeColor="text1"/>
          <w:szCs w:val="24"/>
          <w:lang w:val="en-IE" w:eastAsia="en-GB"/>
        </w:rPr>
        <w:t xml:space="preserve"> validation date and the reporting date, only the reporting Member State may request additional information from the sponsor, taking into account the considerations referred to in paragraph 4.</w:t>
      </w:r>
    </w:p>
    <w:p w14:paraId="657E5207" w14:textId="77777777" w:rsidR="00273F36" w:rsidRPr="004C70EC" w:rsidRDefault="00273F36" w:rsidP="006E6B00">
      <w:pPr>
        <w:pStyle w:val="Tex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 xml:space="preserve">For the purpose of obtaining and reviewing this additional information from the sponsor in accordance with the third and fourth subparagraph, the reporting Member State may extend the period referred to in the first subparagraph of paragraph 3 by a maximum </w:t>
      </w:r>
      <w:r w:rsidR="007F62F9" w:rsidRPr="004C70EC">
        <w:rPr>
          <w:rFonts w:eastAsia="Times New Roman"/>
          <w:noProof/>
          <w:color w:val="000000" w:themeColor="text1"/>
          <w:szCs w:val="24"/>
          <w:lang w:val="en-IE" w:eastAsia="en-GB"/>
        </w:rPr>
        <w:t xml:space="preserve">of </w:t>
      </w:r>
      <w:r w:rsidRPr="004C70EC">
        <w:rPr>
          <w:rFonts w:eastAsia="Times New Roman"/>
          <w:noProof/>
          <w:color w:val="000000" w:themeColor="text1"/>
          <w:szCs w:val="24"/>
          <w:lang w:val="en-IE" w:eastAsia="en-GB"/>
        </w:rPr>
        <w:t xml:space="preserve">14 days. </w:t>
      </w:r>
    </w:p>
    <w:p w14:paraId="3A1DBC4C" w14:textId="77777777" w:rsidR="00273F36" w:rsidRPr="004C70EC" w:rsidRDefault="00273F36" w:rsidP="006E6B00">
      <w:pPr>
        <w:pStyle w:val="Tex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The sponsor shall submit the requested additional information within the period set by the reporting Member State</w:t>
      </w:r>
      <w:r w:rsidR="00B13104" w:rsidRPr="004C70EC">
        <w:rPr>
          <w:rFonts w:eastAsia="Times New Roman"/>
          <w:noProof/>
          <w:color w:val="000000" w:themeColor="text1"/>
          <w:szCs w:val="24"/>
          <w:lang w:val="en-IE" w:eastAsia="en-GB"/>
        </w:rPr>
        <w:t>. This period</w:t>
      </w:r>
      <w:r w:rsidRPr="004C70EC">
        <w:rPr>
          <w:rFonts w:eastAsia="Times New Roman"/>
          <w:noProof/>
          <w:color w:val="000000" w:themeColor="text1"/>
          <w:szCs w:val="24"/>
          <w:lang w:val="en-IE" w:eastAsia="en-GB"/>
        </w:rPr>
        <w:t xml:space="preserve"> shall not </w:t>
      </w:r>
      <w:r w:rsidR="00B13104" w:rsidRPr="004C70EC">
        <w:rPr>
          <w:rFonts w:eastAsia="Times New Roman"/>
          <w:noProof/>
          <w:color w:val="000000" w:themeColor="text1"/>
          <w:szCs w:val="24"/>
          <w:lang w:val="en-IE" w:eastAsia="en-GB"/>
        </w:rPr>
        <w:t xml:space="preserve">extend beyond </w:t>
      </w:r>
      <w:r w:rsidRPr="004C70EC">
        <w:rPr>
          <w:rFonts w:eastAsia="Times New Roman"/>
          <w:noProof/>
          <w:color w:val="000000" w:themeColor="text1"/>
          <w:szCs w:val="24"/>
          <w:lang w:val="en-IE" w:eastAsia="en-GB"/>
        </w:rPr>
        <w:t>seven days from the receipt of the request.</w:t>
      </w:r>
    </w:p>
    <w:p w14:paraId="21CD7CB6" w14:textId="77777777" w:rsidR="00273F36" w:rsidRPr="004C70EC" w:rsidRDefault="00273F36" w:rsidP="006E6B00">
      <w:pPr>
        <w:pStyle w:val="Text3"/>
        <w:rPr>
          <w:rFonts w:eastAsia="Times New Roman"/>
          <w:noProof/>
          <w:color w:val="000000" w:themeColor="text1"/>
          <w:szCs w:val="24"/>
          <w:lang w:eastAsia="en-GB"/>
        </w:rPr>
      </w:pPr>
      <w:r w:rsidRPr="004C70EC">
        <w:rPr>
          <w:rFonts w:eastAsia="Times New Roman"/>
          <w:noProof/>
          <w:color w:val="000000" w:themeColor="text1"/>
          <w:szCs w:val="24"/>
          <w:lang w:eastAsia="en-GB"/>
        </w:rPr>
        <w:t xml:space="preserve">Upon receipt of the additional information, the Member States concerned shall review any additional information provided by the sponsor and shall share any unaddressed considerations relevant to the application. The review shall be performed within a maximum of three days from the receipt of the additional information and further consolidation shall be performed within a maximum of seven days from the receipt of additional information from </w:t>
      </w:r>
      <w:r w:rsidR="00B13104" w:rsidRPr="004C70EC">
        <w:rPr>
          <w:rFonts w:eastAsia="Times New Roman"/>
          <w:noProof/>
          <w:color w:val="000000" w:themeColor="text1"/>
          <w:szCs w:val="24"/>
          <w:lang w:eastAsia="en-GB"/>
        </w:rPr>
        <w:t xml:space="preserve">the </w:t>
      </w:r>
      <w:r w:rsidRPr="004C70EC">
        <w:rPr>
          <w:rFonts w:eastAsia="Times New Roman"/>
          <w:noProof/>
          <w:color w:val="000000" w:themeColor="text1"/>
          <w:szCs w:val="24"/>
          <w:lang w:eastAsia="en-GB"/>
        </w:rPr>
        <w:t>sponsor. When finalising the assessment report, the reporting Member State shall take due account of the considerations of the other Member States concerned and shall record how the considerations have been dealt with.</w:t>
      </w:r>
      <w:r w:rsidR="00792F9B" w:rsidRPr="004C70EC">
        <w:rPr>
          <w:rFonts w:eastAsia="Times New Roman"/>
          <w:noProof/>
          <w:color w:val="000000" w:themeColor="text1"/>
          <w:szCs w:val="24"/>
          <w:lang w:eastAsia="en-GB"/>
        </w:rPr>
        <w:t>’</w:t>
      </w:r>
      <w:r w:rsidR="7E52B111" w:rsidRPr="004C70EC">
        <w:rPr>
          <w:rFonts w:eastAsia="Times New Roman"/>
          <w:noProof/>
          <w:color w:val="000000" w:themeColor="text1"/>
          <w:szCs w:val="24"/>
        </w:rPr>
        <w:t>;</w:t>
      </w:r>
    </w:p>
    <w:p w14:paraId="6336286F" w14:textId="77777777" w:rsidR="00273F36" w:rsidRPr="004C70EC" w:rsidRDefault="000F76BC" w:rsidP="000F76BC">
      <w:pPr>
        <w:pStyle w:val="Point0"/>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(1</w:t>
      </w:r>
      <w:r w:rsidR="00D14C31" w:rsidRPr="004C70EC">
        <w:rPr>
          <w:rFonts w:eastAsia="Times New Roman"/>
          <w:noProof/>
          <w:color w:val="000000" w:themeColor="text1"/>
          <w:szCs w:val="24"/>
          <w:lang w:val="en-IE" w:eastAsia="en-GB"/>
        </w:rPr>
        <w:t>8</w:t>
      </w:r>
      <w:r w:rsidRPr="004C70EC">
        <w:rPr>
          <w:rFonts w:eastAsia="Times New Roman"/>
          <w:noProof/>
          <w:color w:val="000000" w:themeColor="text1"/>
          <w:szCs w:val="24"/>
          <w:lang w:val="en-IE" w:eastAsia="en-GB"/>
        </w:rPr>
        <w:t>)</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Article 19 is amended as follows:</w:t>
      </w:r>
    </w:p>
    <w:p w14:paraId="2FBA0DC1" w14:textId="77777777" w:rsidR="00273F36" w:rsidRPr="004C70EC" w:rsidRDefault="000F76BC" w:rsidP="000F76BC">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w:t>
      </w:r>
      <w:r w:rsidRPr="004C70EC">
        <w:rPr>
          <w:noProof/>
          <w:color w:val="000000" w:themeColor="text1"/>
          <w:szCs w:val="24"/>
        </w:rPr>
        <w:tab/>
      </w:r>
      <w:r w:rsidR="00792F9B" w:rsidRPr="004C70EC">
        <w:rPr>
          <w:rFonts w:eastAsia="Times New Roman"/>
          <w:noProof/>
          <w:color w:val="000000" w:themeColor="text1"/>
          <w:szCs w:val="24"/>
          <w:lang w:val="en-IE" w:eastAsia="en-GB"/>
        </w:rPr>
        <w:t>p</w:t>
      </w:r>
      <w:r w:rsidR="00273F36" w:rsidRPr="004C70EC">
        <w:rPr>
          <w:rFonts w:eastAsia="Times New Roman"/>
          <w:noProof/>
          <w:color w:val="000000" w:themeColor="text1"/>
          <w:szCs w:val="24"/>
          <w:lang w:val="en-IE" w:eastAsia="en-GB"/>
        </w:rPr>
        <w:t>aragraph</w:t>
      </w:r>
      <w:r w:rsidR="7BB1ED6C" w:rsidRPr="004C70EC">
        <w:rPr>
          <w:rFonts w:eastAsia="Times New Roman"/>
          <w:noProof/>
          <w:color w:val="000000" w:themeColor="text1"/>
          <w:szCs w:val="24"/>
          <w:lang w:val="en-IE" w:eastAsia="en-GB"/>
        </w:rPr>
        <w:t>s</w:t>
      </w:r>
      <w:r w:rsidR="00273F36" w:rsidRPr="004C70EC">
        <w:rPr>
          <w:rFonts w:eastAsia="Times New Roman"/>
          <w:noProof/>
          <w:color w:val="000000" w:themeColor="text1"/>
          <w:szCs w:val="24"/>
          <w:lang w:val="en-IE" w:eastAsia="en-GB"/>
        </w:rPr>
        <w:t xml:space="preserve"> 1 </w:t>
      </w:r>
      <w:r w:rsidR="00792F9B" w:rsidRPr="004C70EC">
        <w:rPr>
          <w:rFonts w:eastAsia="Times New Roman"/>
          <w:noProof/>
          <w:color w:val="000000" w:themeColor="text1"/>
          <w:szCs w:val="24"/>
          <w:lang w:val="en-IE" w:eastAsia="en-GB"/>
        </w:rPr>
        <w:t>and 2</w:t>
      </w:r>
      <w:r w:rsidR="00273F36" w:rsidRPr="004C70EC">
        <w:rPr>
          <w:rFonts w:eastAsia="Times New Roman"/>
          <w:noProof/>
          <w:color w:val="000000" w:themeColor="text1"/>
          <w:szCs w:val="24"/>
          <w:lang w:val="en-IE" w:eastAsia="en-GB"/>
        </w:rPr>
        <w:t xml:space="preserve"> </w:t>
      </w:r>
      <w:r w:rsidR="00792F9B" w:rsidRPr="004C70EC">
        <w:rPr>
          <w:rFonts w:eastAsia="Times New Roman"/>
          <w:noProof/>
          <w:color w:val="000000" w:themeColor="text1"/>
          <w:szCs w:val="24"/>
          <w:lang w:val="en-IE" w:eastAsia="en-GB"/>
        </w:rPr>
        <w:t xml:space="preserve">are </w:t>
      </w:r>
      <w:r w:rsidR="00273F36" w:rsidRPr="004C70EC">
        <w:rPr>
          <w:rFonts w:eastAsia="Times New Roman"/>
          <w:noProof/>
          <w:color w:val="000000" w:themeColor="text1"/>
          <w:szCs w:val="24"/>
          <w:lang w:val="en-IE" w:eastAsia="en-GB"/>
        </w:rPr>
        <w:t>replaced by the following:</w:t>
      </w:r>
    </w:p>
    <w:p w14:paraId="0FAE8061" w14:textId="77777777" w:rsidR="00273F36" w:rsidRPr="004C70EC" w:rsidRDefault="00792F9B" w:rsidP="00F604BB">
      <w:pPr>
        <w:pStyle w:val="Point2"/>
        <w:rPr>
          <w:noProof/>
          <w:lang w:val="en-IE" w:eastAsia="en-GB"/>
        </w:rPr>
      </w:pPr>
      <w:r w:rsidRPr="004C70EC">
        <w:rPr>
          <w:noProof/>
          <w:lang w:val="en-IE" w:eastAsia="en-GB"/>
        </w:rPr>
        <w:t>‘</w:t>
      </w:r>
      <w:r w:rsidR="02F95349" w:rsidRPr="004C70EC">
        <w:rPr>
          <w:noProof/>
          <w:lang w:val="en-IE" w:eastAsia="en-GB"/>
        </w:rPr>
        <w:t>1.</w:t>
      </w:r>
      <w:r w:rsidR="00F604BB" w:rsidRPr="004C70EC">
        <w:rPr>
          <w:noProof/>
          <w:lang w:val="en-IE" w:eastAsia="en-GB"/>
        </w:rPr>
        <w:tab/>
      </w:r>
      <w:r w:rsidR="00273F36" w:rsidRPr="004C70EC">
        <w:rPr>
          <w:noProof/>
          <w:lang w:val="en-IE" w:eastAsia="en-GB"/>
        </w:rPr>
        <w:t>Each Member State concerned shall notify the sponsor through the EU portal as to whether the substantial modification is authorised, whether it is authorised subject to conditions, or whether authorisation is refused.</w:t>
      </w:r>
    </w:p>
    <w:p w14:paraId="347FC5DB" w14:textId="77777777" w:rsidR="00273F36" w:rsidRPr="004C70EC" w:rsidRDefault="00273F36" w:rsidP="00F604BB">
      <w:pPr>
        <w:pStyle w:val="Text3"/>
        <w:rPr>
          <w:noProof/>
          <w:lang w:val="en-IE" w:eastAsia="en-GB"/>
        </w:rPr>
      </w:pPr>
      <w:r w:rsidRPr="004C70EC">
        <w:rPr>
          <w:noProof/>
          <w:lang w:val="en-IE" w:eastAsia="en-GB"/>
        </w:rPr>
        <w:t xml:space="preserve">Notification shall be done by way of a single decision within </w:t>
      </w:r>
      <w:r w:rsidR="000E521E" w:rsidRPr="004C70EC">
        <w:rPr>
          <w:noProof/>
          <w:lang w:val="en-IE" w:eastAsia="en-GB"/>
        </w:rPr>
        <w:t xml:space="preserve">five </w:t>
      </w:r>
      <w:r w:rsidRPr="004C70EC">
        <w:rPr>
          <w:noProof/>
          <w:lang w:val="en-IE" w:eastAsia="en-GB"/>
        </w:rPr>
        <w:t>days from the reporting date.</w:t>
      </w:r>
    </w:p>
    <w:p w14:paraId="24D63A60" w14:textId="77777777" w:rsidR="00273F36" w:rsidRPr="004C70EC" w:rsidRDefault="00273F36" w:rsidP="00F604BB">
      <w:pPr>
        <w:pStyle w:val="Tex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Where the conclusion of the reporting Member State is that the substantial modification is acceptable or acceptable subject to compliance with specific conditions, that conclusions shall be deemed to be the conclusions of the Member State concerned.</w:t>
      </w:r>
    </w:p>
    <w:p w14:paraId="498A4A38" w14:textId="77777777" w:rsidR="00273F36" w:rsidRPr="004C70EC" w:rsidRDefault="00273F36" w:rsidP="00F604BB">
      <w:pPr>
        <w:pStyle w:val="Tex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 substantial modification subject to condition may be implemented unless the Member State concerned specified that the condition is suspensive. Unless otherwise specified, the fulfilment of the condition does not require a submission of a request for another substantial modification.</w:t>
      </w:r>
    </w:p>
    <w:p w14:paraId="594E1BE9" w14:textId="77777777" w:rsidR="00273F36" w:rsidRPr="004C70EC" w:rsidRDefault="00273F36" w:rsidP="00F604BB">
      <w:pPr>
        <w:pStyle w:val="Tex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Notwithstanding the first subparagraph, a Member State concerned may disagree with that conclusion of the reporting Member State only on the following grounds, provided that the consideration was raised during the process pursuant to Article 18(4) and it considers that it was not sufficiently addressed:</w:t>
      </w:r>
    </w:p>
    <w:p w14:paraId="2491A41F" w14:textId="77777777" w:rsidR="00273F36" w:rsidRPr="004C70EC" w:rsidRDefault="000F76BC" w:rsidP="00F604BB">
      <w:pPr>
        <w:pStyle w:val="Point3"/>
        <w:rPr>
          <w:noProof/>
          <w:lang w:val="en-IE" w:eastAsia="en-GB"/>
        </w:rPr>
      </w:pPr>
      <w:r w:rsidRPr="004C70EC">
        <w:rPr>
          <w:noProof/>
          <w:lang w:val="en-IE" w:eastAsia="en-GB"/>
        </w:rPr>
        <w:t>(a)</w:t>
      </w:r>
      <w:r w:rsidRPr="004C70EC">
        <w:rPr>
          <w:noProof/>
          <w:lang w:val="en-IE" w:eastAsia="en-GB"/>
        </w:rPr>
        <w:tab/>
      </w:r>
      <w:r w:rsidR="00273F36" w:rsidRPr="004C70EC">
        <w:rPr>
          <w:noProof/>
          <w:lang w:val="en-IE" w:eastAsia="en-GB"/>
        </w:rPr>
        <w:t>when it considers that participation in the clinical trial would lead to a subject receiving an inferior treatment than in normal clinical practice in the Member State concerned;</w:t>
      </w:r>
    </w:p>
    <w:p w14:paraId="0251F103" w14:textId="77777777" w:rsidR="00273F36" w:rsidRPr="004C70EC" w:rsidRDefault="000F76BC" w:rsidP="00F604BB">
      <w:pPr>
        <w:pStyle w:val="Poin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infringement of its national law as referred to in article 90.</w:t>
      </w:r>
    </w:p>
    <w:p w14:paraId="1C97B8F7" w14:textId="77777777" w:rsidR="00273F36" w:rsidRPr="004C70EC" w:rsidRDefault="079E8133" w:rsidP="00F604BB">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2.</w:t>
      </w:r>
      <w:r w:rsidR="00F604BB"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Where the Member State concerned disagrees with the conclusion on the basis of the second subparagraph, it shall communicate its disagreement, together with a detailed justification, through the EU portal, to the Commission, to all Member States and to the sponsor.</w:t>
      </w:r>
    </w:p>
    <w:p w14:paraId="039F8A0B" w14:textId="77777777" w:rsidR="00273F36" w:rsidRPr="004C70EC" w:rsidRDefault="00273F36" w:rsidP="00F604BB">
      <w:pPr>
        <w:pStyle w:val="Tex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 Member State concerned shall refuse to authorise a substantial modification if it disagrees with the conclusion of the reporting Member State as regards Part I of the assessment report on any of the grounds referred to in the second paragraph  or where an ethics committee has issued a negative opinion which, in accordance with the law of that Member State concerned, is valid for the entire Member State. That Member State shall provide for an appeal procedure in respect of such refusal.</w:t>
      </w:r>
      <w:r w:rsidR="00792F9B" w:rsidRPr="004C70EC">
        <w:rPr>
          <w:rFonts w:eastAsia="Times New Roman"/>
          <w:noProof/>
          <w:color w:val="000000" w:themeColor="text1"/>
          <w:szCs w:val="24"/>
          <w:lang w:val="en-IE" w:eastAsia="en-GB"/>
        </w:rPr>
        <w:t>’</w:t>
      </w:r>
    </w:p>
    <w:p w14:paraId="1A7F75DB" w14:textId="77777777" w:rsidR="00273F36" w:rsidRPr="004C70EC" w:rsidRDefault="000F76BC" w:rsidP="000F76BC">
      <w:pPr>
        <w:pStyle w:val="Point0"/>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D14C31" w:rsidRPr="004C70EC">
        <w:rPr>
          <w:rFonts w:eastAsia="Times New Roman"/>
          <w:noProof/>
          <w:color w:val="000000" w:themeColor="text1"/>
          <w:szCs w:val="24"/>
          <w:lang w:val="en-IE" w:eastAsia="en-GB"/>
        </w:rPr>
        <w:t>19</w:t>
      </w:r>
      <w:r w:rsidRPr="004C70EC">
        <w:rPr>
          <w:rFonts w:eastAsia="Times New Roman"/>
          <w:noProof/>
          <w:color w:val="000000" w:themeColor="text1"/>
          <w:szCs w:val="24"/>
          <w:lang w:val="en-IE" w:eastAsia="en-GB"/>
        </w:rPr>
        <w:t>)</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Article 20 is amended as follows:</w:t>
      </w:r>
    </w:p>
    <w:p w14:paraId="26D90C55" w14:textId="77777777" w:rsidR="00273F36" w:rsidRPr="004C70EC" w:rsidRDefault="000F76BC" w:rsidP="000F76BC">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w:t>
      </w:r>
      <w:r w:rsidRPr="004C70EC">
        <w:rPr>
          <w:noProof/>
          <w:color w:val="000000" w:themeColor="text1"/>
          <w:szCs w:val="24"/>
        </w:rPr>
        <w:tab/>
      </w:r>
      <w:r w:rsidR="00792F9B" w:rsidRPr="004C70EC">
        <w:rPr>
          <w:rFonts w:eastAsia="Times New Roman"/>
          <w:noProof/>
          <w:color w:val="000000" w:themeColor="text1"/>
          <w:szCs w:val="24"/>
          <w:lang w:val="en-IE" w:eastAsia="en-GB"/>
        </w:rPr>
        <w:t>p</w:t>
      </w:r>
      <w:r w:rsidR="00273F36" w:rsidRPr="004C70EC">
        <w:rPr>
          <w:rFonts w:eastAsia="Times New Roman"/>
          <w:noProof/>
          <w:color w:val="000000" w:themeColor="text1"/>
          <w:szCs w:val="24"/>
          <w:lang w:val="en-IE" w:eastAsia="en-GB"/>
        </w:rPr>
        <w:t>aragraph</w:t>
      </w:r>
      <w:r w:rsidR="58ACDB2B" w:rsidRPr="004C70EC">
        <w:rPr>
          <w:rFonts w:eastAsia="Times New Roman"/>
          <w:noProof/>
          <w:color w:val="000000" w:themeColor="text1"/>
          <w:szCs w:val="24"/>
          <w:lang w:val="en-IE" w:eastAsia="en-GB"/>
        </w:rPr>
        <w:t>s</w:t>
      </w:r>
      <w:r w:rsidR="00273F36" w:rsidRPr="004C70EC">
        <w:rPr>
          <w:rFonts w:eastAsia="Times New Roman"/>
          <w:noProof/>
          <w:color w:val="000000" w:themeColor="text1"/>
          <w:szCs w:val="24"/>
          <w:lang w:val="en-IE" w:eastAsia="en-GB"/>
        </w:rPr>
        <w:t xml:space="preserve"> 1 </w:t>
      </w:r>
      <w:r w:rsidR="00792F9B" w:rsidRPr="004C70EC">
        <w:rPr>
          <w:rFonts w:eastAsia="Times New Roman"/>
          <w:noProof/>
          <w:color w:val="000000" w:themeColor="text1"/>
          <w:szCs w:val="24"/>
          <w:lang w:val="en-IE" w:eastAsia="en-GB"/>
        </w:rPr>
        <w:t>and 2</w:t>
      </w:r>
      <w:r w:rsidR="00273F36" w:rsidRPr="004C70EC">
        <w:rPr>
          <w:rFonts w:eastAsia="Times New Roman"/>
          <w:noProof/>
          <w:color w:val="000000" w:themeColor="text1"/>
          <w:szCs w:val="24"/>
          <w:lang w:val="en-IE" w:eastAsia="en-GB"/>
        </w:rPr>
        <w:t xml:space="preserve"> </w:t>
      </w:r>
      <w:r w:rsidR="0B3CEC2B" w:rsidRPr="004C70EC">
        <w:rPr>
          <w:rFonts w:eastAsia="Times New Roman"/>
          <w:noProof/>
          <w:color w:val="000000" w:themeColor="text1"/>
          <w:szCs w:val="24"/>
          <w:lang w:val="en-IE" w:eastAsia="en-GB"/>
        </w:rPr>
        <w:t>are</w:t>
      </w:r>
      <w:r w:rsidR="00273F36" w:rsidRPr="004C70EC">
        <w:rPr>
          <w:rFonts w:eastAsia="Times New Roman"/>
          <w:noProof/>
          <w:color w:val="000000" w:themeColor="text1"/>
          <w:szCs w:val="24"/>
          <w:lang w:val="en-IE" w:eastAsia="en-GB"/>
        </w:rPr>
        <w:t xml:space="preserve"> replaced by the following:</w:t>
      </w:r>
    </w:p>
    <w:p w14:paraId="6FBACE13" w14:textId="77777777" w:rsidR="00273F36" w:rsidRPr="004C70EC" w:rsidRDefault="00792F9B" w:rsidP="006E6B00">
      <w:pPr>
        <w:pStyle w:val="Point2"/>
        <w:rPr>
          <w:noProof/>
          <w:color w:val="000000" w:themeColor="text1"/>
          <w:szCs w:val="24"/>
          <w:lang w:val="en-IE" w:eastAsia="en-GB"/>
        </w:rPr>
      </w:pPr>
      <w:r w:rsidRPr="004C70EC">
        <w:rPr>
          <w:noProof/>
          <w:color w:val="000000" w:themeColor="text1"/>
          <w:szCs w:val="24"/>
          <w:lang w:val="en-IE" w:eastAsia="en-GB"/>
        </w:rPr>
        <w:t>‘1.</w:t>
      </w:r>
      <w:r w:rsidR="006E6B00" w:rsidRPr="004C70EC">
        <w:rPr>
          <w:noProof/>
          <w:color w:val="000000" w:themeColor="text1"/>
          <w:szCs w:val="24"/>
          <w:lang w:val="en-IE" w:eastAsia="en-GB"/>
        </w:rPr>
        <w:tab/>
      </w:r>
      <w:r w:rsidR="00273F36" w:rsidRPr="004C70EC">
        <w:rPr>
          <w:noProof/>
          <w:color w:val="000000" w:themeColor="text1"/>
          <w:szCs w:val="24"/>
          <w:lang w:val="en-IE" w:eastAsia="en-GB"/>
        </w:rPr>
        <w:t>Within four days from the submission of the application dossier, the Member State concerned shall notify the sponsor though the EU portal of the following:</w:t>
      </w:r>
    </w:p>
    <w:p w14:paraId="6C80ADC1" w14:textId="77777777" w:rsidR="00273F36" w:rsidRPr="004C70EC" w:rsidRDefault="000F76BC" w:rsidP="006E6B00">
      <w:pPr>
        <w:pStyle w:val="Point3"/>
        <w:rPr>
          <w:noProof/>
          <w:color w:val="000000" w:themeColor="text1"/>
          <w:szCs w:val="24"/>
          <w:lang w:val="en-IE" w:eastAsia="en-GB"/>
        </w:rPr>
      </w:pPr>
      <w:r w:rsidRPr="004C70EC">
        <w:rPr>
          <w:noProof/>
          <w:color w:val="000000" w:themeColor="text1"/>
          <w:szCs w:val="24"/>
          <w:lang w:val="en-IE" w:eastAsia="en-GB"/>
        </w:rPr>
        <w:t>(a)</w:t>
      </w:r>
      <w:r w:rsidRPr="004C70EC">
        <w:rPr>
          <w:noProof/>
          <w:color w:val="000000" w:themeColor="text1"/>
          <w:szCs w:val="24"/>
          <w:lang w:val="en-IE" w:eastAsia="en-GB"/>
        </w:rPr>
        <w:tab/>
      </w:r>
      <w:r w:rsidR="00273F36" w:rsidRPr="004C70EC">
        <w:rPr>
          <w:noProof/>
          <w:color w:val="000000" w:themeColor="text1"/>
          <w:szCs w:val="24"/>
          <w:lang w:val="en-IE" w:eastAsia="en-GB"/>
        </w:rPr>
        <w:t xml:space="preserve">whether the substantial modification concerns an aspect covered by Part II of the assessment report; </w:t>
      </w:r>
    </w:p>
    <w:p w14:paraId="1F96B2E3" w14:textId="77777777" w:rsidR="00273F36" w:rsidRPr="004C70EC" w:rsidRDefault="000F76BC" w:rsidP="006E6B00">
      <w:pPr>
        <w:pStyle w:val="Poin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 xml:space="preserve">whether the application dossier is complete in accordance with Annex II; </w:t>
      </w:r>
    </w:p>
    <w:p w14:paraId="735965FC" w14:textId="77777777" w:rsidR="00273F36" w:rsidRPr="004C70EC" w:rsidRDefault="000F76BC" w:rsidP="006E6B00">
      <w:pPr>
        <w:pStyle w:val="Poin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(c)</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in case of parallel modification to Part I, whether the submission is acceptable taking into account the requirements of Article 16a.</w:t>
      </w:r>
    </w:p>
    <w:p w14:paraId="47AA653D" w14:textId="77777777" w:rsidR="00273F36" w:rsidRPr="004C70EC" w:rsidRDefault="00950D69" w:rsidP="006E6B0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792F9B" w:rsidRPr="004C70EC">
        <w:rPr>
          <w:rFonts w:eastAsia="Times New Roman"/>
          <w:noProof/>
          <w:color w:val="000000" w:themeColor="text1"/>
          <w:szCs w:val="24"/>
          <w:lang w:val="en-IE" w:eastAsia="en-GB"/>
        </w:rPr>
        <w:t>2.</w:t>
      </w:r>
      <w:r w:rsidR="006E6B00"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Where the Member State concerned has not notified the sponsor within the period referred to in paragraph 1, the substantial modification applied for shall be deemed to concern an aspect covered by Part II of the assessment report and the application dossier shall be deemed to be complete and, when applicable, the parallel substantial modification shall be deemed to be acceptable taking into account the requirements of Article 16a.</w:t>
      </w:r>
      <w:r w:rsidR="00792F9B" w:rsidRPr="004C70EC">
        <w:rPr>
          <w:rFonts w:eastAsia="Times New Roman"/>
          <w:noProof/>
          <w:color w:val="000000" w:themeColor="text1"/>
          <w:szCs w:val="24"/>
          <w:lang w:val="en-IE" w:eastAsia="en-GB"/>
        </w:rPr>
        <w:t>’</w:t>
      </w:r>
    </w:p>
    <w:p w14:paraId="6EFAB631" w14:textId="77777777" w:rsidR="00273F36" w:rsidRPr="004C70EC" w:rsidRDefault="000F76BC" w:rsidP="000F76BC">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792F9B" w:rsidRPr="004C70EC">
        <w:rPr>
          <w:rFonts w:eastAsia="Times New Roman"/>
          <w:noProof/>
          <w:color w:val="000000" w:themeColor="text1"/>
          <w:szCs w:val="24"/>
          <w:lang w:val="en-IE" w:eastAsia="en-GB"/>
        </w:rPr>
        <w:t>b</w:t>
      </w:r>
      <w:r w:rsidRPr="004C70EC">
        <w:rPr>
          <w:rFonts w:eastAsia="Times New Roman"/>
          <w:noProof/>
          <w:color w:val="000000" w:themeColor="text1"/>
          <w:szCs w:val="24"/>
          <w:lang w:val="en-IE" w:eastAsia="en-GB"/>
        </w:rPr>
        <w:t>)</w:t>
      </w:r>
      <w:r w:rsidRPr="004C70EC">
        <w:rPr>
          <w:rFonts w:eastAsia="Times New Roman"/>
          <w:noProof/>
          <w:color w:val="000000" w:themeColor="text1"/>
          <w:szCs w:val="24"/>
          <w:lang w:val="en-IE" w:eastAsia="en-GB"/>
        </w:rPr>
        <w:tab/>
      </w:r>
      <w:r w:rsidR="00792F9B" w:rsidRPr="004C70EC">
        <w:rPr>
          <w:rFonts w:eastAsia="Times New Roman"/>
          <w:noProof/>
          <w:color w:val="000000" w:themeColor="text1"/>
          <w:szCs w:val="24"/>
          <w:lang w:val="en-IE" w:eastAsia="en-GB"/>
        </w:rPr>
        <w:t>i</w:t>
      </w:r>
      <w:r w:rsidR="00273F36" w:rsidRPr="004C70EC">
        <w:rPr>
          <w:rFonts w:eastAsia="Times New Roman"/>
          <w:noProof/>
          <w:color w:val="000000" w:themeColor="text1"/>
          <w:szCs w:val="24"/>
          <w:lang w:val="en-IE" w:eastAsia="en-GB"/>
        </w:rPr>
        <w:t xml:space="preserve">n paragraph 3, </w:t>
      </w:r>
      <w:r w:rsidR="00811BE8" w:rsidRPr="004C70EC">
        <w:rPr>
          <w:rFonts w:eastAsia="Times New Roman"/>
          <w:noProof/>
          <w:color w:val="000000" w:themeColor="text1"/>
          <w:szCs w:val="24"/>
          <w:lang w:val="en-IE" w:eastAsia="en-GB"/>
        </w:rPr>
        <w:t xml:space="preserve">the </w:t>
      </w:r>
      <w:r w:rsidR="00273F36" w:rsidRPr="004C70EC">
        <w:rPr>
          <w:rFonts w:eastAsia="Times New Roman"/>
          <w:noProof/>
          <w:color w:val="000000" w:themeColor="text1"/>
          <w:szCs w:val="24"/>
          <w:lang w:val="en-IE" w:eastAsia="en-GB"/>
        </w:rPr>
        <w:t>two first subparagraphs are replaced by the following:</w:t>
      </w:r>
    </w:p>
    <w:p w14:paraId="232C5842" w14:textId="77777777" w:rsidR="00273F36" w:rsidRPr="004C70EC" w:rsidRDefault="00792F9B" w:rsidP="000F76BC">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Where the Member State concerned finds that the substantial modification does not concern an aspect covered by Part II of the assessment report or that the application dossier is not complete, or, where applicable, that the parallel substantial modification is not acceptable, it shall inform the sponsor thereof through the EU portal and shall set a maximum of five days for the sponsor to comment on the application or to complete the application dossier through the EU portal.</w:t>
      </w:r>
    </w:p>
    <w:p w14:paraId="7742A986" w14:textId="77777777" w:rsidR="00273F36" w:rsidRPr="004C70EC" w:rsidRDefault="00273F36" w:rsidP="000F76BC">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Within 14 days from the submission date the reporting Member State shall notify the sponsor as to whether or not the application complies with the requirements set out in paragraph 1 points (a), (b), and if applicable, (c).</w:t>
      </w:r>
      <w:r w:rsidR="00811BE8" w:rsidRPr="004C70EC">
        <w:rPr>
          <w:rFonts w:eastAsia="Times New Roman"/>
          <w:noProof/>
          <w:color w:val="000000" w:themeColor="text1"/>
          <w:szCs w:val="24"/>
          <w:lang w:val="en-IE" w:eastAsia="en-GB"/>
        </w:rPr>
        <w:t>’</w:t>
      </w:r>
    </w:p>
    <w:p w14:paraId="536E79CE" w14:textId="77777777" w:rsidR="00273F36" w:rsidRPr="004C70EC" w:rsidRDefault="000F76BC" w:rsidP="000F76BC">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811BE8" w:rsidRPr="004C70EC">
        <w:rPr>
          <w:rFonts w:eastAsia="Times New Roman"/>
          <w:noProof/>
          <w:color w:val="000000" w:themeColor="text1"/>
          <w:szCs w:val="24"/>
          <w:lang w:val="en-IE" w:eastAsia="en-GB"/>
        </w:rPr>
        <w:t>c</w:t>
      </w:r>
      <w:r w:rsidRPr="004C70EC">
        <w:rPr>
          <w:rFonts w:eastAsia="Times New Roman"/>
          <w:noProof/>
          <w:color w:val="000000" w:themeColor="text1"/>
          <w:szCs w:val="24"/>
          <w:lang w:val="en-IE" w:eastAsia="en-GB"/>
        </w:rPr>
        <w:t>)</w:t>
      </w:r>
      <w:r w:rsidRPr="004C70EC">
        <w:rPr>
          <w:rFonts w:eastAsia="Times New Roman"/>
          <w:noProof/>
          <w:color w:val="000000" w:themeColor="text1"/>
          <w:szCs w:val="24"/>
          <w:lang w:val="en-IE" w:eastAsia="en-GB"/>
        </w:rPr>
        <w:tab/>
      </w:r>
      <w:r w:rsidR="00811BE8" w:rsidRPr="004C70EC">
        <w:rPr>
          <w:rFonts w:eastAsia="Times New Roman"/>
          <w:noProof/>
          <w:color w:val="000000" w:themeColor="text1"/>
          <w:szCs w:val="24"/>
          <w:lang w:val="en-IE" w:eastAsia="en-GB"/>
        </w:rPr>
        <w:t>i</w:t>
      </w:r>
      <w:r w:rsidR="00273F36" w:rsidRPr="004C70EC">
        <w:rPr>
          <w:rFonts w:eastAsia="Times New Roman"/>
          <w:noProof/>
          <w:color w:val="000000" w:themeColor="text1"/>
          <w:szCs w:val="24"/>
          <w:lang w:val="en-IE" w:eastAsia="en-GB"/>
        </w:rPr>
        <w:t>n paragraph 5</w:t>
      </w:r>
      <w:r w:rsidR="00811BE8"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 xml:space="preserve"> the second and third subparagraphs are replaced by the following:</w:t>
      </w:r>
    </w:p>
    <w:p w14:paraId="5043C50D" w14:textId="77777777" w:rsidR="00273F36" w:rsidRPr="004C70EC" w:rsidRDefault="00811BE8" w:rsidP="000F76BC">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Notification shall be done by way of a single decision within 28 days from the submission date.</w:t>
      </w:r>
    </w:p>
    <w:p w14:paraId="52EB6F2B" w14:textId="77777777" w:rsidR="00273F36" w:rsidRPr="004C70EC" w:rsidRDefault="00273F36" w:rsidP="000F76BC">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 substantial modification subject to condition may be implemented unless the Member State concerned specified that the condition is suspensive. Unless otherwise specified, a fulfilment of the condition does not require a submission of a request for another substantial modification.</w:t>
      </w:r>
      <w:r w:rsidR="00811BE8" w:rsidRPr="004C70EC">
        <w:rPr>
          <w:rFonts w:eastAsia="Times New Roman"/>
          <w:noProof/>
          <w:color w:val="000000" w:themeColor="text1"/>
          <w:szCs w:val="24"/>
          <w:lang w:val="en-IE" w:eastAsia="en-GB"/>
        </w:rPr>
        <w:t>’</w:t>
      </w:r>
    </w:p>
    <w:p w14:paraId="2D14B098" w14:textId="77777777" w:rsidR="00273F36" w:rsidRPr="004C70EC" w:rsidRDefault="000F76BC" w:rsidP="000F76BC">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811BE8" w:rsidRPr="004C70EC">
        <w:rPr>
          <w:rFonts w:eastAsia="Times New Roman"/>
          <w:noProof/>
          <w:color w:val="000000" w:themeColor="text1"/>
          <w:szCs w:val="24"/>
          <w:lang w:val="en-IE" w:eastAsia="en-GB"/>
        </w:rPr>
        <w:t>d</w:t>
      </w:r>
      <w:r w:rsidRPr="004C70EC">
        <w:rPr>
          <w:rFonts w:eastAsia="Times New Roman"/>
          <w:noProof/>
          <w:color w:val="000000" w:themeColor="text1"/>
          <w:szCs w:val="24"/>
          <w:lang w:val="en-IE" w:eastAsia="en-GB"/>
        </w:rPr>
        <w:t>)</w:t>
      </w:r>
      <w:r w:rsidRPr="004C70EC">
        <w:rPr>
          <w:rFonts w:eastAsia="Times New Roman"/>
          <w:noProof/>
          <w:color w:val="000000" w:themeColor="text1"/>
          <w:szCs w:val="24"/>
          <w:lang w:val="en-IE" w:eastAsia="en-GB"/>
        </w:rPr>
        <w:tab/>
      </w:r>
      <w:r w:rsidR="00811BE8" w:rsidRPr="004C70EC">
        <w:rPr>
          <w:rFonts w:eastAsia="Times New Roman"/>
          <w:noProof/>
          <w:color w:val="000000" w:themeColor="text1"/>
          <w:szCs w:val="24"/>
          <w:lang w:val="en-IE" w:eastAsia="en-GB"/>
        </w:rPr>
        <w:t>i</w:t>
      </w:r>
      <w:r w:rsidR="00273F36" w:rsidRPr="004C70EC">
        <w:rPr>
          <w:rFonts w:eastAsia="Times New Roman"/>
          <w:noProof/>
          <w:color w:val="000000" w:themeColor="text1"/>
          <w:szCs w:val="24"/>
          <w:lang w:val="en-IE" w:eastAsia="en-GB"/>
        </w:rPr>
        <w:t xml:space="preserve">n paragraph 6, </w:t>
      </w:r>
      <w:r w:rsidR="00811BE8" w:rsidRPr="004C70EC">
        <w:rPr>
          <w:rFonts w:eastAsia="Times New Roman"/>
          <w:noProof/>
          <w:color w:val="000000" w:themeColor="text1"/>
          <w:szCs w:val="24"/>
          <w:lang w:val="en-IE" w:eastAsia="en-GB"/>
        </w:rPr>
        <w:t xml:space="preserve">the </w:t>
      </w:r>
      <w:r w:rsidR="00273F36" w:rsidRPr="004C70EC">
        <w:rPr>
          <w:rFonts w:eastAsia="Times New Roman"/>
          <w:noProof/>
          <w:color w:val="000000" w:themeColor="text1"/>
          <w:szCs w:val="24"/>
          <w:lang w:val="en-IE" w:eastAsia="en-GB"/>
        </w:rPr>
        <w:t>second, third and fourth subparagraphs are replaced by the following:</w:t>
      </w:r>
    </w:p>
    <w:p w14:paraId="0DC7873F" w14:textId="77777777" w:rsidR="00273F36" w:rsidRPr="004C70EC" w:rsidRDefault="00811BE8" w:rsidP="000F76BC">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For the purpose of obtaining and reviewing this additional information from the sponsor, the Member State concerned may extend the period referred to in the paragraph 5</w:t>
      </w:r>
      <w:r w:rsidR="00F35A6B"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 xml:space="preserve"> </w:t>
      </w:r>
      <w:r w:rsidR="00F35A6B" w:rsidRPr="004C70EC">
        <w:rPr>
          <w:rFonts w:eastAsia="Times New Roman"/>
          <w:noProof/>
          <w:color w:val="000000" w:themeColor="text1"/>
          <w:szCs w:val="24"/>
          <w:lang w:val="en-IE" w:eastAsia="en-GB"/>
        </w:rPr>
        <w:t>second subparagraph,</w:t>
      </w:r>
      <w:r w:rsidR="00273F36" w:rsidRPr="004C70EC">
        <w:rPr>
          <w:rFonts w:eastAsia="Times New Roman"/>
          <w:noProof/>
          <w:color w:val="000000" w:themeColor="text1"/>
          <w:szCs w:val="24"/>
          <w:lang w:val="en-IE" w:eastAsia="en-GB"/>
        </w:rPr>
        <w:t xml:space="preserve"> by a maximum of 14 days.</w:t>
      </w:r>
    </w:p>
    <w:p w14:paraId="3A9C2F10" w14:textId="77777777" w:rsidR="00273F36" w:rsidRPr="004C70EC" w:rsidRDefault="00273F36" w:rsidP="000F76BC">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The sponsor shall submit the requested additional information within the period set by the Member State concerned, which shall not exceed seven days from the receipt of the request.</w:t>
      </w:r>
    </w:p>
    <w:p w14:paraId="14C654FA" w14:textId="77777777" w:rsidR="00273F36" w:rsidRPr="004C70EC" w:rsidRDefault="00273F36" w:rsidP="000F76BC">
      <w:pPr>
        <w:pStyle w:val="Text2"/>
        <w:rPr>
          <w:noProof/>
          <w:color w:val="000000" w:themeColor="text1"/>
          <w:szCs w:val="24"/>
        </w:rPr>
      </w:pPr>
      <w:r w:rsidRPr="004C70EC">
        <w:rPr>
          <w:rFonts w:eastAsia="Times New Roman"/>
          <w:noProof/>
          <w:color w:val="000000" w:themeColor="text1"/>
          <w:szCs w:val="24"/>
          <w:lang w:eastAsia="en-GB"/>
        </w:rPr>
        <w:t>Upon receipt of the additional information, the Member State concerned shall complete its assessment within a maximum seven days.</w:t>
      </w:r>
      <w:r w:rsidR="00F35A6B" w:rsidRPr="004C70EC">
        <w:rPr>
          <w:rFonts w:eastAsia="Times New Roman"/>
          <w:noProof/>
          <w:color w:val="000000" w:themeColor="text1"/>
          <w:szCs w:val="24"/>
          <w:lang w:eastAsia="en-GB"/>
        </w:rPr>
        <w:t>’</w:t>
      </w:r>
      <w:r w:rsidR="04703C60" w:rsidRPr="004C70EC">
        <w:rPr>
          <w:rFonts w:eastAsia="Times New Roman"/>
          <w:noProof/>
          <w:color w:val="000000" w:themeColor="text1"/>
          <w:szCs w:val="24"/>
        </w:rPr>
        <w:t>;</w:t>
      </w:r>
    </w:p>
    <w:p w14:paraId="17B6BE55" w14:textId="77777777" w:rsidR="00273F36" w:rsidRPr="004C70EC" w:rsidRDefault="000F76BC" w:rsidP="000F76BC">
      <w:pPr>
        <w:pStyle w:val="Point0"/>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(2</w:t>
      </w:r>
      <w:r w:rsidR="00D14C31" w:rsidRPr="004C70EC">
        <w:rPr>
          <w:rFonts w:eastAsia="Times New Roman"/>
          <w:noProof/>
          <w:color w:val="000000" w:themeColor="text1"/>
          <w:szCs w:val="24"/>
          <w:lang w:val="en-IE" w:eastAsia="en-GB"/>
        </w:rPr>
        <w:t>0</w:t>
      </w:r>
      <w:r w:rsidRPr="004C70EC">
        <w:rPr>
          <w:rFonts w:eastAsia="Times New Roman"/>
          <w:noProof/>
          <w:color w:val="000000" w:themeColor="text1"/>
          <w:szCs w:val="24"/>
          <w:lang w:val="en-IE" w:eastAsia="en-GB"/>
        </w:rPr>
        <w:t>)</w:t>
      </w:r>
      <w:r w:rsidRPr="004C70EC">
        <w:rPr>
          <w:rFonts w:eastAsia="Times New Roman"/>
          <w:noProof/>
          <w:color w:val="000000" w:themeColor="text1"/>
          <w:szCs w:val="24"/>
          <w:lang w:val="en-IE" w:eastAsia="en-GB"/>
        </w:rPr>
        <w:tab/>
      </w:r>
      <w:r w:rsidR="00271CD5" w:rsidRPr="004C70EC">
        <w:rPr>
          <w:rFonts w:eastAsia="Times New Roman"/>
          <w:noProof/>
          <w:color w:val="000000" w:themeColor="text1"/>
          <w:szCs w:val="24"/>
          <w:lang w:val="en-IE" w:eastAsia="en-GB"/>
        </w:rPr>
        <w:t>i</w:t>
      </w:r>
      <w:r w:rsidR="00273F36" w:rsidRPr="004C70EC">
        <w:rPr>
          <w:rFonts w:eastAsia="Times New Roman"/>
          <w:noProof/>
          <w:color w:val="000000" w:themeColor="text1"/>
          <w:szCs w:val="24"/>
          <w:lang w:val="en-IE" w:eastAsia="en-GB"/>
        </w:rPr>
        <w:t xml:space="preserve">n Article 21, paragraph 1 is </w:t>
      </w:r>
      <w:r w:rsidR="00F35A6B" w:rsidRPr="004C70EC">
        <w:rPr>
          <w:rFonts w:eastAsia="Times New Roman"/>
          <w:noProof/>
          <w:color w:val="000000" w:themeColor="text1"/>
          <w:szCs w:val="24"/>
          <w:lang w:val="en-IE" w:eastAsia="en-GB"/>
        </w:rPr>
        <w:t>replaced by the following</w:t>
      </w:r>
      <w:r w:rsidR="00273F36" w:rsidRPr="004C70EC">
        <w:rPr>
          <w:rFonts w:eastAsia="Times New Roman"/>
          <w:noProof/>
          <w:color w:val="000000" w:themeColor="text1"/>
          <w:szCs w:val="24"/>
          <w:lang w:val="en-IE" w:eastAsia="en-GB"/>
        </w:rPr>
        <w:t>:</w:t>
      </w:r>
    </w:p>
    <w:p w14:paraId="58B08F9B" w14:textId="77777777" w:rsidR="00273F36" w:rsidRPr="004C70EC" w:rsidRDefault="007109FF" w:rsidP="00F604BB">
      <w:pPr>
        <w:pStyle w:val="Point1"/>
        <w:rPr>
          <w:noProof/>
          <w:color w:val="000000" w:themeColor="text1"/>
          <w:szCs w:val="24"/>
          <w:lang w:val="en-IE" w:eastAsia="en-GB"/>
        </w:rPr>
      </w:pPr>
      <w:r w:rsidRPr="004C70EC">
        <w:rPr>
          <w:noProof/>
          <w:color w:val="000000" w:themeColor="text1"/>
          <w:szCs w:val="24"/>
          <w:lang w:val="en-IE" w:eastAsia="en-GB"/>
        </w:rPr>
        <w:t>‘</w:t>
      </w:r>
      <w:r w:rsidR="5D07A9FA" w:rsidRPr="004C70EC">
        <w:rPr>
          <w:noProof/>
          <w:color w:val="000000" w:themeColor="text1"/>
          <w:szCs w:val="24"/>
          <w:lang w:val="en-IE" w:eastAsia="en-GB"/>
        </w:rPr>
        <w:t>1.</w:t>
      </w:r>
      <w:r w:rsidR="00F604BB" w:rsidRPr="004C70EC">
        <w:rPr>
          <w:noProof/>
          <w:color w:val="000000" w:themeColor="text1"/>
          <w:szCs w:val="24"/>
          <w:lang w:val="en-IE" w:eastAsia="en-GB"/>
        </w:rPr>
        <w:tab/>
      </w:r>
      <w:r w:rsidR="00273F36" w:rsidRPr="004C70EC">
        <w:rPr>
          <w:noProof/>
          <w:color w:val="000000" w:themeColor="text1"/>
          <w:szCs w:val="24"/>
          <w:lang w:val="en-IE" w:eastAsia="en-GB"/>
        </w:rPr>
        <w:t>Where a substantial modification relates to aspects covered by Parts I and II of the assessment report, the application for an authorisation of that substantial modification shall be validated in accordance with Article</w:t>
      </w:r>
      <w:r w:rsidR="39B57068" w:rsidRPr="004C70EC">
        <w:rPr>
          <w:noProof/>
          <w:color w:val="000000" w:themeColor="text1"/>
          <w:szCs w:val="24"/>
          <w:lang w:val="en-IE" w:eastAsia="en-GB"/>
        </w:rPr>
        <w:t>s</w:t>
      </w:r>
      <w:r w:rsidR="00273F36" w:rsidRPr="004C70EC">
        <w:rPr>
          <w:noProof/>
          <w:color w:val="000000" w:themeColor="text1"/>
          <w:szCs w:val="24"/>
          <w:lang w:val="en-IE" w:eastAsia="en-GB"/>
        </w:rPr>
        <w:t xml:space="preserve"> 17 and  20.</w:t>
      </w:r>
      <w:r w:rsidR="006F5E81" w:rsidRPr="004C70EC">
        <w:rPr>
          <w:noProof/>
          <w:color w:val="000000" w:themeColor="text1"/>
          <w:szCs w:val="24"/>
          <w:lang w:val="en-IE" w:eastAsia="en-GB"/>
        </w:rPr>
        <w:t>’</w:t>
      </w:r>
      <w:r w:rsidR="79536522" w:rsidRPr="004C70EC">
        <w:rPr>
          <w:noProof/>
          <w:color w:val="000000" w:themeColor="text1"/>
          <w:szCs w:val="24"/>
          <w:lang w:val="en-IE" w:eastAsia="en-GB"/>
        </w:rPr>
        <w:t>;</w:t>
      </w:r>
    </w:p>
    <w:p w14:paraId="08820727" w14:textId="77777777" w:rsidR="00273F36" w:rsidRPr="004C70EC" w:rsidRDefault="000F76BC" w:rsidP="000F76BC">
      <w:pPr>
        <w:pStyle w:val="Point0"/>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(2</w:t>
      </w:r>
      <w:r w:rsidR="00D14C31" w:rsidRPr="004C70EC">
        <w:rPr>
          <w:rFonts w:eastAsia="Times New Roman"/>
          <w:noProof/>
          <w:color w:val="000000" w:themeColor="text1"/>
          <w:szCs w:val="24"/>
          <w:lang w:val="en-IE" w:eastAsia="en-GB"/>
        </w:rPr>
        <w:t>1</w:t>
      </w:r>
      <w:r w:rsidRPr="004C70EC">
        <w:rPr>
          <w:rFonts w:eastAsia="Times New Roman"/>
          <w:noProof/>
          <w:color w:val="000000" w:themeColor="text1"/>
          <w:szCs w:val="24"/>
          <w:lang w:val="en-IE" w:eastAsia="en-GB"/>
        </w:rPr>
        <w:t>)</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Article 22 is amended as follows:</w:t>
      </w:r>
    </w:p>
    <w:p w14:paraId="7F590E79" w14:textId="77777777" w:rsidR="00273F36" w:rsidRPr="004C70EC" w:rsidRDefault="000F76BC" w:rsidP="000F76BC">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w:t>
      </w:r>
      <w:r w:rsidRPr="004C70EC">
        <w:rPr>
          <w:rFonts w:eastAsia="Times New Roman"/>
          <w:noProof/>
          <w:color w:val="000000" w:themeColor="text1"/>
          <w:szCs w:val="24"/>
          <w:lang w:val="en-IE" w:eastAsia="en-GB"/>
        </w:rPr>
        <w:tab/>
      </w:r>
      <w:r w:rsidR="006F5E81" w:rsidRPr="004C70EC">
        <w:rPr>
          <w:rFonts w:eastAsia="Times New Roman"/>
          <w:noProof/>
          <w:color w:val="000000" w:themeColor="text1"/>
          <w:szCs w:val="24"/>
          <w:lang w:val="en-IE" w:eastAsia="en-GB"/>
        </w:rPr>
        <w:t>p</w:t>
      </w:r>
      <w:r w:rsidR="00273F36" w:rsidRPr="004C70EC">
        <w:rPr>
          <w:rFonts w:eastAsia="Times New Roman"/>
          <w:noProof/>
          <w:color w:val="000000" w:themeColor="text1"/>
          <w:szCs w:val="24"/>
          <w:lang w:val="en-IE" w:eastAsia="en-GB"/>
        </w:rPr>
        <w:t>aragraph 1 is replaced by the following:</w:t>
      </w:r>
    </w:p>
    <w:p w14:paraId="168D37B6" w14:textId="77777777" w:rsidR="00273F36" w:rsidRPr="004C70EC" w:rsidRDefault="00D933CA" w:rsidP="006E6B00">
      <w:pPr>
        <w:pStyle w:val="Point2"/>
        <w:rPr>
          <w:noProof/>
          <w:color w:val="000000" w:themeColor="text1"/>
          <w:szCs w:val="24"/>
          <w:lang w:val="en-IE" w:eastAsia="en-GB"/>
        </w:rPr>
      </w:pPr>
      <w:r w:rsidRPr="004C70EC">
        <w:rPr>
          <w:noProof/>
          <w:color w:val="000000" w:themeColor="text1"/>
          <w:szCs w:val="24"/>
          <w:lang w:val="en-IE" w:eastAsia="en-GB"/>
        </w:rPr>
        <w:t>‘1.</w:t>
      </w:r>
      <w:r w:rsidR="006E6B00" w:rsidRPr="004C70EC">
        <w:rPr>
          <w:noProof/>
          <w:color w:val="000000" w:themeColor="text1"/>
          <w:szCs w:val="24"/>
          <w:lang w:val="en-IE" w:eastAsia="en-GB"/>
        </w:rPr>
        <w:tab/>
      </w:r>
      <w:r w:rsidR="00273F36" w:rsidRPr="004C70EC">
        <w:rPr>
          <w:noProof/>
          <w:color w:val="000000" w:themeColor="text1"/>
          <w:szCs w:val="24"/>
          <w:lang w:val="en-IE" w:eastAsia="en-GB"/>
        </w:rPr>
        <w:t>Each Member State concerned shall assess, for its own territory, the aspects of the substantial modification which are covered by Part II of the assessment report and submit, through the EU portal, that report, including its conclusion, to the sponsor within 28 days from the submission date. If the reporting Member State requested additional information regarding aspects covered by Part I of the assessment report as per Article 21(2) in conjunction with Article 18(6), or when a Member State concerned requests additional information from the sponsor regarding Part II aspects of the application, Member States concerned may extend this period by 14 days.</w:t>
      </w:r>
      <w:r w:rsidRPr="004C70EC">
        <w:rPr>
          <w:noProof/>
          <w:color w:val="000000" w:themeColor="text1"/>
          <w:szCs w:val="24"/>
          <w:lang w:val="en-IE" w:eastAsia="en-GB"/>
        </w:rPr>
        <w:t>’</w:t>
      </w:r>
    </w:p>
    <w:p w14:paraId="429F0F6B" w14:textId="77777777" w:rsidR="00273F36" w:rsidRPr="004C70EC" w:rsidRDefault="000F76BC" w:rsidP="000F76BC">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rFonts w:eastAsia="Times New Roman"/>
          <w:noProof/>
          <w:color w:val="000000" w:themeColor="text1"/>
          <w:szCs w:val="24"/>
          <w:lang w:val="en-IE" w:eastAsia="en-GB"/>
        </w:rPr>
        <w:tab/>
      </w:r>
      <w:r w:rsidR="00D933CA" w:rsidRPr="004C70EC">
        <w:rPr>
          <w:rFonts w:eastAsia="Times New Roman"/>
          <w:noProof/>
          <w:color w:val="000000" w:themeColor="text1"/>
          <w:szCs w:val="24"/>
          <w:lang w:val="en-IE" w:eastAsia="en-GB"/>
        </w:rPr>
        <w:t>p</w:t>
      </w:r>
      <w:r w:rsidR="00273F36" w:rsidRPr="004C70EC">
        <w:rPr>
          <w:rFonts w:eastAsia="Times New Roman"/>
          <w:noProof/>
          <w:color w:val="000000" w:themeColor="text1"/>
          <w:szCs w:val="24"/>
          <w:lang w:val="en-IE" w:eastAsia="en-GB"/>
        </w:rPr>
        <w:t>aragraph 2 is deleted</w:t>
      </w:r>
      <w:r w:rsidR="00D933CA" w:rsidRPr="004C70EC">
        <w:rPr>
          <w:rFonts w:eastAsia="Times New Roman"/>
          <w:noProof/>
          <w:color w:val="000000" w:themeColor="text1"/>
          <w:szCs w:val="24"/>
          <w:lang w:val="en-IE" w:eastAsia="en-GB"/>
        </w:rPr>
        <w:t>;</w:t>
      </w:r>
    </w:p>
    <w:p w14:paraId="6B1F4E97" w14:textId="77777777" w:rsidR="00273F36" w:rsidRPr="004C70EC" w:rsidRDefault="000F76BC" w:rsidP="000F76BC">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(c)</w:t>
      </w:r>
      <w:r w:rsidRPr="004C70EC">
        <w:rPr>
          <w:rFonts w:eastAsia="Times New Roman"/>
          <w:noProof/>
          <w:color w:val="000000" w:themeColor="text1"/>
          <w:szCs w:val="24"/>
          <w:lang w:val="en-IE" w:eastAsia="en-GB"/>
        </w:rPr>
        <w:tab/>
      </w:r>
      <w:r w:rsidR="00D933CA" w:rsidRPr="004C70EC">
        <w:rPr>
          <w:rFonts w:eastAsia="Times New Roman"/>
          <w:noProof/>
          <w:color w:val="000000" w:themeColor="text1"/>
          <w:szCs w:val="24"/>
          <w:lang w:val="en-IE" w:eastAsia="en-GB"/>
        </w:rPr>
        <w:t>p</w:t>
      </w:r>
      <w:r w:rsidR="00273F36" w:rsidRPr="004C70EC">
        <w:rPr>
          <w:rFonts w:eastAsia="Times New Roman"/>
          <w:noProof/>
          <w:color w:val="000000" w:themeColor="text1"/>
          <w:szCs w:val="24"/>
          <w:lang w:val="en-IE" w:eastAsia="en-GB"/>
        </w:rPr>
        <w:t>aragraph 3 is replaced by the following:</w:t>
      </w:r>
    </w:p>
    <w:p w14:paraId="2B16E514" w14:textId="77777777" w:rsidR="00273F36" w:rsidRPr="004C70EC" w:rsidRDefault="00D933CA" w:rsidP="006E6B0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046A8D" w:rsidRPr="004C70EC">
        <w:rPr>
          <w:rFonts w:eastAsia="Times New Roman"/>
          <w:noProof/>
          <w:color w:val="000000" w:themeColor="text1"/>
          <w:szCs w:val="24"/>
          <w:lang w:val="en-IE" w:eastAsia="en-GB"/>
        </w:rPr>
        <w:t>3.</w:t>
      </w:r>
      <w:r w:rsidR="006E6B00"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The sponsor shall submit the requested additional information within the period set by the Member State concerned, which shall not exceed seven days from the receipt of the request.</w:t>
      </w:r>
    </w:p>
    <w:p w14:paraId="285EEB3C" w14:textId="77777777" w:rsidR="00273F36" w:rsidRPr="004C70EC" w:rsidRDefault="00273F36" w:rsidP="006E6B00">
      <w:pPr>
        <w:pStyle w:val="Text3"/>
        <w:rPr>
          <w:noProof/>
          <w:color w:val="000000" w:themeColor="text1"/>
          <w:szCs w:val="24"/>
          <w:lang w:val="en-IE" w:eastAsia="en-GB"/>
        </w:rPr>
      </w:pPr>
      <w:r w:rsidRPr="004C70EC">
        <w:rPr>
          <w:noProof/>
          <w:color w:val="000000" w:themeColor="text1"/>
          <w:szCs w:val="24"/>
          <w:lang w:val="en-IE" w:eastAsia="en-GB"/>
        </w:rPr>
        <w:t>Upon receipt of the additional information, the Member State concerned shall complete its assessment within a maximum of seven days from the submission of the requested information by the sponsor.</w:t>
      </w:r>
    </w:p>
    <w:p w14:paraId="5C7334C3" w14:textId="77777777" w:rsidR="00273F36" w:rsidRPr="004C70EC" w:rsidRDefault="00273F36" w:rsidP="006E6B00">
      <w:pPr>
        <w:pStyle w:val="Tex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Where the sponsor does not provide the requested additional information within the period set by the Member State concerned the application shall be deemed to have lapsed in that Member State.</w:t>
      </w:r>
    </w:p>
    <w:p w14:paraId="4ABC001F" w14:textId="77777777" w:rsidR="00273F36" w:rsidRPr="004C70EC" w:rsidRDefault="00273F36" w:rsidP="006E6B00">
      <w:pPr>
        <w:pStyle w:val="Text3"/>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The request for additional information and the additional information shall be submitted through the EU portal.</w:t>
      </w:r>
      <w:r w:rsidR="00046A8D" w:rsidRPr="004C70EC">
        <w:rPr>
          <w:rFonts w:eastAsia="Times New Roman"/>
          <w:noProof/>
          <w:color w:val="000000" w:themeColor="text1"/>
          <w:szCs w:val="24"/>
          <w:lang w:val="en-IE" w:eastAsia="en-GB"/>
        </w:rPr>
        <w:t>’</w:t>
      </w:r>
    </w:p>
    <w:p w14:paraId="295D7297" w14:textId="77777777" w:rsidR="00273F36" w:rsidRPr="004C70EC" w:rsidRDefault="000F76BC" w:rsidP="000F76BC">
      <w:pPr>
        <w:pStyle w:val="Point0"/>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(2</w:t>
      </w:r>
      <w:r w:rsidR="00D14C31" w:rsidRPr="004C70EC">
        <w:rPr>
          <w:rFonts w:eastAsia="Times New Roman"/>
          <w:noProof/>
          <w:color w:val="000000" w:themeColor="text1"/>
          <w:szCs w:val="24"/>
          <w:lang w:val="en-IE" w:eastAsia="en-GB"/>
        </w:rPr>
        <w:t>2</w:t>
      </w:r>
      <w:r w:rsidRPr="004C70EC">
        <w:rPr>
          <w:rFonts w:eastAsia="Times New Roman"/>
          <w:noProof/>
          <w:color w:val="000000" w:themeColor="text1"/>
          <w:szCs w:val="24"/>
          <w:lang w:val="en-IE" w:eastAsia="en-GB"/>
        </w:rPr>
        <w:t>)</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Article 23 is amended as follows:</w:t>
      </w:r>
    </w:p>
    <w:p w14:paraId="0101CFB8" w14:textId="77777777" w:rsidR="00273F36" w:rsidRPr="004C70EC" w:rsidRDefault="000F76BC" w:rsidP="000F76BC">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w:t>
      </w:r>
      <w:r w:rsidRPr="004C70EC">
        <w:rPr>
          <w:noProof/>
          <w:color w:val="000000" w:themeColor="text1"/>
          <w:szCs w:val="24"/>
        </w:rPr>
        <w:tab/>
      </w:r>
      <w:r w:rsidR="00046A8D" w:rsidRPr="004C70EC">
        <w:rPr>
          <w:rFonts w:eastAsia="Times New Roman"/>
          <w:noProof/>
          <w:color w:val="000000" w:themeColor="text1"/>
          <w:szCs w:val="24"/>
          <w:lang w:val="en-IE" w:eastAsia="en-GB"/>
        </w:rPr>
        <w:t>in paragraph 1, the t</w:t>
      </w:r>
      <w:r w:rsidR="00273F36" w:rsidRPr="004C70EC">
        <w:rPr>
          <w:rFonts w:eastAsia="Times New Roman"/>
          <w:noProof/>
          <w:color w:val="000000" w:themeColor="text1"/>
          <w:szCs w:val="24"/>
          <w:lang w:val="en-IE" w:eastAsia="en-GB"/>
        </w:rPr>
        <w:t>hird subparagraph is replaced by the following:</w:t>
      </w:r>
    </w:p>
    <w:p w14:paraId="3D8A768C" w14:textId="77777777" w:rsidR="00273F36" w:rsidRPr="004C70EC" w:rsidRDefault="00046A8D" w:rsidP="000F76BC">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A substantial modification subject to condition may be implemented unless the Member State concerned specified that the condition is suspensive. Unless otherwise specified, a fulfilment of the condition does not require a submission of a request for another substantial modification.</w:t>
      </w:r>
      <w:r w:rsidRPr="004C70EC">
        <w:rPr>
          <w:rFonts w:eastAsia="Times New Roman"/>
          <w:noProof/>
          <w:color w:val="000000" w:themeColor="text1"/>
          <w:szCs w:val="24"/>
          <w:lang w:val="en-IE" w:eastAsia="en-GB"/>
        </w:rPr>
        <w:t>’</w:t>
      </w:r>
    </w:p>
    <w:p w14:paraId="03F2B540" w14:textId="77777777" w:rsidR="00273F36" w:rsidRPr="004C70EC" w:rsidRDefault="000F76BC" w:rsidP="000F76BC">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noProof/>
          <w:color w:val="000000" w:themeColor="text1"/>
          <w:szCs w:val="24"/>
        </w:rPr>
        <w:tab/>
      </w:r>
      <w:r w:rsidR="00273F36" w:rsidRPr="004C70EC">
        <w:rPr>
          <w:rFonts w:eastAsia="Times New Roman"/>
          <w:noProof/>
          <w:color w:val="000000" w:themeColor="text1"/>
          <w:szCs w:val="24"/>
          <w:lang w:val="en-IE" w:eastAsia="en-GB"/>
        </w:rPr>
        <w:t>in paragraph 2</w:t>
      </w:r>
      <w:r w:rsidR="00046A8D" w:rsidRPr="004C70EC">
        <w:rPr>
          <w:rFonts w:eastAsia="Times New Roman"/>
          <w:noProof/>
          <w:color w:val="000000" w:themeColor="text1"/>
          <w:szCs w:val="24"/>
          <w:lang w:val="en-IE" w:eastAsia="en-GB"/>
        </w:rPr>
        <w:t>, the second subparagraph,</w:t>
      </w:r>
      <w:r w:rsidR="00273F36" w:rsidRPr="004C70EC">
        <w:rPr>
          <w:rFonts w:eastAsia="Times New Roman"/>
          <w:noProof/>
          <w:color w:val="000000" w:themeColor="text1"/>
          <w:szCs w:val="24"/>
          <w:lang w:val="en-IE" w:eastAsia="en-GB"/>
        </w:rPr>
        <w:t xml:space="preserve"> is replaced by the following:</w:t>
      </w:r>
    </w:p>
    <w:p w14:paraId="112015C5" w14:textId="77777777" w:rsidR="00273F36" w:rsidRPr="004C70EC" w:rsidRDefault="00046A8D" w:rsidP="000F76BC">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eastAsia="en-GB"/>
        </w:rPr>
        <w:t xml:space="preserve">Notwithstanding the first subparagraph, a Member State concerned may disagree with the conclusion of the reporting Member State only on the following grounds, </w:t>
      </w:r>
      <w:r w:rsidR="00273F36" w:rsidRPr="004C70EC">
        <w:rPr>
          <w:rFonts w:eastAsia="Times New Roman"/>
          <w:noProof/>
          <w:color w:val="000000" w:themeColor="text1"/>
          <w:szCs w:val="24"/>
          <w:lang w:val="en-IE" w:eastAsia="en-GB"/>
        </w:rPr>
        <w:t>provided that the consideration was raised during the process pursuant to Article 18(4) and it considers that it was not sufficiently addressed:</w:t>
      </w:r>
    </w:p>
    <w:p w14:paraId="16EFDEEA" w14:textId="77777777" w:rsidR="00273F36" w:rsidRPr="004C70EC" w:rsidRDefault="00D37B7A" w:rsidP="00D37B7A">
      <w:pPr>
        <w:pStyle w:val="Point2"/>
        <w:rPr>
          <w:noProof/>
          <w:color w:val="000000" w:themeColor="text1"/>
          <w:szCs w:val="24"/>
          <w:lang w:val="en-IE" w:eastAsia="en-GB"/>
        </w:rPr>
      </w:pPr>
      <w:r w:rsidRPr="004C70EC">
        <w:rPr>
          <w:noProof/>
          <w:color w:val="000000" w:themeColor="text1"/>
          <w:szCs w:val="24"/>
          <w:lang w:val="en-IE" w:eastAsia="en-GB"/>
        </w:rPr>
        <w:t>(a)</w:t>
      </w:r>
      <w:r w:rsidRPr="004C70EC">
        <w:rPr>
          <w:noProof/>
          <w:color w:val="000000" w:themeColor="text1"/>
          <w:szCs w:val="24"/>
          <w:lang w:val="en-IE" w:eastAsia="en-GB"/>
        </w:rPr>
        <w:tab/>
      </w:r>
      <w:r w:rsidR="00273F36" w:rsidRPr="004C70EC">
        <w:rPr>
          <w:noProof/>
          <w:color w:val="000000" w:themeColor="text1"/>
          <w:szCs w:val="24"/>
          <w:lang w:val="en-IE" w:eastAsia="en-GB"/>
        </w:rPr>
        <w:t>when it considers that participation in the clinical trial would lead to a subject receiving an inferior treatment than in normal clinical practice in the Member State concerned;</w:t>
      </w:r>
    </w:p>
    <w:p w14:paraId="0B478144" w14:textId="77777777" w:rsidR="00273F36" w:rsidRPr="004C70EC" w:rsidRDefault="00D37B7A" w:rsidP="00D37B7A">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infringement of its national law as referred to in Article 90</w:t>
      </w:r>
      <w:r w:rsidR="00273F36" w:rsidRPr="004C70EC">
        <w:rPr>
          <w:rFonts w:eastAsia="Times New Roman"/>
          <w:noProof/>
          <w:color w:val="000000" w:themeColor="text1"/>
          <w:szCs w:val="24"/>
          <w:lang w:eastAsia="en-GB"/>
        </w:rPr>
        <w:t>.</w:t>
      </w:r>
      <w:r w:rsidR="00046A8D" w:rsidRPr="004C70EC">
        <w:rPr>
          <w:rFonts w:eastAsia="Times New Roman"/>
          <w:noProof/>
          <w:color w:val="000000" w:themeColor="text1"/>
          <w:szCs w:val="24"/>
          <w:lang w:eastAsia="en-GB"/>
        </w:rPr>
        <w:t>’</w:t>
      </w:r>
    </w:p>
    <w:p w14:paraId="5136C167" w14:textId="77777777" w:rsidR="00273F36" w:rsidRPr="004C70EC" w:rsidRDefault="00D37B7A" w:rsidP="00D37B7A">
      <w:pPr>
        <w:pStyle w:val="Point0"/>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(2</w:t>
      </w:r>
      <w:r w:rsidR="00D14C31" w:rsidRPr="004C70EC">
        <w:rPr>
          <w:rFonts w:eastAsia="Times New Roman"/>
          <w:noProof/>
          <w:color w:val="000000" w:themeColor="text1"/>
          <w:szCs w:val="24"/>
          <w:lang w:val="en-IE" w:eastAsia="en-GB"/>
        </w:rPr>
        <w:t>3</w:t>
      </w:r>
      <w:r w:rsidRPr="004C70EC">
        <w:rPr>
          <w:rFonts w:eastAsia="Times New Roman"/>
          <w:noProof/>
          <w:color w:val="000000" w:themeColor="text1"/>
          <w:szCs w:val="24"/>
          <w:lang w:val="en-IE" w:eastAsia="en-GB"/>
        </w:rPr>
        <w:t>)</w:t>
      </w:r>
      <w:r w:rsidRPr="004C70EC">
        <w:rPr>
          <w:noProof/>
          <w:color w:val="000000" w:themeColor="text1"/>
          <w:szCs w:val="24"/>
        </w:rPr>
        <w:tab/>
      </w:r>
      <w:r w:rsidR="00273F36" w:rsidRPr="004C70EC">
        <w:rPr>
          <w:rFonts w:eastAsia="Times New Roman"/>
          <w:noProof/>
          <w:color w:val="000000" w:themeColor="text1"/>
          <w:szCs w:val="24"/>
          <w:lang w:val="en-IE" w:eastAsia="en-GB"/>
        </w:rPr>
        <w:t>Article 25 is amended as follows:</w:t>
      </w:r>
    </w:p>
    <w:p w14:paraId="3CA672FF" w14:textId="77777777" w:rsidR="0082120B" w:rsidRPr="004C70EC" w:rsidRDefault="00D37B7A" w:rsidP="00D37B7A">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w:t>
      </w:r>
      <w:r w:rsidRPr="004C70EC">
        <w:rPr>
          <w:noProof/>
          <w:color w:val="000000" w:themeColor="text1"/>
          <w:szCs w:val="24"/>
        </w:rPr>
        <w:tab/>
      </w:r>
      <w:r w:rsidR="00273F36" w:rsidRPr="004C70EC">
        <w:rPr>
          <w:rFonts w:eastAsia="Times New Roman"/>
          <w:noProof/>
          <w:color w:val="000000" w:themeColor="text1"/>
          <w:szCs w:val="24"/>
          <w:lang w:val="en-IE" w:eastAsia="en-GB"/>
        </w:rPr>
        <w:t>paragraph 1</w:t>
      </w:r>
      <w:r w:rsidR="0082120B" w:rsidRPr="004C70EC">
        <w:rPr>
          <w:rFonts w:eastAsia="Times New Roman"/>
          <w:noProof/>
          <w:color w:val="000000" w:themeColor="text1"/>
          <w:szCs w:val="24"/>
          <w:lang w:val="en-IE" w:eastAsia="en-GB"/>
        </w:rPr>
        <w:t xml:space="preserve"> is amended as follows:</w:t>
      </w:r>
    </w:p>
    <w:p w14:paraId="58966DA9" w14:textId="77777777" w:rsidR="00273F36" w:rsidRPr="004C70EC" w:rsidRDefault="602D2439" w:rsidP="006E6B0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(i)</w:t>
      </w:r>
      <w:r w:rsidR="006E6B00" w:rsidRPr="004C70EC">
        <w:rPr>
          <w:noProof/>
          <w:color w:val="000000" w:themeColor="text1"/>
          <w:szCs w:val="24"/>
        </w:rPr>
        <w:tab/>
      </w:r>
      <w:r w:rsidRPr="004C70EC">
        <w:rPr>
          <w:rFonts w:eastAsia="Times New Roman"/>
          <w:noProof/>
          <w:color w:val="000000" w:themeColor="text1"/>
          <w:szCs w:val="24"/>
          <w:lang w:val="en-IE" w:eastAsia="en-GB"/>
        </w:rPr>
        <w:t xml:space="preserve">in the first </w:t>
      </w:r>
      <w:r w:rsidR="5EF08BF3" w:rsidRPr="004C70EC">
        <w:rPr>
          <w:rFonts w:eastAsia="Times New Roman"/>
          <w:noProof/>
          <w:color w:val="000000" w:themeColor="text1"/>
          <w:szCs w:val="24"/>
          <w:lang w:val="en-IE" w:eastAsia="en-GB"/>
        </w:rPr>
        <w:t>sub</w:t>
      </w:r>
      <w:r w:rsidRPr="004C70EC">
        <w:rPr>
          <w:rFonts w:eastAsia="Times New Roman"/>
          <w:noProof/>
          <w:color w:val="000000" w:themeColor="text1"/>
          <w:szCs w:val="24"/>
          <w:lang w:val="en-IE" w:eastAsia="en-GB"/>
        </w:rPr>
        <w:t>paragraph</w:t>
      </w:r>
      <w:r w:rsidR="2F263E33" w:rsidRPr="004C70EC">
        <w:rPr>
          <w:rFonts w:eastAsia="Times New Roman"/>
          <w:noProof/>
          <w:color w:val="000000" w:themeColor="text1"/>
          <w:szCs w:val="24"/>
          <w:lang w:val="en-IE" w:eastAsia="en-GB"/>
        </w:rPr>
        <w:t xml:space="preserve">, point (e) </w:t>
      </w:r>
      <w:r w:rsidRPr="004C70EC">
        <w:rPr>
          <w:rFonts w:eastAsia="Times New Roman"/>
          <w:noProof/>
          <w:color w:val="000000" w:themeColor="text1"/>
          <w:szCs w:val="24"/>
          <w:lang w:val="en-IE" w:eastAsia="en-GB"/>
        </w:rPr>
        <w:t>is</w:t>
      </w:r>
      <w:r w:rsidR="2F263E33" w:rsidRPr="004C70EC">
        <w:rPr>
          <w:rFonts w:eastAsia="Times New Roman"/>
          <w:noProof/>
          <w:color w:val="000000" w:themeColor="text1"/>
          <w:szCs w:val="24"/>
          <w:lang w:val="en-IE" w:eastAsia="en-GB"/>
        </w:rPr>
        <w:t xml:space="preserve"> replaced a</w:t>
      </w:r>
      <w:r w:rsidRPr="004C70EC">
        <w:rPr>
          <w:rFonts w:eastAsia="Times New Roman"/>
          <w:noProof/>
          <w:color w:val="000000" w:themeColor="text1"/>
          <w:szCs w:val="24"/>
          <w:lang w:val="en-IE" w:eastAsia="en-GB"/>
        </w:rPr>
        <w:t>by the following</w:t>
      </w:r>
      <w:r w:rsidR="2F263E33" w:rsidRPr="004C70EC">
        <w:rPr>
          <w:rFonts w:eastAsia="Times New Roman"/>
          <w:noProof/>
          <w:color w:val="000000" w:themeColor="text1"/>
          <w:szCs w:val="24"/>
          <w:lang w:val="en-IE" w:eastAsia="en-GB"/>
        </w:rPr>
        <w:t>:</w:t>
      </w:r>
    </w:p>
    <w:p w14:paraId="1DF9E21C" w14:textId="77777777" w:rsidR="00273F36" w:rsidRPr="004C70EC" w:rsidRDefault="602D2439" w:rsidP="006E6B00">
      <w:pPr>
        <w:pStyle w:val="Point3"/>
        <w:rPr>
          <w:noProof/>
          <w:color w:val="000000" w:themeColor="text1"/>
          <w:szCs w:val="24"/>
          <w:lang w:eastAsia="en-GB"/>
        </w:rPr>
      </w:pPr>
      <w:r w:rsidRPr="004C70EC">
        <w:rPr>
          <w:noProof/>
          <w:color w:val="000000" w:themeColor="text1"/>
          <w:szCs w:val="24"/>
          <w:lang w:eastAsia="en-GB"/>
        </w:rPr>
        <w:t>‘(e)</w:t>
      </w:r>
      <w:r w:rsidR="006E6B00" w:rsidRPr="004C70EC">
        <w:rPr>
          <w:noProof/>
          <w:color w:val="000000" w:themeColor="text1"/>
          <w:szCs w:val="24"/>
        </w:rPr>
        <w:tab/>
      </w:r>
      <w:r w:rsidR="2F263E33" w:rsidRPr="004C70EC">
        <w:rPr>
          <w:noProof/>
          <w:color w:val="000000" w:themeColor="text1"/>
          <w:szCs w:val="24"/>
          <w:lang w:eastAsia="en-GB"/>
        </w:rPr>
        <w:t>justification as to why the clinical trial is a minimal-intervention or low-intervention clinical trial, in cases where this is claimed by the sponsor.</w:t>
      </w:r>
      <w:r w:rsidR="7C68ABF1" w:rsidRPr="004C70EC">
        <w:rPr>
          <w:noProof/>
          <w:color w:val="000000" w:themeColor="text1"/>
          <w:szCs w:val="24"/>
          <w:lang w:eastAsia="en-GB"/>
        </w:rPr>
        <w:t>’</w:t>
      </w:r>
      <w:r w:rsidR="4593A00E" w:rsidRPr="004C70EC">
        <w:rPr>
          <w:noProof/>
          <w:color w:val="000000" w:themeColor="text1"/>
          <w:szCs w:val="24"/>
          <w:lang w:eastAsia="en-GB"/>
        </w:rPr>
        <w:t>;</w:t>
      </w:r>
    </w:p>
    <w:p w14:paraId="16640D5D" w14:textId="77777777" w:rsidR="00591931" w:rsidRPr="004C70EC" w:rsidRDefault="7C68ABF1" w:rsidP="006E6B0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(ii)</w:t>
      </w:r>
      <w:r w:rsidR="006E6B00" w:rsidRPr="004C70EC">
        <w:rPr>
          <w:rFonts w:eastAsia="Times New Roman"/>
          <w:noProof/>
          <w:color w:val="000000" w:themeColor="text1"/>
          <w:szCs w:val="24"/>
          <w:lang w:val="en-IE" w:eastAsia="en-GB"/>
        </w:rPr>
        <w:tab/>
      </w:r>
      <w:r w:rsidRPr="004C70EC">
        <w:rPr>
          <w:rFonts w:eastAsia="Times New Roman"/>
          <w:noProof/>
          <w:color w:val="000000" w:themeColor="text1"/>
          <w:szCs w:val="24"/>
          <w:lang w:val="en-IE" w:eastAsia="en-GB"/>
        </w:rPr>
        <w:t>the second subparagraph is replaced by the following:</w:t>
      </w:r>
    </w:p>
    <w:p w14:paraId="17615D50" w14:textId="77777777" w:rsidR="00273F36" w:rsidRPr="004C70EC" w:rsidRDefault="7C68ABF1" w:rsidP="006E6B00">
      <w:pPr>
        <w:pStyle w:val="Text3"/>
        <w:rPr>
          <w:noProof/>
          <w:color w:val="000000" w:themeColor="text1"/>
          <w:szCs w:val="24"/>
          <w:lang w:eastAsia="en-GB"/>
        </w:rPr>
      </w:pPr>
      <w:r w:rsidRPr="004C70EC">
        <w:rPr>
          <w:noProof/>
          <w:color w:val="000000" w:themeColor="text1"/>
          <w:szCs w:val="24"/>
          <w:lang w:eastAsia="en-GB"/>
        </w:rPr>
        <w:t>‘</w:t>
      </w:r>
      <w:r w:rsidR="2F263E33" w:rsidRPr="004C70EC">
        <w:rPr>
          <w:noProof/>
          <w:color w:val="000000" w:themeColor="text1"/>
          <w:szCs w:val="24"/>
          <w:lang w:eastAsia="en-GB"/>
        </w:rPr>
        <w:t xml:space="preserve">The list of required documentation and information for Part I is set out in </w:t>
      </w:r>
      <w:r w:rsidR="193C24C1" w:rsidRPr="004C70EC">
        <w:rPr>
          <w:noProof/>
          <w:color w:val="000000" w:themeColor="text1"/>
          <w:szCs w:val="24"/>
          <w:lang w:eastAsia="en-GB"/>
        </w:rPr>
        <w:t>Part I of</w:t>
      </w:r>
      <w:r w:rsidR="2F263E33" w:rsidRPr="004C70EC">
        <w:rPr>
          <w:noProof/>
          <w:color w:val="000000" w:themeColor="text1"/>
          <w:szCs w:val="24"/>
          <w:lang w:eastAsia="en-GB"/>
        </w:rPr>
        <w:t xml:space="preserve"> Annex I. The list of required documentation for Part II is set out in </w:t>
      </w:r>
      <w:r w:rsidR="7397B823" w:rsidRPr="004C70EC">
        <w:rPr>
          <w:noProof/>
          <w:color w:val="000000" w:themeColor="text1"/>
          <w:szCs w:val="24"/>
          <w:lang w:eastAsia="en-GB"/>
        </w:rPr>
        <w:t xml:space="preserve">Part II of </w:t>
      </w:r>
      <w:r w:rsidR="2F263E33" w:rsidRPr="004C70EC">
        <w:rPr>
          <w:noProof/>
          <w:color w:val="000000" w:themeColor="text1"/>
          <w:szCs w:val="24"/>
          <w:lang w:eastAsia="en-GB"/>
        </w:rPr>
        <w:t>Annex I.</w:t>
      </w:r>
      <w:r w:rsidR="602D2439" w:rsidRPr="004C70EC">
        <w:rPr>
          <w:noProof/>
          <w:color w:val="000000" w:themeColor="text1"/>
          <w:szCs w:val="24"/>
          <w:lang w:eastAsia="en-GB"/>
        </w:rPr>
        <w:t>’</w:t>
      </w:r>
      <w:r w:rsidR="625AFBAD" w:rsidRPr="004C70EC">
        <w:rPr>
          <w:noProof/>
          <w:color w:val="000000" w:themeColor="text1"/>
          <w:szCs w:val="24"/>
          <w:lang w:eastAsia="en-GB"/>
        </w:rPr>
        <w:t>;</w:t>
      </w:r>
    </w:p>
    <w:p w14:paraId="0D458634" w14:textId="77777777" w:rsidR="00273F36" w:rsidRPr="004C70EC" w:rsidRDefault="00D37B7A" w:rsidP="00D37B7A">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rFonts w:eastAsia="Times New Roman"/>
          <w:noProof/>
          <w:color w:val="000000" w:themeColor="text1"/>
          <w:szCs w:val="24"/>
          <w:lang w:val="en-IE" w:eastAsia="en-GB"/>
        </w:rPr>
        <w:tab/>
      </w:r>
      <w:r w:rsidR="009C3DE2" w:rsidRPr="004C70EC">
        <w:rPr>
          <w:rFonts w:eastAsia="Times New Roman"/>
          <w:noProof/>
          <w:color w:val="000000" w:themeColor="text1"/>
          <w:szCs w:val="24"/>
          <w:lang w:val="en-IE" w:eastAsia="en-GB"/>
        </w:rPr>
        <w:t>the following p</w:t>
      </w:r>
      <w:r w:rsidR="00273F36" w:rsidRPr="004C70EC">
        <w:rPr>
          <w:rFonts w:eastAsia="Times New Roman"/>
          <w:noProof/>
          <w:color w:val="000000" w:themeColor="text1"/>
          <w:szCs w:val="24"/>
          <w:lang w:val="en-IE" w:eastAsia="en-GB"/>
        </w:rPr>
        <w:t>aragraph</w:t>
      </w:r>
      <w:r w:rsidR="009C3DE2" w:rsidRPr="004C70EC">
        <w:rPr>
          <w:rFonts w:eastAsia="Times New Roman"/>
          <w:noProof/>
          <w:color w:val="000000" w:themeColor="text1"/>
          <w:szCs w:val="24"/>
          <w:lang w:val="en-IE" w:eastAsia="en-GB"/>
        </w:rPr>
        <w:t>s</w:t>
      </w:r>
      <w:r w:rsidR="00273F36" w:rsidRPr="004C70EC">
        <w:rPr>
          <w:rFonts w:eastAsia="Times New Roman"/>
          <w:noProof/>
          <w:color w:val="000000" w:themeColor="text1"/>
          <w:szCs w:val="24"/>
          <w:lang w:val="en-IE" w:eastAsia="en-GB"/>
        </w:rPr>
        <w:t xml:space="preserve"> 1a</w:t>
      </w:r>
      <w:r w:rsidR="009C3DE2" w:rsidRPr="004C70EC">
        <w:rPr>
          <w:rFonts w:eastAsia="Times New Roman"/>
          <w:noProof/>
          <w:color w:val="000000" w:themeColor="text1"/>
          <w:szCs w:val="24"/>
          <w:lang w:val="en-IE" w:eastAsia="en-GB"/>
        </w:rPr>
        <w:t>, 1b and 1c are</w:t>
      </w:r>
      <w:r w:rsidR="00273F36" w:rsidRPr="004C70EC">
        <w:rPr>
          <w:rFonts w:eastAsia="Times New Roman"/>
          <w:noProof/>
          <w:color w:val="000000" w:themeColor="text1"/>
          <w:szCs w:val="24"/>
          <w:lang w:val="en-IE" w:eastAsia="en-GB"/>
        </w:rPr>
        <w:t xml:space="preserve"> </w:t>
      </w:r>
      <w:r w:rsidR="009C3DE2" w:rsidRPr="004C70EC">
        <w:rPr>
          <w:rFonts w:eastAsia="Times New Roman"/>
          <w:noProof/>
          <w:color w:val="000000" w:themeColor="text1"/>
          <w:szCs w:val="24"/>
          <w:lang w:val="en-IE" w:eastAsia="en-GB"/>
        </w:rPr>
        <w:t>inserted</w:t>
      </w:r>
      <w:r w:rsidR="00273F36" w:rsidRPr="004C70EC">
        <w:rPr>
          <w:rFonts w:eastAsia="Times New Roman"/>
          <w:noProof/>
          <w:color w:val="000000" w:themeColor="text1"/>
          <w:szCs w:val="24"/>
          <w:lang w:val="en-IE" w:eastAsia="en-GB"/>
        </w:rPr>
        <w:t>:</w:t>
      </w:r>
    </w:p>
    <w:p w14:paraId="3F3A3EF3" w14:textId="77777777" w:rsidR="00273F36" w:rsidRPr="004C70EC" w:rsidRDefault="009C3DE2" w:rsidP="006E6B00">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‘1a.</w:t>
      </w:r>
      <w:r w:rsidR="006E6B00"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val="en-IE" w:eastAsia="en-GB"/>
        </w:rPr>
        <w:t>The requirements for Part I may be adapted for minimal-intervention or low-intervention clinical trials.”</w:t>
      </w:r>
    </w:p>
    <w:p w14:paraId="388DC3C0" w14:textId="77777777" w:rsidR="00273F36" w:rsidRPr="004C70EC" w:rsidRDefault="009C3DE2" w:rsidP="006E6B00">
      <w:pPr>
        <w:pStyle w:val="Point2"/>
        <w:rPr>
          <w:rFonts w:eastAsia="Times New Roman"/>
          <w:noProof/>
          <w:color w:val="000000" w:themeColor="text1"/>
          <w:szCs w:val="24"/>
          <w:shd w:val="clear" w:color="auto" w:fill="FFFFFF"/>
          <w:lang w:eastAsia="en-GB"/>
        </w:rPr>
      </w:pPr>
      <w:r w:rsidRPr="004C70EC">
        <w:rPr>
          <w:rFonts w:eastAsia="Times New Roman"/>
          <w:noProof/>
          <w:color w:val="000000" w:themeColor="text1"/>
          <w:szCs w:val="24"/>
          <w:lang w:val="en-IE" w:eastAsia="en-GB"/>
        </w:rPr>
        <w:t>‘1b.</w:t>
      </w:r>
      <w:r w:rsidR="006E6B00"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shd w:val="clear" w:color="auto" w:fill="FFFFFF"/>
          <w:lang w:eastAsia="en-GB"/>
        </w:rPr>
        <w:t>The sponsor shall use harmonised templates, where such templates are available, for the submission of documents for Part II of the application dossier necessary for the authorisation of the clinical trial, in accordance with the requirements described in Article 7(1) of this Regulation.</w:t>
      </w:r>
    </w:p>
    <w:p w14:paraId="319B5D90" w14:textId="77777777" w:rsidR="00273F36" w:rsidRPr="004C70EC" w:rsidRDefault="009C3DE2" w:rsidP="006E6B00">
      <w:pPr>
        <w:pStyle w:val="Point2"/>
        <w:rPr>
          <w:rFonts w:eastAsia="Times New Roman"/>
          <w:noProof/>
          <w:color w:val="000000" w:themeColor="text1"/>
          <w:szCs w:val="24"/>
          <w:shd w:val="clear" w:color="auto" w:fill="FFFFFF"/>
          <w:lang w:eastAsia="en-GB"/>
        </w:rPr>
      </w:pPr>
      <w:r w:rsidRPr="004C70EC">
        <w:rPr>
          <w:rFonts w:eastAsia="Times New Roman"/>
          <w:noProof/>
          <w:color w:val="000000" w:themeColor="text1"/>
          <w:szCs w:val="24"/>
          <w:lang w:val="en-IE" w:eastAsia="en-GB"/>
        </w:rPr>
        <w:t>1c.</w:t>
      </w:r>
      <w:r w:rsidR="006E6B00"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eastAsia="en-GB"/>
        </w:rPr>
        <w:t>To draw up and update, when necessary, harmonised templates to be used by sponsors, the Commission shall be empowered to adopt implementing acts in accordance with Article 88.  The harmonised templates may include standardised sections for documents referred to in Article 7(2) and in Annex I.</w:t>
      </w:r>
      <w:r w:rsidRPr="004C70EC">
        <w:rPr>
          <w:rFonts w:eastAsia="Times New Roman"/>
          <w:noProof/>
          <w:color w:val="000000" w:themeColor="text1"/>
          <w:szCs w:val="24"/>
          <w:lang w:eastAsia="en-GB"/>
        </w:rPr>
        <w:t>’</w:t>
      </w:r>
    </w:p>
    <w:p w14:paraId="30613BB9" w14:textId="77777777" w:rsidR="00273F36" w:rsidRPr="004C70EC" w:rsidRDefault="00D37B7A" w:rsidP="00D37B7A">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EA7E99" w:rsidRPr="004C70EC">
        <w:rPr>
          <w:rFonts w:eastAsia="Times New Roman"/>
          <w:noProof/>
          <w:color w:val="000000" w:themeColor="text1"/>
          <w:szCs w:val="24"/>
          <w:lang w:val="en-IE" w:eastAsia="en-GB"/>
        </w:rPr>
        <w:t>c</w:t>
      </w:r>
      <w:r w:rsidRPr="004C70EC">
        <w:rPr>
          <w:rFonts w:eastAsia="Times New Roman"/>
          <w:noProof/>
          <w:color w:val="000000" w:themeColor="text1"/>
          <w:szCs w:val="24"/>
          <w:lang w:val="en-IE" w:eastAsia="en-GB"/>
        </w:rPr>
        <w:t>)</w:t>
      </w:r>
      <w:r w:rsidRPr="004C70EC">
        <w:rPr>
          <w:rFonts w:eastAsia="Times New Roman"/>
          <w:noProof/>
          <w:color w:val="000000" w:themeColor="text1"/>
          <w:szCs w:val="24"/>
          <w:lang w:val="en-IE" w:eastAsia="en-GB"/>
        </w:rPr>
        <w:tab/>
      </w:r>
      <w:r w:rsidR="00EA7E99" w:rsidRPr="004C70EC">
        <w:rPr>
          <w:rFonts w:eastAsia="Times New Roman"/>
          <w:noProof/>
          <w:color w:val="000000" w:themeColor="text1"/>
          <w:szCs w:val="24"/>
          <w:lang w:val="en-IE" w:eastAsia="en-GB"/>
        </w:rPr>
        <w:t>the following p</w:t>
      </w:r>
      <w:r w:rsidR="00273F36" w:rsidRPr="004C70EC">
        <w:rPr>
          <w:rFonts w:eastAsia="Times New Roman"/>
          <w:noProof/>
          <w:color w:val="000000" w:themeColor="text1"/>
          <w:szCs w:val="24"/>
          <w:lang w:val="en-IE" w:eastAsia="en-GB"/>
        </w:rPr>
        <w:t xml:space="preserve">aragraph 2a is </w:t>
      </w:r>
      <w:r w:rsidR="00EA7E99" w:rsidRPr="004C70EC">
        <w:rPr>
          <w:rFonts w:eastAsia="Times New Roman"/>
          <w:noProof/>
          <w:color w:val="000000" w:themeColor="text1"/>
          <w:szCs w:val="24"/>
          <w:lang w:val="en-IE" w:eastAsia="en-GB"/>
        </w:rPr>
        <w:t>inserted</w:t>
      </w:r>
      <w:r w:rsidR="00273F36" w:rsidRPr="004C70EC">
        <w:rPr>
          <w:rFonts w:eastAsia="Times New Roman"/>
          <w:noProof/>
          <w:color w:val="000000" w:themeColor="text1"/>
          <w:szCs w:val="24"/>
          <w:lang w:val="en-IE" w:eastAsia="en-GB"/>
        </w:rPr>
        <w:t>:</w:t>
      </w:r>
    </w:p>
    <w:p w14:paraId="1D3CFCF4" w14:textId="77777777" w:rsidR="00273F36" w:rsidRPr="004C70EC" w:rsidRDefault="00EA7E99" w:rsidP="006E6B00">
      <w:pPr>
        <w:pStyle w:val="Point2"/>
        <w:rPr>
          <w:rFonts w:eastAsia="Times New Roman"/>
          <w:noProof/>
          <w:color w:val="000000" w:themeColor="text1"/>
          <w:szCs w:val="24"/>
          <w:lang w:eastAsia="en-GB"/>
        </w:rPr>
      </w:pPr>
      <w:r w:rsidRPr="004C70EC">
        <w:rPr>
          <w:rFonts w:eastAsia="Times New Roman"/>
          <w:noProof/>
          <w:color w:val="000000" w:themeColor="text1"/>
          <w:szCs w:val="24"/>
          <w:lang w:val="en-IE" w:eastAsia="en-GB"/>
        </w:rPr>
        <w:t>’2a.</w:t>
      </w:r>
      <w:r w:rsidR="006E6B00" w:rsidRPr="004C70EC">
        <w:rPr>
          <w:rFonts w:eastAsia="Times New Roman"/>
          <w:noProof/>
          <w:color w:val="000000" w:themeColor="text1"/>
          <w:szCs w:val="24"/>
          <w:lang w:val="en-IE" w:eastAsia="en-GB"/>
        </w:rPr>
        <w:tab/>
      </w:r>
      <w:r w:rsidR="00273F36" w:rsidRPr="004C70EC">
        <w:rPr>
          <w:rFonts w:eastAsia="Times New Roman"/>
          <w:noProof/>
          <w:color w:val="000000" w:themeColor="text1"/>
          <w:szCs w:val="24"/>
          <w:lang w:eastAsia="en-GB"/>
        </w:rPr>
        <w:t>The requirements referred to in paragraph 2 may be adapted for minimal-intervention and low-intervention clinical trials.</w:t>
      </w:r>
      <w:r w:rsidR="00C01028" w:rsidRPr="004C70EC">
        <w:rPr>
          <w:rFonts w:eastAsia="Times New Roman"/>
          <w:noProof/>
          <w:color w:val="000000" w:themeColor="text1"/>
          <w:szCs w:val="24"/>
          <w:lang w:eastAsia="en-GB"/>
        </w:rPr>
        <w:t>’</w:t>
      </w:r>
    </w:p>
    <w:p w14:paraId="47C0E0D3" w14:textId="77777777" w:rsidR="00273F36" w:rsidRPr="004C70EC" w:rsidRDefault="00D37B7A" w:rsidP="00D37B7A">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C01028" w:rsidRPr="004C70EC">
        <w:rPr>
          <w:rFonts w:eastAsia="Times New Roman"/>
          <w:noProof/>
          <w:color w:val="000000" w:themeColor="text1"/>
          <w:szCs w:val="24"/>
          <w:lang w:val="en-IE" w:eastAsia="en-GB"/>
        </w:rPr>
        <w:t>d</w:t>
      </w:r>
      <w:r w:rsidRPr="004C70EC">
        <w:rPr>
          <w:rFonts w:eastAsia="Times New Roman"/>
          <w:noProof/>
          <w:color w:val="000000" w:themeColor="text1"/>
          <w:szCs w:val="24"/>
          <w:lang w:val="en-IE" w:eastAsia="en-GB"/>
        </w:rPr>
        <w:t>)</w:t>
      </w:r>
      <w:r w:rsidRPr="004C70EC">
        <w:rPr>
          <w:rFonts w:eastAsia="Times New Roman"/>
          <w:noProof/>
          <w:color w:val="000000" w:themeColor="text1"/>
          <w:szCs w:val="24"/>
          <w:lang w:val="en-IE" w:eastAsia="en-GB"/>
        </w:rPr>
        <w:tab/>
      </w:r>
      <w:r w:rsidR="00C01028" w:rsidRPr="004C70EC">
        <w:rPr>
          <w:rFonts w:eastAsia="Times New Roman"/>
          <w:noProof/>
          <w:color w:val="000000" w:themeColor="text1"/>
          <w:szCs w:val="24"/>
          <w:lang w:val="en-IE" w:eastAsia="en-GB"/>
        </w:rPr>
        <w:t>the following p</w:t>
      </w:r>
      <w:r w:rsidR="00273F36" w:rsidRPr="004C70EC">
        <w:rPr>
          <w:rFonts w:eastAsia="Times New Roman"/>
          <w:noProof/>
          <w:color w:val="000000" w:themeColor="text1"/>
          <w:szCs w:val="24"/>
          <w:lang w:val="en-IE" w:eastAsia="en-GB"/>
        </w:rPr>
        <w:t>aragraphs 8 and 9 are added:</w:t>
      </w:r>
    </w:p>
    <w:p w14:paraId="4D7DE3BB" w14:textId="77777777" w:rsidR="00273F36" w:rsidRPr="004C70EC" w:rsidRDefault="1B4F845B" w:rsidP="00D37B7A">
      <w:pPr>
        <w:pStyle w:val="Point2"/>
        <w:rPr>
          <w:noProof/>
          <w:color w:val="000000" w:themeColor="text1"/>
          <w:szCs w:val="24"/>
          <w:lang w:eastAsia="en-GB"/>
        </w:rPr>
      </w:pPr>
      <w:r w:rsidRPr="004C70EC">
        <w:rPr>
          <w:noProof/>
          <w:color w:val="000000" w:themeColor="text1"/>
          <w:szCs w:val="24"/>
          <w:lang w:val="en-IE" w:eastAsia="en-GB"/>
        </w:rPr>
        <w:t>‘</w:t>
      </w:r>
      <w:r w:rsidR="2F263E33" w:rsidRPr="004C70EC">
        <w:rPr>
          <w:noProof/>
          <w:color w:val="000000" w:themeColor="text1"/>
          <w:szCs w:val="24"/>
          <w:lang w:val="en-IE" w:eastAsia="en-GB"/>
        </w:rPr>
        <w:t>8.</w:t>
      </w:r>
      <w:r w:rsidR="00D37B7A" w:rsidRPr="004C70EC">
        <w:rPr>
          <w:noProof/>
          <w:color w:val="000000" w:themeColor="text1"/>
          <w:szCs w:val="24"/>
          <w:lang w:val="en-IE" w:eastAsia="en-GB"/>
        </w:rPr>
        <w:tab/>
      </w:r>
      <w:r w:rsidR="2F263E33" w:rsidRPr="004C70EC">
        <w:rPr>
          <w:noProof/>
          <w:color w:val="000000" w:themeColor="text1"/>
          <w:szCs w:val="24"/>
          <w:lang w:eastAsia="en-GB"/>
        </w:rPr>
        <w:t>A</w:t>
      </w:r>
      <w:r w:rsidRPr="004C70EC">
        <w:rPr>
          <w:noProof/>
          <w:color w:val="000000" w:themeColor="text1"/>
          <w:szCs w:val="24"/>
          <w:lang w:eastAsia="en-GB"/>
        </w:rPr>
        <w:t>n a</w:t>
      </w:r>
      <w:r w:rsidR="2F263E33" w:rsidRPr="004C70EC">
        <w:rPr>
          <w:noProof/>
          <w:color w:val="000000" w:themeColor="text1"/>
          <w:szCs w:val="24"/>
          <w:lang w:eastAsia="en-GB"/>
        </w:rPr>
        <w:t>pplication dossier for an authorisation of a clinical trial or for an authorisation of a substantial modification may rely on health data accessed under Chapter IV of Regulation (EU) 2025/327</w:t>
      </w:r>
      <w:r w:rsidRPr="004C70EC">
        <w:rPr>
          <w:noProof/>
          <w:color w:val="000000" w:themeColor="text1"/>
          <w:szCs w:val="24"/>
          <w:lang w:eastAsia="en-GB"/>
        </w:rPr>
        <w:t xml:space="preserve"> of the European Parliament and of the Council*</w:t>
      </w:r>
      <w:r w:rsidR="2F263E33" w:rsidRPr="004C70EC">
        <w:rPr>
          <w:noProof/>
          <w:color w:val="000000" w:themeColor="text1"/>
          <w:szCs w:val="24"/>
          <w:lang w:eastAsia="en-GB"/>
        </w:rPr>
        <w:t xml:space="preserve"> </w:t>
      </w:r>
    </w:p>
    <w:p w14:paraId="7196580B" w14:textId="77777777" w:rsidR="004227B1" w:rsidRPr="004C70EC" w:rsidRDefault="00273F36" w:rsidP="00D37B7A">
      <w:pPr>
        <w:pStyle w:val="Point2"/>
        <w:pBdr>
          <w:bottom w:val="single" w:sz="6" w:space="1" w:color="auto"/>
        </w:pBdr>
        <w:rPr>
          <w:rFonts w:eastAsia="Times New Roman"/>
          <w:noProof/>
          <w:color w:val="000000" w:themeColor="text1"/>
          <w:szCs w:val="24"/>
          <w:lang w:eastAsia="en-GB"/>
        </w:rPr>
      </w:pPr>
      <w:r w:rsidRPr="004C70EC">
        <w:rPr>
          <w:rFonts w:eastAsia="Times New Roman"/>
          <w:noProof/>
          <w:color w:val="000000" w:themeColor="text1"/>
          <w:szCs w:val="24"/>
          <w:lang w:eastAsia="en-GB"/>
        </w:rPr>
        <w:t>9.</w:t>
      </w:r>
      <w:r w:rsidR="00D37B7A" w:rsidRPr="004C70EC">
        <w:rPr>
          <w:rFonts w:eastAsia="Times New Roman"/>
          <w:noProof/>
          <w:color w:val="000000" w:themeColor="text1"/>
          <w:szCs w:val="24"/>
          <w:lang w:eastAsia="en-GB"/>
        </w:rPr>
        <w:tab/>
      </w:r>
      <w:r w:rsidRPr="004C70EC">
        <w:rPr>
          <w:rFonts w:eastAsia="Times New Roman"/>
          <w:noProof/>
          <w:color w:val="000000" w:themeColor="text1"/>
          <w:szCs w:val="24"/>
          <w:lang w:eastAsia="en-GB"/>
        </w:rPr>
        <w:t xml:space="preserve">National competent authorities and ethics committees shall ensure that the persons validating or assessing the initial application and substantial modification requests only documents which are listed in </w:t>
      </w:r>
      <w:r w:rsidR="00816110" w:rsidRPr="004C70EC">
        <w:rPr>
          <w:rFonts w:eastAsia="Times New Roman"/>
          <w:noProof/>
          <w:color w:val="000000" w:themeColor="text1"/>
          <w:szCs w:val="24"/>
          <w:lang w:eastAsia="en-GB"/>
        </w:rPr>
        <w:t>Part I and Part II of</w:t>
      </w:r>
      <w:r w:rsidRPr="004C70EC">
        <w:rPr>
          <w:rFonts w:eastAsia="Times New Roman"/>
          <w:noProof/>
          <w:color w:val="000000" w:themeColor="text1"/>
          <w:szCs w:val="24"/>
          <w:lang w:eastAsia="en-GB"/>
        </w:rPr>
        <w:t xml:space="preserve"> Annex I and </w:t>
      </w:r>
      <w:r w:rsidR="00816110" w:rsidRPr="004C70EC">
        <w:rPr>
          <w:rFonts w:eastAsia="Times New Roman"/>
          <w:noProof/>
          <w:color w:val="000000" w:themeColor="text1"/>
          <w:szCs w:val="24"/>
          <w:lang w:eastAsia="en-GB"/>
        </w:rPr>
        <w:t xml:space="preserve">Annex </w:t>
      </w:r>
      <w:r w:rsidRPr="004C70EC">
        <w:rPr>
          <w:rFonts w:eastAsia="Times New Roman"/>
          <w:noProof/>
          <w:color w:val="000000" w:themeColor="text1"/>
          <w:szCs w:val="24"/>
          <w:lang w:eastAsia="en-GB"/>
        </w:rPr>
        <w:t>II.</w:t>
      </w:r>
      <w:r w:rsidR="004227B1" w:rsidRPr="004C70EC">
        <w:rPr>
          <w:rFonts w:eastAsia="Times New Roman"/>
          <w:noProof/>
          <w:color w:val="000000" w:themeColor="text1"/>
          <w:szCs w:val="24"/>
          <w:lang w:eastAsia="en-GB"/>
        </w:rPr>
        <w:t>’</w:t>
      </w:r>
    </w:p>
    <w:p w14:paraId="2FBC9968" w14:textId="77777777" w:rsidR="00273F36" w:rsidRPr="004C70EC" w:rsidRDefault="004227B1" w:rsidP="00D37B7A">
      <w:pPr>
        <w:pStyle w:val="Point2"/>
        <w:rPr>
          <w:rFonts w:eastAsia="Times New Roman"/>
          <w:noProof/>
          <w:color w:val="000000" w:themeColor="text1"/>
          <w:szCs w:val="24"/>
          <w:lang w:eastAsia="en-GB"/>
        </w:rPr>
      </w:pPr>
      <w:r w:rsidRPr="004C70EC">
        <w:rPr>
          <w:rFonts w:eastAsia="Times New Roman"/>
          <w:noProof/>
          <w:color w:val="000000" w:themeColor="text1"/>
          <w:szCs w:val="24"/>
          <w:lang w:eastAsia="en-GB"/>
        </w:rPr>
        <w:t>*</w:t>
      </w:r>
      <w:r w:rsidRPr="004C70EC">
        <w:rPr>
          <w:noProof/>
          <w:color w:val="000000" w:themeColor="text1"/>
          <w:szCs w:val="24"/>
        </w:rPr>
        <w:t xml:space="preserve"> </w:t>
      </w:r>
      <w:r w:rsidRPr="004C70EC">
        <w:rPr>
          <w:noProof/>
          <w:color w:val="000000" w:themeColor="text1"/>
          <w:szCs w:val="24"/>
        </w:rPr>
        <w:tab/>
        <w:t xml:space="preserve">Regulation (EU) 2025/327 of the European Parliament and of the Council of 11 February 2025 on the European Health Data Space and amending Directive 2011/24/EU and Regulation (EU) 2024/2847 </w:t>
      </w:r>
      <w:r w:rsidR="00150F8D" w:rsidRPr="004C70EC">
        <w:rPr>
          <w:noProof/>
          <w:color w:val="000000" w:themeColor="text1"/>
          <w:szCs w:val="24"/>
        </w:rPr>
        <w:t>(</w:t>
      </w:r>
      <w:r w:rsidRPr="004C70EC">
        <w:rPr>
          <w:noProof/>
          <w:color w:val="000000" w:themeColor="text1"/>
          <w:szCs w:val="24"/>
        </w:rPr>
        <w:t>OJ L, 2025/327, 5.3.2025. ELI: </w:t>
      </w:r>
      <w:hyperlink r:id="rId28" w:tgtFrame="_blank" w:tooltip="Gives access to this document through its ELI URI." w:history="1">
        <w:r w:rsidRPr="004C70EC">
          <w:rPr>
            <w:rStyle w:val="Hyperlink"/>
            <w:noProof/>
            <w:color w:val="000000" w:themeColor="text1"/>
            <w:szCs w:val="24"/>
          </w:rPr>
          <w:t>http://data.europa.eu/eli/reg/2025/327/oj</w:t>
        </w:r>
      </w:hyperlink>
      <w:r w:rsidR="00150F8D" w:rsidRPr="004C70EC">
        <w:rPr>
          <w:noProof/>
          <w:color w:val="000000" w:themeColor="text1"/>
          <w:szCs w:val="24"/>
        </w:rPr>
        <w:t>)</w:t>
      </w:r>
      <w:r w:rsidRPr="004C70EC">
        <w:rPr>
          <w:noProof/>
          <w:color w:val="000000" w:themeColor="text1"/>
          <w:szCs w:val="24"/>
        </w:rPr>
        <w:t>.</w:t>
      </w:r>
    </w:p>
    <w:p w14:paraId="7155E48C" w14:textId="77777777" w:rsidR="006E6B00" w:rsidRPr="004C70EC" w:rsidRDefault="006E6B00" w:rsidP="00D37B7A">
      <w:pPr>
        <w:pStyle w:val="Point0"/>
        <w:rPr>
          <w:rFonts w:eastAsia="Times New Roman"/>
          <w:noProof/>
          <w:color w:val="000000" w:themeColor="text1"/>
          <w:szCs w:val="24"/>
          <w:lang w:val="en-IE" w:eastAsia="en-GB"/>
        </w:rPr>
      </w:pPr>
    </w:p>
    <w:p w14:paraId="072DD0CA" w14:textId="77777777" w:rsidR="00273F36" w:rsidRPr="004C70EC" w:rsidRDefault="60C9C9BD" w:rsidP="4CF51068">
      <w:pPr>
        <w:pStyle w:val="Point0"/>
        <w:rPr>
          <w:rFonts w:eastAsia="Times New Roman"/>
          <w:noProof/>
          <w:color w:val="000000" w:themeColor="text1"/>
          <w:lang w:val="en-IE" w:eastAsia="en-GB"/>
        </w:rPr>
      </w:pPr>
      <w:r w:rsidRPr="004C70EC">
        <w:rPr>
          <w:rFonts w:eastAsia="Times New Roman"/>
          <w:noProof/>
          <w:color w:val="000000" w:themeColor="text1"/>
          <w:lang w:val="en-IE" w:eastAsia="en-GB"/>
        </w:rPr>
        <w:t>(2</w:t>
      </w:r>
      <w:r w:rsidR="67652E46" w:rsidRPr="004C70EC">
        <w:rPr>
          <w:rFonts w:eastAsia="Times New Roman"/>
          <w:noProof/>
          <w:color w:val="000000" w:themeColor="text1"/>
          <w:lang w:val="en-IE" w:eastAsia="en-GB"/>
        </w:rPr>
        <w:t>4</w:t>
      </w:r>
      <w:r w:rsidRPr="004C70EC">
        <w:rPr>
          <w:rFonts w:eastAsia="Times New Roman"/>
          <w:noProof/>
          <w:color w:val="000000" w:themeColor="text1"/>
          <w:lang w:val="en-IE" w:eastAsia="en-GB"/>
        </w:rPr>
        <w:t>)</w:t>
      </w:r>
      <w:r w:rsidR="00D37B7A" w:rsidRPr="004C70EC">
        <w:rPr>
          <w:noProof/>
        </w:rPr>
        <w:tab/>
      </w:r>
      <w:r w:rsidR="263FE005" w:rsidRPr="004C70EC">
        <w:rPr>
          <w:rFonts w:eastAsia="Times New Roman"/>
          <w:noProof/>
          <w:color w:val="000000" w:themeColor="text1"/>
          <w:lang w:val="en-IE" w:eastAsia="en-GB"/>
        </w:rPr>
        <w:t xml:space="preserve">the following </w:t>
      </w:r>
      <w:r w:rsidR="249CF78E" w:rsidRPr="004C70EC">
        <w:rPr>
          <w:rFonts w:eastAsia="Times New Roman"/>
          <w:noProof/>
          <w:color w:val="000000" w:themeColor="text1"/>
          <w:lang w:val="en-IE" w:eastAsia="en-GB"/>
        </w:rPr>
        <w:t>Chapter</w:t>
      </w:r>
      <w:r w:rsidR="11BDCA67" w:rsidRPr="004C70EC">
        <w:rPr>
          <w:rFonts w:eastAsia="Times New Roman"/>
          <w:noProof/>
          <w:color w:val="000000" w:themeColor="text1"/>
          <w:lang w:val="en-IE" w:eastAsia="en-GB"/>
        </w:rPr>
        <w:t>s</w:t>
      </w:r>
      <w:r w:rsidR="249CF78E" w:rsidRPr="004C70EC">
        <w:rPr>
          <w:rFonts w:eastAsia="Times New Roman"/>
          <w:noProof/>
          <w:color w:val="000000" w:themeColor="text1"/>
          <w:lang w:val="en-IE" w:eastAsia="en-GB"/>
        </w:rPr>
        <w:t xml:space="preserve"> IVa </w:t>
      </w:r>
      <w:r w:rsidR="11BDCA67" w:rsidRPr="004C70EC">
        <w:rPr>
          <w:rFonts w:eastAsia="Times New Roman"/>
          <w:noProof/>
          <w:color w:val="000000" w:themeColor="text1"/>
          <w:lang w:val="en-IE" w:eastAsia="en-GB"/>
        </w:rPr>
        <w:t>and IVb are inserted</w:t>
      </w:r>
      <w:r w:rsidR="249CF78E" w:rsidRPr="004C70EC">
        <w:rPr>
          <w:rFonts w:eastAsia="Times New Roman"/>
          <w:noProof/>
          <w:color w:val="000000" w:themeColor="text1"/>
          <w:lang w:val="en-IE" w:eastAsia="en-GB"/>
        </w:rPr>
        <w:t>:</w:t>
      </w:r>
    </w:p>
    <w:p w14:paraId="03AF87AA" w14:textId="77777777" w:rsidR="00273F36" w:rsidRPr="004C70EC" w:rsidRDefault="00152615" w:rsidP="006D5DD0">
      <w:pPr>
        <w:jc w:val="center"/>
        <w:rPr>
          <w:rFonts w:eastAsia="Times New Roman"/>
          <w:b/>
          <w:noProof/>
          <w:color w:val="000000" w:themeColor="text1"/>
          <w:szCs w:val="24"/>
          <w:lang w:val="en-IE" w:eastAsia="en-GB"/>
        </w:rPr>
      </w:pPr>
      <w:r w:rsidRPr="004C70EC">
        <w:rPr>
          <w:rFonts w:eastAsia="Times New Roman"/>
          <w:noProof/>
          <w:color w:val="000000" w:themeColor="text1"/>
          <w:szCs w:val="24"/>
          <w:lang w:val="en-IE" w:eastAsia="en-GB"/>
        </w:rPr>
        <w:t>‘</w:t>
      </w:r>
      <w:r w:rsidR="00273F36" w:rsidRPr="004C70EC">
        <w:rPr>
          <w:rFonts w:eastAsia="Times New Roman"/>
          <w:b/>
          <w:noProof/>
          <w:color w:val="000000" w:themeColor="text1"/>
          <w:szCs w:val="24"/>
          <w:lang w:val="en-IE" w:eastAsia="en-GB"/>
        </w:rPr>
        <w:t>Chapter IVa</w:t>
      </w:r>
    </w:p>
    <w:p w14:paraId="7FF433A9" w14:textId="77777777" w:rsidR="00273F36" w:rsidRPr="004C70EC" w:rsidRDefault="00273F36" w:rsidP="006D5DD0">
      <w:pPr>
        <w:jc w:val="center"/>
        <w:rPr>
          <w:rFonts w:eastAsia="Times New Roman"/>
          <w:b/>
          <w:noProof/>
          <w:color w:val="000000" w:themeColor="text1"/>
          <w:szCs w:val="24"/>
          <w:lang w:val="en-IE" w:eastAsia="en-GB"/>
        </w:rPr>
      </w:pPr>
      <w:r w:rsidRPr="004C70EC">
        <w:rPr>
          <w:rFonts w:eastAsia="Times New Roman"/>
          <w:b/>
          <w:noProof/>
          <w:color w:val="000000" w:themeColor="text1"/>
          <w:szCs w:val="24"/>
          <w:lang w:val="en-IE" w:eastAsia="en-GB"/>
        </w:rPr>
        <w:t>INVESTIGATIONAL MEDICINAL PRODUCT CORE DOSSIER</w:t>
      </w:r>
    </w:p>
    <w:p w14:paraId="566ECF5B" w14:textId="77777777" w:rsidR="00273F36" w:rsidRPr="004C70EC" w:rsidRDefault="00273F36" w:rsidP="006D5DD0">
      <w:pPr>
        <w:pStyle w:val="Titrearticle"/>
        <w:rPr>
          <w:noProof/>
          <w:color w:val="000000" w:themeColor="text1"/>
          <w:szCs w:val="24"/>
          <w:lang w:val="en-IE"/>
        </w:rPr>
      </w:pPr>
      <w:r w:rsidRPr="004C70EC">
        <w:rPr>
          <w:noProof/>
          <w:color w:val="000000" w:themeColor="text1"/>
          <w:szCs w:val="24"/>
          <w:lang w:val="en-IE"/>
        </w:rPr>
        <w:t>Article 27a</w:t>
      </w:r>
    </w:p>
    <w:p w14:paraId="7415C4BA" w14:textId="77777777" w:rsidR="00273F36" w:rsidRPr="004C70EC" w:rsidRDefault="00273F36" w:rsidP="006D5DD0">
      <w:pPr>
        <w:jc w:val="center"/>
        <w:rPr>
          <w:i/>
          <w:iCs/>
          <w:noProof/>
          <w:color w:val="000000" w:themeColor="text1"/>
          <w:szCs w:val="24"/>
          <w:lang w:val="en-IE"/>
        </w:rPr>
      </w:pPr>
      <w:r w:rsidRPr="004C70EC">
        <w:rPr>
          <w:i/>
          <w:iCs/>
          <w:noProof/>
          <w:color w:val="000000" w:themeColor="text1"/>
          <w:szCs w:val="24"/>
          <w:lang w:val="en-IE"/>
        </w:rPr>
        <w:t>Establishment of an investigational medicinal product core dossier</w:t>
      </w:r>
    </w:p>
    <w:p w14:paraId="0228F847" w14:textId="77777777" w:rsidR="00273F36" w:rsidRPr="004C70EC" w:rsidRDefault="006D5DD0" w:rsidP="006D5DD0">
      <w:pPr>
        <w:pStyle w:val="Point1"/>
        <w:rPr>
          <w:noProof/>
          <w:color w:val="000000" w:themeColor="text1"/>
          <w:szCs w:val="24"/>
          <w:lang w:eastAsia="en-GB"/>
        </w:rPr>
      </w:pPr>
      <w:r w:rsidRPr="004C70EC">
        <w:rPr>
          <w:noProof/>
          <w:color w:val="000000" w:themeColor="text1"/>
          <w:szCs w:val="24"/>
          <w:lang w:eastAsia="hr-HR" w:bidi="hr-HR"/>
        </w:rPr>
        <w:t>1.</w:t>
      </w:r>
      <w:r w:rsidRPr="004C70EC">
        <w:rPr>
          <w:noProof/>
          <w:color w:val="000000" w:themeColor="text1"/>
          <w:szCs w:val="24"/>
          <w:lang w:eastAsia="hr-HR" w:bidi="hr-HR"/>
        </w:rPr>
        <w:tab/>
      </w:r>
      <w:r w:rsidR="00273F36" w:rsidRPr="004C70EC">
        <w:rPr>
          <w:noProof/>
          <w:color w:val="000000" w:themeColor="text1"/>
          <w:szCs w:val="24"/>
          <w:lang w:eastAsia="hr-HR" w:bidi="hr-HR"/>
        </w:rPr>
        <w:t>At the time of submi</w:t>
      </w:r>
      <w:r w:rsidR="00273F36" w:rsidRPr="004C70EC">
        <w:rPr>
          <w:noProof/>
          <w:color w:val="000000" w:themeColor="text1"/>
          <w:szCs w:val="24"/>
          <w:lang w:eastAsia="en-GB"/>
        </w:rPr>
        <w:t xml:space="preserve">ssion of </w:t>
      </w:r>
      <w:r w:rsidR="00273F36" w:rsidRPr="004C70EC">
        <w:rPr>
          <w:noProof/>
          <w:color w:val="000000" w:themeColor="text1"/>
          <w:szCs w:val="24"/>
          <w:lang w:eastAsia="hr-HR" w:bidi="hr-HR"/>
        </w:rPr>
        <w:t>a clinical trial application referred to in Articles 5 and 11 the sponsor may request through</w:t>
      </w:r>
      <w:r w:rsidR="00273F36" w:rsidRPr="004C70EC">
        <w:rPr>
          <w:noProof/>
          <w:color w:val="000000" w:themeColor="text1"/>
          <w:szCs w:val="24"/>
          <w:lang w:eastAsia="en-GB"/>
        </w:rPr>
        <w:t xml:space="preserve"> the</w:t>
      </w:r>
      <w:r w:rsidR="00273F36" w:rsidRPr="004C70EC">
        <w:rPr>
          <w:noProof/>
          <w:color w:val="000000" w:themeColor="text1"/>
          <w:szCs w:val="24"/>
          <w:lang w:eastAsia="hr-HR" w:bidi="hr-HR"/>
        </w:rPr>
        <w:t xml:space="preserve"> EU </w:t>
      </w:r>
      <w:r w:rsidR="00273F36" w:rsidRPr="004C70EC">
        <w:rPr>
          <w:noProof/>
          <w:color w:val="000000" w:themeColor="text1"/>
          <w:szCs w:val="24"/>
          <w:lang w:eastAsia="en-GB"/>
        </w:rPr>
        <w:t>p</w:t>
      </w:r>
      <w:r w:rsidR="00273F36" w:rsidRPr="004C70EC">
        <w:rPr>
          <w:noProof/>
          <w:color w:val="000000" w:themeColor="text1"/>
          <w:szCs w:val="24"/>
          <w:lang w:eastAsia="hr-HR" w:bidi="hr-HR"/>
        </w:rPr>
        <w:t xml:space="preserve">ortal </w:t>
      </w:r>
      <w:r w:rsidR="00273F36" w:rsidRPr="004C70EC">
        <w:rPr>
          <w:noProof/>
          <w:color w:val="000000" w:themeColor="text1"/>
          <w:szCs w:val="24"/>
          <w:lang w:eastAsia="en-GB"/>
        </w:rPr>
        <w:t xml:space="preserve">the </w:t>
      </w:r>
      <w:r w:rsidR="00273F36" w:rsidRPr="004C70EC">
        <w:rPr>
          <w:noProof/>
          <w:color w:val="000000" w:themeColor="text1"/>
          <w:szCs w:val="24"/>
          <w:lang w:eastAsia="hr-HR" w:bidi="hr-HR"/>
        </w:rPr>
        <w:t xml:space="preserve">establishment of </w:t>
      </w:r>
      <w:r w:rsidR="00273F36" w:rsidRPr="004C70EC">
        <w:rPr>
          <w:noProof/>
          <w:color w:val="000000" w:themeColor="text1"/>
          <w:szCs w:val="24"/>
          <w:lang w:eastAsia="en-GB"/>
        </w:rPr>
        <w:t>an</w:t>
      </w:r>
      <w:r w:rsidR="00273F36" w:rsidRPr="004C70EC">
        <w:rPr>
          <w:noProof/>
          <w:color w:val="000000" w:themeColor="text1"/>
          <w:szCs w:val="24"/>
          <w:lang w:eastAsia="hr-HR" w:bidi="hr-HR"/>
        </w:rPr>
        <w:t xml:space="preserve"> investigational medicinal product core dossier</w:t>
      </w:r>
      <w:r w:rsidR="00273F36" w:rsidRPr="004C70EC">
        <w:rPr>
          <w:noProof/>
          <w:color w:val="000000" w:themeColor="text1"/>
          <w:szCs w:val="24"/>
          <w:lang w:eastAsia="en-GB"/>
        </w:rPr>
        <w:t>. To this end, the sponsor shall</w:t>
      </w:r>
      <w:r w:rsidR="00273F36" w:rsidRPr="004C70EC">
        <w:rPr>
          <w:noProof/>
          <w:color w:val="000000" w:themeColor="text1"/>
          <w:szCs w:val="24"/>
          <w:lang w:eastAsia="hr-HR" w:bidi="hr-HR"/>
        </w:rPr>
        <w:t xml:space="preserve"> provi</w:t>
      </w:r>
      <w:r w:rsidR="00273F36" w:rsidRPr="004C70EC">
        <w:rPr>
          <w:noProof/>
          <w:color w:val="000000" w:themeColor="text1"/>
          <w:szCs w:val="24"/>
          <w:lang w:eastAsia="en-GB"/>
        </w:rPr>
        <w:t>de</w:t>
      </w:r>
      <w:r w:rsidR="00273F36" w:rsidRPr="004C70EC">
        <w:rPr>
          <w:noProof/>
          <w:color w:val="000000" w:themeColor="text1"/>
          <w:szCs w:val="24"/>
          <w:lang w:eastAsia="hr-HR" w:bidi="hr-HR"/>
        </w:rPr>
        <w:t xml:space="preserve"> data and information referred to in </w:t>
      </w:r>
      <w:r w:rsidR="00273F36" w:rsidRPr="004C70EC">
        <w:rPr>
          <w:noProof/>
          <w:color w:val="000000" w:themeColor="text1"/>
          <w:szCs w:val="24"/>
          <w:lang w:eastAsia="en-GB"/>
        </w:rPr>
        <w:t xml:space="preserve">point </w:t>
      </w:r>
      <w:r w:rsidR="00BC6EA3" w:rsidRPr="004C70EC">
        <w:rPr>
          <w:noProof/>
          <w:color w:val="000000" w:themeColor="text1"/>
          <w:szCs w:val="24"/>
          <w:lang w:eastAsia="en-GB"/>
        </w:rPr>
        <w:t>(</w:t>
      </w:r>
      <w:r w:rsidR="00273F36" w:rsidRPr="004C70EC">
        <w:rPr>
          <w:noProof/>
          <w:color w:val="000000" w:themeColor="text1"/>
          <w:szCs w:val="24"/>
          <w:lang w:eastAsia="en-GB"/>
        </w:rPr>
        <w:t>Ga</w:t>
      </w:r>
      <w:r w:rsidR="00BC6EA3" w:rsidRPr="004C70EC">
        <w:rPr>
          <w:noProof/>
          <w:color w:val="000000" w:themeColor="text1"/>
          <w:szCs w:val="24"/>
          <w:lang w:eastAsia="en-GB"/>
        </w:rPr>
        <w:t>)</w:t>
      </w:r>
      <w:r w:rsidR="00273F36" w:rsidRPr="004C70EC">
        <w:rPr>
          <w:noProof/>
          <w:color w:val="000000" w:themeColor="text1"/>
          <w:szCs w:val="24"/>
          <w:lang w:eastAsia="en-GB"/>
        </w:rPr>
        <w:t xml:space="preserve"> of </w:t>
      </w:r>
      <w:r w:rsidR="00BC6EA3" w:rsidRPr="004C70EC">
        <w:rPr>
          <w:noProof/>
          <w:color w:val="000000" w:themeColor="text1"/>
          <w:szCs w:val="24"/>
          <w:lang w:eastAsia="en-GB"/>
        </w:rPr>
        <w:t>Part I</w:t>
      </w:r>
      <w:r w:rsidR="00273F36" w:rsidRPr="004C70EC">
        <w:rPr>
          <w:noProof/>
          <w:color w:val="000000" w:themeColor="text1"/>
          <w:szCs w:val="24"/>
          <w:lang w:eastAsia="en-GB"/>
        </w:rPr>
        <w:t xml:space="preserve"> of </w:t>
      </w:r>
      <w:r w:rsidR="00273F36" w:rsidRPr="004C70EC">
        <w:rPr>
          <w:noProof/>
          <w:color w:val="000000" w:themeColor="text1"/>
          <w:szCs w:val="24"/>
          <w:lang w:eastAsia="hr-HR" w:bidi="hr-HR"/>
        </w:rPr>
        <w:t>Annex I.</w:t>
      </w:r>
    </w:p>
    <w:p w14:paraId="78C97410" w14:textId="77777777" w:rsidR="00273F36" w:rsidRPr="004C70EC" w:rsidRDefault="006D5DD0" w:rsidP="006D5DD0">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hr-HR" w:bidi="hr-HR"/>
        </w:rPr>
        <w:t>2.</w:t>
      </w:r>
      <w:r w:rsidRPr="004C70EC">
        <w:rPr>
          <w:rFonts w:eastAsia="Times New Roman"/>
          <w:noProof/>
          <w:color w:val="000000" w:themeColor="text1"/>
          <w:szCs w:val="24"/>
          <w:lang w:eastAsia="hr-HR" w:bidi="hr-HR"/>
        </w:rPr>
        <w:tab/>
      </w:r>
      <w:r w:rsidR="00273F36" w:rsidRPr="004C70EC">
        <w:rPr>
          <w:rFonts w:eastAsia="Times New Roman"/>
          <w:noProof/>
          <w:color w:val="000000" w:themeColor="text1"/>
          <w:szCs w:val="24"/>
          <w:lang w:eastAsia="hr-HR" w:bidi="hr-HR"/>
        </w:rPr>
        <w:t xml:space="preserve">The sponsor shall submit the request for the establishment of the investigational </w:t>
      </w:r>
      <w:r w:rsidR="00273F36" w:rsidRPr="004C70EC">
        <w:rPr>
          <w:rFonts w:eastAsia="Times New Roman"/>
          <w:noProof/>
          <w:color w:val="000000" w:themeColor="text1"/>
          <w:szCs w:val="24"/>
          <w:lang w:eastAsia="en-GB"/>
        </w:rPr>
        <w:t xml:space="preserve">medicinal </w:t>
      </w:r>
      <w:r w:rsidR="00273F36" w:rsidRPr="004C70EC">
        <w:rPr>
          <w:rFonts w:eastAsia="Times New Roman"/>
          <w:noProof/>
          <w:color w:val="000000" w:themeColor="text1"/>
          <w:szCs w:val="24"/>
          <w:lang w:eastAsia="hr-HR" w:bidi="hr-HR"/>
        </w:rPr>
        <w:t>product core dossier to all Member States concerned of the initial trial. The sponsor may extend this request to other Member States than the Member States concerned. The reporting Member State of the initial clinical trial shall become the depositary Member State.</w:t>
      </w:r>
    </w:p>
    <w:p w14:paraId="63767376" w14:textId="77777777" w:rsidR="00273F36" w:rsidRPr="004C70EC" w:rsidRDefault="006D5DD0" w:rsidP="006D5DD0">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hr-HR" w:bidi="hr-HR"/>
        </w:rPr>
        <w:t>3.</w:t>
      </w:r>
      <w:r w:rsidRPr="004C70EC">
        <w:rPr>
          <w:rFonts w:eastAsia="Times New Roman"/>
          <w:noProof/>
          <w:color w:val="000000" w:themeColor="text1"/>
          <w:szCs w:val="24"/>
          <w:lang w:eastAsia="hr-HR" w:bidi="hr-HR"/>
        </w:rPr>
        <w:tab/>
      </w:r>
      <w:r w:rsidR="00273F36" w:rsidRPr="004C70EC">
        <w:rPr>
          <w:rFonts w:eastAsia="Times New Roman"/>
          <w:noProof/>
          <w:color w:val="000000" w:themeColor="text1"/>
          <w:szCs w:val="24"/>
          <w:lang w:eastAsia="hr-HR" w:bidi="hr-HR"/>
        </w:rPr>
        <w:t xml:space="preserve">The depositary Member State shall </w:t>
      </w:r>
      <w:r w:rsidR="00273F36" w:rsidRPr="004C70EC">
        <w:rPr>
          <w:rFonts w:eastAsia="Times New Roman"/>
          <w:noProof/>
          <w:color w:val="000000" w:themeColor="text1"/>
          <w:szCs w:val="24"/>
          <w:lang w:eastAsia="en-GB"/>
        </w:rPr>
        <w:t>verify</w:t>
      </w:r>
      <w:r w:rsidR="00273F36" w:rsidRPr="004C70EC">
        <w:rPr>
          <w:rFonts w:eastAsia="Times New Roman"/>
          <w:noProof/>
          <w:color w:val="000000" w:themeColor="text1"/>
          <w:szCs w:val="24"/>
          <w:lang w:eastAsia="hr-HR" w:bidi="hr-HR"/>
        </w:rPr>
        <w:t xml:space="preserve"> the completeness and suitability of the core dossier for the purposes of the initial clinical trial.</w:t>
      </w:r>
      <w:r w:rsidR="00273F36" w:rsidRPr="004C70EC">
        <w:rPr>
          <w:rFonts w:eastAsia="Times New Roman"/>
          <w:noProof/>
          <w:color w:val="000000" w:themeColor="text1"/>
          <w:szCs w:val="24"/>
          <w:lang w:eastAsia="en-GB"/>
        </w:rPr>
        <w:t xml:space="preserve"> At the latest by the time when the conclusion of the assessment of Part I is due </w:t>
      </w:r>
      <w:r w:rsidR="00312B77" w:rsidRPr="004C70EC">
        <w:rPr>
          <w:rFonts w:eastAsia="Times New Roman"/>
          <w:noProof/>
          <w:color w:val="000000" w:themeColor="text1"/>
          <w:szCs w:val="24"/>
          <w:lang w:eastAsia="en-GB"/>
        </w:rPr>
        <w:t>in accordance with</w:t>
      </w:r>
      <w:r w:rsidR="00273F36" w:rsidRPr="004C70EC">
        <w:rPr>
          <w:rFonts w:eastAsia="Times New Roman"/>
          <w:noProof/>
          <w:color w:val="000000" w:themeColor="text1"/>
          <w:szCs w:val="24"/>
          <w:lang w:eastAsia="en-GB"/>
        </w:rPr>
        <w:t xml:space="preserve"> Article 6(3)</w:t>
      </w:r>
      <w:r w:rsidR="00273F36" w:rsidRPr="004C70EC">
        <w:rPr>
          <w:rFonts w:eastAsia="Times New Roman"/>
          <w:noProof/>
          <w:color w:val="000000" w:themeColor="text1"/>
          <w:szCs w:val="24"/>
          <w:lang w:eastAsia="hr-HR" w:bidi="hr-HR"/>
        </w:rPr>
        <w:t xml:space="preserve"> the depositary Member State shall notify the sponsor and the other</w:t>
      </w:r>
      <w:r w:rsidR="00273F36" w:rsidRPr="004C70EC">
        <w:rPr>
          <w:rFonts w:eastAsia="Times New Roman"/>
          <w:noProof/>
          <w:color w:val="000000" w:themeColor="text1"/>
          <w:szCs w:val="24"/>
          <w:lang w:eastAsia="en-GB"/>
        </w:rPr>
        <w:t xml:space="preserve"> core dossier</w:t>
      </w:r>
      <w:r w:rsidR="00273F36" w:rsidRPr="004C70EC">
        <w:rPr>
          <w:rFonts w:eastAsia="Times New Roman"/>
          <w:noProof/>
          <w:color w:val="000000" w:themeColor="text1"/>
          <w:szCs w:val="24"/>
          <w:lang w:eastAsia="hr-HR" w:bidi="hr-HR"/>
        </w:rPr>
        <w:t xml:space="preserve"> competent Member States through </w:t>
      </w:r>
      <w:r w:rsidR="00273F36" w:rsidRPr="004C70EC">
        <w:rPr>
          <w:rFonts w:eastAsia="Times New Roman"/>
          <w:noProof/>
          <w:color w:val="000000" w:themeColor="text1"/>
          <w:szCs w:val="24"/>
          <w:lang w:eastAsia="en-GB"/>
        </w:rPr>
        <w:t xml:space="preserve">the </w:t>
      </w:r>
      <w:r w:rsidR="00273F36" w:rsidRPr="004C70EC">
        <w:rPr>
          <w:rFonts w:eastAsia="Times New Roman"/>
          <w:noProof/>
          <w:color w:val="000000" w:themeColor="text1"/>
          <w:szCs w:val="24"/>
          <w:lang w:eastAsia="hr-HR" w:bidi="hr-HR"/>
        </w:rPr>
        <w:t xml:space="preserve">EU </w:t>
      </w:r>
      <w:r w:rsidR="00273F36" w:rsidRPr="004C70EC">
        <w:rPr>
          <w:rFonts w:eastAsia="Times New Roman"/>
          <w:noProof/>
          <w:color w:val="000000" w:themeColor="text1"/>
          <w:szCs w:val="24"/>
          <w:lang w:eastAsia="en-GB"/>
        </w:rPr>
        <w:t>p</w:t>
      </w:r>
      <w:r w:rsidR="00273F36" w:rsidRPr="004C70EC">
        <w:rPr>
          <w:rFonts w:eastAsia="Times New Roman"/>
          <w:noProof/>
          <w:color w:val="000000" w:themeColor="text1"/>
          <w:szCs w:val="24"/>
          <w:lang w:eastAsia="hr-HR" w:bidi="hr-HR"/>
        </w:rPr>
        <w:t xml:space="preserve">ortal of </w:t>
      </w:r>
      <w:r w:rsidR="00273F36" w:rsidRPr="004C70EC">
        <w:rPr>
          <w:rFonts w:eastAsia="Times New Roman"/>
          <w:noProof/>
          <w:color w:val="000000" w:themeColor="text1"/>
          <w:szCs w:val="24"/>
          <w:lang w:eastAsia="en-GB"/>
        </w:rPr>
        <w:t xml:space="preserve">the establishment of </w:t>
      </w:r>
      <w:r w:rsidR="00273F36" w:rsidRPr="004C70EC">
        <w:rPr>
          <w:rFonts w:eastAsia="Times New Roman"/>
          <w:noProof/>
          <w:color w:val="000000" w:themeColor="text1"/>
          <w:szCs w:val="24"/>
          <w:lang w:eastAsia="hr-HR" w:bidi="hr-HR"/>
        </w:rPr>
        <w:t>the investigational medicinal products core dossier</w:t>
      </w:r>
      <w:r w:rsidR="00273F36" w:rsidRPr="004C70EC">
        <w:rPr>
          <w:rFonts w:eastAsia="Times New Roman"/>
          <w:noProof/>
          <w:color w:val="000000" w:themeColor="text1"/>
          <w:szCs w:val="24"/>
          <w:lang w:eastAsia="en-GB"/>
        </w:rPr>
        <w:t xml:space="preserve"> where the assessment is positive</w:t>
      </w:r>
      <w:r w:rsidR="00273F36" w:rsidRPr="004C70EC">
        <w:rPr>
          <w:rFonts w:eastAsia="Times New Roman"/>
          <w:noProof/>
          <w:color w:val="000000" w:themeColor="text1"/>
          <w:szCs w:val="24"/>
          <w:lang w:eastAsia="hr-HR" w:bidi="hr-HR"/>
        </w:rPr>
        <w:t>.</w:t>
      </w:r>
      <w:r w:rsidR="00273F36" w:rsidRPr="004C70EC">
        <w:rPr>
          <w:rFonts w:eastAsia="Times New Roman"/>
          <w:noProof/>
          <w:color w:val="000000" w:themeColor="text1"/>
          <w:szCs w:val="24"/>
          <w:lang w:eastAsia="en-GB"/>
        </w:rPr>
        <w:t xml:space="preserve"> </w:t>
      </w:r>
    </w:p>
    <w:p w14:paraId="52386B21" w14:textId="77777777" w:rsidR="00273F36" w:rsidRPr="004C70EC" w:rsidRDefault="006D5DD0" w:rsidP="006D5DD0">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hr-HR" w:bidi="hr-HR"/>
        </w:rPr>
        <w:t>4.</w:t>
      </w:r>
      <w:r w:rsidRPr="004C70EC">
        <w:rPr>
          <w:rFonts w:eastAsia="Times New Roman"/>
          <w:noProof/>
          <w:color w:val="000000" w:themeColor="text1"/>
          <w:szCs w:val="24"/>
          <w:lang w:eastAsia="hr-HR" w:bidi="hr-HR"/>
        </w:rPr>
        <w:tab/>
      </w:r>
      <w:r w:rsidR="00273F36" w:rsidRPr="004C70EC">
        <w:rPr>
          <w:rFonts w:eastAsia="Times New Roman"/>
          <w:noProof/>
          <w:color w:val="000000" w:themeColor="text1"/>
          <w:szCs w:val="24"/>
          <w:lang w:eastAsia="hr-HR" w:bidi="hr-HR"/>
        </w:rPr>
        <w:t xml:space="preserve">The </w:t>
      </w:r>
      <w:r w:rsidR="00273F36" w:rsidRPr="004C70EC">
        <w:rPr>
          <w:rFonts w:eastAsia="Times New Roman"/>
          <w:noProof/>
          <w:color w:val="000000" w:themeColor="text1"/>
          <w:szCs w:val="24"/>
          <w:lang w:eastAsia="en-GB"/>
        </w:rPr>
        <w:t>i</w:t>
      </w:r>
      <w:r w:rsidR="00273F36" w:rsidRPr="004C70EC">
        <w:rPr>
          <w:rFonts w:eastAsia="Times New Roman"/>
          <w:noProof/>
          <w:color w:val="000000" w:themeColor="text1"/>
          <w:szCs w:val="24"/>
          <w:lang w:eastAsia="hr-HR" w:bidi="hr-HR"/>
        </w:rPr>
        <w:t>nvestigational product core dossier</w:t>
      </w:r>
      <w:r w:rsidR="00273F36" w:rsidRPr="004C70EC">
        <w:rPr>
          <w:rFonts w:eastAsia="Times New Roman"/>
          <w:noProof/>
          <w:color w:val="000000" w:themeColor="text1"/>
          <w:szCs w:val="24"/>
          <w:lang w:eastAsia="en-GB"/>
        </w:rPr>
        <w:t xml:space="preserve"> shall be relied upon by the reporting Member State and the Member States concerned in</w:t>
      </w:r>
      <w:r w:rsidR="00273F36" w:rsidRPr="004C70EC">
        <w:rPr>
          <w:rFonts w:eastAsia="Times New Roman"/>
          <w:noProof/>
          <w:color w:val="000000" w:themeColor="text1"/>
          <w:szCs w:val="24"/>
          <w:lang w:eastAsia="hr-HR" w:bidi="hr-HR"/>
        </w:rPr>
        <w:t xml:space="preserve"> the process of authorising the initial clinical trial referred to in paragraph 1. </w:t>
      </w:r>
    </w:p>
    <w:p w14:paraId="5972B517" w14:textId="77777777" w:rsidR="00273F36" w:rsidRPr="004C70EC" w:rsidRDefault="006D5DD0" w:rsidP="006D5DD0">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hr-HR" w:bidi="hr-HR"/>
        </w:rPr>
        <w:t>5.</w:t>
      </w:r>
      <w:r w:rsidRPr="004C70EC">
        <w:rPr>
          <w:rFonts w:eastAsia="Times New Roman"/>
          <w:noProof/>
          <w:color w:val="000000" w:themeColor="text1"/>
          <w:szCs w:val="24"/>
          <w:lang w:eastAsia="hr-HR" w:bidi="hr-HR"/>
        </w:rPr>
        <w:tab/>
      </w:r>
      <w:r w:rsidR="00273F36" w:rsidRPr="004C70EC">
        <w:rPr>
          <w:rFonts w:eastAsia="Times New Roman"/>
          <w:noProof/>
          <w:color w:val="000000" w:themeColor="text1"/>
          <w:szCs w:val="24"/>
          <w:lang w:eastAsia="hr-HR" w:bidi="hr-HR"/>
        </w:rPr>
        <w:t>Once established, the investigational medicinal product core dossier shall be referred to in all subsequent applications</w:t>
      </w:r>
      <w:r w:rsidR="00273F36" w:rsidRPr="004C70EC">
        <w:rPr>
          <w:rFonts w:eastAsia="Times New Roman"/>
          <w:noProof/>
          <w:color w:val="000000" w:themeColor="text1"/>
          <w:szCs w:val="24"/>
          <w:lang w:eastAsia="en-IE"/>
        </w:rPr>
        <w:t xml:space="preserve"> concerning the clinical trial in the context of which the investigational medicinal products core dossier was established and any other corresponding clinical trial. </w:t>
      </w:r>
    </w:p>
    <w:p w14:paraId="209A26F9" w14:textId="77777777" w:rsidR="00273F36" w:rsidRPr="004C70EC" w:rsidRDefault="00273F36" w:rsidP="006D5DD0">
      <w:pPr>
        <w:pStyle w:val="Titrearticle"/>
        <w:rPr>
          <w:rFonts w:eastAsia="Times New Roman"/>
          <w:noProof/>
          <w:color w:val="000000" w:themeColor="text1"/>
          <w:szCs w:val="24"/>
          <w:lang w:eastAsia="en-GB"/>
        </w:rPr>
      </w:pPr>
      <w:r w:rsidRPr="004C70EC">
        <w:rPr>
          <w:rFonts w:eastAsia="Times New Roman"/>
          <w:noProof/>
          <w:color w:val="000000" w:themeColor="text1"/>
          <w:szCs w:val="24"/>
          <w:lang w:eastAsia="en-GB"/>
        </w:rPr>
        <w:t>Article 27b</w:t>
      </w:r>
    </w:p>
    <w:p w14:paraId="54D5DC59" w14:textId="77777777" w:rsidR="00273F36" w:rsidRPr="004C70EC" w:rsidRDefault="00273F36" w:rsidP="006D5DD0">
      <w:pPr>
        <w:jc w:val="center"/>
        <w:rPr>
          <w:rFonts w:eastAsia="Times New Roman"/>
          <w:i/>
          <w:iCs/>
          <w:noProof/>
          <w:color w:val="000000" w:themeColor="text1"/>
          <w:szCs w:val="24"/>
          <w:lang w:eastAsia="en-GB"/>
        </w:rPr>
      </w:pPr>
      <w:r w:rsidRPr="004C70EC">
        <w:rPr>
          <w:rFonts w:eastAsia="Times New Roman"/>
          <w:i/>
          <w:iCs/>
          <w:noProof/>
          <w:color w:val="000000" w:themeColor="text1"/>
          <w:szCs w:val="24"/>
          <w:lang w:eastAsia="en-GB"/>
        </w:rPr>
        <w:t>Maintenance and changes of the investigational medicinal products core dossier</w:t>
      </w:r>
    </w:p>
    <w:p w14:paraId="2B731D85" w14:textId="77777777" w:rsidR="00273F36" w:rsidRPr="004C70EC" w:rsidRDefault="006D5DD0" w:rsidP="006D5DD0">
      <w:pPr>
        <w:pStyle w:val="Point1"/>
        <w:rPr>
          <w:rFonts w:eastAsia="Times New Roman"/>
          <w:noProof/>
          <w:color w:val="000000" w:themeColor="text1"/>
          <w:szCs w:val="24"/>
          <w:lang w:eastAsia="hr-HR" w:bidi="hr-HR"/>
        </w:rPr>
      </w:pPr>
      <w:r w:rsidRPr="004C70EC">
        <w:rPr>
          <w:rFonts w:eastAsia="Times New Roman"/>
          <w:noProof/>
          <w:color w:val="000000" w:themeColor="text1"/>
          <w:szCs w:val="24"/>
          <w:lang w:eastAsia="hr-HR" w:bidi="hr-HR"/>
        </w:rPr>
        <w:t>1.</w:t>
      </w:r>
      <w:r w:rsidRPr="004C70EC">
        <w:rPr>
          <w:rFonts w:eastAsia="Times New Roman"/>
          <w:noProof/>
          <w:color w:val="000000" w:themeColor="text1"/>
          <w:szCs w:val="24"/>
          <w:lang w:eastAsia="hr-HR" w:bidi="hr-HR"/>
        </w:rPr>
        <w:tab/>
      </w:r>
      <w:r w:rsidR="00273F36" w:rsidRPr="004C70EC">
        <w:rPr>
          <w:rFonts w:eastAsia="Times New Roman"/>
          <w:noProof/>
          <w:color w:val="000000" w:themeColor="text1"/>
          <w:szCs w:val="24"/>
          <w:lang w:eastAsia="hr-HR" w:bidi="hr-HR"/>
        </w:rPr>
        <w:t>The sponsor shall keep the investigational medicinal product core dossier updated and shall review it at least once per year. When the sponsor identifies a necessity to update the investigational products core dossier, paragraph 2 applies.</w:t>
      </w:r>
    </w:p>
    <w:p w14:paraId="7A405353" w14:textId="77777777" w:rsidR="00273F36" w:rsidRPr="004C70EC" w:rsidRDefault="006D5DD0" w:rsidP="006D5DD0">
      <w:pPr>
        <w:pStyle w:val="Point1"/>
        <w:rPr>
          <w:rFonts w:eastAsia="Times New Roman"/>
          <w:noProof/>
          <w:color w:val="000000" w:themeColor="text1"/>
          <w:szCs w:val="24"/>
          <w:lang w:eastAsia="hr-HR" w:bidi="hr-HR"/>
        </w:rPr>
      </w:pPr>
      <w:r w:rsidRPr="004C70EC">
        <w:rPr>
          <w:rFonts w:eastAsia="Times New Roman"/>
          <w:noProof/>
          <w:color w:val="000000" w:themeColor="text1"/>
          <w:szCs w:val="24"/>
          <w:lang w:eastAsia="hr-HR" w:bidi="hr-HR"/>
          <w14:ligatures w14:val="standardContextual"/>
        </w:rPr>
        <w:t>2.</w:t>
      </w:r>
      <w:r w:rsidRPr="004C70EC">
        <w:rPr>
          <w:rFonts w:eastAsia="Times New Roman"/>
          <w:noProof/>
          <w:color w:val="000000" w:themeColor="text1"/>
          <w:szCs w:val="24"/>
          <w:lang w:eastAsia="hr-HR" w:bidi="hr-HR"/>
          <w14:ligatures w14:val="standardContextual"/>
        </w:rPr>
        <w:tab/>
      </w:r>
      <w:r w:rsidR="00273F36" w:rsidRPr="004C70EC">
        <w:rPr>
          <w:rFonts w:eastAsia="Times New Roman"/>
          <w:noProof/>
          <w:color w:val="000000" w:themeColor="text1"/>
          <w:szCs w:val="24"/>
          <w:lang w:eastAsia="hr-HR" w:bidi="hr-HR"/>
          <w14:ligatures w14:val="standardContextual"/>
        </w:rPr>
        <w:t xml:space="preserve">When new information, relevant to maintain the suitability and completeness of </w:t>
      </w:r>
      <w:r w:rsidR="00273F36" w:rsidRPr="004C70EC">
        <w:rPr>
          <w:rFonts w:eastAsia="Times New Roman"/>
          <w:noProof/>
          <w:color w:val="000000" w:themeColor="text1"/>
          <w:szCs w:val="24"/>
          <w:lang w:eastAsia="en-GB"/>
        </w:rPr>
        <w:t xml:space="preserve">an </w:t>
      </w:r>
      <w:r w:rsidR="00273F36" w:rsidRPr="004C70EC">
        <w:rPr>
          <w:rFonts w:eastAsia="Times New Roman"/>
          <w:noProof/>
          <w:color w:val="000000" w:themeColor="text1"/>
          <w:szCs w:val="24"/>
          <w:lang w:eastAsia="hr-HR" w:bidi="hr-HR"/>
          <w14:ligatures w14:val="standardContextual"/>
        </w:rPr>
        <w:t xml:space="preserve">established investigational product core dossier becomes known to the sponsor, the sponsor shall submit to </w:t>
      </w:r>
      <w:r w:rsidR="00273F36" w:rsidRPr="004C70EC">
        <w:rPr>
          <w:rFonts w:eastAsia="Times New Roman"/>
          <w:noProof/>
          <w:color w:val="000000" w:themeColor="text1"/>
          <w:szCs w:val="24"/>
          <w:lang w:eastAsia="en-GB"/>
        </w:rPr>
        <w:t xml:space="preserve">the </w:t>
      </w:r>
      <w:r w:rsidR="00273F36" w:rsidRPr="004C70EC">
        <w:rPr>
          <w:rFonts w:eastAsia="Times New Roman"/>
          <w:noProof/>
          <w:color w:val="000000" w:themeColor="text1"/>
          <w:szCs w:val="24"/>
          <w:lang w:eastAsia="hr-HR" w:bidi="hr-HR"/>
          <w14:ligatures w14:val="standardContextual"/>
        </w:rPr>
        <w:t xml:space="preserve">depositary Member State, through </w:t>
      </w:r>
      <w:r w:rsidR="00273F36" w:rsidRPr="004C70EC">
        <w:rPr>
          <w:rFonts w:eastAsia="Times New Roman"/>
          <w:noProof/>
          <w:color w:val="000000" w:themeColor="text1"/>
          <w:szCs w:val="24"/>
          <w:lang w:eastAsia="en-GB"/>
        </w:rPr>
        <w:t xml:space="preserve">the </w:t>
      </w:r>
      <w:r w:rsidR="00273F36" w:rsidRPr="004C70EC">
        <w:rPr>
          <w:rFonts w:eastAsia="Times New Roman"/>
          <w:noProof/>
          <w:color w:val="000000" w:themeColor="text1"/>
          <w:szCs w:val="24"/>
          <w:lang w:eastAsia="hr-HR" w:bidi="hr-HR"/>
          <w14:ligatures w14:val="standardContextual"/>
        </w:rPr>
        <w:t xml:space="preserve">EU </w:t>
      </w:r>
      <w:r w:rsidR="00273F36" w:rsidRPr="004C70EC">
        <w:rPr>
          <w:rFonts w:eastAsia="Times New Roman"/>
          <w:noProof/>
          <w:color w:val="000000" w:themeColor="text1"/>
          <w:szCs w:val="24"/>
          <w:lang w:eastAsia="en-GB"/>
        </w:rPr>
        <w:t>p</w:t>
      </w:r>
      <w:r w:rsidR="00273F36" w:rsidRPr="004C70EC">
        <w:rPr>
          <w:rFonts w:eastAsia="Times New Roman"/>
          <w:noProof/>
          <w:color w:val="000000" w:themeColor="text1"/>
          <w:szCs w:val="24"/>
          <w:lang w:eastAsia="hr-HR" w:bidi="hr-HR"/>
          <w14:ligatures w14:val="standardContextual"/>
        </w:rPr>
        <w:t xml:space="preserve">ortal, a request for a </w:t>
      </w:r>
      <w:r w:rsidR="00273F36" w:rsidRPr="004C70EC">
        <w:rPr>
          <w:rFonts w:eastAsia="Times New Roman"/>
          <w:noProof/>
          <w:color w:val="000000" w:themeColor="text1"/>
          <w:szCs w:val="24"/>
          <w:lang w:eastAsia="en-GB"/>
        </w:rPr>
        <w:t>change</w:t>
      </w:r>
      <w:r w:rsidR="00273F36" w:rsidRPr="004C70EC">
        <w:rPr>
          <w:rFonts w:eastAsia="Times New Roman"/>
          <w:noProof/>
          <w:color w:val="000000" w:themeColor="text1"/>
          <w:szCs w:val="24"/>
          <w:lang w:eastAsia="hr-HR" w:bidi="hr-HR"/>
          <w14:ligatures w14:val="standardContextual"/>
        </w:rPr>
        <w:t xml:space="preserve"> of the investigational medicinal product core dossier. </w:t>
      </w:r>
    </w:p>
    <w:p w14:paraId="10C99975" w14:textId="77777777" w:rsidR="00273F36" w:rsidRPr="004C70EC" w:rsidRDefault="006D5DD0" w:rsidP="006D5DD0">
      <w:pPr>
        <w:pStyle w:val="Point1"/>
        <w:rPr>
          <w:rFonts w:eastAsia="Times New Roman"/>
          <w:noProof/>
          <w:color w:val="000000" w:themeColor="text1"/>
          <w:szCs w:val="24"/>
          <w:lang w:eastAsia="hr-HR" w:bidi="hr-HR"/>
        </w:rPr>
      </w:pPr>
      <w:r w:rsidRPr="004C70EC">
        <w:rPr>
          <w:rFonts w:eastAsia="Times New Roman"/>
          <w:noProof/>
          <w:color w:val="000000" w:themeColor="text1"/>
          <w:szCs w:val="24"/>
          <w:lang w:eastAsia="hr-HR" w:bidi="hr-HR"/>
          <w14:ligatures w14:val="standardContextual"/>
        </w:rPr>
        <w:t>3.</w:t>
      </w:r>
      <w:r w:rsidRPr="004C70EC">
        <w:rPr>
          <w:rFonts w:eastAsia="Times New Roman"/>
          <w:noProof/>
          <w:color w:val="000000" w:themeColor="text1"/>
          <w:szCs w:val="24"/>
          <w:lang w:eastAsia="hr-HR" w:bidi="hr-HR"/>
          <w14:ligatures w14:val="standardContextual"/>
        </w:rPr>
        <w:tab/>
      </w:r>
      <w:r w:rsidR="00273F36" w:rsidRPr="004C70EC">
        <w:rPr>
          <w:rFonts w:eastAsia="Times New Roman"/>
          <w:noProof/>
          <w:color w:val="000000" w:themeColor="text1"/>
          <w:szCs w:val="24"/>
          <w:lang w:eastAsia="hr-HR" w:bidi="hr-HR"/>
          <w14:ligatures w14:val="standardContextual"/>
        </w:rPr>
        <w:t xml:space="preserve">In case of a new application for an authorisation of a new corresponding clinical trial, the reporting Member State of that clinical trial together with </w:t>
      </w:r>
      <w:r w:rsidR="00273F36" w:rsidRPr="004C70EC">
        <w:rPr>
          <w:rFonts w:eastAsia="Times New Roman"/>
          <w:noProof/>
          <w:color w:val="000000" w:themeColor="text1"/>
          <w:szCs w:val="24"/>
          <w:lang w:eastAsia="en-GB"/>
        </w:rPr>
        <w:t xml:space="preserve">the </w:t>
      </w:r>
      <w:r w:rsidR="00273F36" w:rsidRPr="004C70EC">
        <w:rPr>
          <w:rFonts w:eastAsia="Times New Roman"/>
          <w:noProof/>
          <w:color w:val="000000" w:themeColor="text1"/>
          <w:szCs w:val="24"/>
          <w:lang w:eastAsia="hr-HR" w:bidi="hr-HR"/>
          <w14:ligatures w14:val="standardContextual"/>
        </w:rPr>
        <w:t>depositary Member State shall assess the suitability of the investigational product core dossier for the purpose of the authorisation of the trial application</w:t>
      </w:r>
      <w:r w:rsidR="00273F36" w:rsidRPr="004C70EC">
        <w:rPr>
          <w:rFonts w:eastAsia="Times New Roman"/>
          <w:noProof/>
          <w:color w:val="000000" w:themeColor="text1"/>
          <w:szCs w:val="24"/>
          <w:lang w:eastAsia="en-GB"/>
        </w:rPr>
        <w:t>, that is;</w:t>
      </w:r>
    </w:p>
    <w:p w14:paraId="2110CC30" w14:textId="77777777" w:rsidR="00273F36" w:rsidRPr="004C70EC" w:rsidRDefault="00273F36" w:rsidP="006D5DD0">
      <w:pPr>
        <w:pStyle w:val="Point2"/>
        <w:rPr>
          <w:noProof/>
          <w:color w:val="000000" w:themeColor="text1"/>
          <w:szCs w:val="24"/>
          <w:lang w:eastAsia="hr-HR" w:bidi="hr-HR"/>
        </w:rPr>
      </w:pPr>
      <w:r w:rsidRPr="004C70EC">
        <w:rPr>
          <w:noProof/>
          <w:color w:val="000000" w:themeColor="text1"/>
          <w:szCs w:val="24"/>
          <w:lang w:eastAsia="hr-HR" w:bidi="hr-HR"/>
        </w:rPr>
        <w:t>(a)</w:t>
      </w:r>
      <w:r w:rsidR="006D5DD0" w:rsidRPr="004C70EC">
        <w:rPr>
          <w:noProof/>
          <w:color w:val="000000" w:themeColor="text1"/>
          <w:szCs w:val="24"/>
          <w:lang w:eastAsia="hr-HR" w:bidi="hr-HR"/>
        </w:rPr>
        <w:tab/>
      </w:r>
      <w:r w:rsidRPr="004C70EC">
        <w:rPr>
          <w:noProof/>
          <w:color w:val="000000" w:themeColor="text1"/>
          <w:szCs w:val="24"/>
        </w:rPr>
        <w:t xml:space="preserve">whether the </w:t>
      </w:r>
      <w:r w:rsidRPr="004C70EC">
        <w:rPr>
          <w:noProof/>
          <w:color w:val="000000" w:themeColor="text1"/>
          <w:szCs w:val="24"/>
          <w:lang w:eastAsia="hr-HR" w:bidi="hr-HR"/>
        </w:rPr>
        <w:t>investigational product core dossier is complete as regards the information on the characteristics and knowledge about the investigational medicinal products; </w:t>
      </w:r>
    </w:p>
    <w:p w14:paraId="1C760723" w14:textId="77777777" w:rsidR="00273F36" w:rsidRPr="004C70EC" w:rsidRDefault="00273F36" w:rsidP="006D5DD0">
      <w:pPr>
        <w:pStyle w:val="Point2"/>
        <w:rPr>
          <w:noProof/>
          <w:color w:val="000000" w:themeColor="text1"/>
          <w:szCs w:val="24"/>
          <w:lang w:eastAsia="hr-HR" w:bidi="hr-HR"/>
        </w:rPr>
      </w:pPr>
      <w:r w:rsidRPr="004C70EC">
        <w:rPr>
          <w:noProof/>
          <w:color w:val="000000" w:themeColor="text1"/>
          <w:szCs w:val="24"/>
          <w:lang w:eastAsia="hr-HR" w:bidi="hr-HR"/>
          <w14:ligatures w14:val="standardContextual"/>
        </w:rPr>
        <w:t>(b)</w:t>
      </w:r>
      <w:r w:rsidR="006D5DD0" w:rsidRPr="004C70EC">
        <w:rPr>
          <w:noProof/>
          <w:color w:val="000000" w:themeColor="text1"/>
          <w:szCs w:val="24"/>
          <w:lang w:eastAsia="hr-HR" w:bidi="hr-HR"/>
          <w14:ligatures w14:val="standardContextual"/>
        </w:rPr>
        <w:tab/>
      </w:r>
      <w:r w:rsidRPr="004C70EC">
        <w:rPr>
          <w:noProof/>
          <w:color w:val="000000" w:themeColor="text1"/>
          <w:szCs w:val="24"/>
        </w:rPr>
        <w:t>if</w:t>
      </w:r>
      <w:r w:rsidRPr="004C70EC">
        <w:rPr>
          <w:noProof/>
          <w:color w:val="000000" w:themeColor="text1"/>
          <w:szCs w:val="24"/>
          <w:lang w:eastAsia="hr-HR" w:bidi="hr-HR"/>
          <w14:ligatures w14:val="standardContextual"/>
        </w:rPr>
        <w:t xml:space="preserve"> appropriate, </w:t>
      </w:r>
      <w:r w:rsidRPr="004C70EC">
        <w:rPr>
          <w:noProof/>
          <w:color w:val="000000" w:themeColor="text1"/>
          <w:szCs w:val="24"/>
        </w:rPr>
        <w:t xml:space="preserve">the </w:t>
      </w:r>
      <w:r w:rsidRPr="004C70EC">
        <w:rPr>
          <w:noProof/>
          <w:color w:val="000000" w:themeColor="text1"/>
          <w:szCs w:val="24"/>
          <w:lang w:eastAsia="hr-HR" w:bidi="hr-HR"/>
          <w14:ligatures w14:val="standardContextual"/>
        </w:rPr>
        <w:t>compliance with the requirements concerning the manufacturing and import of investigational medicinal products set out in Chapter IX;</w:t>
      </w:r>
    </w:p>
    <w:p w14:paraId="76FC77F1" w14:textId="77777777" w:rsidR="00273F36" w:rsidRPr="004C70EC" w:rsidRDefault="00273F36" w:rsidP="006D5DD0">
      <w:pPr>
        <w:pStyle w:val="Point2"/>
        <w:rPr>
          <w:noProof/>
          <w:color w:val="000000" w:themeColor="text1"/>
          <w:szCs w:val="24"/>
          <w:lang w:eastAsia="hr-HR" w:bidi="hr-HR"/>
          <w14:ligatures w14:val="standardContextual"/>
        </w:rPr>
      </w:pPr>
      <w:r w:rsidRPr="004C70EC">
        <w:rPr>
          <w:noProof/>
          <w:color w:val="000000" w:themeColor="text1"/>
          <w:szCs w:val="24"/>
          <w:lang w:eastAsia="hr-HR" w:bidi="hr-HR"/>
          <w14:ligatures w14:val="standardContextual"/>
        </w:rPr>
        <w:t>(c)</w:t>
      </w:r>
      <w:r w:rsidR="006D5DD0" w:rsidRPr="004C70EC">
        <w:rPr>
          <w:noProof/>
          <w:color w:val="000000" w:themeColor="text1"/>
          <w:szCs w:val="24"/>
          <w:lang w:eastAsia="hr-HR" w:bidi="hr-HR"/>
          <w14:ligatures w14:val="standardContextual"/>
        </w:rPr>
        <w:tab/>
      </w:r>
      <w:r w:rsidRPr="004C70EC">
        <w:rPr>
          <w:noProof/>
          <w:color w:val="000000" w:themeColor="text1"/>
          <w:szCs w:val="24"/>
        </w:rPr>
        <w:t xml:space="preserve">whether the investigator’s </w:t>
      </w:r>
      <w:r w:rsidRPr="004C70EC">
        <w:rPr>
          <w:noProof/>
          <w:color w:val="000000" w:themeColor="text1"/>
          <w:szCs w:val="24"/>
          <w:lang w:eastAsia="hr-HR" w:bidi="hr-HR"/>
          <w14:ligatures w14:val="standardContextual"/>
        </w:rPr>
        <w:t>brochure and the IMPD</w:t>
      </w:r>
      <w:r w:rsidRPr="004C70EC">
        <w:rPr>
          <w:noProof/>
          <w:color w:val="000000" w:themeColor="text1"/>
          <w:szCs w:val="24"/>
        </w:rPr>
        <w:t xml:space="preserve"> is adequate and complete </w:t>
      </w:r>
      <w:r w:rsidRPr="004C70EC">
        <w:rPr>
          <w:noProof/>
          <w:color w:val="000000" w:themeColor="text1"/>
          <w:szCs w:val="24"/>
          <w:lang w:eastAsia="hr-HR" w:bidi="hr-HR"/>
          <w14:ligatures w14:val="standardContextual"/>
        </w:rPr>
        <w:t xml:space="preserve">for the scope of use as proposed by the sponsor in the application in </w:t>
      </w:r>
      <w:r w:rsidR="00312B77" w:rsidRPr="004C70EC">
        <w:rPr>
          <w:noProof/>
          <w:color w:val="000000" w:themeColor="text1"/>
          <w:szCs w:val="24"/>
          <w:lang w:eastAsia="hr-HR" w:bidi="hr-HR"/>
          <w14:ligatures w14:val="standardContextual"/>
        </w:rPr>
        <w:t>accordance</w:t>
      </w:r>
      <w:r w:rsidRPr="004C70EC">
        <w:rPr>
          <w:noProof/>
          <w:color w:val="000000" w:themeColor="text1"/>
          <w:szCs w:val="24"/>
          <w:lang w:eastAsia="hr-HR" w:bidi="hr-HR"/>
          <w14:ligatures w14:val="standardContextual"/>
        </w:rPr>
        <w:t xml:space="preserve"> point </w:t>
      </w:r>
      <w:r w:rsidR="00312B77" w:rsidRPr="004C70EC">
        <w:rPr>
          <w:noProof/>
          <w:color w:val="000000" w:themeColor="text1"/>
          <w:szCs w:val="24"/>
          <w:lang w:eastAsia="hr-HR" w:bidi="hr-HR"/>
          <w14:ligatures w14:val="standardContextual"/>
        </w:rPr>
        <w:t xml:space="preserve">Ga, Part I of </w:t>
      </w:r>
      <w:r w:rsidRPr="004C70EC">
        <w:rPr>
          <w:noProof/>
          <w:color w:val="000000" w:themeColor="text1"/>
          <w:szCs w:val="24"/>
          <w:lang w:eastAsia="hr-HR" w:bidi="hr-HR"/>
          <w14:ligatures w14:val="standardContextual"/>
        </w:rPr>
        <w:t>Annex I. </w:t>
      </w:r>
    </w:p>
    <w:p w14:paraId="4E925B86" w14:textId="77777777" w:rsidR="00273F36" w:rsidRPr="004C70EC" w:rsidRDefault="00273F36" w:rsidP="006D5DD0">
      <w:pPr>
        <w:pStyle w:val="Text2"/>
        <w:rPr>
          <w:noProof/>
          <w:color w:val="000000" w:themeColor="text1"/>
          <w:szCs w:val="24"/>
          <w:lang w:eastAsia="hr-HR" w:bidi="hr-HR"/>
        </w:rPr>
      </w:pPr>
      <w:r w:rsidRPr="004C70EC">
        <w:rPr>
          <w:noProof/>
          <w:color w:val="000000" w:themeColor="text1"/>
          <w:szCs w:val="24"/>
          <w:lang w:eastAsia="hr-HR" w:bidi="hr-HR"/>
        </w:rPr>
        <w:t>The reporting Member State of the corresponding clinical trial shall communicate the results of its assessment to the depositary Member State. </w:t>
      </w:r>
    </w:p>
    <w:p w14:paraId="5FCE1100" w14:textId="77777777" w:rsidR="00273F36" w:rsidRPr="004C70EC" w:rsidRDefault="00273F36" w:rsidP="006D5DD0">
      <w:pPr>
        <w:pStyle w:val="Text2"/>
        <w:rPr>
          <w:rFonts w:eastAsia="Times New Roman"/>
          <w:noProof/>
          <w:color w:val="000000" w:themeColor="text1"/>
          <w:szCs w:val="24"/>
          <w:lang w:eastAsia="hr-HR" w:bidi="hr-HR"/>
          <w14:ligatures w14:val="standardContextual"/>
        </w:rPr>
      </w:pPr>
      <w:r w:rsidRPr="004C70EC">
        <w:rPr>
          <w:rFonts w:eastAsia="Times New Roman"/>
          <w:noProof/>
          <w:color w:val="000000" w:themeColor="text1"/>
          <w:szCs w:val="24"/>
          <w:lang w:eastAsia="hr-HR" w:bidi="hr-HR"/>
          <w14:ligatures w14:val="standardContextual"/>
        </w:rPr>
        <w:t>If the investigational product core dossier does not contain all the information necessary for the authorisation of the clinical trial, the reporting Member State may request the sponsor to change the investigational product core dossier.</w:t>
      </w:r>
    </w:p>
    <w:p w14:paraId="7F6F075C" w14:textId="77777777" w:rsidR="00273F36" w:rsidRPr="004C70EC" w:rsidRDefault="00273F36" w:rsidP="006D5DD0">
      <w:pPr>
        <w:pStyle w:val="Text2"/>
        <w:rPr>
          <w:rFonts w:eastAsia="Times New Roman"/>
          <w:noProof/>
          <w:color w:val="000000" w:themeColor="text1"/>
          <w:szCs w:val="24"/>
          <w:lang w:eastAsia="hr-HR" w:bidi="hr-HR"/>
          <w14:ligatures w14:val="standardContextual"/>
        </w:rPr>
      </w:pPr>
      <w:r w:rsidRPr="004C70EC">
        <w:rPr>
          <w:rFonts w:eastAsia="Times New Roman"/>
          <w:noProof/>
          <w:color w:val="000000" w:themeColor="text1"/>
          <w:szCs w:val="24"/>
          <w:lang w:eastAsia="hr-HR" w:bidi="hr-HR"/>
          <w14:ligatures w14:val="standardContextual"/>
        </w:rPr>
        <w:t>The sponsor shall in such situations request a change of the investigational medicinal product core dossier in a</w:t>
      </w:r>
      <w:r w:rsidRPr="004C70EC">
        <w:rPr>
          <w:rFonts w:eastAsia="Times New Roman"/>
          <w:noProof/>
          <w:color w:val="000000" w:themeColor="text1"/>
          <w:szCs w:val="24"/>
          <w:lang w:eastAsia="en-GB"/>
        </w:rPr>
        <w:t xml:space="preserve">ccordance </w:t>
      </w:r>
      <w:r w:rsidRPr="004C70EC">
        <w:rPr>
          <w:rFonts w:eastAsia="Times New Roman"/>
          <w:noProof/>
          <w:color w:val="000000" w:themeColor="text1"/>
          <w:szCs w:val="24"/>
          <w:lang w:eastAsia="hr-HR" w:bidi="hr-HR"/>
          <w14:ligatures w14:val="standardContextual"/>
        </w:rPr>
        <w:t>with paragraph 2.</w:t>
      </w:r>
    </w:p>
    <w:p w14:paraId="617A56DF" w14:textId="77777777" w:rsidR="00273F36" w:rsidRPr="004C70EC" w:rsidRDefault="006D5DD0" w:rsidP="006D5DD0">
      <w:pPr>
        <w:pStyle w:val="Point1"/>
        <w:rPr>
          <w:rFonts w:eastAsia="Times New Roman"/>
          <w:noProof/>
          <w:color w:val="000000" w:themeColor="text1"/>
          <w:szCs w:val="24"/>
          <w:lang w:eastAsia="hr-HR" w:bidi="hr-HR"/>
          <w14:ligatures w14:val="standardContextual"/>
        </w:rPr>
      </w:pPr>
      <w:r w:rsidRPr="004C70EC">
        <w:rPr>
          <w:rFonts w:eastAsia="Times New Roman"/>
          <w:noProof/>
          <w:color w:val="000000" w:themeColor="text1"/>
          <w:szCs w:val="24"/>
          <w:lang w:eastAsia="hr-HR" w:bidi="hr-HR"/>
        </w:rPr>
        <w:t>4.</w:t>
      </w:r>
      <w:r w:rsidRPr="004C70EC">
        <w:rPr>
          <w:noProof/>
          <w:color w:val="000000" w:themeColor="text1"/>
          <w:szCs w:val="24"/>
          <w:lang w:bidi="hr-HR"/>
        </w:rPr>
        <w:tab/>
      </w:r>
      <w:r w:rsidR="00273F36" w:rsidRPr="004C70EC">
        <w:rPr>
          <w:rFonts w:eastAsia="Times New Roman"/>
          <w:noProof/>
          <w:color w:val="000000" w:themeColor="text1"/>
          <w:szCs w:val="24"/>
          <w:lang w:eastAsia="hr-HR" w:bidi="hr-HR"/>
        </w:rPr>
        <w:t xml:space="preserve">After receiving the request for a change to the core dossier, independently of whether a change is submitted in the context of an assessment of an application related to a corresponding clinical trial or independently, the depositary Member State shall verify whether the core dossier, once changed, will continue to fulfil the requirements listed </w:t>
      </w:r>
      <w:r w:rsidR="00204665" w:rsidRPr="004C70EC">
        <w:rPr>
          <w:rFonts w:eastAsia="Times New Roman"/>
          <w:noProof/>
          <w:color w:val="000000" w:themeColor="text1"/>
          <w:szCs w:val="24"/>
          <w:lang w:eastAsia="hr-HR" w:bidi="hr-HR"/>
        </w:rPr>
        <w:t>in paragraph 3</w:t>
      </w:r>
      <w:r w:rsidR="59FD0564" w:rsidRPr="004C70EC">
        <w:rPr>
          <w:rFonts w:eastAsia="Times New Roman"/>
          <w:noProof/>
          <w:color w:val="000000" w:themeColor="text1"/>
          <w:szCs w:val="24"/>
          <w:lang w:eastAsia="hr-HR" w:bidi="hr-HR"/>
        </w:rPr>
        <w:t xml:space="preserve"> </w:t>
      </w:r>
      <w:r w:rsidR="00273F36" w:rsidRPr="004C70EC">
        <w:rPr>
          <w:rFonts w:eastAsia="Times New Roman"/>
          <w:noProof/>
          <w:color w:val="000000" w:themeColor="text1"/>
          <w:szCs w:val="24"/>
          <w:lang w:eastAsia="hr-HR" w:bidi="hr-HR"/>
        </w:rPr>
        <w:t xml:space="preserve">points (a), (b) and (c). </w:t>
      </w:r>
      <w:r w:rsidR="00273F36" w:rsidRPr="004C70EC">
        <w:rPr>
          <w:rFonts w:eastAsia="Times New Roman"/>
          <w:noProof/>
          <w:color w:val="000000" w:themeColor="text1"/>
          <w:szCs w:val="24"/>
          <w:lang w:eastAsia="en-GB"/>
        </w:rPr>
        <w:t>The Member State</w:t>
      </w:r>
      <w:r w:rsidR="00780526" w:rsidRPr="004C70EC">
        <w:rPr>
          <w:rFonts w:eastAsia="Times New Roman"/>
          <w:noProof/>
          <w:color w:val="000000" w:themeColor="text1"/>
          <w:szCs w:val="24"/>
          <w:lang w:eastAsia="en-GB"/>
        </w:rPr>
        <w:t xml:space="preserve"> concerned with the core dossier</w:t>
      </w:r>
      <w:r w:rsidR="00273F36" w:rsidRPr="004C70EC">
        <w:rPr>
          <w:rFonts w:eastAsia="Times New Roman"/>
          <w:noProof/>
          <w:color w:val="000000" w:themeColor="text1"/>
          <w:szCs w:val="24"/>
          <w:lang w:eastAsia="en-GB"/>
        </w:rPr>
        <w:t xml:space="preserve"> shall </w:t>
      </w:r>
      <w:r w:rsidR="00780526" w:rsidRPr="004C70EC">
        <w:rPr>
          <w:rFonts w:eastAsia="Times New Roman"/>
          <w:noProof/>
          <w:color w:val="000000" w:themeColor="text1"/>
          <w:szCs w:val="24"/>
          <w:lang w:eastAsia="en-GB"/>
        </w:rPr>
        <w:t xml:space="preserve">not duplicate </w:t>
      </w:r>
      <w:r w:rsidR="00273F36" w:rsidRPr="004C70EC">
        <w:rPr>
          <w:rFonts w:eastAsia="Times New Roman"/>
          <w:noProof/>
          <w:color w:val="000000" w:themeColor="text1"/>
          <w:szCs w:val="24"/>
          <w:lang w:eastAsia="en-GB"/>
        </w:rPr>
        <w:t xml:space="preserve">the assessment of the depositary Member State. The depositary Member State may consult the Member State concerned as appropriate. </w:t>
      </w:r>
    </w:p>
    <w:p w14:paraId="2D638BFE" w14:textId="77777777" w:rsidR="00273F36" w:rsidRPr="004C70EC" w:rsidRDefault="006D5DD0" w:rsidP="006D5DD0">
      <w:pPr>
        <w:pStyle w:val="Point1"/>
        <w:rPr>
          <w:rFonts w:eastAsia="Times New Roman"/>
          <w:noProof/>
          <w:color w:val="000000" w:themeColor="text1"/>
          <w:szCs w:val="24"/>
          <w:lang w:eastAsia="hr-HR" w:bidi="hr-HR"/>
          <w14:ligatures w14:val="standardContextual"/>
        </w:rPr>
      </w:pPr>
      <w:r w:rsidRPr="004C70EC">
        <w:rPr>
          <w:rFonts w:eastAsia="Times New Roman"/>
          <w:noProof/>
          <w:color w:val="000000" w:themeColor="text1"/>
          <w:szCs w:val="24"/>
          <w:lang w:eastAsia="hr-HR" w:bidi="hr-HR"/>
          <w14:ligatures w14:val="standardContextual"/>
        </w:rPr>
        <w:t>5.</w:t>
      </w:r>
      <w:r w:rsidRPr="004C70EC">
        <w:rPr>
          <w:rFonts w:eastAsia="Times New Roman"/>
          <w:noProof/>
          <w:color w:val="000000" w:themeColor="text1"/>
          <w:szCs w:val="24"/>
          <w:lang w:eastAsia="hr-HR" w:bidi="hr-HR"/>
          <w14:ligatures w14:val="standardContextual"/>
        </w:rPr>
        <w:tab/>
      </w:r>
      <w:r w:rsidR="00273F36" w:rsidRPr="004C70EC">
        <w:rPr>
          <w:rFonts w:eastAsia="Times New Roman"/>
          <w:noProof/>
          <w:color w:val="000000" w:themeColor="text1"/>
          <w:szCs w:val="24"/>
          <w:lang w:eastAsia="hr-HR" w:bidi="hr-HR"/>
          <w14:ligatures w14:val="standardContextual"/>
        </w:rPr>
        <w:t>If a request for a core dossier change is submitted in the context of an ongoing assessment related to a corresponding clinical trial, the timeline for change of the core dossier shall allow for timely approval of the clinical trial. </w:t>
      </w:r>
    </w:p>
    <w:p w14:paraId="5EFE6716" w14:textId="77777777" w:rsidR="00273F36" w:rsidRPr="004C70EC" w:rsidRDefault="006D5DD0" w:rsidP="006D5DD0">
      <w:pPr>
        <w:pStyle w:val="Point1"/>
        <w:rPr>
          <w:rFonts w:eastAsia="Times New Roman"/>
          <w:noProof/>
          <w:color w:val="000000" w:themeColor="text1"/>
          <w:szCs w:val="24"/>
          <w:lang w:eastAsia="hr-HR" w:bidi="hr-HR"/>
          <w14:ligatures w14:val="standardContextual"/>
        </w:rPr>
      </w:pPr>
      <w:r w:rsidRPr="004C70EC">
        <w:rPr>
          <w:rFonts w:eastAsia="Times New Roman"/>
          <w:noProof/>
          <w:color w:val="000000" w:themeColor="text1"/>
          <w:szCs w:val="24"/>
          <w:lang w:eastAsia="hr-HR" w:bidi="hr-HR"/>
          <w14:ligatures w14:val="standardContextual"/>
        </w:rPr>
        <w:t>6.</w:t>
      </w:r>
      <w:r w:rsidRPr="004C70EC">
        <w:rPr>
          <w:rFonts w:eastAsia="Times New Roman"/>
          <w:noProof/>
          <w:color w:val="000000" w:themeColor="text1"/>
          <w:szCs w:val="24"/>
          <w:lang w:eastAsia="hr-HR" w:bidi="hr-HR"/>
          <w14:ligatures w14:val="standardContextual"/>
        </w:rPr>
        <w:tab/>
      </w:r>
      <w:r w:rsidR="00273F36" w:rsidRPr="004C70EC">
        <w:rPr>
          <w:rFonts w:eastAsia="Times New Roman"/>
          <w:noProof/>
          <w:color w:val="000000" w:themeColor="text1"/>
          <w:szCs w:val="24"/>
          <w:lang w:eastAsia="hr-HR" w:bidi="hr-HR"/>
          <w14:ligatures w14:val="standardContextual"/>
        </w:rPr>
        <w:t xml:space="preserve">The sponsor shall assess whether a change to the investigational product core dossier </w:t>
      </w:r>
      <w:r w:rsidR="00204665" w:rsidRPr="004C70EC">
        <w:rPr>
          <w:rFonts w:eastAsia="Times New Roman"/>
          <w:noProof/>
          <w:color w:val="000000" w:themeColor="text1"/>
          <w:szCs w:val="24"/>
          <w:lang w:eastAsia="hr-HR" w:bidi="hr-HR"/>
          <w14:ligatures w14:val="standardContextual"/>
        </w:rPr>
        <w:t xml:space="preserve">makes it necessary </w:t>
      </w:r>
      <w:r w:rsidR="00273F36" w:rsidRPr="004C70EC">
        <w:rPr>
          <w:rFonts w:eastAsia="Times New Roman"/>
          <w:noProof/>
          <w:color w:val="000000" w:themeColor="text1"/>
          <w:szCs w:val="24"/>
          <w:lang w:eastAsia="hr-HR" w:bidi="hr-HR"/>
          <w14:ligatures w14:val="standardContextual"/>
        </w:rPr>
        <w:t>to submit a substantial modification in corresponding clinical trials that are ongoing. </w:t>
      </w:r>
    </w:p>
    <w:p w14:paraId="60C5B2B2" w14:textId="77777777" w:rsidR="00273F36" w:rsidRPr="004C70EC" w:rsidRDefault="00273F36" w:rsidP="006D5DD0">
      <w:pPr>
        <w:pStyle w:val="Titrearticle"/>
        <w:rPr>
          <w:rFonts w:eastAsia="Times New Roman"/>
          <w:noProof/>
          <w:color w:val="000000" w:themeColor="text1"/>
          <w:szCs w:val="24"/>
          <w:lang w:eastAsia="en-GB"/>
        </w:rPr>
      </w:pPr>
      <w:r w:rsidRPr="004C70EC">
        <w:rPr>
          <w:rFonts w:eastAsia="Times New Roman"/>
          <w:noProof/>
          <w:color w:val="000000" w:themeColor="text1"/>
          <w:szCs w:val="24"/>
          <w:lang w:eastAsia="en-GB"/>
        </w:rPr>
        <w:t>Article 27c</w:t>
      </w:r>
    </w:p>
    <w:p w14:paraId="1B655299" w14:textId="77777777" w:rsidR="00273F36" w:rsidRPr="004C70EC" w:rsidRDefault="00273F36" w:rsidP="006D5DD0">
      <w:pPr>
        <w:jc w:val="center"/>
        <w:rPr>
          <w:rFonts w:eastAsia="Times New Roman"/>
          <w:i/>
          <w:iCs/>
          <w:noProof/>
          <w:color w:val="000000" w:themeColor="text1"/>
          <w:szCs w:val="24"/>
          <w:lang w:eastAsia="en-GB"/>
        </w:rPr>
      </w:pPr>
      <w:r w:rsidRPr="004C70EC">
        <w:rPr>
          <w:rFonts w:eastAsia="Times New Roman"/>
          <w:i/>
          <w:iCs/>
          <w:noProof/>
          <w:color w:val="000000" w:themeColor="text1"/>
          <w:szCs w:val="24"/>
          <w:lang w:eastAsia="en-GB"/>
        </w:rPr>
        <w:t>Procedural aspects related to the establishment and maintenance of the investigational medicinal products core dossier</w:t>
      </w:r>
    </w:p>
    <w:p w14:paraId="191E7BB2" w14:textId="77777777" w:rsidR="00273F36" w:rsidRPr="004C70EC" w:rsidRDefault="2F263E33" w:rsidP="006D5DD0">
      <w:pPr>
        <w:pStyle w:val="Text1"/>
        <w:rPr>
          <w:noProof/>
          <w:color w:val="000000" w:themeColor="text1"/>
          <w:szCs w:val="24"/>
          <w:lang w:eastAsia="en-IE"/>
        </w:rPr>
      </w:pPr>
      <w:r w:rsidRPr="004C70EC">
        <w:rPr>
          <w:noProof/>
          <w:color w:val="000000" w:themeColor="text1"/>
          <w:szCs w:val="24"/>
          <w:lang w:eastAsia="en-IE"/>
        </w:rPr>
        <w:t>The Commission shall</w:t>
      </w:r>
      <w:r w:rsidR="5FF1F00E" w:rsidRPr="004C70EC">
        <w:rPr>
          <w:noProof/>
          <w:color w:val="000000" w:themeColor="text1"/>
          <w:szCs w:val="24"/>
          <w:lang w:eastAsia="en-IE"/>
        </w:rPr>
        <w:t xml:space="preserve"> </w:t>
      </w:r>
      <w:r w:rsidRPr="004C70EC">
        <w:rPr>
          <w:noProof/>
          <w:color w:val="000000" w:themeColor="text1"/>
          <w:szCs w:val="24"/>
          <w:lang w:eastAsia="en-IE"/>
        </w:rPr>
        <w:t xml:space="preserve">set out the </w:t>
      </w:r>
      <w:r w:rsidR="7D56C7F8" w:rsidRPr="004C70EC">
        <w:rPr>
          <w:noProof/>
          <w:color w:val="000000" w:themeColor="text1"/>
          <w:szCs w:val="24"/>
          <w:lang w:eastAsia="en-IE"/>
        </w:rPr>
        <w:t>detailed rules governing the submission of</w:t>
      </w:r>
      <w:r w:rsidRPr="004C70EC">
        <w:rPr>
          <w:noProof/>
          <w:color w:val="000000" w:themeColor="text1"/>
          <w:szCs w:val="24"/>
          <w:lang w:eastAsia="en-IE"/>
        </w:rPr>
        <w:t xml:space="preserve"> </w:t>
      </w:r>
      <w:r w:rsidR="536DCD20" w:rsidRPr="004C70EC">
        <w:rPr>
          <w:noProof/>
          <w:color w:val="000000" w:themeColor="text1"/>
          <w:szCs w:val="24"/>
          <w:lang w:eastAsia="en-IE"/>
        </w:rPr>
        <w:t xml:space="preserve">a </w:t>
      </w:r>
      <w:r w:rsidR="34C37C68" w:rsidRPr="004C70EC">
        <w:rPr>
          <w:noProof/>
          <w:color w:val="000000" w:themeColor="text1"/>
          <w:szCs w:val="24"/>
          <w:lang w:eastAsia="en-IE"/>
        </w:rPr>
        <w:t xml:space="preserve">request for the establishment </w:t>
      </w:r>
      <w:r w:rsidR="01B25BC0" w:rsidRPr="004C70EC">
        <w:rPr>
          <w:noProof/>
          <w:color w:val="000000" w:themeColor="text1"/>
          <w:szCs w:val="24"/>
          <w:lang w:eastAsia="en-IE"/>
        </w:rPr>
        <w:t xml:space="preserve">of </w:t>
      </w:r>
      <w:r w:rsidR="40FF6053" w:rsidRPr="004C70EC">
        <w:rPr>
          <w:noProof/>
          <w:color w:val="000000" w:themeColor="text1"/>
          <w:szCs w:val="24"/>
          <w:lang w:eastAsia="en-IE"/>
        </w:rPr>
        <w:t>an</w:t>
      </w:r>
      <w:r w:rsidR="01B25BC0" w:rsidRPr="004C70EC">
        <w:rPr>
          <w:noProof/>
          <w:color w:val="000000" w:themeColor="text1"/>
          <w:szCs w:val="24"/>
          <w:lang w:eastAsia="en-IE"/>
        </w:rPr>
        <w:t xml:space="preserve"> </w:t>
      </w:r>
      <w:r w:rsidRPr="004C70EC">
        <w:rPr>
          <w:noProof/>
          <w:color w:val="000000" w:themeColor="text1"/>
          <w:szCs w:val="24"/>
          <w:lang w:eastAsia="en-IE"/>
        </w:rPr>
        <w:t>investigational product core dossier</w:t>
      </w:r>
      <w:r w:rsidR="1FEACF55" w:rsidRPr="004C70EC">
        <w:rPr>
          <w:noProof/>
          <w:color w:val="000000" w:themeColor="text1"/>
          <w:szCs w:val="24"/>
          <w:lang w:eastAsia="en-IE"/>
        </w:rPr>
        <w:t>,</w:t>
      </w:r>
      <w:r w:rsidR="7A206803" w:rsidRPr="004C70EC">
        <w:rPr>
          <w:noProof/>
          <w:color w:val="000000" w:themeColor="text1"/>
          <w:szCs w:val="24"/>
          <w:lang w:eastAsia="en-IE"/>
        </w:rPr>
        <w:t xml:space="preserve"> its</w:t>
      </w:r>
      <w:r w:rsidRPr="004C70EC">
        <w:rPr>
          <w:noProof/>
          <w:color w:val="000000" w:themeColor="text1"/>
          <w:szCs w:val="24"/>
          <w:lang w:eastAsia="en-IE"/>
        </w:rPr>
        <w:t xml:space="preserve"> assessment</w:t>
      </w:r>
      <w:r w:rsidR="02386319" w:rsidRPr="004C70EC">
        <w:rPr>
          <w:noProof/>
          <w:color w:val="000000" w:themeColor="text1"/>
          <w:szCs w:val="24"/>
          <w:lang w:eastAsia="en-IE"/>
        </w:rPr>
        <w:t xml:space="preserve"> and </w:t>
      </w:r>
      <w:r w:rsidR="4A8540E7" w:rsidRPr="004C70EC">
        <w:rPr>
          <w:noProof/>
          <w:color w:val="000000" w:themeColor="text1"/>
          <w:szCs w:val="24"/>
          <w:lang w:eastAsia="en-IE"/>
        </w:rPr>
        <w:t>maintenance</w:t>
      </w:r>
      <w:r w:rsidRPr="004C70EC">
        <w:rPr>
          <w:noProof/>
          <w:color w:val="000000" w:themeColor="text1"/>
          <w:szCs w:val="24"/>
          <w:lang w:eastAsia="en-IE"/>
        </w:rPr>
        <w:t xml:space="preserve"> by means of implementing acts, including the rules for cooperation between the core dossier competent Member States and the change of depositary Member State. Those implementing acts shall be adopted in accordance with the examination procedure referred to in Article 88.” </w:t>
      </w:r>
    </w:p>
    <w:p w14:paraId="417C1369" w14:textId="77777777" w:rsidR="004338FC" w:rsidRPr="004C70EC" w:rsidRDefault="004338FC" w:rsidP="002D7694">
      <w:pPr>
        <w:pStyle w:val="Text1"/>
        <w:ind w:left="0"/>
        <w:rPr>
          <w:noProof/>
          <w:color w:val="000000" w:themeColor="text1"/>
          <w:szCs w:val="24"/>
          <w:lang w:eastAsia="en-IE"/>
        </w:rPr>
      </w:pPr>
    </w:p>
    <w:p w14:paraId="50018261" w14:textId="77777777" w:rsidR="00273F36" w:rsidRPr="004C70EC" w:rsidRDefault="00273F36" w:rsidP="006D5DD0">
      <w:pPr>
        <w:jc w:val="center"/>
        <w:rPr>
          <w:rFonts w:eastAsia="Times New Roman"/>
          <w:b/>
          <w:noProof/>
          <w:color w:val="000000" w:themeColor="text1"/>
          <w:szCs w:val="24"/>
          <w:lang w:val="en-IE" w:eastAsia="en-GB"/>
        </w:rPr>
      </w:pPr>
      <w:r w:rsidRPr="004C70EC">
        <w:rPr>
          <w:rFonts w:eastAsia="Times New Roman"/>
          <w:b/>
          <w:noProof/>
          <w:color w:val="000000" w:themeColor="text1"/>
          <w:szCs w:val="24"/>
          <w:lang w:val="en-IE" w:eastAsia="en-GB"/>
        </w:rPr>
        <w:t>Chapter IVb</w:t>
      </w:r>
    </w:p>
    <w:p w14:paraId="64F397E8" w14:textId="77777777" w:rsidR="00273F36" w:rsidRPr="004C70EC" w:rsidRDefault="00017489" w:rsidP="006D5DD0">
      <w:pPr>
        <w:jc w:val="center"/>
        <w:rPr>
          <w:rFonts w:eastAsia="Times New Roman"/>
          <w:b/>
          <w:noProof/>
          <w:color w:val="000000" w:themeColor="text1"/>
          <w:szCs w:val="24"/>
          <w:lang w:val="en-IE" w:eastAsia="en-GB"/>
        </w:rPr>
      </w:pPr>
      <w:r w:rsidRPr="004C70EC">
        <w:rPr>
          <w:rFonts w:eastAsia="Times New Roman"/>
          <w:b/>
          <w:noProof/>
          <w:color w:val="000000" w:themeColor="text1"/>
          <w:szCs w:val="24"/>
          <w:lang w:val="en-IE" w:eastAsia="en-GB"/>
        </w:rPr>
        <w:t xml:space="preserve">REGULATORY </w:t>
      </w:r>
      <w:r w:rsidR="00273F36" w:rsidRPr="004C70EC">
        <w:rPr>
          <w:rFonts w:eastAsia="Times New Roman"/>
          <w:b/>
          <w:noProof/>
          <w:color w:val="000000" w:themeColor="text1"/>
          <w:szCs w:val="24"/>
          <w:lang w:val="en-IE" w:eastAsia="en-GB"/>
        </w:rPr>
        <w:t>SANDBOX</w:t>
      </w:r>
      <w:r w:rsidRPr="004C70EC">
        <w:rPr>
          <w:rFonts w:eastAsia="Times New Roman"/>
          <w:b/>
          <w:noProof/>
          <w:color w:val="000000" w:themeColor="text1"/>
          <w:szCs w:val="24"/>
          <w:lang w:val="en-IE" w:eastAsia="en-GB"/>
        </w:rPr>
        <w:t>ES</w:t>
      </w:r>
      <w:r w:rsidR="00273F36" w:rsidRPr="004C70EC">
        <w:rPr>
          <w:rFonts w:eastAsia="Times New Roman"/>
          <w:b/>
          <w:noProof/>
          <w:color w:val="000000" w:themeColor="text1"/>
          <w:szCs w:val="24"/>
          <w:lang w:val="en-IE" w:eastAsia="en-GB"/>
        </w:rPr>
        <w:t xml:space="preserve"> AND USE OF </w:t>
      </w:r>
      <w:r w:rsidR="00596A64" w:rsidRPr="004C70EC">
        <w:rPr>
          <w:rFonts w:eastAsia="Times New Roman"/>
          <w:b/>
          <w:noProof/>
          <w:color w:val="000000" w:themeColor="text1"/>
          <w:szCs w:val="24"/>
          <w:lang w:val="en-IE" w:eastAsia="en-GB"/>
        </w:rPr>
        <w:t>AI</w:t>
      </w:r>
    </w:p>
    <w:p w14:paraId="701782DC" w14:textId="77777777" w:rsidR="00273F36" w:rsidRPr="004C70EC" w:rsidRDefault="00273F36" w:rsidP="006D5DD0">
      <w:pPr>
        <w:pStyle w:val="Titrearticle"/>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Article 27d</w:t>
      </w:r>
    </w:p>
    <w:p w14:paraId="51041B1F" w14:textId="77777777" w:rsidR="00273F36" w:rsidRPr="004C70EC" w:rsidRDefault="00273F36" w:rsidP="006D5DD0">
      <w:pPr>
        <w:jc w:val="center"/>
        <w:rPr>
          <w:rFonts w:eastAsia="Times New Roman"/>
          <w:i/>
          <w:noProof/>
          <w:color w:val="000000" w:themeColor="text1"/>
          <w:szCs w:val="24"/>
          <w:lang w:val="en-IE" w:eastAsia="en-GB"/>
        </w:rPr>
      </w:pPr>
      <w:r w:rsidRPr="004C70EC">
        <w:rPr>
          <w:rFonts w:eastAsia="Times New Roman"/>
          <w:i/>
          <w:noProof/>
          <w:color w:val="000000" w:themeColor="text1"/>
          <w:szCs w:val="24"/>
          <w:lang w:val="en-IE" w:eastAsia="en-GB"/>
        </w:rPr>
        <w:t>Regulatory sandbox</w:t>
      </w:r>
    </w:p>
    <w:p w14:paraId="25914F00" w14:textId="77777777" w:rsidR="005D53DC" w:rsidRPr="004C70EC" w:rsidRDefault="3B4DBD23" w:rsidP="7FDBC0FB">
      <w:pPr>
        <w:pStyle w:val="Point1"/>
        <w:rPr>
          <w:noProof/>
          <w:color w:val="000000" w:themeColor="text1"/>
          <w:szCs w:val="24"/>
          <w:lang w:val="en-US"/>
        </w:rPr>
      </w:pPr>
      <w:r w:rsidRPr="004C70EC">
        <w:rPr>
          <w:rFonts w:eastAsia="Times New Roman"/>
          <w:noProof/>
          <w:color w:val="000000" w:themeColor="text1"/>
          <w:szCs w:val="24"/>
          <w:lang w:eastAsia="hr-HR" w:bidi="hr-HR"/>
        </w:rPr>
        <w:t>1.</w:t>
      </w:r>
      <w:r w:rsidRPr="004C70EC">
        <w:rPr>
          <w:noProof/>
          <w:color w:val="000000" w:themeColor="text1"/>
          <w:szCs w:val="24"/>
        </w:rPr>
        <w:tab/>
      </w:r>
      <w:r w:rsidR="2F263E33" w:rsidRPr="004C70EC">
        <w:rPr>
          <w:rFonts w:eastAsia="Times New Roman"/>
          <w:noProof/>
          <w:color w:val="000000" w:themeColor="text1"/>
          <w:szCs w:val="24"/>
          <w:lang w:eastAsia="hr-HR" w:bidi="hr-HR"/>
        </w:rPr>
        <w:t xml:space="preserve">The Commission may, pursuant to the procedure set out in paragraph </w:t>
      </w:r>
      <w:r w:rsidR="56A4E982" w:rsidRPr="004C70EC">
        <w:rPr>
          <w:rFonts w:eastAsia="Times New Roman"/>
          <w:noProof/>
          <w:color w:val="000000" w:themeColor="text1"/>
          <w:szCs w:val="24"/>
          <w:lang w:eastAsia="hr-HR" w:bidi="hr-HR"/>
        </w:rPr>
        <w:t>7</w:t>
      </w:r>
      <w:r w:rsidR="2F263E33" w:rsidRPr="004C70EC">
        <w:rPr>
          <w:rFonts w:eastAsia="Times New Roman"/>
          <w:noProof/>
          <w:color w:val="000000" w:themeColor="text1"/>
          <w:szCs w:val="24"/>
          <w:lang w:eastAsia="hr-HR" w:bidi="hr-HR"/>
        </w:rPr>
        <w:t xml:space="preserve">, establish and </w:t>
      </w:r>
      <w:r w:rsidR="7AE71065" w:rsidRPr="004C70EC">
        <w:rPr>
          <w:rFonts w:eastAsia="Times New Roman"/>
          <w:noProof/>
          <w:color w:val="000000" w:themeColor="text1"/>
          <w:szCs w:val="24"/>
          <w:lang w:eastAsia="hr-HR" w:bidi="hr-HR"/>
        </w:rPr>
        <w:t xml:space="preserve">operate </w:t>
      </w:r>
      <w:r w:rsidR="2F263E33" w:rsidRPr="004C70EC">
        <w:rPr>
          <w:rFonts w:eastAsia="Times New Roman"/>
          <w:noProof/>
          <w:color w:val="000000" w:themeColor="text1"/>
          <w:szCs w:val="24"/>
          <w:lang w:eastAsia="hr-HR" w:bidi="hr-HR"/>
        </w:rPr>
        <w:t xml:space="preserve">a regulatory sandbox </w:t>
      </w:r>
      <w:r w:rsidR="7AE71065" w:rsidRPr="004C70EC">
        <w:rPr>
          <w:rFonts w:eastAsia="Times New Roman"/>
          <w:noProof/>
          <w:color w:val="000000" w:themeColor="text1"/>
          <w:szCs w:val="24"/>
          <w:lang w:eastAsia="hr-HR" w:bidi="hr-HR"/>
        </w:rPr>
        <w:t xml:space="preserve">at Union level </w:t>
      </w:r>
      <w:r w:rsidR="2F263E33" w:rsidRPr="004C70EC">
        <w:rPr>
          <w:rFonts w:eastAsia="Times New Roman"/>
          <w:noProof/>
          <w:color w:val="000000" w:themeColor="text1"/>
          <w:szCs w:val="24"/>
          <w:lang w:eastAsia="hr-HR" w:bidi="hr-HR"/>
        </w:rPr>
        <w:t xml:space="preserve">that provides a controlled </w:t>
      </w:r>
      <w:r w:rsidR="67E4ECD8" w:rsidRPr="004C70EC">
        <w:rPr>
          <w:rFonts w:eastAsia="Times New Roman"/>
          <w:noProof/>
          <w:color w:val="000000" w:themeColor="text1"/>
          <w:szCs w:val="24"/>
          <w:lang w:eastAsia="hr-HR" w:bidi="hr-HR"/>
        </w:rPr>
        <w:t>and time-limited</w:t>
      </w:r>
      <w:r w:rsidR="2F263E33" w:rsidRPr="004C70EC">
        <w:rPr>
          <w:rFonts w:eastAsia="Times New Roman"/>
          <w:noProof/>
          <w:color w:val="000000" w:themeColor="text1"/>
          <w:szCs w:val="24"/>
          <w:lang w:eastAsia="hr-HR" w:bidi="hr-HR"/>
        </w:rPr>
        <w:t xml:space="preserve"> framework to enable, under real-world conditions, the testing </w:t>
      </w:r>
      <w:r w:rsidR="6FCE8CF4" w:rsidRPr="004C70EC">
        <w:rPr>
          <w:rFonts w:eastAsia="Times New Roman"/>
          <w:noProof/>
          <w:color w:val="000000" w:themeColor="text1"/>
          <w:szCs w:val="24"/>
          <w:lang w:eastAsia="hr-HR" w:bidi="hr-HR"/>
        </w:rPr>
        <w:t>of innovative approaches in</w:t>
      </w:r>
      <w:r w:rsidR="2F263E33" w:rsidRPr="004C70EC">
        <w:rPr>
          <w:rFonts w:eastAsia="Times New Roman"/>
          <w:noProof/>
          <w:color w:val="000000" w:themeColor="text1"/>
          <w:szCs w:val="24"/>
          <w:lang w:eastAsia="hr-HR" w:bidi="hr-HR"/>
        </w:rPr>
        <w:t xml:space="preserve"> clinical trials</w:t>
      </w:r>
      <w:r w:rsidR="4CE81CF3" w:rsidRPr="004C70EC">
        <w:rPr>
          <w:rFonts w:eastAsia="Times New Roman"/>
          <w:noProof/>
          <w:color w:val="000000" w:themeColor="text1"/>
          <w:szCs w:val="24"/>
          <w:lang w:eastAsia="hr-HR" w:bidi="hr-HR"/>
        </w:rPr>
        <w:t xml:space="preserve"> </w:t>
      </w:r>
      <w:r w:rsidR="7294FAC6" w:rsidRPr="004C70EC">
        <w:rPr>
          <w:rFonts w:eastAsia="Times New Roman"/>
          <w:noProof/>
          <w:color w:val="000000" w:themeColor="text1"/>
          <w:szCs w:val="24"/>
          <w:lang w:eastAsia="hr-HR" w:bidi="hr-HR"/>
        </w:rPr>
        <w:t xml:space="preserve">to which the </w:t>
      </w:r>
      <w:r w:rsidR="3E55113C" w:rsidRPr="004C70EC">
        <w:rPr>
          <w:rFonts w:eastAsia="Times New Roman"/>
          <w:noProof/>
          <w:color w:val="000000" w:themeColor="text1"/>
          <w:szCs w:val="24"/>
          <w:lang w:eastAsia="hr-HR" w:bidi="hr-HR"/>
        </w:rPr>
        <w:t xml:space="preserve">full </w:t>
      </w:r>
      <w:r w:rsidR="7294FAC6" w:rsidRPr="004C70EC">
        <w:rPr>
          <w:rFonts w:eastAsia="Times New Roman"/>
          <w:noProof/>
          <w:color w:val="000000" w:themeColor="text1"/>
          <w:szCs w:val="24"/>
          <w:lang w:eastAsia="hr-HR" w:bidi="hr-HR"/>
        </w:rPr>
        <w:t xml:space="preserve">application  of certain requirements of this Regulation is not possible or appropriate and which </w:t>
      </w:r>
      <w:r w:rsidR="477B94A7" w:rsidRPr="004C70EC">
        <w:rPr>
          <w:rFonts w:eastAsia="Times New Roman"/>
          <w:noProof/>
          <w:color w:val="000000" w:themeColor="text1"/>
          <w:szCs w:val="24"/>
          <w:lang w:eastAsia="hr-HR" w:bidi="hr-HR"/>
        </w:rPr>
        <w:t xml:space="preserve">therefore </w:t>
      </w:r>
      <w:r w:rsidR="7294FAC6" w:rsidRPr="004C70EC">
        <w:rPr>
          <w:rFonts w:eastAsia="Times New Roman"/>
          <w:noProof/>
          <w:color w:val="000000" w:themeColor="text1"/>
          <w:szCs w:val="24"/>
          <w:lang w:eastAsia="hr-HR" w:bidi="hr-HR"/>
        </w:rPr>
        <w:t>may require adaptations</w:t>
      </w:r>
      <w:r w:rsidR="2F263E33" w:rsidRPr="004C70EC">
        <w:rPr>
          <w:rFonts w:eastAsia="Times New Roman"/>
          <w:noProof/>
          <w:color w:val="000000" w:themeColor="text1"/>
          <w:szCs w:val="24"/>
          <w:lang w:eastAsia="hr-HR" w:bidi="hr-HR"/>
        </w:rPr>
        <w:t xml:space="preserve">. </w:t>
      </w:r>
    </w:p>
    <w:p w14:paraId="52908B90" w14:textId="77777777" w:rsidR="7FDBC0FB" w:rsidRPr="004C70EC" w:rsidRDefault="00E45235" w:rsidP="00E45235">
      <w:pPr>
        <w:pStyle w:val="Point1"/>
        <w:rPr>
          <w:noProof/>
          <w:color w:val="000000" w:themeColor="text1"/>
          <w:szCs w:val="24"/>
          <w:lang w:val="en-US"/>
        </w:rPr>
      </w:pPr>
      <w:r w:rsidRPr="004C70EC">
        <w:rPr>
          <w:noProof/>
          <w:color w:val="000000" w:themeColor="text1"/>
          <w:szCs w:val="24"/>
          <w:lang w:val="en-US"/>
        </w:rPr>
        <w:t>2.</w:t>
      </w:r>
      <w:r w:rsidRPr="004C70EC">
        <w:rPr>
          <w:noProof/>
          <w:color w:val="000000" w:themeColor="text1"/>
          <w:szCs w:val="24"/>
          <w:lang w:val="en-US"/>
        </w:rPr>
        <w:tab/>
      </w:r>
      <w:r w:rsidR="060836E0" w:rsidRPr="004C70EC">
        <w:rPr>
          <w:noProof/>
          <w:color w:val="000000" w:themeColor="text1"/>
          <w:szCs w:val="24"/>
          <w:lang w:val="en-US"/>
        </w:rPr>
        <w:t>The regulatory sandbox under this Regulation may encompass approaches to the authorisation and conduct of the clinical trials and where appropriate, maybe be implemented in coordination and synergies with the regulatory sandboxes established pursuant to Regulation (EU) 2024/1689 with full involvement of competent authorities supervising the sandbox under Regulation (EU) 2024/1689 and in accordance with the relevant procedures and rules for participating in those AI regulatory sandboxes.</w:t>
      </w:r>
    </w:p>
    <w:p w14:paraId="0E4707FB" w14:textId="77777777" w:rsidR="00273F36" w:rsidRPr="004C70EC" w:rsidRDefault="006D5DD0" w:rsidP="006D5DD0">
      <w:pPr>
        <w:pStyle w:val="Point1"/>
        <w:rPr>
          <w:noProof/>
          <w:color w:val="000000" w:themeColor="text1"/>
          <w:szCs w:val="24"/>
          <w:lang w:eastAsia="hr-HR" w:bidi="hr-HR"/>
          <w14:ligatures w14:val="standardContextual"/>
        </w:rPr>
      </w:pPr>
      <w:r w:rsidRPr="004C70EC">
        <w:rPr>
          <w:rFonts w:eastAsia="Times New Roman"/>
          <w:noProof/>
          <w:color w:val="000000" w:themeColor="text1"/>
          <w:szCs w:val="24"/>
          <w14:ligatures w14:val="standardContextual"/>
        </w:rPr>
        <w:t>3.</w:t>
      </w:r>
      <w:r w:rsidRPr="004C70EC">
        <w:rPr>
          <w:rFonts w:eastAsia="Times New Roman"/>
          <w:noProof/>
          <w:color w:val="000000" w:themeColor="text1"/>
          <w:szCs w:val="24"/>
          <w14:ligatures w14:val="standardContextual"/>
        </w:rPr>
        <w:tab/>
      </w:r>
      <w:r w:rsidR="00273F36" w:rsidRPr="004C70EC">
        <w:rPr>
          <w:rFonts w:eastAsia="Times New Roman"/>
          <w:noProof/>
          <w:color w:val="000000" w:themeColor="text1"/>
          <w:szCs w:val="24"/>
          <w14:ligatures w14:val="standardContextual"/>
        </w:rPr>
        <w:t>The activities within a regulatory sandbox shall take place pursuant to a specific plan, for eligible clinical trials, which may be conducted under enhanced regulatory oversight</w:t>
      </w:r>
      <w:r w:rsidR="00714B5B" w:rsidRPr="004C70EC">
        <w:rPr>
          <w:rFonts w:eastAsia="Times New Roman"/>
          <w:noProof/>
          <w:color w:val="000000" w:themeColor="text1"/>
          <w:szCs w:val="24"/>
        </w:rPr>
        <w:t xml:space="preserve"> of the Member States concerned</w:t>
      </w:r>
      <w:r w:rsidR="00273F36" w:rsidRPr="004C70EC">
        <w:rPr>
          <w:rFonts w:eastAsia="Times New Roman"/>
          <w:noProof/>
          <w:color w:val="000000" w:themeColor="text1"/>
          <w:szCs w:val="24"/>
          <w14:ligatures w14:val="standardContextual"/>
        </w:rPr>
        <w:t xml:space="preserve">. The plan shall clearly identify the requirements of </w:t>
      </w:r>
      <w:r w:rsidR="00866FD1" w:rsidRPr="004C70EC">
        <w:rPr>
          <w:rFonts w:eastAsia="Times New Roman"/>
          <w:noProof/>
          <w:color w:val="000000" w:themeColor="text1"/>
          <w:szCs w:val="24"/>
          <w14:ligatures w14:val="standardContextual"/>
        </w:rPr>
        <w:t>this</w:t>
      </w:r>
      <w:r w:rsidR="00273F36" w:rsidRPr="004C70EC">
        <w:rPr>
          <w:rFonts w:eastAsia="Times New Roman"/>
          <w:noProof/>
          <w:color w:val="000000" w:themeColor="text1"/>
          <w:szCs w:val="24"/>
          <w14:ligatures w14:val="standardContextual"/>
        </w:rPr>
        <w:t xml:space="preserve"> Regulation</w:t>
      </w:r>
      <w:r w:rsidR="00D01996" w:rsidRPr="004C70EC">
        <w:rPr>
          <w:rFonts w:eastAsia="Times New Roman"/>
          <w:noProof/>
          <w:color w:val="000000" w:themeColor="text1"/>
          <w:szCs w:val="24"/>
          <w14:ligatures w14:val="standardContextual"/>
        </w:rPr>
        <w:t xml:space="preserve"> </w:t>
      </w:r>
      <w:r w:rsidR="00273F36" w:rsidRPr="004C70EC">
        <w:rPr>
          <w:rFonts w:eastAsia="Times New Roman"/>
          <w:noProof/>
          <w:color w:val="000000" w:themeColor="text1"/>
          <w:szCs w:val="24"/>
          <w14:ligatures w14:val="standardContextual"/>
        </w:rPr>
        <w:t xml:space="preserve">that are temporarily adapted or </w:t>
      </w:r>
      <w:r w:rsidR="009C612F" w:rsidRPr="004C70EC">
        <w:rPr>
          <w:rFonts w:eastAsia="Times New Roman"/>
          <w:noProof/>
          <w:color w:val="000000" w:themeColor="text1"/>
          <w:szCs w:val="24"/>
          <w14:ligatures w14:val="standardContextual"/>
        </w:rPr>
        <w:t xml:space="preserve">derogated from </w:t>
      </w:r>
      <w:r w:rsidR="00273F36" w:rsidRPr="004C70EC">
        <w:rPr>
          <w:rFonts w:eastAsia="Times New Roman"/>
          <w:noProof/>
          <w:color w:val="000000" w:themeColor="text1"/>
          <w:szCs w:val="24"/>
          <w14:ligatures w14:val="standardContextual"/>
        </w:rPr>
        <w:t>in the sandbox</w:t>
      </w:r>
      <w:r w:rsidR="00FD0592" w:rsidRPr="004C70EC">
        <w:rPr>
          <w:rFonts w:eastAsia="Times New Roman"/>
          <w:noProof/>
          <w:color w:val="000000" w:themeColor="text1"/>
          <w:szCs w:val="24"/>
          <w14:ligatures w14:val="standardContextual"/>
        </w:rPr>
        <w:t xml:space="preserve"> and </w:t>
      </w:r>
      <w:r w:rsidR="00D01996" w:rsidRPr="004C70EC">
        <w:rPr>
          <w:rFonts w:eastAsia="Times New Roman"/>
          <w:noProof/>
          <w:color w:val="000000" w:themeColor="text1"/>
          <w:szCs w:val="24"/>
          <w14:ligatures w14:val="standardContextual"/>
        </w:rPr>
        <w:t xml:space="preserve">that may relate to, as necessary, to </w:t>
      </w:r>
      <w:r w:rsidR="00D01996" w:rsidRPr="004C70EC">
        <w:rPr>
          <w:noProof/>
          <w:color w:val="000000" w:themeColor="text1"/>
          <w:szCs w:val="24"/>
        </w:rPr>
        <w:t>source data and documentation requirements, recruitment and informed consent procedures, monitoring and reporting requirements, trial design rules, investigational medicines handling rules, safety reporting rules, site requirements</w:t>
      </w:r>
      <w:r w:rsidR="00273F36" w:rsidRPr="004C70EC">
        <w:rPr>
          <w:rFonts w:eastAsia="Times New Roman"/>
          <w:noProof/>
          <w:color w:val="000000" w:themeColor="text1"/>
          <w:szCs w:val="24"/>
          <w14:ligatures w14:val="standardContextual"/>
        </w:rPr>
        <w:t>. The plan shall also identify the roles and responsibilities of sponsors, investigators, and manufacturers.  </w:t>
      </w:r>
    </w:p>
    <w:p w14:paraId="5609D48A" w14:textId="77777777" w:rsidR="00273F36" w:rsidRPr="004C70EC" w:rsidRDefault="006D5DD0" w:rsidP="006D5DD0">
      <w:pPr>
        <w:pStyle w:val="Point1"/>
        <w:rPr>
          <w:noProof/>
          <w:color w:val="000000" w:themeColor="text1"/>
          <w:szCs w:val="24"/>
          <w:lang w:eastAsia="hr-HR" w:bidi="hr-HR"/>
          <w14:ligatures w14:val="standardContextual"/>
        </w:rPr>
      </w:pPr>
      <w:r w:rsidRPr="004C70EC">
        <w:rPr>
          <w:noProof/>
          <w:color w:val="000000" w:themeColor="text1"/>
          <w:kern w:val="2"/>
          <w:szCs w:val="24"/>
          <w:lang w:eastAsia="en-IE"/>
        </w:rPr>
        <w:t>4.</w:t>
      </w:r>
      <w:r w:rsidRPr="004C70EC">
        <w:rPr>
          <w:noProof/>
          <w:color w:val="000000" w:themeColor="text1"/>
          <w:kern w:val="2"/>
          <w:szCs w:val="24"/>
          <w:lang w:eastAsia="en-IE"/>
        </w:rPr>
        <w:tab/>
      </w:r>
      <w:r w:rsidR="00273F36" w:rsidRPr="004C70EC">
        <w:rPr>
          <w:noProof/>
          <w:color w:val="000000" w:themeColor="text1"/>
          <w:kern w:val="2"/>
          <w:szCs w:val="24"/>
          <w:lang w:eastAsia="en-IE"/>
        </w:rPr>
        <w:t>A regulatory sandbox may</w:t>
      </w:r>
      <w:r w:rsidR="00273F36" w:rsidRPr="004C70EC">
        <w:rPr>
          <w:rFonts w:eastAsia="Times New Roman"/>
          <w:noProof/>
          <w:color w:val="000000" w:themeColor="text1"/>
          <w:szCs w:val="24"/>
          <w:lang w:eastAsia="en-IE"/>
        </w:rPr>
        <w:t xml:space="preserve"> </w:t>
      </w:r>
      <w:r w:rsidR="00273F36" w:rsidRPr="004C70EC">
        <w:rPr>
          <w:noProof/>
          <w:color w:val="000000" w:themeColor="text1"/>
          <w:kern w:val="2"/>
          <w:szCs w:val="24"/>
          <w:lang w:eastAsia="en-IE"/>
        </w:rPr>
        <w:t>be established</w:t>
      </w:r>
      <w:r w:rsidR="00273F36" w:rsidRPr="004C70EC">
        <w:rPr>
          <w:rFonts w:eastAsia="Times New Roman"/>
          <w:noProof/>
          <w:color w:val="000000" w:themeColor="text1"/>
          <w:szCs w:val="24"/>
          <w:lang w:eastAsia="en-IE"/>
        </w:rPr>
        <w:t xml:space="preserve"> </w:t>
      </w:r>
      <w:r w:rsidR="00273F36" w:rsidRPr="004C70EC">
        <w:rPr>
          <w:noProof/>
          <w:color w:val="000000" w:themeColor="text1"/>
          <w:kern w:val="2"/>
          <w:szCs w:val="24"/>
          <w:lang w:eastAsia="en-IE"/>
        </w:rPr>
        <w:t>only if the following conditions are met:   </w:t>
      </w:r>
    </w:p>
    <w:p w14:paraId="522BA05A" w14:textId="77777777" w:rsidR="00273F36" w:rsidRPr="004C70EC" w:rsidRDefault="00E04FA5" w:rsidP="006D5DD0">
      <w:pPr>
        <w:pStyle w:val="Point2"/>
        <w:rPr>
          <w:noProof/>
          <w:color w:val="000000" w:themeColor="text1"/>
          <w:szCs w:val="24"/>
          <w:lang w:eastAsia="en-IE"/>
        </w:rPr>
      </w:pPr>
      <w:r w:rsidRPr="004C70EC">
        <w:rPr>
          <w:noProof/>
          <w:color w:val="000000" w:themeColor="text1"/>
          <w:szCs w:val="24"/>
          <w:lang w:eastAsia="en-IE"/>
        </w:rPr>
        <w:t>(</w:t>
      </w:r>
      <w:r w:rsidR="006D5DD0" w:rsidRPr="004C70EC">
        <w:rPr>
          <w:noProof/>
          <w:color w:val="000000" w:themeColor="text1"/>
          <w:szCs w:val="24"/>
          <w:lang w:eastAsia="en-IE"/>
        </w:rPr>
        <w:t>a</w:t>
      </w:r>
      <w:r w:rsidRPr="004C70EC">
        <w:rPr>
          <w:noProof/>
          <w:color w:val="000000" w:themeColor="text1"/>
          <w:szCs w:val="24"/>
          <w:lang w:eastAsia="en-IE"/>
        </w:rPr>
        <w:t>)</w:t>
      </w:r>
      <w:r w:rsidR="006D5DD0" w:rsidRPr="004C70EC">
        <w:rPr>
          <w:noProof/>
          <w:color w:val="000000" w:themeColor="text1"/>
          <w:szCs w:val="24"/>
          <w:lang w:eastAsia="en-IE"/>
        </w:rPr>
        <w:tab/>
      </w:r>
      <w:r w:rsidRPr="004C70EC">
        <w:rPr>
          <w:noProof/>
          <w:color w:val="000000" w:themeColor="text1"/>
          <w:szCs w:val="24"/>
          <w:lang w:eastAsia="en-IE"/>
        </w:rPr>
        <w:t>i</w:t>
      </w:r>
      <w:r w:rsidR="00273F36" w:rsidRPr="004C70EC">
        <w:rPr>
          <w:noProof/>
          <w:color w:val="000000" w:themeColor="text1"/>
          <w:szCs w:val="24"/>
          <w:lang w:eastAsia="en-IE"/>
        </w:rPr>
        <w:t xml:space="preserve">t is not possible to authorise or conduct a clinical trial in full compliance with the requirements of </w:t>
      </w:r>
      <w:r w:rsidRPr="004C70EC">
        <w:rPr>
          <w:noProof/>
          <w:color w:val="000000" w:themeColor="text1"/>
          <w:szCs w:val="24"/>
          <w:lang w:eastAsia="en-IE"/>
        </w:rPr>
        <w:t>this</w:t>
      </w:r>
      <w:r w:rsidR="00273F36" w:rsidRPr="004C70EC">
        <w:rPr>
          <w:noProof/>
          <w:color w:val="000000" w:themeColor="text1"/>
          <w:szCs w:val="24"/>
          <w:lang w:eastAsia="en-IE"/>
        </w:rPr>
        <w:t xml:space="preserve"> Regulation due to innovative approaches in the clinical trial or due to the specificity of the investigational medicinal product;   </w:t>
      </w:r>
    </w:p>
    <w:p w14:paraId="6EB37DF3" w14:textId="77777777" w:rsidR="00273F36" w:rsidRPr="004C70EC" w:rsidRDefault="00A90ECB" w:rsidP="006D5DD0">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6D5DD0" w:rsidRPr="004C70EC">
        <w:rPr>
          <w:rFonts w:eastAsia="Times New Roman"/>
          <w:noProof/>
          <w:color w:val="000000" w:themeColor="text1"/>
          <w:szCs w:val="24"/>
          <w:lang w:eastAsia="en-IE"/>
        </w:rPr>
        <w:t>b</w:t>
      </w:r>
      <w:r w:rsidRPr="004C70EC">
        <w:rPr>
          <w:rFonts w:eastAsia="Times New Roman"/>
          <w:noProof/>
          <w:color w:val="000000" w:themeColor="text1"/>
          <w:szCs w:val="24"/>
          <w:lang w:eastAsia="en-IE"/>
        </w:rPr>
        <w:t>)</w:t>
      </w:r>
      <w:r w:rsidR="006D5DD0" w:rsidRPr="004C70EC">
        <w:rPr>
          <w:rFonts w:eastAsia="Times New Roman"/>
          <w:noProof/>
          <w:color w:val="000000" w:themeColor="text1"/>
          <w:szCs w:val="24"/>
          <w:lang w:eastAsia="en-IE"/>
        </w:rPr>
        <w:tab/>
      </w:r>
      <w:r w:rsidRPr="004C70EC">
        <w:rPr>
          <w:rFonts w:eastAsia="Times New Roman"/>
          <w:noProof/>
          <w:color w:val="000000" w:themeColor="text1"/>
          <w:szCs w:val="24"/>
          <w:lang w:eastAsia="en-IE"/>
        </w:rPr>
        <w:t>t</w:t>
      </w:r>
      <w:r w:rsidR="00273F36" w:rsidRPr="004C70EC">
        <w:rPr>
          <w:rFonts w:eastAsia="Times New Roman"/>
          <w:noProof/>
          <w:color w:val="000000" w:themeColor="text1"/>
          <w:szCs w:val="24"/>
          <w:lang w:eastAsia="en-IE"/>
        </w:rPr>
        <w:t xml:space="preserve">he approaches referred to in </w:t>
      </w:r>
      <w:r w:rsidRPr="004C70EC">
        <w:rPr>
          <w:rFonts w:eastAsia="Times New Roman"/>
          <w:noProof/>
          <w:color w:val="000000" w:themeColor="text1"/>
          <w:szCs w:val="24"/>
          <w:lang w:eastAsia="en-IE"/>
        </w:rPr>
        <w:t xml:space="preserve">point </w:t>
      </w:r>
      <w:r w:rsidR="00273F36" w:rsidRPr="004C70EC">
        <w:rPr>
          <w:rFonts w:eastAsia="Times New Roman"/>
          <w:noProof/>
          <w:color w:val="000000" w:themeColor="text1"/>
          <w:szCs w:val="24"/>
          <w:lang w:eastAsia="en-IE"/>
        </w:rPr>
        <w:t xml:space="preserve">(a) are </w:t>
      </w:r>
      <w:r w:rsidRPr="004C70EC">
        <w:rPr>
          <w:rFonts w:eastAsia="Times New Roman"/>
          <w:noProof/>
          <w:color w:val="000000" w:themeColor="text1"/>
          <w:szCs w:val="24"/>
          <w:lang w:eastAsia="en-IE"/>
        </w:rPr>
        <w:t xml:space="preserve">expected </w:t>
      </w:r>
      <w:r w:rsidR="00273F36" w:rsidRPr="004C70EC">
        <w:rPr>
          <w:rFonts w:eastAsia="Times New Roman"/>
          <w:noProof/>
          <w:color w:val="000000" w:themeColor="text1"/>
          <w:szCs w:val="24"/>
          <w:lang w:eastAsia="en-IE"/>
        </w:rPr>
        <w:t>to contribute to</w:t>
      </w:r>
      <w:r w:rsidRPr="004C70EC">
        <w:rPr>
          <w:rFonts w:eastAsia="Times New Roman"/>
          <w:noProof/>
          <w:color w:val="000000" w:themeColor="text1"/>
          <w:szCs w:val="24"/>
          <w:lang w:eastAsia="en-IE"/>
        </w:rPr>
        <w:t xml:space="preserve"> at least one of the following objectives</w:t>
      </w:r>
      <w:r w:rsidR="00273F36" w:rsidRPr="004C70EC">
        <w:rPr>
          <w:rFonts w:eastAsia="Times New Roman"/>
          <w:noProof/>
          <w:color w:val="000000" w:themeColor="text1"/>
          <w:szCs w:val="24"/>
          <w:lang w:eastAsia="en-IE"/>
        </w:rPr>
        <w:t>:  </w:t>
      </w:r>
    </w:p>
    <w:p w14:paraId="76F3CAA3" w14:textId="77777777" w:rsidR="00273F36" w:rsidRPr="004C70EC" w:rsidRDefault="00A90ECB" w:rsidP="006D5DD0">
      <w:pPr>
        <w:pStyle w:val="Point3"/>
        <w:rPr>
          <w:noProof/>
          <w:color w:val="000000" w:themeColor="text1"/>
          <w:szCs w:val="24"/>
          <w:lang w:eastAsia="en-IE"/>
        </w:rPr>
      </w:pPr>
      <w:r w:rsidRPr="004C70EC">
        <w:rPr>
          <w:noProof/>
          <w:color w:val="000000" w:themeColor="text1"/>
          <w:szCs w:val="24"/>
          <w:lang w:eastAsia="en-IE"/>
        </w:rPr>
        <w:t>(</w:t>
      </w:r>
      <w:r w:rsidR="006D5DD0" w:rsidRPr="004C70EC">
        <w:rPr>
          <w:noProof/>
          <w:color w:val="000000" w:themeColor="text1"/>
          <w:szCs w:val="24"/>
          <w:lang w:eastAsia="en-IE"/>
        </w:rPr>
        <w:t>i</w:t>
      </w:r>
      <w:r w:rsidRPr="004C70EC">
        <w:rPr>
          <w:noProof/>
          <w:color w:val="000000" w:themeColor="text1"/>
          <w:szCs w:val="24"/>
          <w:lang w:eastAsia="en-IE"/>
        </w:rPr>
        <w:t>)</w:t>
      </w:r>
      <w:r w:rsidR="006D5DD0" w:rsidRPr="004C70EC">
        <w:rPr>
          <w:noProof/>
          <w:color w:val="000000" w:themeColor="text1"/>
          <w:szCs w:val="24"/>
          <w:lang w:eastAsia="en-IE"/>
        </w:rPr>
        <w:tab/>
      </w:r>
      <w:r w:rsidR="00273F36" w:rsidRPr="004C70EC">
        <w:rPr>
          <w:noProof/>
          <w:color w:val="000000" w:themeColor="text1"/>
          <w:szCs w:val="24"/>
          <w:lang w:eastAsia="en-IE"/>
        </w:rPr>
        <w:t>increasing the robustness of the data generated in the trial</w:t>
      </w:r>
      <w:r w:rsidR="0008703B" w:rsidRPr="004C70EC">
        <w:rPr>
          <w:noProof/>
          <w:color w:val="000000" w:themeColor="text1"/>
          <w:szCs w:val="24"/>
          <w:lang w:eastAsia="en-IE"/>
        </w:rPr>
        <w:t>;</w:t>
      </w:r>
      <w:r w:rsidR="00273F36" w:rsidRPr="004C70EC">
        <w:rPr>
          <w:noProof/>
          <w:color w:val="000000" w:themeColor="text1"/>
          <w:szCs w:val="24"/>
          <w:lang w:eastAsia="en-IE"/>
        </w:rPr>
        <w:t> </w:t>
      </w:r>
    </w:p>
    <w:p w14:paraId="01B1B6B2" w14:textId="77777777" w:rsidR="00273F36" w:rsidRPr="004C70EC" w:rsidRDefault="00A90ECB" w:rsidP="006D5DD0">
      <w:pPr>
        <w:pStyle w:val="Point3"/>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6D5DD0" w:rsidRPr="004C70EC">
        <w:rPr>
          <w:rFonts w:eastAsia="Times New Roman"/>
          <w:noProof/>
          <w:color w:val="000000" w:themeColor="text1"/>
          <w:szCs w:val="24"/>
          <w:lang w:eastAsia="en-IE"/>
        </w:rPr>
        <w:t>ii</w:t>
      </w:r>
      <w:r w:rsidRPr="004C70EC">
        <w:rPr>
          <w:rFonts w:eastAsia="Times New Roman"/>
          <w:noProof/>
          <w:color w:val="000000" w:themeColor="text1"/>
          <w:szCs w:val="24"/>
          <w:lang w:eastAsia="en-IE"/>
        </w:rPr>
        <w:t>)</w:t>
      </w:r>
      <w:r w:rsidR="006D5DD0"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considerably decreasing clinical trial length, and increasing the efficiency of the clinical trial</w:t>
      </w:r>
      <w:r w:rsidR="0008703B" w:rsidRPr="004C70EC">
        <w:rPr>
          <w:rFonts w:eastAsia="Times New Roman"/>
          <w:noProof/>
          <w:color w:val="000000" w:themeColor="text1"/>
          <w:szCs w:val="24"/>
          <w:lang w:eastAsia="en-IE"/>
        </w:rPr>
        <w:t>;</w:t>
      </w:r>
    </w:p>
    <w:p w14:paraId="19BA784C" w14:textId="77777777" w:rsidR="00273F36" w:rsidRPr="004C70EC" w:rsidRDefault="00A90ECB" w:rsidP="006D5DD0">
      <w:pPr>
        <w:pStyle w:val="Point3"/>
        <w:rPr>
          <w:rFonts w:eastAsia="Times New Roman"/>
          <w:noProof/>
          <w:color w:val="000000" w:themeColor="text1"/>
          <w:szCs w:val="24"/>
          <w:lang w:eastAsia="en-IE"/>
        </w:rPr>
      </w:pPr>
      <w:r w:rsidRPr="004C70EC">
        <w:rPr>
          <w:rFonts w:eastAsia="Times New Roman"/>
          <w:noProof/>
          <w:color w:val="000000" w:themeColor="text1"/>
          <w:szCs w:val="24"/>
          <w:lang w:eastAsia="en-IE"/>
        </w:rPr>
        <w:t>(</w:t>
      </w:r>
      <w:r w:rsidR="006D5DD0" w:rsidRPr="004C70EC">
        <w:rPr>
          <w:rFonts w:eastAsia="Times New Roman"/>
          <w:noProof/>
          <w:color w:val="000000" w:themeColor="text1"/>
          <w:szCs w:val="24"/>
          <w:lang w:eastAsia="en-IE"/>
        </w:rPr>
        <w:t>iii</w:t>
      </w:r>
      <w:r w:rsidRPr="004C70EC">
        <w:rPr>
          <w:rFonts w:eastAsia="Times New Roman"/>
          <w:noProof/>
          <w:color w:val="000000" w:themeColor="text1"/>
          <w:szCs w:val="24"/>
          <w:lang w:eastAsia="en-IE"/>
        </w:rPr>
        <w:t>)</w:t>
      </w:r>
      <w:r w:rsidR="006D5DD0" w:rsidRPr="004C70EC">
        <w:rPr>
          <w:rFonts w:eastAsia="Times New Roman"/>
          <w:noProof/>
          <w:color w:val="000000" w:themeColor="text1"/>
          <w:szCs w:val="24"/>
          <w:lang w:eastAsia="en-IE"/>
        </w:rPr>
        <w:tab/>
      </w:r>
      <w:r w:rsidR="00273F36" w:rsidRPr="004C70EC">
        <w:rPr>
          <w:rFonts w:eastAsia="Times New Roman"/>
          <w:noProof/>
          <w:color w:val="000000" w:themeColor="text1"/>
          <w:szCs w:val="24"/>
          <w:lang w:eastAsia="en-IE"/>
        </w:rPr>
        <w:t>enabling new technologies and approaches in the development of medicinal products that have the potential to positively and distinctively contribute to better prevention, diagnosis, and treatment, as well as increase adherence to treatment plans or improve the efficiency of the provision of health care;   </w:t>
      </w:r>
    </w:p>
    <w:p w14:paraId="21A5C6D8" w14:textId="77777777" w:rsidR="00273F36" w:rsidRPr="004C70EC" w:rsidRDefault="00273F36" w:rsidP="006D5DD0">
      <w:pPr>
        <w:pStyle w:val="Point2"/>
        <w:rPr>
          <w:rFonts w:eastAsia="Times New Roman"/>
          <w:noProof/>
          <w:color w:val="000000" w:themeColor="text1"/>
          <w:szCs w:val="24"/>
          <w:lang w:eastAsia="en-IE"/>
        </w:rPr>
      </w:pPr>
      <w:r w:rsidRPr="004C70EC">
        <w:rPr>
          <w:rFonts w:eastAsia="Times New Roman"/>
          <w:noProof/>
          <w:color w:val="000000" w:themeColor="text1"/>
          <w:szCs w:val="24"/>
          <w:lang w:eastAsia="en-IE"/>
        </w:rPr>
        <w:t> </w:t>
      </w:r>
      <w:r w:rsidR="00A90ECB" w:rsidRPr="004C70EC">
        <w:rPr>
          <w:rFonts w:eastAsia="Times New Roman"/>
          <w:noProof/>
          <w:color w:val="000000" w:themeColor="text1"/>
          <w:szCs w:val="24"/>
          <w:lang w:eastAsia="en-IE"/>
        </w:rPr>
        <w:t>(</w:t>
      </w:r>
      <w:r w:rsidR="006D5DD0" w:rsidRPr="004C70EC">
        <w:rPr>
          <w:rFonts w:eastAsia="Times New Roman"/>
          <w:noProof/>
          <w:color w:val="000000" w:themeColor="text1"/>
          <w:szCs w:val="24"/>
          <w:lang w:eastAsia="en-IE"/>
        </w:rPr>
        <w:t>c</w:t>
      </w:r>
      <w:r w:rsidR="00A90ECB" w:rsidRPr="004C70EC">
        <w:rPr>
          <w:rFonts w:eastAsia="Times New Roman"/>
          <w:noProof/>
          <w:color w:val="000000" w:themeColor="text1"/>
          <w:szCs w:val="24"/>
          <w:lang w:eastAsia="en-IE"/>
        </w:rPr>
        <w:t>)</w:t>
      </w:r>
      <w:r w:rsidR="006D5DD0" w:rsidRPr="004C70EC">
        <w:rPr>
          <w:rFonts w:eastAsia="Times New Roman"/>
          <w:noProof/>
          <w:color w:val="000000" w:themeColor="text1"/>
          <w:szCs w:val="24"/>
          <w:lang w:eastAsia="en-IE"/>
        </w:rPr>
        <w:tab/>
      </w:r>
      <w:r w:rsidR="00A90ECB" w:rsidRPr="004C70EC">
        <w:rPr>
          <w:rFonts w:eastAsia="Times New Roman"/>
          <w:noProof/>
          <w:color w:val="000000" w:themeColor="text1"/>
          <w:szCs w:val="24"/>
          <w:lang w:eastAsia="en-IE"/>
        </w:rPr>
        <w:t>t</w:t>
      </w:r>
      <w:r w:rsidRPr="004C70EC">
        <w:rPr>
          <w:rFonts w:eastAsia="Times New Roman"/>
          <w:noProof/>
          <w:color w:val="000000" w:themeColor="text1"/>
          <w:szCs w:val="24"/>
          <w:lang w:eastAsia="en-IE"/>
        </w:rPr>
        <w:t>he sandbox provides safeguards to ensure the safety, well-being, and fundamental rights of clinical trial participants, data robustness, and maintained integrity of the clinical trials within the sandbox.</w:t>
      </w:r>
    </w:p>
    <w:p w14:paraId="6FC9FEAB" w14:textId="77777777" w:rsidR="00273F36" w:rsidRPr="004C70EC" w:rsidRDefault="006D5DD0" w:rsidP="006D5DD0">
      <w:pPr>
        <w:pStyle w:val="Point1"/>
        <w:rPr>
          <w:noProof/>
          <w:color w:val="000000" w:themeColor="text1"/>
          <w:szCs w:val="24"/>
          <w:lang w:eastAsia="en-IE"/>
        </w:rPr>
      </w:pPr>
      <w:r w:rsidRPr="004C70EC">
        <w:rPr>
          <w:noProof/>
          <w:color w:val="000000" w:themeColor="text1"/>
          <w:szCs w:val="24"/>
          <w:lang w:eastAsia="en-IE"/>
        </w:rPr>
        <w:t>5.</w:t>
      </w:r>
      <w:r w:rsidRPr="004C70EC">
        <w:rPr>
          <w:noProof/>
          <w:color w:val="000000" w:themeColor="text1"/>
          <w:szCs w:val="24"/>
        </w:rPr>
        <w:tab/>
      </w:r>
      <w:r w:rsidR="00273F36" w:rsidRPr="004C70EC">
        <w:rPr>
          <w:noProof/>
          <w:color w:val="000000" w:themeColor="text1"/>
          <w:szCs w:val="24"/>
          <w:lang w:eastAsia="en-IE"/>
        </w:rPr>
        <w:t xml:space="preserve">The </w:t>
      </w:r>
      <w:r w:rsidR="00E672A9" w:rsidRPr="004C70EC">
        <w:rPr>
          <w:noProof/>
          <w:color w:val="000000" w:themeColor="text1"/>
          <w:szCs w:val="24"/>
          <w:lang w:eastAsia="en-IE"/>
        </w:rPr>
        <w:t>regulatory</w:t>
      </w:r>
      <w:r w:rsidR="00273F36" w:rsidRPr="004C70EC">
        <w:rPr>
          <w:noProof/>
          <w:color w:val="000000" w:themeColor="text1"/>
          <w:szCs w:val="24"/>
          <w:lang w:eastAsia="en-IE"/>
        </w:rPr>
        <w:t xml:space="preserve"> sandbox shall not affect the supervisory or corrective powers of the Member States concerned and shall operate under the direct supervision of the competent authorities in the Member State concerned for activities that take place on its territory. </w:t>
      </w:r>
    </w:p>
    <w:p w14:paraId="333BDAC9" w14:textId="77777777" w:rsidR="00273F36" w:rsidRPr="004C70EC" w:rsidRDefault="006D5DD0" w:rsidP="006D5DD0">
      <w:pPr>
        <w:pStyle w:val="Point1"/>
        <w:rPr>
          <w:noProof/>
          <w:color w:val="000000" w:themeColor="text1"/>
          <w:szCs w:val="24"/>
          <w:lang w:eastAsia="en-IE"/>
        </w:rPr>
      </w:pPr>
      <w:r w:rsidRPr="004C70EC">
        <w:rPr>
          <w:noProof/>
          <w:color w:val="000000" w:themeColor="text1"/>
          <w:kern w:val="2"/>
          <w:szCs w:val="24"/>
          <w:lang w:val="en-US"/>
          <w14:ligatures w14:val="standardContextual"/>
        </w:rPr>
        <w:t>6.</w:t>
      </w:r>
      <w:r w:rsidRPr="004C70EC">
        <w:rPr>
          <w:noProof/>
          <w:color w:val="000000" w:themeColor="text1"/>
          <w:kern w:val="2"/>
          <w:szCs w:val="24"/>
          <w:lang w:val="en-US"/>
          <w14:ligatures w14:val="standardContextual"/>
        </w:rPr>
        <w:tab/>
      </w:r>
      <w:r w:rsidR="002E2536" w:rsidRPr="004C70EC">
        <w:rPr>
          <w:noProof/>
          <w:color w:val="000000" w:themeColor="text1"/>
          <w:szCs w:val="24"/>
          <w:lang w:val="en-US"/>
        </w:rPr>
        <w:t>Before setting up a sandbox</w:t>
      </w:r>
      <w:r w:rsidR="00FE21EA" w:rsidRPr="004C70EC">
        <w:rPr>
          <w:noProof/>
          <w:color w:val="000000" w:themeColor="text1"/>
          <w:szCs w:val="24"/>
          <w:lang w:val="en-US"/>
        </w:rPr>
        <w:t xml:space="preserve">, the </w:t>
      </w:r>
      <w:r w:rsidR="00273F36" w:rsidRPr="004C70EC">
        <w:rPr>
          <w:noProof/>
          <w:color w:val="000000" w:themeColor="text1"/>
          <w:kern w:val="2"/>
          <w:szCs w:val="24"/>
          <w:lang w:val="en-US"/>
          <w14:ligatures w14:val="standardContextual"/>
        </w:rPr>
        <w:t>Commission shall request an opinion of the CTAG.  </w:t>
      </w:r>
    </w:p>
    <w:p w14:paraId="1A4523D1" w14:textId="77777777" w:rsidR="00273F36" w:rsidRPr="004C70EC" w:rsidRDefault="006D5DD0" w:rsidP="3624F158">
      <w:pPr>
        <w:pStyle w:val="Point1"/>
        <w:rPr>
          <w:noProof/>
          <w:color w:val="000000" w:themeColor="text1"/>
          <w:szCs w:val="24"/>
          <w:lang w:eastAsia="en-IE"/>
        </w:rPr>
      </w:pPr>
      <w:r w:rsidRPr="004C70EC">
        <w:rPr>
          <w:rFonts w:eastAsia="Times New Roman"/>
          <w:noProof/>
          <w:color w:val="000000" w:themeColor="text1"/>
          <w:szCs w:val="24"/>
          <w:lang w:eastAsia="en-IE"/>
        </w:rPr>
        <w:t>7.</w:t>
      </w:r>
      <w:r w:rsidRPr="004C70EC">
        <w:rPr>
          <w:noProof/>
          <w:color w:val="000000" w:themeColor="text1"/>
          <w:szCs w:val="24"/>
        </w:rPr>
        <w:tab/>
      </w:r>
      <w:r w:rsidR="00273F36" w:rsidRPr="004C70EC">
        <w:rPr>
          <w:rFonts w:eastAsia="Times New Roman"/>
          <w:noProof/>
          <w:color w:val="000000" w:themeColor="text1"/>
          <w:szCs w:val="24"/>
          <w:lang w:eastAsia="en-IE"/>
        </w:rPr>
        <w:t xml:space="preserve">The Commission may establish a regulatory sandbox by means of implementing acts, after taking into consideration opinions referred to in paragraph 6. Those implementing acts shall be adopted in accordance with the examination procedure referred to in Article 88. </w:t>
      </w:r>
    </w:p>
    <w:p w14:paraId="697BD7C0" w14:textId="77777777" w:rsidR="007AF5A8" w:rsidRPr="004C70EC" w:rsidRDefault="7FB6C015" w:rsidP="007AF5A8">
      <w:pPr>
        <w:pStyle w:val="Point1"/>
        <w:rPr>
          <w:rFonts w:eastAsia="Segoe UI"/>
          <w:noProof/>
          <w:color w:val="000000" w:themeColor="text1"/>
          <w:szCs w:val="24"/>
          <w:lang w:eastAsia="en-IE"/>
        </w:rPr>
      </w:pPr>
      <w:r w:rsidRPr="004C70EC">
        <w:rPr>
          <w:noProof/>
          <w:color w:val="000000" w:themeColor="text1"/>
          <w:szCs w:val="24"/>
          <w:lang w:eastAsia="en-IE"/>
        </w:rPr>
        <w:t xml:space="preserve">8. Member States shall notify the Commission of any risk to health and safety or fundamental rights or integrity and robustness of data identified during the operation of a sandbox. In these cases, </w:t>
      </w:r>
      <w:r w:rsidRPr="004C70EC">
        <w:rPr>
          <w:rFonts w:eastAsia="Segoe UI"/>
          <w:noProof/>
          <w:color w:val="000000" w:themeColor="text1"/>
          <w:szCs w:val="24"/>
        </w:rPr>
        <w:t xml:space="preserve">the Commission </w:t>
      </w:r>
      <w:r w:rsidRPr="004C70EC">
        <w:rPr>
          <w:rFonts w:eastAsia="Times New Roman"/>
          <w:noProof/>
          <w:color w:val="000000" w:themeColor="text1"/>
          <w:szCs w:val="24"/>
          <w:lang w:eastAsia="en-IE"/>
        </w:rPr>
        <w:t>may, by means of implementing acts, suspend or revoke a regulatory sandbox.  </w:t>
      </w:r>
    </w:p>
    <w:p w14:paraId="4F10BDE3" w14:textId="77777777" w:rsidR="009813AB" w:rsidRPr="004C70EC" w:rsidRDefault="006D5DD0" w:rsidP="006D5DD0">
      <w:pPr>
        <w:pStyle w:val="Point1"/>
        <w:rPr>
          <w:rFonts w:eastAsiaTheme="minorEastAsia"/>
          <w:noProof/>
          <w:color w:val="000000" w:themeColor="text1"/>
          <w:szCs w:val="24"/>
          <w:lang w:val="en-US"/>
        </w:rPr>
      </w:pPr>
      <w:r w:rsidRPr="004C70EC">
        <w:rPr>
          <w:rFonts w:eastAsia="Times New Roman"/>
          <w:noProof/>
          <w:color w:val="000000" w:themeColor="text1"/>
          <w:szCs w:val="24"/>
          <w:lang w:eastAsia="en-GB"/>
        </w:rPr>
        <w:t>8.</w:t>
      </w:r>
      <w:r w:rsidRPr="004C70EC">
        <w:rPr>
          <w:noProof/>
          <w:color w:val="000000" w:themeColor="text1"/>
          <w:szCs w:val="24"/>
        </w:rPr>
        <w:tab/>
      </w:r>
      <w:r w:rsidR="00273F36" w:rsidRPr="004C70EC">
        <w:rPr>
          <w:rFonts w:eastAsia="Times New Roman"/>
          <w:noProof/>
          <w:color w:val="000000" w:themeColor="text1"/>
          <w:szCs w:val="24"/>
          <w:lang w:eastAsia="en-GB"/>
        </w:rPr>
        <w:t>Without prejudice to Article 114(1) of [Regulation (EU) …/… of the European Parliament and the Council [</w:t>
      </w:r>
      <w:r w:rsidR="00273F36" w:rsidRPr="004C70EC">
        <w:rPr>
          <w:rFonts w:eastAsia="Times New Roman"/>
          <w:i/>
          <w:noProof/>
          <w:color w:val="000000" w:themeColor="text1"/>
          <w:szCs w:val="24"/>
          <w:lang w:eastAsia="en-GB"/>
        </w:rPr>
        <w:t>reference to be added after adoption cf. COM(2023)</w:t>
      </w:r>
      <w:r w:rsidR="00273F36" w:rsidRPr="004C70EC">
        <w:rPr>
          <w:rFonts w:eastAsia="Times New Roman"/>
          <w:noProof/>
          <w:color w:val="000000" w:themeColor="text1"/>
          <w:szCs w:val="24"/>
          <w:lang w:eastAsia="en-GB"/>
        </w:rPr>
        <w:t xml:space="preserve"> 193 </w:t>
      </w:r>
      <w:r w:rsidR="00273F36" w:rsidRPr="004C70EC">
        <w:rPr>
          <w:rFonts w:eastAsia="Times New Roman"/>
          <w:i/>
          <w:noProof/>
          <w:color w:val="000000" w:themeColor="text1"/>
          <w:szCs w:val="24"/>
          <w:lang w:eastAsia="en-GB"/>
        </w:rPr>
        <w:t>final</w:t>
      </w:r>
      <w:r w:rsidR="00273F36" w:rsidRPr="004C70EC">
        <w:rPr>
          <w:rFonts w:eastAsia="Times New Roman"/>
          <w:noProof/>
          <w:color w:val="000000" w:themeColor="text1"/>
          <w:szCs w:val="24"/>
          <w:lang w:eastAsia="en-GB"/>
        </w:rPr>
        <w:t>], where in the context of a regulatory sandbox under Article 113 of Regulation (EU) …/… of the European Parliament and the Council [</w:t>
      </w:r>
      <w:r w:rsidR="00273F36" w:rsidRPr="004C70EC">
        <w:rPr>
          <w:rFonts w:eastAsia="Times New Roman"/>
          <w:i/>
          <w:noProof/>
          <w:color w:val="000000" w:themeColor="text1"/>
          <w:szCs w:val="24"/>
          <w:lang w:eastAsia="en-GB"/>
        </w:rPr>
        <w:t>reference to be added after adoption cf. COM(2023</w:t>
      </w:r>
      <w:r w:rsidR="00273F36" w:rsidRPr="004C70EC">
        <w:rPr>
          <w:rFonts w:eastAsia="Times New Roman"/>
          <w:noProof/>
          <w:color w:val="000000" w:themeColor="text1"/>
          <w:szCs w:val="24"/>
          <w:lang w:eastAsia="en-GB"/>
        </w:rPr>
        <w:t xml:space="preserve">) 193 </w:t>
      </w:r>
      <w:r w:rsidR="00273F36" w:rsidRPr="004C70EC">
        <w:rPr>
          <w:rFonts w:eastAsia="Times New Roman"/>
          <w:i/>
          <w:noProof/>
          <w:color w:val="000000" w:themeColor="text1"/>
          <w:szCs w:val="24"/>
          <w:lang w:eastAsia="en-GB"/>
        </w:rPr>
        <w:t>final</w:t>
      </w:r>
      <w:r w:rsidR="00273F36" w:rsidRPr="004C70EC">
        <w:rPr>
          <w:rFonts w:eastAsia="Times New Roman"/>
          <w:noProof/>
          <w:color w:val="000000" w:themeColor="text1"/>
          <w:szCs w:val="24"/>
          <w:lang w:eastAsia="en-GB"/>
        </w:rPr>
        <w:t>] is considered that new regulatory approaches in clinical trial are necessary for the product development, the Commission may consider to establish a regulatory sandbox under this Regulation to complement the regulatory sandbox established under Regulation (EU) …/… of the European Parliament and the Council [</w:t>
      </w:r>
      <w:r w:rsidR="00273F36" w:rsidRPr="004C70EC">
        <w:rPr>
          <w:rFonts w:eastAsiaTheme="minorEastAsia"/>
          <w:i/>
          <w:noProof/>
          <w:color w:val="000000" w:themeColor="text1"/>
          <w:szCs w:val="24"/>
          <w:lang w:val="en-US"/>
        </w:rPr>
        <w:t>reference to be added after adoption cf. COM</w:t>
      </w:r>
      <w:r w:rsidR="00273F36" w:rsidRPr="004C70EC">
        <w:rPr>
          <w:rFonts w:eastAsiaTheme="minorEastAsia"/>
          <w:noProof/>
          <w:color w:val="000000" w:themeColor="text1"/>
          <w:szCs w:val="24"/>
          <w:lang w:val="en-US"/>
        </w:rPr>
        <w:t xml:space="preserve">(2023) 193 </w:t>
      </w:r>
      <w:r w:rsidR="00273F36" w:rsidRPr="004C70EC">
        <w:rPr>
          <w:rFonts w:eastAsiaTheme="minorEastAsia"/>
          <w:i/>
          <w:noProof/>
          <w:color w:val="000000" w:themeColor="text1"/>
          <w:szCs w:val="24"/>
          <w:lang w:val="en-US"/>
        </w:rPr>
        <w:t>final</w:t>
      </w:r>
      <w:r w:rsidR="00273F36" w:rsidRPr="004C70EC">
        <w:rPr>
          <w:rFonts w:eastAsiaTheme="minorEastAsia"/>
          <w:noProof/>
          <w:color w:val="000000" w:themeColor="text1"/>
          <w:szCs w:val="24"/>
          <w:lang w:val="en-US"/>
        </w:rPr>
        <w:t>].</w:t>
      </w:r>
    </w:p>
    <w:p w14:paraId="50517ED6" w14:textId="77777777" w:rsidR="515655D2" w:rsidRPr="004C70EC" w:rsidRDefault="515655D2" w:rsidP="006E6B00">
      <w:pPr>
        <w:pStyle w:val="Titrearticle"/>
        <w:rPr>
          <w:noProof/>
          <w:color w:val="000000" w:themeColor="text1"/>
          <w:szCs w:val="24"/>
          <w:lang w:val="en-US"/>
        </w:rPr>
      </w:pPr>
      <w:r w:rsidRPr="004C70EC">
        <w:rPr>
          <w:noProof/>
          <w:color w:val="000000" w:themeColor="text1"/>
          <w:szCs w:val="24"/>
          <w:lang w:val="en-US"/>
        </w:rPr>
        <w:t xml:space="preserve">Article 27e  </w:t>
      </w:r>
    </w:p>
    <w:p w14:paraId="617BBB9F" w14:textId="77777777" w:rsidR="515655D2" w:rsidRPr="004C70EC" w:rsidRDefault="515655D2" w:rsidP="006E6B00">
      <w:pPr>
        <w:jc w:val="center"/>
        <w:rPr>
          <w:i/>
          <w:noProof/>
          <w:color w:val="000000" w:themeColor="text1"/>
          <w:szCs w:val="24"/>
          <w:lang w:val="en-US"/>
        </w:rPr>
      </w:pPr>
      <w:r w:rsidRPr="004C70EC">
        <w:rPr>
          <w:i/>
          <w:noProof/>
          <w:color w:val="000000" w:themeColor="text1"/>
          <w:szCs w:val="24"/>
          <w:lang w:val="en-US"/>
        </w:rPr>
        <w:t xml:space="preserve">Use of Artificial Intelligence in Clinical Trials  </w:t>
      </w:r>
    </w:p>
    <w:p w14:paraId="62D9A178" w14:textId="77777777" w:rsidR="515655D2" w:rsidRPr="004C70EC" w:rsidRDefault="006E6B00" w:rsidP="006E6B00">
      <w:pPr>
        <w:pStyle w:val="Point1"/>
        <w:rPr>
          <w:noProof/>
          <w:color w:val="000000" w:themeColor="text1"/>
          <w:szCs w:val="24"/>
          <w:lang w:val="en-US"/>
        </w:rPr>
      </w:pPr>
      <w:r w:rsidRPr="004C70EC">
        <w:rPr>
          <w:noProof/>
          <w:color w:val="000000" w:themeColor="text1"/>
          <w:szCs w:val="24"/>
          <w:lang w:val="en-US"/>
        </w:rPr>
        <w:t>1.</w:t>
      </w:r>
      <w:r w:rsidRPr="004C70EC">
        <w:rPr>
          <w:noProof/>
          <w:color w:val="000000" w:themeColor="text1"/>
          <w:szCs w:val="24"/>
        </w:rPr>
        <w:tab/>
      </w:r>
      <w:r w:rsidR="515655D2" w:rsidRPr="004C70EC">
        <w:rPr>
          <w:noProof/>
          <w:color w:val="000000" w:themeColor="text1"/>
          <w:szCs w:val="24"/>
          <w:lang w:val="en-US"/>
        </w:rPr>
        <w:t xml:space="preserve">For those clinical trials where the sponsor plan to use  </w:t>
      </w:r>
      <w:r w:rsidR="26701A18" w:rsidRPr="004C70EC">
        <w:rPr>
          <w:noProof/>
          <w:color w:val="000000" w:themeColor="text1"/>
          <w:szCs w:val="24"/>
          <w:lang w:val="en-US"/>
        </w:rPr>
        <w:t xml:space="preserve">AI </w:t>
      </w:r>
      <w:r w:rsidR="515655D2" w:rsidRPr="004C70EC">
        <w:rPr>
          <w:noProof/>
          <w:color w:val="000000" w:themeColor="text1"/>
          <w:szCs w:val="24"/>
          <w:lang w:val="en-US"/>
        </w:rPr>
        <w:t>model</w:t>
      </w:r>
      <w:r w:rsidR="303AF5E6" w:rsidRPr="004C70EC">
        <w:rPr>
          <w:noProof/>
          <w:color w:val="000000" w:themeColor="text1"/>
          <w:szCs w:val="24"/>
          <w:lang w:val="en-US"/>
        </w:rPr>
        <w:t>s</w:t>
      </w:r>
      <w:r w:rsidR="515655D2" w:rsidRPr="004C70EC">
        <w:rPr>
          <w:noProof/>
          <w:color w:val="000000" w:themeColor="text1"/>
          <w:szCs w:val="24"/>
          <w:lang w:val="en-US"/>
        </w:rPr>
        <w:t xml:space="preserve"> or systems, the sponsor shall evaluate the benefits and risks related to patient safety and data robustness of the use of the AI in the context of a specific clinical trial for a specific purpose taking into account the guidelines</w:t>
      </w:r>
      <w:r w:rsidR="3A26C7F8" w:rsidRPr="004C70EC">
        <w:rPr>
          <w:noProof/>
          <w:color w:val="000000" w:themeColor="text1"/>
          <w:szCs w:val="24"/>
          <w:lang w:val="en-US"/>
        </w:rPr>
        <w:t xml:space="preserve"> laid down in Article 37 of </w:t>
      </w:r>
      <w:r w:rsidR="16C08257" w:rsidRPr="004C70EC">
        <w:rPr>
          <w:noProof/>
          <w:color w:val="000000" w:themeColor="text1"/>
          <w:szCs w:val="24"/>
          <w:lang w:val="en-US"/>
        </w:rPr>
        <w:t xml:space="preserve">Regulation [...] </w:t>
      </w:r>
      <w:r w:rsidR="3A26C7F8" w:rsidRPr="004C70EC">
        <w:rPr>
          <w:noProof/>
          <w:color w:val="000000" w:themeColor="text1"/>
          <w:szCs w:val="24"/>
          <w:lang w:val="en-US"/>
        </w:rPr>
        <w:t>[Biotech Act]</w:t>
      </w:r>
      <w:r w:rsidR="515655D2" w:rsidRPr="004C70EC">
        <w:rPr>
          <w:noProof/>
          <w:color w:val="000000" w:themeColor="text1"/>
          <w:szCs w:val="24"/>
          <w:lang w:val="en-US"/>
        </w:rPr>
        <w:t xml:space="preserve">.  </w:t>
      </w:r>
    </w:p>
    <w:p w14:paraId="52146936" w14:textId="77777777" w:rsidR="17C18782" w:rsidRPr="004C70EC" w:rsidRDefault="006E6B00" w:rsidP="006E6B00">
      <w:pPr>
        <w:pStyle w:val="Point1"/>
        <w:rPr>
          <w:rFonts w:eastAsia="Segoe UI"/>
          <w:noProof/>
          <w:color w:val="000000" w:themeColor="text1"/>
          <w:szCs w:val="24"/>
          <w:lang w:val="en-US"/>
        </w:rPr>
      </w:pPr>
      <w:r w:rsidRPr="004C70EC">
        <w:rPr>
          <w:rFonts w:eastAsia="Segoe UI"/>
          <w:noProof/>
          <w:color w:val="000000" w:themeColor="text1"/>
          <w:szCs w:val="24"/>
          <w:lang w:val="en-US"/>
        </w:rPr>
        <w:t>2.</w:t>
      </w:r>
      <w:r w:rsidRPr="004C70EC">
        <w:rPr>
          <w:noProof/>
          <w:color w:val="000000" w:themeColor="text1"/>
          <w:szCs w:val="24"/>
        </w:rPr>
        <w:tab/>
      </w:r>
      <w:r w:rsidR="17C18782" w:rsidRPr="004C70EC">
        <w:rPr>
          <w:rFonts w:eastAsia="Segoe UI"/>
          <w:noProof/>
          <w:color w:val="000000" w:themeColor="text1"/>
          <w:szCs w:val="24"/>
          <w:lang w:val="en-US"/>
        </w:rPr>
        <w:t xml:space="preserve">The sponsor shall provide information in the protocol on the specific purpose of the use of AI </w:t>
      </w:r>
      <w:r w:rsidR="77C37402" w:rsidRPr="004C70EC">
        <w:rPr>
          <w:rFonts w:eastAsia="Segoe UI"/>
          <w:noProof/>
          <w:color w:val="000000" w:themeColor="text1"/>
          <w:szCs w:val="24"/>
          <w:lang w:val="en-US"/>
        </w:rPr>
        <w:t xml:space="preserve">models or systems </w:t>
      </w:r>
      <w:r w:rsidR="17C18782" w:rsidRPr="004C70EC">
        <w:rPr>
          <w:rFonts w:eastAsia="Segoe UI"/>
          <w:noProof/>
          <w:color w:val="000000" w:themeColor="text1"/>
          <w:szCs w:val="24"/>
          <w:lang w:val="en-US"/>
        </w:rPr>
        <w:t xml:space="preserve">and the description of the process in the context of the specific clinical trial. </w:t>
      </w:r>
    </w:p>
    <w:p w14:paraId="741516AE" w14:textId="77777777" w:rsidR="4942E62A" w:rsidRPr="004C70EC" w:rsidRDefault="006E6B00" w:rsidP="006E6B00">
      <w:pPr>
        <w:pStyle w:val="Point1"/>
        <w:rPr>
          <w:noProof/>
          <w:color w:val="000000" w:themeColor="text1"/>
          <w:szCs w:val="24"/>
          <w:lang w:val="en-US"/>
        </w:rPr>
      </w:pPr>
      <w:r w:rsidRPr="004C70EC">
        <w:rPr>
          <w:noProof/>
          <w:color w:val="000000" w:themeColor="text1"/>
          <w:szCs w:val="24"/>
          <w:lang w:val="en-US"/>
        </w:rPr>
        <w:t>3.</w:t>
      </w:r>
      <w:r w:rsidRPr="004C70EC">
        <w:rPr>
          <w:noProof/>
          <w:color w:val="000000" w:themeColor="text1"/>
          <w:szCs w:val="24"/>
        </w:rPr>
        <w:tab/>
      </w:r>
      <w:r w:rsidR="1B7DAE2A" w:rsidRPr="004C70EC">
        <w:rPr>
          <w:noProof/>
          <w:color w:val="000000" w:themeColor="text1"/>
          <w:szCs w:val="24"/>
          <w:lang w:val="en-US"/>
        </w:rPr>
        <w:t xml:space="preserve">When the investigation of a medicinal product in a clinical trial is combined with a performance study of an AI </w:t>
      </w:r>
      <w:r w:rsidR="128F0038" w:rsidRPr="004C70EC">
        <w:rPr>
          <w:noProof/>
          <w:color w:val="000000" w:themeColor="text1"/>
          <w:szCs w:val="24"/>
          <w:lang w:val="en-US"/>
        </w:rPr>
        <w:t xml:space="preserve">in vitro diagnostic medical device </w:t>
      </w:r>
      <w:r w:rsidR="1B7DAE2A" w:rsidRPr="004C70EC">
        <w:rPr>
          <w:noProof/>
          <w:color w:val="000000" w:themeColor="text1"/>
          <w:szCs w:val="24"/>
          <w:lang w:val="en-US"/>
        </w:rPr>
        <w:t>or a clinical investigation of an AI medical device, the provisions of Article 14 on coordinated assessment for authorising combined studies shall apply</w:t>
      </w:r>
      <w:r w:rsidR="352D4AAD" w:rsidRPr="004C70EC">
        <w:rPr>
          <w:noProof/>
          <w:color w:val="000000" w:themeColor="text1"/>
          <w:szCs w:val="24"/>
          <w:lang w:val="en-US"/>
        </w:rPr>
        <w:t>.</w:t>
      </w:r>
    </w:p>
    <w:p w14:paraId="6813F7C9" w14:textId="77777777" w:rsidR="515655D2" w:rsidRPr="004C70EC" w:rsidRDefault="006E6B00" w:rsidP="006E6B00">
      <w:pPr>
        <w:pStyle w:val="Point1"/>
        <w:rPr>
          <w:noProof/>
          <w:color w:val="000000" w:themeColor="text1"/>
          <w:szCs w:val="24"/>
          <w:lang w:val="en-US"/>
        </w:rPr>
      </w:pPr>
      <w:r w:rsidRPr="004C70EC">
        <w:rPr>
          <w:noProof/>
          <w:color w:val="000000" w:themeColor="text1"/>
          <w:szCs w:val="24"/>
          <w:lang w:val="en-US"/>
        </w:rPr>
        <w:t>4.</w:t>
      </w:r>
      <w:r w:rsidRPr="004C70EC">
        <w:rPr>
          <w:noProof/>
          <w:color w:val="000000" w:themeColor="text1"/>
          <w:szCs w:val="24"/>
          <w:lang w:val="en-US"/>
        </w:rPr>
        <w:tab/>
      </w:r>
      <w:r w:rsidR="515655D2" w:rsidRPr="004C70EC">
        <w:rPr>
          <w:noProof/>
          <w:color w:val="000000" w:themeColor="text1"/>
          <w:szCs w:val="24"/>
          <w:lang w:val="en-US"/>
        </w:rPr>
        <w:t xml:space="preserve">In cooperation with the CTAG and, where appropriate, the Medical Device Coordination Group, the </w:t>
      </w:r>
      <w:r w:rsidR="1CF00507" w:rsidRPr="004C70EC">
        <w:rPr>
          <w:noProof/>
          <w:color w:val="000000" w:themeColor="text1"/>
          <w:szCs w:val="24"/>
          <w:lang w:val="en-US"/>
        </w:rPr>
        <w:t xml:space="preserve">Artificial Intelligence Board, </w:t>
      </w:r>
      <w:r w:rsidR="515655D2" w:rsidRPr="004C70EC">
        <w:rPr>
          <w:noProof/>
          <w:color w:val="000000" w:themeColor="text1"/>
          <w:szCs w:val="24"/>
          <w:lang w:val="en-US"/>
        </w:rPr>
        <w:t xml:space="preserve">the Agency shall develop guidelines </w:t>
      </w:r>
      <w:r w:rsidR="3988C67F" w:rsidRPr="004C70EC">
        <w:rPr>
          <w:noProof/>
          <w:color w:val="000000" w:themeColor="text1"/>
          <w:szCs w:val="24"/>
          <w:lang w:val="en-US"/>
        </w:rPr>
        <w:t xml:space="preserve">referred to in paragraph 1 of this </w:t>
      </w:r>
      <w:r w:rsidR="74C1EF6F" w:rsidRPr="004C70EC">
        <w:rPr>
          <w:noProof/>
          <w:color w:val="000000" w:themeColor="text1"/>
          <w:szCs w:val="24"/>
          <w:lang w:val="en-US"/>
        </w:rPr>
        <w:t>A</w:t>
      </w:r>
      <w:r w:rsidR="3988C67F" w:rsidRPr="004C70EC">
        <w:rPr>
          <w:noProof/>
          <w:color w:val="000000" w:themeColor="text1"/>
          <w:szCs w:val="24"/>
          <w:lang w:val="en-US"/>
        </w:rPr>
        <w:t>rticle</w:t>
      </w:r>
      <w:r w:rsidR="39ABC971" w:rsidRPr="004C70EC">
        <w:rPr>
          <w:noProof/>
          <w:color w:val="000000" w:themeColor="text1"/>
          <w:szCs w:val="24"/>
          <w:lang w:val="en-US"/>
        </w:rPr>
        <w:t>.</w:t>
      </w:r>
      <w:r w:rsidR="515655D2" w:rsidRPr="004C70EC">
        <w:rPr>
          <w:noProof/>
          <w:color w:val="000000" w:themeColor="text1"/>
          <w:szCs w:val="24"/>
          <w:lang w:val="en-US"/>
        </w:rPr>
        <w:t xml:space="preserve">  </w:t>
      </w:r>
    </w:p>
    <w:p w14:paraId="6115CD7B" w14:textId="77777777" w:rsidR="009813AB" w:rsidRPr="004C70EC" w:rsidRDefault="009813AB" w:rsidP="006D5DD0">
      <w:pPr>
        <w:pStyle w:val="Point1"/>
        <w:pBdr>
          <w:bottom w:val="single" w:sz="6" w:space="1" w:color="auto"/>
        </w:pBdr>
        <w:rPr>
          <w:rFonts w:eastAsiaTheme="minorEastAsia"/>
          <w:noProof/>
          <w:color w:val="000000" w:themeColor="text1"/>
          <w:kern w:val="2"/>
          <w:szCs w:val="24"/>
          <w:lang w:val="en-US"/>
        </w:rPr>
      </w:pPr>
    </w:p>
    <w:p w14:paraId="1C78E45E" w14:textId="77777777" w:rsidR="00273F36" w:rsidRPr="004C70EC" w:rsidRDefault="0011159C" w:rsidP="006D5DD0">
      <w:pPr>
        <w:pStyle w:val="Point1"/>
        <w:rPr>
          <w:noProof/>
          <w:color w:val="000000" w:themeColor="text1"/>
          <w:szCs w:val="24"/>
          <w:lang w:eastAsia="en-IE"/>
        </w:rPr>
      </w:pPr>
      <w:r w:rsidRPr="004C70EC">
        <w:rPr>
          <w:rFonts w:eastAsiaTheme="minorEastAsia"/>
          <w:noProof/>
          <w:color w:val="000000" w:themeColor="text1"/>
          <w:kern w:val="2"/>
          <w:szCs w:val="24"/>
          <w:lang w:val="en-US"/>
        </w:rPr>
        <w:t>**</w:t>
      </w:r>
      <w:r w:rsidRPr="004C70EC">
        <w:rPr>
          <w:rFonts w:eastAsiaTheme="minorEastAsia"/>
          <w:noProof/>
          <w:color w:val="000000" w:themeColor="text1"/>
          <w:kern w:val="2"/>
          <w:szCs w:val="24"/>
          <w:lang w:val="en-US"/>
        </w:rPr>
        <w:tab/>
      </w:r>
      <w:bookmarkStart w:id="34" w:name="_Hlk215589645"/>
      <w:r w:rsidR="00514A81" w:rsidRPr="004C70EC">
        <w:rPr>
          <w:noProof/>
          <w:color w:val="000000" w:themeColor="text1"/>
          <w:szCs w:val="24"/>
          <w:shd w:val="clear" w:color="auto" w:fill="FFFFFF"/>
        </w:rPr>
        <w:t>Proposal for a REGULATION OF THE EUROPEAN PARLIAMENT AND OF THE COUNCIL laying down Union procedures for the authorisation and supervision of medicinal products for human use and establishing rules governing the European Medicines Agency, amending Regulation (EC) No 1394/2007 and Regulation (EU) No 536/2014 and repealing Regulation (EC) No 726/2004, Regulation (EC) No 141/2000 and Regulation (EC) No 1901/2006, COM/2023/193final</w:t>
      </w:r>
      <w:bookmarkEnd w:id="34"/>
    </w:p>
    <w:p w14:paraId="64DDA737" w14:textId="77777777" w:rsidR="00273F36" w:rsidRPr="004C70EC" w:rsidRDefault="0A8B42BB" w:rsidP="4CF51068">
      <w:pPr>
        <w:pStyle w:val="Point0"/>
        <w:rPr>
          <w:rFonts w:eastAsia="Times New Roman"/>
          <w:noProof/>
          <w:color w:val="000000" w:themeColor="text1"/>
          <w:lang w:val="en-US" w:eastAsia="en-GB"/>
        </w:rPr>
      </w:pPr>
      <w:r w:rsidRPr="004C70EC">
        <w:rPr>
          <w:rFonts w:eastAsia="Times New Roman"/>
          <w:noProof/>
          <w:color w:val="000000" w:themeColor="text1"/>
          <w:lang w:val="en-US" w:eastAsia="en-GB"/>
        </w:rPr>
        <w:t>(2</w:t>
      </w:r>
      <w:r w:rsidR="302152F8" w:rsidRPr="004C70EC">
        <w:rPr>
          <w:rFonts w:eastAsia="Times New Roman"/>
          <w:noProof/>
          <w:color w:val="000000" w:themeColor="text1"/>
          <w:lang w:val="en-US" w:eastAsia="en-GB"/>
        </w:rPr>
        <w:t>5</w:t>
      </w:r>
      <w:r w:rsidRPr="004C70EC">
        <w:rPr>
          <w:rFonts w:eastAsia="Times New Roman"/>
          <w:noProof/>
          <w:color w:val="000000" w:themeColor="text1"/>
          <w:lang w:val="en-US" w:eastAsia="en-GB"/>
        </w:rPr>
        <w:t>)</w:t>
      </w:r>
      <w:r w:rsidR="006D5DD0" w:rsidRPr="004C70EC">
        <w:rPr>
          <w:noProof/>
        </w:rPr>
        <w:tab/>
      </w:r>
      <w:r w:rsidR="249CF78E" w:rsidRPr="004C70EC">
        <w:rPr>
          <w:rFonts w:eastAsia="Times New Roman"/>
          <w:noProof/>
          <w:color w:val="000000" w:themeColor="text1"/>
          <w:lang w:val="en-US" w:eastAsia="en-GB"/>
        </w:rPr>
        <w:t>Article 28 is amended as follows:</w:t>
      </w:r>
    </w:p>
    <w:p w14:paraId="2664C43F" w14:textId="77777777" w:rsidR="00273F36" w:rsidRPr="004C70EC" w:rsidRDefault="00273F36" w:rsidP="006D5DD0">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(a)</w:t>
      </w:r>
      <w:r w:rsidR="006D5DD0" w:rsidRPr="004C70EC">
        <w:rPr>
          <w:rFonts w:eastAsia="Times New Roman"/>
          <w:noProof/>
          <w:color w:val="000000" w:themeColor="text1"/>
          <w:szCs w:val="24"/>
          <w:lang w:val="en-US" w:eastAsia="en-GB"/>
        </w:rPr>
        <w:tab/>
      </w:r>
      <w:r w:rsidR="008229F7" w:rsidRPr="004C70EC">
        <w:rPr>
          <w:rFonts w:eastAsia="Times New Roman"/>
          <w:noProof/>
          <w:color w:val="000000" w:themeColor="text1"/>
          <w:szCs w:val="24"/>
          <w:lang w:val="en-IE" w:eastAsia="en-GB"/>
        </w:rPr>
        <w:t>p</w:t>
      </w:r>
      <w:r w:rsidRPr="004C70EC">
        <w:rPr>
          <w:rFonts w:eastAsia="Times New Roman"/>
          <w:noProof/>
          <w:color w:val="000000" w:themeColor="text1"/>
          <w:szCs w:val="24"/>
          <w:lang w:val="en-IE" w:eastAsia="en-GB"/>
        </w:rPr>
        <w:t>aragraph 2 is deleted.</w:t>
      </w:r>
      <w:r w:rsidRPr="004C70EC">
        <w:rPr>
          <w:rFonts w:eastAsia="Times New Roman"/>
          <w:noProof/>
          <w:color w:val="000000" w:themeColor="text1"/>
          <w:szCs w:val="24"/>
          <w:lang w:val="en-US" w:eastAsia="en-GB"/>
        </w:rPr>
        <w:t xml:space="preserve"> </w:t>
      </w:r>
    </w:p>
    <w:p w14:paraId="02C96182" w14:textId="77777777" w:rsidR="00273F36" w:rsidRPr="004C70EC" w:rsidRDefault="00273F36" w:rsidP="006D5DD0">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(b)</w:t>
      </w:r>
      <w:r w:rsidR="006D5DD0" w:rsidRPr="004C70EC">
        <w:rPr>
          <w:rFonts w:eastAsia="Times New Roman"/>
          <w:noProof/>
          <w:color w:val="000000" w:themeColor="text1"/>
          <w:szCs w:val="24"/>
          <w:lang w:val="en-US" w:eastAsia="en-GB"/>
        </w:rPr>
        <w:tab/>
      </w:r>
      <w:r w:rsidR="008229F7" w:rsidRPr="004C70EC">
        <w:rPr>
          <w:rFonts w:eastAsia="Times New Roman"/>
          <w:noProof/>
          <w:color w:val="000000" w:themeColor="text1"/>
          <w:szCs w:val="24"/>
          <w:lang w:val="en-US" w:eastAsia="en-GB"/>
        </w:rPr>
        <w:t>i</w:t>
      </w:r>
      <w:r w:rsidRPr="004C70EC">
        <w:rPr>
          <w:rFonts w:eastAsia="Times New Roman"/>
          <w:noProof/>
          <w:color w:val="000000" w:themeColor="text1"/>
          <w:szCs w:val="24"/>
          <w:lang w:val="en-US" w:eastAsia="en-GB"/>
        </w:rPr>
        <w:t xml:space="preserve">n </w:t>
      </w:r>
      <w:r w:rsidR="008229F7" w:rsidRPr="004C70EC">
        <w:rPr>
          <w:rFonts w:eastAsia="Times New Roman"/>
          <w:noProof/>
          <w:color w:val="000000" w:themeColor="text1"/>
          <w:szCs w:val="24"/>
          <w:lang w:val="en-US" w:eastAsia="en-GB"/>
        </w:rPr>
        <w:t>p</w:t>
      </w:r>
      <w:r w:rsidRPr="004C70EC">
        <w:rPr>
          <w:rFonts w:eastAsia="Times New Roman"/>
          <w:noProof/>
          <w:color w:val="000000" w:themeColor="text1"/>
          <w:szCs w:val="24"/>
          <w:lang w:val="en-US" w:eastAsia="en-GB"/>
        </w:rPr>
        <w:t xml:space="preserve">aragraph 3, the last sentence is deleted. </w:t>
      </w:r>
    </w:p>
    <w:p w14:paraId="02AE69AF" w14:textId="77777777" w:rsidR="00273F36" w:rsidRPr="004C70EC" w:rsidRDefault="0A8B42BB" w:rsidP="4CF51068">
      <w:pPr>
        <w:pStyle w:val="Point0"/>
        <w:rPr>
          <w:rFonts w:eastAsia="Times New Roman"/>
          <w:noProof/>
          <w:color w:val="000000" w:themeColor="text1"/>
          <w:lang w:val="en-US" w:eastAsia="en-GB"/>
        </w:rPr>
      </w:pPr>
      <w:r w:rsidRPr="004C70EC">
        <w:rPr>
          <w:rFonts w:eastAsia="Times New Roman"/>
          <w:noProof/>
          <w:color w:val="000000" w:themeColor="text1"/>
          <w:lang w:val="en-US" w:eastAsia="en-GB"/>
        </w:rPr>
        <w:t>(2</w:t>
      </w:r>
      <w:r w:rsidR="2FDD05F5" w:rsidRPr="004C70EC">
        <w:rPr>
          <w:rFonts w:eastAsia="Times New Roman"/>
          <w:noProof/>
          <w:color w:val="000000" w:themeColor="text1"/>
          <w:lang w:val="en-US" w:eastAsia="en-GB"/>
        </w:rPr>
        <w:t>6</w:t>
      </w:r>
      <w:r w:rsidRPr="004C70EC">
        <w:rPr>
          <w:rFonts w:eastAsia="Times New Roman"/>
          <w:noProof/>
          <w:color w:val="000000" w:themeColor="text1"/>
          <w:lang w:val="en-US" w:eastAsia="en-GB"/>
        </w:rPr>
        <w:t>)</w:t>
      </w:r>
      <w:r w:rsidR="006D5DD0" w:rsidRPr="004C70EC">
        <w:rPr>
          <w:noProof/>
        </w:rPr>
        <w:tab/>
      </w:r>
      <w:r w:rsidR="527D29BE" w:rsidRPr="004C70EC">
        <w:rPr>
          <w:rFonts w:eastAsia="Times New Roman"/>
          <w:noProof/>
          <w:color w:val="000000" w:themeColor="text1"/>
          <w:lang w:val="en-US" w:eastAsia="en-GB"/>
        </w:rPr>
        <w:t>i</w:t>
      </w:r>
      <w:r w:rsidR="249CF78E" w:rsidRPr="004C70EC">
        <w:rPr>
          <w:rFonts w:eastAsia="Times New Roman"/>
          <w:noProof/>
          <w:color w:val="000000" w:themeColor="text1"/>
          <w:lang w:val="en-US" w:eastAsia="en-GB"/>
        </w:rPr>
        <w:t>n Article 29</w:t>
      </w:r>
      <w:r w:rsidR="2BB2F4F7" w:rsidRPr="004C70EC">
        <w:rPr>
          <w:rFonts w:eastAsia="Times New Roman"/>
          <w:noProof/>
          <w:color w:val="000000" w:themeColor="text1"/>
          <w:lang w:val="en-US" w:eastAsia="en-GB"/>
        </w:rPr>
        <w:t>(</w:t>
      </w:r>
      <w:r w:rsidR="249CF78E" w:rsidRPr="004C70EC">
        <w:rPr>
          <w:rFonts w:eastAsia="Times New Roman"/>
          <w:noProof/>
          <w:color w:val="000000" w:themeColor="text1"/>
          <w:lang w:val="en-US" w:eastAsia="en-GB"/>
        </w:rPr>
        <w:t>1</w:t>
      </w:r>
      <w:r w:rsidR="2BB2F4F7" w:rsidRPr="004C70EC">
        <w:rPr>
          <w:rFonts w:eastAsia="Times New Roman"/>
          <w:noProof/>
          <w:color w:val="000000" w:themeColor="text1"/>
          <w:lang w:val="en-US" w:eastAsia="en-GB"/>
        </w:rPr>
        <w:t>)</w:t>
      </w:r>
      <w:r w:rsidR="249CF78E" w:rsidRPr="004C70EC">
        <w:rPr>
          <w:rFonts w:eastAsia="Times New Roman"/>
          <w:noProof/>
          <w:color w:val="000000" w:themeColor="text1"/>
          <w:lang w:val="en-US" w:eastAsia="en-GB"/>
        </w:rPr>
        <w:t xml:space="preserve">, the following subparagraph is added: </w:t>
      </w:r>
    </w:p>
    <w:p w14:paraId="78190D8E" w14:textId="77777777" w:rsidR="007C024A" w:rsidRPr="004C70EC" w:rsidRDefault="16ACC87F" w:rsidP="006D5DD0">
      <w:pPr>
        <w:pStyle w:val="Text1"/>
        <w:rPr>
          <w:noProof/>
          <w:color w:val="000000" w:themeColor="text1"/>
          <w:szCs w:val="24"/>
          <w:lang w:val="en-IE" w:eastAsia="en-GB"/>
        </w:rPr>
      </w:pPr>
      <w:r w:rsidRPr="004C70EC">
        <w:rPr>
          <w:noProof/>
          <w:color w:val="000000" w:themeColor="text1"/>
          <w:szCs w:val="24"/>
          <w:lang w:val="en-IE" w:eastAsia="en-GB"/>
        </w:rPr>
        <w:t>‘</w:t>
      </w:r>
      <w:r w:rsidR="2F263E33" w:rsidRPr="004C70EC">
        <w:rPr>
          <w:noProof/>
          <w:color w:val="000000" w:themeColor="text1"/>
          <w:szCs w:val="24"/>
          <w:lang w:val="en-IE" w:eastAsia="en-GB"/>
        </w:rPr>
        <w:t>The communication in the context of an interview between the investigator and the subject or the investigator and the subject and its legally designated representative, as applicable, may be done remotely through use of electronic means. The record of the informed consent procedure may have an electronic form and shall be signed relying on electronic identification means complying with Regulation (EU) No 910/2014</w:t>
      </w:r>
      <w:r w:rsidRPr="004C70EC">
        <w:rPr>
          <w:noProof/>
          <w:color w:val="000000" w:themeColor="text1"/>
          <w:szCs w:val="24"/>
          <w:lang w:val="en-IE" w:eastAsia="en-GB"/>
        </w:rPr>
        <w:t xml:space="preserve"> of the European Parliament and of the Council*</w:t>
      </w:r>
      <w:r w:rsidR="2F263E33" w:rsidRPr="004C70EC">
        <w:rPr>
          <w:noProof/>
          <w:color w:val="000000" w:themeColor="text1"/>
          <w:szCs w:val="24"/>
          <w:lang w:val="en-IE" w:eastAsia="en-GB"/>
        </w:rPr>
        <w:t xml:space="preserve"> or the equivalent standards.</w:t>
      </w:r>
    </w:p>
    <w:p w14:paraId="7429ED26" w14:textId="77777777" w:rsidR="007C024A" w:rsidRPr="004C70EC" w:rsidRDefault="007C024A" w:rsidP="006D5DD0">
      <w:pPr>
        <w:pStyle w:val="Text1"/>
        <w:pBdr>
          <w:bottom w:val="single" w:sz="6" w:space="1" w:color="auto"/>
        </w:pBdr>
        <w:rPr>
          <w:noProof/>
          <w:color w:val="000000" w:themeColor="text1"/>
          <w:szCs w:val="24"/>
          <w:lang w:val="en-IE" w:eastAsia="en-GB"/>
        </w:rPr>
      </w:pPr>
    </w:p>
    <w:p w14:paraId="077BCB03" w14:textId="77777777" w:rsidR="00273F36" w:rsidRPr="004C70EC" w:rsidRDefault="007C024A" w:rsidP="006D5DD0">
      <w:pPr>
        <w:pStyle w:val="Text1"/>
        <w:rPr>
          <w:noProof/>
          <w:color w:val="000000" w:themeColor="text1"/>
          <w:szCs w:val="24"/>
          <w:lang w:val="en-IE" w:eastAsia="en-GB"/>
        </w:rPr>
      </w:pPr>
      <w:r w:rsidRPr="004C70EC">
        <w:rPr>
          <w:noProof/>
          <w:color w:val="000000" w:themeColor="text1"/>
          <w:szCs w:val="24"/>
          <w:lang w:val="en-IE" w:eastAsia="en-GB"/>
        </w:rPr>
        <w:t xml:space="preserve">* </w:t>
      </w:r>
      <w:r w:rsidRPr="004C70EC">
        <w:rPr>
          <w:noProof/>
          <w:color w:val="000000" w:themeColor="text1"/>
          <w:szCs w:val="24"/>
        </w:rPr>
        <w:t>Regulation (EU) No 910/2014 of the European Parliament and of the Council of 23 July 2014 on electronic identification and trust services for electronic transactions in the internal market and repealing Directive 1999/93/EC, OJ L 257, 28.8.2014.ELI: </w:t>
      </w:r>
      <w:hyperlink r:id="rId29" w:tooltip="Gives access to this document through its ELI URI." w:history="1">
        <w:r w:rsidRPr="004C70EC">
          <w:rPr>
            <w:rStyle w:val="Hyperlink"/>
            <w:noProof/>
            <w:color w:val="000000" w:themeColor="text1"/>
            <w:szCs w:val="24"/>
          </w:rPr>
          <w:t>http://data.europa.eu/eli/reg/2014/910/oj</w:t>
        </w:r>
      </w:hyperlink>
      <w:r w:rsidRPr="004C70EC">
        <w:rPr>
          <w:noProof/>
          <w:color w:val="000000" w:themeColor="text1"/>
          <w:szCs w:val="24"/>
        </w:rPr>
        <w:t>.’</w:t>
      </w:r>
      <w:r w:rsidRPr="004C70EC">
        <w:rPr>
          <w:noProof/>
          <w:color w:val="000000" w:themeColor="text1"/>
          <w:szCs w:val="24"/>
          <w:lang w:val="en-IE" w:eastAsia="en-GB"/>
        </w:rPr>
        <w:t>’</w:t>
      </w:r>
    </w:p>
    <w:p w14:paraId="3327DD79" w14:textId="77777777" w:rsidR="00017B1E" w:rsidRPr="004C70EC" w:rsidRDefault="00017B1E" w:rsidP="006D5DD0">
      <w:pPr>
        <w:pStyle w:val="Text1"/>
        <w:rPr>
          <w:noProof/>
          <w:color w:val="000000" w:themeColor="text1"/>
          <w:szCs w:val="24"/>
          <w:lang w:val="en-IE" w:eastAsia="en-GB"/>
        </w:rPr>
      </w:pPr>
    </w:p>
    <w:p w14:paraId="1B684B51" w14:textId="77777777" w:rsidR="00273F36" w:rsidRPr="004C70EC" w:rsidRDefault="7A19B333" w:rsidP="4CF51068">
      <w:pPr>
        <w:pStyle w:val="Point0"/>
        <w:rPr>
          <w:rFonts w:eastAsia="Times New Roman"/>
          <w:noProof/>
          <w:color w:val="000000" w:themeColor="text1"/>
          <w:lang w:val="en-US" w:eastAsia="en-GB"/>
        </w:rPr>
      </w:pPr>
      <w:r w:rsidRPr="004C70EC">
        <w:rPr>
          <w:rFonts w:eastAsia="Times New Roman"/>
          <w:noProof/>
          <w:color w:val="000000" w:themeColor="text1"/>
          <w:lang w:val="en-US" w:eastAsia="en-GB"/>
        </w:rPr>
        <w:t>(2</w:t>
      </w:r>
      <w:r w:rsidR="186C3015" w:rsidRPr="004C70EC">
        <w:rPr>
          <w:rFonts w:eastAsia="Times New Roman"/>
          <w:noProof/>
          <w:color w:val="000000" w:themeColor="text1"/>
          <w:lang w:val="en-US" w:eastAsia="en-GB"/>
        </w:rPr>
        <w:t>7</w:t>
      </w:r>
      <w:r w:rsidRPr="004C70EC">
        <w:rPr>
          <w:rFonts w:eastAsia="Times New Roman"/>
          <w:noProof/>
          <w:color w:val="000000" w:themeColor="text1"/>
          <w:lang w:val="en-US" w:eastAsia="en-GB"/>
        </w:rPr>
        <w:t>)</w:t>
      </w:r>
      <w:r w:rsidR="00754032" w:rsidRPr="004C70EC">
        <w:rPr>
          <w:noProof/>
        </w:rPr>
        <w:tab/>
      </w:r>
      <w:r w:rsidR="012B3897" w:rsidRPr="004C70EC">
        <w:rPr>
          <w:rFonts w:eastAsia="Times New Roman"/>
          <w:noProof/>
          <w:color w:val="000000" w:themeColor="text1"/>
          <w:lang w:val="en-US" w:eastAsia="en-GB"/>
        </w:rPr>
        <w:t>i</w:t>
      </w:r>
      <w:r w:rsidR="249CF78E" w:rsidRPr="004C70EC">
        <w:rPr>
          <w:rFonts w:eastAsia="Times New Roman"/>
          <w:noProof/>
          <w:color w:val="000000" w:themeColor="text1"/>
          <w:lang w:val="en-US" w:eastAsia="en-GB"/>
        </w:rPr>
        <w:t>n Article 30</w:t>
      </w:r>
      <w:r w:rsidR="012B3897" w:rsidRPr="004C70EC">
        <w:rPr>
          <w:rFonts w:eastAsia="Times New Roman"/>
          <w:noProof/>
          <w:color w:val="000000" w:themeColor="text1"/>
          <w:lang w:val="en-US" w:eastAsia="en-GB"/>
        </w:rPr>
        <w:t>(</w:t>
      </w:r>
      <w:r w:rsidR="249CF78E" w:rsidRPr="004C70EC">
        <w:rPr>
          <w:rFonts w:eastAsia="Times New Roman"/>
          <w:noProof/>
          <w:color w:val="000000" w:themeColor="text1"/>
          <w:lang w:val="en-US" w:eastAsia="en-GB"/>
        </w:rPr>
        <w:t>3</w:t>
      </w:r>
      <w:r w:rsidR="012B3897" w:rsidRPr="004C70EC">
        <w:rPr>
          <w:rFonts w:eastAsia="Times New Roman"/>
          <w:noProof/>
          <w:color w:val="000000" w:themeColor="text1"/>
          <w:lang w:val="en-US" w:eastAsia="en-GB"/>
        </w:rPr>
        <w:t>)</w:t>
      </w:r>
      <w:r w:rsidR="249CF78E" w:rsidRPr="004C70EC">
        <w:rPr>
          <w:rFonts w:eastAsia="Times New Roman"/>
          <w:noProof/>
          <w:color w:val="000000" w:themeColor="text1"/>
          <w:lang w:val="en-US" w:eastAsia="en-GB"/>
        </w:rPr>
        <w:t xml:space="preserve">, point (c) is replaced by the following: </w:t>
      </w:r>
    </w:p>
    <w:p w14:paraId="0B1E2C89" w14:textId="77777777" w:rsidR="00273F36" w:rsidRPr="004C70EC" w:rsidRDefault="007C024A" w:rsidP="00754032">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w:t>
      </w:r>
      <w:r w:rsidR="00273F36" w:rsidRPr="004C70EC">
        <w:rPr>
          <w:rFonts w:eastAsia="Times New Roman"/>
          <w:noProof/>
          <w:color w:val="000000" w:themeColor="text1"/>
          <w:szCs w:val="24"/>
          <w:lang w:val="en-US" w:eastAsia="en-GB"/>
        </w:rPr>
        <w:t>(c)</w:t>
      </w:r>
      <w:r w:rsidR="00754032"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the clinical trial is a minimal-intervention clinical trial;</w:t>
      </w:r>
      <w:r w:rsidR="0092681D" w:rsidRPr="004C70EC">
        <w:rPr>
          <w:rFonts w:eastAsia="Times New Roman"/>
          <w:noProof/>
          <w:color w:val="000000" w:themeColor="text1"/>
          <w:szCs w:val="24"/>
          <w:lang w:val="en-US" w:eastAsia="en-GB"/>
        </w:rPr>
        <w:t>’</w:t>
      </w:r>
    </w:p>
    <w:p w14:paraId="1F9F2989" w14:textId="77777777" w:rsidR="00273F36" w:rsidRPr="004C70EC" w:rsidRDefault="7A19B333" w:rsidP="4CF51068">
      <w:pPr>
        <w:pStyle w:val="Point0"/>
        <w:rPr>
          <w:rFonts w:eastAsia="Times New Roman"/>
          <w:noProof/>
          <w:color w:val="000000" w:themeColor="text1"/>
          <w:lang w:val="en-US" w:eastAsia="en-GB"/>
        </w:rPr>
      </w:pPr>
      <w:r w:rsidRPr="004C70EC">
        <w:rPr>
          <w:rFonts w:eastAsia="Times New Roman"/>
          <w:noProof/>
          <w:color w:val="000000" w:themeColor="text1"/>
          <w:lang w:val="en-US" w:eastAsia="en-GB"/>
        </w:rPr>
        <w:t>(</w:t>
      </w:r>
      <w:r w:rsidR="6402D25E" w:rsidRPr="004C70EC">
        <w:rPr>
          <w:rFonts w:eastAsia="Times New Roman"/>
          <w:noProof/>
          <w:color w:val="000000" w:themeColor="text1"/>
          <w:lang w:val="en-US" w:eastAsia="en-GB"/>
        </w:rPr>
        <w:t>2</w:t>
      </w:r>
      <w:r w:rsidR="41B031C4" w:rsidRPr="004C70EC">
        <w:rPr>
          <w:rFonts w:eastAsia="Times New Roman"/>
          <w:noProof/>
          <w:color w:val="000000" w:themeColor="text1"/>
          <w:lang w:val="en-US" w:eastAsia="en-GB"/>
        </w:rPr>
        <w:t>8</w:t>
      </w:r>
      <w:r w:rsidRPr="004C70EC">
        <w:rPr>
          <w:rFonts w:eastAsia="Times New Roman"/>
          <w:noProof/>
          <w:color w:val="000000" w:themeColor="text1"/>
          <w:lang w:val="en-US" w:eastAsia="en-GB"/>
        </w:rPr>
        <w:t>)</w:t>
      </w:r>
      <w:r w:rsidR="00754032" w:rsidRPr="004C70EC">
        <w:rPr>
          <w:noProof/>
        </w:rPr>
        <w:tab/>
      </w:r>
      <w:r w:rsidR="53E0A11D" w:rsidRPr="004C70EC">
        <w:rPr>
          <w:rFonts w:eastAsia="Times New Roman"/>
          <w:noProof/>
          <w:color w:val="000000" w:themeColor="text1"/>
          <w:lang w:val="en-US" w:eastAsia="en-GB"/>
        </w:rPr>
        <w:t>i</w:t>
      </w:r>
      <w:r w:rsidR="249CF78E" w:rsidRPr="004C70EC">
        <w:rPr>
          <w:rFonts w:eastAsia="Times New Roman"/>
          <w:noProof/>
          <w:color w:val="000000" w:themeColor="text1"/>
          <w:lang w:val="en-US" w:eastAsia="en-GB"/>
        </w:rPr>
        <w:t>n Article 31</w:t>
      </w:r>
      <w:r w:rsidR="53E0A11D" w:rsidRPr="004C70EC">
        <w:rPr>
          <w:rFonts w:eastAsia="Times New Roman"/>
          <w:noProof/>
          <w:color w:val="000000" w:themeColor="text1"/>
          <w:lang w:val="en-US" w:eastAsia="en-GB"/>
        </w:rPr>
        <w:t>(</w:t>
      </w:r>
      <w:r w:rsidR="249CF78E" w:rsidRPr="004C70EC">
        <w:rPr>
          <w:rFonts w:eastAsia="Times New Roman"/>
          <w:noProof/>
          <w:color w:val="000000" w:themeColor="text1"/>
          <w:lang w:val="en-US" w:eastAsia="en-GB"/>
        </w:rPr>
        <w:t>1</w:t>
      </w:r>
      <w:r w:rsidR="53E0A11D" w:rsidRPr="004C70EC">
        <w:rPr>
          <w:rFonts w:eastAsia="Times New Roman"/>
          <w:noProof/>
          <w:color w:val="000000" w:themeColor="text1"/>
          <w:lang w:val="en-US" w:eastAsia="en-GB"/>
        </w:rPr>
        <w:t>)</w:t>
      </w:r>
      <w:r w:rsidR="249CF78E" w:rsidRPr="004C70EC">
        <w:rPr>
          <w:rFonts w:eastAsia="Times New Roman"/>
          <w:noProof/>
          <w:color w:val="000000" w:themeColor="text1"/>
          <w:lang w:val="en-US" w:eastAsia="en-GB"/>
        </w:rPr>
        <w:t xml:space="preserve">, point </w:t>
      </w:r>
      <w:r w:rsidR="06FCAFC6" w:rsidRPr="004C70EC">
        <w:rPr>
          <w:rFonts w:eastAsia="Times New Roman"/>
          <w:noProof/>
          <w:color w:val="000000" w:themeColor="text1"/>
          <w:lang w:val="en-US" w:eastAsia="en-GB"/>
        </w:rPr>
        <w:t>(</w:t>
      </w:r>
      <w:r w:rsidR="249CF78E" w:rsidRPr="004C70EC">
        <w:rPr>
          <w:rFonts w:eastAsia="Times New Roman"/>
          <w:noProof/>
          <w:color w:val="000000" w:themeColor="text1"/>
          <w:lang w:val="en-US" w:eastAsia="en-GB"/>
        </w:rPr>
        <w:t>e</w:t>
      </w:r>
      <w:r w:rsidR="06FCAFC6" w:rsidRPr="004C70EC">
        <w:rPr>
          <w:rFonts w:eastAsia="Times New Roman"/>
          <w:noProof/>
          <w:color w:val="000000" w:themeColor="text1"/>
          <w:lang w:val="en-US" w:eastAsia="en-GB"/>
        </w:rPr>
        <w:t>)</w:t>
      </w:r>
      <w:r w:rsidR="249CF78E" w:rsidRPr="004C70EC">
        <w:rPr>
          <w:rFonts w:eastAsia="Times New Roman"/>
          <w:noProof/>
          <w:color w:val="000000" w:themeColor="text1"/>
          <w:lang w:val="en-US" w:eastAsia="en-GB"/>
        </w:rPr>
        <w:t xml:space="preserve"> is deleted</w:t>
      </w:r>
      <w:r w:rsidR="66530D17" w:rsidRPr="004C70EC">
        <w:rPr>
          <w:rFonts w:eastAsia="Times New Roman"/>
          <w:noProof/>
          <w:color w:val="000000" w:themeColor="text1"/>
          <w:lang w:val="en-US" w:eastAsia="en-GB"/>
        </w:rPr>
        <w:t>;</w:t>
      </w:r>
      <w:r w:rsidR="249CF78E" w:rsidRPr="004C70EC">
        <w:rPr>
          <w:rFonts w:eastAsia="Times New Roman"/>
          <w:noProof/>
          <w:color w:val="000000" w:themeColor="text1"/>
          <w:lang w:val="en-US" w:eastAsia="en-GB"/>
        </w:rPr>
        <w:t xml:space="preserve"> </w:t>
      </w:r>
    </w:p>
    <w:p w14:paraId="3809353A" w14:textId="77777777" w:rsidR="00273F36" w:rsidRPr="004C70EC" w:rsidRDefault="7A19B333" w:rsidP="4CF51068">
      <w:pPr>
        <w:pStyle w:val="Point0"/>
        <w:rPr>
          <w:rFonts w:eastAsia="Times New Roman"/>
          <w:noProof/>
          <w:color w:val="000000" w:themeColor="text1"/>
          <w:lang w:val="en-US" w:eastAsia="en-GB"/>
        </w:rPr>
      </w:pPr>
      <w:r w:rsidRPr="004C70EC">
        <w:rPr>
          <w:rFonts w:eastAsia="Times New Roman"/>
          <w:noProof/>
          <w:color w:val="000000" w:themeColor="text1"/>
          <w:lang w:val="en-US" w:eastAsia="en-GB"/>
        </w:rPr>
        <w:t>(</w:t>
      </w:r>
      <w:r w:rsidR="42B79B05" w:rsidRPr="004C70EC">
        <w:rPr>
          <w:rFonts w:eastAsia="Times New Roman"/>
          <w:noProof/>
          <w:color w:val="000000" w:themeColor="text1"/>
          <w:lang w:val="en-US" w:eastAsia="en-GB"/>
        </w:rPr>
        <w:t>29</w:t>
      </w:r>
      <w:r w:rsidRPr="004C70EC">
        <w:rPr>
          <w:rFonts w:eastAsia="Times New Roman"/>
          <w:noProof/>
          <w:color w:val="000000" w:themeColor="text1"/>
          <w:lang w:val="en-US" w:eastAsia="en-GB"/>
        </w:rPr>
        <w:t>)</w:t>
      </w:r>
      <w:r w:rsidR="00754032" w:rsidRPr="004C70EC">
        <w:rPr>
          <w:noProof/>
        </w:rPr>
        <w:tab/>
      </w:r>
      <w:r w:rsidR="06FCAFC6" w:rsidRPr="004C70EC">
        <w:rPr>
          <w:rFonts w:eastAsia="Times New Roman"/>
          <w:noProof/>
          <w:color w:val="000000" w:themeColor="text1"/>
          <w:lang w:val="en-US" w:eastAsia="en-GB"/>
        </w:rPr>
        <w:t>i</w:t>
      </w:r>
      <w:r w:rsidR="249CF78E" w:rsidRPr="004C70EC">
        <w:rPr>
          <w:rFonts w:eastAsia="Times New Roman"/>
          <w:noProof/>
          <w:color w:val="000000" w:themeColor="text1"/>
          <w:lang w:val="en-US" w:eastAsia="en-GB"/>
        </w:rPr>
        <w:t>n Article 32</w:t>
      </w:r>
      <w:r w:rsidR="06FCAFC6" w:rsidRPr="004C70EC">
        <w:rPr>
          <w:rFonts w:eastAsia="Times New Roman"/>
          <w:noProof/>
          <w:color w:val="000000" w:themeColor="text1"/>
          <w:lang w:val="en-US" w:eastAsia="en-GB"/>
        </w:rPr>
        <w:t xml:space="preserve"> (</w:t>
      </w:r>
      <w:r w:rsidR="249CF78E" w:rsidRPr="004C70EC">
        <w:rPr>
          <w:rFonts w:eastAsia="Times New Roman"/>
          <w:noProof/>
          <w:color w:val="000000" w:themeColor="text1"/>
          <w:lang w:val="en-US" w:eastAsia="en-GB"/>
        </w:rPr>
        <w:t>1</w:t>
      </w:r>
      <w:r w:rsidR="06FCAFC6" w:rsidRPr="004C70EC">
        <w:rPr>
          <w:rFonts w:eastAsia="Times New Roman"/>
          <w:noProof/>
          <w:color w:val="000000" w:themeColor="text1"/>
          <w:lang w:val="en-US" w:eastAsia="en-GB"/>
        </w:rPr>
        <w:t>)</w:t>
      </w:r>
      <w:r w:rsidR="249CF78E" w:rsidRPr="004C70EC">
        <w:rPr>
          <w:rFonts w:eastAsia="Times New Roman"/>
          <w:noProof/>
          <w:color w:val="000000" w:themeColor="text1"/>
          <w:lang w:val="en-US" w:eastAsia="en-GB"/>
        </w:rPr>
        <w:t xml:space="preserve">, point </w:t>
      </w:r>
      <w:r w:rsidR="06FCAFC6" w:rsidRPr="004C70EC">
        <w:rPr>
          <w:rFonts w:eastAsia="Times New Roman"/>
          <w:noProof/>
          <w:color w:val="000000" w:themeColor="text1"/>
          <w:lang w:val="en-US" w:eastAsia="en-GB"/>
        </w:rPr>
        <w:t>(</w:t>
      </w:r>
      <w:r w:rsidR="249CF78E" w:rsidRPr="004C70EC">
        <w:rPr>
          <w:rFonts w:eastAsia="Times New Roman"/>
          <w:noProof/>
          <w:color w:val="000000" w:themeColor="text1"/>
          <w:lang w:val="en-US" w:eastAsia="en-GB"/>
        </w:rPr>
        <w:t>e</w:t>
      </w:r>
      <w:r w:rsidR="06FCAFC6" w:rsidRPr="004C70EC">
        <w:rPr>
          <w:rFonts w:eastAsia="Times New Roman"/>
          <w:noProof/>
          <w:color w:val="000000" w:themeColor="text1"/>
          <w:lang w:val="en-US" w:eastAsia="en-GB"/>
        </w:rPr>
        <w:t>)</w:t>
      </w:r>
      <w:r w:rsidR="249CF78E" w:rsidRPr="004C70EC">
        <w:rPr>
          <w:rFonts w:eastAsia="Times New Roman"/>
          <w:noProof/>
          <w:color w:val="000000" w:themeColor="text1"/>
          <w:lang w:val="en-US" w:eastAsia="en-GB"/>
        </w:rPr>
        <w:t xml:space="preserve"> is deleted</w:t>
      </w:r>
      <w:r w:rsidR="38EDF781" w:rsidRPr="004C70EC">
        <w:rPr>
          <w:rFonts w:eastAsia="Times New Roman"/>
          <w:noProof/>
          <w:color w:val="000000" w:themeColor="text1"/>
          <w:lang w:val="en-US" w:eastAsia="en-GB"/>
        </w:rPr>
        <w:t>;</w:t>
      </w:r>
      <w:r w:rsidR="249CF78E" w:rsidRPr="004C70EC">
        <w:rPr>
          <w:rFonts w:eastAsia="Times New Roman"/>
          <w:noProof/>
          <w:color w:val="000000" w:themeColor="text1"/>
          <w:lang w:val="en-US" w:eastAsia="en-GB"/>
        </w:rPr>
        <w:t xml:space="preserve"> </w:t>
      </w:r>
    </w:p>
    <w:p w14:paraId="544BBE59" w14:textId="77777777" w:rsidR="00273F36" w:rsidRPr="004C70EC" w:rsidRDefault="74551A98" w:rsidP="4CF51068">
      <w:pPr>
        <w:pStyle w:val="Point0"/>
        <w:rPr>
          <w:rFonts w:eastAsia="Times New Roman"/>
          <w:noProof/>
          <w:color w:val="000000" w:themeColor="text1"/>
          <w:lang w:val="en-US" w:eastAsia="en-GB"/>
        </w:rPr>
      </w:pPr>
      <w:r w:rsidRPr="004C70EC">
        <w:rPr>
          <w:rFonts w:eastAsia="Times New Roman"/>
          <w:noProof/>
          <w:color w:val="000000" w:themeColor="text1"/>
          <w:lang w:val="en-US" w:eastAsia="en-GB"/>
        </w:rPr>
        <w:t>(3</w:t>
      </w:r>
      <w:r w:rsidR="60FB590B" w:rsidRPr="004C70EC">
        <w:rPr>
          <w:rFonts w:eastAsia="Times New Roman"/>
          <w:noProof/>
          <w:color w:val="000000" w:themeColor="text1"/>
          <w:lang w:val="en-US" w:eastAsia="en-GB"/>
        </w:rPr>
        <w:t>0</w:t>
      </w:r>
      <w:r w:rsidRPr="004C70EC">
        <w:rPr>
          <w:rFonts w:eastAsia="Times New Roman"/>
          <w:noProof/>
          <w:color w:val="000000" w:themeColor="text1"/>
          <w:lang w:val="en-US" w:eastAsia="en-GB"/>
        </w:rPr>
        <w:t>)</w:t>
      </w:r>
      <w:r w:rsidR="42D58353" w:rsidRPr="004C70EC">
        <w:rPr>
          <w:noProof/>
        </w:rPr>
        <w:tab/>
      </w:r>
      <w:r w:rsidR="01872740" w:rsidRPr="004C70EC">
        <w:rPr>
          <w:rFonts w:eastAsia="Times New Roman"/>
          <w:noProof/>
          <w:color w:val="000000" w:themeColor="text1"/>
          <w:lang w:val="en-US" w:eastAsia="en-GB"/>
        </w:rPr>
        <w:t>i</w:t>
      </w:r>
      <w:r w:rsidR="212FC6E9" w:rsidRPr="004C70EC">
        <w:rPr>
          <w:rFonts w:eastAsia="Times New Roman"/>
          <w:noProof/>
          <w:color w:val="000000" w:themeColor="text1"/>
          <w:lang w:val="en-US" w:eastAsia="en-GB"/>
        </w:rPr>
        <w:t xml:space="preserve">n Article 33, </w:t>
      </w:r>
      <w:r w:rsidR="2BB133D6" w:rsidRPr="004C70EC">
        <w:rPr>
          <w:rFonts w:eastAsia="Times New Roman"/>
          <w:noProof/>
          <w:color w:val="000000" w:themeColor="text1"/>
          <w:lang w:val="en-US" w:eastAsia="en-GB"/>
        </w:rPr>
        <w:t xml:space="preserve">the following </w:t>
      </w:r>
      <w:r w:rsidR="23BA0C1C" w:rsidRPr="004C70EC">
        <w:rPr>
          <w:rFonts w:eastAsia="Times New Roman"/>
          <w:noProof/>
          <w:color w:val="000000" w:themeColor="text1"/>
          <w:lang w:val="en-US" w:eastAsia="en-GB"/>
        </w:rPr>
        <w:t xml:space="preserve">second </w:t>
      </w:r>
      <w:r w:rsidR="212FC6E9" w:rsidRPr="004C70EC">
        <w:rPr>
          <w:rFonts w:eastAsia="Times New Roman"/>
          <w:noProof/>
          <w:color w:val="000000" w:themeColor="text1"/>
          <w:lang w:val="en-US" w:eastAsia="en-GB"/>
        </w:rPr>
        <w:t>paragraph is</w:t>
      </w:r>
      <w:r w:rsidR="1F203103" w:rsidRPr="004C70EC">
        <w:rPr>
          <w:rFonts w:eastAsia="Times New Roman"/>
          <w:noProof/>
          <w:color w:val="000000" w:themeColor="text1"/>
          <w:lang w:val="en-US" w:eastAsia="en-GB"/>
        </w:rPr>
        <w:t xml:space="preserve"> </w:t>
      </w:r>
      <w:r w:rsidR="5FE0F70A" w:rsidRPr="004C70EC">
        <w:rPr>
          <w:rFonts w:eastAsia="Times New Roman"/>
          <w:noProof/>
          <w:color w:val="000000" w:themeColor="text1"/>
          <w:lang w:val="en-US" w:eastAsia="en-GB"/>
        </w:rPr>
        <w:t>inserted</w:t>
      </w:r>
      <w:r w:rsidR="212FC6E9" w:rsidRPr="004C70EC">
        <w:rPr>
          <w:rFonts w:eastAsia="Times New Roman"/>
          <w:noProof/>
          <w:color w:val="000000" w:themeColor="text1"/>
          <w:lang w:val="en-US" w:eastAsia="en-GB"/>
        </w:rPr>
        <w:t xml:space="preserve">: </w:t>
      </w:r>
    </w:p>
    <w:p w14:paraId="78D232B9" w14:textId="77777777" w:rsidR="00273F36" w:rsidRPr="004C70EC" w:rsidRDefault="0018316A" w:rsidP="00754032">
      <w:pPr>
        <w:pStyle w:val="Tex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w:t>
      </w:r>
      <w:r w:rsidR="00273F36" w:rsidRPr="004C70EC">
        <w:rPr>
          <w:rFonts w:eastAsia="Times New Roman"/>
          <w:noProof/>
          <w:color w:val="000000" w:themeColor="text1"/>
          <w:szCs w:val="24"/>
          <w:lang w:val="en-IE" w:eastAsia="en-GB"/>
        </w:rPr>
        <w:t>Women who become pregnant or begin breastfeeding while participating in a clinical trial shall not be automatically excluded from participation in the clinical trial.</w:t>
      </w:r>
      <w:r w:rsidRPr="004C70EC">
        <w:rPr>
          <w:rFonts w:eastAsia="Times New Roman"/>
          <w:noProof/>
          <w:color w:val="000000" w:themeColor="text1"/>
          <w:szCs w:val="24"/>
          <w:lang w:val="en-IE" w:eastAsia="en-GB"/>
        </w:rPr>
        <w:t>’</w:t>
      </w:r>
    </w:p>
    <w:p w14:paraId="32F0CD9B" w14:textId="77777777" w:rsidR="00273F36" w:rsidRPr="004C70EC" w:rsidRDefault="7A19B333" w:rsidP="4CF51068">
      <w:pPr>
        <w:pStyle w:val="Point0"/>
        <w:rPr>
          <w:rFonts w:eastAsia="Times New Roman"/>
          <w:noProof/>
          <w:color w:val="000000" w:themeColor="text1"/>
          <w:lang w:val="en-US" w:eastAsia="en-GB"/>
        </w:rPr>
      </w:pPr>
      <w:r w:rsidRPr="004C70EC">
        <w:rPr>
          <w:rFonts w:eastAsia="Times New Roman"/>
          <w:noProof/>
          <w:color w:val="000000" w:themeColor="text1"/>
          <w:lang w:val="en-US" w:eastAsia="en-GB"/>
        </w:rPr>
        <w:t>(3</w:t>
      </w:r>
      <w:r w:rsidR="73071835" w:rsidRPr="004C70EC">
        <w:rPr>
          <w:rFonts w:eastAsia="Times New Roman"/>
          <w:noProof/>
          <w:color w:val="000000" w:themeColor="text1"/>
          <w:lang w:val="en-US" w:eastAsia="en-GB"/>
        </w:rPr>
        <w:t>1</w:t>
      </w:r>
      <w:r w:rsidRPr="004C70EC">
        <w:rPr>
          <w:rFonts w:eastAsia="Times New Roman"/>
          <w:noProof/>
          <w:color w:val="000000" w:themeColor="text1"/>
          <w:lang w:val="en-US" w:eastAsia="en-GB"/>
        </w:rPr>
        <w:t>)</w:t>
      </w:r>
      <w:r w:rsidR="00754032" w:rsidRPr="004C70EC">
        <w:rPr>
          <w:noProof/>
        </w:rPr>
        <w:tab/>
      </w:r>
      <w:r w:rsidR="0576EE6A" w:rsidRPr="004C70EC">
        <w:rPr>
          <w:rFonts w:eastAsia="Times New Roman"/>
          <w:noProof/>
          <w:color w:val="000000" w:themeColor="text1"/>
          <w:lang w:val="en-US" w:eastAsia="en-GB"/>
        </w:rPr>
        <w:t>i</w:t>
      </w:r>
      <w:r w:rsidR="249CF78E" w:rsidRPr="004C70EC">
        <w:rPr>
          <w:rFonts w:eastAsia="Times New Roman"/>
          <w:noProof/>
          <w:color w:val="000000" w:themeColor="text1"/>
          <w:lang w:val="en-US" w:eastAsia="en-GB"/>
        </w:rPr>
        <w:t xml:space="preserve">n Article 41, </w:t>
      </w:r>
      <w:r w:rsidR="344ABDCE" w:rsidRPr="004C70EC">
        <w:rPr>
          <w:rFonts w:eastAsia="Times New Roman"/>
          <w:noProof/>
          <w:color w:val="000000" w:themeColor="text1"/>
          <w:lang w:val="en-US" w:eastAsia="en-GB"/>
        </w:rPr>
        <w:t>the following</w:t>
      </w:r>
      <w:r w:rsidR="249CF78E" w:rsidRPr="004C70EC">
        <w:rPr>
          <w:rFonts w:eastAsia="Times New Roman"/>
          <w:noProof/>
          <w:color w:val="000000" w:themeColor="text1"/>
          <w:lang w:val="en-US" w:eastAsia="en-GB"/>
        </w:rPr>
        <w:t xml:space="preserve"> paragraph 5 is </w:t>
      </w:r>
      <w:r w:rsidR="1CDAB15C" w:rsidRPr="004C70EC">
        <w:rPr>
          <w:rFonts w:eastAsia="Times New Roman"/>
          <w:noProof/>
          <w:color w:val="000000" w:themeColor="text1"/>
          <w:lang w:val="en-US" w:eastAsia="en-GB"/>
        </w:rPr>
        <w:t>added</w:t>
      </w:r>
      <w:r w:rsidR="249CF78E" w:rsidRPr="004C70EC">
        <w:rPr>
          <w:rFonts w:eastAsia="Times New Roman"/>
          <w:noProof/>
          <w:color w:val="000000" w:themeColor="text1"/>
          <w:lang w:val="en-US" w:eastAsia="en-GB"/>
        </w:rPr>
        <w:t xml:space="preserve">: </w:t>
      </w:r>
    </w:p>
    <w:p w14:paraId="5B0C8A73" w14:textId="77777777" w:rsidR="00273F36" w:rsidRPr="004C70EC" w:rsidRDefault="4E404FB1" w:rsidP="006E6B00">
      <w:pPr>
        <w:pStyle w:val="Point1"/>
        <w:rPr>
          <w:noProof/>
          <w:color w:val="000000" w:themeColor="text1"/>
          <w:szCs w:val="24"/>
          <w:lang w:val="en-IE" w:eastAsia="en-GB"/>
        </w:rPr>
      </w:pPr>
      <w:r w:rsidRPr="004C70EC">
        <w:rPr>
          <w:noProof/>
          <w:color w:val="000000" w:themeColor="text1"/>
          <w:szCs w:val="24"/>
          <w:lang w:val="en-IE" w:eastAsia="en-GB"/>
        </w:rPr>
        <w:t>’5.</w:t>
      </w:r>
      <w:r w:rsidR="006E6B00" w:rsidRPr="004C70EC">
        <w:rPr>
          <w:noProof/>
          <w:color w:val="000000" w:themeColor="text1"/>
          <w:szCs w:val="24"/>
        </w:rPr>
        <w:tab/>
      </w:r>
      <w:r w:rsidR="2F263E33" w:rsidRPr="004C70EC">
        <w:rPr>
          <w:noProof/>
          <w:color w:val="000000" w:themeColor="text1"/>
          <w:szCs w:val="24"/>
          <w:lang w:val="en-IE" w:eastAsia="en-GB"/>
        </w:rPr>
        <w:t xml:space="preserve">Reporting requirements of adverse events and serious adverse events for minimal-intervention and low-intervention clinical trials </w:t>
      </w:r>
      <w:r w:rsidR="139CA7E8" w:rsidRPr="004C70EC">
        <w:rPr>
          <w:noProof/>
          <w:color w:val="000000" w:themeColor="text1"/>
          <w:szCs w:val="24"/>
          <w:lang w:val="en-IE" w:eastAsia="en-GB"/>
        </w:rPr>
        <w:t xml:space="preserve">shall </w:t>
      </w:r>
      <w:r w:rsidR="2F263E33" w:rsidRPr="004C70EC">
        <w:rPr>
          <w:noProof/>
          <w:color w:val="000000" w:themeColor="text1"/>
          <w:szCs w:val="24"/>
          <w:lang w:val="en-IE" w:eastAsia="en-GB"/>
        </w:rPr>
        <w:t>be simplified by applying a risk-based approach. Any such adaptation should be clearly stated and justified in the protocol by the sponsor.</w:t>
      </w:r>
      <w:r w:rsidR="5C88ED77" w:rsidRPr="004C70EC">
        <w:rPr>
          <w:noProof/>
          <w:color w:val="000000" w:themeColor="text1"/>
          <w:szCs w:val="24"/>
          <w:lang w:val="en-IE" w:eastAsia="en-GB"/>
        </w:rPr>
        <w:t>:</w:t>
      </w:r>
    </w:p>
    <w:p w14:paraId="0B284123" w14:textId="77777777" w:rsidR="00273F36" w:rsidRPr="004C70EC" w:rsidRDefault="7A19B333" w:rsidP="4CF51068">
      <w:pPr>
        <w:pStyle w:val="Point0"/>
        <w:rPr>
          <w:rFonts w:eastAsia="Times New Roman"/>
          <w:noProof/>
          <w:color w:val="000000" w:themeColor="text1"/>
          <w:lang w:val="en-US" w:eastAsia="en-GB"/>
        </w:rPr>
      </w:pPr>
      <w:r w:rsidRPr="004C70EC">
        <w:rPr>
          <w:rFonts w:eastAsia="Times New Roman"/>
          <w:noProof/>
          <w:color w:val="000000" w:themeColor="text1"/>
          <w:lang w:val="en-US" w:eastAsia="en-GB"/>
        </w:rPr>
        <w:t>(3</w:t>
      </w:r>
      <w:r w:rsidR="2448730B" w:rsidRPr="004C70EC">
        <w:rPr>
          <w:rFonts w:eastAsia="Times New Roman"/>
          <w:noProof/>
          <w:color w:val="000000" w:themeColor="text1"/>
          <w:lang w:val="en-US" w:eastAsia="en-GB"/>
        </w:rPr>
        <w:t>2</w:t>
      </w:r>
      <w:r w:rsidRPr="004C70EC">
        <w:rPr>
          <w:rFonts w:eastAsia="Times New Roman"/>
          <w:noProof/>
          <w:color w:val="000000" w:themeColor="text1"/>
          <w:lang w:val="en-US" w:eastAsia="en-GB"/>
        </w:rPr>
        <w:t>)</w:t>
      </w:r>
      <w:r w:rsidR="00754032" w:rsidRPr="004C70EC">
        <w:rPr>
          <w:noProof/>
        </w:rPr>
        <w:tab/>
      </w:r>
      <w:r w:rsidR="344ABDCE" w:rsidRPr="004C70EC">
        <w:rPr>
          <w:rFonts w:eastAsia="Times New Roman"/>
          <w:noProof/>
          <w:color w:val="000000" w:themeColor="text1"/>
          <w:lang w:val="en-US" w:eastAsia="en-GB"/>
        </w:rPr>
        <w:t>i</w:t>
      </w:r>
      <w:r w:rsidR="249CF78E" w:rsidRPr="004C70EC">
        <w:rPr>
          <w:rFonts w:eastAsia="Times New Roman"/>
          <w:noProof/>
          <w:color w:val="000000" w:themeColor="text1"/>
          <w:lang w:val="en-US" w:eastAsia="en-GB"/>
        </w:rPr>
        <w:t xml:space="preserve">n Article 48, point (a) is replaced by the following: </w:t>
      </w:r>
    </w:p>
    <w:p w14:paraId="225789A6" w14:textId="77777777" w:rsidR="00273F36" w:rsidRPr="004C70EC" w:rsidRDefault="008F3C9E" w:rsidP="00754032">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w:t>
      </w:r>
      <w:r w:rsidR="00273F36" w:rsidRPr="004C70EC">
        <w:rPr>
          <w:rFonts w:eastAsia="Times New Roman"/>
          <w:noProof/>
          <w:color w:val="000000" w:themeColor="text1"/>
          <w:szCs w:val="24"/>
          <w:lang w:val="en-US" w:eastAsia="en-GB"/>
        </w:rPr>
        <w:t>(a)</w:t>
      </w:r>
      <w:r w:rsidR="00754032" w:rsidRPr="004C70EC">
        <w:rPr>
          <w:noProof/>
          <w:color w:val="000000" w:themeColor="text1"/>
          <w:szCs w:val="24"/>
        </w:rPr>
        <w:tab/>
      </w:r>
      <w:r w:rsidR="00273F36" w:rsidRPr="004C70EC">
        <w:rPr>
          <w:rFonts w:eastAsia="Times New Roman"/>
          <w:noProof/>
          <w:color w:val="000000" w:themeColor="text1"/>
          <w:szCs w:val="24"/>
          <w:lang w:val="en-US" w:eastAsia="en-GB"/>
        </w:rPr>
        <w:t>whether the clinical trial is a minimal-intervention or low-intervention clinical trial;</w:t>
      </w:r>
      <w:r w:rsidRPr="004C70EC">
        <w:rPr>
          <w:rFonts w:eastAsia="Times New Roman"/>
          <w:noProof/>
          <w:color w:val="000000" w:themeColor="text1"/>
          <w:szCs w:val="24"/>
          <w:lang w:val="en-US" w:eastAsia="en-GB"/>
        </w:rPr>
        <w:t>’</w:t>
      </w:r>
      <w:r w:rsidR="055500C1" w:rsidRPr="004C70EC">
        <w:rPr>
          <w:rFonts w:eastAsia="Times New Roman"/>
          <w:noProof/>
          <w:color w:val="000000" w:themeColor="text1"/>
          <w:szCs w:val="24"/>
          <w:lang w:val="en-US" w:eastAsia="en-GB"/>
        </w:rPr>
        <w:t>:</w:t>
      </w:r>
    </w:p>
    <w:p w14:paraId="1348660C" w14:textId="77777777" w:rsidR="00273F36" w:rsidRPr="004C70EC" w:rsidRDefault="7A19B333" w:rsidP="4CF51068">
      <w:pPr>
        <w:pStyle w:val="Point0"/>
        <w:rPr>
          <w:rFonts w:eastAsia="Times New Roman"/>
          <w:noProof/>
          <w:color w:val="000000" w:themeColor="text1"/>
          <w:lang w:eastAsia="en-GB"/>
        </w:rPr>
      </w:pPr>
      <w:r w:rsidRPr="004C70EC">
        <w:rPr>
          <w:rFonts w:eastAsia="Times New Roman"/>
          <w:noProof/>
          <w:color w:val="000000" w:themeColor="text1"/>
          <w:lang w:val="en-US" w:eastAsia="en-GB"/>
        </w:rPr>
        <w:t>(3</w:t>
      </w:r>
      <w:r w:rsidR="285C6529" w:rsidRPr="004C70EC">
        <w:rPr>
          <w:rFonts w:eastAsia="Times New Roman"/>
          <w:noProof/>
          <w:color w:val="000000" w:themeColor="text1"/>
          <w:lang w:val="en-US" w:eastAsia="en-GB"/>
        </w:rPr>
        <w:t>3</w:t>
      </w:r>
      <w:r w:rsidRPr="004C70EC">
        <w:rPr>
          <w:rFonts w:eastAsia="Times New Roman"/>
          <w:noProof/>
          <w:color w:val="000000" w:themeColor="text1"/>
          <w:lang w:val="en-US" w:eastAsia="en-GB"/>
        </w:rPr>
        <w:t>)</w:t>
      </w:r>
      <w:r w:rsidR="00754032" w:rsidRPr="004C70EC">
        <w:rPr>
          <w:noProof/>
        </w:rPr>
        <w:tab/>
      </w:r>
      <w:r w:rsidR="3F594D80" w:rsidRPr="004C70EC">
        <w:rPr>
          <w:rFonts w:eastAsia="Times New Roman"/>
          <w:noProof/>
          <w:color w:val="000000" w:themeColor="text1"/>
          <w:lang w:val="en-US" w:eastAsia="en-GB"/>
        </w:rPr>
        <w:t>t</w:t>
      </w:r>
      <w:r w:rsidR="249CF78E" w:rsidRPr="004C70EC">
        <w:rPr>
          <w:rFonts w:eastAsia="Times New Roman"/>
          <w:noProof/>
          <w:color w:val="000000" w:themeColor="text1"/>
          <w:lang w:val="en-US" w:eastAsia="en-GB"/>
        </w:rPr>
        <w:t xml:space="preserve">he following Article </w:t>
      </w:r>
      <w:r w:rsidR="3F594D80" w:rsidRPr="004C70EC">
        <w:rPr>
          <w:rFonts w:eastAsia="Times New Roman"/>
          <w:noProof/>
          <w:color w:val="000000" w:themeColor="text1"/>
          <w:lang w:val="en-US" w:eastAsia="en-GB"/>
        </w:rPr>
        <w:t>50a</w:t>
      </w:r>
      <w:r w:rsidR="249CF78E" w:rsidRPr="004C70EC">
        <w:rPr>
          <w:rFonts w:eastAsia="Times New Roman"/>
          <w:noProof/>
          <w:color w:val="000000" w:themeColor="text1"/>
          <w:lang w:val="en-US" w:eastAsia="en-GB"/>
        </w:rPr>
        <w:t xml:space="preserve"> is inserted: </w:t>
      </w:r>
    </w:p>
    <w:p w14:paraId="5B7F8B70" w14:textId="77777777" w:rsidR="00273F36" w:rsidRPr="004C70EC" w:rsidRDefault="00EA4257" w:rsidP="00754032">
      <w:pPr>
        <w:pStyle w:val="Titrearticle"/>
        <w:rPr>
          <w:rFonts w:eastAsia="Times New Roman"/>
          <w:noProof/>
          <w:color w:val="000000" w:themeColor="text1"/>
          <w:szCs w:val="24"/>
          <w:lang w:eastAsia="en-GB"/>
        </w:rPr>
      </w:pPr>
      <w:r w:rsidRPr="004C70EC">
        <w:rPr>
          <w:rFonts w:eastAsia="Times New Roman"/>
          <w:noProof/>
          <w:color w:val="000000" w:themeColor="text1"/>
          <w:szCs w:val="24"/>
          <w:lang w:val="en-US" w:eastAsia="en-GB"/>
        </w:rPr>
        <w:t>’</w:t>
      </w:r>
      <w:r w:rsidR="00273F36" w:rsidRPr="004C70EC">
        <w:rPr>
          <w:rFonts w:eastAsia="Times New Roman"/>
          <w:noProof/>
          <w:color w:val="000000" w:themeColor="text1"/>
          <w:szCs w:val="24"/>
          <w:lang w:val="en-US" w:eastAsia="en-GB"/>
        </w:rPr>
        <w:t>Article 50a</w:t>
      </w:r>
      <w:r w:rsidR="00273F36" w:rsidRPr="004C70EC">
        <w:rPr>
          <w:rFonts w:eastAsia="Times New Roman"/>
          <w:iCs/>
          <w:noProof/>
          <w:color w:val="000000" w:themeColor="text1"/>
          <w:szCs w:val="24"/>
          <w:lang w:val="en-US" w:eastAsia="en-GB"/>
        </w:rPr>
        <w:t xml:space="preserve"> </w:t>
      </w:r>
    </w:p>
    <w:p w14:paraId="4715208D" w14:textId="77777777" w:rsidR="00273F36" w:rsidRPr="004C70EC" w:rsidRDefault="2F263E33" w:rsidP="33CE1D06">
      <w:pPr>
        <w:jc w:val="center"/>
        <w:rPr>
          <w:rFonts w:eastAsia="Times New Roman"/>
          <w:noProof/>
          <w:color w:val="000000" w:themeColor="text1"/>
          <w:szCs w:val="24"/>
          <w:lang w:val="en-US" w:eastAsia="en-GB"/>
        </w:rPr>
      </w:pPr>
      <w:r w:rsidRPr="004C70EC">
        <w:rPr>
          <w:rFonts w:eastAsia="Times New Roman"/>
          <w:i/>
          <w:iCs/>
          <w:noProof/>
          <w:color w:val="000000" w:themeColor="text1"/>
          <w:szCs w:val="24"/>
          <w:lang w:val="en-US" w:eastAsia="en-GB"/>
        </w:rPr>
        <w:t xml:space="preserve">Delivery of investigational and auxiliary medicinal products </w:t>
      </w:r>
      <w:r w:rsidR="240E68F4" w:rsidRPr="004C70EC">
        <w:rPr>
          <w:rFonts w:eastAsia="Times New Roman"/>
          <w:i/>
          <w:iCs/>
          <w:noProof/>
          <w:color w:val="000000" w:themeColor="text1"/>
          <w:szCs w:val="24"/>
          <w:lang w:val="en-US" w:eastAsia="en-GB"/>
        </w:rPr>
        <w:t>through a dispensing pharmacy</w:t>
      </w:r>
      <w:r w:rsidR="5DA70401" w:rsidRPr="004C70EC">
        <w:rPr>
          <w:rFonts w:eastAsia="Times New Roman"/>
          <w:i/>
          <w:iCs/>
          <w:noProof/>
          <w:color w:val="000000" w:themeColor="text1"/>
          <w:szCs w:val="24"/>
          <w:lang w:val="en-US" w:eastAsia="en-GB"/>
        </w:rPr>
        <w:t>, an authorised person</w:t>
      </w:r>
      <w:r w:rsidR="240E68F4" w:rsidRPr="004C70EC">
        <w:rPr>
          <w:rFonts w:eastAsia="Times New Roman"/>
          <w:i/>
          <w:iCs/>
          <w:noProof/>
          <w:color w:val="000000" w:themeColor="text1"/>
          <w:szCs w:val="24"/>
          <w:lang w:val="en-US" w:eastAsia="en-GB"/>
        </w:rPr>
        <w:t xml:space="preserve"> or directly to the subject</w:t>
      </w:r>
      <w:r w:rsidR="240E68F4" w:rsidRPr="004C70EC">
        <w:rPr>
          <w:rFonts w:eastAsia="Times New Roman"/>
          <w:noProof/>
          <w:color w:val="000000" w:themeColor="text1"/>
          <w:szCs w:val="24"/>
          <w:lang w:val="en-US" w:eastAsia="en-GB"/>
        </w:rPr>
        <w:t xml:space="preserve"> </w:t>
      </w:r>
    </w:p>
    <w:p w14:paraId="108EAB66" w14:textId="77777777" w:rsidR="00273F36" w:rsidRPr="004C70EC" w:rsidRDefault="00273F36" w:rsidP="00754032">
      <w:pPr>
        <w:pStyle w:val="Tex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When justified in the protocol, the delivery of investigational medicinal products and auxiliary medicinal products to the clinical trials subjects may be ensured at a distance under the supervision of the investigator.</w:t>
      </w:r>
    </w:p>
    <w:p w14:paraId="4C522A4A" w14:textId="77777777" w:rsidR="00665183" w:rsidRPr="004C70EC" w:rsidRDefault="00665183" w:rsidP="00754032">
      <w:pPr>
        <w:pStyle w:val="Text1"/>
        <w:rPr>
          <w:rFonts w:eastAsia="Times New Roman"/>
          <w:noProof/>
          <w:color w:val="000000" w:themeColor="text1"/>
          <w:lang w:eastAsia="en-GB"/>
        </w:rPr>
      </w:pPr>
      <w:r w:rsidRPr="004C70EC">
        <w:rPr>
          <w:rFonts w:eastAsia="Times New Roman"/>
          <w:noProof/>
          <w:color w:val="000000" w:themeColor="text1"/>
          <w:lang w:val="en-US" w:eastAsia="en-GB"/>
        </w:rPr>
        <w:t>In case of a minimal-intervention and a low</w:t>
      </w:r>
      <w:r w:rsidR="0982BBEB" w:rsidRPr="004C70EC">
        <w:rPr>
          <w:rFonts w:eastAsia="Times New Roman"/>
          <w:noProof/>
          <w:color w:val="000000" w:themeColor="text1"/>
          <w:lang w:val="en-US" w:eastAsia="en-GB"/>
        </w:rPr>
        <w:t>-</w:t>
      </w:r>
      <w:r w:rsidRPr="004C70EC">
        <w:rPr>
          <w:rFonts w:eastAsia="Times New Roman"/>
          <w:noProof/>
          <w:color w:val="000000" w:themeColor="text1"/>
          <w:lang w:val="en-US" w:eastAsia="en-GB"/>
        </w:rPr>
        <w:t>intervention clinical trial, the distribution of the investigational medicinal products can be ensured</w:t>
      </w:r>
      <w:r w:rsidR="00B07DDC" w:rsidRPr="004C70EC">
        <w:rPr>
          <w:rFonts w:eastAsia="Times New Roman"/>
          <w:noProof/>
          <w:color w:val="000000" w:themeColor="text1"/>
          <w:lang w:val="en-US" w:eastAsia="en-GB"/>
        </w:rPr>
        <w:t xml:space="preserve"> in a Member State where the clinical trial has been authorised,  </w:t>
      </w:r>
      <w:r w:rsidR="00485315" w:rsidRPr="004C70EC">
        <w:rPr>
          <w:rFonts w:eastAsia="Times New Roman"/>
          <w:noProof/>
          <w:color w:val="000000" w:themeColor="text1"/>
          <w:lang w:val="en-US" w:eastAsia="en-GB"/>
        </w:rPr>
        <w:t xml:space="preserve"> </w:t>
      </w:r>
      <w:r w:rsidR="008B314E" w:rsidRPr="004C70EC">
        <w:rPr>
          <w:rFonts w:eastAsia="Times New Roman"/>
          <w:noProof/>
          <w:color w:val="000000" w:themeColor="text1"/>
          <w:lang w:val="en-US" w:eastAsia="en-GB"/>
        </w:rPr>
        <w:t>under the responsibility of the investigator,</w:t>
      </w:r>
      <w:r w:rsidRPr="004C70EC">
        <w:rPr>
          <w:rFonts w:eastAsia="Times New Roman"/>
          <w:noProof/>
          <w:color w:val="000000" w:themeColor="text1"/>
          <w:lang w:val="en-US" w:eastAsia="en-GB"/>
        </w:rPr>
        <w:t xml:space="preserve"> through</w:t>
      </w:r>
      <w:r w:rsidR="00F464D4" w:rsidRPr="004C70EC">
        <w:rPr>
          <w:rFonts w:eastAsia="Times New Roman"/>
          <w:noProof/>
          <w:color w:val="000000" w:themeColor="text1"/>
          <w:lang w:val="en-US" w:eastAsia="en-GB"/>
        </w:rPr>
        <w:t xml:space="preserve"> the dispensing pharmacies or </w:t>
      </w:r>
      <w:r w:rsidR="006C2480" w:rsidRPr="004C70EC">
        <w:rPr>
          <w:rFonts w:eastAsia="Times New Roman"/>
          <w:noProof/>
          <w:color w:val="000000" w:themeColor="text1"/>
          <w:lang w:val="en-US" w:eastAsia="en-GB"/>
        </w:rPr>
        <w:t xml:space="preserve">by </w:t>
      </w:r>
      <w:r w:rsidR="00F464D4" w:rsidRPr="004C70EC">
        <w:rPr>
          <w:rFonts w:eastAsia="Times New Roman"/>
          <w:noProof/>
          <w:color w:val="000000" w:themeColor="text1"/>
          <w:lang w:val="en-US" w:eastAsia="en-GB"/>
        </w:rPr>
        <w:t>persons authori</w:t>
      </w:r>
      <w:r w:rsidR="57BADC26" w:rsidRPr="004C70EC">
        <w:rPr>
          <w:rFonts w:eastAsia="Times New Roman"/>
          <w:noProof/>
          <w:color w:val="000000" w:themeColor="text1"/>
          <w:lang w:val="en-US" w:eastAsia="en-GB"/>
        </w:rPr>
        <w:t>s</w:t>
      </w:r>
      <w:r w:rsidR="00F464D4" w:rsidRPr="004C70EC">
        <w:rPr>
          <w:rFonts w:eastAsia="Times New Roman"/>
          <w:noProof/>
          <w:color w:val="000000" w:themeColor="text1"/>
          <w:lang w:val="en-US" w:eastAsia="en-GB"/>
        </w:rPr>
        <w:t xml:space="preserve">ed to supply medicinal products </w:t>
      </w:r>
      <w:r w:rsidR="00485315" w:rsidRPr="004C70EC">
        <w:rPr>
          <w:rFonts w:eastAsia="Times New Roman"/>
          <w:noProof/>
          <w:color w:val="000000" w:themeColor="text1"/>
          <w:lang w:val="en-US" w:eastAsia="en-GB"/>
        </w:rPr>
        <w:t>to the</w:t>
      </w:r>
      <w:r w:rsidR="008466FD" w:rsidRPr="004C70EC">
        <w:rPr>
          <w:rFonts w:eastAsia="Times New Roman"/>
          <w:noProof/>
          <w:color w:val="000000" w:themeColor="text1"/>
          <w:lang w:val="en-US" w:eastAsia="en-GB"/>
        </w:rPr>
        <w:t>subject</w:t>
      </w:r>
      <w:r w:rsidR="00485315" w:rsidRPr="004C70EC">
        <w:rPr>
          <w:rFonts w:eastAsia="Times New Roman"/>
          <w:noProof/>
          <w:color w:val="000000" w:themeColor="text1"/>
          <w:lang w:val="en-US" w:eastAsia="en-GB"/>
        </w:rPr>
        <w:t>.</w:t>
      </w:r>
    </w:p>
    <w:p w14:paraId="072D489B" w14:textId="77777777" w:rsidR="00754032" w:rsidRPr="004C70EC" w:rsidRDefault="00273F36" w:rsidP="00754032">
      <w:pPr>
        <w:pStyle w:val="Tex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The protocol and investigator’s brochure shall describe the arrangements for direct delivery to subjects</w:t>
      </w:r>
      <w:r w:rsidR="008B314E" w:rsidRPr="004C70EC">
        <w:rPr>
          <w:rFonts w:eastAsia="Times New Roman"/>
          <w:noProof/>
          <w:color w:val="000000" w:themeColor="text1"/>
          <w:szCs w:val="24"/>
          <w:lang w:val="en-US" w:eastAsia="en-GB"/>
        </w:rPr>
        <w:t xml:space="preserve"> o</w:t>
      </w:r>
      <w:r w:rsidR="0014779F" w:rsidRPr="004C70EC">
        <w:rPr>
          <w:rFonts w:eastAsia="Times New Roman"/>
          <w:noProof/>
          <w:color w:val="000000" w:themeColor="text1"/>
          <w:szCs w:val="24"/>
          <w:lang w:val="en-US" w:eastAsia="en-GB"/>
        </w:rPr>
        <w:t>r through dispensing pharmacies or persons authori</w:t>
      </w:r>
      <w:r w:rsidR="7E0FD848" w:rsidRPr="004C70EC">
        <w:rPr>
          <w:rFonts w:eastAsia="Times New Roman"/>
          <w:noProof/>
          <w:color w:val="000000" w:themeColor="text1"/>
          <w:szCs w:val="24"/>
          <w:lang w:val="en-US" w:eastAsia="en-GB"/>
        </w:rPr>
        <w:t>s</w:t>
      </w:r>
      <w:r w:rsidR="0014779F" w:rsidRPr="004C70EC">
        <w:rPr>
          <w:rFonts w:eastAsia="Times New Roman"/>
          <w:noProof/>
          <w:color w:val="000000" w:themeColor="text1"/>
          <w:szCs w:val="24"/>
          <w:lang w:val="en-US" w:eastAsia="en-GB"/>
        </w:rPr>
        <w:t>ed to supply to the patients</w:t>
      </w:r>
      <w:r w:rsidRPr="004C70EC">
        <w:rPr>
          <w:rFonts w:eastAsia="Times New Roman"/>
          <w:noProof/>
          <w:color w:val="000000" w:themeColor="text1"/>
          <w:szCs w:val="24"/>
          <w:lang w:val="en-US" w:eastAsia="en-GB"/>
        </w:rPr>
        <w:t>, including the roles and responsibilities of all parties involved and procedures for secure handling, storage.</w:t>
      </w:r>
    </w:p>
    <w:p w14:paraId="6F470F1D" w14:textId="77777777" w:rsidR="00273F36" w:rsidRPr="004C70EC" w:rsidRDefault="00273F36" w:rsidP="00754032">
      <w:pPr>
        <w:pStyle w:val="Text1"/>
        <w:rPr>
          <w:rFonts w:eastAsia="Times New Roman"/>
          <w:noProof/>
          <w:color w:val="000000" w:themeColor="text1"/>
          <w:szCs w:val="24"/>
          <w:lang w:eastAsia="en-GB"/>
        </w:rPr>
      </w:pPr>
      <w:r w:rsidRPr="004C70EC">
        <w:rPr>
          <w:rFonts w:eastAsia="Times New Roman"/>
          <w:noProof/>
          <w:color w:val="000000" w:themeColor="text1"/>
          <w:szCs w:val="24"/>
          <w:lang w:eastAsia="en-GB"/>
        </w:rPr>
        <w:t>The direct delivery to subjects shall comply with the guidelines referred to in paragraph 1 of Article 63a.</w:t>
      </w:r>
      <w:r w:rsidR="00EA4257" w:rsidRPr="004C70EC">
        <w:rPr>
          <w:rFonts w:eastAsia="Times New Roman"/>
          <w:noProof/>
          <w:color w:val="000000" w:themeColor="text1"/>
          <w:szCs w:val="24"/>
          <w:lang w:eastAsia="en-GB"/>
        </w:rPr>
        <w:t>’</w:t>
      </w:r>
      <w:r w:rsidR="49BA325D" w:rsidRPr="004C70EC">
        <w:rPr>
          <w:rFonts w:eastAsia="Times New Roman"/>
          <w:noProof/>
          <w:color w:val="000000" w:themeColor="text1"/>
          <w:szCs w:val="24"/>
          <w:lang w:eastAsia="en-GB"/>
        </w:rPr>
        <w:t>:</w:t>
      </w:r>
    </w:p>
    <w:p w14:paraId="141BBD34" w14:textId="77777777" w:rsidR="00273F36" w:rsidRPr="004C70EC" w:rsidRDefault="7A19B333" w:rsidP="4CF51068">
      <w:pPr>
        <w:pStyle w:val="Point0"/>
        <w:rPr>
          <w:rFonts w:eastAsia="Times New Roman"/>
          <w:noProof/>
          <w:color w:val="000000" w:themeColor="text1"/>
          <w:lang w:val="en-US" w:eastAsia="en-GB"/>
        </w:rPr>
      </w:pPr>
      <w:r w:rsidRPr="004C70EC">
        <w:rPr>
          <w:rFonts w:eastAsia="Times New Roman"/>
          <w:noProof/>
          <w:color w:val="000000" w:themeColor="text1"/>
          <w:lang w:eastAsia="en-GB"/>
        </w:rPr>
        <w:t>(3</w:t>
      </w:r>
      <w:r w:rsidR="3DC08D79" w:rsidRPr="004C70EC">
        <w:rPr>
          <w:rFonts w:eastAsia="Times New Roman"/>
          <w:noProof/>
          <w:color w:val="000000" w:themeColor="text1"/>
          <w:lang w:eastAsia="en-GB"/>
        </w:rPr>
        <w:t>4</w:t>
      </w:r>
      <w:r w:rsidRPr="004C70EC">
        <w:rPr>
          <w:rFonts w:eastAsia="Times New Roman"/>
          <w:noProof/>
          <w:color w:val="000000" w:themeColor="text1"/>
          <w:lang w:eastAsia="en-GB"/>
        </w:rPr>
        <w:t>)</w:t>
      </w:r>
      <w:r w:rsidR="00754032" w:rsidRPr="004C70EC">
        <w:rPr>
          <w:noProof/>
        </w:rPr>
        <w:tab/>
      </w:r>
      <w:r w:rsidR="6D58AE35" w:rsidRPr="004C70EC">
        <w:rPr>
          <w:rFonts w:eastAsia="Times New Roman"/>
          <w:noProof/>
          <w:color w:val="000000" w:themeColor="text1"/>
          <w:lang w:eastAsia="en-GB"/>
        </w:rPr>
        <w:t xml:space="preserve">in </w:t>
      </w:r>
      <w:r w:rsidR="249CF78E" w:rsidRPr="004C70EC">
        <w:rPr>
          <w:rFonts w:eastAsia="Times New Roman"/>
          <w:noProof/>
          <w:color w:val="000000" w:themeColor="text1"/>
          <w:lang w:eastAsia="en-GB"/>
        </w:rPr>
        <w:t>Article 51</w:t>
      </w:r>
      <w:r w:rsidR="6D58AE35" w:rsidRPr="004C70EC">
        <w:rPr>
          <w:rFonts w:eastAsia="Times New Roman"/>
          <w:noProof/>
          <w:color w:val="000000" w:themeColor="text1"/>
          <w:lang w:eastAsia="en-GB"/>
        </w:rPr>
        <w:t>(</w:t>
      </w:r>
      <w:r w:rsidR="249CF78E" w:rsidRPr="004C70EC">
        <w:rPr>
          <w:rFonts w:eastAsia="Times New Roman"/>
          <w:noProof/>
          <w:color w:val="000000" w:themeColor="text1"/>
          <w:lang w:eastAsia="en-GB"/>
        </w:rPr>
        <w:t>1</w:t>
      </w:r>
      <w:r w:rsidR="6D58AE35" w:rsidRPr="004C70EC">
        <w:rPr>
          <w:rFonts w:eastAsia="Times New Roman"/>
          <w:noProof/>
          <w:color w:val="000000" w:themeColor="text1"/>
          <w:lang w:eastAsia="en-GB"/>
        </w:rPr>
        <w:t>)</w:t>
      </w:r>
      <w:r w:rsidR="249CF78E" w:rsidRPr="004C70EC">
        <w:rPr>
          <w:rFonts w:eastAsia="Times New Roman"/>
          <w:noProof/>
          <w:color w:val="000000" w:themeColor="text1"/>
          <w:lang w:eastAsia="en-GB"/>
        </w:rPr>
        <w:t xml:space="preserve">, first subparagraph is replaced by the following: </w:t>
      </w:r>
    </w:p>
    <w:p w14:paraId="07363C80" w14:textId="77777777" w:rsidR="00273F36" w:rsidRPr="004C70EC" w:rsidRDefault="00EA4257" w:rsidP="00754032">
      <w:pPr>
        <w:pStyle w:val="Tex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w:t>
      </w:r>
      <w:r w:rsidR="00273F36" w:rsidRPr="004C70EC">
        <w:rPr>
          <w:rFonts w:eastAsia="Times New Roman"/>
          <w:noProof/>
          <w:color w:val="000000" w:themeColor="text1"/>
          <w:szCs w:val="24"/>
          <w:lang w:val="en-US" w:eastAsia="en-GB"/>
        </w:rPr>
        <w:t>Investigational medicinal products shall be traceable. They shall be stored, returned and/or destroyed as appropriate and proportionate to ensure the safety of the subject and the reliability and robustness of the data generated in the clinical trial, in particular, taking into account whether the investigational medicinal product is an authorised investi­gational medicinal product, and whether the clinical trial is a minimal</w:t>
      </w:r>
      <w:r w:rsidR="627D03D8" w:rsidRPr="004C70EC">
        <w:rPr>
          <w:rFonts w:eastAsia="Times New Roman"/>
          <w:noProof/>
          <w:color w:val="000000" w:themeColor="text1"/>
          <w:szCs w:val="24"/>
          <w:lang w:val="en-US" w:eastAsia="en-GB"/>
        </w:rPr>
        <w:t>-intervention</w:t>
      </w:r>
      <w:r w:rsidR="00273F36" w:rsidRPr="004C70EC">
        <w:rPr>
          <w:rFonts w:eastAsia="Times New Roman"/>
          <w:noProof/>
          <w:color w:val="000000" w:themeColor="text1"/>
          <w:szCs w:val="24"/>
          <w:lang w:val="en-US" w:eastAsia="en-GB"/>
        </w:rPr>
        <w:t xml:space="preserve"> or low-inter­vention clinical trial.</w:t>
      </w:r>
      <w:r w:rsidRPr="004C70EC">
        <w:rPr>
          <w:rFonts w:eastAsia="Times New Roman"/>
          <w:noProof/>
          <w:color w:val="000000" w:themeColor="text1"/>
          <w:szCs w:val="24"/>
          <w:lang w:val="en-US" w:eastAsia="en-GB"/>
        </w:rPr>
        <w:t>’</w:t>
      </w:r>
      <w:r w:rsidR="785E1FE5" w:rsidRPr="004C70EC">
        <w:rPr>
          <w:rFonts w:eastAsia="Times New Roman"/>
          <w:noProof/>
          <w:color w:val="000000" w:themeColor="text1"/>
          <w:szCs w:val="24"/>
          <w:lang w:val="en-US" w:eastAsia="en-GB"/>
        </w:rPr>
        <w:t>;</w:t>
      </w:r>
    </w:p>
    <w:p w14:paraId="46BBAE5A" w14:textId="77777777" w:rsidR="00273F36" w:rsidRPr="004C70EC" w:rsidRDefault="7A19B333" w:rsidP="4CF51068">
      <w:pPr>
        <w:pStyle w:val="Point0"/>
        <w:rPr>
          <w:rFonts w:eastAsia="Times New Roman"/>
          <w:noProof/>
          <w:color w:val="000000" w:themeColor="text1"/>
          <w:lang w:val="en-US" w:eastAsia="en-GB"/>
        </w:rPr>
      </w:pPr>
      <w:r w:rsidRPr="004C70EC">
        <w:rPr>
          <w:rFonts w:eastAsia="Times New Roman"/>
          <w:noProof/>
          <w:color w:val="000000" w:themeColor="text1"/>
          <w:lang w:eastAsia="en-GB"/>
        </w:rPr>
        <w:t>(3</w:t>
      </w:r>
      <w:r w:rsidR="2073F6F3" w:rsidRPr="004C70EC">
        <w:rPr>
          <w:rFonts w:eastAsia="Times New Roman"/>
          <w:noProof/>
          <w:color w:val="000000" w:themeColor="text1"/>
          <w:lang w:eastAsia="en-GB"/>
        </w:rPr>
        <w:t>5</w:t>
      </w:r>
      <w:r w:rsidRPr="004C70EC">
        <w:rPr>
          <w:rFonts w:eastAsia="Times New Roman"/>
          <w:noProof/>
          <w:color w:val="000000" w:themeColor="text1"/>
          <w:lang w:eastAsia="en-GB"/>
        </w:rPr>
        <w:t>)</w:t>
      </w:r>
      <w:r w:rsidR="00754032" w:rsidRPr="004C70EC">
        <w:rPr>
          <w:noProof/>
        </w:rPr>
        <w:tab/>
      </w:r>
      <w:r w:rsidR="6D58AE35" w:rsidRPr="004C70EC">
        <w:rPr>
          <w:rFonts w:eastAsia="Times New Roman"/>
          <w:noProof/>
          <w:color w:val="000000" w:themeColor="text1"/>
          <w:lang w:eastAsia="en-GB"/>
        </w:rPr>
        <w:t>i</w:t>
      </w:r>
      <w:r w:rsidR="249CF78E" w:rsidRPr="004C70EC">
        <w:rPr>
          <w:rFonts w:eastAsia="Times New Roman"/>
          <w:noProof/>
          <w:color w:val="000000" w:themeColor="text1"/>
          <w:lang w:eastAsia="en-GB"/>
        </w:rPr>
        <w:t>n Article 53</w:t>
      </w:r>
      <w:r w:rsidR="0616527B" w:rsidRPr="004C70EC">
        <w:rPr>
          <w:rFonts w:eastAsia="Times New Roman"/>
          <w:noProof/>
          <w:color w:val="000000" w:themeColor="text1"/>
          <w:lang w:eastAsia="en-GB"/>
        </w:rPr>
        <w:t>(</w:t>
      </w:r>
      <w:r w:rsidR="249CF78E" w:rsidRPr="004C70EC">
        <w:rPr>
          <w:rFonts w:eastAsia="Times New Roman"/>
          <w:noProof/>
          <w:color w:val="000000" w:themeColor="text1"/>
          <w:lang w:eastAsia="en-GB"/>
        </w:rPr>
        <w:t>2</w:t>
      </w:r>
      <w:r w:rsidR="0616527B" w:rsidRPr="004C70EC">
        <w:rPr>
          <w:rFonts w:eastAsia="Times New Roman"/>
          <w:noProof/>
          <w:color w:val="000000" w:themeColor="text1"/>
          <w:lang w:eastAsia="en-GB"/>
        </w:rPr>
        <w:t>)</w:t>
      </w:r>
      <w:r w:rsidR="249CF78E" w:rsidRPr="004C70EC">
        <w:rPr>
          <w:rFonts w:eastAsia="Times New Roman"/>
          <w:noProof/>
          <w:color w:val="000000" w:themeColor="text1"/>
          <w:lang w:eastAsia="en-GB"/>
        </w:rPr>
        <w:t xml:space="preserve">, the first sentence is replaced by the following: </w:t>
      </w:r>
    </w:p>
    <w:p w14:paraId="291C80D9" w14:textId="77777777" w:rsidR="00273F36" w:rsidRPr="004C70EC" w:rsidRDefault="140ACE50" w:rsidP="33CE1D06">
      <w:pPr>
        <w:pStyle w:val="Tex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w:t>
      </w:r>
      <w:r w:rsidR="2F263E33" w:rsidRPr="004C70EC">
        <w:rPr>
          <w:rFonts w:eastAsia="Times New Roman"/>
          <w:noProof/>
          <w:color w:val="000000" w:themeColor="text1"/>
          <w:szCs w:val="24"/>
          <w:lang w:val="en-US" w:eastAsia="en-GB"/>
        </w:rPr>
        <w:t>The sponsor shall submit to the Member States concerned, through the EU portal, inspection reports of third country authorities</w:t>
      </w:r>
      <w:r w:rsidR="57DCA5E1" w:rsidRPr="004C70EC">
        <w:rPr>
          <w:rFonts w:eastAsia="Times New Roman"/>
          <w:noProof/>
          <w:color w:val="000000" w:themeColor="text1"/>
          <w:szCs w:val="24"/>
          <w:lang w:val="en-US" w:eastAsia="en-GB"/>
        </w:rPr>
        <w:t xml:space="preserve"> concerning the clinical trial and</w:t>
      </w:r>
      <w:r w:rsidR="2F263E33" w:rsidRPr="004C70EC">
        <w:rPr>
          <w:rFonts w:eastAsia="Times New Roman"/>
          <w:noProof/>
          <w:color w:val="000000" w:themeColor="text1"/>
          <w:szCs w:val="24"/>
          <w:lang w:val="en-US" w:eastAsia="en-GB"/>
        </w:rPr>
        <w:t xml:space="preserve"> relevant to subject safety </w:t>
      </w:r>
      <w:r w:rsidRPr="004C70EC">
        <w:rPr>
          <w:rFonts w:eastAsia="Times New Roman"/>
          <w:noProof/>
          <w:color w:val="000000" w:themeColor="text1"/>
          <w:szCs w:val="24"/>
          <w:lang w:val="en-US" w:eastAsia="en-GB"/>
        </w:rPr>
        <w:t>.’</w:t>
      </w:r>
    </w:p>
    <w:p w14:paraId="4587C99E" w14:textId="77777777" w:rsidR="00273F36" w:rsidRPr="004C70EC" w:rsidRDefault="7A19B333" w:rsidP="4CF51068">
      <w:pPr>
        <w:pStyle w:val="Point0"/>
        <w:rPr>
          <w:rFonts w:eastAsia="Times New Roman"/>
          <w:noProof/>
          <w:color w:val="000000" w:themeColor="text1"/>
          <w:lang w:val="en-US" w:eastAsia="en-GB"/>
        </w:rPr>
      </w:pPr>
      <w:r w:rsidRPr="004C70EC">
        <w:rPr>
          <w:rFonts w:eastAsia="Times New Roman"/>
          <w:noProof/>
          <w:color w:val="000000" w:themeColor="text1"/>
          <w:lang w:eastAsia="en-GB"/>
        </w:rPr>
        <w:t>(3</w:t>
      </w:r>
      <w:r w:rsidR="37A7F8E7" w:rsidRPr="004C70EC">
        <w:rPr>
          <w:rFonts w:eastAsia="Times New Roman"/>
          <w:noProof/>
          <w:color w:val="000000" w:themeColor="text1"/>
          <w:lang w:eastAsia="en-GB"/>
        </w:rPr>
        <w:t>6</w:t>
      </w:r>
      <w:r w:rsidRPr="004C70EC">
        <w:rPr>
          <w:rFonts w:eastAsia="Times New Roman"/>
          <w:noProof/>
          <w:color w:val="000000" w:themeColor="text1"/>
          <w:lang w:eastAsia="en-GB"/>
        </w:rPr>
        <w:t>)</w:t>
      </w:r>
      <w:r w:rsidR="00754032" w:rsidRPr="004C70EC">
        <w:rPr>
          <w:noProof/>
        </w:rPr>
        <w:tab/>
      </w:r>
      <w:r w:rsidR="0616527B" w:rsidRPr="004C70EC">
        <w:rPr>
          <w:rFonts w:eastAsia="Times New Roman"/>
          <w:noProof/>
          <w:color w:val="000000" w:themeColor="text1"/>
          <w:lang w:eastAsia="en-GB"/>
        </w:rPr>
        <w:t>i</w:t>
      </w:r>
      <w:r w:rsidR="249CF78E" w:rsidRPr="004C70EC">
        <w:rPr>
          <w:rFonts w:eastAsia="Times New Roman"/>
          <w:noProof/>
          <w:color w:val="000000" w:themeColor="text1"/>
          <w:lang w:eastAsia="en-GB"/>
        </w:rPr>
        <w:t>n Article 57, the first subparagraph is replaced by the following:</w:t>
      </w:r>
    </w:p>
    <w:p w14:paraId="054E8280" w14:textId="77777777" w:rsidR="00273F36" w:rsidRPr="004C70EC" w:rsidRDefault="004708E7" w:rsidP="00754032">
      <w:pPr>
        <w:pStyle w:val="Tex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w:t>
      </w:r>
      <w:r w:rsidR="00273F36" w:rsidRPr="004C70EC">
        <w:rPr>
          <w:rFonts w:eastAsia="Times New Roman"/>
          <w:noProof/>
          <w:color w:val="000000" w:themeColor="text1"/>
          <w:szCs w:val="24"/>
          <w:lang w:val="en-US" w:eastAsia="en-GB"/>
        </w:rPr>
        <w:t>The sponsor and the investigator shall keep a clinical trial master file. The clinical trial master file shall at all times contain the essential documents relating to that clinical trial which allow verification of the conduct of a clinical trial and the quality of the data generated, taking into account all characteristics of the clinical trial, including in particular whether the clinical trial is a minimal-intervention or low-intervention clinical trial.</w:t>
      </w:r>
      <w:r w:rsidRPr="004C70EC">
        <w:rPr>
          <w:rFonts w:eastAsia="Times New Roman"/>
          <w:noProof/>
          <w:color w:val="000000" w:themeColor="text1"/>
          <w:szCs w:val="24"/>
          <w:lang w:val="en-US" w:eastAsia="en-GB"/>
        </w:rPr>
        <w:t>’</w:t>
      </w:r>
      <w:r w:rsidR="4855C459" w:rsidRPr="004C70EC">
        <w:rPr>
          <w:rFonts w:eastAsia="Times New Roman"/>
          <w:noProof/>
          <w:color w:val="000000" w:themeColor="text1"/>
          <w:szCs w:val="24"/>
          <w:lang w:val="en-US" w:eastAsia="en-GB"/>
        </w:rPr>
        <w:t>;</w:t>
      </w:r>
    </w:p>
    <w:p w14:paraId="2FF122A5" w14:textId="77777777" w:rsidR="00273F36" w:rsidRPr="004C70EC" w:rsidRDefault="7A19B333" w:rsidP="4CF51068">
      <w:pPr>
        <w:pStyle w:val="Point0"/>
        <w:rPr>
          <w:rFonts w:eastAsia="Times New Roman"/>
          <w:noProof/>
          <w:color w:val="000000" w:themeColor="text1"/>
          <w:lang w:val="en-US" w:eastAsia="en-GB"/>
        </w:rPr>
      </w:pPr>
      <w:r w:rsidRPr="004C70EC">
        <w:rPr>
          <w:rFonts w:eastAsia="Times New Roman"/>
          <w:noProof/>
          <w:color w:val="000000" w:themeColor="text1"/>
          <w:lang w:val="en-US" w:eastAsia="en-GB"/>
        </w:rPr>
        <w:t>(3</w:t>
      </w:r>
      <w:r w:rsidR="00FD37A0" w:rsidRPr="004C70EC">
        <w:rPr>
          <w:rFonts w:eastAsia="Times New Roman"/>
          <w:noProof/>
          <w:color w:val="000000" w:themeColor="text1"/>
          <w:lang w:val="en-US" w:eastAsia="en-GB"/>
        </w:rPr>
        <w:t>7</w:t>
      </w:r>
      <w:r w:rsidRPr="004C70EC">
        <w:rPr>
          <w:rFonts w:eastAsia="Times New Roman"/>
          <w:noProof/>
          <w:color w:val="000000" w:themeColor="text1"/>
          <w:lang w:val="en-US" w:eastAsia="en-GB"/>
        </w:rPr>
        <w:t>)</w:t>
      </w:r>
      <w:r w:rsidR="00754032" w:rsidRPr="004C70EC">
        <w:rPr>
          <w:noProof/>
        </w:rPr>
        <w:tab/>
      </w:r>
      <w:r w:rsidR="249CF78E" w:rsidRPr="004C70EC">
        <w:rPr>
          <w:rFonts w:eastAsia="Times New Roman"/>
          <w:noProof/>
          <w:color w:val="000000" w:themeColor="text1"/>
          <w:lang w:val="en-US" w:eastAsia="en-GB"/>
        </w:rPr>
        <w:t xml:space="preserve">Article 61 is amended as follows: </w:t>
      </w:r>
    </w:p>
    <w:p w14:paraId="50CAEBFB" w14:textId="77777777" w:rsidR="00754032" w:rsidRPr="004C70EC" w:rsidRDefault="00754032" w:rsidP="00754032">
      <w:pPr>
        <w:pStyle w:val="Point1"/>
        <w:rPr>
          <w:noProof/>
          <w:color w:val="000000" w:themeColor="text1"/>
          <w:szCs w:val="24"/>
          <w:lang w:val="en-US" w:eastAsia="en-GB"/>
        </w:rPr>
      </w:pPr>
      <w:r w:rsidRPr="004C70EC">
        <w:rPr>
          <w:noProof/>
          <w:color w:val="000000" w:themeColor="text1"/>
          <w:szCs w:val="24"/>
          <w:lang w:val="en-IE" w:eastAsia="en-IE"/>
        </w:rPr>
        <w:t>(a)</w:t>
      </w:r>
      <w:r w:rsidRPr="004C70EC">
        <w:rPr>
          <w:noProof/>
          <w:color w:val="000000" w:themeColor="text1"/>
          <w:szCs w:val="24"/>
          <w:lang w:val="en-IE" w:eastAsia="en-IE"/>
        </w:rPr>
        <w:tab/>
      </w:r>
      <w:r w:rsidR="004708E7" w:rsidRPr="004C70EC">
        <w:rPr>
          <w:noProof/>
          <w:color w:val="000000" w:themeColor="text1"/>
          <w:szCs w:val="24"/>
          <w:lang w:val="en-IE" w:eastAsia="en-IE"/>
        </w:rPr>
        <w:t>p</w:t>
      </w:r>
      <w:r w:rsidR="00273F36" w:rsidRPr="004C70EC">
        <w:rPr>
          <w:noProof/>
          <w:color w:val="000000" w:themeColor="text1"/>
          <w:szCs w:val="24"/>
          <w:lang w:val="en-IE" w:eastAsia="en-IE"/>
        </w:rPr>
        <w:t xml:space="preserve">aragraph 6 is replaced by the following: </w:t>
      </w:r>
    </w:p>
    <w:p w14:paraId="13CBE66F" w14:textId="77777777" w:rsidR="00273F36" w:rsidRPr="004C70EC" w:rsidRDefault="004708E7" w:rsidP="006E6B00">
      <w:pPr>
        <w:pStyle w:val="Point2"/>
        <w:rPr>
          <w:noProof/>
          <w:color w:val="000000" w:themeColor="text1"/>
          <w:szCs w:val="24"/>
          <w:lang w:val="en-US" w:eastAsia="en-GB"/>
        </w:rPr>
      </w:pPr>
      <w:r w:rsidRPr="004C70EC">
        <w:rPr>
          <w:noProof/>
          <w:color w:val="000000" w:themeColor="text1"/>
          <w:szCs w:val="24"/>
          <w:lang w:val="en-US" w:eastAsia="en-GB"/>
        </w:rPr>
        <w:t>‘6.</w:t>
      </w:r>
      <w:r w:rsidR="006E6B00" w:rsidRPr="004C70EC">
        <w:rPr>
          <w:noProof/>
          <w:color w:val="000000" w:themeColor="text1"/>
          <w:szCs w:val="24"/>
        </w:rPr>
        <w:tab/>
      </w:r>
      <w:r w:rsidR="00273F36" w:rsidRPr="004C70EC">
        <w:rPr>
          <w:noProof/>
          <w:color w:val="000000" w:themeColor="text1"/>
          <w:szCs w:val="24"/>
          <w:lang w:val="en-US" w:eastAsia="en-GB"/>
        </w:rPr>
        <w:t xml:space="preserve">Member States shall make the processes set out in paragraph </w:t>
      </w:r>
      <w:r w:rsidR="00273F36" w:rsidRPr="004C70EC">
        <w:rPr>
          <w:noProof/>
          <w:color w:val="000000" w:themeColor="text1"/>
          <w:szCs w:val="24"/>
          <w:lang w:val="bg" w:eastAsia="en-GB"/>
        </w:rPr>
        <w:t xml:space="preserve">5 </w:t>
      </w:r>
      <w:r w:rsidR="00273F36" w:rsidRPr="004C70EC">
        <w:rPr>
          <w:noProof/>
          <w:color w:val="000000" w:themeColor="text1"/>
          <w:szCs w:val="24"/>
          <w:lang w:val="en-US" w:eastAsia="en-GB"/>
        </w:rPr>
        <w:t xml:space="preserve">subject to appropriate and proportionate requirements to ensure subject safety and reliability and robustness of the data generated in the clinical trial </w:t>
      </w:r>
      <w:r w:rsidR="00273F36" w:rsidRPr="004C70EC">
        <w:rPr>
          <w:noProof/>
          <w:color w:val="000000" w:themeColor="text1"/>
          <w:szCs w:val="24"/>
          <w:lang w:eastAsia="en-GB"/>
        </w:rPr>
        <w:t>while taking into account the guidelines referred to in paragraph 7. They shall subject the processes to regular inspections.</w:t>
      </w:r>
      <w:r w:rsidRPr="004C70EC">
        <w:rPr>
          <w:noProof/>
          <w:color w:val="000000" w:themeColor="text1"/>
          <w:szCs w:val="24"/>
          <w:lang w:val="en-US" w:eastAsia="en-GB"/>
        </w:rPr>
        <w:t>’</w:t>
      </w:r>
      <w:r w:rsidR="1A1DB5CC" w:rsidRPr="004C70EC">
        <w:rPr>
          <w:noProof/>
          <w:color w:val="000000" w:themeColor="text1"/>
          <w:szCs w:val="24"/>
          <w:lang w:val="en-US" w:eastAsia="en-GB"/>
        </w:rPr>
        <w:t>;</w:t>
      </w:r>
    </w:p>
    <w:p w14:paraId="1053F988" w14:textId="77777777" w:rsidR="00754032" w:rsidRPr="004C70EC" w:rsidRDefault="00754032" w:rsidP="00754032">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(b)</w:t>
      </w:r>
      <w:r w:rsidRPr="004C70EC">
        <w:rPr>
          <w:noProof/>
          <w:color w:val="000000" w:themeColor="text1"/>
          <w:szCs w:val="24"/>
        </w:rPr>
        <w:tab/>
      </w:r>
      <w:r w:rsidR="004708E7" w:rsidRPr="004C70EC">
        <w:rPr>
          <w:rFonts w:eastAsia="Times New Roman"/>
          <w:noProof/>
          <w:color w:val="000000" w:themeColor="text1"/>
          <w:szCs w:val="24"/>
          <w:lang w:val="en-US" w:eastAsia="en-GB"/>
        </w:rPr>
        <w:t>the following p</w:t>
      </w:r>
      <w:r w:rsidR="00273F36" w:rsidRPr="004C70EC">
        <w:rPr>
          <w:rFonts w:eastAsia="Times New Roman"/>
          <w:noProof/>
          <w:color w:val="000000" w:themeColor="text1"/>
          <w:szCs w:val="24"/>
          <w:lang w:val="en-US" w:eastAsia="en-GB"/>
        </w:rPr>
        <w:t xml:space="preserve">aragraph 7 is added: </w:t>
      </w:r>
    </w:p>
    <w:p w14:paraId="00989BA5" w14:textId="77777777" w:rsidR="00812327" w:rsidRPr="004C70EC" w:rsidRDefault="004708E7" w:rsidP="006E6B00">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eastAsia="en-GB"/>
        </w:rPr>
        <w:t>‘7.</w:t>
      </w:r>
      <w:r w:rsidR="006E6B00" w:rsidRPr="004C70EC">
        <w:rPr>
          <w:rFonts w:eastAsia="Times New Roman"/>
          <w:noProof/>
          <w:color w:val="000000" w:themeColor="text1"/>
          <w:szCs w:val="24"/>
          <w:lang w:eastAsia="en-GB"/>
        </w:rPr>
        <w:tab/>
      </w:r>
      <w:r w:rsidR="00273F36" w:rsidRPr="004C70EC">
        <w:rPr>
          <w:rFonts w:eastAsia="Times New Roman"/>
          <w:noProof/>
          <w:color w:val="000000" w:themeColor="text1"/>
          <w:szCs w:val="24"/>
          <w:lang w:eastAsia="en-GB"/>
        </w:rPr>
        <w:t>The inspection working groups referred to in Article 142, point (k) of Regulation (EU) …/… of the European Parliament and the Council [</w:t>
      </w:r>
      <w:r w:rsidR="00273F36" w:rsidRPr="004C70EC">
        <w:rPr>
          <w:rFonts w:eastAsiaTheme="minorEastAsia"/>
          <w:i/>
          <w:noProof/>
          <w:color w:val="000000" w:themeColor="text1"/>
          <w:kern w:val="2"/>
          <w:szCs w:val="24"/>
          <w:lang w:val="en-US"/>
        </w:rPr>
        <w:t>reference to be added after adoption cf. COM</w:t>
      </w:r>
      <w:r w:rsidR="00273F36" w:rsidRPr="004C70EC">
        <w:rPr>
          <w:rFonts w:eastAsiaTheme="minorEastAsia"/>
          <w:noProof/>
          <w:color w:val="000000" w:themeColor="text1"/>
          <w:kern w:val="2"/>
          <w:szCs w:val="24"/>
          <w:lang w:val="en-US"/>
        </w:rPr>
        <w:t xml:space="preserve">(2023) 193 </w:t>
      </w:r>
      <w:r w:rsidR="00273F36" w:rsidRPr="004C70EC">
        <w:rPr>
          <w:rFonts w:eastAsiaTheme="minorEastAsia"/>
          <w:i/>
          <w:noProof/>
          <w:color w:val="000000" w:themeColor="text1"/>
          <w:kern w:val="2"/>
          <w:szCs w:val="24"/>
          <w:lang w:val="en-US"/>
        </w:rPr>
        <w:t>final</w:t>
      </w:r>
      <w:r w:rsidR="00273F36" w:rsidRPr="004C70EC">
        <w:rPr>
          <w:rFonts w:eastAsiaTheme="minorEastAsia"/>
          <w:noProof/>
          <w:color w:val="000000" w:themeColor="text1"/>
          <w:kern w:val="2"/>
          <w:szCs w:val="24"/>
          <w:lang w:val="en-US"/>
        </w:rPr>
        <w:t>]</w:t>
      </w:r>
      <w:r w:rsidR="00812327" w:rsidRPr="004C70EC">
        <w:rPr>
          <w:rFonts w:eastAsiaTheme="minorEastAsia"/>
          <w:noProof/>
          <w:color w:val="000000" w:themeColor="text1"/>
          <w:szCs w:val="24"/>
          <w:lang w:val="en-US"/>
        </w:rPr>
        <w:t>*</w:t>
      </w:r>
      <w:r w:rsidR="00273F36" w:rsidRPr="004C70EC">
        <w:rPr>
          <w:rFonts w:eastAsia="Times New Roman"/>
          <w:noProof/>
          <w:color w:val="000000" w:themeColor="text1"/>
          <w:szCs w:val="24"/>
          <w:lang w:eastAsia="en-GB"/>
        </w:rPr>
        <w:t>, in agreement with the Commission, may draw up guidelines on general principles applicable to the processes set out in paragraph 5, including for auxiliary medicinal products, and revise them as necessary in order to take account of technical and scientific progress.</w:t>
      </w:r>
    </w:p>
    <w:p w14:paraId="7997B61F" w14:textId="77777777" w:rsidR="00812327" w:rsidRPr="004C70EC" w:rsidRDefault="00812327" w:rsidP="00754032">
      <w:pPr>
        <w:pStyle w:val="Text2"/>
        <w:pBdr>
          <w:bottom w:val="single" w:sz="6" w:space="1" w:color="auto"/>
        </w:pBdr>
        <w:rPr>
          <w:rFonts w:eastAsia="Times New Roman"/>
          <w:noProof/>
          <w:color w:val="000000" w:themeColor="text1"/>
          <w:szCs w:val="24"/>
          <w:lang w:val="en-US" w:eastAsia="en-GB"/>
        </w:rPr>
      </w:pPr>
    </w:p>
    <w:p w14:paraId="4C32B168" w14:textId="77777777" w:rsidR="00754032" w:rsidRPr="004C70EC" w:rsidRDefault="00812327" w:rsidP="00754032">
      <w:pPr>
        <w:pStyle w:val="Tex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w:t>
      </w:r>
      <w:r w:rsidR="00A456BE" w:rsidRPr="004C70EC">
        <w:rPr>
          <w:noProof/>
          <w:color w:val="000000" w:themeColor="text1"/>
          <w:szCs w:val="24"/>
          <w:shd w:val="clear" w:color="auto" w:fill="FFFFFF"/>
        </w:rPr>
        <w:t>Proposal for a REGULATION OF THE EUROPEAN PARLIAMENT AND OF THE COUNCIL laying down Union procedures for the authorisation and supervision of medicinal products for human use and establishing rules governing the European Medicines Agency, amending Regulation (EC) No 1394/2007 and Regulation (EU) No 536/2014 and repealing Regulation (EC) No 726/2004, Regulation (EC) No 141/2000 and Regulation (EC) No 1901/2006, COM/2023/193final</w:t>
      </w:r>
      <w:r w:rsidRPr="004C70EC">
        <w:rPr>
          <w:noProof/>
          <w:color w:val="000000" w:themeColor="text1"/>
          <w:szCs w:val="24"/>
        </w:rPr>
        <w:t>.’</w:t>
      </w:r>
    </w:p>
    <w:p w14:paraId="4FCCC89C" w14:textId="77777777" w:rsidR="00273F36" w:rsidRPr="004C70EC" w:rsidRDefault="7A19B333" w:rsidP="4CF51068">
      <w:pPr>
        <w:pStyle w:val="Point0"/>
        <w:rPr>
          <w:rFonts w:eastAsia="Times New Roman"/>
          <w:noProof/>
          <w:color w:val="000000" w:themeColor="text1"/>
          <w:lang w:val="en-US" w:eastAsia="en-GB"/>
        </w:rPr>
      </w:pPr>
      <w:r w:rsidRPr="004C70EC">
        <w:rPr>
          <w:rFonts w:eastAsia="Times New Roman"/>
          <w:noProof/>
          <w:color w:val="000000" w:themeColor="text1"/>
          <w:lang w:val="en-US" w:eastAsia="en-GB"/>
        </w:rPr>
        <w:t>(</w:t>
      </w:r>
      <w:r w:rsidR="6402D25E" w:rsidRPr="004C70EC">
        <w:rPr>
          <w:rFonts w:eastAsia="Times New Roman"/>
          <w:noProof/>
          <w:color w:val="000000" w:themeColor="text1"/>
          <w:lang w:val="en-US" w:eastAsia="en-GB"/>
        </w:rPr>
        <w:t>3</w:t>
      </w:r>
      <w:r w:rsidR="0A2FF24A" w:rsidRPr="004C70EC">
        <w:rPr>
          <w:rFonts w:eastAsia="Times New Roman"/>
          <w:noProof/>
          <w:color w:val="000000" w:themeColor="text1"/>
          <w:lang w:val="en-US" w:eastAsia="en-GB"/>
        </w:rPr>
        <w:t>8</w:t>
      </w:r>
      <w:r w:rsidRPr="004C70EC">
        <w:rPr>
          <w:rFonts w:eastAsia="Times New Roman"/>
          <w:noProof/>
          <w:color w:val="000000" w:themeColor="text1"/>
          <w:lang w:val="en-US" w:eastAsia="en-GB"/>
        </w:rPr>
        <w:t>)</w:t>
      </w:r>
      <w:r w:rsidR="00754032" w:rsidRPr="004C70EC">
        <w:rPr>
          <w:noProof/>
        </w:rPr>
        <w:tab/>
      </w:r>
      <w:r w:rsidR="42676F4A" w:rsidRPr="004C70EC">
        <w:rPr>
          <w:rFonts w:eastAsia="Times New Roman"/>
          <w:noProof/>
          <w:color w:val="000000" w:themeColor="text1"/>
          <w:lang w:val="en-US" w:eastAsia="en-GB"/>
        </w:rPr>
        <w:t>i</w:t>
      </w:r>
      <w:r w:rsidR="249CF78E" w:rsidRPr="004C70EC">
        <w:rPr>
          <w:rFonts w:eastAsia="Times New Roman"/>
          <w:noProof/>
          <w:color w:val="000000" w:themeColor="text1"/>
          <w:lang w:val="en-US" w:eastAsia="en-GB"/>
        </w:rPr>
        <w:t>n Article 63, paragraph 4 is replaced by the following:</w:t>
      </w:r>
    </w:p>
    <w:p w14:paraId="7E38DCBD" w14:textId="77777777" w:rsidR="00603BBB" w:rsidRPr="004C70EC" w:rsidRDefault="47C4999D" w:rsidP="00F604BB">
      <w:pPr>
        <w:pStyle w:val="Point1"/>
        <w:rPr>
          <w:noProof/>
          <w:lang w:val="en-US" w:eastAsia="en-GB"/>
        </w:rPr>
      </w:pPr>
      <w:r w:rsidRPr="004C70EC">
        <w:rPr>
          <w:noProof/>
          <w:lang w:val="en-US"/>
        </w:rPr>
        <w:t>‘4.</w:t>
      </w:r>
      <w:r w:rsidR="00F604BB" w:rsidRPr="004C70EC">
        <w:rPr>
          <w:noProof/>
          <w:lang w:val="en-US"/>
        </w:rPr>
        <w:tab/>
      </w:r>
      <w:r w:rsidR="00273F36" w:rsidRPr="004C70EC">
        <w:rPr>
          <w:noProof/>
          <w:lang w:val="en-US" w:eastAsia="en-GB"/>
        </w:rPr>
        <w:t>The Member States shall ensure compliance with the requirements of this Article by means of inspections.</w:t>
      </w:r>
      <w:r w:rsidR="00273F36" w:rsidRPr="004C70EC">
        <w:rPr>
          <w:b/>
          <w:smallCaps/>
          <w:noProof/>
          <w:lang w:val="en-US" w:eastAsia="en-GB"/>
        </w:rPr>
        <w:t xml:space="preserve"> </w:t>
      </w:r>
      <w:r w:rsidR="00273F36" w:rsidRPr="004C70EC">
        <w:rPr>
          <w:noProof/>
          <w:lang w:val="en-US" w:eastAsia="en-GB"/>
        </w:rPr>
        <w:t>Articles 188, with exception of its paragraph 3 and 4, and 189 of Directive (EU) …/… [</w:t>
      </w:r>
      <w:r w:rsidR="00273F36" w:rsidRPr="004C70EC">
        <w:rPr>
          <w:rFonts w:eastAsiaTheme="minorEastAsia"/>
          <w:i/>
          <w:noProof/>
          <w:kern w:val="2"/>
          <w:lang w:val="en-US"/>
        </w:rPr>
        <w:t>reference to be added after adoption cf. COM</w:t>
      </w:r>
      <w:r w:rsidR="00273F36" w:rsidRPr="004C70EC">
        <w:rPr>
          <w:rFonts w:eastAsiaTheme="minorEastAsia"/>
          <w:noProof/>
          <w:kern w:val="2"/>
          <w:lang w:val="en-US"/>
        </w:rPr>
        <w:t xml:space="preserve">(2023) 192 </w:t>
      </w:r>
      <w:r w:rsidR="00273F36" w:rsidRPr="004C70EC">
        <w:rPr>
          <w:rFonts w:eastAsiaTheme="minorEastAsia"/>
          <w:i/>
          <w:noProof/>
          <w:kern w:val="2"/>
          <w:lang w:val="en-US"/>
        </w:rPr>
        <w:t>final</w:t>
      </w:r>
      <w:r w:rsidR="00273F36" w:rsidRPr="004C70EC">
        <w:rPr>
          <w:noProof/>
          <w:lang w:val="en-US" w:eastAsia="en-GB"/>
        </w:rPr>
        <w:t>]</w:t>
      </w:r>
      <w:r w:rsidR="00603BBB" w:rsidRPr="004C70EC">
        <w:rPr>
          <w:noProof/>
          <w:lang w:val="en-US" w:eastAsia="en-GB"/>
        </w:rPr>
        <w:t>*</w:t>
      </w:r>
      <w:r w:rsidR="00273F36" w:rsidRPr="004C70EC">
        <w:rPr>
          <w:noProof/>
          <w:lang w:val="en-US" w:eastAsia="en-GB"/>
        </w:rPr>
        <w:t xml:space="preserve"> and article 52 of </w:t>
      </w:r>
      <w:bookmarkStart w:id="35" w:name="_Hlk213962636"/>
      <w:r w:rsidR="00273F36" w:rsidRPr="004C70EC">
        <w:rPr>
          <w:noProof/>
          <w:lang w:eastAsia="en-GB"/>
        </w:rPr>
        <w:t>Regulation (EU) …/… of the European Parliament and the Council [</w:t>
      </w:r>
      <w:r w:rsidR="00273F36" w:rsidRPr="004C70EC">
        <w:rPr>
          <w:rFonts w:eastAsiaTheme="minorEastAsia"/>
          <w:i/>
          <w:noProof/>
          <w:kern w:val="2"/>
          <w:lang w:val="en-US"/>
        </w:rPr>
        <w:t>reference to be added after adoption cf. COM</w:t>
      </w:r>
      <w:r w:rsidR="00273F36" w:rsidRPr="004C70EC">
        <w:rPr>
          <w:rFonts w:eastAsiaTheme="minorEastAsia"/>
          <w:noProof/>
          <w:kern w:val="2"/>
          <w:lang w:val="en-US"/>
        </w:rPr>
        <w:t xml:space="preserve">(2023) 193 </w:t>
      </w:r>
      <w:r w:rsidR="00273F36" w:rsidRPr="004C70EC">
        <w:rPr>
          <w:rFonts w:eastAsiaTheme="minorEastAsia"/>
          <w:i/>
          <w:noProof/>
          <w:kern w:val="2"/>
          <w:lang w:val="en-US"/>
        </w:rPr>
        <w:t>final]</w:t>
      </w:r>
      <w:r w:rsidR="00603BBB" w:rsidRPr="004C70EC">
        <w:rPr>
          <w:rFonts w:eastAsiaTheme="minorEastAsia"/>
          <w:i/>
          <w:noProof/>
          <w:lang w:val="en-US"/>
        </w:rPr>
        <w:t>**</w:t>
      </w:r>
      <w:r w:rsidR="00273F36" w:rsidRPr="004C70EC">
        <w:rPr>
          <w:noProof/>
          <w:lang w:val="en-US" w:eastAsia="en-GB"/>
        </w:rPr>
        <w:t xml:space="preserve"> </w:t>
      </w:r>
      <w:bookmarkEnd w:id="35"/>
      <w:r w:rsidR="00273F36" w:rsidRPr="004C70EC">
        <w:rPr>
          <w:noProof/>
          <w:lang w:val="en-US" w:eastAsia="en-GB"/>
        </w:rPr>
        <w:t>apply mutatis mutandis.</w:t>
      </w:r>
    </w:p>
    <w:p w14:paraId="66793738" w14:textId="77777777" w:rsidR="00603BBB" w:rsidRPr="004C70EC" w:rsidRDefault="00603BBB" w:rsidP="00754032">
      <w:pPr>
        <w:pStyle w:val="Text1"/>
        <w:pBdr>
          <w:bottom w:val="single" w:sz="6" w:space="1" w:color="auto"/>
        </w:pBdr>
        <w:rPr>
          <w:rFonts w:eastAsia="Times New Roman"/>
          <w:noProof/>
          <w:color w:val="000000" w:themeColor="text1"/>
          <w:szCs w:val="24"/>
          <w:lang w:val="en-US" w:eastAsia="en-GB"/>
        </w:rPr>
      </w:pPr>
    </w:p>
    <w:p w14:paraId="53484339" w14:textId="77777777" w:rsidR="00603BBB" w:rsidRPr="004C70EC" w:rsidRDefault="00481E93" w:rsidP="00481E93">
      <w:pPr>
        <w:pStyle w:val="Text1"/>
        <w:rPr>
          <w:rFonts w:eastAsia="Times New Roman"/>
          <w:noProof/>
          <w:color w:val="000000" w:themeColor="text1"/>
          <w:szCs w:val="24"/>
          <w:lang w:val="en-US" w:eastAsia="en-GB"/>
        </w:rPr>
      </w:pPr>
      <w:r w:rsidRPr="004C70EC">
        <w:rPr>
          <w:noProof/>
          <w:color w:val="000000" w:themeColor="text1"/>
          <w:szCs w:val="24"/>
        </w:rPr>
        <w:t xml:space="preserve">* </w:t>
      </w:r>
      <w:r w:rsidR="00FD17AA" w:rsidRPr="004C70EC">
        <w:rPr>
          <w:noProof/>
          <w:color w:val="000000" w:themeColor="text1"/>
          <w:szCs w:val="24"/>
        </w:rPr>
        <w:t>Proposal for a DIRECTIVE OF THE EUROPEAN PARLIAMENT AND OF THE COUNCIL on the Union code relating to medicinal products for human use, and repealing Directive 2001/83/EC and Directive 2009/35/EC COM/2023/192final</w:t>
      </w:r>
    </w:p>
    <w:p w14:paraId="1647C06B" w14:textId="77777777" w:rsidR="00273F36" w:rsidRPr="004C70EC" w:rsidRDefault="00603BBB" w:rsidP="00754032">
      <w:pPr>
        <w:pStyle w:val="Tex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 xml:space="preserve">** </w:t>
      </w:r>
      <w:r w:rsidRPr="004C70EC">
        <w:rPr>
          <w:noProof/>
          <w:color w:val="000000" w:themeColor="text1"/>
          <w:szCs w:val="24"/>
          <w:shd w:val="clear" w:color="auto" w:fill="FFFFFF"/>
        </w:rPr>
        <w:t>Proposal for a REGULATION OF THE EUROPEAN PARLIAMENT AND OF THE COUNCIL laying down Union procedures for the authorisation and supervision of medicinal products for human use and establishing rules governing the European Medicines Agency, amending Regulation (EC) No 1394/2007 and Regulation (EU) No 536/2014 and repealing Regulation (EC) No 726/2004, Regulation (EC) No 141/2000 and Regulation (EC) No 1901/2006, COM/2023/193final</w:t>
      </w:r>
      <w:r w:rsidR="007E7798" w:rsidRPr="004C70EC">
        <w:rPr>
          <w:noProof/>
          <w:color w:val="000000" w:themeColor="text1"/>
          <w:szCs w:val="24"/>
          <w:shd w:val="clear" w:color="auto" w:fill="FFFFFF"/>
        </w:rPr>
        <w:t>’</w:t>
      </w:r>
    </w:p>
    <w:p w14:paraId="59AD9320" w14:textId="77777777" w:rsidR="00273F36" w:rsidRPr="004C70EC" w:rsidRDefault="7A19B333" w:rsidP="4CF51068">
      <w:pPr>
        <w:pStyle w:val="Point0"/>
        <w:rPr>
          <w:rFonts w:eastAsia="Times New Roman"/>
          <w:noProof/>
          <w:color w:val="000000" w:themeColor="text1"/>
          <w:lang w:val="en-US" w:eastAsia="en-GB"/>
        </w:rPr>
      </w:pPr>
      <w:r w:rsidRPr="004C70EC">
        <w:rPr>
          <w:rFonts w:eastAsia="Times New Roman"/>
          <w:noProof/>
          <w:color w:val="000000" w:themeColor="text1"/>
          <w:lang w:val="en-US" w:eastAsia="en-GB"/>
        </w:rPr>
        <w:t>(</w:t>
      </w:r>
      <w:r w:rsidR="7E83FA72" w:rsidRPr="004C70EC">
        <w:rPr>
          <w:rFonts w:eastAsia="Times New Roman"/>
          <w:noProof/>
          <w:color w:val="000000" w:themeColor="text1"/>
          <w:lang w:val="en-US" w:eastAsia="en-GB"/>
        </w:rPr>
        <w:t>39</w:t>
      </w:r>
      <w:r w:rsidRPr="004C70EC">
        <w:rPr>
          <w:rFonts w:eastAsia="Times New Roman"/>
          <w:noProof/>
          <w:color w:val="000000" w:themeColor="text1"/>
          <w:lang w:val="en-US" w:eastAsia="en-GB"/>
        </w:rPr>
        <w:t>)</w:t>
      </w:r>
      <w:r w:rsidR="00754032" w:rsidRPr="004C70EC">
        <w:rPr>
          <w:noProof/>
        </w:rPr>
        <w:tab/>
      </w:r>
      <w:r w:rsidR="4FADF27A" w:rsidRPr="004C70EC">
        <w:rPr>
          <w:rFonts w:eastAsia="Times New Roman"/>
          <w:noProof/>
          <w:color w:val="000000" w:themeColor="text1"/>
          <w:lang w:val="en-US" w:eastAsia="en-GB"/>
        </w:rPr>
        <w:t>t</w:t>
      </w:r>
      <w:r w:rsidR="249CF78E" w:rsidRPr="004C70EC">
        <w:rPr>
          <w:rFonts w:eastAsia="Times New Roman"/>
          <w:noProof/>
          <w:color w:val="000000" w:themeColor="text1"/>
          <w:lang w:val="en-US" w:eastAsia="en-GB"/>
        </w:rPr>
        <w:t xml:space="preserve">he following Article </w:t>
      </w:r>
      <w:r w:rsidR="5305034B" w:rsidRPr="004C70EC">
        <w:rPr>
          <w:rFonts w:eastAsia="Times New Roman"/>
          <w:noProof/>
          <w:color w:val="000000" w:themeColor="text1"/>
          <w:lang w:val="en-US" w:eastAsia="en-GB"/>
        </w:rPr>
        <w:t xml:space="preserve">63a </w:t>
      </w:r>
      <w:r w:rsidR="249CF78E" w:rsidRPr="004C70EC">
        <w:rPr>
          <w:rFonts w:eastAsia="Times New Roman"/>
          <w:noProof/>
          <w:color w:val="000000" w:themeColor="text1"/>
          <w:lang w:val="en-US" w:eastAsia="en-GB"/>
        </w:rPr>
        <w:t xml:space="preserve">is inserted: </w:t>
      </w:r>
    </w:p>
    <w:p w14:paraId="72F20CB0" w14:textId="77777777" w:rsidR="00273F36" w:rsidRPr="004C70EC" w:rsidRDefault="00B62F13" w:rsidP="00754032">
      <w:pPr>
        <w:pStyle w:val="Titrearticle"/>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w:t>
      </w:r>
      <w:r w:rsidR="00273F36" w:rsidRPr="004C70EC">
        <w:rPr>
          <w:rFonts w:eastAsia="Times New Roman"/>
          <w:noProof/>
          <w:color w:val="000000" w:themeColor="text1"/>
          <w:szCs w:val="24"/>
          <w:lang w:val="en-US" w:eastAsia="en-GB"/>
        </w:rPr>
        <w:t>Article 63a</w:t>
      </w:r>
    </w:p>
    <w:p w14:paraId="4ADDA284" w14:textId="77777777" w:rsidR="00273F36" w:rsidRPr="004C70EC" w:rsidRDefault="00273F36" w:rsidP="00754032">
      <w:pPr>
        <w:jc w:val="center"/>
        <w:rPr>
          <w:rFonts w:eastAsia="Times New Roman"/>
          <w:i/>
          <w:iCs/>
          <w:noProof/>
          <w:color w:val="000000" w:themeColor="text1"/>
          <w:szCs w:val="24"/>
          <w:lang w:val="en-IE" w:eastAsia="en-GB"/>
        </w:rPr>
      </w:pPr>
      <w:r w:rsidRPr="004C70EC">
        <w:rPr>
          <w:rFonts w:eastAsia="Times New Roman"/>
          <w:i/>
          <w:iCs/>
          <w:noProof/>
          <w:color w:val="000000" w:themeColor="text1"/>
          <w:szCs w:val="24"/>
          <w:lang w:val="en-IE" w:eastAsia="en-GB"/>
        </w:rPr>
        <w:t>Distribution</w:t>
      </w:r>
    </w:p>
    <w:p w14:paraId="33B06F0E" w14:textId="77777777" w:rsidR="00273F36" w:rsidRPr="004C70EC" w:rsidRDefault="00754032" w:rsidP="00DD510B">
      <w:pPr>
        <w:pStyle w:val="Point1"/>
        <w:rPr>
          <w:noProof/>
          <w:color w:val="000000" w:themeColor="text1"/>
          <w:szCs w:val="24"/>
          <w:lang w:val="en-IE" w:eastAsia="en-GB"/>
        </w:rPr>
      </w:pPr>
      <w:r w:rsidRPr="004C70EC">
        <w:rPr>
          <w:noProof/>
          <w:color w:val="000000" w:themeColor="text1"/>
          <w:szCs w:val="24"/>
          <w:lang w:eastAsia="en-GB"/>
        </w:rPr>
        <w:t>1.</w:t>
      </w:r>
      <w:r w:rsidRPr="004C70EC">
        <w:rPr>
          <w:noProof/>
          <w:color w:val="000000" w:themeColor="text1"/>
          <w:szCs w:val="24"/>
          <w:lang w:eastAsia="en-GB"/>
        </w:rPr>
        <w:tab/>
      </w:r>
      <w:r w:rsidR="00273F36" w:rsidRPr="004C70EC">
        <w:rPr>
          <w:noProof/>
          <w:color w:val="000000" w:themeColor="text1"/>
          <w:szCs w:val="24"/>
          <w:lang w:eastAsia="en-GB"/>
        </w:rPr>
        <w:t xml:space="preserve">The distribution of investigational medicinal shall comply with standards that shall ensure their quality and integrity. The Commission shall adopt delegated acts </w:t>
      </w:r>
      <w:r w:rsidR="00B62F13" w:rsidRPr="004C70EC">
        <w:rPr>
          <w:noProof/>
          <w:color w:val="000000" w:themeColor="text1"/>
          <w:szCs w:val="24"/>
          <w:lang w:eastAsia="en-GB"/>
        </w:rPr>
        <w:t>supplementing th</w:t>
      </w:r>
      <w:r w:rsidR="0016600C" w:rsidRPr="004C70EC">
        <w:rPr>
          <w:noProof/>
          <w:color w:val="000000" w:themeColor="text1"/>
          <w:szCs w:val="24"/>
          <w:lang w:eastAsia="en-GB"/>
        </w:rPr>
        <w:t>is Regulation by determining the standards of</w:t>
      </w:r>
      <w:r w:rsidR="00B62F13" w:rsidRPr="004C70EC">
        <w:rPr>
          <w:noProof/>
          <w:color w:val="000000" w:themeColor="text1"/>
          <w:szCs w:val="24"/>
          <w:lang w:eastAsia="en-GB"/>
        </w:rPr>
        <w:t xml:space="preserve"> </w:t>
      </w:r>
      <w:r w:rsidR="00273F36" w:rsidRPr="004C70EC">
        <w:rPr>
          <w:noProof/>
          <w:color w:val="000000" w:themeColor="text1"/>
          <w:szCs w:val="24"/>
          <w:lang w:eastAsia="en-GB"/>
        </w:rPr>
        <w:t>good distribution practices for investigational and auxiliary medicinal products taking into account the input of the inspection working groups referred to in Article 142, point (k) of Regulation (EU) …/… of the European Parliament and the Council [</w:t>
      </w:r>
      <w:r w:rsidR="00273F36" w:rsidRPr="004C70EC">
        <w:rPr>
          <w:rFonts w:eastAsiaTheme="minorEastAsia"/>
          <w:i/>
          <w:noProof/>
          <w:color w:val="000000" w:themeColor="text1"/>
          <w:kern w:val="2"/>
          <w:szCs w:val="24"/>
          <w:lang w:val="en-US"/>
        </w:rPr>
        <w:t>reference to be added after adoption cf. COM</w:t>
      </w:r>
      <w:r w:rsidR="00273F36" w:rsidRPr="004C70EC">
        <w:rPr>
          <w:rFonts w:eastAsiaTheme="minorEastAsia"/>
          <w:noProof/>
          <w:color w:val="000000" w:themeColor="text1"/>
          <w:kern w:val="2"/>
          <w:szCs w:val="24"/>
          <w:lang w:val="en-US"/>
        </w:rPr>
        <w:t xml:space="preserve">(2023) 193 </w:t>
      </w:r>
      <w:r w:rsidR="00273F36" w:rsidRPr="004C70EC">
        <w:rPr>
          <w:rFonts w:eastAsiaTheme="minorEastAsia"/>
          <w:i/>
          <w:noProof/>
          <w:color w:val="000000" w:themeColor="text1"/>
          <w:kern w:val="2"/>
          <w:szCs w:val="24"/>
          <w:lang w:val="en-US"/>
        </w:rPr>
        <w:t>final</w:t>
      </w:r>
      <w:r w:rsidR="00273F36" w:rsidRPr="004C70EC">
        <w:rPr>
          <w:rFonts w:eastAsiaTheme="minorEastAsia"/>
          <w:iCs/>
          <w:noProof/>
          <w:color w:val="000000" w:themeColor="text1"/>
          <w:kern w:val="2"/>
          <w:szCs w:val="24"/>
          <w:lang w:val="en-US"/>
        </w:rPr>
        <w:t>]</w:t>
      </w:r>
      <w:r w:rsidR="00273F36" w:rsidRPr="004C70EC">
        <w:rPr>
          <w:iCs/>
          <w:noProof/>
          <w:color w:val="000000" w:themeColor="text1"/>
          <w:szCs w:val="24"/>
          <w:lang w:eastAsia="en-GB"/>
        </w:rPr>
        <w:t>,</w:t>
      </w:r>
      <w:r w:rsidR="00273F36" w:rsidRPr="004C70EC">
        <w:rPr>
          <w:noProof/>
          <w:color w:val="000000" w:themeColor="text1"/>
          <w:szCs w:val="24"/>
          <w:lang w:eastAsia="en-GB"/>
        </w:rPr>
        <w:t xml:space="preserve"> and update them if necessary to take account of scientific and technical progress. </w:t>
      </w:r>
    </w:p>
    <w:p w14:paraId="12A14268" w14:textId="77777777" w:rsidR="00273F36" w:rsidRPr="004C70EC" w:rsidRDefault="006E6B00" w:rsidP="00754032">
      <w:pPr>
        <w:pStyle w:val="Point1"/>
        <w:rPr>
          <w:rFonts w:eastAsia="Times New Roman"/>
          <w:i/>
          <w:iCs/>
          <w:noProof/>
          <w:color w:val="000000" w:themeColor="text1"/>
          <w:szCs w:val="24"/>
          <w:lang w:val="en-IE" w:eastAsia="en-GB"/>
        </w:rPr>
      </w:pPr>
      <w:r w:rsidRPr="004C70EC">
        <w:rPr>
          <w:rFonts w:eastAsia="Times New Roman"/>
          <w:noProof/>
          <w:color w:val="000000" w:themeColor="text1"/>
          <w:szCs w:val="24"/>
          <w:lang w:eastAsia="en-GB"/>
        </w:rPr>
        <w:t>2</w:t>
      </w:r>
      <w:r w:rsidR="00754032" w:rsidRPr="004C70EC">
        <w:rPr>
          <w:rFonts w:eastAsia="Times New Roman"/>
          <w:noProof/>
          <w:color w:val="000000" w:themeColor="text1"/>
          <w:szCs w:val="24"/>
          <w:lang w:eastAsia="en-GB"/>
        </w:rPr>
        <w:t>.</w:t>
      </w:r>
      <w:r w:rsidR="00754032" w:rsidRPr="004C70EC">
        <w:rPr>
          <w:rFonts w:eastAsia="Times New Roman"/>
          <w:noProof/>
          <w:color w:val="000000" w:themeColor="text1"/>
          <w:szCs w:val="24"/>
          <w:lang w:eastAsia="en-GB"/>
        </w:rPr>
        <w:tab/>
      </w:r>
      <w:r w:rsidR="00273F36" w:rsidRPr="004C70EC">
        <w:rPr>
          <w:rFonts w:eastAsia="Times New Roman"/>
          <w:noProof/>
          <w:color w:val="000000" w:themeColor="text1"/>
          <w:szCs w:val="24"/>
          <w:lang w:eastAsia="en-GB"/>
        </w:rPr>
        <w:t>Where the competent authority of the Member State considers it necessary, in particular where there are grounds for suspecting non-compliance with the requirements of this Article, it may carry out inspections to verify the compliance.</w:t>
      </w:r>
    </w:p>
    <w:p w14:paraId="4F7D4CD9" w14:textId="77777777" w:rsidR="00273F36" w:rsidRPr="004C70EC" w:rsidRDefault="006E6B00" w:rsidP="00754032">
      <w:pPr>
        <w:pStyle w:val="Point1"/>
        <w:rPr>
          <w:rFonts w:eastAsia="Times New Roman"/>
          <w:i/>
          <w:noProof/>
          <w:color w:val="000000" w:themeColor="text1"/>
          <w:szCs w:val="24"/>
          <w:lang w:val="en-IE" w:eastAsia="en-GB"/>
        </w:rPr>
      </w:pPr>
      <w:r w:rsidRPr="004C70EC">
        <w:rPr>
          <w:rFonts w:eastAsia="Times New Roman"/>
          <w:noProof/>
          <w:color w:val="000000" w:themeColor="text1"/>
          <w:szCs w:val="24"/>
          <w:lang w:eastAsia="en-GB"/>
        </w:rPr>
        <w:t>3</w:t>
      </w:r>
      <w:r w:rsidR="00754032" w:rsidRPr="004C70EC">
        <w:rPr>
          <w:rFonts w:eastAsia="Times New Roman"/>
          <w:noProof/>
          <w:color w:val="000000" w:themeColor="text1"/>
          <w:szCs w:val="24"/>
          <w:lang w:eastAsia="en-GB"/>
        </w:rPr>
        <w:t>.</w:t>
      </w:r>
      <w:r w:rsidR="00754032" w:rsidRPr="004C70EC">
        <w:rPr>
          <w:noProof/>
          <w:color w:val="000000" w:themeColor="text1"/>
          <w:szCs w:val="24"/>
        </w:rPr>
        <w:tab/>
      </w:r>
      <w:r w:rsidR="00273F36" w:rsidRPr="004C70EC">
        <w:rPr>
          <w:rFonts w:eastAsia="Times New Roman"/>
          <w:noProof/>
          <w:color w:val="000000" w:themeColor="text1"/>
          <w:szCs w:val="24"/>
          <w:lang w:eastAsia="en-GB"/>
        </w:rPr>
        <w:t>Arrangements for inspections referred to in Article 63(1) apply mutatis mutandis to inspections of good distribution practices for investigational and auxiliary medicinal products.</w:t>
      </w:r>
      <w:r w:rsidR="0016600C" w:rsidRPr="004C70EC">
        <w:rPr>
          <w:rFonts w:eastAsia="Times New Roman"/>
          <w:noProof/>
          <w:color w:val="000000" w:themeColor="text1"/>
          <w:szCs w:val="24"/>
          <w:lang w:eastAsia="en-GB"/>
        </w:rPr>
        <w:t>’</w:t>
      </w:r>
      <w:r w:rsidR="4697EBEF" w:rsidRPr="004C70EC">
        <w:rPr>
          <w:rFonts w:eastAsia="Times New Roman"/>
          <w:noProof/>
          <w:color w:val="000000" w:themeColor="text1"/>
          <w:szCs w:val="24"/>
          <w:lang w:eastAsia="en-GB"/>
        </w:rPr>
        <w:t>;</w:t>
      </w:r>
    </w:p>
    <w:p w14:paraId="14F9FC19" w14:textId="77777777" w:rsidR="00273F36" w:rsidRPr="004C70EC" w:rsidRDefault="7A19B333" w:rsidP="4CF51068">
      <w:pPr>
        <w:pStyle w:val="Point0"/>
        <w:rPr>
          <w:rFonts w:eastAsia="Times New Roman"/>
          <w:noProof/>
          <w:color w:val="000000" w:themeColor="text1"/>
          <w:lang w:val="en-US" w:eastAsia="en-GB"/>
        </w:rPr>
      </w:pPr>
      <w:r w:rsidRPr="004C70EC">
        <w:rPr>
          <w:rFonts w:eastAsia="Times New Roman"/>
          <w:noProof/>
          <w:color w:val="000000" w:themeColor="text1"/>
          <w:lang w:val="en-US" w:eastAsia="en-GB"/>
        </w:rPr>
        <w:t>(4</w:t>
      </w:r>
      <w:r w:rsidR="629AD1D8" w:rsidRPr="004C70EC">
        <w:rPr>
          <w:rFonts w:eastAsia="Times New Roman"/>
          <w:noProof/>
          <w:color w:val="000000" w:themeColor="text1"/>
          <w:lang w:val="en-US" w:eastAsia="en-GB"/>
        </w:rPr>
        <w:t>0</w:t>
      </w:r>
      <w:r w:rsidRPr="004C70EC">
        <w:rPr>
          <w:rFonts w:eastAsia="Times New Roman"/>
          <w:noProof/>
          <w:color w:val="000000" w:themeColor="text1"/>
          <w:lang w:val="en-US" w:eastAsia="en-GB"/>
        </w:rPr>
        <w:t>)</w:t>
      </w:r>
      <w:r w:rsidR="00754032" w:rsidRPr="004C70EC">
        <w:rPr>
          <w:noProof/>
        </w:rPr>
        <w:tab/>
      </w:r>
      <w:r w:rsidR="18407057" w:rsidRPr="004C70EC">
        <w:rPr>
          <w:rFonts w:eastAsia="Times New Roman"/>
          <w:noProof/>
          <w:color w:val="000000" w:themeColor="text1"/>
          <w:lang w:val="en-US" w:eastAsia="en-GB"/>
        </w:rPr>
        <w:t>i</w:t>
      </w:r>
      <w:r w:rsidR="249CF78E" w:rsidRPr="004C70EC">
        <w:rPr>
          <w:rFonts w:eastAsia="Times New Roman"/>
          <w:noProof/>
          <w:color w:val="000000" w:themeColor="text1"/>
          <w:lang w:val="en-US" w:eastAsia="en-GB"/>
        </w:rPr>
        <w:t xml:space="preserve">n Article 76, paragraph 3 is replaced by the following: </w:t>
      </w:r>
    </w:p>
    <w:p w14:paraId="554907B3" w14:textId="77777777" w:rsidR="00273F36" w:rsidRPr="004C70EC" w:rsidRDefault="009E33CB" w:rsidP="006E6B00">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‘3.</w:t>
      </w:r>
      <w:r w:rsidR="006E6B00" w:rsidRPr="004C70EC">
        <w:rPr>
          <w:noProof/>
          <w:color w:val="000000" w:themeColor="text1"/>
          <w:szCs w:val="24"/>
        </w:rPr>
        <w:tab/>
      </w:r>
      <w:r w:rsidR="00273F36" w:rsidRPr="004C70EC">
        <w:rPr>
          <w:rFonts w:eastAsia="Times New Roman"/>
          <w:noProof/>
          <w:color w:val="000000" w:themeColor="text1"/>
          <w:szCs w:val="24"/>
          <w:lang w:val="en-US" w:eastAsia="en-GB"/>
        </w:rPr>
        <w:t xml:space="preserve">Member States shall not require any additional use of the system referred to in paragraph </w:t>
      </w:r>
      <w:r w:rsidR="00273F36" w:rsidRPr="004C70EC">
        <w:rPr>
          <w:rFonts w:eastAsia="Times New Roman"/>
          <w:noProof/>
          <w:color w:val="000000" w:themeColor="text1"/>
          <w:szCs w:val="24"/>
          <w:lang w:val="bg" w:eastAsia="en-GB"/>
        </w:rPr>
        <w:t xml:space="preserve">1 </w:t>
      </w:r>
      <w:r w:rsidR="00273F36" w:rsidRPr="004C70EC">
        <w:rPr>
          <w:rFonts w:eastAsia="Times New Roman"/>
          <w:noProof/>
          <w:color w:val="000000" w:themeColor="text1"/>
          <w:szCs w:val="24"/>
          <w:lang w:val="en-US" w:eastAsia="en-GB"/>
        </w:rPr>
        <w:t>from the sponsor for minimal or low-intervention clinical trials, if any possible damage that could be suffered by a subject resulting from the use of the investigational medicinal product in accordance with the protocol of that specific clinical trial on the territory of that Member State is covered by the applicable compen­sation system already in place.</w:t>
      </w:r>
      <w:r w:rsidRPr="004C70EC">
        <w:rPr>
          <w:rFonts w:eastAsia="Times New Roman"/>
          <w:noProof/>
          <w:color w:val="000000" w:themeColor="text1"/>
          <w:szCs w:val="24"/>
          <w:lang w:val="en-US" w:eastAsia="en-GB"/>
        </w:rPr>
        <w:t>’</w:t>
      </w:r>
      <w:r w:rsidR="69AB38CA" w:rsidRPr="004C70EC">
        <w:rPr>
          <w:rFonts w:eastAsia="Times New Roman"/>
          <w:noProof/>
          <w:color w:val="000000" w:themeColor="text1"/>
          <w:szCs w:val="24"/>
          <w:lang w:val="en-US" w:eastAsia="en-GB"/>
        </w:rPr>
        <w:t>;</w:t>
      </w:r>
    </w:p>
    <w:p w14:paraId="6DB935D7" w14:textId="77777777" w:rsidR="00273F36" w:rsidRPr="004C70EC" w:rsidRDefault="7A19B333" w:rsidP="4CF51068">
      <w:pPr>
        <w:pStyle w:val="Point0"/>
        <w:rPr>
          <w:rFonts w:eastAsia="Times New Roman"/>
          <w:noProof/>
          <w:color w:val="000000" w:themeColor="text1"/>
          <w:lang w:val="en-US" w:eastAsia="en-GB"/>
        </w:rPr>
      </w:pPr>
      <w:r w:rsidRPr="004C70EC">
        <w:rPr>
          <w:rFonts w:eastAsia="Times New Roman"/>
          <w:noProof/>
          <w:color w:val="000000" w:themeColor="text1"/>
          <w:lang w:val="en-US" w:eastAsia="en-GB"/>
        </w:rPr>
        <w:t>(4</w:t>
      </w:r>
      <w:r w:rsidR="692B224F" w:rsidRPr="004C70EC">
        <w:rPr>
          <w:rFonts w:eastAsia="Times New Roman"/>
          <w:noProof/>
          <w:color w:val="000000" w:themeColor="text1"/>
          <w:lang w:val="en-US" w:eastAsia="en-GB"/>
        </w:rPr>
        <w:t>1</w:t>
      </w:r>
      <w:r w:rsidRPr="004C70EC">
        <w:rPr>
          <w:rFonts w:eastAsia="Times New Roman"/>
          <w:noProof/>
          <w:color w:val="000000" w:themeColor="text1"/>
          <w:lang w:val="en-US" w:eastAsia="en-GB"/>
        </w:rPr>
        <w:t>)</w:t>
      </w:r>
      <w:r w:rsidR="00754032" w:rsidRPr="004C70EC">
        <w:rPr>
          <w:noProof/>
        </w:rPr>
        <w:tab/>
      </w:r>
      <w:r w:rsidR="249CF78E" w:rsidRPr="004C70EC">
        <w:rPr>
          <w:rFonts w:eastAsia="Times New Roman"/>
          <w:noProof/>
          <w:color w:val="000000" w:themeColor="text1"/>
          <w:lang w:val="en-US" w:eastAsia="en-GB"/>
        </w:rPr>
        <w:t xml:space="preserve">Article 78 is amended as follows: </w:t>
      </w:r>
    </w:p>
    <w:p w14:paraId="755374CF" w14:textId="77777777" w:rsidR="00273F36" w:rsidRPr="004C70EC" w:rsidRDefault="42D58353" w:rsidP="33CE1D06">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(a)</w:t>
      </w:r>
      <w:r w:rsidR="00754032" w:rsidRPr="004C70EC">
        <w:rPr>
          <w:noProof/>
          <w:color w:val="000000" w:themeColor="text1"/>
          <w:szCs w:val="24"/>
        </w:rPr>
        <w:tab/>
      </w:r>
      <w:r w:rsidR="149F68B2" w:rsidRPr="004C70EC">
        <w:rPr>
          <w:rFonts w:eastAsia="Times New Roman"/>
          <w:noProof/>
          <w:color w:val="000000" w:themeColor="text1"/>
          <w:szCs w:val="24"/>
          <w:lang w:val="en-US" w:eastAsia="en-GB"/>
        </w:rPr>
        <w:t>p</w:t>
      </w:r>
      <w:r w:rsidR="2F263E33" w:rsidRPr="004C70EC">
        <w:rPr>
          <w:rFonts w:eastAsia="Times New Roman"/>
          <w:noProof/>
          <w:color w:val="000000" w:themeColor="text1"/>
          <w:szCs w:val="24"/>
          <w:lang w:val="en-US" w:eastAsia="en-GB"/>
        </w:rPr>
        <w:t>aragraph 1 is replaced by the following:</w:t>
      </w:r>
    </w:p>
    <w:p w14:paraId="1DB52535" w14:textId="77777777" w:rsidR="00273F36" w:rsidRPr="004C70EC" w:rsidRDefault="00622A1C" w:rsidP="006E6B00">
      <w:pPr>
        <w:pStyle w:val="Point2"/>
        <w:rPr>
          <w:noProof/>
          <w:color w:val="000000" w:themeColor="text1"/>
          <w:szCs w:val="24"/>
          <w:lang w:val="en-US" w:eastAsia="en-GB"/>
        </w:rPr>
      </w:pPr>
      <w:r w:rsidRPr="004C70EC">
        <w:rPr>
          <w:noProof/>
          <w:color w:val="000000" w:themeColor="text1"/>
          <w:szCs w:val="24"/>
          <w:lang w:val="en-US" w:eastAsia="en-GB"/>
        </w:rPr>
        <w:t>’1.</w:t>
      </w:r>
      <w:r w:rsidR="006E6B00" w:rsidRPr="004C70EC">
        <w:rPr>
          <w:noProof/>
          <w:color w:val="000000" w:themeColor="text1"/>
          <w:szCs w:val="24"/>
          <w:lang w:val="en-US" w:eastAsia="en-GB"/>
        </w:rPr>
        <w:tab/>
      </w:r>
      <w:r w:rsidR="00273F36" w:rsidRPr="004C70EC">
        <w:rPr>
          <w:noProof/>
          <w:color w:val="000000" w:themeColor="text1"/>
          <w:szCs w:val="24"/>
          <w:lang w:val="en-US" w:eastAsia="en-GB"/>
        </w:rPr>
        <w:t>The national competent authorities shall organize inspections in order to supervise compliance with this Regulation. </w:t>
      </w:r>
    </w:p>
    <w:p w14:paraId="49612D68" w14:textId="77777777" w:rsidR="00273F36" w:rsidRPr="004C70EC" w:rsidRDefault="00273F36" w:rsidP="006E6B00">
      <w:pPr>
        <w:pStyle w:val="Text3"/>
        <w:rPr>
          <w:noProof/>
          <w:color w:val="000000" w:themeColor="text1"/>
          <w:szCs w:val="24"/>
          <w:lang w:val="en-US" w:eastAsia="en-GB"/>
        </w:rPr>
      </w:pPr>
      <w:r w:rsidRPr="004C70EC">
        <w:rPr>
          <w:noProof/>
          <w:color w:val="000000" w:themeColor="text1"/>
          <w:szCs w:val="24"/>
          <w:lang w:val="en-US" w:eastAsia="en-GB"/>
        </w:rPr>
        <w:t>Member States shall appoint inspectors to perform the inspections in order to supervise compliance with this Regulation.</w:t>
      </w:r>
    </w:p>
    <w:p w14:paraId="3017CFBD" w14:textId="77777777" w:rsidR="00273F36" w:rsidRPr="004C70EC" w:rsidRDefault="00273F36" w:rsidP="006E6B00">
      <w:pPr>
        <w:pStyle w:val="Text3"/>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The competent authority of the Member State shall have in place a system of supervision that shall include the following measures:</w:t>
      </w:r>
    </w:p>
    <w:p w14:paraId="1C896126" w14:textId="77777777" w:rsidR="00273F36" w:rsidRPr="004C70EC" w:rsidRDefault="00273F36" w:rsidP="006E6B00">
      <w:pPr>
        <w:pStyle w:val="Point3"/>
        <w:rPr>
          <w:noProof/>
          <w:color w:val="000000" w:themeColor="text1"/>
          <w:szCs w:val="24"/>
          <w:lang w:val="en-US" w:eastAsia="en-GB"/>
        </w:rPr>
      </w:pPr>
      <w:r w:rsidRPr="004C70EC">
        <w:rPr>
          <w:noProof/>
          <w:color w:val="000000" w:themeColor="text1"/>
          <w:szCs w:val="24"/>
          <w:lang w:val="en-US" w:eastAsia="en-GB"/>
        </w:rPr>
        <w:t>(a)</w:t>
      </w:r>
      <w:r w:rsidR="00754032" w:rsidRPr="004C70EC">
        <w:rPr>
          <w:noProof/>
          <w:color w:val="000000" w:themeColor="text1"/>
          <w:szCs w:val="24"/>
          <w:lang w:val="en-US" w:eastAsia="en-GB"/>
        </w:rPr>
        <w:tab/>
      </w:r>
      <w:r w:rsidRPr="004C70EC">
        <w:rPr>
          <w:noProof/>
          <w:color w:val="000000" w:themeColor="text1"/>
          <w:szCs w:val="24"/>
          <w:lang w:val="en-US" w:eastAsia="en-GB"/>
        </w:rPr>
        <w:t>announced, and where appropriate, unannounced on-site inspections;</w:t>
      </w:r>
    </w:p>
    <w:p w14:paraId="5D60C053" w14:textId="77777777" w:rsidR="00273F36" w:rsidRPr="004C70EC" w:rsidRDefault="00273F36" w:rsidP="006E6B00">
      <w:pPr>
        <w:pStyle w:val="Point3"/>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(b)</w:t>
      </w:r>
      <w:r w:rsidR="00754032" w:rsidRPr="004C70EC">
        <w:rPr>
          <w:rFonts w:eastAsia="Times New Roman"/>
          <w:noProof/>
          <w:color w:val="000000" w:themeColor="text1"/>
          <w:szCs w:val="24"/>
          <w:lang w:val="en-US" w:eastAsia="en-GB"/>
        </w:rPr>
        <w:tab/>
      </w:r>
      <w:r w:rsidRPr="004C70EC">
        <w:rPr>
          <w:rFonts w:eastAsia="Times New Roman"/>
          <w:noProof/>
          <w:color w:val="000000" w:themeColor="text1"/>
          <w:szCs w:val="24"/>
          <w:lang w:val="en-US" w:eastAsia="en-GB"/>
        </w:rPr>
        <w:t>remote inspections conducted where justified;</w:t>
      </w:r>
    </w:p>
    <w:p w14:paraId="63BF21F7" w14:textId="77777777" w:rsidR="00273F36" w:rsidRPr="004C70EC" w:rsidRDefault="00273F36" w:rsidP="006E6B00">
      <w:pPr>
        <w:pStyle w:val="Point3"/>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(c)</w:t>
      </w:r>
      <w:r w:rsidR="00754032" w:rsidRPr="004C70EC">
        <w:rPr>
          <w:rFonts w:eastAsia="Times New Roman"/>
          <w:noProof/>
          <w:color w:val="000000" w:themeColor="text1"/>
          <w:szCs w:val="24"/>
          <w:lang w:val="en-US" w:eastAsia="en-GB"/>
        </w:rPr>
        <w:tab/>
      </w:r>
      <w:r w:rsidRPr="004C70EC">
        <w:rPr>
          <w:rFonts w:eastAsia="Times New Roman"/>
          <w:noProof/>
          <w:color w:val="000000" w:themeColor="text1"/>
          <w:szCs w:val="24"/>
          <w:lang w:val="en-US" w:eastAsia="en-GB"/>
        </w:rPr>
        <w:t xml:space="preserve">compliance control; </w:t>
      </w:r>
    </w:p>
    <w:p w14:paraId="3686FD90" w14:textId="77777777" w:rsidR="00273F36" w:rsidRPr="004C70EC" w:rsidRDefault="00273F36" w:rsidP="0F06BF83">
      <w:pPr>
        <w:pStyle w:val="Point3"/>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(d)</w:t>
      </w:r>
      <w:r w:rsidRPr="004C70EC">
        <w:rPr>
          <w:noProof/>
          <w:color w:val="000000" w:themeColor="text1"/>
          <w:szCs w:val="24"/>
        </w:rPr>
        <w:tab/>
      </w:r>
      <w:r w:rsidRPr="004C70EC">
        <w:rPr>
          <w:rFonts w:eastAsia="Times New Roman"/>
          <w:noProof/>
          <w:color w:val="000000" w:themeColor="text1"/>
          <w:szCs w:val="24"/>
          <w:lang w:val="en-US" w:eastAsia="en-GB"/>
        </w:rPr>
        <w:t>the effective follow up of the measures referred to in points (a), (b) and (c</w:t>
      </w:r>
      <w:r w:rsidR="00622A1C" w:rsidRPr="004C70EC">
        <w:rPr>
          <w:rFonts w:eastAsia="Times New Roman"/>
          <w:noProof/>
          <w:color w:val="000000" w:themeColor="text1"/>
          <w:szCs w:val="24"/>
          <w:lang w:val="en-US" w:eastAsia="en-GB"/>
        </w:rPr>
        <w:t>).’</w:t>
      </w:r>
      <w:r w:rsidR="7F645980" w:rsidRPr="004C70EC">
        <w:rPr>
          <w:rFonts w:eastAsia="Times New Roman"/>
          <w:noProof/>
          <w:color w:val="000000" w:themeColor="text1"/>
          <w:szCs w:val="24"/>
          <w:lang w:val="en-US" w:eastAsia="en-GB"/>
        </w:rPr>
        <w:t>;</w:t>
      </w:r>
    </w:p>
    <w:p w14:paraId="73BA4850" w14:textId="77777777" w:rsidR="00273F36" w:rsidRPr="004C70EC" w:rsidRDefault="00754032" w:rsidP="0F06BF83">
      <w:pPr>
        <w:pStyle w:val="Point1"/>
        <w:rPr>
          <w:rFonts w:eastAsia="Times New Roman"/>
          <w:noProof/>
          <w:color w:val="000000" w:themeColor="text1"/>
          <w:szCs w:val="24"/>
          <w:lang w:eastAsia="hr-HR" w:bidi="hr-HR"/>
        </w:rPr>
      </w:pPr>
      <w:r w:rsidRPr="004C70EC">
        <w:rPr>
          <w:rFonts w:eastAsia="Times New Roman"/>
          <w:noProof/>
          <w:color w:val="000000" w:themeColor="text1"/>
          <w:szCs w:val="24"/>
          <w:lang w:eastAsia="hr-HR" w:bidi="hr-HR"/>
        </w:rPr>
        <w:t>(b)</w:t>
      </w:r>
      <w:r w:rsidRPr="004C70EC">
        <w:rPr>
          <w:noProof/>
          <w:color w:val="000000" w:themeColor="text1"/>
          <w:szCs w:val="24"/>
        </w:rPr>
        <w:tab/>
      </w:r>
      <w:r w:rsidRPr="004C70EC">
        <w:rPr>
          <w:noProof/>
          <w:color w:val="000000" w:themeColor="text1"/>
          <w:szCs w:val="24"/>
        </w:rPr>
        <w:tab/>
      </w:r>
      <w:r w:rsidR="00273F36" w:rsidRPr="004C70EC">
        <w:rPr>
          <w:rFonts w:eastAsia="Times New Roman"/>
          <w:noProof/>
          <w:color w:val="000000" w:themeColor="text1"/>
          <w:szCs w:val="24"/>
          <w:lang w:eastAsia="hr-HR" w:bidi="hr-HR"/>
        </w:rPr>
        <w:t xml:space="preserve">aragraph </w:t>
      </w:r>
      <w:r w:rsidR="00956E05" w:rsidRPr="004C70EC">
        <w:rPr>
          <w:rFonts w:eastAsia="Times New Roman"/>
          <w:noProof/>
          <w:color w:val="000000" w:themeColor="text1"/>
          <w:szCs w:val="24"/>
          <w:lang w:eastAsia="hr-HR" w:bidi="hr-HR"/>
        </w:rPr>
        <w:t xml:space="preserve">6 </w:t>
      </w:r>
      <w:r w:rsidR="00273F36" w:rsidRPr="004C70EC">
        <w:rPr>
          <w:rFonts w:eastAsia="Times New Roman"/>
          <w:noProof/>
          <w:color w:val="000000" w:themeColor="text1"/>
          <w:szCs w:val="24"/>
          <w:lang w:eastAsia="hr-HR" w:bidi="hr-HR"/>
        </w:rPr>
        <w:t>is replaced by the following:</w:t>
      </w:r>
    </w:p>
    <w:p w14:paraId="4C751E72" w14:textId="77777777" w:rsidR="00273F36" w:rsidRPr="004C70EC" w:rsidRDefault="00273F36" w:rsidP="00F604BB">
      <w:pPr>
        <w:pStyle w:val="Point2"/>
        <w:rPr>
          <w:noProof/>
          <w:lang w:eastAsia="hr-HR" w:bidi="hr-HR"/>
        </w:rPr>
      </w:pPr>
      <w:r w:rsidRPr="004C70EC">
        <w:rPr>
          <w:noProof/>
          <w:lang w:val="en-US" w:eastAsia="en-GB"/>
        </w:rPr>
        <w:t>“</w:t>
      </w:r>
      <w:r w:rsidR="5FB8C5CA" w:rsidRPr="004C70EC">
        <w:rPr>
          <w:noProof/>
          <w:lang w:val="en-US" w:eastAsia="en-GB"/>
        </w:rPr>
        <w:t>6.</w:t>
      </w:r>
      <w:r w:rsidR="00F604BB" w:rsidRPr="004C70EC">
        <w:rPr>
          <w:noProof/>
          <w:lang w:val="en-US" w:eastAsia="en-GB"/>
        </w:rPr>
        <w:tab/>
      </w:r>
      <w:r w:rsidRPr="004C70EC">
        <w:rPr>
          <w:noProof/>
          <w:lang w:val="en-US" w:eastAsia="en-GB"/>
        </w:rPr>
        <w:t>Following an inspection, the Member State under whose responsibility the inspection has been conducted, shall draw up an inspection report. That Member State shall make the inspection report available to the inspected entity and the sponsor of the relevant clinical trial and shall submit the inspection report through the EU portal within 90 days after conducting the inspection.”</w:t>
      </w:r>
      <w:r w:rsidR="6371E7D2" w:rsidRPr="004C70EC">
        <w:rPr>
          <w:noProof/>
          <w:lang w:val="en-US" w:eastAsia="en-GB"/>
        </w:rPr>
        <w:t>;</w:t>
      </w:r>
    </w:p>
    <w:p w14:paraId="441DDF25" w14:textId="77777777" w:rsidR="00273F36" w:rsidRPr="004C70EC" w:rsidRDefault="00754032" w:rsidP="642D1666">
      <w:pPr>
        <w:pStyle w:val="Point1"/>
        <w:rPr>
          <w:rFonts w:eastAsia="Times New Roman"/>
          <w:noProof/>
          <w:color w:val="000000" w:themeColor="text1"/>
          <w:szCs w:val="24"/>
          <w:lang w:eastAsia="hr-HR" w:bidi="hr-HR"/>
        </w:rPr>
      </w:pPr>
      <w:r w:rsidRPr="004C70EC">
        <w:rPr>
          <w:rFonts w:eastAsia="Times New Roman"/>
          <w:noProof/>
          <w:color w:val="000000" w:themeColor="text1"/>
          <w:szCs w:val="24"/>
          <w:lang w:eastAsia="hr-HR" w:bidi="hr-HR"/>
        </w:rPr>
        <w:t>(c)</w:t>
      </w:r>
      <w:r w:rsidRPr="004C70EC">
        <w:rPr>
          <w:noProof/>
          <w:color w:val="000000" w:themeColor="text1"/>
          <w:szCs w:val="24"/>
        </w:rPr>
        <w:tab/>
      </w:r>
      <w:r w:rsidRPr="004C70EC">
        <w:rPr>
          <w:noProof/>
          <w:color w:val="000000" w:themeColor="text1"/>
          <w:szCs w:val="24"/>
        </w:rPr>
        <w:tab/>
      </w:r>
      <w:r w:rsidR="00956E05" w:rsidRPr="004C70EC">
        <w:rPr>
          <w:rFonts w:eastAsia="Times New Roman"/>
          <w:noProof/>
          <w:color w:val="000000" w:themeColor="text1"/>
          <w:szCs w:val="24"/>
          <w:lang w:eastAsia="hr-HR" w:bidi="hr-HR"/>
        </w:rPr>
        <w:t>p</w:t>
      </w:r>
      <w:r w:rsidR="00273F36" w:rsidRPr="004C70EC">
        <w:rPr>
          <w:rFonts w:eastAsia="Times New Roman"/>
          <w:noProof/>
          <w:color w:val="000000" w:themeColor="text1"/>
          <w:szCs w:val="24"/>
          <w:lang w:eastAsia="hr-HR" w:bidi="hr-HR"/>
        </w:rPr>
        <w:t>aragraphs 8, 9 and 10 are added:</w:t>
      </w:r>
    </w:p>
    <w:p w14:paraId="49065F37" w14:textId="77777777" w:rsidR="00273F36" w:rsidRPr="004C70EC" w:rsidRDefault="00956E05" w:rsidP="00754032">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eastAsia="en-GB"/>
        </w:rPr>
        <w:t>‘</w:t>
      </w:r>
      <w:r w:rsidR="00754032" w:rsidRPr="004C70EC">
        <w:rPr>
          <w:rFonts w:eastAsia="Times New Roman"/>
          <w:noProof/>
          <w:color w:val="000000" w:themeColor="text1"/>
          <w:szCs w:val="24"/>
          <w:lang w:eastAsia="en-GB"/>
        </w:rPr>
        <w:t>8.</w:t>
      </w:r>
      <w:r w:rsidR="00754032" w:rsidRPr="004C70EC">
        <w:rPr>
          <w:rFonts w:eastAsia="Times New Roman"/>
          <w:noProof/>
          <w:color w:val="000000" w:themeColor="text1"/>
          <w:szCs w:val="24"/>
          <w:lang w:eastAsia="en-GB"/>
        </w:rPr>
        <w:tab/>
      </w:r>
      <w:r w:rsidR="00273F36" w:rsidRPr="004C70EC">
        <w:rPr>
          <w:rFonts w:eastAsia="Times New Roman"/>
          <w:noProof/>
          <w:color w:val="000000" w:themeColor="text1"/>
          <w:szCs w:val="24"/>
          <w:lang w:val="en-US" w:eastAsia="en-GB"/>
        </w:rPr>
        <w:t>Upon a request by one or more competent authorities of the Member State, the inspection referred to in paragraph 1 may be carried out jointly by the inspectors from more than one Member State and the inspectors from the Agency.</w:t>
      </w:r>
    </w:p>
    <w:p w14:paraId="147F937B" w14:textId="77777777" w:rsidR="00273F36" w:rsidRPr="004C70EC" w:rsidRDefault="00754032" w:rsidP="00754032">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9.</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Member States may delegate to another Member State or the Agency the conduct of a good clinical practice inspection. The Commission may adopt a delegated act in accordance with Article 89 to </w:t>
      </w:r>
      <w:r w:rsidR="00F40317" w:rsidRPr="004C70EC">
        <w:rPr>
          <w:rFonts w:eastAsia="Times New Roman"/>
          <w:noProof/>
          <w:color w:val="000000" w:themeColor="text1"/>
          <w:szCs w:val="24"/>
          <w:lang w:val="en-US" w:eastAsia="en-GB"/>
        </w:rPr>
        <w:t xml:space="preserve">supplement this Regulation by </w:t>
      </w:r>
      <w:r w:rsidR="00273F36" w:rsidRPr="004C70EC">
        <w:rPr>
          <w:rFonts w:eastAsia="Times New Roman"/>
          <w:noProof/>
          <w:color w:val="000000" w:themeColor="text1"/>
          <w:szCs w:val="24"/>
          <w:lang w:val="en-US" w:eastAsia="en-GB"/>
        </w:rPr>
        <w:t>lay</w:t>
      </w:r>
      <w:r w:rsidR="00834584" w:rsidRPr="004C70EC">
        <w:rPr>
          <w:rFonts w:eastAsia="Times New Roman"/>
          <w:noProof/>
          <w:color w:val="000000" w:themeColor="text1"/>
          <w:szCs w:val="24"/>
          <w:lang w:val="en-US" w:eastAsia="en-GB"/>
        </w:rPr>
        <w:t>ing</w:t>
      </w:r>
      <w:r w:rsidR="00273F36" w:rsidRPr="004C70EC">
        <w:rPr>
          <w:rFonts w:eastAsia="Times New Roman"/>
          <w:noProof/>
          <w:color w:val="000000" w:themeColor="text1"/>
          <w:szCs w:val="24"/>
          <w:lang w:val="en-US" w:eastAsia="en-GB"/>
        </w:rPr>
        <w:t xml:space="preserve"> down the procedures applicable to joint inspections and delegation of inspections. </w:t>
      </w:r>
    </w:p>
    <w:p w14:paraId="7D4988A2" w14:textId="77777777" w:rsidR="00273F36" w:rsidRPr="004C70EC" w:rsidRDefault="00754032" w:rsidP="642D1666">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10.</w:t>
      </w:r>
      <w:r w:rsidRPr="004C70EC">
        <w:rPr>
          <w:noProof/>
          <w:color w:val="000000" w:themeColor="text1"/>
          <w:szCs w:val="24"/>
        </w:rPr>
        <w:tab/>
      </w:r>
      <w:r w:rsidR="00273F36" w:rsidRPr="004C70EC">
        <w:rPr>
          <w:rFonts w:eastAsia="Times New Roman"/>
          <w:noProof/>
          <w:color w:val="000000" w:themeColor="text1"/>
          <w:szCs w:val="24"/>
          <w:lang w:val="en-US" w:eastAsia="en-GB"/>
        </w:rPr>
        <w:t xml:space="preserve">This Article does not apply to the good manufacturing practice inspections and the good distribution practices inspections related to application of this Regulation, </w:t>
      </w:r>
      <w:r w:rsidR="00BC3FA5" w:rsidRPr="004C70EC">
        <w:rPr>
          <w:rFonts w:eastAsia="Times New Roman"/>
          <w:noProof/>
          <w:color w:val="000000" w:themeColor="text1"/>
          <w:szCs w:val="24"/>
          <w:lang w:val="en-US" w:eastAsia="en-GB"/>
        </w:rPr>
        <w:t xml:space="preserve">in </w:t>
      </w:r>
      <w:r w:rsidR="001B272D" w:rsidRPr="004C70EC">
        <w:rPr>
          <w:rFonts w:eastAsia="Times New Roman"/>
          <w:noProof/>
          <w:color w:val="000000" w:themeColor="text1"/>
          <w:szCs w:val="24"/>
          <w:lang w:val="en-US" w:eastAsia="en-GB"/>
        </w:rPr>
        <w:t>accordance with</w:t>
      </w:r>
      <w:r w:rsidR="00273F36" w:rsidRPr="004C70EC">
        <w:rPr>
          <w:rFonts w:eastAsia="Times New Roman"/>
          <w:noProof/>
          <w:color w:val="000000" w:themeColor="text1"/>
          <w:szCs w:val="24"/>
          <w:lang w:val="en-US" w:eastAsia="en-GB"/>
        </w:rPr>
        <w:t xml:space="preserve"> Articles 63 and 63a respectively</w:t>
      </w:r>
      <w:r w:rsidR="00BC3FA5" w:rsidRPr="004C70EC">
        <w:rPr>
          <w:rFonts w:eastAsia="Times New Roman"/>
          <w:noProof/>
          <w:color w:val="000000" w:themeColor="text1"/>
          <w:szCs w:val="24"/>
          <w:lang w:val="en-US" w:eastAsia="en-GB"/>
        </w:rPr>
        <w:t>.’</w:t>
      </w:r>
      <w:r w:rsidR="6BC84031" w:rsidRPr="004C70EC">
        <w:rPr>
          <w:rFonts w:eastAsia="Times New Roman"/>
          <w:noProof/>
          <w:color w:val="000000" w:themeColor="text1"/>
          <w:szCs w:val="24"/>
          <w:lang w:val="en-US" w:eastAsia="en-GB"/>
        </w:rPr>
        <w:t>;</w:t>
      </w:r>
    </w:p>
    <w:p w14:paraId="090B9C7A" w14:textId="77777777" w:rsidR="00273F36" w:rsidRPr="004C70EC" w:rsidRDefault="7A19B333" w:rsidP="4CF51068">
      <w:pPr>
        <w:pStyle w:val="Point0"/>
        <w:rPr>
          <w:rFonts w:eastAsia="Times New Roman"/>
          <w:noProof/>
          <w:color w:val="000000" w:themeColor="text1"/>
          <w:lang w:eastAsia="en-GB"/>
        </w:rPr>
      </w:pPr>
      <w:r w:rsidRPr="004C70EC">
        <w:rPr>
          <w:rFonts w:eastAsia="Times New Roman"/>
          <w:noProof/>
          <w:color w:val="000000" w:themeColor="text1"/>
          <w:lang w:val="en-US" w:eastAsia="en-GB"/>
        </w:rPr>
        <w:t>(4</w:t>
      </w:r>
      <w:r w:rsidR="053A3B22" w:rsidRPr="004C70EC">
        <w:rPr>
          <w:rFonts w:eastAsia="Times New Roman"/>
          <w:noProof/>
          <w:color w:val="000000" w:themeColor="text1"/>
          <w:lang w:val="en-US" w:eastAsia="en-GB"/>
        </w:rPr>
        <w:t>2</w:t>
      </w:r>
      <w:r w:rsidRPr="004C70EC">
        <w:rPr>
          <w:rFonts w:eastAsia="Times New Roman"/>
          <w:noProof/>
          <w:color w:val="000000" w:themeColor="text1"/>
          <w:lang w:val="en-US" w:eastAsia="en-GB"/>
        </w:rPr>
        <w:t>)</w:t>
      </w:r>
      <w:r w:rsidR="00754032" w:rsidRPr="004C70EC">
        <w:rPr>
          <w:noProof/>
        </w:rPr>
        <w:tab/>
      </w:r>
      <w:r w:rsidR="249CF78E" w:rsidRPr="004C70EC">
        <w:rPr>
          <w:rFonts w:eastAsia="Times New Roman"/>
          <w:noProof/>
          <w:color w:val="000000" w:themeColor="text1"/>
          <w:lang w:val="en-US" w:eastAsia="en-GB"/>
        </w:rPr>
        <w:t xml:space="preserve">Article 79 is replaced by the following: </w:t>
      </w:r>
    </w:p>
    <w:p w14:paraId="1D7E9DE8" w14:textId="77777777" w:rsidR="00273F36" w:rsidRPr="004C70EC" w:rsidRDefault="00BC3FA5" w:rsidP="00754032">
      <w:pPr>
        <w:pStyle w:val="Titrearticle"/>
        <w:rPr>
          <w:rFonts w:eastAsia="Times New Roman"/>
          <w:noProof/>
          <w:color w:val="000000" w:themeColor="text1"/>
          <w:szCs w:val="24"/>
          <w:lang w:eastAsia="en-GB"/>
        </w:rPr>
      </w:pPr>
      <w:r w:rsidRPr="004C70EC">
        <w:rPr>
          <w:rFonts w:eastAsia="Times New Roman"/>
          <w:noProof/>
          <w:color w:val="000000" w:themeColor="text1"/>
          <w:szCs w:val="24"/>
          <w:lang w:eastAsia="en-GB"/>
        </w:rPr>
        <w:t>’</w:t>
      </w:r>
      <w:r w:rsidR="00273F36" w:rsidRPr="004C70EC">
        <w:rPr>
          <w:rFonts w:eastAsia="Times New Roman"/>
          <w:noProof/>
          <w:color w:val="000000" w:themeColor="text1"/>
          <w:szCs w:val="24"/>
          <w:lang w:val="en-US" w:eastAsia="en-GB"/>
        </w:rPr>
        <w:t>Article 79</w:t>
      </w:r>
    </w:p>
    <w:p w14:paraId="1D7C9FDB" w14:textId="77777777" w:rsidR="00273F36" w:rsidRPr="004C70EC" w:rsidRDefault="00273F36" w:rsidP="00754032">
      <w:pPr>
        <w:jc w:val="center"/>
        <w:rPr>
          <w:rFonts w:eastAsia="Times New Roman"/>
          <w:i/>
          <w:iCs/>
          <w:noProof/>
          <w:color w:val="000000" w:themeColor="text1"/>
          <w:szCs w:val="24"/>
          <w:lang w:val="en-US" w:eastAsia="en-GB"/>
        </w:rPr>
      </w:pPr>
      <w:r w:rsidRPr="004C70EC">
        <w:rPr>
          <w:rFonts w:eastAsia="Times New Roman"/>
          <w:i/>
          <w:iCs/>
          <w:noProof/>
          <w:color w:val="000000" w:themeColor="text1"/>
          <w:szCs w:val="24"/>
          <w:lang w:val="en-US" w:eastAsia="en-GB"/>
        </w:rPr>
        <w:t>Union controls</w:t>
      </w:r>
    </w:p>
    <w:p w14:paraId="510D4E7A" w14:textId="77777777" w:rsidR="001A7035" w:rsidRPr="004C70EC" w:rsidRDefault="00F425DC" w:rsidP="00F425DC">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1.</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The Commission may conduct controls in order to verify</w:t>
      </w:r>
      <w:r w:rsidR="001A7035" w:rsidRPr="004C70EC">
        <w:rPr>
          <w:rFonts w:eastAsia="Times New Roman"/>
          <w:noProof/>
          <w:color w:val="000000" w:themeColor="text1"/>
          <w:szCs w:val="24"/>
          <w:lang w:val="en-US" w:eastAsia="en-GB"/>
        </w:rPr>
        <w:t>:</w:t>
      </w:r>
    </w:p>
    <w:p w14:paraId="068887D3" w14:textId="77777777" w:rsidR="001C4BBC" w:rsidRPr="004C70EC" w:rsidRDefault="00F425DC" w:rsidP="00F425DC">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(a)</w:t>
      </w:r>
      <w:r w:rsidRPr="004C70EC">
        <w:rPr>
          <w:noProof/>
          <w:color w:val="000000" w:themeColor="text1"/>
          <w:szCs w:val="24"/>
        </w:rPr>
        <w:tab/>
      </w:r>
      <w:r w:rsidR="00ED198B" w:rsidRPr="004C70EC">
        <w:rPr>
          <w:rFonts w:eastAsia="Times New Roman"/>
          <w:noProof/>
          <w:color w:val="000000" w:themeColor="text1"/>
          <w:szCs w:val="24"/>
          <w:lang w:val="en-US" w:eastAsia="en-GB"/>
        </w:rPr>
        <w:t>whether</w:t>
      </w:r>
      <w:r w:rsidR="001057D5" w:rsidRPr="004C70EC">
        <w:rPr>
          <w:rFonts w:eastAsia="Times New Roman"/>
          <w:noProof/>
          <w:color w:val="000000" w:themeColor="text1"/>
          <w:szCs w:val="24"/>
          <w:lang w:val="en-US" w:eastAsia="en-GB"/>
        </w:rPr>
        <w:t xml:space="preserve"> the Member </w:t>
      </w:r>
      <w:r w:rsidR="4B0384C2" w:rsidRPr="004C70EC">
        <w:rPr>
          <w:rFonts w:eastAsia="Times New Roman"/>
          <w:noProof/>
          <w:color w:val="000000" w:themeColor="text1"/>
          <w:szCs w:val="24"/>
          <w:lang w:val="en-US" w:eastAsia="en-GB"/>
        </w:rPr>
        <w:t>S</w:t>
      </w:r>
      <w:r w:rsidR="001057D5" w:rsidRPr="004C70EC">
        <w:rPr>
          <w:rFonts w:eastAsia="Times New Roman"/>
          <w:noProof/>
          <w:color w:val="000000" w:themeColor="text1"/>
          <w:szCs w:val="24"/>
          <w:lang w:val="en-US" w:eastAsia="en-GB"/>
        </w:rPr>
        <w:t>tates correctly supervise compliance with this Regulation</w:t>
      </w:r>
      <w:r w:rsidR="001C4BBC" w:rsidRPr="004C70EC">
        <w:rPr>
          <w:rFonts w:eastAsia="Times New Roman"/>
          <w:noProof/>
          <w:color w:val="000000" w:themeColor="text1"/>
          <w:szCs w:val="24"/>
          <w:lang w:val="en-US" w:eastAsia="en-GB"/>
        </w:rPr>
        <w:t>;</w:t>
      </w:r>
    </w:p>
    <w:p w14:paraId="3ECF538A" w14:textId="77777777" w:rsidR="006C79B6" w:rsidRPr="004C70EC" w:rsidRDefault="00F425DC" w:rsidP="00F425DC">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(b)</w:t>
      </w:r>
      <w:r w:rsidRPr="004C70EC">
        <w:rPr>
          <w:rFonts w:eastAsia="Times New Roman"/>
          <w:noProof/>
          <w:color w:val="000000" w:themeColor="text1"/>
          <w:szCs w:val="24"/>
          <w:lang w:val="en-US" w:eastAsia="en-GB"/>
        </w:rPr>
        <w:tab/>
      </w:r>
      <w:r w:rsidR="00ED198B" w:rsidRPr="004C70EC">
        <w:rPr>
          <w:rFonts w:eastAsia="Times New Roman"/>
          <w:noProof/>
          <w:color w:val="000000" w:themeColor="text1"/>
          <w:szCs w:val="24"/>
          <w:lang w:val="en-US" w:eastAsia="en-GB"/>
        </w:rPr>
        <w:t>w</w:t>
      </w:r>
      <w:r w:rsidR="001C4BBC" w:rsidRPr="004C70EC">
        <w:rPr>
          <w:rFonts w:eastAsia="Times New Roman"/>
          <w:noProof/>
          <w:color w:val="000000" w:themeColor="text1"/>
          <w:szCs w:val="24"/>
          <w:lang w:val="en-US" w:eastAsia="en-GB"/>
        </w:rPr>
        <w:t xml:space="preserve">hether regulatory system applicable to clinical trials conducted </w:t>
      </w:r>
      <w:r w:rsidR="00664FC1" w:rsidRPr="004C70EC">
        <w:rPr>
          <w:rFonts w:eastAsia="Times New Roman"/>
          <w:noProof/>
          <w:color w:val="000000" w:themeColor="text1"/>
          <w:szCs w:val="24"/>
          <w:lang w:val="en-US" w:eastAsia="en-GB"/>
        </w:rPr>
        <w:t xml:space="preserve">outside the Union ensures that </w:t>
      </w:r>
      <w:r w:rsidR="00566E75" w:rsidRPr="004C70EC">
        <w:rPr>
          <w:rFonts w:eastAsia="Times New Roman"/>
          <w:noProof/>
          <w:color w:val="000000" w:themeColor="text1"/>
          <w:szCs w:val="24"/>
          <w:lang w:val="en-US" w:eastAsia="en-GB"/>
        </w:rPr>
        <w:t xml:space="preserve">the clinical trials </w:t>
      </w:r>
      <w:r w:rsidR="001250E9" w:rsidRPr="004C70EC">
        <w:rPr>
          <w:rFonts w:eastAsia="Times New Roman"/>
          <w:noProof/>
          <w:color w:val="000000" w:themeColor="text1"/>
          <w:szCs w:val="24"/>
          <w:lang w:val="en-US" w:eastAsia="en-GB"/>
        </w:rPr>
        <w:t>references in the applications for marketing authorisations in the Union are designed, implemented and reported o</w:t>
      </w:r>
      <w:r w:rsidR="00B048CE" w:rsidRPr="004C70EC">
        <w:rPr>
          <w:rFonts w:eastAsia="Times New Roman"/>
          <w:noProof/>
          <w:color w:val="000000" w:themeColor="text1"/>
          <w:szCs w:val="24"/>
          <w:lang w:val="en-US" w:eastAsia="en-GB"/>
        </w:rPr>
        <w:t xml:space="preserve">n </w:t>
      </w:r>
      <w:r w:rsidR="00E02566" w:rsidRPr="004C70EC">
        <w:rPr>
          <w:rFonts w:eastAsia="Times New Roman"/>
          <w:noProof/>
          <w:color w:val="000000" w:themeColor="text1"/>
          <w:szCs w:val="24"/>
          <w:lang w:val="en-US" w:eastAsia="en-GB"/>
        </w:rPr>
        <w:t>what good</w:t>
      </w:r>
      <w:r w:rsidR="00B048CE" w:rsidRPr="004C70EC">
        <w:rPr>
          <w:rFonts w:eastAsia="Times New Roman"/>
          <w:noProof/>
          <w:color w:val="000000" w:themeColor="text1"/>
          <w:szCs w:val="24"/>
          <w:lang w:val="en-US" w:eastAsia="en-GB"/>
        </w:rPr>
        <w:t xml:space="preserve"> clinical practice and ethical principle are concerned, on the basis of </w:t>
      </w:r>
      <w:r w:rsidR="00AF4E14" w:rsidRPr="004C70EC">
        <w:rPr>
          <w:rFonts w:eastAsia="Times New Roman"/>
          <w:noProof/>
          <w:color w:val="000000" w:themeColor="text1"/>
          <w:szCs w:val="24"/>
          <w:lang w:val="en-US" w:eastAsia="en-GB"/>
        </w:rPr>
        <w:t xml:space="preserve">principles that are equivalent to the </w:t>
      </w:r>
      <w:r w:rsidR="006C79B6" w:rsidRPr="004C70EC">
        <w:rPr>
          <w:rFonts w:eastAsia="Times New Roman"/>
          <w:noProof/>
          <w:color w:val="000000" w:themeColor="text1"/>
          <w:szCs w:val="24"/>
          <w:lang w:val="en-US" w:eastAsia="en-GB"/>
        </w:rPr>
        <w:t>ones established in this Regulation;</w:t>
      </w:r>
    </w:p>
    <w:p w14:paraId="32C49D37" w14:textId="77777777" w:rsidR="00ED198B" w:rsidRPr="004C70EC" w:rsidRDefault="00F425DC" w:rsidP="00F425DC">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(c)</w:t>
      </w:r>
      <w:r w:rsidRPr="004C70EC">
        <w:rPr>
          <w:noProof/>
          <w:color w:val="000000" w:themeColor="text1"/>
          <w:szCs w:val="24"/>
        </w:rPr>
        <w:tab/>
      </w:r>
      <w:r w:rsidR="00ED198B" w:rsidRPr="004C70EC">
        <w:rPr>
          <w:rFonts w:eastAsia="Times New Roman"/>
          <w:noProof/>
          <w:color w:val="000000" w:themeColor="text1"/>
          <w:szCs w:val="24"/>
          <w:lang w:val="en-US" w:eastAsia="en-GB"/>
        </w:rPr>
        <w:t>w</w:t>
      </w:r>
      <w:r w:rsidR="007874B4" w:rsidRPr="004C70EC">
        <w:rPr>
          <w:rFonts w:eastAsia="Times New Roman"/>
          <w:noProof/>
          <w:color w:val="000000" w:themeColor="text1"/>
          <w:szCs w:val="24"/>
          <w:lang w:val="en-US" w:eastAsia="en-GB"/>
        </w:rPr>
        <w:t xml:space="preserve">hether the regulatory system applicable to clinical trials conducted outside the Union ensures that Article 25(5) of this Regulation is </w:t>
      </w:r>
      <w:r w:rsidR="1F5A5D93" w:rsidRPr="004C70EC">
        <w:rPr>
          <w:rFonts w:eastAsia="Times New Roman"/>
          <w:noProof/>
          <w:color w:val="000000" w:themeColor="text1"/>
          <w:szCs w:val="24"/>
          <w:lang w:val="en-US" w:eastAsia="en-GB"/>
        </w:rPr>
        <w:t xml:space="preserve">complied with </w:t>
      </w:r>
      <w:r w:rsidR="00ED198B" w:rsidRPr="004C70EC">
        <w:rPr>
          <w:rFonts w:eastAsia="Times New Roman"/>
          <w:noProof/>
          <w:color w:val="000000" w:themeColor="text1"/>
          <w:szCs w:val="24"/>
          <w:lang w:val="en-US" w:eastAsia="en-GB"/>
        </w:rPr>
        <w:t>.</w:t>
      </w:r>
    </w:p>
    <w:p w14:paraId="3BD016C8" w14:textId="77777777" w:rsidR="00273F36" w:rsidRPr="004C70EC" w:rsidRDefault="24A5941A" w:rsidP="00F425DC">
      <w:pPr>
        <w:pStyle w:val="Point1"/>
        <w:rPr>
          <w:noProof/>
          <w:color w:val="000000" w:themeColor="text1"/>
          <w:szCs w:val="24"/>
          <w:lang w:val="en-US" w:eastAsia="en-GB"/>
        </w:rPr>
      </w:pPr>
      <w:r w:rsidRPr="004C70EC">
        <w:rPr>
          <w:rFonts w:eastAsia="Times New Roman"/>
          <w:noProof/>
          <w:color w:val="000000" w:themeColor="text1"/>
          <w:szCs w:val="24"/>
          <w:lang w:val="en-US" w:eastAsia="en-GB"/>
        </w:rPr>
        <w:t>1a.</w:t>
      </w:r>
      <w:r w:rsidR="00F425DC" w:rsidRPr="004C70EC">
        <w:rPr>
          <w:rFonts w:eastAsia="Times New Roman"/>
          <w:noProof/>
          <w:color w:val="000000" w:themeColor="text1"/>
          <w:szCs w:val="24"/>
          <w:lang w:val="en-US" w:eastAsia="en-GB"/>
        </w:rPr>
        <w:tab/>
      </w:r>
      <w:r w:rsidRPr="004C70EC">
        <w:rPr>
          <w:rFonts w:eastAsia="Times New Roman"/>
          <w:noProof/>
          <w:color w:val="000000" w:themeColor="text1"/>
          <w:szCs w:val="24"/>
          <w:lang w:val="en-US" w:eastAsia="en-GB"/>
        </w:rPr>
        <w:t>In order to perf</w:t>
      </w:r>
      <w:r w:rsidR="42CE1D3A" w:rsidRPr="004C70EC">
        <w:rPr>
          <w:rFonts w:eastAsia="Times New Roman"/>
          <w:noProof/>
          <w:color w:val="000000" w:themeColor="text1"/>
          <w:szCs w:val="24"/>
          <w:lang w:val="en-US" w:eastAsia="en-GB"/>
        </w:rPr>
        <w:t xml:space="preserve">orm the Union controls referred to in paragraph (1) point (a), the </w:t>
      </w:r>
      <w:r w:rsidR="42CE1D3A" w:rsidRPr="004C70EC">
        <w:rPr>
          <w:noProof/>
          <w:color w:val="000000" w:themeColor="text1"/>
          <w:szCs w:val="24"/>
          <w:lang w:val="en-US" w:eastAsia="en-GB"/>
        </w:rPr>
        <w:t>Commission may verify</w:t>
      </w:r>
      <w:r w:rsidR="2F263E33" w:rsidRPr="004C70EC">
        <w:rPr>
          <w:noProof/>
          <w:color w:val="000000" w:themeColor="text1"/>
          <w:szCs w:val="24"/>
          <w:lang w:val="en-US" w:eastAsia="en-GB"/>
        </w:rPr>
        <w:t xml:space="preserve"> whether competent authorities and ethics committees have in place adequate and effective mechanisms to ensure compliance with this Regulation as regards in particular the requirements related to: </w:t>
      </w:r>
    </w:p>
    <w:p w14:paraId="3906BB4B" w14:textId="77777777" w:rsidR="00273F36" w:rsidRPr="004C70EC" w:rsidRDefault="31B54F49" w:rsidP="00F73F7F">
      <w:pPr>
        <w:pStyle w:val="Point2"/>
        <w:rPr>
          <w:noProof/>
          <w:color w:val="000000" w:themeColor="text1"/>
          <w:szCs w:val="24"/>
          <w:lang w:val="en-US" w:eastAsia="en-GB"/>
        </w:rPr>
      </w:pPr>
      <w:r w:rsidRPr="004C70EC">
        <w:rPr>
          <w:noProof/>
          <w:color w:val="000000" w:themeColor="text1"/>
          <w:szCs w:val="24"/>
          <w:lang w:val="en-US" w:eastAsia="en-GB"/>
        </w:rPr>
        <w:t>(</w:t>
      </w:r>
      <w:r w:rsidR="6620286C" w:rsidRPr="004C70EC">
        <w:rPr>
          <w:noProof/>
          <w:color w:val="000000" w:themeColor="text1"/>
          <w:szCs w:val="24"/>
          <w:lang w:val="en-US" w:eastAsia="en-GB"/>
        </w:rPr>
        <w:t>a</w:t>
      </w:r>
      <w:r w:rsidRPr="004C70EC">
        <w:rPr>
          <w:noProof/>
          <w:color w:val="000000" w:themeColor="text1"/>
          <w:szCs w:val="24"/>
          <w:lang w:val="en-US" w:eastAsia="en-GB"/>
        </w:rPr>
        <w:t>)</w:t>
      </w:r>
      <w:r w:rsidR="00F73F7F" w:rsidRPr="004C70EC">
        <w:rPr>
          <w:noProof/>
          <w:color w:val="000000" w:themeColor="text1"/>
          <w:szCs w:val="24"/>
        </w:rPr>
        <w:tab/>
      </w:r>
      <w:r w:rsidR="2F263E33" w:rsidRPr="004C70EC">
        <w:rPr>
          <w:noProof/>
          <w:color w:val="000000" w:themeColor="text1"/>
          <w:szCs w:val="24"/>
          <w:lang w:val="en-US" w:eastAsia="en-GB"/>
        </w:rPr>
        <w:t>v</w:t>
      </w:r>
      <w:r w:rsidR="2F263E33" w:rsidRPr="004C70EC">
        <w:rPr>
          <w:noProof/>
          <w:color w:val="000000" w:themeColor="text1"/>
          <w:szCs w:val="24"/>
          <w:lang w:eastAsia="en-GB"/>
        </w:rPr>
        <w:t xml:space="preserve">alidation of the clinical trial application as referred to in Articles 5(3), 17(2) and </w:t>
      </w:r>
      <w:r w:rsidR="50BAB89A" w:rsidRPr="004C70EC">
        <w:rPr>
          <w:noProof/>
          <w:color w:val="000000" w:themeColor="text1"/>
          <w:szCs w:val="24"/>
          <w:lang w:eastAsia="en-GB"/>
        </w:rPr>
        <w:t xml:space="preserve">Article </w:t>
      </w:r>
      <w:r w:rsidR="2F263E33" w:rsidRPr="004C70EC">
        <w:rPr>
          <w:noProof/>
          <w:color w:val="000000" w:themeColor="text1"/>
          <w:szCs w:val="24"/>
          <w:lang w:eastAsia="en-GB"/>
        </w:rPr>
        <w:t>20;</w:t>
      </w:r>
    </w:p>
    <w:p w14:paraId="524BEE68" w14:textId="77777777" w:rsidR="00273F36" w:rsidRPr="004C70EC" w:rsidRDefault="31B54F49" w:rsidP="33CE1D06">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w:t>
      </w:r>
      <w:r w:rsidR="042A8FCE" w:rsidRPr="004C70EC">
        <w:rPr>
          <w:rFonts w:eastAsia="Times New Roman"/>
          <w:noProof/>
          <w:color w:val="000000" w:themeColor="text1"/>
          <w:szCs w:val="24"/>
          <w:lang w:val="en-US" w:eastAsia="en-GB"/>
        </w:rPr>
        <w:t>b</w:t>
      </w:r>
      <w:r w:rsidRPr="004C70EC">
        <w:rPr>
          <w:rFonts w:eastAsia="Times New Roman"/>
          <w:noProof/>
          <w:color w:val="000000" w:themeColor="text1"/>
          <w:szCs w:val="24"/>
          <w:lang w:val="en-US" w:eastAsia="en-GB"/>
        </w:rPr>
        <w:t>)</w:t>
      </w:r>
      <w:r w:rsidR="00F73F7F" w:rsidRPr="004C70EC">
        <w:rPr>
          <w:noProof/>
          <w:color w:val="000000" w:themeColor="text1"/>
          <w:szCs w:val="24"/>
        </w:rPr>
        <w:tab/>
      </w:r>
      <w:r w:rsidR="2F263E33" w:rsidRPr="004C70EC">
        <w:rPr>
          <w:rFonts w:eastAsia="Times New Roman"/>
          <w:noProof/>
          <w:color w:val="000000" w:themeColor="text1"/>
          <w:szCs w:val="24"/>
          <w:lang w:val="en-US" w:eastAsia="en-GB"/>
        </w:rPr>
        <w:t>s</w:t>
      </w:r>
      <w:r w:rsidR="2F263E33" w:rsidRPr="004C70EC">
        <w:rPr>
          <w:rFonts w:eastAsia="Times New Roman"/>
          <w:noProof/>
          <w:color w:val="000000" w:themeColor="text1"/>
          <w:szCs w:val="24"/>
          <w:lang w:eastAsia="en-GB"/>
        </w:rPr>
        <w:t xml:space="preserve">cientific and ethical review as referred to in </w:t>
      </w:r>
      <w:r w:rsidR="50BAB89A" w:rsidRPr="004C70EC">
        <w:rPr>
          <w:rFonts w:eastAsia="Times New Roman"/>
          <w:noProof/>
          <w:color w:val="000000" w:themeColor="text1"/>
          <w:szCs w:val="24"/>
          <w:lang w:eastAsia="en-GB"/>
        </w:rPr>
        <w:t>Article</w:t>
      </w:r>
      <w:r w:rsidR="2F263E33" w:rsidRPr="004C70EC">
        <w:rPr>
          <w:rFonts w:eastAsia="Times New Roman"/>
          <w:noProof/>
          <w:color w:val="000000" w:themeColor="text1"/>
          <w:szCs w:val="24"/>
          <w:lang w:eastAsia="en-GB"/>
        </w:rPr>
        <w:t xml:space="preserve"> 4, </w:t>
      </w:r>
      <w:r w:rsidR="14A4E86F" w:rsidRPr="004C70EC">
        <w:rPr>
          <w:rFonts w:eastAsia="Times New Roman"/>
          <w:noProof/>
          <w:color w:val="000000" w:themeColor="text1"/>
          <w:szCs w:val="24"/>
          <w:lang w:eastAsia="en-GB"/>
        </w:rPr>
        <w:t>Articles</w:t>
      </w:r>
      <w:r w:rsidR="2F263E33" w:rsidRPr="004C70EC">
        <w:rPr>
          <w:rFonts w:eastAsia="Times New Roman"/>
          <w:noProof/>
          <w:color w:val="000000" w:themeColor="text1"/>
          <w:szCs w:val="24"/>
          <w:lang w:eastAsia="en-GB"/>
        </w:rPr>
        <w:t xml:space="preserve"> 6(1), 7(1), 8, 9 and 10, assessment of substantial modifications as referred to in Articles 17</w:t>
      </w:r>
      <w:r w:rsidR="2EFA3EB8" w:rsidRPr="004C70EC">
        <w:rPr>
          <w:rFonts w:eastAsia="Times New Roman"/>
          <w:noProof/>
          <w:color w:val="000000" w:themeColor="text1"/>
          <w:szCs w:val="24"/>
          <w:lang w:eastAsia="en-GB"/>
        </w:rPr>
        <w:t xml:space="preserve"> </w:t>
      </w:r>
      <w:r w:rsidR="00E02566" w:rsidRPr="004C70EC">
        <w:rPr>
          <w:rFonts w:eastAsia="Times New Roman"/>
          <w:noProof/>
          <w:color w:val="000000" w:themeColor="text1"/>
          <w:szCs w:val="24"/>
          <w:lang w:eastAsia="en-GB"/>
        </w:rPr>
        <w:t>to 22</w:t>
      </w:r>
      <w:r w:rsidR="2F263E33" w:rsidRPr="004C70EC">
        <w:rPr>
          <w:rFonts w:eastAsia="Times New Roman"/>
          <w:noProof/>
          <w:color w:val="000000" w:themeColor="text1"/>
          <w:szCs w:val="24"/>
          <w:lang w:eastAsia="en-GB"/>
        </w:rPr>
        <w:t>, safety assessment referred to in Article 44;</w:t>
      </w:r>
    </w:p>
    <w:p w14:paraId="4605F488" w14:textId="77777777" w:rsidR="00273F36" w:rsidRPr="004C70EC" w:rsidRDefault="31B54F49" w:rsidP="33CE1D06">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w:t>
      </w:r>
      <w:r w:rsidR="5D0079BB" w:rsidRPr="004C70EC">
        <w:rPr>
          <w:rFonts w:eastAsia="Times New Roman"/>
          <w:noProof/>
          <w:color w:val="000000" w:themeColor="text1"/>
          <w:szCs w:val="24"/>
          <w:lang w:val="en-US" w:eastAsia="en-GB"/>
        </w:rPr>
        <w:t>c</w:t>
      </w:r>
      <w:r w:rsidRPr="004C70EC">
        <w:rPr>
          <w:rFonts w:eastAsia="Times New Roman"/>
          <w:noProof/>
          <w:color w:val="000000" w:themeColor="text1"/>
          <w:szCs w:val="24"/>
          <w:lang w:val="en-US" w:eastAsia="en-GB"/>
        </w:rPr>
        <w:t>)</w:t>
      </w:r>
      <w:r w:rsidR="00F73F7F" w:rsidRPr="004C70EC">
        <w:rPr>
          <w:noProof/>
          <w:color w:val="000000" w:themeColor="text1"/>
          <w:szCs w:val="24"/>
        </w:rPr>
        <w:tab/>
      </w:r>
      <w:r w:rsidR="2F263E33" w:rsidRPr="004C70EC">
        <w:rPr>
          <w:rFonts w:eastAsia="Times New Roman"/>
          <w:noProof/>
          <w:color w:val="000000" w:themeColor="text1"/>
          <w:szCs w:val="24"/>
          <w:lang w:val="en-US" w:eastAsia="en-GB"/>
        </w:rPr>
        <w:t>c</w:t>
      </w:r>
      <w:r w:rsidR="2F263E33" w:rsidRPr="004C70EC">
        <w:rPr>
          <w:rFonts w:eastAsia="Times New Roman"/>
          <w:noProof/>
          <w:color w:val="000000" w:themeColor="text1"/>
          <w:szCs w:val="24"/>
          <w:lang w:eastAsia="en-GB"/>
        </w:rPr>
        <w:t>ommunication and coordination with other Member States as referred to in Articles 5</w:t>
      </w:r>
      <w:r w:rsidR="2EFA3EB8" w:rsidRPr="004C70EC">
        <w:rPr>
          <w:rFonts w:eastAsia="Times New Roman"/>
          <w:noProof/>
          <w:color w:val="000000" w:themeColor="text1"/>
          <w:szCs w:val="24"/>
          <w:lang w:eastAsia="en-GB"/>
        </w:rPr>
        <w:t xml:space="preserve"> to </w:t>
      </w:r>
      <w:r w:rsidR="2F263E33" w:rsidRPr="004C70EC">
        <w:rPr>
          <w:rFonts w:eastAsia="Times New Roman"/>
          <w:noProof/>
          <w:color w:val="000000" w:themeColor="text1"/>
          <w:szCs w:val="24"/>
          <w:lang w:eastAsia="en-GB"/>
        </w:rPr>
        <w:t xml:space="preserve">8, </w:t>
      </w:r>
      <w:r w:rsidR="7CBA4C4F" w:rsidRPr="004C70EC">
        <w:rPr>
          <w:rFonts w:eastAsia="Times New Roman"/>
          <w:noProof/>
          <w:color w:val="000000" w:themeColor="text1"/>
          <w:szCs w:val="24"/>
          <w:lang w:eastAsia="en-GB"/>
        </w:rPr>
        <w:t xml:space="preserve">Article </w:t>
      </w:r>
      <w:r w:rsidR="2F263E33" w:rsidRPr="004C70EC">
        <w:rPr>
          <w:rFonts w:eastAsia="Times New Roman"/>
          <w:noProof/>
          <w:color w:val="000000" w:themeColor="text1"/>
          <w:szCs w:val="24"/>
          <w:lang w:eastAsia="en-GB"/>
        </w:rPr>
        <w:t xml:space="preserve">14, </w:t>
      </w:r>
      <w:r w:rsidR="7CBA4C4F" w:rsidRPr="004C70EC">
        <w:rPr>
          <w:rFonts w:eastAsia="Times New Roman"/>
          <w:noProof/>
          <w:color w:val="000000" w:themeColor="text1"/>
          <w:szCs w:val="24"/>
          <w:lang w:eastAsia="en-GB"/>
        </w:rPr>
        <w:t>Article</w:t>
      </w:r>
      <w:r w:rsidR="2F263E33" w:rsidRPr="004C70EC">
        <w:rPr>
          <w:rFonts w:eastAsia="Times New Roman"/>
          <w:noProof/>
          <w:color w:val="000000" w:themeColor="text1"/>
          <w:szCs w:val="24"/>
          <w:lang w:eastAsia="en-GB"/>
        </w:rPr>
        <w:t xml:space="preserve"> 17</w:t>
      </w:r>
      <w:r w:rsidR="7CBA4C4F" w:rsidRPr="004C70EC">
        <w:rPr>
          <w:rFonts w:eastAsia="Times New Roman"/>
          <w:noProof/>
          <w:color w:val="000000" w:themeColor="text1"/>
          <w:szCs w:val="24"/>
          <w:lang w:eastAsia="en-GB"/>
        </w:rPr>
        <w:t xml:space="preserve"> to </w:t>
      </w:r>
      <w:r w:rsidR="2F263E33" w:rsidRPr="004C70EC">
        <w:rPr>
          <w:rFonts w:eastAsia="Times New Roman"/>
          <w:noProof/>
          <w:color w:val="000000" w:themeColor="text1"/>
          <w:szCs w:val="24"/>
          <w:lang w:eastAsia="en-GB"/>
        </w:rPr>
        <w:t xml:space="preserve">19, </w:t>
      </w:r>
      <w:r w:rsidR="7CBA4C4F" w:rsidRPr="004C70EC">
        <w:rPr>
          <w:rFonts w:eastAsia="Times New Roman"/>
          <w:noProof/>
          <w:color w:val="000000" w:themeColor="text1"/>
          <w:szCs w:val="24"/>
          <w:lang w:eastAsia="en-GB"/>
        </w:rPr>
        <w:t xml:space="preserve">Article </w:t>
      </w:r>
      <w:r w:rsidR="2F263E33" w:rsidRPr="004C70EC">
        <w:rPr>
          <w:rFonts w:eastAsia="Times New Roman"/>
          <w:noProof/>
          <w:color w:val="000000" w:themeColor="text1"/>
          <w:szCs w:val="24"/>
          <w:lang w:eastAsia="en-GB"/>
        </w:rPr>
        <w:t>22</w:t>
      </w:r>
      <w:r w:rsidR="7CBA4C4F" w:rsidRPr="004C70EC">
        <w:rPr>
          <w:rFonts w:eastAsia="Times New Roman"/>
          <w:noProof/>
          <w:color w:val="000000" w:themeColor="text1"/>
          <w:szCs w:val="24"/>
          <w:lang w:eastAsia="en-GB"/>
        </w:rPr>
        <w:t xml:space="preserve"> </w:t>
      </w:r>
      <w:r w:rsidR="00E02566" w:rsidRPr="004C70EC">
        <w:rPr>
          <w:rFonts w:eastAsia="Times New Roman"/>
          <w:noProof/>
          <w:color w:val="000000" w:themeColor="text1"/>
          <w:szCs w:val="24"/>
          <w:lang w:eastAsia="en-GB"/>
        </w:rPr>
        <w:t xml:space="preserve">and </w:t>
      </w:r>
      <w:r w:rsidR="2F263E33" w:rsidRPr="004C70EC">
        <w:rPr>
          <w:rFonts w:eastAsia="Times New Roman"/>
          <w:noProof/>
          <w:color w:val="000000" w:themeColor="text1"/>
          <w:szCs w:val="24"/>
          <w:lang w:eastAsia="en-GB"/>
        </w:rPr>
        <w:t>23;</w:t>
      </w:r>
    </w:p>
    <w:p w14:paraId="6D82DCB2" w14:textId="77777777" w:rsidR="00273F36" w:rsidRPr="004C70EC" w:rsidRDefault="31B54F49" w:rsidP="33CE1D06">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eastAsia="en-GB"/>
        </w:rPr>
        <w:t>(</w:t>
      </w:r>
      <w:r w:rsidR="4348163A" w:rsidRPr="004C70EC">
        <w:rPr>
          <w:rFonts w:eastAsia="Times New Roman"/>
          <w:noProof/>
          <w:color w:val="000000" w:themeColor="text1"/>
          <w:szCs w:val="24"/>
          <w:lang w:eastAsia="en-GB"/>
        </w:rPr>
        <w:t>d</w:t>
      </w:r>
      <w:r w:rsidRPr="004C70EC">
        <w:rPr>
          <w:rFonts w:eastAsia="Times New Roman"/>
          <w:noProof/>
          <w:color w:val="000000" w:themeColor="text1"/>
          <w:szCs w:val="24"/>
          <w:lang w:eastAsia="en-GB"/>
        </w:rPr>
        <w:t>)</w:t>
      </w:r>
      <w:r w:rsidR="00F73F7F" w:rsidRPr="004C70EC">
        <w:rPr>
          <w:noProof/>
          <w:color w:val="000000" w:themeColor="text1"/>
          <w:szCs w:val="24"/>
        </w:rPr>
        <w:tab/>
      </w:r>
      <w:r w:rsidR="2F263E33" w:rsidRPr="004C70EC">
        <w:rPr>
          <w:rFonts w:eastAsia="Times New Roman"/>
          <w:noProof/>
          <w:color w:val="000000" w:themeColor="text1"/>
          <w:szCs w:val="24"/>
          <w:lang w:eastAsia="en-GB"/>
        </w:rPr>
        <w:t>manufacturing and import of investigational medicinal products as referred to in Articles 61 and 63(4);</w:t>
      </w:r>
    </w:p>
    <w:p w14:paraId="505989F4"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w:t>
      </w:r>
      <w:r w:rsidR="00F425DC" w:rsidRPr="004C70EC">
        <w:rPr>
          <w:rFonts w:eastAsia="Times New Roman"/>
          <w:noProof/>
          <w:color w:val="000000" w:themeColor="text1"/>
          <w:szCs w:val="24"/>
          <w:lang w:val="en-US" w:eastAsia="en-GB"/>
        </w:rPr>
        <w:t>e</w:t>
      </w:r>
      <w:r w:rsidRPr="004C70EC">
        <w:rPr>
          <w:rFonts w:eastAsia="Times New Roman"/>
          <w:noProof/>
          <w:color w:val="000000" w:themeColor="text1"/>
          <w:szCs w:val="24"/>
          <w:lang w:val="en-US" w:eastAsia="en-GB"/>
        </w:rPr>
        <w:t>)</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application of c</w:t>
      </w:r>
      <w:r w:rsidR="00273F36" w:rsidRPr="004C70EC">
        <w:rPr>
          <w:rFonts w:eastAsia="Times New Roman"/>
          <w:noProof/>
          <w:color w:val="000000" w:themeColor="text1"/>
          <w:szCs w:val="24"/>
          <w:lang w:eastAsia="en-GB"/>
        </w:rPr>
        <w:t xml:space="preserve">orrective measures and penalties as referred to in Article 77 and 94; </w:t>
      </w:r>
    </w:p>
    <w:p w14:paraId="160E480F"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w:t>
      </w:r>
      <w:r w:rsidR="00F425DC" w:rsidRPr="004C70EC">
        <w:rPr>
          <w:rFonts w:eastAsia="Times New Roman"/>
          <w:noProof/>
          <w:color w:val="000000" w:themeColor="text1"/>
          <w:szCs w:val="24"/>
          <w:lang w:val="en-US" w:eastAsia="en-GB"/>
        </w:rPr>
        <w:t>f</w:t>
      </w:r>
      <w:r w:rsidRPr="004C70EC">
        <w:rPr>
          <w:rFonts w:eastAsia="Times New Roman"/>
          <w:noProof/>
          <w:color w:val="000000" w:themeColor="text1"/>
          <w:szCs w:val="24"/>
          <w:lang w:val="en-US" w:eastAsia="en-GB"/>
        </w:rPr>
        <w:t>)</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conduct i</w:t>
      </w:r>
      <w:r w:rsidR="00273F36" w:rsidRPr="004C70EC">
        <w:rPr>
          <w:rFonts w:eastAsia="Times New Roman"/>
          <w:noProof/>
          <w:color w:val="000000" w:themeColor="text1"/>
          <w:szCs w:val="24"/>
          <w:lang w:eastAsia="en-GB"/>
        </w:rPr>
        <w:t>nspections as referred to in Article</w:t>
      </w:r>
      <w:r w:rsidR="00E53151" w:rsidRPr="004C70EC">
        <w:rPr>
          <w:rFonts w:eastAsia="Times New Roman"/>
          <w:noProof/>
          <w:color w:val="000000" w:themeColor="text1"/>
          <w:szCs w:val="24"/>
          <w:lang w:eastAsia="en-GB"/>
        </w:rPr>
        <w:t>s</w:t>
      </w:r>
      <w:r w:rsidR="00273F36" w:rsidRPr="004C70EC">
        <w:rPr>
          <w:rFonts w:eastAsia="Times New Roman"/>
          <w:noProof/>
          <w:color w:val="000000" w:themeColor="text1"/>
          <w:szCs w:val="24"/>
          <w:lang w:eastAsia="en-GB"/>
        </w:rPr>
        <w:t xml:space="preserve"> 78, 63 and 63a.</w:t>
      </w:r>
    </w:p>
    <w:p w14:paraId="3CEF28F0" w14:textId="77777777" w:rsidR="00273F36" w:rsidRPr="004C70EC" w:rsidRDefault="00754032" w:rsidP="00754032">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en-GB"/>
        </w:rPr>
        <w:t>2.</w:t>
      </w:r>
      <w:r w:rsidRPr="004C70EC">
        <w:rPr>
          <w:rFonts w:eastAsia="Times New Roman"/>
          <w:noProof/>
          <w:color w:val="000000" w:themeColor="text1"/>
          <w:szCs w:val="24"/>
          <w:lang w:eastAsia="en-GB"/>
        </w:rPr>
        <w:tab/>
      </w:r>
      <w:r w:rsidR="00273F36" w:rsidRPr="004C70EC">
        <w:rPr>
          <w:rFonts w:eastAsia="Times New Roman"/>
          <w:noProof/>
          <w:color w:val="000000" w:themeColor="text1"/>
          <w:szCs w:val="24"/>
          <w:lang w:eastAsia="en-GB"/>
        </w:rPr>
        <w:t xml:space="preserve">The Commission shall organise the controls referred to in paragraph 1 in cooperation with the national authorities and shall carry them out in a manner that avoids unnecessary administrative burden. </w:t>
      </w:r>
    </w:p>
    <w:p w14:paraId="3E024F96" w14:textId="77777777" w:rsidR="00273F36" w:rsidRPr="004C70EC" w:rsidRDefault="00754032" w:rsidP="00754032">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3.</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When performing the controls referred to in paragraph 1, the Commission shall consult the relevant best practices. </w:t>
      </w:r>
    </w:p>
    <w:p w14:paraId="79B40382" w14:textId="77777777" w:rsidR="00273F36" w:rsidRPr="004C70EC" w:rsidRDefault="00754032" w:rsidP="00754032">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4.</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The Commission, in carrying out the controls referred to in paragraph 1, may be supported by experts from the competent authorities or ethics committees. </w:t>
      </w:r>
    </w:p>
    <w:p w14:paraId="09F78026" w14:textId="77777777" w:rsidR="00273F36" w:rsidRPr="004C70EC" w:rsidRDefault="00754032" w:rsidP="00754032">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5.</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Following each control, the Commission shall: </w:t>
      </w:r>
    </w:p>
    <w:p w14:paraId="76FBF743"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(a)</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prepare a draft report on the findings and, where appropriate, include recommendations addressing the shortcomings identified; </w:t>
      </w:r>
    </w:p>
    <w:p w14:paraId="3B49ADCA"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(b)</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send a copy of the draft report referred to in point (a) to the clinical trials national authority concerned for its comments; </w:t>
      </w:r>
    </w:p>
    <w:p w14:paraId="149D0051"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(c)</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take the comments referred to in point (b) into account in preparing the final report; and </w:t>
      </w:r>
    </w:p>
    <w:p w14:paraId="6621E669" w14:textId="77777777" w:rsidR="00273F36" w:rsidRPr="004C70EC" w:rsidRDefault="00F73F7F" w:rsidP="642D1666">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(d)</w:t>
      </w:r>
      <w:r w:rsidRPr="004C70EC">
        <w:rPr>
          <w:noProof/>
          <w:color w:val="000000" w:themeColor="text1"/>
          <w:szCs w:val="24"/>
        </w:rPr>
        <w:tab/>
      </w:r>
      <w:r w:rsidR="00273F36" w:rsidRPr="004C70EC">
        <w:rPr>
          <w:rFonts w:eastAsia="Times New Roman"/>
          <w:noProof/>
          <w:color w:val="000000" w:themeColor="text1"/>
          <w:szCs w:val="24"/>
          <w:lang w:val="en-US" w:eastAsia="en-GB"/>
        </w:rPr>
        <w:t>submit the final report through the EU portal.”</w:t>
      </w:r>
      <w:r w:rsidR="4E0A7F67" w:rsidRPr="004C70EC">
        <w:rPr>
          <w:rFonts w:eastAsia="Times New Roman"/>
          <w:noProof/>
          <w:color w:val="000000" w:themeColor="text1"/>
          <w:szCs w:val="24"/>
          <w:lang w:val="en-US" w:eastAsia="en-GB"/>
        </w:rPr>
        <w:t>;</w:t>
      </w:r>
    </w:p>
    <w:p w14:paraId="3D9132D2" w14:textId="77777777" w:rsidR="00273F36" w:rsidRPr="004C70EC" w:rsidRDefault="296B87E7" w:rsidP="4CF51068">
      <w:pPr>
        <w:pStyle w:val="Point0"/>
        <w:rPr>
          <w:rFonts w:eastAsia="Times New Roman"/>
          <w:noProof/>
          <w:color w:val="000000" w:themeColor="text1"/>
          <w:lang w:eastAsia="en-GB"/>
        </w:rPr>
      </w:pPr>
      <w:r w:rsidRPr="004C70EC">
        <w:rPr>
          <w:rFonts w:eastAsia="Times New Roman"/>
          <w:noProof/>
          <w:color w:val="000000" w:themeColor="text1"/>
          <w:lang w:eastAsia="en-GB"/>
        </w:rPr>
        <w:t>(4</w:t>
      </w:r>
      <w:r w:rsidR="433C6C85" w:rsidRPr="004C70EC">
        <w:rPr>
          <w:rFonts w:eastAsia="Times New Roman"/>
          <w:noProof/>
          <w:color w:val="000000" w:themeColor="text1"/>
          <w:lang w:eastAsia="en-GB"/>
        </w:rPr>
        <w:t>3</w:t>
      </w:r>
      <w:r w:rsidRPr="004C70EC">
        <w:rPr>
          <w:rFonts w:eastAsia="Times New Roman"/>
          <w:noProof/>
          <w:color w:val="000000" w:themeColor="text1"/>
          <w:lang w:eastAsia="en-GB"/>
        </w:rPr>
        <w:t>)</w:t>
      </w:r>
      <w:r w:rsidR="00F73F7F" w:rsidRPr="004C70EC">
        <w:rPr>
          <w:noProof/>
        </w:rPr>
        <w:tab/>
      </w:r>
      <w:r w:rsidR="32ADFFDF" w:rsidRPr="004C70EC">
        <w:rPr>
          <w:rFonts w:eastAsia="Times New Roman"/>
          <w:noProof/>
          <w:color w:val="000000" w:themeColor="text1"/>
          <w:lang w:eastAsia="en-GB"/>
        </w:rPr>
        <w:t>t</w:t>
      </w:r>
      <w:r w:rsidR="249CF78E" w:rsidRPr="004C70EC">
        <w:rPr>
          <w:rFonts w:eastAsia="Times New Roman"/>
          <w:noProof/>
          <w:color w:val="000000" w:themeColor="text1"/>
          <w:lang w:eastAsia="en-GB"/>
        </w:rPr>
        <w:t xml:space="preserve">he following Article </w:t>
      </w:r>
      <w:r w:rsidR="32ADFFDF" w:rsidRPr="004C70EC">
        <w:rPr>
          <w:rFonts w:eastAsia="Times New Roman"/>
          <w:noProof/>
          <w:color w:val="000000" w:themeColor="text1"/>
          <w:lang w:eastAsia="en-GB"/>
        </w:rPr>
        <w:t>79a</w:t>
      </w:r>
      <w:r w:rsidR="249CF78E" w:rsidRPr="004C70EC">
        <w:rPr>
          <w:rFonts w:eastAsia="Times New Roman"/>
          <w:noProof/>
          <w:color w:val="000000" w:themeColor="text1"/>
          <w:lang w:eastAsia="en-GB"/>
        </w:rPr>
        <w:t xml:space="preserve"> is inserted: </w:t>
      </w:r>
    </w:p>
    <w:p w14:paraId="0657729E" w14:textId="77777777" w:rsidR="00273F36" w:rsidRPr="004C70EC" w:rsidRDefault="0049577B" w:rsidP="00F73F7F">
      <w:pPr>
        <w:pStyle w:val="Titrearticle"/>
        <w:rPr>
          <w:rFonts w:eastAsia="Times New Roman"/>
          <w:i w:val="0"/>
          <w:iCs/>
          <w:noProof/>
          <w:color w:val="000000" w:themeColor="text1"/>
          <w:szCs w:val="24"/>
          <w:lang w:val="en-IE" w:eastAsia="en-GB"/>
        </w:rPr>
      </w:pPr>
      <w:r w:rsidRPr="004C70EC">
        <w:rPr>
          <w:rFonts w:eastAsia="Times New Roman"/>
          <w:noProof/>
          <w:color w:val="000000" w:themeColor="text1"/>
          <w:szCs w:val="24"/>
          <w:lang w:eastAsia="en-GB"/>
        </w:rPr>
        <w:t>’</w:t>
      </w:r>
      <w:r w:rsidR="00273F36" w:rsidRPr="004C70EC">
        <w:rPr>
          <w:rFonts w:eastAsia="Times New Roman"/>
          <w:noProof/>
          <w:color w:val="000000" w:themeColor="text1"/>
          <w:szCs w:val="24"/>
          <w:lang w:val="en-IE" w:eastAsia="en-GB"/>
        </w:rPr>
        <w:t>Article 79a</w:t>
      </w:r>
      <w:r w:rsidR="00273F36" w:rsidRPr="004C70EC">
        <w:rPr>
          <w:rFonts w:eastAsia="Times New Roman"/>
          <w:iCs/>
          <w:noProof/>
          <w:color w:val="000000" w:themeColor="text1"/>
          <w:szCs w:val="24"/>
          <w:lang w:val="en-IE" w:eastAsia="en-GB"/>
        </w:rPr>
        <w:t xml:space="preserve"> </w:t>
      </w:r>
    </w:p>
    <w:p w14:paraId="63D4C015" w14:textId="77777777" w:rsidR="00273F36" w:rsidRPr="004C70EC" w:rsidRDefault="00273F36" w:rsidP="00F73F7F">
      <w:pPr>
        <w:jc w:val="center"/>
        <w:rPr>
          <w:rFonts w:eastAsia="Times New Roman"/>
          <w:i/>
          <w:iCs/>
          <w:noProof/>
          <w:color w:val="000000" w:themeColor="text1"/>
          <w:szCs w:val="24"/>
          <w:lang w:val="en-IE" w:eastAsia="en-GB"/>
        </w:rPr>
      </w:pPr>
      <w:r w:rsidRPr="004C70EC">
        <w:rPr>
          <w:rFonts w:eastAsia="Times New Roman"/>
          <w:i/>
          <w:iCs/>
          <w:noProof/>
          <w:color w:val="000000" w:themeColor="text1"/>
          <w:szCs w:val="24"/>
          <w:lang w:val="en-IE" w:eastAsia="en-GB"/>
        </w:rPr>
        <w:t>Obligations as regards Union controls</w:t>
      </w:r>
    </w:p>
    <w:p w14:paraId="73D9D7AB" w14:textId="77777777" w:rsidR="00273F36" w:rsidRPr="004C70EC" w:rsidRDefault="00273F36" w:rsidP="00F73F7F">
      <w:pPr>
        <w:pStyle w:val="Text1"/>
        <w:rPr>
          <w:noProof/>
          <w:color w:val="000000" w:themeColor="text1"/>
          <w:szCs w:val="24"/>
          <w:lang w:eastAsia="en-GB"/>
        </w:rPr>
      </w:pPr>
      <w:r w:rsidRPr="004C70EC">
        <w:rPr>
          <w:noProof/>
          <w:color w:val="000000" w:themeColor="text1"/>
          <w:szCs w:val="24"/>
          <w:lang w:eastAsia="en-GB"/>
        </w:rPr>
        <w:t xml:space="preserve">Member States shall cooperate with the Commission in respect of the performance of the Union controls referred to in Article 79 (1). In particular, they shall: </w:t>
      </w:r>
    </w:p>
    <w:p w14:paraId="0733A67F" w14:textId="77777777" w:rsidR="00273F36" w:rsidRPr="004C70EC" w:rsidRDefault="00F73F7F" w:rsidP="00F73F7F">
      <w:pPr>
        <w:pStyle w:val="Point1"/>
        <w:rPr>
          <w:noProof/>
          <w:color w:val="000000" w:themeColor="text1"/>
          <w:szCs w:val="24"/>
          <w:lang w:eastAsia="en-GB"/>
        </w:rPr>
      </w:pPr>
      <w:r w:rsidRPr="004C70EC">
        <w:rPr>
          <w:noProof/>
          <w:color w:val="000000" w:themeColor="text1"/>
          <w:szCs w:val="24"/>
          <w:lang w:eastAsia="en-GB"/>
        </w:rPr>
        <w:t>(a)</w:t>
      </w:r>
      <w:r w:rsidRPr="004C70EC">
        <w:rPr>
          <w:noProof/>
          <w:color w:val="000000" w:themeColor="text1"/>
          <w:szCs w:val="24"/>
          <w:lang w:eastAsia="en-GB"/>
        </w:rPr>
        <w:tab/>
      </w:r>
      <w:r w:rsidR="00273F36" w:rsidRPr="004C70EC">
        <w:rPr>
          <w:noProof/>
          <w:color w:val="000000" w:themeColor="text1"/>
          <w:szCs w:val="24"/>
          <w:lang w:eastAsia="en-GB"/>
        </w:rPr>
        <w:t>ensure that the necessary technical assistance and the relevant documentation, upon justified request, is being provided to the Commission as well as provide any other support that the Commission requests to enable it to perform controls efficiently and effectively, including facilitating access to all premises or any part thereof,</w:t>
      </w:r>
      <w:r w:rsidR="00273F36" w:rsidRPr="004C70EC">
        <w:rPr>
          <w:b/>
          <w:bCs/>
          <w:i/>
          <w:iCs/>
          <w:noProof/>
          <w:color w:val="000000" w:themeColor="text1"/>
          <w:szCs w:val="24"/>
          <w:lang w:eastAsia="en-GB"/>
        </w:rPr>
        <w:t xml:space="preserve"> </w:t>
      </w:r>
      <w:r w:rsidR="00273F36" w:rsidRPr="004C70EC">
        <w:rPr>
          <w:noProof/>
          <w:color w:val="000000" w:themeColor="text1"/>
          <w:szCs w:val="24"/>
          <w:lang w:eastAsia="en-GB"/>
        </w:rPr>
        <w:t xml:space="preserve">to personnel (interviews) and data, including IT systems of the competent authority that is relevant for the execution of their duties. </w:t>
      </w:r>
    </w:p>
    <w:p w14:paraId="638714DA" w14:textId="77777777" w:rsidR="00273F36" w:rsidRPr="004C70EC" w:rsidRDefault="00F73F7F" w:rsidP="00F73F7F">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en-GB"/>
        </w:rPr>
        <w:t>(b)</w:t>
      </w:r>
      <w:r w:rsidRPr="004C70EC">
        <w:rPr>
          <w:rFonts w:eastAsia="Times New Roman"/>
          <w:noProof/>
          <w:color w:val="000000" w:themeColor="text1"/>
          <w:szCs w:val="24"/>
          <w:lang w:eastAsia="en-GB"/>
        </w:rPr>
        <w:tab/>
      </w:r>
      <w:r w:rsidR="00273F36" w:rsidRPr="004C70EC">
        <w:rPr>
          <w:rFonts w:eastAsia="Times New Roman"/>
          <w:noProof/>
          <w:color w:val="000000" w:themeColor="text1"/>
          <w:szCs w:val="24"/>
          <w:lang w:eastAsia="en-GB"/>
        </w:rPr>
        <w:t>take appropriate follow-up measures to remedy the shortcomings identified through those Commission controls;</w:t>
      </w:r>
      <w:r w:rsidR="0049577B" w:rsidRPr="004C70EC">
        <w:rPr>
          <w:rFonts w:eastAsia="Times New Roman"/>
          <w:noProof/>
          <w:color w:val="000000" w:themeColor="text1"/>
          <w:szCs w:val="24"/>
          <w:lang w:eastAsia="en-GB"/>
        </w:rPr>
        <w:t>’</w:t>
      </w:r>
    </w:p>
    <w:p w14:paraId="5037CA4F" w14:textId="77777777" w:rsidR="00273F36" w:rsidRPr="004C70EC" w:rsidRDefault="0FC80F0D" w:rsidP="4CF51068">
      <w:pPr>
        <w:pStyle w:val="Point0"/>
        <w:rPr>
          <w:rFonts w:eastAsia="Times New Roman"/>
          <w:noProof/>
          <w:color w:val="000000" w:themeColor="text1"/>
          <w:lang w:eastAsia="hr-HR" w:bidi="hr-HR"/>
        </w:rPr>
      </w:pPr>
      <w:r w:rsidRPr="004C70EC">
        <w:rPr>
          <w:rFonts w:eastAsia="Times New Roman"/>
          <w:noProof/>
          <w:color w:val="000000" w:themeColor="text1"/>
          <w:lang w:val="en-US" w:eastAsia="en-GB"/>
        </w:rPr>
        <w:t>(4</w:t>
      </w:r>
      <w:r w:rsidR="0A04C758" w:rsidRPr="004C70EC">
        <w:rPr>
          <w:rFonts w:eastAsia="Times New Roman"/>
          <w:noProof/>
          <w:color w:val="000000" w:themeColor="text1"/>
          <w:lang w:val="en-US" w:eastAsia="en-GB"/>
        </w:rPr>
        <w:t>4</w:t>
      </w:r>
      <w:r w:rsidR="296B87E7" w:rsidRPr="004C70EC">
        <w:rPr>
          <w:rFonts w:eastAsia="Times New Roman"/>
          <w:noProof/>
          <w:color w:val="000000" w:themeColor="text1"/>
          <w:lang w:val="en-US" w:eastAsia="en-GB"/>
        </w:rPr>
        <w:t>)</w:t>
      </w:r>
      <w:r w:rsidR="0080541F" w:rsidRPr="004C70EC">
        <w:rPr>
          <w:noProof/>
        </w:rPr>
        <w:tab/>
      </w:r>
      <w:r w:rsidR="249CF78E" w:rsidRPr="004C70EC">
        <w:rPr>
          <w:rFonts w:eastAsia="Times New Roman"/>
          <w:noProof/>
          <w:color w:val="000000" w:themeColor="text1"/>
          <w:lang w:val="en-US" w:eastAsia="en-GB"/>
        </w:rPr>
        <w:t>Article 81 is amended as follows:</w:t>
      </w:r>
    </w:p>
    <w:p w14:paraId="07590DBF" w14:textId="77777777" w:rsidR="00273F36" w:rsidRPr="004C70EC" w:rsidRDefault="00F73F7F" w:rsidP="00F73F7F">
      <w:pPr>
        <w:pStyle w:val="Point1"/>
        <w:rPr>
          <w:rFonts w:eastAsia="Times New Roman"/>
          <w:noProof/>
          <w:color w:val="000000" w:themeColor="text1"/>
          <w:szCs w:val="24"/>
          <w:lang w:eastAsia="hr-HR" w:bidi="hr-HR"/>
        </w:rPr>
      </w:pPr>
      <w:r w:rsidRPr="004C70EC">
        <w:rPr>
          <w:rFonts w:eastAsia="Times New Roman"/>
          <w:noProof/>
          <w:color w:val="000000" w:themeColor="text1"/>
          <w:szCs w:val="24"/>
          <w:lang w:eastAsia="hr-HR" w:bidi="hr-HR"/>
        </w:rPr>
        <w:t>(a)</w:t>
      </w:r>
      <w:r w:rsidRPr="004C70EC">
        <w:rPr>
          <w:rFonts w:eastAsia="Times New Roman"/>
          <w:noProof/>
          <w:color w:val="000000" w:themeColor="text1"/>
          <w:szCs w:val="24"/>
          <w:lang w:eastAsia="hr-HR" w:bidi="hr-HR"/>
        </w:rPr>
        <w:tab/>
      </w:r>
      <w:r w:rsidR="0049577B" w:rsidRPr="004C70EC">
        <w:rPr>
          <w:rFonts w:eastAsia="Times New Roman"/>
          <w:noProof/>
          <w:color w:val="000000" w:themeColor="text1"/>
          <w:szCs w:val="24"/>
          <w:lang w:eastAsia="hr-HR" w:bidi="hr-HR"/>
        </w:rPr>
        <w:t>p</w:t>
      </w:r>
      <w:r w:rsidR="00273F36" w:rsidRPr="004C70EC">
        <w:rPr>
          <w:rFonts w:eastAsia="Times New Roman"/>
          <w:noProof/>
          <w:color w:val="000000" w:themeColor="text1"/>
          <w:szCs w:val="24"/>
          <w:lang w:eastAsia="hr-HR" w:bidi="hr-HR"/>
        </w:rPr>
        <w:t xml:space="preserve">aragraph 2 is replaced by the following: </w:t>
      </w:r>
    </w:p>
    <w:p w14:paraId="7E711214" w14:textId="77777777" w:rsidR="00273F36" w:rsidRPr="004C70EC" w:rsidRDefault="0049577B" w:rsidP="00F425DC">
      <w:pPr>
        <w:pStyle w:val="Point2"/>
        <w:rPr>
          <w:noProof/>
          <w:color w:val="000000" w:themeColor="text1"/>
          <w:szCs w:val="24"/>
          <w:lang w:val="en-US"/>
        </w:rPr>
      </w:pPr>
      <w:r w:rsidRPr="004C70EC">
        <w:rPr>
          <w:noProof/>
          <w:color w:val="000000" w:themeColor="text1"/>
          <w:szCs w:val="24"/>
          <w:lang w:val="en-US"/>
        </w:rPr>
        <w:t>’2.</w:t>
      </w:r>
      <w:r w:rsidRPr="004C70EC">
        <w:rPr>
          <w:noProof/>
          <w:color w:val="000000" w:themeColor="text1"/>
          <w:szCs w:val="24"/>
        </w:rPr>
        <w:tab/>
      </w:r>
      <w:r w:rsidR="00273F36" w:rsidRPr="004C70EC">
        <w:rPr>
          <w:noProof/>
          <w:color w:val="000000" w:themeColor="text1"/>
          <w:szCs w:val="24"/>
          <w:lang w:val="en-US"/>
        </w:rPr>
        <w:t xml:space="preserve">The EU database shall be established to enable cooperation between the competent authorities of the Member States concerned to the extent that it is necessary for the application of this Regulation and to search for specific clinical trials. It shall also enable </w:t>
      </w:r>
      <w:r w:rsidR="00273F36" w:rsidRPr="004C70EC">
        <w:rPr>
          <w:noProof/>
          <w:color w:val="000000" w:themeColor="text1"/>
          <w:szCs w:val="24"/>
          <w:lang w:val="en-US" w:bidi="en-US"/>
        </w:rPr>
        <w:t>communication</w:t>
      </w:r>
      <w:r w:rsidR="00273F36" w:rsidRPr="004C70EC">
        <w:rPr>
          <w:noProof/>
          <w:color w:val="000000" w:themeColor="text1"/>
          <w:szCs w:val="24"/>
          <w:lang w:val="en-US"/>
        </w:rPr>
        <w:t xml:space="preserve"> between sponsors and Member States concerned and reporting Member State as appropriate for the purpose of swift regulatory procedures. It shall enable </w:t>
      </w:r>
      <w:r w:rsidR="00273F36" w:rsidRPr="004C70EC">
        <w:rPr>
          <w:noProof/>
          <w:color w:val="000000" w:themeColor="text1"/>
          <w:szCs w:val="24"/>
          <w:lang w:val="en-US" w:bidi="en-US"/>
        </w:rPr>
        <w:t>sponsors to refer to previous submissions of an application for authorisation</w:t>
      </w:r>
      <w:r w:rsidR="00273F36" w:rsidRPr="004C70EC">
        <w:rPr>
          <w:noProof/>
          <w:color w:val="000000" w:themeColor="text1"/>
          <w:szCs w:val="24"/>
          <w:lang w:val="en-US"/>
        </w:rPr>
        <w:t xml:space="preserve"> of a clinical trial or a substantial modification. It shall also enable citizens of the Union to have access to clinical information about medicinal products. To this end all data held in the EU database shall be in an easily searchable format, all related data shall be grouped together by way of the EU trial number, and hyperlinks shall be provided to link together related data and documents held on the EU database and other databases managed by the Agency.</w:t>
      </w:r>
      <w:r w:rsidRPr="004C70EC">
        <w:rPr>
          <w:noProof/>
          <w:color w:val="000000" w:themeColor="text1"/>
          <w:szCs w:val="24"/>
          <w:lang w:val="en-US"/>
        </w:rPr>
        <w:t>’</w:t>
      </w:r>
      <w:r w:rsidR="7B3CFDFE" w:rsidRPr="004C70EC">
        <w:rPr>
          <w:noProof/>
          <w:color w:val="000000" w:themeColor="text1"/>
          <w:szCs w:val="24"/>
          <w:lang w:val="en-US"/>
        </w:rPr>
        <w:t>;</w:t>
      </w:r>
    </w:p>
    <w:p w14:paraId="52CF8439" w14:textId="77777777" w:rsidR="00273F36" w:rsidRPr="004C70EC" w:rsidRDefault="00F73F7F" w:rsidP="00F73F7F">
      <w:pPr>
        <w:pStyle w:val="Point1"/>
        <w:rPr>
          <w:rFonts w:eastAsia="Times New Roman"/>
          <w:noProof/>
          <w:color w:val="000000" w:themeColor="text1"/>
          <w:szCs w:val="24"/>
          <w:lang w:eastAsia="hr-HR" w:bidi="hr-HR"/>
        </w:rPr>
      </w:pPr>
      <w:r w:rsidRPr="004C70EC">
        <w:rPr>
          <w:rFonts w:eastAsia="Times New Roman"/>
          <w:noProof/>
          <w:color w:val="000000" w:themeColor="text1"/>
          <w:szCs w:val="24"/>
          <w:lang w:eastAsia="en-GB"/>
        </w:rPr>
        <w:t>(b)</w:t>
      </w:r>
      <w:r w:rsidRPr="004C70EC">
        <w:rPr>
          <w:rFonts w:eastAsia="Times New Roman"/>
          <w:noProof/>
          <w:color w:val="000000" w:themeColor="text1"/>
          <w:szCs w:val="24"/>
          <w:lang w:eastAsia="en-GB"/>
        </w:rPr>
        <w:tab/>
      </w:r>
      <w:r w:rsidR="0049577B" w:rsidRPr="004C70EC">
        <w:rPr>
          <w:rFonts w:eastAsia="Times New Roman"/>
          <w:noProof/>
          <w:color w:val="000000" w:themeColor="text1"/>
          <w:szCs w:val="24"/>
          <w:lang w:eastAsia="en-GB"/>
        </w:rPr>
        <w:t>p</w:t>
      </w:r>
      <w:r w:rsidR="00273F36" w:rsidRPr="004C70EC">
        <w:rPr>
          <w:rFonts w:eastAsia="Times New Roman"/>
          <w:noProof/>
          <w:color w:val="000000" w:themeColor="text1"/>
          <w:szCs w:val="24"/>
          <w:lang w:eastAsia="en-GB"/>
        </w:rPr>
        <w:t xml:space="preserve">aragraph </w:t>
      </w:r>
      <w:r w:rsidR="0049577B" w:rsidRPr="004C70EC">
        <w:rPr>
          <w:rFonts w:eastAsia="Times New Roman"/>
          <w:noProof/>
          <w:color w:val="000000" w:themeColor="text1"/>
          <w:szCs w:val="24"/>
          <w:lang w:eastAsia="en-GB"/>
        </w:rPr>
        <w:t>9</w:t>
      </w:r>
      <w:r w:rsidR="00273F36" w:rsidRPr="004C70EC">
        <w:rPr>
          <w:rFonts w:eastAsia="Times New Roman"/>
          <w:noProof/>
          <w:color w:val="000000" w:themeColor="text1"/>
          <w:szCs w:val="24"/>
          <w:lang w:eastAsia="en-GB"/>
        </w:rPr>
        <w:t xml:space="preserve"> is replaced by the following: </w:t>
      </w:r>
    </w:p>
    <w:p w14:paraId="7E105B64" w14:textId="77777777" w:rsidR="00273F36" w:rsidRPr="004C70EC" w:rsidRDefault="4E8C2066" w:rsidP="00F425DC">
      <w:pPr>
        <w:pStyle w:val="Point2"/>
        <w:rPr>
          <w:rFonts w:eastAsia="Times New Roman"/>
          <w:noProof/>
          <w:color w:val="000000" w:themeColor="text1"/>
          <w:lang w:val="en-US"/>
        </w:rPr>
      </w:pPr>
      <w:r w:rsidRPr="004C70EC">
        <w:rPr>
          <w:rFonts w:eastAsia="Times New Roman"/>
          <w:noProof/>
          <w:color w:val="000000" w:themeColor="text1"/>
        </w:rPr>
        <w:t>’9.</w:t>
      </w:r>
      <w:r w:rsidRPr="004C70EC">
        <w:rPr>
          <w:noProof/>
        </w:rPr>
        <w:tab/>
      </w:r>
      <w:r w:rsidR="2F263E33" w:rsidRPr="004C70EC">
        <w:rPr>
          <w:rFonts w:eastAsia="Times New Roman"/>
          <w:noProof/>
          <w:color w:val="000000" w:themeColor="text1"/>
          <w:lang w:val="en-US"/>
        </w:rPr>
        <w:t xml:space="preserve">The sponsor shall permanently update in the EU database information on any changes to the clinical trials which are not substantial modifications but are relevant for the supervision of the clinical trial. The sponsor shall also update the EU portal to satisfy </w:t>
      </w:r>
      <w:r w:rsidR="7E58B497" w:rsidRPr="004C70EC">
        <w:rPr>
          <w:rFonts w:eastAsia="Times New Roman"/>
          <w:noProof/>
          <w:color w:val="000000" w:themeColor="text1"/>
          <w:lang w:val="en-US"/>
        </w:rPr>
        <w:t>the condition</w:t>
      </w:r>
      <w:r w:rsidR="2F263E33" w:rsidRPr="004C70EC">
        <w:rPr>
          <w:rFonts w:eastAsia="Times New Roman"/>
          <w:noProof/>
          <w:color w:val="000000" w:themeColor="text1"/>
          <w:lang w:val="en-US"/>
        </w:rPr>
        <w:t xml:space="preserve"> to which an authorisation decision is subject to. An update may trigger a corrective measure from the reporting Member State or the Member State concerned requiring</w:t>
      </w:r>
      <w:r w:rsidR="2127474D" w:rsidRPr="004C70EC">
        <w:rPr>
          <w:rFonts w:eastAsia="Times New Roman"/>
          <w:noProof/>
          <w:color w:val="000000" w:themeColor="text1"/>
          <w:lang w:val="en-US"/>
        </w:rPr>
        <w:t xml:space="preserve"> </w:t>
      </w:r>
      <w:r w:rsidR="2F263E33" w:rsidRPr="004C70EC">
        <w:rPr>
          <w:rFonts w:eastAsia="Times New Roman"/>
          <w:noProof/>
          <w:color w:val="000000" w:themeColor="text1"/>
          <w:lang w:val="en-US"/>
        </w:rPr>
        <w:t xml:space="preserve">from the sponsor to submit </w:t>
      </w:r>
      <w:r w:rsidR="1B74F473" w:rsidRPr="004C70EC">
        <w:rPr>
          <w:rFonts w:eastAsia="Times New Roman"/>
          <w:noProof/>
          <w:color w:val="000000" w:themeColor="text1"/>
          <w:lang w:val="en-US"/>
        </w:rPr>
        <w:t>a</w:t>
      </w:r>
      <w:r w:rsidR="2F263E33" w:rsidRPr="004C70EC">
        <w:rPr>
          <w:rFonts w:eastAsia="Times New Roman"/>
          <w:noProof/>
          <w:color w:val="000000" w:themeColor="text1"/>
          <w:lang w:val="en-US"/>
        </w:rPr>
        <w:t xml:space="preserve"> substantial modification concerning this change. The Member State concerned may issue such corrective measure within 7 days from the date of the update. The sponsor shall submit the substantial modification within period defined in the corrective measure by the Member State.</w:t>
      </w:r>
      <w:r w:rsidRPr="004C70EC">
        <w:rPr>
          <w:rFonts w:eastAsia="Times New Roman"/>
          <w:noProof/>
          <w:color w:val="000000" w:themeColor="text1"/>
          <w:lang w:val="en-US"/>
        </w:rPr>
        <w:t>’</w:t>
      </w:r>
      <w:r w:rsidR="469F43AC" w:rsidRPr="004C70EC">
        <w:rPr>
          <w:rFonts w:eastAsia="Times New Roman"/>
          <w:noProof/>
          <w:color w:val="000000" w:themeColor="text1"/>
          <w:lang w:val="en-US"/>
        </w:rPr>
        <w:t>;</w:t>
      </w:r>
    </w:p>
    <w:p w14:paraId="548EFF9E" w14:textId="77777777" w:rsidR="00F73F7F" w:rsidRPr="004C70EC" w:rsidRDefault="296B87E7" w:rsidP="4CF51068">
      <w:pPr>
        <w:pStyle w:val="Point0"/>
        <w:rPr>
          <w:rFonts w:eastAsia="Times New Roman"/>
          <w:noProof/>
          <w:color w:val="000000" w:themeColor="text1"/>
          <w:lang w:val="en-US" w:eastAsia="en-GB"/>
        </w:rPr>
      </w:pPr>
      <w:r w:rsidRPr="004C70EC">
        <w:rPr>
          <w:rFonts w:eastAsia="Times New Roman"/>
          <w:noProof/>
          <w:color w:val="000000" w:themeColor="text1"/>
          <w:lang w:val="en-US" w:eastAsia="en-GB"/>
        </w:rPr>
        <w:t>(4</w:t>
      </w:r>
      <w:r w:rsidR="7EF270E4" w:rsidRPr="004C70EC">
        <w:rPr>
          <w:rFonts w:eastAsia="Times New Roman"/>
          <w:noProof/>
          <w:color w:val="000000" w:themeColor="text1"/>
          <w:lang w:val="en-US" w:eastAsia="en-GB"/>
        </w:rPr>
        <w:t>5</w:t>
      </w:r>
      <w:r w:rsidRPr="004C70EC">
        <w:rPr>
          <w:rFonts w:eastAsia="Times New Roman"/>
          <w:noProof/>
          <w:color w:val="000000" w:themeColor="text1"/>
          <w:lang w:val="en-US" w:eastAsia="en-GB"/>
        </w:rPr>
        <w:t>)</w:t>
      </w:r>
      <w:r w:rsidR="00F73F7F" w:rsidRPr="004C70EC">
        <w:rPr>
          <w:noProof/>
        </w:rPr>
        <w:tab/>
      </w:r>
      <w:r w:rsidR="249CF78E" w:rsidRPr="004C70EC">
        <w:rPr>
          <w:rFonts w:eastAsia="Times New Roman"/>
          <w:noProof/>
          <w:color w:val="000000" w:themeColor="text1"/>
          <w:lang w:val="en-US" w:eastAsia="en-GB"/>
        </w:rPr>
        <w:t xml:space="preserve">Article 83 is replaced by the following: </w:t>
      </w:r>
    </w:p>
    <w:p w14:paraId="0CF126A5" w14:textId="77777777" w:rsidR="00273F36" w:rsidRPr="004C70EC" w:rsidRDefault="008330F3" w:rsidP="00F73F7F">
      <w:pPr>
        <w:pStyle w:val="Titrearticle"/>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w:t>
      </w:r>
      <w:r w:rsidR="00273F36" w:rsidRPr="004C70EC">
        <w:rPr>
          <w:rFonts w:eastAsia="Times New Roman"/>
          <w:noProof/>
          <w:color w:val="000000" w:themeColor="text1"/>
          <w:szCs w:val="24"/>
          <w:lang w:val="en-US" w:eastAsia="en-GB"/>
        </w:rPr>
        <w:t>Article 83</w:t>
      </w:r>
    </w:p>
    <w:p w14:paraId="1A643E0B" w14:textId="77777777" w:rsidR="00F73F7F" w:rsidRPr="004C70EC" w:rsidRDefault="00273F36" w:rsidP="00F73F7F">
      <w:pPr>
        <w:jc w:val="center"/>
        <w:rPr>
          <w:rFonts w:eastAsia="Times New Roman"/>
          <w:i/>
          <w:iCs/>
          <w:noProof/>
          <w:color w:val="000000" w:themeColor="text1"/>
          <w:szCs w:val="24"/>
          <w:lang w:val="en-US" w:eastAsia="en-GB"/>
        </w:rPr>
      </w:pPr>
      <w:r w:rsidRPr="004C70EC">
        <w:rPr>
          <w:rFonts w:eastAsia="Times New Roman"/>
          <w:i/>
          <w:iCs/>
          <w:noProof/>
          <w:color w:val="000000" w:themeColor="text1"/>
          <w:szCs w:val="24"/>
          <w:lang w:val="en-US" w:eastAsia="en-GB"/>
        </w:rPr>
        <w:t>Competent authorities and ethics committees</w:t>
      </w:r>
    </w:p>
    <w:p w14:paraId="12ACE505" w14:textId="77777777" w:rsidR="00273F36" w:rsidRPr="004C70EC" w:rsidRDefault="00F73F7F" w:rsidP="00F73F7F">
      <w:pPr>
        <w:pStyle w:val="Point1"/>
        <w:rPr>
          <w:noProof/>
          <w:color w:val="000000" w:themeColor="text1"/>
          <w:szCs w:val="24"/>
          <w:lang w:eastAsia="en-GB"/>
        </w:rPr>
      </w:pPr>
      <w:r w:rsidRPr="004C70EC">
        <w:rPr>
          <w:noProof/>
          <w:color w:val="000000" w:themeColor="text1"/>
          <w:szCs w:val="24"/>
          <w:lang w:eastAsia="en-GB"/>
        </w:rPr>
        <w:t>1.</w:t>
      </w:r>
      <w:r w:rsidRPr="004C70EC">
        <w:rPr>
          <w:noProof/>
          <w:color w:val="000000" w:themeColor="text1"/>
          <w:szCs w:val="24"/>
        </w:rPr>
        <w:tab/>
      </w:r>
      <w:r w:rsidR="00273F36" w:rsidRPr="004C70EC">
        <w:rPr>
          <w:noProof/>
          <w:color w:val="000000" w:themeColor="text1"/>
          <w:szCs w:val="24"/>
          <w:lang w:eastAsia="en-GB"/>
        </w:rPr>
        <w:t xml:space="preserve">Member States shall </w:t>
      </w:r>
      <w:r w:rsidR="11B253A0" w:rsidRPr="004C70EC">
        <w:rPr>
          <w:rFonts w:eastAsia="Times New Roman"/>
          <w:noProof/>
          <w:color w:val="000000" w:themeColor="text1"/>
          <w:szCs w:val="24"/>
        </w:rPr>
        <w:t>designate one national contact point</w:t>
      </w:r>
      <w:r w:rsidR="11B253A0" w:rsidRPr="004C70EC">
        <w:rPr>
          <w:noProof/>
          <w:color w:val="000000" w:themeColor="text1"/>
          <w:szCs w:val="24"/>
        </w:rPr>
        <w:t xml:space="preserve"> </w:t>
      </w:r>
      <w:r w:rsidR="00273F36" w:rsidRPr="004C70EC">
        <w:rPr>
          <w:noProof/>
          <w:color w:val="000000" w:themeColor="text1"/>
          <w:szCs w:val="24"/>
          <w:lang w:eastAsia="en-GB"/>
        </w:rPr>
        <w:t xml:space="preserve">to which they confer responsibility for the implementation and practical application of this Regulation. The Commission shall publish a list of </w:t>
      </w:r>
      <w:r w:rsidR="623B55DE" w:rsidRPr="004C70EC">
        <w:rPr>
          <w:noProof/>
          <w:color w:val="000000" w:themeColor="text1"/>
          <w:szCs w:val="24"/>
          <w:lang w:eastAsia="en-GB"/>
        </w:rPr>
        <w:t xml:space="preserve">national </w:t>
      </w:r>
      <w:r w:rsidR="00273F36" w:rsidRPr="004C70EC">
        <w:rPr>
          <w:noProof/>
          <w:color w:val="000000" w:themeColor="text1"/>
          <w:szCs w:val="24"/>
          <w:lang w:eastAsia="en-GB"/>
        </w:rPr>
        <w:t xml:space="preserve">contact points. </w:t>
      </w:r>
    </w:p>
    <w:p w14:paraId="0DDAAD10" w14:textId="77777777" w:rsidR="00273F36" w:rsidRPr="004C70EC" w:rsidRDefault="00F73F7F" w:rsidP="00F73F7F">
      <w:pPr>
        <w:pStyle w:val="Point1"/>
        <w:rPr>
          <w:rFonts w:eastAsia="Times New Roman"/>
          <w:noProof/>
          <w:color w:val="000000" w:themeColor="text1"/>
          <w:szCs w:val="24"/>
          <w:lang w:eastAsia="en-GB"/>
        </w:rPr>
      </w:pPr>
      <w:r w:rsidRPr="004C70EC">
        <w:rPr>
          <w:rFonts w:eastAsia="Times New Roman"/>
          <w:noProof/>
          <w:color w:val="000000" w:themeColor="text1"/>
          <w:szCs w:val="24"/>
          <w:lang w:eastAsia="en-GB"/>
        </w:rPr>
        <w:t>2.</w:t>
      </w:r>
      <w:r w:rsidRPr="004C70EC">
        <w:rPr>
          <w:noProof/>
          <w:color w:val="000000" w:themeColor="text1"/>
          <w:szCs w:val="24"/>
        </w:rPr>
        <w:tab/>
      </w:r>
      <w:r w:rsidR="710E720D" w:rsidRPr="004C70EC">
        <w:rPr>
          <w:rFonts w:eastAsia="Times New Roman"/>
          <w:noProof/>
          <w:color w:val="000000" w:themeColor="text1"/>
          <w:szCs w:val="24"/>
        </w:rPr>
        <w:t>Each Member State shall communicate the contact point referred to in paragraph 1 to the Commission.</w:t>
      </w:r>
      <w:r w:rsidR="710E720D" w:rsidRPr="004C70EC">
        <w:rPr>
          <w:noProof/>
          <w:color w:val="000000" w:themeColor="text1"/>
          <w:szCs w:val="24"/>
        </w:rPr>
        <w:t xml:space="preserve"> </w:t>
      </w:r>
      <w:r w:rsidR="00273F36" w:rsidRPr="004C70EC">
        <w:rPr>
          <w:rFonts w:eastAsia="Times New Roman"/>
          <w:noProof/>
          <w:color w:val="000000" w:themeColor="text1"/>
          <w:szCs w:val="24"/>
          <w:lang w:eastAsia="en-GB"/>
        </w:rPr>
        <w:t xml:space="preserve">Member States shall ensure that competent authorities and ethics committees: </w:t>
      </w:r>
    </w:p>
    <w:p w14:paraId="192DF3CA" w14:textId="77777777" w:rsidR="00273F36" w:rsidRPr="004C70EC" w:rsidRDefault="00F73F7F" w:rsidP="00F73F7F">
      <w:pPr>
        <w:pStyle w:val="Point2"/>
        <w:rPr>
          <w:noProof/>
          <w:color w:val="000000" w:themeColor="text1"/>
          <w:szCs w:val="24"/>
          <w:lang w:eastAsia="en-GB"/>
        </w:rPr>
      </w:pPr>
      <w:r w:rsidRPr="004C70EC">
        <w:rPr>
          <w:noProof/>
          <w:color w:val="000000" w:themeColor="text1"/>
          <w:szCs w:val="24"/>
          <w:lang w:eastAsia="en-GB"/>
        </w:rPr>
        <w:t>(a)</w:t>
      </w:r>
      <w:r w:rsidRPr="004C70EC">
        <w:rPr>
          <w:noProof/>
          <w:color w:val="000000" w:themeColor="text1"/>
          <w:szCs w:val="24"/>
          <w:lang w:eastAsia="en-GB"/>
        </w:rPr>
        <w:tab/>
      </w:r>
      <w:r w:rsidR="00273F36" w:rsidRPr="004C70EC">
        <w:rPr>
          <w:noProof/>
          <w:color w:val="000000" w:themeColor="text1"/>
          <w:szCs w:val="24"/>
          <w:lang w:eastAsia="en-GB"/>
        </w:rPr>
        <w:t>have the necessary powers to perform all the necessary regulatory actions and inspections, pursuant to this Regulation.</w:t>
      </w:r>
    </w:p>
    <w:p w14:paraId="12EE4FF9" w14:textId="77777777" w:rsidR="00273F36" w:rsidRPr="004C70EC" w:rsidRDefault="00F73F7F" w:rsidP="642D1666">
      <w:pPr>
        <w:pStyle w:val="Point2"/>
        <w:rPr>
          <w:rFonts w:eastAsia="Times New Roman"/>
          <w:noProof/>
          <w:color w:val="000000" w:themeColor="text1"/>
          <w:szCs w:val="24"/>
          <w:lang w:eastAsia="en-GB"/>
        </w:rPr>
      </w:pPr>
      <w:r w:rsidRPr="004C70EC">
        <w:rPr>
          <w:rFonts w:eastAsia="Times New Roman"/>
          <w:noProof/>
          <w:color w:val="000000" w:themeColor="text1"/>
          <w:szCs w:val="24"/>
          <w:lang w:eastAsia="en-GB"/>
        </w:rPr>
        <w:t>(b)</w:t>
      </w:r>
      <w:r w:rsidRPr="004C70EC">
        <w:rPr>
          <w:noProof/>
          <w:color w:val="000000" w:themeColor="text1"/>
          <w:szCs w:val="24"/>
        </w:rPr>
        <w:tab/>
      </w:r>
      <w:r w:rsidR="00273F36" w:rsidRPr="004C70EC">
        <w:rPr>
          <w:rFonts w:eastAsia="Times New Roman"/>
          <w:noProof/>
          <w:color w:val="000000" w:themeColor="text1"/>
          <w:szCs w:val="24"/>
          <w:lang w:eastAsia="en-GB"/>
        </w:rPr>
        <w:t>have, or have access to, a sufficient number of suitably qualified and experienced personnel, human and financial resources, operational capacity, and expertise, including technical expertise, for the effective and efficient performance of their tasks they have been made responsible for pursuant to this Regulation.</w:t>
      </w:r>
      <w:r w:rsidR="00E45D61" w:rsidRPr="004C70EC">
        <w:rPr>
          <w:rFonts w:eastAsia="Times New Roman"/>
          <w:noProof/>
          <w:color w:val="000000" w:themeColor="text1"/>
          <w:szCs w:val="24"/>
          <w:lang w:eastAsia="en-GB"/>
        </w:rPr>
        <w:t>’</w:t>
      </w:r>
      <w:r w:rsidR="78EFC8A6" w:rsidRPr="004C70EC">
        <w:rPr>
          <w:rFonts w:eastAsia="Times New Roman"/>
          <w:noProof/>
          <w:color w:val="000000" w:themeColor="text1"/>
          <w:szCs w:val="24"/>
          <w:lang w:eastAsia="en-GB"/>
        </w:rPr>
        <w:t>;</w:t>
      </w:r>
    </w:p>
    <w:p w14:paraId="5B7EB0CA" w14:textId="77777777" w:rsidR="00273F36" w:rsidRPr="004C70EC" w:rsidRDefault="416BBD69" w:rsidP="4CF51068">
      <w:pPr>
        <w:pStyle w:val="Point0"/>
        <w:rPr>
          <w:rFonts w:eastAsia="Times New Roman"/>
          <w:noProof/>
          <w:color w:val="000000" w:themeColor="text1"/>
          <w:lang w:eastAsia="en-GB"/>
        </w:rPr>
      </w:pPr>
      <w:r w:rsidRPr="004C70EC">
        <w:rPr>
          <w:rFonts w:eastAsia="Times New Roman"/>
          <w:noProof/>
          <w:color w:val="000000" w:themeColor="text1"/>
          <w:lang w:eastAsia="en-GB"/>
        </w:rPr>
        <w:t>(4</w:t>
      </w:r>
      <w:r w:rsidR="14BF0E40" w:rsidRPr="004C70EC">
        <w:rPr>
          <w:rFonts w:eastAsia="Times New Roman"/>
          <w:noProof/>
          <w:color w:val="000000" w:themeColor="text1"/>
          <w:lang w:eastAsia="en-GB"/>
        </w:rPr>
        <w:t>6</w:t>
      </w:r>
      <w:r w:rsidRPr="004C70EC">
        <w:rPr>
          <w:rFonts w:eastAsia="Times New Roman"/>
          <w:noProof/>
          <w:color w:val="000000" w:themeColor="text1"/>
          <w:lang w:eastAsia="en-GB"/>
        </w:rPr>
        <w:t>)</w:t>
      </w:r>
      <w:r w:rsidR="31B54F49" w:rsidRPr="004C70EC">
        <w:rPr>
          <w:noProof/>
        </w:rPr>
        <w:tab/>
      </w:r>
      <w:r w:rsidR="55141F67" w:rsidRPr="004C70EC">
        <w:rPr>
          <w:noProof/>
          <w:color w:val="000000" w:themeColor="text1"/>
        </w:rPr>
        <w:t>t</w:t>
      </w:r>
      <w:r w:rsidR="212FC6E9" w:rsidRPr="004C70EC">
        <w:rPr>
          <w:rFonts w:eastAsia="Times New Roman"/>
          <w:noProof/>
          <w:color w:val="000000" w:themeColor="text1"/>
          <w:lang w:eastAsia="en-GB"/>
        </w:rPr>
        <w:t xml:space="preserve">he following Article </w:t>
      </w:r>
      <w:r w:rsidR="49EB17C9" w:rsidRPr="004C70EC">
        <w:rPr>
          <w:rFonts w:eastAsia="Times New Roman"/>
          <w:noProof/>
          <w:color w:val="000000" w:themeColor="text1"/>
          <w:lang w:eastAsia="en-GB"/>
        </w:rPr>
        <w:t>83a</w:t>
      </w:r>
      <w:r w:rsidR="212FC6E9" w:rsidRPr="004C70EC">
        <w:rPr>
          <w:rFonts w:eastAsia="Times New Roman"/>
          <w:noProof/>
          <w:color w:val="000000" w:themeColor="text1"/>
          <w:lang w:eastAsia="en-GB"/>
        </w:rPr>
        <w:t xml:space="preserve"> is inserted: </w:t>
      </w:r>
    </w:p>
    <w:p w14:paraId="26510B1A" w14:textId="77777777" w:rsidR="00F73F7F" w:rsidRPr="004C70EC" w:rsidRDefault="00E45D61" w:rsidP="00F73F7F">
      <w:pPr>
        <w:pStyle w:val="Titrearticle"/>
        <w:rPr>
          <w:rFonts w:eastAsia="Times New Roman"/>
          <w:noProof/>
          <w:color w:val="000000" w:themeColor="text1"/>
          <w:szCs w:val="24"/>
          <w:lang w:eastAsia="en-GB"/>
        </w:rPr>
      </w:pPr>
      <w:r w:rsidRPr="004C70EC">
        <w:rPr>
          <w:rFonts w:eastAsia="Times New Roman"/>
          <w:noProof/>
          <w:color w:val="000000" w:themeColor="text1"/>
          <w:szCs w:val="24"/>
          <w:lang w:eastAsia="en-GB"/>
        </w:rPr>
        <w:t>’</w:t>
      </w:r>
      <w:r w:rsidR="00273F36" w:rsidRPr="004C70EC">
        <w:rPr>
          <w:rFonts w:eastAsia="Times New Roman"/>
          <w:noProof/>
          <w:color w:val="000000" w:themeColor="text1"/>
          <w:szCs w:val="24"/>
          <w:lang w:eastAsia="en-GB"/>
        </w:rPr>
        <w:t xml:space="preserve">Article 83a </w:t>
      </w:r>
    </w:p>
    <w:p w14:paraId="0E23B67F" w14:textId="77777777" w:rsidR="00273F36" w:rsidRPr="004C70EC" w:rsidRDefault="00273F36" w:rsidP="00F73F7F">
      <w:pPr>
        <w:jc w:val="center"/>
        <w:rPr>
          <w:rFonts w:eastAsia="Times New Roman"/>
          <w:noProof/>
          <w:color w:val="000000" w:themeColor="text1"/>
          <w:szCs w:val="24"/>
          <w:lang w:eastAsia="en-GB"/>
        </w:rPr>
      </w:pPr>
      <w:r w:rsidRPr="004C70EC">
        <w:rPr>
          <w:rFonts w:eastAsia="Times New Roman"/>
          <w:i/>
          <w:iCs/>
          <w:noProof/>
          <w:color w:val="000000" w:themeColor="text1"/>
          <w:szCs w:val="24"/>
          <w:lang w:eastAsia="en-GB"/>
        </w:rPr>
        <w:t xml:space="preserve">Communication and coordination between competent authorities and between ethics committees </w:t>
      </w:r>
    </w:p>
    <w:p w14:paraId="0B1CD5A5" w14:textId="77777777" w:rsidR="00273F36" w:rsidRPr="004C70EC" w:rsidRDefault="00F73F7F" w:rsidP="00F73F7F">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1.</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Where more than one competent authority and ethics committee are responsible for performing regulatory activities or inspections in a Member State for the purpose of applying this Regulation, Member States shall ensure efficient and effective coordination among all the competent authorities and ethics committees concerned in order to guarantee the consistency and effectiveness of the regulatory activities or inspections performed on their territory. </w:t>
      </w:r>
    </w:p>
    <w:p w14:paraId="6C3CD48F" w14:textId="77777777" w:rsidR="00273F36" w:rsidRPr="004C70EC" w:rsidRDefault="00F73F7F" w:rsidP="642D1666">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eastAsia="en-GB"/>
        </w:rPr>
        <w:t>2.</w:t>
      </w:r>
      <w:r w:rsidRPr="004C70EC">
        <w:rPr>
          <w:noProof/>
          <w:color w:val="000000" w:themeColor="text1"/>
          <w:szCs w:val="24"/>
        </w:rPr>
        <w:tab/>
      </w:r>
      <w:r w:rsidR="00273F36" w:rsidRPr="004C70EC">
        <w:rPr>
          <w:rFonts w:eastAsia="Times New Roman"/>
          <w:noProof/>
          <w:color w:val="000000" w:themeColor="text1"/>
          <w:szCs w:val="24"/>
          <w:lang w:eastAsia="en-GB"/>
        </w:rPr>
        <w:t>Within those Member States, the competent authorities shall cooperate with each other. They shall communicate information to each other for the effective implementation of the regulatory activities and inspections provided for in this Regulation</w:t>
      </w:r>
      <w:r w:rsidR="00E45D61" w:rsidRPr="004C70EC">
        <w:rPr>
          <w:rFonts w:eastAsia="Times New Roman"/>
          <w:noProof/>
          <w:color w:val="000000" w:themeColor="text1"/>
          <w:szCs w:val="24"/>
          <w:lang w:eastAsia="en-GB"/>
        </w:rPr>
        <w:t>.’</w:t>
      </w:r>
      <w:r w:rsidR="607B212D" w:rsidRPr="004C70EC">
        <w:rPr>
          <w:rFonts w:eastAsia="Times New Roman"/>
          <w:noProof/>
          <w:color w:val="000000" w:themeColor="text1"/>
          <w:szCs w:val="24"/>
          <w:lang w:eastAsia="en-GB"/>
        </w:rPr>
        <w:t>;</w:t>
      </w:r>
    </w:p>
    <w:p w14:paraId="74B365EF" w14:textId="77777777" w:rsidR="00F73F7F" w:rsidRPr="004C70EC" w:rsidRDefault="296B87E7" w:rsidP="4CF51068">
      <w:pPr>
        <w:pStyle w:val="Point0"/>
        <w:rPr>
          <w:rFonts w:eastAsia="Times New Roman"/>
          <w:noProof/>
          <w:color w:val="000000" w:themeColor="text1"/>
          <w:lang w:eastAsia="en-GB"/>
        </w:rPr>
      </w:pPr>
      <w:r w:rsidRPr="004C70EC">
        <w:rPr>
          <w:rFonts w:eastAsia="Times New Roman"/>
          <w:noProof/>
          <w:color w:val="000000" w:themeColor="text1"/>
          <w:lang w:eastAsia="en-GB"/>
        </w:rPr>
        <w:t>(4</w:t>
      </w:r>
      <w:r w:rsidR="0A2BF1D0" w:rsidRPr="004C70EC">
        <w:rPr>
          <w:rFonts w:eastAsia="Times New Roman"/>
          <w:noProof/>
          <w:color w:val="000000" w:themeColor="text1"/>
          <w:lang w:eastAsia="en-GB"/>
        </w:rPr>
        <w:t>7</w:t>
      </w:r>
      <w:r w:rsidRPr="004C70EC">
        <w:rPr>
          <w:rFonts w:eastAsia="Times New Roman"/>
          <w:noProof/>
          <w:color w:val="000000" w:themeColor="text1"/>
          <w:lang w:eastAsia="en-GB"/>
        </w:rPr>
        <w:t>)</w:t>
      </w:r>
      <w:r w:rsidR="00F73F7F" w:rsidRPr="004C70EC">
        <w:rPr>
          <w:noProof/>
        </w:rPr>
        <w:tab/>
      </w:r>
      <w:r w:rsidR="249CF78E" w:rsidRPr="004C70EC">
        <w:rPr>
          <w:rFonts w:eastAsia="Times New Roman"/>
          <w:noProof/>
          <w:color w:val="000000" w:themeColor="text1"/>
          <w:lang w:eastAsia="en-GB"/>
        </w:rPr>
        <w:t xml:space="preserve">Article 85 is replaced by the following: </w:t>
      </w:r>
    </w:p>
    <w:p w14:paraId="215A88EC" w14:textId="77777777" w:rsidR="00273F36" w:rsidRPr="004C70EC" w:rsidRDefault="27CFD559" w:rsidP="004A1163">
      <w:pPr>
        <w:pStyle w:val="Titrearticle"/>
        <w:rPr>
          <w:rFonts w:eastAsia="Times New Roman"/>
          <w:noProof/>
          <w:color w:val="000000" w:themeColor="text1"/>
          <w:szCs w:val="24"/>
          <w:lang w:eastAsia="en-GB"/>
        </w:rPr>
      </w:pPr>
      <w:r w:rsidRPr="004C70EC">
        <w:rPr>
          <w:rFonts w:eastAsia="Times New Roman"/>
          <w:b/>
          <w:bCs/>
          <w:noProof/>
          <w:color w:val="000000" w:themeColor="text1"/>
          <w:szCs w:val="24"/>
          <w:lang w:val="en-US"/>
        </w:rPr>
        <w:t>‘</w:t>
      </w:r>
      <w:r w:rsidR="00273F36" w:rsidRPr="004C70EC">
        <w:rPr>
          <w:rFonts w:eastAsia="Times New Roman"/>
          <w:noProof/>
          <w:color w:val="000000" w:themeColor="text1"/>
          <w:szCs w:val="24"/>
          <w:lang w:val="en-US" w:eastAsia="en-GB"/>
        </w:rPr>
        <w:t>Article 85</w:t>
      </w:r>
    </w:p>
    <w:p w14:paraId="29438C65" w14:textId="77777777" w:rsidR="00273F36" w:rsidRPr="004C70EC" w:rsidRDefault="00273F36" w:rsidP="00F73F7F">
      <w:pPr>
        <w:jc w:val="center"/>
        <w:rPr>
          <w:rFonts w:eastAsia="Times New Roman"/>
          <w:i/>
          <w:iCs/>
          <w:noProof/>
          <w:color w:val="000000" w:themeColor="text1"/>
          <w:szCs w:val="24"/>
          <w:lang w:val="en-US" w:eastAsia="en-GB"/>
        </w:rPr>
      </w:pPr>
      <w:r w:rsidRPr="004C70EC">
        <w:rPr>
          <w:rFonts w:eastAsia="Times New Roman"/>
          <w:i/>
          <w:iCs/>
          <w:noProof/>
          <w:color w:val="000000" w:themeColor="text1"/>
          <w:szCs w:val="24"/>
          <w:lang w:val="en-US" w:eastAsia="en-GB"/>
        </w:rPr>
        <w:t>Clinical Trials Coordination and Advisory Group</w:t>
      </w:r>
    </w:p>
    <w:p w14:paraId="1F6DBD2F" w14:textId="77777777" w:rsidR="00273F36" w:rsidRPr="004C70EC" w:rsidRDefault="00F73F7F" w:rsidP="00F73F7F">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1.</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A Clinical Trials Coordination and Advisory Group (CTAG) is hereby established.</w:t>
      </w:r>
    </w:p>
    <w:p w14:paraId="4FFF7A48" w14:textId="77777777" w:rsidR="00273F36" w:rsidRPr="004C70EC" w:rsidRDefault="00F73F7F" w:rsidP="00F73F7F">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2.</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Each Member State shall appoint to the CTAG, for a three-year term which may be renewed once, one member and one alternate each with expertise in the field of clinical trials. The members of the CTAG shall be chosen for their competence and experience in the field of clinical trials. They shall represent the competent national authorities and the ethics committees of the Member States. The names and affiliations of members and alternates shall be made public by the Commission. The alternates shall represent and vote for the members in their absence. </w:t>
      </w:r>
    </w:p>
    <w:p w14:paraId="1702FD91" w14:textId="77777777" w:rsidR="00273F36" w:rsidRPr="004C70EC" w:rsidRDefault="00F73F7F" w:rsidP="00F73F7F">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3.</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For the purpose of the fulfilment of their tasks, CTAG members shall be able to rely on the contribution of experts from national competent authorities and ethics committees. These experts shall participate in CTAG meetings where relevant.</w:t>
      </w:r>
    </w:p>
    <w:p w14:paraId="68C65C3F" w14:textId="77777777" w:rsidR="00273F36" w:rsidRPr="004C70EC" w:rsidRDefault="00F73F7F" w:rsidP="00F73F7F">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4.</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The CTAG shall use its best </w:t>
      </w:r>
      <w:r w:rsidR="00FF4AC8" w:rsidRPr="004C70EC">
        <w:rPr>
          <w:rFonts w:eastAsia="Times New Roman"/>
          <w:noProof/>
          <w:color w:val="000000" w:themeColor="text1"/>
          <w:szCs w:val="24"/>
          <w:lang w:val="en-US" w:eastAsia="en-GB"/>
        </w:rPr>
        <w:t>endeavors</w:t>
      </w:r>
      <w:r w:rsidR="00273F36" w:rsidRPr="004C70EC">
        <w:rPr>
          <w:rFonts w:eastAsia="Times New Roman"/>
          <w:noProof/>
          <w:color w:val="000000" w:themeColor="text1"/>
          <w:szCs w:val="24"/>
          <w:lang w:val="en-US" w:eastAsia="en-GB"/>
        </w:rPr>
        <w:t xml:space="preserve"> to reach consensus. If such consensus cannot be reached, the CTAG shall decide by a majority of its members. Members with diverging positions may request that their position and the grounds on which they are based are recorded.</w:t>
      </w:r>
    </w:p>
    <w:p w14:paraId="1CCDBC0C" w14:textId="77777777" w:rsidR="00273F36" w:rsidRPr="004C70EC" w:rsidRDefault="00F73F7F" w:rsidP="00F73F7F">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5.</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The CTAG shall in particular have the following tasks:</w:t>
      </w:r>
    </w:p>
    <w:p w14:paraId="1BB3E610" w14:textId="77777777" w:rsidR="00273F36" w:rsidRPr="004C70EC" w:rsidRDefault="00F73F7F" w:rsidP="00F73F7F">
      <w:pPr>
        <w:pStyle w:val="Point2"/>
        <w:rPr>
          <w:noProof/>
          <w:color w:val="000000" w:themeColor="text1"/>
          <w:szCs w:val="24"/>
          <w:lang w:val="en-US" w:eastAsia="en-GB"/>
        </w:rPr>
      </w:pPr>
      <w:r w:rsidRPr="004C70EC">
        <w:rPr>
          <w:noProof/>
          <w:color w:val="000000" w:themeColor="text1"/>
          <w:szCs w:val="24"/>
          <w:lang w:val="en-US" w:eastAsia="en-GB"/>
        </w:rPr>
        <w:t>(a)</w:t>
      </w:r>
      <w:r w:rsidRPr="004C70EC">
        <w:rPr>
          <w:noProof/>
          <w:color w:val="000000" w:themeColor="text1"/>
          <w:szCs w:val="24"/>
          <w:lang w:val="en-US" w:eastAsia="en-GB"/>
        </w:rPr>
        <w:tab/>
      </w:r>
      <w:r w:rsidR="00273F36" w:rsidRPr="004C70EC">
        <w:rPr>
          <w:noProof/>
          <w:color w:val="000000" w:themeColor="text1"/>
          <w:szCs w:val="24"/>
          <w:lang w:val="en-US" w:eastAsia="en-GB"/>
        </w:rPr>
        <w:t>to support the exchange of information between the Member States and the Commission on the experience acquired with regard to the implementation of this Regulation;</w:t>
      </w:r>
    </w:p>
    <w:p w14:paraId="5F8DB526" w14:textId="77777777" w:rsidR="00273F36" w:rsidRPr="004C70EC" w:rsidRDefault="00F73F7F" w:rsidP="00F73F7F">
      <w:pPr>
        <w:pStyle w:val="Point2"/>
        <w:rPr>
          <w:rFonts w:eastAsia="Times New Roman"/>
          <w:noProof/>
          <w:color w:val="000000" w:themeColor="text1"/>
          <w:szCs w:val="24"/>
          <w:lang w:val="bg" w:eastAsia="en-GB"/>
        </w:rPr>
      </w:pPr>
      <w:r w:rsidRPr="004C70EC">
        <w:rPr>
          <w:rFonts w:eastAsia="Times New Roman"/>
          <w:noProof/>
          <w:color w:val="000000" w:themeColor="text1"/>
          <w:szCs w:val="24"/>
          <w:lang w:val="en-US" w:eastAsia="en-GB"/>
        </w:rPr>
        <w:t>(b)</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to assist the Commission in providing the support referred to in the second paragraph of Article </w:t>
      </w:r>
      <w:r w:rsidR="00273F36" w:rsidRPr="004C70EC">
        <w:rPr>
          <w:rFonts w:eastAsia="Times New Roman"/>
          <w:noProof/>
          <w:color w:val="000000" w:themeColor="text1"/>
          <w:szCs w:val="24"/>
          <w:lang w:val="bg" w:eastAsia="en-GB"/>
        </w:rPr>
        <w:t>84;</w:t>
      </w:r>
    </w:p>
    <w:p w14:paraId="5A6B5BA1"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(c)</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to prepare recommendations on criteria regarding the selection of a reporting Member State;</w:t>
      </w:r>
    </w:p>
    <w:p w14:paraId="63A70DBF"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(d)</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to provide strategic steering on a common approach for the application of this Regulation and on the support of the clinical trials ecosystem in the Union;</w:t>
      </w:r>
    </w:p>
    <w:p w14:paraId="1AC7458F"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(e)</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to contribute to the development of guidance aiming to ensure effective and harmonised implementation of this Regulation. </w:t>
      </w:r>
    </w:p>
    <w:p w14:paraId="69C44B60"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(f)</w:t>
      </w:r>
      <w:r w:rsidRPr="004C70EC">
        <w:rPr>
          <w:noProof/>
          <w:color w:val="000000" w:themeColor="text1"/>
          <w:szCs w:val="24"/>
        </w:rPr>
        <w:tab/>
      </w:r>
      <w:r w:rsidR="00273F36" w:rsidRPr="004C70EC">
        <w:rPr>
          <w:rFonts w:eastAsia="Times New Roman"/>
          <w:noProof/>
          <w:color w:val="000000" w:themeColor="text1"/>
          <w:szCs w:val="24"/>
          <w:lang w:val="en-US" w:eastAsia="en-GB"/>
        </w:rPr>
        <w:t xml:space="preserve">to contribute to the development of guidelines on the use of the artificial intelligence models and systems </w:t>
      </w:r>
      <w:r w:rsidR="00653D05" w:rsidRPr="004C70EC">
        <w:rPr>
          <w:rFonts w:eastAsia="Times New Roman"/>
          <w:noProof/>
          <w:color w:val="000000" w:themeColor="text1"/>
          <w:szCs w:val="24"/>
          <w:lang w:val="en-US" w:eastAsia="en-GB"/>
        </w:rPr>
        <w:t xml:space="preserve">in clinical trials </w:t>
      </w:r>
      <w:r w:rsidR="1B6FDBD9" w:rsidRPr="004C70EC">
        <w:rPr>
          <w:rFonts w:eastAsia="Times New Roman"/>
          <w:noProof/>
          <w:color w:val="000000" w:themeColor="text1"/>
          <w:szCs w:val="24"/>
          <w:lang w:val="en-US" w:eastAsia="en-GB"/>
        </w:rPr>
        <w:t>in accordance with</w:t>
      </w:r>
      <w:r w:rsidR="00273F36" w:rsidRPr="004C70EC">
        <w:rPr>
          <w:rFonts w:eastAsia="Times New Roman"/>
          <w:noProof/>
          <w:color w:val="000000" w:themeColor="text1"/>
          <w:szCs w:val="24"/>
          <w:lang w:val="en-US" w:eastAsia="en-GB"/>
        </w:rPr>
        <w:t xml:space="preserve"> Article [xx] </w:t>
      </w:r>
      <w:r w:rsidR="001B47A1" w:rsidRPr="004C70EC">
        <w:rPr>
          <w:rFonts w:eastAsia="Times New Roman"/>
          <w:noProof/>
          <w:color w:val="000000" w:themeColor="text1"/>
          <w:szCs w:val="24"/>
          <w:lang w:val="en-US" w:eastAsia="en-GB"/>
        </w:rPr>
        <w:t xml:space="preserve">Regulation </w:t>
      </w:r>
      <w:r w:rsidR="00E57039" w:rsidRPr="004C70EC">
        <w:rPr>
          <w:rFonts w:eastAsia="Times New Roman"/>
          <w:noProof/>
          <w:color w:val="000000" w:themeColor="text1"/>
          <w:szCs w:val="24"/>
          <w:lang w:val="en-US" w:eastAsia="en-GB"/>
        </w:rPr>
        <w:t>(EU) …/… [</w:t>
      </w:r>
      <w:r w:rsidR="00B438F0" w:rsidRPr="004C70EC">
        <w:rPr>
          <w:rFonts w:eastAsia="Times New Roman"/>
          <w:noProof/>
          <w:color w:val="000000" w:themeColor="text1"/>
          <w:szCs w:val="24"/>
          <w:lang w:val="en-US" w:eastAsia="en-GB"/>
        </w:rPr>
        <w:t xml:space="preserve">European </w:t>
      </w:r>
      <w:r w:rsidR="00E57039" w:rsidRPr="004C70EC">
        <w:rPr>
          <w:rFonts w:eastAsia="Times New Roman"/>
          <w:noProof/>
          <w:color w:val="000000" w:themeColor="text1"/>
          <w:szCs w:val="24"/>
          <w:lang w:val="en-US" w:eastAsia="en-GB"/>
        </w:rPr>
        <w:t>Biotech Act]*</w:t>
      </w:r>
      <w:r w:rsidR="00273F36" w:rsidRPr="004C70EC">
        <w:rPr>
          <w:rFonts w:eastAsia="Times New Roman"/>
          <w:noProof/>
          <w:color w:val="000000" w:themeColor="text1"/>
          <w:szCs w:val="24"/>
          <w:lang w:val="en-US" w:eastAsia="en-GB"/>
        </w:rPr>
        <w:t>;</w:t>
      </w:r>
    </w:p>
    <w:p w14:paraId="2A8C8635"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(g)</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to provide advice, either of its own initiative or at the request of the Commission, in the assessment of any issue related to the implementation of this Regulation;</w:t>
      </w:r>
    </w:p>
    <w:p w14:paraId="6C055B0B"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(h)</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to contribute to harmonised administrative practice with regard to clinical trials in the Member States;</w:t>
      </w:r>
    </w:p>
    <w:p w14:paraId="2482B341"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(i)</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to provide a recommendation before setting up a </w:t>
      </w:r>
      <w:r w:rsidR="00500851" w:rsidRPr="004C70EC">
        <w:rPr>
          <w:rFonts w:eastAsia="Times New Roman"/>
          <w:noProof/>
          <w:color w:val="000000" w:themeColor="text1"/>
          <w:szCs w:val="24"/>
          <w:lang w:val="en-US" w:eastAsia="en-GB"/>
        </w:rPr>
        <w:t xml:space="preserve">regulatory </w:t>
      </w:r>
      <w:r w:rsidR="00273F36" w:rsidRPr="004C70EC">
        <w:rPr>
          <w:rFonts w:eastAsia="Times New Roman"/>
          <w:noProof/>
          <w:color w:val="000000" w:themeColor="text1"/>
          <w:szCs w:val="24"/>
          <w:lang w:val="en-US" w:eastAsia="en-GB"/>
        </w:rPr>
        <w:t>sandbox.</w:t>
      </w:r>
    </w:p>
    <w:p w14:paraId="45237AA3" w14:textId="77777777" w:rsidR="00273F36" w:rsidRPr="004C70EC" w:rsidRDefault="00F73F7F" w:rsidP="00F73F7F">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6.</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The CTAG shall be chaired by a representative of the Commission. The chair shall not take part in votes of the CTAG.</w:t>
      </w:r>
    </w:p>
    <w:p w14:paraId="7D2497A0" w14:textId="77777777" w:rsidR="00273F36" w:rsidRPr="004C70EC" w:rsidRDefault="00F73F7F" w:rsidP="00F73F7F">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7.</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The CTAG may issue recommendations and opinions on matters related to clinical trials and shall endorse any guidance related to the application of this Regulation. The Commission shall publish the </w:t>
      </w:r>
      <w:r w:rsidR="006870E4" w:rsidRPr="004C70EC">
        <w:rPr>
          <w:rFonts w:eastAsia="Times New Roman"/>
          <w:noProof/>
          <w:color w:val="000000" w:themeColor="text1"/>
          <w:szCs w:val="24"/>
          <w:lang w:val="en-US" w:eastAsia="en-GB"/>
        </w:rPr>
        <w:t xml:space="preserve">guidelines </w:t>
      </w:r>
      <w:r w:rsidR="00273F36" w:rsidRPr="004C70EC">
        <w:rPr>
          <w:rFonts w:eastAsia="Times New Roman"/>
          <w:noProof/>
          <w:color w:val="000000" w:themeColor="text1"/>
          <w:szCs w:val="24"/>
          <w:lang w:val="en-US" w:eastAsia="en-GB"/>
        </w:rPr>
        <w:t>endorsed by the CTAG.</w:t>
      </w:r>
    </w:p>
    <w:p w14:paraId="7FD9E236" w14:textId="77777777" w:rsidR="00273F36" w:rsidRPr="004C70EC" w:rsidRDefault="00F73F7F" w:rsidP="00F73F7F">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8.</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The CTAG shall meet at regular intervals and whenever the situation requires, on a request from the Commission or a Member State. Any item of the agenda of the meeting shall be placed at the request of the Commission or a Member State.</w:t>
      </w:r>
    </w:p>
    <w:p w14:paraId="64C83304" w14:textId="77777777" w:rsidR="00273F36" w:rsidRPr="004C70EC" w:rsidRDefault="00F73F7F" w:rsidP="00F73F7F">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9.</w:t>
      </w:r>
      <w:r w:rsidRPr="004C70EC">
        <w:rPr>
          <w:noProof/>
          <w:color w:val="000000" w:themeColor="text1"/>
          <w:szCs w:val="24"/>
        </w:rPr>
        <w:tab/>
      </w:r>
      <w:r w:rsidR="00273F36" w:rsidRPr="004C70EC">
        <w:rPr>
          <w:rFonts w:eastAsia="Times New Roman"/>
          <w:noProof/>
          <w:color w:val="000000" w:themeColor="text1"/>
          <w:szCs w:val="24"/>
          <w:lang w:val="en-US" w:eastAsia="en-GB"/>
        </w:rPr>
        <w:t>The secretariat shall be provided by the Commission.</w:t>
      </w:r>
    </w:p>
    <w:p w14:paraId="6F5A14F7" w14:textId="77777777" w:rsidR="00500851" w:rsidRPr="004C70EC" w:rsidRDefault="00F73F7F" w:rsidP="54009498">
      <w:pPr>
        <w:pStyle w:val="Point1"/>
        <w:pBdr>
          <w:bottom w:val="single" w:sz="6" w:space="1" w:color="auto"/>
        </w:pBdr>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10.</w:t>
      </w:r>
      <w:r w:rsidRPr="004C70EC">
        <w:rPr>
          <w:noProof/>
          <w:color w:val="000000" w:themeColor="text1"/>
          <w:szCs w:val="24"/>
        </w:rPr>
        <w:tab/>
      </w:r>
      <w:r w:rsidR="00273F36" w:rsidRPr="004C70EC">
        <w:rPr>
          <w:rFonts w:eastAsia="Times New Roman"/>
          <w:noProof/>
          <w:color w:val="000000" w:themeColor="text1"/>
          <w:szCs w:val="24"/>
          <w:lang w:val="en-US" w:eastAsia="en-GB"/>
        </w:rPr>
        <w:t>The CTAG shall draw up its rules of procedure. The rules of procedure shall be made public.</w:t>
      </w:r>
    </w:p>
    <w:p w14:paraId="6DE332E0" w14:textId="77777777" w:rsidR="00273F36" w:rsidRPr="004C70EC" w:rsidRDefault="00273F36" w:rsidP="00F425DC">
      <w:pPr>
        <w:pStyle w:val="Point0"/>
        <w:rPr>
          <w:rFonts w:eastAsia="Times New Roman"/>
          <w:noProof/>
          <w:color w:val="000000" w:themeColor="text1"/>
          <w:szCs w:val="24"/>
          <w:lang w:val="en-US" w:eastAsia="en-GB"/>
        </w:rPr>
      </w:pPr>
    </w:p>
    <w:p w14:paraId="4023B1FD" w14:textId="77777777" w:rsidR="00273F36" w:rsidRPr="004C70EC" w:rsidRDefault="296B87E7" w:rsidP="4CF51068">
      <w:pPr>
        <w:pStyle w:val="Point0"/>
        <w:rPr>
          <w:rFonts w:eastAsia="Times New Roman"/>
          <w:noProof/>
          <w:color w:val="000000" w:themeColor="text1"/>
          <w:lang w:val="en-US" w:eastAsia="en-GB"/>
        </w:rPr>
      </w:pPr>
      <w:r w:rsidRPr="004C70EC">
        <w:rPr>
          <w:rFonts w:eastAsia="Times New Roman"/>
          <w:noProof/>
          <w:color w:val="000000" w:themeColor="text1"/>
          <w:lang w:eastAsia="en-GB"/>
        </w:rPr>
        <w:t>(</w:t>
      </w:r>
      <w:r w:rsidR="6402D25E" w:rsidRPr="004C70EC">
        <w:rPr>
          <w:rFonts w:eastAsia="Times New Roman"/>
          <w:noProof/>
          <w:color w:val="000000" w:themeColor="text1"/>
          <w:lang w:eastAsia="en-GB"/>
        </w:rPr>
        <w:t>4</w:t>
      </w:r>
      <w:r w:rsidR="2355EC8D" w:rsidRPr="004C70EC">
        <w:rPr>
          <w:rFonts w:eastAsia="Times New Roman"/>
          <w:noProof/>
          <w:color w:val="000000" w:themeColor="text1"/>
          <w:lang w:eastAsia="en-GB"/>
        </w:rPr>
        <w:t>8</w:t>
      </w:r>
      <w:r w:rsidRPr="004C70EC">
        <w:rPr>
          <w:rFonts w:eastAsia="Times New Roman"/>
          <w:noProof/>
          <w:color w:val="000000" w:themeColor="text1"/>
          <w:lang w:eastAsia="en-GB"/>
        </w:rPr>
        <w:t>)</w:t>
      </w:r>
      <w:r w:rsidR="00F73F7F" w:rsidRPr="004C70EC">
        <w:rPr>
          <w:noProof/>
        </w:rPr>
        <w:tab/>
      </w:r>
      <w:r w:rsidR="249CF78E" w:rsidRPr="004C70EC">
        <w:rPr>
          <w:rFonts w:eastAsia="Times New Roman"/>
          <w:noProof/>
          <w:color w:val="000000" w:themeColor="text1"/>
          <w:lang w:eastAsia="en-GB"/>
        </w:rPr>
        <w:t>Article 93 is replaced by the following:</w:t>
      </w:r>
      <w:r w:rsidR="249CF78E" w:rsidRPr="004C70EC">
        <w:rPr>
          <w:rFonts w:eastAsia="Times New Roman"/>
          <w:noProof/>
          <w:color w:val="000000" w:themeColor="text1"/>
          <w:lang w:val="en-US" w:eastAsia="en-GB"/>
        </w:rPr>
        <w:t xml:space="preserve"> </w:t>
      </w:r>
    </w:p>
    <w:p w14:paraId="346FFF11" w14:textId="77777777" w:rsidR="00273F36" w:rsidRPr="004C70EC" w:rsidRDefault="00500851" w:rsidP="00F73F7F">
      <w:pPr>
        <w:pStyle w:val="Titrearticle"/>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w:t>
      </w:r>
      <w:r w:rsidR="00273F36" w:rsidRPr="004C70EC">
        <w:rPr>
          <w:rFonts w:eastAsia="Times New Roman"/>
          <w:noProof/>
          <w:color w:val="000000" w:themeColor="text1"/>
          <w:szCs w:val="24"/>
          <w:lang w:val="en-US" w:eastAsia="en-GB"/>
        </w:rPr>
        <w:t>Article 93</w:t>
      </w:r>
    </w:p>
    <w:p w14:paraId="479905F1" w14:textId="77777777" w:rsidR="00273F36" w:rsidRPr="004C70EC" w:rsidRDefault="00273F36" w:rsidP="00F73F7F">
      <w:pPr>
        <w:jc w:val="center"/>
        <w:rPr>
          <w:rFonts w:eastAsia="Times New Roman"/>
          <w:i/>
          <w:iCs/>
          <w:noProof/>
          <w:color w:val="000000" w:themeColor="text1"/>
          <w:szCs w:val="24"/>
          <w:lang w:val="en-US" w:eastAsia="en-GB"/>
        </w:rPr>
      </w:pPr>
      <w:r w:rsidRPr="004C70EC">
        <w:rPr>
          <w:rFonts w:eastAsia="Times New Roman"/>
          <w:i/>
          <w:iCs/>
          <w:noProof/>
          <w:color w:val="000000" w:themeColor="text1"/>
          <w:szCs w:val="24"/>
          <w:lang w:val="en-US" w:eastAsia="en-GB"/>
        </w:rPr>
        <w:t>Data protection</w:t>
      </w:r>
    </w:p>
    <w:p w14:paraId="5485D56D" w14:textId="77777777" w:rsidR="00273F36" w:rsidRPr="004C70EC" w:rsidRDefault="00F73F7F">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1.</w:t>
      </w:r>
      <w:r w:rsidRPr="004C70EC">
        <w:rPr>
          <w:noProof/>
          <w:color w:val="000000" w:themeColor="text1"/>
          <w:szCs w:val="24"/>
        </w:rPr>
        <w:tab/>
      </w:r>
      <w:r w:rsidR="00273F36" w:rsidRPr="004C70EC">
        <w:rPr>
          <w:rFonts w:eastAsia="Times New Roman"/>
          <w:noProof/>
          <w:color w:val="000000" w:themeColor="text1"/>
          <w:szCs w:val="24"/>
          <w:lang w:val="en-US" w:eastAsia="en-GB"/>
        </w:rPr>
        <w:t xml:space="preserve">When carrying out their tasks pursuant to this Regulation, sponsors are required to process personal data, including </w:t>
      </w:r>
      <w:r w:rsidR="3836E3C0" w:rsidRPr="004C70EC">
        <w:rPr>
          <w:rFonts w:eastAsia="Times New Roman"/>
          <w:noProof/>
          <w:color w:val="000000" w:themeColor="text1"/>
          <w:szCs w:val="24"/>
          <w:lang w:eastAsia="en-IE"/>
        </w:rPr>
        <w:t>genetic data</w:t>
      </w:r>
      <w:r w:rsidR="78F72A7C" w:rsidRPr="004C70EC">
        <w:rPr>
          <w:rFonts w:eastAsia="Times New Roman"/>
          <w:noProof/>
          <w:color w:val="000000" w:themeColor="text1"/>
          <w:szCs w:val="24"/>
          <w:lang w:eastAsia="en-IE"/>
        </w:rPr>
        <w:t xml:space="preserve"> or data concerning health</w:t>
      </w:r>
      <w:r w:rsidR="3836E3C0" w:rsidRPr="004C70EC">
        <w:rPr>
          <w:rFonts w:eastAsia="Times New Roman"/>
          <w:noProof/>
          <w:color w:val="000000" w:themeColor="text1"/>
          <w:szCs w:val="24"/>
          <w:lang w:val="en-US" w:eastAsia="en-GB"/>
        </w:rPr>
        <w:t xml:space="preserve"> </w:t>
      </w:r>
      <w:r w:rsidR="00273F36" w:rsidRPr="004C70EC">
        <w:rPr>
          <w:rFonts w:eastAsia="Times New Roman"/>
          <w:noProof/>
          <w:color w:val="000000" w:themeColor="text1"/>
          <w:szCs w:val="24"/>
          <w:lang w:val="en-US" w:eastAsia="en-GB"/>
        </w:rPr>
        <w:t xml:space="preserve"> for the following purposes:</w:t>
      </w:r>
    </w:p>
    <w:p w14:paraId="2D599F80" w14:textId="77777777" w:rsidR="00273F36" w:rsidRPr="004C70EC" w:rsidRDefault="00F73F7F" w:rsidP="00F73F7F">
      <w:pPr>
        <w:pStyle w:val="Point2"/>
        <w:rPr>
          <w:noProof/>
          <w:color w:val="000000" w:themeColor="text1"/>
          <w:szCs w:val="24"/>
          <w:lang w:val="en-US" w:eastAsia="en-GB"/>
        </w:rPr>
      </w:pPr>
      <w:r w:rsidRPr="004C70EC">
        <w:rPr>
          <w:noProof/>
          <w:color w:val="000000" w:themeColor="text1"/>
          <w:szCs w:val="24"/>
          <w:lang w:val="en-US" w:eastAsia="en-GB"/>
        </w:rPr>
        <w:t>(a)</w:t>
      </w:r>
      <w:r w:rsidRPr="004C70EC">
        <w:rPr>
          <w:noProof/>
          <w:color w:val="000000" w:themeColor="text1"/>
          <w:szCs w:val="24"/>
          <w:lang w:val="en-US" w:eastAsia="en-GB"/>
        </w:rPr>
        <w:tab/>
      </w:r>
      <w:r w:rsidR="00273F36" w:rsidRPr="004C70EC">
        <w:rPr>
          <w:noProof/>
          <w:color w:val="000000" w:themeColor="text1"/>
          <w:szCs w:val="24"/>
          <w:lang w:val="en-US" w:eastAsia="en-GB"/>
        </w:rPr>
        <w:t>for the submission of applications in accordance with Articles 5, 11, 14 and 16;</w:t>
      </w:r>
    </w:p>
    <w:p w14:paraId="6248B05D"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(b)</w:t>
      </w:r>
      <w:r w:rsidRPr="004C70EC">
        <w:rPr>
          <w:noProof/>
          <w:color w:val="000000" w:themeColor="text1"/>
          <w:szCs w:val="24"/>
        </w:rPr>
        <w:tab/>
      </w:r>
      <w:r w:rsidR="00273F36" w:rsidRPr="004C70EC">
        <w:rPr>
          <w:rFonts w:eastAsia="Times New Roman"/>
          <w:noProof/>
          <w:color w:val="000000" w:themeColor="text1"/>
          <w:szCs w:val="24"/>
          <w:lang w:val="en-US" w:eastAsia="en-GB"/>
        </w:rPr>
        <w:t xml:space="preserve">to perform research activities in </w:t>
      </w:r>
      <w:r w:rsidR="003B3B0A" w:rsidRPr="004C70EC">
        <w:rPr>
          <w:rFonts w:eastAsia="Times New Roman"/>
          <w:noProof/>
          <w:color w:val="000000" w:themeColor="text1"/>
          <w:szCs w:val="24"/>
          <w:lang w:val="en-US" w:eastAsia="en-GB"/>
        </w:rPr>
        <w:t xml:space="preserve">the context of a clinical trial </w:t>
      </w:r>
      <w:r w:rsidR="00273F36" w:rsidRPr="004C70EC">
        <w:rPr>
          <w:rFonts w:eastAsia="Times New Roman"/>
          <w:noProof/>
          <w:color w:val="000000" w:themeColor="text1"/>
          <w:szCs w:val="24"/>
          <w:lang w:val="en-US" w:eastAsia="en-GB"/>
        </w:rPr>
        <w:t xml:space="preserve">in accordance with the </w:t>
      </w:r>
      <w:r w:rsidR="00595A17" w:rsidRPr="004C70EC">
        <w:rPr>
          <w:rFonts w:eastAsia="Times New Roman"/>
          <w:noProof/>
          <w:color w:val="000000" w:themeColor="text1"/>
          <w:szCs w:val="24"/>
          <w:lang w:val="en-US" w:eastAsia="en-GB"/>
        </w:rPr>
        <w:t>protocol as</w:t>
      </w:r>
      <w:r w:rsidR="00273F36" w:rsidRPr="004C70EC">
        <w:rPr>
          <w:rFonts w:eastAsia="Times New Roman"/>
          <w:noProof/>
          <w:color w:val="000000" w:themeColor="text1"/>
          <w:szCs w:val="24"/>
          <w:lang w:val="en-US" w:eastAsia="en-GB"/>
        </w:rPr>
        <w:t xml:space="preserve"> authorised by the national competent authorities in accordance with </w:t>
      </w:r>
      <w:r w:rsidR="003B3B0A" w:rsidRPr="004C70EC">
        <w:rPr>
          <w:rFonts w:eastAsia="Times New Roman"/>
          <w:noProof/>
          <w:color w:val="000000" w:themeColor="text1"/>
          <w:szCs w:val="24"/>
          <w:lang w:val="en-US" w:eastAsia="en-GB"/>
        </w:rPr>
        <w:t>point</w:t>
      </w:r>
      <w:r w:rsidR="00273F36" w:rsidRPr="004C70EC">
        <w:rPr>
          <w:rFonts w:eastAsia="Times New Roman"/>
          <w:noProof/>
          <w:color w:val="000000" w:themeColor="text1"/>
          <w:szCs w:val="24"/>
          <w:lang w:val="en-US" w:eastAsia="en-GB"/>
        </w:rPr>
        <w:t xml:space="preserve"> D</w:t>
      </w:r>
      <w:r w:rsidR="003B3B0A" w:rsidRPr="004C70EC">
        <w:rPr>
          <w:rFonts w:eastAsia="Times New Roman"/>
          <w:noProof/>
          <w:color w:val="000000" w:themeColor="text1"/>
          <w:szCs w:val="24"/>
          <w:lang w:val="en-US" w:eastAsia="en-GB"/>
        </w:rPr>
        <w:t xml:space="preserve">, Part I of </w:t>
      </w:r>
      <w:r w:rsidR="00273F36" w:rsidRPr="004C70EC">
        <w:rPr>
          <w:rFonts w:eastAsia="Times New Roman"/>
          <w:noProof/>
          <w:color w:val="000000" w:themeColor="text1"/>
          <w:szCs w:val="24"/>
          <w:lang w:val="en-US" w:eastAsia="en-GB"/>
        </w:rPr>
        <w:t>Annex I;</w:t>
      </w:r>
    </w:p>
    <w:p w14:paraId="19A2C8D6"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(c)</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to perform safety operations and reporting in accordance with Articles 41 to 43 and 52 to 54;</w:t>
      </w:r>
    </w:p>
    <w:p w14:paraId="14FF868C"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(d)</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to record, process, handle and store information in accordance with Article 56;</w:t>
      </w:r>
    </w:p>
    <w:p w14:paraId="29D9634E"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(e)</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to perform archiving in accordance with Article 58; </w:t>
      </w:r>
    </w:p>
    <w:p w14:paraId="13C374E4"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(f)</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to submit to the </w:t>
      </w:r>
      <w:r w:rsidR="00FC57E6" w:rsidRPr="004C70EC">
        <w:rPr>
          <w:rFonts w:eastAsia="Times New Roman"/>
          <w:noProof/>
          <w:color w:val="000000" w:themeColor="text1"/>
          <w:szCs w:val="24"/>
          <w:lang w:val="en-US" w:eastAsia="en-GB"/>
        </w:rPr>
        <w:t xml:space="preserve">EU portal </w:t>
      </w:r>
      <w:r w:rsidR="00273F36" w:rsidRPr="004C70EC">
        <w:rPr>
          <w:rFonts w:eastAsia="Times New Roman"/>
          <w:noProof/>
          <w:color w:val="000000" w:themeColor="text1"/>
          <w:szCs w:val="24"/>
          <w:lang w:val="en-US" w:eastAsia="en-GB"/>
        </w:rPr>
        <w:t>the summary of the results of the clinical trial, the lay summary, the clinical study report and, where applicable, raw data, in accordance with Article 37(4).</w:t>
      </w:r>
    </w:p>
    <w:p w14:paraId="4C68023A" w14:textId="77777777" w:rsidR="00273F36" w:rsidRPr="004C70EC" w:rsidRDefault="00F73F7F" w:rsidP="00F73F7F">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2.</w:t>
      </w:r>
      <w:r w:rsidRPr="004C70EC">
        <w:rPr>
          <w:noProof/>
          <w:color w:val="000000" w:themeColor="text1"/>
          <w:szCs w:val="24"/>
        </w:rPr>
        <w:tab/>
      </w:r>
      <w:r w:rsidR="00273F36" w:rsidRPr="004C70EC">
        <w:rPr>
          <w:rFonts w:eastAsia="Times New Roman"/>
          <w:noProof/>
          <w:color w:val="000000" w:themeColor="text1"/>
          <w:szCs w:val="24"/>
          <w:lang w:val="en-US" w:eastAsia="en-GB"/>
        </w:rPr>
        <w:t>When carrying out their tasks pursuant to this Regulation, investigators are required to process personal data, including</w:t>
      </w:r>
      <w:r w:rsidR="52044941" w:rsidRPr="004C70EC">
        <w:rPr>
          <w:rFonts w:eastAsia="Times New Roman"/>
          <w:noProof/>
          <w:color w:val="000000" w:themeColor="text1"/>
          <w:szCs w:val="24"/>
          <w:lang w:eastAsia="en-IE"/>
        </w:rPr>
        <w:t xml:space="preserve"> genetic data or data concerning health</w:t>
      </w:r>
      <w:r w:rsidR="00273F36" w:rsidRPr="004C70EC">
        <w:rPr>
          <w:rFonts w:eastAsia="Times New Roman"/>
          <w:noProof/>
          <w:color w:val="000000" w:themeColor="text1"/>
          <w:szCs w:val="24"/>
          <w:lang w:val="en-US" w:eastAsia="en-GB"/>
        </w:rPr>
        <w:t xml:space="preserve"> for the following purposes:</w:t>
      </w:r>
    </w:p>
    <w:p w14:paraId="4D2A5C23"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(a)</w:t>
      </w:r>
      <w:r w:rsidRPr="004C70EC">
        <w:rPr>
          <w:noProof/>
          <w:color w:val="000000" w:themeColor="text1"/>
          <w:szCs w:val="24"/>
        </w:rPr>
        <w:tab/>
      </w:r>
      <w:r w:rsidR="00273F36" w:rsidRPr="004C70EC">
        <w:rPr>
          <w:rFonts w:eastAsia="Times New Roman"/>
          <w:noProof/>
          <w:color w:val="000000" w:themeColor="text1"/>
          <w:szCs w:val="24"/>
          <w:lang w:val="en-US" w:eastAsia="en-GB"/>
        </w:rPr>
        <w:t xml:space="preserve">to perform research activities in </w:t>
      </w:r>
      <w:r w:rsidR="00E97A0E" w:rsidRPr="004C70EC">
        <w:rPr>
          <w:rFonts w:eastAsia="Times New Roman"/>
          <w:noProof/>
          <w:color w:val="000000" w:themeColor="text1"/>
          <w:szCs w:val="24"/>
          <w:lang w:val="en-US" w:eastAsia="en-GB"/>
        </w:rPr>
        <w:t xml:space="preserve">the context of a clinical trial </w:t>
      </w:r>
      <w:r w:rsidR="00273F36" w:rsidRPr="004C70EC">
        <w:rPr>
          <w:rFonts w:eastAsia="Times New Roman"/>
          <w:noProof/>
          <w:color w:val="000000" w:themeColor="text1"/>
          <w:szCs w:val="24"/>
          <w:lang w:val="en-US" w:eastAsia="en-GB"/>
        </w:rPr>
        <w:t>in accordance with the protocol</w:t>
      </w:r>
      <w:r w:rsidR="6AEC7E59" w:rsidRPr="004C70EC">
        <w:rPr>
          <w:rFonts w:eastAsia="Times New Roman"/>
          <w:noProof/>
          <w:color w:val="000000" w:themeColor="text1"/>
          <w:szCs w:val="24"/>
          <w:lang w:val="en-US" w:eastAsia="en-GB"/>
        </w:rPr>
        <w:t xml:space="preserve"> as </w:t>
      </w:r>
      <w:r w:rsidR="00B438F0" w:rsidRPr="004C70EC">
        <w:rPr>
          <w:rFonts w:eastAsia="Times New Roman"/>
          <w:noProof/>
          <w:color w:val="000000" w:themeColor="text1"/>
          <w:szCs w:val="24"/>
          <w:lang w:val="en-US" w:eastAsia="en-GB"/>
        </w:rPr>
        <w:t>authorised by</w:t>
      </w:r>
      <w:r w:rsidR="6AEC7E59" w:rsidRPr="004C70EC">
        <w:rPr>
          <w:rFonts w:eastAsia="Times New Roman"/>
          <w:noProof/>
          <w:color w:val="000000" w:themeColor="text1"/>
          <w:szCs w:val="24"/>
          <w:lang w:val="en-US" w:eastAsia="en-GB"/>
        </w:rPr>
        <w:t xml:space="preserve"> the national competent authorities in accordance with point D, Part I</w:t>
      </w:r>
      <w:r w:rsidR="00B0132A" w:rsidRPr="004C70EC">
        <w:rPr>
          <w:rFonts w:eastAsia="Times New Roman"/>
          <w:noProof/>
          <w:color w:val="000000" w:themeColor="text1"/>
          <w:szCs w:val="24"/>
          <w:lang w:val="en-US" w:eastAsia="en-GB"/>
        </w:rPr>
        <w:t xml:space="preserve">, </w:t>
      </w:r>
      <w:r w:rsidR="00273F36" w:rsidRPr="004C70EC">
        <w:rPr>
          <w:rFonts w:eastAsia="Times New Roman"/>
          <w:noProof/>
          <w:color w:val="000000" w:themeColor="text1"/>
          <w:szCs w:val="24"/>
          <w:lang w:val="en-US" w:eastAsia="en-GB"/>
        </w:rPr>
        <w:t>Annex I;</w:t>
      </w:r>
    </w:p>
    <w:p w14:paraId="6D1D8839"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(b)</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to perform safety reporting in accordance with Articles 41 and 54;</w:t>
      </w:r>
    </w:p>
    <w:p w14:paraId="20FFE6EC"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(c)</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to record, process, handle and store information in accordance with Article 56; </w:t>
      </w:r>
    </w:p>
    <w:p w14:paraId="144ABB16"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(d)</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to perform archiving in accordance with Article 58.</w:t>
      </w:r>
    </w:p>
    <w:p w14:paraId="11F7FC2F" w14:textId="77777777" w:rsidR="00273F36" w:rsidRPr="004C70EC" w:rsidRDefault="00F73F7F" w:rsidP="00F73F7F">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3.</w:t>
      </w:r>
      <w:r w:rsidRPr="004C70EC">
        <w:rPr>
          <w:noProof/>
          <w:color w:val="000000" w:themeColor="text1"/>
          <w:szCs w:val="24"/>
        </w:rPr>
        <w:tab/>
      </w:r>
      <w:r w:rsidR="00273F36" w:rsidRPr="004C70EC">
        <w:rPr>
          <w:rFonts w:eastAsia="Times New Roman"/>
          <w:noProof/>
          <w:color w:val="000000" w:themeColor="text1"/>
          <w:szCs w:val="24"/>
          <w:lang w:val="en-US" w:eastAsia="en-GB"/>
        </w:rPr>
        <w:t xml:space="preserve">Sponsors and investigators shall make available personal data, </w:t>
      </w:r>
      <w:r w:rsidR="00C246CE" w:rsidRPr="004C70EC">
        <w:rPr>
          <w:rFonts w:eastAsia="Times New Roman"/>
          <w:noProof/>
          <w:color w:val="000000" w:themeColor="text1"/>
          <w:szCs w:val="24"/>
          <w:lang w:val="en-US" w:eastAsia="en-GB"/>
        </w:rPr>
        <w:t xml:space="preserve">including </w:t>
      </w:r>
      <w:r w:rsidR="00C246CE" w:rsidRPr="004C70EC">
        <w:rPr>
          <w:rFonts w:eastAsia="Times New Roman"/>
          <w:noProof/>
          <w:color w:val="000000" w:themeColor="text1"/>
          <w:szCs w:val="24"/>
          <w:lang w:eastAsia="en-IE"/>
        </w:rPr>
        <w:t>genetic</w:t>
      </w:r>
      <w:r w:rsidR="08730B9B" w:rsidRPr="004C70EC">
        <w:rPr>
          <w:rFonts w:eastAsia="Times New Roman"/>
          <w:noProof/>
          <w:color w:val="000000" w:themeColor="text1"/>
          <w:szCs w:val="24"/>
          <w:lang w:eastAsia="en-IE"/>
        </w:rPr>
        <w:t xml:space="preserve"> data or data concerning health</w:t>
      </w:r>
      <w:r w:rsidR="00273F36" w:rsidRPr="004C70EC">
        <w:rPr>
          <w:rFonts w:eastAsia="Times New Roman"/>
          <w:noProof/>
          <w:color w:val="000000" w:themeColor="text1"/>
          <w:szCs w:val="24"/>
          <w:lang w:val="en-US" w:eastAsia="en-GB"/>
        </w:rPr>
        <w:t>:</w:t>
      </w:r>
    </w:p>
    <w:p w14:paraId="71924B99"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(a)</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to the competent authorities of the Member States for the purposes of oversight activities, including inspections, in accordance with Article 78;</w:t>
      </w:r>
    </w:p>
    <w:p w14:paraId="146B1316" w14:textId="77777777" w:rsidR="00273F36" w:rsidRPr="004C70EC" w:rsidRDefault="00F73F7F" w:rsidP="00F73F7F">
      <w:pPr>
        <w:pStyle w:val="Point2"/>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(b)</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to the Commission for the purposes of controls, in accordance with Article 79.</w:t>
      </w:r>
    </w:p>
    <w:p w14:paraId="6AC7F90C" w14:textId="77777777" w:rsidR="00273F36" w:rsidRPr="004C70EC" w:rsidRDefault="00F73F7F" w:rsidP="00F73F7F">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4.</w:t>
      </w:r>
      <w:r w:rsidRPr="004C70EC">
        <w:rPr>
          <w:rFonts w:eastAsia="Times New Roman"/>
          <w:noProof/>
          <w:color w:val="000000" w:themeColor="text1"/>
          <w:szCs w:val="24"/>
          <w:lang w:val="en-US" w:eastAsia="en-GB"/>
        </w:rPr>
        <w:tab/>
      </w:r>
      <w:r w:rsidR="00273F36" w:rsidRPr="004C70EC">
        <w:rPr>
          <w:rFonts w:eastAsia="Times New Roman"/>
          <w:noProof/>
          <w:color w:val="000000" w:themeColor="text1"/>
          <w:szCs w:val="24"/>
          <w:lang w:val="en-US" w:eastAsia="en-GB"/>
        </w:rPr>
        <w:t xml:space="preserve">For the processing assessment leading to the authorisation of clinical trial applications and operations referred to in this Article, sponsors and investigators </w:t>
      </w:r>
      <w:r w:rsidR="00742EDB" w:rsidRPr="004C70EC">
        <w:rPr>
          <w:rFonts w:eastAsia="Times New Roman"/>
          <w:noProof/>
          <w:color w:val="000000" w:themeColor="text1"/>
          <w:szCs w:val="24"/>
          <w:lang w:val="en-US" w:eastAsia="en-GB"/>
        </w:rPr>
        <w:t>are</w:t>
      </w:r>
      <w:r w:rsidR="00273F36" w:rsidRPr="004C70EC">
        <w:rPr>
          <w:rFonts w:eastAsia="Times New Roman"/>
          <w:noProof/>
          <w:color w:val="000000" w:themeColor="text1"/>
          <w:szCs w:val="24"/>
          <w:lang w:val="en-US" w:eastAsia="en-GB"/>
        </w:rPr>
        <w:t xml:space="preserve"> controllers within the meaning of Article 4(7) of Regulation (EU) 2016/679.</w:t>
      </w:r>
    </w:p>
    <w:p w14:paraId="14AA3B32" w14:textId="77777777" w:rsidR="00273F36" w:rsidRPr="004C70EC" w:rsidRDefault="00F73F7F" w:rsidP="0CBD3462">
      <w:pPr>
        <w:pStyle w:val="Poin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5.</w:t>
      </w:r>
      <w:r w:rsidRPr="004C70EC">
        <w:rPr>
          <w:noProof/>
          <w:color w:val="000000" w:themeColor="text1"/>
          <w:szCs w:val="24"/>
        </w:rPr>
        <w:tab/>
      </w:r>
      <w:r w:rsidR="00273F36" w:rsidRPr="004C70EC">
        <w:rPr>
          <w:rFonts w:eastAsia="Times New Roman"/>
          <w:noProof/>
          <w:color w:val="000000" w:themeColor="text1"/>
          <w:szCs w:val="24"/>
          <w:lang w:val="en-US" w:eastAsia="en-GB"/>
        </w:rPr>
        <w:t xml:space="preserve">Personal data, </w:t>
      </w:r>
      <w:r w:rsidR="00C246CE" w:rsidRPr="004C70EC">
        <w:rPr>
          <w:rFonts w:eastAsia="Times New Roman"/>
          <w:noProof/>
          <w:color w:val="000000" w:themeColor="text1"/>
          <w:szCs w:val="24"/>
          <w:lang w:val="en-US" w:eastAsia="en-GB"/>
        </w:rPr>
        <w:t xml:space="preserve">including </w:t>
      </w:r>
      <w:r w:rsidR="00C246CE" w:rsidRPr="004C70EC">
        <w:rPr>
          <w:rFonts w:eastAsia="Times New Roman"/>
          <w:noProof/>
          <w:color w:val="000000" w:themeColor="text1"/>
          <w:szCs w:val="24"/>
          <w:lang w:eastAsia="en-IE"/>
        </w:rPr>
        <w:t>genetic</w:t>
      </w:r>
      <w:r w:rsidR="5143F5DD" w:rsidRPr="004C70EC">
        <w:rPr>
          <w:rFonts w:eastAsia="Times New Roman"/>
          <w:noProof/>
          <w:color w:val="000000" w:themeColor="text1"/>
          <w:szCs w:val="24"/>
          <w:lang w:eastAsia="en-IE"/>
        </w:rPr>
        <w:t xml:space="preserve"> data or data concerning health</w:t>
      </w:r>
      <w:r w:rsidR="00273F36" w:rsidRPr="004C70EC">
        <w:rPr>
          <w:rFonts w:eastAsia="Times New Roman"/>
          <w:noProof/>
          <w:color w:val="000000" w:themeColor="text1"/>
          <w:szCs w:val="24"/>
          <w:lang w:val="en-US" w:eastAsia="en-GB"/>
        </w:rPr>
        <w:t xml:space="preserve">, shall be retained </w:t>
      </w:r>
      <w:r w:rsidR="00BE2B30" w:rsidRPr="004C70EC">
        <w:rPr>
          <w:rFonts w:eastAsia="Times New Roman"/>
          <w:noProof/>
          <w:color w:val="000000" w:themeColor="text1"/>
          <w:szCs w:val="24"/>
          <w:lang w:val="en-US" w:eastAsia="en-GB"/>
        </w:rPr>
        <w:t xml:space="preserve">as long as required pursuant to </w:t>
      </w:r>
      <w:r w:rsidR="00273F36" w:rsidRPr="004C70EC">
        <w:rPr>
          <w:rFonts w:eastAsia="Times New Roman"/>
          <w:noProof/>
          <w:color w:val="000000" w:themeColor="text1"/>
          <w:szCs w:val="24"/>
          <w:lang w:val="en-US" w:eastAsia="en-GB"/>
        </w:rPr>
        <w:t>Article 58</w:t>
      </w:r>
      <w:r w:rsidR="00BE2B30" w:rsidRPr="004C70EC">
        <w:rPr>
          <w:rFonts w:eastAsia="Times New Roman"/>
          <w:noProof/>
          <w:color w:val="000000" w:themeColor="text1"/>
          <w:szCs w:val="24"/>
          <w:lang w:val="en-US" w:eastAsia="en-GB"/>
        </w:rPr>
        <w:t xml:space="preserve"> and in accordance with the conditions laid down therein</w:t>
      </w:r>
      <w:r w:rsidR="00273F36" w:rsidRPr="004C70EC">
        <w:rPr>
          <w:rFonts w:eastAsia="Times New Roman"/>
          <w:noProof/>
          <w:color w:val="000000" w:themeColor="text1"/>
          <w:szCs w:val="24"/>
          <w:lang w:val="en-US" w:eastAsia="en-GB"/>
        </w:rPr>
        <w:t>.</w:t>
      </w:r>
    </w:p>
    <w:p w14:paraId="61ADAE20" w14:textId="77777777" w:rsidR="00273F36" w:rsidRPr="004C70EC" w:rsidRDefault="005D2C60" w:rsidP="005D2C60">
      <w:pPr>
        <w:pStyle w:val="Point1"/>
        <w:rPr>
          <w:noProof/>
          <w:color w:val="000000" w:themeColor="text1"/>
          <w:szCs w:val="24"/>
          <w:lang w:val="en-US"/>
        </w:rPr>
      </w:pPr>
      <w:r w:rsidRPr="004C70EC">
        <w:rPr>
          <w:rFonts w:eastAsia="Times New Roman"/>
          <w:noProof/>
          <w:color w:val="000000" w:themeColor="text1"/>
          <w:szCs w:val="24"/>
          <w:lang w:val="en-US" w:eastAsia="en-GB"/>
        </w:rPr>
        <w:t>6.</w:t>
      </w:r>
      <w:r w:rsidRPr="004C70EC">
        <w:rPr>
          <w:noProof/>
          <w:color w:val="000000" w:themeColor="text1"/>
          <w:szCs w:val="24"/>
        </w:rPr>
        <w:tab/>
      </w:r>
      <w:r w:rsidR="00273F36" w:rsidRPr="004C70EC">
        <w:rPr>
          <w:rFonts w:eastAsia="Times New Roman"/>
          <w:noProof/>
          <w:color w:val="000000" w:themeColor="text1"/>
          <w:szCs w:val="24"/>
          <w:lang w:val="en-US" w:eastAsia="en-GB"/>
        </w:rPr>
        <w:t>Personal data collected</w:t>
      </w:r>
      <w:r w:rsidR="00A60BA9" w:rsidRPr="004C70EC">
        <w:rPr>
          <w:rFonts w:eastAsia="Times New Roman"/>
          <w:noProof/>
          <w:color w:val="000000" w:themeColor="text1"/>
          <w:szCs w:val="24"/>
          <w:lang w:val="en-US" w:eastAsia="en-GB"/>
        </w:rPr>
        <w:t xml:space="preserve"> </w:t>
      </w:r>
      <w:r w:rsidR="00273F36" w:rsidRPr="004C70EC">
        <w:rPr>
          <w:rFonts w:eastAsia="Times New Roman"/>
          <w:noProof/>
          <w:color w:val="000000" w:themeColor="text1"/>
          <w:szCs w:val="24"/>
          <w:lang w:val="en-US" w:eastAsia="en-GB"/>
        </w:rPr>
        <w:t xml:space="preserve">and processed in accordance with this Regulation may be further processed </w:t>
      </w:r>
      <w:r w:rsidR="00A60BA9" w:rsidRPr="004C70EC">
        <w:rPr>
          <w:rFonts w:eastAsia="Times New Roman"/>
          <w:noProof/>
          <w:color w:val="000000" w:themeColor="text1"/>
          <w:szCs w:val="24"/>
          <w:lang w:val="en-US" w:eastAsia="en-GB"/>
        </w:rPr>
        <w:t xml:space="preserve">by </w:t>
      </w:r>
      <w:r w:rsidR="5E70DC5B" w:rsidRPr="004C70EC">
        <w:rPr>
          <w:rFonts w:eastAsia="Times New Roman"/>
          <w:noProof/>
          <w:color w:val="000000" w:themeColor="text1"/>
          <w:szCs w:val="24"/>
          <w:lang w:val="en-US" w:eastAsia="en-GB"/>
        </w:rPr>
        <w:t xml:space="preserve">the same </w:t>
      </w:r>
      <w:r w:rsidR="00C246CE" w:rsidRPr="004C70EC">
        <w:rPr>
          <w:rFonts w:eastAsia="Times New Roman"/>
          <w:noProof/>
          <w:color w:val="000000" w:themeColor="text1"/>
          <w:szCs w:val="24"/>
          <w:lang w:val="en-US" w:eastAsia="en-GB"/>
        </w:rPr>
        <w:t>controller for</w:t>
      </w:r>
      <w:r w:rsidR="00273F36" w:rsidRPr="004C70EC">
        <w:rPr>
          <w:rFonts w:eastAsia="Times New Roman"/>
          <w:noProof/>
          <w:color w:val="000000" w:themeColor="text1"/>
          <w:szCs w:val="24"/>
          <w:lang w:val="en-US" w:eastAsia="en-GB"/>
        </w:rPr>
        <w:t xml:space="preserve"> the purposes of other clinical trials conducted under this Regulation, or for scientific research</w:t>
      </w:r>
      <w:r w:rsidR="00273F36" w:rsidRPr="004C70EC">
        <w:rPr>
          <w:rFonts w:eastAsia="Times New Roman"/>
          <w:noProof/>
          <w:color w:val="000000" w:themeColor="text1"/>
          <w:szCs w:val="24"/>
          <w:lang w:val="en-US"/>
        </w:rPr>
        <w:t xml:space="preserve"> </w:t>
      </w:r>
      <w:r w:rsidR="2032E737" w:rsidRPr="004C70EC">
        <w:rPr>
          <w:rFonts w:eastAsia="Times New Roman"/>
          <w:noProof/>
          <w:color w:val="000000" w:themeColor="text1"/>
          <w:szCs w:val="24"/>
          <w:lang w:val="en-US"/>
        </w:rPr>
        <w:t xml:space="preserve">with the aim of protecting public health, improving standard of care and fostering the innovation capacity of European medical research. </w:t>
      </w:r>
    </w:p>
    <w:p w14:paraId="5EFDEDF8" w14:textId="77777777" w:rsidR="3D9D4600" w:rsidRPr="004C70EC" w:rsidRDefault="3D9D4600" w:rsidP="75C149B4">
      <w:pPr>
        <w:pStyle w:val="Point1"/>
        <w:rPr>
          <w:noProof/>
          <w:color w:val="000000" w:themeColor="text1"/>
          <w:szCs w:val="24"/>
          <w:lang w:val="en-US"/>
        </w:rPr>
      </w:pPr>
      <w:r w:rsidRPr="004C70EC">
        <w:rPr>
          <w:rFonts w:eastAsia="Times New Roman"/>
          <w:noProof/>
          <w:color w:val="000000" w:themeColor="text1"/>
          <w:szCs w:val="24"/>
          <w:lang w:val="en-US"/>
        </w:rPr>
        <w:t>7.</w:t>
      </w:r>
      <w:r w:rsidR="00E45235" w:rsidRPr="004C70EC">
        <w:rPr>
          <w:rFonts w:eastAsia="Times New Roman"/>
          <w:noProof/>
          <w:color w:val="000000" w:themeColor="text1"/>
          <w:szCs w:val="24"/>
          <w:lang w:val="en-US"/>
        </w:rPr>
        <w:tab/>
      </w:r>
      <w:r w:rsidRPr="004C70EC">
        <w:rPr>
          <w:rFonts w:eastAsia="Times New Roman"/>
          <w:noProof/>
          <w:color w:val="000000" w:themeColor="text1"/>
          <w:szCs w:val="24"/>
          <w:lang w:val="en-US"/>
        </w:rPr>
        <w:t xml:space="preserve">By derogation from Article 9(4) of Regulation (EU) 2016/679, Member States may not maintain or introduce further conditions, including limitations, with regard to the processing of </w:t>
      </w:r>
      <w:r w:rsidR="0E17B9A8" w:rsidRPr="004C70EC">
        <w:rPr>
          <w:rFonts w:eastAsia="Times New Roman"/>
          <w:noProof/>
          <w:color w:val="000000" w:themeColor="text1"/>
          <w:szCs w:val="24"/>
          <w:lang w:val="en-US"/>
        </w:rPr>
        <w:t xml:space="preserve">personal data, including </w:t>
      </w:r>
      <w:r w:rsidRPr="004C70EC">
        <w:rPr>
          <w:rFonts w:eastAsia="Times New Roman"/>
          <w:noProof/>
          <w:color w:val="000000" w:themeColor="text1"/>
          <w:szCs w:val="24"/>
          <w:lang w:val="en-US"/>
        </w:rPr>
        <w:t>genetic data or data concerning health in the context of clinical trials carried out in accordance with this Regulation.</w:t>
      </w:r>
    </w:p>
    <w:p w14:paraId="4E9F35F5" w14:textId="77777777" w:rsidR="38D55CCE" w:rsidRPr="004C70EC" w:rsidRDefault="38D55CCE" w:rsidP="00E45235">
      <w:pPr>
        <w:pStyle w:val="Point1"/>
        <w:rPr>
          <w:noProof/>
          <w:color w:val="000000" w:themeColor="text1"/>
          <w:szCs w:val="24"/>
          <w:lang w:val="en-US"/>
        </w:rPr>
      </w:pPr>
      <w:r w:rsidRPr="004C70EC">
        <w:rPr>
          <w:rFonts w:eastAsia="Times New Roman"/>
          <w:noProof/>
          <w:color w:val="000000" w:themeColor="text1"/>
          <w:szCs w:val="24"/>
          <w:lang w:val="en-IE"/>
        </w:rPr>
        <w:t>8.</w:t>
      </w:r>
      <w:r w:rsidR="00E45235" w:rsidRPr="004C70EC">
        <w:rPr>
          <w:rFonts w:eastAsia="Times New Roman"/>
          <w:noProof/>
          <w:color w:val="000000" w:themeColor="text1"/>
          <w:szCs w:val="24"/>
          <w:lang w:val="en-IE"/>
        </w:rPr>
        <w:tab/>
      </w:r>
      <w:r w:rsidRPr="004C70EC">
        <w:rPr>
          <w:rFonts w:eastAsia="Times New Roman"/>
          <w:noProof/>
          <w:color w:val="000000" w:themeColor="text1"/>
          <w:szCs w:val="24"/>
          <w:lang w:val="en-IE"/>
        </w:rPr>
        <w:t xml:space="preserve">Processing of personal data referred to in this Article shall be subject to appropriate technical and organisational measures to ensure the protection of the rights and freedoms of data subject. In particular, the controller shall obtain informed consent of the subject in accordance with Article 29 of this Regulation. The controllers shall also apply </w:t>
      </w:r>
      <w:r w:rsidRPr="004C70EC">
        <w:rPr>
          <w:rFonts w:eastAsia="Times New Roman"/>
          <w:noProof/>
          <w:color w:val="000000" w:themeColor="text1"/>
          <w:szCs w:val="24"/>
        </w:rPr>
        <w:t xml:space="preserve">confidentiality rules concerning access to records and personal data of subjects and </w:t>
      </w:r>
      <w:r w:rsidR="0FF3F272" w:rsidRPr="004C70EC">
        <w:rPr>
          <w:rFonts w:eastAsia="Times New Roman"/>
          <w:noProof/>
          <w:color w:val="000000" w:themeColor="text1"/>
          <w:szCs w:val="24"/>
        </w:rPr>
        <w:t xml:space="preserve">apply </w:t>
      </w:r>
      <w:r w:rsidRPr="004C70EC">
        <w:rPr>
          <w:rFonts w:eastAsia="Times New Roman"/>
          <w:noProof/>
          <w:color w:val="000000" w:themeColor="text1"/>
          <w:szCs w:val="24"/>
        </w:rPr>
        <w:t xml:space="preserve">further safeguards that are appropriate for a specific clinical trial as requested </w:t>
      </w:r>
      <w:r w:rsidR="00C246CE" w:rsidRPr="004C70EC">
        <w:rPr>
          <w:rFonts w:eastAsia="Times New Roman"/>
          <w:noProof/>
          <w:color w:val="000000" w:themeColor="text1"/>
          <w:szCs w:val="24"/>
        </w:rPr>
        <w:t>in point</w:t>
      </w:r>
      <w:r w:rsidRPr="004C70EC">
        <w:rPr>
          <w:rFonts w:eastAsia="Times New Roman"/>
          <w:noProof/>
          <w:color w:val="000000" w:themeColor="text1"/>
          <w:szCs w:val="24"/>
          <w:lang w:val="en-US"/>
        </w:rPr>
        <w:t xml:space="preserve"> D, Part I of Annex I (ak), (al</w:t>
      </w:r>
      <w:r w:rsidR="35B5C35F" w:rsidRPr="004C70EC">
        <w:rPr>
          <w:rFonts w:eastAsia="Times New Roman"/>
          <w:noProof/>
          <w:color w:val="000000" w:themeColor="text1"/>
          <w:szCs w:val="24"/>
          <w:lang w:val="en-US"/>
        </w:rPr>
        <w:t>)</w:t>
      </w:r>
      <w:r w:rsidRPr="004C70EC">
        <w:rPr>
          <w:rFonts w:eastAsia="Times New Roman"/>
          <w:noProof/>
          <w:color w:val="000000" w:themeColor="text1"/>
          <w:szCs w:val="24"/>
          <w:lang w:val="en-US"/>
        </w:rPr>
        <w:t>, (am).</w:t>
      </w:r>
    </w:p>
    <w:p w14:paraId="4CE5E34D" w14:textId="77777777" w:rsidR="75C149B4" w:rsidRPr="004C70EC" w:rsidRDefault="75C149B4" w:rsidP="75C149B4">
      <w:pPr>
        <w:pStyle w:val="Point1"/>
        <w:rPr>
          <w:rFonts w:eastAsia="Times New Roman"/>
          <w:noProof/>
          <w:color w:val="000000" w:themeColor="text1"/>
          <w:szCs w:val="24"/>
          <w:lang w:val="en-US"/>
        </w:rPr>
      </w:pPr>
    </w:p>
    <w:p w14:paraId="2A4DDF02" w14:textId="77777777" w:rsidR="00273F36" w:rsidRPr="004C70EC" w:rsidRDefault="0EF220CE" w:rsidP="4CF51068">
      <w:pPr>
        <w:pStyle w:val="Point0"/>
        <w:rPr>
          <w:rFonts w:eastAsia="Times New Roman"/>
          <w:noProof/>
          <w:color w:val="000000" w:themeColor="text1"/>
          <w:lang w:val="en-US" w:eastAsia="en-GB"/>
        </w:rPr>
      </w:pPr>
      <w:r w:rsidRPr="004C70EC">
        <w:rPr>
          <w:rFonts w:eastAsia="Times New Roman"/>
          <w:noProof/>
          <w:color w:val="000000" w:themeColor="text1"/>
          <w:lang w:val="en-US" w:eastAsia="en-GB"/>
        </w:rPr>
        <w:t>(</w:t>
      </w:r>
      <w:r w:rsidR="13401CD3" w:rsidRPr="004C70EC">
        <w:rPr>
          <w:rFonts w:eastAsia="Times New Roman"/>
          <w:noProof/>
          <w:color w:val="000000" w:themeColor="text1"/>
          <w:lang w:val="en-US" w:eastAsia="en-GB"/>
        </w:rPr>
        <w:t>49</w:t>
      </w:r>
      <w:r w:rsidRPr="004C70EC">
        <w:rPr>
          <w:rFonts w:eastAsia="Times New Roman"/>
          <w:noProof/>
          <w:color w:val="000000" w:themeColor="text1"/>
          <w:lang w:val="en-US" w:eastAsia="en-GB"/>
        </w:rPr>
        <w:t>)</w:t>
      </w:r>
      <w:r w:rsidR="005D2C60" w:rsidRPr="004C70EC">
        <w:rPr>
          <w:noProof/>
        </w:rPr>
        <w:tab/>
      </w:r>
      <w:r w:rsidR="249CF78E" w:rsidRPr="004C70EC">
        <w:rPr>
          <w:rFonts w:eastAsia="Times New Roman"/>
          <w:noProof/>
          <w:color w:val="000000" w:themeColor="text1"/>
          <w:lang w:val="en-US" w:eastAsia="en-GB"/>
        </w:rPr>
        <w:t>Article 97 is replaced by the following:</w:t>
      </w:r>
    </w:p>
    <w:p w14:paraId="087127FF" w14:textId="77777777" w:rsidR="0166798D" w:rsidRPr="004C70EC" w:rsidRDefault="0166798D" w:rsidP="00F604BB">
      <w:pPr>
        <w:pStyle w:val="Titrearticle"/>
        <w:rPr>
          <w:rFonts w:eastAsia="Times New Roman"/>
          <w:i w:val="0"/>
          <w:iCs/>
          <w:noProof/>
          <w:color w:val="000000" w:themeColor="text1"/>
          <w:szCs w:val="24"/>
          <w:lang w:val="en-US"/>
        </w:rPr>
      </w:pPr>
      <w:r w:rsidRPr="004C70EC">
        <w:rPr>
          <w:rFonts w:eastAsia="Times New Roman"/>
          <w:noProof/>
          <w:color w:val="000000" w:themeColor="text1"/>
          <w:szCs w:val="24"/>
          <w:lang w:val="en-US"/>
        </w:rPr>
        <w:t>“</w:t>
      </w:r>
      <w:r w:rsidRPr="004C70EC">
        <w:rPr>
          <w:rFonts w:eastAsia="Times New Roman"/>
          <w:iCs/>
          <w:noProof/>
          <w:color w:val="000000" w:themeColor="text1"/>
          <w:szCs w:val="24"/>
          <w:lang w:val="en-US"/>
        </w:rPr>
        <w:t>Article 97</w:t>
      </w:r>
    </w:p>
    <w:p w14:paraId="7818140F" w14:textId="77777777" w:rsidR="0166798D" w:rsidRPr="004C70EC" w:rsidRDefault="0166798D" w:rsidP="00F604BB">
      <w:pPr>
        <w:jc w:val="center"/>
        <w:rPr>
          <w:rFonts w:eastAsia="Times New Roman"/>
          <w:b/>
          <w:bCs/>
          <w:noProof/>
          <w:color w:val="000000" w:themeColor="text1"/>
          <w:szCs w:val="24"/>
          <w:lang w:val="en-US"/>
        </w:rPr>
      </w:pPr>
      <w:r w:rsidRPr="004C70EC">
        <w:rPr>
          <w:rFonts w:eastAsia="Times New Roman"/>
          <w:b/>
          <w:bCs/>
          <w:noProof/>
          <w:color w:val="000000" w:themeColor="text1"/>
          <w:szCs w:val="24"/>
          <w:lang w:val="en-US"/>
        </w:rPr>
        <w:t>Review</w:t>
      </w:r>
    </w:p>
    <w:p w14:paraId="4EC68D04" w14:textId="77777777" w:rsidR="00EB6AD6" w:rsidRPr="004C70EC" w:rsidRDefault="00273F36" w:rsidP="005D2C60">
      <w:pPr>
        <w:pStyle w:val="Text1"/>
        <w:rPr>
          <w:noProof/>
          <w:color w:val="000000" w:themeColor="text1"/>
          <w:szCs w:val="24"/>
          <w:lang w:eastAsia="en-GB"/>
        </w:rPr>
      </w:pPr>
      <w:r w:rsidRPr="004C70EC">
        <w:rPr>
          <w:noProof/>
          <w:color w:val="000000" w:themeColor="text1"/>
          <w:szCs w:val="24"/>
          <w:lang w:val="en-US" w:eastAsia="en-GB"/>
        </w:rPr>
        <w:t>Five years after the date referred to in  Article 99</w:t>
      </w:r>
      <w:r w:rsidR="2EF1A6E1" w:rsidRPr="004C70EC">
        <w:rPr>
          <w:noProof/>
          <w:color w:val="000000" w:themeColor="text1"/>
          <w:szCs w:val="24"/>
          <w:lang w:val="en-US" w:eastAsia="en-GB"/>
        </w:rPr>
        <w:t>, second subparagpah</w:t>
      </w:r>
      <w:r w:rsidRPr="004C70EC">
        <w:rPr>
          <w:noProof/>
          <w:color w:val="000000" w:themeColor="text1"/>
          <w:szCs w:val="24"/>
          <w:lang w:val="en-US" w:eastAsia="en-GB"/>
        </w:rPr>
        <w:t>, and every ten years thereafter, the Commission shall present a report to the European Parliament and to the Council on the application of this Regulation.</w:t>
      </w:r>
      <w:r w:rsidR="009549BB" w:rsidRPr="004C70EC">
        <w:rPr>
          <w:noProof/>
          <w:color w:val="000000" w:themeColor="text1"/>
          <w:szCs w:val="24"/>
          <w:lang w:val="en-US" w:eastAsia="en-GB"/>
        </w:rPr>
        <w:t xml:space="preserve"> </w:t>
      </w:r>
      <w:r w:rsidR="009549BB" w:rsidRPr="004C70EC">
        <w:rPr>
          <w:noProof/>
          <w:color w:val="000000" w:themeColor="text1"/>
          <w:szCs w:val="24"/>
          <w:lang w:eastAsia="en-GB"/>
        </w:rPr>
        <w:t>That report shall include an assessment of the impact that the Regulation has had on scientific and technological progress, comprehensive information on the different types of clinical trials authorised pursuant to this Regulation, and the measures required in order to maintain the competitiveness of European clinical research.</w:t>
      </w:r>
      <w:r w:rsidR="00D9594E" w:rsidRPr="004C70EC">
        <w:rPr>
          <w:noProof/>
          <w:color w:val="000000" w:themeColor="text1"/>
          <w:szCs w:val="24"/>
          <w:lang w:eastAsia="en-GB"/>
        </w:rPr>
        <w:t xml:space="preserve"> The report shall also assess progress made </w:t>
      </w:r>
      <w:r w:rsidR="50FD8B35" w:rsidRPr="004C70EC">
        <w:rPr>
          <w:noProof/>
          <w:color w:val="000000" w:themeColor="text1"/>
          <w:szCs w:val="24"/>
          <w:lang w:eastAsia="en-GB"/>
        </w:rPr>
        <w:t xml:space="preserve">by monitoring </w:t>
      </w:r>
      <w:r w:rsidR="749CDCC0" w:rsidRPr="004C70EC">
        <w:rPr>
          <w:noProof/>
          <w:color w:val="000000" w:themeColor="text1"/>
          <w:szCs w:val="24"/>
          <w:lang w:eastAsia="en-GB"/>
        </w:rPr>
        <w:t xml:space="preserve">as a key performance indicator the </w:t>
      </w:r>
      <w:r w:rsidR="2E5943BF" w:rsidRPr="004C70EC">
        <w:rPr>
          <w:noProof/>
          <w:color w:val="000000" w:themeColor="text1"/>
          <w:szCs w:val="24"/>
          <w:lang w:eastAsia="en-GB"/>
        </w:rPr>
        <w:t xml:space="preserve">number of </w:t>
      </w:r>
      <w:r w:rsidR="00D9594E" w:rsidRPr="004C70EC">
        <w:rPr>
          <w:noProof/>
          <w:color w:val="000000" w:themeColor="text1"/>
          <w:szCs w:val="24"/>
          <w:lang w:eastAsia="en-GB"/>
        </w:rPr>
        <w:t>addition multinational clinical trials authorised in the Union</w:t>
      </w:r>
      <w:r w:rsidR="71AFCC34" w:rsidRPr="004C70EC">
        <w:rPr>
          <w:noProof/>
          <w:color w:val="000000" w:themeColor="text1"/>
          <w:szCs w:val="24"/>
          <w:lang w:eastAsia="en-GB"/>
        </w:rPr>
        <w:t xml:space="preserve"> over the 5-year period of the reporting</w:t>
      </w:r>
      <w:r w:rsidR="00D9594E" w:rsidRPr="004C70EC">
        <w:rPr>
          <w:noProof/>
          <w:color w:val="000000" w:themeColor="text1"/>
          <w:szCs w:val="24"/>
          <w:lang w:eastAsia="en-GB"/>
        </w:rPr>
        <w:t>, compared to the average number of such clinical trials authorised per year in the Union as of 2025;</w:t>
      </w:r>
      <w:r w:rsidR="68AF2CD6" w:rsidRPr="004C70EC">
        <w:rPr>
          <w:noProof/>
          <w:color w:val="000000" w:themeColor="text1"/>
          <w:szCs w:val="24"/>
          <w:lang w:eastAsia="en-GB"/>
        </w:rPr>
        <w:t xml:space="preserve"> </w:t>
      </w:r>
    </w:p>
    <w:p w14:paraId="321CBF2D" w14:textId="77777777" w:rsidR="00273F36" w:rsidRPr="004C70EC" w:rsidRDefault="00EB6AD6" w:rsidP="005D2C60">
      <w:pPr>
        <w:pStyle w:val="Text1"/>
        <w:rPr>
          <w:noProof/>
          <w:color w:val="000000" w:themeColor="text1"/>
          <w:szCs w:val="24"/>
          <w:lang w:val="en-US" w:eastAsia="en-GB"/>
        </w:rPr>
      </w:pPr>
      <w:r w:rsidRPr="004C70EC">
        <w:rPr>
          <w:noProof/>
          <w:color w:val="000000" w:themeColor="text1"/>
          <w:szCs w:val="24"/>
          <w:lang w:eastAsia="en-GB"/>
        </w:rPr>
        <w:t>The Commission shall, if appropriate, present a legislative proposal based on that report in order to update the provisions set out in this Regulation</w:t>
      </w:r>
      <w:r w:rsidR="00273F36" w:rsidRPr="004C70EC">
        <w:rPr>
          <w:noProof/>
          <w:color w:val="000000" w:themeColor="text1"/>
          <w:szCs w:val="24"/>
          <w:lang w:val="en-US" w:eastAsia="en-GB"/>
        </w:rPr>
        <w:t>”</w:t>
      </w:r>
    </w:p>
    <w:p w14:paraId="13DEEA55" w14:textId="77777777" w:rsidR="00CB7F16" w:rsidRPr="004C70EC" w:rsidRDefault="6596F711" w:rsidP="4CF51068">
      <w:pPr>
        <w:pStyle w:val="Point0"/>
        <w:rPr>
          <w:noProof/>
          <w:color w:val="000000" w:themeColor="text1"/>
          <w:lang w:eastAsia="en-GB"/>
        </w:rPr>
      </w:pPr>
      <w:r w:rsidRPr="004C70EC">
        <w:rPr>
          <w:noProof/>
          <w:color w:val="000000" w:themeColor="text1"/>
          <w:lang w:eastAsia="en-GB"/>
        </w:rPr>
        <w:t>(5</w:t>
      </w:r>
      <w:r w:rsidR="49C7117C" w:rsidRPr="004C70EC">
        <w:rPr>
          <w:noProof/>
          <w:color w:val="000000" w:themeColor="text1"/>
          <w:lang w:eastAsia="en-GB"/>
        </w:rPr>
        <w:t>0</w:t>
      </w:r>
      <w:r w:rsidR="00EF6A7F" w:rsidRPr="004C70EC">
        <w:rPr>
          <w:noProof/>
        </w:rPr>
        <w:tab/>
      </w:r>
      <w:r w:rsidRPr="004C70EC">
        <w:rPr>
          <w:noProof/>
          <w:color w:val="000000" w:themeColor="text1"/>
          <w:lang w:eastAsia="en-GB"/>
        </w:rPr>
        <w:t>in Article 98</w:t>
      </w:r>
      <w:r w:rsidR="35F31AE8" w:rsidRPr="004C70EC">
        <w:rPr>
          <w:noProof/>
          <w:color w:val="000000" w:themeColor="text1"/>
          <w:lang w:eastAsia="en-GB"/>
        </w:rPr>
        <w:t xml:space="preserve">, </w:t>
      </w:r>
      <w:r w:rsidR="73E402C3" w:rsidRPr="004C70EC">
        <w:rPr>
          <w:noProof/>
          <w:color w:val="000000" w:themeColor="text1"/>
          <w:lang w:eastAsia="en-GB"/>
        </w:rPr>
        <w:t>paragraph 1 is replaced by the following:</w:t>
      </w:r>
    </w:p>
    <w:p w14:paraId="69D06F35" w14:textId="77777777" w:rsidR="00CC4B0F" w:rsidRPr="004C70EC" w:rsidRDefault="00EF6A7F" w:rsidP="00F425DC">
      <w:pPr>
        <w:pStyle w:val="Point1"/>
        <w:rPr>
          <w:noProof/>
          <w:color w:val="000000" w:themeColor="text1"/>
          <w:szCs w:val="24"/>
          <w:lang w:eastAsia="en-GB"/>
        </w:rPr>
      </w:pPr>
      <w:r w:rsidRPr="004C70EC">
        <w:rPr>
          <w:noProof/>
          <w:color w:val="000000" w:themeColor="text1"/>
          <w:szCs w:val="24"/>
          <w:lang w:eastAsia="en-GB"/>
        </w:rPr>
        <w:t>‘1.</w:t>
      </w:r>
      <w:r w:rsidR="00F425DC" w:rsidRPr="004C70EC">
        <w:rPr>
          <w:noProof/>
          <w:color w:val="000000" w:themeColor="text1"/>
          <w:szCs w:val="24"/>
        </w:rPr>
        <w:tab/>
      </w:r>
      <w:r w:rsidRPr="004C70EC">
        <w:rPr>
          <w:noProof/>
          <w:color w:val="000000" w:themeColor="text1"/>
          <w:szCs w:val="24"/>
          <w:lang w:eastAsia="en-GB"/>
        </w:rPr>
        <w:t>This Regulation, as applicable on [Publication Office: please insert the date of the day before the date of application of Biotech</w:t>
      </w:r>
      <w:r w:rsidR="4670527C" w:rsidRPr="004C70EC">
        <w:rPr>
          <w:noProof/>
          <w:color w:val="000000" w:themeColor="text1"/>
          <w:szCs w:val="24"/>
          <w:lang w:eastAsia="en-GB"/>
        </w:rPr>
        <w:t>nology</w:t>
      </w:r>
      <w:r w:rsidRPr="004C70EC">
        <w:rPr>
          <w:noProof/>
          <w:color w:val="000000" w:themeColor="text1"/>
          <w:szCs w:val="24"/>
          <w:lang w:eastAsia="en-GB"/>
        </w:rPr>
        <w:t xml:space="preserve"> Regulation] shall continue to apply to the procedures for authorisation, substantial modification of addition of a Member </w:t>
      </w:r>
      <w:r w:rsidR="00485816" w:rsidRPr="004C70EC">
        <w:rPr>
          <w:noProof/>
          <w:color w:val="000000" w:themeColor="text1"/>
          <w:szCs w:val="24"/>
          <w:lang w:eastAsia="en-GB"/>
        </w:rPr>
        <w:t>S</w:t>
      </w:r>
      <w:r w:rsidRPr="004C70EC">
        <w:rPr>
          <w:noProof/>
          <w:color w:val="000000" w:themeColor="text1"/>
          <w:szCs w:val="24"/>
          <w:lang w:eastAsia="en-GB"/>
        </w:rPr>
        <w:t xml:space="preserve">tate concerned of a clinical trial where the request for the authorisation has been submitted before the date of </w:t>
      </w:r>
      <w:r w:rsidR="00485816" w:rsidRPr="004C70EC">
        <w:rPr>
          <w:noProof/>
          <w:color w:val="000000" w:themeColor="text1"/>
          <w:szCs w:val="24"/>
          <w:lang w:eastAsia="en-GB"/>
        </w:rPr>
        <w:t xml:space="preserve">entry into application </w:t>
      </w:r>
      <w:r w:rsidR="007C77F3" w:rsidRPr="004C70EC">
        <w:rPr>
          <w:noProof/>
          <w:color w:val="000000" w:themeColor="text1"/>
          <w:szCs w:val="24"/>
          <w:lang w:eastAsia="en-GB"/>
        </w:rPr>
        <w:t xml:space="preserve">as referred </w:t>
      </w:r>
      <w:r w:rsidR="00643DC4" w:rsidRPr="004C70EC">
        <w:rPr>
          <w:noProof/>
          <w:color w:val="000000" w:themeColor="text1"/>
          <w:szCs w:val="24"/>
          <w:lang w:eastAsia="en-GB"/>
        </w:rPr>
        <w:t xml:space="preserve">in </w:t>
      </w:r>
      <w:r w:rsidR="00505A7B" w:rsidRPr="004C70EC">
        <w:rPr>
          <w:noProof/>
          <w:color w:val="000000" w:themeColor="text1"/>
          <w:szCs w:val="24"/>
          <w:lang w:eastAsia="en-GB"/>
        </w:rPr>
        <w:t xml:space="preserve">Article </w:t>
      </w:r>
      <w:r w:rsidR="00980220" w:rsidRPr="004C70EC">
        <w:rPr>
          <w:noProof/>
          <w:color w:val="000000" w:themeColor="text1"/>
          <w:szCs w:val="24"/>
          <w:lang w:eastAsia="en-GB"/>
        </w:rPr>
        <w:t>6</w:t>
      </w:r>
      <w:r w:rsidR="00A1616C" w:rsidRPr="004C70EC">
        <w:rPr>
          <w:noProof/>
          <w:color w:val="000000" w:themeColor="text1"/>
          <w:szCs w:val="24"/>
          <w:lang w:eastAsia="en-GB"/>
        </w:rPr>
        <w:t>7</w:t>
      </w:r>
      <w:r w:rsidR="00C40D00" w:rsidRPr="004C70EC">
        <w:rPr>
          <w:noProof/>
          <w:color w:val="000000" w:themeColor="text1"/>
          <w:szCs w:val="24"/>
          <w:lang w:eastAsia="en-GB"/>
        </w:rPr>
        <w:t>(3), point (a)</w:t>
      </w:r>
      <w:r w:rsidR="00A1616C" w:rsidRPr="004C70EC">
        <w:rPr>
          <w:noProof/>
          <w:color w:val="000000" w:themeColor="text1"/>
          <w:szCs w:val="24"/>
          <w:lang w:eastAsia="en-GB"/>
        </w:rPr>
        <w:t>,</w:t>
      </w:r>
      <w:r w:rsidR="00C40D00" w:rsidRPr="004C70EC">
        <w:rPr>
          <w:noProof/>
          <w:color w:val="000000" w:themeColor="text1"/>
          <w:szCs w:val="24"/>
          <w:lang w:eastAsia="en-GB"/>
        </w:rPr>
        <w:t xml:space="preserve"> </w:t>
      </w:r>
      <w:r w:rsidR="00FE192D" w:rsidRPr="004C70EC">
        <w:rPr>
          <w:noProof/>
          <w:color w:val="000000" w:themeColor="text1"/>
          <w:szCs w:val="24"/>
          <w:lang w:eastAsia="en-GB"/>
        </w:rPr>
        <w:t xml:space="preserve">of </w:t>
      </w:r>
      <w:r w:rsidR="00C40D00" w:rsidRPr="004C70EC">
        <w:rPr>
          <w:noProof/>
          <w:color w:val="000000" w:themeColor="text1"/>
          <w:szCs w:val="24"/>
          <w:lang w:eastAsia="en-GB"/>
        </w:rPr>
        <w:t xml:space="preserve">Regulation </w:t>
      </w:r>
      <w:r w:rsidR="00C40D00" w:rsidRPr="004C70EC">
        <w:rPr>
          <w:rFonts w:ascii="Aptos Narrow" w:hAnsi="Aptos Narrow"/>
          <w:noProof/>
          <w:color w:val="000000" w:themeColor="text1"/>
          <w:szCs w:val="24"/>
          <w:lang w:eastAsia="en-GB"/>
        </w:rPr>
        <w:t>[…]</w:t>
      </w:r>
      <w:r w:rsidR="00FE192D" w:rsidRPr="004C70EC">
        <w:rPr>
          <w:noProof/>
          <w:color w:val="000000" w:themeColor="text1"/>
          <w:szCs w:val="24"/>
          <w:lang w:eastAsia="en-GB"/>
        </w:rPr>
        <w:t>[</w:t>
      </w:r>
      <w:r w:rsidR="00980220" w:rsidRPr="004C70EC">
        <w:rPr>
          <w:noProof/>
          <w:color w:val="000000" w:themeColor="text1"/>
          <w:szCs w:val="24"/>
          <w:lang w:eastAsia="en-GB"/>
        </w:rPr>
        <w:t xml:space="preserve">European </w:t>
      </w:r>
      <w:r w:rsidR="00FE192D" w:rsidRPr="004C70EC">
        <w:rPr>
          <w:noProof/>
          <w:color w:val="000000" w:themeColor="text1"/>
          <w:szCs w:val="24"/>
          <w:lang w:eastAsia="en-GB"/>
        </w:rPr>
        <w:t>Biotech Act]</w:t>
      </w:r>
      <w:r w:rsidR="00CC4B0F" w:rsidRPr="004C70EC">
        <w:rPr>
          <w:noProof/>
          <w:color w:val="000000" w:themeColor="text1"/>
          <w:szCs w:val="24"/>
          <w:lang w:eastAsia="en-GB"/>
        </w:rPr>
        <w:t>.’</w:t>
      </w:r>
    </w:p>
    <w:p w14:paraId="7C472429" w14:textId="77777777" w:rsidR="00BC5C9D" w:rsidRPr="004C70EC" w:rsidRDefault="35F31AE8" w:rsidP="4CF51068">
      <w:pPr>
        <w:pStyle w:val="Point0"/>
        <w:rPr>
          <w:noProof/>
          <w:color w:val="000000" w:themeColor="text1"/>
          <w:lang w:eastAsia="en-GB"/>
        </w:rPr>
      </w:pPr>
      <w:r w:rsidRPr="004C70EC">
        <w:rPr>
          <w:noProof/>
          <w:color w:val="000000" w:themeColor="text1"/>
          <w:lang w:eastAsia="en-GB"/>
        </w:rPr>
        <w:t>(5</w:t>
      </w:r>
      <w:r w:rsidR="104980BE" w:rsidRPr="004C70EC">
        <w:rPr>
          <w:noProof/>
          <w:color w:val="000000" w:themeColor="text1"/>
          <w:lang w:eastAsia="en-GB"/>
        </w:rPr>
        <w:t>1</w:t>
      </w:r>
      <w:r w:rsidRPr="004C70EC">
        <w:rPr>
          <w:noProof/>
          <w:color w:val="000000" w:themeColor="text1"/>
          <w:lang w:eastAsia="en-GB"/>
        </w:rPr>
        <w:t>)</w:t>
      </w:r>
      <w:r w:rsidR="00BC5C9D" w:rsidRPr="004C70EC">
        <w:rPr>
          <w:noProof/>
        </w:rPr>
        <w:tab/>
      </w:r>
      <w:r w:rsidRPr="004C70EC">
        <w:rPr>
          <w:noProof/>
          <w:color w:val="000000" w:themeColor="text1"/>
          <w:lang w:eastAsia="en-GB"/>
        </w:rPr>
        <w:t>the following Article 98a is inserted</w:t>
      </w:r>
      <w:r w:rsidR="679119AA" w:rsidRPr="004C70EC">
        <w:rPr>
          <w:noProof/>
          <w:color w:val="000000" w:themeColor="text1"/>
          <w:lang w:eastAsia="en-GB"/>
        </w:rPr>
        <w:t>;</w:t>
      </w:r>
    </w:p>
    <w:p w14:paraId="504325EA" w14:textId="77777777" w:rsidR="00AD6C78" w:rsidRPr="004C70EC" w:rsidRDefault="00AD6C78" w:rsidP="00F425DC">
      <w:pPr>
        <w:pStyle w:val="Titrearticle"/>
        <w:rPr>
          <w:i w:val="0"/>
          <w:iCs/>
          <w:noProof/>
          <w:color w:val="000000" w:themeColor="text1"/>
          <w:szCs w:val="24"/>
          <w:lang w:eastAsia="en-GB"/>
        </w:rPr>
      </w:pPr>
      <w:r w:rsidRPr="004C70EC">
        <w:rPr>
          <w:noProof/>
          <w:color w:val="000000" w:themeColor="text1"/>
          <w:szCs w:val="24"/>
        </w:rPr>
        <w:t>‘</w:t>
      </w:r>
      <w:r w:rsidRPr="004C70EC">
        <w:rPr>
          <w:iCs/>
          <w:noProof/>
          <w:color w:val="000000" w:themeColor="text1"/>
          <w:szCs w:val="24"/>
          <w:lang w:eastAsia="en-GB"/>
        </w:rPr>
        <w:t>Article 98a</w:t>
      </w:r>
    </w:p>
    <w:p w14:paraId="3B1266F0" w14:textId="77777777" w:rsidR="00AD6C78" w:rsidRPr="004C70EC" w:rsidRDefault="00AD6C78" w:rsidP="00F425DC">
      <w:pPr>
        <w:jc w:val="center"/>
        <w:rPr>
          <w:i/>
          <w:iCs/>
          <w:noProof/>
          <w:color w:val="000000" w:themeColor="text1"/>
          <w:szCs w:val="24"/>
          <w:lang w:eastAsia="en-GB"/>
        </w:rPr>
      </w:pPr>
      <w:r w:rsidRPr="004C70EC">
        <w:rPr>
          <w:i/>
          <w:iCs/>
          <w:noProof/>
          <w:color w:val="000000" w:themeColor="text1"/>
          <w:szCs w:val="24"/>
          <w:lang w:eastAsia="en-GB"/>
        </w:rPr>
        <w:t xml:space="preserve">Development plan </w:t>
      </w:r>
      <w:r w:rsidR="003A7128" w:rsidRPr="004C70EC">
        <w:rPr>
          <w:i/>
          <w:iCs/>
          <w:noProof/>
          <w:color w:val="000000" w:themeColor="text1"/>
          <w:szCs w:val="24"/>
          <w:lang w:eastAsia="en-GB"/>
        </w:rPr>
        <w:t>for</w:t>
      </w:r>
      <w:r w:rsidRPr="004C70EC">
        <w:rPr>
          <w:i/>
          <w:iCs/>
          <w:noProof/>
          <w:color w:val="000000" w:themeColor="text1"/>
          <w:szCs w:val="24"/>
          <w:lang w:eastAsia="en-GB"/>
        </w:rPr>
        <w:t xml:space="preserve"> the EU Portal and database</w:t>
      </w:r>
    </w:p>
    <w:p w14:paraId="4C03D25D" w14:textId="77777777" w:rsidR="00AD6C78" w:rsidRPr="004C70EC" w:rsidRDefault="0333AB0C" w:rsidP="00F425DC">
      <w:pPr>
        <w:pStyle w:val="Text1"/>
        <w:rPr>
          <w:noProof/>
          <w:color w:val="000000" w:themeColor="text1"/>
          <w:szCs w:val="24"/>
          <w:lang w:val="en-US" w:eastAsia="en-GB"/>
        </w:rPr>
      </w:pPr>
      <w:r w:rsidRPr="004C70EC">
        <w:rPr>
          <w:noProof/>
          <w:color w:val="000000" w:themeColor="text1"/>
          <w:szCs w:val="24"/>
          <w:lang w:val="en-US" w:eastAsia="en-GB"/>
        </w:rPr>
        <w:t xml:space="preserve">The Agency shall be responsible for reporting, on the development, maintenance and, where relevant, adjustment of the EU </w:t>
      </w:r>
      <w:r w:rsidR="25D59928" w:rsidRPr="004C70EC">
        <w:rPr>
          <w:noProof/>
          <w:color w:val="000000" w:themeColor="text1"/>
          <w:szCs w:val="24"/>
          <w:lang w:val="en-US" w:eastAsia="en-GB"/>
        </w:rPr>
        <w:t xml:space="preserve">portal </w:t>
      </w:r>
      <w:r w:rsidRPr="004C70EC">
        <w:rPr>
          <w:noProof/>
          <w:color w:val="000000" w:themeColor="text1"/>
          <w:szCs w:val="24"/>
          <w:lang w:val="en-US" w:eastAsia="en-GB"/>
        </w:rPr>
        <w:t>in terms of timing, budgetary compliance and quality.</w:t>
      </w:r>
    </w:p>
    <w:p w14:paraId="49AA1712" w14:textId="77777777" w:rsidR="00AD6C78" w:rsidRPr="004C70EC" w:rsidRDefault="00AD6C78" w:rsidP="00F425DC">
      <w:pPr>
        <w:pStyle w:val="Tex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 xml:space="preserve">This would include a submission, after consulting the Commission, of a revised development plan for EU Portal and database to the Agency’s Management Board 1 month after entry into force of </w:t>
      </w:r>
      <w:bookmarkStart w:id="36" w:name="_Hlk215613288"/>
      <w:r w:rsidRPr="004C70EC">
        <w:rPr>
          <w:rFonts w:eastAsia="Times New Roman"/>
          <w:noProof/>
          <w:color w:val="000000" w:themeColor="text1"/>
          <w:szCs w:val="24"/>
          <w:lang w:val="en-US" w:eastAsia="en-GB"/>
        </w:rPr>
        <w:t xml:space="preserve">Regulation (EU)…/… </w:t>
      </w:r>
      <w:bookmarkEnd w:id="36"/>
      <w:r w:rsidRPr="004C70EC">
        <w:rPr>
          <w:rFonts w:eastAsia="Times New Roman"/>
          <w:noProof/>
          <w:color w:val="000000" w:themeColor="text1"/>
          <w:szCs w:val="24"/>
          <w:lang w:val="en-US" w:eastAsia="en-GB"/>
        </w:rPr>
        <w:t>of the European Parliament and of the Council [include reference to Biotech Act proposal].* The development plan shall ensure that all required system functionalities are available by the date of application as defined in Article [..] of Regulation (EU)…/…[Biotech Act proposal].</w:t>
      </w:r>
    </w:p>
    <w:p w14:paraId="1D43ECDA" w14:textId="77777777" w:rsidR="00AD6C78" w:rsidRPr="004C70EC" w:rsidRDefault="00AD6C78" w:rsidP="00F425DC">
      <w:pPr>
        <w:pStyle w:val="Tex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The summary of the development plan with key milestones and timelines [once approved by the Management Board of the Agency] shall be made publicly available at the website of the Agency.</w:t>
      </w:r>
      <w:r w:rsidR="3EDDC484" w:rsidRPr="004C70EC">
        <w:rPr>
          <w:rFonts w:eastAsia="Times New Roman"/>
          <w:noProof/>
          <w:color w:val="000000" w:themeColor="text1"/>
          <w:szCs w:val="24"/>
          <w:lang w:val="en-US" w:eastAsia="en-GB"/>
        </w:rPr>
        <w:t>’</w:t>
      </w:r>
    </w:p>
    <w:p w14:paraId="51E21C78" w14:textId="77777777" w:rsidR="00481D2E" w:rsidRPr="004C70EC" w:rsidRDefault="00481D2E" w:rsidP="00F425DC">
      <w:pPr>
        <w:pStyle w:val="Text1"/>
        <w:pBdr>
          <w:bottom w:val="single" w:sz="6" w:space="1" w:color="auto"/>
        </w:pBdr>
        <w:rPr>
          <w:rFonts w:eastAsia="Times New Roman"/>
          <w:noProof/>
          <w:color w:val="000000" w:themeColor="text1"/>
          <w:szCs w:val="24"/>
          <w:lang w:val="en-US" w:eastAsia="en-GB"/>
        </w:rPr>
      </w:pPr>
    </w:p>
    <w:p w14:paraId="6A6B070D" w14:textId="77777777" w:rsidR="00481D2E" w:rsidRPr="004C70EC" w:rsidRDefault="00AC62AB" w:rsidP="00F425DC">
      <w:pPr>
        <w:pStyle w:val="Text1"/>
        <w:rPr>
          <w:rFonts w:eastAsia="Times New Roman"/>
          <w:noProof/>
          <w:color w:val="000000" w:themeColor="text1"/>
          <w:szCs w:val="24"/>
          <w:lang w:val="en-US" w:eastAsia="en-GB"/>
        </w:rPr>
      </w:pPr>
      <w:r w:rsidRPr="004C70EC">
        <w:rPr>
          <w:rFonts w:eastAsia="Times New Roman"/>
          <w:noProof/>
          <w:color w:val="000000" w:themeColor="text1"/>
          <w:szCs w:val="24"/>
          <w:lang w:val="en-US" w:eastAsia="en-GB"/>
        </w:rPr>
        <w:t>*Biotech</w:t>
      </w:r>
      <w:r w:rsidR="35180454" w:rsidRPr="004C70EC">
        <w:rPr>
          <w:rFonts w:eastAsia="Times New Roman"/>
          <w:noProof/>
          <w:color w:val="000000" w:themeColor="text1"/>
          <w:szCs w:val="24"/>
          <w:lang w:val="en-US" w:eastAsia="en-GB"/>
        </w:rPr>
        <w:t>nology</w:t>
      </w:r>
      <w:r w:rsidRPr="004C70EC" w:rsidDel="00AC62AB">
        <w:rPr>
          <w:rFonts w:eastAsia="Times New Roman"/>
          <w:noProof/>
          <w:color w:val="000000" w:themeColor="text1"/>
          <w:szCs w:val="24"/>
          <w:lang w:val="en-US" w:eastAsia="en-GB"/>
        </w:rPr>
        <w:t xml:space="preserve"> </w:t>
      </w:r>
      <w:r w:rsidRPr="004C70EC">
        <w:rPr>
          <w:rFonts w:eastAsia="Times New Roman"/>
          <w:noProof/>
          <w:color w:val="000000" w:themeColor="text1"/>
          <w:szCs w:val="24"/>
          <w:lang w:val="en-US" w:eastAsia="en-GB"/>
        </w:rPr>
        <w:t>proposal</w:t>
      </w:r>
    </w:p>
    <w:p w14:paraId="26FA674C" w14:textId="77777777" w:rsidR="00273F36" w:rsidRPr="004C70EC" w:rsidRDefault="0EF220CE" w:rsidP="4CF51068">
      <w:pPr>
        <w:pStyle w:val="Point0"/>
        <w:rPr>
          <w:rFonts w:eastAsia="Times New Roman"/>
          <w:noProof/>
          <w:color w:val="000000" w:themeColor="text1"/>
          <w:lang w:val="en-US" w:eastAsia="en-GB"/>
        </w:rPr>
      </w:pPr>
      <w:r w:rsidRPr="004C70EC">
        <w:rPr>
          <w:rFonts w:eastAsia="Times New Roman"/>
          <w:noProof/>
          <w:color w:val="000000" w:themeColor="text1"/>
          <w:lang w:val="en-US" w:eastAsia="en-GB"/>
        </w:rPr>
        <w:t>(5</w:t>
      </w:r>
      <w:r w:rsidR="66ACD010" w:rsidRPr="004C70EC">
        <w:rPr>
          <w:rFonts w:eastAsia="Times New Roman"/>
          <w:noProof/>
          <w:color w:val="000000" w:themeColor="text1"/>
          <w:lang w:val="en-US" w:eastAsia="en-GB"/>
        </w:rPr>
        <w:t>2</w:t>
      </w:r>
      <w:r w:rsidRPr="004C70EC">
        <w:rPr>
          <w:rFonts w:eastAsia="Times New Roman"/>
          <w:noProof/>
          <w:color w:val="000000" w:themeColor="text1"/>
          <w:lang w:val="en-US" w:eastAsia="en-GB"/>
        </w:rPr>
        <w:t>)</w:t>
      </w:r>
      <w:r w:rsidR="005D2C60" w:rsidRPr="004C70EC">
        <w:rPr>
          <w:noProof/>
        </w:rPr>
        <w:tab/>
      </w:r>
      <w:r w:rsidR="249CF78E" w:rsidRPr="004C70EC">
        <w:rPr>
          <w:rFonts w:eastAsia="Times New Roman"/>
          <w:noProof/>
          <w:color w:val="000000" w:themeColor="text1"/>
          <w:lang w:val="en-US" w:eastAsia="en-GB"/>
        </w:rPr>
        <w:t>Annex I is amended in accordance with Annex I to this Regulation.</w:t>
      </w:r>
    </w:p>
    <w:p w14:paraId="6F59A5D3" w14:textId="77777777" w:rsidR="00E54565" w:rsidRPr="004C70EC" w:rsidRDefault="00E54565" w:rsidP="00E54565">
      <w:pPr>
        <w:pStyle w:val="Titrearticle"/>
        <w:rPr>
          <w:rFonts w:eastAsia="Times New Roman"/>
          <w:i w:val="0"/>
          <w:iCs/>
          <w:noProof/>
          <w:color w:val="000000" w:themeColor="text1"/>
          <w:szCs w:val="24"/>
          <w:lang w:eastAsia="en-GB"/>
        </w:rPr>
      </w:pPr>
      <w:r w:rsidRPr="004C70EC">
        <w:rPr>
          <w:rFonts w:eastAsia="Times New Roman"/>
          <w:iCs/>
          <w:noProof/>
          <w:color w:val="000000" w:themeColor="text1"/>
          <w:szCs w:val="24"/>
          <w:lang w:eastAsia="en-GB"/>
        </w:rPr>
        <w:t xml:space="preserve">Article </w:t>
      </w:r>
      <w:r w:rsidR="00122BF8" w:rsidRPr="004C70EC">
        <w:rPr>
          <w:rFonts w:eastAsia="Times New Roman"/>
          <w:iCs/>
          <w:noProof/>
          <w:color w:val="000000" w:themeColor="text1"/>
          <w:szCs w:val="24"/>
          <w:lang w:eastAsia="en-GB"/>
        </w:rPr>
        <w:t>59</w:t>
      </w:r>
    </w:p>
    <w:p w14:paraId="5D3B79F9" w14:textId="77777777" w:rsidR="00E54565" w:rsidRPr="004C70EC" w:rsidRDefault="00E54565" w:rsidP="00E54565">
      <w:pPr>
        <w:keepNext/>
        <w:keepLines/>
        <w:spacing w:before="360" w:after="80" w:line="279" w:lineRule="auto"/>
        <w:jc w:val="center"/>
        <w:outlineLvl w:val="0"/>
        <w:rPr>
          <w:b/>
          <w:bCs/>
          <w:noProof/>
          <w:color w:val="000000" w:themeColor="text1"/>
          <w:szCs w:val="24"/>
          <w:lang w:val="en-IE"/>
        </w:rPr>
      </w:pPr>
      <w:r w:rsidRPr="004C70EC">
        <w:rPr>
          <w:b/>
          <w:bCs/>
          <w:noProof/>
          <w:color w:val="000000" w:themeColor="text1"/>
          <w:szCs w:val="24"/>
          <w:lang w:val="en-IE"/>
        </w:rPr>
        <w:t xml:space="preserve">Amendments to Regulation (EU) 2019/6 </w:t>
      </w:r>
    </w:p>
    <w:p w14:paraId="4DC33C11" w14:textId="77777777" w:rsidR="00E54565" w:rsidRPr="004C70EC" w:rsidRDefault="00E54565" w:rsidP="00E54565">
      <w:pPr>
        <w:keepNext/>
        <w:keepLines/>
        <w:spacing w:before="360" w:after="80" w:line="279" w:lineRule="auto"/>
        <w:outlineLvl w:val="0"/>
        <w:rPr>
          <w:noProof/>
          <w:color w:val="000000" w:themeColor="text1"/>
          <w:szCs w:val="24"/>
          <w:lang w:val="en-IE"/>
        </w:rPr>
      </w:pPr>
      <w:r w:rsidRPr="004C70EC">
        <w:rPr>
          <w:noProof/>
          <w:color w:val="000000" w:themeColor="text1"/>
          <w:szCs w:val="24"/>
          <w:lang w:val="en-IE"/>
        </w:rPr>
        <w:t>Regulation (EU) 2019/6 is amended as follows:</w:t>
      </w:r>
    </w:p>
    <w:p w14:paraId="55E4469E" w14:textId="77777777" w:rsidR="00E54565" w:rsidRPr="004C70EC" w:rsidRDefault="00E54565" w:rsidP="00E54565">
      <w:pPr>
        <w:pStyle w:val="Point0"/>
        <w:rPr>
          <w:noProof/>
          <w:color w:val="000000" w:themeColor="text1"/>
          <w:szCs w:val="24"/>
          <w:lang w:val="en-IE"/>
        </w:rPr>
      </w:pPr>
      <w:r w:rsidRPr="004C70EC">
        <w:rPr>
          <w:rFonts w:eastAsia="Times New Roman"/>
          <w:noProof/>
          <w:color w:val="000000" w:themeColor="text1"/>
          <w:szCs w:val="24"/>
          <w:lang w:val="en-IE" w:eastAsia="en-GB"/>
        </w:rPr>
        <w:t>(1)</w:t>
      </w:r>
      <w:r w:rsidRPr="004C70EC">
        <w:rPr>
          <w:rFonts w:eastAsia="Times New Roman"/>
          <w:noProof/>
          <w:color w:val="000000" w:themeColor="text1"/>
          <w:szCs w:val="24"/>
          <w:lang w:val="en-IE" w:eastAsia="en-GB"/>
        </w:rPr>
        <w:tab/>
      </w:r>
      <w:r w:rsidRPr="004C70EC">
        <w:rPr>
          <w:noProof/>
          <w:color w:val="000000" w:themeColor="text1"/>
          <w:szCs w:val="24"/>
          <w:lang w:val="en-IE"/>
        </w:rPr>
        <w:t>in Article 3, the following paragraph 3 is inserted:</w:t>
      </w:r>
    </w:p>
    <w:p w14:paraId="31761190" w14:textId="77777777" w:rsidR="00E54565" w:rsidRPr="004C70EC" w:rsidRDefault="00E54565" w:rsidP="00E54565">
      <w:pPr>
        <w:pStyle w:val="Text1"/>
        <w:rPr>
          <w:noProof/>
          <w:color w:val="000000" w:themeColor="text1"/>
          <w:szCs w:val="24"/>
          <w:lang w:val="en-IE" w:eastAsia="en-GB"/>
        </w:rPr>
      </w:pPr>
      <w:r w:rsidRPr="004C70EC">
        <w:rPr>
          <w:rFonts w:eastAsia="Times New Roman"/>
          <w:noProof/>
          <w:color w:val="000000" w:themeColor="text1"/>
          <w:szCs w:val="24"/>
          <w:lang w:val="en-IE" w:eastAsia="en-GB"/>
        </w:rPr>
        <w:t xml:space="preserve">“The </w:t>
      </w:r>
      <w:r w:rsidRPr="004C70EC">
        <w:rPr>
          <w:noProof/>
          <w:color w:val="000000" w:themeColor="text1"/>
          <w:szCs w:val="24"/>
          <w:lang w:eastAsia="en-GB"/>
        </w:rPr>
        <w:t xml:space="preserve">Union GMO legislation shall not apply to veterinary medicinal products containing or consisting of genetically modified organisms that are </w:t>
      </w:r>
      <w:r w:rsidRPr="004C70EC">
        <w:rPr>
          <w:noProof/>
          <w:color w:val="000000" w:themeColor="text1"/>
          <w:szCs w:val="24"/>
          <w:lang w:val="en-IE" w:eastAsia="en-GB"/>
        </w:rPr>
        <w:t>authorised or manufactured in accordance with this Regulation</w:t>
      </w:r>
      <w:r w:rsidRPr="004C70EC">
        <w:rPr>
          <w:noProof/>
          <w:color w:val="000000" w:themeColor="text1"/>
          <w:szCs w:val="24"/>
          <w:lang w:eastAsia="en-GB"/>
        </w:rPr>
        <w:t>.</w:t>
      </w:r>
      <w:r w:rsidRPr="004C70EC">
        <w:rPr>
          <w:noProof/>
          <w:color w:val="000000" w:themeColor="text1"/>
          <w:szCs w:val="24"/>
          <w:lang w:val="en-IE" w:eastAsia="en-GB"/>
        </w:rPr>
        <w:t xml:space="preserve">  </w:t>
      </w:r>
      <w:r w:rsidRPr="004C70EC">
        <w:rPr>
          <w:rFonts w:eastAsia="Times New Roman"/>
          <w:noProof/>
          <w:color w:val="000000" w:themeColor="text1"/>
          <w:szCs w:val="24"/>
          <w:lang w:val="en-IE" w:eastAsia="en-GB"/>
        </w:rPr>
        <w:t xml:space="preserve">The administration of veterinary medicinal products shall not bring the treated animal or their products under the </w:t>
      </w:r>
      <w:r w:rsidRPr="004C70EC">
        <w:rPr>
          <w:rFonts w:eastAsia="Times New Roman"/>
          <w:noProof/>
          <w:color w:val="000000" w:themeColor="text1"/>
          <w:szCs w:val="24"/>
          <w:lang w:eastAsia="en-GB"/>
        </w:rPr>
        <w:t>scope of the GMO rules.”</w:t>
      </w:r>
    </w:p>
    <w:p w14:paraId="198C85F3" w14:textId="77777777" w:rsidR="00E54565" w:rsidRPr="004C70EC" w:rsidRDefault="00E54565" w:rsidP="00E54565">
      <w:pPr>
        <w:pStyle w:val="Point0"/>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(2)</w:t>
      </w:r>
      <w:r w:rsidRPr="004C70EC">
        <w:rPr>
          <w:rFonts w:eastAsia="Times New Roman"/>
          <w:noProof/>
          <w:color w:val="000000" w:themeColor="text1"/>
          <w:szCs w:val="24"/>
          <w:lang w:val="en-IE" w:eastAsia="en-GB"/>
        </w:rPr>
        <w:tab/>
        <w:t>in Article 4, the following points (45), (46) and (47) are added:</w:t>
      </w:r>
    </w:p>
    <w:p w14:paraId="3EFB7D70" w14:textId="77777777" w:rsidR="00E54565" w:rsidRPr="004C70EC" w:rsidRDefault="00E54565" w:rsidP="00F604BB">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(45)</w:t>
      </w:r>
      <w:r w:rsidRPr="004C70EC">
        <w:rPr>
          <w:rFonts w:eastAsia="Times New Roman"/>
          <w:noProof/>
          <w:color w:val="000000" w:themeColor="text1"/>
          <w:szCs w:val="24"/>
          <w:lang w:val="en-IE" w:eastAsia="en-GB"/>
        </w:rPr>
        <w:tab/>
        <w:t>“</w:t>
      </w:r>
      <w:r w:rsidRPr="004C70EC">
        <w:rPr>
          <w:rFonts w:eastAsia="Times New Roman"/>
          <w:noProof/>
          <w:color w:val="000000" w:themeColor="text1"/>
          <w:szCs w:val="24"/>
          <w:lang w:eastAsia="en-GB"/>
        </w:rPr>
        <w:t>zoonosis’ means any disease and/or infection which is naturally transmissible directly or indirectly between animals and humans</w:t>
      </w:r>
    </w:p>
    <w:p w14:paraId="51081A70" w14:textId="77777777" w:rsidR="00E54565" w:rsidRPr="004C70EC" w:rsidRDefault="00E54565" w:rsidP="00E54565">
      <w:pPr>
        <w:pStyle w:val="Point1"/>
        <w:rPr>
          <w:noProof/>
          <w:color w:val="000000" w:themeColor="text1"/>
          <w:szCs w:val="24"/>
          <w:lang w:val="en-IE" w:eastAsia="en-GB"/>
        </w:rPr>
      </w:pPr>
      <w:r w:rsidRPr="004C70EC">
        <w:rPr>
          <w:noProof/>
          <w:color w:val="000000" w:themeColor="text1"/>
          <w:szCs w:val="24"/>
          <w:lang w:val="en-IE" w:eastAsia="en-GB"/>
        </w:rPr>
        <w:t>(46)</w:t>
      </w:r>
      <w:r w:rsidRPr="004C70EC">
        <w:rPr>
          <w:noProof/>
          <w:color w:val="000000" w:themeColor="text1"/>
          <w:szCs w:val="24"/>
        </w:rPr>
        <w:tab/>
      </w:r>
      <w:r w:rsidRPr="004C70EC">
        <w:rPr>
          <w:noProof/>
          <w:color w:val="000000" w:themeColor="text1"/>
          <w:szCs w:val="24"/>
          <w:lang w:val="en-IE" w:eastAsia="en-GB"/>
        </w:rPr>
        <w:t>“</w:t>
      </w:r>
      <w:r w:rsidRPr="004C70EC" w:rsidDel="00B879CC">
        <w:rPr>
          <w:noProof/>
          <w:color w:val="000000" w:themeColor="text1"/>
          <w:szCs w:val="24"/>
          <w:lang w:val="en-IE" w:eastAsia="en-GB"/>
        </w:rPr>
        <w:t>‘</w:t>
      </w:r>
      <w:r w:rsidRPr="004C70EC">
        <w:rPr>
          <w:noProof/>
          <w:color w:val="000000" w:themeColor="text1"/>
          <w:szCs w:val="24"/>
          <w:lang w:val="en-IE" w:eastAsia="en-GB"/>
        </w:rPr>
        <w:t>veterinary medicinal products containing or consisting of genetically modified organisms’ means veterinary medicinal products that contain or consist of genetically modified organisms as defined in Article 2 point (2) of</w:t>
      </w:r>
      <w:r w:rsidRPr="004C70EC">
        <w:rPr>
          <w:noProof/>
          <w:color w:val="000000" w:themeColor="text1"/>
          <w:szCs w:val="24"/>
          <w:lang w:eastAsia="en-GB"/>
        </w:rPr>
        <w:t xml:space="preserve"> Directive 2001/18/EC</w:t>
      </w:r>
      <w:r w:rsidRPr="004C70EC">
        <w:rPr>
          <w:noProof/>
          <w:color w:val="000000" w:themeColor="text1"/>
          <w:szCs w:val="24"/>
          <w:lang w:val="en-IE" w:eastAsia="en-GB"/>
        </w:rPr>
        <w:t xml:space="preserve">” </w:t>
      </w:r>
      <w:r w:rsidRPr="004C70EC">
        <w:rPr>
          <w:noProof/>
          <w:color w:val="000000" w:themeColor="text1"/>
          <w:szCs w:val="24"/>
        </w:rPr>
        <w:t>excluding organisms obtained through the techniques of genetic modification listed in Annex I B to Directive 2001/18/EC”</w:t>
      </w:r>
      <w:r w:rsidRPr="004C70EC">
        <w:rPr>
          <w:noProof/>
          <w:color w:val="000000" w:themeColor="text1"/>
          <w:szCs w:val="24"/>
          <w:lang w:val="en-IE" w:eastAsia="en-GB"/>
        </w:rPr>
        <w:t>;</w:t>
      </w:r>
    </w:p>
    <w:p w14:paraId="3EEB11FB" w14:textId="77777777" w:rsidR="00E54565" w:rsidRPr="004C70EC" w:rsidRDefault="00E54565" w:rsidP="00E54565">
      <w:pPr>
        <w:pStyle w:val="Point1"/>
        <w:rPr>
          <w:noProof/>
          <w:color w:val="000000" w:themeColor="text1"/>
          <w:szCs w:val="24"/>
          <w:lang w:val="en-IE"/>
        </w:rPr>
      </w:pPr>
      <w:r w:rsidRPr="004C70EC">
        <w:rPr>
          <w:noProof/>
          <w:color w:val="000000" w:themeColor="text1"/>
          <w:szCs w:val="24"/>
          <w:lang w:val="en-IE"/>
        </w:rPr>
        <w:t>(47)</w:t>
      </w:r>
      <w:r w:rsidRPr="004C70EC">
        <w:rPr>
          <w:noProof/>
          <w:color w:val="000000" w:themeColor="text1"/>
          <w:szCs w:val="24"/>
          <w:lang w:val="en-IE"/>
        </w:rPr>
        <w:tab/>
        <w:t>‘‘regulatory sandbox’ means a time-limited regulatory framework that enables the development, placing on the market or use, under regulatory supervision, of innovative technologies, methods or products</w:t>
      </w:r>
      <w:r w:rsidRPr="004C70EC">
        <w:rPr>
          <w:noProof/>
          <w:color w:val="000000" w:themeColor="text1"/>
          <w:szCs w:val="24"/>
        </w:rPr>
        <w:t xml:space="preserve"> </w:t>
      </w:r>
      <w:r w:rsidRPr="004C70EC">
        <w:rPr>
          <w:noProof/>
          <w:color w:val="000000" w:themeColor="text1"/>
          <w:szCs w:val="24"/>
          <w:lang w:val="en-IE"/>
        </w:rPr>
        <w:t>related to animal health which are directly or indirectly related to the development, manufacturing or use of veterinary medicinal products and which are not regulated under Union legislation’;</w:t>
      </w:r>
    </w:p>
    <w:p w14:paraId="5B1D951C" w14:textId="77777777" w:rsidR="00E54565" w:rsidRPr="004C70EC" w:rsidRDefault="00E54565" w:rsidP="00E54565">
      <w:pPr>
        <w:pStyle w:val="Point0"/>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(3)</w:t>
      </w:r>
      <w:r w:rsidRPr="004C70EC">
        <w:rPr>
          <w:noProof/>
          <w:color w:val="000000" w:themeColor="text1"/>
          <w:szCs w:val="24"/>
        </w:rPr>
        <w:tab/>
      </w:r>
      <w:r w:rsidRPr="004C70EC">
        <w:rPr>
          <w:rFonts w:eastAsia="Times New Roman"/>
          <w:noProof/>
          <w:color w:val="000000" w:themeColor="text1"/>
          <w:szCs w:val="24"/>
          <w:lang w:val="en-IE" w:eastAsia="en-GB"/>
        </w:rPr>
        <w:t>in Article 8, paragraph 5 is deleted;</w:t>
      </w:r>
    </w:p>
    <w:p w14:paraId="18EE4597" w14:textId="77777777" w:rsidR="00E54565" w:rsidRPr="004C70EC" w:rsidRDefault="00E54565" w:rsidP="00E54565">
      <w:pPr>
        <w:pStyle w:val="Point0"/>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(4)</w:t>
      </w:r>
      <w:r w:rsidRPr="004C70EC">
        <w:rPr>
          <w:noProof/>
          <w:color w:val="000000" w:themeColor="text1"/>
          <w:szCs w:val="24"/>
        </w:rPr>
        <w:tab/>
      </w:r>
      <w:r w:rsidRPr="004C70EC">
        <w:rPr>
          <w:rFonts w:eastAsia="Times New Roman"/>
          <w:noProof/>
          <w:color w:val="000000" w:themeColor="text1"/>
          <w:szCs w:val="24"/>
          <w:lang w:val="en-IE" w:eastAsia="en-GB"/>
        </w:rPr>
        <w:t>Article 9 is amended as follows:</w:t>
      </w:r>
    </w:p>
    <w:p w14:paraId="07F07359"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w:t>
      </w:r>
      <w:r w:rsidRPr="004C70EC">
        <w:rPr>
          <w:rFonts w:eastAsia="Times New Roman"/>
          <w:noProof/>
          <w:color w:val="000000" w:themeColor="text1"/>
          <w:szCs w:val="24"/>
          <w:lang w:val="en-IE" w:eastAsia="en-GB"/>
        </w:rPr>
        <w:tab/>
        <w:t>the following paragraph 2a is</w:t>
      </w:r>
      <w:r w:rsidRPr="004C70EC" w:rsidDel="001E7DEA">
        <w:rPr>
          <w:rFonts w:eastAsia="Times New Roman"/>
          <w:noProof/>
          <w:color w:val="000000" w:themeColor="text1"/>
          <w:szCs w:val="24"/>
          <w:lang w:val="en-IE" w:eastAsia="en-GB"/>
        </w:rPr>
        <w:t xml:space="preserve"> </w:t>
      </w:r>
      <w:r w:rsidRPr="004C70EC">
        <w:rPr>
          <w:rFonts w:eastAsia="Times New Roman"/>
          <w:noProof/>
          <w:color w:val="000000" w:themeColor="text1"/>
          <w:szCs w:val="24"/>
          <w:lang w:val="en-IE" w:eastAsia="en-GB"/>
        </w:rPr>
        <w:t>inserted:</w:t>
      </w:r>
    </w:p>
    <w:p w14:paraId="2E85C75E" w14:textId="77777777" w:rsidR="00E54565" w:rsidRPr="004C70EC" w:rsidRDefault="00E54565" w:rsidP="00E54565">
      <w:pPr>
        <w:pStyle w:val="Point2"/>
        <w:rPr>
          <w:noProof/>
          <w:color w:val="000000" w:themeColor="text1"/>
          <w:szCs w:val="24"/>
          <w:lang w:val="en-IE" w:eastAsia="en-GB"/>
        </w:rPr>
      </w:pPr>
      <w:r w:rsidRPr="004C70EC">
        <w:rPr>
          <w:noProof/>
          <w:color w:val="000000" w:themeColor="text1"/>
          <w:szCs w:val="24"/>
          <w:lang w:val="en-IE" w:eastAsia="en-GB"/>
        </w:rPr>
        <w:t>‘2a.</w:t>
      </w:r>
      <w:r w:rsidRPr="004C70EC">
        <w:rPr>
          <w:noProof/>
          <w:color w:val="000000" w:themeColor="text1"/>
          <w:szCs w:val="24"/>
          <w:lang w:val="en-IE" w:eastAsia="en-GB"/>
        </w:rPr>
        <w:tab/>
        <w:t>In case of clinical trials with veterinary medicinal products containing or consisting of genetically modified organisms, the competent authorities shall assess potential adverse effects on human health and the environment, having regard to the specific characteristics of the product and in accordance with the principles for environmental risk assessment set out in Annex II. Where appropriate, the implementation of risk mitigation measures shall be required’.</w:t>
      </w:r>
    </w:p>
    <w:p w14:paraId="5D3E372A"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rFonts w:eastAsia="Times New Roman"/>
          <w:noProof/>
          <w:color w:val="000000" w:themeColor="text1"/>
          <w:szCs w:val="24"/>
          <w:lang w:val="en-IE" w:eastAsia="en-GB"/>
        </w:rPr>
        <w:tab/>
        <w:t>in paragraph (3), the following subparagraph is added:</w:t>
      </w:r>
    </w:p>
    <w:p w14:paraId="36D7342E" w14:textId="77777777" w:rsidR="00E54565" w:rsidRPr="004C70EC" w:rsidRDefault="00E54565" w:rsidP="00E54565">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‘During this period, where the trial concerns a veterinary medicinal product containing or consisting of genetically modified organisms, the competent authorities may consult with the bodies set up by the Union or Member States in accordance with under Directive 2001/18/EC, in particular in case of novel questions or fist-in-class veterinary medicinal products. The consulted bodies shall ensure protection of commercially confidential information and security of exchange of information.’</w:t>
      </w:r>
    </w:p>
    <w:p w14:paraId="78F98E17"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(c)</w:t>
      </w:r>
      <w:r w:rsidRPr="004C70EC">
        <w:rPr>
          <w:rFonts w:eastAsia="Times New Roman"/>
          <w:noProof/>
          <w:color w:val="000000" w:themeColor="text1"/>
          <w:szCs w:val="24"/>
          <w:lang w:val="en-IE" w:eastAsia="en-GB"/>
        </w:rPr>
        <w:tab/>
        <w:t>In paragraph (4), the following subparagraph is added:</w:t>
      </w:r>
    </w:p>
    <w:p w14:paraId="18CD1034" w14:textId="77777777" w:rsidR="00E54565" w:rsidRPr="004C70EC" w:rsidRDefault="00E54565" w:rsidP="00E54565">
      <w:pPr>
        <w:pStyle w:val="Tex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‘In the context of the sponsor’s obligation to determine that there are no environmental grounds precluding the conduct of the study, in case of clinical trials with veterinary medicinal products containing or consisting of genetically modified organisms, where a risk to the environment or human health is identified, mitigation measures shall be implemented before the start of the trial, having regard to the specific characteristics of the product,</w:t>
      </w:r>
      <w:r w:rsidRPr="004C70EC">
        <w:rPr>
          <w:rFonts w:eastAsia="Times New Roman"/>
          <w:noProof/>
          <w:color w:val="000000" w:themeColor="text1"/>
          <w:szCs w:val="24"/>
          <w:lang w:eastAsia="en-GB"/>
        </w:rPr>
        <w:t xml:space="preserve"> the magnitude of the possible hazard and likelihood of that adverse effect occurring</w:t>
      </w:r>
      <w:r w:rsidRPr="004C70EC">
        <w:rPr>
          <w:rFonts w:eastAsia="Times New Roman"/>
          <w:noProof/>
          <w:color w:val="000000" w:themeColor="text1"/>
          <w:szCs w:val="24"/>
          <w:lang w:val="en-IE" w:eastAsia="en-GB"/>
        </w:rPr>
        <w:t xml:space="preserve">.’ </w:t>
      </w:r>
    </w:p>
    <w:p w14:paraId="0DF35A82" w14:textId="77777777" w:rsidR="00E54565" w:rsidRPr="004C70EC" w:rsidRDefault="00E54565" w:rsidP="00E54565">
      <w:pPr>
        <w:pStyle w:val="Point0"/>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(5)</w:t>
      </w:r>
      <w:r w:rsidRPr="004C70EC">
        <w:rPr>
          <w:noProof/>
          <w:color w:val="000000" w:themeColor="text1"/>
          <w:szCs w:val="24"/>
        </w:rPr>
        <w:tab/>
      </w:r>
      <w:r w:rsidRPr="004C70EC">
        <w:rPr>
          <w:rFonts w:eastAsia="Times New Roman"/>
          <w:noProof/>
          <w:color w:val="000000" w:themeColor="text1"/>
          <w:szCs w:val="24"/>
          <w:lang w:val="en-IE" w:eastAsia="en-GB"/>
        </w:rPr>
        <w:t>In Article 28, paragraph 2 is replaced by the following:</w:t>
      </w:r>
      <w:r w:rsidRPr="004C70EC">
        <w:rPr>
          <w:rFonts w:eastAsia="Times New Roman"/>
          <w:i/>
          <w:noProof/>
          <w:color w:val="000000" w:themeColor="text1"/>
          <w:szCs w:val="24"/>
          <w:lang w:val="en-IE" w:eastAsia="en-GB"/>
        </w:rPr>
        <w:t xml:space="preserve"> </w:t>
      </w:r>
    </w:p>
    <w:p w14:paraId="4BE3E8DE" w14:textId="77777777" w:rsidR="00E54565" w:rsidRPr="004C70EC" w:rsidRDefault="00E54565" w:rsidP="00E54565">
      <w:pPr>
        <w:pStyle w:val="Tex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‘During the process of examination of applications for marketing authorisations for veterinary medicinal products containing or consisting of genetically modified organisms, the Agency may hold consultations with the bodies set up by the Union or Member States in accordance with Directive 2001/18/EC, in particular for first-in-class products or when a novel question arises. The consulted bodies shall ensure protection of commercially confidential information and security of exchange of information.’</w:t>
      </w:r>
    </w:p>
    <w:p w14:paraId="01697CF8" w14:textId="77777777" w:rsidR="00E54565" w:rsidRPr="004C70EC" w:rsidRDefault="00E54565" w:rsidP="00E54565">
      <w:pPr>
        <w:pStyle w:val="Text1"/>
        <w:ind w:left="0"/>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(6)</w:t>
      </w:r>
      <w:r w:rsidRPr="004C70EC">
        <w:rPr>
          <w:noProof/>
          <w:color w:val="000000" w:themeColor="text1"/>
          <w:szCs w:val="24"/>
        </w:rPr>
        <w:tab/>
      </w:r>
      <w:r w:rsidRPr="004C70EC">
        <w:rPr>
          <w:rFonts w:eastAsia="Times New Roman"/>
          <w:noProof/>
          <w:color w:val="000000" w:themeColor="text1"/>
          <w:szCs w:val="24"/>
          <w:lang w:val="en-IE" w:eastAsia="en-IE"/>
        </w:rPr>
        <w:t>The following Article 40a is inserted:</w:t>
      </w:r>
    </w:p>
    <w:p w14:paraId="46EBF449" w14:textId="77777777" w:rsidR="00E54565" w:rsidRPr="004C70EC" w:rsidRDefault="00E54565" w:rsidP="00E54565">
      <w:pPr>
        <w:pStyle w:val="Titrearticle"/>
        <w:rPr>
          <w:noProof/>
          <w:color w:val="000000" w:themeColor="text1"/>
          <w:szCs w:val="24"/>
          <w:lang w:val="en-IE"/>
        </w:rPr>
      </w:pPr>
      <w:r w:rsidRPr="004C70EC">
        <w:rPr>
          <w:noProof/>
          <w:color w:val="000000" w:themeColor="text1"/>
          <w:szCs w:val="24"/>
          <w:lang w:val="en-IE"/>
        </w:rPr>
        <w:t>‘Article 40a</w:t>
      </w:r>
    </w:p>
    <w:p w14:paraId="65076537" w14:textId="77777777" w:rsidR="00E54565" w:rsidRPr="004C70EC" w:rsidRDefault="00E54565" w:rsidP="00E54565">
      <w:pPr>
        <w:jc w:val="center"/>
        <w:rPr>
          <w:b/>
          <w:noProof/>
          <w:color w:val="000000" w:themeColor="text1"/>
          <w:szCs w:val="24"/>
          <w:lang w:val="en-IE"/>
        </w:rPr>
      </w:pPr>
      <w:r w:rsidRPr="004C70EC">
        <w:rPr>
          <w:b/>
          <w:noProof/>
          <w:color w:val="000000" w:themeColor="text1"/>
          <w:szCs w:val="24"/>
          <w:lang w:val="en-IE"/>
        </w:rPr>
        <w:t>Extension of the supplementary protection certificate concerning biotechnology medicinal products treating zoonoses developed and authorised in the Union</w:t>
      </w:r>
    </w:p>
    <w:p w14:paraId="67C2EC55" w14:textId="77777777" w:rsidR="00E54565" w:rsidRPr="004C70EC" w:rsidRDefault="64F31D6C" w:rsidP="00E54565">
      <w:pPr>
        <w:pStyle w:val="Point1"/>
        <w:rPr>
          <w:noProof/>
          <w:color w:val="000000" w:themeColor="text1"/>
          <w:szCs w:val="24"/>
          <w:lang w:val="en-IE"/>
        </w:rPr>
      </w:pPr>
      <w:r w:rsidRPr="004C70EC">
        <w:rPr>
          <w:noProof/>
          <w:color w:val="000000" w:themeColor="text1"/>
          <w:lang w:val="en-IE"/>
        </w:rPr>
        <w:t>1.</w:t>
      </w:r>
      <w:r w:rsidR="00E54565" w:rsidRPr="004C70EC">
        <w:rPr>
          <w:noProof/>
          <w:color w:val="000000" w:themeColor="text1"/>
          <w:szCs w:val="24"/>
          <w:lang w:val="en-IE"/>
        </w:rPr>
        <w:tab/>
      </w:r>
      <w:r w:rsidRPr="004C70EC">
        <w:rPr>
          <w:noProof/>
          <w:color w:val="000000" w:themeColor="text1"/>
          <w:lang w:val="en-IE"/>
        </w:rPr>
        <w:t>Where a marketing authorisation is granted by the Union to a veterinary medicinal product developed by means of a biotechnology process referred to in paragraphs 2(a) of Article 42 of Regulation (EU) 2019/6 that is intended to  diagnose, treat or prevent zoonotic diseases, and that is protected either by a supplementary protection certificate in accordance with Regulation (EC) No 469/2009</w:t>
      </w:r>
      <w:r w:rsidR="00E54565" w:rsidRPr="004C70EC">
        <w:rPr>
          <w:rStyle w:val="FootnoteReference"/>
          <w:noProof/>
          <w:color w:val="000000" w:themeColor="text1"/>
          <w:lang w:val="en-IE"/>
        </w:rPr>
        <w:footnoteReference w:id="163"/>
      </w:r>
      <w:r w:rsidRPr="004C70EC">
        <w:rPr>
          <w:noProof/>
          <w:color w:val="000000" w:themeColor="text1"/>
          <w:lang w:val="en-IE"/>
        </w:rPr>
        <w:t xml:space="preserve"> of the European Parliament and of the Council , or by a patent which qualifies for the granting of such supplementary protection certificate, the holder of a patent or of such certificate shall be entitled to a 12-month extension of the periods referred to in Article 13, paragraphs 1 and 2 of Regulation (EC) No 469/2009, provided that the marketing authorisation applicant demonstrates that all of the following conditions are met:</w:t>
      </w:r>
    </w:p>
    <w:p w14:paraId="3BF174A9" w14:textId="77777777" w:rsidR="00E54565" w:rsidRPr="004C70EC" w:rsidRDefault="00E54565" w:rsidP="00E54565">
      <w:pPr>
        <w:pStyle w:val="Point2"/>
        <w:rPr>
          <w:noProof/>
          <w:color w:val="000000" w:themeColor="text1"/>
          <w:szCs w:val="24"/>
          <w:lang w:val="en-IE"/>
        </w:rPr>
      </w:pPr>
      <w:r w:rsidRPr="004C70EC">
        <w:rPr>
          <w:noProof/>
          <w:color w:val="000000" w:themeColor="text1"/>
          <w:szCs w:val="24"/>
          <w:lang w:val="en-IE"/>
        </w:rPr>
        <w:t>(a)</w:t>
      </w:r>
      <w:r w:rsidRPr="004C70EC">
        <w:rPr>
          <w:noProof/>
          <w:color w:val="000000" w:themeColor="text1"/>
          <w:szCs w:val="24"/>
          <w:lang w:val="en-IE"/>
        </w:rPr>
        <w:tab/>
        <w:t>the medicinal product contains a new active substance distinctly different from that of any authorised medicinal product in the Union;</w:t>
      </w:r>
    </w:p>
    <w:p w14:paraId="391553EF" w14:textId="77777777" w:rsidR="00E54565" w:rsidRPr="004C70EC" w:rsidRDefault="00E54565" w:rsidP="00E54565">
      <w:pPr>
        <w:pStyle w:val="Point2"/>
        <w:rPr>
          <w:noProof/>
          <w:color w:val="000000" w:themeColor="text1"/>
          <w:szCs w:val="24"/>
          <w:lang w:val="en-IE"/>
        </w:rPr>
      </w:pPr>
      <w:r w:rsidRPr="004C70EC">
        <w:rPr>
          <w:noProof/>
          <w:color w:val="000000" w:themeColor="text1"/>
          <w:szCs w:val="24"/>
          <w:lang w:val="en-IE"/>
        </w:rPr>
        <w:t>(b)</w:t>
      </w:r>
      <w:r w:rsidRPr="004C70EC">
        <w:rPr>
          <w:noProof/>
          <w:color w:val="000000" w:themeColor="text1"/>
          <w:szCs w:val="24"/>
        </w:rPr>
        <w:tab/>
      </w:r>
      <w:r w:rsidRPr="004C70EC">
        <w:rPr>
          <w:noProof/>
          <w:color w:val="000000" w:themeColor="text1"/>
          <w:szCs w:val="24"/>
          <w:lang w:val="en-IE"/>
        </w:rPr>
        <w:t xml:space="preserve">the veterinary medicinal product has a mechanism of action distinctly different and shows a level of safety and efficacy which </w:t>
      </w:r>
      <w:r w:rsidR="00EC256F" w:rsidRPr="004C70EC">
        <w:rPr>
          <w:noProof/>
          <w:color w:val="000000" w:themeColor="text1"/>
          <w:szCs w:val="24"/>
          <w:lang w:val="en-IE"/>
        </w:rPr>
        <w:t>at least euivalent</w:t>
      </w:r>
      <w:r w:rsidRPr="004C70EC">
        <w:rPr>
          <w:noProof/>
          <w:color w:val="000000" w:themeColor="text1"/>
          <w:szCs w:val="24"/>
          <w:lang w:val="en-IE"/>
        </w:rPr>
        <w:t xml:space="preserve"> to that that of any authorised veterinary medicinal product in the Union for the same zoonotic disease;</w:t>
      </w:r>
      <w:r w:rsidR="00EC256F" w:rsidRPr="004C70EC">
        <w:rPr>
          <w:noProof/>
          <w:color w:val="000000" w:themeColor="text1"/>
          <w:szCs w:val="24"/>
          <w:lang w:val="en-IE"/>
        </w:rPr>
        <w:t xml:space="preserve"> and</w:t>
      </w:r>
    </w:p>
    <w:p w14:paraId="0241B7D1" w14:textId="77777777" w:rsidR="00E54565" w:rsidRPr="004C70EC" w:rsidRDefault="00E54565" w:rsidP="00E54565">
      <w:pPr>
        <w:pStyle w:val="Point2"/>
        <w:rPr>
          <w:noProof/>
          <w:color w:val="000000" w:themeColor="text1"/>
          <w:szCs w:val="24"/>
          <w:lang w:val="en-IE"/>
        </w:rPr>
      </w:pPr>
      <w:r w:rsidRPr="004C70EC">
        <w:rPr>
          <w:noProof/>
          <w:color w:val="000000" w:themeColor="text1"/>
          <w:szCs w:val="24"/>
          <w:lang w:val="en-IE"/>
        </w:rPr>
        <w:t>(c)</w:t>
      </w:r>
      <w:r w:rsidRPr="004C70EC">
        <w:rPr>
          <w:noProof/>
          <w:color w:val="000000" w:themeColor="text1"/>
          <w:szCs w:val="24"/>
          <w:lang w:val="en-IE"/>
        </w:rPr>
        <w:tab/>
      </w:r>
      <w:r w:rsidR="00CC751E" w:rsidRPr="004C70EC">
        <w:rPr>
          <w:noProof/>
          <w:color w:val="000000" w:themeColor="text1"/>
          <w:szCs w:val="24"/>
          <w:lang w:val="en-IE"/>
        </w:rPr>
        <w:t xml:space="preserve">at least a manufacturing step, excluding packaging, quality testing and certification is performed </w:t>
      </w:r>
      <w:r w:rsidRPr="004C70EC">
        <w:rPr>
          <w:noProof/>
          <w:color w:val="000000" w:themeColor="text1"/>
          <w:szCs w:val="24"/>
          <w:lang w:val="en-IE"/>
        </w:rPr>
        <w:t>in the Union.</w:t>
      </w:r>
    </w:p>
    <w:p w14:paraId="2E35850C" w14:textId="77777777" w:rsidR="00E54565" w:rsidRPr="004C70EC" w:rsidRDefault="00E54565" w:rsidP="00E54565">
      <w:pPr>
        <w:pStyle w:val="Point1"/>
        <w:rPr>
          <w:noProof/>
          <w:color w:val="000000" w:themeColor="text1"/>
          <w:szCs w:val="24"/>
          <w:lang w:val="en-IE"/>
        </w:rPr>
      </w:pPr>
      <w:r w:rsidRPr="004C70EC">
        <w:rPr>
          <w:noProof/>
          <w:color w:val="000000" w:themeColor="text1"/>
          <w:szCs w:val="24"/>
          <w:lang w:val="en-IE"/>
        </w:rPr>
        <w:t>2.</w:t>
      </w:r>
      <w:r w:rsidRPr="004C70EC">
        <w:rPr>
          <w:noProof/>
          <w:color w:val="000000" w:themeColor="text1"/>
          <w:szCs w:val="24"/>
          <w:lang w:val="en-IE"/>
        </w:rPr>
        <w:tab/>
        <w:t>The Agency shall assess compliance with the conditions referred to ins paragraph 1 as part of the marketing authorisation procedure concerned.</w:t>
      </w:r>
    </w:p>
    <w:p w14:paraId="563DF913" w14:textId="77777777" w:rsidR="00E54565" w:rsidRPr="004C70EC" w:rsidRDefault="00E54565" w:rsidP="00E54565">
      <w:pPr>
        <w:pStyle w:val="Point1"/>
        <w:rPr>
          <w:noProof/>
          <w:color w:val="000000" w:themeColor="text1"/>
          <w:lang w:val="en-IE"/>
        </w:rPr>
      </w:pPr>
      <w:r w:rsidRPr="004C70EC">
        <w:rPr>
          <w:noProof/>
          <w:color w:val="000000" w:themeColor="text1"/>
          <w:lang w:val="en-IE"/>
        </w:rPr>
        <w:t>3.</w:t>
      </w:r>
      <w:r w:rsidRPr="004C70EC">
        <w:rPr>
          <w:noProof/>
        </w:rPr>
        <w:tab/>
      </w:r>
      <w:r w:rsidRPr="004C70EC">
        <w:rPr>
          <w:noProof/>
          <w:color w:val="000000" w:themeColor="text1"/>
          <w:lang w:val="en-IE"/>
        </w:rPr>
        <w:t xml:space="preserve">Where compliance is confirmed, the Agency´s opinion shall </w:t>
      </w:r>
      <w:r w:rsidR="00002C03" w:rsidRPr="004C70EC">
        <w:rPr>
          <w:noProof/>
          <w:color w:val="000000" w:themeColor="text1"/>
          <w:lang w:val="en-IE"/>
        </w:rPr>
        <w:t xml:space="preserve">issue </w:t>
      </w:r>
      <w:r w:rsidRPr="004C70EC">
        <w:rPr>
          <w:noProof/>
          <w:color w:val="000000" w:themeColor="text1"/>
          <w:lang w:val="en-IE"/>
        </w:rPr>
        <w:t>a statement to that effect.</w:t>
      </w:r>
    </w:p>
    <w:p w14:paraId="228924F9" w14:textId="77777777" w:rsidR="00A326D3" w:rsidRPr="004C70EC" w:rsidRDefault="00A326D3" w:rsidP="00E54565">
      <w:pPr>
        <w:pStyle w:val="Point1"/>
        <w:rPr>
          <w:noProof/>
          <w:color w:val="000000" w:themeColor="text1"/>
          <w:lang w:val="en-IE"/>
        </w:rPr>
      </w:pPr>
      <w:r w:rsidRPr="004C70EC">
        <w:rPr>
          <w:noProof/>
          <w:color w:val="000000" w:themeColor="text1"/>
          <w:lang w:val="en-IE"/>
        </w:rPr>
        <w:t>4.</w:t>
      </w:r>
      <w:r w:rsidRPr="004C70EC">
        <w:rPr>
          <w:noProof/>
        </w:rPr>
        <w:tab/>
      </w:r>
      <w:r w:rsidRPr="004C70EC">
        <w:rPr>
          <w:noProof/>
          <w:color w:val="000000" w:themeColor="text1"/>
          <w:lang w:val="en-IE"/>
        </w:rPr>
        <w:t>A copy of the statement referred to in paragraph 3 shall be included in the application for a certificate lodged under article 7 of of Regulation (EC) No 469/2009.</w:t>
      </w:r>
    </w:p>
    <w:p w14:paraId="025C1A7C" w14:textId="77777777" w:rsidR="00E54565" w:rsidRPr="004C70EC" w:rsidRDefault="00E54565" w:rsidP="00E54565">
      <w:pPr>
        <w:pStyle w:val="Text1"/>
        <w:ind w:left="0"/>
        <w:rPr>
          <w:rFonts w:eastAsia="Times New Roman"/>
          <w:noProof/>
          <w:color w:val="000000" w:themeColor="text1"/>
          <w:szCs w:val="24"/>
          <w:lang w:val="en-IE" w:eastAsia="en-GB"/>
        </w:rPr>
      </w:pPr>
    </w:p>
    <w:p w14:paraId="2270B91A" w14:textId="77777777" w:rsidR="00E54565" w:rsidRPr="004C70EC" w:rsidRDefault="00E54565" w:rsidP="00E54565">
      <w:pPr>
        <w:pStyle w:val="Point0"/>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(7)</w:t>
      </w:r>
      <w:r w:rsidRPr="004C70EC">
        <w:rPr>
          <w:rFonts w:eastAsia="Times New Roman"/>
          <w:noProof/>
          <w:color w:val="000000" w:themeColor="text1"/>
          <w:szCs w:val="24"/>
          <w:lang w:val="en-IE" w:eastAsia="en-GB"/>
        </w:rPr>
        <w:tab/>
        <w:t>Article 61 is replaced by the following:</w:t>
      </w:r>
    </w:p>
    <w:p w14:paraId="5979DACF" w14:textId="77777777" w:rsidR="00E54565" w:rsidRPr="004C70EC" w:rsidRDefault="00E54565" w:rsidP="00E54565">
      <w:pPr>
        <w:pStyle w:val="Titrearticle"/>
        <w:rPr>
          <w:noProof/>
          <w:color w:val="000000" w:themeColor="text1"/>
          <w:szCs w:val="24"/>
          <w:lang w:val="en-IE"/>
        </w:rPr>
      </w:pPr>
      <w:r w:rsidRPr="004C70EC">
        <w:rPr>
          <w:noProof/>
          <w:color w:val="000000" w:themeColor="text1"/>
          <w:szCs w:val="24"/>
          <w:lang w:val="en-IE"/>
        </w:rPr>
        <w:t>‘</w:t>
      </w:r>
      <w:r w:rsidRPr="004C70EC">
        <w:rPr>
          <w:iCs/>
          <w:noProof/>
          <w:color w:val="000000" w:themeColor="text1"/>
          <w:szCs w:val="24"/>
          <w:lang w:val="en-IE"/>
        </w:rPr>
        <w:t>Article 61</w:t>
      </w:r>
    </w:p>
    <w:p w14:paraId="32CC292B" w14:textId="77777777" w:rsidR="00E54565" w:rsidRPr="004C70EC" w:rsidRDefault="00E54565" w:rsidP="00E54565">
      <w:pPr>
        <w:jc w:val="center"/>
        <w:rPr>
          <w:b/>
          <w:bCs/>
          <w:noProof/>
          <w:color w:val="000000" w:themeColor="text1"/>
          <w:szCs w:val="24"/>
          <w:lang w:val="en-IE"/>
        </w:rPr>
      </w:pPr>
      <w:r w:rsidRPr="004C70EC">
        <w:rPr>
          <w:b/>
          <w:bCs/>
          <w:noProof/>
          <w:color w:val="000000" w:themeColor="text1"/>
          <w:szCs w:val="24"/>
          <w:lang w:val="en-IE"/>
        </w:rPr>
        <w:t>Variations that do not require assessment</w:t>
      </w:r>
    </w:p>
    <w:p w14:paraId="5D5414A9" w14:textId="77777777" w:rsidR="00E54565" w:rsidRPr="004C70EC" w:rsidRDefault="00E54565" w:rsidP="00E54565">
      <w:pPr>
        <w:pStyle w:val="Point1"/>
        <w:rPr>
          <w:noProof/>
          <w:color w:val="000000" w:themeColor="text1"/>
          <w:szCs w:val="24"/>
          <w:lang w:val="en-IE"/>
        </w:rPr>
      </w:pPr>
      <w:r w:rsidRPr="004C70EC">
        <w:rPr>
          <w:noProof/>
          <w:color w:val="000000" w:themeColor="text1"/>
          <w:szCs w:val="24"/>
          <w:lang w:val="en-IE"/>
        </w:rPr>
        <w:t>1.</w:t>
      </w:r>
      <w:r w:rsidRPr="004C70EC">
        <w:rPr>
          <w:noProof/>
          <w:color w:val="000000" w:themeColor="text1"/>
          <w:szCs w:val="24"/>
          <w:lang w:val="en-IE"/>
        </w:rPr>
        <w:tab/>
        <w:t>Marketing authorisation holders shall be entitled to implement variations included in the list established in accordance with Article 60(1), under the conditions specified therein.</w:t>
      </w:r>
    </w:p>
    <w:p w14:paraId="7DA98084" w14:textId="77777777" w:rsidR="00E54565" w:rsidRPr="004C70EC" w:rsidRDefault="00E54565" w:rsidP="00E54565">
      <w:pPr>
        <w:pStyle w:val="Point1"/>
        <w:rPr>
          <w:noProof/>
          <w:color w:val="000000" w:themeColor="text1"/>
          <w:szCs w:val="24"/>
          <w:lang w:val="en-IE"/>
        </w:rPr>
      </w:pPr>
      <w:r w:rsidRPr="004C70EC">
        <w:rPr>
          <w:noProof/>
          <w:color w:val="000000" w:themeColor="text1"/>
          <w:szCs w:val="24"/>
          <w:lang w:val="en-IE"/>
        </w:rPr>
        <w:t>2.</w:t>
      </w:r>
      <w:r w:rsidRPr="004C70EC">
        <w:rPr>
          <w:noProof/>
          <w:color w:val="000000" w:themeColor="text1"/>
          <w:szCs w:val="24"/>
          <w:lang w:val="en-IE"/>
        </w:rPr>
        <w:tab/>
        <w:t>Where a variation</w:t>
      </w:r>
      <w:r w:rsidRPr="004C70EC" w:rsidDel="00527759">
        <w:rPr>
          <w:noProof/>
          <w:color w:val="000000" w:themeColor="text1"/>
          <w:szCs w:val="24"/>
          <w:lang w:val="en-IE"/>
        </w:rPr>
        <w:t xml:space="preserve"> </w:t>
      </w:r>
      <w:r w:rsidRPr="004C70EC">
        <w:rPr>
          <w:noProof/>
          <w:color w:val="000000" w:themeColor="text1"/>
          <w:szCs w:val="24"/>
          <w:lang w:val="en-IE"/>
        </w:rPr>
        <w:t xml:space="preserve">referred to in paragraph (1) affects the summary of product characteristics, the labelling or package leaflet, the marketing authorisation holder shall record the change in the product database within 30 days after its implementation. </w:t>
      </w:r>
    </w:p>
    <w:p w14:paraId="6AB44215" w14:textId="77777777" w:rsidR="00E54565" w:rsidRPr="004C70EC" w:rsidRDefault="00E54565" w:rsidP="00E54565">
      <w:pPr>
        <w:pStyle w:val="Text2"/>
        <w:rPr>
          <w:noProof/>
          <w:color w:val="000000" w:themeColor="text1"/>
          <w:szCs w:val="24"/>
          <w:lang w:val="en-IE"/>
        </w:rPr>
      </w:pPr>
      <w:r w:rsidRPr="004C70EC">
        <w:rPr>
          <w:noProof/>
          <w:color w:val="000000" w:themeColor="text1"/>
          <w:szCs w:val="24"/>
          <w:lang w:val="en-IE"/>
        </w:rPr>
        <w:t xml:space="preserve">The competent authority that granted the marketing authorisation or, in the case of veterinary medicinal products authorised under the centralised procedure, the Commission following an opinion by the Agency, shall amend the marketing authorisation in accordance with the change recorded by the marketing authorisation holder in the product database. </w:t>
      </w:r>
    </w:p>
    <w:p w14:paraId="205822D5" w14:textId="77777777" w:rsidR="00E54565" w:rsidRPr="004C70EC" w:rsidRDefault="00E54565" w:rsidP="00E54565">
      <w:pPr>
        <w:pStyle w:val="Text2"/>
        <w:rPr>
          <w:noProof/>
          <w:color w:val="000000" w:themeColor="text1"/>
          <w:szCs w:val="24"/>
          <w:lang w:val="en-IE"/>
        </w:rPr>
      </w:pPr>
      <w:r w:rsidRPr="004C70EC">
        <w:rPr>
          <w:noProof/>
          <w:color w:val="000000" w:themeColor="text1"/>
          <w:szCs w:val="24"/>
          <w:lang w:val="en-IE"/>
        </w:rPr>
        <w:t>For veterinary medicinal products authorised under the centralised procedure, the amendment of the marketing authorisation shall be made by means of implementing acts which shall be adopted in accordance with the examination procedure referred to in Article 145(2).</w:t>
      </w:r>
    </w:p>
    <w:p w14:paraId="703CFAE0" w14:textId="77777777" w:rsidR="00E54565" w:rsidRPr="004C70EC" w:rsidRDefault="00E54565" w:rsidP="00E54565">
      <w:pPr>
        <w:pStyle w:val="Point1"/>
        <w:rPr>
          <w:noProof/>
          <w:color w:val="000000" w:themeColor="text1"/>
          <w:szCs w:val="24"/>
          <w:lang w:val="en-IE"/>
        </w:rPr>
      </w:pPr>
      <w:r w:rsidRPr="004C70EC">
        <w:rPr>
          <w:noProof/>
          <w:color w:val="000000" w:themeColor="text1"/>
          <w:szCs w:val="24"/>
          <w:lang w:val="en-IE"/>
        </w:rPr>
        <w:t>3.</w:t>
      </w:r>
      <w:r w:rsidRPr="004C70EC">
        <w:rPr>
          <w:noProof/>
          <w:color w:val="000000" w:themeColor="text1"/>
          <w:szCs w:val="24"/>
          <w:lang w:val="en-IE"/>
        </w:rPr>
        <w:tab/>
        <w:t>Where a variation as referred to in paragraph (1) does not affect the summary of product characteristics, labelling or package leaflet, the marketing authorisation holder shall record the change in the product database within one year after its implementation.</w:t>
      </w:r>
    </w:p>
    <w:p w14:paraId="6E7157BC" w14:textId="77777777" w:rsidR="00E54565" w:rsidRPr="004C70EC" w:rsidRDefault="00E54565" w:rsidP="00E54565">
      <w:pPr>
        <w:pStyle w:val="Point1"/>
        <w:rPr>
          <w:noProof/>
          <w:color w:val="000000" w:themeColor="text1"/>
          <w:szCs w:val="24"/>
          <w:lang w:val="en-IE"/>
        </w:rPr>
      </w:pPr>
      <w:r w:rsidRPr="004C70EC">
        <w:rPr>
          <w:noProof/>
          <w:color w:val="000000" w:themeColor="text1"/>
          <w:szCs w:val="24"/>
          <w:lang w:val="en-IE"/>
        </w:rPr>
        <w:t>4.</w:t>
      </w:r>
      <w:r w:rsidRPr="004C70EC">
        <w:rPr>
          <w:noProof/>
          <w:color w:val="000000" w:themeColor="text1"/>
          <w:szCs w:val="24"/>
          <w:lang w:val="en-IE"/>
        </w:rPr>
        <w:tab/>
        <w:t>Variations implemented by marketing authorisation holders in circumvention of the conditions laid down in the implementing act referred to in Article 60(1) shall not be valid.’</w:t>
      </w:r>
    </w:p>
    <w:p w14:paraId="0D3FCAF3" w14:textId="77777777" w:rsidR="00E54565" w:rsidRPr="004C70EC" w:rsidRDefault="00E54565" w:rsidP="00E54565">
      <w:pPr>
        <w:pStyle w:val="Point0"/>
        <w:rPr>
          <w:noProof/>
          <w:color w:val="000000" w:themeColor="text1"/>
          <w:szCs w:val="24"/>
          <w:lang w:val="en-IE"/>
        </w:rPr>
      </w:pPr>
      <w:r w:rsidRPr="004C70EC">
        <w:rPr>
          <w:noProof/>
          <w:color w:val="000000" w:themeColor="text1"/>
          <w:szCs w:val="24"/>
          <w:lang w:val="en-IE"/>
        </w:rPr>
        <w:t>(8)</w:t>
      </w:r>
      <w:r w:rsidRPr="004C70EC">
        <w:rPr>
          <w:noProof/>
          <w:color w:val="000000" w:themeColor="text1"/>
          <w:szCs w:val="24"/>
        </w:rPr>
        <w:tab/>
      </w:r>
      <w:r w:rsidRPr="004C70EC">
        <w:rPr>
          <w:noProof/>
          <w:color w:val="000000" w:themeColor="text1"/>
          <w:szCs w:val="24"/>
          <w:lang w:val="en-IE"/>
        </w:rPr>
        <w:t>the following Chapter IX is added:</w:t>
      </w:r>
    </w:p>
    <w:p w14:paraId="6359854C" w14:textId="77777777" w:rsidR="00E54565" w:rsidRPr="004C70EC" w:rsidRDefault="00E54565" w:rsidP="00E54565">
      <w:pPr>
        <w:spacing w:line="276" w:lineRule="auto"/>
        <w:ind w:left="720"/>
        <w:jc w:val="center"/>
        <w:rPr>
          <w:b/>
          <w:bCs/>
          <w:noProof/>
          <w:color w:val="000000" w:themeColor="text1"/>
          <w:szCs w:val="24"/>
          <w:lang w:val="en-IE"/>
        </w:rPr>
      </w:pPr>
      <w:r w:rsidRPr="004C70EC">
        <w:rPr>
          <w:b/>
          <w:bCs/>
          <w:noProof/>
          <w:color w:val="000000" w:themeColor="text1"/>
          <w:szCs w:val="24"/>
          <w:lang w:val="en-IE"/>
        </w:rPr>
        <w:t xml:space="preserve">‘CHAPTER IX </w:t>
      </w:r>
    </w:p>
    <w:p w14:paraId="7C5B9736" w14:textId="77777777" w:rsidR="00E54565" w:rsidRPr="004C70EC" w:rsidRDefault="00E54565" w:rsidP="00E54565">
      <w:pPr>
        <w:spacing w:line="276" w:lineRule="auto"/>
        <w:ind w:left="720"/>
        <w:jc w:val="center"/>
        <w:rPr>
          <w:noProof/>
          <w:color w:val="000000" w:themeColor="text1"/>
          <w:szCs w:val="24"/>
          <w:lang w:val="en-IE"/>
        </w:rPr>
      </w:pPr>
      <w:r w:rsidRPr="004C70EC">
        <w:rPr>
          <w:b/>
          <w:bCs/>
          <w:noProof/>
          <w:color w:val="000000" w:themeColor="text1"/>
          <w:szCs w:val="24"/>
          <w:lang w:val="en-IE"/>
        </w:rPr>
        <w:t>REGULATORY SANDBOX</w:t>
      </w:r>
    </w:p>
    <w:p w14:paraId="60C4F451" w14:textId="77777777" w:rsidR="00E54565" w:rsidRPr="004C70EC" w:rsidRDefault="00E54565" w:rsidP="00E54565">
      <w:pPr>
        <w:pStyle w:val="Titrearticle"/>
        <w:rPr>
          <w:noProof/>
          <w:color w:val="000000" w:themeColor="text1"/>
          <w:szCs w:val="24"/>
          <w:lang w:val="en-IE"/>
        </w:rPr>
      </w:pPr>
      <w:r w:rsidRPr="004C70EC">
        <w:rPr>
          <w:iCs/>
          <w:noProof/>
          <w:color w:val="000000" w:themeColor="text1"/>
          <w:szCs w:val="24"/>
          <w:lang w:val="en-IE"/>
        </w:rPr>
        <w:t>Article 136a</w:t>
      </w:r>
    </w:p>
    <w:p w14:paraId="7EDDB172" w14:textId="77777777" w:rsidR="00E54565" w:rsidRPr="004C70EC" w:rsidRDefault="00E54565" w:rsidP="00E54565">
      <w:pPr>
        <w:jc w:val="center"/>
        <w:rPr>
          <w:b/>
          <w:bCs/>
          <w:noProof/>
          <w:color w:val="000000" w:themeColor="text1"/>
          <w:szCs w:val="24"/>
          <w:lang w:val="en-IE"/>
        </w:rPr>
      </w:pPr>
      <w:r w:rsidRPr="004C70EC">
        <w:rPr>
          <w:b/>
          <w:bCs/>
          <w:noProof/>
          <w:color w:val="000000" w:themeColor="text1"/>
          <w:szCs w:val="24"/>
          <w:lang w:val="en-IE"/>
        </w:rPr>
        <w:t>Regulatory sandbox</w:t>
      </w:r>
    </w:p>
    <w:p w14:paraId="19ED6371"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1.</w:t>
      </w:r>
      <w:r w:rsidRPr="004C70EC">
        <w:rPr>
          <w:rFonts w:eastAsia="Times New Roman"/>
          <w:noProof/>
          <w:color w:val="000000" w:themeColor="text1"/>
          <w:szCs w:val="24"/>
          <w:lang w:val="en-IE" w:eastAsia="en-GB"/>
        </w:rPr>
        <w:tab/>
        <w:t>The Commission may set up a regulatory sandbox in accordance with the procedure set out in paragraphs 2 and 4 for innovative technologies, methods or products</w:t>
      </w:r>
      <w:r w:rsidRPr="004C70EC">
        <w:rPr>
          <w:rFonts w:eastAsia="Times New Roman"/>
          <w:noProof/>
          <w:color w:val="000000" w:themeColor="text1"/>
          <w:szCs w:val="24"/>
          <w:lang w:eastAsia="en-GB"/>
        </w:rPr>
        <w:t xml:space="preserve"> </w:t>
      </w:r>
      <w:r w:rsidRPr="004C70EC">
        <w:rPr>
          <w:rFonts w:eastAsia="Times New Roman"/>
          <w:noProof/>
          <w:color w:val="000000" w:themeColor="text1"/>
          <w:szCs w:val="24"/>
          <w:lang w:val="en-IE" w:eastAsia="en-GB"/>
        </w:rPr>
        <w:t>related to animal health which are directly or indirectly related to the development, manufacturing or use of veterinary medicinal products and which are not regulated under other Union legislation, where the following conditions are met:</w:t>
      </w:r>
    </w:p>
    <w:p w14:paraId="430CB7CC" w14:textId="77777777" w:rsidR="00E54565" w:rsidRPr="004C70EC" w:rsidRDefault="00E54565" w:rsidP="00E54565">
      <w:pPr>
        <w:pStyle w:val="Point2"/>
        <w:rPr>
          <w:noProof/>
          <w:color w:val="000000" w:themeColor="text1"/>
          <w:szCs w:val="24"/>
          <w:lang w:val="en-IE" w:eastAsia="en-GB"/>
        </w:rPr>
      </w:pPr>
      <w:r w:rsidRPr="004C70EC">
        <w:rPr>
          <w:noProof/>
          <w:color w:val="000000" w:themeColor="text1"/>
          <w:szCs w:val="24"/>
          <w:lang w:val="en-IE" w:eastAsia="en-GB"/>
        </w:rPr>
        <w:t>(a)</w:t>
      </w:r>
      <w:r w:rsidRPr="004C70EC">
        <w:rPr>
          <w:noProof/>
          <w:color w:val="000000" w:themeColor="text1"/>
          <w:szCs w:val="24"/>
        </w:rPr>
        <w:tab/>
      </w:r>
      <w:r w:rsidRPr="004C70EC">
        <w:rPr>
          <w:noProof/>
          <w:color w:val="000000" w:themeColor="text1"/>
          <w:szCs w:val="24"/>
          <w:lang w:val="en-IE" w:eastAsia="en-GB"/>
        </w:rPr>
        <w:t xml:space="preserve">it can be expected that those technologies, methods or products will have a positive impact on animal health without unacceptable negative impacts on human health or the environment; </w:t>
      </w:r>
    </w:p>
    <w:p w14:paraId="59F3ED77" w14:textId="77777777" w:rsidR="00E54565" w:rsidRPr="004C70EC" w:rsidRDefault="00E54565" w:rsidP="00E54565">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noProof/>
          <w:color w:val="000000" w:themeColor="text1"/>
          <w:szCs w:val="24"/>
        </w:rPr>
        <w:tab/>
      </w:r>
      <w:r w:rsidRPr="004C70EC">
        <w:rPr>
          <w:rFonts w:eastAsia="Times New Roman"/>
          <w:noProof/>
          <w:color w:val="000000" w:themeColor="text1"/>
          <w:szCs w:val="24"/>
          <w:lang w:val="en-IE" w:eastAsia="en-GB"/>
        </w:rPr>
        <w:t>the development, placing on the market or use of the technologies, methods or products concerned</w:t>
      </w:r>
      <w:r w:rsidRPr="004C70EC">
        <w:rPr>
          <w:rFonts w:eastAsia="Times New Roman"/>
          <w:noProof/>
          <w:color w:val="000000" w:themeColor="text1"/>
          <w:szCs w:val="24"/>
          <w:lang w:eastAsia="en-GB"/>
        </w:rPr>
        <w:t xml:space="preserve"> </w:t>
      </w:r>
      <w:r w:rsidRPr="004C70EC">
        <w:rPr>
          <w:rFonts w:eastAsia="Times New Roman"/>
          <w:noProof/>
          <w:color w:val="000000" w:themeColor="text1"/>
          <w:szCs w:val="24"/>
          <w:lang w:val="en-IE" w:eastAsia="en-GB"/>
        </w:rPr>
        <w:t>is hindered by the lack of a harmonised legal framework.</w:t>
      </w:r>
    </w:p>
    <w:p w14:paraId="7DE9DEB2"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2.</w:t>
      </w:r>
      <w:r w:rsidRPr="004C70EC">
        <w:rPr>
          <w:rFonts w:eastAsia="Times New Roman"/>
          <w:noProof/>
          <w:color w:val="000000" w:themeColor="text1"/>
          <w:szCs w:val="24"/>
          <w:lang w:val="en-IE" w:eastAsia="en-GB"/>
        </w:rPr>
        <w:tab/>
        <w:t>Developers of technologies, methods or products</w:t>
      </w:r>
      <w:r w:rsidRPr="004C70EC">
        <w:rPr>
          <w:rFonts w:eastAsia="Times New Roman"/>
          <w:noProof/>
          <w:color w:val="000000" w:themeColor="text1"/>
          <w:szCs w:val="24"/>
          <w:lang w:eastAsia="en-GB"/>
        </w:rPr>
        <w:t xml:space="preserve"> </w:t>
      </w:r>
      <w:r w:rsidRPr="004C70EC">
        <w:rPr>
          <w:rFonts w:eastAsia="Times New Roman"/>
          <w:noProof/>
          <w:color w:val="000000" w:themeColor="text1"/>
          <w:szCs w:val="24"/>
          <w:lang w:val="en-IE" w:eastAsia="en-GB"/>
        </w:rPr>
        <w:t>related to animal health which are directly or indirectly related to the development, manufacturing or use of veterinary medicinal products and which are not regulated under other Union legislation may send an application to the Agency requesting the development of a regulatory sandbox.  The Agency shall assess applications received and, based on its assessment, may submit a recommendation to the Commission which shall include all of the following:</w:t>
      </w:r>
    </w:p>
    <w:p w14:paraId="10114528" w14:textId="77777777" w:rsidR="00E54565" w:rsidRPr="004C70EC" w:rsidRDefault="00E54565" w:rsidP="00E54565">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w:t>
      </w:r>
      <w:r w:rsidRPr="004C70EC">
        <w:rPr>
          <w:noProof/>
          <w:color w:val="000000" w:themeColor="text1"/>
          <w:szCs w:val="24"/>
        </w:rPr>
        <w:tab/>
      </w:r>
      <w:r w:rsidRPr="004C70EC">
        <w:rPr>
          <w:rFonts w:eastAsia="Times New Roman"/>
          <w:noProof/>
          <w:color w:val="000000" w:themeColor="text1"/>
          <w:szCs w:val="24"/>
          <w:lang w:val="en-IE" w:eastAsia="en-GB"/>
        </w:rPr>
        <w:t>a justification for the regulatory sandbox, including a description of the proposed technologies, methods or products to be included;</w:t>
      </w:r>
    </w:p>
    <w:p w14:paraId="0196D7FE" w14:textId="77777777" w:rsidR="00E54565" w:rsidRPr="004C70EC" w:rsidRDefault="00E54565" w:rsidP="00E54565">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noProof/>
          <w:color w:val="000000" w:themeColor="text1"/>
          <w:szCs w:val="24"/>
        </w:rPr>
        <w:tab/>
      </w:r>
      <w:r w:rsidRPr="004C70EC">
        <w:rPr>
          <w:rFonts w:eastAsia="Times New Roman"/>
          <w:noProof/>
          <w:color w:val="000000" w:themeColor="text1"/>
          <w:szCs w:val="24"/>
          <w:lang w:val="en-IE" w:eastAsia="en-GB"/>
        </w:rPr>
        <w:t>identification of existing regulatory challenges;</w:t>
      </w:r>
    </w:p>
    <w:p w14:paraId="12E8D131" w14:textId="77777777" w:rsidR="00E54565" w:rsidRPr="004C70EC" w:rsidRDefault="00E54565" w:rsidP="00E54565">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(c)</w:t>
      </w:r>
      <w:r w:rsidRPr="004C70EC">
        <w:rPr>
          <w:noProof/>
          <w:color w:val="000000" w:themeColor="text1"/>
          <w:szCs w:val="24"/>
        </w:rPr>
        <w:tab/>
      </w:r>
      <w:r w:rsidRPr="004C70EC">
        <w:rPr>
          <w:rFonts w:eastAsia="Times New Roman"/>
          <w:noProof/>
          <w:color w:val="000000" w:themeColor="text1"/>
          <w:szCs w:val="24"/>
          <w:lang w:val="en-IE" w:eastAsia="en-GB"/>
        </w:rPr>
        <w:t>estimation of potential benefits and potential risks to animal or human health or the environment;</w:t>
      </w:r>
    </w:p>
    <w:p w14:paraId="08ADF4D6" w14:textId="77777777" w:rsidR="00E54565" w:rsidRPr="004C70EC" w:rsidRDefault="00E54565" w:rsidP="00E54565">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(d)</w:t>
      </w:r>
      <w:r w:rsidRPr="004C70EC">
        <w:rPr>
          <w:noProof/>
          <w:color w:val="000000" w:themeColor="text1"/>
          <w:szCs w:val="24"/>
        </w:rPr>
        <w:tab/>
      </w:r>
      <w:r w:rsidRPr="004C70EC">
        <w:rPr>
          <w:rFonts w:eastAsia="Times New Roman"/>
          <w:noProof/>
          <w:color w:val="000000" w:themeColor="text1"/>
          <w:szCs w:val="24"/>
          <w:lang w:val="en-IE" w:eastAsia="en-GB"/>
        </w:rPr>
        <w:t>mapping of existing expertise available to the Agency required to address potential benefits and risks referred to in point (c).  Where no relevant expertise is readily available to the Agency, it shall present a plan on how it intends to address the points identified under point (c);</w:t>
      </w:r>
    </w:p>
    <w:p w14:paraId="14965EEB" w14:textId="77777777" w:rsidR="00E54565" w:rsidRPr="004C70EC" w:rsidRDefault="00E54565" w:rsidP="00E54565">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(e)</w:t>
      </w:r>
      <w:r w:rsidRPr="004C70EC">
        <w:rPr>
          <w:noProof/>
          <w:color w:val="000000" w:themeColor="text1"/>
          <w:szCs w:val="24"/>
        </w:rPr>
        <w:tab/>
      </w:r>
      <w:r w:rsidRPr="004C70EC">
        <w:rPr>
          <w:rFonts w:eastAsia="Times New Roman"/>
          <w:noProof/>
          <w:color w:val="000000" w:themeColor="text1"/>
          <w:szCs w:val="24"/>
          <w:lang w:val="en-IE" w:eastAsia="en-GB"/>
        </w:rPr>
        <w:t>a proposal for the duration of the regulatory sandbox.</w:t>
      </w:r>
    </w:p>
    <w:p w14:paraId="67C41CCC"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3.</w:t>
      </w:r>
      <w:r w:rsidRPr="004C70EC">
        <w:rPr>
          <w:rFonts w:eastAsia="Times New Roman"/>
          <w:noProof/>
          <w:color w:val="000000" w:themeColor="text1"/>
          <w:szCs w:val="24"/>
          <w:lang w:val="en-IE" w:eastAsia="en-GB"/>
        </w:rPr>
        <w:tab/>
        <w:t xml:space="preserve">Upon receipt of the Agency’s recommendation, the Commission shall take a decision, by means of an implementing act, in accordance with the examination procedure referred to in Article 145(2). Where the Commission agrees to the establishment of a regulatory sandbox, the implementing act shall specify the duration of the regulatory sandbox. </w:t>
      </w:r>
    </w:p>
    <w:p w14:paraId="6991A1E0"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4.</w:t>
      </w:r>
      <w:r w:rsidRPr="004C70EC">
        <w:rPr>
          <w:rFonts w:eastAsia="Times New Roman"/>
          <w:noProof/>
          <w:color w:val="000000" w:themeColor="text1"/>
          <w:szCs w:val="24"/>
          <w:lang w:val="en-IE" w:eastAsia="en-GB"/>
        </w:rPr>
        <w:tab/>
        <w:t>After a regulatory sandbox is established, the Agency shall take the following measures:</w:t>
      </w:r>
    </w:p>
    <w:p w14:paraId="12FBF5C7" w14:textId="77777777" w:rsidR="00E54565" w:rsidRPr="004C70EC" w:rsidRDefault="00E54565" w:rsidP="00E54565">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(a)</w:t>
      </w:r>
      <w:r w:rsidRPr="004C70EC">
        <w:rPr>
          <w:noProof/>
          <w:color w:val="000000" w:themeColor="text1"/>
          <w:szCs w:val="24"/>
        </w:rPr>
        <w:tab/>
      </w:r>
      <w:r w:rsidRPr="004C70EC">
        <w:rPr>
          <w:rFonts w:eastAsia="Times New Roman"/>
          <w:noProof/>
          <w:color w:val="000000" w:themeColor="text1"/>
          <w:szCs w:val="24"/>
          <w:lang w:val="en-IE" w:eastAsia="en-GB"/>
        </w:rPr>
        <w:t>develop and make publicly available technical and scientific requirements for technologies, methods or products</w:t>
      </w:r>
      <w:r w:rsidRPr="004C70EC">
        <w:rPr>
          <w:rFonts w:eastAsia="Times New Roman"/>
          <w:noProof/>
          <w:color w:val="000000" w:themeColor="text1"/>
          <w:szCs w:val="24"/>
          <w:lang w:eastAsia="en-GB"/>
        </w:rPr>
        <w:t xml:space="preserve"> </w:t>
      </w:r>
      <w:r w:rsidRPr="004C70EC">
        <w:rPr>
          <w:rFonts w:eastAsia="Times New Roman"/>
          <w:noProof/>
          <w:color w:val="000000" w:themeColor="text1"/>
          <w:szCs w:val="24"/>
          <w:lang w:val="en-IE" w:eastAsia="en-GB"/>
        </w:rPr>
        <w:t xml:space="preserve">developed under the regulatory sandbox, taking due account of the potential risks of thereof for human and animal health and the environment; </w:t>
      </w:r>
    </w:p>
    <w:p w14:paraId="6710A03E" w14:textId="77777777" w:rsidR="00E54565" w:rsidRPr="004C70EC" w:rsidRDefault="00E54565" w:rsidP="00E54565">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(b)</w:t>
      </w:r>
      <w:r w:rsidRPr="004C70EC">
        <w:rPr>
          <w:noProof/>
          <w:color w:val="000000" w:themeColor="text1"/>
          <w:szCs w:val="24"/>
        </w:rPr>
        <w:tab/>
      </w:r>
      <w:r w:rsidRPr="004C70EC">
        <w:rPr>
          <w:rFonts w:eastAsia="Times New Roman"/>
          <w:noProof/>
          <w:color w:val="000000" w:themeColor="text1"/>
          <w:szCs w:val="24"/>
          <w:lang w:val="en-IE" w:eastAsia="en-GB"/>
        </w:rPr>
        <w:t>develop rules of procedure which ensure that the confidentiality of information exchanged is maintained;</w:t>
      </w:r>
    </w:p>
    <w:p w14:paraId="03E05945" w14:textId="77777777" w:rsidR="00E54565" w:rsidRPr="004C70EC" w:rsidRDefault="00E54565" w:rsidP="00E54565">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(c)</w:t>
      </w:r>
      <w:r w:rsidRPr="004C70EC">
        <w:rPr>
          <w:noProof/>
          <w:color w:val="000000" w:themeColor="text1"/>
          <w:szCs w:val="24"/>
        </w:rPr>
        <w:tab/>
      </w:r>
      <w:r w:rsidRPr="004C70EC">
        <w:rPr>
          <w:rFonts w:eastAsia="Times New Roman"/>
          <w:noProof/>
          <w:color w:val="000000" w:themeColor="text1"/>
          <w:szCs w:val="24"/>
          <w:lang w:val="en-IE" w:eastAsia="en-GB"/>
        </w:rPr>
        <w:t>provide relevant scientific advice;</w:t>
      </w:r>
    </w:p>
    <w:p w14:paraId="50CD7160" w14:textId="77777777" w:rsidR="00E54565" w:rsidRPr="004C70EC" w:rsidRDefault="00E54565" w:rsidP="00E54565">
      <w:pPr>
        <w:pStyle w:val="Point2"/>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(d)</w:t>
      </w:r>
      <w:r w:rsidRPr="004C70EC">
        <w:rPr>
          <w:noProof/>
          <w:color w:val="000000" w:themeColor="text1"/>
          <w:szCs w:val="24"/>
        </w:rPr>
        <w:tab/>
      </w:r>
      <w:r w:rsidRPr="004C70EC">
        <w:rPr>
          <w:rFonts w:eastAsia="Times New Roman"/>
          <w:noProof/>
          <w:color w:val="000000" w:themeColor="text1"/>
          <w:szCs w:val="24"/>
          <w:lang w:val="en-IE" w:eastAsia="en-GB"/>
        </w:rPr>
        <w:t>assess the benefits and risks of technologies, methods or products</w:t>
      </w:r>
      <w:r w:rsidRPr="004C70EC">
        <w:rPr>
          <w:rFonts w:eastAsia="Times New Roman"/>
          <w:noProof/>
          <w:color w:val="000000" w:themeColor="text1"/>
          <w:szCs w:val="24"/>
          <w:lang w:eastAsia="en-GB"/>
        </w:rPr>
        <w:t xml:space="preserve"> </w:t>
      </w:r>
      <w:r w:rsidRPr="004C70EC">
        <w:rPr>
          <w:rFonts w:eastAsia="Times New Roman"/>
          <w:noProof/>
          <w:color w:val="000000" w:themeColor="text1"/>
          <w:szCs w:val="24"/>
          <w:lang w:val="en-IE" w:eastAsia="en-GB"/>
        </w:rPr>
        <w:t xml:space="preserve">developed under the regulatory sandbox and, where it considers that the benefits outweigh the risks, it shall address to the Commission a recommendation for their placing on the market or use. </w:t>
      </w:r>
    </w:p>
    <w:p w14:paraId="74834A63" w14:textId="77777777" w:rsidR="00E54565" w:rsidRPr="004C70EC" w:rsidRDefault="64F31D6C" w:rsidP="00E54565">
      <w:pPr>
        <w:pStyle w:val="Text2"/>
        <w:rPr>
          <w:noProof/>
          <w:color w:val="000000" w:themeColor="text1"/>
          <w:szCs w:val="24"/>
        </w:rPr>
      </w:pPr>
      <w:r w:rsidRPr="004C70EC">
        <w:rPr>
          <w:noProof/>
          <w:color w:val="000000" w:themeColor="text1"/>
        </w:rPr>
        <w:t>The Agency shall levy a fee from the applicants in accordance with Article 4 of Regulation (EU) 2024/568</w:t>
      </w:r>
      <w:r w:rsidR="00E54565" w:rsidRPr="004C70EC">
        <w:rPr>
          <w:rStyle w:val="FootnoteReference"/>
          <w:noProof/>
          <w:color w:val="000000" w:themeColor="text1"/>
        </w:rPr>
        <w:footnoteReference w:id="164"/>
      </w:r>
      <w:r w:rsidRPr="004C70EC">
        <w:rPr>
          <w:noProof/>
          <w:color w:val="000000" w:themeColor="text1"/>
        </w:rPr>
        <w:t xml:space="preserve"> for the activities referred to in points c) and d) of the first subparagraph.  The applicable amounts shall be published on the website of the Agency.</w:t>
      </w:r>
    </w:p>
    <w:p w14:paraId="6BC9A1FC"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5.</w:t>
      </w:r>
      <w:r w:rsidRPr="004C70EC">
        <w:rPr>
          <w:noProof/>
          <w:color w:val="000000" w:themeColor="text1"/>
          <w:szCs w:val="24"/>
        </w:rPr>
        <w:tab/>
      </w:r>
      <w:r w:rsidRPr="004C70EC">
        <w:rPr>
          <w:rFonts w:eastAsia="Times New Roman"/>
          <w:noProof/>
          <w:color w:val="000000" w:themeColor="text1"/>
          <w:szCs w:val="24"/>
          <w:lang w:val="en-IE" w:eastAsia="en-GB"/>
        </w:rPr>
        <w:t>The Commission may, by means of an implementing act, authorise the placing on the market or the use of the technologies, methods or products</w:t>
      </w:r>
      <w:r w:rsidRPr="004C70EC">
        <w:rPr>
          <w:rFonts w:eastAsia="Times New Roman"/>
          <w:noProof/>
          <w:color w:val="000000" w:themeColor="text1"/>
          <w:szCs w:val="24"/>
          <w:lang w:eastAsia="en-GB"/>
        </w:rPr>
        <w:t xml:space="preserve"> </w:t>
      </w:r>
      <w:r w:rsidRPr="004C70EC">
        <w:rPr>
          <w:rFonts w:eastAsia="Times New Roman"/>
          <w:noProof/>
          <w:color w:val="000000" w:themeColor="text1"/>
          <w:szCs w:val="24"/>
          <w:lang w:val="en-IE" w:eastAsia="en-GB"/>
        </w:rPr>
        <w:t>developed under a regulatory sandbox in accordance with the examination procedure referred to in Article 145(2).</w:t>
      </w:r>
    </w:p>
    <w:p w14:paraId="315841A6" w14:textId="77777777" w:rsidR="00E54565" w:rsidRPr="004C70EC" w:rsidRDefault="00E54565" w:rsidP="001B5499">
      <w:pPr>
        <w:pStyle w:val="Text2"/>
        <w:rPr>
          <w:noProof/>
          <w:lang w:val="en-IE" w:eastAsia="en-GB"/>
        </w:rPr>
      </w:pPr>
      <w:r w:rsidRPr="004C70EC">
        <w:rPr>
          <w:noProof/>
          <w:lang w:val="en-IE" w:eastAsia="en-GB"/>
        </w:rPr>
        <w:t>Technologies, methods or products developed under a regulatory sandbox</w:t>
      </w:r>
      <w:r w:rsidRPr="004C70EC">
        <w:rPr>
          <w:noProof/>
          <w:lang w:eastAsia="en-GB"/>
        </w:rPr>
        <w:t xml:space="preserve"> </w:t>
      </w:r>
      <w:r w:rsidRPr="004C70EC">
        <w:rPr>
          <w:noProof/>
          <w:lang w:val="en-IE" w:eastAsia="en-GB"/>
        </w:rPr>
        <w:t xml:space="preserve">shall not be placed on the market or used until they have been authorised by the Commission. </w:t>
      </w:r>
    </w:p>
    <w:p w14:paraId="21DB55F2"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6.</w:t>
      </w:r>
      <w:r w:rsidRPr="004C70EC">
        <w:rPr>
          <w:rFonts w:eastAsia="Times New Roman"/>
          <w:noProof/>
          <w:color w:val="000000" w:themeColor="text1"/>
          <w:szCs w:val="24"/>
          <w:lang w:val="en-IE" w:eastAsia="en-GB"/>
        </w:rPr>
        <w:tab/>
        <w:t>Where a serious risk to public or animal health or to the environment associated with the use of technologies, methods or products</w:t>
      </w:r>
      <w:r w:rsidRPr="004C70EC">
        <w:rPr>
          <w:rFonts w:eastAsia="Times New Roman"/>
          <w:noProof/>
          <w:color w:val="000000" w:themeColor="text1"/>
          <w:szCs w:val="24"/>
          <w:lang w:eastAsia="en-GB"/>
        </w:rPr>
        <w:t xml:space="preserve"> </w:t>
      </w:r>
      <w:r w:rsidRPr="004C70EC">
        <w:rPr>
          <w:rFonts w:eastAsia="Times New Roman"/>
          <w:noProof/>
          <w:color w:val="000000" w:themeColor="text1"/>
          <w:szCs w:val="24"/>
          <w:lang w:val="en-IE" w:eastAsia="en-GB"/>
        </w:rPr>
        <w:t>developed under   a regulatory sandbox is identified by national competent authorities, they shall swiftly inform the Agency.  Pending the adoption of a Commission decision pursuant to paragraph 8, national competent authorities may take interim measures, including the suspension of their placing on the market, the suspension of use, or recall measures.</w:t>
      </w:r>
    </w:p>
    <w:p w14:paraId="767CFA2E"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7.</w:t>
      </w:r>
      <w:r w:rsidRPr="004C70EC">
        <w:rPr>
          <w:rFonts w:eastAsia="Times New Roman"/>
          <w:noProof/>
          <w:color w:val="000000" w:themeColor="text1"/>
          <w:szCs w:val="24"/>
          <w:lang w:val="en-IE" w:eastAsia="en-GB"/>
        </w:rPr>
        <w:tab/>
        <w:t>Where the Agency is notified of a serious risk in accordance with paragraph 6, it shall swiftly assess the referred matter and, where appropriate, any possible impact for similar technologies, methods or products</w:t>
      </w:r>
      <w:r w:rsidRPr="004C70EC">
        <w:rPr>
          <w:rFonts w:eastAsia="Times New Roman"/>
          <w:noProof/>
          <w:color w:val="000000" w:themeColor="text1"/>
          <w:szCs w:val="24"/>
          <w:lang w:eastAsia="en-GB"/>
        </w:rPr>
        <w:t xml:space="preserve"> placed on the </w:t>
      </w:r>
      <w:r w:rsidRPr="004C70EC">
        <w:rPr>
          <w:rFonts w:eastAsia="Times New Roman"/>
          <w:noProof/>
          <w:color w:val="000000" w:themeColor="text1"/>
          <w:szCs w:val="24"/>
          <w:lang w:val="en-IE" w:eastAsia="en-GB"/>
        </w:rPr>
        <w:t>market which have been developed or used under a regulatory sandbox.  In its assessment, the Agency shall consider the benefits for animal health and the identified risks.</w:t>
      </w:r>
    </w:p>
    <w:p w14:paraId="3396ABAD"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8.</w:t>
      </w:r>
      <w:r w:rsidRPr="004C70EC">
        <w:rPr>
          <w:rFonts w:eastAsia="Times New Roman"/>
          <w:noProof/>
          <w:color w:val="000000" w:themeColor="text1"/>
          <w:szCs w:val="24"/>
          <w:lang w:val="en-IE" w:eastAsia="en-GB"/>
        </w:rPr>
        <w:tab/>
        <w:t>Where the assessment referred to in paragraph 7 concludes that the benefit-risk balance is negative and there are no satisfactory risk mitigation measures that can be implemented, the Agency shall recommend the suspension or withdrawal of authorisation for placing on the market or use. The Commission shall take a decision, by means of an implementing act, in accordance with the examination procedure referred to in Article 145(2).</w:t>
      </w:r>
    </w:p>
    <w:p w14:paraId="3644D428"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9.</w:t>
      </w:r>
      <w:r w:rsidRPr="004C70EC">
        <w:rPr>
          <w:noProof/>
          <w:color w:val="000000" w:themeColor="text1"/>
          <w:szCs w:val="24"/>
        </w:rPr>
        <w:tab/>
      </w:r>
      <w:r w:rsidRPr="004C70EC">
        <w:rPr>
          <w:rFonts w:eastAsia="Times New Roman"/>
          <w:noProof/>
          <w:color w:val="000000" w:themeColor="text1"/>
          <w:szCs w:val="24"/>
          <w:lang w:val="en-IE" w:eastAsia="en-GB"/>
        </w:rPr>
        <w:t>Following the assessment referred to in paragraphs 7, the Agency may recommend the Commission to put an end to the regulatory sandbox. The Agency’s recommendation shall advise on appropriate actions concerning the technologies, methods or products</w:t>
      </w:r>
      <w:r w:rsidRPr="004C70EC">
        <w:rPr>
          <w:rFonts w:eastAsia="Times New Roman"/>
          <w:noProof/>
          <w:color w:val="000000" w:themeColor="text1"/>
          <w:szCs w:val="24"/>
          <w:lang w:eastAsia="en-GB"/>
        </w:rPr>
        <w:t xml:space="preserve"> </w:t>
      </w:r>
      <w:r w:rsidRPr="004C70EC">
        <w:rPr>
          <w:rFonts w:eastAsia="Times New Roman"/>
          <w:noProof/>
          <w:color w:val="000000" w:themeColor="text1"/>
          <w:szCs w:val="24"/>
          <w:lang w:val="en-IE" w:eastAsia="en-GB"/>
        </w:rPr>
        <w:t xml:space="preserve">in development under the regulatory sandbox. The Commission may, by means of an implementing act, terminate a regulatory sandbox in accordance with the examination procedure referred to in Article 145(2). </w:t>
      </w:r>
    </w:p>
    <w:p w14:paraId="098BC0E0"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10.</w:t>
      </w:r>
      <w:r w:rsidRPr="004C70EC">
        <w:rPr>
          <w:rFonts w:eastAsia="Times New Roman"/>
          <w:noProof/>
          <w:color w:val="000000" w:themeColor="text1"/>
          <w:szCs w:val="24"/>
          <w:lang w:val="en-IE" w:eastAsia="en-GB"/>
        </w:rPr>
        <w:tab/>
        <w:t xml:space="preserve">Two years before the end of the period of validity of an established regulatory sandbox, the Agency shall submit an assessment report on the progress of the regulatory sandbox to the Commission, including recommendations for a regulatory framework after the end of the regulatory sandbox. Where appropriate, it may recommend the extension of the duration of the regulatory sandbox. </w:t>
      </w:r>
    </w:p>
    <w:p w14:paraId="517309A5" w14:textId="77777777" w:rsidR="00E54565" w:rsidRPr="004C70EC" w:rsidRDefault="00E54565" w:rsidP="00E54565">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11.</w:t>
      </w:r>
      <w:r w:rsidRPr="004C70EC">
        <w:rPr>
          <w:rFonts w:eastAsia="Times New Roman"/>
          <w:noProof/>
          <w:color w:val="000000" w:themeColor="text1"/>
          <w:szCs w:val="24"/>
          <w:lang w:val="en-IE" w:eastAsia="en-GB"/>
        </w:rPr>
        <w:tab/>
        <w:t xml:space="preserve">The Commission shall review the assessment report referred to in paragraph 10 and may take appropriate actions as regards the regulatory requirements for the marketing or use of technologies, methods or products under the scope of the regulatory sandbox after the termination thereof. Where appropriate, the Commission may extend the duration of a regulatory sandbox, by means of an implementing act, in accordance with the examination procedure referred to in Article 145(2). </w:t>
      </w:r>
    </w:p>
    <w:p w14:paraId="4545E897" w14:textId="77777777" w:rsidR="004338FC" w:rsidRPr="004C70EC" w:rsidRDefault="00E54565" w:rsidP="007A5248">
      <w:pPr>
        <w:pStyle w:val="Point1"/>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12.</w:t>
      </w:r>
      <w:r w:rsidRPr="004C70EC">
        <w:rPr>
          <w:rFonts w:eastAsia="Times New Roman"/>
          <w:noProof/>
          <w:color w:val="000000" w:themeColor="text1"/>
          <w:szCs w:val="24"/>
          <w:lang w:val="en-IE" w:eastAsia="en-GB"/>
        </w:rPr>
        <w:tab/>
        <w:t xml:space="preserve">The Agency shall keep a registry of regulatory sandboxes established in accordance with this Regulation. It shall prepare and publish each year a report on the implementation of the regulatory sandbox.’ </w:t>
      </w:r>
    </w:p>
    <w:p w14:paraId="25F8C70B" w14:textId="77777777" w:rsidR="004338FC" w:rsidRPr="004C70EC" w:rsidRDefault="004338FC" w:rsidP="00E54565">
      <w:pPr>
        <w:pStyle w:val="Point1"/>
        <w:rPr>
          <w:rFonts w:eastAsia="Times New Roman"/>
          <w:noProof/>
          <w:color w:val="000000" w:themeColor="text1"/>
          <w:szCs w:val="24"/>
          <w:lang w:val="en-IE" w:eastAsia="en-GB"/>
        </w:rPr>
      </w:pPr>
    </w:p>
    <w:p w14:paraId="53F8B0D6" w14:textId="77777777" w:rsidR="00E54565" w:rsidRPr="004C70EC" w:rsidRDefault="00E54565" w:rsidP="00E54565">
      <w:pPr>
        <w:pStyle w:val="Point0"/>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(9)</w:t>
      </w:r>
      <w:r w:rsidRPr="004C70EC">
        <w:rPr>
          <w:rFonts w:eastAsia="Times New Roman"/>
          <w:noProof/>
          <w:color w:val="000000" w:themeColor="text1"/>
          <w:szCs w:val="24"/>
          <w:lang w:val="en-IE" w:eastAsia="en-GB"/>
        </w:rPr>
        <w:tab/>
        <w:t>Article 146 is replaced by the following:</w:t>
      </w:r>
    </w:p>
    <w:p w14:paraId="06A4D24B" w14:textId="77777777" w:rsidR="00E54565" w:rsidRPr="004C70EC" w:rsidRDefault="00E54565" w:rsidP="00E54565">
      <w:pPr>
        <w:pStyle w:val="Titrearticle"/>
        <w:rPr>
          <w:rFonts w:eastAsia="Times New Roman"/>
          <w:i w:val="0"/>
          <w:iCs/>
          <w:noProof/>
          <w:color w:val="000000" w:themeColor="text1"/>
          <w:szCs w:val="24"/>
          <w:lang w:val="en-IE" w:eastAsia="en-GB"/>
        </w:rPr>
      </w:pPr>
      <w:r w:rsidRPr="004C70EC">
        <w:rPr>
          <w:rFonts w:eastAsia="Times New Roman"/>
          <w:iCs/>
          <w:noProof/>
          <w:color w:val="000000" w:themeColor="text1"/>
          <w:szCs w:val="24"/>
          <w:lang w:val="en-IE" w:eastAsia="en-GB"/>
        </w:rPr>
        <w:t>‘Article 146</w:t>
      </w:r>
    </w:p>
    <w:p w14:paraId="7C2444D5" w14:textId="77777777" w:rsidR="00E54565" w:rsidRPr="004C70EC" w:rsidRDefault="00E54565" w:rsidP="00E54565">
      <w:pPr>
        <w:jc w:val="center"/>
        <w:rPr>
          <w:rFonts w:eastAsia="Times New Roman"/>
          <w:b/>
          <w:bCs/>
          <w:noProof/>
          <w:color w:val="000000" w:themeColor="text1"/>
          <w:szCs w:val="24"/>
          <w:lang w:val="en-IE" w:eastAsia="en-GB"/>
        </w:rPr>
      </w:pPr>
      <w:r w:rsidRPr="004C70EC">
        <w:rPr>
          <w:rFonts w:eastAsia="Times New Roman"/>
          <w:b/>
          <w:bCs/>
          <w:noProof/>
          <w:color w:val="000000" w:themeColor="text1"/>
          <w:szCs w:val="24"/>
          <w:lang w:val="en-IE" w:eastAsia="en-GB"/>
        </w:rPr>
        <w:t>Amendments to Annex II</w:t>
      </w:r>
    </w:p>
    <w:p w14:paraId="1671AB6C" w14:textId="77777777" w:rsidR="00E54565" w:rsidRPr="004C70EC" w:rsidRDefault="00E54565" w:rsidP="00E54565">
      <w:pPr>
        <w:pStyle w:val="Text1"/>
        <w:rPr>
          <w:noProof/>
          <w:color w:val="000000" w:themeColor="text1"/>
          <w:szCs w:val="24"/>
          <w:lang w:val="en-IE" w:eastAsia="en-GB"/>
        </w:rPr>
      </w:pPr>
      <w:r w:rsidRPr="004C70EC">
        <w:rPr>
          <w:noProof/>
          <w:color w:val="000000" w:themeColor="text1"/>
          <w:szCs w:val="24"/>
          <w:lang w:val="en-IE" w:eastAsia="en-GB"/>
        </w:rPr>
        <w:t>‘The Commission is empowered to adopt delegated acts in accordance with Article 147(2) in order to amend Annex II to take due account of technical and scientific progress.’</w:t>
      </w:r>
    </w:p>
    <w:p w14:paraId="21CA1472" w14:textId="77777777" w:rsidR="00362B39" w:rsidRPr="004C70EC" w:rsidRDefault="00E54565" w:rsidP="0087408D">
      <w:pPr>
        <w:pStyle w:val="Point0"/>
        <w:rPr>
          <w:rFonts w:eastAsia="Times New Roman"/>
          <w:noProof/>
          <w:color w:val="000000" w:themeColor="text1"/>
          <w:szCs w:val="24"/>
          <w:lang w:val="en-IE" w:eastAsia="en-GB"/>
        </w:rPr>
      </w:pPr>
      <w:r w:rsidRPr="004C70EC">
        <w:rPr>
          <w:rFonts w:eastAsia="Times New Roman"/>
          <w:noProof/>
          <w:color w:val="000000" w:themeColor="text1"/>
          <w:szCs w:val="24"/>
          <w:lang w:val="en-IE" w:eastAsia="en-GB"/>
        </w:rPr>
        <w:t>(10)</w:t>
      </w:r>
      <w:r w:rsidRPr="004C70EC">
        <w:rPr>
          <w:noProof/>
          <w:color w:val="000000" w:themeColor="text1"/>
          <w:szCs w:val="24"/>
        </w:rPr>
        <w:tab/>
      </w:r>
      <w:r w:rsidRPr="004C70EC">
        <w:rPr>
          <w:rFonts w:eastAsia="Times New Roman"/>
          <w:noProof/>
          <w:color w:val="000000" w:themeColor="text1"/>
          <w:szCs w:val="24"/>
          <w:lang w:val="en-IE" w:eastAsia="en-GB"/>
        </w:rPr>
        <w:t>Annex II to Regulation (EU) 2019/6 is amended in accordance with Annex II</w:t>
      </w:r>
      <w:r w:rsidR="090F70AF" w:rsidRPr="004C70EC">
        <w:rPr>
          <w:rFonts w:eastAsia="Times New Roman"/>
          <w:noProof/>
          <w:color w:val="000000" w:themeColor="text1"/>
          <w:szCs w:val="24"/>
          <w:lang w:val="en-IE" w:eastAsia="en-GB"/>
        </w:rPr>
        <w:t>I</w:t>
      </w:r>
      <w:r w:rsidRPr="004C70EC">
        <w:rPr>
          <w:rFonts w:eastAsia="Times New Roman"/>
          <w:noProof/>
          <w:color w:val="000000" w:themeColor="text1"/>
          <w:szCs w:val="24"/>
          <w:lang w:val="en-IE" w:eastAsia="en-GB"/>
        </w:rPr>
        <w:t xml:space="preserve"> to this Regulation.</w:t>
      </w:r>
    </w:p>
    <w:p w14:paraId="607F1475" w14:textId="77777777" w:rsidR="00235DBA" w:rsidRPr="004C70EC" w:rsidRDefault="00235DBA" w:rsidP="00362B39">
      <w:pPr>
        <w:pStyle w:val="Titrearticle"/>
        <w:rPr>
          <w:noProof/>
          <w:color w:val="000000" w:themeColor="text1"/>
          <w:szCs w:val="24"/>
          <w:lang w:eastAsia="en-IE"/>
        </w:rPr>
      </w:pPr>
      <w:r w:rsidRPr="004C70EC">
        <w:rPr>
          <w:noProof/>
          <w:color w:val="000000" w:themeColor="text1"/>
          <w:szCs w:val="24"/>
          <w:lang w:eastAsia="en-IE"/>
        </w:rPr>
        <w:t>Article 6</w:t>
      </w:r>
      <w:r w:rsidR="00C928A7" w:rsidRPr="004C70EC">
        <w:rPr>
          <w:noProof/>
          <w:color w:val="000000" w:themeColor="text1"/>
          <w:szCs w:val="24"/>
          <w:lang w:eastAsia="en-IE"/>
        </w:rPr>
        <w:t>0</w:t>
      </w:r>
    </w:p>
    <w:p w14:paraId="0640AB71" w14:textId="77777777" w:rsidR="00235DBA" w:rsidRPr="004C70EC" w:rsidRDefault="00362B39" w:rsidP="005526AF">
      <w:pPr>
        <w:jc w:val="center"/>
        <w:rPr>
          <w:noProof/>
          <w:color w:val="000000" w:themeColor="text1"/>
          <w:szCs w:val="24"/>
          <w:lang w:eastAsia="en-IE"/>
        </w:rPr>
      </w:pPr>
      <w:r w:rsidRPr="004C70EC">
        <w:rPr>
          <w:b/>
          <w:bCs/>
          <w:noProof/>
          <w:color w:val="000000" w:themeColor="text1"/>
          <w:szCs w:val="24"/>
          <w:lang w:eastAsia="en-IE"/>
        </w:rPr>
        <w:t xml:space="preserve">Amendments to </w:t>
      </w:r>
      <w:r w:rsidR="00235DBA" w:rsidRPr="004C70EC">
        <w:rPr>
          <w:b/>
          <w:bCs/>
          <w:noProof/>
          <w:color w:val="000000" w:themeColor="text1"/>
          <w:szCs w:val="24"/>
          <w:lang w:eastAsia="en-IE"/>
        </w:rPr>
        <w:t>Regulation (EU) 2024/795</w:t>
      </w:r>
      <w:r w:rsidR="00235DBA" w:rsidRPr="004C70EC">
        <w:rPr>
          <w:noProof/>
          <w:color w:val="000000" w:themeColor="text1"/>
          <w:szCs w:val="24"/>
          <w:lang w:eastAsia="en-IE"/>
        </w:rPr>
        <w:t xml:space="preserve"> </w:t>
      </w:r>
    </w:p>
    <w:p w14:paraId="79FDC6D8" w14:textId="77777777" w:rsidR="00362B39" w:rsidRPr="004C70EC" w:rsidRDefault="00362B39" w:rsidP="00235DBA">
      <w:pPr>
        <w:rPr>
          <w:bCs/>
          <w:noProof/>
          <w:color w:val="000000" w:themeColor="text1"/>
          <w:szCs w:val="24"/>
          <w:lang w:eastAsia="en-IE"/>
        </w:rPr>
      </w:pPr>
      <w:r w:rsidRPr="004C70EC">
        <w:rPr>
          <w:noProof/>
          <w:color w:val="000000" w:themeColor="text1"/>
          <w:szCs w:val="24"/>
          <w:lang w:eastAsia="en-IE"/>
        </w:rPr>
        <w:t>Regulation (EU) 2024/795 is amended as follows:</w:t>
      </w:r>
    </w:p>
    <w:p w14:paraId="17C24089" w14:textId="77777777" w:rsidR="00235DBA" w:rsidRPr="004C70EC" w:rsidRDefault="00235DBA" w:rsidP="00235DBA">
      <w:pPr>
        <w:pStyle w:val="Point0"/>
        <w:rPr>
          <w:noProof/>
          <w:color w:val="000000" w:themeColor="text1"/>
          <w:szCs w:val="24"/>
          <w:lang w:eastAsia="en-IE"/>
        </w:rPr>
      </w:pPr>
      <w:r w:rsidRPr="004C70EC">
        <w:rPr>
          <w:bCs/>
          <w:noProof/>
          <w:color w:val="000000" w:themeColor="text1"/>
          <w:szCs w:val="24"/>
          <w:lang w:eastAsia="en-IE"/>
        </w:rPr>
        <w:t>(a)</w:t>
      </w:r>
      <w:r w:rsidRPr="004C70EC">
        <w:rPr>
          <w:bCs/>
          <w:noProof/>
          <w:color w:val="000000" w:themeColor="text1"/>
          <w:szCs w:val="24"/>
          <w:lang w:eastAsia="en-IE"/>
        </w:rPr>
        <w:tab/>
        <w:t xml:space="preserve">in Article 2, </w:t>
      </w:r>
      <w:r w:rsidR="006758B7" w:rsidRPr="004C70EC">
        <w:rPr>
          <w:bCs/>
          <w:noProof/>
          <w:color w:val="000000" w:themeColor="text1"/>
          <w:szCs w:val="24"/>
          <w:lang w:eastAsia="en-IE"/>
        </w:rPr>
        <w:t xml:space="preserve">the following </w:t>
      </w:r>
      <w:r w:rsidRPr="004C70EC">
        <w:rPr>
          <w:bCs/>
          <w:noProof/>
          <w:color w:val="000000" w:themeColor="text1"/>
          <w:szCs w:val="24"/>
          <w:lang w:eastAsia="en-IE"/>
        </w:rPr>
        <w:t xml:space="preserve">paragraph </w:t>
      </w:r>
      <w:r w:rsidRPr="004C70EC">
        <w:rPr>
          <w:noProof/>
          <w:color w:val="000000" w:themeColor="text1"/>
          <w:szCs w:val="24"/>
          <w:lang w:eastAsia="en-IE"/>
        </w:rPr>
        <w:t>9</w:t>
      </w:r>
      <w:r w:rsidRPr="004C70EC">
        <w:rPr>
          <w:bCs/>
          <w:noProof/>
          <w:color w:val="000000" w:themeColor="text1"/>
          <w:szCs w:val="24"/>
          <w:lang w:eastAsia="en-IE"/>
        </w:rPr>
        <w:t xml:space="preserve"> is added:</w:t>
      </w:r>
    </w:p>
    <w:p w14:paraId="1232892F" w14:textId="77777777" w:rsidR="00235DBA" w:rsidRPr="004C70EC" w:rsidRDefault="00235DBA" w:rsidP="00235DBA">
      <w:pPr>
        <w:pStyle w:val="Point1"/>
        <w:rPr>
          <w:noProof/>
          <w:color w:val="000000" w:themeColor="text1"/>
          <w:szCs w:val="24"/>
          <w:lang w:eastAsia="en-IE"/>
        </w:rPr>
      </w:pPr>
      <w:r w:rsidRPr="004C70EC">
        <w:rPr>
          <w:noProof/>
          <w:color w:val="000000" w:themeColor="text1"/>
          <w:szCs w:val="24"/>
          <w:lang w:eastAsia="en-IE"/>
        </w:rPr>
        <w:t>‘9.</w:t>
      </w:r>
      <w:r w:rsidRPr="004C70EC">
        <w:rPr>
          <w:noProof/>
          <w:color w:val="000000" w:themeColor="text1"/>
          <w:szCs w:val="24"/>
        </w:rPr>
        <w:tab/>
      </w:r>
      <w:r w:rsidRPr="004C70EC">
        <w:rPr>
          <w:noProof/>
          <w:color w:val="000000" w:themeColor="text1"/>
          <w:szCs w:val="24"/>
          <w:lang w:eastAsia="en-IE"/>
        </w:rPr>
        <w:t>H</w:t>
      </w:r>
      <w:r w:rsidRPr="004C70EC">
        <w:rPr>
          <w:rFonts w:eastAsia="Times New Roman"/>
          <w:noProof/>
          <w:color w:val="000000" w:themeColor="text1"/>
          <w:szCs w:val="24"/>
          <w:lang w:val="en-IE" w:eastAsia="de-DE"/>
        </w:rPr>
        <w:t>ealth</w:t>
      </w:r>
      <w:r w:rsidR="004C6F17" w:rsidRPr="004C70EC">
        <w:rPr>
          <w:rFonts w:eastAsia="Times New Roman"/>
          <w:noProof/>
          <w:color w:val="000000" w:themeColor="text1"/>
          <w:szCs w:val="24"/>
          <w:lang w:val="en-IE" w:eastAsia="de-DE"/>
        </w:rPr>
        <w:t xml:space="preserve"> </w:t>
      </w:r>
      <w:r w:rsidRPr="004C70EC">
        <w:rPr>
          <w:noProof/>
          <w:color w:val="000000" w:themeColor="text1"/>
          <w:szCs w:val="24"/>
          <w:lang w:eastAsia="en-IE"/>
        </w:rPr>
        <w:t xml:space="preserve">biotechnology strategic projects, including high-impact </w:t>
      </w:r>
      <w:r w:rsidRPr="004C70EC">
        <w:rPr>
          <w:rFonts w:eastAsia="Times New Roman"/>
          <w:noProof/>
          <w:color w:val="000000" w:themeColor="text1"/>
          <w:szCs w:val="24"/>
          <w:lang w:val="en-IE" w:eastAsia="de-DE"/>
        </w:rPr>
        <w:t xml:space="preserve">health </w:t>
      </w:r>
      <w:r w:rsidRPr="004C70EC">
        <w:rPr>
          <w:noProof/>
          <w:color w:val="000000" w:themeColor="text1"/>
          <w:szCs w:val="24"/>
          <w:lang w:eastAsia="en-IE"/>
        </w:rPr>
        <w:t xml:space="preserve">biotechnology strategic projects recognised in accordance with </w:t>
      </w:r>
      <w:bookmarkStart w:id="37" w:name="_Hlk216039583"/>
      <w:r w:rsidR="00487557" w:rsidRPr="004C70EC">
        <w:rPr>
          <w:noProof/>
          <w:color w:val="000000" w:themeColor="text1"/>
          <w:szCs w:val="24"/>
          <w:lang w:eastAsia="en-IE"/>
        </w:rPr>
        <w:t xml:space="preserve">Regulation […] </w:t>
      </w:r>
      <w:r w:rsidRPr="004C70EC">
        <w:rPr>
          <w:noProof/>
          <w:color w:val="000000" w:themeColor="text1"/>
          <w:szCs w:val="24"/>
          <w:lang w:eastAsia="en-IE"/>
        </w:rPr>
        <w:t xml:space="preserve"> </w:t>
      </w:r>
      <w:bookmarkEnd w:id="37"/>
      <w:r w:rsidRPr="004C70EC">
        <w:rPr>
          <w:noProof/>
          <w:color w:val="000000" w:themeColor="text1"/>
          <w:szCs w:val="24"/>
          <w:lang w:eastAsia="en-IE"/>
        </w:rPr>
        <w:t xml:space="preserve">[European Biotech Act ] shall be deemed to contribute to the STEP objectives referred to in paragraph 1, point (a)(iii) or point (b), as appropriate. </w:t>
      </w:r>
    </w:p>
    <w:p w14:paraId="37C59981" w14:textId="277E6AAA" w:rsidR="00400C0D" w:rsidRDefault="00235DBA" w:rsidP="00235DBA">
      <w:pPr>
        <w:pStyle w:val="Point0"/>
        <w:rPr>
          <w:noProof/>
          <w:color w:val="000000" w:themeColor="text1"/>
          <w:szCs w:val="24"/>
          <w:lang w:eastAsia="en-IE"/>
        </w:rPr>
      </w:pPr>
      <w:r w:rsidRPr="004C70EC">
        <w:rPr>
          <w:noProof/>
          <w:color w:val="000000" w:themeColor="text1"/>
          <w:szCs w:val="24"/>
          <w:lang w:eastAsia="en-IE"/>
        </w:rPr>
        <w:t>(b)</w:t>
      </w:r>
      <w:r w:rsidRPr="004C70EC">
        <w:rPr>
          <w:noProof/>
          <w:color w:val="000000" w:themeColor="text1"/>
          <w:szCs w:val="24"/>
          <w:lang w:eastAsia="en-IE"/>
        </w:rPr>
        <w:tab/>
        <w:t>in Article 4, paragraph 7 is replaced by the following:</w:t>
      </w:r>
    </w:p>
    <w:p w14:paraId="0FD2218C" w14:textId="17F39406" w:rsidR="00235DBA" w:rsidRPr="004C70EC" w:rsidRDefault="00235DBA" w:rsidP="00235DBA">
      <w:pPr>
        <w:pStyle w:val="Point1"/>
        <w:rPr>
          <w:noProof/>
          <w:color w:val="000000" w:themeColor="text1"/>
          <w:szCs w:val="24"/>
          <w:lang w:eastAsia="en-IE"/>
        </w:rPr>
      </w:pPr>
      <w:r w:rsidRPr="004C70EC">
        <w:rPr>
          <w:noProof/>
          <w:color w:val="000000" w:themeColor="text1"/>
          <w:szCs w:val="24"/>
          <w:lang w:eastAsia="en-IE"/>
        </w:rPr>
        <w:t>‘7.</w:t>
      </w:r>
      <w:r w:rsidRPr="004C70EC">
        <w:rPr>
          <w:noProof/>
          <w:color w:val="000000" w:themeColor="text1"/>
          <w:szCs w:val="24"/>
        </w:rPr>
        <w:tab/>
      </w:r>
      <w:r w:rsidRPr="004C70EC">
        <w:rPr>
          <w:noProof/>
          <w:color w:val="000000" w:themeColor="text1"/>
          <w:szCs w:val="24"/>
          <w:lang w:eastAsia="en-IE"/>
        </w:rPr>
        <w:t xml:space="preserve">Strategic projects recognised in accordance with the relevant provisions of the </w:t>
      </w:r>
      <w:r w:rsidR="003F48F1" w:rsidRPr="004C70EC">
        <w:rPr>
          <w:noProof/>
          <w:color w:val="000000" w:themeColor="text1"/>
          <w:szCs w:val="24"/>
          <w:lang w:eastAsia="en-IE"/>
        </w:rPr>
        <w:t xml:space="preserve">Regulation (EU) 2024/1735, Regulation (EU) 2024/1252, Regulation […] [Critical Medicines Act] </w:t>
      </w:r>
      <w:r w:rsidR="00BD7900" w:rsidRPr="004C70EC">
        <w:rPr>
          <w:noProof/>
          <w:color w:val="000000" w:themeColor="text1"/>
          <w:szCs w:val="24"/>
          <w:lang w:eastAsia="en-IE"/>
        </w:rPr>
        <w:t>and</w:t>
      </w:r>
      <w:r w:rsidR="003F48F1" w:rsidRPr="004C70EC">
        <w:rPr>
          <w:noProof/>
          <w:color w:val="000000" w:themeColor="text1"/>
          <w:szCs w:val="24"/>
          <w:lang w:eastAsia="en-IE"/>
        </w:rPr>
        <w:t xml:space="preserve"> </w:t>
      </w:r>
      <w:r w:rsidRPr="004C70EC">
        <w:rPr>
          <w:rFonts w:eastAsia="Times New Roman"/>
          <w:noProof/>
          <w:color w:val="000000" w:themeColor="text1"/>
          <w:szCs w:val="24"/>
          <w:lang w:val="en-IE" w:eastAsia="de-DE"/>
        </w:rPr>
        <w:t xml:space="preserve">health </w:t>
      </w:r>
      <w:r w:rsidRPr="004C70EC">
        <w:rPr>
          <w:noProof/>
          <w:color w:val="000000" w:themeColor="text1"/>
          <w:szCs w:val="24"/>
          <w:lang w:eastAsia="en-IE"/>
        </w:rPr>
        <w:t xml:space="preserve">biotechnology strategic projects, including high-impact </w:t>
      </w:r>
      <w:r w:rsidRPr="004C70EC">
        <w:rPr>
          <w:rFonts w:eastAsia="Times New Roman"/>
          <w:noProof/>
          <w:color w:val="000000" w:themeColor="text1"/>
          <w:szCs w:val="24"/>
          <w:lang w:val="en-IE" w:eastAsia="de-DE"/>
        </w:rPr>
        <w:t>health</w:t>
      </w:r>
      <w:r w:rsidRPr="004C70EC">
        <w:rPr>
          <w:noProof/>
          <w:color w:val="000000" w:themeColor="text1"/>
          <w:szCs w:val="24"/>
          <w:lang w:eastAsia="en-IE"/>
        </w:rPr>
        <w:t xml:space="preserve"> biotechnology strategic projects recognised in accordance with </w:t>
      </w:r>
      <w:r w:rsidR="00BD7900" w:rsidRPr="004C70EC">
        <w:rPr>
          <w:noProof/>
          <w:color w:val="000000" w:themeColor="text1"/>
          <w:szCs w:val="24"/>
          <w:lang w:eastAsia="en-IE"/>
        </w:rPr>
        <w:t xml:space="preserve">Regulation […]  </w:t>
      </w:r>
      <w:r w:rsidRPr="004C70EC">
        <w:rPr>
          <w:noProof/>
          <w:color w:val="000000" w:themeColor="text1"/>
          <w:szCs w:val="24"/>
          <w:lang w:eastAsia="en-IE"/>
        </w:rPr>
        <w:t>[European Biotech</w:t>
      </w:r>
      <w:r w:rsidR="00FA71D0" w:rsidRPr="004C70EC">
        <w:rPr>
          <w:noProof/>
          <w:color w:val="000000" w:themeColor="text1"/>
          <w:szCs w:val="24"/>
          <w:lang w:eastAsia="en-IE"/>
        </w:rPr>
        <w:t xml:space="preserve"> </w:t>
      </w:r>
      <w:r w:rsidRPr="004C70EC">
        <w:rPr>
          <w:noProof/>
          <w:color w:val="000000" w:themeColor="text1"/>
          <w:szCs w:val="24"/>
          <w:lang w:eastAsia="en-IE"/>
        </w:rPr>
        <w:t>Act] that fall within the scope of Article 2 of this  Regulation and that receive a contribution under the programmes referred to in Article 3 of this Regulation may also receive a contribution from any other Union programme, including funds under shared management, provided that those contributions do not cover the same costs. The rules of the relevant Union programme shall apply to the corresponding contribution to the strategic project. The cumulative funding shall not exceed the total eligible costs of the strategic project. The support from the different Union programmes may be calculated on a pro rata basis in accordance with the documents setting out the conditions for support.’;</w:t>
      </w:r>
    </w:p>
    <w:p w14:paraId="0B5DC0C5" w14:textId="77777777" w:rsidR="00235DBA" w:rsidRPr="004C70EC" w:rsidRDefault="00235DBA" w:rsidP="00235DBA">
      <w:pPr>
        <w:pStyle w:val="Point0"/>
        <w:rPr>
          <w:bCs/>
          <w:noProof/>
          <w:color w:val="000000" w:themeColor="text1"/>
          <w:szCs w:val="24"/>
          <w:lang w:eastAsia="en-IE"/>
        </w:rPr>
      </w:pPr>
      <w:r w:rsidRPr="004C70EC">
        <w:rPr>
          <w:bCs/>
          <w:noProof/>
          <w:color w:val="000000" w:themeColor="text1"/>
          <w:szCs w:val="24"/>
          <w:lang w:eastAsia="en-IE"/>
        </w:rPr>
        <w:t>(c)</w:t>
      </w:r>
      <w:r w:rsidRPr="004C70EC">
        <w:rPr>
          <w:bCs/>
          <w:noProof/>
          <w:color w:val="000000" w:themeColor="text1"/>
          <w:szCs w:val="24"/>
          <w:lang w:eastAsia="en-IE"/>
        </w:rPr>
        <w:tab/>
        <w:t>in Article 6</w:t>
      </w:r>
      <w:r w:rsidR="008631A6" w:rsidRPr="004C70EC">
        <w:rPr>
          <w:bCs/>
          <w:noProof/>
          <w:color w:val="000000" w:themeColor="text1"/>
          <w:szCs w:val="24"/>
          <w:lang w:eastAsia="en-IE"/>
        </w:rPr>
        <w:t>(</w:t>
      </w:r>
      <w:r w:rsidRPr="004C70EC">
        <w:rPr>
          <w:bCs/>
          <w:noProof/>
          <w:color w:val="000000" w:themeColor="text1"/>
          <w:szCs w:val="24"/>
          <w:lang w:eastAsia="en-IE"/>
        </w:rPr>
        <w:t>1</w:t>
      </w:r>
      <w:r w:rsidR="008631A6" w:rsidRPr="004C70EC">
        <w:rPr>
          <w:bCs/>
          <w:noProof/>
          <w:color w:val="000000" w:themeColor="text1"/>
          <w:szCs w:val="24"/>
          <w:lang w:eastAsia="en-IE"/>
        </w:rPr>
        <w:t>)</w:t>
      </w:r>
      <w:r w:rsidRPr="004C70EC">
        <w:rPr>
          <w:bCs/>
          <w:noProof/>
          <w:color w:val="000000" w:themeColor="text1"/>
          <w:szCs w:val="24"/>
          <w:lang w:eastAsia="en-IE"/>
        </w:rPr>
        <w:t xml:space="preserve">, point </w:t>
      </w:r>
      <w:r w:rsidR="008631A6" w:rsidRPr="004C70EC">
        <w:rPr>
          <w:bCs/>
          <w:noProof/>
          <w:color w:val="000000" w:themeColor="text1"/>
          <w:szCs w:val="24"/>
          <w:lang w:eastAsia="en-IE"/>
        </w:rPr>
        <w:t>(</w:t>
      </w:r>
      <w:r w:rsidRPr="004C70EC">
        <w:rPr>
          <w:bCs/>
          <w:noProof/>
          <w:color w:val="000000" w:themeColor="text1"/>
          <w:szCs w:val="24"/>
          <w:lang w:eastAsia="en-IE"/>
        </w:rPr>
        <w:t>c</w:t>
      </w:r>
      <w:r w:rsidR="008631A6" w:rsidRPr="004C70EC">
        <w:rPr>
          <w:bCs/>
          <w:noProof/>
          <w:color w:val="000000" w:themeColor="text1"/>
          <w:szCs w:val="24"/>
          <w:lang w:eastAsia="en-IE"/>
        </w:rPr>
        <w:t>)</w:t>
      </w:r>
      <w:r w:rsidRPr="004C70EC">
        <w:rPr>
          <w:bCs/>
          <w:noProof/>
          <w:color w:val="000000" w:themeColor="text1"/>
          <w:szCs w:val="24"/>
          <w:lang w:eastAsia="en-IE"/>
        </w:rPr>
        <w:t xml:space="preserve"> is replaced by the following:</w:t>
      </w:r>
    </w:p>
    <w:p w14:paraId="26B8EEEE" w14:textId="77777777" w:rsidR="00235DBA" w:rsidRPr="004C70EC" w:rsidRDefault="00235DBA" w:rsidP="00235DBA">
      <w:pPr>
        <w:pStyle w:val="Point1"/>
        <w:rPr>
          <w:rFonts w:eastAsia="Times New Roman"/>
          <w:bCs/>
          <w:noProof/>
          <w:color w:val="000000" w:themeColor="text1"/>
          <w:szCs w:val="24"/>
          <w:lang w:val="en-IE" w:eastAsia="en-IE"/>
        </w:rPr>
      </w:pPr>
      <w:r w:rsidRPr="004C70EC">
        <w:rPr>
          <w:noProof/>
          <w:color w:val="000000" w:themeColor="text1"/>
          <w:szCs w:val="24"/>
          <w:lang w:eastAsia="en-IE"/>
        </w:rPr>
        <w:t>‘(c)</w:t>
      </w:r>
      <w:r w:rsidRPr="004C70EC">
        <w:rPr>
          <w:noProof/>
          <w:color w:val="000000" w:themeColor="text1"/>
          <w:szCs w:val="24"/>
        </w:rPr>
        <w:tab/>
      </w:r>
      <w:r w:rsidRPr="004C70EC">
        <w:rPr>
          <w:noProof/>
          <w:color w:val="000000" w:themeColor="text1"/>
          <w:szCs w:val="24"/>
          <w:lang w:eastAsia="en-IE"/>
        </w:rPr>
        <w:t>details of projects that have been recognized as strategic projects under</w:t>
      </w:r>
      <w:r w:rsidR="00CE63D5" w:rsidRPr="004C70EC">
        <w:rPr>
          <w:noProof/>
          <w:color w:val="000000" w:themeColor="text1"/>
          <w:szCs w:val="24"/>
        </w:rPr>
        <w:t xml:space="preserve"> </w:t>
      </w:r>
      <w:r w:rsidR="00CE63D5" w:rsidRPr="004C70EC">
        <w:rPr>
          <w:noProof/>
          <w:color w:val="000000" w:themeColor="text1"/>
          <w:szCs w:val="24"/>
          <w:lang w:eastAsia="en-IE"/>
        </w:rPr>
        <w:t xml:space="preserve">Regulation (EU) 2024/1735, Regulation (EU) 2024/1252 and Regulation </w:t>
      </w:r>
      <w:r w:rsidR="00CE63D5" w:rsidRPr="004C70EC">
        <w:rPr>
          <w:noProof/>
          <w:color w:val="000000" w:themeColor="text1"/>
          <w:lang w:eastAsia="en-IE"/>
        </w:rPr>
        <w:t>[…]</w:t>
      </w:r>
      <w:r w:rsidR="00C552AF" w:rsidRPr="004C70EC">
        <w:rPr>
          <w:noProof/>
          <w:color w:val="000000" w:themeColor="text1"/>
          <w:lang w:eastAsia="en-IE"/>
        </w:rPr>
        <w:t xml:space="preserve"> [Critical Medicines Act] </w:t>
      </w:r>
      <w:r w:rsidRPr="004C70EC">
        <w:rPr>
          <w:bCs/>
          <w:noProof/>
          <w:color w:val="000000" w:themeColor="text1"/>
          <w:szCs w:val="24"/>
          <w:lang w:eastAsia="en-IE"/>
        </w:rPr>
        <w:t xml:space="preserve">and as </w:t>
      </w:r>
      <w:r w:rsidRPr="004C70EC">
        <w:rPr>
          <w:rFonts w:eastAsia="Times New Roman"/>
          <w:bCs/>
          <w:noProof/>
          <w:color w:val="000000" w:themeColor="text1"/>
          <w:szCs w:val="24"/>
          <w:lang w:val="en-IE" w:eastAsia="de-DE"/>
        </w:rPr>
        <w:t xml:space="preserve">health </w:t>
      </w:r>
      <w:r w:rsidRPr="004C70EC">
        <w:rPr>
          <w:bCs/>
          <w:noProof/>
          <w:color w:val="000000" w:themeColor="text1"/>
          <w:szCs w:val="24"/>
          <w:lang w:eastAsia="en-IE"/>
        </w:rPr>
        <w:t xml:space="preserve">biotechnology strategic projects, including as high-impact </w:t>
      </w:r>
      <w:r w:rsidRPr="004C70EC">
        <w:rPr>
          <w:rFonts w:eastAsia="Times New Roman"/>
          <w:bCs/>
          <w:noProof/>
          <w:color w:val="000000" w:themeColor="text1"/>
          <w:szCs w:val="24"/>
          <w:lang w:val="en-IE" w:eastAsia="de-DE"/>
        </w:rPr>
        <w:t xml:space="preserve">health </w:t>
      </w:r>
      <w:r w:rsidRPr="004C70EC">
        <w:rPr>
          <w:bCs/>
          <w:noProof/>
          <w:color w:val="000000" w:themeColor="text1"/>
          <w:szCs w:val="24"/>
          <w:lang w:eastAsia="en-IE"/>
        </w:rPr>
        <w:t xml:space="preserve">biotechnology strategic projects under </w:t>
      </w:r>
      <w:r w:rsidR="00C552AF" w:rsidRPr="004C70EC">
        <w:rPr>
          <w:bCs/>
          <w:noProof/>
          <w:color w:val="000000" w:themeColor="text1"/>
          <w:szCs w:val="24"/>
          <w:lang w:eastAsia="en-IE"/>
        </w:rPr>
        <w:t xml:space="preserve">Regulation </w:t>
      </w:r>
      <w:r w:rsidR="00C552AF" w:rsidRPr="004C70EC">
        <w:rPr>
          <w:noProof/>
          <w:color w:val="000000" w:themeColor="text1"/>
          <w:szCs w:val="24"/>
          <w:lang w:eastAsia="en-IE"/>
        </w:rPr>
        <w:t xml:space="preserve">[…] </w:t>
      </w:r>
      <w:r w:rsidRPr="004C70EC">
        <w:rPr>
          <w:bCs/>
          <w:noProof/>
          <w:color w:val="000000" w:themeColor="text1"/>
          <w:szCs w:val="24"/>
          <w:lang w:eastAsia="en-IE"/>
        </w:rPr>
        <w:t>[European Biotech Act], to the extent that they fall within the scope of Article 2 of this Regulation.’.</w:t>
      </w:r>
    </w:p>
    <w:p w14:paraId="1FB2DE21" w14:textId="77777777" w:rsidR="00273F36" w:rsidRPr="004C70EC" w:rsidRDefault="00273F36" w:rsidP="002A7E61">
      <w:pPr>
        <w:pStyle w:val="Titrearticle"/>
        <w:rPr>
          <w:rFonts w:eastAsiaTheme="majorEastAsia"/>
          <w:i w:val="0"/>
          <w:iCs/>
          <w:noProof/>
          <w:color w:val="000000" w:themeColor="text1"/>
          <w:szCs w:val="24"/>
          <w:lang w:eastAsia="en-IE"/>
        </w:rPr>
      </w:pPr>
      <w:r w:rsidRPr="004C70EC">
        <w:rPr>
          <w:rFonts w:eastAsiaTheme="majorEastAsia"/>
          <w:iCs/>
          <w:noProof/>
          <w:color w:val="000000" w:themeColor="text1"/>
          <w:szCs w:val="24"/>
          <w:lang w:eastAsia="en-IE"/>
        </w:rPr>
        <w:t xml:space="preserve">Article </w:t>
      </w:r>
      <w:r w:rsidR="008C73C8" w:rsidRPr="004C70EC">
        <w:rPr>
          <w:rFonts w:eastAsiaTheme="majorEastAsia"/>
          <w:iCs/>
          <w:noProof/>
          <w:color w:val="000000" w:themeColor="text1"/>
          <w:szCs w:val="24"/>
          <w:lang w:eastAsia="en-IE"/>
        </w:rPr>
        <w:t>6</w:t>
      </w:r>
      <w:r w:rsidR="00A42530" w:rsidRPr="004C70EC">
        <w:rPr>
          <w:rFonts w:eastAsiaTheme="majorEastAsia"/>
          <w:iCs/>
          <w:noProof/>
          <w:color w:val="000000" w:themeColor="text1"/>
          <w:szCs w:val="24"/>
          <w:lang w:eastAsia="en-IE"/>
        </w:rPr>
        <w:t>1</w:t>
      </w:r>
    </w:p>
    <w:p w14:paraId="2C005E46" w14:textId="77777777" w:rsidR="00273F36" w:rsidRPr="004C70EC" w:rsidRDefault="00273F36" w:rsidP="002A7E61">
      <w:pPr>
        <w:keepNext/>
        <w:keepLines/>
        <w:spacing w:before="360" w:after="80" w:line="279" w:lineRule="auto"/>
        <w:jc w:val="center"/>
        <w:outlineLvl w:val="0"/>
        <w:rPr>
          <w:rFonts w:eastAsiaTheme="majorEastAsia"/>
          <w:b/>
          <w:bCs/>
          <w:noProof/>
          <w:color w:val="000000" w:themeColor="text1"/>
          <w:kern w:val="2"/>
          <w:szCs w:val="24"/>
          <w14:ligatures w14:val="standardContextual"/>
        </w:rPr>
      </w:pPr>
      <w:r w:rsidRPr="004C70EC">
        <w:rPr>
          <w:rFonts w:eastAsiaTheme="majorEastAsia"/>
          <w:b/>
          <w:bCs/>
          <w:noProof/>
          <w:color w:val="000000" w:themeColor="text1"/>
          <w:kern w:val="2"/>
          <w:szCs w:val="24"/>
          <w14:ligatures w14:val="standardContextual"/>
        </w:rPr>
        <w:t>Amendment to Regulation (EU) 2024/1938</w:t>
      </w:r>
    </w:p>
    <w:p w14:paraId="252D6572" w14:textId="77777777" w:rsidR="00273F36" w:rsidRPr="004C70EC" w:rsidRDefault="00273F36" w:rsidP="00273F36">
      <w:pPr>
        <w:spacing w:before="0" w:after="0"/>
        <w:rPr>
          <w:rFonts w:eastAsiaTheme="majorEastAsia"/>
          <w:noProof/>
          <w:color w:val="000000" w:themeColor="text1"/>
          <w:szCs w:val="24"/>
          <w:lang w:eastAsia="en-IE"/>
        </w:rPr>
      </w:pPr>
      <w:r w:rsidRPr="004C70EC">
        <w:rPr>
          <w:rFonts w:eastAsiaTheme="majorEastAsia"/>
          <w:noProof/>
          <w:color w:val="000000" w:themeColor="text1"/>
          <w:szCs w:val="24"/>
          <w:lang w:eastAsia="en-IE"/>
        </w:rPr>
        <w:t xml:space="preserve">Regulation (EU) 2024/1938 is amended as follows: </w:t>
      </w:r>
    </w:p>
    <w:p w14:paraId="59997ADD" w14:textId="77777777" w:rsidR="002A22E8" w:rsidRPr="004C70EC" w:rsidRDefault="00273F36" w:rsidP="002A22E8">
      <w:pPr>
        <w:pStyle w:val="Point0"/>
        <w:rPr>
          <w:rFonts w:eastAsiaTheme="majorEastAsia"/>
          <w:noProof/>
          <w:color w:val="000000" w:themeColor="text1"/>
          <w:szCs w:val="24"/>
          <w:lang w:eastAsia="en-IE"/>
        </w:rPr>
      </w:pPr>
      <w:r w:rsidRPr="004C70EC">
        <w:rPr>
          <w:rFonts w:eastAsiaTheme="majorEastAsia"/>
          <w:noProof/>
          <w:color w:val="000000" w:themeColor="text1"/>
          <w:szCs w:val="24"/>
          <w:lang w:eastAsia="en-IE"/>
        </w:rPr>
        <w:t>(1)</w:t>
      </w:r>
      <w:r w:rsidR="005D2C60" w:rsidRPr="004C70EC">
        <w:rPr>
          <w:noProof/>
          <w:color w:val="000000" w:themeColor="text1"/>
          <w:szCs w:val="24"/>
        </w:rPr>
        <w:tab/>
      </w:r>
      <w:r w:rsidR="002A22E8" w:rsidRPr="004C70EC">
        <w:rPr>
          <w:rFonts w:eastAsiaTheme="majorEastAsia"/>
          <w:noProof/>
          <w:color w:val="000000" w:themeColor="text1"/>
          <w:szCs w:val="24"/>
          <w:lang w:eastAsia="en-IE"/>
        </w:rPr>
        <w:t xml:space="preserve">In Article 3, </w:t>
      </w:r>
      <w:r w:rsidR="73BF2AE0" w:rsidRPr="004C70EC">
        <w:rPr>
          <w:rFonts w:eastAsiaTheme="majorEastAsia"/>
          <w:noProof/>
          <w:color w:val="000000" w:themeColor="text1"/>
          <w:szCs w:val="24"/>
          <w:lang w:eastAsia="en-IE"/>
        </w:rPr>
        <w:t xml:space="preserve">the following </w:t>
      </w:r>
      <w:r w:rsidR="002A22E8" w:rsidRPr="004C70EC">
        <w:rPr>
          <w:rFonts w:eastAsiaTheme="majorEastAsia"/>
          <w:noProof/>
          <w:color w:val="000000" w:themeColor="text1"/>
          <w:szCs w:val="24"/>
          <w:lang w:eastAsia="en-IE"/>
        </w:rPr>
        <w:t>point (60) is added:</w:t>
      </w:r>
    </w:p>
    <w:p w14:paraId="700B4FD1" w14:textId="77777777" w:rsidR="002A22E8" w:rsidRPr="004C70EC" w:rsidRDefault="002A22E8" w:rsidP="00F425DC">
      <w:pPr>
        <w:pStyle w:val="Point1"/>
        <w:rPr>
          <w:noProof/>
          <w:color w:val="000000" w:themeColor="text1"/>
          <w:szCs w:val="24"/>
          <w:lang w:eastAsia="en-IE"/>
        </w:rPr>
      </w:pPr>
      <w:r w:rsidRPr="004C70EC">
        <w:rPr>
          <w:noProof/>
          <w:color w:val="000000" w:themeColor="text1"/>
          <w:szCs w:val="24"/>
          <w:lang w:eastAsia="en-IE"/>
        </w:rPr>
        <w:t>‘(60)</w:t>
      </w:r>
      <w:r w:rsidR="00F425DC" w:rsidRPr="004C70EC">
        <w:rPr>
          <w:noProof/>
          <w:color w:val="000000" w:themeColor="text1"/>
          <w:szCs w:val="24"/>
        </w:rPr>
        <w:tab/>
      </w:r>
      <w:r w:rsidRPr="004C70EC">
        <w:rPr>
          <w:noProof/>
          <w:color w:val="000000" w:themeColor="text1"/>
          <w:szCs w:val="24"/>
          <w:lang w:eastAsia="en-IE"/>
        </w:rPr>
        <w:t xml:space="preserve">‘regulatory sandbox’ means a regulatory </w:t>
      </w:r>
      <w:r w:rsidR="41CCCE86" w:rsidRPr="004C70EC">
        <w:rPr>
          <w:noProof/>
          <w:color w:val="000000" w:themeColor="text1"/>
          <w:szCs w:val="24"/>
          <w:lang w:eastAsia="en-IE"/>
        </w:rPr>
        <w:t>framework</w:t>
      </w:r>
      <w:r w:rsidRPr="004C70EC">
        <w:rPr>
          <w:noProof/>
          <w:color w:val="000000" w:themeColor="text1"/>
          <w:szCs w:val="24"/>
          <w:lang w:eastAsia="en-IE"/>
        </w:rPr>
        <w:t xml:space="preserve"> which allows to develop, </w:t>
      </w:r>
      <w:r w:rsidR="19EFADFE" w:rsidRPr="004C70EC">
        <w:rPr>
          <w:noProof/>
          <w:color w:val="000000" w:themeColor="text1"/>
          <w:szCs w:val="24"/>
          <w:lang w:eastAsia="en-IE"/>
        </w:rPr>
        <w:t>assess</w:t>
      </w:r>
      <w:r w:rsidRPr="004C70EC">
        <w:rPr>
          <w:noProof/>
          <w:color w:val="000000" w:themeColor="text1"/>
          <w:szCs w:val="24"/>
          <w:lang w:eastAsia="en-IE"/>
        </w:rPr>
        <w:t xml:space="preserve"> and test innovative or adapted regulatory solutions within a controlled environment</w:t>
      </w:r>
      <w:r w:rsidR="7859D29F" w:rsidRPr="004C70EC">
        <w:rPr>
          <w:noProof/>
          <w:color w:val="000000" w:themeColor="text1"/>
          <w:szCs w:val="24"/>
          <w:lang w:eastAsia="en-IE"/>
        </w:rPr>
        <w:t xml:space="preserve"> pursuant to a specific plan, for a limited time and under regulatory supervision and which</w:t>
      </w:r>
      <w:r w:rsidRPr="004C70EC">
        <w:rPr>
          <w:noProof/>
          <w:color w:val="000000" w:themeColor="text1"/>
          <w:szCs w:val="24"/>
          <w:lang w:eastAsia="en-IE"/>
        </w:rPr>
        <w:t xml:space="preserve"> facilitates the development, assessment, authori</w:t>
      </w:r>
      <w:r w:rsidR="1492D0D6" w:rsidRPr="004C70EC">
        <w:rPr>
          <w:noProof/>
          <w:color w:val="000000" w:themeColor="text1"/>
          <w:szCs w:val="24"/>
          <w:lang w:eastAsia="en-IE"/>
        </w:rPr>
        <w:t>s</w:t>
      </w:r>
      <w:r w:rsidRPr="004C70EC">
        <w:rPr>
          <w:noProof/>
          <w:color w:val="000000" w:themeColor="text1"/>
          <w:szCs w:val="24"/>
          <w:lang w:eastAsia="en-IE"/>
        </w:rPr>
        <w:t xml:space="preserve">ation or monitoring of innovative activities or substances which are likely to fall </w:t>
      </w:r>
      <w:r w:rsidR="39055CEC" w:rsidRPr="004C70EC">
        <w:rPr>
          <w:noProof/>
          <w:color w:val="000000" w:themeColor="text1"/>
          <w:szCs w:val="24"/>
          <w:lang w:eastAsia="en-IE"/>
        </w:rPr>
        <w:t>with</w:t>
      </w:r>
      <w:r w:rsidRPr="004C70EC">
        <w:rPr>
          <w:noProof/>
          <w:color w:val="000000" w:themeColor="text1"/>
          <w:szCs w:val="24"/>
          <w:lang w:eastAsia="en-IE"/>
        </w:rPr>
        <w:t>in the scope of this Regulation</w:t>
      </w:r>
      <w:r w:rsidR="74D35701" w:rsidRPr="004C70EC">
        <w:rPr>
          <w:noProof/>
          <w:color w:val="000000" w:themeColor="text1"/>
          <w:szCs w:val="24"/>
          <w:lang w:eastAsia="en-IE"/>
        </w:rPr>
        <w:t>.</w:t>
      </w:r>
      <w:r w:rsidRPr="004C70EC">
        <w:rPr>
          <w:noProof/>
          <w:color w:val="000000" w:themeColor="text1"/>
          <w:szCs w:val="24"/>
          <w:lang w:eastAsia="en-IE"/>
        </w:rPr>
        <w:t>’</w:t>
      </w:r>
    </w:p>
    <w:p w14:paraId="7D01F577" w14:textId="77777777" w:rsidR="00273F36" w:rsidRPr="004C70EC" w:rsidRDefault="002A22E8" w:rsidP="005D2C60">
      <w:pPr>
        <w:pStyle w:val="Point0"/>
        <w:rPr>
          <w:rFonts w:eastAsiaTheme="majorEastAsia"/>
          <w:noProof/>
          <w:color w:val="000000" w:themeColor="text1"/>
          <w:szCs w:val="24"/>
          <w:lang w:eastAsia="en-IE"/>
        </w:rPr>
      </w:pPr>
      <w:r w:rsidRPr="004C70EC">
        <w:rPr>
          <w:rFonts w:eastAsiaTheme="majorEastAsia"/>
          <w:noProof/>
          <w:color w:val="000000" w:themeColor="text1"/>
          <w:szCs w:val="24"/>
          <w:lang w:eastAsia="en-IE"/>
        </w:rPr>
        <w:t>(2)</w:t>
      </w:r>
      <w:r w:rsidRPr="004C70EC">
        <w:rPr>
          <w:rFonts w:eastAsiaTheme="majorEastAsia"/>
          <w:noProof/>
          <w:color w:val="000000" w:themeColor="text1"/>
          <w:szCs w:val="24"/>
          <w:lang w:eastAsia="en-IE"/>
        </w:rPr>
        <w:tab/>
      </w:r>
      <w:r w:rsidR="00273F36" w:rsidRPr="004C70EC">
        <w:rPr>
          <w:rFonts w:eastAsiaTheme="majorEastAsia"/>
          <w:noProof/>
          <w:color w:val="000000" w:themeColor="text1"/>
          <w:szCs w:val="24"/>
          <w:lang w:eastAsia="en-IE"/>
        </w:rPr>
        <w:t>in Article 13, the following paragraph 3a is inserted:</w:t>
      </w:r>
    </w:p>
    <w:p w14:paraId="4F32CFD7" w14:textId="77777777" w:rsidR="00273F36" w:rsidRPr="004C70EC" w:rsidRDefault="00273F36" w:rsidP="005D2C60">
      <w:pPr>
        <w:pStyle w:val="Point1"/>
        <w:rPr>
          <w:rFonts w:eastAsiaTheme="majorEastAsia"/>
          <w:noProof/>
          <w:color w:val="000000" w:themeColor="text1"/>
          <w:szCs w:val="24"/>
          <w:lang w:eastAsia="en-IE"/>
        </w:rPr>
      </w:pPr>
      <w:r w:rsidRPr="004C70EC">
        <w:rPr>
          <w:rFonts w:eastAsiaTheme="majorEastAsia"/>
          <w:noProof/>
          <w:color w:val="000000" w:themeColor="text1"/>
          <w:szCs w:val="24"/>
          <w:lang w:eastAsia="en-IE"/>
        </w:rPr>
        <w:t>‘3a.</w:t>
      </w:r>
      <w:r w:rsidR="005D2C60" w:rsidRPr="004C70EC">
        <w:rPr>
          <w:noProof/>
          <w:color w:val="000000" w:themeColor="text1"/>
          <w:szCs w:val="24"/>
        </w:rPr>
        <w:tab/>
      </w:r>
      <w:r w:rsidRPr="004C70EC">
        <w:rPr>
          <w:rFonts w:eastAsiaTheme="majorEastAsia"/>
          <w:noProof/>
          <w:color w:val="000000" w:themeColor="text1"/>
          <w:szCs w:val="24"/>
          <w:lang w:eastAsia="en-IE"/>
        </w:rPr>
        <w:t xml:space="preserve">The Commission may adopt implementing acts, setting out time limits for </w:t>
      </w:r>
      <w:r w:rsidRPr="004C70EC" w:rsidDel="00273F36">
        <w:rPr>
          <w:rFonts w:eastAsiaTheme="majorEastAsia"/>
          <w:noProof/>
          <w:color w:val="000000" w:themeColor="text1"/>
          <w:szCs w:val="24"/>
          <w:lang w:eastAsia="en-IE"/>
        </w:rPr>
        <w:t>the</w:t>
      </w:r>
      <w:r w:rsidRPr="004C70EC">
        <w:rPr>
          <w:rFonts w:eastAsiaTheme="majorEastAsia"/>
          <w:noProof/>
          <w:color w:val="000000" w:themeColor="text1"/>
          <w:szCs w:val="24"/>
          <w:lang w:eastAsia="en-IE"/>
        </w:rPr>
        <w:t xml:space="preserve"> provision, by the competent authorities consulted in accordance with paragraph 2, of a reply on the regulatory status of a substance, product or activity.</w:t>
      </w:r>
    </w:p>
    <w:p w14:paraId="6B5C3D73" w14:textId="77777777" w:rsidR="00273F36" w:rsidRPr="004C70EC" w:rsidRDefault="00273F36" w:rsidP="00310F11">
      <w:pPr>
        <w:pStyle w:val="Text1"/>
        <w:rPr>
          <w:noProof/>
          <w:color w:val="000000" w:themeColor="text1"/>
          <w:szCs w:val="24"/>
          <w:lang w:eastAsia="en-IE"/>
        </w:rPr>
      </w:pPr>
      <w:r w:rsidRPr="004C70EC">
        <w:rPr>
          <w:noProof/>
          <w:color w:val="000000" w:themeColor="text1"/>
          <w:szCs w:val="24"/>
          <w:lang w:eastAsia="en-IE"/>
        </w:rPr>
        <w:t>Those implementing acts shall be adopted in accordance with the examination procedure referred to in Article 79(2).’</w:t>
      </w:r>
    </w:p>
    <w:p w14:paraId="4CAE5685" w14:textId="77777777" w:rsidR="00273F36" w:rsidRPr="004C70EC" w:rsidRDefault="00273F36" w:rsidP="00310F11">
      <w:pPr>
        <w:pStyle w:val="Point0"/>
        <w:rPr>
          <w:rFonts w:eastAsiaTheme="majorEastAsia"/>
          <w:noProof/>
          <w:color w:val="000000" w:themeColor="text1"/>
          <w:szCs w:val="24"/>
          <w:lang w:eastAsia="en-IE"/>
        </w:rPr>
      </w:pPr>
      <w:r w:rsidRPr="004C70EC">
        <w:rPr>
          <w:rFonts w:eastAsiaTheme="majorEastAsia"/>
          <w:noProof/>
          <w:color w:val="000000" w:themeColor="text1"/>
          <w:szCs w:val="24"/>
          <w:lang w:eastAsia="en-IE"/>
        </w:rPr>
        <w:t>(</w:t>
      </w:r>
      <w:r w:rsidR="002A22E8" w:rsidRPr="004C70EC">
        <w:rPr>
          <w:rFonts w:eastAsiaTheme="majorEastAsia"/>
          <w:noProof/>
          <w:color w:val="000000" w:themeColor="text1"/>
          <w:szCs w:val="24"/>
          <w:lang w:eastAsia="en-IE"/>
        </w:rPr>
        <w:t>3</w:t>
      </w:r>
      <w:r w:rsidRPr="004C70EC">
        <w:rPr>
          <w:rFonts w:eastAsiaTheme="majorEastAsia"/>
          <w:noProof/>
          <w:color w:val="000000" w:themeColor="text1"/>
          <w:szCs w:val="24"/>
          <w:lang w:eastAsia="en-IE"/>
        </w:rPr>
        <w:t>)</w:t>
      </w:r>
      <w:r w:rsidRPr="004C70EC">
        <w:rPr>
          <w:rFonts w:eastAsiaTheme="majorEastAsia"/>
          <w:noProof/>
          <w:color w:val="000000" w:themeColor="text1"/>
          <w:szCs w:val="24"/>
          <w:lang w:eastAsia="en-IE"/>
        </w:rPr>
        <w:tab/>
        <w:t>in Article 69(2), the first subparagraph is replaced by the following:</w:t>
      </w:r>
    </w:p>
    <w:p w14:paraId="5739FBF7" w14:textId="77777777" w:rsidR="00273F36" w:rsidRPr="004C70EC" w:rsidRDefault="00273F36" w:rsidP="1670ACC5">
      <w:pPr>
        <w:pStyle w:val="Text1"/>
        <w:rPr>
          <w:rFonts w:eastAsiaTheme="majorEastAsia"/>
          <w:noProof/>
          <w:color w:val="000000" w:themeColor="text1"/>
          <w:szCs w:val="24"/>
          <w:lang w:val="en-IE" w:eastAsia="en-IE"/>
        </w:rPr>
      </w:pPr>
      <w:r w:rsidRPr="004C70EC">
        <w:rPr>
          <w:rFonts w:eastAsiaTheme="majorEastAsia"/>
          <w:noProof/>
          <w:color w:val="000000" w:themeColor="text1"/>
          <w:szCs w:val="24"/>
          <w:lang w:val="en-IE" w:eastAsia="en-IE"/>
        </w:rPr>
        <w:t xml:space="preserve">‘The Commission may adopt implementing acts setting out time limits for the SCB, </w:t>
      </w:r>
      <w:r w:rsidR="5666C701" w:rsidRPr="004C70EC">
        <w:rPr>
          <w:rFonts w:eastAsiaTheme="majorEastAsia"/>
          <w:noProof/>
          <w:color w:val="000000" w:themeColor="text1"/>
          <w:szCs w:val="24"/>
          <w:lang w:val="en-IE" w:eastAsia="en-IE"/>
        </w:rPr>
        <w:t>to issue its</w:t>
      </w:r>
      <w:r w:rsidRPr="004C70EC">
        <w:rPr>
          <w:rFonts w:eastAsiaTheme="majorEastAsia"/>
          <w:noProof/>
          <w:color w:val="000000" w:themeColor="text1"/>
          <w:szCs w:val="24"/>
          <w:lang w:val="en-IE" w:eastAsia="en-IE"/>
        </w:rPr>
        <w:t xml:space="preserve"> opinions</w:t>
      </w:r>
      <w:r w:rsidR="007D439B" w:rsidRPr="004C70EC">
        <w:rPr>
          <w:rFonts w:eastAsiaTheme="majorEastAsia"/>
          <w:noProof/>
          <w:color w:val="000000" w:themeColor="text1"/>
          <w:szCs w:val="24"/>
          <w:lang w:val="en-IE" w:eastAsia="en-IE"/>
        </w:rPr>
        <w:t xml:space="preserve"> </w:t>
      </w:r>
      <w:r w:rsidRPr="004C70EC">
        <w:rPr>
          <w:rFonts w:eastAsiaTheme="majorEastAsia"/>
          <w:noProof/>
          <w:color w:val="000000" w:themeColor="text1"/>
          <w:szCs w:val="24"/>
          <w:lang w:val="en-IE" w:eastAsia="en-IE"/>
        </w:rPr>
        <w:t>on the regulatory status of a substance, product or activity</w:t>
      </w:r>
      <w:r w:rsidR="19E85FB2" w:rsidRPr="004C70EC">
        <w:rPr>
          <w:rFonts w:eastAsiaTheme="majorEastAsia"/>
          <w:noProof/>
          <w:color w:val="000000" w:themeColor="text1"/>
          <w:szCs w:val="24"/>
          <w:lang w:val="en-IE" w:eastAsia="en-IE"/>
        </w:rPr>
        <w:t>, in accordance with Article 13(3), first subparagraph.</w:t>
      </w:r>
      <w:r w:rsidRPr="004C70EC">
        <w:rPr>
          <w:rFonts w:eastAsiaTheme="majorEastAsia"/>
          <w:noProof/>
          <w:color w:val="000000" w:themeColor="text1"/>
          <w:szCs w:val="24"/>
          <w:lang w:val="en-IE" w:eastAsia="en-IE"/>
        </w:rPr>
        <w:t xml:space="preserve"> </w:t>
      </w:r>
    </w:p>
    <w:p w14:paraId="66840FCA" w14:textId="77777777" w:rsidR="00273F36" w:rsidRPr="004C70EC" w:rsidRDefault="482E289E" w:rsidP="00310F11">
      <w:pPr>
        <w:pStyle w:val="Text1"/>
        <w:rPr>
          <w:rFonts w:eastAsiaTheme="majorEastAsia"/>
          <w:noProof/>
          <w:color w:val="000000" w:themeColor="text1"/>
          <w:szCs w:val="24"/>
          <w:lang w:val="en-IE" w:eastAsia="en-IE"/>
        </w:rPr>
      </w:pPr>
      <w:r w:rsidRPr="004C70EC">
        <w:rPr>
          <w:rFonts w:eastAsiaTheme="majorEastAsia"/>
          <w:noProof/>
          <w:color w:val="000000" w:themeColor="text1"/>
          <w:szCs w:val="24"/>
          <w:lang w:val="en-IE" w:eastAsia="en-IE"/>
        </w:rPr>
        <w:t>The Commission may adopt implementing acts setting out</w:t>
      </w:r>
      <w:r w:rsidR="00273F36" w:rsidRPr="004C70EC">
        <w:rPr>
          <w:rFonts w:eastAsiaTheme="majorEastAsia"/>
          <w:noProof/>
          <w:color w:val="000000" w:themeColor="text1"/>
          <w:szCs w:val="24"/>
          <w:lang w:val="en-IE" w:eastAsia="en-IE"/>
        </w:rPr>
        <w:t xml:space="preserve"> criteria and procedures for the consultation of advisory bodies established under other relevant Union legislation in relation to the performance of the SCB tasks, including time limits for those bodies </w:t>
      </w:r>
      <w:r w:rsidR="58EED3E4" w:rsidRPr="004C70EC">
        <w:rPr>
          <w:rFonts w:eastAsiaTheme="majorEastAsia"/>
          <w:noProof/>
          <w:color w:val="000000" w:themeColor="text1"/>
          <w:szCs w:val="24"/>
          <w:lang w:val="en-IE" w:eastAsia="en-IE"/>
        </w:rPr>
        <w:t xml:space="preserve">to issue their opinions </w:t>
      </w:r>
      <w:r w:rsidR="00273F36" w:rsidRPr="004C70EC">
        <w:rPr>
          <w:rFonts w:eastAsiaTheme="majorEastAsia"/>
          <w:noProof/>
          <w:color w:val="000000" w:themeColor="text1"/>
          <w:szCs w:val="24"/>
          <w:lang w:val="en-IE" w:eastAsia="en-IE"/>
        </w:rPr>
        <w:t xml:space="preserve">in the framework of such consultation. </w:t>
      </w:r>
    </w:p>
    <w:p w14:paraId="735EA926" w14:textId="77777777" w:rsidR="1AFC047A" w:rsidRPr="004C70EC" w:rsidRDefault="1AFC047A" w:rsidP="00431990">
      <w:pPr>
        <w:pStyle w:val="Text1"/>
        <w:rPr>
          <w:noProof/>
          <w:color w:val="000000" w:themeColor="text1"/>
          <w:szCs w:val="24"/>
          <w:lang w:val="en-IE"/>
        </w:rPr>
      </w:pPr>
      <w:r w:rsidRPr="004C70EC">
        <w:rPr>
          <w:rFonts w:eastAsia="Times New Roman"/>
          <w:noProof/>
          <w:color w:val="000000" w:themeColor="text1"/>
          <w:szCs w:val="24"/>
          <w:lang w:val="en-IE"/>
        </w:rPr>
        <w:t xml:space="preserve">Those implementing acts shall be adopted in </w:t>
      </w:r>
      <w:r w:rsidRPr="004C70EC">
        <w:rPr>
          <w:rFonts w:eastAsia="Times New Roman"/>
          <w:noProof/>
          <w:color w:val="000000" w:themeColor="text1"/>
          <w:szCs w:val="24"/>
        </w:rPr>
        <w:t>accordance with the examination procedure referred to in Article 79(2)</w:t>
      </w:r>
    </w:p>
    <w:p w14:paraId="118BFECF" w14:textId="77777777" w:rsidR="00273F36" w:rsidRPr="004C70EC" w:rsidRDefault="00310F11" w:rsidP="00310F11">
      <w:pPr>
        <w:pStyle w:val="Point0"/>
        <w:rPr>
          <w:rFonts w:eastAsiaTheme="majorEastAsia"/>
          <w:noProof/>
          <w:color w:val="000000" w:themeColor="text1"/>
          <w:szCs w:val="24"/>
          <w:lang w:val="en-IE" w:eastAsia="en-IE"/>
        </w:rPr>
      </w:pPr>
      <w:r w:rsidRPr="004C70EC">
        <w:rPr>
          <w:rFonts w:eastAsia="Times New Roman"/>
          <w:noProof/>
          <w:color w:val="000000" w:themeColor="text1"/>
          <w:szCs w:val="24"/>
          <w:lang w:val="en-IE" w:eastAsia="en-IE"/>
        </w:rPr>
        <w:t>(</w:t>
      </w:r>
      <w:r w:rsidR="002A22E8" w:rsidRPr="004C70EC">
        <w:rPr>
          <w:rFonts w:eastAsia="Times New Roman"/>
          <w:noProof/>
          <w:color w:val="000000" w:themeColor="text1"/>
          <w:szCs w:val="24"/>
          <w:lang w:val="en-IE" w:eastAsia="en-IE"/>
        </w:rPr>
        <w:t>4</w:t>
      </w:r>
      <w:r w:rsidRPr="004C70EC">
        <w:rPr>
          <w:rFonts w:eastAsia="Times New Roman"/>
          <w:noProof/>
          <w:color w:val="000000" w:themeColor="text1"/>
          <w:szCs w:val="24"/>
          <w:lang w:val="en-IE" w:eastAsia="en-IE"/>
        </w:rPr>
        <w:t>)</w:t>
      </w:r>
      <w:r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the following Article 39a is inserted:</w:t>
      </w:r>
    </w:p>
    <w:p w14:paraId="42BB032C" w14:textId="77777777" w:rsidR="00273F36" w:rsidRPr="004C70EC" w:rsidRDefault="00273F36" w:rsidP="00310F11">
      <w:pPr>
        <w:pStyle w:val="Titrearticle"/>
        <w:rPr>
          <w:rFonts w:eastAsiaTheme="majorEastAsia"/>
          <w:i w:val="0"/>
          <w:iCs/>
          <w:noProof/>
          <w:color w:val="000000" w:themeColor="text1"/>
          <w:szCs w:val="24"/>
          <w:lang w:eastAsia="en-IE"/>
        </w:rPr>
      </w:pPr>
      <w:r w:rsidRPr="004C70EC">
        <w:rPr>
          <w:rFonts w:eastAsiaTheme="majorEastAsia"/>
          <w:iCs/>
          <w:noProof/>
          <w:color w:val="000000" w:themeColor="text1"/>
          <w:szCs w:val="24"/>
          <w:lang w:eastAsia="en-IE"/>
        </w:rPr>
        <w:t>Article 39a</w:t>
      </w:r>
    </w:p>
    <w:p w14:paraId="1B757CC3" w14:textId="77777777" w:rsidR="00273F36" w:rsidRPr="004C70EC" w:rsidRDefault="00273F36" w:rsidP="00310F11">
      <w:pPr>
        <w:jc w:val="center"/>
        <w:rPr>
          <w:rFonts w:eastAsiaTheme="majorEastAsia"/>
          <w:b/>
          <w:bCs/>
          <w:noProof/>
          <w:color w:val="000000" w:themeColor="text1"/>
          <w:szCs w:val="24"/>
          <w:lang w:eastAsia="en-IE"/>
        </w:rPr>
      </w:pPr>
      <w:r w:rsidRPr="004C70EC">
        <w:rPr>
          <w:rFonts w:eastAsiaTheme="majorEastAsia"/>
          <w:b/>
          <w:bCs/>
          <w:noProof/>
          <w:color w:val="000000" w:themeColor="text1"/>
          <w:szCs w:val="24"/>
          <w:lang w:eastAsia="en-IE"/>
        </w:rPr>
        <w:t xml:space="preserve">SoHO regulatory sandboxes </w:t>
      </w:r>
    </w:p>
    <w:p w14:paraId="05400D26" w14:textId="77777777" w:rsidR="00273F36" w:rsidRPr="004C70EC" w:rsidRDefault="00273F36" w:rsidP="00310F11">
      <w:pPr>
        <w:pStyle w:val="Point1"/>
        <w:rPr>
          <w:rFonts w:eastAsiaTheme="minorEastAsia"/>
          <w:noProof/>
          <w:color w:val="000000" w:themeColor="text1"/>
          <w:szCs w:val="24"/>
          <w:lang w:val="en-US" w:eastAsia="ja-JP"/>
        </w:rPr>
      </w:pPr>
      <w:r w:rsidRPr="004C70EC">
        <w:rPr>
          <w:noProof/>
          <w:color w:val="000000" w:themeColor="text1"/>
          <w:szCs w:val="24"/>
          <w:lang w:eastAsia="ja-JP"/>
        </w:rPr>
        <w:t>1.</w:t>
      </w:r>
      <w:r w:rsidRPr="004C70EC">
        <w:rPr>
          <w:noProof/>
          <w:color w:val="000000" w:themeColor="text1"/>
          <w:szCs w:val="24"/>
        </w:rPr>
        <w:tab/>
      </w:r>
      <w:r w:rsidRPr="004C70EC">
        <w:rPr>
          <w:noProof/>
          <w:color w:val="000000" w:themeColor="text1"/>
          <w:szCs w:val="24"/>
          <w:lang w:eastAsia="ja-JP"/>
        </w:rPr>
        <w:t xml:space="preserve">On a substantiated request </w:t>
      </w:r>
      <w:r w:rsidR="0D16A639" w:rsidRPr="004C70EC">
        <w:rPr>
          <w:noProof/>
          <w:color w:val="000000" w:themeColor="text1"/>
          <w:szCs w:val="24"/>
          <w:lang w:eastAsia="ja-JP"/>
        </w:rPr>
        <w:t>from</w:t>
      </w:r>
      <w:r w:rsidRPr="004C70EC">
        <w:rPr>
          <w:noProof/>
          <w:color w:val="000000" w:themeColor="text1"/>
          <w:szCs w:val="24"/>
          <w:lang w:eastAsia="ja-JP"/>
        </w:rPr>
        <w:t xml:space="preserve"> a SoHO entity, a Member State may set up regulatory sandboxes that provide a </w:t>
      </w:r>
      <w:r w:rsidR="008C0242" w:rsidRPr="004C70EC">
        <w:rPr>
          <w:noProof/>
          <w:color w:val="000000" w:themeColor="text1"/>
          <w:szCs w:val="24"/>
          <w:lang w:eastAsia="ja-JP"/>
        </w:rPr>
        <w:t xml:space="preserve">time limited </w:t>
      </w:r>
      <w:r w:rsidRPr="004C70EC">
        <w:rPr>
          <w:noProof/>
          <w:color w:val="000000" w:themeColor="text1"/>
          <w:szCs w:val="24"/>
          <w:lang w:eastAsia="ja-JP"/>
        </w:rPr>
        <w:t xml:space="preserve">controlled environment to facilitate the development </w:t>
      </w:r>
      <w:r w:rsidR="36CFAFAF" w:rsidRPr="004C70EC">
        <w:rPr>
          <w:noProof/>
          <w:color w:val="000000" w:themeColor="text1"/>
          <w:szCs w:val="24"/>
          <w:lang w:eastAsia="ja-JP"/>
        </w:rPr>
        <w:t xml:space="preserve">and testing of </w:t>
      </w:r>
      <w:r w:rsidR="00562873" w:rsidRPr="004C70EC">
        <w:rPr>
          <w:noProof/>
          <w:color w:val="000000" w:themeColor="text1"/>
          <w:szCs w:val="24"/>
          <w:lang w:eastAsia="ja-JP"/>
        </w:rPr>
        <w:t>innovative products, services, processes or substances</w:t>
      </w:r>
      <w:r w:rsidRPr="004C70EC">
        <w:rPr>
          <w:noProof/>
          <w:color w:val="000000" w:themeColor="text1"/>
          <w:szCs w:val="24"/>
          <w:lang w:eastAsia="ja-JP"/>
        </w:rPr>
        <w:t xml:space="preserve"> in the field of SoHO, </w:t>
      </w:r>
      <w:r w:rsidR="00E65A88" w:rsidRPr="004C70EC">
        <w:rPr>
          <w:noProof/>
          <w:color w:val="000000" w:themeColor="text1"/>
          <w:szCs w:val="24"/>
          <w:lang w:eastAsia="ja-JP"/>
        </w:rPr>
        <w:t xml:space="preserve">under the supervision of </w:t>
      </w:r>
      <w:r w:rsidR="00D15AE3" w:rsidRPr="004C70EC">
        <w:rPr>
          <w:noProof/>
          <w:color w:val="000000" w:themeColor="text1"/>
          <w:szCs w:val="24"/>
          <w:lang w:eastAsia="ja-JP"/>
        </w:rPr>
        <w:t>one or more competent authorities and</w:t>
      </w:r>
      <w:r w:rsidRPr="004C70EC">
        <w:rPr>
          <w:noProof/>
          <w:color w:val="000000" w:themeColor="text1"/>
          <w:szCs w:val="24"/>
          <w:lang w:eastAsia="ja-JP"/>
        </w:rPr>
        <w:t xml:space="preserve"> where the following conditions are met:</w:t>
      </w:r>
    </w:p>
    <w:p w14:paraId="05452926" w14:textId="77777777" w:rsidR="00273F36" w:rsidRPr="004C70EC" w:rsidRDefault="00273F36" w:rsidP="00310F11">
      <w:pPr>
        <w:pStyle w:val="Point2"/>
        <w:rPr>
          <w:noProof/>
          <w:color w:val="000000" w:themeColor="text1"/>
          <w:szCs w:val="24"/>
          <w:lang w:eastAsia="ja-JP"/>
        </w:rPr>
      </w:pPr>
      <w:r w:rsidRPr="004C70EC">
        <w:rPr>
          <w:noProof/>
          <w:color w:val="000000" w:themeColor="text1"/>
          <w:szCs w:val="24"/>
          <w:lang w:val="en-US" w:eastAsia="ja-JP"/>
        </w:rPr>
        <w:t>(a)</w:t>
      </w:r>
      <w:r w:rsidRPr="004C70EC">
        <w:rPr>
          <w:noProof/>
          <w:color w:val="000000" w:themeColor="text1"/>
          <w:szCs w:val="24"/>
        </w:rPr>
        <w:tab/>
      </w:r>
      <w:r w:rsidRPr="004C70EC">
        <w:rPr>
          <w:noProof/>
          <w:color w:val="000000" w:themeColor="text1"/>
          <w:szCs w:val="24"/>
          <w:lang w:eastAsia="ja-JP"/>
        </w:rPr>
        <w:t>the characteristics or methods of th</w:t>
      </w:r>
      <w:r w:rsidR="556DFC88" w:rsidRPr="004C70EC">
        <w:rPr>
          <w:noProof/>
          <w:color w:val="000000" w:themeColor="text1"/>
          <w:szCs w:val="24"/>
          <w:lang w:eastAsia="ja-JP"/>
        </w:rPr>
        <w:t>os</w:t>
      </w:r>
      <w:r w:rsidRPr="004C70EC">
        <w:rPr>
          <w:noProof/>
          <w:color w:val="000000" w:themeColor="text1"/>
          <w:szCs w:val="24"/>
          <w:lang w:eastAsia="ja-JP"/>
        </w:rPr>
        <w:t xml:space="preserve">e innovations and technologies are expected to distinctively contribute to the safety, quality, including the effectiveness of the SoHO or the SoHO activity or to provide a major contribution to patient access to treatment;  </w:t>
      </w:r>
    </w:p>
    <w:p w14:paraId="49484F13" w14:textId="77777777" w:rsidR="00273F36" w:rsidRPr="004C70EC" w:rsidRDefault="00273F36" w:rsidP="00310F11">
      <w:pPr>
        <w:pStyle w:val="Point2"/>
        <w:rPr>
          <w:rFonts w:eastAsia="Times New Roman"/>
          <w:noProof/>
          <w:color w:val="000000" w:themeColor="text1"/>
          <w:szCs w:val="24"/>
          <w:lang w:eastAsia="ja-JP"/>
        </w:rPr>
      </w:pPr>
      <w:r w:rsidRPr="004C70EC">
        <w:rPr>
          <w:rFonts w:eastAsia="Times New Roman"/>
          <w:noProof/>
          <w:color w:val="000000" w:themeColor="text1"/>
          <w:szCs w:val="24"/>
          <w:lang w:eastAsia="ja-JP"/>
        </w:rPr>
        <w:t>(b)</w:t>
      </w:r>
      <w:r w:rsidRPr="004C70EC">
        <w:rPr>
          <w:noProof/>
          <w:color w:val="000000" w:themeColor="text1"/>
          <w:szCs w:val="24"/>
        </w:rPr>
        <w:tab/>
      </w:r>
      <w:r w:rsidRPr="004C70EC">
        <w:rPr>
          <w:rFonts w:eastAsia="Times New Roman"/>
          <w:noProof/>
          <w:color w:val="000000" w:themeColor="text1"/>
          <w:szCs w:val="24"/>
          <w:lang w:eastAsia="ja-JP"/>
        </w:rPr>
        <w:t>the application of the requirements of this Regulation would impede or significantly delay the development of th</w:t>
      </w:r>
      <w:r w:rsidR="3B0E9306" w:rsidRPr="004C70EC">
        <w:rPr>
          <w:rFonts w:eastAsia="Times New Roman"/>
          <w:noProof/>
          <w:color w:val="000000" w:themeColor="text1"/>
          <w:szCs w:val="24"/>
          <w:lang w:eastAsia="ja-JP"/>
        </w:rPr>
        <w:t>os</w:t>
      </w:r>
      <w:r w:rsidRPr="004C70EC">
        <w:rPr>
          <w:rFonts w:eastAsia="Times New Roman"/>
          <w:noProof/>
          <w:color w:val="000000" w:themeColor="text1"/>
          <w:szCs w:val="24"/>
          <w:lang w:eastAsia="ja-JP"/>
        </w:rPr>
        <w:t>e innovations and technologies, due to scientific or regulatory challenges arising from the characteristics or methods related to that innovation or technology.</w:t>
      </w:r>
    </w:p>
    <w:p w14:paraId="760E758C" w14:textId="77777777" w:rsidR="00273F36" w:rsidRPr="004C70EC" w:rsidRDefault="00273F36" w:rsidP="00310F11">
      <w:pPr>
        <w:pStyle w:val="Point1"/>
        <w:rPr>
          <w:rFonts w:eastAsia="Times New Roman"/>
          <w:noProof/>
          <w:color w:val="000000" w:themeColor="text1"/>
          <w:szCs w:val="24"/>
          <w:lang w:eastAsia="ja-JP"/>
        </w:rPr>
      </w:pPr>
      <w:r w:rsidRPr="004C70EC">
        <w:rPr>
          <w:rFonts w:eastAsia="Times New Roman"/>
          <w:noProof/>
          <w:color w:val="000000" w:themeColor="text1"/>
          <w:szCs w:val="24"/>
          <w:lang w:eastAsia="ja-JP"/>
        </w:rPr>
        <w:t>2.</w:t>
      </w:r>
      <w:r w:rsidRPr="004C70EC">
        <w:rPr>
          <w:noProof/>
          <w:color w:val="000000" w:themeColor="text1"/>
          <w:szCs w:val="24"/>
        </w:rPr>
        <w:tab/>
      </w:r>
      <w:r w:rsidRPr="004C70EC">
        <w:rPr>
          <w:rFonts w:eastAsia="Times New Roman"/>
          <w:noProof/>
          <w:color w:val="000000" w:themeColor="text1"/>
          <w:szCs w:val="24"/>
          <w:lang w:eastAsia="ja-JP"/>
        </w:rPr>
        <w:t>Member States may jointly set up the regulatory sandboxes</w:t>
      </w:r>
      <w:r w:rsidR="691D2A2D" w:rsidRPr="004C70EC">
        <w:rPr>
          <w:rFonts w:eastAsia="Times New Roman"/>
          <w:noProof/>
          <w:color w:val="000000" w:themeColor="text1"/>
          <w:szCs w:val="24"/>
          <w:lang w:eastAsia="ja-JP"/>
        </w:rPr>
        <w:t xml:space="preserve"> referred to in paragraph 1</w:t>
      </w:r>
      <w:r w:rsidRPr="004C70EC">
        <w:rPr>
          <w:rFonts w:eastAsia="Times New Roman"/>
          <w:noProof/>
          <w:color w:val="000000" w:themeColor="text1"/>
          <w:szCs w:val="24"/>
          <w:lang w:eastAsia="ja-JP"/>
        </w:rPr>
        <w:t xml:space="preserve">. The Commission shall support such cooperation in accordance with Article 72 (1). </w:t>
      </w:r>
    </w:p>
    <w:p w14:paraId="23C08069" w14:textId="77777777" w:rsidR="00273F36" w:rsidRPr="004C70EC" w:rsidRDefault="00273F36" w:rsidP="00310F11">
      <w:pPr>
        <w:pStyle w:val="Point1"/>
        <w:rPr>
          <w:rFonts w:eastAsia="Times New Roman"/>
          <w:noProof/>
          <w:color w:val="000000" w:themeColor="text1"/>
          <w:szCs w:val="24"/>
          <w:lang w:eastAsia="ja-JP"/>
        </w:rPr>
      </w:pPr>
      <w:r w:rsidRPr="004C70EC">
        <w:rPr>
          <w:rFonts w:eastAsia="Times New Roman"/>
          <w:noProof/>
          <w:color w:val="000000" w:themeColor="text1"/>
          <w:szCs w:val="24"/>
          <w:lang w:eastAsia="ja-JP"/>
        </w:rPr>
        <w:t>3.</w:t>
      </w:r>
      <w:r w:rsidRPr="004C70EC">
        <w:rPr>
          <w:noProof/>
          <w:color w:val="000000" w:themeColor="text1"/>
          <w:szCs w:val="24"/>
        </w:rPr>
        <w:tab/>
      </w:r>
      <w:r w:rsidRPr="004C70EC">
        <w:rPr>
          <w:rFonts w:eastAsia="Times New Roman"/>
          <w:noProof/>
          <w:color w:val="000000" w:themeColor="text1"/>
          <w:szCs w:val="24"/>
          <w:lang w:eastAsia="ja-JP"/>
        </w:rPr>
        <w:t>The regulatory sandbox shall seek to allow the assessment of the innovations referred to in paragraph 1 in a real-world environment under strict regulatory supervision, to ensure that the necessary evidence and data is generated to demonstrate their safety quality, including effectiveness in view of their distribution.</w:t>
      </w:r>
    </w:p>
    <w:p w14:paraId="2B0AFC0F" w14:textId="77777777" w:rsidR="00273F36" w:rsidRPr="004C70EC" w:rsidRDefault="00273F36" w:rsidP="00310F11">
      <w:pPr>
        <w:pStyle w:val="Point1"/>
        <w:rPr>
          <w:rFonts w:eastAsia="Times New Roman"/>
          <w:noProof/>
          <w:color w:val="000000" w:themeColor="text1"/>
          <w:szCs w:val="24"/>
          <w:lang w:eastAsia="ja-JP"/>
        </w:rPr>
      </w:pPr>
      <w:r w:rsidRPr="004C70EC">
        <w:rPr>
          <w:rFonts w:eastAsia="Times New Roman"/>
          <w:noProof/>
          <w:color w:val="000000" w:themeColor="text1"/>
          <w:szCs w:val="24"/>
          <w:lang w:eastAsia="ja-JP"/>
        </w:rPr>
        <w:t>4.</w:t>
      </w:r>
      <w:r w:rsidRPr="004C70EC">
        <w:rPr>
          <w:noProof/>
          <w:color w:val="000000" w:themeColor="text1"/>
          <w:szCs w:val="24"/>
        </w:rPr>
        <w:tab/>
      </w:r>
      <w:r w:rsidRPr="004C70EC">
        <w:rPr>
          <w:rFonts w:eastAsia="Times New Roman"/>
          <w:noProof/>
          <w:color w:val="000000" w:themeColor="text1"/>
          <w:szCs w:val="24"/>
          <w:lang w:eastAsia="ja-JP"/>
        </w:rPr>
        <w:t xml:space="preserve">The regulatory sandbox may include clearly described derogations from the requirements set out in this Regulation. Those derogations may entail adapted, enhanced, waived or deferred requirements. Each derogation shall be limited to what is apt and strictly necessary to attain the objectives </w:t>
      </w:r>
      <w:r w:rsidR="4F0ABF2D" w:rsidRPr="004C70EC">
        <w:rPr>
          <w:rFonts w:eastAsia="Times New Roman"/>
          <w:noProof/>
          <w:color w:val="000000" w:themeColor="text1"/>
          <w:szCs w:val="24"/>
          <w:lang w:eastAsia="ja-JP"/>
        </w:rPr>
        <w:t>pursued and</w:t>
      </w:r>
      <w:r w:rsidR="4744674C" w:rsidRPr="004C70EC">
        <w:rPr>
          <w:rFonts w:eastAsia="Times New Roman"/>
          <w:noProof/>
          <w:color w:val="000000" w:themeColor="text1"/>
          <w:szCs w:val="24"/>
          <w:lang w:eastAsia="ja-JP"/>
        </w:rPr>
        <w:t xml:space="preserve"> shall be </w:t>
      </w:r>
      <w:r w:rsidRPr="004C70EC">
        <w:rPr>
          <w:rFonts w:eastAsia="Times New Roman"/>
          <w:noProof/>
          <w:color w:val="000000" w:themeColor="text1"/>
          <w:szCs w:val="24"/>
          <w:lang w:eastAsia="ja-JP"/>
        </w:rPr>
        <w:t xml:space="preserve">duly justified and specified in the sandbox plan referred to in paragraph [6]. </w:t>
      </w:r>
    </w:p>
    <w:p w14:paraId="5F74A2F7" w14:textId="77777777" w:rsidR="00273F36" w:rsidRPr="004C70EC" w:rsidRDefault="00273F36" w:rsidP="00310F11">
      <w:pPr>
        <w:pStyle w:val="Text2"/>
        <w:rPr>
          <w:noProof/>
          <w:color w:val="000000" w:themeColor="text1"/>
          <w:szCs w:val="24"/>
          <w:lang w:eastAsia="ja-JP"/>
        </w:rPr>
      </w:pPr>
      <w:r w:rsidRPr="004C70EC">
        <w:rPr>
          <w:noProof/>
          <w:color w:val="000000" w:themeColor="text1"/>
          <w:szCs w:val="24"/>
          <w:lang w:eastAsia="ja-JP"/>
        </w:rPr>
        <w:t xml:space="preserve">However, the regulatory sandbox shall not include derogations from the provisions on standards concerning voluntary and unpaid nature of SoHO donations laid down in Article 54. </w:t>
      </w:r>
    </w:p>
    <w:p w14:paraId="189CBD91" w14:textId="77777777" w:rsidR="00273F36" w:rsidRPr="004C70EC" w:rsidRDefault="00273F36" w:rsidP="00310F11">
      <w:pPr>
        <w:pStyle w:val="Point1"/>
        <w:rPr>
          <w:rFonts w:eastAsia="Times New Roman"/>
          <w:noProof/>
          <w:color w:val="000000" w:themeColor="text1"/>
          <w:szCs w:val="24"/>
          <w:lang w:val="en-US" w:eastAsia="ja-JP"/>
        </w:rPr>
      </w:pPr>
      <w:r w:rsidRPr="004C70EC">
        <w:rPr>
          <w:rFonts w:eastAsia="Times New Roman"/>
          <w:noProof/>
          <w:color w:val="000000" w:themeColor="text1"/>
          <w:szCs w:val="24"/>
          <w:lang w:eastAsia="ja-JP"/>
        </w:rPr>
        <w:t>5.</w:t>
      </w:r>
      <w:r w:rsidRPr="004C70EC">
        <w:rPr>
          <w:noProof/>
          <w:color w:val="000000" w:themeColor="text1"/>
          <w:szCs w:val="24"/>
        </w:rPr>
        <w:tab/>
      </w:r>
      <w:r w:rsidRPr="004C70EC">
        <w:rPr>
          <w:rFonts w:eastAsia="Times New Roman"/>
          <w:noProof/>
          <w:color w:val="000000" w:themeColor="text1"/>
          <w:szCs w:val="24"/>
          <w:lang w:val="en-US" w:eastAsia="ja-JP"/>
        </w:rPr>
        <w:t xml:space="preserve">The regulatory sandboxes shall be conducted under the supervision of the SoHO competent authorities, and, where appropriate, in cooperation with competent authorities acting in accordance with other relevant Union legislative </w:t>
      </w:r>
      <w:r w:rsidR="75E0ABE4" w:rsidRPr="004C70EC">
        <w:rPr>
          <w:rFonts w:eastAsia="Times New Roman"/>
          <w:noProof/>
          <w:color w:val="000000" w:themeColor="text1"/>
          <w:szCs w:val="24"/>
          <w:lang w:val="en-US" w:eastAsia="ja-JP"/>
        </w:rPr>
        <w:t>acts</w:t>
      </w:r>
      <w:r w:rsidRPr="004C70EC">
        <w:rPr>
          <w:rFonts w:eastAsia="Times New Roman"/>
          <w:noProof/>
          <w:color w:val="000000" w:themeColor="text1"/>
          <w:szCs w:val="24"/>
          <w:lang w:val="en-US" w:eastAsia="ja-JP"/>
        </w:rPr>
        <w:t xml:space="preserve"> in the area of health or national legislation. </w:t>
      </w:r>
    </w:p>
    <w:p w14:paraId="5021235D" w14:textId="77777777" w:rsidR="00273F36" w:rsidRPr="004C70EC" w:rsidRDefault="00273F36" w:rsidP="00310F11">
      <w:pPr>
        <w:pStyle w:val="Point1"/>
        <w:rPr>
          <w:rFonts w:eastAsia="Times New Roman"/>
          <w:noProof/>
          <w:color w:val="000000" w:themeColor="text1"/>
          <w:szCs w:val="24"/>
          <w:lang w:val="en-US" w:eastAsia="ja-JP"/>
        </w:rPr>
      </w:pPr>
      <w:r w:rsidRPr="004C70EC">
        <w:rPr>
          <w:rFonts w:eastAsia="Times New Roman"/>
          <w:noProof/>
          <w:color w:val="000000" w:themeColor="text1"/>
          <w:szCs w:val="24"/>
          <w:lang w:val="en-US" w:eastAsia="ja-JP"/>
        </w:rPr>
        <w:t>6.</w:t>
      </w:r>
      <w:r w:rsidRPr="004C70EC">
        <w:rPr>
          <w:noProof/>
          <w:color w:val="000000" w:themeColor="text1"/>
          <w:szCs w:val="24"/>
        </w:rPr>
        <w:tab/>
      </w:r>
      <w:r w:rsidRPr="004C70EC">
        <w:rPr>
          <w:rFonts w:eastAsia="Times New Roman"/>
          <w:noProof/>
          <w:color w:val="000000" w:themeColor="text1"/>
          <w:szCs w:val="24"/>
          <w:lang w:val="en-US" w:eastAsia="ja-JP"/>
        </w:rPr>
        <w:t xml:space="preserve">The activities within the regulatory sandbox shall take place in accordance with a specific </w:t>
      </w:r>
      <w:r w:rsidR="004E1542" w:rsidRPr="004C70EC">
        <w:rPr>
          <w:rFonts w:eastAsia="Times New Roman"/>
          <w:noProof/>
          <w:color w:val="000000" w:themeColor="text1"/>
          <w:szCs w:val="24"/>
          <w:lang w:val="en-US" w:eastAsia="ja-JP"/>
        </w:rPr>
        <w:t>regulatory</w:t>
      </w:r>
      <w:r w:rsidRPr="004C70EC">
        <w:rPr>
          <w:rFonts w:eastAsia="Times New Roman"/>
          <w:noProof/>
          <w:color w:val="000000" w:themeColor="text1"/>
          <w:szCs w:val="24"/>
          <w:lang w:val="en-US" w:eastAsia="ja-JP"/>
        </w:rPr>
        <w:t xml:space="preserve"> sandbox plan developed by the </w:t>
      </w:r>
      <w:r w:rsidR="70C8E2B2" w:rsidRPr="004C70EC">
        <w:rPr>
          <w:rFonts w:eastAsia="Times New Roman"/>
          <w:noProof/>
          <w:color w:val="000000" w:themeColor="text1"/>
          <w:szCs w:val="24"/>
          <w:lang w:val="en-US" w:eastAsia="ja-JP"/>
        </w:rPr>
        <w:t xml:space="preserve">SoHO </w:t>
      </w:r>
      <w:r w:rsidRPr="004C70EC">
        <w:rPr>
          <w:rFonts w:eastAsia="Times New Roman"/>
          <w:noProof/>
          <w:color w:val="000000" w:themeColor="text1"/>
          <w:szCs w:val="24"/>
          <w:lang w:val="en-US" w:eastAsia="ja-JP"/>
        </w:rPr>
        <w:t>competent authorities. The sandbox plan shall:</w:t>
      </w:r>
    </w:p>
    <w:p w14:paraId="22568FC3" w14:textId="77777777" w:rsidR="00273F36" w:rsidRPr="004C70EC" w:rsidRDefault="00310F11" w:rsidP="00310F11">
      <w:pPr>
        <w:pStyle w:val="Point2"/>
        <w:rPr>
          <w:noProof/>
          <w:color w:val="000000" w:themeColor="text1"/>
          <w:szCs w:val="24"/>
          <w:lang w:val="en-IE" w:eastAsia="en-IE"/>
        </w:rPr>
      </w:pPr>
      <w:r w:rsidRPr="004C70EC">
        <w:rPr>
          <w:noProof/>
          <w:color w:val="000000" w:themeColor="text1"/>
          <w:szCs w:val="24"/>
          <w:lang w:val="en-IE" w:eastAsia="en-IE"/>
        </w:rPr>
        <w:t>(a)</w:t>
      </w:r>
      <w:r w:rsidRPr="004C70EC">
        <w:rPr>
          <w:noProof/>
          <w:color w:val="000000" w:themeColor="text1"/>
          <w:szCs w:val="24"/>
          <w:lang w:val="en-IE" w:eastAsia="en-IE"/>
        </w:rPr>
        <w:tab/>
      </w:r>
      <w:r w:rsidR="00273F36" w:rsidRPr="004C70EC">
        <w:rPr>
          <w:noProof/>
          <w:color w:val="000000" w:themeColor="text1"/>
          <w:szCs w:val="24"/>
          <w:lang w:val="en-IE" w:eastAsia="en-IE"/>
        </w:rPr>
        <w:t>be informed by data provided by, and established following consultations with, the developers of the concerned innovations;</w:t>
      </w:r>
    </w:p>
    <w:p w14:paraId="6DD5F1AC" w14:textId="77777777" w:rsidR="00273F36" w:rsidRPr="004C70EC" w:rsidRDefault="00310F11" w:rsidP="00310F11">
      <w:pPr>
        <w:pStyle w:val="Point2"/>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(b)</w:t>
      </w:r>
      <w:r w:rsidRPr="004C70EC">
        <w:rPr>
          <w:noProof/>
          <w:color w:val="000000" w:themeColor="text1"/>
          <w:szCs w:val="24"/>
        </w:rPr>
        <w:tab/>
      </w:r>
      <w:r w:rsidR="00273F36" w:rsidRPr="004C70EC">
        <w:rPr>
          <w:rFonts w:eastAsia="Times New Roman"/>
          <w:noProof/>
          <w:color w:val="000000" w:themeColor="text1"/>
          <w:szCs w:val="24"/>
          <w:lang w:val="en-IE" w:eastAsia="en-IE"/>
        </w:rPr>
        <w:t xml:space="preserve">identify the participants in the </w:t>
      </w:r>
      <w:r w:rsidR="3D3EB922" w:rsidRPr="004C70EC">
        <w:rPr>
          <w:rFonts w:eastAsia="Times New Roman"/>
          <w:noProof/>
          <w:color w:val="000000" w:themeColor="text1"/>
          <w:szCs w:val="24"/>
          <w:lang w:val="en-IE" w:eastAsia="en-IE"/>
        </w:rPr>
        <w:t xml:space="preserve">regulatory </w:t>
      </w:r>
      <w:r w:rsidR="00273F36" w:rsidRPr="004C70EC">
        <w:rPr>
          <w:rFonts w:eastAsia="Times New Roman"/>
          <w:noProof/>
          <w:color w:val="000000" w:themeColor="text1"/>
          <w:szCs w:val="24"/>
          <w:lang w:val="en-IE" w:eastAsia="en-IE"/>
        </w:rPr>
        <w:t>sandbox and their respective roles;</w:t>
      </w:r>
    </w:p>
    <w:p w14:paraId="43A5386A" w14:textId="77777777" w:rsidR="00273F36" w:rsidRPr="004C70EC" w:rsidRDefault="00310F11" w:rsidP="00310F11">
      <w:pPr>
        <w:pStyle w:val="Point2"/>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(c)</w:t>
      </w:r>
      <w:r w:rsidRPr="004C70EC">
        <w:rPr>
          <w:noProof/>
          <w:color w:val="000000" w:themeColor="text1"/>
          <w:szCs w:val="24"/>
        </w:rPr>
        <w:tab/>
      </w:r>
      <w:r w:rsidR="00273F36" w:rsidRPr="004C70EC">
        <w:rPr>
          <w:rFonts w:eastAsia="Times New Roman"/>
          <w:noProof/>
          <w:color w:val="000000" w:themeColor="text1"/>
          <w:szCs w:val="24"/>
          <w:lang w:val="en-IE" w:eastAsia="en-IE"/>
        </w:rPr>
        <w:t>identify the requirements of this Regulation that cannot be complied with</w:t>
      </w:r>
      <w:r w:rsidR="31105B15" w:rsidRPr="004C70EC">
        <w:rPr>
          <w:rFonts w:eastAsia="Times New Roman"/>
          <w:noProof/>
          <w:color w:val="000000" w:themeColor="text1"/>
          <w:szCs w:val="24"/>
          <w:lang w:val="en-IE" w:eastAsia="en-IE"/>
        </w:rPr>
        <w:t>,</w:t>
      </w:r>
      <w:r w:rsidR="00273F36" w:rsidRPr="004C70EC">
        <w:rPr>
          <w:rFonts w:eastAsia="Times New Roman"/>
          <w:noProof/>
          <w:color w:val="000000" w:themeColor="text1"/>
          <w:szCs w:val="24"/>
          <w:lang w:val="en-IE" w:eastAsia="en-IE"/>
        </w:rPr>
        <w:t xml:space="preserve"> </w:t>
      </w:r>
      <w:r w:rsidR="31105B15" w:rsidRPr="004C70EC">
        <w:rPr>
          <w:rFonts w:eastAsia="Times New Roman"/>
          <w:noProof/>
          <w:color w:val="000000" w:themeColor="text1"/>
          <w:szCs w:val="24"/>
          <w:lang w:val="en-IE" w:eastAsia="en-IE"/>
        </w:rPr>
        <w:t>from which derogations are considered necessary</w:t>
      </w:r>
      <w:r w:rsidR="00273F36" w:rsidRPr="004C70EC">
        <w:rPr>
          <w:rFonts w:eastAsia="Times New Roman"/>
          <w:noProof/>
          <w:color w:val="000000" w:themeColor="text1"/>
          <w:szCs w:val="24"/>
          <w:lang w:val="en-IE" w:eastAsia="en-IE"/>
        </w:rPr>
        <w:t xml:space="preserve"> and the adapted, enhanced, waived or deferred requirements entailed by such derogations;</w:t>
      </w:r>
    </w:p>
    <w:p w14:paraId="347207C3" w14:textId="77777777" w:rsidR="00273F36" w:rsidRPr="004C70EC" w:rsidRDefault="00310F11" w:rsidP="00310F11">
      <w:pPr>
        <w:pStyle w:val="Point2"/>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(d)</w:t>
      </w:r>
      <w:r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include appropriate measures to mitigate potential risks to health and to the environment;</w:t>
      </w:r>
    </w:p>
    <w:p w14:paraId="15A081BC" w14:textId="77777777" w:rsidR="00273F36" w:rsidRPr="004C70EC" w:rsidRDefault="00310F11" w:rsidP="00310F11">
      <w:pPr>
        <w:pStyle w:val="Point2"/>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(e)</w:t>
      </w:r>
      <w:r w:rsidRPr="004C70EC">
        <w:rPr>
          <w:rFonts w:eastAsia="Times New Roman"/>
          <w:noProof/>
          <w:color w:val="000000" w:themeColor="text1"/>
          <w:szCs w:val="24"/>
          <w:lang w:val="en-IE" w:eastAsia="en-IE"/>
        </w:rPr>
        <w:tab/>
      </w:r>
      <w:r w:rsidR="00273F36" w:rsidRPr="004C70EC">
        <w:rPr>
          <w:rFonts w:eastAsia="Times New Roman"/>
          <w:noProof/>
          <w:color w:val="000000" w:themeColor="text1"/>
          <w:szCs w:val="24"/>
          <w:lang w:val="en-IE" w:eastAsia="en-IE"/>
        </w:rPr>
        <w:t>establish the duration of the regulatory sandbox.</w:t>
      </w:r>
    </w:p>
    <w:p w14:paraId="499DBE1F" w14:textId="77777777" w:rsidR="00DB2E41" w:rsidRPr="004C70EC" w:rsidRDefault="00DB2E41" w:rsidP="00DB2E41">
      <w:pPr>
        <w:pStyle w:val="Point2"/>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(f)</w:t>
      </w:r>
      <w:r w:rsidRPr="004C70EC">
        <w:rPr>
          <w:rFonts w:eastAsia="Times New Roman"/>
          <w:noProof/>
          <w:color w:val="000000" w:themeColor="text1"/>
          <w:szCs w:val="24"/>
          <w:lang w:val="en-IE" w:eastAsia="en-IE"/>
        </w:rPr>
        <w:tab/>
        <w:t>explain the monitoring framework for the regulatory sandboxes including what aspects will be reported on, the frequency of reporting and data sources.</w:t>
      </w:r>
    </w:p>
    <w:p w14:paraId="43938746" w14:textId="77777777" w:rsidR="00273F36" w:rsidRPr="004C70EC" w:rsidRDefault="00273F36" w:rsidP="00310F11">
      <w:pPr>
        <w:pStyle w:val="Point1"/>
        <w:rPr>
          <w:rFonts w:eastAsia="Times New Roman"/>
          <w:noProof/>
          <w:color w:val="000000" w:themeColor="text1"/>
          <w:szCs w:val="24"/>
          <w:lang w:val="en-US" w:eastAsia="ja-JP"/>
        </w:rPr>
      </w:pPr>
      <w:r w:rsidRPr="004C70EC">
        <w:rPr>
          <w:rFonts w:eastAsia="Times New Roman"/>
          <w:noProof/>
          <w:color w:val="000000" w:themeColor="text1"/>
          <w:szCs w:val="24"/>
          <w:lang w:val="en-US" w:eastAsia="ja-JP"/>
        </w:rPr>
        <w:t>7.</w:t>
      </w:r>
      <w:r w:rsidRPr="004C70EC">
        <w:rPr>
          <w:noProof/>
          <w:color w:val="000000" w:themeColor="text1"/>
          <w:szCs w:val="24"/>
        </w:rPr>
        <w:tab/>
      </w:r>
      <w:r w:rsidRPr="004C70EC">
        <w:rPr>
          <w:rFonts w:eastAsia="Times New Roman"/>
          <w:noProof/>
          <w:color w:val="000000" w:themeColor="text1"/>
          <w:szCs w:val="24"/>
          <w:lang w:val="en-US" w:eastAsia="ja-JP"/>
        </w:rPr>
        <w:t xml:space="preserve">When </w:t>
      </w:r>
      <w:r w:rsidR="04F59447" w:rsidRPr="004C70EC">
        <w:rPr>
          <w:rFonts w:eastAsia="Times New Roman"/>
          <w:noProof/>
          <w:color w:val="000000" w:themeColor="text1"/>
          <w:szCs w:val="24"/>
          <w:lang w:val="en-US" w:eastAsia="ja-JP"/>
        </w:rPr>
        <w:t>establishing</w:t>
      </w:r>
      <w:r w:rsidRPr="004C70EC">
        <w:rPr>
          <w:rFonts w:eastAsia="Times New Roman"/>
          <w:noProof/>
          <w:color w:val="000000" w:themeColor="text1"/>
          <w:szCs w:val="24"/>
          <w:lang w:val="en-US" w:eastAsia="ja-JP"/>
        </w:rPr>
        <w:t xml:space="preserve"> the regulatory sandbox, the </w:t>
      </w:r>
      <w:r w:rsidR="004D5C13" w:rsidRPr="004C70EC">
        <w:rPr>
          <w:rFonts w:eastAsia="Times New Roman"/>
          <w:noProof/>
          <w:color w:val="000000" w:themeColor="text1"/>
          <w:szCs w:val="24"/>
          <w:lang w:val="en-US" w:eastAsia="ja-JP"/>
        </w:rPr>
        <w:t xml:space="preserve">SoHO </w:t>
      </w:r>
      <w:r w:rsidRPr="004C70EC">
        <w:rPr>
          <w:rFonts w:eastAsia="Times New Roman"/>
          <w:noProof/>
          <w:color w:val="000000" w:themeColor="text1"/>
          <w:szCs w:val="24"/>
          <w:lang w:val="en-US" w:eastAsia="ja-JP"/>
        </w:rPr>
        <w:t>competent authorities shall consult</w:t>
      </w:r>
      <w:r w:rsidR="12C110FF" w:rsidRPr="004C70EC">
        <w:rPr>
          <w:rFonts w:eastAsia="Times New Roman"/>
          <w:noProof/>
          <w:color w:val="000000" w:themeColor="text1"/>
          <w:szCs w:val="24"/>
          <w:lang w:val="en-US" w:eastAsia="ja-JP"/>
        </w:rPr>
        <w:t>,</w:t>
      </w:r>
      <w:r w:rsidRPr="004C70EC">
        <w:rPr>
          <w:rFonts w:eastAsia="Times New Roman"/>
          <w:noProof/>
          <w:color w:val="000000" w:themeColor="text1"/>
          <w:szCs w:val="24"/>
          <w:lang w:val="en-US" w:eastAsia="ja-JP"/>
        </w:rPr>
        <w:t xml:space="preserve"> where appropriate, the SCB, including by requesting scientific, technical or regulatory advice for the design of the sandbox plan. The SCB shall provide support and shall seek to foster a common approach for the design and the implementation of the regulatory sandboxes referred to in this Article. </w:t>
      </w:r>
    </w:p>
    <w:p w14:paraId="0DB9645F" w14:textId="77777777" w:rsidR="00273F36" w:rsidRPr="004C70EC" w:rsidRDefault="00273F36" w:rsidP="00310F11">
      <w:pPr>
        <w:pStyle w:val="Text2"/>
        <w:rPr>
          <w:noProof/>
          <w:color w:val="000000" w:themeColor="text1"/>
          <w:szCs w:val="24"/>
          <w:lang w:val="en-US" w:eastAsia="ja-JP"/>
        </w:rPr>
      </w:pPr>
      <w:r w:rsidRPr="004C70EC">
        <w:rPr>
          <w:noProof/>
          <w:color w:val="000000" w:themeColor="text1"/>
          <w:szCs w:val="24"/>
          <w:lang w:val="en-US" w:eastAsia="ja-JP"/>
        </w:rPr>
        <w:t xml:space="preserve">For the purposes of the support to </w:t>
      </w:r>
      <w:r w:rsidR="292DA0EB" w:rsidRPr="004C70EC">
        <w:rPr>
          <w:noProof/>
          <w:color w:val="000000" w:themeColor="text1"/>
          <w:szCs w:val="24"/>
          <w:lang w:val="en-US" w:eastAsia="ja-JP"/>
        </w:rPr>
        <w:t xml:space="preserve">SoHO </w:t>
      </w:r>
      <w:r w:rsidRPr="004C70EC">
        <w:rPr>
          <w:noProof/>
          <w:color w:val="000000" w:themeColor="text1"/>
          <w:szCs w:val="24"/>
          <w:lang w:val="en-US" w:eastAsia="ja-JP"/>
        </w:rPr>
        <w:t>competent authorities referred to in the first subparagraph, the SCB may:</w:t>
      </w:r>
    </w:p>
    <w:p w14:paraId="1C4C3F1F" w14:textId="77777777" w:rsidR="00273F36" w:rsidRPr="004C70EC" w:rsidRDefault="00273F36" w:rsidP="00310F11">
      <w:pPr>
        <w:pStyle w:val="Point2"/>
        <w:rPr>
          <w:rFonts w:eastAsia="Times New Roman"/>
          <w:noProof/>
          <w:color w:val="000000" w:themeColor="text1"/>
          <w:szCs w:val="24"/>
          <w:lang w:val="en-US" w:eastAsia="ja-JP"/>
        </w:rPr>
      </w:pPr>
      <w:r w:rsidRPr="004C70EC">
        <w:rPr>
          <w:rFonts w:eastAsia="Times New Roman"/>
          <w:noProof/>
          <w:color w:val="000000" w:themeColor="text1"/>
          <w:szCs w:val="24"/>
          <w:lang w:val="en-US" w:eastAsia="ja-JP"/>
        </w:rPr>
        <w:t>(a)</w:t>
      </w:r>
      <w:r w:rsidRPr="004C70EC">
        <w:rPr>
          <w:noProof/>
          <w:color w:val="000000" w:themeColor="text1"/>
          <w:szCs w:val="24"/>
        </w:rPr>
        <w:tab/>
      </w:r>
      <w:r w:rsidRPr="004C70EC">
        <w:rPr>
          <w:rFonts w:eastAsia="Times New Roman"/>
          <w:noProof/>
          <w:color w:val="000000" w:themeColor="text1"/>
          <w:szCs w:val="24"/>
          <w:lang w:val="en-US" w:eastAsia="ja-JP"/>
        </w:rPr>
        <w:t xml:space="preserve">request information and data from holders of authorisations of SoHO preparations, </w:t>
      </w:r>
      <w:r w:rsidR="5EA9600A" w:rsidRPr="004C70EC">
        <w:rPr>
          <w:rFonts w:eastAsia="Times New Roman"/>
          <w:noProof/>
          <w:color w:val="000000" w:themeColor="text1"/>
          <w:szCs w:val="24"/>
          <w:lang w:val="en-US" w:eastAsia="ja-JP"/>
        </w:rPr>
        <w:t xml:space="preserve">leveraging information on the EU SoHO platform established under article 74 of this Regulation, </w:t>
      </w:r>
      <w:r w:rsidRPr="004C70EC">
        <w:rPr>
          <w:rFonts w:eastAsia="Times New Roman"/>
          <w:noProof/>
          <w:color w:val="000000" w:themeColor="text1"/>
          <w:szCs w:val="24"/>
          <w:lang w:val="en-US" w:eastAsia="ja-JP"/>
        </w:rPr>
        <w:t>developers, independent experts and researchers, representatives of healthcare professionals and patients and may engage with them in preliminary discussions;</w:t>
      </w:r>
    </w:p>
    <w:p w14:paraId="341E3AFD" w14:textId="77777777" w:rsidR="00273F36" w:rsidRPr="004C70EC" w:rsidRDefault="00273F36" w:rsidP="00310F11">
      <w:pPr>
        <w:pStyle w:val="Point2"/>
        <w:rPr>
          <w:rFonts w:eastAsia="Times New Roman"/>
          <w:noProof/>
          <w:color w:val="000000" w:themeColor="text1"/>
          <w:szCs w:val="24"/>
          <w:lang w:val="en-US" w:eastAsia="ja-JP"/>
        </w:rPr>
      </w:pPr>
      <w:r w:rsidRPr="004C70EC">
        <w:rPr>
          <w:rFonts w:eastAsia="Times New Roman"/>
          <w:noProof/>
          <w:color w:val="000000" w:themeColor="text1"/>
          <w:szCs w:val="24"/>
          <w:lang w:val="en-US" w:eastAsia="ja-JP"/>
        </w:rPr>
        <w:t>(b)</w:t>
      </w:r>
      <w:r w:rsidRPr="004C70EC">
        <w:rPr>
          <w:noProof/>
          <w:color w:val="000000" w:themeColor="text1"/>
          <w:szCs w:val="24"/>
        </w:rPr>
        <w:tab/>
      </w:r>
      <w:r w:rsidRPr="004C70EC">
        <w:rPr>
          <w:rFonts w:eastAsia="Times New Roman"/>
          <w:noProof/>
          <w:color w:val="000000" w:themeColor="text1"/>
          <w:szCs w:val="24"/>
          <w:lang w:val="en-US" w:eastAsia="ja-JP"/>
        </w:rPr>
        <w:t>collaborate with the</w:t>
      </w:r>
      <w:r w:rsidR="0070407C" w:rsidRPr="004C70EC">
        <w:rPr>
          <w:rFonts w:eastAsia="Times New Roman"/>
          <w:noProof/>
          <w:color w:val="000000" w:themeColor="text1"/>
          <w:szCs w:val="24"/>
          <w:lang w:eastAsia="ja-JP"/>
        </w:rPr>
        <w:t xml:space="preserve"> </w:t>
      </w:r>
      <w:r w:rsidR="004926EA" w:rsidRPr="004C70EC">
        <w:rPr>
          <w:rFonts w:eastAsia="Times New Roman"/>
          <w:noProof/>
          <w:color w:val="000000" w:themeColor="text1"/>
          <w:szCs w:val="24"/>
          <w:lang w:eastAsia="ja-JP"/>
        </w:rPr>
        <w:t>F</w:t>
      </w:r>
      <w:r w:rsidR="0070407C" w:rsidRPr="004C70EC">
        <w:rPr>
          <w:rFonts w:eastAsia="Times New Roman"/>
          <w:noProof/>
          <w:color w:val="000000" w:themeColor="text1"/>
          <w:szCs w:val="24"/>
          <w:lang w:eastAsia="ja-JP"/>
        </w:rPr>
        <w:t xml:space="preserve">oresight </w:t>
      </w:r>
      <w:r w:rsidR="00CD0921" w:rsidRPr="004C70EC">
        <w:rPr>
          <w:rFonts w:eastAsia="Times New Roman"/>
          <w:noProof/>
          <w:color w:val="000000" w:themeColor="text1"/>
          <w:szCs w:val="24"/>
          <w:lang w:eastAsia="ja-JP"/>
        </w:rPr>
        <w:t>P</w:t>
      </w:r>
      <w:r w:rsidR="0070407C" w:rsidRPr="004C70EC">
        <w:rPr>
          <w:rFonts w:eastAsia="Times New Roman"/>
          <w:noProof/>
          <w:color w:val="000000" w:themeColor="text1"/>
          <w:szCs w:val="24"/>
          <w:lang w:eastAsia="ja-JP"/>
        </w:rPr>
        <w:t xml:space="preserve">anel for </w:t>
      </w:r>
      <w:r w:rsidR="00CD0921" w:rsidRPr="004C70EC">
        <w:rPr>
          <w:rFonts w:eastAsia="Times New Roman"/>
          <w:noProof/>
          <w:color w:val="000000" w:themeColor="text1"/>
          <w:szCs w:val="24"/>
          <w:lang w:eastAsia="ja-JP"/>
        </w:rPr>
        <w:t>E</w:t>
      </w:r>
      <w:r w:rsidR="0070407C" w:rsidRPr="004C70EC">
        <w:rPr>
          <w:rFonts w:eastAsia="Times New Roman"/>
          <w:noProof/>
          <w:color w:val="000000" w:themeColor="text1"/>
          <w:szCs w:val="24"/>
          <w:lang w:eastAsia="ja-JP"/>
        </w:rPr>
        <w:t xml:space="preserve">merging </w:t>
      </w:r>
      <w:r w:rsidR="00CD0921" w:rsidRPr="004C70EC">
        <w:rPr>
          <w:rFonts w:eastAsia="Times New Roman"/>
          <w:noProof/>
          <w:color w:val="000000" w:themeColor="text1"/>
          <w:szCs w:val="24"/>
          <w:lang w:eastAsia="ja-JP"/>
        </w:rPr>
        <w:t>H</w:t>
      </w:r>
      <w:r w:rsidR="0070407C" w:rsidRPr="004C70EC">
        <w:rPr>
          <w:rFonts w:eastAsia="Times New Roman"/>
          <w:noProof/>
          <w:color w:val="000000" w:themeColor="text1"/>
          <w:szCs w:val="24"/>
          <w:lang w:eastAsia="ja-JP"/>
        </w:rPr>
        <w:t xml:space="preserve">ealth </w:t>
      </w:r>
      <w:r w:rsidR="00CD0921" w:rsidRPr="004C70EC">
        <w:rPr>
          <w:rFonts w:eastAsia="Times New Roman"/>
          <w:noProof/>
          <w:color w:val="000000" w:themeColor="text1"/>
          <w:szCs w:val="24"/>
          <w:lang w:eastAsia="ja-JP"/>
        </w:rPr>
        <w:t>I</w:t>
      </w:r>
      <w:r w:rsidR="0070407C" w:rsidRPr="004C70EC">
        <w:rPr>
          <w:rFonts w:eastAsia="Times New Roman"/>
          <w:noProof/>
          <w:color w:val="000000" w:themeColor="text1"/>
          <w:szCs w:val="24"/>
          <w:lang w:eastAsia="ja-JP"/>
        </w:rPr>
        <w:t>nnovation</w:t>
      </w:r>
      <w:r w:rsidRPr="004C70EC">
        <w:rPr>
          <w:rFonts w:eastAsia="Times New Roman"/>
          <w:noProof/>
          <w:color w:val="000000" w:themeColor="text1"/>
          <w:szCs w:val="24"/>
          <w:lang w:val="en-US" w:eastAsia="ja-JP"/>
        </w:rPr>
        <w:t xml:space="preserve"> </w:t>
      </w:r>
      <w:r w:rsidR="2E13C86F" w:rsidRPr="004C70EC">
        <w:rPr>
          <w:rFonts w:eastAsia="Times New Roman"/>
          <w:noProof/>
          <w:color w:val="000000" w:themeColor="text1"/>
          <w:szCs w:val="24"/>
          <w:lang w:val="en-US" w:eastAsia="ja-JP"/>
        </w:rPr>
        <w:t xml:space="preserve">referred to in </w:t>
      </w:r>
      <w:r w:rsidRPr="004C70EC">
        <w:rPr>
          <w:rFonts w:eastAsia="Times New Roman"/>
          <w:noProof/>
          <w:color w:val="000000" w:themeColor="text1"/>
          <w:szCs w:val="24"/>
          <w:lang w:val="en-US" w:eastAsia="ja-JP"/>
        </w:rPr>
        <w:t xml:space="preserve">article </w:t>
      </w:r>
      <w:r w:rsidR="008069EF" w:rsidRPr="004C70EC">
        <w:rPr>
          <w:rFonts w:eastAsia="Times New Roman"/>
          <w:noProof/>
          <w:color w:val="000000" w:themeColor="text1"/>
          <w:szCs w:val="24"/>
          <w:lang w:val="en-US" w:eastAsia="ja-JP"/>
        </w:rPr>
        <w:t>3</w:t>
      </w:r>
      <w:r w:rsidR="004926EA" w:rsidRPr="004C70EC">
        <w:rPr>
          <w:rFonts w:eastAsia="Times New Roman"/>
          <w:noProof/>
          <w:color w:val="000000" w:themeColor="text1"/>
          <w:szCs w:val="24"/>
          <w:lang w:val="en-US" w:eastAsia="ja-JP"/>
        </w:rPr>
        <w:t>8</w:t>
      </w:r>
      <w:r w:rsidRPr="004C70EC">
        <w:rPr>
          <w:rFonts w:eastAsia="Times New Roman"/>
          <w:noProof/>
          <w:color w:val="000000" w:themeColor="text1"/>
          <w:szCs w:val="24"/>
          <w:lang w:val="en-US" w:eastAsia="ja-JP"/>
        </w:rPr>
        <w:t xml:space="preserve"> of</w:t>
      </w:r>
      <w:r w:rsidR="00E47752" w:rsidRPr="004C70EC">
        <w:rPr>
          <w:rFonts w:eastAsia="Times New Roman"/>
          <w:noProof/>
          <w:color w:val="000000" w:themeColor="text1"/>
          <w:szCs w:val="24"/>
          <w:lang w:val="en-US" w:eastAsia="ja-JP"/>
        </w:rPr>
        <w:t xml:space="preserve"> Regulation (EU) …/…</w:t>
      </w:r>
      <w:r w:rsidR="005127C8" w:rsidRPr="004C70EC">
        <w:rPr>
          <w:rFonts w:eastAsia="Times New Roman"/>
          <w:noProof/>
          <w:color w:val="000000" w:themeColor="text1"/>
          <w:lang w:val="en-US" w:eastAsia="ja-JP"/>
        </w:rPr>
        <w:t>[European Biotech Act]</w:t>
      </w:r>
      <w:r w:rsidRPr="004C70EC">
        <w:rPr>
          <w:rFonts w:eastAsia="Times New Roman"/>
          <w:noProof/>
          <w:color w:val="000000" w:themeColor="text1"/>
          <w:szCs w:val="24"/>
          <w:lang w:val="en-US" w:eastAsia="ja-JP"/>
        </w:rPr>
        <w:t>.</w:t>
      </w:r>
    </w:p>
    <w:p w14:paraId="06C9D4A1" w14:textId="77777777" w:rsidR="00273F36" w:rsidRPr="004C70EC" w:rsidRDefault="00273F36" w:rsidP="00310F11">
      <w:pPr>
        <w:pStyle w:val="Point1"/>
        <w:rPr>
          <w:rFonts w:eastAsia="Times New Roman"/>
          <w:noProof/>
          <w:color w:val="000000" w:themeColor="text1"/>
          <w:szCs w:val="24"/>
          <w:lang w:val="en-US" w:eastAsia="ja-JP"/>
        </w:rPr>
      </w:pPr>
      <w:r w:rsidRPr="004C70EC">
        <w:rPr>
          <w:rFonts w:eastAsia="Times New Roman"/>
          <w:noProof/>
          <w:color w:val="000000" w:themeColor="text1"/>
          <w:szCs w:val="24"/>
          <w:lang w:val="en-US" w:eastAsia="ja-JP"/>
        </w:rPr>
        <w:t>8.</w:t>
      </w:r>
      <w:r w:rsidRPr="004C70EC">
        <w:rPr>
          <w:noProof/>
          <w:color w:val="000000" w:themeColor="text1"/>
          <w:szCs w:val="24"/>
        </w:rPr>
        <w:tab/>
      </w:r>
      <w:r w:rsidRPr="004C70EC">
        <w:rPr>
          <w:rFonts w:eastAsia="Times New Roman"/>
          <w:noProof/>
          <w:color w:val="000000" w:themeColor="text1"/>
          <w:szCs w:val="24"/>
          <w:lang w:val="en-US" w:eastAsia="ja-JP"/>
        </w:rPr>
        <w:t xml:space="preserve">When setting up the regulatory sandbox, the </w:t>
      </w:r>
      <w:r w:rsidR="1CDC5311" w:rsidRPr="004C70EC">
        <w:rPr>
          <w:rFonts w:eastAsia="Times New Roman"/>
          <w:noProof/>
          <w:color w:val="000000" w:themeColor="text1"/>
          <w:szCs w:val="24"/>
          <w:lang w:val="en-US" w:eastAsia="ja-JP"/>
        </w:rPr>
        <w:t>SOHO</w:t>
      </w:r>
      <w:r w:rsidRPr="004C70EC">
        <w:rPr>
          <w:rFonts w:eastAsia="Times New Roman"/>
          <w:noProof/>
          <w:color w:val="000000" w:themeColor="text1"/>
          <w:szCs w:val="24"/>
          <w:lang w:val="en-US" w:eastAsia="ja-JP"/>
        </w:rPr>
        <w:t xml:space="preserve"> competent authorities shall provide detailed, non-confidential information to the Commission, regarding the regulatory framework governing the specific regulatory sandbox set out in a regulatory sandbox plan. The Commission shall publish the information received</w:t>
      </w:r>
      <w:r w:rsidR="18F85458" w:rsidRPr="004C70EC">
        <w:rPr>
          <w:rFonts w:eastAsia="Times New Roman"/>
          <w:noProof/>
          <w:color w:val="000000" w:themeColor="text1"/>
          <w:szCs w:val="24"/>
          <w:lang w:val="en-US" w:eastAsia="ja-JP"/>
        </w:rPr>
        <w:t>, on theEU SoHO platform established under article 74 of this Regulation</w:t>
      </w:r>
      <w:r w:rsidRPr="004C70EC">
        <w:rPr>
          <w:rFonts w:eastAsia="Times New Roman"/>
          <w:noProof/>
          <w:color w:val="000000" w:themeColor="text1"/>
          <w:szCs w:val="24"/>
          <w:lang w:val="en-US" w:eastAsia="ja-JP"/>
        </w:rPr>
        <w:t>.</w:t>
      </w:r>
    </w:p>
    <w:p w14:paraId="07EEDA5E" w14:textId="77777777" w:rsidR="00273F36" w:rsidRPr="004C70EC" w:rsidRDefault="2F263E33" w:rsidP="00310F11">
      <w:pPr>
        <w:pStyle w:val="Point1"/>
        <w:rPr>
          <w:rFonts w:eastAsia="Times New Roman"/>
          <w:noProof/>
          <w:color w:val="000000" w:themeColor="text1"/>
          <w:szCs w:val="24"/>
          <w:lang w:val="en-US" w:eastAsia="ja-JP"/>
        </w:rPr>
      </w:pPr>
      <w:r w:rsidRPr="004C70EC">
        <w:rPr>
          <w:rFonts w:eastAsia="Times New Roman"/>
          <w:noProof/>
          <w:color w:val="000000" w:themeColor="text1"/>
          <w:szCs w:val="24"/>
          <w:lang w:val="en-US" w:eastAsia="ja-JP"/>
        </w:rPr>
        <w:t>9.</w:t>
      </w:r>
      <w:r w:rsidR="00273F36" w:rsidRPr="004C70EC">
        <w:rPr>
          <w:noProof/>
          <w:color w:val="000000" w:themeColor="text1"/>
          <w:szCs w:val="24"/>
        </w:rPr>
        <w:tab/>
      </w:r>
      <w:r w:rsidRPr="004C70EC">
        <w:rPr>
          <w:rFonts w:eastAsia="Times New Roman"/>
          <w:noProof/>
          <w:color w:val="000000" w:themeColor="text1"/>
          <w:szCs w:val="24"/>
          <w:lang w:val="en-US" w:eastAsia="ja-JP"/>
        </w:rPr>
        <w:t xml:space="preserve">Upon the termination of the </w:t>
      </w:r>
      <w:r w:rsidR="255F210B" w:rsidRPr="004C70EC">
        <w:rPr>
          <w:rFonts w:eastAsia="Times New Roman"/>
          <w:noProof/>
          <w:color w:val="000000" w:themeColor="text1"/>
          <w:szCs w:val="24"/>
          <w:lang w:val="en-US" w:eastAsia="ja-JP"/>
        </w:rPr>
        <w:t xml:space="preserve">regulatory </w:t>
      </w:r>
      <w:r w:rsidRPr="004C70EC">
        <w:rPr>
          <w:rFonts w:eastAsia="Times New Roman"/>
          <w:noProof/>
          <w:color w:val="000000" w:themeColor="text1"/>
          <w:szCs w:val="24"/>
          <w:lang w:val="en-US" w:eastAsia="ja-JP"/>
        </w:rPr>
        <w:t xml:space="preserve">sandbox, the competent authorities shall submit to the SCB and to the Commission a detailed report on the </w:t>
      </w:r>
      <w:r w:rsidR="32BE6F30" w:rsidRPr="004C70EC">
        <w:rPr>
          <w:rFonts w:eastAsia="Times New Roman"/>
          <w:noProof/>
          <w:color w:val="000000" w:themeColor="text1"/>
          <w:szCs w:val="24"/>
          <w:lang w:val="en-US" w:eastAsia="ja-JP"/>
        </w:rPr>
        <w:t xml:space="preserve">regulatory </w:t>
      </w:r>
      <w:r w:rsidRPr="004C70EC">
        <w:rPr>
          <w:rFonts w:eastAsia="Times New Roman"/>
          <w:noProof/>
          <w:color w:val="000000" w:themeColor="text1"/>
          <w:szCs w:val="24"/>
          <w:lang w:val="en-US" w:eastAsia="ja-JP"/>
        </w:rPr>
        <w:t xml:space="preserve">sandbox and any possible follow up concerning in </w:t>
      </w:r>
      <w:r w:rsidR="00FA71D0" w:rsidRPr="004C70EC">
        <w:rPr>
          <w:rFonts w:eastAsia="Times New Roman"/>
          <w:noProof/>
          <w:color w:val="000000" w:themeColor="text1"/>
          <w:szCs w:val="24"/>
          <w:lang w:val="en-US" w:eastAsia="ja-JP"/>
        </w:rPr>
        <w:t>particular changes</w:t>
      </w:r>
      <w:r w:rsidR="24E5EBD8" w:rsidRPr="004C70EC">
        <w:rPr>
          <w:rFonts w:eastAsia="Times New Roman"/>
          <w:noProof/>
          <w:color w:val="000000" w:themeColor="text1"/>
          <w:szCs w:val="24"/>
          <w:lang w:val="en-US" w:eastAsia="ja-JP"/>
        </w:rPr>
        <w:t xml:space="preserve"> in the</w:t>
      </w:r>
      <w:r w:rsidRPr="004C70EC">
        <w:rPr>
          <w:rFonts w:eastAsia="Times New Roman"/>
          <w:noProof/>
          <w:color w:val="000000" w:themeColor="text1"/>
          <w:szCs w:val="24"/>
          <w:lang w:val="en-US" w:eastAsia="ja-JP"/>
        </w:rPr>
        <w:t xml:space="preserve"> regulatory framework for the innovations or categories of innovations concerned</w:t>
      </w:r>
      <w:r w:rsidR="5CBFBCDA" w:rsidRPr="004C70EC">
        <w:rPr>
          <w:rFonts w:eastAsia="Times New Roman"/>
          <w:noProof/>
          <w:color w:val="000000" w:themeColor="text1"/>
          <w:szCs w:val="24"/>
          <w:lang w:val="en-US" w:eastAsia="ja-JP"/>
        </w:rPr>
        <w:t>, based on the learnings from the regulatory sandbox</w:t>
      </w:r>
      <w:r w:rsidRPr="004C70EC">
        <w:rPr>
          <w:rFonts w:eastAsia="Times New Roman"/>
          <w:noProof/>
          <w:color w:val="000000" w:themeColor="text1"/>
          <w:szCs w:val="24"/>
          <w:lang w:val="en-US" w:eastAsia="ja-JP"/>
        </w:rPr>
        <w:t>. The SCB shall publish the information received.</w:t>
      </w:r>
    </w:p>
    <w:p w14:paraId="713BEC43" w14:textId="77777777" w:rsidR="2B8E9DDC" w:rsidRPr="004C70EC" w:rsidRDefault="00273F36" w:rsidP="2B8E9DDC">
      <w:pPr>
        <w:pStyle w:val="Text2"/>
        <w:rPr>
          <w:noProof/>
          <w:color w:val="000000" w:themeColor="text1"/>
          <w:szCs w:val="24"/>
          <w:lang w:val="en-US" w:eastAsia="ja-JP"/>
        </w:rPr>
      </w:pPr>
      <w:r w:rsidRPr="004C70EC">
        <w:rPr>
          <w:noProof/>
          <w:color w:val="000000" w:themeColor="text1"/>
          <w:szCs w:val="24"/>
          <w:lang w:val="en-US" w:eastAsia="ja-JP"/>
        </w:rPr>
        <w:t xml:space="preserve">The information referred to in the first subparagraph may also be provided at regular intervals during the implementation of the sandbox. </w:t>
      </w:r>
    </w:p>
    <w:p w14:paraId="22E3B550" w14:textId="77777777" w:rsidR="00273F36" w:rsidRPr="004C70EC" w:rsidRDefault="249CF78E" w:rsidP="4CF51068">
      <w:pPr>
        <w:pStyle w:val="Point1"/>
        <w:rPr>
          <w:rFonts w:eastAsia="Times New Roman"/>
          <w:noProof/>
          <w:color w:val="000000" w:themeColor="text1"/>
          <w:lang w:val="en-US" w:eastAsia="ja-JP"/>
        </w:rPr>
      </w:pPr>
      <w:r w:rsidRPr="004C70EC">
        <w:rPr>
          <w:rFonts w:eastAsia="Times New Roman"/>
          <w:noProof/>
          <w:color w:val="000000" w:themeColor="text1"/>
          <w:lang w:val="en-US" w:eastAsia="ja-JP"/>
        </w:rPr>
        <w:t>10.</w:t>
      </w:r>
      <w:r w:rsidR="00273F36" w:rsidRPr="004C70EC">
        <w:rPr>
          <w:noProof/>
        </w:rPr>
        <w:tab/>
      </w:r>
      <w:r w:rsidRPr="004C70EC">
        <w:rPr>
          <w:rFonts w:eastAsia="Times New Roman"/>
          <w:noProof/>
          <w:color w:val="000000" w:themeColor="text1"/>
          <w:lang w:val="en-US" w:eastAsia="ja-JP"/>
        </w:rPr>
        <w:t xml:space="preserve">A SoHO preparation resulting from an innovation developed as part of a regulatory sandbox may be distributed for human application only where authorised in accordance with </w:t>
      </w:r>
      <w:r w:rsidR="4FE4FB8C" w:rsidRPr="004C70EC">
        <w:rPr>
          <w:rFonts w:eastAsia="Times New Roman"/>
          <w:noProof/>
          <w:color w:val="000000" w:themeColor="text1"/>
          <w:lang w:val="en-US" w:eastAsia="ja-JP"/>
        </w:rPr>
        <w:t>A</w:t>
      </w:r>
      <w:r w:rsidRPr="004C70EC">
        <w:rPr>
          <w:rFonts w:eastAsia="Times New Roman"/>
          <w:noProof/>
          <w:color w:val="000000" w:themeColor="text1"/>
          <w:lang w:val="en-US" w:eastAsia="ja-JP"/>
        </w:rPr>
        <w:t>rticle 38(1). The initial validity of such authorisation shall not exceed the duration of the regulatory sandbox. The authorisation may be extended by the competent authority at the request of the relevant SoHO entity.</w:t>
      </w:r>
    </w:p>
    <w:p w14:paraId="14AF71FE" w14:textId="77777777" w:rsidR="00273F36" w:rsidRPr="004C70EC" w:rsidRDefault="00273F36" w:rsidP="00310F11">
      <w:pPr>
        <w:pStyle w:val="Point1"/>
        <w:rPr>
          <w:rFonts w:eastAsia="Times New Roman"/>
          <w:noProof/>
          <w:color w:val="000000" w:themeColor="text1"/>
          <w:szCs w:val="24"/>
          <w:lang w:val="en-US" w:eastAsia="ja-JP"/>
        </w:rPr>
      </w:pPr>
      <w:r w:rsidRPr="004C70EC">
        <w:rPr>
          <w:rFonts w:eastAsia="Times New Roman"/>
          <w:noProof/>
          <w:color w:val="000000" w:themeColor="text1"/>
          <w:szCs w:val="24"/>
          <w:lang w:val="en-US" w:eastAsia="ja-JP"/>
        </w:rPr>
        <w:t>11.</w:t>
      </w:r>
      <w:r w:rsidRPr="004C70EC">
        <w:rPr>
          <w:noProof/>
          <w:color w:val="000000" w:themeColor="text1"/>
          <w:szCs w:val="24"/>
        </w:rPr>
        <w:tab/>
      </w:r>
      <w:r w:rsidRPr="004C70EC">
        <w:rPr>
          <w:rFonts w:eastAsia="Times New Roman"/>
          <w:noProof/>
          <w:color w:val="000000" w:themeColor="text1"/>
          <w:szCs w:val="24"/>
          <w:lang w:val="en-US" w:eastAsia="ja-JP"/>
        </w:rPr>
        <w:t xml:space="preserve">The regulatory sandboxes shall not affect the enforcement and monitoring responsibilities of the </w:t>
      </w:r>
      <w:r w:rsidR="438B22CC" w:rsidRPr="004C70EC">
        <w:rPr>
          <w:rFonts w:eastAsia="Times New Roman"/>
          <w:noProof/>
          <w:color w:val="000000" w:themeColor="text1"/>
          <w:szCs w:val="24"/>
          <w:lang w:val="en-US" w:eastAsia="ja-JP"/>
        </w:rPr>
        <w:t xml:space="preserve">SoHO </w:t>
      </w:r>
      <w:r w:rsidRPr="004C70EC">
        <w:rPr>
          <w:rFonts w:eastAsia="Times New Roman"/>
          <w:noProof/>
          <w:color w:val="000000" w:themeColor="text1"/>
          <w:szCs w:val="24"/>
          <w:lang w:val="en-US" w:eastAsia="ja-JP"/>
        </w:rPr>
        <w:t xml:space="preserve">competent authorities pursuant to this Regulation and to other </w:t>
      </w:r>
      <w:r w:rsidR="76462F28" w:rsidRPr="004C70EC">
        <w:rPr>
          <w:rFonts w:eastAsia="Times New Roman"/>
          <w:noProof/>
          <w:color w:val="000000" w:themeColor="text1"/>
          <w:szCs w:val="24"/>
          <w:lang w:val="en-US" w:eastAsia="ja-JP"/>
        </w:rPr>
        <w:t>Union</w:t>
      </w:r>
      <w:r w:rsidRPr="004C70EC">
        <w:rPr>
          <w:rFonts w:eastAsia="Times New Roman"/>
          <w:noProof/>
          <w:color w:val="000000" w:themeColor="text1"/>
          <w:szCs w:val="24"/>
          <w:lang w:val="en-US" w:eastAsia="ja-JP"/>
        </w:rPr>
        <w:t xml:space="preserve"> legislation. </w:t>
      </w:r>
    </w:p>
    <w:p w14:paraId="29B4CC08" w14:textId="77777777" w:rsidR="00273F36" w:rsidRPr="004C70EC" w:rsidRDefault="00273F36" w:rsidP="00310F11">
      <w:pPr>
        <w:pStyle w:val="Point1"/>
        <w:rPr>
          <w:rFonts w:eastAsia="Times New Roman"/>
          <w:noProof/>
          <w:color w:val="000000" w:themeColor="text1"/>
          <w:szCs w:val="24"/>
          <w:lang w:eastAsia="ja-JP"/>
        </w:rPr>
      </w:pPr>
      <w:r w:rsidRPr="004C70EC">
        <w:rPr>
          <w:rFonts w:eastAsia="Times New Roman"/>
          <w:noProof/>
          <w:color w:val="000000" w:themeColor="text1"/>
          <w:szCs w:val="24"/>
          <w:lang w:eastAsia="ja-JP"/>
        </w:rPr>
        <w:t>12.</w:t>
      </w:r>
      <w:r w:rsidRPr="004C70EC">
        <w:rPr>
          <w:noProof/>
          <w:color w:val="000000" w:themeColor="text1"/>
          <w:szCs w:val="24"/>
        </w:rPr>
        <w:tab/>
      </w:r>
      <w:r w:rsidRPr="004C70EC">
        <w:rPr>
          <w:rFonts w:eastAsia="Times New Roman"/>
          <w:noProof/>
          <w:color w:val="000000" w:themeColor="text1"/>
          <w:szCs w:val="24"/>
          <w:lang w:eastAsia="ja-JP"/>
        </w:rPr>
        <w:t xml:space="preserve">Participants in the regulatory sandbox, in particular the developer shall remain liable under applicable national legislation for any harm inflicted on third parties as a result from the testing taking place in the </w:t>
      </w:r>
      <w:r w:rsidR="2EFB1050" w:rsidRPr="004C70EC">
        <w:rPr>
          <w:rFonts w:eastAsia="Times New Roman"/>
          <w:noProof/>
          <w:color w:val="000000" w:themeColor="text1"/>
          <w:szCs w:val="24"/>
          <w:lang w:eastAsia="ja-JP"/>
        </w:rPr>
        <w:t xml:space="preserve">regulatory </w:t>
      </w:r>
      <w:r w:rsidRPr="004C70EC">
        <w:rPr>
          <w:rFonts w:eastAsia="Times New Roman"/>
          <w:noProof/>
          <w:color w:val="000000" w:themeColor="text1"/>
          <w:szCs w:val="24"/>
          <w:lang w:eastAsia="ja-JP"/>
        </w:rPr>
        <w:t xml:space="preserve">sandbox. They shall inform the national </w:t>
      </w:r>
      <w:r w:rsidR="5B3253F5" w:rsidRPr="004C70EC">
        <w:rPr>
          <w:rFonts w:eastAsia="Times New Roman"/>
          <w:noProof/>
          <w:color w:val="000000" w:themeColor="text1"/>
          <w:szCs w:val="24"/>
          <w:lang w:eastAsia="ja-JP"/>
        </w:rPr>
        <w:t xml:space="preserve">SoHO </w:t>
      </w:r>
      <w:r w:rsidRPr="004C70EC">
        <w:rPr>
          <w:rFonts w:eastAsia="Times New Roman"/>
          <w:noProof/>
          <w:color w:val="000000" w:themeColor="text1"/>
          <w:szCs w:val="24"/>
          <w:lang w:eastAsia="ja-JP"/>
        </w:rPr>
        <w:t>competent authorities without undue delay of any information which might entail the amendment of the regulatory sandbox or concerns the quality, safety or efficacy of products developed as part of a regulatory sandbox.</w:t>
      </w:r>
    </w:p>
    <w:p w14:paraId="18040F92" w14:textId="77777777" w:rsidR="00273F36" w:rsidRPr="004C70EC" w:rsidRDefault="00273F36" w:rsidP="00310F11">
      <w:pPr>
        <w:pStyle w:val="Point1"/>
        <w:rPr>
          <w:rFonts w:eastAsia="Times New Roman"/>
          <w:noProof/>
          <w:color w:val="000000" w:themeColor="text1"/>
          <w:szCs w:val="24"/>
          <w:lang w:eastAsia="ja-JP"/>
        </w:rPr>
      </w:pPr>
      <w:r w:rsidRPr="004C70EC">
        <w:rPr>
          <w:rFonts w:eastAsia="Times New Roman"/>
          <w:noProof/>
          <w:color w:val="000000" w:themeColor="text1"/>
          <w:szCs w:val="24"/>
          <w:lang w:eastAsia="ja-JP"/>
        </w:rPr>
        <w:t>13.</w:t>
      </w:r>
      <w:r w:rsidRPr="004C70EC">
        <w:rPr>
          <w:noProof/>
          <w:color w:val="000000" w:themeColor="text1"/>
          <w:szCs w:val="24"/>
        </w:rPr>
        <w:tab/>
      </w:r>
      <w:r w:rsidRPr="004C70EC">
        <w:rPr>
          <w:rFonts w:eastAsia="Times New Roman"/>
          <w:noProof/>
          <w:color w:val="000000" w:themeColor="text1"/>
          <w:szCs w:val="24"/>
          <w:lang w:eastAsia="ja-JP"/>
        </w:rPr>
        <w:t xml:space="preserve">In case of identification of risks to public health or safety concerns or the environment associated with the use of the innovation covered by a </w:t>
      </w:r>
      <w:r w:rsidR="6F07103E" w:rsidRPr="004C70EC">
        <w:rPr>
          <w:rFonts w:eastAsia="Times New Roman"/>
          <w:noProof/>
          <w:color w:val="000000" w:themeColor="text1"/>
          <w:szCs w:val="24"/>
          <w:lang w:eastAsia="ja-JP"/>
        </w:rPr>
        <w:t xml:space="preserve">regulatory </w:t>
      </w:r>
      <w:r w:rsidRPr="004C70EC">
        <w:rPr>
          <w:rFonts w:eastAsia="Times New Roman"/>
          <w:noProof/>
          <w:color w:val="000000" w:themeColor="text1"/>
          <w:szCs w:val="24"/>
          <w:lang w:eastAsia="ja-JP"/>
        </w:rPr>
        <w:t xml:space="preserve">sandbox, the sandbox participants shall immediately inform the </w:t>
      </w:r>
      <w:r w:rsidR="05741BAD" w:rsidRPr="004C70EC">
        <w:rPr>
          <w:rFonts w:eastAsia="Times New Roman"/>
          <w:noProof/>
          <w:color w:val="000000" w:themeColor="text1"/>
          <w:szCs w:val="24"/>
          <w:lang w:eastAsia="ja-JP"/>
        </w:rPr>
        <w:t xml:space="preserve">SoHO </w:t>
      </w:r>
      <w:r w:rsidRPr="004C70EC">
        <w:rPr>
          <w:rFonts w:eastAsia="Times New Roman"/>
          <w:noProof/>
          <w:color w:val="000000" w:themeColor="text1"/>
          <w:szCs w:val="24"/>
          <w:lang w:eastAsia="ja-JP"/>
        </w:rPr>
        <w:t xml:space="preserve">competent authorities of the action taken to prevent those risks. The </w:t>
      </w:r>
      <w:r w:rsidR="4C47C1D3" w:rsidRPr="004C70EC">
        <w:rPr>
          <w:rFonts w:eastAsia="Times New Roman"/>
          <w:noProof/>
          <w:color w:val="000000" w:themeColor="text1"/>
          <w:szCs w:val="24"/>
          <w:lang w:eastAsia="ja-JP"/>
        </w:rPr>
        <w:t>SoHO</w:t>
      </w:r>
      <w:r w:rsidRPr="004C70EC">
        <w:rPr>
          <w:rFonts w:eastAsia="Times New Roman"/>
          <w:noProof/>
          <w:color w:val="000000" w:themeColor="text1"/>
          <w:szCs w:val="24"/>
          <w:lang w:eastAsia="ja-JP"/>
        </w:rPr>
        <w:t xml:space="preserve"> competent authorities shall take immediate and adequate temporary corrective measures, including to suspend, revoke or restrict the scope of the regulatory sandbox and shall inform the SCB and the Commission thereof.</w:t>
      </w:r>
    </w:p>
    <w:p w14:paraId="6ED62482" w14:textId="77777777" w:rsidR="00FA71D0" w:rsidRPr="004C70EC" w:rsidRDefault="00FA71D0" w:rsidP="00310F11">
      <w:pPr>
        <w:pStyle w:val="Point1"/>
        <w:rPr>
          <w:rFonts w:eastAsia="Times New Roman"/>
          <w:noProof/>
          <w:color w:val="000000" w:themeColor="text1"/>
          <w:szCs w:val="24"/>
          <w:lang w:eastAsia="ja-JP"/>
        </w:rPr>
      </w:pPr>
    </w:p>
    <w:p w14:paraId="28439294" w14:textId="77777777" w:rsidR="0003656B" w:rsidRPr="004C70EC" w:rsidRDefault="00804A1A" w:rsidP="00804A1A">
      <w:pPr>
        <w:pStyle w:val="ChapterTitle"/>
        <w:rPr>
          <w:noProof/>
          <w:color w:val="000000" w:themeColor="text1"/>
          <w:sz w:val="24"/>
          <w:szCs w:val="24"/>
        </w:rPr>
      </w:pPr>
      <w:r w:rsidRPr="004C70EC">
        <w:rPr>
          <w:noProof/>
          <w:color w:val="000000" w:themeColor="text1"/>
          <w:sz w:val="24"/>
          <w:szCs w:val="24"/>
        </w:rPr>
        <w:t>CHAPTER [X]</w:t>
      </w:r>
    </w:p>
    <w:p w14:paraId="435AFB47" w14:textId="77777777" w:rsidR="00273F36" w:rsidRPr="004C70EC" w:rsidRDefault="00273F36" w:rsidP="00E26087">
      <w:pPr>
        <w:pStyle w:val="ChapterTitle"/>
        <w:rPr>
          <w:rFonts w:eastAsiaTheme="majorEastAsia"/>
          <w:b w:val="0"/>
          <w:noProof/>
          <w:color w:val="000000" w:themeColor="text1"/>
          <w:sz w:val="24"/>
          <w:szCs w:val="24"/>
          <w:lang w:eastAsia="ja-JP"/>
        </w:rPr>
      </w:pPr>
      <w:r w:rsidRPr="004C70EC">
        <w:rPr>
          <w:rFonts w:eastAsia="Times New Roman"/>
          <w:bCs/>
          <w:noProof/>
          <w:color w:val="000000" w:themeColor="text1"/>
          <w:sz w:val="24"/>
          <w:szCs w:val="24"/>
          <w:lang w:eastAsia="ja-JP"/>
        </w:rPr>
        <w:t>FINAL PROVISIONS</w:t>
      </w:r>
    </w:p>
    <w:p w14:paraId="14669F86" w14:textId="77777777" w:rsidR="00273F36" w:rsidRPr="004C70EC" w:rsidRDefault="00273F36" w:rsidP="00E26087">
      <w:pPr>
        <w:pStyle w:val="Titrearticle"/>
        <w:rPr>
          <w:rFonts w:eastAsiaTheme="minorEastAsia"/>
          <w:noProof/>
          <w:color w:val="000000" w:themeColor="text1"/>
          <w:szCs w:val="24"/>
          <w:lang w:eastAsia="ja-JP"/>
        </w:rPr>
      </w:pPr>
      <w:r w:rsidRPr="004C70EC">
        <w:rPr>
          <w:rFonts w:eastAsia="Times New Roman"/>
          <w:iCs/>
          <w:noProof/>
          <w:color w:val="000000" w:themeColor="text1"/>
          <w:szCs w:val="24"/>
          <w:lang w:eastAsia="ja-JP"/>
        </w:rPr>
        <w:t xml:space="preserve">Article </w:t>
      </w:r>
      <w:r w:rsidR="006116D3" w:rsidRPr="004C70EC">
        <w:rPr>
          <w:rFonts w:eastAsia="Times New Roman"/>
          <w:iCs/>
          <w:noProof/>
          <w:color w:val="000000" w:themeColor="text1"/>
          <w:szCs w:val="24"/>
          <w:lang w:eastAsia="ja-JP"/>
        </w:rPr>
        <w:t>6</w:t>
      </w:r>
      <w:r w:rsidR="00A42530" w:rsidRPr="004C70EC">
        <w:rPr>
          <w:rFonts w:eastAsia="Times New Roman"/>
          <w:iCs/>
          <w:noProof/>
          <w:color w:val="000000" w:themeColor="text1"/>
          <w:szCs w:val="24"/>
          <w:lang w:eastAsia="ja-JP"/>
        </w:rPr>
        <w:t>2</w:t>
      </w:r>
    </w:p>
    <w:p w14:paraId="40028B28" w14:textId="77777777" w:rsidR="00273F36" w:rsidRPr="004C70EC" w:rsidRDefault="00273F36" w:rsidP="00273F36">
      <w:pPr>
        <w:keepNext/>
        <w:keepLines/>
        <w:spacing w:before="360" w:after="80" w:line="279" w:lineRule="auto"/>
        <w:jc w:val="center"/>
        <w:outlineLvl w:val="0"/>
        <w:rPr>
          <w:rFonts w:eastAsia="Times New Roman"/>
          <w:b/>
          <w:bCs/>
          <w:noProof/>
          <w:color w:val="000000" w:themeColor="text1"/>
          <w:szCs w:val="24"/>
          <w:lang w:eastAsia="ja-JP"/>
        </w:rPr>
      </w:pPr>
      <w:r w:rsidRPr="004C70EC">
        <w:rPr>
          <w:rFonts w:eastAsia="Times New Roman"/>
          <w:b/>
          <w:bCs/>
          <w:noProof/>
          <w:color w:val="000000" w:themeColor="text1"/>
          <w:szCs w:val="24"/>
          <w:lang w:eastAsia="ja-JP"/>
        </w:rPr>
        <w:t>Monitoring</w:t>
      </w:r>
    </w:p>
    <w:p w14:paraId="3CA14F34" w14:textId="77777777" w:rsidR="00273F36" w:rsidRPr="004C70EC" w:rsidRDefault="00273F36" w:rsidP="00273F36">
      <w:pPr>
        <w:spacing w:line="279" w:lineRule="auto"/>
        <w:rPr>
          <w:rFonts w:eastAsia="Times New Roman"/>
          <w:noProof/>
          <w:color w:val="000000" w:themeColor="text1"/>
          <w:szCs w:val="24"/>
          <w:lang w:eastAsia="ja-JP"/>
        </w:rPr>
      </w:pPr>
      <w:r w:rsidRPr="004C70EC">
        <w:rPr>
          <w:rFonts w:eastAsia="Times New Roman"/>
          <w:noProof/>
          <w:color w:val="000000" w:themeColor="text1"/>
          <w:szCs w:val="24"/>
          <w:lang w:eastAsia="ja-JP"/>
        </w:rPr>
        <w:t xml:space="preserve">The Commission shall publish and keep up to date a list of </w:t>
      </w:r>
      <w:r w:rsidR="00657958" w:rsidRPr="004C70EC">
        <w:rPr>
          <w:rFonts w:eastAsia="Times New Roman"/>
          <w:noProof/>
          <w:color w:val="000000" w:themeColor="text1"/>
          <w:szCs w:val="24"/>
          <w:lang w:val="en-IE" w:eastAsia="de-DE"/>
        </w:rPr>
        <w:t xml:space="preserve">health </w:t>
      </w:r>
      <w:r w:rsidRPr="004C70EC">
        <w:rPr>
          <w:rFonts w:eastAsia="Times New Roman"/>
          <w:noProof/>
          <w:color w:val="000000" w:themeColor="text1"/>
          <w:szCs w:val="24"/>
          <w:lang w:eastAsia="ja-JP"/>
        </w:rPr>
        <w:t>biotechnology strategic projects</w:t>
      </w:r>
      <w:r w:rsidR="002945D0" w:rsidRPr="004C70EC">
        <w:rPr>
          <w:rFonts w:eastAsia="Times New Roman"/>
          <w:noProof/>
          <w:color w:val="000000" w:themeColor="text1"/>
          <w:szCs w:val="24"/>
          <w:lang w:eastAsia="ja-JP"/>
        </w:rPr>
        <w:t xml:space="preserve"> and</w:t>
      </w:r>
      <w:r w:rsidRPr="004C70EC">
        <w:rPr>
          <w:rFonts w:eastAsia="Times New Roman"/>
          <w:noProof/>
          <w:color w:val="000000" w:themeColor="text1"/>
          <w:szCs w:val="24"/>
          <w:lang w:eastAsia="ja-JP"/>
        </w:rPr>
        <w:t xml:space="preserve"> high impact </w:t>
      </w:r>
      <w:r w:rsidR="00657958" w:rsidRPr="004C70EC">
        <w:rPr>
          <w:rFonts w:eastAsia="Times New Roman"/>
          <w:noProof/>
          <w:color w:val="000000" w:themeColor="text1"/>
          <w:szCs w:val="24"/>
          <w:lang w:val="en-IE" w:eastAsia="de-DE"/>
        </w:rPr>
        <w:t xml:space="preserve">health </w:t>
      </w:r>
      <w:r w:rsidRPr="004C70EC">
        <w:rPr>
          <w:rFonts w:eastAsia="Times New Roman"/>
          <w:noProof/>
          <w:color w:val="000000" w:themeColor="text1"/>
          <w:szCs w:val="24"/>
          <w:lang w:eastAsia="ja-JP"/>
        </w:rPr>
        <w:t>biotechnology strategic projects.</w:t>
      </w:r>
    </w:p>
    <w:p w14:paraId="13685748" w14:textId="77777777" w:rsidR="00273F36" w:rsidRPr="004C70EC" w:rsidRDefault="00273F36" w:rsidP="00E26087">
      <w:pPr>
        <w:pStyle w:val="Titrearticle"/>
        <w:rPr>
          <w:rFonts w:eastAsiaTheme="minorEastAsia"/>
          <w:i w:val="0"/>
          <w:noProof/>
          <w:color w:val="000000" w:themeColor="text1"/>
          <w:szCs w:val="24"/>
          <w:lang w:eastAsia="ja-JP"/>
        </w:rPr>
      </w:pPr>
      <w:r w:rsidRPr="004C70EC">
        <w:rPr>
          <w:rFonts w:eastAsia="Times New Roman"/>
          <w:iCs/>
          <w:noProof/>
          <w:color w:val="000000" w:themeColor="text1"/>
          <w:szCs w:val="24"/>
          <w:lang w:eastAsia="ja-JP"/>
        </w:rPr>
        <w:t xml:space="preserve">Article </w:t>
      </w:r>
      <w:r w:rsidR="006116D3" w:rsidRPr="004C70EC">
        <w:rPr>
          <w:rFonts w:eastAsia="Times New Roman"/>
          <w:iCs/>
          <w:noProof/>
          <w:color w:val="000000" w:themeColor="text1"/>
          <w:szCs w:val="24"/>
          <w:lang w:eastAsia="ja-JP"/>
        </w:rPr>
        <w:t>6</w:t>
      </w:r>
      <w:r w:rsidR="00A42530" w:rsidRPr="004C70EC">
        <w:rPr>
          <w:rFonts w:eastAsia="Times New Roman"/>
          <w:iCs/>
          <w:noProof/>
          <w:color w:val="000000" w:themeColor="text1"/>
          <w:szCs w:val="24"/>
          <w:lang w:eastAsia="ja-JP"/>
        </w:rPr>
        <w:t>3</w:t>
      </w:r>
    </w:p>
    <w:p w14:paraId="24E93362" w14:textId="77777777" w:rsidR="00273F36" w:rsidRPr="004C70EC" w:rsidRDefault="00273F36" w:rsidP="00273F36">
      <w:pPr>
        <w:keepNext/>
        <w:keepLines/>
        <w:spacing w:before="360" w:after="80" w:line="279" w:lineRule="auto"/>
        <w:jc w:val="center"/>
        <w:outlineLvl w:val="0"/>
        <w:rPr>
          <w:rFonts w:eastAsiaTheme="majorEastAsia"/>
          <w:b/>
          <w:noProof/>
          <w:color w:val="000000" w:themeColor="text1"/>
          <w:szCs w:val="24"/>
          <w:lang w:eastAsia="ja-JP"/>
        </w:rPr>
      </w:pPr>
      <w:r w:rsidRPr="004C70EC">
        <w:rPr>
          <w:rFonts w:eastAsia="Times New Roman"/>
          <w:b/>
          <w:bCs/>
          <w:noProof/>
          <w:color w:val="000000" w:themeColor="text1"/>
          <w:szCs w:val="24"/>
          <w:lang w:eastAsia="ja-JP"/>
        </w:rPr>
        <w:t>Evaluation</w:t>
      </w:r>
    </w:p>
    <w:p w14:paraId="2165025B" w14:textId="77777777" w:rsidR="00273F36" w:rsidRPr="004C70EC" w:rsidRDefault="00273F36" w:rsidP="00E26087">
      <w:pPr>
        <w:pStyle w:val="Point0"/>
        <w:rPr>
          <w:rFonts w:eastAsia="Times New Roman"/>
          <w:noProof/>
          <w:color w:val="000000" w:themeColor="text1"/>
          <w:szCs w:val="24"/>
          <w:lang w:eastAsia="ja-JP"/>
        </w:rPr>
      </w:pPr>
      <w:r w:rsidRPr="004C70EC">
        <w:rPr>
          <w:rFonts w:eastAsia="Times New Roman"/>
          <w:noProof/>
          <w:color w:val="000000" w:themeColor="text1"/>
          <w:szCs w:val="24"/>
          <w:lang w:eastAsia="ja-JP"/>
        </w:rPr>
        <w:t>1.</w:t>
      </w:r>
      <w:r w:rsidRPr="004C70EC">
        <w:rPr>
          <w:rFonts w:eastAsia="Times New Roman"/>
          <w:noProof/>
          <w:color w:val="000000" w:themeColor="text1"/>
          <w:szCs w:val="24"/>
          <w:lang w:eastAsia="ja-JP"/>
        </w:rPr>
        <w:tab/>
      </w:r>
      <w:r w:rsidR="003F567E" w:rsidRPr="004C70EC">
        <w:rPr>
          <w:rFonts w:eastAsia="Times New Roman"/>
          <w:noProof/>
          <w:color w:val="000000" w:themeColor="text1"/>
          <w:szCs w:val="24"/>
          <w:lang w:eastAsia="ja-JP"/>
        </w:rPr>
        <w:t>No sooner than</w:t>
      </w:r>
      <w:r w:rsidRPr="004C70EC">
        <w:rPr>
          <w:rFonts w:eastAsia="Times New Roman"/>
          <w:noProof/>
          <w:color w:val="000000" w:themeColor="text1"/>
          <w:szCs w:val="24"/>
          <w:lang w:eastAsia="ja-JP"/>
        </w:rPr>
        <w:t xml:space="preserve"> [</w:t>
      </w:r>
      <w:r w:rsidRPr="004C70EC">
        <w:rPr>
          <w:rFonts w:eastAsia="Times New Roman"/>
          <w:i/>
          <w:noProof/>
          <w:color w:val="000000" w:themeColor="text1"/>
          <w:szCs w:val="24"/>
          <w:lang w:eastAsia="ja-JP"/>
        </w:rPr>
        <w:t>insert date, five years after the date of entry into application of this Regulat</w:t>
      </w:r>
      <w:r w:rsidRPr="004C70EC">
        <w:rPr>
          <w:rFonts w:eastAsia="Times New Roman"/>
          <w:noProof/>
          <w:color w:val="000000" w:themeColor="text1"/>
          <w:szCs w:val="24"/>
          <w:lang w:eastAsia="ja-JP"/>
        </w:rPr>
        <w:t>ion...], the Commission shall evaluate this Regulation in light of the general objective that it pursues and referred to in Article 1</w:t>
      </w:r>
      <w:r w:rsidR="00FE75F7" w:rsidRPr="004C70EC">
        <w:rPr>
          <w:rFonts w:eastAsia="Times New Roman"/>
          <w:noProof/>
          <w:color w:val="000000" w:themeColor="text1"/>
          <w:szCs w:val="24"/>
          <w:lang w:eastAsia="ja-JP"/>
        </w:rPr>
        <w:t>(</w:t>
      </w:r>
      <w:r w:rsidRPr="004C70EC">
        <w:rPr>
          <w:rFonts w:eastAsia="Times New Roman"/>
          <w:noProof/>
          <w:color w:val="000000" w:themeColor="text1"/>
          <w:szCs w:val="24"/>
          <w:lang w:eastAsia="ja-JP"/>
        </w:rPr>
        <w:t>1</w:t>
      </w:r>
      <w:r w:rsidR="00FE75F7" w:rsidRPr="004C70EC">
        <w:rPr>
          <w:rFonts w:eastAsia="Times New Roman"/>
          <w:noProof/>
          <w:color w:val="000000" w:themeColor="text1"/>
          <w:szCs w:val="24"/>
          <w:lang w:eastAsia="ja-JP"/>
        </w:rPr>
        <w:t>)</w:t>
      </w:r>
      <w:r w:rsidRPr="004C70EC">
        <w:rPr>
          <w:rFonts w:eastAsia="Times New Roman"/>
          <w:noProof/>
          <w:color w:val="000000" w:themeColor="text1"/>
          <w:szCs w:val="24"/>
          <w:lang w:eastAsia="ja-JP"/>
        </w:rPr>
        <w:t>]and present a report on its main findings to the European Parliament and to the Council, the European Economic and Social Committee, and the Committee of the Regions, in particular on the impact of this Regulation and progress towards th</w:t>
      </w:r>
      <w:r w:rsidR="00FE75F7" w:rsidRPr="004C70EC">
        <w:rPr>
          <w:rFonts w:eastAsia="Times New Roman"/>
          <w:noProof/>
          <w:color w:val="000000" w:themeColor="text1"/>
          <w:szCs w:val="24"/>
          <w:lang w:eastAsia="ja-JP"/>
        </w:rPr>
        <w:t>at</w:t>
      </w:r>
      <w:r w:rsidRPr="004C70EC">
        <w:rPr>
          <w:rFonts w:eastAsia="Times New Roman"/>
          <w:noProof/>
          <w:color w:val="000000" w:themeColor="text1"/>
          <w:szCs w:val="24"/>
          <w:lang w:eastAsia="ja-JP"/>
        </w:rPr>
        <w:t xml:space="preserve"> objective</w:t>
      </w:r>
      <w:r w:rsidR="00810FE8" w:rsidRPr="004C70EC">
        <w:rPr>
          <w:rFonts w:eastAsia="Times New Roman"/>
          <w:noProof/>
          <w:color w:val="000000" w:themeColor="text1"/>
          <w:szCs w:val="24"/>
          <w:lang w:eastAsia="ja-JP"/>
        </w:rPr>
        <w:t xml:space="preserve">. </w:t>
      </w:r>
    </w:p>
    <w:p w14:paraId="3B182909" w14:textId="77777777" w:rsidR="00273F36" w:rsidRPr="004C70EC" w:rsidRDefault="00273F36" w:rsidP="00E26087">
      <w:pPr>
        <w:pStyle w:val="Point0"/>
        <w:rPr>
          <w:rFonts w:eastAsia="Times New Roman"/>
          <w:noProof/>
          <w:color w:val="000000" w:themeColor="text1"/>
          <w:szCs w:val="24"/>
          <w:lang w:eastAsia="ja-JP"/>
        </w:rPr>
      </w:pPr>
      <w:r w:rsidRPr="004C70EC">
        <w:rPr>
          <w:rFonts w:eastAsia="Times New Roman"/>
          <w:noProof/>
          <w:color w:val="000000" w:themeColor="text1"/>
          <w:szCs w:val="24"/>
          <w:lang w:eastAsia="ja-JP"/>
        </w:rPr>
        <w:t>2.</w:t>
      </w:r>
      <w:r w:rsidRPr="004C70EC">
        <w:rPr>
          <w:rFonts w:eastAsia="Times New Roman"/>
          <w:noProof/>
          <w:color w:val="000000" w:themeColor="text1"/>
          <w:szCs w:val="24"/>
          <w:lang w:eastAsia="ja-JP"/>
        </w:rPr>
        <w:tab/>
        <w:t xml:space="preserve">The </w:t>
      </w:r>
      <w:r w:rsidR="001C3896" w:rsidRPr="004C70EC">
        <w:rPr>
          <w:rFonts w:eastAsia="Times New Roman"/>
          <w:noProof/>
          <w:color w:val="000000" w:themeColor="text1"/>
          <w:szCs w:val="24"/>
          <w:lang w:eastAsia="ja-JP"/>
        </w:rPr>
        <w:t>Member States</w:t>
      </w:r>
      <w:r w:rsidRPr="004C70EC">
        <w:rPr>
          <w:rFonts w:eastAsia="Times New Roman"/>
          <w:noProof/>
          <w:color w:val="000000" w:themeColor="text1"/>
          <w:szCs w:val="24"/>
          <w:lang w:eastAsia="ja-JP"/>
        </w:rPr>
        <w:t xml:space="preserve"> shall, upon request, provide the Commission with any relevant information they have and that the Commission may need for its assessment pursuant to in paragraph 1.</w:t>
      </w:r>
    </w:p>
    <w:p w14:paraId="28EB1F27" w14:textId="77777777" w:rsidR="00273F36" w:rsidRPr="004C70EC" w:rsidRDefault="00273F36" w:rsidP="00E26087">
      <w:pPr>
        <w:pStyle w:val="Titrearticle"/>
        <w:rPr>
          <w:rFonts w:eastAsia="Times New Roman"/>
          <w:i w:val="0"/>
          <w:iCs/>
          <w:noProof/>
          <w:color w:val="000000" w:themeColor="text1"/>
          <w:szCs w:val="24"/>
          <w:lang w:eastAsia="ja-JP"/>
        </w:rPr>
      </w:pPr>
      <w:r w:rsidRPr="004C70EC">
        <w:rPr>
          <w:rFonts w:eastAsia="Times New Roman"/>
          <w:iCs/>
          <w:noProof/>
          <w:color w:val="000000" w:themeColor="text1"/>
          <w:szCs w:val="24"/>
          <w:lang w:eastAsia="ja-JP"/>
        </w:rPr>
        <w:t xml:space="preserve">Article </w:t>
      </w:r>
      <w:r w:rsidR="006116D3" w:rsidRPr="004C70EC">
        <w:rPr>
          <w:rFonts w:eastAsia="Times New Roman"/>
          <w:iCs/>
          <w:noProof/>
          <w:color w:val="000000" w:themeColor="text1"/>
          <w:szCs w:val="24"/>
          <w:lang w:eastAsia="ja-JP"/>
        </w:rPr>
        <w:t>6</w:t>
      </w:r>
      <w:r w:rsidR="00864C20" w:rsidRPr="004C70EC">
        <w:rPr>
          <w:rFonts w:eastAsia="Times New Roman"/>
          <w:iCs/>
          <w:noProof/>
          <w:color w:val="000000" w:themeColor="text1"/>
          <w:szCs w:val="24"/>
          <w:lang w:eastAsia="ja-JP"/>
        </w:rPr>
        <w:t>4</w:t>
      </w:r>
    </w:p>
    <w:p w14:paraId="5F16EFAF" w14:textId="77777777" w:rsidR="00273F36" w:rsidRPr="004C70EC" w:rsidRDefault="00273F36" w:rsidP="00273F36">
      <w:pPr>
        <w:spacing w:line="279" w:lineRule="auto"/>
        <w:jc w:val="center"/>
        <w:rPr>
          <w:rFonts w:eastAsia="Times New Roman"/>
          <w:b/>
          <w:bCs/>
          <w:noProof/>
          <w:color w:val="000000" w:themeColor="text1"/>
          <w:szCs w:val="24"/>
          <w:lang w:eastAsia="ja-JP"/>
        </w:rPr>
      </w:pPr>
      <w:r w:rsidRPr="004C70EC">
        <w:rPr>
          <w:rFonts w:eastAsia="Times New Roman"/>
          <w:b/>
          <w:bCs/>
          <w:noProof/>
          <w:color w:val="000000" w:themeColor="text1"/>
          <w:szCs w:val="24"/>
          <w:lang w:eastAsia="ja-JP"/>
        </w:rPr>
        <w:t xml:space="preserve">Exercise of the </w:t>
      </w:r>
      <w:r w:rsidR="005A2375" w:rsidRPr="004C70EC">
        <w:rPr>
          <w:rFonts w:eastAsia="Times New Roman"/>
          <w:b/>
          <w:bCs/>
          <w:noProof/>
          <w:color w:val="000000" w:themeColor="text1"/>
          <w:szCs w:val="24"/>
          <w:lang w:eastAsia="ja-JP"/>
        </w:rPr>
        <w:t>d</w:t>
      </w:r>
      <w:r w:rsidRPr="004C70EC">
        <w:rPr>
          <w:rFonts w:eastAsia="Times New Roman"/>
          <w:b/>
          <w:bCs/>
          <w:noProof/>
          <w:color w:val="000000" w:themeColor="text1"/>
          <w:szCs w:val="24"/>
          <w:lang w:eastAsia="ja-JP"/>
        </w:rPr>
        <w:t>elegation</w:t>
      </w:r>
    </w:p>
    <w:p w14:paraId="0DF60895" w14:textId="77777777" w:rsidR="00273F36" w:rsidRPr="004C70EC" w:rsidRDefault="00273F36" w:rsidP="00E26087">
      <w:pPr>
        <w:pStyle w:val="Point0"/>
        <w:rPr>
          <w:rFonts w:eastAsia="Times New Roman"/>
          <w:noProof/>
          <w:color w:val="000000" w:themeColor="text1"/>
          <w:szCs w:val="24"/>
          <w:lang w:eastAsia="ja-JP"/>
        </w:rPr>
      </w:pPr>
      <w:r w:rsidRPr="004C70EC">
        <w:rPr>
          <w:rFonts w:eastAsia="Times New Roman"/>
          <w:noProof/>
          <w:color w:val="000000" w:themeColor="text1"/>
          <w:szCs w:val="24"/>
          <w:lang w:eastAsia="ja-JP"/>
        </w:rPr>
        <w:t>1.</w:t>
      </w:r>
      <w:r w:rsidRPr="004C70EC">
        <w:rPr>
          <w:rFonts w:eastAsia="Times New Roman"/>
          <w:noProof/>
          <w:color w:val="000000" w:themeColor="text1"/>
          <w:szCs w:val="24"/>
          <w:lang w:eastAsia="ja-JP"/>
        </w:rPr>
        <w:tab/>
        <w:t>The power to adopt delegated acts is conferred on the Commission subject to the conditions laid down in this Article.</w:t>
      </w:r>
    </w:p>
    <w:p w14:paraId="32B40735" w14:textId="77777777" w:rsidR="00273F36" w:rsidRPr="004C70EC" w:rsidRDefault="00273F36" w:rsidP="00E26087">
      <w:pPr>
        <w:pStyle w:val="Point0"/>
        <w:rPr>
          <w:rFonts w:eastAsia="Times New Roman"/>
          <w:noProof/>
          <w:color w:val="000000" w:themeColor="text1"/>
          <w:szCs w:val="24"/>
          <w:lang w:eastAsia="ja-JP"/>
        </w:rPr>
      </w:pPr>
      <w:r w:rsidRPr="004C70EC">
        <w:rPr>
          <w:rFonts w:eastAsia="Times New Roman"/>
          <w:noProof/>
          <w:color w:val="000000" w:themeColor="text1"/>
          <w:szCs w:val="24"/>
          <w:lang w:eastAsia="ja-JP"/>
        </w:rPr>
        <w:t>2.</w:t>
      </w:r>
      <w:r w:rsidRPr="004C70EC">
        <w:rPr>
          <w:rFonts w:eastAsia="Times New Roman"/>
          <w:noProof/>
          <w:color w:val="000000" w:themeColor="text1"/>
          <w:szCs w:val="24"/>
          <w:lang w:eastAsia="ja-JP"/>
        </w:rPr>
        <w:tab/>
        <w:t xml:space="preserve">The power to adopt delegated acts referred to in Article </w:t>
      </w:r>
      <w:r w:rsidR="00DA7DA3" w:rsidRPr="004C70EC">
        <w:rPr>
          <w:rFonts w:eastAsia="Times New Roman"/>
          <w:noProof/>
          <w:color w:val="000000" w:themeColor="text1"/>
          <w:szCs w:val="24"/>
          <w:lang w:eastAsia="ja-JP"/>
        </w:rPr>
        <w:t xml:space="preserve">43(2) </w:t>
      </w:r>
      <w:r w:rsidRPr="004C70EC">
        <w:rPr>
          <w:rFonts w:eastAsia="Times New Roman"/>
          <w:noProof/>
          <w:color w:val="000000" w:themeColor="text1"/>
          <w:szCs w:val="24"/>
          <w:lang w:eastAsia="ja-JP"/>
        </w:rPr>
        <w:t>shall be conferred on the Commission for a period of five years from [</w:t>
      </w:r>
      <w:r w:rsidRPr="004C70EC">
        <w:rPr>
          <w:rFonts w:eastAsia="Times New Roman"/>
          <w:i/>
          <w:iCs/>
          <w:noProof/>
          <w:color w:val="000000" w:themeColor="text1"/>
          <w:szCs w:val="24"/>
          <w:lang w:eastAsia="ja-JP"/>
        </w:rPr>
        <w:t>insert date of entry into force of this Regulation</w:t>
      </w:r>
      <w:r w:rsidRPr="004C70EC">
        <w:rPr>
          <w:rFonts w:eastAsia="Times New Roman"/>
          <w:noProof/>
          <w:color w:val="000000" w:themeColor="text1"/>
          <w:szCs w:val="24"/>
          <w:lang w:eastAsia="ja-JP"/>
        </w:rPr>
        <w:t>]. The Commission shall draw up a report in respect of the delegation of power not later than nine months before the end of the five-year period. The delegation of power shall be tacitly extended for periods of an identical duration, unless the European Parliament or the Council opposes such extension not later than three months before the end of each period.</w:t>
      </w:r>
    </w:p>
    <w:p w14:paraId="3F85563E" w14:textId="77777777" w:rsidR="00273F36" w:rsidRPr="004C70EC" w:rsidRDefault="00273F36" w:rsidP="00E26087">
      <w:pPr>
        <w:pStyle w:val="Point0"/>
        <w:rPr>
          <w:rFonts w:eastAsia="Times New Roman"/>
          <w:noProof/>
          <w:color w:val="000000" w:themeColor="text1"/>
          <w:szCs w:val="24"/>
          <w:lang w:eastAsia="ja-JP"/>
        </w:rPr>
      </w:pPr>
      <w:r w:rsidRPr="004C70EC">
        <w:rPr>
          <w:rFonts w:eastAsia="Times New Roman"/>
          <w:noProof/>
          <w:color w:val="000000" w:themeColor="text1"/>
          <w:szCs w:val="24"/>
          <w:lang w:eastAsia="ja-JP"/>
        </w:rPr>
        <w:t>3.</w:t>
      </w:r>
      <w:r w:rsidRPr="004C70EC">
        <w:rPr>
          <w:rFonts w:eastAsia="Times New Roman"/>
          <w:noProof/>
          <w:color w:val="000000" w:themeColor="text1"/>
          <w:szCs w:val="24"/>
          <w:lang w:eastAsia="ja-JP"/>
        </w:rPr>
        <w:tab/>
        <w:t xml:space="preserve">The delegation of power referred to in Articles </w:t>
      </w:r>
      <w:r w:rsidR="003055FB" w:rsidRPr="004C70EC">
        <w:rPr>
          <w:rFonts w:eastAsia="Times New Roman"/>
          <w:noProof/>
          <w:color w:val="000000" w:themeColor="text1"/>
          <w:szCs w:val="24"/>
          <w:lang w:eastAsia="ja-JP"/>
        </w:rPr>
        <w:t>43(</w:t>
      </w:r>
      <w:r w:rsidR="00CC2DBA" w:rsidRPr="004C70EC">
        <w:rPr>
          <w:rFonts w:eastAsia="Times New Roman"/>
          <w:noProof/>
          <w:color w:val="000000" w:themeColor="text1"/>
          <w:szCs w:val="24"/>
          <w:lang w:eastAsia="ja-JP"/>
        </w:rPr>
        <w:t>2</w:t>
      </w:r>
      <w:r w:rsidR="003055FB" w:rsidRPr="004C70EC">
        <w:rPr>
          <w:rFonts w:eastAsia="Times New Roman"/>
          <w:noProof/>
          <w:color w:val="000000" w:themeColor="text1"/>
          <w:szCs w:val="24"/>
          <w:lang w:eastAsia="ja-JP"/>
        </w:rPr>
        <w:t xml:space="preserve">) </w:t>
      </w:r>
      <w:r w:rsidRPr="004C70EC">
        <w:rPr>
          <w:rFonts w:eastAsia="Times New Roman"/>
          <w:noProof/>
          <w:color w:val="000000" w:themeColor="text1"/>
          <w:szCs w:val="24"/>
          <w:lang w:eastAsia="ja-JP"/>
        </w:rPr>
        <w:t>may be revoked at any time by the European Parliament or by the Council. A decision to revoke shall put an end to the delegation of the power specified in that decision. It shall take effect the day following the publication of the decision in the Official Journal of the European Union or at a later date specified therein. It shall not affect the validity of any delegated acts already in force.</w:t>
      </w:r>
    </w:p>
    <w:p w14:paraId="794A6821" w14:textId="77777777" w:rsidR="00273F36" w:rsidRPr="004C70EC" w:rsidRDefault="00273F36" w:rsidP="00E26087">
      <w:pPr>
        <w:pStyle w:val="Point0"/>
        <w:rPr>
          <w:rFonts w:eastAsia="Times New Roman"/>
          <w:noProof/>
          <w:color w:val="000000" w:themeColor="text1"/>
          <w:szCs w:val="24"/>
          <w:lang w:eastAsia="ja-JP"/>
        </w:rPr>
      </w:pPr>
      <w:r w:rsidRPr="004C70EC">
        <w:rPr>
          <w:rFonts w:eastAsia="Times New Roman"/>
          <w:noProof/>
          <w:color w:val="000000" w:themeColor="text1"/>
          <w:szCs w:val="24"/>
          <w:lang w:eastAsia="ja-JP"/>
        </w:rPr>
        <w:t>4.</w:t>
      </w:r>
      <w:r w:rsidRPr="004C70EC">
        <w:rPr>
          <w:rFonts w:eastAsia="Times New Roman"/>
          <w:noProof/>
          <w:color w:val="000000" w:themeColor="text1"/>
          <w:szCs w:val="24"/>
          <w:lang w:eastAsia="ja-JP"/>
        </w:rPr>
        <w:tab/>
        <w:t>Before adopting a delegated act, the Commission shall consult experts designated by each Member State in accordance with the principles laid down in the Interinstitutional Agreement on Better Law-Making of 13 April 2016.</w:t>
      </w:r>
    </w:p>
    <w:p w14:paraId="3689B180" w14:textId="77777777" w:rsidR="00273F36" w:rsidRPr="004C70EC" w:rsidRDefault="00273F36" w:rsidP="00E26087">
      <w:pPr>
        <w:pStyle w:val="Point0"/>
        <w:rPr>
          <w:rFonts w:eastAsia="Times New Roman"/>
          <w:noProof/>
          <w:color w:val="000000" w:themeColor="text1"/>
          <w:szCs w:val="24"/>
          <w:lang w:eastAsia="ja-JP"/>
        </w:rPr>
      </w:pPr>
      <w:r w:rsidRPr="004C70EC">
        <w:rPr>
          <w:rFonts w:eastAsia="Times New Roman"/>
          <w:noProof/>
          <w:color w:val="000000" w:themeColor="text1"/>
          <w:szCs w:val="24"/>
          <w:lang w:eastAsia="ja-JP"/>
        </w:rPr>
        <w:t>5.</w:t>
      </w:r>
      <w:r w:rsidRPr="004C70EC">
        <w:rPr>
          <w:rFonts w:eastAsia="Times New Roman"/>
          <w:noProof/>
          <w:color w:val="000000" w:themeColor="text1"/>
          <w:szCs w:val="24"/>
          <w:lang w:eastAsia="ja-JP"/>
        </w:rPr>
        <w:tab/>
        <w:t>As soon as it adopts a delegated act, the Commission shall notify it simultaneously to the European Parliament and to the Council.</w:t>
      </w:r>
    </w:p>
    <w:p w14:paraId="5B6B4A8C" w14:textId="77777777" w:rsidR="00C5234F" w:rsidRPr="004C70EC" w:rsidRDefault="00273F36" w:rsidP="00874B1B">
      <w:pPr>
        <w:pStyle w:val="Point0"/>
        <w:rPr>
          <w:rFonts w:eastAsia="Times New Roman"/>
          <w:noProof/>
          <w:color w:val="000000" w:themeColor="text1"/>
          <w:szCs w:val="24"/>
          <w:lang w:eastAsia="ja-JP"/>
        </w:rPr>
      </w:pPr>
      <w:r w:rsidRPr="004C70EC">
        <w:rPr>
          <w:rFonts w:eastAsia="Times New Roman"/>
          <w:noProof/>
          <w:color w:val="000000" w:themeColor="text1"/>
          <w:szCs w:val="24"/>
          <w:lang w:eastAsia="ja-JP"/>
        </w:rPr>
        <w:t>6.</w:t>
      </w:r>
      <w:r w:rsidRPr="004C70EC">
        <w:rPr>
          <w:rFonts w:eastAsia="Times New Roman"/>
          <w:noProof/>
          <w:color w:val="000000" w:themeColor="text1"/>
          <w:szCs w:val="24"/>
          <w:lang w:eastAsia="ja-JP"/>
        </w:rPr>
        <w:tab/>
        <w:t xml:space="preserve">A delegated act adopted pursuant to Articles </w:t>
      </w:r>
      <w:r w:rsidR="00DA7DA3" w:rsidRPr="004C70EC">
        <w:rPr>
          <w:rFonts w:eastAsia="Times New Roman"/>
          <w:noProof/>
          <w:color w:val="000000" w:themeColor="text1"/>
          <w:szCs w:val="24"/>
          <w:lang w:eastAsia="ja-JP"/>
        </w:rPr>
        <w:t>43(2)</w:t>
      </w:r>
      <w:r w:rsidR="001C7536" w:rsidRPr="004C70EC">
        <w:rPr>
          <w:rFonts w:eastAsia="Times New Roman"/>
          <w:noProof/>
          <w:color w:val="000000" w:themeColor="text1"/>
          <w:szCs w:val="24"/>
          <w:lang w:eastAsia="ja-JP"/>
        </w:rPr>
        <w:t xml:space="preserve">, </w:t>
      </w:r>
      <w:r w:rsidRPr="004C70EC">
        <w:rPr>
          <w:rFonts w:eastAsia="Times New Roman"/>
          <w:noProof/>
          <w:color w:val="000000" w:themeColor="text1"/>
          <w:szCs w:val="24"/>
          <w:lang w:eastAsia="ja-JP"/>
        </w:rPr>
        <w:t>shall enter into force only if no objection has been expressed either by the European Parliament or by the Council within a period of two months of notification of that act to the European Parliament and the Council or if, before the expiry of that period, the European Parliament and the Council have both informed the Commission that they will not object. That period shall be extended by two months at the initiative of the European Parliament or of the Council.</w:t>
      </w:r>
    </w:p>
    <w:p w14:paraId="3E17CEE7" w14:textId="77777777" w:rsidR="00273F36" w:rsidRPr="004C70EC" w:rsidRDefault="00273F36" w:rsidP="00E26087">
      <w:pPr>
        <w:pStyle w:val="Titrearticle"/>
        <w:rPr>
          <w:rFonts w:eastAsia="Times New Roman"/>
          <w:i w:val="0"/>
          <w:iCs/>
          <w:noProof/>
          <w:color w:val="000000" w:themeColor="text1"/>
          <w:szCs w:val="24"/>
          <w:lang w:eastAsia="ja-JP"/>
        </w:rPr>
      </w:pPr>
      <w:r w:rsidRPr="004C70EC">
        <w:rPr>
          <w:rFonts w:eastAsia="Times New Roman"/>
          <w:iCs/>
          <w:noProof/>
          <w:color w:val="000000" w:themeColor="text1"/>
          <w:szCs w:val="24"/>
          <w:lang w:eastAsia="ja-JP"/>
        </w:rPr>
        <w:t xml:space="preserve">Article </w:t>
      </w:r>
      <w:r w:rsidR="006116D3" w:rsidRPr="004C70EC">
        <w:rPr>
          <w:rFonts w:eastAsia="Times New Roman"/>
          <w:iCs/>
          <w:noProof/>
          <w:color w:val="000000" w:themeColor="text1"/>
          <w:szCs w:val="24"/>
          <w:lang w:eastAsia="ja-JP"/>
        </w:rPr>
        <w:t>6</w:t>
      </w:r>
      <w:r w:rsidR="00864C20" w:rsidRPr="004C70EC">
        <w:rPr>
          <w:rFonts w:eastAsia="Times New Roman"/>
          <w:iCs/>
          <w:noProof/>
          <w:color w:val="000000" w:themeColor="text1"/>
          <w:szCs w:val="24"/>
          <w:lang w:eastAsia="ja-JP"/>
        </w:rPr>
        <w:t>5</w:t>
      </w:r>
    </w:p>
    <w:p w14:paraId="326938EE" w14:textId="77777777" w:rsidR="00273F36" w:rsidRPr="004C70EC" w:rsidRDefault="00273F36" w:rsidP="00273F36">
      <w:pPr>
        <w:shd w:val="clear" w:color="auto" w:fill="FFFFFF" w:themeFill="background1"/>
        <w:spacing w:before="360" w:after="0" w:line="279" w:lineRule="auto"/>
        <w:jc w:val="center"/>
        <w:rPr>
          <w:rFonts w:eastAsia="Times New Roman"/>
          <w:b/>
          <w:bCs/>
          <w:noProof/>
          <w:color w:val="000000" w:themeColor="text1"/>
          <w:szCs w:val="24"/>
          <w:lang w:eastAsia="ja-JP"/>
        </w:rPr>
      </w:pPr>
      <w:r w:rsidRPr="004C70EC">
        <w:rPr>
          <w:rFonts w:eastAsia="Times New Roman"/>
          <w:b/>
          <w:bCs/>
          <w:noProof/>
          <w:color w:val="000000" w:themeColor="text1"/>
          <w:szCs w:val="24"/>
          <w:lang w:eastAsia="ja-JP"/>
        </w:rPr>
        <w:t xml:space="preserve">Committee </w:t>
      </w:r>
      <w:r w:rsidR="001C0C36" w:rsidRPr="004C70EC">
        <w:rPr>
          <w:rFonts w:eastAsia="Times New Roman"/>
          <w:b/>
          <w:bCs/>
          <w:noProof/>
          <w:color w:val="000000" w:themeColor="text1"/>
          <w:szCs w:val="24"/>
          <w:lang w:eastAsia="ja-JP"/>
        </w:rPr>
        <w:t>p</w:t>
      </w:r>
      <w:r w:rsidRPr="004C70EC">
        <w:rPr>
          <w:rFonts w:eastAsia="Times New Roman"/>
          <w:b/>
          <w:bCs/>
          <w:noProof/>
          <w:color w:val="000000" w:themeColor="text1"/>
          <w:szCs w:val="24"/>
          <w:lang w:eastAsia="ja-JP"/>
        </w:rPr>
        <w:t>rocedure</w:t>
      </w:r>
    </w:p>
    <w:p w14:paraId="09B9C11B" w14:textId="77777777" w:rsidR="00273F36" w:rsidRPr="004C70EC" w:rsidRDefault="00E26087" w:rsidP="00E26087">
      <w:pPr>
        <w:pStyle w:val="Point0"/>
        <w:rPr>
          <w:rFonts w:eastAsia="Times New Roman"/>
          <w:noProof/>
          <w:color w:val="000000" w:themeColor="text1"/>
          <w:szCs w:val="24"/>
          <w:lang w:eastAsia="en-GB"/>
        </w:rPr>
      </w:pPr>
      <w:r w:rsidRPr="004C70EC">
        <w:rPr>
          <w:rFonts w:eastAsia="Times New Roman"/>
          <w:noProof/>
          <w:color w:val="000000" w:themeColor="text1"/>
          <w:szCs w:val="24"/>
          <w:lang w:eastAsia="ja-JP"/>
        </w:rPr>
        <w:t>1.</w:t>
      </w:r>
      <w:r w:rsidRPr="004C70EC">
        <w:rPr>
          <w:rFonts w:eastAsia="Times New Roman"/>
          <w:noProof/>
          <w:color w:val="000000" w:themeColor="text1"/>
          <w:szCs w:val="24"/>
          <w:lang w:eastAsia="ja-JP"/>
        </w:rPr>
        <w:tab/>
      </w:r>
      <w:r w:rsidR="00273F36" w:rsidRPr="004C70EC">
        <w:rPr>
          <w:rFonts w:eastAsia="Times New Roman"/>
          <w:noProof/>
          <w:color w:val="000000" w:themeColor="text1"/>
          <w:szCs w:val="24"/>
          <w:lang w:eastAsia="ja-JP"/>
        </w:rPr>
        <w:t xml:space="preserve">The Commission shall be assisted by the Standing Committee on Biotechnology. That committee shall be a committee within the meaning of Regulation (EU) No 182/2011. </w:t>
      </w:r>
    </w:p>
    <w:p w14:paraId="3631D697" w14:textId="77777777" w:rsidR="00273F36" w:rsidRPr="004C70EC" w:rsidRDefault="00E26087" w:rsidP="00E26087">
      <w:pPr>
        <w:pStyle w:val="Point0"/>
        <w:rPr>
          <w:rFonts w:eastAsiaTheme="minorEastAsia"/>
          <w:noProof/>
          <w:color w:val="000000" w:themeColor="text1"/>
          <w:szCs w:val="24"/>
          <w:lang w:eastAsia="ja-JP"/>
        </w:rPr>
      </w:pPr>
      <w:r w:rsidRPr="004C70EC">
        <w:rPr>
          <w:rFonts w:eastAsiaTheme="minorEastAsia"/>
          <w:noProof/>
          <w:color w:val="000000" w:themeColor="text1"/>
          <w:szCs w:val="24"/>
          <w:lang w:eastAsia="ja-JP"/>
        </w:rPr>
        <w:t>2.</w:t>
      </w:r>
      <w:r w:rsidRPr="004C70EC">
        <w:rPr>
          <w:rFonts w:eastAsiaTheme="minorEastAsia"/>
          <w:noProof/>
          <w:color w:val="000000" w:themeColor="text1"/>
          <w:szCs w:val="24"/>
          <w:lang w:eastAsia="ja-JP"/>
        </w:rPr>
        <w:tab/>
      </w:r>
      <w:r w:rsidR="00273F36" w:rsidRPr="004C70EC">
        <w:rPr>
          <w:rFonts w:eastAsiaTheme="minorEastAsia"/>
          <w:noProof/>
          <w:color w:val="000000" w:themeColor="text1"/>
          <w:szCs w:val="24"/>
          <w:lang w:eastAsia="ja-JP"/>
        </w:rPr>
        <w:t xml:space="preserve">Where reference is made to this paragraph, Article 5 of Regulation (EU) No 182/2011 shall apply. </w:t>
      </w:r>
    </w:p>
    <w:p w14:paraId="31023805" w14:textId="77777777" w:rsidR="00273F36" w:rsidRPr="004C70EC" w:rsidRDefault="00273F36" w:rsidP="00E26087">
      <w:pPr>
        <w:pStyle w:val="Titrearticle"/>
        <w:rPr>
          <w:rFonts w:eastAsia="Times New Roman"/>
          <w:i w:val="0"/>
          <w:noProof/>
          <w:color w:val="000000" w:themeColor="text1"/>
          <w:szCs w:val="24"/>
          <w:lang w:eastAsia="en-IE"/>
        </w:rPr>
      </w:pPr>
      <w:r w:rsidRPr="004C70EC">
        <w:rPr>
          <w:rFonts w:eastAsia="Times New Roman"/>
          <w:noProof/>
          <w:color w:val="000000" w:themeColor="text1"/>
          <w:szCs w:val="24"/>
          <w:lang w:eastAsia="en-IE"/>
        </w:rPr>
        <w:t>Article </w:t>
      </w:r>
      <w:r w:rsidR="006116D3" w:rsidRPr="004C70EC">
        <w:rPr>
          <w:rFonts w:eastAsia="Times New Roman"/>
          <w:noProof/>
          <w:color w:val="000000" w:themeColor="text1"/>
          <w:szCs w:val="24"/>
          <w:lang w:eastAsia="en-IE"/>
        </w:rPr>
        <w:t>6</w:t>
      </w:r>
      <w:r w:rsidR="00864C20" w:rsidRPr="004C70EC">
        <w:rPr>
          <w:rFonts w:eastAsia="Times New Roman"/>
          <w:noProof/>
          <w:color w:val="000000" w:themeColor="text1"/>
          <w:szCs w:val="24"/>
          <w:lang w:eastAsia="en-IE"/>
        </w:rPr>
        <w:t>6</w:t>
      </w:r>
    </w:p>
    <w:p w14:paraId="3D2BF780" w14:textId="77777777" w:rsidR="00273F36" w:rsidRPr="004C70EC" w:rsidRDefault="00273F36" w:rsidP="00273F36">
      <w:pPr>
        <w:keepNext/>
        <w:keepLines/>
        <w:spacing w:before="360" w:after="80" w:line="279" w:lineRule="auto"/>
        <w:jc w:val="center"/>
        <w:outlineLvl w:val="0"/>
        <w:rPr>
          <w:rFonts w:eastAsiaTheme="majorEastAsia"/>
          <w:b/>
          <w:noProof/>
          <w:color w:val="000000" w:themeColor="text1"/>
          <w:szCs w:val="24"/>
          <w:lang w:eastAsia="ja-JP"/>
        </w:rPr>
      </w:pPr>
      <w:r w:rsidRPr="004C70EC">
        <w:rPr>
          <w:rFonts w:eastAsiaTheme="majorEastAsia"/>
          <w:b/>
          <w:noProof/>
          <w:color w:val="000000" w:themeColor="text1"/>
          <w:szCs w:val="24"/>
          <w:lang w:eastAsia="ja-JP"/>
        </w:rPr>
        <w:t xml:space="preserve">Handling of </w:t>
      </w:r>
      <w:r w:rsidR="001C0C36" w:rsidRPr="004C70EC">
        <w:rPr>
          <w:rFonts w:eastAsiaTheme="majorEastAsia"/>
          <w:b/>
          <w:noProof/>
          <w:color w:val="000000" w:themeColor="text1"/>
          <w:szCs w:val="24"/>
          <w:lang w:eastAsia="ja-JP"/>
        </w:rPr>
        <w:t>c</w:t>
      </w:r>
      <w:r w:rsidRPr="004C70EC">
        <w:rPr>
          <w:rFonts w:eastAsiaTheme="majorEastAsia"/>
          <w:b/>
          <w:noProof/>
          <w:color w:val="000000" w:themeColor="text1"/>
          <w:szCs w:val="24"/>
          <w:lang w:eastAsia="ja-JP"/>
        </w:rPr>
        <w:t xml:space="preserve">onfidential </w:t>
      </w:r>
      <w:r w:rsidR="001C0C36" w:rsidRPr="004C70EC">
        <w:rPr>
          <w:rFonts w:eastAsiaTheme="majorEastAsia"/>
          <w:b/>
          <w:noProof/>
          <w:color w:val="000000" w:themeColor="text1"/>
          <w:szCs w:val="24"/>
          <w:lang w:eastAsia="ja-JP"/>
        </w:rPr>
        <w:t>i</w:t>
      </w:r>
      <w:r w:rsidRPr="004C70EC">
        <w:rPr>
          <w:rFonts w:eastAsiaTheme="majorEastAsia"/>
          <w:b/>
          <w:noProof/>
          <w:color w:val="000000" w:themeColor="text1"/>
          <w:szCs w:val="24"/>
          <w:lang w:eastAsia="ja-JP"/>
        </w:rPr>
        <w:t>nformation</w:t>
      </w:r>
    </w:p>
    <w:p w14:paraId="5AC2C19D" w14:textId="77777777" w:rsidR="00273F36" w:rsidRPr="004C70EC" w:rsidRDefault="00273F36" w:rsidP="00E26087">
      <w:pPr>
        <w:pStyle w:val="Point0"/>
        <w:rPr>
          <w:noProof/>
          <w:color w:val="000000" w:themeColor="text1"/>
          <w:szCs w:val="24"/>
          <w:lang w:eastAsia="en-IE"/>
        </w:rPr>
      </w:pPr>
      <w:r w:rsidRPr="004C70EC">
        <w:rPr>
          <w:noProof/>
          <w:color w:val="000000" w:themeColor="text1"/>
          <w:szCs w:val="24"/>
          <w:lang w:eastAsia="en-IE"/>
        </w:rPr>
        <w:t>1.</w:t>
      </w:r>
      <w:r w:rsidR="00E26087" w:rsidRPr="004C70EC">
        <w:rPr>
          <w:noProof/>
          <w:color w:val="000000" w:themeColor="text1"/>
          <w:szCs w:val="24"/>
          <w:lang w:eastAsia="en-IE"/>
        </w:rPr>
        <w:tab/>
      </w:r>
      <w:r w:rsidRPr="004C70EC">
        <w:rPr>
          <w:noProof/>
          <w:color w:val="000000" w:themeColor="text1"/>
          <w:szCs w:val="24"/>
          <w:lang w:eastAsia="en-IE"/>
        </w:rPr>
        <w:t>Information acquired in the course of implementing this Regulation shall be used only for the purposes of this Regulation and shall be protected by the relevant Union and national law.</w:t>
      </w:r>
    </w:p>
    <w:p w14:paraId="7C8A9540" w14:textId="77777777" w:rsidR="00273F36" w:rsidRPr="004C70EC" w:rsidRDefault="00273F36" w:rsidP="00E26087">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2.</w:t>
      </w:r>
      <w:r w:rsidR="00E26087" w:rsidRPr="004C70EC">
        <w:rPr>
          <w:rFonts w:eastAsia="Times New Roman"/>
          <w:noProof/>
          <w:color w:val="000000" w:themeColor="text1"/>
          <w:szCs w:val="24"/>
          <w:lang w:eastAsia="en-IE"/>
        </w:rPr>
        <w:tab/>
      </w:r>
      <w:r w:rsidRPr="004C70EC">
        <w:rPr>
          <w:rFonts w:eastAsia="Times New Roman"/>
          <w:noProof/>
          <w:color w:val="000000" w:themeColor="text1"/>
          <w:szCs w:val="24"/>
          <w:lang w:eastAsia="en-IE"/>
        </w:rPr>
        <w:t>Member States and the Commission shall ensure the protection of trade and business secrets and other sensitive, confidential and classified information obtained and processed in application of this Regulation, including recommendations and measures to be taken, in accordance with Union and relevant national law.</w:t>
      </w:r>
    </w:p>
    <w:p w14:paraId="6B8CA3B2" w14:textId="77777777" w:rsidR="00273F36" w:rsidRPr="004C70EC" w:rsidRDefault="00273F36" w:rsidP="00E26087">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3.</w:t>
      </w:r>
      <w:r w:rsidR="00E26087" w:rsidRPr="004C70EC">
        <w:rPr>
          <w:rFonts w:eastAsia="Times New Roman"/>
          <w:noProof/>
          <w:color w:val="000000" w:themeColor="text1"/>
          <w:szCs w:val="24"/>
          <w:lang w:eastAsia="en-IE"/>
        </w:rPr>
        <w:tab/>
      </w:r>
      <w:r w:rsidRPr="004C70EC">
        <w:rPr>
          <w:rFonts w:eastAsia="Times New Roman"/>
          <w:noProof/>
          <w:color w:val="000000" w:themeColor="text1"/>
          <w:szCs w:val="24"/>
          <w:lang w:eastAsia="en-IE"/>
        </w:rPr>
        <w:t>The Commission and Member States shall ensure that classified information provided or exchanged pursuant to this Regulation is not downgraded or declassified without the prior written consent of the originator in accordance with relevant Union or national law.</w:t>
      </w:r>
    </w:p>
    <w:p w14:paraId="0D70CFCA" w14:textId="77777777" w:rsidR="00273F36" w:rsidRPr="004C70EC" w:rsidRDefault="00273F36" w:rsidP="00E26087">
      <w:pPr>
        <w:pStyle w:val="Point0"/>
        <w:rPr>
          <w:rFonts w:eastAsia="Times New Roman"/>
          <w:noProof/>
          <w:color w:val="000000" w:themeColor="text1"/>
          <w:szCs w:val="24"/>
          <w:lang w:eastAsia="en-IE"/>
        </w:rPr>
      </w:pPr>
      <w:r w:rsidRPr="004C70EC">
        <w:rPr>
          <w:rFonts w:eastAsia="Times New Roman"/>
          <w:noProof/>
          <w:color w:val="000000" w:themeColor="text1"/>
          <w:szCs w:val="24"/>
          <w:lang w:eastAsia="en-IE"/>
        </w:rPr>
        <w:t>4.</w:t>
      </w:r>
      <w:r w:rsidR="00E26087" w:rsidRPr="004C70EC">
        <w:rPr>
          <w:rFonts w:eastAsia="Times New Roman"/>
          <w:noProof/>
          <w:color w:val="000000" w:themeColor="text1"/>
          <w:szCs w:val="24"/>
          <w:lang w:eastAsia="en-IE"/>
        </w:rPr>
        <w:tab/>
      </w:r>
      <w:r w:rsidRPr="004C70EC">
        <w:rPr>
          <w:rFonts w:eastAsia="Times New Roman"/>
          <w:noProof/>
          <w:color w:val="000000" w:themeColor="text1"/>
          <w:szCs w:val="24"/>
          <w:lang w:eastAsia="en-IE"/>
        </w:rPr>
        <w:t xml:space="preserve">The Commission and the national authorities, their officials, employees and other persons working under the supervision of those authorities shall ensure the confidentiality of information obtained in carrying out their tasks and activities in accordance with relevant Union or national law. This obligation also applies to all representatives of Member States, observers, experts and other participants attending meetings of </w:t>
      </w:r>
      <w:r w:rsidR="00890E16" w:rsidRPr="004C70EC">
        <w:rPr>
          <w:rFonts w:eastAsia="Times New Roman"/>
          <w:noProof/>
          <w:color w:val="000000" w:themeColor="text1"/>
          <w:szCs w:val="24"/>
          <w:lang w:eastAsia="en-IE"/>
        </w:rPr>
        <w:t>the Steering Group</w:t>
      </w:r>
      <w:r w:rsidRPr="004C70EC">
        <w:rPr>
          <w:rFonts w:eastAsia="Times New Roman"/>
          <w:noProof/>
          <w:color w:val="000000" w:themeColor="text1"/>
          <w:szCs w:val="24"/>
          <w:lang w:eastAsia="en-IE"/>
        </w:rPr>
        <w:t>.</w:t>
      </w:r>
    </w:p>
    <w:p w14:paraId="3BE0300E" w14:textId="77777777" w:rsidR="00273F36" w:rsidRPr="004C70EC" w:rsidRDefault="00273F36" w:rsidP="00E26087">
      <w:pPr>
        <w:pStyle w:val="Titrearticle"/>
        <w:rPr>
          <w:noProof/>
          <w:color w:val="000000" w:themeColor="text1"/>
          <w:szCs w:val="24"/>
          <w:lang w:eastAsia="ja-JP"/>
        </w:rPr>
      </w:pPr>
      <w:r w:rsidRPr="004C70EC">
        <w:rPr>
          <w:noProof/>
          <w:color w:val="000000" w:themeColor="text1"/>
          <w:szCs w:val="24"/>
          <w:lang w:eastAsia="ja-JP"/>
        </w:rPr>
        <w:t xml:space="preserve">Article </w:t>
      </w:r>
      <w:r w:rsidR="00B02437" w:rsidRPr="004C70EC">
        <w:rPr>
          <w:noProof/>
          <w:color w:val="000000" w:themeColor="text1"/>
          <w:szCs w:val="24"/>
          <w:lang w:eastAsia="ja-JP"/>
        </w:rPr>
        <w:t>6</w:t>
      </w:r>
      <w:r w:rsidR="00864C20" w:rsidRPr="004C70EC">
        <w:rPr>
          <w:noProof/>
          <w:color w:val="000000" w:themeColor="text1"/>
          <w:szCs w:val="24"/>
          <w:lang w:eastAsia="ja-JP"/>
        </w:rPr>
        <w:t>7</w:t>
      </w:r>
    </w:p>
    <w:p w14:paraId="22A0615B" w14:textId="77777777" w:rsidR="00273F36" w:rsidRPr="004C70EC" w:rsidRDefault="00273F36" w:rsidP="00273F36">
      <w:pPr>
        <w:keepNext/>
        <w:keepLines/>
        <w:spacing w:before="360" w:after="80" w:line="279" w:lineRule="auto"/>
        <w:jc w:val="center"/>
        <w:outlineLvl w:val="0"/>
        <w:rPr>
          <w:rFonts w:eastAsiaTheme="majorEastAsia"/>
          <w:b/>
          <w:noProof/>
          <w:color w:val="000000" w:themeColor="text1"/>
          <w:szCs w:val="24"/>
          <w:lang w:eastAsia="ja-JP"/>
        </w:rPr>
      </w:pPr>
      <w:r w:rsidRPr="004C70EC">
        <w:rPr>
          <w:rFonts w:eastAsiaTheme="majorEastAsia"/>
          <w:b/>
          <w:noProof/>
          <w:color w:val="000000" w:themeColor="text1"/>
          <w:szCs w:val="24"/>
          <w:lang w:eastAsia="ja-JP"/>
        </w:rPr>
        <w:t xml:space="preserve">Entry into </w:t>
      </w:r>
      <w:r w:rsidR="001C0C36" w:rsidRPr="004C70EC">
        <w:rPr>
          <w:rFonts w:eastAsiaTheme="majorEastAsia"/>
          <w:b/>
          <w:noProof/>
          <w:color w:val="000000" w:themeColor="text1"/>
          <w:szCs w:val="24"/>
          <w:lang w:eastAsia="ja-JP"/>
        </w:rPr>
        <w:t>f</w:t>
      </w:r>
      <w:r w:rsidRPr="004C70EC">
        <w:rPr>
          <w:rFonts w:eastAsiaTheme="majorEastAsia"/>
          <w:b/>
          <w:noProof/>
          <w:color w:val="000000" w:themeColor="text1"/>
          <w:szCs w:val="24"/>
          <w:lang w:eastAsia="ja-JP"/>
        </w:rPr>
        <w:t xml:space="preserve">orce and </w:t>
      </w:r>
      <w:r w:rsidR="001C0C36" w:rsidRPr="004C70EC">
        <w:rPr>
          <w:rFonts w:eastAsiaTheme="majorEastAsia"/>
          <w:b/>
          <w:noProof/>
          <w:color w:val="000000" w:themeColor="text1"/>
          <w:szCs w:val="24"/>
          <w:lang w:eastAsia="ja-JP"/>
        </w:rPr>
        <w:t>a</w:t>
      </w:r>
      <w:r w:rsidRPr="004C70EC">
        <w:rPr>
          <w:rFonts w:eastAsiaTheme="majorEastAsia"/>
          <w:b/>
          <w:noProof/>
          <w:color w:val="000000" w:themeColor="text1"/>
          <w:szCs w:val="24"/>
          <w:lang w:eastAsia="ja-JP"/>
        </w:rPr>
        <w:t>pplication</w:t>
      </w:r>
    </w:p>
    <w:p w14:paraId="7DC3927B" w14:textId="77777777" w:rsidR="00273F36" w:rsidRPr="004C70EC" w:rsidRDefault="00273F36" w:rsidP="00E26087">
      <w:pPr>
        <w:pStyle w:val="Point0"/>
        <w:rPr>
          <w:noProof/>
          <w:color w:val="000000" w:themeColor="text1"/>
          <w:szCs w:val="24"/>
          <w:lang w:eastAsia="ja-JP"/>
        </w:rPr>
      </w:pPr>
      <w:r w:rsidRPr="004C70EC">
        <w:rPr>
          <w:noProof/>
          <w:color w:val="000000" w:themeColor="text1"/>
          <w:szCs w:val="24"/>
          <w:lang w:eastAsia="ja-JP"/>
        </w:rPr>
        <w:t>1.</w:t>
      </w:r>
      <w:r w:rsidR="00E26087" w:rsidRPr="004C70EC">
        <w:rPr>
          <w:noProof/>
          <w:color w:val="000000" w:themeColor="text1"/>
          <w:szCs w:val="24"/>
          <w:lang w:eastAsia="ja-JP"/>
        </w:rPr>
        <w:tab/>
      </w:r>
      <w:r w:rsidRPr="004C70EC">
        <w:rPr>
          <w:noProof/>
          <w:color w:val="000000" w:themeColor="text1"/>
          <w:szCs w:val="24"/>
          <w:lang w:eastAsia="ja-JP"/>
        </w:rPr>
        <w:t xml:space="preserve">This Regulation shall enter into force on the twentieth day following that of its publication in the </w:t>
      </w:r>
      <w:r w:rsidRPr="004C70EC">
        <w:rPr>
          <w:i/>
          <w:noProof/>
          <w:color w:val="000000" w:themeColor="text1"/>
          <w:szCs w:val="24"/>
          <w:lang w:eastAsia="ja-JP"/>
        </w:rPr>
        <w:t>Official Journal of the European Union</w:t>
      </w:r>
      <w:r w:rsidRPr="004C70EC">
        <w:rPr>
          <w:noProof/>
          <w:color w:val="000000" w:themeColor="text1"/>
          <w:szCs w:val="24"/>
          <w:lang w:eastAsia="ja-JP"/>
        </w:rPr>
        <w:t>.</w:t>
      </w:r>
    </w:p>
    <w:p w14:paraId="52D78240" w14:textId="77777777" w:rsidR="000B0312" w:rsidRPr="00F27122" w:rsidRDefault="000B0312" w:rsidP="000B0312">
      <w:pPr>
        <w:pStyle w:val="Point0"/>
        <w:rPr>
          <w:noProof/>
          <w:color w:val="000000" w:themeColor="text1"/>
          <w:szCs w:val="24"/>
          <w:lang w:eastAsia="ja-JP"/>
        </w:rPr>
      </w:pPr>
      <w:r w:rsidRPr="00F27122">
        <w:rPr>
          <w:noProof/>
          <w:color w:val="000000" w:themeColor="text1"/>
          <w:szCs w:val="24"/>
          <w:lang w:eastAsia="ja-JP"/>
        </w:rPr>
        <w:t>2.</w:t>
      </w:r>
      <w:r w:rsidRPr="00F27122">
        <w:rPr>
          <w:noProof/>
          <w:color w:val="000000" w:themeColor="text1"/>
          <w:szCs w:val="24"/>
          <w:lang w:eastAsia="ja-JP"/>
        </w:rPr>
        <w:tab/>
        <w:t xml:space="preserve">It shall apply as of the day of entry into force. </w:t>
      </w:r>
    </w:p>
    <w:p w14:paraId="30ACBDF9" w14:textId="77777777" w:rsidR="000B0312" w:rsidRPr="00F27122" w:rsidRDefault="000B0312" w:rsidP="000B0312">
      <w:pPr>
        <w:pStyle w:val="Point0"/>
        <w:rPr>
          <w:noProof/>
          <w:color w:val="000000" w:themeColor="text1"/>
          <w:szCs w:val="24"/>
          <w:lang w:eastAsia="ja-JP"/>
        </w:rPr>
      </w:pPr>
      <w:r w:rsidRPr="00F27122">
        <w:rPr>
          <w:noProof/>
          <w:color w:val="000000" w:themeColor="text1"/>
          <w:szCs w:val="24"/>
          <w:lang w:eastAsia="ja-JP"/>
        </w:rPr>
        <w:t>3.</w:t>
      </w:r>
      <w:r w:rsidRPr="00F27122">
        <w:rPr>
          <w:noProof/>
          <w:color w:val="000000" w:themeColor="text1"/>
          <w:szCs w:val="24"/>
          <w:lang w:eastAsia="ja-JP"/>
        </w:rPr>
        <w:tab/>
        <w:t>By way of derogation from paragraph 2:</w:t>
      </w:r>
    </w:p>
    <w:p w14:paraId="6E00C26F" w14:textId="01CC7552" w:rsidR="000B0312" w:rsidRDefault="000B0312" w:rsidP="00BB31B9">
      <w:pPr>
        <w:pStyle w:val="Point1"/>
        <w:rPr>
          <w:noProof/>
          <w:color w:val="000000" w:themeColor="text1"/>
          <w:szCs w:val="24"/>
          <w:lang w:eastAsia="ja-JP"/>
        </w:rPr>
      </w:pPr>
      <w:r w:rsidRPr="00F27122">
        <w:rPr>
          <w:noProof/>
          <w:color w:val="000000" w:themeColor="text1"/>
          <w:szCs w:val="24"/>
          <w:lang w:eastAsia="ja-JP"/>
        </w:rPr>
        <w:t>(a)</w:t>
      </w:r>
      <w:r w:rsidRPr="00F27122">
        <w:rPr>
          <w:noProof/>
          <w:color w:val="000000" w:themeColor="text1"/>
          <w:szCs w:val="24"/>
          <w:lang w:eastAsia="ja-JP"/>
        </w:rPr>
        <w:tab/>
        <w:t xml:space="preserve">Article </w:t>
      </w:r>
      <w:r w:rsidR="0000756D" w:rsidRPr="00F27122">
        <w:rPr>
          <w:noProof/>
          <w:color w:val="000000" w:themeColor="text1"/>
          <w:szCs w:val="24"/>
          <w:lang w:eastAsia="ja-JP"/>
        </w:rPr>
        <w:t>5</w:t>
      </w:r>
      <w:r w:rsidR="00ED4733" w:rsidRPr="00F27122">
        <w:rPr>
          <w:noProof/>
          <w:color w:val="000000" w:themeColor="text1"/>
          <w:szCs w:val="24"/>
          <w:lang w:eastAsia="ja-JP"/>
        </w:rPr>
        <w:t>8</w:t>
      </w:r>
      <w:r w:rsidRPr="00F27122">
        <w:rPr>
          <w:noProof/>
          <w:color w:val="000000" w:themeColor="text1"/>
          <w:szCs w:val="24"/>
          <w:lang w:eastAsia="ja-JP"/>
        </w:rPr>
        <w:t>, points (5) to (1</w:t>
      </w:r>
      <w:r>
        <w:rPr>
          <w:noProof/>
          <w:color w:val="000000" w:themeColor="text1"/>
          <w:szCs w:val="24"/>
          <w:lang w:eastAsia="ja-JP"/>
        </w:rPr>
        <w:t>2</w:t>
      </w:r>
      <w:r w:rsidRPr="00F27122">
        <w:rPr>
          <w:noProof/>
          <w:color w:val="000000" w:themeColor="text1"/>
          <w:szCs w:val="24"/>
          <w:lang w:eastAsia="ja-JP"/>
        </w:rPr>
        <w:t xml:space="preserve">) and points (15) to (24) shall apply as of </w:t>
      </w:r>
      <w:r>
        <w:rPr>
          <w:noProof/>
          <w:color w:val="000000" w:themeColor="text1"/>
          <w:szCs w:val="24"/>
          <w:lang w:eastAsia="ja-JP"/>
        </w:rPr>
        <w:t>[</w:t>
      </w:r>
      <w:r>
        <w:rPr>
          <w:i/>
          <w:iCs/>
          <w:noProof/>
          <w:color w:val="000000" w:themeColor="text1"/>
          <w:szCs w:val="24"/>
          <w:lang w:eastAsia="ja-JP"/>
        </w:rPr>
        <w:t>OP, please insert date: six months after entry into force of this Regulation</w:t>
      </w:r>
      <w:r>
        <w:rPr>
          <w:noProof/>
          <w:color w:val="000000" w:themeColor="text1"/>
          <w:szCs w:val="24"/>
          <w:lang w:eastAsia="ja-JP"/>
        </w:rPr>
        <w:t>]</w:t>
      </w:r>
      <w:r w:rsidRPr="00F27122">
        <w:rPr>
          <w:noProof/>
          <w:color w:val="000000" w:themeColor="text1"/>
          <w:szCs w:val="24"/>
          <w:lang w:eastAsia="ja-JP"/>
        </w:rPr>
        <w:t>;</w:t>
      </w:r>
    </w:p>
    <w:p w14:paraId="2A6C3FE6" w14:textId="53E740C8" w:rsidR="00C720C0" w:rsidRPr="00F27122" w:rsidRDefault="00C720C0" w:rsidP="00C720C0">
      <w:pPr>
        <w:pStyle w:val="Point1"/>
        <w:rPr>
          <w:noProof/>
          <w:color w:val="000000" w:themeColor="text1"/>
          <w:szCs w:val="24"/>
          <w:lang w:eastAsia="ja-JP"/>
        </w:rPr>
      </w:pPr>
      <w:r>
        <w:rPr>
          <w:noProof/>
          <w:color w:val="000000" w:themeColor="text1"/>
          <w:szCs w:val="24"/>
          <w:lang w:eastAsia="ja-JP"/>
        </w:rPr>
        <w:t>(b)</w:t>
      </w:r>
      <w:r>
        <w:rPr>
          <w:noProof/>
          <w:color w:val="000000" w:themeColor="text1"/>
          <w:szCs w:val="24"/>
        </w:rPr>
        <w:tab/>
      </w:r>
      <w:r>
        <w:rPr>
          <w:noProof/>
          <w:color w:val="000000" w:themeColor="text1"/>
          <w:szCs w:val="24"/>
          <w:lang w:eastAsia="ja-JP"/>
        </w:rPr>
        <w:t>Article 58, point (13) shall apply as of [</w:t>
      </w:r>
      <w:r>
        <w:rPr>
          <w:i/>
          <w:iCs/>
          <w:noProof/>
          <w:color w:val="000000" w:themeColor="text1"/>
          <w:szCs w:val="24"/>
          <w:lang w:eastAsia="ja-JP"/>
        </w:rPr>
        <w:t>OP, please insert date: nine months after entry into force of this Regulation</w:t>
      </w:r>
      <w:r>
        <w:rPr>
          <w:noProof/>
          <w:color w:val="000000" w:themeColor="text1"/>
          <w:szCs w:val="24"/>
          <w:lang w:eastAsia="ja-JP"/>
        </w:rPr>
        <w:t>];</w:t>
      </w:r>
    </w:p>
    <w:p w14:paraId="2E301962" w14:textId="5387CFE0" w:rsidR="000B0312" w:rsidRPr="00F27122" w:rsidRDefault="000B0312" w:rsidP="00BB31B9">
      <w:pPr>
        <w:pStyle w:val="Point1"/>
        <w:rPr>
          <w:noProof/>
          <w:color w:val="000000" w:themeColor="text1"/>
          <w:szCs w:val="24"/>
          <w:lang w:eastAsia="ja-JP"/>
        </w:rPr>
      </w:pPr>
      <w:r w:rsidRPr="00F27122">
        <w:rPr>
          <w:noProof/>
          <w:color w:val="000000" w:themeColor="text1"/>
          <w:szCs w:val="24"/>
          <w:lang w:eastAsia="ja-JP"/>
        </w:rPr>
        <w:t>(</w:t>
      </w:r>
      <w:r>
        <w:rPr>
          <w:noProof/>
          <w:color w:val="000000" w:themeColor="text1"/>
          <w:szCs w:val="24"/>
          <w:lang w:eastAsia="ja-JP"/>
        </w:rPr>
        <w:t>c</w:t>
      </w:r>
      <w:r w:rsidRPr="00F27122">
        <w:rPr>
          <w:noProof/>
          <w:color w:val="000000" w:themeColor="text1"/>
          <w:szCs w:val="24"/>
          <w:lang w:eastAsia="ja-JP"/>
        </w:rPr>
        <w:t>)</w:t>
      </w:r>
      <w:r w:rsidRPr="00F27122">
        <w:rPr>
          <w:noProof/>
          <w:color w:val="000000" w:themeColor="text1"/>
          <w:szCs w:val="24"/>
          <w:lang w:eastAsia="ja-JP"/>
        </w:rPr>
        <w:tab/>
      </w:r>
      <w:r>
        <w:rPr>
          <w:noProof/>
          <w:color w:val="000000" w:themeColor="text1"/>
          <w:szCs w:val="24"/>
          <w:lang w:eastAsia="ja-JP"/>
        </w:rPr>
        <w:t xml:space="preserve">Article </w:t>
      </w:r>
      <w:r w:rsidR="0000756D" w:rsidRPr="00F27122">
        <w:rPr>
          <w:noProof/>
          <w:color w:val="000000" w:themeColor="text1"/>
          <w:szCs w:val="24"/>
          <w:lang w:eastAsia="ja-JP"/>
        </w:rPr>
        <w:t>5</w:t>
      </w:r>
      <w:r w:rsidR="00ED4733" w:rsidRPr="00F27122">
        <w:rPr>
          <w:noProof/>
          <w:color w:val="000000" w:themeColor="text1"/>
          <w:szCs w:val="24"/>
          <w:lang w:eastAsia="ja-JP"/>
        </w:rPr>
        <w:t>8</w:t>
      </w:r>
      <w:r>
        <w:rPr>
          <w:noProof/>
          <w:color w:val="000000" w:themeColor="text1"/>
          <w:szCs w:val="24"/>
          <w:lang w:eastAsia="ja-JP"/>
        </w:rPr>
        <w:t>,</w:t>
      </w:r>
      <w:r w:rsidRPr="00F27122">
        <w:rPr>
          <w:noProof/>
          <w:color w:val="000000" w:themeColor="text1"/>
          <w:szCs w:val="24"/>
          <w:lang w:eastAsia="ja-JP"/>
        </w:rPr>
        <w:t xml:space="preserve"> </w:t>
      </w:r>
      <w:r>
        <w:rPr>
          <w:noProof/>
          <w:color w:val="000000" w:themeColor="text1"/>
          <w:szCs w:val="24"/>
          <w:lang w:eastAsia="ja-JP"/>
        </w:rPr>
        <w:t xml:space="preserve">point (25) </w:t>
      </w:r>
      <w:r w:rsidRPr="00F27122">
        <w:rPr>
          <w:noProof/>
          <w:color w:val="000000" w:themeColor="text1"/>
          <w:szCs w:val="24"/>
          <w:lang w:eastAsia="ja-JP"/>
        </w:rPr>
        <w:t xml:space="preserve">shall apply as of </w:t>
      </w:r>
      <w:r>
        <w:rPr>
          <w:noProof/>
          <w:color w:val="000000" w:themeColor="text1"/>
          <w:szCs w:val="24"/>
          <w:lang w:eastAsia="ja-JP"/>
        </w:rPr>
        <w:t>[</w:t>
      </w:r>
      <w:r>
        <w:rPr>
          <w:i/>
          <w:iCs/>
          <w:noProof/>
          <w:color w:val="000000" w:themeColor="text1"/>
          <w:szCs w:val="24"/>
          <w:lang w:eastAsia="ja-JP"/>
        </w:rPr>
        <w:t xml:space="preserve">OP, please insert date: </w:t>
      </w:r>
      <w:r w:rsidR="001A645D">
        <w:rPr>
          <w:i/>
          <w:iCs/>
          <w:noProof/>
          <w:color w:val="000000" w:themeColor="text1"/>
          <w:szCs w:val="24"/>
          <w:lang w:eastAsia="ja-JP"/>
        </w:rPr>
        <w:t>nine months after entry into force of this Regulation</w:t>
      </w:r>
      <w:r>
        <w:rPr>
          <w:noProof/>
          <w:color w:val="000000" w:themeColor="text1"/>
          <w:szCs w:val="24"/>
          <w:lang w:eastAsia="ja-JP"/>
        </w:rPr>
        <w:t>].</w:t>
      </w:r>
    </w:p>
    <w:p w14:paraId="064A7E3A" w14:textId="7A69C557" w:rsidR="00400C0D" w:rsidRDefault="2062F8A7" w:rsidP="00BB31B9">
      <w:pPr>
        <w:pStyle w:val="Applicationdirecte"/>
        <w:rPr>
          <w:noProof/>
          <w:color w:val="000000" w:themeColor="text1"/>
          <w:szCs w:val="24"/>
          <w:lang w:eastAsia="ja-JP"/>
        </w:rPr>
      </w:pPr>
      <w:r w:rsidRPr="004C70EC">
        <w:rPr>
          <w:noProof/>
          <w:color w:val="000000" w:themeColor="text1"/>
          <w:szCs w:val="24"/>
          <w:lang w:eastAsia="ja-JP"/>
        </w:rPr>
        <w:t>This Regulation shall be binding in its entirety and directly applicable in all Member States.</w:t>
      </w:r>
    </w:p>
    <w:p w14:paraId="0E6D839D" w14:textId="42D81327" w:rsidR="00273F36" w:rsidRPr="004C70EC" w:rsidRDefault="00D67E17" w:rsidP="00411BCA">
      <w:pPr>
        <w:pStyle w:val="Fait"/>
        <w:rPr>
          <w:noProof/>
        </w:rPr>
      </w:pPr>
      <w:r>
        <w:rPr>
          <w:noProof/>
        </w:rPr>
        <w:t>Done at Strasbourg,</w:t>
      </w:r>
    </w:p>
    <w:p w14:paraId="1A5EE4B2" w14:textId="77777777" w:rsidR="00273F36" w:rsidRPr="004C70EC" w:rsidRDefault="00273F36" w:rsidP="00411BCA">
      <w:pPr>
        <w:pStyle w:val="Institutionquisigne"/>
        <w:rPr>
          <w:noProof/>
          <w:color w:val="000000" w:themeColor="text1"/>
          <w:szCs w:val="24"/>
        </w:rPr>
      </w:pPr>
      <w:r w:rsidRPr="004C70EC">
        <w:rPr>
          <w:noProof/>
          <w:color w:val="000000" w:themeColor="text1"/>
          <w:szCs w:val="24"/>
        </w:rPr>
        <w:t>For the European Parliament</w:t>
      </w:r>
      <w:r w:rsidRPr="004C70EC">
        <w:rPr>
          <w:noProof/>
          <w:color w:val="000000" w:themeColor="text1"/>
          <w:szCs w:val="24"/>
        </w:rPr>
        <w:tab/>
        <w:t>For the Council</w:t>
      </w:r>
    </w:p>
    <w:p w14:paraId="45783F27" w14:textId="77777777" w:rsidR="00273F36" w:rsidRPr="004C70EC" w:rsidRDefault="00273F36" w:rsidP="00E26087">
      <w:pPr>
        <w:pStyle w:val="Personnequisigne"/>
        <w:rPr>
          <w:noProof/>
          <w:color w:val="000000" w:themeColor="text1"/>
          <w:szCs w:val="24"/>
        </w:rPr>
      </w:pPr>
      <w:r w:rsidRPr="004C70EC">
        <w:rPr>
          <w:noProof/>
          <w:color w:val="000000" w:themeColor="text1"/>
          <w:szCs w:val="24"/>
        </w:rPr>
        <w:t>The President</w:t>
      </w:r>
      <w:r w:rsidRPr="004C70EC">
        <w:rPr>
          <w:noProof/>
          <w:color w:val="000000" w:themeColor="text1"/>
          <w:szCs w:val="24"/>
        </w:rPr>
        <w:tab/>
        <w:t>The President</w:t>
      </w:r>
    </w:p>
    <w:p w14:paraId="311BA7BE" w14:textId="77777777" w:rsidR="002A2DB6" w:rsidRPr="004C70EC" w:rsidRDefault="002A2DB6" w:rsidP="002A2DB6">
      <w:pPr>
        <w:rPr>
          <w:noProof/>
          <w:color w:val="000000" w:themeColor="text1"/>
          <w:szCs w:val="24"/>
        </w:rPr>
        <w:sectPr w:rsidR="002A2DB6" w:rsidRPr="004C70EC" w:rsidSect="007A289E">
          <w:footnotePr>
            <w:numRestart w:val="eachSect"/>
          </w:footnotePr>
          <w:pgSz w:w="11907" w:h="16839"/>
          <w:pgMar w:top="1134" w:right="1417" w:bottom="1134" w:left="1417" w:header="709" w:footer="709" w:gutter="0"/>
          <w:cols w:space="720"/>
          <w:docGrid w:linePitch="360"/>
        </w:sectPr>
      </w:pPr>
    </w:p>
    <w:p w14:paraId="0CFEDF12" w14:textId="77777777" w:rsidR="007966CD" w:rsidRPr="004C70EC" w:rsidRDefault="007966CD">
      <w:pPr>
        <w:pStyle w:val="Fichefinanciretitre"/>
        <w:keepNext/>
        <w:rPr>
          <w:noProof/>
          <w:color w:val="000000" w:themeColor="text1"/>
          <w:szCs w:val="24"/>
        </w:rPr>
      </w:pPr>
      <w:bookmarkStart w:id="38" w:name="_Toc5D346564D1344DA4A57D37D117F8308C"/>
      <w:r w:rsidRPr="004C70EC">
        <w:rPr>
          <w:noProof/>
          <w:color w:val="000000" w:themeColor="text1"/>
          <w:szCs w:val="24"/>
        </w:rPr>
        <w:t>LEGISLATIVE FINANCIAL AND DIGITAL STATEMENT</w:t>
      </w:r>
      <w:bookmarkEnd w:id="38"/>
      <w:r w:rsidRPr="004C70EC">
        <w:rPr>
          <w:noProof/>
          <w:color w:val="000000" w:themeColor="text1"/>
          <w:szCs w:val="24"/>
        </w:rPr>
        <w:t>- AGENCIES</w:t>
      </w:r>
    </w:p>
    <w:p w14:paraId="28C06E1D" w14:textId="77777777" w:rsidR="007966CD" w:rsidRPr="004C70EC" w:rsidRDefault="007966CD">
      <w:pPr>
        <w:pStyle w:val="TOC1"/>
        <w:rPr>
          <w:rFonts w:eastAsiaTheme="minorEastAsia"/>
          <w:noProof/>
          <w:color w:val="000000" w:themeColor="text1"/>
          <w:kern w:val="2"/>
          <w:szCs w:val="24"/>
          <w:lang w:eastAsia="en-GB"/>
          <w14:ligatures w14:val="standardContextual"/>
        </w:rPr>
      </w:pPr>
      <w:r w:rsidRPr="004C70EC">
        <w:rPr>
          <w:noProof/>
          <w:color w:val="000000" w:themeColor="text1"/>
          <w:szCs w:val="24"/>
        </w:rPr>
        <w:t>1.</w:t>
      </w:r>
      <w:r w:rsidRPr="004C70EC">
        <w:rPr>
          <w:rFonts w:eastAsiaTheme="minorEastAsia"/>
          <w:noProof/>
          <w:color w:val="000000" w:themeColor="text1"/>
          <w:kern w:val="2"/>
          <w:szCs w:val="24"/>
          <w:lang w:eastAsia="en-GB"/>
          <w14:ligatures w14:val="standardContextual"/>
        </w:rPr>
        <w:tab/>
      </w:r>
      <w:r w:rsidRPr="004C70EC">
        <w:rPr>
          <w:noProof/>
          <w:color w:val="000000" w:themeColor="text1"/>
          <w:szCs w:val="24"/>
        </w:rPr>
        <w:t>FRAMEWORK OF THE PROPOSAL/INITIATIVE</w:t>
      </w:r>
      <w:r w:rsidRPr="004C70EC">
        <w:rPr>
          <w:noProof/>
          <w:webHidden/>
          <w:color w:val="000000" w:themeColor="text1"/>
          <w:szCs w:val="24"/>
        </w:rPr>
        <w:tab/>
        <w:t>3</w:t>
      </w:r>
    </w:p>
    <w:p w14:paraId="794D0754" w14:textId="77777777" w:rsidR="007966CD" w:rsidRPr="004C70EC" w:rsidRDefault="007966CD">
      <w:pPr>
        <w:pStyle w:val="TOCHeading"/>
        <w:rPr>
          <w:noProof/>
          <w:color w:val="000000" w:themeColor="text1"/>
          <w:sz w:val="24"/>
          <w:szCs w:val="24"/>
        </w:rPr>
      </w:pPr>
      <w:r w:rsidRPr="004C70EC">
        <w:rPr>
          <w:noProof/>
          <w:color w:val="000000" w:themeColor="text1"/>
          <w:sz w:val="24"/>
          <w:szCs w:val="24"/>
        </w:rPr>
        <w:t>TABLE OF CONTENTS</w:t>
      </w:r>
    </w:p>
    <w:p w14:paraId="1B1F1595" w14:textId="5A6790F0" w:rsidR="00525BA0" w:rsidRDefault="00525BA0" w:rsidP="00525BA0">
      <w:pPr>
        <w:pStyle w:val="TOC5"/>
        <w:rPr>
          <w:noProof/>
        </w:rPr>
      </w:pPr>
      <w:r>
        <w:rPr>
          <w:noProof/>
        </w:rPr>
        <w:t>ANNEX 4</w:t>
      </w:r>
      <w:r>
        <w:rPr>
          <w:noProof/>
        </w:rPr>
        <w:tab/>
      </w:r>
      <w:r>
        <w:rPr>
          <w:noProof/>
        </w:rPr>
        <w:fldChar w:fldCharType="begin"/>
      </w:r>
      <w:r>
        <w:rPr>
          <w:noProof/>
        </w:rPr>
        <w:instrText xml:space="preserve"> PAGEREF \h _TocE833B8201AA742F8898F6E123140D364 \* MERGEFORMAT </w:instrText>
      </w:r>
      <w:r>
        <w:rPr>
          <w:noProof/>
        </w:rPr>
      </w:r>
      <w:r>
        <w:rPr>
          <w:noProof/>
        </w:rPr>
        <w:fldChar w:fldCharType="separate"/>
      </w:r>
      <w:r w:rsidR="00BC45C8">
        <w:rPr>
          <w:b/>
          <w:bCs/>
          <w:noProof/>
          <w:lang w:val="en-US"/>
        </w:rPr>
        <w:t>Error! Bookmark not defined.</w:t>
      </w:r>
      <w:r>
        <w:rPr>
          <w:noProof/>
        </w:rPr>
        <w:fldChar w:fldCharType="end"/>
      </w:r>
    </w:p>
    <w:p w14:paraId="128BB68B" w14:textId="1BC8F735" w:rsidR="007966CD" w:rsidRPr="004C70EC" w:rsidRDefault="007966CD">
      <w:pPr>
        <w:pStyle w:val="TOC5"/>
        <w:rPr>
          <w:noProof/>
          <w:color w:val="000000" w:themeColor="text1"/>
          <w:szCs w:val="24"/>
        </w:rPr>
      </w:pPr>
      <w:r w:rsidRPr="004C70EC">
        <w:rPr>
          <w:noProof/>
          <w:color w:val="000000" w:themeColor="text1"/>
          <w:szCs w:val="24"/>
        </w:rPr>
        <w:t>LEGISLATIVE FINANCIAL AND DIGITAL STATEMENT</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_Toc5D346564D1344DA4A57D37D117F8308C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1</w:t>
      </w:r>
      <w:r w:rsidRPr="004C70EC">
        <w:rPr>
          <w:noProof/>
          <w:color w:val="000000" w:themeColor="text1"/>
          <w:szCs w:val="24"/>
        </w:rPr>
        <w:fldChar w:fldCharType="end"/>
      </w:r>
    </w:p>
    <w:p w14:paraId="14E6BBEE" w14:textId="7DEE0F05" w:rsidR="007966CD" w:rsidRPr="004C70EC" w:rsidRDefault="007966CD">
      <w:pPr>
        <w:pStyle w:val="TOC1"/>
        <w:rPr>
          <w:noProof/>
          <w:color w:val="000000" w:themeColor="text1"/>
          <w:szCs w:val="24"/>
        </w:rPr>
      </w:pPr>
      <w:r w:rsidRPr="004C70EC">
        <w:rPr>
          <w:noProof/>
          <w:color w:val="000000" w:themeColor="text1"/>
          <w:szCs w:val="24"/>
        </w:rPr>
        <w:t>1.</w:t>
      </w:r>
      <w:r w:rsidRPr="004C70EC">
        <w:rPr>
          <w:noProof/>
          <w:color w:val="000000" w:themeColor="text1"/>
          <w:szCs w:val="24"/>
        </w:rPr>
        <w:tab/>
        <w:t xml:space="preserve">FRAMEWORK OF THE PROPOSAL/INITIATIVE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_Toc84DC004407544EBA80B06B30E2054234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3</w:t>
      </w:r>
      <w:r w:rsidRPr="004C70EC">
        <w:rPr>
          <w:noProof/>
          <w:color w:val="000000" w:themeColor="text1"/>
          <w:szCs w:val="24"/>
        </w:rPr>
        <w:fldChar w:fldCharType="end"/>
      </w:r>
    </w:p>
    <w:p w14:paraId="72C44D3C" w14:textId="4A4FC6BC" w:rsidR="007966CD" w:rsidRPr="004C70EC" w:rsidRDefault="007966CD">
      <w:pPr>
        <w:pStyle w:val="TOC2"/>
        <w:rPr>
          <w:noProof/>
          <w:color w:val="000000" w:themeColor="text1"/>
          <w:szCs w:val="24"/>
        </w:rPr>
      </w:pPr>
      <w:r w:rsidRPr="004C70EC">
        <w:rPr>
          <w:noProof/>
          <w:color w:val="000000" w:themeColor="text1"/>
          <w:szCs w:val="24"/>
        </w:rPr>
        <w:t>1.1.</w:t>
      </w:r>
      <w:r w:rsidRPr="004C70EC">
        <w:rPr>
          <w:noProof/>
          <w:color w:val="000000" w:themeColor="text1"/>
          <w:szCs w:val="24"/>
        </w:rPr>
        <w:tab/>
        <w:t>Title of the proposal/initiative</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_Toc21252D9E12294CC6994847DD27FA093D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3</w:t>
      </w:r>
      <w:r w:rsidRPr="004C70EC">
        <w:rPr>
          <w:noProof/>
          <w:color w:val="000000" w:themeColor="text1"/>
          <w:szCs w:val="24"/>
        </w:rPr>
        <w:fldChar w:fldCharType="end"/>
      </w:r>
    </w:p>
    <w:p w14:paraId="6FD3E457" w14:textId="0806D062" w:rsidR="007966CD" w:rsidRPr="004C70EC" w:rsidRDefault="007966CD">
      <w:pPr>
        <w:pStyle w:val="TOC2"/>
        <w:rPr>
          <w:noProof/>
          <w:color w:val="000000" w:themeColor="text1"/>
          <w:szCs w:val="24"/>
        </w:rPr>
      </w:pPr>
      <w:r w:rsidRPr="004C70EC">
        <w:rPr>
          <w:noProof/>
          <w:color w:val="000000" w:themeColor="text1"/>
          <w:szCs w:val="24"/>
        </w:rPr>
        <w:t>1.2.</w:t>
      </w:r>
      <w:r w:rsidRPr="004C70EC">
        <w:rPr>
          <w:noProof/>
          <w:color w:val="000000" w:themeColor="text1"/>
          <w:szCs w:val="24"/>
        </w:rPr>
        <w:tab/>
        <w:t xml:space="preserve">Policy area(s) concerned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_TocB828C72883764868B04EF27AF6CA16EA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3</w:t>
      </w:r>
      <w:r w:rsidRPr="004C70EC">
        <w:rPr>
          <w:noProof/>
          <w:color w:val="000000" w:themeColor="text1"/>
          <w:szCs w:val="24"/>
        </w:rPr>
        <w:fldChar w:fldCharType="end"/>
      </w:r>
    </w:p>
    <w:p w14:paraId="2EEBCD06" w14:textId="07A9EE72" w:rsidR="007966CD" w:rsidRPr="004C70EC" w:rsidRDefault="007966CD">
      <w:pPr>
        <w:pStyle w:val="TOC2"/>
        <w:rPr>
          <w:noProof/>
          <w:color w:val="000000" w:themeColor="text1"/>
          <w:szCs w:val="24"/>
        </w:rPr>
      </w:pPr>
      <w:r w:rsidRPr="004C70EC">
        <w:rPr>
          <w:noProof/>
          <w:color w:val="000000" w:themeColor="text1"/>
          <w:szCs w:val="24"/>
        </w:rPr>
        <w:t>1.3.</w:t>
      </w:r>
      <w:r w:rsidRPr="004C70EC">
        <w:rPr>
          <w:noProof/>
          <w:color w:val="000000" w:themeColor="text1"/>
          <w:szCs w:val="24"/>
        </w:rPr>
        <w:tab/>
        <w:t>Objective(s)</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_Toc7CED4B8756554500826E9ED37664C815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3</w:t>
      </w:r>
      <w:r w:rsidRPr="004C70EC">
        <w:rPr>
          <w:noProof/>
          <w:color w:val="000000" w:themeColor="text1"/>
          <w:szCs w:val="24"/>
        </w:rPr>
        <w:fldChar w:fldCharType="end"/>
      </w:r>
    </w:p>
    <w:p w14:paraId="27253CEB" w14:textId="69FB17B5" w:rsidR="007966CD" w:rsidRPr="004C70EC" w:rsidRDefault="007966CD">
      <w:pPr>
        <w:pStyle w:val="TOC3"/>
        <w:rPr>
          <w:noProof/>
          <w:color w:val="000000" w:themeColor="text1"/>
          <w:szCs w:val="24"/>
        </w:rPr>
      </w:pPr>
      <w:r w:rsidRPr="004C70EC">
        <w:rPr>
          <w:noProof/>
          <w:color w:val="000000" w:themeColor="text1"/>
          <w:szCs w:val="24"/>
        </w:rPr>
        <w:t>1.3.1.</w:t>
      </w:r>
      <w:r w:rsidRPr="004C70EC">
        <w:rPr>
          <w:noProof/>
          <w:color w:val="000000" w:themeColor="text1"/>
          <w:szCs w:val="24"/>
        </w:rPr>
        <w:tab/>
        <w:t>General objective(s)</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_Toc9F1A9730B27B4074A02413AAAEDA20A2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3</w:t>
      </w:r>
      <w:r w:rsidRPr="004C70EC">
        <w:rPr>
          <w:noProof/>
          <w:color w:val="000000" w:themeColor="text1"/>
          <w:szCs w:val="24"/>
        </w:rPr>
        <w:fldChar w:fldCharType="end"/>
      </w:r>
    </w:p>
    <w:p w14:paraId="5A9EBFC3" w14:textId="2A3A34CD" w:rsidR="007966CD" w:rsidRPr="004C70EC" w:rsidRDefault="007966CD">
      <w:pPr>
        <w:pStyle w:val="TOC3"/>
        <w:rPr>
          <w:noProof/>
          <w:color w:val="000000" w:themeColor="text1"/>
          <w:szCs w:val="24"/>
        </w:rPr>
      </w:pPr>
      <w:r w:rsidRPr="004C70EC">
        <w:rPr>
          <w:noProof/>
          <w:color w:val="000000" w:themeColor="text1"/>
          <w:szCs w:val="24"/>
        </w:rPr>
        <w:t>1.3.2.</w:t>
      </w:r>
      <w:r w:rsidRPr="004C70EC">
        <w:rPr>
          <w:noProof/>
          <w:color w:val="000000" w:themeColor="text1"/>
          <w:szCs w:val="24"/>
        </w:rPr>
        <w:tab/>
        <w:t>Specific objective(s)</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_Toc5B618D0C629F499E8BDCF5E60551B21A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3</w:t>
      </w:r>
      <w:r w:rsidRPr="004C70EC">
        <w:rPr>
          <w:noProof/>
          <w:color w:val="000000" w:themeColor="text1"/>
          <w:szCs w:val="24"/>
        </w:rPr>
        <w:fldChar w:fldCharType="end"/>
      </w:r>
    </w:p>
    <w:p w14:paraId="172F851E" w14:textId="5BE3C16D" w:rsidR="007966CD" w:rsidRPr="004C70EC" w:rsidRDefault="007966CD">
      <w:pPr>
        <w:pStyle w:val="TOC3"/>
        <w:rPr>
          <w:noProof/>
          <w:color w:val="000000" w:themeColor="text1"/>
          <w:szCs w:val="24"/>
        </w:rPr>
      </w:pPr>
      <w:r w:rsidRPr="004C70EC">
        <w:rPr>
          <w:noProof/>
          <w:color w:val="000000" w:themeColor="text1"/>
          <w:szCs w:val="24"/>
        </w:rPr>
        <w:t>1.3.3.</w:t>
      </w:r>
      <w:r w:rsidRPr="004C70EC">
        <w:rPr>
          <w:noProof/>
          <w:color w:val="000000" w:themeColor="text1"/>
          <w:szCs w:val="24"/>
        </w:rPr>
        <w:tab/>
        <w:t>Expected result(s) and impact</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_Toc5388E34D176241919D043A75E734A18F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4</w:t>
      </w:r>
      <w:r w:rsidRPr="004C70EC">
        <w:rPr>
          <w:noProof/>
          <w:color w:val="000000" w:themeColor="text1"/>
          <w:szCs w:val="24"/>
        </w:rPr>
        <w:fldChar w:fldCharType="end"/>
      </w:r>
    </w:p>
    <w:p w14:paraId="15128B3F" w14:textId="1503EAB9" w:rsidR="007966CD" w:rsidRPr="004C70EC" w:rsidRDefault="007966CD">
      <w:pPr>
        <w:pStyle w:val="TOC3"/>
        <w:rPr>
          <w:noProof/>
          <w:color w:val="000000" w:themeColor="text1"/>
          <w:szCs w:val="24"/>
        </w:rPr>
      </w:pPr>
      <w:r w:rsidRPr="004C70EC">
        <w:rPr>
          <w:noProof/>
          <w:color w:val="000000" w:themeColor="text1"/>
          <w:szCs w:val="24"/>
        </w:rPr>
        <w:t>1.3.4.</w:t>
      </w:r>
      <w:r w:rsidRPr="004C70EC">
        <w:rPr>
          <w:noProof/>
          <w:color w:val="000000" w:themeColor="text1"/>
          <w:szCs w:val="24"/>
        </w:rPr>
        <w:tab/>
        <w:t>Indicators of performance</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_TocC3BEBEEBEC3742F18A645836D78B92CB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4</w:t>
      </w:r>
      <w:r w:rsidRPr="004C70EC">
        <w:rPr>
          <w:noProof/>
          <w:color w:val="000000" w:themeColor="text1"/>
          <w:szCs w:val="24"/>
        </w:rPr>
        <w:fldChar w:fldCharType="end"/>
      </w:r>
    </w:p>
    <w:p w14:paraId="03749DF9" w14:textId="748A6C09" w:rsidR="007966CD" w:rsidRPr="004C70EC" w:rsidRDefault="007966CD">
      <w:pPr>
        <w:pStyle w:val="TOC2"/>
        <w:rPr>
          <w:noProof/>
          <w:color w:val="000000" w:themeColor="text1"/>
          <w:szCs w:val="24"/>
        </w:rPr>
      </w:pPr>
      <w:r w:rsidRPr="004C70EC">
        <w:rPr>
          <w:noProof/>
          <w:color w:val="000000" w:themeColor="text1"/>
          <w:szCs w:val="24"/>
        </w:rPr>
        <w:t>1.4.</w:t>
      </w:r>
      <w:r w:rsidRPr="004C70EC">
        <w:rPr>
          <w:noProof/>
          <w:color w:val="000000" w:themeColor="text1"/>
          <w:szCs w:val="24"/>
        </w:rPr>
        <w:tab/>
        <w:t xml:space="preserve">The proposal/initiative relates to: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_TocE2CABEF34EAB47B694FF9C8945B312F7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4</w:t>
      </w:r>
      <w:r w:rsidRPr="004C70EC">
        <w:rPr>
          <w:noProof/>
          <w:color w:val="000000" w:themeColor="text1"/>
          <w:szCs w:val="24"/>
        </w:rPr>
        <w:fldChar w:fldCharType="end"/>
      </w:r>
    </w:p>
    <w:p w14:paraId="2BDD01C5" w14:textId="53587E59" w:rsidR="007966CD" w:rsidRPr="004C70EC" w:rsidRDefault="007966CD">
      <w:pPr>
        <w:pStyle w:val="TOC2"/>
        <w:rPr>
          <w:noProof/>
          <w:color w:val="000000" w:themeColor="text1"/>
          <w:szCs w:val="24"/>
        </w:rPr>
      </w:pPr>
      <w:r w:rsidRPr="004C70EC">
        <w:rPr>
          <w:noProof/>
          <w:color w:val="000000" w:themeColor="text1"/>
          <w:szCs w:val="24"/>
        </w:rPr>
        <w:t>1.5.</w:t>
      </w:r>
      <w:r w:rsidRPr="004C70EC">
        <w:rPr>
          <w:noProof/>
          <w:color w:val="000000" w:themeColor="text1"/>
          <w:szCs w:val="24"/>
        </w:rPr>
        <w:tab/>
        <w:t xml:space="preserve">Grounds for the proposal/initiative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_TocD88FD6F30049435D90549F1CE92CBBC0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5</w:t>
      </w:r>
      <w:r w:rsidRPr="004C70EC">
        <w:rPr>
          <w:noProof/>
          <w:color w:val="000000" w:themeColor="text1"/>
          <w:szCs w:val="24"/>
        </w:rPr>
        <w:fldChar w:fldCharType="end"/>
      </w:r>
    </w:p>
    <w:p w14:paraId="5899B1C4" w14:textId="1CD91770" w:rsidR="007966CD" w:rsidRPr="004C70EC" w:rsidRDefault="007966CD">
      <w:pPr>
        <w:pStyle w:val="TOC3"/>
        <w:rPr>
          <w:noProof/>
          <w:color w:val="000000" w:themeColor="text1"/>
          <w:szCs w:val="24"/>
        </w:rPr>
      </w:pPr>
      <w:r w:rsidRPr="004C70EC">
        <w:rPr>
          <w:noProof/>
          <w:color w:val="000000" w:themeColor="text1"/>
          <w:szCs w:val="24"/>
        </w:rPr>
        <w:t>1.5.1.</w:t>
      </w:r>
      <w:r w:rsidRPr="004C70EC">
        <w:rPr>
          <w:noProof/>
          <w:color w:val="000000" w:themeColor="text1"/>
          <w:szCs w:val="24"/>
        </w:rPr>
        <w:tab/>
        <w:t>Requirement(s) to be met in the short or long term including a detailed timeline for roll-out of the implementation of the initiative</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_Toc79CD74D7AA844678943C2A12D69D7C35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5</w:t>
      </w:r>
      <w:r w:rsidRPr="004C70EC">
        <w:rPr>
          <w:noProof/>
          <w:color w:val="000000" w:themeColor="text1"/>
          <w:szCs w:val="24"/>
        </w:rPr>
        <w:fldChar w:fldCharType="end"/>
      </w:r>
    </w:p>
    <w:p w14:paraId="1B4585D2" w14:textId="6B2931B8" w:rsidR="007966CD" w:rsidRPr="004C70EC" w:rsidRDefault="007966CD">
      <w:pPr>
        <w:pStyle w:val="TOC3"/>
        <w:rPr>
          <w:noProof/>
          <w:color w:val="000000" w:themeColor="text1"/>
          <w:szCs w:val="24"/>
        </w:rPr>
      </w:pPr>
      <w:r w:rsidRPr="004C70EC">
        <w:rPr>
          <w:noProof/>
          <w:color w:val="000000" w:themeColor="text1"/>
          <w:szCs w:val="24"/>
        </w:rPr>
        <w:t>1.5.2.</w:t>
      </w:r>
      <w:r w:rsidRPr="004C70EC">
        <w:rPr>
          <w:noProof/>
          <w:color w:val="000000" w:themeColor="text1"/>
          <w:szCs w:val="24"/>
        </w:rPr>
        <w:tab/>
        <w:t>Added value of EU involvement (it may result from different factors, e.g. coordination gains, legal certainty, greater effectiveness or complementarities). For the purposes of this section 'added value of EU involvement' is the value resulting from EU action, that is additional to the value that would have been otherwise created by Member States alone.</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_TocE39484BDC57446C7B6055DAA695E7E2D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5</w:t>
      </w:r>
      <w:r w:rsidRPr="004C70EC">
        <w:rPr>
          <w:noProof/>
          <w:color w:val="000000" w:themeColor="text1"/>
          <w:szCs w:val="24"/>
        </w:rPr>
        <w:fldChar w:fldCharType="end"/>
      </w:r>
    </w:p>
    <w:p w14:paraId="552B860E" w14:textId="192B493B" w:rsidR="007966CD" w:rsidRPr="004C70EC" w:rsidRDefault="007966CD">
      <w:pPr>
        <w:pStyle w:val="TOC3"/>
        <w:rPr>
          <w:noProof/>
          <w:color w:val="000000" w:themeColor="text1"/>
          <w:szCs w:val="24"/>
        </w:rPr>
      </w:pPr>
      <w:r w:rsidRPr="004C70EC">
        <w:rPr>
          <w:noProof/>
          <w:color w:val="000000" w:themeColor="text1"/>
          <w:szCs w:val="24"/>
        </w:rPr>
        <w:t>1.5.3.</w:t>
      </w:r>
      <w:r w:rsidRPr="004C70EC">
        <w:rPr>
          <w:noProof/>
          <w:color w:val="000000" w:themeColor="text1"/>
          <w:szCs w:val="24"/>
        </w:rPr>
        <w:tab/>
        <w:t>Lessons learned from similar experiences in the past</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_Toc5A33F369C88F47FAB000EB978337D3A3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6</w:t>
      </w:r>
      <w:r w:rsidRPr="004C70EC">
        <w:rPr>
          <w:noProof/>
          <w:color w:val="000000" w:themeColor="text1"/>
          <w:szCs w:val="24"/>
        </w:rPr>
        <w:fldChar w:fldCharType="end"/>
      </w:r>
    </w:p>
    <w:p w14:paraId="01C2ACD8" w14:textId="55B8F449" w:rsidR="007966CD" w:rsidRPr="004C70EC" w:rsidRDefault="007966CD">
      <w:pPr>
        <w:pStyle w:val="TOC3"/>
        <w:rPr>
          <w:noProof/>
          <w:color w:val="000000" w:themeColor="text1"/>
          <w:szCs w:val="24"/>
        </w:rPr>
      </w:pPr>
      <w:r w:rsidRPr="004C70EC">
        <w:rPr>
          <w:noProof/>
          <w:color w:val="000000" w:themeColor="text1"/>
          <w:szCs w:val="24"/>
        </w:rPr>
        <w:t>1.5.4.</w:t>
      </w:r>
      <w:r w:rsidRPr="004C70EC">
        <w:rPr>
          <w:noProof/>
          <w:color w:val="000000" w:themeColor="text1"/>
          <w:szCs w:val="24"/>
        </w:rPr>
        <w:tab/>
        <w:t>Compatibility with the multiannual financial framework and possible synergies with other appropriate instruments</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_TocF28740B160C04A50B861D9FDF7E9774A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6</w:t>
      </w:r>
      <w:r w:rsidRPr="004C70EC">
        <w:rPr>
          <w:noProof/>
          <w:color w:val="000000" w:themeColor="text1"/>
          <w:szCs w:val="24"/>
        </w:rPr>
        <w:fldChar w:fldCharType="end"/>
      </w:r>
    </w:p>
    <w:p w14:paraId="246D8135" w14:textId="642D0D87" w:rsidR="007966CD" w:rsidRPr="004C70EC" w:rsidRDefault="007966CD">
      <w:pPr>
        <w:pStyle w:val="TOC3"/>
        <w:rPr>
          <w:noProof/>
          <w:color w:val="000000" w:themeColor="text1"/>
          <w:szCs w:val="24"/>
        </w:rPr>
      </w:pPr>
      <w:r w:rsidRPr="004C70EC">
        <w:rPr>
          <w:noProof/>
          <w:color w:val="000000" w:themeColor="text1"/>
          <w:szCs w:val="24"/>
        </w:rPr>
        <w:t>1.5.5.</w:t>
      </w:r>
      <w:r w:rsidRPr="004C70EC">
        <w:rPr>
          <w:noProof/>
          <w:color w:val="000000" w:themeColor="text1"/>
          <w:szCs w:val="24"/>
        </w:rPr>
        <w:tab/>
        <w:t>Assessment of the different available financing options, including scope for redeployment</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_Toc47F50056088A44A9A9D02DAAD97B14D6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7</w:t>
      </w:r>
      <w:r w:rsidRPr="004C70EC">
        <w:rPr>
          <w:noProof/>
          <w:color w:val="000000" w:themeColor="text1"/>
          <w:szCs w:val="24"/>
        </w:rPr>
        <w:fldChar w:fldCharType="end"/>
      </w:r>
    </w:p>
    <w:p w14:paraId="1802A494" w14:textId="7EB56B27" w:rsidR="007966CD" w:rsidRPr="004C70EC" w:rsidRDefault="007966CD">
      <w:pPr>
        <w:pStyle w:val="TOC2"/>
        <w:rPr>
          <w:noProof/>
          <w:color w:val="000000" w:themeColor="text1"/>
          <w:szCs w:val="24"/>
        </w:rPr>
      </w:pPr>
      <w:r w:rsidRPr="004C70EC">
        <w:rPr>
          <w:noProof/>
          <w:color w:val="000000" w:themeColor="text1"/>
          <w:szCs w:val="24"/>
        </w:rPr>
        <w:t>1.6.</w:t>
      </w:r>
      <w:r w:rsidRPr="004C70EC">
        <w:rPr>
          <w:noProof/>
          <w:color w:val="000000" w:themeColor="text1"/>
          <w:szCs w:val="24"/>
        </w:rPr>
        <w:tab/>
        <w:t>Duration of the proposal/initiative and of its financial impact</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_Toc185FB167E8BB4FFEBE7A9330BA5642AA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8</w:t>
      </w:r>
      <w:r w:rsidRPr="004C70EC">
        <w:rPr>
          <w:noProof/>
          <w:color w:val="000000" w:themeColor="text1"/>
          <w:szCs w:val="24"/>
        </w:rPr>
        <w:fldChar w:fldCharType="end"/>
      </w:r>
    </w:p>
    <w:p w14:paraId="38706F79" w14:textId="00AF8F9A" w:rsidR="007966CD" w:rsidRPr="004C70EC" w:rsidRDefault="007966CD">
      <w:pPr>
        <w:pStyle w:val="TOC2"/>
        <w:rPr>
          <w:noProof/>
          <w:color w:val="000000" w:themeColor="text1"/>
          <w:szCs w:val="24"/>
        </w:rPr>
      </w:pPr>
      <w:r w:rsidRPr="004C70EC">
        <w:rPr>
          <w:noProof/>
          <w:color w:val="000000" w:themeColor="text1"/>
          <w:szCs w:val="24"/>
        </w:rPr>
        <w:t>1.7.</w:t>
      </w:r>
      <w:r w:rsidRPr="004C70EC">
        <w:rPr>
          <w:noProof/>
          <w:color w:val="000000" w:themeColor="text1"/>
          <w:szCs w:val="24"/>
        </w:rPr>
        <w:tab/>
        <w:t xml:space="preserve">Method(s) of budget implementation planned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_TocCA5838BA98A14307831BCB2B1AAF38C9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8</w:t>
      </w:r>
      <w:r w:rsidRPr="004C70EC">
        <w:rPr>
          <w:noProof/>
          <w:color w:val="000000" w:themeColor="text1"/>
          <w:szCs w:val="24"/>
        </w:rPr>
        <w:fldChar w:fldCharType="end"/>
      </w:r>
    </w:p>
    <w:p w14:paraId="4C714727" w14:textId="1DEB3497" w:rsidR="007966CD" w:rsidRPr="004C70EC" w:rsidRDefault="007966CD">
      <w:pPr>
        <w:pStyle w:val="TOC1"/>
        <w:rPr>
          <w:noProof/>
          <w:color w:val="000000" w:themeColor="text1"/>
          <w:szCs w:val="24"/>
        </w:rPr>
      </w:pPr>
      <w:r w:rsidRPr="004C70EC">
        <w:rPr>
          <w:noProof/>
          <w:color w:val="000000" w:themeColor="text1"/>
          <w:szCs w:val="24"/>
        </w:rPr>
        <w:t>2.</w:t>
      </w:r>
      <w:r w:rsidRPr="004C70EC">
        <w:rPr>
          <w:noProof/>
          <w:color w:val="000000" w:themeColor="text1"/>
          <w:szCs w:val="24"/>
        </w:rPr>
        <w:tab/>
        <w:t xml:space="preserve">MANAGEMENT MEASURES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_TocBF441B7996C54049BFC3FC9AE2499EEE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10</w:t>
      </w:r>
      <w:r w:rsidRPr="004C70EC">
        <w:rPr>
          <w:noProof/>
          <w:color w:val="000000" w:themeColor="text1"/>
          <w:szCs w:val="24"/>
        </w:rPr>
        <w:fldChar w:fldCharType="end"/>
      </w:r>
    </w:p>
    <w:p w14:paraId="30C386F9" w14:textId="2864F94A" w:rsidR="007966CD" w:rsidRPr="004C70EC" w:rsidRDefault="007966CD">
      <w:pPr>
        <w:pStyle w:val="TOC2"/>
        <w:rPr>
          <w:noProof/>
          <w:color w:val="000000" w:themeColor="text1"/>
          <w:szCs w:val="24"/>
        </w:rPr>
      </w:pPr>
      <w:r w:rsidRPr="004C70EC">
        <w:rPr>
          <w:noProof/>
          <w:color w:val="000000" w:themeColor="text1"/>
          <w:szCs w:val="24"/>
        </w:rPr>
        <w:t>2.1.</w:t>
      </w:r>
      <w:r w:rsidRPr="004C70EC">
        <w:rPr>
          <w:noProof/>
          <w:color w:val="000000" w:themeColor="text1"/>
          <w:szCs w:val="24"/>
        </w:rPr>
        <w:tab/>
        <w:t xml:space="preserve">Monitoring and reporting rules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_Toc801AE4A8CB0D42C1948C62F241605B2B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10</w:t>
      </w:r>
      <w:r w:rsidRPr="004C70EC">
        <w:rPr>
          <w:noProof/>
          <w:color w:val="000000" w:themeColor="text1"/>
          <w:szCs w:val="24"/>
        </w:rPr>
        <w:fldChar w:fldCharType="end"/>
      </w:r>
    </w:p>
    <w:p w14:paraId="581DD632" w14:textId="0716643B" w:rsidR="007966CD" w:rsidRPr="004C70EC" w:rsidRDefault="007966CD">
      <w:pPr>
        <w:pStyle w:val="TOC2"/>
        <w:rPr>
          <w:noProof/>
          <w:color w:val="000000" w:themeColor="text1"/>
          <w:szCs w:val="24"/>
        </w:rPr>
      </w:pPr>
      <w:r w:rsidRPr="004C70EC">
        <w:rPr>
          <w:noProof/>
          <w:color w:val="000000" w:themeColor="text1"/>
          <w:szCs w:val="24"/>
        </w:rPr>
        <w:t>2.2.</w:t>
      </w:r>
      <w:r w:rsidRPr="004C70EC">
        <w:rPr>
          <w:noProof/>
          <w:color w:val="000000" w:themeColor="text1"/>
          <w:szCs w:val="24"/>
        </w:rPr>
        <w:tab/>
        <w:t xml:space="preserve">Management and control system(s)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_TocD0E148C6EA4A4B2DAC4ADAB19E619A38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10</w:t>
      </w:r>
      <w:r w:rsidRPr="004C70EC">
        <w:rPr>
          <w:noProof/>
          <w:color w:val="000000" w:themeColor="text1"/>
          <w:szCs w:val="24"/>
        </w:rPr>
        <w:fldChar w:fldCharType="end"/>
      </w:r>
    </w:p>
    <w:p w14:paraId="0BAF30E8" w14:textId="5BCD00F3" w:rsidR="007966CD" w:rsidRPr="004C70EC" w:rsidRDefault="007966CD">
      <w:pPr>
        <w:pStyle w:val="TOC3"/>
        <w:rPr>
          <w:noProof/>
          <w:color w:val="000000" w:themeColor="text1"/>
          <w:szCs w:val="24"/>
        </w:rPr>
      </w:pPr>
      <w:r w:rsidRPr="004C70EC">
        <w:rPr>
          <w:noProof/>
          <w:color w:val="000000" w:themeColor="text1"/>
          <w:szCs w:val="24"/>
        </w:rPr>
        <w:t>2.2.1.</w:t>
      </w:r>
      <w:r w:rsidRPr="004C70EC">
        <w:rPr>
          <w:noProof/>
          <w:color w:val="000000" w:themeColor="text1"/>
          <w:szCs w:val="24"/>
        </w:rPr>
        <w:tab/>
        <w:t>Justification of the budget implementation method(s), the funding implementation mechanism(s), the payment modalities and the control strategy proposed</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_TocAE87DAA0E59B42AB8D4580FE8491E18C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10</w:t>
      </w:r>
      <w:r w:rsidRPr="004C70EC">
        <w:rPr>
          <w:noProof/>
          <w:color w:val="000000" w:themeColor="text1"/>
          <w:szCs w:val="24"/>
        </w:rPr>
        <w:fldChar w:fldCharType="end"/>
      </w:r>
    </w:p>
    <w:p w14:paraId="5AF3E79B" w14:textId="3A967DEE" w:rsidR="007966CD" w:rsidRPr="004C70EC" w:rsidRDefault="007966CD">
      <w:pPr>
        <w:pStyle w:val="TOC3"/>
        <w:rPr>
          <w:noProof/>
          <w:color w:val="000000" w:themeColor="text1"/>
          <w:szCs w:val="24"/>
        </w:rPr>
      </w:pPr>
      <w:r w:rsidRPr="004C70EC">
        <w:rPr>
          <w:noProof/>
          <w:color w:val="000000" w:themeColor="text1"/>
          <w:szCs w:val="24"/>
        </w:rPr>
        <w:t>2.2.2.</w:t>
      </w:r>
      <w:r w:rsidRPr="004C70EC">
        <w:rPr>
          <w:noProof/>
          <w:color w:val="000000" w:themeColor="text1"/>
          <w:szCs w:val="24"/>
        </w:rPr>
        <w:tab/>
        <w:t>Information concerning the risks identified and the internal control system(s) set up to mitigate them</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_Toc0727D7AEC165477FAC3C0DC1F5EE8281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11</w:t>
      </w:r>
      <w:r w:rsidRPr="004C70EC">
        <w:rPr>
          <w:noProof/>
          <w:color w:val="000000" w:themeColor="text1"/>
          <w:szCs w:val="24"/>
        </w:rPr>
        <w:fldChar w:fldCharType="end"/>
      </w:r>
    </w:p>
    <w:p w14:paraId="5A090F68" w14:textId="0B4325D9" w:rsidR="007966CD" w:rsidRPr="004C70EC" w:rsidRDefault="007966CD">
      <w:pPr>
        <w:pStyle w:val="TOC3"/>
        <w:rPr>
          <w:noProof/>
          <w:color w:val="000000" w:themeColor="text1"/>
          <w:szCs w:val="24"/>
        </w:rPr>
      </w:pPr>
      <w:r w:rsidRPr="004C70EC">
        <w:rPr>
          <w:noProof/>
          <w:color w:val="000000" w:themeColor="text1"/>
          <w:szCs w:val="24"/>
        </w:rPr>
        <w:t>2.2.3.</w:t>
      </w:r>
      <w:r w:rsidRPr="004C70EC">
        <w:rPr>
          <w:noProof/>
          <w:color w:val="000000" w:themeColor="text1"/>
          <w:szCs w:val="24"/>
        </w:rPr>
        <w:tab/>
        <w:t xml:space="preserve">Estimation and justification of the cost-effectiveness of the controls (ratio between the control costs  and the value of the related funds managed), and assessment of the expected levels of risk of error (at payment &amp; at closure)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_Toc8592650A89C0476E82A4621081272970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12</w:t>
      </w:r>
      <w:r w:rsidRPr="004C70EC">
        <w:rPr>
          <w:noProof/>
          <w:color w:val="000000" w:themeColor="text1"/>
          <w:szCs w:val="24"/>
        </w:rPr>
        <w:fldChar w:fldCharType="end"/>
      </w:r>
    </w:p>
    <w:p w14:paraId="28A0EA6A" w14:textId="37745B23" w:rsidR="007966CD" w:rsidRPr="004C70EC" w:rsidRDefault="007966CD">
      <w:pPr>
        <w:pStyle w:val="TOC2"/>
        <w:rPr>
          <w:noProof/>
          <w:color w:val="000000" w:themeColor="text1"/>
          <w:szCs w:val="24"/>
        </w:rPr>
      </w:pPr>
      <w:r w:rsidRPr="004C70EC">
        <w:rPr>
          <w:noProof/>
          <w:color w:val="000000" w:themeColor="text1"/>
          <w:szCs w:val="24"/>
        </w:rPr>
        <w:t>2.3.</w:t>
      </w:r>
      <w:r w:rsidRPr="004C70EC">
        <w:rPr>
          <w:noProof/>
          <w:color w:val="000000" w:themeColor="text1"/>
          <w:szCs w:val="24"/>
        </w:rPr>
        <w:tab/>
        <w:t xml:space="preserve">Measures to prevent fraud and irregularities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_Toc7CEB9D6064A24FDCB7D04041BE884C7B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12</w:t>
      </w:r>
      <w:r w:rsidRPr="004C70EC">
        <w:rPr>
          <w:noProof/>
          <w:color w:val="000000" w:themeColor="text1"/>
          <w:szCs w:val="24"/>
        </w:rPr>
        <w:fldChar w:fldCharType="end"/>
      </w:r>
    </w:p>
    <w:p w14:paraId="404DB1FC" w14:textId="75E66EBB" w:rsidR="007966CD" w:rsidRPr="004C70EC" w:rsidRDefault="007966CD">
      <w:pPr>
        <w:pStyle w:val="TOC1"/>
        <w:rPr>
          <w:noProof/>
          <w:color w:val="000000" w:themeColor="text1"/>
          <w:szCs w:val="24"/>
        </w:rPr>
      </w:pPr>
      <w:r w:rsidRPr="004C70EC">
        <w:rPr>
          <w:noProof/>
          <w:color w:val="000000" w:themeColor="text1"/>
          <w:szCs w:val="24"/>
        </w:rPr>
        <w:t>3.</w:t>
      </w:r>
      <w:r w:rsidRPr="004C70EC">
        <w:rPr>
          <w:noProof/>
          <w:color w:val="000000" w:themeColor="text1"/>
          <w:szCs w:val="24"/>
        </w:rPr>
        <w:tab/>
        <w:t xml:space="preserve">ESTIMATED FINANCIAL IMPACT OF THE PROPOSAL/INITIATIVE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_Toc72505A171B7543F2BD1E93515848472F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14</w:t>
      </w:r>
      <w:r w:rsidRPr="004C70EC">
        <w:rPr>
          <w:noProof/>
          <w:color w:val="000000" w:themeColor="text1"/>
          <w:szCs w:val="24"/>
        </w:rPr>
        <w:fldChar w:fldCharType="end"/>
      </w:r>
    </w:p>
    <w:p w14:paraId="7FB1E357" w14:textId="513690F3" w:rsidR="007966CD" w:rsidRPr="004C70EC" w:rsidRDefault="007966CD">
      <w:pPr>
        <w:pStyle w:val="TOC2"/>
        <w:rPr>
          <w:noProof/>
          <w:color w:val="000000" w:themeColor="text1"/>
          <w:szCs w:val="24"/>
        </w:rPr>
      </w:pPr>
      <w:r w:rsidRPr="004C70EC">
        <w:rPr>
          <w:noProof/>
          <w:color w:val="000000" w:themeColor="text1"/>
          <w:szCs w:val="24"/>
        </w:rPr>
        <w:t>3.1.</w:t>
      </w:r>
      <w:r w:rsidRPr="004C70EC">
        <w:rPr>
          <w:noProof/>
          <w:color w:val="000000" w:themeColor="text1"/>
          <w:szCs w:val="24"/>
        </w:rPr>
        <w:tab/>
        <w:t xml:space="preserve">Heading(s) of the multiannual financial framework and expenditure budget line(s) affected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_Toc1998CA7DB6A644889168B7ECA2E45410 \* MERGEFORMAT </w:instrText>
      </w:r>
      <w:r w:rsidRPr="004C70EC">
        <w:rPr>
          <w:noProof/>
          <w:color w:val="000000" w:themeColor="text1"/>
          <w:szCs w:val="24"/>
        </w:rPr>
      </w:r>
      <w:r w:rsidRPr="004C70EC">
        <w:rPr>
          <w:noProof/>
          <w:color w:val="000000" w:themeColor="text1"/>
          <w:szCs w:val="24"/>
        </w:rPr>
        <w:fldChar w:fldCharType="separate"/>
      </w:r>
      <w:r w:rsidR="00BC45C8">
        <w:rPr>
          <w:noProof/>
          <w:color w:val="000000" w:themeColor="text1"/>
          <w:szCs w:val="24"/>
        </w:rPr>
        <w:t>14</w:t>
      </w:r>
      <w:r w:rsidRPr="004C70EC">
        <w:rPr>
          <w:noProof/>
          <w:color w:val="000000" w:themeColor="text1"/>
          <w:szCs w:val="24"/>
        </w:rPr>
        <w:fldChar w:fldCharType="end"/>
      </w:r>
    </w:p>
    <w:p w14:paraId="666B75CB" w14:textId="356396BD" w:rsidR="007966CD" w:rsidRPr="004C70EC" w:rsidRDefault="007966CD">
      <w:pPr>
        <w:pStyle w:val="TOC2"/>
        <w:rPr>
          <w:noProof/>
          <w:color w:val="000000" w:themeColor="text1"/>
          <w:szCs w:val="24"/>
        </w:rPr>
      </w:pPr>
      <w:r w:rsidRPr="004C70EC">
        <w:rPr>
          <w:noProof/>
          <w:color w:val="000000" w:themeColor="text1"/>
          <w:szCs w:val="24"/>
        </w:rPr>
        <w:t>3.2.</w:t>
      </w:r>
      <w:r w:rsidRPr="004C70EC">
        <w:rPr>
          <w:noProof/>
          <w:color w:val="000000" w:themeColor="text1"/>
          <w:szCs w:val="24"/>
        </w:rPr>
        <w:tab/>
        <w:t xml:space="preserve">Estimated financial impact of the proposal on appropriations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_TocFC18DFCB5E3A4A349ADAFBB7196F6173 \* MERGEFORMAT </w:instrText>
      </w:r>
      <w:r w:rsidRPr="004C70EC">
        <w:rPr>
          <w:noProof/>
          <w:color w:val="000000" w:themeColor="text1"/>
          <w:szCs w:val="24"/>
        </w:rPr>
      </w:r>
      <w:r w:rsidRPr="004C70EC">
        <w:rPr>
          <w:noProof/>
          <w:color w:val="000000" w:themeColor="text1"/>
          <w:szCs w:val="24"/>
        </w:rPr>
        <w:fldChar w:fldCharType="separate"/>
      </w:r>
      <w:r>
        <w:rPr>
          <w:noProof/>
          <w:color w:val="000000" w:themeColor="text1"/>
          <w:szCs w:val="24"/>
        </w:rPr>
        <w:t>15</w:t>
      </w:r>
      <w:r w:rsidRPr="004C70EC">
        <w:rPr>
          <w:noProof/>
          <w:color w:val="000000" w:themeColor="text1"/>
          <w:szCs w:val="24"/>
        </w:rPr>
        <w:fldChar w:fldCharType="end"/>
      </w:r>
    </w:p>
    <w:p w14:paraId="4392C9E2" w14:textId="489AB00B" w:rsidR="007966CD" w:rsidRPr="004C70EC" w:rsidRDefault="007966CD">
      <w:pPr>
        <w:pStyle w:val="TOC3"/>
        <w:rPr>
          <w:noProof/>
          <w:color w:val="000000" w:themeColor="text1"/>
          <w:szCs w:val="24"/>
        </w:rPr>
      </w:pPr>
      <w:r w:rsidRPr="004C70EC">
        <w:rPr>
          <w:noProof/>
          <w:color w:val="000000" w:themeColor="text1"/>
          <w:szCs w:val="24"/>
        </w:rPr>
        <w:t>3.2.1.</w:t>
      </w:r>
      <w:r w:rsidRPr="004C70EC">
        <w:rPr>
          <w:noProof/>
          <w:color w:val="000000" w:themeColor="text1"/>
          <w:szCs w:val="24"/>
        </w:rPr>
        <w:tab/>
        <w:t xml:space="preserve">Summary of estimated impact on operational appropriations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_TocBE9DF3CCFA86476EADC3D627D44286A7 \* MERGEFORMAT </w:instrText>
      </w:r>
      <w:r w:rsidRPr="004C70EC">
        <w:rPr>
          <w:noProof/>
          <w:color w:val="000000" w:themeColor="text1"/>
          <w:szCs w:val="24"/>
        </w:rPr>
      </w:r>
      <w:r w:rsidRPr="004C70EC">
        <w:rPr>
          <w:noProof/>
          <w:color w:val="000000" w:themeColor="text1"/>
          <w:szCs w:val="24"/>
        </w:rPr>
        <w:fldChar w:fldCharType="separate"/>
      </w:r>
      <w:r>
        <w:rPr>
          <w:noProof/>
          <w:color w:val="000000" w:themeColor="text1"/>
          <w:szCs w:val="24"/>
        </w:rPr>
        <w:t>15</w:t>
      </w:r>
      <w:r w:rsidRPr="004C70EC">
        <w:rPr>
          <w:noProof/>
          <w:color w:val="000000" w:themeColor="text1"/>
          <w:szCs w:val="24"/>
        </w:rPr>
        <w:fldChar w:fldCharType="end"/>
      </w:r>
    </w:p>
    <w:p w14:paraId="7157B479" w14:textId="71607899" w:rsidR="007966CD" w:rsidRPr="004C70EC" w:rsidRDefault="007966CD">
      <w:pPr>
        <w:pStyle w:val="TOC3"/>
        <w:rPr>
          <w:noProof/>
          <w:color w:val="000000" w:themeColor="text1"/>
          <w:szCs w:val="24"/>
        </w:rPr>
      </w:pPr>
      <w:r w:rsidRPr="004C70EC">
        <w:rPr>
          <w:noProof/>
          <w:color w:val="000000" w:themeColor="text1"/>
          <w:szCs w:val="24"/>
        </w:rPr>
        <w:t>3.2.1.1.</w:t>
      </w:r>
      <w:r w:rsidRPr="004C70EC">
        <w:rPr>
          <w:noProof/>
          <w:color w:val="000000" w:themeColor="text1"/>
          <w:szCs w:val="24"/>
        </w:rPr>
        <w:tab/>
        <w:t>Appropriations from voted budget</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_Toc91BA1DF32FCE44FE8F47F66E75A0562F \* MERGEFORMAT </w:instrText>
      </w:r>
      <w:r w:rsidRPr="004C70EC">
        <w:rPr>
          <w:noProof/>
          <w:color w:val="000000" w:themeColor="text1"/>
          <w:szCs w:val="24"/>
        </w:rPr>
      </w:r>
      <w:r w:rsidRPr="004C70EC">
        <w:rPr>
          <w:noProof/>
          <w:color w:val="000000" w:themeColor="text1"/>
          <w:szCs w:val="24"/>
        </w:rPr>
        <w:fldChar w:fldCharType="separate"/>
      </w:r>
      <w:r>
        <w:rPr>
          <w:noProof/>
          <w:color w:val="000000" w:themeColor="text1"/>
          <w:szCs w:val="24"/>
        </w:rPr>
        <w:t>15</w:t>
      </w:r>
      <w:r w:rsidRPr="004C70EC">
        <w:rPr>
          <w:noProof/>
          <w:color w:val="000000" w:themeColor="text1"/>
          <w:szCs w:val="24"/>
        </w:rPr>
        <w:fldChar w:fldCharType="end"/>
      </w:r>
    </w:p>
    <w:p w14:paraId="4CB369D6" w14:textId="1CFF8749" w:rsidR="007966CD" w:rsidRPr="004C70EC" w:rsidRDefault="007966CD">
      <w:pPr>
        <w:pStyle w:val="TOC3"/>
        <w:rPr>
          <w:noProof/>
          <w:color w:val="000000" w:themeColor="text1"/>
          <w:szCs w:val="24"/>
        </w:rPr>
      </w:pPr>
      <w:r w:rsidRPr="004C70EC">
        <w:rPr>
          <w:noProof/>
          <w:color w:val="000000" w:themeColor="text1"/>
          <w:szCs w:val="24"/>
        </w:rPr>
        <w:t>3.2.3.</w:t>
      </w:r>
      <w:r w:rsidRPr="004C70EC">
        <w:rPr>
          <w:noProof/>
          <w:color w:val="000000" w:themeColor="text1"/>
          <w:szCs w:val="24"/>
        </w:rPr>
        <w:tab/>
        <w:t xml:space="preserve">Summary of estimated impact on administrative appropriations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_Toc46C2CF7527084A8AB0E10D12466B47AB \* MERGEFORMAT </w:instrText>
      </w:r>
      <w:r w:rsidRPr="004C70EC">
        <w:rPr>
          <w:noProof/>
          <w:color w:val="000000" w:themeColor="text1"/>
          <w:szCs w:val="24"/>
        </w:rPr>
      </w:r>
      <w:r w:rsidRPr="004C70EC">
        <w:rPr>
          <w:noProof/>
          <w:color w:val="000000" w:themeColor="text1"/>
          <w:szCs w:val="24"/>
        </w:rPr>
        <w:fldChar w:fldCharType="separate"/>
      </w:r>
      <w:r>
        <w:rPr>
          <w:noProof/>
          <w:color w:val="000000" w:themeColor="text1"/>
          <w:szCs w:val="24"/>
        </w:rPr>
        <w:t>20</w:t>
      </w:r>
      <w:r w:rsidRPr="004C70EC">
        <w:rPr>
          <w:noProof/>
          <w:color w:val="000000" w:themeColor="text1"/>
          <w:szCs w:val="24"/>
        </w:rPr>
        <w:fldChar w:fldCharType="end"/>
      </w:r>
    </w:p>
    <w:p w14:paraId="19F01587" w14:textId="11F5BF2F" w:rsidR="007966CD" w:rsidRPr="004C70EC" w:rsidRDefault="007966CD">
      <w:pPr>
        <w:pStyle w:val="TOC3"/>
        <w:rPr>
          <w:noProof/>
          <w:color w:val="000000" w:themeColor="text1"/>
          <w:szCs w:val="24"/>
        </w:rPr>
      </w:pPr>
      <w:r w:rsidRPr="004C70EC">
        <w:rPr>
          <w:noProof/>
          <w:color w:val="000000" w:themeColor="text1"/>
          <w:szCs w:val="24"/>
        </w:rPr>
        <w:t>3.2.3.1. Appropriations from voted budget</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_Toc5684BFD6016342A6AACD7E72445DCFB0 \* MERGEFORMAT </w:instrText>
      </w:r>
      <w:r w:rsidRPr="004C70EC">
        <w:rPr>
          <w:noProof/>
          <w:color w:val="000000" w:themeColor="text1"/>
          <w:szCs w:val="24"/>
        </w:rPr>
      </w:r>
      <w:r w:rsidRPr="004C70EC">
        <w:rPr>
          <w:noProof/>
          <w:color w:val="000000" w:themeColor="text1"/>
          <w:szCs w:val="24"/>
        </w:rPr>
        <w:fldChar w:fldCharType="separate"/>
      </w:r>
      <w:r>
        <w:rPr>
          <w:noProof/>
          <w:color w:val="000000" w:themeColor="text1"/>
          <w:szCs w:val="24"/>
        </w:rPr>
        <w:t>20</w:t>
      </w:r>
      <w:r w:rsidRPr="004C70EC">
        <w:rPr>
          <w:noProof/>
          <w:color w:val="000000" w:themeColor="text1"/>
          <w:szCs w:val="24"/>
        </w:rPr>
        <w:fldChar w:fldCharType="end"/>
      </w:r>
    </w:p>
    <w:p w14:paraId="2A76AD44" w14:textId="1BB42260" w:rsidR="007966CD" w:rsidRPr="004C70EC" w:rsidRDefault="007966CD">
      <w:pPr>
        <w:pStyle w:val="TOC3"/>
        <w:rPr>
          <w:noProof/>
          <w:color w:val="000000" w:themeColor="text1"/>
          <w:szCs w:val="24"/>
        </w:rPr>
      </w:pPr>
      <w:r w:rsidRPr="004C70EC">
        <w:rPr>
          <w:noProof/>
          <w:color w:val="000000" w:themeColor="text1"/>
          <w:szCs w:val="24"/>
        </w:rPr>
        <w:t>3.2.4.</w:t>
      </w:r>
      <w:r w:rsidRPr="004C70EC">
        <w:rPr>
          <w:noProof/>
          <w:color w:val="000000" w:themeColor="text1"/>
          <w:szCs w:val="24"/>
        </w:rPr>
        <w:tab/>
        <w:t xml:space="preserve">Estimated requirements of human resources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_Toc27C4FFC4A68E4AB4AF0895FF219984D9 \* MERGEFORMAT </w:instrText>
      </w:r>
      <w:r w:rsidRPr="004C70EC">
        <w:rPr>
          <w:noProof/>
          <w:color w:val="000000" w:themeColor="text1"/>
          <w:szCs w:val="24"/>
        </w:rPr>
      </w:r>
      <w:r w:rsidRPr="004C70EC">
        <w:rPr>
          <w:noProof/>
          <w:color w:val="000000" w:themeColor="text1"/>
          <w:szCs w:val="24"/>
        </w:rPr>
        <w:fldChar w:fldCharType="separate"/>
      </w:r>
      <w:r>
        <w:rPr>
          <w:noProof/>
          <w:color w:val="000000" w:themeColor="text1"/>
          <w:szCs w:val="24"/>
        </w:rPr>
        <w:t>20</w:t>
      </w:r>
      <w:r w:rsidRPr="004C70EC">
        <w:rPr>
          <w:noProof/>
          <w:color w:val="000000" w:themeColor="text1"/>
          <w:szCs w:val="24"/>
        </w:rPr>
        <w:fldChar w:fldCharType="end"/>
      </w:r>
    </w:p>
    <w:p w14:paraId="25E1DFA6" w14:textId="68978E78" w:rsidR="007966CD" w:rsidRPr="004C70EC" w:rsidRDefault="007966CD">
      <w:pPr>
        <w:pStyle w:val="TOC3"/>
        <w:rPr>
          <w:noProof/>
          <w:color w:val="000000" w:themeColor="text1"/>
          <w:szCs w:val="24"/>
        </w:rPr>
      </w:pPr>
      <w:r w:rsidRPr="004C70EC">
        <w:rPr>
          <w:noProof/>
          <w:color w:val="000000" w:themeColor="text1"/>
          <w:szCs w:val="24"/>
        </w:rPr>
        <w:t>3.2.4.1.</w:t>
      </w:r>
      <w:r w:rsidRPr="004C70EC">
        <w:rPr>
          <w:noProof/>
          <w:color w:val="000000" w:themeColor="text1"/>
          <w:szCs w:val="24"/>
        </w:rPr>
        <w:tab/>
        <w:t>Financed from voted budget</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_Toc0A8E85017A0C4A39B77622B14B8F93AA \* MERGEFORMAT </w:instrText>
      </w:r>
      <w:r w:rsidRPr="004C70EC">
        <w:rPr>
          <w:noProof/>
          <w:color w:val="000000" w:themeColor="text1"/>
          <w:szCs w:val="24"/>
        </w:rPr>
      </w:r>
      <w:r w:rsidRPr="004C70EC">
        <w:rPr>
          <w:noProof/>
          <w:color w:val="000000" w:themeColor="text1"/>
          <w:szCs w:val="24"/>
        </w:rPr>
        <w:fldChar w:fldCharType="separate"/>
      </w:r>
      <w:r>
        <w:rPr>
          <w:noProof/>
          <w:color w:val="000000" w:themeColor="text1"/>
          <w:szCs w:val="24"/>
        </w:rPr>
        <w:t>21</w:t>
      </w:r>
      <w:r w:rsidRPr="004C70EC">
        <w:rPr>
          <w:noProof/>
          <w:color w:val="000000" w:themeColor="text1"/>
          <w:szCs w:val="24"/>
        </w:rPr>
        <w:fldChar w:fldCharType="end"/>
      </w:r>
    </w:p>
    <w:p w14:paraId="654DA3E4" w14:textId="19418A61" w:rsidR="007966CD" w:rsidRPr="004C70EC" w:rsidRDefault="007966CD">
      <w:pPr>
        <w:pStyle w:val="TOC3"/>
        <w:rPr>
          <w:noProof/>
          <w:color w:val="000000" w:themeColor="text1"/>
          <w:szCs w:val="24"/>
        </w:rPr>
      </w:pPr>
      <w:r w:rsidRPr="004C70EC">
        <w:rPr>
          <w:noProof/>
          <w:color w:val="000000" w:themeColor="text1"/>
          <w:szCs w:val="24"/>
        </w:rPr>
        <w:t>3.2.5.</w:t>
      </w:r>
      <w:r w:rsidRPr="004C70EC">
        <w:rPr>
          <w:noProof/>
          <w:color w:val="000000" w:themeColor="text1"/>
          <w:szCs w:val="24"/>
        </w:rPr>
        <w:tab/>
        <w:t>Overview of estimated impact on digital technology-related investments</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_Toc710D43F7069F42F4914DBA9171E3B413 \* MERGEFORMAT </w:instrText>
      </w:r>
      <w:r w:rsidRPr="004C70EC">
        <w:rPr>
          <w:noProof/>
          <w:color w:val="000000" w:themeColor="text1"/>
          <w:szCs w:val="24"/>
        </w:rPr>
      </w:r>
      <w:r w:rsidRPr="004C70EC">
        <w:rPr>
          <w:noProof/>
          <w:color w:val="000000" w:themeColor="text1"/>
          <w:szCs w:val="24"/>
        </w:rPr>
        <w:fldChar w:fldCharType="separate"/>
      </w:r>
      <w:r>
        <w:rPr>
          <w:noProof/>
          <w:color w:val="000000" w:themeColor="text1"/>
          <w:szCs w:val="24"/>
        </w:rPr>
        <w:t>24</w:t>
      </w:r>
      <w:r w:rsidRPr="004C70EC">
        <w:rPr>
          <w:noProof/>
          <w:color w:val="000000" w:themeColor="text1"/>
          <w:szCs w:val="24"/>
        </w:rPr>
        <w:fldChar w:fldCharType="end"/>
      </w:r>
    </w:p>
    <w:p w14:paraId="6E9551B2" w14:textId="02667D97" w:rsidR="007966CD" w:rsidRPr="004C70EC" w:rsidRDefault="007966CD">
      <w:pPr>
        <w:pStyle w:val="TOC3"/>
        <w:rPr>
          <w:noProof/>
          <w:color w:val="000000" w:themeColor="text1"/>
          <w:szCs w:val="24"/>
        </w:rPr>
      </w:pPr>
      <w:r w:rsidRPr="004C70EC">
        <w:rPr>
          <w:noProof/>
          <w:color w:val="000000" w:themeColor="text1"/>
          <w:szCs w:val="24"/>
        </w:rPr>
        <w:t>3.2.6.</w:t>
      </w:r>
      <w:r w:rsidRPr="004C70EC">
        <w:rPr>
          <w:noProof/>
          <w:color w:val="000000" w:themeColor="text1"/>
          <w:szCs w:val="24"/>
        </w:rPr>
        <w:tab/>
        <w:t xml:space="preserve">Compatibility with the current multiannual financial framework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_TocE4D17E879627423F8E9189A7217F38D0 \* MERGEFORMAT </w:instrText>
      </w:r>
      <w:r w:rsidRPr="004C70EC">
        <w:rPr>
          <w:noProof/>
          <w:color w:val="000000" w:themeColor="text1"/>
          <w:szCs w:val="24"/>
        </w:rPr>
      </w:r>
      <w:r w:rsidRPr="004C70EC">
        <w:rPr>
          <w:noProof/>
          <w:color w:val="000000" w:themeColor="text1"/>
          <w:szCs w:val="24"/>
        </w:rPr>
        <w:fldChar w:fldCharType="separate"/>
      </w:r>
      <w:r>
        <w:rPr>
          <w:noProof/>
          <w:color w:val="000000" w:themeColor="text1"/>
          <w:szCs w:val="24"/>
        </w:rPr>
        <w:t>25</w:t>
      </w:r>
      <w:r w:rsidRPr="004C70EC">
        <w:rPr>
          <w:noProof/>
          <w:color w:val="000000" w:themeColor="text1"/>
          <w:szCs w:val="24"/>
        </w:rPr>
        <w:fldChar w:fldCharType="end"/>
      </w:r>
    </w:p>
    <w:p w14:paraId="716BFAC5" w14:textId="30ECAEDF" w:rsidR="007966CD" w:rsidRPr="004C70EC" w:rsidRDefault="007966CD">
      <w:pPr>
        <w:pStyle w:val="TOC3"/>
        <w:rPr>
          <w:noProof/>
          <w:color w:val="000000" w:themeColor="text1"/>
          <w:szCs w:val="24"/>
        </w:rPr>
      </w:pPr>
      <w:r w:rsidRPr="004C70EC">
        <w:rPr>
          <w:noProof/>
          <w:color w:val="000000" w:themeColor="text1"/>
          <w:szCs w:val="24"/>
        </w:rPr>
        <w:t>3.2.7.</w:t>
      </w:r>
      <w:r w:rsidRPr="004C70EC">
        <w:rPr>
          <w:noProof/>
          <w:color w:val="000000" w:themeColor="text1"/>
          <w:szCs w:val="24"/>
        </w:rPr>
        <w:tab/>
        <w:t xml:space="preserve">Third-party contributions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_TocFE9FDF946A4E4AC0B3A4A3CA7281529D \* MERGEFORMAT </w:instrText>
      </w:r>
      <w:r w:rsidRPr="004C70EC">
        <w:rPr>
          <w:noProof/>
          <w:color w:val="000000" w:themeColor="text1"/>
          <w:szCs w:val="24"/>
        </w:rPr>
      </w:r>
      <w:r w:rsidRPr="004C70EC">
        <w:rPr>
          <w:noProof/>
          <w:color w:val="000000" w:themeColor="text1"/>
          <w:szCs w:val="24"/>
        </w:rPr>
        <w:fldChar w:fldCharType="separate"/>
      </w:r>
      <w:r>
        <w:rPr>
          <w:noProof/>
          <w:color w:val="000000" w:themeColor="text1"/>
          <w:szCs w:val="24"/>
        </w:rPr>
        <w:t>25</w:t>
      </w:r>
      <w:r w:rsidRPr="004C70EC">
        <w:rPr>
          <w:noProof/>
          <w:color w:val="000000" w:themeColor="text1"/>
          <w:szCs w:val="24"/>
        </w:rPr>
        <w:fldChar w:fldCharType="end"/>
      </w:r>
    </w:p>
    <w:p w14:paraId="568040FD" w14:textId="02FD7084" w:rsidR="007966CD" w:rsidRPr="004C70EC" w:rsidRDefault="007966CD">
      <w:pPr>
        <w:pStyle w:val="TOC3"/>
        <w:rPr>
          <w:noProof/>
          <w:color w:val="000000" w:themeColor="text1"/>
          <w:szCs w:val="24"/>
        </w:rPr>
      </w:pPr>
      <w:r w:rsidRPr="004C70EC">
        <w:rPr>
          <w:noProof/>
          <w:color w:val="000000" w:themeColor="text1"/>
          <w:szCs w:val="24"/>
        </w:rPr>
        <w:t>3.2.8.</w:t>
      </w:r>
      <w:r w:rsidRPr="004C70EC">
        <w:rPr>
          <w:noProof/>
          <w:color w:val="000000" w:themeColor="text1"/>
          <w:szCs w:val="24"/>
        </w:rPr>
        <w:tab/>
        <w:t xml:space="preserve">Estimated human resources and the use of appropriations required in a decentralised agency </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_TocDCF3857748774A0FBF547E2E5BCC2ECA \* MERGEFORMAT </w:instrText>
      </w:r>
      <w:r w:rsidRPr="004C70EC">
        <w:rPr>
          <w:noProof/>
          <w:color w:val="000000" w:themeColor="text1"/>
          <w:szCs w:val="24"/>
        </w:rPr>
      </w:r>
      <w:r w:rsidRPr="004C70EC">
        <w:rPr>
          <w:noProof/>
          <w:color w:val="000000" w:themeColor="text1"/>
          <w:szCs w:val="24"/>
        </w:rPr>
        <w:fldChar w:fldCharType="separate"/>
      </w:r>
      <w:r>
        <w:rPr>
          <w:noProof/>
          <w:color w:val="000000" w:themeColor="text1"/>
          <w:szCs w:val="24"/>
        </w:rPr>
        <w:t>26</w:t>
      </w:r>
      <w:r w:rsidRPr="004C70EC">
        <w:rPr>
          <w:noProof/>
          <w:color w:val="000000" w:themeColor="text1"/>
          <w:szCs w:val="24"/>
        </w:rPr>
        <w:fldChar w:fldCharType="end"/>
      </w:r>
    </w:p>
    <w:p w14:paraId="114A19A2" w14:textId="4FD237B7" w:rsidR="007966CD" w:rsidRPr="004C70EC" w:rsidRDefault="007966CD">
      <w:pPr>
        <w:pStyle w:val="TOC1"/>
        <w:rPr>
          <w:noProof/>
          <w:color w:val="000000" w:themeColor="text1"/>
          <w:szCs w:val="24"/>
        </w:rPr>
      </w:pPr>
      <w:r w:rsidRPr="004C70EC">
        <w:rPr>
          <w:noProof/>
          <w:color w:val="000000" w:themeColor="text1"/>
          <w:szCs w:val="24"/>
        </w:rPr>
        <w:t>4.</w:t>
      </w:r>
      <w:r w:rsidRPr="004C70EC">
        <w:rPr>
          <w:noProof/>
          <w:color w:val="000000" w:themeColor="text1"/>
          <w:szCs w:val="24"/>
        </w:rPr>
        <w:tab/>
        <w:t>Digital dimensions</w:t>
      </w:r>
      <w:r w:rsidRPr="004C70EC">
        <w:rPr>
          <w:noProof/>
          <w:color w:val="000000" w:themeColor="text1"/>
          <w:szCs w:val="24"/>
        </w:rPr>
        <w:tab/>
      </w:r>
      <w:r w:rsidRPr="004C70EC">
        <w:rPr>
          <w:noProof/>
          <w:color w:val="000000" w:themeColor="text1"/>
          <w:szCs w:val="24"/>
        </w:rPr>
        <w:fldChar w:fldCharType="begin"/>
      </w:r>
      <w:r w:rsidRPr="004C70EC">
        <w:rPr>
          <w:noProof/>
          <w:color w:val="000000" w:themeColor="text1"/>
          <w:szCs w:val="24"/>
        </w:rPr>
        <w:instrText xml:space="preserve"> PAGEREF \h _Toc979780F5D4F3470A94F5C87E76F373E3 \* MERGEFORMAT </w:instrText>
      </w:r>
      <w:r w:rsidRPr="004C70EC">
        <w:rPr>
          <w:noProof/>
          <w:color w:val="000000" w:themeColor="text1"/>
          <w:szCs w:val="24"/>
        </w:rPr>
      </w:r>
      <w:r w:rsidRPr="004C70EC">
        <w:rPr>
          <w:noProof/>
          <w:color w:val="000000" w:themeColor="text1"/>
          <w:szCs w:val="24"/>
        </w:rPr>
        <w:fldChar w:fldCharType="separate"/>
      </w:r>
      <w:r>
        <w:rPr>
          <w:noProof/>
          <w:color w:val="000000" w:themeColor="text1"/>
          <w:szCs w:val="24"/>
        </w:rPr>
        <w:t>35</w:t>
      </w:r>
      <w:r w:rsidRPr="004C70EC">
        <w:rPr>
          <w:noProof/>
          <w:color w:val="000000" w:themeColor="text1"/>
          <w:szCs w:val="24"/>
        </w:rPr>
        <w:fldChar w:fldCharType="end"/>
      </w:r>
    </w:p>
    <w:p w14:paraId="62C608A8" w14:textId="4EB0576D" w:rsidR="007966CD" w:rsidRPr="004C70EC" w:rsidRDefault="007966CD">
      <w:pPr>
        <w:pStyle w:val="TOC2"/>
        <w:rPr>
          <w:noProof/>
          <w:color w:val="000000" w:themeColor="text1"/>
          <w:szCs w:val="24"/>
        </w:rPr>
      </w:pPr>
      <w:r w:rsidRPr="004C70EC">
        <w:rPr>
          <w:noProof/>
          <w:color w:val="000000" w:themeColor="text1"/>
          <w:szCs w:val="24"/>
        </w:rPr>
        <w:t>4.1.</w:t>
      </w:r>
      <w:r w:rsidRPr="004C70EC">
        <w:rPr>
          <w:noProof/>
          <w:color w:val="000000" w:themeColor="text1"/>
          <w:szCs w:val="24"/>
        </w:rPr>
        <w:tab/>
        <w:t>Requirements of digital relevance</w:t>
      </w:r>
      <w:r w:rsidRPr="004C70EC">
        <w:rPr>
          <w:noProof/>
          <w:color w:val="000000" w:themeColor="text1"/>
          <w:szCs w:val="24"/>
        </w:rPr>
        <w:tab/>
      </w:r>
      <w:r w:rsidRPr="00525BA0">
        <w:rPr>
          <w:noProof/>
          <w:color w:val="000000" w:themeColor="text1"/>
          <w:szCs w:val="24"/>
        </w:rPr>
        <w:fldChar w:fldCharType="begin"/>
      </w:r>
      <w:r w:rsidRPr="00525BA0">
        <w:rPr>
          <w:noProof/>
          <w:color w:val="000000" w:themeColor="text1"/>
          <w:szCs w:val="24"/>
        </w:rPr>
        <w:instrText xml:space="preserve"> PAGEREF \h _Toc41E696DB1F964FAA86DF1624A6692440 \* MERGEFORMAT </w:instrText>
      </w:r>
      <w:r w:rsidRPr="00525BA0">
        <w:rPr>
          <w:noProof/>
          <w:color w:val="000000" w:themeColor="text1"/>
          <w:szCs w:val="24"/>
        </w:rPr>
      </w:r>
      <w:r w:rsidRPr="00525BA0">
        <w:rPr>
          <w:noProof/>
          <w:color w:val="000000" w:themeColor="text1"/>
          <w:szCs w:val="24"/>
        </w:rPr>
        <w:fldChar w:fldCharType="separate"/>
      </w:r>
      <w:r>
        <w:rPr>
          <w:noProof/>
          <w:color w:val="000000" w:themeColor="text1"/>
          <w:szCs w:val="24"/>
          <w:lang w:val="en-US"/>
        </w:rPr>
        <w:t>35</w:t>
      </w:r>
      <w:r w:rsidRPr="00525BA0">
        <w:rPr>
          <w:noProof/>
          <w:color w:val="000000" w:themeColor="text1"/>
          <w:szCs w:val="24"/>
        </w:rPr>
        <w:fldChar w:fldCharType="end"/>
      </w:r>
    </w:p>
    <w:p w14:paraId="624706B2" w14:textId="5E16C950" w:rsidR="007966CD" w:rsidRPr="004C70EC" w:rsidRDefault="007966CD">
      <w:pPr>
        <w:pStyle w:val="TOC2"/>
        <w:rPr>
          <w:noProof/>
          <w:color w:val="000000" w:themeColor="text1"/>
          <w:szCs w:val="24"/>
        </w:rPr>
      </w:pPr>
      <w:r w:rsidRPr="004C70EC">
        <w:rPr>
          <w:noProof/>
          <w:color w:val="000000" w:themeColor="text1"/>
          <w:szCs w:val="24"/>
        </w:rPr>
        <w:t>4.2.</w:t>
      </w:r>
      <w:r w:rsidRPr="004C70EC">
        <w:rPr>
          <w:noProof/>
          <w:color w:val="000000" w:themeColor="text1"/>
          <w:szCs w:val="24"/>
        </w:rPr>
        <w:tab/>
        <w:t>Data</w:t>
      </w:r>
      <w:r w:rsidRPr="004C70EC">
        <w:rPr>
          <w:noProof/>
          <w:color w:val="000000" w:themeColor="text1"/>
          <w:szCs w:val="24"/>
        </w:rPr>
        <w:tab/>
      </w:r>
      <w:r w:rsidRPr="00525BA0">
        <w:rPr>
          <w:noProof/>
          <w:color w:val="000000" w:themeColor="text1"/>
          <w:szCs w:val="24"/>
        </w:rPr>
        <w:fldChar w:fldCharType="begin"/>
      </w:r>
      <w:r w:rsidRPr="00525BA0">
        <w:rPr>
          <w:noProof/>
          <w:color w:val="000000" w:themeColor="text1"/>
          <w:szCs w:val="24"/>
        </w:rPr>
        <w:instrText xml:space="preserve"> PAGEREF \h _Toc7A98A565472942FC8A2F09B3C25E37D6 \* MERGEFORMAT </w:instrText>
      </w:r>
      <w:r w:rsidRPr="00525BA0">
        <w:rPr>
          <w:noProof/>
          <w:color w:val="000000" w:themeColor="text1"/>
          <w:szCs w:val="24"/>
        </w:rPr>
      </w:r>
      <w:r w:rsidRPr="00525BA0">
        <w:rPr>
          <w:noProof/>
          <w:color w:val="000000" w:themeColor="text1"/>
          <w:szCs w:val="24"/>
        </w:rPr>
        <w:fldChar w:fldCharType="separate"/>
      </w:r>
      <w:r>
        <w:rPr>
          <w:noProof/>
          <w:color w:val="000000" w:themeColor="text1"/>
          <w:szCs w:val="24"/>
          <w:lang w:val="en-US"/>
        </w:rPr>
        <w:t>71</w:t>
      </w:r>
      <w:r w:rsidRPr="00525BA0">
        <w:rPr>
          <w:noProof/>
          <w:color w:val="000000" w:themeColor="text1"/>
          <w:szCs w:val="24"/>
        </w:rPr>
        <w:fldChar w:fldCharType="end"/>
      </w:r>
    </w:p>
    <w:p w14:paraId="59D8C98F" w14:textId="2B35DE4D" w:rsidR="007966CD" w:rsidRPr="004C70EC" w:rsidRDefault="007966CD">
      <w:pPr>
        <w:pStyle w:val="TOC2"/>
        <w:rPr>
          <w:noProof/>
          <w:color w:val="000000" w:themeColor="text1"/>
          <w:szCs w:val="24"/>
        </w:rPr>
      </w:pPr>
      <w:r w:rsidRPr="004C70EC">
        <w:rPr>
          <w:noProof/>
          <w:color w:val="000000" w:themeColor="text1"/>
          <w:szCs w:val="24"/>
        </w:rPr>
        <w:t>4.3.</w:t>
      </w:r>
      <w:r w:rsidRPr="004C70EC">
        <w:rPr>
          <w:noProof/>
          <w:color w:val="000000" w:themeColor="text1"/>
          <w:szCs w:val="24"/>
        </w:rPr>
        <w:tab/>
        <w:t>Digital solutions</w:t>
      </w:r>
      <w:r w:rsidRPr="004C70EC">
        <w:rPr>
          <w:noProof/>
          <w:color w:val="000000" w:themeColor="text1"/>
          <w:szCs w:val="24"/>
        </w:rPr>
        <w:tab/>
      </w:r>
      <w:r w:rsidRPr="00525BA0">
        <w:rPr>
          <w:noProof/>
          <w:color w:val="000000" w:themeColor="text1"/>
          <w:szCs w:val="24"/>
        </w:rPr>
        <w:fldChar w:fldCharType="begin"/>
      </w:r>
      <w:r w:rsidRPr="00525BA0">
        <w:rPr>
          <w:noProof/>
          <w:color w:val="000000" w:themeColor="text1"/>
          <w:szCs w:val="24"/>
        </w:rPr>
        <w:instrText xml:space="preserve"> PAGEREF \h _TocBB369F06D323422099F99CA392A57F42 \* MERGEFORMAT </w:instrText>
      </w:r>
      <w:r w:rsidRPr="00525BA0">
        <w:rPr>
          <w:noProof/>
          <w:color w:val="000000" w:themeColor="text1"/>
          <w:szCs w:val="24"/>
        </w:rPr>
      </w:r>
      <w:r w:rsidRPr="00525BA0">
        <w:rPr>
          <w:noProof/>
          <w:color w:val="000000" w:themeColor="text1"/>
          <w:szCs w:val="24"/>
        </w:rPr>
        <w:fldChar w:fldCharType="separate"/>
      </w:r>
      <w:r>
        <w:rPr>
          <w:noProof/>
          <w:color w:val="000000" w:themeColor="text1"/>
          <w:szCs w:val="24"/>
          <w:lang w:val="en-US"/>
        </w:rPr>
        <w:t>78</w:t>
      </w:r>
      <w:r w:rsidRPr="00525BA0">
        <w:rPr>
          <w:noProof/>
          <w:color w:val="000000" w:themeColor="text1"/>
          <w:szCs w:val="24"/>
        </w:rPr>
        <w:fldChar w:fldCharType="end"/>
      </w:r>
    </w:p>
    <w:p w14:paraId="6CB94631" w14:textId="4C9DFA73" w:rsidR="007966CD" w:rsidRPr="004C70EC" w:rsidRDefault="007966CD">
      <w:pPr>
        <w:pStyle w:val="TOC2"/>
        <w:rPr>
          <w:noProof/>
          <w:color w:val="000000" w:themeColor="text1"/>
          <w:szCs w:val="24"/>
        </w:rPr>
      </w:pPr>
      <w:r w:rsidRPr="004C70EC">
        <w:rPr>
          <w:noProof/>
          <w:color w:val="000000" w:themeColor="text1"/>
          <w:szCs w:val="24"/>
        </w:rPr>
        <w:t>4.4.</w:t>
      </w:r>
      <w:r w:rsidRPr="004C70EC">
        <w:rPr>
          <w:noProof/>
          <w:color w:val="000000" w:themeColor="text1"/>
          <w:szCs w:val="24"/>
        </w:rPr>
        <w:tab/>
        <w:t>Interoperability assessment</w:t>
      </w:r>
      <w:r w:rsidRPr="004C70EC">
        <w:rPr>
          <w:noProof/>
          <w:color w:val="000000" w:themeColor="text1"/>
          <w:szCs w:val="24"/>
        </w:rPr>
        <w:tab/>
      </w:r>
      <w:r w:rsidRPr="00525BA0">
        <w:rPr>
          <w:noProof/>
          <w:color w:val="000000" w:themeColor="text1"/>
          <w:szCs w:val="24"/>
        </w:rPr>
        <w:fldChar w:fldCharType="begin"/>
      </w:r>
      <w:r w:rsidRPr="00525BA0">
        <w:rPr>
          <w:noProof/>
          <w:color w:val="000000" w:themeColor="text1"/>
          <w:szCs w:val="24"/>
        </w:rPr>
        <w:instrText xml:space="preserve"> PAGEREF \h _Toc4290C87C151847E1A88E1ED2446D77EA \* MERGEFORMAT </w:instrText>
      </w:r>
      <w:r w:rsidRPr="00525BA0">
        <w:rPr>
          <w:noProof/>
          <w:color w:val="000000" w:themeColor="text1"/>
          <w:szCs w:val="24"/>
        </w:rPr>
      </w:r>
      <w:r w:rsidRPr="00525BA0">
        <w:rPr>
          <w:noProof/>
          <w:color w:val="000000" w:themeColor="text1"/>
          <w:szCs w:val="24"/>
        </w:rPr>
        <w:fldChar w:fldCharType="separate"/>
      </w:r>
      <w:r>
        <w:rPr>
          <w:noProof/>
          <w:color w:val="000000" w:themeColor="text1"/>
          <w:szCs w:val="24"/>
          <w:lang w:val="en-US"/>
        </w:rPr>
        <w:t>79</w:t>
      </w:r>
      <w:r w:rsidRPr="00525BA0">
        <w:rPr>
          <w:noProof/>
          <w:color w:val="000000" w:themeColor="text1"/>
          <w:szCs w:val="24"/>
        </w:rPr>
        <w:fldChar w:fldCharType="end"/>
      </w:r>
    </w:p>
    <w:p w14:paraId="1AC6BE70" w14:textId="639DFCBF" w:rsidR="007966CD" w:rsidRPr="004C70EC" w:rsidRDefault="007966CD">
      <w:pPr>
        <w:pStyle w:val="TOC2"/>
        <w:rPr>
          <w:noProof/>
          <w:color w:val="000000" w:themeColor="text1"/>
          <w:szCs w:val="24"/>
        </w:rPr>
      </w:pPr>
      <w:r w:rsidRPr="004C70EC">
        <w:rPr>
          <w:noProof/>
          <w:color w:val="000000" w:themeColor="text1"/>
          <w:szCs w:val="24"/>
        </w:rPr>
        <w:t>4.5.</w:t>
      </w:r>
      <w:r w:rsidRPr="004C70EC">
        <w:rPr>
          <w:noProof/>
          <w:color w:val="000000" w:themeColor="text1"/>
          <w:szCs w:val="24"/>
        </w:rPr>
        <w:tab/>
        <w:t>Measures to support digital implementation</w:t>
      </w:r>
      <w:r w:rsidRPr="004C70EC">
        <w:rPr>
          <w:noProof/>
          <w:color w:val="000000" w:themeColor="text1"/>
          <w:szCs w:val="24"/>
        </w:rPr>
        <w:tab/>
      </w:r>
      <w:r w:rsidRPr="00525BA0">
        <w:rPr>
          <w:noProof/>
          <w:color w:val="000000" w:themeColor="text1"/>
          <w:szCs w:val="24"/>
        </w:rPr>
        <w:fldChar w:fldCharType="begin"/>
      </w:r>
      <w:r w:rsidRPr="00525BA0">
        <w:rPr>
          <w:noProof/>
          <w:color w:val="000000" w:themeColor="text1"/>
          <w:szCs w:val="24"/>
        </w:rPr>
        <w:instrText xml:space="preserve"> PAGEREF \h _Toc187D593553D3413197CE45ABEC30DA05 \* MERGEFORMAT </w:instrText>
      </w:r>
      <w:r w:rsidRPr="00525BA0">
        <w:rPr>
          <w:noProof/>
          <w:color w:val="000000" w:themeColor="text1"/>
          <w:szCs w:val="24"/>
        </w:rPr>
      </w:r>
      <w:r w:rsidRPr="00525BA0">
        <w:rPr>
          <w:noProof/>
          <w:color w:val="000000" w:themeColor="text1"/>
          <w:szCs w:val="24"/>
        </w:rPr>
        <w:fldChar w:fldCharType="separate"/>
      </w:r>
      <w:r>
        <w:rPr>
          <w:noProof/>
          <w:color w:val="000000" w:themeColor="text1"/>
          <w:szCs w:val="24"/>
          <w:lang w:val="en-US"/>
        </w:rPr>
        <w:t>83</w:t>
      </w:r>
      <w:r w:rsidRPr="00525BA0">
        <w:rPr>
          <w:noProof/>
          <w:color w:val="000000" w:themeColor="text1"/>
          <w:szCs w:val="24"/>
        </w:rPr>
        <w:fldChar w:fldCharType="end"/>
      </w:r>
    </w:p>
    <w:p w14:paraId="5584933F" w14:textId="77777777" w:rsidR="007966CD" w:rsidRPr="004C70EC" w:rsidRDefault="007966CD">
      <w:pPr>
        <w:rPr>
          <w:noProof/>
          <w:color w:val="000000" w:themeColor="text1"/>
          <w:szCs w:val="24"/>
        </w:rPr>
        <w:sectPr w:rsidR="007966CD" w:rsidRPr="004C70EC" w:rsidSect="007A289E">
          <w:footnotePr>
            <w:numRestart w:val="eachSect"/>
          </w:footnotePr>
          <w:pgSz w:w="11907" w:h="16840" w:code="9"/>
          <w:pgMar w:top="1134" w:right="1418" w:bottom="1134" w:left="1418" w:header="709" w:footer="709" w:gutter="0"/>
          <w:pgNumType w:start="1"/>
          <w:cols w:space="720"/>
          <w:docGrid w:linePitch="360"/>
        </w:sectPr>
      </w:pPr>
    </w:p>
    <w:p w14:paraId="5A11B971" w14:textId="77777777" w:rsidR="007966CD" w:rsidRPr="004C70EC" w:rsidRDefault="007966CD">
      <w:pPr>
        <w:pStyle w:val="ManualHeading1"/>
        <w:rPr>
          <w:noProof/>
          <w:color w:val="000000" w:themeColor="text1"/>
          <w:szCs w:val="24"/>
        </w:rPr>
      </w:pPr>
      <w:bookmarkStart w:id="39" w:name="_Toc84DC004407544EBA80B06B30E2054234"/>
      <w:r w:rsidRPr="004C70EC">
        <w:rPr>
          <w:noProof/>
          <w:color w:val="000000" w:themeColor="text1"/>
          <w:szCs w:val="24"/>
        </w:rPr>
        <w:t>1.</w:t>
      </w:r>
      <w:r w:rsidRPr="004C70EC">
        <w:rPr>
          <w:noProof/>
          <w:color w:val="000000" w:themeColor="text1"/>
          <w:szCs w:val="24"/>
        </w:rPr>
        <w:tab/>
        <w:t xml:space="preserve">FRAMEWORK OF THE PROPOSAL/INITIATIVE </w:t>
      </w:r>
      <w:bookmarkEnd w:id="39"/>
    </w:p>
    <w:p w14:paraId="750410EB" w14:textId="77777777" w:rsidR="007966CD" w:rsidRPr="004C70EC" w:rsidRDefault="007966CD">
      <w:pPr>
        <w:pStyle w:val="ManualHeading2"/>
        <w:rPr>
          <w:noProof/>
          <w:color w:val="000000" w:themeColor="text1"/>
          <w:szCs w:val="24"/>
        </w:rPr>
      </w:pPr>
      <w:bookmarkStart w:id="40" w:name="_Toc21252D9E12294CC6994847DD27FA093D"/>
      <w:r w:rsidRPr="004C70EC">
        <w:rPr>
          <w:noProof/>
          <w:color w:val="000000" w:themeColor="text1"/>
          <w:szCs w:val="24"/>
        </w:rPr>
        <w:t>1.1.</w:t>
      </w:r>
      <w:r w:rsidRPr="004C70EC">
        <w:rPr>
          <w:noProof/>
          <w:color w:val="000000" w:themeColor="text1"/>
          <w:szCs w:val="24"/>
        </w:rPr>
        <w:tab/>
        <w:t>Title of the proposal/initiative</w:t>
      </w:r>
      <w:bookmarkEnd w:id="40"/>
    </w:p>
    <w:p w14:paraId="380A04A7"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Proposal for a REGULATION OF THE EUROPEAN PARLIAMENT AND OF THE COUNCIL on establishing a framework of measures for strengthening Europe’s biotechnology and biomanufacturing sectors and amending Regulations (EU) No 536/2014 (‘Clinical Trials Regulation’), (EC) No 1394/2007 (ATMP), (EU) 2024/1938 (SoHO), (EU) 2019/6 (Veterinary Medicine Products Regulation), </w:t>
      </w:r>
      <w:r w:rsidR="40ECED98" w:rsidRPr="004C70EC">
        <w:rPr>
          <w:noProof/>
          <w:color w:val="000000" w:themeColor="text1"/>
          <w:szCs w:val="24"/>
        </w:rPr>
        <w:t xml:space="preserve">and </w:t>
      </w:r>
      <w:r w:rsidRPr="004C70EC">
        <w:rPr>
          <w:noProof/>
          <w:color w:val="000000" w:themeColor="text1"/>
          <w:szCs w:val="24"/>
        </w:rPr>
        <w:t>Regulation (EC) No 178/2002 (General Food Law) ('EU Biotech Act')</w:t>
      </w:r>
    </w:p>
    <w:p w14:paraId="7361491D" w14:textId="77777777" w:rsidR="007966CD" w:rsidRPr="004C70EC" w:rsidRDefault="007966CD">
      <w:pPr>
        <w:pStyle w:val="ManualHeading2"/>
        <w:rPr>
          <w:i/>
          <w:noProof/>
          <w:color w:val="000000" w:themeColor="text1"/>
          <w:szCs w:val="24"/>
        </w:rPr>
      </w:pPr>
      <w:bookmarkStart w:id="41" w:name="_TocB828C72883764868B04EF27AF6CA16EA"/>
      <w:r w:rsidRPr="004C70EC">
        <w:rPr>
          <w:noProof/>
          <w:color w:val="000000" w:themeColor="text1"/>
          <w:szCs w:val="24"/>
        </w:rPr>
        <w:t>1.2.</w:t>
      </w:r>
      <w:r w:rsidRPr="004C70EC">
        <w:rPr>
          <w:noProof/>
          <w:color w:val="000000" w:themeColor="text1"/>
          <w:szCs w:val="24"/>
        </w:rPr>
        <w:tab/>
        <w:t>Policy area(s) concerned</w:t>
      </w:r>
      <w:r w:rsidRPr="004C70EC">
        <w:rPr>
          <w:i/>
          <w:noProof/>
          <w:color w:val="000000" w:themeColor="text1"/>
          <w:szCs w:val="24"/>
        </w:rPr>
        <w:t xml:space="preserve"> </w:t>
      </w:r>
      <w:bookmarkEnd w:id="41"/>
    </w:p>
    <w:p w14:paraId="763EE48E"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Priority Area: Competitiveness, prosperity and security</w:t>
      </w:r>
    </w:p>
    <w:p w14:paraId="65D301B6"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Health, Biotech, Agriculture and Bioeconomy</w:t>
      </w:r>
    </w:p>
    <w:p w14:paraId="6AF59322" w14:textId="77777777" w:rsidR="007966CD" w:rsidRPr="004C70EC" w:rsidRDefault="007966CD">
      <w:pPr>
        <w:pStyle w:val="ManualHeading2"/>
        <w:rPr>
          <w:noProof/>
          <w:color w:val="000000" w:themeColor="text1"/>
          <w:szCs w:val="24"/>
        </w:rPr>
      </w:pPr>
      <w:bookmarkStart w:id="42" w:name="_Toc7CED4B8756554500826E9ED37664C815"/>
      <w:r w:rsidRPr="004C70EC">
        <w:rPr>
          <w:noProof/>
          <w:color w:val="000000" w:themeColor="text1"/>
          <w:szCs w:val="24"/>
        </w:rPr>
        <w:t>1.3.</w:t>
      </w:r>
      <w:r w:rsidRPr="004C70EC">
        <w:rPr>
          <w:noProof/>
          <w:color w:val="000000" w:themeColor="text1"/>
          <w:szCs w:val="24"/>
        </w:rPr>
        <w:tab/>
        <w:t>Objective(s)</w:t>
      </w:r>
      <w:bookmarkEnd w:id="42"/>
    </w:p>
    <w:p w14:paraId="6A1A6E65" w14:textId="77777777" w:rsidR="007966CD" w:rsidRPr="004C70EC" w:rsidRDefault="007966CD">
      <w:pPr>
        <w:pStyle w:val="ManualHeading3"/>
        <w:rPr>
          <w:noProof/>
          <w:color w:val="000000" w:themeColor="text1"/>
          <w:szCs w:val="24"/>
        </w:rPr>
      </w:pPr>
      <w:bookmarkStart w:id="43" w:name="_Toc9F1A9730B27B4074A02413AAAEDA20A2"/>
      <w:r w:rsidRPr="004C70EC">
        <w:rPr>
          <w:noProof/>
          <w:color w:val="000000" w:themeColor="text1"/>
          <w:szCs w:val="24"/>
        </w:rPr>
        <w:t>1.3.1.</w:t>
      </w:r>
      <w:r w:rsidRPr="004C70EC">
        <w:rPr>
          <w:noProof/>
          <w:color w:val="000000" w:themeColor="text1"/>
          <w:szCs w:val="24"/>
        </w:rPr>
        <w:tab/>
        <w:t>General objective(s)</w:t>
      </w:r>
      <w:bookmarkEnd w:id="43"/>
    </w:p>
    <w:p w14:paraId="1309FA07" w14:textId="77777777" w:rsidR="00120550" w:rsidRPr="004C70EC" w:rsidRDefault="00120550" w:rsidP="00B623B2">
      <w:pPr>
        <w:pStyle w:val="Text1"/>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 xml:space="preserve"> (i) to improve the functioning of the internal market by establishing a framework to strengthen the competitiveness of the health biotechnology sector, from research to production, </w:t>
      </w:r>
    </w:p>
    <w:p w14:paraId="00C99026" w14:textId="77777777" w:rsidR="00331CFC" w:rsidRPr="004C70EC" w:rsidRDefault="00120550" w:rsidP="00B623B2">
      <w:pPr>
        <w:pStyle w:val="Text1"/>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 xml:space="preserve">(ii) to create the conditions for the development and timely placing on the Union market, of biotechnology innovations, products and services, </w:t>
      </w:r>
    </w:p>
    <w:p w14:paraId="4FABBEB9" w14:textId="77777777" w:rsidR="00331CFC" w:rsidRPr="004C70EC" w:rsidRDefault="00120550" w:rsidP="00331CFC">
      <w:pPr>
        <w:pStyle w:val="Text1"/>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(iii) while safeguarding high standards for the protection of human health, animal health, patients and consumers, the environment, ethics, quality, food and feed safety, and biosecurity.</w:t>
      </w:r>
    </w:p>
    <w:p w14:paraId="0AC08C8A" w14:textId="77777777" w:rsidR="007966CD" w:rsidRPr="004C70EC" w:rsidRDefault="007966CD">
      <w:pPr>
        <w:pStyle w:val="ManualHeading3"/>
        <w:rPr>
          <w:noProof/>
          <w:color w:val="000000" w:themeColor="text1"/>
          <w:szCs w:val="24"/>
        </w:rPr>
      </w:pPr>
      <w:bookmarkStart w:id="44" w:name="_Toc5B618D0C629F499E8BDCF5E60551B21A"/>
      <w:r w:rsidRPr="004C70EC">
        <w:rPr>
          <w:noProof/>
          <w:color w:val="000000" w:themeColor="text1"/>
          <w:szCs w:val="24"/>
        </w:rPr>
        <w:t>1.3.2.</w:t>
      </w:r>
      <w:r w:rsidRPr="004C70EC">
        <w:rPr>
          <w:noProof/>
          <w:color w:val="000000" w:themeColor="text1"/>
          <w:szCs w:val="24"/>
        </w:rPr>
        <w:tab/>
        <w:t>Specific objective(s)</w:t>
      </w:r>
      <w:bookmarkEnd w:id="44"/>
    </w:p>
    <w:p w14:paraId="17DC3418" w14:textId="77777777" w:rsidR="00120550" w:rsidRPr="004C70EC" w:rsidRDefault="00120550" w:rsidP="00120550">
      <w:pPr>
        <w:pStyle w:val="Text1"/>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This general objective translates into the following specific objectives:</w:t>
      </w:r>
    </w:p>
    <w:p w14:paraId="75C74BC4" w14:textId="77777777" w:rsidR="00120550" w:rsidRPr="004C70EC" w:rsidRDefault="00120550" w:rsidP="00120550">
      <w:pPr>
        <w:pStyle w:val="Text1"/>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(i)</w:t>
      </w:r>
      <w:r w:rsidRPr="004C70EC">
        <w:rPr>
          <w:noProof/>
          <w:color w:val="000000" w:themeColor="text1"/>
          <w:szCs w:val="24"/>
        </w:rPr>
        <w:tab/>
        <w:t>strengthen the biotechnology sector and reinforce the Union’s research, development and production capabilities, by establishing a framework for the recognition of, and support measures for, strategic health biotechnology projects and high impact strategic health biotechnology projects (pillar 1);</w:t>
      </w:r>
    </w:p>
    <w:p w14:paraId="79B2903E" w14:textId="3831DF5E" w:rsidR="00120550" w:rsidRPr="004C70EC" w:rsidRDefault="00120550" w:rsidP="00120550">
      <w:pPr>
        <w:pStyle w:val="Text1"/>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(ii)</w:t>
      </w:r>
      <w:r w:rsidRPr="004C70EC">
        <w:rPr>
          <w:noProof/>
          <w:color w:val="000000" w:themeColor="text1"/>
          <w:szCs w:val="24"/>
        </w:rPr>
        <w:tab/>
        <w:t xml:space="preserve">support funding of, investments in, and access to capital for, biotechnology companies and projects, including through the setting up of an EU health biotechnology investment </w:t>
      </w:r>
      <w:r>
        <w:rPr>
          <w:noProof/>
          <w:color w:val="000000" w:themeColor="text1"/>
          <w:szCs w:val="24"/>
        </w:rPr>
        <w:t>pilot</w:t>
      </w:r>
      <w:r w:rsidRPr="004C70EC">
        <w:rPr>
          <w:noProof/>
          <w:color w:val="000000" w:themeColor="text1"/>
          <w:szCs w:val="24"/>
        </w:rPr>
        <w:t xml:space="preserve"> to fill the gap in spending on biotechnology innovation (pillar 2);</w:t>
      </w:r>
    </w:p>
    <w:p w14:paraId="5254860B" w14:textId="77777777" w:rsidR="00120550" w:rsidRPr="004C70EC" w:rsidRDefault="00120550" w:rsidP="00120550">
      <w:pPr>
        <w:pStyle w:val="Text1"/>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(iii)</w:t>
      </w:r>
      <w:r w:rsidRPr="004C70EC">
        <w:rPr>
          <w:noProof/>
          <w:color w:val="000000" w:themeColor="text1"/>
          <w:szCs w:val="24"/>
        </w:rPr>
        <w:tab/>
        <w:t>improve the EU manufacturing capacity of, and expertise in biosimilars, including through international cooperation (pillar 3);</w:t>
      </w:r>
    </w:p>
    <w:p w14:paraId="0FA74704" w14:textId="77777777" w:rsidR="00120550" w:rsidRPr="004C70EC" w:rsidRDefault="00120550" w:rsidP="00120550">
      <w:pPr>
        <w:pStyle w:val="Text1"/>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(iv)</w:t>
      </w:r>
      <w:r w:rsidRPr="004C70EC">
        <w:rPr>
          <w:noProof/>
          <w:color w:val="000000" w:themeColor="text1"/>
          <w:szCs w:val="24"/>
        </w:rPr>
        <w:tab/>
        <w:t>facilitate the application of AI into the Union’s biotechnology and health technology manufacturing ecosystems and frameworks, in line with the Regulation (EU) 2024/1689 (pillar 4);</w:t>
      </w:r>
    </w:p>
    <w:p w14:paraId="1F5C10F6" w14:textId="77777777" w:rsidR="00120550" w:rsidRPr="004C70EC" w:rsidRDefault="00120550" w:rsidP="00120550">
      <w:pPr>
        <w:pStyle w:val="Text1"/>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(v)</w:t>
      </w:r>
      <w:r w:rsidRPr="004C70EC">
        <w:rPr>
          <w:noProof/>
          <w:color w:val="000000" w:themeColor="text1"/>
          <w:szCs w:val="24"/>
        </w:rPr>
        <w:tab/>
        <w:t xml:space="preserve">ensure a legislative framework that encourages innovation and takes account of technological and scientific developments and progress, by establishing provisions for health biotechnology products (pillar 5); </w:t>
      </w:r>
    </w:p>
    <w:p w14:paraId="2A038329" w14:textId="77777777" w:rsidR="0087663F" w:rsidRPr="004C70EC" w:rsidRDefault="00120550" w:rsidP="00120550">
      <w:pPr>
        <w:pStyle w:val="Text1"/>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(vi)</w:t>
      </w:r>
      <w:r w:rsidRPr="004C70EC">
        <w:rPr>
          <w:noProof/>
          <w:color w:val="000000" w:themeColor="text1"/>
          <w:szCs w:val="24"/>
        </w:rPr>
        <w:tab/>
        <w:t>prevent the misuse of biotechnologies and strengthen biodefence capabilities (pillar 6).</w:t>
      </w:r>
    </w:p>
    <w:p w14:paraId="63CB94E8" w14:textId="77777777" w:rsidR="0087663F" w:rsidRPr="004C70EC" w:rsidRDefault="00120550" w:rsidP="0087663F">
      <w:pPr>
        <w:pStyle w:val="Text1"/>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(vii)</w:t>
      </w:r>
      <w:r w:rsidRPr="004C70EC">
        <w:rPr>
          <w:noProof/>
          <w:color w:val="000000" w:themeColor="text1"/>
          <w:szCs w:val="24"/>
        </w:rPr>
        <w:tab/>
        <w:t xml:space="preserve">enable the effectiveness of the measures under the pillars 1 to 6 through a legislative framework conducive to the use of biotechnology innovations, by amending Union legislation in particular on clinical trials, veterinary medicinal products, food and feed safety and related legislation (pillar 7). </w:t>
      </w:r>
    </w:p>
    <w:p w14:paraId="141C8065" w14:textId="77777777" w:rsidR="007966CD" w:rsidRPr="004C70EC" w:rsidRDefault="007966CD">
      <w:pPr>
        <w:pStyle w:val="ManualHeading3"/>
        <w:rPr>
          <w:noProof/>
          <w:color w:val="000000" w:themeColor="text1"/>
          <w:szCs w:val="24"/>
        </w:rPr>
      </w:pPr>
      <w:bookmarkStart w:id="45" w:name="_Toc5388E34D176241919D043A75E734A18F"/>
      <w:r w:rsidRPr="004C70EC">
        <w:rPr>
          <w:noProof/>
          <w:color w:val="000000" w:themeColor="text1"/>
          <w:szCs w:val="24"/>
        </w:rPr>
        <w:t>1.3.3.</w:t>
      </w:r>
      <w:r w:rsidRPr="004C70EC">
        <w:rPr>
          <w:noProof/>
          <w:color w:val="000000" w:themeColor="text1"/>
          <w:szCs w:val="24"/>
        </w:rPr>
        <w:tab/>
        <w:t>Expected result(s) and impact</w:t>
      </w:r>
      <w:bookmarkEnd w:id="45"/>
    </w:p>
    <w:p w14:paraId="24765CB0" w14:textId="77777777" w:rsidR="007966CD" w:rsidRPr="004C70EC" w:rsidRDefault="007966CD">
      <w:pPr>
        <w:pStyle w:val="Text1"/>
        <w:rPr>
          <w:i/>
          <w:noProof/>
          <w:color w:val="000000" w:themeColor="text1"/>
          <w:szCs w:val="24"/>
        </w:rPr>
      </w:pPr>
      <w:r w:rsidRPr="004C70EC">
        <w:rPr>
          <w:i/>
          <w:noProof/>
          <w:color w:val="000000" w:themeColor="text1"/>
          <w:szCs w:val="24"/>
        </w:rPr>
        <w:t>Specify the effects which the proposal/initiative should have on the beneficiaries/groups targeted.</w:t>
      </w:r>
    </w:p>
    <w:p w14:paraId="6BCE960A" w14:textId="77777777" w:rsidR="007966CD" w:rsidRPr="004C70EC" w:rsidRDefault="007966CD" w:rsidP="005047A1">
      <w:pPr>
        <w:pStyle w:val="Text1"/>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 xml:space="preserve">Overall, the Biotech Act is expected to support a smooth function of the </w:t>
      </w:r>
      <w:r w:rsidR="0038109D" w:rsidRPr="004C70EC">
        <w:rPr>
          <w:rFonts w:eastAsia="Times New Roman"/>
          <w:noProof/>
          <w:color w:val="000000" w:themeColor="text1"/>
          <w:szCs w:val="24"/>
          <w:shd w:val="clear" w:color="auto" w:fill="FFFFFF"/>
          <w:lang w:val="en-IE" w:eastAsia="de-DE"/>
        </w:rPr>
        <w:t xml:space="preserve">Union </w:t>
      </w:r>
      <w:r w:rsidRPr="004C70EC">
        <w:rPr>
          <w:noProof/>
          <w:color w:val="000000" w:themeColor="text1"/>
          <w:szCs w:val="24"/>
        </w:rPr>
        <w:t xml:space="preserve">internal market and the resilience and competitiveness of the </w:t>
      </w:r>
      <w:r w:rsidR="0038109D" w:rsidRPr="004C70EC">
        <w:rPr>
          <w:rFonts w:eastAsia="Times New Roman"/>
          <w:noProof/>
          <w:color w:val="000000" w:themeColor="text1"/>
          <w:szCs w:val="24"/>
          <w:shd w:val="clear" w:color="auto" w:fill="FFFFFF"/>
          <w:lang w:val="en-IE" w:eastAsia="de-DE"/>
        </w:rPr>
        <w:t xml:space="preserve">Union </w:t>
      </w:r>
      <w:r w:rsidRPr="004C70EC">
        <w:rPr>
          <w:noProof/>
          <w:color w:val="000000" w:themeColor="text1"/>
          <w:szCs w:val="24"/>
        </w:rPr>
        <w:t>biotechnology and biomanufacturing sector, while allowing allow end-users - including patients - to benefit from the availability of innovative technologies in the EU.</w:t>
      </w:r>
    </w:p>
    <w:p w14:paraId="6F5EF01F" w14:textId="77777777" w:rsidR="007966CD" w:rsidRPr="004C70EC" w:rsidRDefault="007966CD" w:rsidP="005047A1">
      <w:pPr>
        <w:pStyle w:val="Text1"/>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The Biotech Act will have the following expected results:</w:t>
      </w:r>
    </w:p>
    <w:p w14:paraId="282EC415" w14:textId="77777777" w:rsidR="007966CD" w:rsidRPr="004C70EC" w:rsidRDefault="007966CD" w:rsidP="00811FF3">
      <w:pPr>
        <w:pStyle w:val="Tiret1"/>
        <w:numPr>
          <w:ilvl w:val="0"/>
          <w:numId w:val="29"/>
        </w:numPr>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 regulatory procedures to place products on the market are predictable, simplified and shorter, with reduced administrative burden;</w:t>
      </w:r>
    </w:p>
    <w:p w14:paraId="252525FC" w14:textId="77777777" w:rsidR="007966CD" w:rsidRPr="004C70EC" w:rsidRDefault="007966CD" w:rsidP="00811FF3">
      <w:pPr>
        <w:pStyle w:val="Tiret1"/>
        <w:numPr>
          <w:ilvl w:val="0"/>
          <w:numId w:val="29"/>
        </w:numPr>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 innovation is supported by specific regulatory procedures that are fit for technological and scientific progress;</w:t>
      </w:r>
    </w:p>
    <w:p w14:paraId="1D2EEB8C" w14:textId="77777777" w:rsidR="007966CD" w:rsidRPr="004C70EC" w:rsidRDefault="007966CD" w:rsidP="00811FF3">
      <w:pPr>
        <w:pStyle w:val="Tiret1"/>
        <w:numPr>
          <w:ilvl w:val="0"/>
          <w:numId w:val="29"/>
        </w:numPr>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 operators have better access to funding throughout the different stages of their development;</w:t>
      </w:r>
    </w:p>
    <w:p w14:paraId="2C0F19C6" w14:textId="77777777" w:rsidR="007966CD" w:rsidRPr="004C70EC" w:rsidRDefault="007966CD" w:rsidP="00811FF3">
      <w:pPr>
        <w:pStyle w:val="Tiret1"/>
        <w:numPr>
          <w:ilvl w:val="0"/>
          <w:numId w:val="29"/>
        </w:numPr>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 the EU’s capabilities in research, development and production are reinforced, including for biodefence</w:t>
      </w:r>
    </w:p>
    <w:p w14:paraId="5A5C9872" w14:textId="77777777" w:rsidR="007966CD" w:rsidRPr="004C70EC" w:rsidRDefault="007966CD" w:rsidP="00811FF3">
      <w:pPr>
        <w:pStyle w:val="Tiret1"/>
        <w:numPr>
          <w:ilvl w:val="0"/>
          <w:numId w:val="29"/>
        </w:numPr>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 availability of a skilled biotechnology wor</w:t>
      </w:r>
      <w:r w:rsidR="00E876E4" w:rsidRPr="004C70EC">
        <w:rPr>
          <w:noProof/>
          <w:color w:val="000000" w:themeColor="text1"/>
          <w:szCs w:val="24"/>
        </w:rPr>
        <w:t>k</w:t>
      </w:r>
      <w:r w:rsidRPr="004C70EC">
        <w:rPr>
          <w:noProof/>
          <w:color w:val="000000" w:themeColor="text1"/>
          <w:szCs w:val="24"/>
        </w:rPr>
        <w:t xml:space="preserve">force in the </w:t>
      </w:r>
      <w:r w:rsidR="0038109D" w:rsidRPr="004C70EC">
        <w:rPr>
          <w:rFonts w:eastAsia="Times New Roman"/>
          <w:noProof/>
          <w:color w:val="000000" w:themeColor="text1"/>
          <w:szCs w:val="24"/>
          <w:shd w:val="clear" w:color="auto" w:fill="FFFFFF"/>
          <w:lang w:val="en-IE" w:eastAsia="de-DE"/>
        </w:rPr>
        <w:t xml:space="preserve">Union </w:t>
      </w:r>
      <w:r w:rsidRPr="004C70EC">
        <w:rPr>
          <w:noProof/>
          <w:color w:val="000000" w:themeColor="text1"/>
          <w:szCs w:val="24"/>
        </w:rPr>
        <w:t>is improved;</w:t>
      </w:r>
    </w:p>
    <w:p w14:paraId="2D512D40" w14:textId="77777777" w:rsidR="007966CD" w:rsidRPr="004C70EC" w:rsidRDefault="007966CD" w:rsidP="00811FF3">
      <w:pPr>
        <w:pStyle w:val="Tiret1"/>
        <w:numPr>
          <w:ilvl w:val="0"/>
          <w:numId w:val="29"/>
        </w:numPr>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 there are clear rules preventing the misuse of biotechnologies.</w:t>
      </w:r>
    </w:p>
    <w:p w14:paraId="1E41AFF1" w14:textId="77777777" w:rsidR="007966CD" w:rsidRPr="004C70EC" w:rsidRDefault="007966CD" w:rsidP="005047A1">
      <w:pPr>
        <w:pStyle w:val="Text1"/>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 xml:space="preserve"> </w:t>
      </w:r>
    </w:p>
    <w:p w14:paraId="59077329" w14:textId="77777777" w:rsidR="007966CD" w:rsidRPr="004C70EC" w:rsidRDefault="007966CD">
      <w:pPr>
        <w:pStyle w:val="ManualHeading3"/>
        <w:rPr>
          <w:noProof/>
          <w:color w:val="000000" w:themeColor="text1"/>
          <w:szCs w:val="24"/>
        </w:rPr>
      </w:pPr>
      <w:bookmarkStart w:id="46" w:name="_TocC3BEBEEBEC3742F18A645836D78B92CB"/>
      <w:r w:rsidRPr="004C70EC">
        <w:rPr>
          <w:noProof/>
          <w:color w:val="000000" w:themeColor="text1"/>
          <w:szCs w:val="24"/>
        </w:rPr>
        <w:t>1.3.4.</w:t>
      </w:r>
      <w:r w:rsidRPr="004C70EC">
        <w:rPr>
          <w:noProof/>
          <w:color w:val="000000" w:themeColor="text1"/>
          <w:szCs w:val="24"/>
        </w:rPr>
        <w:tab/>
        <w:t>Indicators of performance</w:t>
      </w:r>
      <w:bookmarkEnd w:id="46"/>
    </w:p>
    <w:p w14:paraId="0DD9D818" w14:textId="77777777" w:rsidR="007966CD" w:rsidRPr="004C70EC" w:rsidRDefault="007966CD">
      <w:pPr>
        <w:pStyle w:val="Text1"/>
        <w:rPr>
          <w:i/>
          <w:noProof/>
          <w:color w:val="000000" w:themeColor="text1"/>
          <w:szCs w:val="24"/>
        </w:rPr>
      </w:pPr>
      <w:r w:rsidRPr="004C70EC">
        <w:rPr>
          <w:i/>
          <w:noProof/>
          <w:color w:val="000000" w:themeColor="text1"/>
          <w:szCs w:val="24"/>
        </w:rPr>
        <w:t>Specify the indicators for monitoring progress and achievements.</w:t>
      </w:r>
    </w:p>
    <w:p w14:paraId="7943CF48" w14:textId="77777777" w:rsidR="00E01DDB" w:rsidRPr="004C70EC" w:rsidRDefault="007966CD" w:rsidP="00E01DDB">
      <w:pPr>
        <w:pStyle w:val="Text1"/>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Progress towards the objectives of the Biotech Act will be monitored using a set of quantitative and qualitative indicators. This assessment will draw on the strategic mapping of the Union’s biotechnology ecosystem, to be established and maintained by the Commission</w:t>
      </w:r>
      <w:r w:rsidR="00201D27" w:rsidRPr="004C70EC">
        <w:rPr>
          <w:noProof/>
          <w:color w:val="000000" w:themeColor="text1"/>
          <w:szCs w:val="24"/>
        </w:rPr>
        <w:t>.</w:t>
      </w:r>
    </w:p>
    <w:p w14:paraId="3973F0B2" w14:textId="77777777" w:rsidR="007966CD" w:rsidRPr="004C70EC" w:rsidRDefault="00E01DDB" w:rsidP="005526AF">
      <w:pPr>
        <w:pStyle w:val="Text1"/>
        <w:pBdr>
          <w:top w:val="single" w:sz="4" w:space="1" w:color="auto"/>
          <w:left w:val="single" w:sz="4" w:space="1" w:color="auto"/>
          <w:bottom w:val="single" w:sz="4" w:space="1" w:color="auto"/>
          <w:right w:val="single" w:sz="4" w:space="1" w:color="auto"/>
        </w:pBdr>
        <w:rPr>
          <w:noProof/>
          <w:color w:val="000000" w:themeColor="text1"/>
          <w:szCs w:val="24"/>
        </w:rPr>
      </w:pPr>
      <w:r w:rsidRPr="004C70EC">
        <w:rPr>
          <w:noProof/>
          <w:color w:val="000000" w:themeColor="text1"/>
          <w:szCs w:val="24"/>
        </w:rPr>
        <w:t xml:space="preserve">Such monitoring shall be based on key performance indicators such as the increase in the number of clinical trials in the Union over the period of five years, as this indicator reflects both the attractiveness of the Union and the capacity of the European regulatory system to support clinical research with maintained high data quality and patients’ safety standards. </w:t>
      </w:r>
    </w:p>
    <w:p w14:paraId="2FE5BA1A" w14:textId="77777777" w:rsidR="00A11CCE" w:rsidRPr="004C70EC" w:rsidRDefault="00A11CCE" w:rsidP="00431990">
      <w:pPr>
        <w:pStyle w:val="Text1"/>
        <w:rPr>
          <w:noProof/>
          <w:color w:val="000000" w:themeColor="text1"/>
          <w:szCs w:val="24"/>
        </w:rPr>
      </w:pPr>
    </w:p>
    <w:p w14:paraId="1B213E54" w14:textId="77777777" w:rsidR="007966CD" w:rsidRPr="004C70EC" w:rsidRDefault="007966CD">
      <w:pPr>
        <w:pStyle w:val="ManualHeading2"/>
        <w:rPr>
          <w:noProof/>
          <w:color w:val="000000" w:themeColor="text1"/>
          <w:szCs w:val="24"/>
        </w:rPr>
      </w:pPr>
      <w:bookmarkStart w:id="47" w:name="_TocE2CABEF34EAB47B694FF9C8945B312F7"/>
      <w:r w:rsidRPr="004C70EC">
        <w:rPr>
          <w:noProof/>
          <w:color w:val="000000" w:themeColor="text1"/>
          <w:szCs w:val="24"/>
        </w:rPr>
        <w:t>1.4.</w:t>
      </w:r>
      <w:r w:rsidRPr="004C70EC">
        <w:rPr>
          <w:noProof/>
          <w:color w:val="000000" w:themeColor="text1"/>
          <w:szCs w:val="24"/>
        </w:rPr>
        <w:tab/>
        <w:t xml:space="preserve">The proposal/initiative relates to: </w:t>
      </w:r>
      <w:bookmarkEnd w:id="47"/>
    </w:p>
    <w:p w14:paraId="6560EFE9" w14:textId="77777777" w:rsidR="007966CD" w:rsidRPr="004C70EC" w:rsidRDefault="00BA3985">
      <w:pPr>
        <w:pStyle w:val="Text1"/>
        <w:rPr>
          <w:noProof/>
          <w:color w:val="000000" w:themeColor="text1"/>
          <w:szCs w:val="24"/>
        </w:rPr>
      </w:pPr>
      <w:r w:rsidRPr="004C70EC">
        <w:rPr>
          <w:rFonts w:ascii="Wingdings" w:eastAsia="Wingdings" w:hAnsi="Wingdings" w:cs="Wingdings"/>
          <w:noProof/>
          <w:sz w:val="22"/>
        </w:rPr>
        <w:t></w:t>
      </w:r>
      <w:r w:rsidR="007966CD" w:rsidRPr="004C70EC">
        <w:rPr>
          <w:i/>
          <w:iCs/>
          <w:noProof/>
          <w:color w:val="000000" w:themeColor="text1"/>
          <w:szCs w:val="24"/>
        </w:rPr>
        <w:t xml:space="preserve"> </w:t>
      </w:r>
      <w:r w:rsidR="007966CD" w:rsidRPr="004C70EC">
        <w:rPr>
          <w:noProof/>
          <w:color w:val="000000" w:themeColor="text1"/>
          <w:szCs w:val="24"/>
        </w:rPr>
        <w:t xml:space="preserve">a new action </w:t>
      </w:r>
    </w:p>
    <w:p w14:paraId="52E09DDA" w14:textId="77777777" w:rsidR="007966CD" w:rsidRPr="004C70EC" w:rsidRDefault="3F765205">
      <w:pPr>
        <w:pStyle w:val="Text1"/>
        <w:rPr>
          <w:noProof/>
          <w:color w:val="000000" w:themeColor="text1"/>
          <w:szCs w:val="24"/>
        </w:rPr>
      </w:pPr>
      <w:r w:rsidRPr="004C70EC">
        <w:rPr>
          <w:rFonts w:eastAsia="Wingdings"/>
          <w:noProof/>
          <w:color w:val="000000" w:themeColor="text1"/>
        </w:rPr>
        <w:t>¨</w:t>
      </w:r>
      <w:r w:rsidRPr="004C70EC">
        <w:rPr>
          <w:i/>
          <w:iCs/>
          <w:noProof/>
          <w:color w:val="000000" w:themeColor="text1"/>
        </w:rPr>
        <w:t xml:space="preserve"> </w:t>
      </w:r>
      <w:r w:rsidRPr="004C70EC">
        <w:rPr>
          <w:noProof/>
          <w:color w:val="000000" w:themeColor="text1"/>
        </w:rPr>
        <w:t>a new action following a pilot project / preparatory action</w:t>
      </w:r>
      <w:r w:rsidR="007966CD" w:rsidRPr="004C70EC">
        <w:rPr>
          <w:rStyle w:val="FootnoteReference"/>
          <w:noProof/>
          <w:color w:val="000000" w:themeColor="text1"/>
        </w:rPr>
        <w:footnoteReference w:id="165"/>
      </w:r>
      <w:r w:rsidRPr="004C70EC">
        <w:rPr>
          <w:noProof/>
          <w:color w:val="000000" w:themeColor="text1"/>
        </w:rPr>
        <w:t xml:space="preserve"> </w:t>
      </w:r>
    </w:p>
    <w:p w14:paraId="0E1496BB" w14:textId="77777777" w:rsidR="007966CD" w:rsidRPr="004C70EC" w:rsidRDefault="00BA3985">
      <w:pPr>
        <w:pStyle w:val="Text1"/>
        <w:rPr>
          <w:noProof/>
          <w:color w:val="000000" w:themeColor="text1"/>
          <w:szCs w:val="24"/>
        </w:rPr>
      </w:pPr>
      <w:r w:rsidRPr="004C70EC">
        <w:rPr>
          <w:rFonts w:ascii="Wingdings" w:eastAsia="Wingdings" w:hAnsi="Wingdings" w:cs="Wingdings"/>
          <w:noProof/>
          <w:sz w:val="22"/>
        </w:rPr>
        <w:t></w:t>
      </w:r>
      <w:r w:rsidR="007966CD" w:rsidRPr="004C70EC">
        <w:rPr>
          <w:i/>
          <w:iCs/>
          <w:noProof/>
          <w:color w:val="000000" w:themeColor="text1"/>
          <w:szCs w:val="24"/>
        </w:rPr>
        <w:t xml:space="preserve"> </w:t>
      </w:r>
      <w:r w:rsidR="007966CD" w:rsidRPr="004C70EC">
        <w:rPr>
          <w:noProof/>
          <w:color w:val="000000" w:themeColor="text1"/>
          <w:szCs w:val="24"/>
        </w:rPr>
        <w:t xml:space="preserve">the extension of an existing action </w:t>
      </w:r>
    </w:p>
    <w:p w14:paraId="46E731F1" w14:textId="77777777" w:rsidR="007966CD" w:rsidRPr="004C70EC" w:rsidRDefault="007966CD">
      <w:pPr>
        <w:pStyle w:val="Text1"/>
        <w:rPr>
          <w:noProof/>
          <w:color w:val="000000" w:themeColor="text1"/>
          <w:szCs w:val="24"/>
        </w:rPr>
      </w:pPr>
      <w:r w:rsidRPr="004C70EC">
        <w:rPr>
          <w:rFonts w:eastAsia="Wingdings"/>
          <w:noProof/>
          <w:color w:val="000000" w:themeColor="text1"/>
          <w:szCs w:val="24"/>
        </w:rPr>
        <w:t>¨</w:t>
      </w:r>
      <w:r w:rsidRPr="004C70EC">
        <w:rPr>
          <w:i/>
          <w:iCs/>
          <w:noProof/>
          <w:color w:val="000000" w:themeColor="text1"/>
          <w:szCs w:val="24"/>
        </w:rPr>
        <w:t xml:space="preserve"> </w:t>
      </w:r>
      <w:r w:rsidRPr="004C70EC">
        <w:rPr>
          <w:noProof/>
          <w:color w:val="000000" w:themeColor="text1"/>
          <w:szCs w:val="24"/>
        </w:rPr>
        <w:t>a merger or redirection of one or more actions towards another/a new action</w:t>
      </w:r>
    </w:p>
    <w:p w14:paraId="2E73B242" w14:textId="77777777" w:rsidR="007966CD" w:rsidRPr="004C70EC" w:rsidRDefault="007966CD">
      <w:pPr>
        <w:pStyle w:val="ManualHeading2"/>
        <w:rPr>
          <w:bCs/>
          <w:noProof/>
          <w:color w:val="000000" w:themeColor="text1"/>
          <w:szCs w:val="24"/>
        </w:rPr>
      </w:pPr>
      <w:bookmarkStart w:id="48" w:name="_TocD88FD6F30049435D90549F1CE92CBBC0"/>
      <w:r w:rsidRPr="004C70EC">
        <w:rPr>
          <w:noProof/>
          <w:color w:val="000000" w:themeColor="text1"/>
          <w:szCs w:val="24"/>
        </w:rPr>
        <w:t>1.5.</w:t>
      </w:r>
      <w:r w:rsidRPr="004C70EC">
        <w:rPr>
          <w:noProof/>
          <w:color w:val="000000" w:themeColor="text1"/>
          <w:szCs w:val="24"/>
        </w:rPr>
        <w:tab/>
        <w:t xml:space="preserve">Grounds for the proposal/initiative </w:t>
      </w:r>
      <w:bookmarkEnd w:id="48"/>
    </w:p>
    <w:p w14:paraId="278A614C" w14:textId="77777777" w:rsidR="007966CD" w:rsidRPr="004C70EC" w:rsidRDefault="007966CD">
      <w:pPr>
        <w:pStyle w:val="ManualHeading3"/>
        <w:rPr>
          <w:noProof/>
          <w:color w:val="000000" w:themeColor="text1"/>
          <w:szCs w:val="24"/>
        </w:rPr>
      </w:pPr>
      <w:bookmarkStart w:id="49" w:name="_Toc79CD74D7AA844678943C2A12D69D7C35"/>
      <w:r w:rsidRPr="004C70EC">
        <w:rPr>
          <w:noProof/>
          <w:color w:val="000000" w:themeColor="text1"/>
          <w:szCs w:val="24"/>
        </w:rPr>
        <w:t>1.5.1.</w:t>
      </w:r>
      <w:r w:rsidRPr="004C70EC">
        <w:rPr>
          <w:noProof/>
          <w:color w:val="000000" w:themeColor="text1"/>
          <w:szCs w:val="24"/>
        </w:rPr>
        <w:tab/>
        <w:t>Requirement(s) to be met in the short or long term including a detailed timeline for roll-out of the implementation of the initiative</w:t>
      </w:r>
      <w:bookmarkEnd w:id="49"/>
    </w:p>
    <w:p w14:paraId="02C379DA" w14:textId="77777777" w:rsidR="002E5D70"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In the short term, the initiative requires the Commission to complete the strategic mapping of the Union’s biotechnology ecosystem within six months of entry into force and to initiate the establishment of the new governance and support structures foreseen in the Regulation, including the </w:t>
      </w:r>
      <w:r w:rsidR="00053BDB" w:rsidRPr="004C70EC">
        <w:rPr>
          <w:noProof/>
          <w:color w:val="000000" w:themeColor="text1"/>
          <w:szCs w:val="24"/>
        </w:rPr>
        <w:t>EU Health Biotechnology Support Network</w:t>
      </w:r>
      <w:r w:rsidRPr="004C70EC">
        <w:rPr>
          <w:noProof/>
          <w:color w:val="000000" w:themeColor="text1"/>
          <w:szCs w:val="24"/>
        </w:rPr>
        <w:t>, the Emerging Innovation Foresight Pane</w:t>
      </w:r>
      <w:r w:rsidR="004D58A7" w:rsidRPr="004C70EC">
        <w:rPr>
          <w:noProof/>
          <w:color w:val="000000" w:themeColor="text1"/>
          <w:szCs w:val="24"/>
        </w:rPr>
        <w:t>l</w:t>
      </w:r>
      <w:r w:rsidR="00053BDB" w:rsidRPr="004C70EC">
        <w:rPr>
          <w:noProof/>
          <w:color w:val="000000" w:themeColor="text1"/>
          <w:szCs w:val="24"/>
        </w:rPr>
        <w:t xml:space="preserve"> and</w:t>
      </w:r>
      <w:r w:rsidRPr="004C70EC">
        <w:rPr>
          <w:noProof/>
          <w:color w:val="000000" w:themeColor="text1"/>
          <w:szCs w:val="24"/>
        </w:rPr>
        <w:t xml:space="preserve"> the </w:t>
      </w:r>
      <w:r w:rsidR="00053BDB" w:rsidRPr="004C70EC">
        <w:rPr>
          <w:noProof/>
          <w:color w:val="000000" w:themeColor="text1"/>
          <w:szCs w:val="24"/>
        </w:rPr>
        <w:t>European Health Biotechnology Steering Group</w:t>
      </w:r>
      <w:r w:rsidRPr="004C70EC">
        <w:rPr>
          <w:noProof/>
          <w:color w:val="000000" w:themeColor="text1"/>
          <w:szCs w:val="24"/>
        </w:rPr>
        <w:t xml:space="preserve">. The Commission would also proceed with adopting the necessary implementing and delegated acts, including those detailing the criteria and procedures for the recognition of </w:t>
      </w:r>
      <w:r w:rsidR="008172A9" w:rsidRPr="004C70EC">
        <w:rPr>
          <w:rFonts w:eastAsia="Times New Roman"/>
          <w:noProof/>
          <w:color w:val="000000" w:themeColor="text1"/>
          <w:szCs w:val="24"/>
          <w:lang w:val="en-IE" w:eastAsia="de-DE"/>
        </w:rPr>
        <w:t xml:space="preserve">health </w:t>
      </w:r>
      <w:r w:rsidRPr="004C70EC">
        <w:rPr>
          <w:noProof/>
          <w:color w:val="000000" w:themeColor="text1"/>
          <w:szCs w:val="24"/>
        </w:rPr>
        <w:t>biotechnology strategic projects</w:t>
      </w:r>
      <w:r w:rsidR="008172A9" w:rsidRPr="004C70EC">
        <w:rPr>
          <w:noProof/>
          <w:color w:val="000000" w:themeColor="text1"/>
          <w:szCs w:val="24"/>
        </w:rPr>
        <w:t xml:space="preserve"> and</w:t>
      </w:r>
      <w:r w:rsidRPr="004C70EC">
        <w:rPr>
          <w:noProof/>
          <w:color w:val="000000" w:themeColor="text1"/>
          <w:szCs w:val="24"/>
        </w:rPr>
        <w:t xml:space="preserve"> high-impact </w:t>
      </w:r>
      <w:r w:rsidR="008172A9" w:rsidRPr="004C70EC">
        <w:rPr>
          <w:rFonts w:eastAsia="Times New Roman"/>
          <w:noProof/>
          <w:color w:val="000000" w:themeColor="text1"/>
          <w:szCs w:val="24"/>
          <w:lang w:val="en-IE" w:eastAsia="de-DE"/>
        </w:rPr>
        <w:t xml:space="preserve">health biotechnology </w:t>
      </w:r>
      <w:r w:rsidRPr="004C70EC">
        <w:rPr>
          <w:noProof/>
          <w:color w:val="000000" w:themeColor="text1"/>
          <w:szCs w:val="24"/>
        </w:rPr>
        <w:t xml:space="preserve">strategic projects. In parallel, Member States must designate national single points of contact and begin applying the streamlined regulatory procedures. </w:t>
      </w:r>
    </w:p>
    <w:p w14:paraId="2026607C" w14:textId="77777777" w:rsidR="004D7055" w:rsidRPr="004C70EC" w:rsidRDefault="002A4D31">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The Commission and the Agencies will have to update and/or develop new tools</w:t>
      </w:r>
      <w:r w:rsidR="00A135CA" w:rsidRPr="004C70EC">
        <w:rPr>
          <w:noProof/>
          <w:color w:val="000000" w:themeColor="text1"/>
          <w:szCs w:val="24"/>
        </w:rPr>
        <w:t xml:space="preserve"> and </w:t>
      </w:r>
      <w:r w:rsidR="008509E1" w:rsidRPr="004C70EC">
        <w:rPr>
          <w:noProof/>
          <w:color w:val="000000" w:themeColor="text1"/>
          <w:szCs w:val="24"/>
        </w:rPr>
        <w:t>ways of operatio</w:t>
      </w:r>
      <w:r w:rsidR="00852865" w:rsidRPr="004C70EC">
        <w:rPr>
          <w:noProof/>
          <w:color w:val="000000" w:themeColor="text1"/>
          <w:szCs w:val="24"/>
        </w:rPr>
        <w:t>n</w:t>
      </w:r>
      <w:r w:rsidRPr="004C70EC">
        <w:rPr>
          <w:noProof/>
          <w:color w:val="000000" w:themeColor="text1"/>
          <w:szCs w:val="24"/>
        </w:rPr>
        <w:t xml:space="preserve"> </w:t>
      </w:r>
      <w:r w:rsidR="00852865" w:rsidRPr="004C70EC">
        <w:rPr>
          <w:noProof/>
          <w:color w:val="000000" w:themeColor="text1"/>
          <w:szCs w:val="24"/>
        </w:rPr>
        <w:t>to implement</w:t>
      </w:r>
      <w:r w:rsidRPr="004C70EC">
        <w:rPr>
          <w:noProof/>
          <w:color w:val="000000" w:themeColor="text1"/>
          <w:szCs w:val="24"/>
        </w:rPr>
        <w:t xml:space="preserve"> workflows resulting from the amendments to EU legislative frameworks in the health and food area</w:t>
      </w:r>
      <w:r w:rsidR="00852865" w:rsidRPr="004C70EC">
        <w:rPr>
          <w:noProof/>
          <w:color w:val="000000" w:themeColor="text1"/>
          <w:szCs w:val="24"/>
        </w:rPr>
        <w:t xml:space="preserve">. </w:t>
      </w:r>
      <w:r w:rsidR="004D7055" w:rsidRPr="004C70EC">
        <w:rPr>
          <w:noProof/>
          <w:color w:val="000000" w:themeColor="text1"/>
          <w:szCs w:val="24"/>
        </w:rPr>
        <w:t>These amendments</w:t>
      </w:r>
      <w:r w:rsidRPr="004C70EC">
        <w:rPr>
          <w:noProof/>
          <w:color w:val="000000" w:themeColor="text1"/>
          <w:szCs w:val="24"/>
        </w:rPr>
        <w:t xml:space="preserve"> aim at simplifying regulatory procedures and creating regulatory environments conducive to innovation. </w:t>
      </w:r>
    </w:p>
    <w:p w14:paraId="7B50490A"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In the medium term, the strategic mapping would be updated and used to guide the selection of projects and the deployment of Union support, as well as further developments in Union policy for biotechnology. </w:t>
      </w:r>
    </w:p>
    <w:p w14:paraId="520F0D3A" w14:textId="77777777" w:rsidR="007966CD" w:rsidRPr="004C70EC" w:rsidRDefault="007966CD">
      <w:pPr>
        <w:pStyle w:val="ManualHeading3"/>
        <w:rPr>
          <w:bCs/>
          <w:noProof/>
          <w:color w:val="000000" w:themeColor="text1"/>
          <w:szCs w:val="24"/>
        </w:rPr>
      </w:pPr>
      <w:bookmarkStart w:id="50" w:name="_TocE39484BDC57446C7B6055DAA695E7E2D"/>
      <w:r w:rsidRPr="004C70EC">
        <w:rPr>
          <w:noProof/>
          <w:color w:val="000000" w:themeColor="text1"/>
          <w:szCs w:val="24"/>
        </w:rPr>
        <w:t>1.5.2.</w:t>
      </w:r>
      <w:r w:rsidRPr="004C70EC">
        <w:rPr>
          <w:noProof/>
          <w:color w:val="000000" w:themeColor="text1"/>
          <w:szCs w:val="24"/>
        </w:rPr>
        <w:tab/>
        <w:t>Added value of EU involvement (it may result from different factors, e.g. coordination gains, legal certainty, greater effectiveness or complementarities). For the purposes of this section 'added value of EU involvement' is the value resulting from EU action, that is additional to the value that would have been otherwise created by Member States alone.</w:t>
      </w:r>
      <w:bookmarkEnd w:id="50"/>
    </w:p>
    <w:p w14:paraId="267B4902"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Reasons for action at EU level (ex-ante) </w:t>
      </w:r>
    </w:p>
    <w:p w14:paraId="62AC8A85"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European companies are not competitive enough and face several market and regulatory barriers. Whilst several Member States have taken action to boost innovation in this field, many bottlenecks </w:t>
      </w:r>
      <w:r w:rsidR="00A13BFF" w:rsidRPr="004C70EC">
        <w:rPr>
          <w:noProof/>
          <w:color w:val="000000" w:themeColor="text1"/>
          <w:szCs w:val="24"/>
        </w:rPr>
        <w:t>persist,</w:t>
      </w:r>
      <w:r w:rsidRPr="004C70EC">
        <w:rPr>
          <w:noProof/>
          <w:color w:val="000000" w:themeColor="text1"/>
          <w:szCs w:val="24"/>
        </w:rPr>
        <w:t xml:space="preserve"> and improvements are not expected to achieve the necessary levels for the </w:t>
      </w:r>
      <w:r w:rsidR="0038109D" w:rsidRPr="004C70EC">
        <w:rPr>
          <w:rFonts w:eastAsia="Times New Roman"/>
          <w:noProof/>
          <w:color w:val="000000" w:themeColor="text1"/>
          <w:szCs w:val="24"/>
          <w:shd w:val="clear" w:color="auto" w:fill="FFFFFF"/>
          <w:lang w:val="en-IE" w:eastAsia="de-DE"/>
        </w:rPr>
        <w:t xml:space="preserve">Union </w:t>
      </w:r>
      <w:r w:rsidRPr="004C70EC">
        <w:rPr>
          <w:noProof/>
          <w:color w:val="000000" w:themeColor="text1"/>
          <w:szCs w:val="24"/>
        </w:rPr>
        <w:t>to compete at a global scale.</w:t>
      </w:r>
    </w:p>
    <w:p w14:paraId="104B0462"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Important regulatory barriers identified stem from EU legislation, therefore the proposed amendments seek to simplify EU legislations, enhance their legal clarity and certainty and make them fit to scientific and technological development.  </w:t>
      </w:r>
    </w:p>
    <w:p w14:paraId="28F3E4F1" w14:textId="77777777" w:rsidR="007966CD" w:rsidRPr="004C70EC" w:rsidRDefault="681889E0" w:rsidP="33CE1D06">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Furthermore, the market drivers are </w:t>
      </w:r>
      <w:r w:rsidR="004D58A7" w:rsidRPr="004C70EC">
        <w:rPr>
          <w:noProof/>
          <w:color w:val="000000" w:themeColor="text1"/>
          <w:szCs w:val="24"/>
        </w:rPr>
        <w:t>occurring</w:t>
      </w:r>
      <w:r w:rsidRPr="004C70EC">
        <w:rPr>
          <w:noProof/>
          <w:color w:val="000000" w:themeColor="text1"/>
          <w:szCs w:val="24"/>
        </w:rPr>
        <w:t xml:space="preserve"> across the EU, affecting the functioning of the </w:t>
      </w:r>
      <w:r w:rsidR="2DFB10CF" w:rsidRPr="004C70EC">
        <w:rPr>
          <w:rFonts w:eastAsia="Times New Roman"/>
          <w:noProof/>
          <w:color w:val="000000" w:themeColor="text1"/>
          <w:szCs w:val="24"/>
          <w:lang w:val="en-IE" w:eastAsia="de-DE"/>
        </w:rPr>
        <w:t xml:space="preserve">Union </w:t>
      </w:r>
      <w:r w:rsidRPr="004C70EC">
        <w:rPr>
          <w:noProof/>
          <w:color w:val="000000" w:themeColor="text1"/>
          <w:szCs w:val="24"/>
        </w:rPr>
        <w:t xml:space="preserve">single market and EU’s businesses competitiveness in the </w:t>
      </w:r>
      <w:r w:rsidR="2DFB10CF" w:rsidRPr="004C70EC">
        <w:rPr>
          <w:rFonts w:eastAsia="Times New Roman"/>
          <w:noProof/>
          <w:color w:val="000000" w:themeColor="text1"/>
          <w:szCs w:val="24"/>
          <w:lang w:val="en-IE" w:eastAsia="de-DE"/>
        </w:rPr>
        <w:t xml:space="preserve">Union </w:t>
      </w:r>
      <w:r w:rsidRPr="004C70EC">
        <w:rPr>
          <w:noProof/>
          <w:color w:val="000000" w:themeColor="text1"/>
          <w:szCs w:val="24"/>
        </w:rPr>
        <w:t xml:space="preserve">and globally. These hurdles result from insufficient capacity of EU companies to access private finance at a competitive scale, especially at later stages of development. Biotechnology clusters in the EU are scattered across Member States, without cross-border connections and continental scale, thus not able to compete globally.  Compounded by the low level of storage, access and sharing of data in the area of biotechnology - including cross-borders -, the development and deployment of AI solutions for biotechnology in the </w:t>
      </w:r>
      <w:r w:rsidR="2DFB10CF" w:rsidRPr="004C70EC">
        <w:rPr>
          <w:rFonts w:eastAsia="Times New Roman"/>
          <w:noProof/>
          <w:color w:val="000000" w:themeColor="text1"/>
          <w:szCs w:val="24"/>
          <w:lang w:val="en-IE" w:eastAsia="de-DE"/>
        </w:rPr>
        <w:t xml:space="preserve">Union </w:t>
      </w:r>
      <w:r w:rsidRPr="004C70EC">
        <w:rPr>
          <w:noProof/>
          <w:color w:val="000000" w:themeColor="text1"/>
          <w:szCs w:val="24"/>
        </w:rPr>
        <w:t xml:space="preserve">are </w:t>
      </w:r>
      <w:r w:rsidR="5119666E" w:rsidRPr="004C70EC">
        <w:rPr>
          <w:noProof/>
          <w:color w:val="000000" w:themeColor="text1"/>
          <w:szCs w:val="24"/>
        </w:rPr>
        <w:t>not reaching their full potential</w:t>
      </w:r>
      <w:r w:rsidRPr="004C70EC">
        <w:rPr>
          <w:noProof/>
          <w:color w:val="000000" w:themeColor="text1"/>
          <w:szCs w:val="24"/>
        </w:rPr>
        <w:t xml:space="preserve">. Finally, the gap in developing and retaining an adequately skilled workforce has been observed across the </w:t>
      </w:r>
      <w:r w:rsidR="2DFB10CF" w:rsidRPr="004C70EC">
        <w:rPr>
          <w:rFonts w:eastAsia="Times New Roman"/>
          <w:noProof/>
          <w:color w:val="000000" w:themeColor="text1"/>
          <w:szCs w:val="24"/>
          <w:lang w:val="en-IE" w:eastAsia="de-DE"/>
        </w:rPr>
        <w:t>Union</w:t>
      </w:r>
      <w:r w:rsidRPr="004C70EC">
        <w:rPr>
          <w:noProof/>
          <w:color w:val="000000" w:themeColor="text1"/>
          <w:szCs w:val="24"/>
        </w:rPr>
        <w:t>. These challenges are systemic, transnational in nature and cannot be addressed effectively through isolated national measures alone.</w:t>
      </w:r>
      <w:r w:rsidRPr="004C70EC" w:rsidDel="0088507C">
        <w:rPr>
          <w:noProof/>
          <w:color w:val="000000" w:themeColor="text1"/>
          <w:szCs w:val="24"/>
        </w:rPr>
        <w:t xml:space="preserve"> </w:t>
      </w:r>
    </w:p>
    <w:p w14:paraId="2FA2B403"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Expected generated  EU added value (ex-post) </w:t>
      </w:r>
    </w:p>
    <w:p w14:paraId="0FE0B55A"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A harmonised but simplified EU regulatory framework, supported by </w:t>
      </w:r>
      <w:r w:rsidR="003C4E04" w:rsidRPr="004C70EC">
        <w:rPr>
          <w:noProof/>
          <w:color w:val="000000" w:themeColor="text1"/>
          <w:szCs w:val="24"/>
        </w:rPr>
        <w:t>strengthened</w:t>
      </w:r>
      <w:r w:rsidRPr="004C70EC">
        <w:rPr>
          <w:noProof/>
          <w:color w:val="000000" w:themeColor="text1"/>
          <w:szCs w:val="24"/>
        </w:rPr>
        <w:t xml:space="preserve"> collaboration in selected policy areas (access to capital, skills, AI and data) is expected to ensure all patients, users and citizens can benefit from these innovations to same extent in the EU, a level playing field for operations in the </w:t>
      </w:r>
      <w:r w:rsidR="0038109D" w:rsidRPr="004C70EC">
        <w:rPr>
          <w:rFonts w:eastAsia="Times New Roman"/>
          <w:noProof/>
          <w:color w:val="000000" w:themeColor="text1"/>
          <w:szCs w:val="24"/>
          <w:shd w:val="clear" w:color="auto" w:fill="FFFFFF"/>
          <w:lang w:val="en-IE" w:eastAsia="de-DE"/>
        </w:rPr>
        <w:t xml:space="preserve">Union </w:t>
      </w:r>
      <w:r w:rsidRPr="004C70EC">
        <w:rPr>
          <w:noProof/>
          <w:color w:val="000000" w:themeColor="text1"/>
          <w:szCs w:val="24"/>
        </w:rPr>
        <w:t>single market as well as to enhance the overall competitiveness of the EU. Coordinated EU action will generate economies of scale, reduce duplication of efforts, increase legal certainty for entrepreneurs operating across borders, and unlock cross-border investments, infrastructures and skills development that Member States acting alone could not achieve. It will also reinforce the EU’s strategic autonomy in a critical technological area foster the development of adequate biosecurity capabilities.</w:t>
      </w:r>
    </w:p>
    <w:p w14:paraId="3A9A0481"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p>
    <w:p w14:paraId="41AB954A" w14:textId="77777777" w:rsidR="007966CD" w:rsidRPr="004C70EC" w:rsidRDefault="007966CD">
      <w:pPr>
        <w:pStyle w:val="ManualHeading3"/>
        <w:rPr>
          <w:noProof/>
          <w:color w:val="000000" w:themeColor="text1"/>
          <w:szCs w:val="24"/>
        </w:rPr>
      </w:pPr>
      <w:bookmarkStart w:id="51" w:name="_Toc5A33F369C88F47FAB000EB978337D3A3"/>
      <w:r w:rsidRPr="004C70EC">
        <w:rPr>
          <w:noProof/>
          <w:color w:val="000000" w:themeColor="text1"/>
          <w:szCs w:val="24"/>
        </w:rPr>
        <w:t>1.5.3.</w:t>
      </w:r>
      <w:r w:rsidRPr="004C70EC">
        <w:rPr>
          <w:noProof/>
          <w:color w:val="000000" w:themeColor="text1"/>
          <w:szCs w:val="24"/>
        </w:rPr>
        <w:tab/>
        <w:t>Lessons learned from similar experiences in the past</w:t>
      </w:r>
      <w:bookmarkEnd w:id="51"/>
    </w:p>
    <w:p w14:paraId="6E8B1C36"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lang w:val="en-IE"/>
        </w:rPr>
      </w:pPr>
      <w:r w:rsidRPr="004C70EC">
        <w:rPr>
          <w:noProof/>
          <w:color w:val="000000" w:themeColor="text1"/>
          <w:szCs w:val="24"/>
          <w:lang w:val="en-IE"/>
        </w:rPr>
        <w:t xml:space="preserve">Developments in the biotechnology sector over the last decades shows that Europe’s strong scientific base does not automatically translate into industrial competitiveness. Fragmented and complex regulatory frameworks, slow and divergent procedures, limited access to risk-tolerant capital, insufficient data sharing and interoperability, shallow public equity markets, and persistent skills shortages have repeatedly hindered the ability of EU innovators to scale and commercialise their technologies. Past efforts have also demonstrated that lack of coordinated EU action leads to duplication, delays, and missed opportunities for deploying biotechnology at scale, while emerging technologies such as AI raise regulatory and biosecurity challenges that cannot be adequately addressed at national level. </w:t>
      </w:r>
    </w:p>
    <w:p w14:paraId="69C625C5"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lang w:val="en-IE"/>
        </w:rPr>
      </w:pPr>
      <w:r w:rsidRPr="004C70EC">
        <w:rPr>
          <w:noProof/>
          <w:color w:val="000000" w:themeColor="text1"/>
          <w:szCs w:val="24"/>
          <w:lang w:val="en-IE"/>
        </w:rPr>
        <w:t>Experience from other strategic sectors saw targeted EU-level initiatives, combining regulatory simplification, coordinated investment,  and infrastructure support, being deployed to address systemic bottlenecks - such as in the case of the Net-Zero Industry Act and the Critical Raw Materials Act. The same lessons apply to biotechnology: only a coherent and integrated EU approach can unlock the sector’s full potential, strengthen competitiveness, and accelerate the safe deployment of biotechnology innovative across the Single Market.</w:t>
      </w:r>
    </w:p>
    <w:p w14:paraId="71A3F4F8"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p>
    <w:p w14:paraId="39F9B858" w14:textId="77777777" w:rsidR="007966CD" w:rsidRPr="004C70EC" w:rsidRDefault="007966CD">
      <w:pPr>
        <w:pStyle w:val="ManualHeading3"/>
        <w:rPr>
          <w:noProof/>
          <w:color w:val="000000" w:themeColor="text1"/>
          <w:szCs w:val="24"/>
        </w:rPr>
      </w:pPr>
      <w:bookmarkStart w:id="52" w:name="_TocF28740B160C04A50B861D9FDF7E9774A"/>
      <w:r w:rsidRPr="004C70EC">
        <w:rPr>
          <w:noProof/>
          <w:color w:val="000000" w:themeColor="text1"/>
          <w:szCs w:val="24"/>
        </w:rPr>
        <w:t>1.5.4.</w:t>
      </w:r>
      <w:r w:rsidRPr="004C70EC">
        <w:rPr>
          <w:noProof/>
          <w:color w:val="000000" w:themeColor="text1"/>
          <w:szCs w:val="24"/>
        </w:rPr>
        <w:tab/>
        <w:t>Compatibility with the multiannual financial framework and possible synergies with other appropriate instruments</w:t>
      </w:r>
      <w:bookmarkEnd w:id="52"/>
    </w:p>
    <w:p w14:paraId="3C21D153"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In order to maximise its positive impact, the Biotech Act will</w:t>
      </w:r>
      <w:r w:rsidR="001233CC" w:rsidRPr="004C70EC">
        <w:rPr>
          <w:noProof/>
          <w:color w:val="000000" w:themeColor="text1"/>
          <w:szCs w:val="24"/>
        </w:rPr>
        <w:t xml:space="preserve"> </w:t>
      </w:r>
      <w:r w:rsidRPr="004C70EC">
        <w:rPr>
          <w:noProof/>
          <w:color w:val="000000" w:themeColor="text1"/>
          <w:szCs w:val="24"/>
        </w:rPr>
        <w:t xml:space="preserve">build upon the strong knowledge base </w:t>
      </w:r>
      <w:r w:rsidR="00CE2B46" w:rsidRPr="004C70EC">
        <w:rPr>
          <w:noProof/>
          <w:color w:val="000000" w:themeColor="text1"/>
          <w:szCs w:val="24"/>
        </w:rPr>
        <w:t>The objectives of the Biotech Act may be supported under the future European Competitiveness Fund, in particular under the Health, Biotech, Agriculture and Bioeconomy Window.</w:t>
      </w:r>
      <w:r w:rsidRPr="004C70EC">
        <w:rPr>
          <w:noProof/>
          <w:color w:val="000000" w:themeColor="text1"/>
          <w:szCs w:val="24"/>
        </w:rPr>
        <w:t xml:space="preserve"> Horizon Europe</w:t>
      </w:r>
      <w:r w:rsidR="000D06E4" w:rsidRPr="004C70EC">
        <w:rPr>
          <w:noProof/>
          <w:color w:val="000000" w:themeColor="text1"/>
          <w:szCs w:val="24"/>
        </w:rPr>
        <w:t xml:space="preserve"> may</w:t>
      </w:r>
      <w:r w:rsidRPr="004C70EC">
        <w:rPr>
          <w:noProof/>
          <w:color w:val="000000" w:themeColor="text1"/>
          <w:szCs w:val="24"/>
        </w:rPr>
        <w:t xml:space="preserve"> also be leveraged to complement the Biotech Act’s objective of brin</w:t>
      </w:r>
      <w:r w:rsidR="00350EFA" w:rsidRPr="004C70EC">
        <w:rPr>
          <w:noProof/>
          <w:color w:val="000000" w:themeColor="text1"/>
          <w:szCs w:val="24"/>
        </w:rPr>
        <w:t>g</w:t>
      </w:r>
      <w:r w:rsidRPr="004C70EC">
        <w:rPr>
          <w:noProof/>
          <w:color w:val="000000" w:themeColor="text1"/>
          <w:szCs w:val="24"/>
        </w:rPr>
        <w:t>ing biotechnology products to the market by supporting all stages of research and development of innovative ideas.</w:t>
      </w:r>
    </w:p>
    <w:p w14:paraId="78683052" w14:textId="77777777" w:rsidR="007966CD" w:rsidRPr="004C70EC" w:rsidRDefault="007966CD">
      <w:pPr>
        <w:pStyle w:val="ManualHeading3"/>
        <w:rPr>
          <w:noProof/>
          <w:color w:val="000000" w:themeColor="text1"/>
          <w:szCs w:val="24"/>
        </w:rPr>
      </w:pPr>
      <w:bookmarkStart w:id="53" w:name="_Toc47F50056088A44A9A9D02DAAD97B14D6"/>
      <w:r w:rsidRPr="004C70EC">
        <w:rPr>
          <w:noProof/>
          <w:color w:val="000000" w:themeColor="text1"/>
          <w:szCs w:val="24"/>
        </w:rPr>
        <w:t>1.5.5.</w:t>
      </w:r>
      <w:r w:rsidRPr="004C70EC">
        <w:rPr>
          <w:noProof/>
          <w:color w:val="000000" w:themeColor="text1"/>
          <w:szCs w:val="24"/>
        </w:rPr>
        <w:tab/>
        <w:t>Assessment of the different available financing options, including scope for redeployment</w:t>
      </w:r>
      <w:bookmarkEnd w:id="53"/>
    </w:p>
    <w:p w14:paraId="5012AB74"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N/A</w:t>
      </w:r>
    </w:p>
    <w:p w14:paraId="7748701B" w14:textId="77777777" w:rsidR="007966CD" w:rsidRPr="004C70EC" w:rsidRDefault="007966CD">
      <w:pPr>
        <w:pStyle w:val="ManualHeading2"/>
        <w:rPr>
          <w:bCs/>
          <w:noProof/>
          <w:color w:val="000000" w:themeColor="text1"/>
          <w:szCs w:val="24"/>
        </w:rPr>
      </w:pPr>
      <w:bookmarkStart w:id="54" w:name="_Toc185FB167E8BB4FFEBE7A9330BA5642AA"/>
      <w:r w:rsidRPr="004C70EC">
        <w:rPr>
          <w:noProof/>
          <w:color w:val="000000" w:themeColor="text1"/>
          <w:szCs w:val="24"/>
        </w:rPr>
        <w:br w:type="page"/>
        <w:t>1.6.</w:t>
      </w:r>
      <w:r w:rsidRPr="004C70EC">
        <w:rPr>
          <w:noProof/>
          <w:color w:val="000000" w:themeColor="text1"/>
          <w:szCs w:val="24"/>
        </w:rPr>
        <w:tab/>
        <w:t>Duration of the proposal/initiative and of its financial impact</w:t>
      </w:r>
      <w:bookmarkEnd w:id="54"/>
    </w:p>
    <w:p w14:paraId="3101BC63" w14:textId="77777777" w:rsidR="007966CD" w:rsidRPr="004C70EC" w:rsidRDefault="007966CD">
      <w:pPr>
        <w:pStyle w:val="Text1"/>
        <w:rPr>
          <w:noProof/>
          <w:color w:val="000000" w:themeColor="text1"/>
          <w:szCs w:val="24"/>
        </w:rPr>
      </w:pPr>
      <w:r w:rsidRPr="004C70EC">
        <w:rPr>
          <w:rFonts w:eastAsia="Wingdings"/>
          <w:noProof/>
          <w:color w:val="000000" w:themeColor="text1"/>
          <w:szCs w:val="24"/>
        </w:rPr>
        <w:t>¨</w:t>
      </w:r>
      <w:r w:rsidRPr="004C70EC">
        <w:rPr>
          <w:b/>
          <w:i/>
          <w:noProof/>
          <w:color w:val="000000" w:themeColor="text1"/>
          <w:szCs w:val="24"/>
        </w:rPr>
        <w:t xml:space="preserve"> </w:t>
      </w:r>
      <w:r w:rsidRPr="004C70EC">
        <w:rPr>
          <w:b/>
          <w:noProof/>
          <w:color w:val="000000" w:themeColor="text1"/>
          <w:szCs w:val="24"/>
        </w:rPr>
        <w:t xml:space="preserve">limited duration </w:t>
      </w:r>
    </w:p>
    <w:p w14:paraId="2AA4F01E" w14:textId="77777777" w:rsidR="007966CD" w:rsidRPr="004C70EC" w:rsidRDefault="007966CD">
      <w:pPr>
        <w:pStyle w:val="ListDash2"/>
        <w:rPr>
          <w:noProof/>
          <w:color w:val="000000" w:themeColor="text1"/>
          <w:szCs w:val="24"/>
        </w:rPr>
      </w:pPr>
      <w:r w:rsidRPr="004C70EC">
        <w:rPr>
          <w:rFonts w:eastAsia="Wingdings"/>
          <w:noProof/>
          <w:color w:val="000000" w:themeColor="text1"/>
          <w:szCs w:val="24"/>
        </w:rPr>
        <w:t>¨</w:t>
      </w:r>
      <w:r w:rsidRPr="004C70EC">
        <w:rPr>
          <w:noProof/>
          <w:color w:val="000000" w:themeColor="text1"/>
          <w:szCs w:val="24"/>
        </w:rPr>
        <w:tab/>
        <w:t xml:space="preserve">in effect from [DD/MM]YYYY to [DD/MM]YYYY </w:t>
      </w:r>
    </w:p>
    <w:p w14:paraId="149C73B0" w14:textId="77777777" w:rsidR="007966CD" w:rsidRPr="004C70EC" w:rsidRDefault="007966CD">
      <w:pPr>
        <w:pStyle w:val="ListDash2"/>
        <w:rPr>
          <w:noProof/>
          <w:color w:val="000000" w:themeColor="text1"/>
          <w:szCs w:val="24"/>
        </w:rPr>
      </w:pPr>
      <w:r w:rsidRPr="004C70EC">
        <w:rPr>
          <w:rFonts w:eastAsia="Wingdings"/>
          <w:noProof/>
          <w:color w:val="000000" w:themeColor="text1"/>
          <w:szCs w:val="24"/>
        </w:rPr>
        <w:t>¨</w:t>
      </w:r>
      <w:r w:rsidRPr="004C70EC">
        <w:rPr>
          <w:noProof/>
          <w:color w:val="000000" w:themeColor="text1"/>
          <w:szCs w:val="24"/>
        </w:rPr>
        <w:tab/>
        <w:t xml:space="preserve">financial impact from YYYY to YYYY for commitment appropriations and from YYYY to YYYY for payment appropriations. </w:t>
      </w:r>
    </w:p>
    <w:p w14:paraId="510ED0AC" w14:textId="77777777" w:rsidR="007966CD" w:rsidRPr="004C70EC" w:rsidRDefault="000E675F">
      <w:pPr>
        <w:pStyle w:val="Text1"/>
        <w:rPr>
          <w:noProof/>
          <w:color w:val="000000" w:themeColor="text1"/>
          <w:szCs w:val="24"/>
        </w:rPr>
      </w:pPr>
      <w:r w:rsidRPr="004C70EC">
        <w:rPr>
          <w:rFonts w:ascii="Wingdings" w:eastAsia="Wingdings" w:hAnsi="Wingdings" w:cs="Wingdings"/>
          <w:noProof/>
          <w:sz w:val="22"/>
        </w:rPr>
        <w:t></w:t>
      </w:r>
      <w:r w:rsidRPr="004C70EC" w:rsidDel="000E675F">
        <w:rPr>
          <w:rFonts w:eastAsia="Wingdings"/>
          <w:noProof/>
          <w:color w:val="000000" w:themeColor="text1"/>
          <w:szCs w:val="24"/>
        </w:rPr>
        <w:t xml:space="preserve"> </w:t>
      </w:r>
      <w:r w:rsidR="007966CD" w:rsidRPr="004C70EC">
        <w:rPr>
          <w:b/>
          <w:noProof/>
          <w:color w:val="000000" w:themeColor="text1"/>
          <w:szCs w:val="24"/>
        </w:rPr>
        <w:t>unlimited duration</w:t>
      </w:r>
    </w:p>
    <w:p w14:paraId="406836FE" w14:textId="77777777" w:rsidR="007966CD" w:rsidRPr="004C70EC" w:rsidRDefault="007966CD">
      <w:pPr>
        <w:pStyle w:val="ListDash1"/>
        <w:rPr>
          <w:noProof/>
          <w:color w:val="000000" w:themeColor="text1"/>
          <w:szCs w:val="24"/>
        </w:rPr>
      </w:pPr>
      <w:r w:rsidRPr="004C70EC">
        <w:rPr>
          <w:noProof/>
          <w:color w:val="000000" w:themeColor="text1"/>
          <w:szCs w:val="24"/>
        </w:rPr>
        <w:t xml:space="preserve">Implementation with a start-up period from </w:t>
      </w:r>
      <w:r w:rsidR="00C51D2C" w:rsidRPr="004C70EC">
        <w:rPr>
          <w:noProof/>
          <w:color w:val="000000" w:themeColor="text1"/>
          <w:szCs w:val="24"/>
        </w:rPr>
        <w:t xml:space="preserve">2028 </w:t>
      </w:r>
      <w:r w:rsidRPr="004C70EC">
        <w:rPr>
          <w:noProof/>
          <w:color w:val="000000" w:themeColor="text1"/>
          <w:szCs w:val="24"/>
        </w:rPr>
        <w:t xml:space="preserve">to </w:t>
      </w:r>
      <w:r w:rsidR="00255068" w:rsidRPr="004C70EC">
        <w:rPr>
          <w:noProof/>
          <w:color w:val="000000" w:themeColor="text1"/>
          <w:szCs w:val="24"/>
        </w:rPr>
        <w:t>2029</w:t>
      </w:r>
      <w:r w:rsidRPr="004C70EC">
        <w:rPr>
          <w:noProof/>
          <w:color w:val="000000" w:themeColor="text1"/>
          <w:szCs w:val="24"/>
        </w:rPr>
        <w:t>,</w:t>
      </w:r>
    </w:p>
    <w:p w14:paraId="79128650" w14:textId="77777777" w:rsidR="007966CD" w:rsidRPr="004C70EC" w:rsidRDefault="007966CD">
      <w:pPr>
        <w:pStyle w:val="ListDash1"/>
        <w:rPr>
          <w:noProof/>
          <w:color w:val="000000" w:themeColor="text1"/>
          <w:szCs w:val="24"/>
        </w:rPr>
      </w:pPr>
      <w:r w:rsidRPr="004C70EC">
        <w:rPr>
          <w:noProof/>
          <w:color w:val="000000" w:themeColor="text1"/>
          <w:szCs w:val="24"/>
        </w:rPr>
        <w:t>followed by full-scale operation.</w:t>
      </w:r>
    </w:p>
    <w:p w14:paraId="56B7954F" w14:textId="77777777" w:rsidR="007966CD" w:rsidRPr="004C70EC" w:rsidRDefault="3F765205">
      <w:pPr>
        <w:pStyle w:val="ManualHeading2"/>
        <w:rPr>
          <w:bCs/>
          <w:noProof/>
          <w:color w:val="000000" w:themeColor="text1"/>
          <w:szCs w:val="24"/>
        </w:rPr>
      </w:pPr>
      <w:bookmarkStart w:id="55" w:name="_TocCA5838BA98A14307831BCB2B1AAF38C9"/>
      <w:r w:rsidRPr="004C70EC">
        <w:rPr>
          <w:noProof/>
          <w:color w:val="000000" w:themeColor="text1"/>
        </w:rPr>
        <w:t>1.7.</w:t>
      </w:r>
      <w:r w:rsidR="007966CD" w:rsidRPr="004C70EC">
        <w:rPr>
          <w:noProof/>
          <w:color w:val="000000" w:themeColor="text1"/>
          <w:szCs w:val="24"/>
        </w:rPr>
        <w:tab/>
      </w:r>
      <w:r w:rsidRPr="004C70EC">
        <w:rPr>
          <w:noProof/>
          <w:color w:val="000000" w:themeColor="text1"/>
        </w:rPr>
        <w:t>Method(s) of budget implementation planned</w:t>
      </w:r>
      <w:r w:rsidR="007966CD" w:rsidRPr="004C70EC">
        <w:rPr>
          <w:rStyle w:val="FootnoteReference"/>
          <w:noProof/>
          <w:color w:val="000000" w:themeColor="text1"/>
        </w:rPr>
        <w:footnoteReference w:id="166"/>
      </w:r>
      <w:r w:rsidRPr="004C70EC">
        <w:rPr>
          <w:rStyle w:val="FootnoteReference"/>
          <w:noProof/>
          <w:color w:val="000000" w:themeColor="text1"/>
        </w:rPr>
        <w:t xml:space="preserve"> </w:t>
      </w:r>
      <w:bookmarkEnd w:id="55"/>
    </w:p>
    <w:p w14:paraId="5BE7E76A" w14:textId="77777777" w:rsidR="007966CD" w:rsidRPr="004C70EC" w:rsidRDefault="007966CD">
      <w:pPr>
        <w:pStyle w:val="Text1"/>
        <w:rPr>
          <w:noProof/>
          <w:color w:val="000000" w:themeColor="text1"/>
          <w:szCs w:val="24"/>
        </w:rPr>
      </w:pPr>
      <w:r w:rsidRPr="004C70EC">
        <w:rPr>
          <w:rFonts w:ascii="Wingdings" w:eastAsia="Wingdings" w:hAnsi="Wingdings" w:cs="Wingdings"/>
          <w:noProof/>
          <w:sz w:val="22"/>
        </w:rPr>
        <w:t></w:t>
      </w:r>
      <w:r w:rsidRPr="004C70EC">
        <w:rPr>
          <w:i/>
          <w:noProof/>
          <w:color w:val="000000" w:themeColor="text1"/>
          <w:szCs w:val="24"/>
        </w:rPr>
        <w:t xml:space="preserve"> </w:t>
      </w:r>
      <w:r w:rsidRPr="004C70EC">
        <w:rPr>
          <w:b/>
          <w:noProof/>
          <w:color w:val="000000" w:themeColor="text1"/>
          <w:szCs w:val="24"/>
        </w:rPr>
        <w:t>Direct management</w:t>
      </w:r>
      <w:r w:rsidRPr="004C70EC">
        <w:rPr>
          <w:noProof/>
          <w:color w:val="000000" w:themeColor="text1"/>
          <w:szCs w:val="24"/>
        </w:rPr>
        <w:t xml:space="preserve"> by the Commission</w:t>
      </w:r>
    </w:p>
    <w:p w14:paraId="6AA5C70A" w14:textId="77777777" w:rsidR="007966CD" w:rsidRPr="004C70EC" w:rsidRDefault="007966CD">
      <w:pPr>
        <w:pStyle w:val="ListDash2"/>
        <w:rPr>
          <w:noProof/>
          <w:color w:val="000000" w:themeColor="text1"/>
          <w:szCs w:val="24"/>
        </w:rPr>
      </w:pPr>
      <w:r w:rsidRPr="004C70EC">
        <w:rPr>
          <w:rFonts w:ascii="Wingdings" w:eastAsia="Wingdings" w:hAnsi="Wingdings" w:cs="Wingdings"/>
          <w:noProof/>
          <w:sz w:val="22"/>
        </w:rPr>
        <w:t></w:t>
      </w:r>
      <w:r w:rsidRPr="004C70EC">
        <w:rPr>
          <w:rFonts w:eastAsia="Wingdings"/>
          <w:noProof/>
          <w:color w:val="000000" w:themeColor="text1"/>
          <w:szCs w:val="24"/>
        </w:rPr>
        <w:t xml:space="preserve"> </w:t>
      </w:r>
      <w:r w:rsidRPr="004C70EC">
        <w:rPr>
          <w:noProof/>
          <w:color w:val="000000" w:themeColor="text1"/>
          <w:szCs w:val="24"/>
        </w:rPr>
        <w:t xml:space="preserve">by its departments, including by its staff in the Union delegations; </w:t>
      </w:r>
    </w:p>
    <w:p w14:paraId="74D1BC4C" w14:textId="77777777" w:rsidR="007966CD" w:rsidRPr="004C70EC" w:rsidRDefault="007966CD">
      <w:pPr>
        <w:pStyle w:val="ListDash2"/>
        <w:rPr>
          <w:noProof/>
          <w:color w:val="000000" w:themeColor="text1"/>
          <w:szCs w:val="24"/>
        </w:rPr>
      </w:pPr>
      <w:r w:rsidRPr="004C70EC">
        <w:rPr>
          <w:rFonts w:ascii="Wingdings" w:eastAsia="Wingdings" w:hAnsi="Wingdings" w:cs="Wingdings"/>
          <w:noProof/>
          <w:sz w:val="22"/>
        </w:rPr>
        <w:t></w:t>
      </w:r>
      <w:r w:rsidRPr="004C70EC">
        <w:rPr>
          <w:noProof/>
          <w:color w:val="000000" w:themeColor="text1"/>
          <w:szCs w:val="24"/>
        </w:rPr>
        <w:tab/>
        <w:t xml:space="preserve">by the executive agencies </w:t>
      </w:r>
    </w:p>
    <w:p w14:paraId="2D319E81" w14:textId="77777777" w:rsidR="007966CD" w:rsidRPr="004C70EC" w:rsidRDefault="007966CD">
      <w:pPr>
        <w:pStyle w:val="ListDash2"/>
        <w:rPr>
          <w:noProof/>
          <w:color w:val="000000" w:themeColor="text1"/>
          <w:szCs w:val="24"/>
        </w:rPr>
      </w:pPr>
      <w:r w:rsidRPr="004C70EC">
        <w:rPr>
          <w:rFonts w:eastAsia="Wingdings"/>
          <w:noProof/>
          <w:color w:val="000000" w:themeColor="text1"/>
          <w:szCs w:val="24"/>
        </w:rPr>
        <w:t>¨</w:t>
      </w:r>
      <w:r w:rsidRPr="004C70EC">
        <w:rPr>
          <w:b/>
          <w:bCs/>
          <w:i/>
          <w:iCs/>
          <w:noProof/>
          <w:color w:val="000000" w:themeColor="text1"/>
          <w:szCs w:val="24"/>
        </w:rPr>
        <w:t xml:space="preserve"> </w:t>
      </w:r>
      <w:r w:rsidRPr="004C70EC">
        <w:rPr>
          <w:b/>
          <w:bCs/>
          <w:noProof/>
          <w:color w:val="000000" w:themeColor="text1"/>
          <w:szCs w:val="24"/>
        </w:rPr>
        <w:t>Shared management</w:t>
      </w:r>
      <w:r w:rsidRPr="004C70EC">
        <w:rPr>
          <w:noProof/>
          <w:color w:val="000000" w:themeColor="text1"/>
          <w:szCs w:val="24"/>
        </w:rPr>
        <w:t xml:space="preserve"> with the Member States </w:t>
      </w:r>
    </w:p>
    <w:p w14:paraId="639A8E1B" w14:textId="77777777" w:rsidR="007966CD" w:rsidRPr="004C70EC" w:rsidRDefault="007966CD">
      <w:pPr>
        <w:pStyle w:val="Text1"/>
        <w:rPr>
          <w:noProof/>
          <w:color w:val="000000" w:themeColor="text1"/>
          <w:szCs w:val="24"/>
        </w:rPr>
      </w:pPr>
      <w:r w:rsidRPr="004C70EC">
        <w:rPr>
          <w:rFonts w:eastAsia="Wingdings"/>
          <w:noProof/>
          <w:color w:val="000000" w:themeColor="text1"/>
          <w:szCs w:val="24"/>
        </w:rPr>
        <w:t>x</w:t>
      </w:r>
      <w:r w:rsidRPr="004C70EC">
        <w:rPr>
          <w:i/>
          <w:noProof/>
          <w:color w:val="000000" w:themeColor="text1"/>
          <w:szCs w:val="24"/>
        </w:rPr>
        <w:t xml:space="preserve"> </w:t>
      </w:r>
      <w:r w:rsidRPr="004C70EC">
        <w:rPr>
          <w:b/>
          <w:noProof/>
          <w:color w:val="000000" w:themeColor="text1"/>
          <w:szCs w:val="24"/>
        </w:rPr>
        <w:t>Indirect management</w:t>
      </w:r>
      <w:r w:rsidRPr="004C70EC">
        <w:rPr>
          <w:noProof/>
          <w:color w:val="000000" w:themeColor="text1"/>
          <w:szCs w:val="24"/>
        </w:rPr>
        <w:t xml:space="preserve"> by entrusting budget implementation tasks to:</w:t>
      </w:r>
    </w:p>
    <w:p w14:paraId="3B4A9A72" w14:textId="77777777" w:rsidR="007966CD" w:rsidRPr="004C70EC" w:rsidRDefault="007966CD">
      <w:pPr>
        <w:pStyle w:val="ListDash2"/>
        <w:rPr>
          <w:noProof/>
          <w:color w:val="000000" w:themeColor="text1"/>
          <w:szCs w:val="24"/>
        </w:rPr>
      </w:pPr>
      <w:r w:rsidRPr="004C70EC">
        <w:rPr>
          <w:rFonts w:eastAsia="Wingdings"/>
          <w:noProof/>
          <w:color w:val="000000" w:themeColor="text1"/>
          <w:szCs w:val="24"/>
        </w:rPr>
        <w:t>¨</w:t>
      </w:r>
      <w:r w:rsidRPr="004C70EC">
        <w:rPr>
          <w:noProof/>
          <w:color w:val="000000" w:themeColor="text1"/>
          <w:szCs w:val="24"/>
        </w:rPr>
        <w:t xml:space="preserve"> third countries or the bodies they have designated</w:t>
      </w:r>
    </w:p>
    <w:p w14:paraId="3813CBD3" w14:textId="77777777" w:rsidR="007966CD" w:rsidRPr="004C70EC" w:rsidRDefault="007966CD">
      <w:pPr>
        <w:pStyle w:val="ListDash2"/>
        <w:rPr>
          <w:noProof/>
          <w:color w:val="000000" w:themeColor="text1"/>
          <w:szCs w:val="24"/>
        </w:rPr>
      </w:pPr>
      <w:r w:rsidRPr="004C70EC">
        <w:rPr>
          <w:rFonts w:eastAsia="Wingdings"/>
          <w:noProof/>
          <w:color w:val="000000" w:themeColor="text1"/>
          <w:szCs w:val="24"/>
        </w:rPr>
        <w:t>¨</w:t>
      </w:r>
      <w:r w:rsidRPr="004C70EC">
        <w:rPr>
          <w:noProof/>
          <w:color w:val="000000" w:themeColor="text1"/>
          <w:szCs w:val="24"/>
        </w:rPr>
        <w:t xml:space="preserve"> international organisations and their agencies (to be specified)</w:t>
      </w:r>
    </w:p>
    <w:p w14:paraId="6A7F3145" w14:textId="77777777" w:rsidR="007966CD" w:rsidRPr="004C70EC" w:rsidRDefault="007966CD">
      <w:pPr>
        <w:pStyle w:val="ListDash2"/>
        <w:rPr>
          <w:noProof/>
          <w:color w:val="000000" w:themeColor="text1"/>
          <w:szCs w:val="24"/>
        </w:rPr>
      </w:pPr>
      <w:r w:rsidRPr="004C70EC">
        <w:rPr>
          <w:rFonts w:ascii="Wingdings" w:eastAsia="Wingdings" w:hAnsi="Wingdings" w:cs="Wingdings"/>
          <w:noProof/>
          <w:sz w:val="22"/>
        </w:rPr>
        <w:t></w:t>
      </w:r>
      <w:r w:rsidRPr="004C70EC">
        <w:rPr>
          <w:noProof/>
          <w:color w:val="000000" w:themeColor="text1"/>
          <w:szCs w:val="24"/>
        </w:rPr>
        <w:t xml:space="preserve"> the European Investment Bank and the European Investment Fund</w:t>
      </w:r>
    </w:p>
    <w:p w14:paraId="2C92192E" w14:textId="77777777" w:rsidR="007966CD" w:rsidRPr="004C70EC" w:rsidRDefault="007966CD">
      <w:pPr>
        <w:pStyle w:val="ListDash2"/>
        <w:rPr>
          <w:noProof/>
          <w:color w:val="000000" w:themeColor="text1"/>
          <w:szCs w:val="24"/>
        </w:rPr>
      </w:pPr>
      <w:r w:rsidRPr="004C70EC">
        <w:rPr>
          <w:rFonts w:eastAsia="Wingdings"/>
          <w:noProof/>
          <w:color w:val="000000" w:themeColor="text1"/>
          <w:szCs w:val="24"/>
        </w:rPr>
        <w:t>¨</w:t>
      </w:r>
      <w:r w:rsidRPr="004C70EC">
        <w:rPr>
          <w:noProof/>
          <w:color w:val="000000" w:themeColor="text1"/>
          <w:szCs w:val="24"/>
        </w:rPr>
        <w:t xml:space="preserve"> bodies referred to in Articles 70 and 71 of the Financial Regulation</w:t>
      </w:r>
    </w:p>
    <w:p w14:paraId="7BDCCFE0" w14:textId="77777777" w:rsidR="007966CD" w:rsidRPr="004C70EC" w:rsidRDefault="007966CD">
      <w:pPr>
        <w:pStyle w:val="ListDash2"/>
        <w:rPr>
          <w:noProof/>
          <w:color w:val="000000" w:themeColor="text1"/>
          <w:szCs w:val="24"/>
        </w:rPr>
      </w:pPr>
      <w:r w:rsidRPr="004C70EC">
        <w:rPr>
          <w:rFonts w:eastAsia="Wingdings"/>
          <w:noProof/>
          <w:color w:val="000000" w:themeColor="text1"/>
          <w:szCs w:val="24"/>
        </w:rPr>
        <w:t>¨</w:t>
      </w:r>
      <w:r w:rsidRPr="004C70EC">
        <w:rPr>
          <w:noProof/>
          <w:color w:val="000000" w:themeColor="text1"/>
          <w:szCs w:val="24"/>
        </w:rPr>
        <w:t xml:space="preserve"> public law bodies</w:t>
      </w:r>
    </w:p>
    <w:p w14:paraId="611FC03B" w14:textId="77777777" w:rsidR="007966CD" w:rsidRPr="004C70EC" w:rsidRDefault="007966CD">
      <w:pPr>
        <w:pStyle w:val="ListDash2"/>
        <w:rPr>
          <w:noProof/>
          <w:color w:val="000000" w:themeColor="text1"/>
          <w:szCs w:val="24"/>
        </w:rPr>
      </w:pPr>
      <w:r w:rsidRPr="004C70EC">
        <w:rPr>
          <w:rFonts w:ascii="Wingdings" w:eastAsia="Wingdings" w:hAnsi="Wingdings" w:cs="Wingdings"/>
          <w:noProof/>
          <w:sz w:val="22"/>
        </w:rPr>
        <w:t></w:t>
      </w:r>
      <w:r w:rsidRPr="004C70EC">
        <w:rPr>
          <w:noProof/>
          <w:color w:val="000000" w:themeColor="text1"/>
          <w:szCs w:val="24"/>
        </w:rPr>
        <w:t xml:space="preserve"> bodies governed by private law with a public service mission to the extent that they are provided with adequate financial guarantees</w:t>
      </w:r>
    </w:p>
    <w:p w14:paraId="1A1E7B04" w14:textId="77777777" w:rsidR="007966CD" w:rsidRPr="004C70EC" w:rsidRDefault="007966CD">
      <w:pPr>
        <w:pStyle w:val="ListDash2"/>
        <w:rPr>
          <w:noProof/>
          <w:color w:val="000000" w:themeColor="text1"/>
          <w:szCs w:val="24"/>
        </w:rPr>
      </w:pPr>
      <w:r w:rsidRPr="004C70EC">
        <w:rPr>
          <w:rFonts w:ascii="Wingdings" w:eastAsia="Wingdings" w:hAnsi="Wingdings" w:cs="Wingdings"/>
          <w:noProof/>
          <w:sz w:val="22"/>
        </w:rPr>
        <w:t></w:t>
      </w:r>
      <w:r w:rsidRPr="004C70EC">
        <w:rPr>
          <w:noProof/>
          <w:color w:val="000000" w:themeColor="text1"/>
          <w:szCs w:val="24"/>
        </w:rPr>
        <w:t xml:space="preserve"> bodies governed by the private law of a Member State that are entrusted with the implementation of a public-private partnership and that are provided with adequate financial guarantees</w:t>
      </w:r>
    </w:p>
    <w:p w14:paraId="1E620B4B" w14:textId="77777777" w:rsidR="007966CD" w:rsidRPr="004C70EC" w:rsidRDefault="007966CD">
      <w:pPr>
        <w:pStyle w:val="ListDash2"/>
        <w:rPr>
          <w:noProof/>
          <w:color w:val="000000" w:themeColor="text1"/>
          <w:szCs w:val="24"/>
        </w:rPr>
      </w:pPr>
      <w:r w:rsidRPr="004C70EC">
        <w:rPr>
          <w:rFonts w:eastAsia="Wingdings"/>
          <w:noProof/>
          <w:color w:val="000000" w:themeColor="text1"/>
          <w:szCs w:val="24"/>
        </w:rPr>
        <w:t>¨</w:t>
      </w:r>
      <w:r w:rsidRPr="004C70EC">
        <w:rPr>
          <w:noProof/>
          <w:color w:val="000000" w:themeColor="text1"/>
          <w:szCs w:val="24"/>
        </w:rPr>
        <w:t xml:space="preserve"> bodies or persons entrusted with the implementation of specific actions in the common foreign and security policy pursuant to Title V of the Treaty on European Union, and identified in the relevant basic act</w:t>
      </w:r>
    </w:p>
    <w:p w14:paraId="3257F09F" w14:textId="77777777" w:rsidR="007966CD" w:rsidRPr="004C70EC" w:rsidRDefault="007966CD">
      <w:pPr>
        <w:pStyle w:val="ListDash2"/>
        <w:rPr>
          <w:noProof/>
          <w:color w:val="000000" w:themeColor="text1"/>
          <w:szCs w:val="24"/>
        </w:rPr>
      </w:pPr>
      <w:r w:rsidRPr="004C70EC">
        <w:rPr>
          <w:rFonts w:ascii="Wingdings" w:eastAsia="Wingdings" w:hAnsi="Wingdings" w:cs="Wingdings"/>
          <w:noProof/>
          <w:sz w:val="22"/>
        </w:rPr>
        <w:t></w:t>
      </w:r>
      <w:r w:rsidRPr="004C70EC">
        <w:rPr>
          <w:rFonts w:eastAsia="Wingdings"/>
          <w:noProof/>
          <w:color w:val="000000" w:themeColor="text1"/>
          <w:szCs w:val="24"/>
        </w:rPr>
        <w:t xml:space="preserve"> </w:t>
      </w:r>
      <w:r w:rsidRPr="004C70EC">
        <w:rPr>
          <w:noProof/>
          <w:color w:val="000000" w:themeColor="text1"/>
          <w:szCs w:val="24"/>
        </w:rPr>
        <w:t xml:space="preserve">bodies established in a Member State, governed by the private law of a Member State or Union law and eligible to be entrusted, in accordance with sector-specific rules, with the implementation of Union funds or budgetary guarantees, to the extent that such bodies are controlled by public law bodies or by bodies governed by private law with a public service mission, and are provided with adequate financial guarantees in the form of joint and several </w:t>
      </w:r>
      <w:r w:rsidR="005266C6" w:rsidRPr="004C70EC">
        <w:rPr>
          <w:noProof/>
          <w:color w:val="000000" w:themeColor="text1"/>
          <w:szCs w:val="24"/>
        </w:rPr>
        <w:t xml:space="preserve">Soho </w:t>
      </w:r>
      <w:r w:rsidRPr="004C70EC">
        <w:rPr>
          <w:noProof/>
          <w:color w:val="000000" w:themeColor="text1"/>
          <w:szCs w:val="24"/>
        </w:rPr>
        <w:t>by the controlling bodies or equivalent financial guarantees and which may be, for each action, limited to the maximum amount of the Union support.</w:t>
      </w:r>
    </w:p>
    <w:p w14:paraId="72B6DC53" w14:textId="77777777" w:rsidR="007966CD" w:rsidRPr="004C70EC" w:rsidRDefault="007966CD">
      <w:pPr>
        <w:rPr>
          <w:noProof/>
          <w:color w:val="000000" w:themeColor="text1"/>
          <w:szCs w:val="24"/>
        </w:rPr>
      </w:pPr>
      <w:r w:rsidRPr="004C70EC">
        <w:rPr>
          <w:noProof/>
          <w:color w:val="000000" w:themeColor="text1"/>
          <w:szCs w:val="24"/>
        </w:rPr>
        <w:t>Comments:</w:t>
      </w:r>
    </w:p>
    <w:p w14:paraId="6C2F50D0" w14:textId="77777777" w:rsidR="007966CD" w:rsidRPr="004C70EC" w:rsidRDefault="007966CD">
      <w:pPr>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The proposal envisions two main vehicles for biotech</w:t>
      </w:r>
      <w:r w:rsidR="417DCD6D" w:rsidRPr="004C70EC">
        <w:rPr>
          <w:noProof/>
          <w:color w:val="000000" w:themeColor="text1"/>
          <w:szCs w:val="24"/>
        </w:rPr>
        <w:t>nology</w:t>
      </w:r>
      <w:r w:rsidRPr="004C70EC">
        <w:rPr>
          <w:noProof/>
          <w:color w:val="000000" w:themeColor="text1"/>
          <w:szCs w:val="24"/>
        </w:rPr>
        <w:t xml:space="preserve"> investment in the EU:</w:t>
      </w:r>
    </w:p>
    <w:p w14:paraId="6E3C34B8" w14:textId="77777777" w:rsidR="007966CD" w:rsidRPr="004C70EC" w:rsidRDefault="007966CD">
      <w:pPr>
        <w:pBdr>
          <w:top w:val="single" w:sz="4" w:space="1" w:color="auto"/>
          <w:left w:val="single" w:sz="4" w:space="4" w:color="auto"/>
          <w:bottom w:val="single" w:sz="4" w:space="1" w:color="auto"/>
          <w:right w:val="single" w:sz="4" w:space="4" w:color="auto"/>
        </w:pBdr>
        <w:rPr>
          <w:b/>
          <w:bCs/>
          <w:noProof/>
          <w:color w:val="000000" w:themeColor="text1"/>
          <w:szCs w:val="24"/>
        </w:rPr>
      </w:pPr>
      <w:r w:rsidRPr="004C70EC">
        <w:rPr>
          <w:b/>
          <w:bCs/>
          <w:noProof/>
          <w:color w:val="000000" w:themeColor="text1"/>
          <w:szCs w:val="24"/>
        </w:rPr>
        <w:t xml:space="preserve">Support to High Impact </w:t>
      </w:r>
      <w:r w:rsidR="008172A9" w:rsidRPr="004C70EC">
        <w:rPr>
          <w:rFonts w:eastAsia="Times New Roman"/>
          <w:b/>
          <w:noProof/>
          <w:color w:val="000000" w:themeColor="text1"/>
          <w:lang w:val="en-IE" w:eastAsia="de-DE"/>
        </w:rPr>
        <w:t xml:space="preserve">Health </w:t>
      </w:r>
      <w:r w:rsidRPr="004C70EC">
        <w:rPr>
          <w:b/>
          <w:bCs/>
          <w:noProof/>
          <w:color w:val="000000" w:themeColor="text1"/>
          <w:szCs w:val="24"/>
        </w:rPr>
        <w:t>Biotechnology Strategic Projects</w:t>
      </w:r>
    </w:p>
    <w:p w14:paraId="16BF6C1C" w14:textId="77777777" w:rsidR="007966CD" w:rsidRPr="004C70EC" w:rsidRDefault="007966CD">
      <w:pPr>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High Impact </w:t>
      </w:r>
      <w:r w:rsidR="003579F0" w:rsidRPr="004C70EC">
        <w:rPr>
          <w:noProof/>
          <w:color w:val="000000" w:themeColor="text1"/>
          <w:szCs w:val="24"/>
        </w:rPr>
        <w:t xml:space="preserve">Health Biotechnology </w:t>
      </w:r>
      <w:r w:rsidRPr="004C70EC">
        <w:rPr>
          <w:noProof/>
          <w:color w:val="000000" w:themeColor="text1"/>
          <w:szCs w:val="24"/>
        </w:rPr>
        <w:t>Strategic projects will boost the European ecosystem by expanding shared pilot facilities open to SMEs and academia alike, financially supporting Member State innovation procurement to create predictable demand for innovative products,  and harnessing the potential of data and AI for Biotech</w:t>
      </w:r>
      <w:r w:rsidR="5E1F3475" w:rsidRPr="004C70EC">
        <w:rPr>
          <w:noProof/>
          <w:color w:val="000000" w:themeColor="text1"/>
          <w:szCs w:val="24"/>
        </w:rPr>
        <w:t>nology</w:t>
      </w:r>
      <w:r w:rsidRPr="004C70EC">
        <w:rPr>
          <w:noProof/>
          <w:color w:val="000000" w:themeColor="text1"/>
          <w:szCs w:val="24"/>
        </w:rPr>
        <w:t xml:space="preserve"> </w:t>
      </w:r>
    </w:p>
    <w:p w14:paraId="48A32BFD" w14:textId="0BAD1AE8" w:rsidR="007966CD" w:rsidRPr="004C70EC" w:rsidRDefault="007966CD">
      <w:pPr>
        <w:pBdr>
          <w:top w:val="single" w:sz="4" w:space="1" w:color="auto"/>
          <w:left w:val="single" w:sz="4" w:space="4" w:color="auto"/>
          <w:bottom w:val="single" w:sz="4" w:space="1" w:color="auto"/>
          <w:right w:val="single" w:sz="4" w:space="4" w:color="auto"/>
        </w:pBdr>
        <w:rPr>
          <w:b/>
          <w:bCs/>
          <w:noProof/>
          <w:color w:val="000000" w:themeColor="text1"/>
          <w:szCs w:val="24"/>
        </w:rPr>
      </w:pPr>
      <w:r w:rsidRPr="004C70EC">
        <w:rPr>
          <w:b/>
          <w:bCs/>
          <w:noProof/>
          <w:color w:val="000000" w:themeColor="text1"/>
          <w:szCs w:val="24"/>
        </w:rPr>
        <w:t>A Biotech</w:t>
      </w:r>
      <w:r w:rsidR="077E87D3" w:rsidRPr="004C70EC">
        <w:rPr>
          <w:b/>
          <w:bCs/>
          <w:noProof/>
          <w:color w:val="000000" w:themeColor="text1"/>
          <w:szCs w:val="24"/>
        </w:rPr>
        <w:t>nology</w:t>
      </w:r>
      <w:r w:rsidRPr="004C70EC">
        <w:rPr>
          <w:b/>
          <w:bCs/>
          <w:noProof/>
          <w:color w:val="000000" w:themeColor="text1"/>
          <w:szCs w:val="24"/>
        </w:rPr>
        <w:t xml:space="preserve"> Investment </w:t>
      </w:r>
      <w:r>
        <w:rPr>
          <w:b/>
          <w:bCs/>
          <w:noProof/>
          <w:color w:val="000000" w:themeColor="text1"/>
          <w:szCs w:val="24"/>
        </w:rPr>
        <w:t>Pilot</w:t>
      </w:r>
    </w:p>
    <w:p w14:paraId="36DB5D21" w14:textId="2B5E4501" w:rsidR="007966CD" w:rsidRPr="004C70EC" w:rsidRDefault="007966CD">
      <w:pPr>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The </w:t>
      </w:r>
      <w:r>
        <w:rPr>
          <w:noProof/>
          <w:color w:val="000000" w:themeColor="text1"/>
          <w:szCs w:val="24"/>
        </w:rPr>
        <w:t>Pilot</w:t>
      </w:r>
      <w:r w:rsidRPr="004C70EC">
        <w:rPr>
          <w:noProof/>
          <w:color w:val="000000" w:themeColor="text1"/>
          <w:szCs w:val="24"/>
        </w:rPr>
        <w:t xml:space="preserve">  </w:t>
      </w:r>
      <w:r w:rsidR="00CC6DA9" w:rsidRPr="004C70EC">
        <w:rPr>
          <w:noProof/>
          <w:color w:val="000000" w:themeColor="text1"/>
          <w:szCs w:val="24"/>
        </w:rPr>
        <w:t>aims to</w:t>
      </w:r>
      <w:r w:rsidRPr="004C70EC">
        <w:rPr>
          <w:noProof/>
          <w:color w:val="000000" w:themeColor="text1"/>
          <w:szCs w:val="24"/>
        </w:rPr>
        <w:t xml:space="preserve"> provide a full lifecycle approach to biotech</w:t>
      </w:r>
      <w:r w:rsidR="6C7D96F5" w:rsidRPr="004C70EC">
        <w:rPr>
          <w:noProof/>
          <w:color w:val="000000" w:themeColor="text1"/>
          <w:szCs w:val="24"/>
        </w:rPr>
        <w:t>nology</w:t>
      </w:r>
      <w:r w:rsidRPr="004C70EC">
        <w:rPr>
          <w:noProof/>
          <w:color w:val="000000" w:themeColor="text1"/>
          <w:szCs w:val="24"/>
        </w:rPr>
        <w:t xml:space="preserve"> finance by supporting both </w:t>
      </w:r>
      <w:r w:rsidR="00F76D0C" w:rsidRPr="004C70EC">
        <w:rPr>
          <w:noProof/>
          <w:color w:val="000000" w:themeColor="text1"/>
          <w:szCs w:val="24"/>
        </w:rPr>
        <w:t>the intermediate equity</w:t>
      </w:r>
      <w:r w:rsidRPr="004C70EC">
        <w:rPr>
          <w:noProof/>
          <w:color w:val="000000" w:themeColor="text1"/>
          <w:szCs w:val="24"/>
        </w:rPr>
        <w:t xml:space="preserve"> approach for biotech</w:t>
      </w:r>
      <w:r w:rsidR="03784CE1" w:rsidRPr="004C70EC">
        <w:rPr>
          <w:noProof/>
          <w:color w:val="000000" w:themeColor="text1"/>
          <w:szCs w:val="24"/>
        </w:rPr>
        <w:t>nology</w:t>
      </w:r>
      <w:r w:rsidRPr="004C70EC">
        <w:rPr>
          <w:noProof/>
          <w:color w:val="000000" w:themeColor="text1"/>
          <w:szCs w:val="24"/>
        </w:rPr>
        <w:t xml:space="preserve"> equity investments and venture loans into the sector. </w:t>
      </w:r>
      <w:r w:rsidR="00A7714F" w:rsidRPr="004C70EC">
        <w:rPr>
          <w:noProof/>
          <w:color w:val="000000" w:themeColor="text1"/>
          <w:szCs w:val="24"/>
        </w:rPr>
        <w:t>This would enable</w:t>
      </w:r>
      <w:r w:rsidRPr="004C70EC">
        <w:rPr>
          <w:noProof/>
          <w:color w:val="000000" w:themeColor="text1"/>
          <w:szCs w:val="24"/>
        </w:rPr>
        <w:t xml:space="preserve"> European innovators to move from discovery to industrial scale by bridging the most capital-intensive stages of development. A company may, for instance, start with early-stage backing from a VC fund, then access tailored venture loans to build production capacity, securing co-investment along the financing journey. By linking these steps, the </w:t>
      </w:r>
      <w:r>
        <w:rPr>
          <w:noProof/>
          <w:color w:val="000000" w:themeColor="text1"/>
          <w:szCs w:val="24"/>
        </w:rPr>
        <w:t>Pilot</w:t>
      </w:r>
      <w:r w:rsidRPr="004C70EC">
        <w:rPr>
          <w:noProof/>
          <w:color w:val="000000" w:themeColor="text1"/>
          <w:szCs w:val="24"/>
        </w:rPr>
        <w:t xml:space="preserve"> ensures that Europe’s biotech</w:t>
      </w:r>
      <w:r w:rsidR="1DF4F0F5" w:rsidRPr="004C70EC">
        <w:rPr>
          <w:noProof/>
          <w:color w:val="000000" w:themeColor="text1"/>
          <w:szCs w:val="24"/>
        </w:rPr>
        <w:t>nology</w:t>
      </w:r>
      <w:r w:rsidRPr="004C70EC">
        <w:rPr>
          <w:noProof/>
          <w:color w:val="000000" w:themeColor="text1"/>
          <w:szCs w:val="24"/>
        </w:rPr>
        <w:t xml:space="preserve"> champions can grow, manufacture and stay anchored in Europe.</w:t>
      </w:r>
    </w:p>
    <w:p w14:paraId="18909B20" w14:textId="77777777" w:rsidR="007966CD" w:rsidRPr="004C70EC" w:rsidRDefault="007966CD">
      <w:pPr>
        <w:pBdr>
          <w:top w:val="single" w:sz="4" w:space="1" w:color="auto"/>
          <w:left w:val="single" w:sz="4" w:space="4" w:color="auto"/>
          <w:bottom w:val="single" w:sz="4" w:space="1" w:color="auto"/>
          <w:right w:val="single" w:sz="4" w:space="4" w:color="auto"/>
        </w:pBdr>
        <w:rPr>
          <w:noProof/>
          <w:color w:val="000000" w:themeColor="text1"/>
          <w:szCs w:val="24"/>
        </w:rPr>
      </w:pPr>
    </w:p>
    <w:p w14:paraId="7E9BCFD2" w14:textId="77777777" w:rsidR="007966CD" w:rsidRPr="004C70EC" w:rsidRDefault="007966CD">
      <w:pPr>
        <w:spacing w:after="200" w:line="276" w:lineRule="auto"/>
        <w:rPr>
          <w:noProof/>
          <w:color w:val="000000" w:themeColor="text1"/>
          <w:szCs w:val="24"/>
        </w:rPr>
        <w:sectPr w:rsidR="007966CD" w:rsidRPr="004C70EC" w:rsidSect="007A289E">
          <w:footnotePr>
            <w:numRestart w:val="eachSect"/>
          </w:footnotePr>
          <w:pgSz w:w="11907" w:h="16840" w:code="9"/>
          <w:pgMar w:top="1134" w:right="1418" w:bottom="1134" w:left="1418" w:header="709" w:footer="709" w:gutter="0"/>
          <w:cols w:space="708"/>
          <w:docGrid w:linePitch="360"/>
        </w:sectPr>
      </w:pPr>
    </w:p>
    <w:p w14:paraId="3A80AA25" w14:textId="77777777" w:rsidR="007966CD" w:rsidRPr="004C70EC" w:rsidRDefault="007966CD">
      <w:pPr>
        <w:pStyle w:val="ManualHeading1"/>
        <w:rPr>
          <w:noProof/>
          <w:color w:val="000000" w:themeColor="text1"/>
          <w:szCs w:val="24"/>
        </w:rPr>
      </w:pPr>
      <w:bookmarkStart w:id="56" w:name="_TocBF441B7996C54049BFC3FC9AE2499EEE"/>
      <w:r w:rsidRPr="004C70EC">
        <w:rPr>
          <w:noProof/>
          <w:color w:val="000000" w:themeColor="text1"/>
          <w:szCs w:val="24"/>
        </w:rPr>
        <w:t>2.</w:t>
      </w:r>
      <w:r w:rsidRPr="004C70EC">
        <w:rPr>
          <w:noProof/>
          <w:color w:val="000000" w:themeColor="text1"/>
          <w:szCs w:val="24"/>
        </w:rPr>
        <w:tab/>
        <w:t xml:space="preserve">MANAGEMENT MEASURES </w:t>
      </w:r>
      <w:bookmarkEnd w:id="56"/>
    </w:p>
    <w:p w14:paraId="750C14D8" w14:textId="77777777" w:rsidR="007966CD" w:rsidRPr="004C70EC" w:rsidRDefault="007966CD">
      <w:pPr>
        <w:pStyle w:val="ManualHeading2"/>
        <w:rPr>
          <w:noProof/>
          <w:color w:val="000000" w:themeColor="text1"/>
          <w:szCs w:val="24"/>
        </w:rPr>
      </w:pPr>
      <w:bookmarkStart w:id="57" w:name="_Toc801AE4A8CB0D42C1948C62F241605B2B"/>
      <w:r w:rsidRPr="004C70EC">
        <w:rPr>
          <w:noProof/>
          <w:color w:val="000000" w:themeColor="text1"/>
          <w:szCs w:val="24"/>
        </w:rPr>
        <w:t>2.1.</w:t>
      </w:r>
      <w:r w:rsidRPr="004C70EC">
        <w:rPr>
          <w:noProof/>
          <w:color w:val="000000" w:themeColor="text1"/>
          <w:szCs w:val="24"/>
        </w:rPr>
        <w:tab/>
        <w:t xml:space="preserve">Monitoring and reporting rules </w:t>
      </w:r>
      <w:bookmarkEnd w:id="57"/>
    </w:p>
    <w:p w14:paraId="6B88A6A4" w14:textId="77777777" w:rsidR="007966CD" w:rsidRPr="004C70EC" w:rsidRDefault="007966CD" w:rsidP="00865273">
      <w:pPr>
        <w:pBdr>
          <w:top w:val="single" w:sz="4" w:space="1" w:color="auto"/>
          <w:left w:val="single" w:sz="4" w:space="4" w:color="auto"/>
          <w:bottom w:val="single" w:sz="4" w:space="1" w:color="auto"/>
          <w:right w:val="single" w:sz="4" w:space="4" w:color="auto"/>
        </w:pBdr>
        <w:ind w:left="720"/>
        <w:rPr>
          <w:rFonts w:eastAsia="Times New Roman"/>
          <w:noProof/>
          <w:color w:val="000000" w:themeColor="text1"/>
          <w:szCs w:val="24"/>
        </w:rPr>
      </w:pPr>
      <w:r w:rsidRPr="004C70EC">
        <w:rPr>
          <w:rFonts w:eastAsia="Times New Roman"/>
          <w:noProof/>
          <w:color w:val="000000" w:themeColor="text1"/>
          <w:szCs w:val="24"/>
        </w:rPr>
        <w:t>The proposal relies on existing legislations and initiatives in the European Commission and the European Medicines Agency, which will facilitate monitoring of several indicators. For these, continuous data/information will be available.</w:t>
      </w:r>
    </w:p>
    <w:p w14:paraId="746DCB4D" w14:textId="77777777" w:rsidR="00314142" w:rsidRPr="004C70EC" w:rsidRDefault="006F6287" w:rsidP="00431990">
      <w:pPr>
        <w:pBdr>
          <w:top w:val="single" w:sz="4" w:space="1" w:color="auto"/>
          <w:left w:val="single" w:sz="4" w:space="4" w:color="auto"/>
          <w:bottom w:val="single" w:sz="4" w:space="1" w:color="auto"/>
          <w:right w:val="single" w:sz="4" w:space="4" w:color="auto"/>
        </w:pBdr>
        <w:ind w:left="720"/>
        <w:rPr>
          <w:rFonts w:eastAsia="Times New Roman"/>
          <w:noProof/>
          <w:color w:val="000000" w:themeColor="text1"/>
          <w:szCs w:val="24"/>
        </w:rPr>
      </w:pPr>
      <w:r w:rsidRPr="004C70EC">
        <w:rPr>
          <w:rFonts w:eastAsia="Times New Roman"/>
          <w:noProof/>
          <w:color w:val="000000" w:themeColor="text1"/>
          <w:szCs w:val="24"/>
        </w:rPr>
        <w:t xml:space="preserve">In addition, </w:t>
      </w:r>
      <w:r w:rsidRPr="004C70EC">
        <w:rPr>
          <w:rFonts w:eastAsia="Times New Roman"/>
          <w:noProof/>
          <w:color w:val="000000" w:themeColor="text1"/>
          <w:szCs w:val="24"/>
          <w:bdr w:val="nil"/>
          <w:lang w:val="en-US" w:eastAsia="en-GB"/>
        </w:rPr>
        <w:t>five years after the Regulation’s entry into application, and every five years thereafter, the Commission will evaluate its implementation, effectiveness and impact</w:t>
      </w:r>
      <w:r w:rsidR="00476FE0" w:rsidRPr="004C70EC">
        <w:rPr>
          <w:rFonts w:eastAsia="Times New Roman"/>
          <w:noProof/>
          <w:color w:val="000000" w:themeColor="text1"/>
          <w:szCs w:val="24"/>
          <w:bdr w:val="nil"/>
          <w:lang w:val="en-US" w:eastAsia="en-GB"/>
        </w:rPr>
        <w:t>.</w:t>
      </w:r>
    </w:p>
    <w:p w14:paraId="331D2E34" w14:textId="77777777" w:rsidR="007966CD" w:rsidRPr="004C70EC" w:rsidRDefault="007966CD">
      <w:pPr>
        <w:pStyle w:val="ManualHeading2"/>
        <w:rPr>
          <w:bCs/>
          <w:noProof/>
          <w:color w:val="000000" w:themeColor="text1"/>
          <w:szCs w:val="24"/>
        </w:rPr>
      </w:pPr>
      <w:bookmarkStart w:id="58" w:name="_TocD0E148C6EA4A4B2DAC4ADAB19E619A38"/>
      <w:r w:rsidRPr="004C70EC">
        <w:rPr>
          <w:noProof/>
          <w:color w:val="000000" w:themeColor="text1"/>
          <w:szCs w:val="24"/>
        </w:rPr>
        <w:t>2.2.</w:t>
      </w:r>
      <w:r w:rsidRPr="004C70EC">
        <w:rPr>
          <w:noProof/>
          <w:color w:val="000000" w:themeColor="text1"/>
          <w:szCs w:val="24"/>
        </w:rPr>
        <w:tab/>
        <w:t xml:space="preserve">Management and control system(s) </w:t>
      </w:r>
      <w:bookmarkEnd w:id="58"/>
    </w:p>
    <w:p w14:paraId="018243A8" w14:textId="77777777" w:rsidR="007966CD" w:rsidRPr="004C70EC" w:rsidRDefault="007966CD">
      <w:pPr>
        <w:pStyle w:val="ManualHeading3"/>
        <w:rPr>
          <w:noProof/>
          <w:color w:val="000000" w:themeColor="text1"/>
          <w:szCs w:val="24"/>
        </w:rPr>
      </w:pPr>
      <w:bookmarkStart w:id="59" w:name="_TocAE87DAA0E59B42AB8D4580FE8491E18C"/>
      <w:r w:rsidRPr="004C70EC">
        <w:rPr>
          <w:noProof/>
          <w:color w:val="000000" w:themeColor="text1"/>
          <w:szCs w:val="24"/>
        </w:rPr>
        <w:t>2.2.1.</w:t>
      </w:r>
      <w:r w:rsidRPr="004C70EC">
        <w:rPr>
          <w:noProof/>
          <w:color w:val="000000" w:themeColor="text1"/>
          <w:szCs w:val="24"/>
        </w:rPr>
        <w:tab/>
        <w:t>Justification of the budget implementation method(s), the funding implementation mechanism(s), the payment modalities and the control strategy proposed</w:t>
      </w:r>
      <w:bookmarkEnd w:id="59"/>
    </w:p>
    <w:p w14:paraId="7D6A316F" w14:textId="77777777" w:rsidR="007966CD" w:rsidRPr="004C70EC" w:rsidRDefault="007966CD">
      <w:pPr>
        <w:pBdr>
          <w:top w:val="single" w:sz="4" w:space="1" w:color="auto"/>
          <w:left w:val="single" w:sz="4" w:space="4" w:color="auto"/>
          <w:bottom w:val="single" w:sz="4" w:space="1" w:color="auto"/>
          <w:right w:val="single" w:sz="4" w:space="4" w:color="auto"/>
        </w:pBdr>
        <w:ind w:left="720"/>
        <w:rPr>
          <w:rFonts w:eastAsia="Times New Roman"/>
          <w:noProof/>
          <w:color w:val="000000" w:themeColor="text1"/>
          <w:szCs w:val="24"/>
        </w:rPr>
      </w:pPr>
      <w:r w:rsidRPr="004C70EC">
        <w:rPr>
          <w:rFonts w:eastAsia="Times New Roman"/>
          <w:noProof/>
          <w:color w:val="000000" w:themeColor="text1"/>
          <w:szCs w:val="24"/>
        </w:rPr>
        <w:t>The actions for establishing a framework of measures for strengthening Europe's biotechnology and biomanufacturing sector will be implemented through direct and indirect management, using the implementation modes offered by the Financial Regulation, mainly being grants and procurement for the direct management mode. Direct management allows to establish grant agreements/contracts with beneficiaries/contractors directly engaged in activities that serve Union policies. The Commission ensures direct monitoring over the outcome of the actions financed. The payment modalities of the actions funded will be adapted to the risks pertaining to the financial transactions.</w:t>
      </w:r>
    </w:p>
    <w:p w14:paraId="6DF7725F" w14:textId="77777777" w:rsidR="00BC03A4" w:rsidRPr="004C70EC" w:rsidRDefault="00BC03A4" w:rsidP="00BC03A4">
      <w:pPr>
        <w:pBdr>
          <w:top w:val="single" w:sz="4" w:space="1" w:color="auto"/>
          <w:left w:val="single" w:sz="4" w:space="4" w:color="auto"/>
          <w:bottom w:val="single" w:sz="4" w:space="1" w:color="auto"/>
          <w:right w:val="single" w:sz="4" w:space="4" w:color="auto"/>
        </w:pBdr>
        <w:ind w:left="720"/>
        <w:rPr>
          <w:rFonts w:eastAsia="Times New Roman"/>
          <w:noProof/>
          <w:color w:val="000000" w:themeColor="text1"/>
          <w:szCs w:val="24"/>
        </w:rPr>
      </w:pPr>
      <w:r w:rsidRPr="004C70EC">
        <w:rPr>
          <w:rFonts w:eastAsia="Times New Roman"/>
          <w:noProof/>
          <w:color w:val="000000" w:themeColor="text1"/>
          <w:szCs w:val="24"/>
        </w:rPr>
        <w:t>In order to ensure the effectiveness, efficiency and economy of the Commission controls, the control strategy will be oriented towards a balance of ex-ante and ex-post checks and focus on three key stages of grant/contract implementation, in accordance with the Financial Regulation and/ or the specific contractual provisions:</w:t>
      </w:r>
    </w:p>
    <w:p w14:paraId="48EBA66A" w14:textId="77777777" w:rsidR="00BC03A4" w:rsidRPr="004C70EC" w:rsidRDefault="00BC03A4" w:rsidP="00BC03A4">
      <w:pPr>
        <w:pBdr>
          <w:top w:val="single" w:sz="4" w:space="1" w:color="auto"/>
          <w:left w:val="single" w:sz="4" w:space="4" w:color="auto"/>
          <w:bottom w:val="single" w:sz="4" w:space="1" w:color="auto"/>
          <w:right w:val="single" w:sz="4" w:space="4" w:color="auto"/>
        </w:pBdr>
        <w:ind w:left="720"/>
        <w:rPr>
          <w:rFonts w:eastAsia="Times New Roman"/>
          <w:noProof/>
          <w:color w:val="000000" w:themeColor="text1"/>
          <w:szCs w:val="24"/>
        </w:rPr>
      </w:pPr>
      <w:r w:rsidRPr="004C70EC">
        <w:rPr>
          <w:rFonts w:eastAsia="Times New Roman"/>
          <w:noProof/>
          <w:color w:val="000000" w:themeColor="text1"/>
          <w:szCs w:val="24"/>
        </w:rPr>
        <w:t>- Selection of proposals/award the contract to tenders that fit the policy objectives;</w:t>
      </w:r>
    </w:p>
    <w:p w14:paraId="135C0CBF" w14:textId="77777777" w:rsidR="00BC03A4" w:rsidRPr="004C70EC" w:rsidRDefault="00BC03A4" w:rsidP="00BC03A4">
      <w:pPr>
        <w:pBdr>
          <w:top w:val="single" w:sz="4" w:space="1" w:color="auto"/>
          <w:left w:val="single" w:sz="4" w:space="4" w:color="auto"/>
          <w:bottom w:val="single" w:sz="4" w:space="1" w:color="auto"/>
          <w:right w:val="single" w:sz="4" w:space="4" w:color="auto"/>
        </w:pBdr>
        <w:ind w:left="720"/>
        <w:rPr>
          <w:rFonts w:eastAsia="Times New Roman"/>
          <w:noProof/>
          <w:color w:val="000000" w:themeColor="text1"/>
          <w:szCs w:val="24"/>
        </w:rPr>
      </w:pPr>
      <w:r w:rsidRPr="004C70EC">
        <w:rPr>
          <w:rFonts w:eastAsia="Times New Roman"/>
          <w:noProof/>
          <w:color w:val="000000" w:themeColor="text1"/>
          <w:szCs w:val="24"/>
        </w:rPr>
        <w:t xml:space="preserve">- Operational, monitoring and (ex ante)  technical desk reviews that cover project implementation, public procurement, pre-financing, interim and final payments, management of guarantees; </w:t>
      </w:r>
    </w:p>
    <w:p w14:paraId="4D61C5DD" w14:textId="77777777" w:rsidR="00BC03A4" w:rsidRPr="004C70EC" w:rsidRDefault="00BC03A4" w:rsidP="00BC03A4">
      <w:pPr>
        <w:pBdr>
          <w:top w:val="single" w:sz="4" w:space="1" w:color="auto"/>
          <w:left w:val="single" w:sz="4" w:space="4" w:color="auto"/>
          <w:bottom w:val="single" w:sz="4" w:space="1" w:color="auto"/>
          <w:right w:val="single" w:sz="4" w:space="4" w:color="auto"/>
        </w:pBdr>
        <w:ind w:left="720"/>
        <w:rPr>
          <w:rFonts w:eastAsia="Times New Roman"/>
          <w:noProof/>
          <w:color w:val="000000" w:themeColor="text1"/>
          <w:szCs w:val="24"/>
        </w:rPr>
      </w:pPr>
      <w:r w:rsidRPr="004C70EC">
        <w:rPr>
          <w:rFonts w:eastAsia="Times New Roman"/>
          <w:noProof/>
          <w:color w:val="000000" w:themeColor="text1"/>
          <w:szCs w:val="24"/>
        </w:rPr>
        <w:t xml:space="preserve">- Ex-post controls at the beneficiaries will also be carried out on a sample of transactions. The selection of these transactions will combine a risk assessment and a random selection. </w:t>
      </w:r>
    </w:p>
    <w:p w14:paraId="3AF09E41" w14:textId="77777777" w:rsidR="007966CD" w:rsidRPr="004C70EC" w:rsidRDefault="007966CD">
      <w:pPr>
        <w:pBdr>
          <w:top w:val="single" w:sz="4" w:space="1" w:color="auto"/>
          <w:left w:val="single" w:sz="4" w:space="4" w:color="auto"/>
          <w:bottom w:val="single" w:sz="4" w:space="1" w:color="auto"/>
          <w:right w:val="single" w:sz="4" w:space="4" w:color="auto"/>
        </w:pBdr>
        <w:ind w:left="720"/>
        <w:rPr>
          <w:rFonts w:eastAsia="Times New Roman"/>
          <w:noProof/>
          <w:color w:val="000000" w:themeColor="text1"/>
          <w:szCs w:val="24"/>
        </w:rPr>
      </w:pPr>
      <w:r w:rsidRPr="004C70EC">
        <w:rPr>
          <w:rFonts w:eastAsia="Times New Roman"/>
          <w:noProof/>
          <w:color w:val="000000" w:themeColor="text1"/>
          <w:szCs w:val="24"/>
        </w:rPr>
        <w:t xml:space="preserve">The annual EU subsidy will be transferred to the Agencies in accordance with their payment needs and upon their requests. The Agencies will be subject to administrative controls including budgetary control, internal audit, annual reports by the European Court of Auditors, the annual discharge for the execution of the </w:t>
      </w:r>
      <w:r w:rsidR="00B028AE" w:rsidRPr="004C70EC">
        <w:rPr>
          <w:rFonts w:eastAsia="Times New Roman"/>
          <w:noProof/>
          <w:color w:val="000000" w:themeColor="text1"/>
          <w:szCs w:val="24"/>
          <w:shd w:val="clear" w:color="auto" w:fill="FFFFFF"/>
          <w:lang w:val="en-IE" w:eastAsia="de-DE"/>
        </w:rPr>
        <w:t xml:space="preserve">Union </w:t>
      </w:r>
      <w:r w:rsidRPr="004C70EC">
        <w:rPr>
          <w:rFonts w:eastAsia="Times New Roman"/>
          <w:noProof/>
          <w:color w:val="000000" w:themeColor="text1"/>
          <w:szCs w:val="24"/>
        </w:rPr>
        <w:t xml:space="preserve">budget and possible investigations conducted by OLAF to ensure, in particular, that the resources allocated to the Agencies are put to proper use. Through its representation in the Agencies' Management Board and Audit Committee, the Commission will receive audit reports and ensures that adequate actions are defined and timely implemented by the Agencies to address the issues identified. All payments will remain pre-financing payments until the Agencies’ accounts have been audited by the European Court of Auditors and the Agencies has submitted its final accounts. If necessary, the Commission will recover unspent amounts of the instalments paid to the Agencies. </w:t>
      </w:r>
    </w:p>
    <w:p w14:paraId="3BF3FDD4" w14:textId="77777777" w:rsidR="00920836" w:rsidRPr="004C70EC" w:rsidRDefault="00920836" w:rsidP="00920836">
      <w:pPr>
        <w:pBdr>
          <w:top w:val="single" w:sz="4" w:space="1" w:color="auto"/>
          <w:left w:val="single" w:sz="4" w:space="4" w:color="auto"/>
          <w:bottom w:val="single" w:sz="4" w:space="1" w:color="auto"/>
          <w:right w:val="single" w:sz="4" w:space="4" w:color="auto"/>
        </w:pBdr>
        <w:ind w:left="720"/>
        <w:rPr>
          <w:rFonts w:eastAsia="Times New Roman"/>
          <w:noProof/>
          <w:color w:val="000000" w:themeColor="text1"/>
          <w:szCs w:val="24"/>
        </w:rPr>
      </w:pPr>
      <w:r w:rsidRPr="004C70EC">
        <w:rPr>
          <w:noProof/>
          <w:color w:val="000000" w:themeColor="text1"/>
          <w:szCs w:val="24"/>
        </w:rPr>
        <w:t xml:space="preserve">For provisions of this Regulation that require long-term coordination and large-scale public and private investment (i.e. for high impact </w:t>
      </w:r>
      <w:r w:rsidR="009D7E28" w:rsidRPr="004C70EC">
        <w:rPr>
          <w:noProof/>
          <w:color w:val="000000" w:themeColor="text1"/>
          <w:szCs w:val="24"/>
        </w:rPr>
        <w:t>health</w:t>
      </w:r>
      <w:r w:rsidRPr="004C70EC">
        <w:rPr>
          <w:noProof/>
          <w:color w:val="000000" w:themeColor="text1"/>
          <w:szCs w:val="24"/>
        </w:rPr>
        <w:t xml:space="preserve"> biotechnology strategic projects), the Commission may propose </w:t>
      </w:r>
      <w:r w:rsidR="005155EE" w:rsidRPr="004C70EC">
        <w:rPr>
          <w:rFonts w:eastAsia="Times New Roman"/>
          <w:noProof/>
          <w:color w:val="000000" w:themeColor="text1"/>
          <w:szCs w:val="24"/>
          <w:lang w:val="en-IE" w:eastAsia="de-DE"/>
        </w:rPr>
        <w:t xml:space="preserve">European Partnerships </w:t>
      </w:r>
      <w:r w:rsidR="005155EE" w:rsidRPr="004C70EC">
        <w:rPr>
          <w:rFonts w:eastAsia="Times New Roman"/>
          <w:noProof/>
          <w:color w:val="000000" w:themeColor="text1"/>
          <w:szCs w:val="24"/>
          <w:lang w:eastAsia="de-DE"/>
        </w:rPr>
        <w:t>where the Union together with private and/or public partners, acting in full compliance with competition rules, commit to jointly supporting the development and implementation of a programme activities, including those related to market, regulatory or policy uptake</w:t>
      </w:r>
      <w:r w:rsidRPr="004C70EC">
        <w:rPr>
          <w:noProof/>
          <w:color w:val="000000" w:themeColor="text1"/>
          <w:szCs w:val="24"/>
        </w:rPr>
        <w:t>.</w:t>
      </w:r>
    </w:p>
    <w:p w14:paraId="1A5D7C2B" w14:textId="77777777" w:rsidR="007966CD" w:rsidRPr="004C70EC" w:rsidRDefault="007966CD">
      <w:pPr>
        <w:pBdr>
          <w:top w:val="single" w:sz="4" w:space="1" w:color="auto"/>
          <w:left w:val="single" w:sz="4" w:space="4" w:color="auto"/>
          <w:bottom w:val="single" w:sz="4" w:space="1" w:color="auto"/>
          <w:right w:val="single" w:sz="4" w:space="4" w:color="auto"/>
        </w:pBdr>
        <w:ind w:left="720"/>
        <w:rPr>
          <w:noProof/>
          <w:color w:val="000000" w:themeColor="text1"/>
          <w:szCs w:val="24"/>
        </w:rPr>
      </w:pPr>
      <w:r w:rsidRPr="004C70EC">
        <w:rPr>
          <w:rFonts w:eastAsia="Times New Roman"/>
          <w:noProof/>
          <w:color w:val="000000" w:themeColor="text1"/>
          <w:szCs w:val="24"/>
        </w:rPr>
        <w:t>The activities of the Agencies will also be subject to the supervision of the Ombudsman in accordance with Article 228 of the Treaty. These administrative controls provide a number of procedural safeguards to ensure that account is taken of the interests of the stakeholders.</w:t>
      </w:r>
    </w:p>
    <w:p w14:paraId="0F714269" w14:textId="77777777" w:rsidR="007966CD" w:rsidRPr="004C70EC" w:rsidRDefault="007966CD">
      <w:pPr>
        <w:pStyle w:val="ManualHeading3"/>
        <w:rPr>
          <w:bCs/>
          <w:noProof/>
          <w:color w:val="000000" w:themeColor="text1"/>
          <w:szCs w:val="24"/>
        </w:rPr>
      </w:pPr>
      <w:bookmarkStart w:id="60" w:name="_Toc0727D7AEC165477FAC3C0DC1F5EE8281"/>
      <w:r w:rsidRPr="004C70EC">
        <w:rPr>
          <w:noProof/>
          <w:color w:val="000000" w:themeColor="text1"/>
          <w:szCs w:val="24"/>
        </w:rPr>
        <w:t>2.2.2.</w:t>
      </w:r>
      <w:r w:rsidRPr="004C70EC">
        <w:rPr>
          <w:noProof/>
          <w:color w:val="000000" w:themeColor="text1"/>
          <w:szCs w:val="24"/>
        </w:rPr>
        <w:tab/>
        <w:t>Information concerning the risks identified and the internal control system(s) set up to mitigate them</w:t>
      </w:r>
      <w:bookmarkEnd w:id="60"/>
    </w:p>
    <w:p w14:paraId="070D5FE2"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The main risks relate to the Agencies’ performance and independence in implementing the tasks entrusted to them. Underperformance or impaired independence could hamper the achievement of the objectives of this initiative and also reflect negatively on the Commission’s reputation</w:t>
      </w:r>
      <w:r w:rsidRPr="004C70EC">
        <w:rPr>
          <w:rFonts w:eastAsiaTheme="minorEastAsia"/>
          <w:noProof/>
          <w:color w:val="000000" w:themeColor="text1"/>
          <w:szCs w:val="24"/>
        </w:rPr>
        <w:t xml:space="preserve">. </w:t>
      </w:r>
    </w:p>
    <w:p w14:paraId="27241B3F"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The Commission and the Agencies have put in place internal procedures that aim at covering the risks identified above. The internal procedures are in full compliance with the Financial Regulation and include anti-fraud measures and cost-benefit considerations. </w:t>
      </w:r>
    </w:p>
    <w:p w14:paraId="2F3617EE"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First and foremost, sufficient resources should be made available to the Agencies in both financial and staffing terms to achieve the objectives of this initiative.</w:t>
      </w:r>
    </w:p>
    <w:p w14:paraId="4940C959"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Furthermore, quality management will include both the integrated quality-management activities and risk-management activities within the Agencies. A risk review is conducted annually, with risks being assessed at a residual level, i.e. taking into account controls and mitigations already in place. Conducting self-assessments (as part of the EU Agencies benchmarking programme), annual reviews of sensitive functions and ex-post controls also fall within this area, as does maintain a register of exceptions. </w:t>
      </w:r>
    </w:p>
    <w:p w14:paraId="55792489"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rFonts w:eastAsia="Times New Roman"/>
          <w:noProof/>
          <w:color w:val="000000" w:themeColor="text1"/>
          <w:szCs w:val="24"/>
        </w:rPr>
      </w:pPr>
      <w:r w:rsidRPr="004C70EC">
        <w:rPr>
          <w:noProof/>
          <w:color w:val="000000" w:themeColor="text1"/>
          <w:szCs w:val="24"/>
        </w:rPr>
        <w:t>To preserve impartiality and objectivity in every aspect of the Agencies’ work, a number of policies and rules on management of competing interests have been put in place and will be regularly updated, describing specific arrangements, requirements and processes applying to the Agencies’ Management Board, scientific committee members and experts, the Agencies’ staff and candidates, as well as consultants and contractors. The Commission will be informed timely of relevant management and independence is</w:t>
      </w:r>
      <w:r w:rsidR="007F0B7D" w:rsidRPr="004C70EC">
        <w:rPr>
          <w:noProof/>
          <w:color w:val="000000" w:themeColor="text1"/>
          <w:szCs w:val="24"/>
        </w:rPr>
        <w:t>s</w:t>
      </w:r>
      <w:r w:rsidRPr="004C70EC">
        <w:rPr>
          <w:noProof/>
          <w:color w:val="000000" w:themeColor="text1"/>
          <w:szCs w:val="24"/>
        </w:rPr>
        <w:t>ues encou</w:t>
      </w:r>
      <w:r w:rsidR="00AC411F" w:rsidRPr="004C70EC">
        <w:rPr>
          <w:noProof/>
          <w:color w:val="000000" w:themeColor="text1"/>
          <w:szCs w:val="24"/>
        </w:rPr>
        <w:t>n</w:t>
      </w:r>
      <w:r w:rsidRPr="004C70EC">
        <w:rPr>
          <w:noProof/>
          <w:color w:val="000000" w:themeColor="text1"/>
          <w:szCs w:val="24"/>
        </w:rPr>
        <w:t xml:space="preserve">tered by the Agencies and will react upon notified issues timely and adequately. </w:t>
      </w:r>
    </w:p>
    <w:p w14:paraId="237B875E" w14:textId="363E7F0C" w:rsidR="007966CD" w:rsidRPr="004C70EC" w:rsidRDefault="00446FD5">
      <w:pPr>
        <w:pStyle w:val="Text1"/>
        <w:pBdr>
          <w:top w:val="single" w:sz="4" w:space="1" w:color="auto"/>
          <w:left w:val="single" w:sz="4" w:space="4" w:color="auto"/>
          <w:bottom w:val="single" w:sz="4" w:space="1" w:color="auto"/>
          <w:right w:val="single" w:sz="4" w:space="4" w:color="auto"/>
        </w:pBdr>
        <w:rPr>
          <w:rFonts w:eastAsia="Times New Roman"/>
          <w:noProof/>
          <w:color w:val="000000" w:themeColor="text1"/>
          <w:szCs w:val="24"/>
        </w:rPr>
      </w:pPr>
      <w:r w:rsidRPr="004C70EC">
        <w:rPr>
          <w:noProof/>
          <w:color w:val="000000" w:themeColor="text1"/>
          <w:szCs w:val="24"/>
        </w:rPr>
        <w:t xml:space="preserve">The </w:t>
      </w:r>
      <w:r w:rsidRPr="004C70EC">
        <w:rPr>
          <w:rFonts w:eastAsia="Times New Roman"/>
          <w:noProof/>
          <w:color w:val="000000" w:themeColor="text1"/>
          <w:szCs w:val="24"/>
        </w:rPr>
        <w:t>proposal also envisages that the Commission promotes</w:t>
      </w:r>
      <w:r w:rsidR="007966CD" w:rsidRPr="004C70EC">
        <w:rPr>
          <w:rFonts w:eastAsia="Times New Roman"/>
          <w:noProof/>
          <w:color w:val="000000" w:themeColor="text1"/>
          <w:szCs w:val="24"/>
        </w:rPr>
        <w:t xml:space="preserve"> Biotech</w:t>
      </w:r>
      <w:r w:rsidR="2B5A9F91" w:rsidRPr="004C70EC">
        <w:rPr>
          <w:rFonts w:eastAsia="Times New Roman"/>
          <w:noProof/>
          <w:color w:val="000000" w:themeColor="text1"/>
          <w:szCs w:val="24"/>
        </w:rPr>
        <w:t>nology</w:t>
      </w:r>
      <w:r w:rsidR="007966CD" w:rsidRPr="004C70EC">
        <w:rPr>
          <w:rFonts w:eastAsia="Times New Roman"/>
          <w:noProof/>
          <w:color w:val="000000" w:themeColor="text1"/>
          <w:szCs w:val="24"/>
        </w:rPr>
        <w:t xml:space="preserve"> Investment </w:t>
      </w:r>
      <w:r>
        <w:rPr>
          <w:rFonts w:eastAsia="Times New Roman"/>
          <w:noProof/>
          <w:color w:val="000000" w:themeColor="text1"/>
          <w:szCs w:val="24"/>
        </w:rPr>
        <w:t>Pilot</w:t>
      </w:r>
      <w:r w:rsidR="007966CD" w:rsidRPr="004C70EC">
        <w:rPr>
          <w:rFonts w:eastAsia="Times New Roman"/>
          <w:noProof/>
          <w:color w:val="000000" w:themeColor="text1"/>
          <w:szCs w:val="24"/>
        </w:rPr>
        <w:t xml:space="preserve"> for biotech</w:t>
      </w:r>
      <w:r w:rsidR="4CB3024D" w:rsidRPr="004C70EC">
        <w:rPr>
          <w:rFonts w:eastAsia="Times New Roman"/>
          <w:noProof/>
          <w:color w:val="000000" w:themeColor="text1"/>
          <w:szCs w:val="24"/>
        </w:rPr>
        <w:t>nology</w:t>
      </w:r>
      <w:r w:rsidR="007966CD" w:rsidRPr="004C70EC">
        <w:rPr>
          <w:rFonts w:eastAsia="Times New Roman"/>
          <w:noProof/>
          <w:color w:val="000000" w:themeColor="text1"/>
          <w:szCs w:val="24"/>
        </w:rPr>
        <w:t xml:space="preserve"> investment in the EU.</w:t>
      </w:r>
    </w:p>
    <w:p w14:paraId="5504F4B1"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rFonts w:eastAsia="Times New Roman"/>
          <w:noProof/>
          <w:color w:val="000000" w:themeColor="text1"/>
          <w:szCs w:val="24"/>
        </w:rPr>
      </w:pPr>
      <w:r w:rsidRPr="004C70EC">
        <w:rPr>
          <w:rFonts w:eastAsia="Times New Roman"/>
          <w:noProof/>
          <w:color w:val="000000" w:themeColor="text1"/>
          <w:szCs w:val="24"/>
        </w:rPr>
        <w:t>The main risks are the following:</w:t>
      </w:r>
    </w:p>
    <w:p w14:paraId="3A2C1872"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rFonts w:eastAsia="Times New Roman"/>
          <w:noProof/>
          <w:color w:val="000000" w:themeColor="text1"/>
          <w:szCs w:val="24"/>
        </w:rPr>
      </w:pPr>
      <w:r w:rsidRPr="004C70EC">
        <w:rPr>
          <w:rFonts w:eastAsia="Times New Roman"/>
          <w:noProof/>
          <w:color w:val="000000" w:themeColor="text1"/>
          <w:szCs w:val="24"/>
        </w:rPr>
        <w:t>• Risk of not fully achieving the objectives of the Regulation due to insufficient uptake or quality/delays in the implementation of the selected projects or contracts;</w:t>
      </w:r>
    </w:p>
    <w:p w14:paraId="48B2A7B4"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rFonts w:eastAsia="Times New Roman"/>
          <w:noProof/>
          <w:color w:val="000000" w:themeColor="text1"/>
          <w:szCs w:val="24"/>
        </w:rPr>
      </w:pPr>
      <w:r w:rsidRPr="004C70EC">
        <w:rPr>
          <w:rFonts w:eastAsia="Times New Roman"/>
          <w:noProof/>
          <w:color w:val="000000" w:themeColor="text1"/>
          <w:szCs w:val="24"/>
        </w:rPr>
        <w:t>• Risk of inefficient or non-economic use of investments awarded;</w:t>
      </w:r>
    </w:p>
    <w:p w14:paraId="08D87983"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rFonts w:eastAsia="Times New Roman"/>
          <w:noProof/>
          <w:color w:val="000000" w:themeColor="text1"/>
          <w:szCs w:val="24"/>
        </w:rPr>
        <w:t>• Reputational risk for the Commission, if fraud or criminal activities are discovered; only partial assurance can be drawn from the third parties' internal control systems due to the rather large number of heterogeneous contractors and beneficiaries, each operating their own control system.</w:t>
      </w:r>
    </w:p>
    <w:p w14:paraId="73BA5740"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rFonts w:eastAsia="Times New Roman"/>
          <w:noProof/>
          <w:color w:val="000000" w:themeColor="text1"/>
          <w:szCs w:val="24"/>
        </w:rPr>
      </w:pPr>
      <w:r w:rsidRPr="004C70EC">
        <w:rPr>
          <w:rFonts w:eastAsia="Times New Roman"/>
          <w:noProof/>
          <w:color w:val="000000" w:themeColor="text1"/>
          <w:szCs w:val="24"/>
        </w:rPr>
        <w:t xml:space="preserve">The Commission will </w:t>
      </w:r>
      <w:r w:rsidR="00F778BE" w:rsidRPr="004C70EC">
        <w:rPr>
          <w:rFonts w:eastAsia="Times New Roman"/>
          <w:noProof/>
          <w:color w:val="000000" w:themeColor="text1"/>
          <w:szCs w:val="24"/>
        </w:rPr>
        <w:t>allocate the necessary</w:t>
      </w:r>
      <w:r w:rsidR="00B40FC9" w:rsidRPr="004C70EC">
        <w:rPr>
          <w:rFonts w:eastAsia="Times New Roman"/>
          <w:noProof/>
          <w:color w:val="000000" w:themeColor="text1"/>
          <w:szCs w:val="24"/>
        </w:rPr>
        <w:t xml:space="preserve"> human and financial</w:t>
      </w:r>
      <w:r w:rsidR="00F778BE" w:rsidRPr="004C70EC">
        <w:rPr>
          <w:rFonts w:eastAsia="Times New Roman"/>
          <w:noProof/>
          <w:color w:val="000000" w:themeColor="text1"/>
          <w:szCs w:val="24"/>
        </w:rPr>
        <w:t xml:space="preserve"> resources for the proper implementation of this Regulation</w:t>
      </w:r>
      <w:r w:rsidR="009379B3" w:rsidRPr="004C70EC">
        <w:rPr>
          <w:rFonts w:eastAsia="Times New Roman"/>
          <w:noProof/>
          <w:color w:val="000000" w:themeColor="text1"/>
          <w:szCs w:val="24"/>
        </w:rPr>
        <w:t xml:space="preserve"> and will</w:t>
      </w:r>
      <w:r w:rsidRPr="004C70EC">
        <w:rPr>
          <w:rFonts w:eastAsia="Times New Roman"/>
          <w:noProof/>
          <w:color w:val="000000" w:themeColor="text1"/>
          <w:szCs w:val="24"/>
        </w:rPr>
        <w:t xml:space="preserve"> put in place internal procedures that aim at covering the risks identified above. The internal procedures will be in full compliance with the Financial Regulation and include anti-fraud measures and cost-benefit considerations.</w:t>
      </w:r>
    </w:p>
    <w:p w14:paraId="4EB22916"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  .</w:t>
      </w:r>
    </w:p>
    <w:p w14:paraId="23DF0E21" w14:textId="77777777" w:rsidR="007966CD" w:rsidRPr="004C70EC" w:rsidRDefault="007966CD">
      <w:pPr>
        <w:pStyle w:val="ManualHeading3"/>
        <w:rPr>
          <w:noProof/>
          <w:color w:val="000000" w:themeColor="text1"/>
          <w:szCs w:val="24"/>
        </w:rPr>
      </w:pPr>
      <w:bookmarkStart w:id="61" w:name="_Toc8592650A89C0476E82A4621081272970"/>
      <w:r w:rsidRPr="004C70EC">
        <w:rPr>
          <w:noProof/>
          <w:color w:val="000000" w:themeColor="text1"/>
          <w:szCs w:val="24"/>
        </w:rPr>
        <w:t>2.2.3.</w:t>
      </w:r>
      <w:r w:rsidRPr="004C70EC">
        <w:rPr>
          <w:noProof/>
          <w:color w:val="000000" w:themeColor="text1"/>
          <w:szCs w:val="24"/>
        </w:rPr>
        <w:tab/>
        <w:t xml:space="preserve">Estimation and justification of the cost-effectiveness of the controls (ratio between the control costs  and the value of the related funds managed), and assessment of the expected levels of risk of error (at payment &amp; at closure) </w:t>
      </w:r>
      <w:bookmarkEnd w:id="61"/>
    </w:p>
    <w:p w14:paraId="3F2DD95C"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The Commission’s and the Agencies’ internal control strategies take into consideration the main cost drivers, and the efforts already taken over several years to reduce the cost of controls, without compromising the effectiveness of controls. The existing control systems proved to be able to prevent and/or to detect errors and/or irregularities, and in case of errors or irregularities, to correct them. </w:t>
      </w:r>
    </w:p>
    <w:p w14:paraId="5CF8824D"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In the past five years, the Commission’s yearly costs of controls under indirect management represented less than 1% of the annual budget spent on subsidies paid to the EMA and EFSA. The Agencies allocated less than 0,5% (EMA) and 5% (EFSA) of their total annual budget on control activities centring around integrated quality management, audit, anti-fraud measures, finance and verification processes, corporate risk management and self-assessment activities.</w:t>
      </w:r>
    </w:p>
    <w:p w14:paraId="44ABA2AF" w14:textId="77777777" w:rsidR="007966CD" w:rsidRPr="004C70EC" w:rsidRDefault="007966CD">
      <w:pPr>
        <w:pStyle w:val="ManualHeading2"/>
        <w:rPr>
          <w:bCs/>
          <w:noProof/>
          <w:color w:val="000000" w:themeColor="text1"/>
          <w:szCs w:val="24"/>
        </w:rPr>
      </w:pPr>
      <w:r w:rsidRPr="004C70EC">
        <w:rPr>
          <w:noProof/>
          <w:color w:val="000000" w:themeColor="text1"/>
          <w:szCs w:val="24"/>
        </w:rPr>
        <w:t xml:space="preserve"> </w:t>
      </w:r>
      <w:bookmarkStart w:id="62" w:name="_Toc7CEB9D6064A24FDCB7D04041BE884C7B"/>
      <w:r w:rsidRPr="004C70EC">
        <w:rPr>
          <w:noProof/>
          <w:color w:val="000000" w:themeColor="text1"/>
          <w:szCs w:val="24"/>
        </w:rPr>
        <w:t>2.3.</w:t>
      </w:r>
      <w:r w:rsidRPr="004C70EC">
        <w:rPr>
          <w:noProof/>
          <w:color w:val="000000" w:themeColor="text1"/>
          <w:szCs w:val="24"/>
        </w:rPr>
        <w:tab/>
        <w:t xml:space="preserve">Measures to prevent fraud and irregularities </w:t>
      </w:r>
      <w:bookmarkEnd w:id="62"/>
    </w:p>
    <w:p w14:paraId="078CDDD5"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 Preventing and detecting fraud is a key governance issue and a common control objective for all Commission’s departments who have, in practical terms, the obligation to put in place the appropriate management and internal control procedures designed to deter, detect, correct or sanction irregularities and fraud, in line with articles 317 and 325 TFEU and article 36 FR.</w:t>
      </w:r>
    </w:p>
    <w:p w14:paraId="4226E814"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As for its activities in indirect management, the Commission shall take appropriate measures ensuring that the financial interests of the European Union are protected by the application of preventive measures against fraud, corruption and any other illegal activities, by effective checks and, if irregularities are detected, by the recovery of the amounts wrongly paid and, where appropriate, by effective, proportional and deterrent penalties. To this effect, the Commission adopted an anti-fraud strategy, latest update of April 2019 (COM(2019)176), covering preventive, detective and corrective measures. The Commission or its representatives and the European Court of Auditors shall have the power of audit, on the basis of documents and on-the-spot, over all grant beneficiaries, contractors and subcontractors who have received Union funds. OLAF shall be authorised to carry out on-the-spot checks and inspections on economic operators concerned indirectly by such funding. </w:t>
      </w:r>
    </w:p>
    <w:p w14:paraId="69A22DD7"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As regards the European Medicines Agency, the anti-fraud measures are provided for in Article 69 of Regulation (EC) No 726/2004 and the framework financial Regulation (2019/715). The Executive Director and the Management Board of the Agency will take the appropriate measures in accordance with the Internal Control Principles applied across all EU institutions. In line with the Common Approach and Article 42 of the framework financial Regulation, an anti-fraud strategy has been developed and is followed by the Agency. The Agency’s Anti-fraud strategy covers 3-year period and is accompanied by a corresponding action plan, outlining both specific focus areas and actions for the next years, and several continuous actions that are carried out every year, such as a specific standalone fraud risk assessment, with the identified fraud risks included in the overall Agency risk register. Anti-fraud trainings are organised as part of the induction training and via mandatory anti-fraud e-learning training for newcomers. Staff are made aware of how to report any suspects of wrongdoings and disciplinary procedures are in place as per the rules of the Staff Regulations.</w:t>
      </w:r>
    </w:p>
    <w:p w14:paraId="0DC58480"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As regards the European Food Safety Authority, the anti-fraud measures are provided for in Article 25 of Regulation (EC) No 178/2002 and the framework financial Regulation (2019/715). The Management Board will take the appropriate measures in accordance with the Internal Control Principles applied across all EU institutions. In line with the Common Approach and Article 42 of the framework financial Regulation, an anti-fraud strategy has been developed and is followed by the Authority. The Authority’s Anti-fraud strategy is accompained by a corresponding action plan, outlining both specific focus areas and actions for the next years, and several continuous actions that are carried out every year, such as a specific standalone fraud risk assessment, with the identified fraud risks included in the overall Agency risk register. Mandatory anti-fraud trainings are organised as part of the awareness anti-fraud sessions. Staff are made aware of how to report any suspects of wrongdoings and disciplinary procedures are in place as per the rules of the Staff Regulations.</w:t>
      </w:r>
    </w:p>
    <w:p w14:paraId="6D78CB7C" w14:textId="77777777" w:rsidR="007966CD" w:rsidRPr="004C70EC" w:rsidRDefault="007966CD">
      <w:pPr>
        <w:rPr>
          <w:noProof/>
          <w:color w:val="000000" w:themeColor="text1"/>
          <w:szCs w:val="24"/>
        </w:rPr>
        <w:sectPr w:rsidR="007966CD" w:rsidRPr="004C70EC" w:rsidSect="007A289E">
          <w:footnotePr>
            <w:numRestart w:val="eachSect"/>
          </w:footnotePr>
          <w:pgSz w:w="11907" w:h="16840" w:code="9"/>
          <w:pgMar w:top="1134" w:right="1418" w:bottom="1134" w:left="1418" w:header="709" w:footer="709" w:gutter="0"/>
          <w:cols w:space="708"/>
          <w:docGrid w:linePitch="360"/>
        </w:sectPr>
      </w:pPr>
    </w:p>
    <w:p w14:paraId="4E233B99" w14:textId="77777777" w:rsidR="007966CD" w:rsidRPr="004C70EC" w:rsidRDefault="007966CD">
      <w:pPr>
        <w:pStyle w:val="ManualHeading1"/>
        <w:rPr>
          <w:bCs/>
          <w:noProof/>
          <w:color w:val="000000" w:themeColor="text1"/>
          <w:szCs w:val="24"/>
        </w:rPr>
      </w:pPr>
      <w:bookmarkStart w:id="63" w:name="_Toc72505A171B7543F2BD1E93515848472F"/>
      <w:r w:rsidRPr="004C70EC">
        <w:rPr>
          <w:noProof/>
          <w:color w:val="000000" w:themeColor="text1"/>
          <w:szCs w:val="24"/>
        </w:rPr>
        <w:t>3.</w:t>
      </w:r>
      <w:r w:rsidRPr="004C70EC">
        <w:rPr>
          <w:noProof/>
          <w:color w:val="000000" w:themeColor="text1"/>
          <w:szCs w:val="24"/>
        </w:rPr>
        <w:tab/>
        <w:t xml:space="preserve">ESTIMATED FINANCIAL IMPACT OF THE PROPOSAL/INITIATIVE </w:t>
      </w:r>
      <w:bookmarkEnd w:id="63"/>
    </w:p>
    <w:p w14:paraId="38B2379F" w14:textId="77777777" w:rsidR="007966CD" w:rsidRPr="004C70EC" w:rsidRDefault="007966CD">
      <w:pPr>
        <w:pStyle w:val="ManualHeading2"/>
        <w:rPr>
          <w:noProof/>
          <w:color w:val="000000" w:themeColor="text1"/>
          <w:szCs w:val="24"/>
        </w:rPr>
      </w:pPr>
      <w:bookmarkStart w:id="64" w:name="_Toc1998CA7DB6A644889168B7ECA2E45410"/>
      <w:r w:rsidRPr="004C70EC">
        <w:rPr>
          <w:noProof/>
          <w:color w:val="000000" w:themeColor="text1"/>
          <w:szCs w:val="24"/>
        </w:rPr>
        <w:t>3.1.</w:t>
      </w:r>
      <w:r w:rsidRPr="004C70EC">
        <w:rPr>
          <w:noProof/>
          <w:color w:val="000000" w:themeColor="text1"/>
          <w:szCs w:val="24"/>
        </w:rPr>
        <w:tab/>
        <w:t xml:space="preserve">Heading(s) of the multiannual financial framework and expenditure budget line(s) affected </w:t>
      </w:r>
      <w:bookmarkEnd w:id="64"/>
    </w:p>
    <w:p w14:paraId="280C9CD7" w14:textId="77777777" w:rsidR="007966CD" w:rsidRPr="004C70EC" w:rsidRDefault="007966CD">
      <w:pPr>
        <w:pStyle w:val="ListBullet1"/>
        <w:rPr>
          <w:noProof/>
          <w:color w:val="000000" w:themeColor="text1"/>
          <w:szCs w:val="24"/>
        </w:rPr>
      </w:pPr>
      <w:r w:rsidRPr="004C70EC">
        <w:rPr>
          <w:noProof/>
          <w:color w:val="000000" w:themeColor="text1"/>
          <w:szCs w:val="24"/>
        </w:rPr>
        <w:t xml:space="preserve">Existing budget lines </w:t>
      </w:r>
    </w:p>
    <w:p w14:paraId="06E9A1ED" w14:textId="77777777" w:rsidR="007966CD" w:rsidRPr="004C70EC" w:rsidRDefault="007966CD">
      <w:pPr>
        <w:pStyle w:val="Text1"/>
        <w:rPr>
          <w:i/>
          <w:noProof/>
          <w:color w:val="000000" w:themeColor="text1"/>
          <w:szCs w:val="24"/>
        </w:rPr>
      </w:pPr>
      <w:r w:rsidRPr="004C70EC">
        <w:rPr>
          <w:i/>
          <w:noProof/>
          <w:color w:val="000000" w:themeColor="text1"/>
          <w:szCs w:val="24"/>
          <w:u w:val="single"/>
        </w:rPr>
        <w:t>In order</w:t>
      </w:r>
      <w:r w:rsidRPr="004C70EC">
        <w:rPr>
          <w:i/>
          <w:noProof/>
          <w:color w:val="000000" w:themeColor="text1"/>
          <w:szCs w:val="24"/>
        </w:rPr>
        <w:t xml:space="preserve"> of multiannual financial framework headings and budget lines.</w:t>
      </w:r>
    </w:p>
    <w:p w14:paraId="4BF5AEF4" w14:textId="77777777" w:rsidR="007966CD" w:rsidRPr="004C70EC" w:rsidRDefault="007966CD">
      <w:pPr>
        <w:pStyle w:val="Text1"/>
        <w:rPr>
          <w:iCs/>
          <w:noProof/>
          <w:color w:val="000000" w:themeColor="text1"/>
          <w:szCs w:val="24"/>
        </w:rPr>
      </w:pPr>
    </w:p>
    <w:tbl>
      <w:tblPr>
        <w:tblW w:w="10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2"/>
        <w:gridCol w:w="4002"/>
        <w:gridCol w:w="1092"/>
        <w:gridCol w:w="966"/>
        <w:gridCol w:w="1092"/>
        <w:gridCol w:w="966"/>
        <w:gridCol w:w="1463"/>
      </w:tblGrid>
      <w:tr w:rsidR="004A1163" w:rsidRPr="004C70EC" w14:paraId="79647B1C" w14:textId="77777777" w:rsidTr="4CF51068">
        <w:trPr>
          <w:jc w:val="center"/>
        </w:trPr>
        <w:tc>
          <w:tcPr>
            <w:tcW w:w="1092" w:type="dxa"/>
            <w:vMerge w:val="restart"/>
            <w:vAlign w:val="center"/>
          </w:tcPr>
          <w:p w14:paraId="2B45A6C6" w14:textId="77777777" w:rsidR="007966CD" w:rsidRPr="004C70EC" w:rsidRDefault="007966CD">
            <w:pPr>
              <w:spacing w:before="60" w:after="60"/>
              <w:jc w:val="center"/>
              <w:rPr>
                <w:noProof/>
                <w:color w:val="000000" w:themeColor="text1"/>
                <w:szCs w:val="24"/>
                <w:lang w:val="en-IE"/>
              </w:rPr>
            </w:pPr>
            <w:r w:rsidRPr="004C70EC">
              <w:rPr>
                <w:noProof/>
                <w:color w:val="000000" w:themeColor="text1"/>
                <w:szCs w:val="24"/>
                <w:lang w:val="en-IE"/>
              </w:rPr>
              <w:t>Heading of multiannual financial framework</w:t>
            </w:r>
          </w:p>
        </w:tc>
        <w:tc>
          <w:tcPr>
            <w:tcW w:w="4002" w:type="dxa"/>
            <w:vAlign w:val="center"/>
          </w:tcPr>
          <w:p w14:paraId="2A1BD57E" w14:textId="77777777" w:rsidR="007966CD" w:rsidRPr="004C70EC" w:rsidRDefault="007966CD">
            <w:pPr>
              <w:spacing w:before="60" w:after="60"/>
              <w:jc w:val="center"/>
              <w:rPr>
                <w:noProof/>
                <w:color w:val="000000" w:themeColor="text1"/>
                <w:szCs w:val="24"/>
              </w:rPr>
            </w:pPr>
            <w:r w:rsidRPr="004C70EC">
              <w:rPr>
                <w:noProof/>
                <w:color w:val="000000" w:themeColor="text1"/>
                <w:szCs w:val="24"/>
              </w:rPr>
              <w:t>Budget line</w:t>
            </w:r>
          </w:p>
        </w:tc>
        <w:tc>
          <w:tcPr>
            <w:tcW w:w="1092" w:type="dxa"/>
            <w:vAlign w:val="center"/>
          </w:tcPr>
          <w:p w14:paraId="08DA1B44" w14:textId="77777777" w:rsidR="007966CD" w:rsidRPr="004C70EC" w:rsidRDefault="007966CD">
            <w:pPr>
              <w:spacing w:before="60" w:after="60"/>
              <w:jc w:val="center"/>
              <w:rPr>
                <w:noProof/>
                <w:color w:val="000000" w:themeColor="text1"/>
                <w:szCs w:val="24"/>
              </w:rPr>
            </w:pPr>
            <w:r w:rsidRPr="004C70EC">
              <w:rPr>
                <w:noProof/>
                <w:color w:val="000000" w:themeColor="text1"/>
                <w:szCs w:val="24"/>
              </w:rPr>
              <w:t>Type of expenditure</w:t>
            </w:r>
          </w:p>
        </w:tc>
        <w:tc>
          <w:tcPr>
            <w:tcW w:w="4487" w:type="dxa"/>
            <w:gridSpan w:val="4"/>
            <w:vAlign w:val="center"/>
          </w:tcPr>
          <w:p w14:paraId="3254C709" w14:textId="77777777" w:rsidR="007966CD" w:rsidRPr="004C70EC" w:rsidRDefault="007966CD">
            <w:pPr>
              <w:spacing w:before="60" w:after="60"/>
              <w:jc w:val="center"/>
              <w:rPr>
                <w:noProof/>
                <w:color w:val="000000" w:themeColor="text1"/>
                <w:szCs w:val="24"/>
              </w:rPr>
            </w:pPr>
            <w:r w:rsidRPr="004C70EC">
              <w:rPr>
                <w:noProof/>
                <w:color w:val="000000" w:themeColor="text1"/>
                <w:szCs w:val="24"/>
              </w:rPr>
              <w:t xml:space="preserve">Contribution </w:t>
            </w:r>
          </w:p>
        </w:tc>
      </w:tr>
      <w:tr w:rsidR="004A1163" w:rsidRPr="004C70EC" w14:paraId="659A0685" w14:textId="77777777" w:rsidTr="4CF51068">
        <w:trPr>
          <w:cantSplit/>
          <w:jc w:val="center"/>
        </w:trPr>
        <w:tc>
          <w:tcPr>
            <w:tcW w:w="1092" w:type="dxa"/>
            <w:vMerge/>
            <w:vAlign w:val="center"/>
          </w:tcPr>
          <w:p w14:paraId="1ED3CF05" w14:textId="77777777" w:rsidR="007966CD" w:rsidRPr="004C70EC" w:rsidRDefault="007966CD">
            <w:pPr>
              <w:jc w:val="center"/>
              <w:rPr>
                <w:noProof/>
                <w:color w:val="000000" w:themeColor="text1"/>
                <w:szCs w:val="24"/>
              </w:rPr>
            </w:pPr>
          </w:p>
        </w:tc>
        <w:tc>
          <w:tcPr>
            <w:tcW w:w="4002" w:type="dxa"/>
            <w:vAlign w:val="center"/>
          </w:tcPr>
          <w:p w14:paraId="3EB9B162" w14:textId="77777777" w:rsidR="007966CD" w:rsidRPr="004C70EC" w:rsidRDefault="007966CD">
            <w:pPr>
              <w:rPr>
                <w:noProof/>
                <w:color w:val="000000" w:themeColor="text1"/>
                <w:szCs w:val="24"/>
              </w:rPr>
            </w:pPr>
            <w:r w:rsidRPr="004C70EC">
              <w:rPr>
                <w:noProof/>
                <w:color w:val="000000" w:themeColor="text1"/>
                <w:szCs w:val="24"/>
              </w:rPr>
              <w:t xml:space="preserve">Number </w:t>
            </w:r>
            <w:r w:rsidRPr="004C70EC">
              <w:rPr>
                <w:noProof/>
                <w:color w:val="000000" w:themeColor="text1"/>
                <w:szCs w:val="24"/>
              </w:rPr>
              <w:br/>
            </w:r>
          </w:p>
        </w:tc>
        <w:tc>
          <w:tcPr>
            <w:tcW w:w="1092" w:type="dxa"/>
            <w:vAlign w:val="center"/>
          </w:tcPr>
          <w:p w14:paraId="74D6C9C6" w14:textId="77777777" w:rsidR="007966CD" w:rsidRPr="004C70EC" w:rsidRDefault="3F765205">
            <w:pPr>
              <w:jc w:val="center"/>
              <w:rPr>
                <w:noProof/>
                <w:color w:val="000000" w:themeColor="text1"/>
                <w:szCs w:val="24"/>
              </w:rPr>
            </w:pPr>
            <w:r w:rsidRPr="004C70EC">
              <w:rPr>
                <w:noProof/>
                <w:color w:val="000000" w:themeColor="text1"/>
              </w:rPr>
              <w:t>Diff./Non-diff.</w:t>
            </w:r>
            <w:r w:rsidR="007966CD" w:rsidRPr="004C70EC">
              <w:rPr>
                <w:rStyle w:val="FootnoteReference"/>
                <w:noProof/>
                <w:color w:val="000000" w:themeColor="text1"/>
              </w:rPr>
              <w:footnoteReference w:id="167"/>
            </w:r>
          </w:p>
        </w:tc>
        <w:tc>
          <w:tcPr>
            <w:tcW w:w="966" w:type="dxa"/>
            <w:vAlign w:val="center"/>
          </w:tcPr>
          <w:p w14:paraId="6F07B493" w14:textId="77777777" w:rsidR="007966CD" w:rsidRPr="004C70EC" w:rsidRDefault="3F765205">
            <w:pPr>
              <w:jc w:val="center"/>
              <w:rPr>
                <w:b/>
                <w:noProof/>
                <w:color w:val="000000" w:themeColor="text1"/>
                <w:szCs w:val="24"/>
              </w:rPr>
            </w:pPr>
            <w:r w:rsidRPr="004C70EC">
              <w:rPr>
                <w:noProof/>
                <w:color w:val="000000" w:themeColor="text1"/>
              </w:rPr>
              <w:t>from EFTA countries</w:t>
            </w:r>
            <w:r w:rsidR="007966CD" w:rsidRPr="004C70EC">
              <w:rPr>
                <w:rStyle w:val="FootnoteReference"/>
                <w:noProof/>
                <w:color w:val="000000" w:themeColor="text1"/>
              </w:rPr>
              <w:footnoteReference w:id="168"/>
            </w:r>
          </w:p>
        </w:tc>
        <w:tc>
          <w:tcPr>
            <w:tcW w:w="1092" w:type="dxa"/>
            <w:vAlign w:val="center"/>
          </w:tcPr>
          <w:p w14:paraId="15A77127" w14:textId="77777777" w:rsidR="007966CD" w:rsidRPr="004C70EC" w:rsidRDefault="3F765205">
            <w:pPr>
              <w:jc w:val="center"/>
              <w:rPr>
                <w:noProof/>
                <w:color w:val="000000" w:themeColor="text1"/>
                <w:szCs w:val="24"/>
                <w:lang w:val="en-IE"/>
              </w:rPr>
            </w:pPr>
            <w:r w:rsidRPr="004C70EC">
              <w:rPr>
                <w:noProof/>
                <w:color w:val="000000" w:themeColor="text1"/>
                <w:lang w:val="en-IE"/>
              </w:rPr>
              <w:t>from candidate countries and potential candidates</w:t>
            </w:r>
            <w:r w:rsidR="007966CD" w:rsidRPr="004C70EC">
              <w:rPr>
                <w:rStyle w:val="FootnoteReference"/>
                <w:noProof/>
                <w:color w:val="000000" w:themeColor="text1"/>
              </w:rPr>
              <w:footnoteReference w:id="169"/>
            </w:r>
          </w:p>
        </w:tc>
        <w:tc>
          <w:tcPr>
            <w:tcW w:w="966" w:type="dxa"/>
            <w:vAlign w:val="center"/>
          </w:tcPr>
          <w:p w14:paraId="53ACA17C" w14:textId="77777777" w:rsidR="007966CD" w:rsidRPr="004C70EC" w:rsidRDefault="007966CD">
            <w:pPr>
              <w:jc w:val="center"/>
              <w:rPr>
                <w:noProof/>
                <w:color w:val="000000" w:themeColor="text1"/>
                <w:szCs w:val="24"/>
              </w:rPr>
            </w:pPr>
            <w:r w:rsidRPr="004C70EC">
              <w:rPr>
                <w:noProof/>
                <w:color w:val="000000" w:themeColor="text1"/>
                <w:szCs w:val="24"/>
              </w:rPr>
              <w:t>From other third countries</w:t>
            </w:r>
          </w:p>
        </w:tc>
        <w:tc>
          <w:tcPr>
            <w:tcW w:w="1463" w:type="dxa"/>
            <w:vAlign w:val="center"/>
          </w:tcPr>
          <w:p w14:paraId="20BBF45B" w14:textId="77777777" w:rsidR="007966CD" w:rsidRPr="004C70EC" w:rsidRDefault="007966CD">
            <w:pPr>
              <w:jc w:val="center"/>
              <w:rPr>
                <w:noProof/>
                <w:color w:val="000000" w:themeColor="text1"/>
                <w:szCs w:val="24"/>
              </w:rPr>
            </w:pPr>
            <w:r w:rsidRPr="004C70EC">
              <w:rPr>
                <w:noProof/>
                <w:color w:val="000000" w:themeColor="text1"/>
                <w:szCs w:val="24"/>
                <w:lang w:val="en-IE"/>
              </w:rPr>
              <w:t>other assigned revenue</w:t>
            </w:r>
          </w:p>
        </w:tc>
      </w:tr>
      <w:tr w:rsidR="00F64518" w:rsidRPr="004C70EC" w14:paraId="29F58C3D" w14:textId="77777777" w:rsidTr="4CF51068">
        <w:trPr>
          <w:jc w:val="center"/>
        </w:trPr>
        <w:tc>
          <w:tcPr>
            <w:tcW w:w="1092" w:type="dxa"/>
            <w:vAlign w:val="center"/>
          </w:tcPr>
          <w:p w14:paraId="60F916BF" w14:textId="77777777" w:rsidR="00F64518" w:rsidRPr="004C70EC" w:rsidRDefault="00F64518" w:rsidP="00F64518">
            <w:pPr>
              <w:jc w:val="center"/>
              <w:rPr>
                <w:noProof/>
                <w:color w:val="000000" w:themeColor="text1"/>
                <w:szCs w:val="24"/>
              </w:rPr>
            </w:pPr>
            <w:r w:rsidRPr="004C70EC">
              <w:rPr>
                <w:noProof/>
                <w:color w:val="000000" w:themeColor="text1"/>
                <w:szCs w:val="24"/>
              </w:rPr>
              <w:t>2</w:t>
            </w:r>
          </w:p>
        </w:tc>
        <w:tc>
          <w:tcPr>
            <w:tcW w:w="4002" w:type="dxa"/>
            <w:vAlign w:val="center"/>
          </w:tcPr>
          <w:p w14:paraId="4EEA95F2" w14:textId="77777777" w:rsidR="00F64518" w:rsidRPr="004C70EC" w:rsidRDefault="00F64518" w:rsidP="00F64518">
            <w:pPr>
              <w:spacing w:after="60"/>
              <w:rPr>
                <w:noProof/>
                <w:color w:val="000000" w:themeColor="text1"/>
                <w:szCs w:val="24"/>
                <w:shd w:val="clear" w:color="auto" w:fill="FFFFFF"/>
              </w:rPr>
            </w:pPr>
            <w:r w:rsidRPr="004C70EC">
              <w:rPr>
                <w:noProof/>
                <w:color w:val="000000" w:themeColor="text1"/>
                <w:szCs w:val="24"/>
                <w:shd w:val="clear" w:color="auto" w:fill="FFFFFF"/>
              </w:rPr>
              <w:t>Support expenditure of the programme</w:t>
            </w:r>
          </w:p>
        </w:tc>
        <w:tc>
          <w:tcPr>
            <w:tcW w:w="1092" w:type="dxa"/>
            <w:vAlign w:val="center"/>
          </w:tcPr>
          <w:p w14:paraId="188748B9" w14:textId="77777777" w:rsidR="00F64518" w:rsidRPr="004C70EC" w:rsidRDefault="00F64518" w:rsidP="00F64518">
            <w:pPr>
              <w:jc w:val="center"/>
              <w:rPr>
                <w:noProof/>
                <w:color w:val="000000" w:themeColor="text1"/>
                <w:szCs w:val="24"/>
              </w:rPr>
            </w:pPr>
            <w:r w:rsidRPr="004C70EC">
              <w:rPr>
                <w:noProof/>
                <w:color w:val="000000" w:themeColor="text1"/>
                <w:szCs w:val="24"/>
              </w:rPr>
              <w:t>Non-diff</w:t>
            </w:r>
          </w:p>
        </w:tc>
        <w:tc>
          <w:tcPr>
            <w:tcW w:w="966" w:type="dxa"/>
            <w:vAlign w:val="center"/>
          </w:tcPr>
          <w:p w14:paraId="18FD9296" w14:textId="77777777" w:rsidR="00F64518" w:rsidRPr="004C70EC" w:rsidRDefault="00F64518" w:rsidP="00F64518">
            <w:pPr>
              <w:jc w:val="center"/>
              <w:rPr>
                <w:noProof/>
                <w:color w:val="000000" w:themeColor="text1"/>
                <w:szCs w:val="24"/>
              </w:rPr>
            </w:pPr>
            <w:r w:rsidRPr="004C70EC">
              <w:rPr>
                <w:noProof/>
                <w:color w:val="000000" w:themeColor="text1"/>
                <w:szCs w:val="24"/>
              </w:rPr>
              <w:t>YES</w:t>
            </w:r>
          </w:p>
        </w:tc>
        <w:tc>
          <w:tcPr>
            <w:tcW w:w="1092" w:type="dxa"/>
            <w:vAlign w:val="center"/>
          </w:tcPr>
          <w:p w14:paraId="52ED52DE" w14:textId="77777777" w:rsidR="00F64518" w:rsidRPr="004C70EC" w:rsidRDefault="00F64518" w:rsidP="00F64518">
            <w:pPr>
              <w:jc w:val="center"/>
              <w:rPr>
                <w:noProof/>
                <w:color w:val="000000" w:themeColor="text1"/>
                <w:szCs w:val="24"/>
              </w:rPr>
            </w:pPr>
            <w:r w:rsidRPr="004C70EC">
              <w:rPr>
                <w:noProof/>
                <w:color w:val="000000" w:themeColor="text1"/>
                <w:szCs w:val="24"/>
              </w:rPr>
              <w:t>YES</w:t>
            </w:r>
          </w:p>
        </w:tc>
        <w:tc>
          <w:tcPr>
            <w:tcW w:w="966" w:type="dxa"/>
            <w:vAlign w:val="center"/>
          </w:tcPr>
          <w:p w14:paraId="7590E856" w14:textId="77777777" w:rsidR="00F64518" w:rsidRPr="004C70EC" w:rsidRDefault="00F64518" w:rsidP="00F64518">
            <w:pPr>
              <w:jc w:val="center"/>
              <w:rPr>
                <w:noProof/>
                <w:color w:val="000000" w:themeColor="text1"/>
                <w:szCs w:val="24"/>
              </w:rPr>
            </w:pPr>
            <w:r w:rsidRPr="004C70EC">
              <w:rPr>
                <w:noProof/>
                <w:color w:val="000000" w:themeColor="text1"/>
                <w:szCs w:val="24"/>
              </w:rPr>
              <w:t>YES</w:t>
            </w:r>
          </w:p>
        </w:tc>
        <w:tc>
          <w:tcPr>
            <w:tcW w:w="1463" w:type="dxa"/>
            <w:vAlign w:val="center"/>
          </w:tcPr>
          <w:p w14:paraId="532E1557" w14:textId="77777777" w:rsidR="00F64518" w:rsidRPr="004C70EC" w:rsidRDefault="00F64518" w:rsidP="00F64518">
            <w:pPr>
              <w:jc w:val="center"/>
              <w:rPr>
                <w:noProof/>
                <w:color w:val="000000" w:themeColor="text1"/>
                <w:szCs w:val="24"/>
              </w:rPr>
            </w:pPr>
            <w:r w:rsidRPr="004C70EC">
              <w:rPr>
                <w:noProof/>
                <w:color w:val="000000" w:themeColor="text1"/>
                <w:szCs w:val="24"/>
              </w:rPr>
              <w:t>NO</w:t>
            </w:r>
          </w:p>
        </w:tc>
      </w:tr>
      <w:tr w:rsidR="004A1163" w:rsidRPr="004C70EC" w14:paraId="38929B18" w14:textId="77777777" w:rsidTr="4CF51068">
        <w:trPr>
          <w:jc w:val="center"/>
        </w:trPr>
        <w:tc>
          <w:tcPr>
            <w:tcW w:w="1092" w:type="dxa"/>
            <w:vAlign w:val="center"/>
          </w:tcPr>
          <w:p w14:paraId="4C11CDA3" w14:textId="77777777" w:rsidR="007966CD" w:rsidRPr="004C70EC" w:rsidRDefault="007966CD">
            <w:pPr>
              <w:jc w:val="center"/>
              <w:rPr>
                <w:noProof/>
                <w:color w:val="000000" w:themeColor="text1"/>
                <w:szCs w:val="24"/>
              </w:rPr>
            </w:pPr>
            <w:r w:rsidRPr="004C70EC">
              <w:rPr>
                <w:noProof/>
                <w:color w:val="000000" w:themeColor="text1"/>
                <w:szCs w:val="24"/>
              </w:rPr>
              <w:t>2</w:t>
            </w:r>
          </w:p>
        </w:tc>
        <w:tc>
          <w:tcPr>
            <w:tcW w:w="4002" w:type="dxa"/>
            <w:vAlign w:val="center"/>
          </w:tcPr>
          <w:p w14:paraId="620AB902" w14:textId="77777777" w:rsidR="007966CD" w:rsidRPr="004C70EC" w:rsidRDefault="007966CD">
            <w:pPr>
              <w:spacing w:after="60"/>
              <w:rPr>
                <w:noProof/>
                <w:color w:val="000000" w:themeColor="text1"/>
                <w:szCs w:val="24"/>
              </w:rPr>
            </w:pPr>
            <w:r w:rsidRPr="004C70EC">
              <w:rPr>
                <w:noProof/>
                <w:color w:val="000000" w:themeColor="text1"/>
                <w:szCs w:val="24"/>
                <w:shd w:val="clear" w:color="auto" w:fill="FFFFFF"/>
              </w:rPr>
              <w:t>Union contribution to the European Medicines Agency </w:t>
            </w:r>
          </w:p>
        </w:tc>
        <w:tc>
          <w:tcPr>
            <w:tcW w:w="1092" w:type="dxa"/>
            <w:vAlign w:val="center"/>
          </w:tcPr>
          <w:p w14:paraId="506876EA" w14:textId="77777777" w:rsidR="007966CD" w:rsidRPr="004C70EC" w:rsidRDefault="007966CD">
            <w:pPr>
              <w:jc w:val="center"/>
              <w:rPr>
                <w:noProof/>
                <w:color w:val="000000" w:themeColor="text1"/>
                <w:szCs w:val="24"/>
              </w:rPr>
            </w:pPr>
            <w:r w:rsidRPr="004C70EC">
              <w:rPr>
                <w:noProof/>
                <w:color w:val="000000" w:themeColor="text1"/>
                <w:szCs w:val="24"/>
              </w:rPr>
              <w:t>Non-diff.</w:t>
            </w:r>
          </w:p>
        </w:tc>
        <w:tc>
          <w:tcPr>
            <w:tcW w:w="966" w:type="dxa"/>
            <w:vAlign w:val="center"/>
          </w:tcPr>
          <w:p w14:paraId="52A6CC25" w14:textId="77777777" w:rsidR="007966CD" w:rsidRPr="004C70EC" w:rsidRDefault="007966CD">
            <w:pPr>
              <w:jc w:val="center"/>
              <w:rPr>
                <w:noProof/>
                <w:color w:val="000000" w:themeColor="text1"/>
                <w:szCs w:val="24"/>
              </w:rPr>
            </w:pPr>
            <w:r w:rsidRPr="004C70EC">
              <w:rPr>
                <w:noProof/>
                <w:color w:val="000000" w:themeColor="text1"/>
                <w:szCs w:val="24"/>
              </w:rPr>
              <w:t>YES</w:t>
            </w:r>
          </w:p>
        </w:tc>
        <w:tc>
          <w:tcPr>
            <w:tcW w:w="1092" w:type="dxa"/>
            <w:vAlign w:val="center"/>
          </w:tcPr>
          <w:p w14:paraId="63F278D0" w14:textId="77777777" w:rsidR="007966CD" w:rsidRPr="004C70EC" w:rsidRDefault="007966CD">
            <w:pPr>
              <w:jc w:val="center"/>
              <w:rPr>
                <w:noProof/>
                <w:color w:val="000000" w:themeColor="text1"/>
                <w:szCs w:val="24"/>
              </w:rPr>
            </w:pPr>
            <w:r w:rsidRPr="004C70EC">
              <w:rPr>
                <w:noProof/>
                <w:color w:val="000000" w:themeColor="text1"/>
                <w:szCs w:val="24"/>
              </w:rPr>
              <w:t>YES</w:t>
            </w:r>
          </w:p>
        </w:tc>
        <w:tc>
          <w:tcPr>
            <w:tcW w:w="966" w:type="dxa"/>
            <w:vAlign w:val="center"/>
          </w:tcPr>
          <w:p w14:paraId="6811A771" w14:textId="77777777" w:rsidR="007966CD" w:rsidRPr="004C70EC" w:rsidRDefault="007966CD">
            <w:pPr>
              <w:jc w:val="center"/>
              <w:rPr>
                <w:noProof/>
                <w:color w:val="000000" w:themeColor="text1"/>
                <w:szCs w:val="24"/>
              </w:rPr>
            </w:pPr>
            <w:r w:rsidRPr="004C70EC">
              <w:rPr>
                <w:noProof/>
                <w:color w:val="000000" w:themeColor="text1"/>
                <w:szCs w:val="24"/>
              </w:rPr>
              <w:t>YES</w:t>
            </w:r>
          </w:p>
        </w:tc>
        <w:tc>
          <w:tcPr>
            <w:tcW w:w="1463" w:type="dxa"/>
            <w:vAlign w:val="center"/>
          </w:tcPr>
          <w:p w14:paraId="085178C4" w14:textId="77777777" w:rsidR="007966CD" w:rsidRPr="004C70EC" w:rsidRDefault="007966CD">
            <w:pPr>
              <w:jc w:val="center"/>
              <w:rPr>
                <w:noProof/>
                <w:color w:val="000000" w:themeColor="text1"/>
                <w:szCs w:val="24"/>
              </w:rPr>
            </w:pPr>
            <w:r w:rsidRPr="004C70EC">
              <w:rPr>
                <w:noProof/>
                <w:color w:val="000000" w:themeColor="text1"/>
                <w:szCs w:val="24"/>
              </w:rPr>
              <w:t>NO</w:t>
            </w:r>
          </w:p>
        </w:tc>
      </w:tr>
      <w:tr w:rsidR="004A1163" w:rsidRPr="004C70EC" w14:paraId="15FAE2B5" w14:textId="77777777" w:rsidTr="4CF51068">
        <w:trPr>
          <w:jc w:val="center"/>
        </w:trPr>
        <w:tc>
          <w:tcPr>
            <w:tcW w:w="1092" w:type="dxa"/>
            <w:vAlign w:val="center"/>
          </w:tcPr>
          <w:p w14:paraId="6B54C1C8" w14:textId="77777777" w:rsidR="007966CD" w:rsidRPr="004C70EC" w:rsidRDefault="007966CD">
            <w:pPr>
              <w:jc w:val="center"/>
              <w:rPr>
                <w:noProof/>
                <w:color w:val="000000" w:themeColor="text1"/>
                <w:szCs w:val="24"/>
              </w:rPr>
            </w:pPr>
            <w:r w:rsidRPr="004C70EC">
              <w:rPr>
                <w:noProof/>
                <w:color w:val="000000" w:themeColor="text1"/>
                <w:szCs w:val="24"/>
              </w:rPr>
              <w:t>2</w:t>
            </w:r>
          </w:p>
        </w:tc>
        <w:tc>
          <w:tcPr>
            <w:tcW w:w="4002" w:type="dxa"/>
            <w:vAlign w:val="center"/>
          </w:tcPr>
          <w:p w14:paraId="2D9AFC3C" w14:textId="77777777" w:rsidR="007966CD" w:rsidRPr="004C70EC" w:rsidRDefault="007966CD">
            <w:pPr>
              <w:spacing w:after="60"/>
              <w:rPr>
                <w:noProof/>
                <w:color w:val="000000" w:themeColor="text1"/>
                <w:szCs w:val="24"/>
                <w:shd w:val="clear" w:color="auto" w:fill="FFFFFF"/>
              </w:rPr>
            </w:pPr>
            <w:r w:rsidRPr="004C70EC">
              <w:rPr>
                <w:noProof/>
                <w:color w:val="000000" w:themeColor="text1"/>
                <w:szCs w:val="24"/>
                <w:shd w:val="clear" w:color="auto" w:fill="FFFFFF"/>
              </w:rPr>
              <w:t>Union contribution to the European Food Safety Agency </w:t>
            </w:r>
          </w:p>
        </w:tc>
        <w:tc>
          <w:tcPr>
            <w:tcW w:w="1092" w:type="dxa"/>
            <w:vAlign w:val="center"/>
          </w:tcPr>
          <w:p w14:paraId="2DCB56E6" w14:textId="77777777" w:rsidR="007966CD" w:rsidRPr="004C70EC" w:rsidRDefault="007966CD">
            <w:pPr>
              <w:jc w:val="center"/>
              <w:rPr>
                <w:noProof/>
                <w:color w:val="000000" w:themeColor="text1"/>
                <w:szCs w:val="24"/>
              </w:rPr>
            </w:pPr>
            <w:r w:rsidRPr="004C70EC">
              <w:rPr>
                <w:noProof/>
                <w:color w:val="000000" w:themeColor="text1"/>
                <w:szCs w:val="24"/>
              </w:rPr>
              <w:t>Diff.</w:t>
            </w:r>
          </w:p>
        </w:tc>
        <w:tc>
          <w:tcPr>
            <w:tcW w:w="966" w:type="dxa"/>
            <w:vAlign w:val="center"/>
          </w:tcPr>
          <w:p w14:paraId="6CD18BDF" w14:textId="77777777" w:rsidR="007966CD" w:rsidRPr="004C70EC" w:rsidRDefault="007966CD">
            <w:pPr>
              <w:jc w:val="center"/>
              <w:rPr>
                <w:noProof/>
                <w:color w:val="000000" w:themeColor="text1"/>
                <w:szCs w:val="24"/>
              </w:rPr>
            </w:pPr>
            <w:r w:rsidRPr="004C70EC">
              <w:rPr>
                <w:noProof/>
                <w:color w:val="000000" w:themeColor="text1"/>
                <w:szCs w:val="24"/>
              </w:rPr>
              <w:t>YES</w:t>
            </w:r>
          </w:p>
        </w:tc>
        <w:tc>
          <w:tcPr>
            <w:tcW w:w="1092" w:type="dxa"/>
            <w:vAlign w:val="center"/>
          </w:tcPr>
          <w:p w14:paraId="3DEFCD71" w14:textId="77777777" w:rsidR="007966CD" w:rsidRPr="004C70EC" w:rsidRDefault="007966CD">
            <w:pPr>
              <w:jc w:val="center"/>
              <w:rPr>
                <w:noProof/>
                <w:color w:val="000000" w:themeColor="text1"/>
                <w:szCs w:val="24"/>
              </w:rPr>
            </w:pPr>
            <w:r w:rsidRPr="004C70EC">
              <w:rPr>
                <w:noProof/>
                <w:color w:val="000000" w:themeColor="text1"/>
                <w:szCs w:val="24"/>
              </w:rPr>
              <w:t>YES</w:t>
            </w:r>
          </w:p>
        </w:tc>
        <w:tc>
          <w:tcPr>
            <w:tcW w:w="966" w:type="dxa"/>
            <w:vAlign w:val="center"/>
          </w:tcPr>
          <w:p w14:paraId="33A94364" w14:textId="77777777" w:rsidR="007966CD" w:rsidRPr="004C70EC" w:rsidRDefault="007966CD">
            <w:pPr>
              <w:jc w:val="center"/>
              <w:rPr>
                <w:noProof/>
                <w:color w:val="000000" w:themeColor="text1"/>
                <w:szCs w:val="24"/>
              </w:rPr>
            </w:pPr>
            <w:r w:rsidRPr="004C70EC">
              <w:rPr>
                <w:noProof/>
                <w:color w:val="000000" w:themeColor="text1"/>
                <w:szCs w:val="24"/>
              </w:rPr>
              <w:t>YES</w:t>
            </w:r>
          </w:p>
        </w:tc>
        <w:tc>
          <w:tcPr>
            <w:tcW w:w="1463" w:type="dxa"/>
            <w:vAlign w:val="center"/>
          </w:tcPr>
          <w:p w14:paraId="7F8B16E9" w14:textId="77777777" w:rsidR="007966CD" w:rsidRPr="004C70EC" w:rsidRDefault="007966CD">
            <w:pPr>
              <w:jc w:val="center"/>
              <w:rPr>
                <w:noProof/>
                <w:color w:val="000000" w:themeColor="text1"/>
                <w:szCs w:val="24"/>
              </w:rPr>
            </w:pPr>
            <w:r w:rsidRPr="004C70EC">
              <w:rPr>
                <w:noProof/>
                <w:color w:val="000000" w:themeColor="text1"/>
                <w:szCs w:val="24"/>
              </w:rPr>
              <w:t>NO</w:t>
            </w:r>
          </w:p>
        </w:tc>
      </w:tr>
      <w:tr w:rsidR="004A1163" w:rsidRPr="004C70EC" w14:paraId="33AE35C5" w14:textId="77777777" w:rsidTr="4CF51068">
        <w:trPr>
          <w:jc w:val="center"/>
        </w:trPr>
        <w:tc>
          <w:tcPr>
            <w:tcW w:w="1092" w:type="dxa"/>
            <w:vAlign w:val="center"/>
          </w:tcPr>
          <w:p w14:paraId="54D7E92F" w14:textId="77777777" w:rsidR="007966CD" w:rsidRPr="004C70EC" w:rsidRDefault="007966CD">
            <w:pPr>
              <w:jc w:val="center"/>
              <w:rPr>
                <w:noProof/>
                <w:color w:val="000000" w:themeColor="text1"/>
                <w:szCs w:val="24"/>
              </w:rPr>
            </w:pPr>
            <w:r w:rsidRPr="004C70EC">
              <w:rPr>
                <w:noProof/>
                <w:color w:val="000000" w:themeColor="text1"/>
                <w:szCs w:val="24"/>
              </w:rPr>
              <w:t>4</w:t>
            </w:r>
          </w:p>
        </w:tc>
        <w:tc>
          <w:tcPr>
            <w:tcW w:w="4002" w:type="dxa"/>
            <w:tcBorders>
              <w:top w:val="single" w:sz="6" w:space="0" w:color="auto"/>
              <w:left w:val="single" w:sz="6" w:space="0" w:color="auto"/>
              <w:bottom w:val="single" w:sz="6" w:space="0" w:color="auto"/>
              <w:right w:val="single" w:sz="6" w:space="0" w:color="auto"/>
            </w:tcBorders>
            <w:vAlign w:val="center"/>
          </w:tcPr>
          <w:p w14:paraId="7A198916" w14:textId="77777777" w:rsidR="007966CD" w:rsidRPr="004C70EC" w:rsidRDefault="007966CD">
            <w:pPr>
              <w:spacing w:after="60"/>
              <w:rPr>
                <w:noProof/>
                <w:color w:val="000000" w:themeColor="text1"/>
                <w:szCs w:val="24"/>
              </w:rPr>
            </w:pPr>
            <w:r w:rsidRPr="004C70EC">
              <w:rPr>
                <w:noProof/>
                <w:color w:val="000000" w:themeColor="text1"/>
                <w:szCs w:val="24"/>
              </w:rPr>
              <w:t>20 01 02 01 - Headquarters and Representation offices - officials and temporary staff </w:t>
            </w:r>
          </w:p>
        </w:tc>
        <w:tc>
          <w:tcPr>
            <w:tcW w:w="1092" w:type="dxa"/>
            <w:tcBorders>
              <w:top w:val="single" w:sz="6" w:space="0" w:color="auto"/>
              <w:left w:val="single" w:sz="6" w:space="0" w:color="auto"/>
              <w:bottom w:val="single" w:sz="6" w:space="0" w:color="auto"/>
              <w:right w:val="single" w:sz="6" w:space="0" w:color="auto"/>
            </w:tcBorders>
            <w:vAlign w:val="center"/>
          </w:tcPr>
          <w:p w14:paraId="40AD091A" w14:textId="77777777" w:rsidR="007966CD" w:rsidRPr="004C70EC" w:rsidRDefault="007966CD">
            <w:pPr>
              <w:jc w:val="center"/>
              <w:rPr>
                <w:noProof/>
                <w:color w:val="000000" w:themeColor="text1"/>
                <w:szCs w:val="24"/>
              </w:rPr>
            </w:pPr>
            <w:r w:rsidRPr="004C70EC">
              <w:rPr>
                <w:noProof/>
                <w:color w:val="000000" w:themeColor="text1"/>
                <w:szCs w:val="24"/>
              </w:rPr>
              <w:t>Non-diff. </w:t>
            </w:r>
          </w:p>
        </w:tc>
        <w:tc>
          <w:tcPr>
            <w:tcW w:w="966" w:type="dxa"/>
            <w:tcBorders>
              <w:top w:val="single" w:sz="6" w:space="0" w:color="auto"/>
              <w:left w:val="single" w:sz="6" w:space="0" w:color="auto"/>
              <w:bottom w:val="single" w:sz="6" w:space="0" w:color="auto"/>
              <w:right w:val="single" w:sz="6" w:space="0" w:color="auto"/>
            </w:tcBorders>
            <w:vAlign w:val="center"/>
          </w:tcPr>
          <w:p w14:paraId="49430AE1" w14:textId="77777777" w:rsidR="007966CD" w:rsidRPr="004C70EC" w:rsidRDefault="007966CD">
            <w:pPr>
              <w:jc w:val="center"/>
              <w:rPr>
                <w:noProof/>
                <w:color w:val="000000" w:themeColor="text1"/>
                <w:szCs w:val="24"/>
              </w:rPr>
            </w:pPr>
            <w:r w:rsidRPr="004C70EC">
              <w:rPr>
                <w:noProof/>
                <w:color w:val="000000" w:themeColor="text1"/>
                <w:szCs w:val="24"/>
              </w:rPr>
              <w:t>NO </w:t>
            </w:r>
          </w:p>
        </w:tc>
        <w:tc>
          <w:tcPr>
            <w:tcW w:w="1092" w:type="dxa"/>
            <w:tcBorders>
              <w:top w:val="single" w:sz="6" w:space="0" w:color="auto"/>
              <w:left w:val="single" w:sz="6" w:space="0" w:color="auto"/>
              <w:bottom w:val="single" w:sz="6" w:space="0" w:color="auto"/>
              <w:right w:val="single" w:sz="6" w:space="0" w:color="auto"/>
            </w:tcBorders>
            <w:vAlign w:val="center"/>
          </w:tcPr>
          <w:p w14:paraId="2C052AD0" w14:textId="77777777" w:rsidR="007966CD" w:rsidRPr="004C70EC" w:rsidRDefault="007966CD">
            <w:pPr>
              <w:jc w:val="center"/>
              <w:rPr>
                <w:noProof/>
                <w:color w:val="000000" w:themeColor="text1"/>
                <w:szCs w:val="24"/>
              </w:rPr>
            </w:pPr>
            <w:r w:rsidRPr="004C70EC">
              <w:rPr>
                <w:noProof/>
                <w:color w:val="000000" w:themeColor="text1"/>
                <w:szCs w:val="24"/>
              </w:rPr>
              <w:t>NO </w:t>
            </w:r>
          </w:p>
        </w:tc>
        <w:tc>
          <w:tcPr>
            <w:tcW w:w="966" w:type="dxa"/>
            <w:tcBorders>
              <w:top w:val="single" w:sz="6" w:space="0" w:color="auto"/>
              <w:left w:val="single" w:sz="6" w:space="0" w:color="auto"/>
              <w:bottom w:val="single" w:sz="6" w:space="0" w:color="auto"/>
              <w:right w:val="single" w:sz="6" w:space="0" w:color="auto"/>
            </w:tcBorders>
            <w:vAlign w:val="center"/>
          </w:tcPr>
          <w:p w14:paraId="5D483591" w14:textId="77777777" w:rsidR="007966CD" w:rsidRPr="004C70EC" w:rsidRDefault="007966CD">
            <w:pPr>
              <w:jc w:val="center"/>
              <w:rPr>
                <w:noProof/>
                <w:color w:val="000000" w:themeColor="text1"/>
                <w:szCs w:val="24"/>
              </w:rPr>
            </w:pPr>
            <w:r w:rsidRPr="004C70EC">
              <w:rPr>
                <w:noProof/>
                <w:color w:val="000000" w:themeColor="text1"/>
                <w:szCs w:val="24"/>
              </w:rPr>
              <w:t>NO </w:t>
            </w:r>
          </w:p>
        </w:tc>
        <w:tc>
          <w:tcPr>
            <w:tcW w:w="1463" w:type="dxa"/>
            <w:tcBorders>
              <w:top w:val="single" w:sz="6" w:space="0" w:color="auto"/>
              <w:left w:val="single" w:sz="6" w:space="0" w:color="auto"/>
              <w:bottom w:val="single" w:sz="6" w:space="0" w:color="auto"/>
              <w:right w:val="single" w:sz="6" w:space="0" w:color="auto"/>
            </w:tcBorders>
            <w:vAlign w:val="center"/>
          </w:tcPr>
          <w:p w14:paraId="363BEADF" w14:textId="77777777" w:rsidR="007966CD" w:rsidRPr="004C70EC" w:rsidRDefault="007966CD">
            <w:pPr>
              <w:jc w:val="center"/>
              <w:rPr>
                <w:noProof/>
                <w:color w:val="000000" w:themeColor="text1"/>
                <w:szCs w:val="24"/>
              </w:rPr>
            </w:pPr>
            <w:r w:rsidRPr="004C70EC">
              <w:rPr>
                <w:noProof/>
                <w:color w:val="000000" w:themeColor="text1"/>
                <w:szCs w:val="24"/>
              </w:rPr>
              <w:t>NO </w:t>
            </w:r>
          </w:p>
        </w:tc>
      </w:tr>
      <w:tr w:rsidR="004A1163" w:rsidRPr="004C70EC" w14:paraId="2D6440BB" w14:textId="77777777" w:rsidTr="4CF51068">
        <w:trPr>
          <w:jc w:val="center"/>
        </w:trPr>
        <w:tc>
          <w:tcPr>
            <w:tcW w:w="1092" w:type="dxa"/>
            <w:tcBorders>
              <w:top w:val="single" w:sz="6" w:space="0" w:color="auto"/>
              <w:left w:val="single" w:sz="6" w:space="0" w:color="auto"/>
              <w:bottom w:val="single" w:sz="6" w:space="0" w:color="auto"/>
              <w:right w:val="single" w:sz="6" w:space="0" w:color="auto"/>
            </w:tcBorders>
            <w:vAlign w:val="center"/>
          </w:tcPr>
          <w:p w14:paraId="3D51885B" w14:textId="77777777" w:rsidR="007966CD" w:rsidRPr="004C70EC" w:rsidRDefault="007966CD">
            <w:pPr>
              <w:jc w:val="center"/>
              <w:rPr>
                <w:noProof/>
                <w:color w:val="000000" w:themeColor="text1"/>
                <w:szCs w:val="24"/>
              </w:rPr>
            </w:pPr>
            <w:r w:rsidRPr="004C70EC">
              <w:rPr>
                <w:noProof/>
                <w:color w:val="000000" w:themeColor="text1"/>
                <w:szCs w:val="24"/>
              </w:rPr>
              <w:t>4 </w:t>
            </w:r>
          </w:p>
        </w:tc>
        <w:tc>
          <w:tcPr>
            <w:tcW w:w="4002" w:type="dxa"/>
            <w:tcBorders>
              <w:top w:val="single" w:sz="6" w:space="0" w:color="auto"/>
              <w:left w:val="single" w:sz="6" w:space="0" w:color="auto"/>
              <w:bottom w:val="single" w:sz="6" w:space="0" w:color="auto"/>
              <w:right w:val="single" w:sz="6" w:space="0" w:color="auto"/>
            </w:tcBorders>
            <w:vAlign w:val="center"/>
          </w:tcPr>
          <w:p w14:paraId="7BE8D0F7" w14:textId="77777777" w:rsidR="007966CD" w:rsidRPr="004C70EC" w:rsidRDefault="007966CD">
            <w:pPr>
              <w:spacing w:before="0" w:after="0"/>
              <w:textAlignment w:val="baseline"/>
              <w:rPr>
                <w:rFonts w:eastAsia="Times New Roman"/>
                <w:noProof/>
                <w:color w:val="000000" w:themeColor="text1"/>
                <w:szCs w:val="24"/>
                <w:lang w:val="en-IE" w:eastAsia="en-IE"/>
              </w:rPr>
            </w:pPr>
            <w:r w:rsidRPr="004C70EC">
              <w:rPr>
                <w:rFonts w:eastAsia="Times New Roman"/>
                <w:noProof/>
                <w:color w:val="000000" w:themeColor="text1"/>
                <w:szCs w:val="24"/>
                <w:lang w:eastAsia="en-IE"/>
              </w:rPr>
              <w:t>20 02 01 and 20 02 02 – External personnel – Headquarters and Representation offices</w:t>
            </w:r>
            <w:r w:rsidRPr="004C70EC">
              <w:rPr>
                <w:rFonts w:eastAsia="Times New Roman"/>
                <w:noProof/>
                <w:color w:val="000000" w:themeColor="text1"/>
                <w:szCs w:val="24"/>
                <w:lang w:val="en-IE" w:eastAsia="en-IE"/>
              </w:rPr>
              <w:t> </w:t>
            </w:r>
          </w:p>
          <w:p w14:paraId="2DA57FA1" w14:textId="77777777" w:rsidR="007966CD" w:rsidRPr="004C70EC" w:rsidRDefault="007966CD">
            <w:pPr>
              <w:spacing w:after="60"/>
              <w:rPr>
                <w:noProof/>
                <w:color w:val="000000" w:themeColor="text1"/>
                <w:szCs w:val="24"/>
              </w:rPr>
            </w:pPr>
            <w:r w:rsidRPr="004C70EC">
              <w:rPr>
                <w:noProof/>
                <w:color w:val="000000" w:themeColor="text1"/>
                <w:szCs w:val="24"/>
              </w:rPr>
              <w:t> </w:t>
            </w:r>
          </w:p>
        </w:tc>
        <w:tc>
          <w:tcPr>
            <w:tcW w:w="1092" w:type="dxa"/>
            <w:tcBorders>
              <w:top w:val="single" w:sz="6" w:space="0" w:color="auto"/>
              <w:left w:val="single" w:sz="6" w:space="0" w:color="auto"/>
              <w:bottom w:val="single" w:sz="6" w:space="0" w:color="auto"/>
              <w:right w:val="single" w:sz="6" w:space="0" w:color="auto"/>
            </w:tcBorders>
            <w:vAlign w:val="center"/>
          </w:tcPr>
          <w:p w14:paraId="411E0C8B" w14:textId="77777777" w:rsidR="007966CD" w:rsidRPr="004C70EC" w:rsidRDefault="007966CD">
            <w:pPr>
              <w:jc w:val="center"/>
              <w:rPr>
                <w:noProof/>
                <w:color w:val="000000" w:themeColor="text1"/>
                <w:szCs w:val="24"/>
              </w:rPr>
            </w:pPr>
            <w:r w:rsidRPr="004C70EC">
              <w:rPr>
                <w:noProof/>
                <w:color w:val="000000" w:themeColor="text1"/>
                <w:szCs w:val="24"/>
              </w:rPr>
              <w:t>Non-diff. </w:t>
            </w:r>
          </w:p>
        </w:tc>
        <w:tc>
          <w:tcPr>
            <w:tcW w:w="966" w:type="dxa"/>
            <w:tcBorders>
              <w:top w:val="single" w:sz="6" w:space="0" w:color="auto"/>
              <w:left w:val="single" w:sz="6" w:space="0" w:color="auto"/>
              <w:bottom w:val="single" w:sz="6" w:space="0" w:color="auto"/>
              <w:right w:val="single" w:sz="6" w:space="0" w:color="auto"/>
            </w:tcBorders>
            <w:vAlign w:val="center"/>
          </w:tcPr>
          <w:p w14:paraId="38D40E28" w14:textId="77777777" w:rsidR="007966CD" w:rsidRPr="004C70EC" w:rsidRDefault="007966CD">
            <w:pPr>
              <w:jc w:val="center"/>
              <w:rPr>
                <w:noProof/>
                <w:color w:val="000000" w:themeColor="text1"/>
                <w:szCs w:val="24"/>
              </w:rPr>
            </w:pPr>
            <w:r w:rsidRPr="004C70EC">
              <w:rPr>
                <w:noProof/>
                <w:color w:val="000000" w:themeColor="text1"/>
                <w:szCs w:val="24"/>
              </w:rPr>
              <w:t>NO </w:t>
            </w:r>
          </w:p>
        </w:tc>
        <w:tc>
          <w:tcPr>
            <w:tcW w:w="1092" w:type="dxa"/>
            <w:tcBorders>
              <w:top w:val="single" w:sz="6" w:space="0" w:color="auto"/>
              <w:left w:val="single" w:sz="6" w:space="0" w:color="auto"/>
              <w:bottom w:val="single" w:sz="6" w:space="0" w:color="auto"/>
              <w:right w:val="single" w:sz="6" w:space="0" w:color="auto"/>
            </w:tcBorders>
            <w:vAlign w:val="center"/>
          </w:tcPr>
          <w:p w14:paraId="3A2FF052" w14:textId="77777777" w:rsidR="007966CD" w:rsidRPr="004C70EC" w:rsidRDefault="007966CD">
            <w:pPr>
              <w:jc w:val="center"/>
              <w:rPr>
                <w:noProof/>
                <w:color w:val="000000" w:themeColor="text1"/>
                <w:szCs w:val="24"/>
              </w:rPr>
            </w:pPr>
            <w:r w:rsidRPr="004C70EC">
              <w:rPr>
                <w:noProof/>
                <w:color w:val="000000" w:themeColor="text1"/>
                <w:szCs w:val="24"/>
              </w:rPr>
              <w:t>NO </w:t>
            </w:r>
          </w:p>
        </w:tc>
        <w:tc>
          <w:tcPr>
            <w:tcW w:w="966" w:type="dxa"/>
            <w:tcBorders>
              <w:top w:val="single" w:sz="6" w:space="0" w:color="auto"/>
              <w:left w:val="single" w:sz="6" w:space="0" w:color="auto"/>
              <w:bottom w:val="single" w:sz="6" w:space="0" w:color="auto"/>
              <w:right w:val="single" w:sz="6" w:space="0" w:color="auto"/>
            </w:tcBorders>
            <w:vAlign w:val="center"/>
          </w:tcPr>
          <w:p w14:paraId="5C2340D2" w14:textId="77777777" w:rsidR="007966CD" w:rsidRPr="004C70EC" w:rsidRDefault="007966CD">
            <w:pPr>
              <w:jc w:val="center"/>
              <w:rPr>
                <w:noProof/>
                <w:color w:val="000000" w:themeColor="text1"/>
                <w:szCs w:val="24"/>
              </w:rPr>
            </w:pPr>
            <w:r w:rsidRPr="004C70EC">
              <w:rPr>
                <w:noProof/>
                <w:color w:val="000000" w:themeColor="text1"/>
                <w:szCs w:val="24"/>
              </w:rPr>
              <w:t>NO </w:t>
            </w:r>
          </w:p>
        </w:tc>
        <w:tc>
          <w:tcPr>
            <w:tcW w:w="1463" w:type="dxa"/>
            <w:tcBorders>
              <w:top w:val="single" w:sz="6" w:space="0" w:color="auto"/>
              <w:left w:val="single" w:sz="6" w:space="0" w:color="auto"/>
              <w:bottom w:val="single" w:sz="6" w:space="0" w:color="auto"/>
              <w:right w:val="single" w:sz="6" w:space="0" w:color="auto"/>
            </w:tcBorders>
            <w:vAlign w:val="center"/>
          </w:tcPr>
          <w:p w14:paraId="4F7A999F" w14:textId="77777777" w:rsidR="007966CD" w:rsidRPr="004C70EC" w:rsidRDefault="007966CD">
            <w:pPr>
              <w:jc w:val="center"/>
              <w:rPr>
                <w:noProof/>
                <w:color w:val="000000" w:themeColor="text1"/>
                <w:szCs w:val="24"/>
              </w:rPr>
            </w:pPr>
            <w:r w:rsidRPr="004C70EC">
              <w:rPr>
                <w:noProof/>
                <w:color w:val="000000" w:themeColor="text1"/>
                <w:szCs w:val="24"/>
              </w:rPr>
              <w:t>NO </w:t>
            </w:r>
          </w:p>
        </w:tc>
      </w:tr>
      <w:tr w:rsidR="004A1163" w:rsidRPr="004C70EC" w14:paraId="61EFD17B" w14:textId="77777777" w:rsidTr="4CF51068">
        <w:trPr>
          <w:jc w:val="center"/>
        </w:trPr>
        <w:tc>
          <w:tcPr>
            <w:tcW w:w="1092" w:type="dxa"/>
            <w:vAlign w:val="center"/>
          </w:tcPr>
          <w:p w14:paraId="7A1402D9" w14:textId="77777777" w:rsidR="007966CD" w:rsidRPr="004C70EC" w:rsidRDefault="007966CD">
            <w:pPr>
              <w:jc w:val="center"/>
              <w:rPr>
                <w:noProof/>
                <w:color w:val="000000" w:themeColor="text1"/>
                <w:szCs w:val="24"/>
              </w:rPr>
            </w:pPr>
            <w:r w:rsidRPr="004C70EC">
              <w:rPr>
                <w:noProof/>
                <w:color w:val="000000" w:themeColor="text1"/>
                <w:szCs w:val="24"/>
              </w:rPr>
              <w:t>4</w:t>
            </w:r>
          </w:p>
        </w:tc>
        <w:tc>
          <w:tcPr>
            <w:tcW w:w="4002" w:type="dxa"/>
            <w:tcBorders>
              <w:top w:val="single" w:sz="6" w:space="0" w:color="auto"/>
              <w:left w:val="single" w:sz="6" w:space="0" w:color="auto"/>
              <w:bottom w:val="single" w:sz="6" w:space="0" w:color="auto"/>
              <w:right w:val="single" w:sz="6" w:space="0" w:color="auto"/>
            </w:tcBorders>
            <w:vAlign w:val="center"/>
          </w:tcPr>
          <w:p w14:paraId="6CBE3285" w14:textId="77777777" w:rsidR="007966CD" w:rsidRPr="004C70EC" w:rsidRDefault="007966CD">
            <w:pPr>
              <w:spacing w:after="60"/>
              <w:rPr>
                <w:noProof/>
                <w:color w:val="000000" w:themeColor="text1"/>
                <w:szCs w:val="24"/>
              </w:rPr>
            </w:pPr>
            <w:r w:rsidRPr="004C70EC">
              <w:rPr>
                <w:noProof/>
                <w:color w:val="000000" w:themeColor="text1"/>
                <w:szCs w:val="24"/>
              </w:rPr>
              <w:t>20 02 06 02 - Conference and meeting costs</w:t>
            </w:r>
          </w:p>
        </w:tc>
        <w:tc>
          <w:tcPr>
            <w:tcW w:w="1092" w:type="dxa"/>
            <w:tcBorders>
              <w:top w:val="single" w:sz="6" w:space="0" w:color="auto"/>
              <w:left w:val="single" w:sz="6" w:space="0" w:color="auto"/>
              <w:bottom w:val="single" w:sz="6" w:space="0" w:color="auto"/>
              <w:right w:val="single" w:sz="6" w:space="0" w:color="auto"/>
            </w:tcBorders>
            <w:vAlign w:val="center"/>
          </w:tcPr>
          <w:p w14:paraId="57A5038A" w14:textId="77777777" w:rsidR="007966CD" w:rsidRPr="004C70EC" w:rsidRDefault="007966CD">
            <w:pPr>
              <w:jc w:val="center"/>
              <w:rPr>
                <w:noProof/>
                <w:color w:val="000000" w:themeColor="text1"/>
                <w:szCs w:val="24"/>
              </w:rPr>
            </w:pPr>
            <w:r w:rsidRPr="004C70EC">
              <w:rPr>
                <w:noProof/>
                <w:color w:val="000000" w:themeColor="text1"/>
                <w:szCs w:val="24"/>
              </w:rPr>
              <w:t>Non-diff. </w:t>
            </w:r>
          </w:p>
        </w:tc>
        <w:tc>
          <w:tcPr>
            <w:tcW w:w="966" w:type="dxa"/>
            <w:tcBorders>
              <w:top w:val="single" w:sz="6" w:space="0" w:color="auto"/>
              <w:left w:val="single" w:sz="6" w:space="0" w:color="auto"/>
              <w:bottom w:val="single" w:sz="6" w:space="0" w:color="auto"/>
              <w:right w:val="single" w:sz="6" w:space="0" w:color="auto"/>
            </w:tcBorders>
            <w:vAlign w:val="center"/>
          </w:tcPr>
          <w:p w14:paraId="70859C46" w14:textId="77777777" w:rsidR="007966CD" w:rsidRPr="004C70EC" w:rsidRDefault="007966CD">
            <w:pPr>
              <w:jc w:val="center"/>
              <w:rPr>
                <w:noProof/>
                <w:color w:val="000000" w:themeColor="text1"/>
                <w:szCs w:val="24"/>
              </w:rPr>
            </w:pPr>
            <w:r w:rsidRPr="004C70EC">
              <w:rPr>
                <w:noProof/>
                <w:color w:val="000000" w:themeColor="text1"/>
                <w:szCs w:val="24"/>
              </w:rPr>
              <w:t>NO </w:t>
            </w:r>
          </w:p>
        </w:tc>
        <w:tc>
          <w:tcPr>
            <w:tcW w:w="1092" w:type="dxa"/>
            <w:tcBorders>
              <w:top w:val="single" w:sz="6" w:space="0" w:color="auto"/>
              <w:left w:val="single" w:sz="6" w:space="0" w:color="auto"/>
              <w:bottom w:val="single" w:sz="6" w:space="0" w:color="auto"/>
              <w:right w:val="single" w:sz="6" w:space="0" w:color="auto"/>
            </w:tcBorders>
            <w:vAlign w:val="center"/>
          </w:tcPr>
          <w:p w14:paraId="50C90CC9" w14:textId="77777777" w:rsidR="007966CD" w:rsidRPr="004C70EC" w:rsidRDefault="007966CD">
            <w:pPr>
              <w:jc w:val="center"/>
              <w:rPr>
                <w:noProof/>
                <w:color w:val="000000" w:themeColor="text1"/>
                <w:szCs w:val="24"/>
              </w:rPr>
            </w:pPr>
            <w:r w:rsidRPr="004C70EC">
              <w:rPr>
                <w:noProof/>
                <w:color w:val="000000" w:themeColor="text1"/>
                <w:szCs w:val="24"/>
              </w:rPr>
              <w:t>NO </w:t>
            </w:r>
          </w:p>
        </w:tc>
        <w:tc>
          <w:tcPr>
            <w:tcW w:w="966" w:type="dxa"/>
            <w:tcBorders>
              <w:top w:val="single" w:sz="6" w:space="0" w:color="auto"/>
              <w:left w:val="single" w:sz="6" w:space="0" w:color="auto"/>
              <w:bottom w:val="single" w:sz="6" w:space="0" w:color="auto"/>
              <w:right w:val="single" w:sz="6" w:space="0" w:color="auto"/>
            </w:tcBorders>
            <w:vAlign w:val="center"/>
          </w:tcPr>
          <w:p w14:paraId="4BFC4F77" w14:textId="77777777" w:rsidR="007966CD" w:rsidRPr="004C70EC" w:rsidRDefault="007966CD">
            <w:pPr>
              <w:jc w:val="center"/>
              <w:rPr>
                <w:noProof/>
                <w:color w:val="000000" w:themeColor="text1"/>
                <w:szCs w:val="24"/>
              </w:rPr>
            </w:pPr>
            <w:r w:rsidRPr="004C70EC">
              <w:rPr>
                <w:noProof/>
                <w:color w:val="000000" w:themeColor="text1"/>
                <w:szCs w:val="24"/>
              </w:rPr>
              <w:t>NO </w:t>
            </w:r>
          </w:p>
        </w:tc>
        <w:tc>
          <w:tcPr>
            <w:tcW w:w="1463" w:type="dxa"/>
            <w:tcBorders>
              <w:top w:val="single" w:sz="6" w:space="0" w:color="auto"/>
              <w:left w:val="single" w:sz="6" w:space="0" w:color="auto"/>
              <w:bottom w:val="single" w:sz="6" w:space="0" w:color="auto"/>
              <w:right w:val="single" w:sz="6" w:space="0" w:color="auto"/>
            </w:tcBorders>
            <w:vAlign w:val="center"/>
          </w:tcPr>
          <w:p w14:paraId="298156E8" w14:textId="77777777" w:rsidR="007966CD" w:rsidRPr="004C70EC" w:rsidRDefault="007966CD">
            <w:pPr>
              <w:jc w:val="center"/>
              <w:rPr>
                <w:noProof/>
                <w:color w:val="000000" w:themeColor="text1"/>
                <w:szCs w:val="24"/>
              </w:rPr>
            </w:pPr>
            <w:r w:rsidRPr="004C70EC">
              <w:rPr>
                <w:noProof/>
                <w:color w:val="000000" w:themeColor="text1"/>
                <w:szCs w:val="24"/>
              </w:rPr>
              <w:t>NO </w:t>
            </w:r>
          </w:p>
        </w:tc>
      </w:tr>
      <w:tr w:rsidR="004A1163" w:rsidRPr="004C70EC" w14:paraId="391F9ED5" w14:textId="77777777" w:rsidTr="4CF51068">
        <w:trPr>
          <w:jc w:val="center"/>
        </w:trPr>
        <w:tc>
          <w:tcPr>
            <w:tcW w:w="1092" w:type="dxa"/>
            <w:tcBorders>
              <w:top w:val="single" w:sz="6" w:space="0" w:color="auto"/>
              <w:left w:val="single" w:sz="6" w:space="0" w:color="auto"/>
              <w:bottom w:val="single" w:sz="6" w:space="0" w:color="auto"/>
              <w:right w:val="single" w:sz="6" w:space="0" w:color="auto"/>
            </w:tcBorders>
            <w:vAlign w:val="center"/>
          </w:tcPr>
          <w:p w14:paraId="4844354C" w14:textId="77777777" w:rsidR="007966CD" w:rsidRPr="004C70EC" w:rsidRDefault="007966CD">
            <w:pPr>
              <w:jc w:val="center"/>
              <w:rPr>
                <w:noProof/>
                <w:color w:val="000000" w:themeColor="text1"/>
                <w:szCs w:val="24"/>
              </w:rPr>
            </w:pPr>
            <w:r w:rsidRPr="004C70EC">
              <w:rPr>
                <w:noProof/>
                <w:color w:val="000000" w:themeColor="text1"/>
                <w:szCs w:val="24"/>
              </w:rPr>
              <w:t>4 </w:t>
            </w:r>
          </w:p>
        </w:tc>
        <w:tc>
          <w:tcPr>
            <w:tcW w:w="4002" w:type="dxa"/>
            <w:tcBorders>
              <w:top w:val="single" w:sz="6" w:space="0" w:color="auto"/>
              <w:left w:val="single" w:sz="6" w:space="0" w:color="auto"/>
              <w:bottom w:val="single" w:sz="6" w:space="0" w:color="auto"/>
              <w:right w:val="single" w:sz="6" w:space="0" w:color="auto"/>
            </w:tcBorders>
            <w:vAlign w:val="center"/>
          </w:tcPr>
          <w:p w14:paraId="7BBD87BC" w14:textId="77777777" w:rsidR="007966CD" w:rsidRPr="004C70EC" w:rsidRDefault="007966CD">
            <w:pPr>
              <w:spacing w:after="60"/>
              <w:rPr>
                <w:noProof/>
                <w:color w:val="000000" w:themeColor="text1"/>
                <w:szCs w:val="24"/>
              </w:rPr>
            </w:pPr>
            <w:r w:rsidRPr="004C70EC">
              <w:rPr>
                <w:noProof/>
                <w:color w:val="000000" w:themeColor="text1"/>
                <w:szCs w:val="24"/>
              </w:rPr>
              <w:t>20 02 06 01 - Missions, conferences and representation expenses </w:t>
            </w:r>
          </w:p>
        </w:tc>
        <w:tc>
          <w:tcPr>
            <w:tcW w:w="1092" w:type="dxa"/>
            <w:tcBorders>
              <w:top w:val="single" w:sz="6" w:space="0" w:color="auto"/>
              <w:left w:val="single" w:sz="6" w:space="0" w:color="auto"/>
              <w:bottom w:val="single" w:sz="6" w:space="0" w:color="auto"/>
              <w:right w:val="single" w:sz="6" w:space="0" w:color="auto"/>
            </w:tcBorders>
            <w:vAlign w:val="center"/>
          </w:tcPr>
          <w:p w14:paraId="310D436A" w14:textId="77777777" w:rsidR="007966CD" w:rsidRPr="004C70EC" w:rsidRDefault="007966CD">
            <w:pPr>
              <w:jc w:val="center"/>
              <w:rPr>
                <w:noProof/>
                <w:color w:val="000000" w:themeColor="text1"/>
                <w:szCs w:val="24"/>
              </w:rPr>
            </w:pPr>
            <w:r w:rsidRPr="004C70EC">
              <w:rPr>
                <w:noProof/>
                <w:color w:val="000000" w:themeColor="text1"/>
                <w:szCs w:val="24"/>
              </w:rPr>
              <w:t>Non-diff. </w:t>
            </w:r>
          </w:p>
        </w:tc>
        <w:tc>
          <w:tcPr>
            <w:tcW w:w="966" w:type="dxa"/>
            <w:tcBorders>
              <w:top w:val="single" w:sz="6" w:space="0" w:color="auto"/>
              <w:left w:val="single" w:sz="6" w:space="0" w:color="auto"/>
              <w:bottom w:val="single" w:sz="6" w:space="0" w:color="auto"/>
              <w:right w:val="single" w:sz="6" w:space="0" w:color="auto"/>
            </w:tcBorders>
            <w:vAlign w:val="center"/>
          </w:tcPr>
          <w:p w14:paraId="64E006C2" w14:textId="77777777" w:rsidR="007966CD" w:rsidRPr="004C70EC" w:rsidRDefault="007966CD">
            <w:pPr>
              <w:jc w:val="center"/>
              <w:rPr>
                <w:noProof/>
                <w:color w:val="000000" w:themeColor="text1"/>
                <w:szCs w:val="24"/>
              </w:rPr>
            </w:pPr>
            <w:r w:rsidRPr="004C70EC">
              <w:rPr>
                <w:noProof/>
                <w:color w:val="000000" w:themeColor="text1"/>
                <w:szCs w:val="24"/>
              </w:rPr>
              <w:t>NO </w:t>
            </w:r>
          </w:p>
        </w:tc>
        <w:tc>
          <w:tcPr>
            <w:tcW w:w="1092" w:type="dxa"/>
            <w:tcBorders>
              <w:top w:val="single" w:sz="6" w:space="0" w:color="auto"/>
              <w:left w:val="single" w:sz="6" w:space="0" w:color="auto"/>
              <w:bottom w:val="single" w:sz="6" w:space="0" w:color="auto"/>
              <w:right w:val="single" w:sz="6" w:space="0" w:color="auto"/>
            </w:tcBorders>
            <w:vAlign w:val="center"/>
          </w:tcPr>
          <w:p w14:paraId="017024BC" w14:textId="77777777" w:rsidR="007966CD" w:rsidRPr="004C70EC" w:rsidRDefault="007966CD">
            <w:pPr>
              <w:jc w:val="center"/>
              <w:rPr>
                <w:noProof/>
                <w:color w:val="000000" w:themeColor="text1"/>
                <w:szCs w:val="24"/>
              </w:rPr>
            </w:pPr>
            <w:r w:rsidRPr="004C70EC">
              <w:rPr>
                <w:noProof/>
                <w:color w:val="000000" w:themeColor="text1"/>
                <w:szCs w:val="24"/>
              </w:rPr>
              <w:t>NO </w:t>
            </w:r>
          </w:p>
        </w:tc>
        <w:tc>
          <w:tcPr>
            <w:tcW w:w="966" w:type="dxa"/>
            <w:tcBorders>
              <w:top w:val="single" w:sz="6" w:space="0" w:color="auto"/>
              <w:left w:val="single" w:sz="6" w:space="0" w:color="auto"/>
              <w:bottom w:val="single" w:sz="6" w:space="0" w:color="auto"/>
              <w:right w:val="single" w:sz="6" w:space="0" w:color="auto"/>
            </w:tcBorders>
            <w:vAlign w:val="center"/>
          </w:tcPr>
          <w:p w14:paraId="463DF51F" w14:textId="77777777" w:rsidR="007966CD" w:rsidRPr="004C70EC" w:rsidRDefault="007966CD">
            <w:pPr>
              <w:jc w:val="center"/>
              <w:rPr>
                <w:noProof/>
                <w:color w:val="000000" w:themeColor="text1"/>
                <w:szCs w:val="24"/>
              </w:rPr>
            </w:pPr>
            <w:r w:rsidRPr="004C70EC">
              <w:rPr>
                <w:noProof/>
                <w:color w:val="000000" w:themeColor="text1"/>
                <w:szCs w:val="24"/>
              </w:rPr>
              <w:t>NO </w:t>
            </w:r>
          </w:p>
        </w:tc>
        <w:tc>
          <w:tcPr>
            <w:tcW w:w="1463" w:type="dxa"/>
            <w:tcBorders>
              <w:top w:val="single" w:sz="6" w:space="0" w:color="auto"/>
              <w:left w:val="single" w:sz="6" w:space="0" w:color="auto"/>
              <w:bottom w:val="single" w:sz="6" w:space="0" w:color="auto"/>
              <w:right w:val="single" w:sz="6" w:space="0" w:color="auto"/>
            </w:tcBorders>
            <w:vAlign w:val="center"/>
          </w:tcPr>
          <w:p w14:paraId="51F18246" w14:textId="77777777" w:rsidR="007966CD" w:rsidRPr="004C70EC" w:rsidRDefault="007966CD">
            <w:pPr>
              <w:jc w:val="center"/>
              <w:rPr>
                <w:noProof/>
                <w:color w:val="000000" w:themeColor="text1"/>
                <w:szCs w:val="24"/>
              </w:rPr>
            </w:pPr>
            <w:r w:rsidRPr="004C70EC">
              <w:rPr>
                <w:noProof/>
                <w:color w:val="000000" w:themeColor="text1"/>
                <w:szCs w:val="24"/>
              </w:rPr>
              <w:t>NO </w:t>
            </w:r>
          </w:p>
        </w:tc>
      </w:tr>
    </w:tbl>
    <w:p w14:paraId="0D1D1E55" w14:textId="77777777" w:rsidR="007966CD" w:rsidRPr="004C70EC" w:rsidRDefault="007966CD">
      <w:pPr>
        <w:pStyle w:val="Text1"/>
        <w:rPr>
          <w:i/>
          <w:noProof/>
          <w:color w:val="000000" w:themeColor="text1"/>
          <w:szCs w:val="24"/>
        </w:rPr>
      </w:pPr>
    </w:p>
    <w:p w14:paraId="31216B43" w14:textId="77777777" w:rsidR="007966CD" w:rsidRPr="004C70EC" w:rsidRDefault="007966CD">
      <w:pPr>
        <w:rPr>
          <w:noProof/>
          <w:color w:val="000000" w:themeColor="text1"/>
          <w:szCs w:val="24"/>
        </w:rPr>
        <w:sectPr w:rsidR="007966CD" w:rsidRPr="004C70EC" w:rsidSect="007A289E">
          <w:footnotePr>
            <w:numRestart w:val="eachSect"/>
          </w:footnotePr>
          <w:pgSz w:w="11907" w:h="16840" w:code="1"/>
          <w:pgMar w:top="1134" w:right="1418" w:bottom="1134" w:left="1418" w:header="709" w:footer="709" w:gutter="0"/>
          <w:cols w:space="708"/>
          <w:docGrid w:linePitch="360"/>
        </w:sectPr>
      </w:pPr>
    </w:p>
    <w:p w14:paraId="6A1CAEA5" w14:textId="77777777" w:rsidR="007966CD" w:rsidRPr="004C70EC" w:rsidRDefault="007966CD">
      <w:pPr>
        <w:pStyle w:val="ManualHeading2"/>
        <w:rPr>
          <w:bCs/>
          <w:noProof/>
          <w:color w:val="000000" w:themeColor="text1"/>
          <w:szCs w:val="24"/>
        </w:rPr>
      </w:pPr>
      <w:bookmarkStart w:id="65" w:name="_TocFC18DFCB5E3A4A349ADAFBB7196F6173"/>
      <w:r w:rsidRPr="004C70EC">
        <w:rPr>
          <w:noProof/>
          <w:color w:val="000000" w:themeColor="text1"/>
          <w:szCs w:val="24"/>
        </w:rPr>
        <w:t>3.2.</w:t>
      </w:r>
      <w:r w:rsidRPr="004C70EC">
        <w:rPr>
          <w:noProof/>
          <w:color w:val="000000" w:themeColor="text1"/>
          <w:szCs w:val="24"/>
        </w:rPr>
        <w:tab/>
        <w:t xml:space="preserve">Estimated financial impact of the proposal on appropriations </w:t>
      </w:r>
      <w:bookmarkEnd w:id="65"/>
    </w:p>
    <w:p w14:paraId="6964F0D1" w14:textId="77777777" w:rsidR="007966CD" w:rsidRPr="004C70EC" w:rsidRDefault="007966CD">
      <w:pPr>
        <w:pStyle w:val="ManualHeading3"/>
        <w:rPr>
          <w:noProof/>
          <w:color w:val="000000" w:themeColor="text1"/>
          <w:szCs w:val="24"/>
        </w:rPr>
      </w:pPr>
      <w:bookmarkStart w:id="66" w:name="_TocBE9DF3CCFA86476EADC3D627D44286A7"/>
      <w:r w:rsidRPr="004C70EC">
        <w:rPr>
          <w:noProof/>
          <w:color w:val="000000" w:themeColor="text1"/>
          <w:szCs w:val="24"/>
        </w:rPr>
        <w:t>3.2.1.</w:t>
      </w:r>
      <w:r w:rsidRPr="004C70EC">
        <w:rPr>
          <w:noProof/>
          <w:color w:val="000000" w:themeColor="text1"/>
          <w:szCs w:val="24"/>
        </w:rPr>
        <w:tab/>
        <w:t xml:space="preserve">Summary of estimated impact on operational appropriations </w:t>
      </w:r>
      <w:bookmarkEnd w:id="66"/>
    </w:p>
    <w:p w14:paraId="60776BF3" w14:textId="77777777" w:rsidR="007966CD" w:rsidRPr="004C70EC" w:rsidRDefault="007966CD">
      <w:pPr>
        <w:pStyle w:val="ListDash1"/>
        <w:rPr>
          <w:noProof/>
          <w:color w:val="000000" w:themeColor="text1"/>
          <w:szCs w:val="24"/>
        </w:rPr>
      </w:pPr>
      <w:r w:rsidRPr="004C70EC">
        <w:rPr>
          <w:noProof/>
          <w:color w:val="000000" w:themeColor="text1"/>
          <w:szCs w:val="24"/>
        </w:rPr>
        <w:tab/>
        <w:t xml:space="preserve">The proposal/initiative does not require the use of operational appropriations </w:t>
      </w:r>
    </w:p>
    <w:p w14:paraId="607523F0" w14:textId="77777777" w:rsidR="007966CD" w:rsidRPr="004C70EC" w:rsidRDefault="007966CD">
      <w:pPr>
        <w:pStyle w:val="ListDash1"/>
        <w:rPr>
          <w:noProof/>
          <w:color w:val="000000" w:themeColor="text1"/>
          <w:szCs w:val="24"/>
        </w:rPr>
      </w:pPr>
      <w:r w:rsidRPr="004C70EC">
        <w:rPr>
          <w:rFonts w:ascii="Wingdings" w:eastAsia="Wingdings" w:hAnsi="Wingdings" w:cs="Wingdings"/>
          <w:noProof/>
          <w:sz w:val="22"/>
        </w:rPr>
        <w:t></w:t>
      </w:r>
      <w:r w:rsidRPr="004C70EC">
        <w:rPr>
          <w:noProof/>
          <w:color w:val="000000" w:themeColor="text1"/>
          <w:szCs w:val="24"/>
        </w:rPr>
        <w:tab/>
        <w:t>The proposal/initiative requires the use of operational appropriations, as explained below</w:t>
      </w:r>
    </w:p>
    <w:p w14:paraId="08F0A627" w14:textId="77777777" w:rsidR="007966CD" w:rsidRPr="004C70EC" w:rsidRDefault="007966CD">
      <w:pPr>
        <w:pStyle w:val="ManualHeading3"/>
        <w:rPr>
          <w:noProof/>
          <w:color w:val="000000" w:themeColor="text1"/>
          <w:szCs w:val="24"/>
        </w:rPr>
      </w:pPr>
      <w:bookmarkStart w:id="67" w:name="_Toc91BA1DF32FCE44FE8F47F66E75A0562F"/>
      <w:r w:rsidRPr="004C70EC">
        <w:rPr>
          <w:noProof/>
          <w:color w:val="000000" w:themeColor="text1"/>
          <w:szCs w:val="24"/>
        </w:rPr>
        <w:t>3.2.1.1.</w:t>
      </w:r>
      <w:r w:rsidRPr="004C70EC">
        <w:rPr>
          <w:noProof/>
          <w:color w:val="000000" w:themeColor="text1"/>
          <w:szCs w:val="24"/>
        </w:rPr>
        <w:tab/>
        <w:t>Appropriations from voted budget</w:t>
      </w:r>
      <w:bookmarkEnd w:id="67"/>
    </w:p>
    <w:p w14:paraId="1322D23B" w14:textId="77777777" w:rsidR="0016466C" w:rsidRPr="004C70EC" w:rsidRDefault="00FF168F" w:rsidP="00D55722">
      <w:pPr>
        <w:pStyle w:val="Text1"/>
        <w:rPr>
          <w:noProof/>
          <w:color w:val="000000" w:themeColor="text1"/>
          <w:szCs w:val="24"/>
          <w:lang w:val="en-IE"/>
        </w:rPr>
      </w:pPr>
      <w:r w:rsidRPr="004C70EC">
        <w:rPr>
          <w:noProof/>
          <w:color w:val="000000" w:themeColor="text1"/>
          <w:szCs w:val="24"/>
        </w:rPr>
        <w:t>Amounts are indicative and do not prejudge the outcome of the ongoing negotiations on the next MFF.</w:t>
      </w:r>
    </w:p>
    <w:p w14:paraId="39E7CD6B" w14:textId="77777777" w:rsidR="00996625" w:rsidRPr="004C70EC" w:rsidRDefault="0016466C" w:rsidP="00D55722">
      <w:pPr>
        <w:rPr>
          <w:noProof/>
          <w:color w:val="000000" w:themeColor="text1"/>
          <w:szCs w:val="24"/>
        </w:rPr>
      </w:pPr>
      <w:r w:rsidRPr="004C70EC">
        <w:rPr>
          <w:noProof/>
          <w:color w:val="000000" w:themeColor="text1"/>
          <w:szCs w:val="24"/>
        </w:rPr>
        <w:t xml:space="preserve">                                                                                                                                              </w:t>
      </w:r>
      <w:r w:rsidRPr="004C70EC">
        <w:rPr>
          <w:noProof/>
          <w:color w:val="000000" w:themeColor="text1"/>
          <w:szCs w:val="24"/>
          <w:lang w:val="en-IE"/>
        </w:rPr>
        <w:t>EUR million (to three decimal places)</w:t>
      </w:r>
    </w:p>
    <w:tbl>
      <w:tblPr>
        <w:tblW w:w="15021" w:type="dxa"/>
        <w:tblInd w:w="118" w:type="dxa"/>
        <w:tblLook w:val="04A0" w:firstRow="1" w:lastRow="0" w:firstColumn="1" w:lastColumn="0" w:noHBand="0" w:noVBand="1"/>
      </w:tblPr>
      <w:tblGrid>
        <w:gridCol w:w="3240"/>
        <w:gridCol w:w="1577"/>
        <w:gridCol w:w="1209"/>
        <w:gridCol w:w="1140"/>
        <w:gridCol w:w="1179"/>
        <w:gridCol w:w="1122"/>
        <w:gridCol w:w="1090"/>
        <w:gridCol w:w="1065"/>
        <w:gridCol w:w="1040"/>
        <w:gridCol w:w="1019"/>
        <w:gridCol w:w="1342"/>
      </w:tblGrid>
      <w:tr w:rsidR="004A1163" w:rsidRPr="004C70EC" w14:paraId="2D5D09B2" w14:textId="77777777" w:rsidTr="00F33762">
        <w:trPr>
          <w:trHeight w:val="420"/>
        </w:trPr>
        <w:tc>
          <w:tcPr>
            <w:tcW w:w="5577" w:type="dxa"/>
            <w:gridSpan w:val="3"/>
            <w:vMerge w:val="restart"/>
            <w:tcBorders>
              <w:top w:val="single" w:sz="8" w:space="0" w:color="auto"/>
              <w:left w:val="single" w:sz="8" w:space="0" w:color="auto"/>
              <w:bottom w:val="single" w:sz="8" w:space="0" w:color="auto"/>
              <w:right w:val="single" w:sz="8" w:space="0" w:color="auto"/>
            </w:tcBorders>
            <w:vAlign w:val="center"/>
            <w:hideMark/>
          </w:tcPr>
          <w:p w14:paraId="0CC04D41" w14:textId="77777777" w:rsidR="00996625" w:rsidRPr="004C70EC" w:rsidRDefault="00996625" w:rsidP="00996625">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DG: SANTE</w:t>
            </w:r>
          </w:p>
        </w:tc>
        <w:tc>
          <w:tcPr>
            <w:tcW w:w="1140" w:type="dxa"/>
            <w:tcBorders>
              <w:top w:val="single" w:sz="8" w:space="0" w:color="auto"/>
              <w:left w:val="nil"/>
              <w:bottom w:val="single" w:sz="8" w:space="0" w:color="auto"/>
              <w:right w:val="single" w:sz="8" w:space="0" w:color="auto"/>
            </w:tcBorders>
            <w:vAlign w:val="center"/>
            <w:hideMark/>
          </w:tcPr>
          <w:p w14:paraId="48605FC0" w14:textId="77777777" w:rsidR="00996625" w:rsidRPr="004C70EC" w:rsidRDefault="00996625" w:rsidP="00996625">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296" w:type="dxa"/>
            <w:tcBorders>
              <w:top w:val="single" w:sz="8" w:space="0" w:color="auto"/>
              <w:left w:val="nil"/>
              <w:bottom w:val="single" w:sz="8" w:space="0" w:color="auto"/>
              <w:right w:val="single" w:sz="8" w:space="0" w:color="auto"/>
            </w:tcBorders>
            <w:vAlign w:val="center"/>
            <w:hideMark/>
          </w:tcPr>
          <w:p w14:paraId="344617E0" w14:textId="77777777" w:rsidR="00996625" w:rsidRPr="004C70EC" w:rsidRDefault="00996625" w:rsidP="00996625">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160" w:type="dxa"/>
            <w:tcBorders>
              <w:top w:val="single" w:sz="8" w:space="0" w:color="auto"/>
              <w:left w:val="nil"/>
              <w:bottom w:val="single" w:sz="8" w:space="0" w:color="auto"/>
              <w:right w:val="single" w:sz="8" w:space="0" w:color="auto"/>
            </w:tcBorders>
            <w:vAlign w:val="center"/>
            <w:hideMark/>
          </w:tcPr>
          <w:p w14:paraId="000EBF06" w14:textId="77777777" w:rsidR="00996625" w:rsidRPr="004C70EC" w:rsidRDefault="00996625" w:rsidP="00996625">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140" w:type="dxa"/>
            <w:tcBorders>
              <w:top w:val="single" w:sz="8" w:space="0" w:color="auto"/>
              <w:left w:val="nil"/>
              <w:bottom w:val="single" w:sz="8" w:space="0" w:color="auto"/>
              <w:right w:val="single" w:sz="8" w:space="0" w:color="auto"/>
            </w:tcBorders>
            <w:vAlign w:val="center"/>
            <w:hideMark/>
          </w:tcPr>
          <w:p w14:paraId="50C30A11" w14:textId="77777777" w:rsidR="00996625" w:rsidRPr="004C70EC" w:rsidRDefault="00996625" w:rsidP="00996625">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140" w:type="dxa"/>
            <w:tcBorders>
              <w:top w:val="single" w:sz="8" w:space="0" w:color="auto"/>
              <w:left w:val="nil"/>
              <w:bottom w:val="single" w:sz="8" w:space="0" w:color="auto"/>
              <w:right w:val="single" w:sz="8" w:space="0" w:color="auto"/>
            </w:tcBorders>
            <w:vAlign w:val="center"/>
            <w:hideMark/>
          </w:tcPr>
          <w:p w14:paraId="6566138E" w14:textId="77777777" w:rsidR="00996625" w:rsidRPr="004C70EC" w:rsidRDefault="00996625" w:rsidP="00996625">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117" w:type="dxa"/>
            <w:tcBorders>
              <w:top w:val="single" w:sz="8" w:space="0" w:color="auto"/>
              <w:left w:val="nil"/>
              <w:bottom w:val="single" w:sz="8" w:space="0" w:color="auto"/>
              <w:right w:val="single" w:sz="8" w:space="0" w:color="auto"/>
            </w:tcBorders>
            <w:vAlign w:val="center"/>
            <w:hideMark/>
          </w:tcPr>
          <w:p w14:paraId="18090CD9" w14:textId="77777777" w:rsidR="00996625" w:rsidRPr="004C70EC" w:rsidRDefault="00996625" w:rsidP="00996625">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091" w:type="dxa"/>
            <w:tcBorders>
              <w:top w:val="single" w:sz="8" w:space="0" w:color="auto"/>
              <w:left w:val="nil"/>
              <w:bottom w:val="single" w:sz="8" w:space="0" w:color="auto"/>
              <w:right w:val="single" w:sz="8" w:space="0" w:color="auto"/>
            </w:tcBorders>
            <w:vAlign w:val="center"/>
            <w:hideMark/>
          </w:tcPr>
          <w:p w14:paraId="2E3EA7A4" w14:textId="77777777" w:rsidR="00996625" w:rsidRPr="004C70EC" w:rsidRDefault="00996625" w:rsidP="00996625">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360" w:type="dxa"/>
            <w:vMerge w:val="restart"/>
            <w:tcBorders>
              <w:top w:val="single" w:sz="8" w:space="0" w:color="auto"/>
              <w:left w:val="single" w:sz="8" w:space="0" w:color="auto"/>
              <w:bottom w:val="single" w:sz="8" w:space="0" w:color="auto"/>
              <w:right w:val="single" w:sz="8" w:space="0" w:color="auto"/>
            </w:tcBorders>
            <w:vAlign w:val="center"/>
            <w:hideMark/>
          </w:tcPr>
          <w:p w14:paraId="34B20B02" w14:textId="77777777" w:rsidR="00996625" w:rsidRPr="004C70EC" w:rsidRDefault="00996625" w:rsidP="00996625">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 MFF</w:t>
            </w:r>
            <w:r w:rsidRPr="004C70EC">
              <w:rPr>
                <w:rFonts w:eastAsia="Times New Roman"/>
                <w:b/>
                <w:bCs/>
                <w:noProof/>
                <w:color w:val="000000" w:themeColor="text1"/>
                <w:szCs w:val="24"/>
                <w:lang w:val="en-IE" w:eastAsia="en-IE"/>
              </w:rPr>
              <w:br/>
              <w:t>2028-2034</w:t>
            </w:r>
          </w:p>
        </w:tc>
      </w:tr>
      <w:tr w:rsidR="004A1163" w:rsidRPr="004C70EC" w14:paraId="17A7ACD3" w14:textId="77777777" w:rsidTr="00F33762">
        <w:trPr>
          <w:trHeight w:val="315"/>
        </w:trPr>
        <w:tc>
          <w:tcPr>
            <w:tcW w:w="5577" w:type="dxa"/>
            <w:gridSpan w:val="3"/>
            <w:vMerge/>
            <w:tcBorders>
              <w:top w:val="single" w:sz="8" w:space="0" w:color="auto"/>
              <w:left w:val="single" w:sz="8" w:space="0" w:color="auto"/>
              <w:bottom w:val="single" w:sz="8" w:space="0" w:color="auto"/>
              <w:right w:val="single" w:sz="8" w:space="0" w:color="auto"/>
            </w:tcBorders>
            <w:vAlign w:val="center"/>
            <w:hideMark/>
          </w:tcPr>
          <w:p w14:paraId="6549AD74" w14:textId="77777777" w:rsidR="00996625" w:rsidRPr="004C70EC" w:rsidRDefault="00996625" w:rsidP="00996625">
            <w:pPr>
              <w:spacing w:before="0" w:after="0"/>
              <w:jc w:val="left"/>
              <w:rPr>
                <w:rFonts w:eastAsia="Times New Roman"/>
                <w:noProof/>
                <w:color w:val="000000" w:themeColor="text1"/>
                <w:szCs w:val="24"/>
                <w:lang w:val="en-IE" w:eastAsia="en-IE"/>
              </w:rPr>
            </w:pPr>
          </w:p>
        </w:tc>
        <w:tc>
          <w:tcPr>
            <w:tcW w:w="1140" w:type="dxa"/>
            <w:tcBorders>
              <w:top w:val="nil"/>
              <w:left w:val="nil"/>
              <w:bottom w:val="single" w:sz="8" w:space="0" w:color="auto"/>
              <w:right w:val="single" w:sz="8" w:space="0" w:color="auto"/>
            </w:tcBorders>
            <w:vAlign w:val="center"/>
            <w:hideMark/>
          </w:tcPr>
          <w:p w14:paraId="56903965" w14:textId="77777777" w:rsidR="00996625" w:rsidRPr="004C70EC" w:rsidRDefault="00996625" w:rsidP="00996625">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2028</w:t>
            </w:r>
          </w:p>
        </w:tc>
        <w:tc>
          <w:tcPr>
            <w:tcW w:w="1296" w:type="dxa"/>
            <w:tcBorders>
              <w:top w:val="nil"/>
              <w:left w:val="nil"/>
              <w:bottom w:val="single" w:sz="8" w:space="0" w:color="auto"/>
              <w:right w:val="single" w:sz="8" w:space="0" w:color="auto"/>
            </w:tcBorders>
            <w:vAlign w:val="center"/>
            <w:hideMark/>
          </w:tcPr>
          <w:p w14:paraId="75F6B400" w14:textId="77777777" w:rsidR="00996625" w:rsidRPr="004C70EC" w:rsidRDefault="00996625" w:rsidP="00996625">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2029</w:t>
            </w:r>
          </w:p>
        </w:tc>
        <w:tc>
          <w:tcPr>
            <w:tcW w:w="1160" w:type="dxa"/>
            <w:tcBorders>
              <w:top w:val="nil"/>
              <w:left w:val="nil"/>
              <w:bottom w:val="single" w:sz="8" w:space="0" w:color="auto"/>
              <w:right w:val="single" w:sz="8" w:space="0" w:color="auto"/>
            </w:tcBorders>
            <w:vAlign w:val="center"/>
            <w:hideMark/>
          </w:tcPr>
          <w:p w14:paraId="14645BD0" w14:textId="77777777" w:rsidR="00996625" w:rsidRPr="004C70EC" w:rsidRDefault="00996625" w:rsidP="00996625">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2030</w:t>
            </w:r>
          </w:p>
        </w:tc>
        <w:tc>
          <w:tcPr>
            <w:tcW w:w="1140" w:type="dxa"/>
            <w:tcBorders>
              <w:top w:val="nil"/>
              <w:left w:val="nil"/>
              <w:bottom w:val="single" w:sz="8" w:space="0" w:color="auto"/>
              <w:right w:val="single" w:sz="8" w:space="0" w:color="auto"/>
            </w:tcBorders>
            <w:vAlign w:val="center"/>
            <w:hideMark/>
          </w:tcPr>
          <w:p w14:paraId="6922FF1F" w14:textId="77777777" w:rsidR="00996625" w:rsidRPr="004C70EC" w:rsidRDefault="00996625" w:rsidP="00996625">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2031</w:t>
            </w:r>
          </w:p>
        </w:tc>
        <w:tc>
          <w:tcPr>
            <w:tcW w:w="1140" w:type="dxa"/>
            <w:tcBorders>
              <w:top w:val="nil"/>
              <w:left w:val="nil"/>
              <w:bottom w:val="single" w:sz="8" w:space="0" w:color="auto"/>
              <w:right w:val="single" w:sz="8" w:space="0" w:color="auto"/>
            </w:tcBorders>
            <w:vAlign w:val="center"/>
            <w:hideMark/>
          </w:tcPr>
          <w:p w14:paraId="7EA229D1" w14:textId="77777777" w:rsidR="00996625" w:rsidRPr="004C70EC" w:rsidRDefault="00996625" w:rsidP="00996625">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2032</w:t>
            </w:r>
          </w:p>
        </w:tc>
        <w:tc>
          <w:tcPr>
            <w:tcW w:w="1117" w:type="dxa"/>
            <w:tcBorders>
              <w:top w:val="nil"/>
              <w:left w:val="nil"/>
              <w:bottom w:val="single" w:sz="8" w:space="0" w:color="auto"/>
              <w:right w:val="single" w:sz="8" w:space="0" w:color="auto"/>
            </w:tcBorders>
            <w:vAlign w:val="center"/>
            <w:hideMark/>
          </w:tcPr>
          <w:p w14:paraId="2E2B23CC" w14:textId="77777777" w:rsidR="00996625" w:rsidRPr="004C70EC" w:rsidRDefault="00996625" w:rsidP="00996625">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2033</w:t>
            </w:r>
          </w:p>
        </w:tc>
        <w:tc>
          <w:tcPr>
            <w:tcW w:w="1091" w:type="dxa"/>
            <w:tcBorders>
              <w:top w:val="nil"/>
              <w:left w:val="nil"/>
              <w:bottom w:val="single" w:sz="8" w:space="0" w:color="auto"/>
              <w:right w:val="single" w:sz="8" w:space="0" w:color="auto"/>
            </w:tcBorders>
            <w:vAlign w:val="center"/>
            <w:hideMark/>
          </w:tcPr>
          <w:p w14:paraId="4809201A" w14:textId="77777777" w:rsidR="00996625" w:rsidRPr="004C70EC" w:rsidRDefault="00996625" w:rsidP="00996625">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w:t>
            </w:r>
          </w:p>
        </w:tc>
        <w:tc>
          <w:tcPr>
            <w:tcW w:w="1360" w:type="dxa"/>
            <w:vMerge/>
            <w:tcBorders>
              <w:top w:val="single" w:sz="8" w:space="0" w:color="auto"/>
              <w:left w:val="single" w:sz="8" w:space="0" w:color="auto"/>
              <w:bottom w:val="single" w:sz="8" w:space="0" w:color="auto"/>
              <w:right w:val="single" w:sz="8" w:space="0" w:color="auto"/>
            </w:tcBorders>
            <w:vAlign w:val="center"/>
            <w:hideMark/>
          </w:tcPr>
          <w:p w14:paraId="21215ADE" w14:textId="77777777" w:rsidR="00996625" w:rsidRPr="004C70EC" w:rsidRDefault="00996625" w:rsidP="00996625">
            <w:pPr>
              <w:spacing w:before="0" w:after="0"/>
              <w:jc w:val="left"/>
              <w:rPr>
                <w:rFonts w:eastAsia="Times New Roman"/>
                <w:b/>
                <w:bCs/>
                <w:noProof/>
                <w:color w:val="000000" w:themeColor="text1"/>
                <w:szCs w:val="24"/>
                <w:lang w:val="en-IE" w:eastAsia="en-IE"/>
              </w:rPr>
            </w:pPr>
          </w:p>
        </w:tc>
      </w:tr>
      <w:tr w:rsidR="004A1163" w:rsidRPr="004C70EC" w14:paraId="40D9A410" w14:textId="77777777" w:rsidTr="00F33762">
        <w:trPr>
          <w:trHeight w:val="300"/>
        </w:trPr>
        <w:tc>
          <w:tcPr>
            <w:tcW w:w="15021" w:type="dxa"/>
            <w:gridSpan w:val="11"/>
            <w:tcBorders>
              <w:top w:val="single" w:sz="8" w:space="0" w:color="auto"/>
              <w:left w:val="single" w:sz="8" w:space="0" w:color="auto"/>
              <w:bottom w:val="single" w:sz="8" w:space="0" w:color="auto"/>
              <w:right w:val="single" w:sz="8" w:space="0" w:color="auto"/>
            </w:tcBorders>
            <w:vAlign w:val="center"/>
            <w:hideMark/>
          </w:tcPr>
          <w:p w14:paraId="169DDAA5" w14:textId="77777777" w:rsidR="00996625" w:rsidRPr="004C70EC" w:rsidRDefault="00996625" w:rsidP="00996625">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xml:space="preserve">Operational appropriations </w:t>
            </w:r>
          </w:p>
        </w:tc>
      </w:tr>
      <w:tr w:rsidR="004A1163" w:rsidRPr="004C70EC" w14:paraId="39E45CF8" w14:textId="77777777" w:rsidTr="00F33762">
        <w:trPr>
          <w:trHeight w:val="315"/>
        </w:trPr>
        <w:tc>
          <w:tcPr>
            <w:tcW w:w="3240" w:type="dxa"/>
            <w:vMerge w:val="restart"/>
            <w:tcBorders>
              <w:top w:val="nil"/>
              <w:left w:val="single" w:sz="8" w:space="0" w:color="auto"/>
              <w:bottom w:val="single" w:sz="8" w:space="0" w:color="auto"/>
              <w:right w:val="single" w:sz="8" w:space="0" w:color="auto"/>
            </w:tcBorders>
            <w:noWrap/>
            <w:vAlign w:val="center"/>
            <w:hideMark/>
          </w:tcPr>
          <w:p w14:paraId="7877D586" w14:textId="77777777" w:rsidR="00996625" w:rsidRPr="004C70EC" w:rsidRDefault="003147FE" w:rsidP="00996625">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xml:space="preserve">Programme </w:t>
            </w:r>
            <w:r w:rsidR="00996625" w:rsidRPr="004C70EC">
              <w:rPr>
                <w:rFonts w:eastAsia="Times New Roman"/>
                <w:noProof/>
                <w:color w:val="000000" w:themeColor="text1"/>
                <w:szCs w:val="24"/>
                <w:lang w:val="en-IE" w:eastAsia="en-IE"/>
              </w:rPr>
              <w:t>Budget line</w:t>
            </w:r>
          </w:p>
        </w:tc>
        <w:tc>
          <w:tcPr>
            <w:tcW w:w="1237" w:type="dxa"/>
            <w:tcBorders>
              <w:top w:val="nil"/>
              <w:left w:val="nil"/>
              <w:bottom w:val="single" w:sz="8" w:space="0" w:color="auto"/>
              <w:right w:val="single" w:sz="8" w:space="0" w:color="auto"/>
            </w:tcBorders>
            <w:vAlign w:val="center"/>
            <w:hideMark/>
          </w:tcPr>
          <w:p w14:paraId="28475C1C" w14:textId="77777777" w:rsidR="00996625" w:rsidRPr="004C70EC" w:rsidRDefault="00996625" w:rsidP="00996625">
            <w:pPr>
              <w:spacing w:before="0" w:after="0"/>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Commitments</w:t>
            </w:r>
          </w:p>
        </w:tc>
        <w:tc>
          <w:tcPr>
            <w:tcW w:w="1100" w:type="dxa"/>
            <w:tcBorders>
              <w:top w:val="single" w:sz="8" w:space="0" w:color="auto"/>
              <w:left w:val="nil"/>
              <w:bottom w:val="single" w:sz="8" w:space="0" w:color="auto"/>
              <w:right w:val="single" w:sz="8" w:space="0" w:color="auto"/>
            </w:tcBorders>
            <w:vAlign w:val="center"/>
            <w:hideMark/>
          </w:tcPr>
          <w:p w14:paraId="54A55D56" w14:textId="77777777" w:rsidR="00996625" w:rsidRPr="004C70EC" w:rsidRDefault="00996625" w:rsidP="00996625">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(1a)</w:t>
            </w:r>
          </w:p>
        </w:tc>
        <w:tc>
          <w:tcPr>
            <w:tcW w:w="1140" w:type="dxa"/>
            <w:tcBorders>
              <w:top w:val="nil"/>
              <w:left w:val="nil"/>
              <w:bottom w:val="single" w:sz="8" w:space="0" w:color="auto"/>
              <w:right w:val="single" w:sz="8" w:space="0" w:color="auto"/>
            </w:tcBorders>
            <w:vAlign w:val="center"/>
            <w:hideMark/>
          </w:tcPr>
          <w:p w14:paraId="66FA8ACD" w14:textId="77777777" w:rsidR="00996625" w:rsidRPr="004C70EC" w:rsidRDefault="003147FE" w:rsidP="0058181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p.m.</w:t>
            </w:r>
            <w:r w:rsidR="00996625" w:rsidRPr="004C70EC">
              <w:rPr>
                <w:rFonts w:eastAsia="Times New Roman"/>
                <w:noProof/>
                <w:color w:val="000000" w:themeColor="text1"/>
                <w:szCs w:val="24"/>
                <w:lang w:val="en-IE" w:eastAsia="en-IE"/>
              </w:rPr>
              <w:t> </w:t>
            </w:r>
          </w:p>
        </w:tc>
        <w:tc>
          <w:tcPr>
            <w:tcW w:w="1296" w:type="dxa"/>
            <w:tcBorders>
              <w:top w:val="nil"/>
              <w:left w:val="nil"/>
              <w:bottom w:val="single" w:sz="8" w:space="0" w:color="auto"/>
              <w:right w:val="single" w:sz="8" w:space="0" w:color="auto"/>
            </w:tcBorders>
            <w:vAlign w:val="center"/>
            <w:hideMark/>
          </w:tcPr>
          <w:p w14:paraId="34ABBD27" w14:textId="77777777" w:rsidR="00996625" w:rsidRPr="004C70EC" w:rsidRDefault="003147FE" w:rsidP="00996625">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p.m.</w:t>
            </w:r>
            <w:r w:rsidR="00996625" w:rsidRPr="004C70EC">
              <w:rPr>
                <w:rFonts w:eastAsia="Times New Roman"/>
                <w:noProof/>
                <w:color w:val="000000" w:themeColor="text1"/>
                <w:szCs w:val="24"/>
                <w:lang w:val="en-IE" w:eastAsia="en-IE"/>
              </w:rPr>
              <w:t> </w:t>
            </w:r>
          </w:p>
        </w:tc>
        <w:tc>
          <w:tcPr>
            <w:tcW w:w="1160" w:type="dxa"/>
            <w:tcBorders>
              <w:top w:val="nil"/>
              <w:left w:val="nil"/>
              <w:bottom w:val="single" w:sz="8" w:space="0" w:color="auto"/>
              <w:right w:val="single" w:sz="8" w:space="0" w:color="auto"/>
            </w:tcBorders>
            <w:vAlign w:val="center"/>
            <w:hideMark/>
          </w:tcPr>
          <w:p w14:paraId="3B846379" w14:textId="77777777" w:rsidR="00996625" w:rsidRPr="004C70EC" w:rsidRDefault="003147FE" w:rsidP="00996625">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p.m.</w:t>
            </w:r>
            <w:r w:rsidR="00996625" w:rsidRPr="004C70EC">
              <w:rPr>
                <w:rFonts w:eastAsia="Times New Roman"/>
                <w:noProof/>
                <w:color w:val="000000" w:themeColor="text1"/>
                <w:szCs w:val="24"/>
                <w:lang w:val="en-IE" w:eastAsia="en-IE"/>
              </w:rPr>
              <w:t> </w:t>
            </w:r>
          </w:p>
        </w:tc>
        <w:tc>
          <w:tcPr>
            <w:tcW w:w="1140" w:type="dxa"/>
            <w:tcBorders>
              <w:top w:val="nil"/>
              <w:left w:val="nil"/>
              <w:bottom w:val="single" w:sz="8" w:space="0" w:color="auto"/>
              <w:right w:val="single" w:sz="8" w:space="0" w:color="auto"/>
            </w:tcBorders>
            <w:vAlign w:val="center"/>
            <w:hideMark/>
          </w:tcPr>
          <w:p w14:paraId="60E8FEC8" w14:textId="77777777" w:rsidR="00996625" w:rsidRPr="004C70EC" w:rsidRDefault="003147FE" w:rsidP="00996625">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p.m.</w:t>
            </w:r>
            <w:r w:rsidR="00996625" w:rsidRPr="004C70EC">
              <w:rPr>
                <w:rFonts w:eastAsia="Times New Roman"/>
                <w:noProof/>
                <w:color w:val="000000" w:themeColor="text1"/>
                <w:szCs w:val="24"/>
                <w:lang w:val="en-IE" w:eastAsia="en-IE"/>
              </w:rPr>
              <w:t> </w:t>
            </w:r>
          </w:p>
        </w:tc>
        <w:tc>
          <w:tcPr>
            <w:tcW w:w="1140" w:type="dxa"/>
            <w:tcBorders>
              <w:top w:val="nil"/>
              <w:left w:val="nil"/>
              <w:bottom w:val="single" w:sz="8" w:space="0" w:color="auto"/>
              <w:right w:val="single" w:sz="8" w:space="0" w:color="auto"/>
            </w:tcBorders>
            <w:vAlign w:val="center"/>
            <w:hideMark/>
          </w:tcPr>
          <w:p w14:paraId="65833916" w14:textId="77777777" w:rsidR="00996625" w:rsidRPr="004C70EC" w:rsidRDefault="003147FE" w:rsidP="00996625">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p.m.</w:t>
            </w:r>
            <w:r w:rsidR="00996625" w:rsidRPr="004C70EC">
              <w:rPr>
                <w:rFonts w:eastAsia="Times New Roman"/>
                <w:noProof/>
                <w:color w:val="000000" w:themeColor="text1"/>
                <w:szCs w:val="24"/>
                <w:lang w:val="en-IE" w:eastAsia="en-IE"/>
              </w:rPr>
              <w:t> </w:t>
            </w:r>
          </w:p>
        </w:tc>
        <w:tc>
          <w:tcPr>
            <w:tcW w:w="1117" w:type="dxa"/>
            <w:tcBorders>
              <w:top w:val="nil"/>
              <w:left w:val="nil"/>
              <w:bottom w:val="single" w:sz="8" w:space="0" w:color="auto"/>
              <w:right w:val="single" w:sz="8" w:space="0" w:color="auto"/>
            </w:tcBorders>
            <w:vAlign w:val="center"/>
            <w:hideMark/>
          </w:tcPr>
          <w:p w14:paraId="7631F98C" w14:textId="77777777" w:rsidR="00996625" w:rsidRPr="004C70EC" w:rsidRDefault="003147FE" w:rsidP="00996625">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p.m.</w:t>
            </w:r>
            <w:r w:rsidR="00996625" w:rsidRPr="004C70EC">
              <w:rPr>
                <w:rFonts w:eastAsia="Times New Roman"/>
                <w:noProof/>
                <w:color w:val="000000" w:themeColor="text1"/>
                <w:szCs w:val="24"/>
                <w:lang w:val="en-IE" w:eastAsia="en-IE"/>
              </w:rPr>
              <w:t> </w:t>
            </w:r>
          </w:p>
        </w:tc>
        <w:tc>
          <w:tcPr>
            <w:tcW w:w="1091" w:type="dxa"/>
            <w:tcBorders>
              <w:top w:val="nil"/>
              <w:left w:val="nil"/>
              <w:bottom w:val="single" w:sz="8" w:space="0" w:color="auto"/>
              <w:right w:val="single" w:sz="8" w:space="0" w:color="auto"/>
            </w:tcBorders>
            <w:vAlign w:val="center"/>
            <w:hideMark/>
          </w:tcPr>
          <w:p w14:paraId="763F7A06" w14:textId="77777777" w:rsidR="00996625" w:rsidRPr="004C70EC" w:rsidRDefault="003147FE" w:rsidP="00996625">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p.m.</w:t>
            </w:r>
            <w:r w:rsidR="00996625" w:rsidRPr="004C70EC">
              <w:rPr>
                <w:rFonts w:eastAsia="Times New Roman"/>
                <w:noProof/>
                <w:color w:val="000000" w:themeColor="text1"/>
                <w:szCs w:val="24"/>
                <w:lang w:val="en-IE" w:eastAsia="en-IE"/>
              </w:rPr>
              <w:t> </w:t>
            </w:r>
          </w:p>
        </w:tc>
        <w:tc>
          <w:tcPr>
            <w:tcW w:w="1360" w:type="dxa"/>
            <w:tcBorders>
              <w:top w:val="nil"/>
              <w:left w:val="nil"/>
              <w:bottom w:val="single" w:sz="8" w:space="0" w:color="auto"/>
              <w:right w:val="single" w:sz="8" w:space="0" w:color="auto"/>
            </w:tcBorders>
            <w:shd w:val="clear" w:color="000000" w:fill="D9D9D9"/>
            <w:vAlign w:val="center"/>
            <w:hideMark/>
          </w:tcPr>
          <w:p w14:paraId="7C393648" w14:textId="77777777" w:rsidR="00996625" w:rsidRPr="004C70EC" w:rsidRDefault="003147FE" w:rsidP="00996625">
            <w:pPr>
              <w:spacing w:before="0" w:after="0"/>
              <w:jc w:val="right"/>
              <w:rPr>
                <w:rFonts w:eastAsia="Times New Roman"/>
                <w:b/>
                <w:bCs/>
                <w:noProof/>
                <w:color w:val="000000" w:themeColor="text1"/>
                <w:szCs w:val="24"/>
                <w:lang w:val="en-IE" w:eastAsia="en-IE"/>
              </w:rPr>
            </w:pPr>
            <w:r w:rsidRPr="004C70EC">
              <w:rPr>
                <w:rFonts w:eastAsia="Times New Roman"/>
                <w:noProof/>
                <w:color w:val="000000" w:themeColor="text1"/>
                <w:szCs w:val="24"/>
                <w:lang w:val="en-IE" w:eastAsia="en-IE"/>
              </w:rPr>
              <w:t>p.m.</w:t>
            </w:r>
          </w:p>
        </w:tc>
      </w:tr>
      <w:tr w:rsidR="004A1163" w:rsidRPr="004C70EC" w14:paraId="21940716" w14:textId="77777777" w:rsidTr="00F33762">
        <w:trPr>
          <w:trHeight w:val="315"/>
        </w:trPr>
        <w:tc>
          <w:tcPr>
            <w:tcW w:w="3240" w:type="dxa"/>
            <w:vMerge/>
            <w:tcBorders>
              <w:top w:val="nil"/>
              <w:left w:val="single" w:sz="8" w:space="0" w:color="auto"/>
              <w:bottom w:val="single" w:sz="8" w:space="0" w:color="auto"/>
              <w:right w:val="single" w:sz="8" w:space="0" w:color="auto"/>
            </w:tcBorders>
            <w:vAlign w:val="center"/>
            <w:hideMark/>
          </w:tcPr>
          <w:p w14:paraId="08CF76D4" w14:textId="77777777" w:rsidR="00996625" w:rsidRPr="004C70EC" w:rsidRDefault="00996625" w:rsidP="00996625">
            <w:pPr>
              <w:spacing w:before="0" w:after="0"/>
              <w:jc w:val="left"/>
              <w:rPr>
                <w:rFonts w:eastAsia="Times New Roman"/>
                <w:noProof/>
                <w:color w:val="000000" w:themeColor="text1"/>
                <w:szCs w:val="24"/>
                <w:lang w:val="en-IE" w:eastAsia="en-IE"/>
              </w:rPr>
            </w:pPr>
          </w:p>
        </w:tc>
        <w:tc>
          <w:tcPr>
            <w:tcW w:w="1237" w:type="dxa"/>
            <w:tcBorders>
              <w:top w:val="nil"/>
              <w:left w:val="nil"/>
              <w:bottom w:val="single" w:sz="8" w:space="0" w:color="auto"/>
              <w:right w:val="single" w:sz="8" w:space="0" w:color="auto"/>
            </w:tcBorders>
            <w:vAlign w:val="center"/>
            <w:hideMark/>
          </w:tcPr>
          <w:p w14:paraId="1A0E699A" w14:textId="77777777" w:rsidR="00996625" w:rsidRPr="004C70EC" w:rsidRDefault="00996625" w:rsidP="00996625">
            <w:pPr>
              <w:spacing w:before="0" w:after="0"/>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Payments</w:t>
            </w:r>
          </w:p>
        </w:tc>
        <w:tc>
          <w:tcPr>
            <w:tcW w:w="1100" w:type="dxa"/>
            <w:tcBorders>
              <w:top w:val="single" w:sz="8" w:space="0" w:color="auto"/>
              <w:left w:val="nil"/>
              <w:bottom w:val="single" w:sz="8" w:space="0" w:color="auto"/>
              <w:right w:val="single" w:sz="8" w:space="0" w:color="auto"/>
            </w:tcBorders>
            <w:vAlign w:val="center"/>
            <w:hideMark/>
          </w:tcPr>
          <w:p w14:paraId="35F5F078" w14:textId="77777777" w:rsidR="00996625" w:rsidRPr="004C70EC" w:rsidRDefault="00996625" w:rsidP="00996625">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(2a)</w:t>
            </w:r>
          </w:p>
        </w:tc>
        <w:tc>
          <w:tcPr>
            <w:tcW w:w="1140" w:type="dxa"/>
            <w:tcBorders>
              <w:top w:val="nil"/>
              <w:left w:val="nil"/>
              <w:bottom w:val="single" w:sz="8" w:space="0" w:color="auto"/>
              <w:right w:val="single" w:sz="8" w:space="0" w:color="auto"/>
            </w:tcBorders>
            <w:vAlign w:val="center"/>
            <w:hideMark/>
          </w:tcPr>
          <w:p w14:paraId="3716F5EC" w14:textId="77777777" w:rsidR="00996625" w:rsidRPr="004C70EC" w:rsidRDefault="003147FE" w:rsidP="003147FE">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p.m.</w:t>
            </w:r>
            <w:r w:rsidR="00996625" w:rsidRPr="004C70EC">
              <w:rPr>
                <w:rFonts w:eastAsia="Times New Roman"/>
                <w:noProof/>
                <w:color w:val="000000" w:themeColor="text1"/>
                <w:szCs w:val="24"/>
                <w:lang w:val="en-IE" w:eastAsia="en-IE"/>
              </w:rPr>
              <w:t> </w:t>
            </w:r>
          </w:p>
        </w:tc>
        <w:tc>
          <w:tcPr>
            <w:tcW w:w="1296" w:type="dxa"/>
            <w:tcBorders>
              <w:top w:val="nil"/>
              <w:left w:val="nil"/>
              <w:bottom w:val="single" w:sz="8" w:space="0" w:color="auto"/>
              <w:right w:val="single" w:sz="8" w:space="0" w:color="auto"/>
            </w:tcBorders>
            <w:vAlign w:val="center"/>
            <w:hideMark/>
          </w:tcPr>
          <w:p w14:paraId="06E53FC5" w14:textId="77777777" w:rsidR="00996625" w:rsidRPr="004C70EC" w:rsidRDefault="003147FE" w:rsidP="00996625">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p.m.</w:t>
            </w:r>
            <w:r w:rsidR="00996625" w:rsidRPr="004C70EC">
              <w:rPr>
                <w:rFonts w:eastAsia="Times New Roman"/>
                <w:noProof/>
                <w:color w:val="000000" w:themeColor="text1"/>
                <w:szCs w:val="24"/>
                <w:lang w:val="en-IE" w:eastAsia="en-IE"/>
              </w:rPr>
              <w:t> </w:t>
            </w:r>
          </w:p>
        </w:tc>
        <w:tc>
          <w:tcPr>
            <w:tcW w:w="1160" w:type="dxa"/>
            <w:tcBorders>
              <w:top w:val="nil"/>
              <w:left w:val="nil"/>
              <w:bottom w:val="single" w:sz="8" w:space="0" w:color="auto"/>
              <w:right w:val="single" w:sz="8" w:space="0" w:color="auto"/>
            </w:tcBorders>
            <w:vAlign w:val="center"/>
            <w:hideMark/>
          </w:tcPr>
          <w:p w14:paraId="23CC24A9" w14:textId="77777777" w:rsidR="00996625" w:rsidRPr="004C70EC" w:rsidRDefault="003147FE" w:rsidP="00996625">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p.m.</w:t>
            </w:r>
            <w:r w:rsidR="00996625" w:rsidRPr="004C70EC">
              <w:rPr>
                <w:rFonts w:eastAsia="Times New Roman"/>
                <w:noProof/>
                <w:color w:val="000000" w:themeColor="text1"/>
                <w:szCs w:val="24"/>
                <w:lang w:val="en-IE" w:eastAsia="en-IE"/>
              </w:rPr>
              <w:t> </w:t>
            </w:r>
          </w:p>
        </w:tc>
        <w:tc>
          <w:tcPr>
            <w:tcW w:w="1140" w:type="dxa"/>
            <w:tcBorders>
              <w:top w:val="nil"/>
              <w:left w:val="nil"/>
              <w:bottom w:val="single" w:sz="8" w:space="0" w:color="auto"/>
              <w:right w:val="single" w:sz="8" w:space="0" w:color="auto"/>
            </w:tcBorders>
            <w:vAlign w:val="center"/>
            <w:hideMark/>
          </w:tcPr>
          <w:p w14:paraId="69A734CB" w14:textId="77777777" w:rsidR="00996625" w:rsidRPr="004C70EC" w:rsidRDefault="003147FE" w:rsidP="00996625">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p.m.</w:t>
            </w:r>
            <w:r w:rsidR="00996625" w:rsidRPr="004C70EC">
              <w:rPr>
                <w:rFonts w:eastAsia="Times New Roman"/>
                <w:noProof/>
                <w:color w:val="000000" w:themeColor="text1"/>
                <w:szCs w:val="24"/>
                <w:lang w:val="en-IE" w:eastAsia="en-IE"/>
              </w:rPr>
              <w:t> </w:t>
            </w:r>
          </w:p>
        </w:tc>
        <w:tc>
          <w:tcPr>
            <w:tcW w:w="1140" w:type="dxa"/>
            <w:tcBorders>
              <w:top w:val="nil"/>
              <w:left w:val="nil"/>
              <w:bottom w:val="single" w:sz="8" w:space="0" w:color="auto"/>
              <w:right w:val="single" w:sz="8" w:space="0" w:color="auto"/>
            </w:tcBorders>
            <w:vAlign w:val="center"/>
            <w:hideMark/>
          </w:tcPr>
          <w:p w14:paraId="4EA141F0" w14:textId="77777777" w:rsidR="00996625" w:rsidRPr="004C70EC" w:rsidRDefault="003147FE" w:rsidP="00996625">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p.m.</w:t>
            </w:r>
            <w:r w:rsidR="00996625" w:rsidRPr="004C70EC">
              <w:rPr>
                <w:rFonts w:eastAsia="Times New Roman"/>
                <w:noProof/>
                <w:color w:val="000000" w:themeColor="text1"/>
                <w:szCs w:val="24"/>
                <w:lang w:val="en-IE" w:eastAsia="en-IE"/>
              </w:rPr>
              <w:t> </w:t>
            </w:r>
          </w:p>
        </w:tc>
        <w:tc>
          <w:tcPr>
            <w:tcW w:w="1117" w:type="dxa"/>
            <w:tcBorders>
              <w:top w:val="nil"/>
              <w:left w:val="nil"/>
              <w:bottom w:val="single" w:sz="8" w:space="0" w:color="auto"/>
              <w:right w:val="single" w:sz="8" w:space="0" w:color="auto"/>
            </w:tcBorders>
            <w:vAlign w:val="center"/>
            <w:hideMark/>
          </w:tcPr>
          <w:p w14:paraId="1B6B6723" w14:textId="77777777" w:rsidR="00996625" w:rsidRPr="004C70EC" w:rsidRDefault="003147FE" w:rsidP="00996625">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p.m.</w:t>
            </w:r>
            <w:r w:rsidR="00996625" w:rsidRPr="004C70EC">
              <w:rPr>
                <w:rFonts w:eastAsia="Times New Roman"/>
                <w:noProof/>
                <w:color w:val="000000" w:themeColor="text1"/>
                <w:szCs w:val="24"/>
                <w:lang w:val="en-IE" w:eastAsia="en-IE"/>
              </w:rPr>
              <w:t> </w:t>
            </w:r>
          </w:p>
        </w:tc>
        <w:tc>
          <w:tcPr>
            <w:tcW w:w="1091" w:type="dxa"/>
            <w:tcBorders>
              <w:top w:val="nil"/>
              <w:left w:val="nil"/>
              <w:bottom w:val="single" w:sz="8" w:space="0" w:color="auto"/>
              <w:right w:val="single" w:sz="8" w:space="0" w:color="auto"/>
            </w:tcBorders>
            <w:vAlign w:val="center"/>
            <w:hideMark/>
          </w:tcPr>
          <w:p w14:paraId="0260601E" w14:textId="77777777" w:rsidR="00996625" w:rsidRPr="004C70EC" w:rsidRDefault="003147FE" w:rsidP="00996625">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p.m.</w:t>
            </w:r>
            <w:r w:rsidR="00996625" w:rsidRPr="004C70EC">
              <w:rPr>
                <w:rFonts w:eastAsia="Times New Roman"/>
                <w:noProof/>
                <w:color w:val="000000" w:themeColor="text1"/>
                <w:szCs w:val="24"/>
                <w:lang w:val="en-IE" w:eastAsia="en-IE"/>
              </w:rPr>
              <w:t> </w:t>
            </w:r>
          </w:p>
        </w:tc>
        <w:tc>
          <w:tcPr>
            <w:tcW w:w="1360" w:type="dxa"/>
            <w:tcBorders>
              <w:top w:val="nil"/>
              <w:left w:val="nil"/>
              <w:bottom w:val="single" w:sz="8" w:space="0" w:color="auto"/>
              <w:right w:val="single" w:sz="8" w:space="0" w:color="auto"/>
            </w:tcBorders>
            <w:shd w:val="clear" w:color="000000" w:fill="D9D9D9"/>
            <w:vAlign w:val="center"/>
            <w:hideMark/>
          </w:tcPr>
          <w:p w14:paraId="46540D6E" w14:textId="77777777" w:rsidR="00996625" w:rsidRPr="004C70EC" w:rsidRDefault="003147FE" w:rsidP="00996625">
            <w:pPr>
              <w:spacing w:before="0" w:after="0"/>
              <w:jc w:val="right"/>
              <w:rPr>
                <w:rFonts w:eastAsia="Times New Roman"/>
                <w:b/>
                <w:bCs/>
                <w:noProof/>
                <w:color w:val="000000" w:themeColor="text1"/>
                <w:szCs w:val="24"/>
                <w:lang w:val="en-IE" w:eastAsia="en-IE"/>
              </w:rPr>
            </w:pPr>
            <w:r w:rsidRPr="004C70EC">
              <w:rPr>
                <w:rFonts w:eastAsia="Times New Roman"/>
                <w:noProof/>
                <w:color w:val="000000" w:themeColor="text1"/>
                <w:szCs w:val="24"/>
                <w:lang w:val="en-IE" w:eastAsia="en-IE"/>
              </w:rPr>
              <w:t>p.m.</w:t>
            </w:r>
          </w:p>
        </w:tc>
      </w:tr>
      <w:tr w:rsidR="004A1163" w:rsidRPr="004C70EC" w14:paraId="33126264" w14:textId="77777777" w:rsidTr="00F33762">
        <w:trPr>
          <w:trHeight w:val="315"/>
        </w:trPr>
        <w:tc>
          <w:tcPr>
            <w:tcW w:w="15021" w:type="dxa"/>
            <w:gridSpan w:val="11"/>
            <w:tcBorders>
              <w:top w:val="single" w:sz="8" w:space="0" w:color="auto"/>
              <w:left w:val="single" w:sz="8" w:space="0" w:color="auto"/>
              <w:bottom w:val="single" w:sz="8" w:space="0" w:color="auto"/>
              <w:right w:val="single" w:sz="8" w:space="0" w:color="auto"/>
            </w:tcBorders>
            <w:noWrap/>
            <w:vAlign w:val="bottom"/>
            <w:hideMark/>
          </w:tcPr>
          <w:p w14:paraId="46E0A478" w14:textId="77777777" w:rsidR="00996625" w:rsidRPr="004C70EC" w:rsidRDefault="00996625" w:rsidP="00996625">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Appropriations of an administrative nature financed from the envelope of specific programmes</w:t>
            </w:r>
          </w:p>
        </w:tc>
      </w:tr>
      <w:tr w:rsidR="004A1163" w:rsidRPr="004C70EC" w14:paraId="70365BD5" w14:textId="77777777" w:rsidTr="00F33762">
        <w:trPr>
          <w:trHeight w:val="525"/>
        </w:trPr>
        <w:tc>
          <w:tcPr>
            <w:tcW w:w="3240" w:type="dxa"/>
            <w:tcBorders>
              <w:top w:val="nil"/>
              <w:left w:val="single" w:sz="8" w:space="0" w:color="auto"/>
              <w:bottom w:val="single" w:sz="8" w:space="0" w:color="auto"/>
              <w:right w:val="single" w:sz="8" w:space="0" w:color="auto"/>
            </w:tcBorders>
            <w:vAlign w:val="center"/>
            <w:hideMark/>
          </w:tcPr>
          <w:p w14:paraId="63556527" w14:textId="77777777" w:rsidR="00996625" w:rsidRPr="004C70EC" w:rsidRDefault="00996625" w:rsidP="00996625">
            <w:pPr>
              <w:spacing w:before="0" w:after="0"/>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Budget line - Technical Assistance -Support credits</w:t>
            </w:r>
          </w:p>
        </w:tc>
        <w:tc>
          <w:tcPr>
            <w:tcW w:w="1237" w:type="dxa"/>
            <w:tcBorders>
              <w:top w:val="nil"/>
              <w:left w:val="nil"/>
              <w:bottom w:val="single" w:sz="8" w:space="0" w:color="auto"/>
              <w:right w:val="single" w:sz="8" w:space="0" w:color="auto"/>
            </w:tcBorders>
            <w:vAlign w:val="center"/>
            <w:hideMark/>
          </w:tcPr>
          <w:p w14:paraId="5E16664D" w14:textId="77777777" w:rsidR="00996625" w:rsidRPr="004C70EC" w:rsidRDefault="00996625" w:rsidP="00996625">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1100" w:type="dxa"/>
            <w:tcBorders>
              <w:top w:val="single" w:sz="8" w:space="0" w:color="auto"/>
              <w:left w:val="nil"/>
              <w:bottom w:val="single" w:sz="8" w:space="0" w:color="auto"/>
              <w:right w:val="single" w:sz="8" w:space="0" w:color="auto"/>
            </w:tcBorders>
            <w:vAlign w:val="center"/>
            <w:hideMark/>
          </w:tcPr>
          <w:p w14:paraId="1C5F8FB6" w14:textId="77777777" w:rsidR="00996625" w:rsidRPr="004C70EC" w:rsidRDefault="00996625" w:rsidP="00996625">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(3)</w:t>
            </w:r>
          </w:p>
        </w:tc>
        <w:tc>
          <w:tcPr>
            <w:tcW w:w="1140" w:type="dxa"/>
            <w:tcBorders>
              <w:top w:val="nil"/>
              <w:left w:val="nil"/>
              <w:bottom w:val="single" w:sz="8" w:space="0" w:color="auto"/>
              <w:right w:val="single" w:sz="8" w:space="0" w:color="auto"/>
            </w:tcBorders>
            <w:vAlign w:val="center"/>
            <w:hideMark/>
          </w:tcPr>
          <w:p w14:paraId="1918F6A3"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296" w:type="dxa"/>
            <w:tcBorders>
              <w:top w:val="nil"/>
              <w:left w:val="nil"/>
              <w:bottom w:val="single" w:sz="8" w:space="0" w:color="auto"/>
              <w:right w:val="single" w:sz="8" w:space="0" w:color="auto"/>
            </w:tcBorders>
            <w:vAlign w:val="center"/>
            <w:hideMark/>
          </w:tcPr>
          <w:p w14:paraId="6DBA838F"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160" w:type="dxa"/>
            <w:tcBorders>
              <w:top w:val="nil"/>
              <w:left w:val="nil"/>
              <w:bottom w:val="single" w:sz="8" w:space="0" w:color="auto"/>
              <w:right w:val="single" w:sz="8" w:space="0" w:color="auto"/>
            </w:tcBorders>
            <w:vAlign w:val="center"/>
            <w:hideMark/>
          </w:tcPr>
          <w:p w14:paraId="2755F591"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140" w:type="dxa"/>
            <w:tcBorders>
              <w:top w:val="nil"/>
              <w:left w:val="nil"/>
              <w:bottom w:val="single" w:sz="8" w:space="0" w:color="auto"/>
              <w:right w:val="single" w:sz="8" w:space="0" w:color="auto"/>
            </w:tcBorders>
            <w:vAlign w:val="center"/>
            <w:hideMark/>
          </w:tcPr>
          <w:p w14:paraId="27BA95D1"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140" w:type="dxa"/>
            <w:tcBorders>
              <w:top w:val="nil"/>
              <w:left w:val="nil"/>
              <w:bottom w:val="single" w:sz="8" w:space="0" w:color="auto"/>
              <w:right w:val="single" w:sz="8" w:space="0" w:color="auto"/>
            </w:tcBorders>
            <w:vAlign w:val="center"/>
            <w:hideMark/>
          </w:tcPr>
          <w:p w14:paraId="3C123A1C"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117" w:type="dxa"/>
            <w:tcBorders>
              <w:top w:val="nil"/>
              <w:left w:val="nil"/>
              <w:bottom w:val="single" w:sz="8" w:space="0" w:color="auto"/>
              <w:right w:val="single" w:sz="8" w:space="0" w:color="auto"/>
            </w:tcBorders>
            <w:vAlign w:val="center"/>
            <w:hideMark/>
          </w:tcPr>
          <w:p w14:paraId="224C0D14"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091" w:type="dxa"/>
            <w:tcBorders>
              <w:top w:val="nil"/>
              <w:left w:val="nil"/>
              <w:bottom w:val="single" w:sz="8" w:space="0" w:color="auto"/>
              <w:right w:val="single" w:sz="8" w:space="0" w:color="auto"/>
            </w:tcBorders>
            <w:vAlign w:val="center"/>
            <w:hideMark/>
          </w:tcPr>
          <w:p w14:paraId="5A9E87FD"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360" w:type="dxa"/>
            <w:tcBorders>
              <w:top w:val="nil"/>
              <w:left w:val="nil"/>
              <w:bottom w:val="single" w:sz="8" w:space="0" w:color="auto"/>
              <w:right w:val="single" w:sz="8" w:space="0" w:color="auto"/>
            </w:tcBorders>
            <w:shd w:val="clear" w:color="000000" w:fill="D9D9D9"/>
            <w:vAlign w:val="center"/>
            <w:hideMark/>
          </w:tcPr>
          <w:p w14:paraId="0ED3D8F1"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18,382</w:t>
            </w:r>
          </w:p>
        </w:tc>
      </w:tr>
      <w:tr w:rsidR="004A1163" w:rsidRPr="004C70EC" w14:paraId="2A2EA988" w14:textId="77777777" w:rsidTr="00F33762">
        <w:trPr>
          <w:trHeight w:val="315"/>
        </w:trPr>
        <w:tc>
          <w:tcPr>
            <w:tcW w:w="3240" w:type="dxa"/>
            <w:tcBorders>
              <w:top w:val="nil"/>
              <w:left w:val="single" w:sz="8" w:space="0" w:color="auto"/>
              <w:bottom w:val="single" w:sz="8" w:space="0" w:color="auto"/>
              <w:right w:val="single" w:sz="8" w:space="0" w:color="auto"/>
            </w:tcBorders>
            <w:vAlign w:val="center"/>
            <w:hideMark/>
          </w:tcPr>
          <w:p w14:paraId="706DE2C0" w14:textId="77777777" w:rsidR="00996625" w:rsidRPr="004C70EC" w:rsidRDefault="00996625" w:rsidP="00996625">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 appropriations</w:t>
            </w:r>
          </w:p>
        </w:tc>
        <w:tc>
          <w:tcPr>
            <w:tcW w:w="1237" w:type="dxa"/>
            <w:tcBorders>
              <w:top w:val="nil"/>
              <w:left w:val="nil"/>
              <w:bottom w:val="single" w:sz="8" w:space="0" w:color="auto"/>
              <w:right w:val="single" w:sz="8" w:space="0" w:color="auto"/>
            </w:tcBorders>
            <w:vAlign w:val="center"/>
            <w:hideMark/>
          </w:tcPr>
          <w:p w14:paraId="42A0E100" w14:textId="77777777" w:rsidR="00996625" w:rsidRPr="004C70EC" w:rsidRDefault="00996625" w:rsidP="00996625">
            <w:pPr>
              <w:spacing w:before="0" w:after="0"/>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Commitments</w:t>
            </w:r>
          </w:p>
        </w:tc>
        <w:tc>
          <w:tcPr>
            <w:tcW w:w="1100" w:type="dxa"/>
            <w:tcBorders>
              <w:top w:val="single" w:sz="8" w:space="0" w:color="auto"/>
              <w:left w:val="nil"/>
              <w:bottom w:val="single" w:sz="8" w:space="0" w:color="auto"/>
              <w:right w:val="single" w:sz="8" w:space="0" w:color="auto"/>
            </w:tcBorders>
            <w:vAlign w:val="center"/>
            <w:hideMark/>
          </w:tcPr>
          <w:p w14:paraId="30E4A394" w14:textId="77777777" w:rsidR="00996625" w:rsidRPr="004C70EC" w:rsidRDefault="00996625" w:rsidP="00996625">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=1a+1b+3</w:t>
            </w:r>
          </w:p>
        </w:tc>
        <w:tc>
          <w:tcPr>
            <w:tcW w:w="1140" w:type="dxa"/>
            <w:tcBorders>
              <w:top w:val="nil"/>
              <w:left w:val="nil"/>
              <w:bottom w:val="single" w:sz="8" w:space="0" w:color="auto"/>
              <w:right w:val="single" w:sz="8" w:space="0" w:color="auto"/>
            </w:tcBorders>
            <w:shd w:val="clear" w:color="000000" w:fill="D9D9D9"/>
            <w:vAlign w:val="center"/>
            <w:hideMark/>
          </w:tcPr>
          <w:p w14:paraId="4E6431CB"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296" w:type="dxa"/>
            <w:tcBorders>
              <w:top w:val="nil"/>
              <w:left w:val="nil"/>
              <w:bottom w:val="single" w:sz="8" w:space="0" w:color="auto"/>
              <w:right w:val="single" w:sz="8" w:space="0" w:color="auto"/>
            </w:tcBorders>
            <w:shd w:val="clear" w:color="000000" w:fill="D9D9D9"/>
            <w:vAlign w:val="center"/>
            <w:hideMark/>
          </w:tcPr>
          <w:p w14:paraId="74D70818"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160" w:type="dxa"/>
            <w:tcBorders>
              <w:top w:val="nil"/>
              <w:left w:val="nil"/>
              <w:bottom w:val="single" w:sz="8" w:space="0" w:color="auto"/>
              <w:right w:val="single" w:sz="8" w:space="0" w:color="auto"/>
            </w:tcBorders>
            <w:shd w:val="clear" w:color="000000" w:fill="D9D9D9"/>
            <w:vAlign w:val="center"/>
            <w:hideMark/>
          </w:tcPr>
          <w:p w14:paraId="785E6844"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140" w:type="dxa"/>
            <w:tcBorders>
              <w:top w:val="nil"/>
              <w:left w:val="nil"/>
              <w:bottom w:val="single" w:sz="8" w:space="0" w:color="auto"/>
              <w:right w:val="single" w:sz="8" w:space="0" w:color="auto"/>
            </w:tcBorders>
            <w:shd w:val="clear" w:color="000000" w:fill="D9D9D9"/>
            <w:vAlign w:val="center"/>
            <w:hideMark/>
          </w:tcPr>
          <w:p w14:paraId="58D2FA1A"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140" w:type="dxa"/>
            <w:tcBorders>
              <w:top w:val="nil"/>
              <w:left w:val="nil"/>
              <w:bottom w:val="single" w:sz="8" w:space="0" w:color="auto"/>
              <w:right w:val="single" w:sz="8" w:space="0" w:color="auto"/>
            </w:tcBorders>
            <w:shd w:val="clear" w:color="000000" w:fill="D9D9D9"/>
            <w:vAlign w:val="center"/>
            <w:hideMark/>
          </w:tcPr>
          <w:p w14:paraId="30D1ABF6"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117" w:type="dxa"/>
            <w:tcBorders>
              <w:top w:val="nil"/>
              <w:left w:val="nil"/>
              <w:bottom w:val="single" w:sz="8" w:space="0" w:color="auto"/>
              <w:right w:val="single" w:sz="8" w:space="0" w:color="auto"/>
            </w:tcBorders>
            <w:shd w:val="clear" w:color="000000" w:fill="D9D9D9"/>
            <w:vAlign w:val="center"/>
            <w:hideMark/>
          </w:tcPr>
          <w:p w14:paraId="76BEC126"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091" w:type="dxa"/>
            <w:tcBorders>
              <w:top w:val="nil"/>
              <w:left w:val="nil"/>
              <w:bottom w:val="single" w:sz="8" w:space="0" w:color="auto"/>
              <w:right w:val="single" w:sz="8" w:space="0" w:color="auto"/>
            </w:tcBorders>
            <w:shd w:val="clear" w:color="000000" w:fill="D9D9D9"/>
            <w:vAlign w:val="center"/>
            <w:hideMark/>
          </w:tcPr>
          <w:p w14:paraId="0F04C545"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360" w:type="dxa"/>
            <w:tcBorders>
              <w:top w:val="nil"/>
              <w:left w:val="nil"/>
              <w:bottom w:val="single" w:sz="8" w:space="0" w:color="auto"/>
              <w:right w:val="single" w:sz="8" w:space="0" w:color="auto"/>
            </w:tcBorders>
            <w:shd w:val="clear" w:color="000000" w:fill="D9D9D9"/>
            <w:vAlign w:val="center"/>
            <w:hideMark/>
          </w:tcPr>
          <w:p w14:paraId="4510A249"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18,382</w:t>
            </w:r>
          </w:p>
        </w:tc>
      </w:tr>
      <w:tr w:rsidR="004A1163" w:rsidRPr="004C70EC" w14:paraId="7038CF12" w14:textId="77777777" w:rsidTr="00F33762">
        <w:trPr>
          <w:trHeight w:val="315"/>
        </w:trPr>
        <w:tc>
          <w:tcPr>
            <w:tcW w:w="3240" w:type="dxa"/>
            <w:tcBorders>
              <w:top w:val="nil"/>
              <w:left w:val="single" w:sz="8" w:space="0" w:color="auto"/>
              <w:bottom w:val="single" w:sz="8" w:space="0" w:color="auto"/>
              <w:right w:val="single" w:sz="8" w:space="0" w:color="auto"/>
            </w:tcBorders>
            <w:vAlign w:val="center"/>
            <w:hideMark/>
          </w:tcPr>
          <w:p w14:paraId="5B2A862B" w14:textId="77777777" w:rsidR="00996625" w:rsidRPr="004C70EC" w:rsidRDefault="00996625" w:rsidP="00996625">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for DG SANTE</w:t>
            </w:r>
          </w:p>
        </w:tc>
        <w:tc>
          <w:tcPr>
            <w:tcW w:w="1237" w:type="dxa"/>
            <w:tcBorders>
              <w:top w:val="nil"/>
              <w:left w:val="nil"/>
              <w:bottom w:val="single" w:sz="8" w:space="0" w:color="auto"/>
              <w:right w:val="single" w:sz="8" w:space="0" w:color="auto"/>
            </w:tcBorders>
            <w:vAlign w:val="center"/>
            <w:hideMark/>
          </w:tcPr>
          <w:p w14:paraId="096A0F91" w14:textId="77777777" w:rsidR="00996625" w:rsidRPr="004C70EC" w:rsidRDefault="00996625" w:rsidP="00996625">
            <w:pPr>
              <w:spacing w:before="0" w:after="0"/>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Payments</w:t>
            </w:r>
          </w:p>
        </w:tc>
        <w:tc>
          <w:tcPr>
            <w:tcW w:w="1100" w:type="dxa"/>
            <w:tcBorders>
              <w:top w:val="single" w:sz="8" w:space="0" w:color="auto"/>
              <w:left w:val="nil"/>
              <w:bottom w:val="single" w:sz="8" w:space="0" w:color="auto"/>
              <w:right w:val="single" w:sz="8" w:space="0" w:color="auto"/>
            </w:tcBorders>
            <w:vAlign w:val="center"/>
            <w:hideMark/>
          </w:tcPr>
          <w:p w14:paraId="44E3EF63" w14:textId="77777777" w:rsidR="00996625" w:rsidRPr="004C70EC" w:rsidRDefault="00996625" w:rsidP="00996625">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=2a+2b+3</w:t>
            </w:r>
          </w:p>
        </w:tc>
        <w:tc>
          <w:tcPr>
            <w:tcW w:w="1140" w:type="dxa"/>
            <w:tcBorders>
              <w:top w:val="nil"/>
              <w:left w:val="nil"/>
              <w:bottom w:val="single" w:sz="8" w:space="0" w:color="auto"/>
              <w:right w:val="single" w:sz="8" w:space="0" w:color="auto"/>
            </w:tcBorders>
            <w:shd w:val="clear" w:color="000000" w:fill="D9D9D9"/>
            <w:vAlign w:val="center"/>
            <w:hideMark/>
          </w:tcPr>
          <w:p w14:paraId="77638E44"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296" w:type="dxa"/>
            <w:tcBorders>
              <w:top w:val="nil"/>
              <w:left w:val="nil"/>
              <w:bottom w:val="single" w:sz="8" w:space="0" w:color="auto"/>
              <w:right w:val="single" w:sz="8" w:space="0" w:color="auto"/>
            </w:tcBorders>
            <w:shd w:val="clear" w:color="000000" w:fill="D9D9D9"/>
            <w:vAlign w:val="center"/>
            <w:hideMark/>
          </w:tcPr>
          <w:p w14:paraId="4155B6B9"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160" w:type="dxa"/>
            <w:tcBorders>
              <w:top w:val="nil"/>
              <w:left w:val="nil"/>
              <w:bottom w:val="single" w:sz="8" w:space="0" w:color="auto"/>
              <w:right w:val="single" w:sz="8" w:space="0" w:color="auto"/>
            </w:tcBorders>
            <w:shd w:val="clear" w:color="000000" w:fill="D9D9D9"/>
            <w:vAlign w:val="center"/>
            <w:hideMark/>
          </w:tcPr>
          <w:p w14:paraId="104F9FF7"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140" w:type="dxa"/>
            <w:tcBorders>
              <w:top w:val="nil"/>
              <w:left w:val="nil"/>
              <w:bottom w:val="single" w:sz="8" w:space="0" w:color="auto"/>
              <w:right w:val="single" w:sz="8" w:space="0" w:color="auto"/>
            </w:tcBorders>
            <w:shd w:val="clear" w:color="000000" w:fill="D9D9D9"/>
            <w:vAlign w:val="center"/>
            <w:hideMark/>
          </w:tcPr>
          <w:p w14:paraId="59B88884"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140" w:type="dxa"/>
            <w:tcBorders>
              <w:top w:val="nil"/>
              <w:left w:val="nil"/>
              <w:bottom w:val="single" w:sz="8" w:space="0" w:color="auto"/>
              <w:right w:val="single" w:sz="8" w:space="0" w:color="auto"/>
            </w:tcBorders>
            <w:shd w:val="clear" w:color="000000" w:fill="D9D9D9"/>
            <w:vAlign w:val="center"/>
            <w:hideMark/>
          </w:tcPr>
          <w:p w14:paraId="175A1C3A"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117" w:type="dxa"/>
            <w:tcBorders>
              <w:top w:val="nil"/>
              <w:left w:val="nil"/>
              <w:bottom w:val="single" w:sz="8" w:space="0" w:color="auto"/>
              <w:right w:val="single" w:sz="8" w:space="0" w:color="auto"/>
            </w:tcBorders>
            <w:shd w:val="clear" w:color="000000" w:fill="D9D9D9"/>
            <w:vAlign w:val="center"/>
            <w:hideMark/>
          </w:tcPr>
          <w:p w14:paraId="76F9A29A"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091" w:type="dxa"/>
            <w:tcBorders>
              <w:top w:val="nil"/>
              <w:left w:val="nil"/>
              <w:bottom w:val="single" w:sz="8" w:space="0" w:color="auto"/>
              <w:right w:val="single" w:sz="8" w:space="0" w:color="auto"/>
            </w:tcBorders>
            <w:shd w:val="clear" w:color="000000" w:fill="D9D9D9"/>
            <w:vAlign w:val="center"/>
            <w:hideMark/>
          </w:tcPr>
          <w:p w14:paraId="61DFDD5D"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360" w:type="dxa"/>
            <w:tcBorders>
              <w:top w:val="nil"/>
              <w:left w:val="nil"/>
              <w:bottom w:val="single" w:sz="8" w:space="0" w:color="auto"/>
              <w:right w:val="single" w:sz="8" w:space="0" w:color="auto"/>
            </w:tcBorders>
            <w:shd w:val="clear" w:color="000000" w:fill="D9D9D9"/>
            <w:vAlign w:val="center"/>
            <w:hideMark/>
          </w:tcPr>
          <w:p w14:paraId="643C1685" w14:textId="77777777" w:rsidR="00996625" w:rsidRPr="004C70EC" w:rsidRDefault="00996625" w:rsidP="00996625">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18,382</w:t>
            </w:r>
          </w:p>
        </w:tc>
      </w:tr>
    </w:tbl>
    <w:p w14:paraId="4E6CCED0" w14:textId="77777777" w:rsidR="00996625" w:rsidRPr="004C70EC" w:rsidRDefault="00996625" w:rsidP="00D55722">
      <w:pPr>
        <w:rPr>
          <w:noProof/>
          <w:color w:val="000000" w:themeColor="text1"/>
          <w:szCs w:val="24"/>
          <w:u w:val="single"/>
        </w:rPr>
      </w:pPr>
    </w:p>
    <w:p w14:paraId="3F46E358" w14:textId="77777777" w:rsidR="00996625" w:rsidRPr="004C70EC" w:rsidRDefault="00996625" w:rsidP="00D55722">
      <w:pPr>
        <w:rPr>
          <w:noProof/>
          <w:color w:val="000000" w:themeColor="text1"/>
          <w:szCs w:val="24"/>
          <w:u w:val="single"/>
        </w:rPr>
      </w:pPr>
    </w:p>
    <w:p w14:paraId="1D8C8262" w14:textId="77777777" w:rsidR="00996625" w:rsidRPr="004C70EC" w:rsidRDefault="00996625" w:rsidP="00D55722">
      <w:pPr>
        <w:rPr>
          <w:noProof/>
          <w:color w:val="000000" w:themeColor="text1"/>
          <w:szCs w:val="24"/>
          <w:u w:val="single"/>
        </w:rPr>
      </w:pPr>
    </w:p>
    <w:p w14:paraId="3272B428" w14:textId="77777777" w:rsidR="00996625" w:rsidRPr="004C70EC" w:rsidRDefault="00996625" w:rsidP="00D55722">
      <w:pPr>
        <w:rPr>
          <w:noProof/>
          <w:color w:val="000000" w:themeColor="text1"/>
          <w:szCs w:val="24"/>
        </w:rPr>
      </w:pPr>
    </w:p>
    <w:p w14:paraId="7576321A" w14:textId="77777777" w:rsidR="007966CD" w:rsidRPr="004C70EC" w:rsidRDefault="007966CD">
      <w:pPr>
        <w:jc w:val="right"/>
        <w:rPr>
          <w:noProof/>
          <w:color w:val="000000" w:themeColor="text1"/>
          <w:szCs w:val="24"/>
          <w:lang w:val="en-IE"/>
        </w:rPr>
      </w:pPr>
    </w:p>
    <w:p w14:paraId="526D0BE7" w14:textId="77777777" w:rsidR="007966CD" w:rsidRPr="004C70EC" w:rsidRDefault="007966CD">
      <w:pPr>
        <w:jc w:val="right"/>
        <w:rPr>
          <w:noProof/>
          <w:color w:val="000000" w:themeColor="text1"/>
          <w:szCs w:val="24"/>
          <w:lang w:val="en-IE"/>
        </w:rPr>
      </w:pPr>
    </w:p>
    <w:p w14:paraId="3C6E6B85" w14:textId="77777777" w:rsidR="007966CD" w:rsidRPr="004C70EC" w:rsidRDefault="007966CD">
      <w:pPr>
        <w:rPr>
          <w:noProof/>
          <w:color w:val="000000" w:themeColor="text1"/>
          <w:szCs w:val="24"/>
        </w:rPr>
      </w:pPr>
    </w:p>
    <w:p w14:paraId="731F958B" w14:textId="77777777" w:rsidR="007966CD" w:rsidRPr="004C70EC" w:rsidRDefault="007966CD">
      <w:pPr>
        <w:rPr>
          <w:noProof/>
          <w:color w:val="000000" w:themeColor="text1"/>
          <w:szCs w:val="24"/>
        </w:rPr>
      </w:pPr>
    </w:p>
    <w:p w14:paraId="1DB8F999" w14:textId="77777777" w:rsidR="00423E6F" w:rsidRPr="004C70EC" w:rsidRDefault="00423E6F" w:rsidP="00423E6F">
      <w:pPr>
        <w:rPr>
          <w:noProof/>
          <w:color w:val="000000" w:themeColor="text1"/>
          <w:szCs w:val="24"/>
        </w:rPr>
      </w:pPr>
    </w:p>
    <w:p w14:paraId="5C4C1F0C" w14:textId="77777777" w:rsidR="00423E6F" w:rsidRPr="004C70EC" w:rsidRDefault="00423E6F" w:rsidP="00423E6F">
      <w:pPr>
        <w:rPr>
          <w:noProof/>
          <w:color w:val="000000" w:themeColor="text1"/>
          <w:szCs w:val="24"/>
        </w:rPr>
      </w:pPr>
      <w:r w:rsidRPr="004C70EC">
        <w:rPr>
          <w:noProof/>
          <w:color w:val="000000" w:themeColor="text1"/>
          <w:szCs w:val="24"/>
        </w:rPr>
        <w:t xml:space="preserve">EU contribution to decentralised agencies </w:t>
      </w:r>
    </w:p>
    <w:p w14:paraId="6F4FFF99" w14:textId="77777777" w:rsidR="00423E6F" w:rsidRPr="004C70EC" w:rsidRDefault="00423E6F" w:rsidP="00423E6F">
      <w:pPr>
        <w:ind w:right="679"/>
        <w:jc w:val="right"/>
        <w:rPr>
          <w:noProof/>
          <w:color w:val="000000" w:themeColor="text1"/>
          <w:szCs w:val="24"/>
          <w:lang w:val="en-IE"/>
        </w:rPr>
      </w:pPr>
      <w:r w:rsidRPr="004C70EC">
        <w:rPr>
          <w:noProof/>
          <w:color w:val="000000" w:themeColor="text1"/>
          <w:szCs w:val="24"/>
          <w:lang w:val="en-IE"/>
        </w:rPr>
        <w:t>EUR million (to three decimal places)</w:t>
      </w:r>
    </w:p>
    <w:p w14:paraId="6B0D9487" w14:textId="77777777" w:rsidR="00423E6F" w:rsidRPr="004C70EC" w:rsidRDefault="00423E6F" w:rsidP="00423E6F">
      <w:pPr>
        <w:ind w:right="679"/>
        <w:rPr>
          <w:noProof/>
          <w:color w:val="000000" w:themeColor="text1"/>
          <w:szCs w:val="24"/>
          <w:lang w:val="en-IE"/>
        </w:rPr>
      </w:pPr>
    </w:p>
    <w:tbl>
      <w:tblPr>
        <w:tblW w:w="14042" w:type="dxa"/>
        <w:tblInd w:w="118" w:type="dxa"/>
        <w:tblLook w:val="04A0" w:firstRow="1" w:lastRow="0" w:firstColumn="1" w:lastColumn="0" w:noHBand="0" w:noVBand="1"/>
      </w:tblPr>
      <w:tblGrid>
        <w:gridCol w:w="1584"/>
        <w:gridCol w:w="1530"/>
        <w:gridCol w:w="1294"/>
        <w:gridCol w:w="1294"/>
        <w:gridCol w:w="1294"/>
        <w:gridCol w:w="1294"/>
        <w:gridCol w:w="1294"/>
        <w:gridCol w:w="1294"/>
        <w:gridCol w:w="1530"/>
        <w:gridCol w:w="1634"/>
      </w:tblGrid>
      <w:tr w:rsidR="00BD2731" w:rsidRPr="004C70EC" w14:paraId="55070223" w14:textId="77777777" w:rsidTr="00DA47E0">
        <w:trPr>
          <w:trHeight w:val="360"/>
        </w:trPr>
        <w:tc>
          <w:tcPr>
            <w:tcW w:w="1584" w:type="dxa"/>
            <w:vMerge w:val="restart"/>
            <w:tcBorders>
              <w:top w:val="single" w:sz="8" w:space="0" w:color="auto"/>
              <w:left w:val="single" w:sz="8" w:space="0" w:color="auto"/>
              <w:bottom w:val="single" w:sz="8" w:space="0" w:color="000000"/>
              <w:right w:val="single" w:sz="8" w:space="0" w:color="auto"/>
            </w:tcBorders>
            <w:vAlign w:val="center"/>
            <w:hideMark/>
          </w:tcPr>
          <w:p w14:paraId="0307FA4E" w14:textId="77777777" w:rsidR="00423E6F" w:rsidRPr="004C70EC" w:rsidRDefault="00423E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[Agency]: &lt;EMA .&gt;</w:t>
            </w:r>
          </w:p>
        </w:tc>
        <w:tc>
          <w:tcPr>
            <w:tcW w:w="1530" w:type="dxa"/>
            <w:tcBorders>
              <w:top w:val="single" w:sz="8" w:space="0" w:color="auto"/>
              <w:left w:val="nil"/>
              <w:bottom w:val="nil"/>
              <w:right w:val="single" w:sz="8" w:space="0" w:color="auto"/>
            </w:tcBorders>
            <w:vAlign w:val="center"/>
            <w:hideMark/>
          </w:tcPr>
          <w:p w14:paraId="641A2E2B" w14:textId="77777777" w:rsidR="00423E6F" w:rsidRPr="004C70EC" w:rsidRDefault="00423E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Year</w:t>
            </w:r>
          </w:p>
        </w:tc>
        <w:tc>
          <w:tcPr>
            <w:tcW w:w="1294" w:type="dxa"/>
            <w:tcBorders>
              <w:top w:val="single" w:sz="8" w:space="0" w:color="auto"/>
              <w:left w:val="nil"/>
              <w:bottom w:val="nil"/>
              <w:right w:val="single" w:sz="8" w:space="0" w:color="auto"/>
            </w:tcBorders>
            <w:vAlign w:val="center"/>
            <w:hideMark/>
          </w:tcPr>
          <w:p w14:paraId="5B6A0B6D" w14:textId="77777777" w:rsidR="00423E6F" w:rsidRPr="004C70EC" w:rsidRDefault="00423E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Year</w:t>
            </w:r>
          </w:p>
        </w:tc>
        <w:tc>
          <w:tcPr>
            <w:tcW w:w="1294" w:type="dxa"/>
            <w:tcBorders>
              <w:top w:val="single" w:sz="8" w:space="0" w:color="auto"/>
              <w:left w:val="nil"/>
              <w:bottom w:val="nil"/>
              <w:right w:val="single" w:sz="8" w:space="0" w:color="auto"/>
            </w:tcBorders>
            <w:vAlign w:val="center"/>
            <w:hideMark/>
          </w:tcPr>
          <w:p w14:paraId="0E454358" w14:textId="77777777" w:rsidR="00423E6F" w:rsidRPr="004C70EC" w:rsidRDefault="00423E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Year</w:t>
            </w:r>
          </w:p>
        </w:tc>
        <w:tc>
          <w:tcPr>
            <w:tcW w:w="1294" w:type="dxa"/>
            <w:tcBorders>
              <w:top w:val="single" w:sz="8" w:space="0" w:color="auto"/>
              <w:left w:val="nil"/>
              <w:bottom w:val="nil"/>
              <w:right w:val="single" w:sz="8" w:space="0" w:color="auto"/>
            </w:tcBorders>
            <w:shd w:val="clear" w:color="000000" w:fill="FFFFFF"/>
            <w:vAlign w:val="center"/>
            <w:hideMark/>
          </w:tcPr>
          <w:p w14:paraId="12354C48" w14:textId="77777777" w:rsidR="00423E6F" w:rsidRPr="004C70EC" w:rsidRDefault="00423E6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294" w:type="dxa"/>
            <w:tcBorders>
              <w:top w:val="single" w:sz="8" w:space="0" w:color="auto"/>
              <w:left w:val="nil"/>
              <w:bottom w:val="nil"/>
              <w:right w:val="single" w:sz="8" w:space="0" w:color="auto"/>
            </w:tcBorders>
            <w:shd w:val="clear" w:color="000000" w:fill="FFFFFF"/>
            <w:vAlign w:val="center"/>
            <w:hideMark/>
          </w:tcPr>
          <w:p w14:paraId="21BC1A4F" w14:textId="77777777" w:rsidR="00423E6F" w:rsidRPr="004C70EC" w:rsidRDefault="00423E6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294" w:type="dxa"/>
            <w:tcBorders>
              <w:top w:val="single" w:sz="8" w:space="0" w:color="auto"/>
              <w:left w:val="nil"/>
              <w:bottom w:val="nil"/>
              <w:right w:val="single" w:sz="8" w:space="0" w:color="auto"/>
            </w:tcBorders>
            <w:shd w:val="clear" w:color="000000" w:fill="FFFFFF"/>
            <w:vAlign w:val="center"/>
            <w:hideMark/>
          </w:tcPr>
          <w:p w14:paraId="484A0C5C" w14:textId="77777777" w:rsidR="00423E6F" w:rsidRPr="004C70EC" w:rsidRDefault="00423E6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294" w:type="dxa"/>
            <w:tcBorders>
              <w:top w:val="single" w:sz="8" w:space="0" w:color="auto"/>
              <w:left w:val="nil"/>
              <w:bottom w:val="nil"/>
              <w:right w:val="single" w:sz="8" w:space="0" w:color="auto"/>
            </w:tcBorders>
            <w:shd w:val="clear" w:color="000000" w:fill="FFFFFF"/>
            <w:vAlign w:val="center"/>
            <w:hideMark/>
          </w:tcPr>
          <w:p w14:paraId="5BC90015" w14:textId="77777777" w:rsidR="00423E6F" w:rsidRPr="004C70EC" w:rsidRDefault="00423E6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530" w:type="dxa"/>
            <w:vMerge w:val="restart"/>
            <w:tcBorders>
              <w:top w:val="single" w:sz="8" w:space="0" w:color="auto"/>
              <w:left w:val="single" w:sz="8" w:space="0" w:color="auto"/>
              <w:bottom w:val="single" w:sz="8" w:space="0" w:color="000000"/>
              <w:right w:val="single" w:sz="8" w:space="0" w:color="auto"/>
            </w:tcBorders>
            <w:vAlign w:val="center"/>
            <w:hideMark/>
          </w:tcPr>
          <w:p w14:paraId="49151D97" w14:textId="77777777" w:rsidR="00423E6F" w:rsidRPr="004C70EC" w:rsidRDefault="00423E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w:t>
            </w:r>
            <w:r w:rsidRPr="004C70EC">
              <w:rPr>
                <w:rFonts w:eastAsia="Times New Roman"/>
                <w:b/>
                <w:bCs/>
                <w:noProof/>
                <w:color w:val="000000" w:themeColor="text1"/>
                <w:szCs w:val="24"/>
                <w:lang w:val="en-IE" w:eastAsia="en-IE"/>
              </w:rPr>
              <w:br/>
              <w:t>2028 - 2034</w:t>
            </w:r>
          </w:p>
        </w:tc>
        <w:tc>
          <w:tcPr>
            <w:tcW w:w="1634" w:type="dxa"/>
            <w:tcBorders>
              <w:top w:val="single" w:sz="8" w:space="0" w:color="auto"/>
              <w:left w:val="nil"/>
              <w:bottom w:val="nil"/>
              <w:right w:val="single" w:sz="8" w:space="0" w:color="auto"/>
            </w:tcBorders>
            <w:vAlign w:val="center"/>
            <w:hideMark/>
          </w:tcPr>
          <w:p w14:paraId="4A1CFC47" w14:textId="77777777" w:rsidR="00423E6F" w:rsidRPr="004C70EC" w:rsidRDefault="00423E6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POST</w:t>
            </w:r>
          </w:p>
        </w:tc>
      </w:tr>
      <w:tr w:rsidR="004A1163" w:rsidRPr="004C70EC" w14:paraId="55C649BE" w14:textId="77777777" w:rsidTr="002D7694">
        <w:trPr>
          <w:trHeight w:val="360"/>
        </w:trPr>
        <w:tc>
          <w:tcPr>
            <w:tcW w:w="1584" w:type="dxa"/>
            <w:vMerge/>
            <w:tcBorders>
              <w:top w:val="single" w:sz="8" w:space="0" w:color="auto"/>
              <w:left w:val="single" w:sz="8" w:space="0" w:color="auto"/>
              <w:bottom w:val="single" w:sz="8" w:space="0" w:color="000000"/>
              <w:right w:val="single" w:sz="8" w:space="0" w:color="auto"/>
            </w:tcBorders>
            <w:vAlign w:val="center"/>
            <w:hideMark/>
          </w:tcPr>
          <w:p w14:paraId="08E9EA76" w14:textId="77777777" w:rsidR="00423E6F" w:rsidRPr="004C70EC" w:rsidRDefault="00423E6F">
            <w:pPr>
              <w:spacing w:before="0" w:after="0"/>
              <w:jc w:val="left"/>
              <w:rPr>
                <w:rFonts w:eastAsia="Times New Roman"/>
                <w:b/>
                <w:bCs/>
                <w:noProof/>
                <w:color w:val="000000" w:themeColor="text1"/>
                <w:szCs w:val="24"/>
                <w:lang w:val="en-IE" w:eastAsia="en-IE"/>
              </w:rPr>
            </w:pPr>
          </w:p>
        </w:tc>
        <w:tc>
          <w:tcPr>
            <w:tcW w:w="1530" w:type="dxa"/>
            <w:tcBorders>
              <w:top w:val="nil"/>
              <w:left w:val="nil"/>
              <w:bottom w:val="single" w:sz="8" w:space="0" w:color="auto"/>
              <w:right w:val="single" w:sz="8" w:space="0" w:color="auto"/>
            </w:tcBorders>
            <w:vAlign w:val="center"/>
            <w:hideMark/>
          </w:tcPr>
          <w:p w14:paraId="10D45A02" w14:textId="77777777" w:rsidR="00423E6F" w:rsidRPr="004C70EC" w:rsidRDefault="00423E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2028</w:t>
            </w:r>
          </w:p>
        </w:tc>
        <w:tc>
          <w:tcPr>
            <w:tcW w:w="1294" w:type="dxa"/>
            <w:tcBorders>
              <w:top w:val="nil"/>
              <w:left w:val="nil"/>
              <w:bottom w:val="single" w:sz="8" w:space="0" w:color="auto"/>
              <w:right w:val="single" w:sz="8" w:space="0" w:color="auto"/>
            </w:tcBorders>
            <w:vAlign w:val="center"/>
            <w:hideMark/>
          </w:tcPr>
          <w:p w14:paraId="3D8DA77D" w14:textId="77777777" w:rsidR="00423E6F" w:rsidRPr="004C70EC" w:rsidRDefault="00423E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2029</w:t>
            </w:r>
          </w:p>
        </w:tc>
        <w:tc>
          <w:tcPr>
            <w:tcW w:w="1294" w:type="dxa"/>
            <w:tcBorders>
              <w:top w:val="nil"/>
              <w:left w:val="nil"/>
              <w:bottom w:val="single" w:sz="8" w:space="0" w:color="auto"/>
              <w:right w:val="single" w:sz="8" w:space="0" w:color="auto"/>
            </w:tcBorders>
            <w:vAlign w:val="center"/>
            <w:hideMark/>
          </w:tcPr>
          <w:p w14:paraId="7E5F390D" w14:textId="77777777" w:rsidR="00423E6F" w:rsidRPr="004C70EC" w:rsidRDefault="00423E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2030</w:t>
            </w:r>
          </w:p>
        </w:tc>
        <w:tc>
          <w:tcPr>
            <w:tcW w:w="1294" w:type="dxa"/>
            <w:tcBorders>
              <w:top w:val="nil"/>
              <w:left w:val="nil"/>
              <w:bottom w:val="single" w:sz="8" w:space="0" w:color="auto"/>
              <w:right w:val="single" w:sz="8" w:space="0" w:color="auto"/>
            </w:tcBorders>
            <w:vAlign w:val="center"/>
            <w:hideMark/>
          </w:tcPr>
          <w:p w14:paraId="261CB557" w14:textId="77777777" w:rsidR="00423E6F" w:rsidRPr="004C70EC" w:rsidRDefault="00423E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2031</w:t>
            </w:r>
          </w:p>
        </w:tc>
        <w:tc>
          <w:tcPr>
            <w:tcW w:w="1294" w:type="dxa"/>
            <w:tcBorders>
              <w:top w:val="nil"/>
              <w:left w:val="nil"/>
              <w:bottom w:val="single" w:sz="8" w:space="0" w:color="auto"/>
              <w:right w:val="single" w:sz="8" w:space="0" w:color="auto"/>
            </w:tcBorders>
            <w:vAlign w:val="center"/>
            <w:hideMark/>
          </w:tcPr>
          <w:p w14:paraId="366589C5" w14:textId="77777777" w:rsidR="00423E6F" w:rsidRPr="004C70EC" w:rsidRDefault="00423E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2032</w:t>
            </w:r>
          </w:p>
        </w:tc>
        <w:tc>
          <w:tcPr>
            <w:tcW w:w="1294" w:type="dxa"/>
            <w:tcBorders>
              <w:top w:val="nil"/>
              <w:left w:val="nil"/>
              <w:bottom w:val="single" w:sz="8" w:space="0" w:color="auto"/>
              <w:right w:val="single" w:sz="8" w:space="0" w:color="auto"/>
            </w:tcBorders>
            <w:vAlign w:val="center"/>
            <w:hideMark/>
          </w:tcPr>
          <w:p w14:paraId="70632920" w14:textId="77777777" w:rsidR="00423E6F" w:rsidRPr="004C70EC" w:rsidRDefault="00423E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2033</w:t>
            </w:r>
          </w:p>
        </w:tc>
        <w:tc>
          <w:tcPr>
            <w:tcW w:w="1294" w:type="dxa"/>
            <w:tcBorders>
              <w:top w:val="nil"/>
              <w:left w:val="nil"/>
              <w:bottom w:val="single" w:sz="8" w:space="0" w:color="auto"/>
              <w:right w:val="single" w:sz="8" w:space="0" w:color="auto"/>
            </w:tcBorders>
            <w:vAlign w:val="center"/>
            <w:hideMark/>
          </w:tcPr>
          <w:p w14:paraId="272D934F" w14:textId="77777777" w:rsidR="00423E6F" w:rsidRPr="004C70EC" w:rsidRDefault="00423E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w:t>
            </w:r>
          </w:p>
        </w:tc>
        <w:tc>
          <w:tcPr>
            <w:tcW w:w="1530" w:type="dxa"/>
            <w:vMerge/>
            <w:tcBorders>
              <w:top w:val="single" w:sz="8" w:space="0" w:color="auto"/>
              <w:left w:val="single" w:sz="8" w:space="0" w:color="auto"/>
              <w:bottom w:val="single" w:sz="8" w:space="0" w:color="000000"/>
              <w:right w:val="single" w:sz="8" w:space="0" w:color="auto"/>
            </w:tcBorders>
            <w:vAlign w:val="center"/>
            <w:hideMark/>
          </w:tcPr>
          <w:p w14:paraId="1A78F9B8" w14:textId="77777777" w:rsidR="00423E6F" w:rsidRPr="004C70EC" w:rsidRDefault="00423E6F">
            <w:pPr>
              <w:spacing w:before="0" w:after="0"/>
              <w:jc w:val="left"/>
              <w:rPr>
                <w:rFonts w:eastAsia="Times New Roman"/>
                <w:b/>
                <w:bCs/>
                <w:noProof/>
                <w:color w:val="000000" w:themeColor="text1"/>
                <w:szCs w:val="24"/>
                <w:lang w:val="en-IE" w:eastAsia="en-IE"/>
              </w:rPr>
            </w:pPr>
          </w:p>
        </w:tc>
        <w:tc>
          <w:tcPr>
            <w:tcW w:w="1634" w:type="dxa"/>
            <w:tcBorders>
              <w:top w:val="nil"/>
              <w:left w:val="nil"/>
              <w:bottom w:val="single" w:sz="8" w:space="0" w:color="auto"/>
              <w:right w:val="single" w:sz="8" w:space="0" w:color="auto"/>
            </w:tcBorders>
            <w:vAlign w:val="center"/>
            <w:hideMark/>
          </w:tcPr>
          <w:p w14:paraId="2E10CE47" w14:textId="77777777" w:rsidR="00423E6F" w:rsidRPr="004C70EC" w:rsidRDefault="00423E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 annual expenditure)</w:t>
            </w:r>
          </w:p>
        </w:tc>
      </w:tr>
      <w:tr w:rsidR="004C416A" w:rsidRPr="004C70EC" w14:paraId="195167B3" w14:textId="77777777" w:rsidTr="00DA47E0">
        <w:trPr>
          <w:trHeight w:val="683"/>
        </w:trPr>
        <w:tc>
          <w:tcPr>
            <w:tcW w:w="1584" w:type="dxa"/>
            <w:tcBorders>
              <w:top w:val="nil"/>
              <w:left w:val="single" w:sz="8" w:space="0" w:color="auto"/>
              <w:bottom w:val="single" w:sz="8" w:space="0" w:color="auto"/>
              <w:right w:val="single" w:sz="8" w:space="0" w:color="auto"/>
            </w:tcBorders>
            <w:vAlign w:val="center"/>
            <w:hideMark/>
          </w:tcPr>
          <w:p w14:paraId="3307D098" w14:textId="77777777" w:rsidR="00E76595" w:rsidRPr="004C70EC" w:rsidRDefault="00E76595" w:rsidP="00E76595">
            <w:pPr>
              <w:spacing w:before="0" w:after="0"/>
              <w:jc w:val="lef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Budget line: EMA / EU Budget contribution to the agency</w:t>
            </w:r>
          </w:p>
        </w:tc>
        <w:tc>
          <w:tcPr>
            <w:tcW w:w="1530" w:type="dxa"/>
            <w:tcBorders>
              <w:top w:val="nil"/>
              <w:left w:val="nil"/>
              <w:bottom w:val="single" w:sz="8" w:space="0" w:color="auto"/>
              <w:right w:val="single" w:sz="8" w:space="0" w:color="auto"/>
            </w:tcBorders>
            <w:shd w:val="clear" w:color="000000" w:fill="D9D9D9"/>
            <w:vAlign w:val="center"/>
            <w:hideMark/>
          </w:tcPr>
          <w:p w14:paraId="4DDA3780" w14:textId="77777777" w:rsidR="00E76595" w:rsidRPr="004C70EC" w:rsidRDefault="00E76595" w:rsidP="00E76595">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10,055</w:t>
            </w:r>
          </w:p>
        </w:tc>
        <w:tc>
          <w:tcPr>
            <w:tcW w:w="1294" w:type="dxa"/>
            <w:tcBorders>
              <w:top w:val="nil"/>
              <w:left w:val="nil"/>
              <w:bottom w:val="single" w:sz="8" w:space="0" w:color="auto"/>
              <w:right w:val="single" w:sz="8" w:space="0" w:color="auto"/>
            </w:tcBorders>
            <w:shd w:val="clear" w:color="000000" w:fill="D9D9D9"/>
            <w:vAlign w:val="center"/>
            <w:hideMark/>
          </w:tcPr>
          <w:p w14:paraId="47901300" w14:textId="77777777" w:rsidR="00E76595" w:rsidRPr="004C70EC" w:rsidRDefault="00E76595" w:rsidP="00E76595">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8,153</w:t>
            </w:r>
          </w:p>
        </w:tc>
        <w:tc>
          <w:tcPr>
            <w:tcW w:w="1294" w:type="dxa"/>
            <w:tcBorders>
              <w:top w:val="nil"/>
              <w:left w:val="nil"/>
              <w:bottom w:val="single" w:sz="8" w:space="0" w:color="auto"/>
              <w:right w:val="single" w:sz="8" w:space="0" w:color="auto"/>
            </w:tcBorders>
            <w:shd w:val="clear" w:color="000000" w:fill="D9D9D9"/>
            <w:vAlign w:val="center"/>
            <w:hideMark/>
          </w:tcPr>
          <w:p w14:paraId="7D35B73F" w14:textId="77777777" w:rsidR="00E76595" w:rsidRPr="004C70EC" w:rsidRDefault="00E76595" w:rsidP="00E76595">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2,196</w:t>
            </w:r>
          </w:p>
        </w:tc>
        <w:tc>
          <w:tcPr>
            <w:tcW w:w="1294" w:type="dxa"/>
            <w:tcBorders>
              <w:top w:val="nil"/>
              <w:left w:val="nil"/>
              <w:bottom w:val="single" w:sz="8" w:space="0" w:color="auto"/>
              <w:right w:val="single" w:sz="8" w:space="0" w:color="auto"/>
            </w:tcBorders>
            <w:shd w:val="clear" w:color="000000" w:fill="D9D9D9"/>
            <w:vAlign w:val="center"/>
            <w:hideMark/>
          </w:tcPr>
          <w:p w14:paraId="10C3DA56" w14:textId="77777777" w:rsidR="00E76595" w:rsidRPr="004C70EC" w:rsidRDefault="00E76595" w:rsidP="00E76595">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2,240</w:t>
            </w:r>
          </w:p>
        </w:tc>
        <w:tc>
          <w:tcPr>
            <w:tcW w:w="1294" w:type="dxa"/>
            <w:tcBorders>
              <w:top w:val="nil"/>
              <w:left w:val="nil"/>
              <w:bottom w:val="single" w:sz="8" w:space="0" w:color="auto"/>
              <w:right w:val="single" w:sz="8" w:space="0" w:color="auto"/>
            </w:tcBorders>
            <w:shd w:val="clear" w:color="000000" w:fill="D9D9D9"/>
            <w:vAlign w:val="center"/>
            <w:hideMark/>
          </w:tcPr>
          <w:p w14:paraId="449BBED4" w14:textId="77777777" w:rsidR="00E76595" w:rsidRPr="004C70EC" w:rsidRDefault="00E76595" w:rsidP="00E76595">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2,285</w:t>
            </w:r>
          </w:p>
        </w:tc>
        <w:tc>
          <w:tcPr>
            <w:tcW w:w="1294" w:type="dxa"/>
            <w:tcBorders>
              <w:top w:val="nil"/>
              <w:left w:val="nil"/>
              <w:bottom w:val="single" w:sz="8" w:space="0" w:color="auto"/>
              <w:right w:val="single" w:sz="8" w:space="0" w:color="auto"/>
            </w:tcBorders>
            <w:shd w:val="clear" w:color="000000" w:fill="D9D9D9"/>
            <w:vAlign w:val="center"/>
            <w:hideMark/>
          </w:tcPr>
          <w:p w14:paraId="25F49D97" w14:textId="77777777" w:rsidR="00E76595" w:rsidRPr="004C70EC" w:rsidRDefault="00E76595" w:rsidP="00E76595">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2,330</w:t>
            </w:r>
          </w:p>
        </w:tc>
        <w:tc>
          <w:tcPr>
            <w:tcW w:w="1294" w:type="dxa"/>
            <w:tcBorders>
              <w:top w:val="nil"/>
              <w:left w:val="nil"/>
              <w:bottom w:val="single" w:sz="8" w:space="0" w:color="auto"/>
              <w:right w:val="single" w:sz="8" w:space="0" w:color="auto"/>
            </w:tcBorders>
            <w:shd w:val="clear" w:color="000000" w:fill="D9D9D9"/>
            <w:vAlign w:val="center"/>
            <w:hideMark/>
          </w:tcPr>
          <w:p w14:paraId="344E63C7" w14:textId="77777777" w:rsidR="00E76595" w:rsidRPr="004C70EC" w:rsidRDefault="00E76595" w:rsidP="00E76595">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2,377</w:t>
            </w:r>
          </w:p>
        </w:tc>
        <w:tc>
          <w:tcPr>
            <w:tcW w:w="1530" w:type="dxa"/>
            <w:tcBorders>
              <w:top w:val="nil"/>
              <w:left w:val="nil"/>
              <w:bottom w:val="single" w:sz="8" w:space="0" w:color="auto"/>
              <w:right w:val="single" w:sz="8" w:space="0" w:color="auto"/>
            </w:tcBorders>
            <w:shd w:val="clear" w:color="000000" w:fill="D9D9D9"/>
            <w:vAlign w:val="center"/>
            <w:hideMark/>
          </w:tcPr>
          <w:p w14:paraId="3E568C6E" w14:textId="77777777" w:rsidR="00E76595" w:rsidRPr="004C70EC" w:rsidRDefault="00E76595" w:rsidP="00E76595">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29,635</w:t>
            </w:r>
          </w:p>
        </w:tc>
        <w:tc>
          <w:tcPr>
            <w:tcW w:w="1634" w:type="dxa"/>
            <w:tcBorders>
              <w:top w:val="nil"/>
              <w:left w:val="nil"/>
              <w:bottom w:val="single" w:sz="8" w:space="0" w:color="auto"/>
              <w:right w:val="single" w:sz="8" w:space="0" w:color="auto"/>
            </w:tcBorders>
            <w:shd w:val="clear" w:color="000000" w:fill="D9D9D9"/>
            <w:vAlign w:val="center"/>
            <w:hideMark/>
          </w:tcPr>
          <w:p w14:paraId="19562836" w14:textId="77777777" w:rsidR="00E76595" w:rsidRPr="004C70EC" w:rsidRDefault="00E76595" w:rsidP="00E76595">
            <w:pPr>
              <w:spacing w:before="0" w:after="0"/>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w:t>
            </w:r>
            <w:r w:rsidR="00740298" w:rsidRPr="004C70EC">
              <w:rPr>
                <w:rFonts w:eastAsia="Times New Roman"/>
                <w:noProof/>
                <w:color w:val="000000"/>
                <w:sz w:val="20"/>
                <w:szCs w:val="20"/>
                <w:lang w:val="en-IE" w:eastAsia="en-IE"/>
              </w:rPr>
              <w:t>425</w:t>
            </w:r>
          </w:p>
        </w:tc>
      </w:tr>
    </w:tbl>
    <w:p w14:paraId="63040DD3" w14:textId="77777777" w:rsidR="000A3382" w:rsidRPr="004C70EC" w:rsidRDefault="000A3382" w:rsidP="003E54C9">
      <w:pPr>
        <w:ind w:right="679"/>
        <w:rPr>
          <w:noProof/>
          <w:color w:val="000000" w:themeColor="text1"/>
          <w:szCs w:val="24"/>
          <w:lang w:val="en-IE"/>
        </w:rPr>
      </w:pPr>
    </w:p>
    <w:p w14:paraId="2D9342A7" w14:textId="77777777" w:rsidR="007966CD" w:rsidRPr="004C70EC" w:rsidRDefault="007966CD">
      <w:pPr>
        <w:ind w:right="679"/>
        <w:jc w:val="right"/>
        <w:rPr>
          <w:noProof/>
          <w:color w:val="000000" w:themeColor="text1"/>
          <w:szCs w:val="24"/>
          <w:lang w:val="en-IE"/>
        </w:rPr>
      </w:pPr>
    </w:p>
    <w:p w14:paraId="0570C2D5" w14:textId="77777777" w:rsidR="00216293" w:rsidRPr="004C70EC" w:rsidRDefault="00216293" w:rsidP="00216293">
      <w:pPr>
        <w:ind w:right="679"/>
        <w:jc w:val="right"/>
        <w:rPr>
          <w:noProof/>
          <w:color w:val="000000" w:themeColor="text1"/>
          <w:szCs w:val="24"/>
          <w:lang w:val="en-IE"/>
        </w:rPr>
      </w:pPr>
      <w:r w:rsidRPr="004C70EC">
        <w:rPr>
          <w:noProof/>
          <w:color w:val="000000" w:themeColor="text1"/>
          <w:szCs w:val="24"/>
          <w:lang w:val="en-IE"/>
        </w:rPr>
        <w:t>EUR million (to three decimal places)</w:t>
      </w:r>
    </w:p>
    <w:tbl>
      <w:tblPr>
        <w:tblW w:w="13977" w:type="dxa"/>
        <w:tblInd w:w="118" w:type="dxa"/>
        <w:tblLook w:val="04A0" w:firstRow="1" w:lastRow="0" w:firstColumn="1" w:lastColumn="0" w:noHBand="0" w:noVBand="1"/>
      </w:tblPr>
      <w:tblGrid>
        <w:gridCol w:w="3997"/>
        <w:gridCol w:w="1103"/>
        <w:gridCol w:w="1045"/>
        <w:gridCol w:w="1045"/>
        <w:gridCol w:w="1045"/>
        <w:gridCol w:w="1045"/>
        <w:gridCol w:w="1045"/>
        <w:gridCol w:w="1045"/>
        <w:gridCol w:w="1084"/>
        <w:gridCol w:w="1523"/>
      </w:tblGrid>
      <w:tr w:rsidR="004A1163" w:rsidRPr="004C70EC" w14:paraId="3ADF6541" w14:textId="77777777" w:rsidTr="006750B4">
        <w:trPr>
          <w:trHeight w:val="292"/>
        </w:trPr>
        <w:tc>
          <w:tcPr>
            <w:tcW w:w="3997" w:type="dxa"/>
            <w:vMerge w:val="restart"/>
            <w:tcBorders>
              <w:top w:val="single" w:sz="8" w:space="0" w:color="auto"/>
              <w:left w:val="single" w:sz="8" w:space="0" w:color="auto"/>
              <w:bottom w:val="single" w:sz="8" w:space="0" w:color="000000"/>
              <w:right w:val="single" w:sz="8" w:space="0" w:color="auto"/>
            </w:tcBorders>
            <w:vAlign w:val="center"/>
            <w:hideMark/>
          </w:tcPr>
          <w:p w14:paraId="51EF27C4" w14:textId="77777777" w:rsidR="00427B10" w:rsidRPr="004C70EC" w:rsidRDefault="00427B1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EFSA</w:t>
            </w:r>
          </w:p>
        </w:tc>
        <w:tc>
          <w:tcPr>
            <w:tcW w:w="1103" w:type="dxa"/>
            <w:tcBorders>
              <w:top w:val="single" w:sz="8" w:space="0" w:color="auto"/>
              <w:left w:val="nil"/>
              <w:bottom w:val="nil"/>
              <w:right w:val="single" w:sz="8" w:space="0" w:color="auto"/>
            </w:tcBorders>
            <w:vAlign w:val="center"/>
            <w:hideMark/>
          </w:tcPr>
          <w:p w14:paraId="5ED5617E" w14:textId="77777777" w:rsidR="00427B10" w:rsidRPr="004C70EC" w:rsidRDefault="00427B1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Year</w:t>
            </w:r>
          </w:p>
        </w:tc>
        <w:tc>
          <w:tcPr>
            <w:tcW w:w="1045" w:type="dxa"/>
            <w:tcBorders>
              <w:top w:val="single" w:sz="8" w:space="0" w:color="auto"/>
              <w:left w:val="nil"/>
              <w:bottom w:val="nil"/>
              <w:right w:val="single" w:sz="8" w:space="0" w:color="auto"/>
            </w:tcBorders>
            <w:vAlign w:val="center"/>
            <w:hideMark/>
          </w:tcPr>
          <w:p w14:paraId="3B0A1011" w14:textId="77777777" w:rsidR="00427B10" w:rsidRPr="004C70EC" w:rsidRDefault="00427B1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Year</w:t>
            </w:r>
          </w:p>
        </w:tc>
        <w:tc>
          <w:tcPr>
            <w:tcW w:w="1045" w:type="dxa"/>
            <w:tcBorders>
              <w:top w:val="single" w:sz="8" w:space="0" w:color="auto"/>
              <w:left w:val="nil"/>
              <w:bottom w:val="nil"/>
              <w:right w:val="single" w:sz="8" w:space="0" w:color="auto"/>
            </w:tcBorders>
            <w:vAlign w:val="center"/>
            <w:hideMark/>
          </w:tcPr>
          <w:p w14:paraId="0C17283B" w14:textId="77777777" w:rsidR="00427B10" w:rsidRPr="004C70EC" w:rsidRDefault="00427B1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Year</w:t>
            </w:r>
          </w:p>
        </w:tc>
        <w:tc>
          <w:tcPr>
            <w:tcW w:w="1045" w:type="dxa"/>
            <w:tcBorders>
              <w:top w:val="single" w:sz="8" w:space="0" w:color="auto"/>
              <w:left w:val="nil"/>
              <w:bottom w:val="nil"/>
              <w:right w:val="single" w:sz="8" w:space="0" w:color="auto"/>
            </w:tcBorders>
            <w:shd w:val="clear" w:color="000000" w:fill="FFFFFF"/>
            <w:vAlign w:val="center"/>
            <w:hideMark/>
          </w:tcPr>
          <w:p w14:paraId="6F6F20EB" w14:textId="77777777" w:rsidR="00427B10" w:rsidRPr="004C70EC" w:rsidRDefault="00427B1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045" w:type="dxa"/>
            <w:tcBorders>
              <w:top w:val="single" w:sz="8" w:space="0" w:color="auto"/>
              <w:left w:val="nil"/>
              <w:bottom w:val="nil"/>
              <w:right w:val="single" w:sz="8" w:space="0" w:color="auto"/>
            </w:tcBorders>
            <w:shd w:val="clear" w:color="000000" w:fill="FFFFFF"/>
            <w:vAlign w:val="center"/>
            <w:hideMark/>
          </w:tcPr>
          <w:p w14:paraId="154ECE23" w14:textId="77777777" w:rsidR="00427B10" w:rsidRPr="004C70EC" w:rsidRDefault="00427B1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045" w:type="dxa"/>
            <w:tcBorders>
              <w:top w:val="single" w:sz="8" w:space="0" w:color="auto"/>
              <w:left w:val="nil"/>
              <w:bottom w:val="nil"/>
              <w:right w:val="single" w:sz="8" w:space="0" w:color="auto"/>
            </w:tcBorders>
            <w:shd w:val="clear" w:color="000000" w:fill="FFFFFF"/>
            <w:vAlign w:val="center"/>
            <w:hideMark/>
          </w:tcPr>
          <w:p w14:paraId="0B46C473" w14:textId="77777777" w:rsidR="00427B10" w:rsidRPr="004C70EC" w:rsidRDefault="00427B1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045" w:type="dxa"/>
            <w:tcBorders>
              <w:top w:val="single" w:sz="8" w:space="0" w:color="auto"/>
              <w:left w:val="nil"/>
              <w:bottom w:val="nil"/>
              <w:right w:val="single" w:sz="8" w:space="0" w:color="auto"/>
            </w:tcBorders>
            <w:shd w:val="clear" w:color="000000" w:fill="FFFFFF"/>
            <w:vAlign w:val="center"/>
            <w:hideMark/>
          </w:tcPr>
          <w:p w14:paraId="34EB17F1" w14:textId="77777777" w:rsidR="00427B10" w:rsidRPr="004C70EC" w:rsidRDefault="00427B1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Year</w:t>
            </w:r>
          </w:p>
        </w:tc>
        <w:tc>
          <w:tcPr>
            <w:tcW w:w="1084" w:type="dxa"/>
            <w:tcBorders>
              <w:top w:val="single" w:sz="8" w:space="0" w:color="auto"/>
              <w:left w:val="nil"/>
              <w:bottom w:val="nil"/>
              <w:right w:val="single" w:sz="8" w:space="0" w:color="auto"/>
            </w:tcBorders>
            <w:shd w:val="clear" w:color="000000" w:fill="FFFFFF"/>
            <w:vAlign w:val="center"/>
            <w:hideMark/>
          </w:tcPr>
          <w:p w14:paraId="3A0239D0" w14:textId="77777777" w:rsidR="00427B10" w:rsidRPr="004C70EC" w:rsidRDefault="00427B1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w:t>
            </w:r>
          </w:p>
        </w:tc>
        <w:tc>
          <w:tcPr>
            <w:tcW w:w="1523" w:type="dxa"/>
            <w:tcBorders>
              <w:top w:val="single" w:sz="8" w:space="0" w:color="auto"/>
              <w:left w:val="nil"/>
              <w:bottom w:val="nil"/>
              <w:right w:val="single" w:sz="8" w:space="0" w:color="auto"/>
            </w:tcBorders>
            <w:vAlign w:val="center"/>
            <w:hideMark/>
          </w:tcPr>
          <w:p w14:paraId="0270C26C" w14:textId="77777777" w:rsidR="00427B10" w:rsidRPr="004C70EC" w:rsidRDefault="00427B1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POST</w:t>
            </w:r>
          </w:p>
        </w:tc>
      </w:tr>
      <w:tr w:rsidR="004A1163" w:rsidRPr="004C70EC" w14:paraId="75A647C6" w14:textId="77777777" w:rsidTr="006750B4">
        <w:trPr>
          <w:trHeight w:val="307"/>
        </w:trPr>
        <w:tc>
          <w:tcPr>
            <w:tcW w:w="3997" w:type="dxa"/>
            <w:vMerge/>
            <w:tcBorders>
              <w:top w:val="single" w:sz="8" w:space="0" w:color="auto"/>
              <w:left w:val="single" w:sz="8" w:space="0" w:color="auto"/>
              <w:bottom w:val="single" w:sz="8" w:space="0" w:color="000000"/>
              <w:right w:val="single" w:sz="8" w:space="0" w:color="auto"/>
            </w:tcBorders>
            <w:vAlign w:val="center"/>
            <w:hideMark/>
          </w:tcPr>
          <w:p w14:paraId="273C350D" w14:textId="77777777" w:rsidR="00427B10" w:rsidRPr="004C70EC" w:rsidRDefault="00427B10">
            <w:pPr>
              <w:spacing w:before="0" w:after="0"/>
              <w:jc w:val="left"/>
              <w:rPr>
                <w:rFonts w:eastAsia="Times New Roman"/>
                <w:b/>
                <w:bCs/>
                <w:noProof/>
                <w:color w:val="000000" w:themeColor="text1"/>
                <w:szCs w:val="24"/>
                <w:lang w:val="en-IE" w:eastAsia="en-IE"/>
              </w:rPr>
            </w:pPr>
          </w:p>
        </w:tc>
        <w:tc>
          <w:tcPr>
            <w:tcW w:w="1103" w:type="dxa"/>
            <w:tcBorders>
              <w:top w:val="nil"/>
              <w:left w:val="nil"/>
              <w:bottom w:val="single" w:sz="8" w:space="0" w:color="auto"/>
              <w:right w:val="single" w:sz="8" w:space="0" w:color="auto"/>
            </w:tcBorders>
            <w:vAlign w:val="center"/>
            <w:hideMark/>
          </w:tcPr>
          <w:p w14:paraId="4BCBF44F" w14:textId="77777777" w:rsidR="00427B10" w:rsidRPr="004C70EC" w:rsidRDefault="00427B1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2028</w:t>
            </w:r>
          </w:p>
        </w:tc>
        <w:tc>
          <w:tcPr>
            <w:tcW w:w="1045" w:type="dxa"/>
            <w:tcBorders>
              <w:top w:val="nil"/>
              <w:left w:val="nil"/>
              <w:bottom w:val="single" w:sz="8" w:space="0" w:color="auto"/>
              <w:right w:val="single" w:sz="8" w:space="0" w:color="auto"/>
            </w:tcBorders>
            <w:vAlign w:val="center"/>
            <w:hideMark/>
          </w:tcPr>
          <w:p w14:paraId="6A686A91" w14:textId="77777777" w:rsidR="00427B10" w:rsidRPr="004C70EC" w:rsidRDefault="00427B1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2029</w:t>
            </w:r>
          </w:p>
        </w:tc>
        <w:tc>
          <w:tcPr>
            <w:tcW w:w="1045" w:type="dxa"/>
            <w:tcBorders>
              <w:top w:val="nil"/>
              <w:left w:val="nil"/>
              <w:bottom w:val="single" w:sz="8" w:space="0" w:color="auto"/>
              <w:right w:val="single" w:sz="8" w:space="0" w:color="auto"/>
            </w:tcBorders>
            <w:vAlign w:val="center"/>
            <w:hideMark/>
          </w:tcPr>
          <w:p w14:paraId="42CD1DC8" w14:textId="77777777" w:rsidR="00427B10" w:rsidRPr="004C70EC" w:rsidRDefault="00427B1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2030</w:t>
            </w:r>
          </w:p>
        </w:tc>
        <w:tc>
          <w:tcPr>
            <w:tcW w:w="1045" w:type="dxa"/>
            <w:tcBorders>
              <w:top w:val="nil"/>
              <w:left w:val="nil"/>
              <w:bottom w:val="single" w:sz="8" w:space="0" w:color="auto"/>
              <w:right w:val="single" w:sz="8" w:space="0" w:color="auto"/>
            </w:tcBorders>
            <w:vAlign w:val="center"/>
            <w:hideMark/>
          </w:tcPr>
          <w:p w14:paraId="51FC6B14" w14:textId="77777777" w:rsidR="00427B10" w:rsidRPr="004C70EC" w:rsidRDefault="00427B1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2031</w:t>
            </w:r>
          </w:p>
        </w:tc>
        <w:tc>
          <w:tcPr>
            <w:tcW w:w="1045" w:type="dxa"/>
            <w:tcBorders>
              <w:top w:val="nil"/>
              <w:left w:val="nil"/>
              <w:bottom w:val="single" w:sz="8" w:space="0" w:color="auto"/>
              <w:right w:val="single" w:sz="8" w:space="0" w:color="auto"/>
            </w:tcBorders>
            <w:vAlign w:val="center"/>
            <w:hideMark/>
          </w:tcPr>
          <w:p w14:paraId="5BA4CDE8" w14:textId="77777777" w:rsidR="00427B10" w:rsidRPr="004C70EC" w:rsidRDefault="00427B1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2032</w:t>
            </w:r>
          </w:p>
        </w:tc>
        <w:tc>
          <w:tcPr>
            <w:tcW w:w="1045" w:type="dxa"/>
            <w:tcBorders>
              <w:top w:val="nil"/>
              <w:left w:val="nil"/>
              <w:bottom w:val="single" w:sz="8" w:space="0" w:color="auto"/>
              <w:right w:val="single" w:sz="8" w:space="0" w:color="auto"/>
            </w:tcBorders>
            <w:vAlign w:val="center"/>
            <w:hideMark/>
          </w:tcPr>
          <w:p w14:paraId="5C7C2FD8" w14:textId="77777777" w:rsidR="00427B10" w:rsidRPr="004C70EC" w:rsidRDefault="00427B1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2033</w:t>
            </w:r>
          </w:p>
        </w:tc>
        <w:tc>
          <w:tcPr>
            <w:tcW w:w="1045" w:type="dxa"/>
            <w:tcBorders>
              <w:top w:val="nil"/>
              <w:left w:val="nil"/>
              <w:bottom w:val="single" w:sz="8" w:space="0" w:color="auto"/>
              <w:right w:val="single" w:sz="8" w:space="0" w:color="auto"/>
            </w:tcBorders>
            <w:vAlign w:val="center"/>
            <w:hideMark/>
          </w:tcPr>
          <w:p w14:paraId="23446742" w14:textId="77777777" w:rsidR="00427B10" w:rsidRPr="004C70EC" w:rsidRDefault="00427B1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w:t>
            </w:r>
          </w:p>
        </w:tc>
        <w:tc>
          <w:tcPr>
            <w:tcW w:w="1084" w:type="dxa"/>
            <w:tcBorders>
              <w:top w:val="nil"/>
              <w:left w:val="nil"/>
              <w:bottom w:val="single" w:sz="8" w:space="0" w:color="auto"/>
              <w:right w:val="single" w:sz="8" w:space="0" w:color="auto"/>
            </w:tcBorders>
            <w:vAlign w:val="center"/>
            <w:hideMark/>
          </w:tcPr>
          <w:p w14:paraId="123A1723" w14:textId="77777777" w:rsidR="00427B10" w:rsidRPr="004C70EC" w:rsidRDefault="00427B1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2028-2034</w:t>
            </w:r>
          </w:p>
        </w:tc>
        <w:tc>
          <w:tcPr>
            <w:tcW w:w="1523" w:type="dxa"/>
            <w:tcBorders>
              <w:top w:val="nil"/>
              <w:left w:val="nil"/>
              <w:bottom w:val="single" w:sz="8" w:space="0" w:color="auto"/>
              <w:right w:val="single" w:sz="8" w:space="0" w:color="auto"/>
            </w:tcBorders>
            <w:vAlign w:val="center"/>
            <w:hideMark/>
          </w:tcPr>
          <w:p w14:paraId="59964A1E" w14:textId="77777777" w:rsidR="00427B10" w:rsidRPr="004C70EC" w:rsidRDefault="00427B1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2034(annual expenditure)</w:t>
            </w:r>
          </w:p>
        </w:tc>
      </w:tr>
      <w:tr w:rsidR="006750B4" w:rsidRPr="004C70EC" w14:paraId="1430D768" w14:textId="77777777" w:rsidTr="006750B4">
        <w:trPr>
          <w:trHeight w:val="307"/>
        </w:trPr>
        <w:tc>
          <w:tcPr>
            <w:tcW w:w="3997" w:type="dxa"/>
            <w:tcBorders>
              <w:top w:val="nil"/>
              <w:left w:val="single" w:sz="8" w:space="0" w:color="auto"/>
              <w:bottom w:val="single" w:sz="8" w:space="0" w:color="auto"/>
              <w:right w:val="single" w:sz="8" w:space="0" w:color="auto"/>
            </w:tcBorders>
            <w:vAlign w:val="center"/>
            <w:hideMark/>
          </w:tcPr>
          <w:p w14:paraId="071C5FD5" w14:textId="77777777" w:rsidR="006750B4" w:rsidRPr="004C70EC" w:rsidRDefault="006750B4" w:rsidP="006750B4">
            <w:pPr>
              <w:spacing w:before="0" w:after="0"/>
              <w:jc w:val="lef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Budget line: EFSA/ EU Budget contribution to the agency</w:t>
            </w:r>
          </w:p>
        </w:tc>
        <w:tc>
          <w:tcPr>
            <w:tcW w:w="1103" w:type="dxa"/>
            <w:tcBorders>
              <w:top w:val="nil"/>
              <w:left w:val="nil"/>
              <w:bottom w:val="single" w:sz="8" w:space="0" w:color="auto"/>
              <w:right w:val="single" w:sz="8" w:space="0" w:color="auto"/>
            </w:tcBorders>
            <w:shd w:val="clear" w:color="000000" w:fill="D9D9D9"/>
            <w:vAlign w:val="center"/>
            <w:hideMark/>
          </w:tcPr>
          <w:p w14:paraId="66952D3E" w14:textId="77777777" w:rsidR="006750B4" w:rsidRPr="004C70EC" w:rsidRDefault="006750B4" w:rsidP="006750B4">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0,882</w:t>
            </w:r>
          </w:p>
        </w:tc>
        <w:tc>
          <w:tcPr>
            <w:tcW w:w="1045" w:type="dxa"/>
            <w:tcBorders>
              <w:top w:val="nil"/>
              <w:left w:val="nil"/>
              <w:bottom w:val="single" w:sz="8" w:space="0" w:color="auto"/>
              <w:right w:val="single" w:sz="8" w:space="0" w:color="auto"/>
            </w:tcBorders>
            <w:shd w:val="clear" w:color="000000" w:fill="D9D9D9"/>
            <w:vAlign w:val="center"/>
            <w:hideMark/>
          </w:tcPr>
          <w:p w14:paraId="03F58C94" w14:textId="77777777" w:rsidR="006750B4" w:rsidRPr="004C70EC" w:rsidRDefault="006750B4" w:rsidP="006750B4">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1,800</w:t>
            </w:r>
          </w:p>
        </w:tc>
        <w:tc>
          <w:tcPr>
            <w:tcW w:w="1045" w:type="dxa"/>
            <w:tcBorders>
              <w:top w:val="nil"/>
              <w:left w:val="nil"/>
              <w:bottom w:val="single" w:sz="8" w:space="0" w:color="auto"/>
              <w:right w:val="single" w:sz="8" w:space="0" w:color="auto"/>
            </w:tcBorders>
            <w:shd w:val="clear" w:color="000000" w:fill="D9D9D9"/>
            <w:vAlign w:val="center"/>
            <w:hideMark/>
          </w:tcPr>
          <w:p w14:paraId="7E1EB033" w14:textId="77777777" w:rsidR="006750B4" w:rsidRPr="004C70EC" w:rsidRDefault="006750B4" w:rsidP="006750B4">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1,836</w:t>
            </w:r>
          </w:p>
        </w:tc>
        <w:tc>
          <w:tcPr>
            <w:tcW w:w="1045" w:type="dxa"/>
            <w:tcBorders>
              <w:top w:val="nil"/>
              <w:left w:val="nil"/>
              <w:bottom w:val="single" w:sz="8" w:space="0" w:color="auto"/>
              <w:right w:val="single" w:sz="8" w:space="0" w:color="auto"/>
            </w:tcBorders>
            <w:shd w:val="clear" w:color="000000" w:fill="D9D9D9"/>
            <w:vAlign w:val="center"/>
            <w:hideMark/>
          </w:tcPr>
          <w:p w14:paraId="7A5A9BB2" w14:textId="77777777" w:rsidR="006750B4" w:rsidRPr="004C70EC" w:rsidRDefault="006750B4" w:rsidP="006750B4">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1,872</w:t>
            </w:r>
          </w:p>
        </w:tc>
        <w:tc>
          <w:tcPr>
            <w:tcW w:w="1045" w:type="dxa"/>
            <w:tcBorders>
              <w:top w:val="nil"/>
              <w:left w:val="nil"/>
              <w:bottom w:val="single" w:sz="8" w:space="0" w:color="auto"/>
              <w:right w:val="single" w:sz="8" w:space="0" w:color="auto"/>
            </w:tcBorders>
            <w:shd w:val="clear" w:color="000000" w:fill="D9D9D9"/>
            <w:vAlign w:val="center"/>
            <w:hideMark/>
          </w:tcPr>
          <w:p w14:paraId="0113EF95" w14:textId="77777777" w:rsidR="006750B4" w:rsidRPr="004C70EC" w:rsidRDefault="006750B4" w:rsidP="006750B4">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1,910</w:t>
            </w:r>
          </w:p>
        </w:tc>
        <w:tc>
          <w:tcPr>
            <w:tcW w:w="1045" w:type="dxa"/>
            <w:tcBorders>
              <w:top w:val="nil"/>
              <w:left w:val="nil"/>
              <w:bottom w:val="single" w:sz="8" w:space="0" w:color="auto"/>
              <w:right w:val="single" w:sz="8" w:space="0" w:color="auto"/>
            </w:tcBorders>
            <w:shd w:val="clear" w:color="000000" w:fill="D9D9D9"/>
            <w:vAlign w:val="center"/>
            <w:hideMark/>
          </w:tcPr>
          <w:p w14:paraId="74DADA9A" w14:textId="77777777" w:rsidR="006750B4" w:rsidRPr="004C70EC" w:rsidRDefault="006750B4" w:rsidP="006750B4">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1,948</w:t>
            </w:r>
          </w:p>
        </w:tc>
        <w:tc>
          <w:tcPr>
            <w:tcW w:w="1045" w:type="dxa"/>
            <w:tcBorders>
              <w:top w:val="nil"/>
              <w:left w:val="nil"/>
              <w:bottom w:val="single" w:sz="8" w:space="0" w:color="auto"/>
              <w:right w:val="single" w:sz="8" w:space="0" w:color="auto"/>
            </w:tcBorders>
            <w:shd w:val="clear" w:color="000000" w:fill="D9D9D9"/>
            <w:vAlign w:val="center"/>
            <w:hideMark/>
          </w:tcPr>
          <w:p w14:paraId="0B013DFC" w14:textId="77777777" w:rsidR="006750B4" w:rsidRPr="004C70EC" w:rsidRDefault="006750B4" w:rsidP="006750B4">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1,987</w:t>
            </w:r>
          </w:p>
        </w:tc>
        <w:tc>
          <w:tcPr>
            <w:tcW w:w="1084" w:type="dxa"/>
            <w:tcBorders>
              <w:top w:val="nil"/>
              <w:left w:val="nil"/>
              <w:bottom w:val="single" w:sz="8" w:space="0" w:color="auto"/>
              <w:right w:val="single" w:sz="8" w:space="0" w:color="auto"/>
            </w:tcBorders>
            <w:shd w:val="clear" w:color="000000" w:fill="D9D9D9"/>
            <w:vAlign w:val="center"/>
            <w:hideMark/>
          </w:tcPr>
          <w:p w14:paraId="49B3AB1D" w14:textId="77777777" w:rsidR="006750B4" w:rsidRPr="004C70EC" w:rsidRDefault="006750B4" w:rsidP="006750B4">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12,235</w:t>
            </w:r>
          </w:p>
        </w:tc>
        <w:tc>
          <w:tcPr>
            <w:tcW w:w="1523" w:type="dxa"/>
            <w:tcBorders>
              <w:top w:val="nil"/>
              <w:left w:val="nil"/>
              <w:bottom w:val="single" w:sz="8" w:space="0" w:color="auto"/>
              <w:right w:val="single" w:sz="8" w:space="0" w:color="auto"/>
            </w:tcBorders>
            <w:shd w:val="clear" w:color="000000" w:fill="D9D9D9"/>
            <w:vAlign w:val="center"/>
            <w:hideMark/>
          </w:tcPr>
          <w:p w14:paraId="0CB844B7" w14:textId="77777777" w:rsidR="006750B4" w:rsidRPr="004C70EC" w:rsidRDefault="00720C91" w:rsidP="006750B4">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w:t>
            </w:r>
            <w:r w:rsidR="006750B4" w:rsidRPr="004C70EC">
              <w:rPr>
                <w:rFonts w:eastAsia="Times New Roman"/>
                <w:noProof/>
                <w:color w:val="000000"/>
                <w:sz w:val="20"/>
                <w:szCs w:val="20"/>
                <w:lang w:val="en-IE" w:eastAsia="en-IE"/>
              </w:rPr>
              <w:t>,</w:t>
            </w:r>
            <w:r w:rsidR="002D0EE4" w:rsidRPr="004C70EC">
              <w:rPr>
                <w:rFonts w:eastAsia="Times New Roman"/>
                <w:noProof/>
                <w:color w:val="000000"/>
                <w:sz w:val="20"/>
                <w:szCs w:val="20"/>
                <w:lang w:val="en-IE" w:eastAsia="en-IE"/>
              </w:rPr>
              <w:t>027</w:t>
            </w:r>
          </w:p>
        </w:tc>
      </w:tr>
    </w:tbl>
    <w:p w14:paraId="30C469BA" w14:textId="77777777" w:rsidR="00427B10" w:rsidRPr="004C70EC" w:rsidRDefault="00427B10" w:rsidP="00216293">
      <w:pPr>
        <w:ind w:right="679"/>
        <w:jc w:val="right"/>
        <w:rPr>
          <w:noProof/>
          <w:color w:val="000000" w:themeColor="text1"/>
          <w:szCs w:val="24"/>
          <w:lang w:val="en-IE"/>
        </w:rPr>
      </w:pPr>
    </w:p>
    <w:p w14:paraId="7A18E034" w14:textId="77777777" w:rsidR="007966CD" w:rsidRPr="004C70EC" w:rsidRDefault="007966CD">
      <w:pPr>
        <w:ind w:right="679"/>
        <w:jc w:val="right"/>
        <w:rPr>
          <w:noProof/>
          <w:color w:val="000000" w:themeColor="text1"/>
          <w:szCs w:val="24"/>
          <w:lang w:val="en-IE"/>
        </w:rPr>
      </w:pPr>
    </w:p>
    <w:p w14:paraId="275E30B7" w14:textId="77777777" w:rsidR="007966CD" w:rsidRPr="004C70EC" w:rsidRDefault="007360DD">
      <w:pPr>
        <w:ind w:right="679"/>
        <w:jc w:val="right"/>
        <w:rPr>
          <w:noProof/>
          <w:color w:val="000000" w:themeColor="text1"/>
          <w:szCs w:val="24"/>
          <w:lang w:val="en-IE"/>
        </w:rPr>
      </w:pPr>
      <w:r w:rsidRPr="004C70EC">
        <w:rPr>
          <w:noProof/>
          <w:color w:val="000000" w:themeColor="text1"/>
          <w:szCs w:val="24"/>
          <w:lang w:val="en-IE"/>
        </w:rPr>
        <w:t>For</w:t>
      </w:r>
      <w:r w:rsidR="00D35D33" w:rsidRPr="004C70EC">
        <w:rPr>
          <w:noProof/>
          <w:color w:val="000000" w:themeColor="text1"/>
          <w:szCs w:val="24"/>
          <w:lang w:val="en-IE"/>
        </w:rPr>
        <w:t xml:space="preserve"> EFSA </w:t>
      </w:r>
      <w:r w:rsidR="00717809" w:rsidRPr="004C70EC">
        <w:rPr>
          <w:noProof/>
          <w:color w:val="000000" w:themeColor="text1"/>
          <w:szCs w:val="24"/>
          <w:lang w:val="en-IE"/>
        </w:rPr>
        <w:t xml:space="preserve">and EMA </w:t>
      </w:r>
      <w:r w:rsidR="00D35D33" w:rsidRPr="004C70EC">
        <w:rPr>
          <w:noProof/>
          <w:color w:val="000000" w:themeColor="text1"/>
          <w:szCs w:val="24"/>
          <w:lang w:val="en-IE"/>
        </w:rPr>
        <w:t>for the first</w:t>
      </w:r>
      <w:r w:rsidR="0012693F" w:rsidRPr="004C70EC">
        <w:rPr>
          <w:noProof/>
          <w:color w:val="000000" w:themeColor="text1"/>
          <w:szCs w:val="24"/>
          <w:lang w:val="en-IE"/>
        </w:rPr>
        <w:t xml:space="preserve"> year </w:t>
      </w:r>
      <w:r w:rsidR="00D35D33" w:rsidRPr="004C70EC">
        <w:rPr>
          <w:noProof/>
          <w:color w:val="000000" w:themeColor="text1"/>
          <w:szCs w:val="24"/>
          <w:lang w:val="en-IE"/>
        </w:rPr>
        <w:t xml:space="preserve">only 50 % of the average </w:t>
      </w:r>
      <w:r w:rsidR="00316A65" w:rsidRPr="004C70EC">
        <w:rPr>
          <w:noProof/>
          <w:color w:val="000000" w:themeColor="text1"/>
          <w:szCs w:val="24"/>
          <w:lang w:val="en-IE"/>
        </w:rPr>
        <w:t xml:space="preserve">staff </w:t>
      </w:r>
      <w:r w:rsidR="00D35D33" w:rsidRPr="004C70EC">
        <w:rPr>
          <w:noProof/>
          <w:color w:val="000000" w:themeColor="text1"/>
          <w:szCs w:val="24"/>
          <w:lang w:val="en-IE"/>
        </w:rPr>
        <w:t>cost</w:t>
      </w:r>
      <w:r w:rsidR="00316A65" w:rsidRPr="004C70EC">
        <w:rPr>
          <w:noProof/>
          <w:color w:val="000000" w:themeColor="text1"/>
          <w:szCs w:val="24"/>
          <w:lang w:val="en-IE"/>
        </w:rPr>
        <w:t>s</w:t>
      </w:r>
      <w:r w:rsidR="00D35D33" w:rsidRPr="004C70EC">
        <w:rPr>
          <w:noProof/>
          <w:color w:val="000000" w:themeColor="text1"/>
          <w:szCs w:val="24"/>
          <w:lang w:val="en-IE"/>
        </w:rPr>
        <w:t xml:space="preserve"> </w:t>
      </w:r>
      <w:r w:rsidR="003F5577" w:rsidRPr="004C70EC">
        <w:rPr>
          <w:noProof/>
          <w:color w:val="000000" w:themeColor="text1"/>
          <w:szCs w:val="24"/>
          <w:lang w:val="en-IE"/>
        </w:rPr>
        <w:t xml:space="preserve">are </w:t>
      </w:r>
      <w:r w:rsidR="00D35D33" w:rsidRPr="004C70EC">
        <w:rPr>
          <w:noProof/>
          <w:color w:val="000000" w:themeColor="text1"/>
          <w:szCs w:val="24"/>
          <w:lang w:val="en-IE"/>
        </w:rPr>
        <w:t>taken into account</w:t>
      </w:r>
      <w:r w:rsidR="00F54973" w:rsidRPr="004C70EC">
        <w:rPr>
          <w:noProof/>
          <w:color w:val="000000" w:themeColor="text1"/>
          <w:szCs w:val="24"/>
          <w:lang w:val="en-IE"/>
        </w:rPr>
        <w:t xml:space="preserve"> as it is expected that not all positions will be </w:t>
      </w:r>
      <w:r w:rsidR="00C052E5" w:rsidRPr="004C70EC">
        <w:rPr>
          <w:noProof/>
          <w:color w:val="000000" w:themeColor="text1"/>
          <w:szCs w:val="24"/>
          <w:lang w:val="en-IE"/>
        </w:rPr>
        <w:t>filled</w:t>
      </w:r>
      <w:r w:rsidR="00F54973" w:rsidRPr="004C70EC">
        <w:rPr>
          <w:noProof/>
          <w:color w:val="000000" w:themeColor="text1"/>
          <w:szCs w:val="24"/>
          <w:lang w:val="en-IE"/>
        </w:rPr>
        <w:t xml:space="preserve"> </w:t>
      </w:r>
      <w:r w:rsidR="003F5577" w:rsidRPr="004C70EC">
        <w:rPr>
          <w:noProof/>
          <w:color w:val="000000" w:themeColor="text1"/>
          <w:szCs w:val="24"/>
          <w:lang w:val="en-IE"/>
        </w:rPr>
        <w:t>from the be</w:t>
      </w:r>
      <w:r w:rsidR="00C052E5" w:rsidRPr="004C70EC">
        <w:rPr>
          <w:noProof/>
          <w:color w:val="000000" w:themeColor="text1"/>
          <w:szCs w:val="24"/>
          <w:lang w:val="en-IE"/>
        </w:rPr>
        <w:t>ginning of the year</w:t>
      </w:r>
    </w:p>
    <w:p w14:paraId="637F9FD7" w14:textId="77777777" w:rsidR="007966CD" w:rsidRPr="004C70EC" w:rsidRDefault="007966CD">
      <w:pPr>
        <w:tabs>
          <w:tab w:val="left" w:pos="1751"/>
        </w:tabs>
        <w:ind w:right="679"/>
        <w:rPr>
          <w:noProof/>
          <w:color w:val="000000" w:themeColor="text1"/>
          <w:szCs w:val="24"/>
          <w:lang w:val="en-IE"/>
        </w:rPr>
      </w:pPr>
      <w:r w:rsidRPr="004C70EC">
        <w:rPr>
          <w:noProof/>
          <w:color w:val="000000" w:themeColor="text1"/>
          <w:szCs w:val="24"/>
          <w:lang w:val="en-IE"/>
        </w:rPr>
        <w:tab/>
      </w:r>
    </w:p>
    <w:p w14:paraId="3223E043" w14:textId="77777777" w:rsidR="007966CD" w:rsidRPr="004C70EC" w:rsidRDefault="007966CD">
      <w:pPr>
        <w:tabs>
          <w:tab w:val="left" w:pos="1751"/>
        </w:tabs>
        <w:ind w:right="679"/>
        <w:rPr>
          <w:noProof/>
          <w:color w:val="000000" w:themeColor="text1"/>
          <w:szCs w:val="24"/>
          <w:lang w:val="en-IE"/>
        </w:rPr>
      </w:pPr>
    </w:p>
    <w:p w14:paraId="255F260F" w14:textId="77777777" w:rsidR="007966CD" w:rsidRPr="004C70EC" w:rsidRDefault="007966CD">
      <w:pPr>
        <w:ind w:right="679"/>
        <w:rPr>
          <w:noProof/>
          <w:color w:val="000000" w:themeColor="text1"/>
          <w:szCs w:val="24"/>
          <w:lang w:val="en-IE"/>
        </w:rPr>
      </w:pPr>
    </w:p>
    <w:p w14:paraId="4E43DE5F" w14:textId="77777777" w:rsidR="005420F1" w:rsidRPr="004C70EC" w:rsidRDefault="005420F1">
      <w:pPr>
        <w:ind w:right="679"/>
        <w:jc w:val="right"/>
        <w:rPr>
          <w:rFonts w:eastAsia="Aptos"/>
          <w:noProof/>
          <w:color w:val="000000" w:themeColor="text1"/>
          <w:szCs w:val="24"/>
        </w:rPr>
      </w:pPr>
    </w:p>
    <w:p w14:paraId="1CB6C2F2" w14:textId="77777777" w:rsidR="00C03200" w:rsidRPr="004C70EC" w:rsidRDefault="00C03200" w:rsidP="00C03200">
      <w:pPr>
        <w:rPr>
          <w:noProof/>
          <w:color w:val="000000" w:themeColor="text1"/>
          <w:szCs w:val="24"/>
        </w:rPr>
      </w:pPr>
      <w:r w:rsidRPr="004C70EC">
        <w:rPr>
          <w:noProof/>
          <w:color w:val="000000" w:themeColor="text1"/>
          <w:szCs w:val="24"/>
        </w:rPr>
        <w:t>Without prejudice to the negotiations on the next MFF, the appropriations allocated to the agencies from 2028 onwards will be compensated</w:t>
      </w:r>
      <w:r w:rsidRPr="004C70EC">
        <w:rPr>
          <w:rFonts w:eastAsia="Aptos"/>
          <w:noProof/>
          <w:color w:val="000000" w:themeColor="text1"/>
          <w:szCs w:val="24"/>
        </w:rPr>
        <w:t xml:space="preserve"> </w:t>
      </w:r>
      <w:r w:rsidRPr="004C70EC">
        <w:rPr>
          <w:rFonts w:eastAsia="Times New Roman"/>
          <w:noProof/>
          <w:color w:val="000000" w:themeColor="text1"/>
          <w:szCs w:val="24"/>
        </w:rPr>
        <w:t>v</w:t>
      </w:r>
      <w:r w:rsidRPr="004C70EC">
        <w:rPr>
          <w:noProof/>
          <w:color w:val="000000" w:themeColor="text1"/>
          <w:szCs w:val="24"/>
        </w:rPr>
        <w:t>ia redeployments from programmes under the 2028-2034 MFF.</w:t>
      </w:r>
      <w:r w:rsidR="00DB6B40" w:rsidRPr="004C70EC">
        <w:rPr>
          <w:noProof/>
          <w:color w:val="000000" w:themeColor="text1"/>
          <w:szCs w:val="24"/>
        </w:rPr>
        <w:t xml:space="preserve"> If a compensatory reduction is needed, the resources allocated to the agencies and their funding streams and sources may need to be revised.</w:t>
      </w:r>
    </w:p>
    <w:p w14:paraId="2A618EFD" w14:textId="77777777" w:rsidR="00C03200" w:rsidRPr="004C70EC" w:rsidRDefault="00C03200" w:rsidP="00C03200">
      <w:pPr>
        <w:ind w:right="679"/>
        <w:jc w:val="right"/>
        <w:rPr>
          <w:noProof/>
          <w:color w:val="000000" w:themeColor="text1"/>
          <w:szCs w:val="24"/>
          <w:lang w:val="en-IE"/>
        </w:rPr>
      </w:pPr>
    </w:p>
    <w:p w14:paraId="7BB747EA" w14:textId="77777777" w:rsidR="00C03200" w:rsidRPr="004C70EC" w:rsidRDefault="00C03200" w:rsidP="00C03200">
      <w:pPr>
        <w:ind w:right="679"/>
        <w:jc w:val="right"/>
        <w:rPr>
          <w:rFonts w:eastAsia="Aptos"/>
          <w:noProof/>
          <w:color w:val="000000" w:themeColor="text1"/>
          <w:szCs w:val="24"/>
        </w:rPr>
      </w:pPr>
      <w:r w:rsidRPr="004C70EC">
        <w:rPr>
          <w:noProof/>
          <w:color w:val="000000" w:themeColor="text1"/>
          <w:szCs w:val="24"/>
          <w:lang w:val="en-IE"/>
        </w:rPr>
        <w:t>EUR million (to three decimal places)</w:t>
      </w:r>
      <w:r w:rsidRPr="004C70EC" w:rsidDel="00291964">
        <w:rPr>
          <w:rFonts w:eastAsia="Aptos"/>
          <w:noProof/>
          <w:color w:val="000000" w:themeColor="text1"/>
          <w:szCs w:val="24"/>
        </w:rPr>
        <w:t xml:space="preserve"> </w:t>
      </w:r>
    </w:p>
    <w:tbl>
      <w:tblPr>
        <w:tblW w:w="15020" w:type="dxa"/>
        <w:tblInd w:w="118" w:type="dxa"/>
        <w:tblLook w:val="04A0" w:firstRow="1" w:lastRow="0" w:firstColumn="1" w:lastColumn="0" w:noHBand="0" w:noVBand="1"/>
      </w:tblPr>
      <w:tblGrid>
        <w:gridCol w:w="2283"/>
        <w:gridCol w:w="1577"/>
        <w:gridCol w:w="852"/>
        <w:gridCol w:w="1426"/>
        <w:gridCol w:w="1426"/>
        <w:gridCol w:w="1206"/>
        <w:gridCol w:w="1206"/>
        <w:gridCol w:w="1206"/>
        <w:gridCol w:w="1206"/>
        <w:gridCol w:w="1206"/>
        <w:gridCol w:w="1426"/>
      </w:tblGrid>
      <w:tr w:rsidR="004A1163" w:rsidRPr="004C70EC" w14:paraId="2EE13517" w14:textId="77777777" w:rsidTr="00D663C8">
        <w:trPr>
          <w:trHeight w:val="300"/>
        </w:trPr>
        <w:tc>
          <w:tcPr>
            <w:tcW w:w="4712"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414ECB34" w14:textId="77777777" w:rsidR="00C03200" w:rsidRPr="004C70EC" w:rsidRDefault="00C0320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w:t>
            </w:r>
          </w:p>
        </w:tc>
        <w:tc>
          <w:tcPr>
            <w:tcW w:w="1426" w:type="dxa"/>
            <w:tcBorders>
              <w:top w:val="single" w:sz="8" w:space="0" w:color="auto"/>
              <w:left w:val="nil"/>
              <w:bottom w:val="single" w:sz="8" w:space="0" w:color="auto"/>
              <w:right w:val="single" w:sz="8" w:space="0" w:color="auto"/>
            </w:tcBorders>
            <w:vAlign w:val="center"/>
            <w:hideMark/>
          </w:tcPr>
          <w:p w14:paraId="06D652A6" w14:textId="77777777" w:rsidR="00C03200" w:rsidRPr="004C70EC" w:rsidRDefault="00C0320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426" w:type="dxa"/>
            <w:tcBorders>
              <w:top w:val="single" w:sz="8" w:space="0" w:color="auto"/>
              <w:left w:val="nil"/>
              <w:bottom w:val="single" w:sz="8" w:space="0" w:color="auto"/>
              <w:right w:val="single" w:sz="8" w:space="0" w:color="auto"/>
            </w:tcBorders>
            <w:vAlign w:val="center"/>
            <w:hideMark/>
          </w:tcPr>
          <w:p w14:paraId="672D6C17" w14:textId="77777777" w:rsidR="00C03200" w:rsidRPr="004C70EC" w:rsidRDefault="00C0320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206" w:type="dxa"/>
            <w:tcBorders>
              <w:top w:val="single" w:sz="8" w:space="0" w:color="auto"/>
              <w:left w:val="nil"/>
              <w:bottom w:val="single" w:sz="8" w:space="0" w:color="auto"/>
              <w:right w:val="single" w:sz="8" w:space="0" w:color="auto"/>
            </w:tcBorders>
            <w:vAlign w:val="center"/>
            <w:hideMark/>
          </w:tcPr>
          <w:p w14:paraId="54989AA0" w14:textId="77777777" w:rsidR="00C03200" w:rsidRPr="004C70EC" w:rsidRDefault="00C0320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206" w:type="dxa"/>
            <w:tcBorders>
              <w:top w:val="single" w:sz="8" w:space="0" w:color="auto"/>
              <w:left w:val="nil"/>
              <w:bottom w:val="single" w:sz="8" w:space="0" w:color="auto"/>
              <w:right w:val="single" w:sz="8" w:space="0" w:color="auto"/>
            </w:tcBorders>
            <w:vAlign w:val="center"/>
            <w:hideMark/>
          </w:tcPr>
          <w:p w14:paraId="7D70D805" w14:textId="77777777" w:rsidR="00C03200" w:rsidRPr="004C70EC" w:rsidRDefault="00C0320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206" w:type="dxa"/>
            <w:tcBorders>
              <w:top w:val="single" w:sz="8" w:space="0" w:color="auto"/>
              <w:left w:val="nil"/>
              <w:bottom w:val="single" w:sz="8" w:space="0" w:color="auto"/>
              <w:right w:val="single" w:sz="8" w:space="0" w:color="auto"/>
            </w:tcBorders>
            <w:vAlign w:val="center"/>
            <w:hideMark/>
          </w:tcPr>
          <w:p w14:paraId="6D1C273B" w14:textId="77777777" w:rsidR="00C03200" w:rsidRPr="004C70EC" w:rsidRDefault="00C0320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206" w:type="dxa"/>
            <w:tcBorders>
              <w:top w:val="single" w:sz="8" w:space="0" w:color="auto"/>
              <w:left w:val="nil"/>
              <w:bottom w:val="single" w:sz="8" w:space="0" w:color="auto"/>
              <w:right w:val="single" w:sz="8" w:space="0" w:color="auto"/>
            </w:tcBorders>
            <w:vAlign w:val="center"/>
            <w:hideMark/>
          </w:tcPr>
          <w:p w14:paraId="6C1A0688" w14:textId="77777777" w:rsidR="00C03200" w:rsidRPr="004C70EC" w:rsidRDefault="00C0320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206" w:type="dxa"/>
            <w:tcBorders>
              <w:top w:val="single" w:sz="8" w:space="0" w:color="auto"/>
              <w:left w:val="nil"/>
              <w:bottom w:val="single" w:sz="8" w:space="0" w:color="auto"/>
              <w:right w:val="single" w:sz="8" w:space="0" w:color="auto"/>
            </w:tcBorders>
            <w:vAlign w:val="center"/>
            <w:hideMark/>
          </w:tcPr>
          <w:p w14:paraId="3D79723D" w14:textId="77777777" w:rsidR="00C03200" w:rsidRPr="004C70EC" w:rsidRDefault="00C0320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426" w:type="dxa"/>
            <w:vMerge w:val="restart"/>
            <w:tcBorders>
              <w:top w:val="single" w:sz="8" w:space="0" w:color="auto"/>
              <w:left w:val="single" w:sz="8" w:space="0" w:color="auto"/>
              <w:bottom w:val="single" w:sz="8" w:space="0" w:color="auto"/>
              <w:right w:val="single" w:sz="8" w:space="0" w:color="auto"/>
            </w:tcBorders>
            <w:vAlign w:val="center"/>
            <w:hideMark/>
          </w:tcPr>
          <w:p w14:paraId="7720581D" w14:textId="77777777" w:rsidR="00C03200" w:rsidRPr="004C70EC" w:rsidRDefault="00C0320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 MFF</w:t>
            </w:r>
            <w:r w:rsidRPr="004C70EC">
              <w:rPr>
                <w:rFonts w:eastAsia="Times New Roman"/>
                <w:b/>
                <w:bCs/>
                <w:noProof/>
                <w:color w:val="000000" w:themeColor="text1"/>
                <w:szCs w:val="24"/>
                <w:lang w:val="en-IE" w:eastAsia="en-IE"/>
              </w:rPr>
              <w:br/>
              <w:t>2028-2034</w:t>
            </w:r>
          </w:p>
        </w:tc>
      </w:tr>
      <w:tr w:rsidR="004A1163" w:rsidRPr="004C70EC" w14:paraId="203EB121" w14:textId="77777777" w:rsidTr="00D663C8">
        <w:trPr>
          <w:trHeight w:val="300"/>
        </w:trPr>
        <w:tc>
          <w:tcPr>
            <w:tcW w:w="4712" w:type="dxa"/>
            <w:gridSpan w:val="3"/>
            <w:vMerge/>
            <w:tcBorders>
              <w:top w:val="single" w:sz="8" w:space="0" w:color="auto"/>
              <w:left w:val="single" w:sz="8" w:space="0" w:color="auto"/>
              <w:bottom w:val="single" w:sz="8" w:space="0" w:color="000000"/>
              <w:right w:val="single" w:sz="8" w:space="0" w:color="000000"/>
            </w:tcBorders>
            <w:vAlign w:val="center"/>
            <w:hideMark/>
          </w:tcPr>
          <w:p w14:paraId="10BE8435" w14:textId="77777777" w:rsidR="00C03200" w:rsidRPr="004C70EC" w:rsidRDefault="00C03200">
            <w:pPr>
              <w:spacing w:before="0" w:after="0"/>
              <w:jc w:val="left"/>
              <w:rPr>
                <w:rFonts w:eastAsia="Times New Roman"/>
                <w:b/>
                <w:bCs/>
                <w:noProof/>
                <w:color w:val="000000" w:themeColor="text1"/>
                <w:szCs w:val="24"/>
                <w:lang w:val="en-IE" w:eastAsia="en-IE"/>
              </w:rPr>
            </w:pPr>
          </w:p>
        </w:tc>
        <w:tc>
          <w:tcPr>
            <w:tcW w:w="1426" w:type="dxa"/>
            <w:tcBorders>
              <w:top w:val="nil"/>
              <w:left w:val="nil"/>
              <w:bottom w:val="single" w:sz="8" w:space="0" w:color="auto"/>
              <w:right w:val="single" w:sz="8" w:space="0" w:color="auto"/>
            </w:tcBorders>
            <w:vAlign w:val="center"/>
            <w:hideMark/>
          </w:tcPr>
          <w:p w14:paraId="77E2985A" w14:textId="77777777" w:rsidR="00C03200" w:rsidRPr="004C70EC" w:rsidRDefault="00C0320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2028</w:t>
            </w:r>
          </w:p>
        </w:tc>
        <w:tc>
          <w:tcPr>
            <w:tcW w:w="1426" w:type="dxa"/>
            <w:tcBorders>
              <w:top w:val="nil"/>
              <w:left w:val="nil"/>
              <w:bottom w:val="single" w:sz="8" w:space="0" w:color="auto"/>
              <w:right w:val="single" w:sz="8" w:space="0" w:color="auto"/>
            </w:tcBorders>
            <w:vAlign w:val="center"/>
            <w:hideMark/>
          </w:tcPr>
          <w:p w14:paraId="4AFBB040" w14:textId="77777777" w:rsidR="00C03200" w:rsidRPr="004C70EC" w:rsidRDefault="00C0320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2029</w:t>
            </w:r>
          </w:p>
        </w:tc>
        <w:tc>
          <w:tcPr>
            <w:tcW w:w="1206" w:type="dxa"/>
            <w:tcBorders>
              <w:top w:val="nil"/>
              <w:left w:val="nil"/>
              <w:bottom w:val="single" w:sz="8" w:space="0" w:color="auto"/>
              <w:right w:val="single" w:sz="8" w:space="0" w:color="auto"/>
            </w:tcBorders>
            <w:vAlign w:val="center"/>
            <w:hideMark/>
          </w:tcPr>
          <w:p w14:paraId="34A57552" w14:textId="77777777" w:rsidR="00C03200" w:rsidRPr="004C70EC" w:rsidRDefault="00C0320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2030</w:t>
            </w:r>
          </w:p>
        </w:tc>
        <w:tc>
          <w:tcPr>
            <w:tcW w:w="1206" w:type="dxa"/>
            <w:tcBorders>
              <w:top w:val="nil"/>
              <w:left w:val="nil"/>
              <w:bottom w:val="single" w:sz="8" w:space="0" w:color="auto"/>
              <w:right w:val="single" w:sz="8" w:space="0" w:color="auto"/>
            </w:tcBorders>
            <w:vAlign w:val="center"/>
            <w:hideMark/>
          </w:tcPr>
          <w:p w14:paraId="4A929E1C" w14:textId="77777777" w:rsidR="00C03200" w:rsidRPr="004C70EC" w:rsidRDefault="00C0320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2031</w:t>
            </w:r>
          </w:p>
        </w:tc>
        <w:tc>
          <w:tcPr>
            <w:tcW w:w="1206" w:type="dxa"/>
            <w:tcBorders>
              <w:top w:val="nil"/>
              <w:left w:val="nil"/>
              <w:bottom w:val="single" w:sz="8" w:space="0" w:color="auto"/>
              <w:right w:val="single" w:sz="8" w:space="0" w:color="auto"/>
            </w:tcBorders>
            <w:vAlign w:val="center"/>
            <w:hideMark/>
          </w:tcPr>
          <w:p w14:paraId="75C87169" w14:textId="77777777" w:rsidR="00C03200" w:rsidRPr="004C70EC" w:rsidRDefault="00C0320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2032</w:t>
            </w:r>
          </w:p>
        </w:tc>
        <w:tc>
          <w:tcPr>
            <w:tcW w:w="1206" w:type="dxa"/>
            <w:tcBorders>
              <w:top w:val="nil"/>
              <w:left w:val="nil"/>
              <w:bottom w:val="single" w:sz="8" w:space="0" w:color="auto"/>
              <w:right w:val="single" w:sz="8" w:space="0" w:color="auto"/>
            </w:tcBorders>
            <w:vAlign w:val="center"/>
            <w:hideMark/>
          </w:tcPr>
          <w:p w14:paraId="25B3AFCC" w14:textId="77777777" w:rsidR="00C03200" w:rsidRPr="004C70EC" w:rsidRDefault="00C0320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2033</w:t>
            </w:r>
          </w:p>
        </w:tc>
        <w:tc>
          <w:tcPr>
            <w:tcW w:w="1206" w:type="dxa"/>
            <w:tcBorders>
              <w:top w:val="nil"/>
              <w:left w:val="nil"/>
              <w:bottom w:val="single" w:sz="8" w:space="0" w:color="auto"/>
              <w:right w:val="single" w:sz="8" w:space="0" w:color="auto"/>
            </w:tcBorders>
            <w:vAlign w:val="center"/>
            <w:hideMark/>
          </w:tcPr>
          <w:p w14:paraId="796BF940" w14:textId="77777777" w:rsidR="00C03200" w:rsidRPr="004C70EC" w:rsidRDefault="00C0320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w:t>
            </w:r>
          </w:p>
        </w:tc>
        <w:tc>
          <w:tcPr>
            <w:tcW w:w="1426" w:type="dxa"/>
            <w:vMerge/>
            <w:tcBorders>
              <w:top w:val="single" w:sz="8" w:space="0" w:color="auto"/>
              <w:left w:val="single" w:sz="8" w:space="0" w:color="auto"/>
              <w:bottom w:val="single" w:sz="8" w:space="0" w:color="auto"/>
              <w:right w:val="single" w:sz="8" w:space="0" w:color="auto"/>
            </w:tcBorders>
            <w:vAlign w:val="center"/>
            <w:hideMark/>
          </w:tcPr>
          <w:p w14:paraId="3E460BC7" w14:textId="77777777" w:rsidR="00C03200" w:rsidRPr="004C70EC" w:rsidRDefault="00C03200">
            <w:pPr>
              <w:spacing w:before="0" w:after="0"/>
              <w:jc w:val="left"/>
              <w:rPr>
                <w:rFonts w:eastAsia="Times New Roman"/>
                <w:b/>
                <w:bCs/>
                <w:noProof/>
                <w:color w:val="000000" w:themeColor="text1"/>
                <w:szCs w:val="24"/>
                <w:lang w:val="en-IE" w:eastAsia="en-IE"/>
              </w:rPr>
            </w:pPr>
          </w:p>
        </w:tc>
      </w:tr>
      <w:tr w:rsidR="00415A3C" w:rsidRPr="004C70EC" w14:paraId="1F77CA44" w14:textId="77777777" w:rsidTr="00D663C8">
        <w:trPr>
          <w:trHeight w:val="432"/>
        </w:trPr>
        <w:tc>
          <w:tcPr>
            <w:tcW w:w="2283" w:type="dxa"/>
            <w:vMerge w:val="restart"/>
            <w:tcBorders>
              <w:top w:val="nil"/>
              <w:left w:val="single" w:sz="8" w:space="0" w:color="auto"/>
              <w:bottom w:val="single" w:sz="8" w:space="0" w:color="auto"/>
              <w:right w:val="single" w:sz="8" w:space="0" w:color="auto"/>
            </w:tcBorders>
            <w:vAlign w:val="center"/>
            <w:hideMark/>
          </w:tcPr>
          <w:p w14:paraId="201DFEAE" w14:textId="77777777" w:rsidR="00D2060C" w:rsidRPr="004C70EC" w:rsidRDefault="00D2060C" w:rsidP="00D2060C">
            <w:pPr>
              <w:spacing w:before="0" w:after="0"/>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xml:space="preserve">TOTAL operational appropriations </w:t>
            </w:r>
            <w:r w:rsidRPr="004C70EC">
              <w:rPr>
                <w:rFonts w:eastAsia="Times New Roman"/>
                <w:noProof/>
                <w:color w:val="000000" w:themeColor="text1"/>
                <w:szCs w:val="24"/>
                <w:lang w:val="en-IE" w:eastAsia="en-IE"/>
              </w:rPr>
              <w:br/>
              <w:t>(including contribution to EMA and EFSA)</w:t>
            </w:r>
          </w:p>
        </w:tc>
        <w:tc>
          <w:tcPr>
            <w:tcW w:w="1577" w:type="dxa"/>
            <w:tcBorders>
              <w:top w:val="nil"/>
              <w:left w:val="nil"/>
              <w:bottom w:val="single" w:sz="8" w:space="0" w:color="auto"/>
              <w:right w:val="single" w:sz="8" w:space="0" w:color="auto"/>
            </w:tcBorders>
            <w:vAlign w:val="center"/>
            <w:hideMark/>
          </w:tcPr>
          <w:p w14:paraId="39C01BD3" w14:textId="77777777" w:rsidR="00D2060C" w:rsidRPr="004C70EC" w:rsidRDefault="00D2060C" w:rsidP="00D2060C">
            <w:pPr>
              <w:spacing w:before="0" w:after="0"/>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Commitments</w:t>
            </w:r>
          </w:p>
        </w:tc>
        <w:tc>
          <w:tcPr>
            <w:tcW w:w="852" w:type="dxa"/>
            <w:tcBorders>
              <w:top w:val="single" w:sz="8" w:space="0" w:color="auto"/>
              <w:left w:val="nil"/>
              <w:bottom w:val="single" w:sz="8" w:space="0" w:color="auto"/>
              <w:right w:val="single" w:sz="8" w:space="0" w:color="auto"/>
            </w:tcBorders>
            <w:vAlign w:val="center"/>
            <w:hideMark/>
          </w:tcPr>
          <w:p w14:paraId="19F8337D" w14:textId="77777777" w:rsidR="00D2060C" w:rsidRPr="004C70EC" w:rsidRDefault="00D2060C" w:rsidP="00D2060C">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(4)</w:t>
            </w:r>
          </w:p>
        </w:tc>
        <w:tc>
          <w:tcPr>
            <w:tcW w:w="1426" w:type="dxa"/>
            <w:tcBorders>
              <w:top w:val="nil"/>
              <w:left w:val="nil"/>
              <w:bottom w:val="single" w:sz="8" w:space="0" w:color="auto"/>
              <w:right w:val="single" w:sz="8" w:space="0" w:color="auto"/>
            </w:tcBorders>
            <w:shd w:val="clear" w:color="000000" w:fill="D9D9D9"/>
            <w:vAlign w:val="center"/>
            <w:hideMark/>
          </w:tcPr>
          <w:p w14:paraId="61DC00F9" w14:textId="77777777" w:rsidR="00D2060C" w:rsidRPr="004C70EC" w:rsidRDefault="00D2060C" w:rsidP="00D2060C">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10,938</w:t>
            </w:r>
          </w:p>
        </w:tc>
        <w:tc>
          <w:tcPr>
            <w:tcW w:w="1426" w:type="dxa"/>
            <w:tcBorders>
              <w:top w:val="nil"/>
              <w:left w:val="nil"/>
              <w:bottom w:val="single" w:sz="8" w:space="0" w:color="auto"/>
              <w:right w:val="single" w:sz="8" w:space="0" w:color="auto"/>
            </w:tcBorders>
            <w:shd w:val="clear" w:color="000000" w:fill="D9D9D9"/>
            <w:vAlign w:val="center"/>
            <w:hideMark/>
          </w:tcPr>
          <w:p w14:paraId="501E43FF" w14:textId="77777777" w:rsidR="00D2060C" w:rsidRPr="004C70EC" w:rsidRDefault="00D2060C" w:rsidP="00D2060C">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9,953</w:t>
            </w:r>
          </w:p>
        </w:tc>
        <w:tc>
          <w:tcPr>
            <w:tcW w:w="1206" w:type="dxa"/>
            <w:tcBorders>
              <w:top w:val="nil"/>
              <w:left w:val="nil"/>
              <w:bottom w:val="single" w:sz="8" w:space="0" w:color="auto"/>
              <w:right w:val="single" w:sz="8" w:space="0" w:color="auto"/>
            </w:tcBorders>
            <w:shd w:val="clear" w:color="000000" w:fill="D9D9D9"/>
            <w:vAlign w:val="center"/>
            <w:hideMark/>
          </w:tcPr>
          <w:p w14:paraId="34236AEC" w14:textId="77777777" w:rsidR="00D2060C" w:rsidRPr="004C70EC" w:rsidRDefault="00D2060C" w:rsidP="00D2060C">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4,032</w:t>
            </w:r>
          </w:p>
        </w:tc>
        <w:tc>
          <w:tcPr>
            <w:tcW w:w="1206" w:type="dxa"/>
            <w:tcBorders>
              <w:top w:val="nil"/>
              <w:left w:val="nil"/>
              <w:bottom w:val="single" w:sz="8" w:space="0" w:color="auto"/>
              <w:right w:val="single" w:sz="8" w:space="0" w:color="auto"/>
            </w:tcBorders>
            <w:shd w:val="clear" w:color="000000" w:fill="D9D9D9"/>
            <w:vAlign w:val="center"/>
            <w:hideMark/>
          </w:tcPr>
          <w:p w14:paraId="4DC9BF0B" w14:textId="77777777" w:rsidR="00D2060C" w:rsidRPr="004C70EC" w:rsidRDefault="00D2060C" w:rsidP="00D2060C">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4,112</w:t>
            </w:r>
          </w:p>
        </w:tc>
        <w:tc>
          <w:tcPr>
            <w:tcW w:w="1206" w:type="dxa"/>
            <w:tcBorders>
              <w:top w:val="nil"/>
              <w:left w:val="nil"/>
              <w:bottom w:val="single" w:sz="8" w:space="0" w:color="auto"/>
              <w:right w:val="single" w:sz="8" w:space="0" w:color="auto"/>
            </w:tcBorders>
            <w:shd w:val="clear" w:color="000000" w:fill="D9D9D9"/>
            <w:vAlign w:val="center"/>
            <w:hideMark/>
          </w:tcPr>
          <w:p w14:paraId="4FB2E4A2" w14:textId="77777777" w:rsidR="00D2060C" w:rsidRPr="004C70EC" w:rsidRDefault="00D2060C" w:rsidP="00D2060C">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4,194</w:t>
            </w:r>
          </w:p>
        </w:tc>
        <w:tc>
          <w:tcPr>
            <w:tcW w:w="1206" w:type="dxa"/>
            <w:tcBorders>
              <w:top w:val="nil"/>
              <w:left w:val="nil"/>
              <w:bottom w:val="single" w:sz="8" w:space="0" w:color="auto"/>
              <w:right w:val="single" w:sz="8" w:space="0" w:color="auto"/>
            </w:tcBorders>
            <w:shd w:val="clear" w:color="000000" w:fill="D9D9D9"/>
            <w:vAlign w:val="center"/>
            <w:hideMark/>
          </w:tcPr>
          <w:p w14:paraId="1CF9FA50" w14:textId="77777777" w:rsidR="00D2060C" w:rsidRPr="004C70EC" w:rsidRDefault="00D2060C" w:rsidP="00D2060C">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4,278</w:t>
            </w:r>
          </w:p>
        </w:tc>
        <w:tc>
          <w:tcPr>
            <w:tcW w:w="1206" w:type="dxa"/>
            <w:tcBorders>
              <w:top w:val="nil"/>
              <w:left w:val="nil"/>
              <w:bottom w:val="single" w:sz="8" w:space="0" w:color="auto"/>
              <w:right w:val="single" w:sz="8" w:space="0" w:color="auto"/>
            </w:tcBorders>
            <w:shd w:val="clear" w:color="000000" w:fill="D9D9D9"/>
            <w:vAlign w:val="center"/>
            <w:hideMark/>
          </w:tcPr>
          <w:p w14:paraId="3D049246" w14:textId="77777777" w:rsidR="00D2060C" w:rsidRPr="004C70EC" w:rsidRDefault="00D2060C" w:rsidP="00D2060C">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4,364</w:t>
            </w:r>
          </w:p>
        </w:tc>
        <w:tc>
          <w:tcPr>
            <w:tcW w:w="1426" w:type="dxa"/>
            <w:tcBorders>
              <w:top w:val="nil"/>
              <w:left w:val="nil"/>
              <w:bottom w:val="single" w:sz="8" w:space="0" w:color="auto"/>
              <w:right w:val="single" w:sz="8" w:space="0" w:color="auto"/>
            </w:tcBorders>
            <w:shd w:val="clear" w:color="000000" w:fill="D9D9D9"/>
            <w:vAlign w:val="center"/>
            <w:hideMark/>
          </w:tcPr>
          <w:p w14:paraId="736C5EA5" w14:textId="77777777" w:rsidR="00D2060C" w:rsidRPr="004C70EC" w:rsidRDefault="00D2060C" w:rsidP="00D2060C">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41,870</w:t>
            </w:r>
          </w:p>
        </w:tc>
      </w:tr>
      <w:tr w:rsidR="00415A3C" w:rsidRPr="004C70EC" w14:paraId="0321535A" w14:textId="77777777" w:rsidTr="00D663C8">
        <w:trPr>
          <w:trHeight w:val="462"/>
        </w:trPr>
        <w:tc>
          <w:tcPr>
            <w:tcW w:w="2283" w:type="dxa"/>
            <w:vMerge/>
            <w:tcBorders>
              <w:top w:val="nil"/>
              <w:left w:val="single" w:sz="8" w:space="0" w:color="auto"/>
              <w:bottom w:val="single" w:sz="8" w:space="0" w:color="auto"/>
              <w:right w:val="single" w:sz="8" w:space="0" w:color="auto"/>
            </w:tcBorders>
            <w:vAlign w:val="center"/>
            <w:hideMark/>
          </w:tcPr>
          <w:p w14:paraId="519762F3" w14:textId="77777777" w:rsidR="001205E3" w:rsidRPr="004C70EC" w:rsidRDefault="001205E3" w:rsidP="001205E3">
            <w:pPr>
              <w:spacing w:before="0" w:after="0"/>
              <w:jc w:val="left"/>
              <w:rPr>
                <w:rFonts w:eastAsia="Times New Roman"/>
                <w:noProof/>
                <w:color w:val="000000" w:themeColor="text1"/>
                <w:szCs w:val="24"/>
                <w:lang w:val="en-IE" w:eastAsia="en-IE"/>
              </w:rPr>
            </w:pPr>
          </w:p>
        </w:tc>
        <w:tc>
          <w:tcPr>
            <w:tcW w:w="1577" w:type="dxa"/>
            <w:tcBorders>
              <w:top w:val="nil"/>
              <w:left w:val="nil"/>
              <w:bottom w:val="single" w:sz="8" w:space="0" w:color="auto"/>
              <w:right w:val="single" w:sz="8" w:space="0" w:color="auto"/>
            </w:tcBorders>
            <w:vAlign w:val="center"/>
            <w:hideMark/>
          </w:tcPr>
          <w:p w14:paraId="37BBF2B9" w14:textId="77777777" w:rsidR="001205E3" w:rsidRPr="004C70EC" w:rsidRDefault="001205E3" w:rsidP="001205E3">
            <w:pPr>
              <w:spacing w:before="0" w:after="0"/>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Payments</w:t>
            </w:r>
          </w:p>
        </w:tc>
        <w:tc>
          <w:tcPr>
            <w:tcW w:w="852" w:type="dxa"/>
            <w:tcBorders>
              <w:top w:val="single" w:sz="8" w:space="0" w:color="auto"/>
              <w:left w:val="nil"/>
              <w:bottom w:val="single" w:sz="8" w:space="0" w:color="auto"/>
              <w:right w:val="single" w:sz="8" w:space="0" w:color="auto"/>
            </w:tcBorders>
            <w:vAlign w:val="center"/>
            <w:hideMark/>
          </w:tcPr>
          <w:p w14:paraId="405B7302" w14:textId="77777777" w:rsidR="001205E3" w:rsidRPr="004C70EC" w:rsidRDefault="001205E3" w:rsidP="001205E3">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(5)</w:t>
            </w:r>
          </w:p>
        </w:tc>
        <w:tc>
          <w:tcPr>
            <w:tcW w:w="1426" w:type="dxa"/>
            <w:tcBorders>
              <w:top w:val="nil"/>
              <w:left w:val="nil"/>
              <w:bottom w:val="single" w:sz="8" w:space="0" w:color="auto"/>
              <w:right w:val="single" w:sz="8" w:space="0" w:color="auto"/>
            </w:tcBorders>
            <w:shd w:val="clear" w:color="000000" w:fill="D9D9D9"/>
            <w:vAlign w:val="center"/>
            <w:hideMark/>
          </w:tcPr>
          <w:p w14:paraId="0F57D85D" w14:textId="77777777" w:rsidR="001205E3" w:rsidRPr="004C70EC" w:rsidRDefault="001205E3" w:rsidP="001205E3">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10,938</w:t>
            </w:r>
          </w:p>
        </w:tc>
        <w:tc>
          <w:tcPr>
            <w:tcW w:w="1426" w:type="dxa"/>
            <w:tcBorders>
              <w:top w:val="nil"/>
              <w:left w:val="nil"/>
              <w:bottom w:val="single" w:sz="8" w:space="0" w:color="auto"/>
              <w:right w:val="single" w:sz="8" w:space="0" w:color="auto"/>
            </w:tcBorders>
            <w:shd w:val="clear" w:color="000000" w:fill="D9D9D9"/>
            <w:vAlign w:val="center"/>
            <w:hideMark/>
          </w:tcPr>
          <w:p w14:paraId="381429F3" w14:textId="77777777" w:rsidR="001205E3" w:rsidRPr="004C70EC" w:rsidRDefault="001205E3" w:rsidP="001205E3">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9,953</w:t>
            </w:r>
          </w:p>
        </w:tc>
        <w:tc>
          <w:tcPr>
            <w:tcW w:w="1206" w:type="dxa"/>
            <w:tcBorders>
              <w:top w:val="nil"/>
              <w:left w:val="nil"/>
              <w:bottom w:val="single" w:sz="8" w:space="0" w:color="auto"/>
              <w:right w:val="single" w:sz="8" w:space="0" w:color="auto"/>
            </w:tcBorders>
            <w:shd w:val="clear" w:color="000000" w:fill="D9D9D9"/>
            <w:vAlign w:val="center"/>
            <w:hideMark/>
          </w:tcPr>
          <w:p w14:paraId="789A11A9" w14:textId="77777777" w:rsidR="001205E3" w:rsidRPr="004C70EC" w:rsidRDefault="001205E3" w:rsidP="001205E3">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4,032</w:t>
            </w:r>
          </w:p>
        </w:tc>
        <w:tc>
          <w:tcPr>
            <w:tcW w:w="1206" w:type="dxa"/>
            <w:tcBorders>
              <w:top w:val="nil"/>
              <w:left w:val="nil"/>
              <w:bottom w:val="single" w:sz="8" w:space="0" w:color="auto"/>
              <w:right w:val="single" w:sz="8" w:space="0" w:color="auto"/>
            </w:tcBorders>
            <w:shd w:val="clear" w:color="000000" w:fill="D9D9D9"/>
            <w:vAlign w:val="center"/>
            <w:hideMark/>
          </w:tcPr>
          <w:p w14:paraId="49A47E0D" w14:textId="77777777" w:rsidR="001205E3" w:rsidRPr="004C70EC" w:rsidRDefault="001205E3" w:rsidP="001205E3">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4,112</w:t>
            </w:r>
          </w:p>
        </w:tc>
        <w:tc>
          <w:tcPr>
            <w:tcW w:w="1206" w:type="dxa"/>
            <w:tcBorders>
              <w:top w:val="nil"/>
              <w:left w:val="nil"/>
              <w:bottom w:val="single" w:sz="8" w:space="0" w:color="auto"/>
              <w:right w:val="single" w:sz="8" w:space="0" w:color="auto"/>
            </w:tcBorders>
            <w:shd w:val="clear" w:color="000000" w:fill="D9D9D9"/>
            <w:vAlign w:val="center"/>
            <w:hideMark/>
          </w:tcPr>
          <w:p w14:paraId="468483BA" w14:textId="77777777" w:rsidR="001205E3" w:rsidRPr="004C70EC" w:rsidRDefault="001205E3" w:rsidP="001205E3">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4,194</w:t>
            </w:r>
          </w:p>
        </w:tc>
        <w:tc>
          <w:tcPr>
            <w:tcW w:w="1206" w:type="dxa"/>
            <w:tcBorders>
              <w:top w:val="nil"/>
              <w:left w:val="nil"/>
              <w:bottom w:val="single" w:sz="8" w:space="0" w:color="auto"/>
              <w:right w:val="single" w:sz="8" w:space="0" w:color="auto"/>
            </w:tcBorders>
            <w:shd w:val="clear" w:color="000000" w:fill="D9D9D9"/>
            <w:vAlign w:val="center"/>
            <w:hideMark/>
          </w:tcPr>
          <w:p w14:paraId="64BE4997" w14:textId="77777777" w:rsidR="001205E3" w:rsidRPr="004C70EC" w:rsidRDefault="001205E3" w:rsidP="001205E3">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4,278</w:t>
            </w:r>
          </w:p>
        </w:tc>
        <w:tc>
          <w:tcPr>
            <w:tcW w:w="1206" w:type="dxa"/>
            <w:tcBorders>
              <w:top w:val="nil"/>
              <w:left w:val="nil"/>
              <w:bottom w:val="single" w:sz="8" w:space="0" w:color="auto"/>
              <w:right w:val="single" w:sz="8" w:space="0" w:color="auto"/>
            </w:tcBorders>
            <w:shd w:val="clear" w:color="000000" w:fill="D9D9D9"/>
            <w:vAlign w:val="center"/>
            <w:hideMark/>
          </w:tcPr>
          <w:p w14:paraId="731A0995" w14:textId="77777777" w:rsidR="001205E3" w:rsidRPr="004C70EC" w:rsidRDefault="001205E3" w:rsidP="001205E3">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4,364</w:t>
            </w:r>
          </w:p>
        </w:tc>
        <w:tc>
          <w:tcPr>
            <w:tcW w:w="1426" w:type="dxa"/>
            <w:tcBorders>
              <w:top w:val="nil"/>
              <w:left w:val="nil"/>
              <w:bottom w:val="single" w:sz="8" w:space="0" w:color="auto"/>
              <w:right w:val="single" w:sz="8" w:space="0" w:color="auto"/>
            </w:tcBorders>
            <w:shd w:val="clear" w:color="000000" w:fill="D9D9D9"/>
            <w:vAlign w:val="center"/>
            <w:hideMark/>
          </w:tcPr>
          <w:p w14:paraId="48EE9044" w14:textId="77777777" w:rsidR="001205E3" w:rsidRPr="004C70EC" w:rsidRDefault="001205E3" w:rsidP="001205E3">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41,870</w:t>
            </w:r>
          </w:p>
        </w:tc>
      </w:tr>
      <w:tr w:rsidR="004416AE" w:rsidRPr="004C70EC" w14:paraId="12539FEB" w14:textId="77777777" w:rsidTr="00D663C8">
        <w:trPr>
          <w:trHeight w:val="927"/>
        </w:trPr>
        <w:tc>
          <w:tcPr>
            <w:tcW w:w="3860" w:type="dxa"/>
            <w:gridSpan w:val="2"/>
            <w:tcBorders>
              <w:top w:val="single" w:sz="8" w:space="0" w:color="auto"/>
              <w:left w:val="single" w:sz="8" w:space="0" w:color="auto"/>
              <w:bottom w:val="single" w:sz="8" w:space="0" w:color="auto"/>
              <w:right w:val="single" w:sz="8" w:space="0" w:color="auto"/>
            </w:tcBorders>
            <w:vAlign w:val="center"/>
            <w:hideMark/>
          </w:tcPr>
          <w:p w14:paraId="30876496" w14:textId="77777777" w:rsidR="004416AE" w:rsidRPr="004C70EC" w:rsidRDefault="004416AE" w:rsidP="004416AE">
            <w:pPr>
              <w:spacing w:before="0" w:after="0"/>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xml:space="preserve">TOTAL appropriations of an administrative nature financed from the envelope for specific programmes </w:t>
            </w:r>
          </w:p>
        </w:tc>
        <w:tc>
          <w:tcPr>
            <w:tcW w:w="852" w:type="dxa"/>
            <w:tcBorders>
              <w:top w:val="single" w:sz="8" w:space="0" w:color="auto"/>
              <w:left w:val="nil"/>
              <w:bottom w:val="single" w:sz="8" w:space="0" w:color="auto"/>
              <w:right w:val="single" w:sz="8" w:space="0" w:color="auto"/>
            </w:tcBorders>
            <w:vAlign w:val="center"/>
            <w:hideMark/>
          </w:tcPr>
          <w:p w14:paraId="552A8D82" w14:textId="77777777" w:rsidR="004416AE" w:rsidRPr="004C70EC" w:rsidRDefault="004416AE" w:rsidP="004416AE">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w:t>
            </w:r>
          </w:p>
        </w:tc>
        <w:tc>
          <w:tcPr>
            <w:tcW w:w="1426" w:type="dxa"/>
            <w:tcBorders>
              <w:top w:val="nil"/>
              <w:left w:val="nil"/>
              <w:bottom w:val="single" w:sz="8" w:space="0" w:color="auto"/>
              <w:right w:val="single" w:sz="8" w:space="0" w:color="auto"/>
            </w:tcBorders>
            <w:shd w:val="clear" w:color="000000" w:fill="D9D9D9"/>
            <w:vAlign w:val="center"/>
            <w:hideMark/>
          </w:tcPr>
          <w:p w14:paraId="5C839BDA" w14:textId="77777777" w:rsidR="004416AE" w:rsidRPr="004C70EC" w:rsidRDefault="004416AE" w:rsidP="004416AE">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2,626</w:t>
            </w:r>
          </w:p>
        </w:tc>
        <w:tc>
          <w:tcPr>
            <w:tcW w:w="1426" w:type="dxa"/>
            <w:tcBorders>
              <w:top w:val="nil"/>
              <w:left w:val="nil"/>
              <w:bottom w:val="single" w:sz="8" w:space="0" w:color="auto"/>
              <w:right w:val="single" w:sz="8" w:space="0" w:color="auto"/>
            </w:tcBorders>
            <w:shd w:val="clear" w:color="000000" w:fill="D9D9D9"/>
            <w:vAlign w:val="center"/>
            <w:hideMark/>
          </w:tcPr>
          <w:p w14:paraId="3FFEDC0D" w14:textId="77777777" w:rsidR="004416AE" w:rsidRPr="004C70EC" w:rsidRDefault="004416AE" w:rsidP="004416AE">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2,626</w:t>
            </w:r>
          </w:p>
        </w:tc>
        <w:tc>
          <w:tcPr>
            <w:tcW w:w="1206" w:type="dxa"/>
            <w:tcBorders>
              <w:top w:val="nil"/>
              <w:left w:val="nil"/>
              <w:bottom w:val="single" w:sz="8" w:space="0" w:color="auto"/>
              <w:right w:val="single" w:sz="8" w:space="0" w:color="auto"/>
            </w:tcBorders>
            <w:shd w:val="clear" w:color="000000" w:fill="D9D9D9"/>
            <w:vAlign w:val="center"/>
            <w:hideMark/>
          </w:tcPr>
          <w:p w14:paraId="2F4CC11B" w14:textId="77777777" w:rsidR="004416AE" w:rsidRPr="004C70EC" w:rsidRDefault="004416AE" w:rsidP="004416AE">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2,626</w:t>
            </w:r>
          </w:p>
        </w:tc>
        <w:tc>
          <w:tcPr>
            <w:tcW w:w="1206" w:type="dxa"/>
            <w:tcBorders>
              <w:top w:val="nil"/>
              <w:left w:val="nil"/>
              <w:bottom w:val="single" w:sz="8" w:space="0" w:color="auto"/>
              <w:right w:val="single" w:sz="8" w:space="0" w:color="auto"/>
            </w:tcBorders>
            <w:shd w:val="clear" w:color="000000" w:fill="D9D9D9"/>
            <w:vAlign w:val="center"/>
            <w:hideMark/>
          </w:tcPr>
          <w:p w14:paraId="2E98EF3E" w14:textId="77777777" w:rsidR="004416AE" w:rsidRPr="004C70EC" w:rsidRDefault="004416AE" w:rsidP="004416AE">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2,626</w:t>
            </w:r>
          </w:p>
        </w:tc>
        <w:tc>
          <w:tcPr>
            <w:tcW w:w="1206" w:type="dxa"/>
            <w:tcBorders>
              <w:top w:val="nil"/>
              <w:left w:val="nil"/>
              <w:bottom w:val="single" w:sz="8" w:space="0" w:color="auto"/>
              <w:right w:val="single" w:sz="8" w:space="0" w:color="auto"/>
            </w:tcBorders>
            <w:shd w:val="clear" w:color="000000" w:fill="D9D9D9"/>
            <w:vAlign w:val="center"/>
            <w:hideMark/>
          </w:tcPr>
          <w:p w14:paraId="3C1EED79" w14:textId="77777777" w:rsidR="004416AE" w:rsidRPr="004C70EC" w:rsidRDefault="004416AE" w:rsidP="004416AE">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2,626</w:t>
            </w:r>
          </w:p>
        </w:tc>
        <w:tc>
          <w:tcPr>
            <w:tcW w:w="1206" w:type="dxa"/>
            <w:tcBorders>
              <w:top w:val="nil"/>
              <w:left w:val="nil"/>
              <w:bottom w:val="single" w:sz="8" w:space="0" w:color="auto"/>
              <w:right w:val="single" w:sz="8" w:space="0" w:color="auto"/>
            </w:tcBorders>
            <w:shd w:val="clear" w:color="000000" w:fill="D9D9D9"/>
            <w:vAlign w:val="center"/>
            <w:hideMark/>
          </w:tcPr>
          <w:p w14:paraId="09890D88" w14:textId="77777777" w:rsidR="004416AE" w:rsidRPr="004C70EC" w:rsidRDefault="004416AE" w:rsidP="004416AE">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2,626</w:t>
            </w:r>
          </w:p>
        </w:tc>
        <w:tc>
          <w:tcPr>
            <w:tcW w:w="1206" w:type="dxa"/>
            <w:tcBorders>
              <w:top w:val="nil"/>
              <w:left w:val="nil"/>
              <w:bottom w:val="single" w:sz="8" w:space="0" w:color="auto"/>
              <w:right w:val="single" w:sz="8" w:space="0" w:color="auto"/>
            </w:tcBorders>
            <w:shd w:val="clear" w:color="000000" w:fill="D9D9D9"/>
            <w:vAlign w:val="center"/>
            <w:hideMark/>
          </w:tcPr>
          <w:p w14:paraId="69D8D453" w14:textId="77777777" w:rsidR="004416AE" w:rsidRPr="004C70EC" w:rsidRDefault="004416AE" w:rsidP="004416AE">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2,626</w:t>
            </w:r>
          </w:p>
        </w:tc>
        <w:tc>
          <w:tcPr>
            <w:tcW w:w="1426" w:type="dxa"/>
            <w:tcBorders>
              <w:top w:val="nil"/>
              <w:left w:val="nil"/>
              <w:bottom w:val="single" w:sz="8" w:space="0" w:color="auto"/>
              <w:right w:val="single" w:sz="8" w:space="0" w:color="auto"/>
            </w:tcBorders>
            <w:shd w:val="clear" w:color="000000" w:fill="D9D9D9"/>
            <w:vAlign w:val="center"/>
            <w:hideMark/>
          </w:tcPr>
          <w:p w14:paraId="3E565DA7" w14:textId="77777777" w:rsidR="004416AE" w:rsidRPr="004C70EC" w:rsidRDefault="004416AE" w:rsidP="004416AE">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18,382</w:t>
            </w:r>
          </w:p>
        </w:tc>
      </w:tr>
      <w:tr w:rsidR="002D7694" w:rsidRPr="004C70EC" w14:paraId="1F9498F7" w14:textId="77777777" w:rsidTr="002D7694">
        <w:trPr>
          <w:trHeight w:val="585"/>
        </w:trPr>
        <w:tc>
          <w:tcPr>
            <w:tcW w:w="2283" w:type="dxa"/>
            <w:tcBorders>
              <w:top w:val="nil"/>
              <w:left w:val="single" w:sz="8" w:space="0" w:color="auto"/>
              <w:bottom w:val="nil"/>
              <w:right w:val="single" w:sz="8" w:space="0" w:color="auto"/>
            </w:tcBorders>
            <w:shd w:val="thinDiagStripe" w:color="C0C0C0" w:fill="F1F1F1"/>
            <w:vAlign w:val="center"/>
            <w:hideMark/>
          </w:tcPr>
          <w:p w14:paraId="2D2AC274" w14:textId="77777777" w:rsidR="00D663C8" w:rsidRPr="004C70EC" w:rsidRDefault="00D663C8" w:rsidP="00D663C8">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 appropriations</w:t>
            </w:r>
            <w:r w:rsidRPr="004C70EC">
              <w:rPr>
                <w:rFonts w:eastAsia="Times New Roman"/>
                <w:b/>
                <w:bCs/>
                <w:noProof/>
                <w:color w:val="000000" w:themeColor="text1"/>
                <w:szCs w:val="24"/>
                <w:lang w:val="en-IE" w:eastAsia="en-IE"/>
              </w:rPr>
              <w:br/>
              <w:t>under HEADING SANTE</w:t>
            </w:r>
          </w:p>
        </w:tc>
        <w:tc>
          <w:tcPr>
            <w:tcW w:w="1577" w:type="dxa"/>
            <w:tcBorders>
              <w:top w:val="nil"/>
              <w:left w:val="nil"/>
              <w:bottom w:val="single" w:sz="8" w:space="0" w:color="auto"/>
              <w:right w:val="single" w:sz="8" w:space="0" w:color="auto"/>
            </w:tcBorders>
            <w:vAlign w:val="center"/>
            <w:hideMark/>
          </w:tcPr>
          <w:p w14:paraId="5C72ABF0" w14:textId="77777777" w:rsidR="00D663C8" w:rsidRPr="004C70EC" w:rsidRDefault="00D663C8" w:rsidP="00D663C8">
            <w:pPr>
              <w:spacing w:before="0" w:after="0"/>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Commitments</w:t>
            </w:r>
          </w:p>
        </w:tc>
        <w:tc>
          <w:tcPr>
            <w:tcW w:w="852" w:type="dxa"/>
            <w:tcBorders>
              <w:top w:val="single" w:sz="8" w:space="0" w:color="auto"/>
              <w:left w:val="nil"/>
              <w:bottom w:val="single" w:sz="8" w:space="0" w:color="auto"/>
              <w:right w:val="single" w:sz="8" w:space="0" w:color="auto"/>
            </w:tcBorders>
            <w:vAlign w:val="center"/>
            <w:hideMark/>
          </w:tcPr>
          <w:p w14:paraId="363B0130" w14:textId="77777777" w:rsidR="00D663C8" w:rsidRPr="004C70EC" w:rsidRDefault="00D663C8" w:rsidP="00D663C8">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=4+6</w:t>
            </w:r>
          </w:p>
        </w:tc>
        <w:tc>
          <w:tcPr>
            <w:tcW w:w="1426" w:type="dxa"/>
            <w:tcBorders>
              <w:top w:val="nil"/>
              <w:left w:val="nil"/>
              <w:bottom w:val="single" w:sz="8" w:space="0" w:color="auto"/>
              <w:right w:val="single" w:sz="8" w:space="0" w:color="auto"/>
            </w:tcBorders>
            <w:shd w:val="clear" w:color="000000" w:fill="D9D9D9"/>
            <w:vAlign w:val="center"/>
            <w:hideMark/>
          </w:tcPr>
          <w:p w14:paraId="10A9509A" w14:textId="77777777" w:rsidR="00D663C8" w:rsidRPr="004C70EC" w:rsidRDefault="00D663C8" w:rsidP="00D663C8">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13,564</w:t>
            </w:r>
          </w:p>
        </w:tc>
        <w:tc>
          <w:tcPr>
            <w:tcW w:w="1426" w:type="dxa"/>
            <w:tcBorders>
              <w:top w:val="nil"/>
              <w:left w:val="nil"/>
              <w:bottom w:val="single" w:sz="8" w:space="0" w:color="auto"/>
              <w:right w:val="single" w:sz="8" w:space="0" w:color="auto"/>
            </w:tcBorders>
            <w:shd w:val="clear" w:color="000000" w:fill="D9D9D9"/>
            <w:vAlign w:val="center"/>
            <w:hideMark/>
          </w:tcPr>
          <w:p w14:paraId="4A85E655" w14:textId="77777777" w:rsidR="00D663C8" w:rsidRPr="004C70EC" w:rsidRDefault="00D663C8" w:rsidP="00D663C8">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12,579</w:t>
            </w:r>
          </w:p>
        </w:tc>
        <w:tc>
          <w:tcPr>
            <w:tcW w:w="1206" w:type="dxa"/>
            <w:tcBorders>
              <w:top w:val="nil"/>
              <w:left w:val="nil"/>
              <w:bottom w:val="single" w:sz="8" w:space="0" w:color="auto"/>
              <w:right w:val="single" w:sz="8" w:space="0" w:color="auto"/>
            </w:tcBorders>
            <w:shd w:val="clear" w:color="000000" w:fill="D9D9D9"/>
            <w:vAlign w:val="center"/>
            <w:hideMark/>
          </w:tcPr>
          <w:p w14:paraId="0DE2222C" w14:textId="77777777" w:rsidR="00D663C8" w:rsidRPr="004C70EC" w:rsidRDefault="00D663C8" w:rsidP="00D663C8">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6,658</w:t>
            </w:r>
          </w:p>
        </w:tc>
        <w:tc>
          <w:tcPr>
            <w:tcW w:w="1206" w:type="dxa"/>
            <w:tcBorders>
              <w:top w:val="nil"/>
              <w:left w:val="nil"/>
              <w:bottom w:val="single" w:sz="8" w:space="0" w:color="auto"/>
              <w:right w:val="single" w:sz="8" w:space="0" w:color="auto"/>
            </w:tcBorders>
            <w:shd w:val="clear" w:color="000000" w:fill="D9D9D9"/>
            <w:vAlign w:val="center"/>
            <w:hideMark/>
          </w:tcPr>
          <w:p w14:paraId="3745BCEA" w14:textId="77777777" w:rsidR="00D663C8" w:rsidRPr="004C70EC" w:rsidRDefault="00D663C8" w:rsidP="00D663C8">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6,738</w:t>
            </w:r>
          </w:p>
        </w:tc>
        <w:tc>
          <w:tcPr>
            <w:tcW w:w="1206" w:type="dxa"/>
            <w:tcBorders>
              <w:top w:val="nil"/>
              <w:left w:val="nil"/>
              <w:bottom w:val="single" w:sz="8" w:space="0" w:color="auto"/>
              <w:right w:val="single" w:sz="8" w:space="0" w:color="auto"/>
            </w:tcBorders>
            <w:shd w:val="clear" w:color="000000" w:fill="D9D9D9"/>
            <w:vAlign w:val="center"/>
            <w:hideMark/>
          </w:tcPr>
          <w:p w14:paraId="096D2910" w14:textId="77777777" w:rsidR="00D663C8" w:rsidRPr="004C70EC" w:rsidRDefault="00D663C8" w:rsidP="00D663C8">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6,820</w:t>
            </w:r>
          </w:p>
        </w:tc>
        <w:tc>
          <w:tcPr>
            <w:tcW w:w="1206" w:type="dxa"/>
            <w:tcBorders>
              <w:top w:val="nil"/>
              <w:left w:val="nil"/>
              <w:bottom w:val="single" w:sz="8" w:space="0" w:color="auto"/>
              <w:right w:val="single" w:sz="8" w:space="0" w:color="auto"/>
            </w:tcBorders>
            <w:shd w:val="clear" w:color="000000" w:fill="D9D9D9"/>
            <w:vAlign w:val="center"/>
            <w:hideMark/>
          </w:tcPr>
          <w:p w14:paraId="3BCD0C4D" w14:textId="77777777" w:rsidR="00D663C8" w:rsidRPr="004C70EC" w:rsidRDefault="00D663C8" w:rsidP="00D663C8">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6,904</w:t>
            </w:r>
          </w:p>
        </w:tc>
        <w:tc>
          <w:tcPr>
            <w:tcW w:w="1206" w:type="dxa"/>
            <w:tcBorders>
              <w:top w:val="nil"/>
              <w:left w:val="nil"/>
              <w:bottom w:val="single" w:sz="8" w:space="0" w:color="auto"/>
              <w:right w:val="single" w:sz="8" w:space="0" w:color="auto"/>
            </w:tcBorders>
            <w:shd w:val="clear" w:color="000000" w:fill="D9D9D9"/>
            <w:vAlign w:val="center"/>
            <w:hideMark/>
          </w:tcPr>
          <w:p w14:paraId="445DB65F" w14:textId="77777777" w:rsidR="00D663C8" w:rsidRPr="004C70EC" w:rsidRDefault="00D663C8" w:rsidP="00D663C8">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6,990</w:t>
            </w:r>
          </w:p>
        </w:tc>
        <w:tc>
          <w:tcPr>
            <w:tcW w:w="1426" w:type="dxa"/>
            <w:tcBorders>
              <w:top w:val="nil"/>
              <w:left w:val="nil"/>
              <w:bottom w:val="single" w:sz="8" w:space="0" w:color="auto"/>
              <w:right w:val="single" w:sz="8" w:space="0" w:color="auto"/>
            </w:tcBorders>
            <w:shd w:val="clear" w:color="000000" w:fill="D9D9D9"/>
            <w:vAlign w:val="center"/>
            <w:hideMark/>
          </w:tcPr>
          <w:p w14:paraId="5A2A3087" w14:textId="77777777" w:rsidR="00D663C8" w:rsidRPr="004C70EC" w:rsidRDefault="00D663C8" w:rsidP="00D663C8">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60,252</w:t>
            </w:r>
          </w:p>
        </w:tc>
      </w:tr>
      <w:tr w:rsidR="002D7694" w:rsidRPr="004C70EC" w14:paraId="6298000A" w14:textId="77777777" w:rsidTr="002D7694">
        <w:trPr>
          <w:trHeight w:val="660"/>
        </w:trPr>
        <w:tc>
          <w:tcPr>
            <w:tcW w:w="2283" w:type="dxa"/>
            <w:tcBorders>
              <w:top w:val="nil"/>
              <w:left w:val="single" w:sz="8" w:space="0" w:color="auto"/>
              <w:bottom w:val="single" w:sz="8" w:space="0" w:color="auto"/>
              <w:right w:val="single" w:sz="8" w:space="0" w:color="auto"/>
            </w:tcBorders>
            <w:shd w:val="thinDiagStripe" w:color="C0C0C0" w:fill="F1F1F1"/>
            <w:vAlign w:val="center"/>
            <w:hideMark/>
          </w:tcPr>
          <w:p w14:paraId="22BD011E" w14:textId="77777777" w:rsidR="00C60C61" w:rsidRPr="004C70EC" w:rsidRDefault="00C60C61" w:rsidP="00C60C61">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of the multiannual financial framework</w:t>
            </w:r>
          </w:p>
        </w:tc>
        <w:tc>
          <w:tcPr>
            <w:tcW w:w="1577" w:type="dxa"/>
            <w:tcBorders>
              <w:top w:val="nil"/>
              <w:left w:val="nil"/>
              <w:bottom w:val="single" w:sz="8" w:space="0" w:color="auto"/>
              <w:right w:val="single" w:sz="8" w:space="0" w:color="auto"/>
            </w:tcBorders>
            <w:vAlign w:val="center"/>
            <w:hideMark/>
          </w:tcPr>
          <w:p w14:paraId="47E09704" w14:textId="77777777" w:rsidR="00C60C61" w:rsidRPr="004C70EC" w:rsidRDefault="00C60C61" w:rsidP="00C60C61">
            <w:pPr>
              <w:spacing w:before="0" w:after="0"/>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Payments</w:t>
            </w:r>
          </w:p>
        </w:tc>
        <w:tc>
          <w:tcPr>
            <w:tcW w:w="852" w:type="dxa"/>
            <w:tcBorders>
              <w:top w:val="single" w:sz="8" w:space="0" w:color="auto"/>
              <w:left w:val="nil"/>
              <w:bottom w:val="single" w:sz="8" w:space="0" w:color="auto"/>
              <w:right w:val="single" w:sz="8" w:space="0" w:color="auto"/>
            </w:tcBorders>
            <w:vAlign w:val="center"/>
            <w:hideMark/>
          </w:tcPr>
          <w:p w14:paraId="0E0E5A5C" w14:textId="77777777" w:rsidR="00C60C61" w:rsidRPr="004C70EC" w:rsidRDefault="00C60C61" w:rsidP="00C60C61">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=5+6</w:t>
            </w:r>
          </w:p>
        </w:tc>
        <w:tc>
          <w:tcPr>
            <w:tcW w:w="1426" w:type="dxa"/>
            <w:tcBorders>
              <w:top w:val="nil"/>
              <w:left w:val="nil"/>
              <w:bottom w:val="single" w:sz="8" w:space="0" w:color="auto"/>
              <w:right w:val="single" w:sz="8" w:space="0" w:color="auto"/>
            </w:tcBorders>
            <w:shd w:val="clear" w:color="000000" w:fill="D9D9D9"/>
            <w:vAlign w:val="center"/>
            <w:hideMark/>
          </w:tcPr>
          <w:p w14:paraId="57AD3018" w14:textId="77777777" w:rsidR="00C60C61" w:rsidRPr="004C70EC" w:rsidRDefault="00C60C61" w:rsidP="00C60C6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13,564</w:t>
            </w:r>
          </w:p>
        </w:tc>
        <w:tc>
          <w:tcPr>
            <w:tcW w:w="1426" w:type="dxa"/>
            <w:tcBorders>
              <w:top w:val="nil"/>
              <w:left w:val="nil"/>
              <w:bottom w:val="single" w:sz="8" w:space="0" w:color="auto"/>
              <w:right w:val="single" w:sz="8" w:space="0" w:color="auto"/>
            </w:tcBorders>
            <w:shd w:val="clear" w:color="000000" w:fill="D9D9D9"/>
            <w:vAlign w:val="center"/>
            <w:hideMark/>
          </w:tcPr>
          <w:p w14:paraId="2A1AFD29" w14:textId="77777777" w:rsidR="00C60C61" w:rsidRPr="004C70EC" w:rsidRDefault="00C60C61" w:rsidP="00C60C6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12,579</w:t>
            </w:r>
          </w:p>
        </w:tc>
        <w:tc>
          <w:tcPr>
            <w:tcW w:w="1206" w:type="dxa"/>
            <w:tcBorders>
              <w:top w:val="nil"/>
              <w:left w:val="nil"/>
              <w:bottom w:val="single" w:sz="8" w:space="0" w:color="auto"/>
              <w:right w:val="single" w:sz="8" w:space="0" w:color="auto"/>
            </w:tcBorders>
            <w:shd w:val="clear" w:color="000000" w:fill="D9D9D9"/>
            <w:vAlign w:val="center"/>
            <w:hideMark/>
          </w:tcPr>
          <w:p w14:paraId="686ECBB5" w14:textId="77777777" w:rsidR="00C60C61" w:rsidRPr="004C70EC" w:rsidRDefault="00C60C61" w:rsidP="00C60C6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6,658</w:t>
            </w:r>
          </w:p>
        </w:tc>
        <w:tc>
          <w:tcPr>
            <w:tcW w:w="1206" w:type="dxa"/>
            <w:tcBorders>
              <w:top w:val="nil"/>
              <w:left w:val="nil"/>
              <w:bottom w:val="single" w:sz="8" w:space="0" w:color="auto"/>
              <w:right w:val="single" w:sz="8" w:space="0" w:color="auto"/>
            </w:tcBorders>
            <w:shd w:val="clear" w:color="000000" w:fill="D9D9D9"/>
            <w:vAlign w:val="center"/>
            <w:hideMark/>
          </w:tcPr>
          <w:p w14:paraId="7D89D955" w14:textId="77777777" w:rsidR="00C60C61" w:rsidRPr="004C70EC" w:rsidRDefault="00C60C61" w:rsidP="00C60C6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6,738</w:t>
            </w:r>
          </w:p>
        </w:tc>
        <w:tc>
          <w:tcPr>
            <w:tcW w:w="1206" w:type="dxa"/>
            <w:tcBorders>
              <w:top w:val="nil"/>
              <w:left w:val="nil"/>
              <w:bottom w:val="single" w:sz="8" w:space="0" w:color="auto"/>
              <w:right w:val="single" w:sz="8" w:space="0" w:color="auto"/>
            </w:tcBorders>
            <w:shd w:val="clear" w:color="000000" w:fill="D9D9D9"/>
            <w:vAlign w:val="center"/>
            <w:hideMark/>
          </w:tcPr>
          <w:p w14:paraId="2C639860" w14:textId="77777777" w:rsidR="00C60C61" w:rsidRPr="004C70EC" w:rsidRDefault="00C60C61" w:rsidP="00C60C6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6,820</w:t>
            </w:r>
          </w:p>
        </w:tc>
        <w:tc>
          <w:tcPr>
            <w:tcW w:w="1206" w:type="dxa"/>
            <w:tcBorders>
              <w:top w:val="nil"/>
              <w:left w:val="nil"/>
              <w:bottom w:val="single" w:sz="8" w:space="0" w:color="auto"/>
              <w:right w:val="single" w:sz="8" w:space="0" w:color="auto"/>
            </w:tcBorders>
            <w:shd w:val="clear" w:color="000000" w:fill="D9D9D9"/>
            <w:vAlign w:val="center"/>
            <w:hideMark/>
          </w:tcPr>
          <w:p w14:paraId="03D97684" w14:textId="77777777" w:rsidR="00C60C61" w:rsidRPr="004C70EC" w:rsidRDefault="00C60C61" w:rsidP="00C60C6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6,904</w:t>
            </w:r>
          </w:p>
        </w:tc>
        <w:tc>
          <w:tcPr>
            <w:tcW w:w="1206" w:type="dxa"/>
            <w:tcBorders>
              <w:top w:val="nil"/>
              <w:left w:val="nil"/>
              <w:bottom w:val="single" w:sz="8" w:space="0" w:color="auto"/>
              <w:right w:val="single" w:sz="8" w:space="0" w:color="auto"/>
            </w:tcBorders>
            <w:shd w:val="clear" w:color="000000" w:fill="D9D9D9"/>
            <w:vAlign w:val="center"/>
            <w:hideMark/>
          </w:tcPr>
          <w:p w14:paraId="48A45F0C" w14:textId="77777777" w:rsidR="00C60C61" w:rsidRPr="004C70EC" w:rsidRDefault="00C60C61" w:rsidP="00C60C6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6,990</w:t>
            </w:r>
          </w:p>
        </w:tc>
        <w:tc>
          <w:tcPr>
            <w:tcW w:w="1426" w:type="dxa"/>
            <w:tcBorders>
              <w:top w:val="nil"/>
              <w:left w:val="nil"/>
              <w:bottom w:val="single" w:sz="8" w:space="0" w:color="auto"/>
              <w:right w:val="single" w:sz="8" w:space="0" w:color="auto"/>
            </w:tcBorders>
            <w:shd w:val="clear" w:color="000000" w:fill="D9D9D9"/>
            <w:vAlign w:val="center"/>
            <w:hideMark/>
          </w:tcPr>
          <w:p w14:paraId="64DF38EE" w14:textId="77777777" w:rsidR="00C60C61" w:rsidRPr="004C70EC" w:rsidRDefault="00C60C61" w:rsidP="00C60C6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60,252</w:t>
            </w:r>
          </w:p>
        </w:tc>
      </w:tr>
    </w:tbl>
    <w:p w14:paraId="7C4669F4" w14:textId="77777777" w:rsidR="005420F1" w:rsidRPr="004C70EC" w:rsidRDefault="005420F1" w:rsidP="005526AF">
      <w:pPr>
        <w:ind w:right="679"/>
        <w:rPr>
          <w:rFonts w:eastAsia="Aptos"/>
          <w:noProof/>
          <w:color w:val="000000" w:themeColor="text1"/>
          <w:szCs w:val="24"/>
        </w:rPr>
      </w:pPr>
    </w:p>
    <w:p w14:paraId="345BAC2E" w14:textId="77777777" w:rsidR="007966CD" w:rsidRPr="004C70EC" w:rsidRDefault="00B82BC5" w:rsidP="0030598E">
      <w:pPr>
        <w:ind w:right="679"/>
        <w:rPr>
          <w:noProof/>
          <w:color w:val="000000" w:themeColor="text1"/>
          <w:szCs w:val="24"/>
          <w:lang w:val="en-IE"/>
        </w:rPr>
      </w:pPr>
      <w:r w:rsidRPr="004C70EC">
        <w:rPr>
          <w:noProof/>
          <w:color w:val="000000" w:themeColor="text1"/>
          <w:szCs w:val="24"/>
        </w:rPr>
        <w:t>Without prejudice to the negotiations on the next MFF, the appropriations allocated to the agencies from 2028 onwards will be compensated</w:t>
      </w:r>
      <w:r w:rsidRPr="004C70EC">
        <w:rPr>
          <w:rFonts w:eastAsia="Aptos"/>
          <w:noProof/>
          <w:color w:val="000000" w:themeColor="text1"/>
          <w:szCs w:val="24"/>
        </w:rPr>
        <w:t xml:space="preserve"> </w:t>
      </w:r>
      <w:r w:rsidRPr="004C70EC">
        <w:rPr>
          <w:rFonts w:eastAsia="Times New Roman"/>
          <w:noProof/>
          <w:color w:val="000000" w:themeColor="text1"/>
          <w:szCs w:val="24"/>
        </w:rPr>
        <w:t>v</w:t>
      </w:r>
      <w:r w:rsidRPr="004C70EC">
        <w:rPr>
          <w:noProof/>
          <w:color w:val="000000" w:themeColor="text1"/>
          <w:szCs w:val="24"/>
        </w:rPr>
        <w:t>ia redeployments from programmes under the 2028-2034 MFF</w:t>
      </w:r>
      <w:r w:rsidR="00AE4CED" w:rsidRPr="004C70EC">
        <w:rPr>
          <w:noProof/>
          <w:color w:val="000000" w:themeColor="text1"/>
          <w:szCs w:val="24"/>
        </w:rPr>
        <w:t>. If a compensatory reduction is needed, the resources allocated to the agencies and their funding streams and sources may need to be revised.</w:t>
      </w:r>
    </w:p>
    <w:p w14:paraId="3BE921F9" w14:textId="77777777" w:rsidR="00A02F36" w:rsidRPr="004C70EC" w:rsidRDefault="00A02F36">
      <w:pPr>
        <w:ind w:right="679"/>
        <w:jc w:val="right"/>
        <w:rPr>
          <w:noProof/>
          <w:color w:val="000000" w:themeColor="text1"/>
          <w:lang w:val="en-IE"/>
        </w:rPr>
      </w:pPr>
    </w:p>
    <w:p w14:paraId="79C92F4F" w14:textId="77777777" w:rsidR="007966CD" w:rsidRPr="004C70EC" w:rsidRDefault="007966CD">
      <w:pPr>
        <w:rPr>
          <w:noProof/>
          <w:color w:val="000000" w:themeColor="text1"/>
        </w:rPr>
      </w:pPr>
    </w:p>
    <w:p w14:paraId="3628F272" w14:textId="77777777" w:rsidR="002C6F6E" w:rsidRPr="004C70EC" w:rsidRDefault="00367698" w:rsidP="00367698">
      <w:pPr>
        <w:jc w:val="left"/>
        <w:rPr>
          <w:noProof/>
          <w:color w:val="000000" w:themeColor="text1"/>
          <w:lang w:val="en-IE"/>
        </w:rPr>
      </w:pPr>
      <w:r w:rsidRPr="004C70EC">
        <w:rPr>
          <w:noProof/>
          <w:color w:val="000000" w:themeColor="text1"/>
          <w:lang w:val="en-IE"/>
        </w:rPr>
        <w:t xml:space="preserve">                                                                                                                                                                        </w:t>
      </w:r>
    </w:p>
    <w:p w14:paraId="5BE9C5EC" w14:textId="77777777" w:rsidR="002C6F6E" w:rsidRPr="004C70EC" w:rsidRDefault="002C6F6E" w:rsidP="00367698">
      <w:pPr>
        <w:jc w:val="left"/>
        <w:rPr>
          <w:noProof/>
          <w:color w:val="000000" w:themeColor="text1"/>
          <w:lang w:val="en-IE"/>
        </w:rPr>
      </w:pPr>
    </w:p>
    <w:p w14:paraId="325AC5A7" w14:textId="77777777" w:rsidR="007966CD" w:rsidRPr="002D7694" w:rsidRDefault="00367698" w:rsidP="002D7694">
      <w:pPr>
        <w:jc w:val="left"/>
        <w:rPr>
          <w:noProof/>
          <w:color w:val="000000" w:themeColor="text1"/>
          <w:szCs w:val="24"/>
          <w:lang w:val="en-IE"/>
        </w:rPr>
      </w:pPr>
      <w:r w:rsidRPr="004C70EC">
        <w:rPr>
          <w:noProof/>
          <w:color w:val="000000" w:themeColor="text1"/>
          <w:szCs w:val="24"/>
          <w:lang w:val="en-IE"/>
        </w:rPr>
        <w:t xml:space="preserve">   EUR million (to three decimal places)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6"/>
        <w:gridCol w:w="1126"/>
        <w:gridCol w:w="8148"/>
      </w:tblGrid>
      <w:tr w:rsidR="004A1163" w:rsidRPr="004C70EC" w14:paraId="64846451" w14:textId="77777777">
        <w:trPr>
          <w:jc w:val="center"/>
        </w:trPr>
        <w:tc>
          <w:tcPr>
            <w:tcW w:w="1739" w:type="pct"/>
            <w:shd w:val="thinDiagStripe" w:color="C0C0C0" w:fill="auto"/>
            <w:vAlign w:val="center"/>
          </w:tcPr>
          <w:p w14:paraId="5F5D661E" w14:textId="77777777" w:rsidR="007966CD" w:rsidRPr="004C70EC" w:rsidRDefault="007966CD">
            <w:pPr>
              <w:spacing w:before="60" w:after="60"/>
              <w:jc w:val="center"/>
              <w:rPr>
                <w:b/>
                <w:noProof/>
                <w:color w:val="000000" w:themeColor="text1"/>
                <w:szCs w:val="24"/>
                <w:lang w:val="en-IE"/>
              </w:rPr>
            </w:pPr>
            <w:r w:rsidRPr="004C70EC">
              <w:rPr>
                <w:noProof/>
                <w:color w:val="000000" w:themeColor="text1"/>
                <w:szCs w:val="24"/>
                <w:lang w:val="en-IE"/>
              </w:rPr>
              <w:br w:type="page"/>
            </w:r>
            <w:r w:rsidRPr="004C70EC">
              <w:rPr>
                <w:b/>
                <w:noProof/>
                <w:color w:val="000000" w:themeColor="text1"/>
                <w:szCs w:val="24"/>
                <w:lang w:val="en-IE"/>
              </w:rPr>
              <w:t xml:space="preserve">Heading of multiannual financial  framework </w:t>
            </w:r>
          </w:p>
        </w:tc>
        <w:tc>
          <w:tcPr>
            <w:tcW w:w="396" w:type="pct"/>
            <w:shd w:val="thinDiagStripe" w:color="C0C0C0" w:fill="auto"/>
            <w:vAlign w:val="center"/>
          </w:tcPr>
          <w:p w14:paraId="1D236D8F" w14:textId="77777777" w:rsidR="007966CD" w:rsidRPr="004C70EC" w:rsidRDefault="007966CD">
            <w:pPr>
              <w:spacing w:before="60" w:after="60"/>
              <w:jc w:val="center"/>
              <w:rPr>
                <w:noProof/>
                <w:color w:val="000000" w:themeColor="text1"/>
                <w:szCs w:val="24"/>
              </w:rPr>
            </w:pPr>
            <w:r w:rsidRPr="004C70EC">
              <w:rPr>
                <w:noProof/>
                <w:color w:val="000000" w:themeColor="text1"/>
                <w:szCs w:val="24"/>
              </w:rPr>
              <w:t>4</w:t>
            </w:r>
          </w:p>
        </w:tc>
        <w:tc>
          <w:tcPr>
            <w:tcW w:w="2865" w:type="pct"/>
            <w:vAlign w:val="center"/>
          </w:tcPr>
          <w:p w14:paraId="732EC68F" w14:textId="77777777" w:rsidR="007966CD" w:rsidRPr="004C70EC" w:rsidRDefault="007966CD">
            <w:pPr>
              <w:spacing w:before="60" w:after="60"/>
              <w:rPr>
                <w:noProof/>
                <w:color w:val="000000" w:themeColor="text1"/>
                <w:szCs w:val="24"/>
              </w:rPr>
            </w:pPr>
            <w:r w:rsidRPr="004C70EC">
              <w:rPr>
                <w:noProof/>
                <w:color w:val="000000" w:themeColor="text1"/>
                <w:szCs w:val="24"/>
              </w:rPr>
              <w:t>‘Administrative expenditure’</w:t>
            </w:r>
          </w:p>
        </w:tc>
      </w:tr>
    </w:tbl>
    <w:p w14:paraId="460967BE" w14:textId="77777777" w:rsidR="001B1151" w:rsidRPr="004C70EC" w:rsidRDefault="001B1151">
      <w:pPr>
        <w:jc w:val="left"/>
        <w:rPr>
          <w:noProof/>
          <w:color w:val="000000" w:themeColor="text1"/>
          <w:szCs w:val="24"/>
        </w:rPr>
      </w:pPr>
    </w:p>
    <w:tbl>
      <w:tblPr>
        <w:tblW w:w="14569" w:type="dxa"/>
        <w:tblInd w:w="118" w:type="dxa"/>
        <w:tblLook w:val="04A0" w:firstRow="1" w:lastRow="0" w:firstColumn="1" w:lastColumn="0" w:noHBand="0" w:noVBand="1"/>
      </w:tblPr>
      <w:tblGrid>
        <w:gridCol w:w="3274"/>
        <w:gridCol w:w="1819"/>
        <w:gridCol w:w="761"/>
        <w:gridCol w:w="762"/>
        <w:gridCol w:w="962"/>
        <w:gridCol w:w="1086"/>
        <w:gridCol w:w="977"/>
        <w:gridCol w:w="962"/>
        <w:gridCol w:w="962"/>
        <w:gridCol w:w="962"/>
        <w:gridCol w:w="962"/>
        <w:gridCol w:w="1173"/>
      </w:tblGrid>
      <w:tr w:rsidR="004A1163" w:rsidRPr="004C70EC" w14:paraId="0CD8DDBC" w14:textId="77777777" w:rsidTr="002D7694">
        <w:trPr>
          <w:trHeight w:val="292"/>
        </w:trPr>
        <w:tc>
          <w:tcPr>
            <w:tcW w:w="6523" w:type="dxa"/>
            <w:gridSpan w:val="4"/>
            <w:vMerge w:val="restart"/>
            <w:tcBorders>
              <w:top w:val="single" w:sz="8" w:space="0" w:color="auto"/>
              <w:left w:val="single" w:sz="8" w:space="0" w:color="auto"/>
              <w:bottom w:val="single" w:sz="8" w:space="0" w:color="auto"/>
              <w:right w:val="single" w:sz="8" w:space="0" w:color="auto"/>
            </w:tcBorders>
            <w:vAlign w:val="center"/>
            <w:hideMark/>
          </w:tcPr>
          <w:p w14:paraId="71DDC893" w14:textId="77777777" w:rsidR="001B1151" w:rsidRPr="004C70EC" w:rsidRDefault="001B1151" w:rsidP="001B1151">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DG: SANTE</w:t>
            </w:r>
          </w:p>
        </w:tc>
        <w:tc>
          <w:tcPr>
            <w:tcW w:w="962" w:type="dxa"/>
            <w:tcBorders>
              <w:top w:val="single" w:sz="8" w:space="0" w:color="auto"/>
              <w:left w:val="nil"/>
              <w:bottom w:val="nil"/>
              <w:right w:val="single" w:sz="8" w:space="0" w:color="auto"/>
            </w:tcBorders>
            <w:vAlign w:val="center"/>
            <w:hideMark/>
          </w:tcPr>
          <w:p w14:paraId="6464A676" w14:textId="77777777" w:rsidR="001B1151" w:rsidRPr="004C70EC" w:rsidRDefault="001B1151" w:rsidP="001B1151">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086" w:type="dxa"/>
            <w:tcBorders>
              <w:top w:val="single" w:sz="8" w:space="0" w:color="auto"/>
              <w:left w:val="nil"/>
              <w:bottom w:val="nil"/>
              <w:right w:val="single" w:sz="8" w:space="0" w:color="auto"/>
            </w:tcBorders>
            <w:vAlign w:val="center"/>
            <w:hideMark/>
          </w:tcPr>
          <w:p w14:paraId="0452EED6" w14:textId="77777777" w:rsidR="001B1151" w:rsidRPr="004C70EC" w:rsidRDefault="001B1151" w:rsidP="001B1151">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977" w:type="dxa"/>
            <w:tcBorders>
              <w:top w:val="single" w:sz="8" w:space="0" w:color="auto"/>
              <w:left w:val="nil"/>
              <w:bottom w:val="nil"/>
              <w:right w:val="single" w:sz="8" w:space="0" w:color="auto"/>
            </w:tcBorders>
            <w:vAlign w:val="center"/>
            <w:hideMark/>
          </w:tcPr>
          <w:p w14:paraId="7CA145C8" w14:textId="77777777" w:rsidR="001B1151" w:rsidRPr="004C70EC" w:rsidRDefault="001B1151" w:rsidP="001B1151">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962" w:type="dxa"/>
            <w:tcBorders>
              <w:top w:val="single" w:sz="8" w:space="0" w:color="auto"/>
              <w:left w:val="nil"/>
              <w:bottom w:val="nil"/>
              <w:right w:val="single" w:sz="8" w:space="0" w:color="auto"/>
            </w:tcBorders>
            <w:vAlign w:val="center"/>
            <w:hideMark/>
          </w:tcPr>
          <w:p w14:paraId="51FEF2C8" w14:textId="77777777" w:rsidR="001B1151" w:rsidRPr="004C70EC" w:rsidRDefault="001B1151" w:rsidP="001B1151">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962" w:type="dxa"/>
            <w:tcBorders>
              <w:top w:val="single" w:sz="8" w:space="0" w:color="auto"/>
              <w:left w:val="nil"/>
              <w:bottom w:val="nil"/>
              <w:right w:val="single" w:sz="8" w:space="0" w:color="auto"/>
            </w:tcBorders>
            <w:vAlign w:val="center"/>
            <w:hideMark/>
          </w:tcPr>
          <w:p w14:paraId="3CB4B680" w14:textId="77777777" w:rsidR="001B1151" w:rsidRPr="004C70EC" w:rsidRDefault="001B1151" w:rsidP="001B1151">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962" w:type="dxa"/>
            <w:tcBorders>
              <w:top w:val="single" w:sz="8" w:space="0" w:color="auto"/>
              <w:left w:val="nil"/>
              <w:bottom w:val="nil"/>
              <w:right w:val="single" w:sz="8" w:space="0" w:color="auto"/>
            </w:tcBorders>
            <w:vAlign w:val="center"/>
            <w:hideMark/>
          </w:tcPr>
          <w:p w14:paraId="7BCA3027" w14:textId="77777777" w:rsidR="001B1151" w:rsidRPr="004C70EC" w:rsidRDefault="001B1151" w:rsidP="001B1151">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962" w:type="dxa"/>
            <w:tcBorders>
              <w:top w:val="single" w:sz="8" w:space="0" w:color="auto"/>
              <w:left w:val="nil"/>
              <w:bottom w:val="nil"/>
              <w:right w:val="single" w:sz="8" w:space="0" w:color="auto"/>
            </w:tcBorders>
            <w:vAlign w:val="center"/>
            <w:hideMark/>
          </w:tcPr>
          <w:p w14:paraId="16A63857" w14:textId="77777777" w:rsidR="001B1151" w:rsidRPr="004C70EC" w:rsidRDefault="001B1151" w:rsidP="001B1151">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173" w:type="dxa"/>
            <w:vMerge w:val="restart"/>
            <w:tcBorders>
              <w:top w:val="single" w:sz="8" w:space="0" w:color="auto"/>
              <w:left w:val="single" w:sz="8" w:space="0" w:color="auto"/>
              <w:bottom w:val="single" w:sz="8" w:space="0" w:color="000000"/>
              <w:right w:val="single" w:sz="8" w:space="0" w:color="auto"/>
            </w:tcBorders>
            <w:vAlign w:val="center"/>
            <w:hideMark/>
          </w:tcPr>
          <w:p w14:paraId="01CC11F0" w14:textId="77777777" w:rsidR="001B1151" w:rsidRPr="004C70EC" w:rsidRDefault="001B1151" w:rsidP="001B1151">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 MFF</w:t>
            </w:r>
            <w:r w:rsidRPr="004C70EC">
              <w:rPr>
                <w:rFonts w:eastAsia="Times New Roman"/>
                <w:b/>
                <w:bCs/>
                <w:noProof/>
                <w:color w:val="000000" w:themeColor="text1"/>
                <w:szCs w:val="24"/>
                <w:lang w:val="en-IE" w:eastAsia="en-IE"/>
              </w:rPr>
              <w:br/>
              <w:t>2028-2034</w:t>
            </w:r>
          </w:p>
        </w:tc>
      </w:tr>
      <w:tr w:rsidR="004A1163" w:rsidRPr="004C70EC" w14:paraId="63BF0A58" w14:textId="77777777" w:rsidTr="002D7694">
        <w:trPr>
          <w:trHeight w:val="303"/>
        </w:trPr>
        <w:tc>
          <w:tcPr>
            <w:tcW w:w="6523" w:type="dxa"/>
            <w:gridSpan w:val="4"/>
            <w:vMerge/>
            <w:tcBorders>
              <w:top w:val="single" w:sz="8" w:space="0" w:color="auto"/>
              <w:left w:val="single" w:sz="8" w:space="0" w:color="auto"/>
              <w:bottom w:val="single" w:sz="8" w:space="0" w:color="auto"/>
              <w:right w:val="single" w:sz="8" w:space="0" w:color="auto"/>
            </w:tcBorders>
            <w:vAlign w:val="center"/>
            <w:hideMark/>
          </w:tcPr>
          <w:p w14:paraId="76BF3BF4"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962" w:type="dxa"/>
            <w:tcBorders>
              <w:top w:val="nil"/>
              <w:left w:val="nil"/>
              <w:bottom w:val="single" w:sz="8" w:space="0" w:color="auto"/>
              <w:right w:val="single" w:sz="8" w:space="0" w:color="auto"/>
            </w:tcBorders>
            <w:vAlign w:val="center"/>
            <w:hideMark/>
          </w:tcPr>
          <w:p w14:paraId="216BFB7D" w14:textId="77777777" w:rsidR="001B1151" w:rsidRPr="004C70EC" w:rsidRDefault="001B1151" w:rsidP="001B1151">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2028</w:t>
            </w:r>
          </w:p>
        </w:tc>
        <w:tc>
          <w:tcPr>
            <w:tcW w:w="1086" w:type="dxa"/>
            <w:tcBorders>
              <w:top w:val="nil"/>
              <w:left w:val="nil"/>
              <w:bottom w:val="single" w:sz="8" w:space="0" w:color="auto"/>
              <w:right w:val="single" w:sz="8" w:space="0" w:color="auto"/>
            </w:tcBorders>
            <w:vAlign w:val="center"/>
            <w:hideMark/>
          </w:tcPr>
          <w:p w14:paraId="469BBEB4" w14:textId="77777777" w:rsidR="001B1151" w:rsidRPr="004C70EC" w:rsidRDefault="001B1151" w:rsidP="001B1151">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2029</w:t>
            </w:r>
          </w:p>
        </w:tc>
        <w:tc>
          <w:tcPr>
            <w:tcW w:w="977" w:type="dxa"/>
            <w:tcBorders>
              <w:top w:val="nil"/>
              <w:left w:val="nil"/>
              <w:bottom w:val="single" w:sz="8" w:space="0" w:color="auto"/>
              <w:right w:val="single" w:sz="8" w:space="0" w:color="auto"/>
            </w:tcBorders>
            <w:vAlign w:val="center"/>
            <w:hideMark/>
          </w:tcPr>
          <w:p w14:paraId="5FEFE67E" w14:textId="77777777" w:rsidR="001B1151" w:rsidRPr="004C70EC" w:rsidRDefault="001B1151" w:rsidP="001B1151">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2030</w:t>
            </w:r>
          </w:p>
        </w:tc>
        <w:tc>
          <w:tcPr>
            <w:tcW w:w="962" w:type="dxa"/>
            <w:tcBorders>
              <w:top w:val="nil"/>
              <w:left w:val="nil"/>
              <w:bottom w:val="single" w:sz="8" w:space="0" w:color="auto"/>
              <w:right w:val="single" w:sz="8" w:space="0" w:color="auto"/>
            </w:tcBorders>
            <w:vAlign w:val="center"/>
            <w:hideMark/>
          </w:tcPr>
          <w:p w14:paraId="116A4738" w14:textId="77777777" w:rsidR="001B1151" w:rsidRPr="004C70EC" w:rsidRDefault="001B1151" w:rsidP="001B1151">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2031</w:t>
            </w:r>
          </w:p>
        </w:tc>
        <w:tc>
          <w:tcPr>
            <w:tcW w:w="962" w:type="dxa"/>
            <w:tcBorders>
              <w:top w:val="nil"/>
              <w:left w:val="nil"/>
              <w:bottom w:val="single" w:sz="8" w:space="0" w:color="auto"/>
              <w:right w:val="single" w:sz="8" w:space="0" w:color="auto"/>
            </w:tcBorders>
            <w:vAlign w:val="center"/>
            <w:hideMark/>
          </w:tcPr>
          <w:p w14:paraId="353AE1D9" w14:textId="77777777" w:rsidR="001B1151" w:rsidRPr="004C70EC" w:rsidRDefault="001B1151" w:rsidP="001B1151">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2032</w:t>
            </w:r>
          </w:p>
        </w:tc>
        <w:tc>
          <w:tcPr>
            <w:tcW w:w="962" w:type="dxa"/>
            <w:tcBorders>
              <w:top w:val="nil"/>
              <w:left w:val="nil"/>
              <w:bottom w:val="single" w:sz="8" w:space="0" w:color="auto"/>
              <w:right w:val="single" w:sz="8" w:space="0" w:color="auto"/>
            </w:tcBorders>
            <w:vAlign w:val="center"/>
            <w:hideMark/>
          </w:tcPr>
          <w:p w14:paraId="2EF705A5" w14:textId="77777777" w:rsidR="001B1151" w:rsidRPr="004C70EC" w:rsidRDefault="001B1151" w:rsidP="001B1151">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2033</w:t>
            </w:r>
          </w:p>
        </w:tc>
        <w:tc>
          <w:tcPr>
            <w:tcW w:w="962" w:type="dxa"/>
            <w:tcBorders>
              <w:top w:val="nil"/>
              <w:left w:val="nil"/>
              <w:bottom w:val="single" w:sz="8" w:space="0" w:color="auto"/>
              <w:right w:val="single" w:sz="8" w:space="0" w:color="auto"/>
            </w:tcBorders>
            <w:vAlign w:val="center"/>
            <w:hideMark/>
          </w:tcPr>
          <w:p w14:paraId="55A04D2D" w14:textId="77777777" w:rsidR="001B1151" w:rsidRPr="004C70EC" w:rsidRDefault="001B1151" w:rsidP="001B1151">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w:t>
            </w:r>
          </w:p>
        </w:tc>
        <w:tc>
          <w:tcPr>
            <w:tcW w:w="1173" w:type="dxa"/>
            <w:vMerge/>
            <w:tcBorders>
              <w:top w:val="single" w:sz="8" w:space="0" w:color="auto"/>
              <w:left w:val="single" w:sz="8" w:space="0" w:color="auto"/>
              <w:bottom w:val="single" w:sz="8" w:space="0" w:color="000000"/>
              <w:right w:val="single" w:sz="8" w:space="0" w:color="auto"/>
            </w:tcBorders>
            <w:vAlign w:val="center"/>
            <w:hideMark/>
          </w:tcPr>
          <w:p w14:paraId="01BDA712" w14:textId="77777777" w:rsidR="001B1151" w:rsidRPr="004C70EC" w:rsidRDefault="001B1151" w:rsidP="001B1151">
            <w:pPr>
              <w:spacing w:before="0" w:after="0"/>
              <w:jc w:val="left"/>
              <w:rPr>
                <w:rFonts w:eastAsia="Times New Roman"/>
                <w:b/>
                <w:bCs/>
                <w:noProof/>
                <w:color w:val="000000" w:themeColor="text1"/>
                <w:szCs w:val="24"/>
                <w:lang w:val="en-IE" w:eastAsia="en-IE"/>
              </w:rPr>
            </w:pPr>
          </w:p>
        </w:tc>
      </w:tr>
      <w:tr w:rsidR="002D7694" w:rsidRPr="004C70EC" w14:paraId="3015B3DE" w14:textId="77777777" w:rsidTr="002D7694">
        <w:trPr>
          <w:trHeight w:val="318"/>
        </w:trPr>
        <w:tc>
          <w:tcPr>
            <w:tcW w:w="6523" w:type="dxa"/>
            <w:gridSpan w:val="4"/>
            <w:tcBorders>
              <w:top w:val="single" w:sz="8" w:space="0" w:color="auto"/>
              <w:left w:val="single" w:sz="8" w:space="0" w:color="auto"/>
              <w:bottom w:val="single" w:sz="8" w:space="0" w:color="auto"/>
              <w:right w:val="single" w:sz="8" w:space="0" w:color="auto"/>
            </w:tcBorders>
            <w:vAlign w:val="center"/>
            <w:hideMark/>
          </w:tcPr>
          <w:p w14:paraId="32FCC3A3" w14:textId="77777777" w:rsidR="001B1151" w:rsidRPr="004C70EC" w:rsidRDefault="001B1151" w:rsidP="001B1151">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xml:space="preserve">Human resources </w:t>
            </w:r>
          </w:p>
        </w:tc>
        <w:tc>
          <w:tcPr>
            <w:tcW w:w="962" w:type="dxa"/>
            <w:tcBorders>
              <w:top w:val="nil"/>
              <w:left w:val="nil"/>
              <w:bottom w:val="single" w:sz="8" w:space="0" w:color="auto"/>
              <w:right w:val="single" w:sz="8" w:space="0" w:color="auto"/>
            </w:tcBorders>
            <w:shd w:val="clear" w:color="000000" w:fill="D9D9D9"/>
            <w:vAlign w:val="center"/>
            <w:hideMark/>
          </w:tcPr>
          <w:p w14:paraId="25EA23C0" w14:textId="77777777" w:rsidR="001B1151" w:rsidRPr="004C70EC" w:rsidRDefault="001B1151" w:rsidP="001B1151">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6,371</w:t>
            </w:r>
          </w:p>
        </w:tc>
        <w:tc>
          <w:tcPr>
            <w:tcW w:w="1086" w:type="dxa"/>
            <w:tcBorders>
              <w:top w:val="nil"/>
              <w:left w:val="nil"/>
              <w:bottom w:val="single" w:sz="8" w:space="0" w:color="auto"/>
              <w:right w:val="single" w:sz="8" w:space="0" w:color="auto"/>
            </w:tcBorders>
            <w:shd w:val="clear" w:color="000000" w:fill="D9D9D9"/>
            <w:vAlign w:val="center"/>
            <w:hideMark/>
          </w:tcPr>
          <w:p w14:paraId="226A46EE" w14:textId="77777777" w:rsidR="001B1151" w:rsidRPr="004C70EC" w:rsidRDefault="001B1151" w:rsidP="001B1151">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6,371</w:t>
            </w:r>
          </w:p>
        </w:tc>
        <w:tc>
          <w:tcPr>
            <w:tcW w:w="977" w:type="dxa"/>
            <w:tcBorders>
              <w:top w:val="nil"/>
              <w:left w:val="nil"/>
              <w:bottom w:val="single" w:sz="8" w:space="0" w:color="auto"/>
              <w:right w:val="single" w:sz="8" w:space="0" w:color="auto"/>
            </w:tcBorders>
            <w:shd w:val="clear" w:color="000000" w:fill="D9D9D9"/>
            <w:vAlign w:val="center"/>
            <w:hideMark/>
          </w:tcPr>
          <w:p w14:paraId="622FEB8E" w14:textId="77777777" w:rsidR="001B1151" w:rsidRPr="004C70EC" w:rsidRDefault="001B1151" w:rsidP="001B1151">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6,371</w:t>
            </w:r>
          </w:p>
        </w:tc>
        <w:tc>
          <w:tcPr>
            <w:tcW w:w="962" w:type="dxa"/>
            <w:tcBorders>
              <w:top w:val="nil"/>
              <w:left w:val="nil"/>
              <w:bottom w:val="single" w:sz="8" w:space="0" w:color="auto"/>
              <w:right w:val="single" w:sz="8" w:space="0" w:color="auto"/>
            </w:tcBorders>
            <w:shd w:val="clear" w:color="000000" w:fill="D9D9D9"/>
            <w:vAlign w:val="center"/>
            <w:hideMark/>
          </w:tcPr>
          <w:p w14:paraId="636C9148" w14:textId="77777777" w:rsidR="001B1151" w:rsidRPr="004C70EC" w:rsidRDefault="001B1151" w:rsidP="001B1151">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6,371</w:t>
            </w:r>
          </w:p>
        </w:tc>
        <w:tc>
          <w:tcPr>
            <w:tcW w:w="962" w:type="dxa"/>
            <w:tcBorders>
              <w:top w:val="nil"/>
              <w:left w:val="nil"/>
              <w:bottom w:val="single" w:sz="8" w:space="0" w:color="auto"/>
              <w:right w:val="single" w:sz="8" w:space="0" w:color="auto"/>
            </w:tcBorders>
            <w:shd w:val="clear" w:color="000000" w:fill="D9D9D9"/>
            <w:vAlign w:val="center"/>
            <w:hideMark/>
          </w:tcPr>
          <w:p w14:paraId="570E6A2C" w14:textId="77777777" w:rsidR="001B1151" w:rsidRPr="004C70EC" w:rsidRDefault="001B1151" w:rsidP="001B1151">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6,371</w:t>
            </w:r>
          </w:p>
        </w:tc>
        <w:tc>
          <w:tcPr>
            <w:tcW w:w="962" w:type="dxa"/>
            <w:tcBorders>
              <w:top w:val="nil"/>
              <w:left w:val="nil"/>
              <w:bottom w:val="single" w:sz="8" w:space="0" w:color="auto"/>
              <w:right w:val="single" w:sz="8" w:space="0" w:color="auto"/>
            </w:tcBorders>
            <w:shd w:val="clear" w:color="000000" w:fill="D9D9D9"/>
            <w:vAlign w:val="center"/>
            <w:hideMark/>
          </w:tcPr>
          <w:p w14:paraId="5F0BECDA" w14:textId="77777777" w:rsidR="001B1151" w:rsidRPr="004C70EC" w:rsidRDefault="001B1151" w:rsidP="001B1151">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6,371</w:t>
            </w:r>
          </w:p>
        </w:tc>
        <w:tc>
          <w:tcPr>
            <w:tcW w:w="962" w:type="dxa"/>
            <w:tcBorders>
              <w:top w:val="nil"/>
              <w:left w:val="nil"/>
              <w:bottom w:val="single" w:sz="8" w:space="0" w:color="auto"/>
              <w:right w:val="single" w:sz="8" w:space="0" w:color="auto"/>
            </w:tcBorders>
            <w:shd w:val="clear" w:color="000000" w:fill="D9D9D9"/>
            <w:vAlign w:val="center"/>
            <w:hideMark/>
          </w:tcPr>
          <w:p w14:paraId="678A6359" w14:textId="77777777" w:rsidR="001B1151" w:rsidRPr="004C70EC" w:rsidRDefault="001B1151" w:rsidP="001B1151">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6,371</w:t>
            </w:r>
          </w:p>
        </w:tc>
        <w:tc>
          <w:tcPr>
            <w:tcW w:w="1173" w:type="dxa"/>
            <w:tcBorders>
              <w:top w:val="nil"/>
              <w:left w:val="nil"/>
              <w:bottom w:val="single" w:sz="8" w:space="0" w:color="auto"/>
              <w:right w:val="single" w:sz="8" w:space="0" w:color="auto"/>
            </w:tcBorders>
            <w:shd w:val="clear" w:color="000000" w:fill="D9D9D9"/>
            <w:vAlign w:val="center"/>
            <w:hideMark/>
          </w:tcPr>
          <w:p w14:paraId="43124CB6"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44,597</w:t>
            </w:r>
          </w:p>
        </w:tc>
      </w:tr>
      <w:tr w:rsidR="002D7694" w:rsidRPr="004C70EC" w14:paraId="69C564A9" w14:textId="77777777" w:rsidTr="002D7694">
        <w:trPr>
          <w:trHeight w:val="318"/>
        </w:trPr>
        <w:tc>
          <w:tcPr>
            <w:tcW w:w="6523" w:type="dxa"/>
            <w:gridSpan w:val="4"/>
            <w:tcBorders>
              <w:top w:val="single" w:sz="8" w:space="0" w:color="auto"/>
              <w:left w:val="single" w:sz="8" w:space="0" w:color="auto"/>
              <w:bottom w:val="single" w:sz="8" w:space="0" w:color="auto"/>
              <w:right w:val="single" w:sz="8" w:space="0" w:color="auto"/>
            </w:tcBorders>
            <w:vAlign w:val="center"/>
            <w:hideMark/>
          </w:tcPr>
          <w:p w14:paraId="4BA205A4" w14:textId="77777777" w:rsidR="001B1151" w:rsidRPr="004C70EC" w:rsidRDefault="001B1151" w:rsidP="001B1151">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xml:space="preserve">Other administrative expenditure </w:t>
            </w:r>
          </w:p>
        </w:tc>
        <w:tc>
          <w:tcPr>
            <w:tcW w:w="962" w:type="dxa"/>
            <w:tcBorders>
              <w:top w:val="nil"/>
              <w:left w:val="nil"/>
              <w:bottom w:val="single" w:sz="8" w:space="0" w:color="auto"/>
              <w:right w:val="single" w:sz="8" w:space="0" w:color="auto"/>
            </w:tcBorders>
            <w:shd w:val="clear" w:color="000000" w:fill="D9D9D9"/>
            <w:vAlign w:val="center"/>
            <w:hideMark/>
          </w:tcPr>
          <w:p w14:paraId="21BF550C" w14:textId="77777777" w:rsidR="001B1151" w:rsidRPr="004C70EC" w:rsidRDefault="001B1151" w:rsidP="001B1151">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0,010</w:t>
            </w:r>
          </w:p>
        </w:tc>
        <w:tc>
          <w:tcPr>
            <w:tcW w:w="1086" w:type="dxa"/>
            <w:tcBorders>
              <w:top w:val="nil"/>
              <w:left w:val="nil"/>
              <w:bottom w:val="single" w:sz="8" w:space="0" w:color="auto"/>
              <w:right w:val="single" w:sz="8" w:space="0" w:color="auto"/>
            </w:tcBorders>
            <w:shd w:val="clear" w:color="000000" w:fill="D9D9D9"/>
            <w:vAlign w:val="center"/>
            <w:hideMark/>
          </w:tcPr>
          <w:p w14:paraId="442E797D" w14:textId="77777777" w:rsidR="001B1151" w:rsidRPr="004C70EC" w:rsidRDefault="001B1151" w:rsidP="001B1151">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0,010</w:t>
            </w:r>
          </w:p>
        </w:tc>
        <w:tc>
          <w:tcPr>
            <w:tcW w:w="977" w:type="dxa"/>
            <w:tcBorders>
              <w:top w:val="nil"/>
              <w:left w:val="nil"/>
              <w:bottom w:val="single" w:sz="8" w:space="0" w:color="auto"/>
              <w:right w:val="single" w:sz="8" w:space="0" w:color="auto"/>
            </w:tcBorders>
            <w:shd w:val="clear" w:color="000000" w:fill="D9D9D9"/>
            <w:vAlign w:val="center"/>
            <w:hideMark/>
          </w:tcPr>
          <w:p w14:paraId="45F778DE" w14:textId="77777777" w:rsidR="001B1151" w:rsidRPr="004C70EC" w:rsidRDefault="001B1151" w:rsidP="001B1151">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0,010</w:t>
            </w:r>
          </w:p>
        </w:tc>
        <w:tc>
          <w:tcPr>
            <w:tcW w:w="962" w:type="dxa"/>
            <w:tcBorders>
              <w:top w:val="nil"/>
              <w:left w:val="nil"/>
              <w:bottom w:val="single" w:sz="8" w:space="0" w:color="auto"/>
              <w:right w:val="single" w:sz="8" w:space="0" w:color="auto"/>
            </w:tcBorders>
            <w:shd w:val="clear" w:color="000000" w:fill="D9D9D9"/>
            <w:vAlign w:val="center"/>
            <w:hideMark/>
          </w:tcPr>
          <w:p w14:paraId="41E4A8ED" w14:textId="77777777" w:rsidR="001B1151" w:rsidRPr="004C70EC" w:rsidRDefault="001B1151" w:rsidP="001B1151">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0,011</w:t>
            </w:r>
          </w:p>
        </w:tc>
        <w:tc>
          <w:tcPr>
            <w:tcW w:w="962" w:type="dxa"/>
            <w:tcBorders>
              <w:top w:val="nil"/>
              <w:left w:val="nil"/>
              <w:bottom w:val="single" w:sz="8" w:space="0" w:color="auto"/>
              <w:right w:val="single" w:sz="8" w:space="0" w:color="auto"/>
            </w:tcBorders>
            <w:shd w:val="clear" w:color="000000" w:fill="D9D9D9"/>
            <w:vAlign w:val="center"/>
            <w:hideMark/>
          </w:tcPr>
          <w:p w14:paraId="7C31627D" w14:textId="77777777" w:rsidR="001B1151" w:rsidRPr="004C70EC" w:rsidRDefault="001B1151" w:rsidP="001B1151">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0,011</w:t>
            </w:r>
          </w:p>
        </w:tc>
        <w:tc>
          <w:tcPr>
            <w:tcW w:w="962" w:type="dxa"/>
            <w:tcBorders>
              <w:top w:val="nil"/>
              <w:left w:val="nil"/>
              <w:bottom w:val="single" w:sz="8" w:space="0" w:color="auto"/>
              <w:right w:val="single" w:sz="8" w:space="0" w:color="auto"/>
            </w:tcBorders>
            <w:shd w:val="clear" w:color="000000" w:fill="D9D9D9"/>
            <w:vAlign w:val="center"/>
            <w:hideMark/>
          </w:tcPr>
          <w:p w14:paraId="0D9C3FD0" w14:textId="77777777" w:rsidR="001B1151" w:rsidRPr="004C70EC" w:rsidRDefault="001B1151" w:rsidP="001B1151">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0,011</w:t>
            </w:r>
          </w:p>
        </w:tc>
        <w:tc>
          <w:tcPr>
            <w:tcW w:w="962" w:type="dxa"/>
            <w:tcBorders>
              <w:top w:val="nil"/>
              <w:left w:val="nil"/>
              <w:bottom w:val="single" w:sz="8" w:space="0" w:color="auto"/>
              <w:right w:val="single" w:sz="8" w:space="0" w:color="auto"/>
            </w:tcBorders>
            <w:shd w:val="clear" w:color="000000" w:fill="D9D9D9"/>
            <w:vAlign w:val="center"/>
            <w:hideMark/>
          </w:tcPr>
          <w:p w14:paraId="3E48BF57" w14:textId="77777777" w:rsidR="001B1151" w:rsidRPr="004C70EC" w:rsidRDefault="001B1151" w:rsidP="001B1151">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0,011</w:t>
            </w:r>
          </w:p>
        </w:tc>
        <w:tc>
          <w:tcPr>
            <w:tcW w:w="1173" w:type="dxa"/>
            <w:tcBorders>
              <w:top w:val="nil"/>
              <w:left w:val="nil"/>
              <w:bottom w:val="single" w:sz="8" w:space="0" w:color="auto"/>
              <w:right w:val="single" w:sz="8" w:space="0" w:color="auto"/>
            </w:tcBorders>
            <w:shd w:val="clear" w:color="000000" w:fill="D9D9D9"/>
            <w:vAlign w:val="center"/>
            <w:hideMark/>
          </w:tcPr>
          <w:p w14:paraId="07E14FF7"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0,075</w:t>
            </w:r>
          </w:p>
        </w:tc>
      </w:tr>
      <w:tr w:rsidR="002D7694" w:rsidRPr="004C70EC" w14:paraId="3EB0A1E7" w14:textId="77777777" w:rsidTr="002D7694">
        <w:trPr>
          <w:trHeight w:val="318"/>
        </w:trPr>
        <w:tc>
          <w:tcPr>
            <w:tcW w:w="3274" w:type="dxa"/>
            <w:tcBorders>
              <w:top w:val="nil"/>
              <w:left w:val="single" w:sz="8" w:space="0" w:color="auto"/>
              <w:bottom w:val="single" w:sz="8" w:space="0" w:color="auto"/>
              <w:right w:val="single" w:sz="8" w:space="0" w:color="auto"/>
            </w:tcBorders>
            <w:vAlign w:val="center"/>
            <w:hideMark/>
          </w:tcPr>
          <w:p w14:paraId="54B38E7F" w14:textId="77777777" w:rsidR="001B1151" w:rsidRPr="004C70EC" w:rsidRDefault="001B1151" w:rsidP="001B1151">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xml:space="preserve">TOTAL DG </w:t>
            </w:r>
            <w:r w:rsidRPr="004C70EC">
              <w:rPr>
                <w:rFonts w:eastAsia="Times New Roman"/>
                <w:noProof/>
                <w:color w:val="000000" w:themeColor="text1"/>
                <w:szCs w:val="24"/>
                <w:lang w:val="en-IE" w:eastAsia="en-IE"/>
              </w:rPr>
              <w:t>SANTE</w:t>
            </w:r>
          </w:p>
        </w:tc>
        <w:tc>
          <w:tcPr>
            <w:tcW w:w="3249" w:type="dxa"/>
            <w:gridSpan w:val="3"/>
            <w:tcBorders>
              <w:top w:val="single" w:sz="8" w:space="0" w:color="auto"/>
              <w:left w:val="nil"/>
              <w:bottom w:val="single" w:sz="8" w:space="0" w:color="auto"/>
              <w:right w:val="single" w:sz="8" w:space="0" w:color="auto"/>
            </w:tcBorders>
            <w:vAlign w:val="center"/>
            <w:hideMark/>
          </w:tcPr>
          <w:p w14:paraId="076E7595" w14:textId="77777777" w:rsidR="001B1151" w:rsidRPr="004C70EC" w:rsidRDefault="001B1151" w:rsidP="001B1151">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xml:space="preserve">Appropriations </w:t>
            </w:r>
          </w:p>
        </w:tc>
        <w:tc>
          <w:tcPr>
            <w:tcW w:w="962" w:type="dxa"/>
            <w:tcBorders>
              <w:top w:val="nil"/>
              <w:left w:val="nil"/>
              <w:bottom w:val="single" w:sz="8" w:space="0" w:color="auto"/>
              <w:right w:val="single" w:sz="8" w:space="0" w:color="auto"/>
            </w:tcBorders>
            <w:shd w:val="clear" w:color="000000" w:fill="D9D9D9"/>
            <w:vAlign w:val="center"/>
            <w:hideMark/>
          </w:tcPr>
          <w:p w14:paraId="33A187A2"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6,381</w:t>
            </w:r>
          </w:p>
        </w:tc>
        <w:tc>
          <w:tcPr>
            <w:tcW w:w="1086" w:type="dxa"/>
            <w:tcBorders>
              <w:top w:val="nil"/>
              <w:left w:val="nil"/>
              <w:bottom w:val="single" w:sz="8" w:space="0" w:color="auto"/>
              <w:right w:val="single" w:sz="8" w:space="0" w:color="auto"/>
            </w:tcBorders>
            <w:shd w:val="clear" w:color="000000" w:fill="D9D9D9"/>
            <w:vAlign w:val="center"/>
            <w:hideMark/>
          </w:tcPr>
          <w:p w14:paraId="56DD15A9"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6,381</w:t>
            </w:r>
          </w:p>
        </w:tc>
        <w:tc>
          <w:tcPr>
            <w:tcW w:w="977" w:type="dxa"/>
            <w:tcBorders>
              <w:top w:val="nil"/>
              <w:left w:val="nil"/>
              <w:bottom w:val="single" w:sz="8" w:space="0" w:color="auto"/>
              <w:right w:val="single" w:sz="8" w:space="0" w:color="auto"/>
            </w:tcBorders>
            <w:shd w:val="clear" w:color="000000" w:fill="D9D9D9"/>
            <w:vAlign w:val="center"/>
            <w:hideMark/>
          </w:tcPr>
          <w:p w14:paraId="7A94DCFE"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6,381</w:t>
            </w:r>
          </w:p>
        </w:tc>
        <w:tc>
          <w:tcPr>
            <w:tcW w:w="962" w:type="dxa"/>
            <w:tcBorders>
              <w:top w:val="nil"/>
              <w:left w:val="nil"/>
              <w:bottom w:val="single" w:sz="8" w:space="0" w:color="auto"/>
              <w:right w:val="single" w:sz="8" w:space="0" w:color="auto"/>
            </w:tcBorders>
            <w:shd w:val="clear" w:color="000000" w:fill="D9D9D9"/>
            <w:vAlign w:val="center"/>
            <w:hideMark/>
          </w:tcPr>
          <w:p w14:paraId="3BEEEBFE"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6,382</w:t>
            </w:r>
          </w:p>
        </w:tc>
        <w:tc>
          <w:tcPr>
            <w:tcW w:w="962" w:type="dxa"/>
            <w:tcBorders>
              <w:top w:val="nil"/>
              <w:left w:val="nil"/>
              <w:bottom w:val="single" w:sz="8" w:space="0" w:color="auto"/>
              <w:right w:val="single" w:sz="8" w:space="0" w:color="auto"/>
            </w:tcBorders>
            <w:shd w:val="clear" w:color="000000" w:fill="D9D9D9"/>
            <w:vAlign w:val="center"/>
            <w:hideMark/>
          </w:tcPr>
          <w:p w14:paraId="57E04285"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6,382</w:t>
            </w:r>
          </w:p>
        </w:tc>
        <w:tc>
          <w:tcPr>
            <w:tcW w:w="962" w:type="dxa"/>
            <w:tcBorders>
              <w:top w:val="nil"/>
              <w:left w:val="nil"/>
              <w:bottom w:val="single" w:sz="8" w:space="0" w:color="auto"/>
              <w:right w:val="single" w:sz="8" w:space="0" w:color="auto"/>
            </w:tcBorders>
            <w:shd w:val="clear" w:color="000000" w:fill="D9D9D9"/>
            <w:vAlign w:val="center"/>
            <w:hideMark/>
          </w:tcPr>
          <w:p w14:paraId="5164BA96"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6,382</w:t>
            </w:r>
          </w:p>
        </w:tc>
        <w:tc>
          <w:tcPr>
            <w:tcW w:w="962" w:type="dxa"/>
            <w:tcBorders>
              <w:top w:val="nil"/>
              <w:left w:val="nil"/>
              <w:bottom w:val="single" w:sz="8" w:space="0" w:color="auto"/>
              <w:right w:val="single" w:sz="8" w:space="0" w:color="auto"/>
            </w:tcBorders>
            <w:shd w:val="clear" w:color="000000" w:fill="D9D9D9"/>
            <w:vAlign w:val="center"/>
            <w:hideMark/>
          </w:tcPr>
          <w:p w14:paraId="2056F744"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6,382</w:t>
            </w:r>
          </w:p>
        </w:tc>
        <w:tc>
          <w:tcPr>
            <w:tcW w:w="1173" w:type="dxa"/>
            <w:tcBorders>
              <w:top w:val="nil"/>
              <w:left w:val="nil"/>
              <w:bottom w:val="single" w:sz="8" w:space="0" w:color="auto"/>
              <w:right w:val="single" w:sz="8" w:space="0" w:color="auto"/>
            </w:tcBorders>
            <w:shd w:val="clear" w:color="000000" w:fill="D9D9D9"/>
            <w:vAlign w:val="center"/>
            <w:hideMark/>
          </w:tcPr>
          <w:p w14:paraId="4358BF53"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44,672</w:t>
            </w:r>
          </w:p>
        </w:tc>
      </w:tr>
      <w:tr w:rsidR="004A1163" w:rsidRPr="004C70EC" w14:paraId="7FD01E64" w14:textId="77777777" w:rsidTr="002D7694">
        <w:trPr>
          <w:trHeight w:val="318"/>
        </w:trPr>
        <w:tc>
          <w:tcPr>
            <w:tcW w:w="3274" w:type="dxa"/>
            <w:tcBorders>
              <w:top w:val="nil"/>
              <w:left w:val="nil"/>
              <w:bottom w:val="nil"/>
              <w:right w:val="nil"/>
            </w:tcBorders>
            <w:noWrap/>
            <w:vAlign w:val="bottom"/>
            <w:hideMark/>
          </w:tcPr>
          <w:p w14:paraId="193FF117" w14:textId="77777777" w:rsidR="001B1151" w:rsidRPr="004C70EC" w:rsidRDefault="001B1151" w:rsidP="001B1151">
            <w:pPr>
              <w:spacing w:before="0" w:after="0"/>
              <w:jc w:val="right"/>
              <w:rPr>
                <w:rFonts w:eastAsia="Times New Roman"/>
                <w:b/>
                <w:bCs/>
                <w:noProof/>
                <w:color w:val="000000" w:themeColor="text1"/>
                <w:szCs w:val="24"/>
                <w:lang w:val="en-IE" w:eastAsia="en-IE"/>
              </w:rPr>
            </w:pPr>
          </w:p>
        </w:tc>
        <w:tc>
          <w:tcPr>
            <w:tcW w:w="1819" w:type="dxa"/>
            <w:tcBorders>
              <w:top w:val="nil"/>
              <w:left w:val="nil"/>
              <w:bottom w:val="nil"/>
              <w:right w:val="nil"/>
            </w:tcBorders>
            <w:noWrap/>
            <w:vAlign w:val="bottom"/>
            <w:hideMark/>
          </w:tcPr>
          <w:p w14:paraId="4510AE7C"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714" w:type="dxa"/>
            <w:tcBorders>
              <w:top w:val="nil"/>
              <w:left w:val="nil"/>
              <w:bottom w:val="nil"/>
              <w:right w:val="nil"/>
            </w:tcBorders>
            <w:noWrap/>
            <w:vAlign w:val="bottom"/>
            <w:hideMark/>
          </w:tcPr>
          <w:p w14:paraId="2C02AE8E"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714" w:type="dxa"/>
            <w:tcBorders>
              <w:top w:val="nil"/>
              <w:left w:val="nil"/>
              <w:bottom w:val="nil"/>
              <w:right w:val="nil"/>
            </w:tcBorders>
            <w:noWrap/>
            <w:vAlign w:val="bottom"/>
            <w:hideMark/>
          </w:tcPr>
          <w:p w14:paraId="7DEF3973"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962" w:type="dxa"/>
            <w:tcBorders>
              <w:top w:val="nil"/>
              <w:left w:val="nil"/>
              <w:bottom w:val="nil"/>
              <w:right w:val="nil"/>
            </w:tcBorders>
            <w:noWrap/>
            <w:vAlign w:val="bottom"/>
            <w:hideMark/>
          </w:tcPr>
          <w:p w14:paraId="5D7BF600"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1086" w:type="dxa"/>
            <w:tcBorders>
              <w:top w:val="nil"/>
              <w:left w:val="nil"/>
              <w:bottom w:val="nil"/>
              <w:right w:val="nil"/>
            </w:tcBorders>
            <w:noWrap/>
            <w:vAlign w:val="bottom"/>
            <w:hideMark/>
          </w:tcPr>
          <w:p w14:paraId="77993656"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977" w:type="dxa"/>
            <w:tcBorders>
              <w:top w:val="nil"/>
              <w:left w:val="nil"/>
              <w:bottom w:val="nil"/>
              <w:right w:val="nil"/>
            </w:tcBorders>
            <w:noWrap/>
            <w:vAlign w:val="bottom"/>
            <w:hideMark/>
          </w:tcPr>
          <w:p w14:paraId="4BC6875D"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962" w:type="dxa"/>
            <w:tcBorders>
              <w:top w:val="nil"/>
              <w:left w:val="nil"/>
              <w:bottom w:val="nil"/>
              <w:right w:val="nil"/>
            </w:tcBorders>
            <w:noWrap/>
            <w:vAlign w:val="bottom"/>
            <w:hideMark/>
          </w:tcPr>
          <w:p w14:paraId="1A43DA06"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962" w:type="dxa"/>
            <w:tcBorders>
              <w:top w:val="nil"/>
              <w:left w:val="nil"/>
              <w:bottom w:val="nil"/>
              <w:right w:val="nil"/>
            </w:tcBorders>
            <w:noWrap/>
            <w:vAlign w:val="bottom"/>
            <w:hideMark/>
          </w:tcPr>
          <w:p w14:paraId="380FC67C"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962" w:type="dxa"/>
            <w:tcBorders>
              <w:top w:val="nil"/>
              <w:left w:val="nil"/>
              <w:bottom w:val="nil"/>
              <w:right w:val="nil"/>
            </w:tcBorders>
            <w:noWrap/>
            <w:vAlign w:val="bottom"/>
            <w:hideMark/>
          </w:tcPr>
          <w:p w14:paraId="503E66A0"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962" w:type="dxa"/>
            <w:tcBorders>
              <w:top w:val="nil"/>
              <w:left w:val="nil"/>
              <w:bottom w:val="nil"/>
              <w:right w:val="nil"/>
            </w:tcBorders>
            <w:noWrap/>
            <w:vAlign w:val="bottom"/>
            <w:hideMark/>
          </w:tcPr>
          <w:p w14:paraId="04F3F154"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1173" w:type="dxa"/>
            <w:tcBorders>
              <w:top w:val="nil"/>
              <w:left w:val="nil"/>
              <w:bottom w:val="nil"/>
              <w:right w:val="nil"/>
            </w:tcBorders>
            <w:noWrap/>
            <w:vAlign w:val="bottom"/>
            <w:hideMark/>
          </w:tcPr>
          <w:p w14:paraId="1D7DD7E5" w14:textId="77777777" w:rsidR="001B1151" w:rsidRPr="004C70EC" w:rsidRDefault="001B1151" w:rsidP="001B1151">
            <w:pPr>
              <w:spacing w:before="0" w:after="0"/>
              <w:jc w:val="left"/>
              <w:rPr>
                <w:rFonts w:eastAsia="Times New Roman"/>
                <w:noProof/>
                <w:color w:val="000000" w:themeColor="text1"/>
                <w:szCs w:val="24"/>
                <w:lang w:val="en-IE" w:eastAsia="en-IE"/>
              </w:rPr>
            </w:pPr>
          </w:p>
        </w:tc>
      </w:tr>
      <w:tr w:rsidR="004A1163" w:rsidRPr="004C70EC" w14:paraId="36C74047" w14:textId="77777777" w:rsidTr="002D7694">
        <w:trPr>
          <w:trHeight w:val="318"/>
        </w:trPr>
        <w:tc>
          <w:tcPr>
            <w:tcW w:w="3274" w:type="dxa"/>
            <w:tcBorders>
              <w:top w:val="nil"/>
              <w:left w:val="nil"/>
              <w:bottom w:val="nil"/>
              <w:right w:val="nil"/>
            </w:tcBorders>
            <w:noWrap/>
            <w:vAlign w:val="bottom"/>
            <w:hideMark/>
          </w:tcPr>
          <w:p w14:paraId="6E2AD6FD" w14:textId="77777777" w:rsidR="001B1151" w:rsidRPr="004C70EC" w:rsidRDefault="001B1151" w:rsidP="001B1151">
            <w:pPr>
              <w:spacing w:before="0" w:after="0"/>
              <w:jc w:val="right"/>
              <w:rPr>
                <w:rFonts w:eastAsia="Times New Roman"/>
                <w:b/>
                <w:bCs/>
                <w:noProof/>
                <w:color w:val="000000" w:themeColor="text1"/>
                <w:szCs w:val="24"/>
                <w:lang w:val="en-IE" w:eastAsia="en-IE"/>
              </w:rPr>
            </w:pPr>
          </w:p>
        </w:tc>
        <w:tc>
          <w:tcPr>
            <w:tcW w:w="1819" w:type="dxa"/>
            <w:tcBorders>
              <w:top w:val="nil"/>
              <w:left w:val="nil"/>
              <w:bottom w:val="nil"/>
              <w:right w:val="nil"/>
            </w:tcBorders>
            <w:noWrap/>
            <w:vAlign w:val="bottom"/>
            <w:hideMark/>
          </w:tcPr>
          <w:p w14:paraId="7C86A111"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714" w:type="dxa"/>
            <w:tcBorders>
              <w:top w:val="nil"/>
              <w:left w:val="nil"/>
              <w:bottom w:val="nil"/>
              <w:right w:val="nil"/>
            </w:tcBorders>
            <w:noWrap/>
            <w:vAlign w:val="bottom"/>
            <w:hideMark/>
          </w:tcPr>
          <w:p w14:paraId="53DDFE70"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714" w:type="dxa"/>
            <w:tcBorders>
              <w:top w:val="nil"/>
              <w:left w:val="nil"/>
              <w:bottom w:val="nil"/>
              <w:right w:val="nil"/>
            </w:tcBorders>
            <w:noWrap/>
            <w:vAlign w:val="bottom"/>
            <w:hideMark/>
          </w:tcPr>
          <w:p w14:paraId="0676F2DF"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962" w:type="dxa"/>
            <w:tcBorders>
              <w:top w:val="nil"/>
              <w:left w:val="nil"/>
              <w:bottom w:val="nil"/>
              <w:right w:val="nil"/>
            </w:tcBorders>
            <w:noWrap/>
            <w:vAlign w:val="bottom"/>
            <w:hideMark/>
          </w:tcPr>
          <w:p w14:paraId="1C5002DF"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1086" w:type="dxa"/>
            <w:tcBorders>
              <w:top w:val="nil"/>
              <w:left w:val="nil"/>
              <w:bottom w:val="nil"/>
              <w:right w:val="nil"/>
            </w:tcBorders>
            <w:noWrap/>
            <w:vAlign w:val="bottom"/>
            <w:hideMark/>
          </w:tcPr>
          <w:p w14:paraId="448ADEC8"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977" w:type="dxa"/>
            <w:tcBorders>
              <w:top w:val="nil"/>
              <w:left w:val="nil"/>
              <w:bottom w:val="nil"/>
              <w:right w:val="nil"/>
            </w:tcBorders>
            <w:noWrap/>
            <w:vAlign w:val="bottom"/>
            <w:hideMark/>
          </w:tcPr>
          <w:p w14:paraId="1E917A39"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962" w:type="dxa"/>
            <w:tcBorders>
              <w:top w:val="nil"/>
              <w:left w:val="nil"/>
              <w:bottom w:val="nil"/>
              <w:right w:val="nil"/>
            </w:tcBorders>
            <w:noWrap/>
            <w:vAlign w:val="bottom"/>
            <w:hideMark/>
          </w:tcPr>
          <w:p w14:paraId="4E0A8ED5"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962" w:type="dxa"/>
            <w:tcBorders>
              <w:top w:val="nil"/>
              <w:left w:val="nil"/>
              <w:bottom w:val="nil"/>
              <w:right w:val="nil"/>
            </w:tcBorders>
            <w:noWrap/>
            <w:vAlign w:val="bottom"/>
            <w:hideMark/>
          </w:tcPr>
          <w:p w14:paraId="06166F14"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962" w:type="dxa"/>
            <w:tcBorders>
              <w:top w:val="nil"/>
              <w:left w:val="nil"/>
              <w:bottom w:val="nil"/>
              <w:right w:val="nil"/>
            </w:tcBorders>
            <w:noWrap/>
            <w:vAlign w:val="bottom"/>
            <w:hideMark/>
          </w:tcPr>
          <w:p w14:paraId="25B002BF"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962" w:type="dxa"/>
            <w:tcBorders>
              <w:top w:val="nil"/>
              <w:left w:val="nil"/>
              <w:bottom w:val="nil"/>
              <w:right w:val="nil"/>
            </w:tcBorders>
            <w:noWrap/>
            <w:vAlign w:val="bottom"/>
            <w:hideMark/>
          </w:tcPr>
          <w:p w14:paraId="6C6620DE" w14:textId="77777777" w:rsidR="001B1151" w:rsidRPr="004C70EC" w:rsidRDefault="001B1151" w:rsidP="001B1151">
            <w:pPr>
              <w:spacing w:before="0" w:after="0"/>
              <w:jc w:val="left"/>
              <w:rPr>
                <w:rFonts w:eastAsia="Times New Roman"/>
                <w:noProof/>
                <w:color w:val="000000" w:themeColor="text1"/>
                <w:szCs w:val="24"/>
                <w:lang w:val="en-IE" w:eastAsia="en-IE"/>
              </w:rPr>
            </w:pPr>
          </w:p>
        </w:tc>
        <w:tc>
          <w:tcPr>
            <w:tcW w:w="1173" w:type="dxa"/>
            <w:tcBorders>
              <w:top w:val="nil"/>
              <w:left w:val="nil"/>
              <w:bottom w:val="nil"/>
              <w:right w:val="nil"/>
            </w:tcBorders>
            <w:noWrap/>
            <w:vAlign w:val="bottom"/>
            <w:hideMark/>
          </w:tcPr>
          <w:p w14:paraId="2507C96E" w14:textId="77777777" w:rsidR="001B1151" w:rsidRPr="004C70EC" w:rsidRDefault="001B1151" w:rsidP="001B1151">
            <w:pPr>
              <w:spacing w:before="0" w:after="0"/>
              <w:jc w:val="left"/>
              <w:rPr>
                <w:rFonts w:eastAsia="Times New Roman"/>
                <w:noProof/>
                <w:color w:val="000000" w:themeColor="text1"/>
                <w:szCs w:val="24"/>
                <w:lang w:val="en-IE" w:eastAsia="en-IE"/>
              </w:rPr>
            </w:pPr>
          </w:p>
        </w:tc>
      </w:tr>
      <w:tr w:rsidR="002D7694" w:rsidRPr="004C70EC" w14:paraId="268267AB" w14:textId="77777777" w:rsidTr="002D7694">
        <w:trPr>
          <w:trHeight w:val="1259"/>
        </w:trPr>
        <w:tc>
          <w:tcPr>
            <w:tcW w:w="5093" w:type="dxa"/>
            <w:gridSpan w:val="2"/>
            <w:tcBorders>
              <w:top w:val="single" w:sz="8" w:space="0" w:color="auto"/>
              <w:left w:val="single" w:sz="8" w:space="0" w:color="auto"/>
              <w:bottom w:val="single" w:sz="8" w:space="0" w:color="auto"/>
              <w:right w:val="single" w:sz="8" w:space="0" w:color="auto"/>
            </w:tcBorders>
            <w:shd w:val="thinDiagStripe" w:color="C0C0C0" w:fill="F1F1F1"/>
            <w:vAlign w:val="center"/>
            <w:hideMark/>
          </w:tcPr>
          <w:p w14:paraId="14F9A9EE" w14:textId="77777777" w:rsidR="001B1151" w:rsidRPr="004C70EC" w:rsidRDefault="001B1151" w:rsidP="001B1151">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 appropriations</w:t>
            </w:r>
            <w:r w:rsidRPr="004C70EC">
              <w:rPr>
                <w:rFonts w:eastAsia="Times New Roman"/>
                <w:b/>
                <w:bCs/>
                <w:noProof/>
                <w:color w:val="000000" w:themeColor="text1"/>
                <w:szCs w:val="24"/>
                <w:lang w:val="en-IE" w:eastAsia="en-IE"/>
              </w:rPr>
              <w:br/>
              <w:t>under HEADING 4</w:t>
            </w:r>
            <w:r w:rsidRPr="004C70EC">
              <w:rPr>
                <w:rFonts w:eastAsia="Times New Roman"/>
                <w:b/>
                <w:bCs/>
                <w:noProof/>
                <w:color w:val="000000" w:themeColor="text1"/>
                <w:szCs w:val="24"/>
                <w:lang w:val="en-IE" w:eastAsia="en-IE"/>
              </w:rPr>
              <w:br/>
              <w:t xml:space="preserve">of the multiannual financial framework </w:t>
            </w:r>
          </w:p>
        </w:tc>
        <w:tc>
          <w:tcPr>
            <w:tcW w:w="1429" w:type="dxa"/>
            <w:gridSpan w:val="2"/>
            <w:tcBorders>
              <w:top w:val="single" w:sz="8" w:space="0" w:color="auto"/>
              <w:left w:val="nil"/>
              <w:bottom w:val="single" w:sz="8" w:space="0" w:color="auto"/>
              <w:right w:val="single" w:sz="8" w:space="0" w:color="auto"/>
            </w:tcBorders>
            <w:vAlign w:val="center"/>
            <w:hideMark/>
          </w:tcPr>
          <w:p w14:paraId="48F8C389" w14:textId="77777777" w:rsidR="001B1151" w:rsidRPr="004C70EC" w:rsidRDefault="001B1151" w:rsidP="001B1151">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(Total commitments = Total payments)</w:t>
            </w:r>
          </w:p>
        </w:tc>
        <w:tc>
          <w:tcPr>
            <w:tcW w:w="962" w:type="dxa"/>
            <w:tcBorders>
              <w:top w:val="single" w:sz="8" w:space="0" w:color="auto"/>
              <w:left w:val="nil"/>
              <w:bottom w:val="single" w:sz="8" w:space="0" w:color="auto"/>
              <w:right w:val="single" w:sz="8" w:space="0" w:color="auto"/>
            </w:tcBorders>
            <w:shd w:val="clear" w:color="000000" w:fill="D9D9D9"/>
            <w:vAlign w:val="center"/>
            <w:hideMark/>
          </w:tcPr>
          <w:p w14:paraId="0A7241D4"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6,381</w:t>
            </w:r>
          </w:p>
        </w:tc>
        <w:tc>
          <w:tcPr>
            <w:tcW w:w="1086" w:type="dxa"/>
            <w:tcBorders>
              <w:top w:val="single" w:sz="8" w:space="0" w:color="auto"/>
              <w:left w:val="nil"/>
              <w:bottom w:val="single" w:sz="8" w:space="0" w:color="auto"/>
              <w:right w:val="single" w:sz="8" w:space="0" w:color="auto"/>
            </w:tcBorders>
            <w:shd w:val="clear" w:color="000000" w:fill="D9D9D9"/>
            <w:vAlign w:val="center"/>
            <w:hideMark/>
          </w:tcPr>
          <w:p w14:paraId="5C541A6F"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6,381</w:t>
            </w:r>
          </w:p>
        </w:tc>
        <w:tc>
          <w:tcPr>
            <w:tcW w:w="977" w:type="dxa"/>
            <w:tcBorders>
              <w:top w:val="single" w:sz="8" w:space="0" w:color="auto"/>
              <w:left w:val="nil"/>
              <w:bottom w:val="single" w:sz="8" w:space="0" w:color="auto"/>
              <w:right w:val="single" w:sz="8" w:space="0" w:color="auto"/>
            </w:tcBorders>
            <w:shd w:val="clear" w:color="000000" w:fill="D9D9D9"/>
            <w:vAlign w:val="center"/>
            <w:hideMark/>
          </w:tcPr>
          <w:p w14:paraId="21870BE9"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6,381</w:t>
            </w:r>
          </w:p>
        </w:tc>
        <w:tc>
          <w:tcPr>
            <w:tcW w:w="962" w:type="dxa"/>
            <w:tcBorders>
              <w:top w:val="single" w:sz="8" w:space="0" w:color="auto"/>
              <w:left w:val="nil"/>
              <w:bottom w:val="single" w:sz="8" w:space="0" w:color="auto"/>
              <w:right w:val="single" w:sz="8" w:space="0" w:color="auto"/>
            </w:tcBorders>
            <w:shd w:val="clear" w:color="000000" w:fill="D9D9D9"/>
            <w:vAlign w:val="center"/>
            <w:hideMark/>
          </w:tcPr>
          <w:p w14:paraId="54E0BF96"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6,382</w:t>
            </w:r>
          </w:p>
        </w:tc>
        <w:tc>
          <w:tcPr>
            <w:tcW w:w="962" w:type="dxa"/>
            <w:tcBorders>
              <w:top w:val="single" w:sz="8" w:space="0" w:color="auto"/>
              <w:left w:val="nil"/>
              <w:bottom w:val="single" w:sz="8" w:space="0" w:color="auto"/>
              <w:right w:val="single" w:sz="8" w:space="0" w:color="auto"/>
            </w:tcBorders>
            <w:shd w:val="clear" w:color="000000" w:fill="D9D9D9"/>
            <w:vAlign w:val="center"/>
            <w:hideMark/>
          </w:tcPr>
          <w:p w14:paraId="4D22C471"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6,382</w:t>
            </w:r>
          </w:p>
        </w:tc>
        <w:tc>
          <w:tcPr>
            <w:tcW w:w="962" w:type="dxa"/>
            <w:tcBorders>
              <w:top w:val="single" w:sz="8" w:space="0" w:color="auto"/>
              <w:left w:val="nil"/>
              <w:bottom w:val="single" w:sz="8" w:space="0" w:color="auto"/>
              <w:right w:val="single" w:sz="8" w:space="0" w:color="auto"/>
            </w:tcBorders>
            <w:shd w:val="clear" w:color="000000" w:fill="D9D9D9"/>
            <w:vAlign w:val="center"/>
            <w:hideMark/>
          </w:tcPr>
          <w:p w14:paraId="49D712EB"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6,382</w:t>
            </w:r>
          </w:p>
        </w:tc>
        <w:tc>
          <w:tcPr>
            <w:tcW w:w="962" w:type="dxa"/>
            <w:tcBorders>
              <w:top w:val="single" w:sz="8" w:space="0" w:color="auto"/>
              <w:left w:val="nil"/>
              <w:bottom w:val="single" w:sz="8" w:space="0" w:color="auto"/>
              <w:right w:val="single" w:sz="8" w:space="0" w:color="auto"/>
            </w:tcBorders>
            <w:shd w:val="clear" w:color="000000" w:fill="D9D9D9"/>
            <w:vAlign w:val="center"/>
            <w:hideMark/>
          </w:tcPr>
          <w:p w14:paraId="5AFDA27A"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6,382</w:t>
            </w:r>
          </w:p>
        </w:tc>
        <w:tc>
          <w:tcPr>
            <w:tcW w:w="1173" w:type="dxa"/>
            <w:tcBorders>
              <w:top w:val="single" w:sz="8" w:space="0" w:color="auto"/>
              <w:left w:val="nil"/>
              <w:bottom w:val="single" w:sz="8" w:space="0" w:color="auto"/>
              <w:right w:val="single" w:sz="8" w:space="0" w:color="auto"/>
            </w:tcBorders>
            <w:shd w:val="clear" w:color="000000" w:fill="D9D9D9"/>
            <w:vAlign w:val="center"/>
            <w:hideMark/>
          </w:tcPr>
          <w:p w14:paraId="4F4F0BBE" w14:textId="77777777" w:rsidR="001B1151" w:rsidRPr="004C70EC" w:rsidRDefault="001B1151" w:rsidP="001B1151">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44,672</w:t>
            </w:r>
          </w:p>
        </w:tc>
      </w:tr>
    </w:tbl>
    <w:p w14:paraId="73CFD752" w14:textId="77777777" w:rsidR="001B1151" w:rsidRPr="004C70EC" w:rsidRDefault="001B1151">
      <w:pPr>
        <w:jc w:val="left"/>
        <w:rPr>
          <w:noProof/>
          <w:color w:val="000000" w:themeColor="text1"/>
          <w:szCs w:val="24"/>
        </w:rPr>
      </w:pPr>
    </w:p>
    <w:p w14:paraId="07845A95" w14:textId="77777777" w:rsidR="001B1151" w:rsidRPr="004C70EC" w:rsidRDefault="001B1151">
      <w:pPr>
        <w:jc w:val="left"/>
        <w:rPr>
          <w:noProof/>
          <w:color w:val="000000" w:themeColor="text1"/>
          <w:szCs w:val="24"/>
        </w:rPr>
      </w:pPr>
    </w:p>
    <w:p w14:paraId="7B93A7EB" w14:textId="77777777" w:rsidR="002A2FB9" w:rsidRPr="004C70EC" w:rsidRDefault="002A2FB9" w:rsidP="002A2FB9">
      <w:pPr>
        <w:pStyle w:val="ListDash1"/>
        <w:rPr>
          <w:noProof/>
          <w:color w:val="000000" w:themeColor="text1"/>
          <w:szCs w:val="24"/>
          <w:lang w:val="en-IE"/>
        </w:rPr>
      </w:pPr>
      <w:r w:rsidRPr="004C70EC">
        <w:rPr>
          <w:noProof/>
          <w:color w:val="000000" w:themeColor="text1"/>
          <w:szCs w:val="24"/>
        </w:rPr>
        <w:t>Amounts are indicative and do not prejudge the outcome of the ongoing negotiations on the next MFF.</w:t>
      </w:r>
    </w:p>
    <w:p w14:paraId="6A9DDF80" w14:textId="77777777" w:rsidR="00BC0890" w:rsidRPr="004C70EC" w:rsidRDefault="00BC0890" w:rsidP="00BC0890">
      <w:pPr>
        <w:rPr>
          <w:noProof/>
          <w:color w:val="000000" w:themeColor="text1"/>
          <w:szCs w:val="24"/>
        </w:rPr>
      </w:pPr>
    </w:p>
    <w:p w14:paraId="45941887" w14:textId="77777777" w:rsidR="004373F7" w:rsidRPr="004C70EC" w:rsidRDefault="004373F7" w:rsidP="00BC0890">
      <w:pPr>
        <w:rPr>
          <w:noProof/>
          <w:color w:val="000000" w:themeColor="text1"/>
          <w:szCs w:val="24"/>
        </w:rPr>
      </w:pPr>
    </w:p>
    <w:tbl>
      <w:tblPr>
        <w:tblW w:w="15855" w:type="dxa"/>
        <w:tblInd w:w="-459" w:type="dxa"/>
        <w:tblLook w:val="04A0" w:firstRow="1" w:lastRow="0" w:firstColumn="1" w:lastColumn="0" w:noHBand="0" w:noVBand="1"/>
      </w:tblPr>
      <w:tblGrid>
        <w:gridCol w:w="1750"/>
        <w:gridCol w:w="1577"/>
        <w:gridCol w:w="1536"/>
        <w:gridCol w:w="1536"/>
        <w:gridCol w:w="1536"/>
        <w:gridCol w:w="1536"/>
        <w:gridCol w:w="1536"/>
        <w:gridCol w:w="1536"/>
        <w:gridCol w:w="1536"/>
        <w:gridCol w:w="1776"/>
      </w:tblGrid>
      <w:tr w:rsidR="004A1163" w:rsidRPr="004C70EC" w14:paraId="3CC27BF1" w14:textId="77777777" w:rsidTr="00002057">
        <w:trPr>
          <w:trHeight w:val="387"/>
        </w:trPr>
        <w:tc>
          <w:tcPr>
            <w:tcW w:w="15855" w:type="dxa"/>
            <w:gridSpan w:val="10"/>
            <w:tcBorders>
              <w:top w:val="nil"/>
              <w:left w:val="nil"/>
              <w:bottom w:val="single" w:sz="8" w:space="0" w:color="auto"/>
              <w:right w:val="nil"/>
            </w:tcBorders>
            <w:shd w:val="clear" w:color="000000" w:fill="9BC2E6"/>
            <w:noWrap/>
            <w:vAlign w:val="bottom"/>
            <w:hideMark/>
          </w:tcPr>
          <w:p w14:paraId="5D7DC384" w14:textId="77777777" w:rsidR="00DE719F" w:rsidRPr="004C70EC" w:rsidRDefault="00DE719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 HEADING 1 to 4 C1</w:t>
            </w:r>
          </w:p>
        </w:tc>
      </w:tr>
      <w:tr w:rsidR="004A1163" w:rsidRPr="004C70EC" w14:paraId="28507190" w14:textId="77777777" w:rsidTr="00002057">
        <w:trPr>
          <w:trHeight w:val="287"/>
        </w:trPr>
        <w:tc>
          <w:tcPr>
            <w:tcW w:w="1750" w:type="dxa"/>
            <w:vMerge w:val="restart"/>
            <w:tcBorders>
              <w:top w:val="single" w:sz="8" w:space="0" w:color="auto"/>
              <w:left w:val="single" w:sz="8" w:space="0" w:color="auto"/>
              <w:bottom w:val="single" w:sz="8" w:space="0" w:color="auto"/>
              <w:right w:val="single" w:sz="8" w:space="0" w:color="auto"/>
            </w:tcBorders>
            <w:vAlign w:val="center"/>
            <w:hideMark/>
          </w:tcPr>
          <w:p w14:paraId="0C198FFD" w14:textId="77777777" w:rsidR="00DE719F" w:rsidRPr="004C70EC" w:rsidRDefault="00DE719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3113" w:type="dxa"/>
            <w:gridSpan w:val="2"/>
            <w:tcBorders>
              <w:top w:val="nil"/>
              <w:left w:val="nil"/>
              <w:bottom w:val="nil"/>
              <w:right w:val="single" w:sz="8" w:space="0" w:color="auto"/>
            </w:tcBorders>
            <w:vAlign w:val="center"/>
            <w:hideMark/>
          </w:tcPr>
          <w:p w14:paraId="4BB5A2AB" w14:textId="77777777" w:rsidR="00DE719F" w:rsidRPr="004C70EC" w:rsidRDefault="00DE719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536" w:type="dxa"/>
            <w:tcBorders>
              <w:top w:val="nil"/>
              <w:left w:val="nil"/>
              <w:bottom w:val="nil"/>
              <w:right w:val="single" w:sz="8" w:space="0" w:color="auto"/>
            </w:tcBorders>
            <w:vAlign w:val="center"/>
            <w:hideMark/>
          </w:tcPr>
          <w:p w14:paraId="122E5816" w14:textId="77777777" w:rsidR="00DE719F" w:rsidRPr="004C70EC" w:rsidRDefault="00DE719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536" w:type="dxa"/>
            <w:tcBorders>
              <w:top w:val="nil"/>
              <w:left w:val="nil"/>
              <w:bottom w:val="nil"/>
              <w:right w:val="single" w:sz="8" w:space="0" w:color="auto"/>
            </w:tcBorders>
            <w:vAlign w:val="center"/>
            <w:hideMark/>
          </w:tcPr>
          <w:p w14:paraId="16F5EEEE" w14:textId="77777777" w:rsidR="00DE719F" w:rsidRPr="004C70EC" w:rsidRDefault="00DE719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536" w:type="dxa"/>
            <w:tcBorders>
              <w:top w:val="nil"/>
              <w:left w:val="nil"/>
              <w:bottom w:val="nil"/>
              <w:right w:val="single" w:sz="8" w:space="0" w:color="auto"/>
            </w:tcBorders>
            <w:vAlign w:val="center"/>
            <w:hideMark/>
          </w:tcPr>
          <w:p w14:paraId="73DBD702" w14:textId="77777777" w:rsidR="00DE719F" w:rsidRPr="004C70EC" w:rsidRDefault="00DE719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536" w:type="dxa"/>
            <w:tcBorders>
              <w:top w:val="nil"/>
              <w:left w:val="nil"/>
              <w:bottom w:val="nil"/>
              <w:right w:val="single" w:sz="8" w:space="0" w:color="auto"/>
            </w:tcBorders>
            <w:vAlign w:val="center"/>
            <w:hideMark/>
          </w:tcPr>
          <w:p w14:paraId="53D44A8E" w14:textId="77777777" w:rsidR="00DE719F" w:rsidRPr="004C70EC" w:rsidRDefault="00DE719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536" w:type="dxa"/>
            <w:tcBorders>
              <w:top w:val="nil"/>
              <w:left w:val="nil"/>
              <w:bottom w:val="nil"/>
              <w:right w:val="single" w:sz="8" w:space="0" w:color="auto"/>
            </w:tcBorders>
            <w:vAlign w:val="center"/>
            <w:hideMark/>
          </w:tcPr>
          <w:p w14:paraId="123D19E8" w14:textId="77777777" w:rsidR="00DE719F" w:rsidRPr="004C70EC" w:rsidRDefault="00DE719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536" w:type="dxa"/>
            <w:tcBorders>
              <w:top w:val="nil"/>
              <w:left w:val="nil"/>
              <w:bottom w:val="nil"/>
              <w:right w:val="single" w:sz="8" w:space="0" w:color="auto"/>
            </w:tcBorders>
            <w:vAlign w:val="center"/>
            <w:hideMark/>
          </w:tcPr>
          <w:p w14:paraId="4D179779" w14:textId="77777777" w:rsidR="00DE719F" w:rsidRPr="004C70EC" w:rsidRDefault="00DE719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776" w:type="dxa"/>
            <w:vMerge w:val="restart"/>
            <w:tcBorders>
              <w:top w:val="nil"/>
              <w:left w:val="single" w:sz="8" w:space="0" w:color="auto"/>
              <w:bottom w:val="single" w:sz="8" w:space="0" w:color="000000"/>
              <w:right w:val="single" w:sz="8" w:space="0" w:color="auto"/>
            </w:tcBorders>
            <w:vAlign w:val="center"/>
            <w:hideMark/>
          </w:tcPr>
          <w:p w14:paraId="1D1ACDA8" w14:textId="77777777" w:rsidR="00DE719F" w:rsidRPr="004C70EC" w:rsidRDefault="00DE719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 MFF</w:t>
            </w:r>
            <w:r w:rsidRPr="004C70EC">
              <w:rPr>
                <w:rFonts w:eastAsia="Times New Roman"/>
                <w:b/>
                <w:bCs/>
                <w:noProof/>
                <w:color w:val="000000" w:themeColor="text1"/>
                <w:szCs w:val="24"/>
                <w:lang w:val="en-IE" w:eastAsia="en-IE"/>
              </w:rPr>
              <w:br/>
              <w:t>2028-2034</w:t>
            </w:r>
          </w:p>
        </w:tc>
      </w:tr>
      <w:tr w:rsidR="004A1163" w:rsidRPr="004C70EC" w14:paraId="65210234" w14:textId="77777777" w:rsidTr="00002057">
        <w:trPr>
          <w:trHeight w:val="298"/>
        </w:trPr>
        <w:tc>
          <w:tcPr>
            <w:tcW w:w="1750" w:type="dxa"/>
            <w:vMerge/>
            <w:tcBorders>
              <w:top w:val="single" w:sz="8" w:space="0" w:color="auto"/>
              <w:left w:val="single" w:sz="8" w:space="0" w:color="auto"/>
              <w:bottom w:val="single" w:sz="8" w:space="0" w:color="auto"/>
              <w:right w:val="single" w:sz="8" w:space="0" w:color="auto"/>
            </w:tcBorders>
            <w:vAlign w:val="center"/>
            <w:hideMark/>
          </w:tcPr>
          <w:p w14:paraId="31215863" w14:textId="77777777" w:rsidR="00DE719F" w:rsidRPr="004C70EC" w:rsidRDefault="00DE719F">
            <w:pPr>
              <w:spacing w:before="0" w:after="0"/>
              <w:jc w:val="left"/>
              <w:rPr>
                <w:rFonts w:eastAsia="Times New Roman"/>
                <w:noProof/>
                <w:color w:val="000000" w:themeColor="text1"/>
                <w:szCs w:val="24"/>
                <w:lang w:val="en-IE" w:eastAsia="en-IE"/>
              </w:rPr>
            </w:pPr>
          </w:p>
        </w:tc>
        <w:tc>
          <w:tcPr>
            <w:tcW w:w="3113" w:type="dxa"/>
            <w:gridSpan w:val="2"/>
            <w:tcBorders>
              <w:top w:val="nil"/>
              <w:left w:val="nil"/>
              <w:bottom w:val="single" w:sz="8" w:space="0" w:color="auto"/>
              <w:right w:val="single" w:sz="8" w:space="0" w:color="auto"/>
            </w:tcBorders>
            <w:vAlign w:val="center"/>
            <w:hideMark/>
          </w:tcPr>
          <w:p w14:paraId="674894D8" w14:textId="77777777" w:rsidR="00DE719F" w:rsidRPr="004C70EC" w:rsidRDefault="00DE719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2028</w:t>
            </w:r>
          </w:p>
        </w:tc>
        <w:tc>
          <w:tcPr>
            <w:tcW w:w="1536" w:type="dxa"/>
            <w:tcBorders>
              <w:top w:val="nil"/>
              <w:left w:val="nil"/>
              <w:bottom w:val="single" w:sz="8" w:space="0" w:color="auto"/>
              <w:right w:val="single" w:sz="8" w:space="0" w:color="auto"/>
            </w:tcBorders>
            <w:vAlign w:val="center"/>
            <w:hideMark/>
          </w:tcPr>
          <w:p w14:paraId="66831C3A" w14:textId="77777777" w:rsidR="00DE719F" w:rsidRPr="004C70EC" w:rsidRDefault="00DE719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2029</w:t>
            </w:r>
          </w:p>
        </w:tc>
        <w:tc>
          <w:tcPr>
            <w:tcW w:w="1536" w:type="dxa"/>
            <w:tcBorders>
              <w:top w:val="nil"/>
              <w:left w:val="nil"/>
              <w:bottom w:val="single" w:sz="8" w:space="0" w:color="auto"/>
              <w:right w:val="single" w:sz="8" w:space="0" w:color="auto"/>
            </w:tcBorders>
            <w:vAlign w:val="center"/>
            <w:hideMark/>
          </w:tcPr>
          <w:p w14:paraId="4EDEBD47" w14:textId="77777777" w:rsidR="00DE719F" w:rsidRPr="004C70EC" w:rsidRDefault="00DE719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2030</w:t>
            </w:r>
          </w:p>
        </w:tc>
        <w:tc>
          <w:tcPr>
            <w:tcW w:w="1536" w:type="dxa"/>
            <w:tcBorders>
              <w:top w:val="nil"/>
              <w:left w:val="nil"/>
              <w:bottom w:val="single" w:sz="8" w:space="0" w:color="auto"/>
              <w:right w:val="single" w:sz="8" w:space="0" w:color="auto"/>
            </w:tcBorders>
            <w:vAlign w:val="center"/>
            <w:hideMark/>
          </w:tcPr>
          <w:p w14:paraId="52102F53" w14:textId="77777777" w:rsidR="00DE719F" w:rsidRPr="004C70EC" w:rsidRDefault="00DE719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2031</w:t>
            </w:r>
          </w:p>
        </w:tc>
        <w:tc>
          <w:tcPr>
            <w:tcW w:w="1536" w:type="dxa"/>
            <w:tcBorders>
              <w:top w:val="nil"/>
              <w:left w:val="nil"/>
              <w:bottom w:val="single" w:sz="8" w:space="0" w:color="auto"/>
              <w:right w:val="single" w:sz="8" w:space="0" w:color="auto"/>
            </w:tcBorders>
            <w:vAlign w:val="center"/>
            <w:hideMark/>
          </w:tcPr>
          <w:p w14:paraId="51F45785" w14:textId="77777777" w:rsidR="00DE719F" w:rsidRPr="004C70EC" w:rsidRDefault="00DE719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2032</w:t>
            </w:r>
          </w:p>
        </w:tc>
        <w:tc>
          <w:tcPr>
            <w:tcW w:w="1536" w:type="dxa"/>
            <w:tcBorders>
              <w:top w:val="nil"/>
              <w:left w:val="nil"/>
              <w:bottom w:val="single" w:sz="8" w:space="0" w:color="auto"/>
              <w:right w:val="single" w:sz="8" w:space="0" w:color="auto"/>
            </w:tcBorders>
            <w:vAlign w:val="center"/>
            <w:hideMark/>
          </w:tcPr>
          <w:p w14:paraId="25CE7763" w14:textId="77777777" w:rsidR="00DE719F" w:rsidRPr="004C70EC" w:rsidRDefault="00DE719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2033</w:t>
            </w:r>
          </w:p>
        </w:tc>
        <w:tc>
          <w:tcPr>
            <w:tcW w:w="1536" w:type="dxa"/>
            <w:tcBorders>
              <w:top w:val="nil"/>
              <w:left w:val="nil"/>
              <w:bottom w:val="single" w:sz="8" w:space="0" w:color="auto"/>
              <w:right w:val="single" w:sz="8" w:space="0" w:color="auto"/>
            </w:tcBorders>
            <w:vAlign w:val="center"/>
            <w:hideMark/>
          </w:tcPr>
          <w:p w14:paraId="7CC6E448" w14:textId="77777777" w:rsidR="00DE719F" w:rsidRPr="004C70EC" w:rsidRDefault="00DE719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w:t>
            </w:r>
          </w:p>
        </w:tc>
        <w:tc>
          <w:tcPr>
            <w:tcW w:w="1776" w:type="dxa"/>
            <w:vMerge/>
            <w:tcBorders>
              <w:top w:val="nil"/>
              <w:left w:val="single" w:sz="8" w:space="0" w:color="auto"/>
              <w:bottom w:val="single" w:sz="8" w:space="0" w:color="000000"/>
              <w:right w:val="single" w:sz="8" w:space="0" w:color="auto"/>
            </w:tcBorders>
            <w:vAlign w:val="center"/>
            <w:hideMark/>
          </w:tcPr>
          <w:p w14:paraId="75309DC2" w14:textId="77777777" w:rsidR="00DE719F" w:rsidRPr="004C70EC" w:rsidRDefault="00DE719F">
            <w:pPr>
              <w:spacing w:before="0" w:after="0"/>
              <w:jc w:val="left"/>
              <w:rPr>
                <w:rFonts w:eastAsia="Times New Roman"/>
                <w:b/>
                <w:bCs/>
                <w:noProof/>
                <w:color w:val="000000" w:themeColor="text1"/>
                <w:szCs w:val="24"/>
                <w:lang w:val="en-IE" w:eastAsia="en-IE"/>
              </w:rPr>
            </w:pPr>
          </w:p>
        </w:tc>
      </w:tr>
      <w:tr w:rsidR="00415A3C" w:rsidRPr="004C70EC" w14:paraId="648136A2" w14:textId="77777777" w:rsidTr="00002057">
        <w:trPr>
          <w:trHeight w:val="1461"/>
        </w:trPr>
        <w:tc>
          <w:tcPr>
            <w:tcW w:w="1750" w:type="dxa"/>
            <w:tcBorders>
              <w:top w:val="single" w:sz="8" w:space="0" w:color="auto"/>
              <w:left w:val="single" w:sz="8" w:space="0" w:color="auto"/>
              <w:bottom w:val="single" w:sz="8" w:space="0" w:color="auto"/>
              <w:right w:val="single" w:sz="8" w:space="0" w:color="000000"/>
            </w:tcBorders>
            <w:shd w:val="clear" w:color="000000" w:fill="C0C0C0"/>
            <w:vAlign w:val="center"/>
            <w:hideMark/>
          </w:tcPr>
          <w:p w14:paraId="3E5E5FEE" w14:textId="77777777" w:rsidR="00345EAC" w:rsidRPr="004C70EC" w:rsidRDefault="00345EAC" w:rsidP="00345EAC">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 appropriations</w:t>
            </w:r>
            <w:r w:rsidRPr="004C70EC">
              <w:rPr>
                <w:rFonts w:eastAsia="Times New Roman"/>
                <w:b/>
                <w:bCs/>
                <w:noProof/>
                <w:color w:val="000000" w:themeColor="text1"/>
                <w:szCs w:val="24"/>
                <w:lang w:val="en-IE" w:eastAsia="en-IE"/>
              </w:rPr>
              <w:br/>
              <w:t>under HEADINGS 1 to 4</w:t>
            </w:r>
          </w:p>
        </w:tc>
        <w:tc>
          <w:tcPr>
            <w:tcW w:w="1577" w:type="dxa"/>
            <w:tcBorders>
              <w:top w:val="single" w:sz="8" w:space="0" w:color="auto"/>
              <w:left w:val="nil"/>
              <w:bottom w:val="single" w:sz="8" w:space="0" w:color="auto"/>
              <w:right w:val="single" w:sz="8" w:space="0" w:color="auto"/>
            </w:tcBorders>
            <w:vAlign w:val="center"/>
            <w:hideMark/>
          </w:tcPr>
          <w:p w14:paraId="4592FB89" w14:textId="77777777" w:rsidR="00345EAC" w:rsidRPr="004C70EC" w:rsidRDefault="00345EAC" w:rsidP="00345EAC">
            <w:pPr>
              <w:spacing w:before="0" w:after="0"/>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Commitments</w:t>
            </w:r>
          </w:p>
        </w:tc>
        <w:tc>
          <w:tcPr>
            <w:tcW w:w="1536" w:type="dxa"/>
            <w:tcBorders>
              <w:top w:val="nil"/>
              <w:left w:val="nil"/>
              <w:bottom w:val="single" w:sz="8" w:space="0" w:color="auto"/>
              <w:right w:val="single" w:sz="8" w:space="0" w:color="auto"/>
            </w:tcBorders>
            <w:shd w:val="clear" w:color="000000" w:fill="D9D9D9"/>
            <w:vAlign w:val="center"/>
            <w:hideMark/>
          </w:tcPr>
          <w:p w14:paraId="32C89AF3" w14:textId="77777777" w:rsidR="00345EAC" w:rsidRPr="004C70EC" w:rsidRDefault="00345EAC" w:rsidP="00345EAC">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Cs w:val="24"/>
                <w:lang w:val="en-IE" w:eastAsia="en-IE"/>
              </w:rPr>
              <w:t>19,945</w:t>
            </w:r>
          </w:p>
        </w:tc>
        <w:tc>
          <w:tcPr>
            <w:tcW w:w="1536" w:type="dxa"/>
            <w:tcBorders>
              <w:top w:val="nil"/>
              <w:left w:val="nil"/>
              <w:bottom w:val="single" w:sz="8" w:space="0" w:color="auto"/>
              <w:right w:val="single" w:sz="8" w:space="0" w:color="auto"/>
            </w:tcBorders>
            <w:shd w:val="clear" w:color="000000" w:fill="D9D9D9"/>
            <w:vAlign w:val="center"/>
            <w:hideMark/>
          </w:tcPr>
          <w:p w14:paraId="54ED307F" w14:textId="77777777" w:rsidR="00345EAC" w:rsidRPr="004C70EC" w:rsidRDefault="00345EAC" w:rsidP="00345EAC">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Cs w:val="24"/>
                <w:lang w:val="en-IE" w:eastAsia="en-IE"/>
              </w:rPr>
              <w:t>18,960</w:t>
            </w:r>
          </w:p>
        </w:tc>
        <w:tc>
          <w:tcPr>
            <w:tcW w:w="1536" w:type="dxa"/>
            <w:tcBorders>
              <w:top w:val="nil"/>
              <w:left w:val="nil"/>
              <w:bottom w:val="single" w:sz="8" w:space="0" w:color="auto"/>
              <w:right w:val="single" w:sz="8" w:space="0" w:color="auto"/>
            </w:tcBorders>
            <w:shd w:val="clear" w:color="000000" w:fill="D9D9D9"/>
            <w:vAlign w:val="center"/>
            <w:hideMark/>
          </w:tcPr>
          <w:p w14:paraId="2A6A5845" w14:textId="77777777" w:rsidR="00345EAC" w:rsidRPr="004C70EC" w:rsidRDefault="00345EAC" w:rsidP="00345EAC">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Cs w:val="24"/>
                <w:lang w:val="en-IE" w:eastAsia="en-IE"/>
              </w:rPr>
              <w:t>13,039</w:t>
            </w:r>
          </w:p>
        </w:tc>
        <w:tc>
          <w:tcPr>
            <w:tcW w:w="1536" w:type="dxa"/>
            <w:tcBorders>
              <w:top w:val="nil"/>
              <w:left w:val="nil"/>
              <w:bottom w:val="single" w:sz="8" w:space="0" w:color="auto"/>
              <w:right w:val="single" w:sz="8" w:space="0" w:color="auto"/>
            </w:tcBorders>
            <w:shd w:val="clear" w:color="000000" w:fill="D9D9D9"/>
            <w:vAlign w:val="center"/>
            <w:hideMark/>
          </w:tcPr>
          <w:p w14:paraId="4CC92AA1" w14:textId="77777777" w:rsidR="00345EAC" w:rsidRPr="004C70EC" w:rsidRDefault="00345EAC" w:rsidP="00345EAC">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szCs w:val="24"/>
                <w:lang w:val="en-IE" w:eastAsia="en-IE"/>
              </w:rPr>
              <w:t>13,120</w:t>
            </w:r>
          </w:p>
        </w:tc>
        <w:tc>
          <w:tcPr>
            <w:tcW w:w="1536" w:type="dxa"/>
            <w:tcBorders>
              <w:top w:val="nil"/>
              <w:left w:val="nil"/>
              <w:bottom w:val="single" w:sz="8" w:space="0" w:color="auto"/>
              <w:right w:val="single" w:sz="8" w:space="0" w:color="auto"/>
            </w:tcBorders>
            <w:shd w:val="clear" w:color="000000" w:fill="D9D9D9"/>
            <w:vAlign w:val="center"/>
            <w:hideMark/>
          </w:tcPr>
          <w:p w14:paraId="5C753AFA" w14:textId="77777777" w:rsidR="00345EAC" w:rsidRPr="004C70EC" w:rsidRDefault="00345EAC" w:rsidP="00345EAC">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szCs w:val="24"/>
                <w:lang w:val="en-IE" w:eastAsia="en-IE"/>
              </w:rPr>
              <w:t>13,202</w:t>
            </w:r>
          </w:p>
        </w:tc>
        <w:tc>
          <w:tcPr>
            <w:tcW w:w="1536" w:type="dxa"/>
            <w:tcBorders>
              <w:top w:val="nil"/>
              <w:left w:val="nil"/>
              <w:bottom w:val="single" w:sz="8" w:space="0" w:color="auto"/>
              <w:right w:val="single" w:sz="8" w:space="0" w:color="auto"/>
            </w:tcBorders>
            <w:shd w:val="clear" w:color="000000" w:fill="D9D9D9"/>
            <w:vAlign w:val="center"/>
            <w:hideMark/>
          </w:tcPr>
          <w:p w14:paraId="18647685" w14:textId="77777777" w:rsidR="00345EAC" w:rsidRPr="004C70EC" w:rsidRDefault="00345EAC" w:rsidP="00345EAC">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szCs w:val="24"/>
                <w:lang w:val="en-IE" w:eastAsia="en-IE"/>
              </w:rPr>
              <w:t>13,286</w:t>
            </w:r>
          </w:p>
        </w:tc>
        <w:tc>
          <w:tcPr>
            <w:tcW w:w="1536" w:type="dxa"/>
            <w:tcBorders>
              <w:top w:val="nil"/>
              <w:left w:val="nil"/>
              <w:bottom w:val="single" w:sz="8" w:space="0" w:color="auto"/>
              <w:right w:val="single" w:sz="8" w:space="0" w:color="auto"/>
            </w:tcBorders>
            <w:shd w:val="clear" w:color="000000" w:fill="D9D9D9"/>
            <w:vAlign w:val="center"/>
            <w:hideMark/>
          </w:tcPr>
          <w:p w14:paraId="61237CCB" w14:textId="77777777" w:rsidR="00345EAC" w:rsidRPr="004C70EC" w:rsidRDefault="00345EAC" w:rsidP="00345EAC">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szCs w:val="24"/>
                <w:lang w:val="en-IE" w:eastAsia="en-IE"/>
              </w:rPr>
              <w:t>13,372</w:t>
            </w:r>
          </w:p>
        </w:tc>
        <w:tc>
          <w:tcPr>
            <w:tcW w:w="1776" w:type="dxa"/>
            <w:tcBorders>
              <w:top w:val="nil"/>
              <w:left w:val="nil"/>
              <w:bottom w:val="single" w:sz="8" w:space="0" w:color="auto"/>
              <w:right w:val="single" w:sz="8" w:space="0" w:color="auto"/>
            </w:tcBorders>
            <w:shd w:val="clear" w:color="000000" w:fill="D9D9D9"/>
            <w:vAlign w:val="center"/>
            <w:hideMark/>
          </w:tcPr>
          <w:p w14:paraId="29776598" w14:textId="77777777" w:rsidR="00345EAC" w:rsidRPr="004C70EC" w:rsidRDefault="00345EAC" w:rsidP="00345EAC">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Cs w:val="24"/>
                <w:lang w:val="en-IE" w:eastAsia="en-IE"/>
              </w:rPr>
              <w:t>104,924</w:t>
            </w:r>
          </w:p>
        </w:tc>
      </w:tr>
      <w:tr w:rsidR="00415A3C" w:rsidRPr="004C70EC" w14:paraId="17E5F4D5" w14:textId="77777777" w:rsidTr="00002057">
        <w:trPr>
          <w:trHeight w:val="969"/>
        </w:trPr>
        <w:tc>
          <w:tcPr>
            <w:tcW w:w="1750" w:type="dxa"/>
            <w:tcBorders>
              <w:top w:val="single" w:sz="8" w:space="0" w:color="auto"/>
              <w:left w:val="single" w:sz="8" w:space="0" w:color="auto"/>
              <w:bottom w:val="single" w:sz="8" w:space="0" w:color="auto"/>
              <w:right w:val="single" w:sz="8" w:space="0" w:color="000000"/>
            </w:tcBorders>
            <w:shd w:val="clear" w:color="000000" w:fill="C0C0C0"/>
            <w:vAlign w:val="center"/>
            <w:hideMark/>
          </w:tcPr>
          <w:p w14:paraId="4C19CA74" w14:textId="77777777" w:rsidR="00002057" w:rsidRPr="004C70EC" w:rsidRDefault="00002057" w:rsidP="00002057">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of the multiannual financial framework</w:t>
            </w:r>
            <w:r w:rsidRPr="004C70EC">
              <w:rPr>
                <w:rFonts w:eastAsia="Times New Roman"/>
                <w:b/>
                <w:bCs/>
                <w:noProof/>
                <w:color w:val="000000" w:themeColor="text1"/>
                <w:szCs w:val="24"/>
                <w:lang w:val="en-IE" w:eastAsia="en-IE"/>
              </w:rPr>
              <w:t xml:space="preserve"> </w:t>
            </w:r>
          </w:p>
        </w:tc>
        <w:tc>
          <w:tcPr>
            <w:tcW w:w="1577" w:type="dxa"/>
            <w:tcBorders>
              <w:top w:val="single" w:sz="8" w:space="0" w:color="auto"/>
              <w:left w:val="nil"/>
              <w:bottom w:val="single" w:sz="8" w:space="0" w:color="auto"/>
              <w:right w:val="single" w:sz="8" w:space="0" w:color="auto"/>
            </w:tcBorders>
            <w:vAlign w:val="center"/>
            <w:hideMark/>
          </w:tcPr>
          <w:p w14:paraId="1478A9AC" w14:textId="77777777" w:rsidR="00002057" w:rsidRPr="004C70EC" w:rsidRDefault="00002057" w:rsidP="00002057">
            <w:pPr>
              <w:spacing w:before="0" w:after="0"/>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Payments</w:t>
            </w:r>
          </w:p>
        </w:tc>
        <w:tc>
          <w:tcPr>
            <w:tcW w:w="1536" w:type="dxa"/>
            <w:tcBorders>
              <w:top w:val="nil"/>
              <w:left w:val="nil"/>
              <w:bottom w:val="single" w:sz="8" w:space="0" w:color="auto"/>
              <w:right w:val="single" w:sz="8" w:space="0" w:color="auto"/>
            </w:tcBorders>
            <w:shd w:val="clear" w:color="000000" w:fill="D9D9D9"/>
            <w:vAlign w:val="center"/>
            <w:hideMark/>
          </w:tcPr>
          <w:p w14:paraId="7411E3AE" w14:textId="77777777" w:rsidR="00002057" w:rsidRPr="004C70EC" w:rsidRDefault="00002057" w:rsidP="00002057">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Cs w:val="24"/>
                <w:lang w:val="en-IE" w:eastAsia="en-IE"/>
              </w:rPr>
              <w:t>19,945</w:t>
            </w:r>
          </w:p>
        </w:tc>
        <w:tc>
          <w:tcPr>
            <w:tcW w:w="1536" w:type="dxa"/>
            <w:tcBorders>
              <w:top w:val="nil"/>
              <w:left w:val="nil"/>
              <w:bottom w:val="single" w:sz="8" w:space="0" w:color="auto"/>
              <w:right w:val="single" w:sz="8" w:space="0" w:color="auto"/>
            </w:tcBorders>
            <w:shd w:val="clear" w:color="000000" w:fill="D9D9D9"/>
            <w:vAlign w:val="center"/>
            <w:hideMark/>
          </w:tcPr>
          <w:p w14:paraId="6D586CE4" w14:textId="77777777" w:rsidR="00002057" w:rsidRPr="004C70EC" w:rsidRDefault="00002057" w:rsidP="00002057">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Cs w:val="24"/>
                <w:lang w:val="en-IE" w:eastAsia="en-IE"/>
              </w:rPr>
              <w:t>18,960</w:t>
            </w:r>
          </w:p>
        </w:tc>
        <w:tc>
          <w:tcPr>
            <w:tcW w:w="1536" w:type="dxa"/>
            <w:tcBorders>
              <w:top w:val="nil"/>
              <w:left w:val="nil"/>
              <w:bottom w:val="single" w:sz="8" w:space="0" w:color="auto"/>
              <w:right w:val="single" w:sz="8" w:space="0" w:color="auto"/>
            </w:tcBorders>
            <w:shd w:val="clear" w:color="000000" w:fill="D9D9D9"/>
            <w:vAlign w:val="center"/>
            <w:hideMark/>
          </w:tcPr>
          <w:p w14:paraId="74564935" w14:textId="77777777" w:rsidR="00002057" w:rsidRPr="004C70EC" w:rsidRDefault="00002057" w:rsidP="00002057">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Cs w:val="24"/>
                <w:lang w:val="en-IE" w:eastAsia="en-IE"/>
              </w:rPr>
              <w:t>13,039</w:t>
            </w:r>
          </w:p>
        </w:tc>
        <w:tc>
          <w:tcPr>
            <w:tcW w:w="1536" w:type="dxa"/>
            <w:tcBorders>
              <w:top w:val="nil"/>
              <w:left w:val="nil"/>
              <w:bottom w:val="single" w:sz="8" w:space="0" w:color="auto"/>
              <w:right w:val="single" w:sz="8" w:space="0" w:color="auto"/>
            </w:tcBorders>
            <w:shd w:val="clear" w:color="000000" w:fill="D9D9D9"/>
            <w:vAlign w:val="center"/>
            <w:hideMark/>
          </w:tcPr>
          <w:p w14:paraId="2D436320" w14:textId="77777777" w:rsidR="00002057" w:rsidRPr="004C70EC" w:rsidRDefault="00002057" w:rsidP="00002057">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Cs w:val="24"/>
                <w:lang w:val="en-IE" w:eastAsia="en-IE"/>
              </w:rPr>
              <w:t>13,120</w:t>
            </w:r>
          </w:p>
        </w:tc>
        <w:tc>
          <w:tcPr>
            <w:tcW w:w="1536" w:type="dxa"/>
            <w:tcBorders>
              <w:top w:val="nil"/>
              <w:left w:val="nil"/>
              <w:bottom w:val="single" w:sz="8" w:space="0" w:color="auto"/>
              <w:right w:val="single" w:sz="8" w:space="0" w:color="auto"/>
            </w:tcBorders>
            <w:shd w:val="clear" w:color="000000" w:fill="D9D9D9"/>
            <w:vAlign w:val="center"/>
            <w:hideMark/>
          </w:tcPr>
          <w:p w14:paraId="0D3E999F" w14:textId="77777777" w:rsidR="00002057" w:rsidRPr="004C70EC" w:rsidRDefault="00002057" w:rsidP="00002057">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Cs w:val="24"/>
                <w:lang w:val="en-IE" w:eastAsia="en-IE"/>
              </w:rPr>
              <w:t>13,202</w:t>
            </w:r>
          </w:p>
        </w:tc>
        <w:tc>
          <w:tcPr>
            <w:tcW w:w="1536" w:type="dxa"/>
            <w:tcBorders>
              <w:top w:val="nil"/>
              <w:left w:val="nil"/>
              <w:bottom w:val="single" w:sz="8" w:space="0" w:color="auto"/>
              <w:right w:val="single" w:sz="8" w:space="0" w:color="auto"/>
            </w:tcBorders>
            <w:shd w:val="clear" w:color="000000" w:fill="D9D9D9"/>
            <w:vAlign w:val="center"/>
            <w:hideMark/>
          </w:tcPr>
          <w:p w14:paraId="359817D1" w14:textId="77777777" w:rsidR="00002057" w:rsidRPr="004C70EC" w:rsidRDefault="00002057" w:rsidP="00002057">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Cs w:val="24"/>
                <w:lang w:val="en-IE" w:eastAsia="en-IE"/>
              </w:rPr>
              <w:t>13,286</w:t>
            </w:r>
          </w:p>
        </w:tc>
        <w:tc>
          <w:tcPr>
            <w:tcW w:w="1536" w:type="dxa"/>
            <w:tcBorders>
              <w:top w:val="nil"/>
              <w:left w:val="nil"/>
              <w:bottom w:val="single" w:sz="8" w:space="0" w:color="auto"/>
              <w:right w:val="single" w:sz="8" w:space="0" w:color="auto"/>
            </w:tcBorders>
            <w:shd w:val="clear" w:color="000000" w:fill="D9D9D9"/>
            <w:vAlign w:val="center"/>
            <w:hideMark/>
          </w:tcPr>
          <w:p w14:paraId="26D68977" w14:textId="77777777" w:rsidR="00002057" w:rsidRPr="004C70EC" w:rsidRDefault="00002057" w:rsidP="00002057">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Cs w:val="24"/>
                <w:lang w:val="en-IE" w:eastAsia="en-IE"/>
              </w:rPr>
              <w:t>13,372</w:t>
            </w:r>
          </w:p>
        </w:tc>
        <w:tc>
          <w:tcPr>
            <w:tcW w:w="1776" w:type="dxa"/>
            <w:tcBorders>
              <w:top w:val="nil"/>
              <w:left w:val="nil"/>
              <w:bottom w:val="single" w:sz="8" w:space="0" w:color="auto"/>
              <w:right w:val="single" w:sz="8" w:space="0" w:color="auto"/>
            </w:tcBorders>
            <w:shd w:val="clear" w:color="000000" w:fill="D9D9D9"/>
            <w:vAlign w:val="center"/>
            <w:hideMark/>
          </w:tcPr>
          <w:p w14:paraId="0F645A39" w14:textId="77777777" w:rsidR="00002057" w:rsidRPr="004C70EC" w:rsidRDefault="00002057" w:rsidP="00002057">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Cs w:val="24"/>
                <w:lang w:val="en-IE" w:eastAsia="en-IE"/>
              </w:rPr>
              <w:t>104,924</w:t>
            </w:r>
          </w:p>
        </w:tc>
      </w:tr>
    </w:tbl>
    <w:p w14:paraId="6BEE44BA" w14:textId="77777777" w:rsidR="000D5FD3" w:rsidRPr="004C70EC" w:rsidRDefault="000D5FD3" w:rsidP="00BC0890">
      <w:pPr>
        <w:rPr>
          <w:noProof/>
          <w:color w:val="000000" w:themeColor="text1"/>
          <w:szCs w:val="24"/>
        </w:rPr>
      </w:pPr>
    </w:p>
    <w:p w14:paraId="2ECF7A00" w14:textId="77777777" w:rsidR="007966CD" w:rsidRPr="004C70EC" w:rsidRDefault="007966CD">
      <w:pPr>
        <w:rPr>
          <w:rFonts w:eastAsia="Aptos"/>
          <w:noProof/>
          <w:color w:val="000000" w:themeColor="text1"/>
          <w:szCs w:val="24"/>
        </w:rPr>
      </w:pPr>
    </w:p>
    <w:p w14:paraId="6888112A" w14:textId="77777777" w:rsidR="007966CD" w:rsidRPr="004C70EC" w:rsidRDefault="007966CD">
      <w:pPr>
        <w:rPr>
          <w:rFonts w:eastAsia="Aptos"/>
          <w:noProof/>
          <w:color w:val="000000" w:themeColor="text1"/>
          <w:szCs w:val="24"/>
        </w:rPr>
      </w:pPr>
      <w:r w:rsidRPr="004C70EC">
        <w:rPr>
          <w:rFonts w:eastAsia="Aptos"/>
          <w:noProof/>
          <w:color w:val="000000" w:themeColor="text1"/>
          <w:szCs w:val="24"/>
        </w:rPr>
        <w:t>* Figures in the table above are all strictly indicative pending the outcome of the 2028-2034 MFF negotiations which cannot be prejudged.</w:t>
      </w:r>
    </w:p>
    <w:p w14:paraId="470756D1" w14:textId="77777777" w:rsidR="007966CD" w:rsidRPr="004C70EC" w:rsidRDefault="007966CD">
      <w:pPr>
        <w:pStyle w:val="ManualHeading3"/>
        <w:rPr>
          <w:noProof/>
          <w:color w:val="000000" w:themeColor="text1"/>
          <w:szCs w:val="24"/>
        </w:rPr>
      </w:pPr>
      <w:r w:rsidRPr="004C70EC">
        <w:rPr>
          <w:noProof/>
          <w:color w:val="000000" w:themeColor="text1"/>
          <w:szCs w:val="24"/>
        </w:rPr>
        <w:t>3.2.2.</w:t>
      </w:r>
      <w:r w:rsidRPr="004C70EC">
        <w:rPr>
          <w:noProof/>
          <w:color w:val="000000" w:themeColor="text1"/>
          <w:szCs w:val="24"/>
        </w:rPr>
        <w:tab/>
        <w:t>Estimated output funded from operational appropriations (not to be completed for decentralised agencies)</w:t>
      </w:r>
    </w:p>
    <w:p w14:paraId="7F9A729A" w14:textId="77777777" w:rsidR="00D869EC" w:rsidRPr="004C70EC" w:rsidRDefault="00D869EC" w:rsidP="00D869EC">
      <w:pPr>
        <w:pStyle w:val="Text1"/>
        <w:rPr>
          <w:noProof/>
          <w:color w:val="000000" w:themeColor="text1"/>
          <w:szCs w:val="24"/>
        </w:rPr>
      </w:pPr>
    </w:p>
    <w:p w14:paraId="632B869D" w14:textId="77777777" w:rsidR="001268C6" w:rsidRPr="004C70EC" w:rsidRDefault="000E60F3" w:rsidP="001268C6">
      <w:pPr>
        <w:rPr>
          <w:rFonts w:eastAsia="Aptos"/>
          <w:noProof/>
          <w:color w:val="000000" w:themeColor="text1"/>
          <w:szCs w:val="24"/>
        </w:rPr>
      </w:pPr>
      <w:r w:rsidRPr="004C70EC">
        <w:rPr>
          <w:noProof/>
          <w:color w:val="000000" w:themeColor="text1"/>
          <w:szCs w:val="24"/>
        </w:rPr>
        <w:t xml:space="preserve">The </w:t>
      </w:r>
      <w:r w:rsidR="00D5468E" w:rsidRPr="004C70EC">
        <w:rPr>
          <w:noProof/>
          <w:color w:val="000000" w:themeColor="text1"/>
          <w:szCs w:val="24"/>
        </w:rPr>
        <w:t xml:space="preserve">output funded from </w:t>
      </w:r>
      <w:r w:rsidR="009429E0" w:rsidRPr="004C70EC">
        <w:rPr>
          <w:noProof/>
          <w:color w:val="000000" w:themeColor="text1"/>
          <w:szCs w:val="24"/>
        </w:rPr>
        <w:t xml:space="preserve">operational appropriations cannot be calculated </w:t>
      </w:r>
      <w:r w:rsidR="001268C6" w:rsidRPr="004C70EC">
        <w:rPr>
          <w:noProof/>
          <w:color w:val="000000" w:themeColor="text1"/>
          <w:szCs w:val="24"/>
        </w:rPr>
        <w:t xml:space="preserve">as the </w:t>
      </w:r>
      <w:r w:rsidR="001268C6" w:rsidRPr="004C70EC">
        <w:rPr>
          <w:rFonts w:eastAsia="Aptos"/>
          <w:noProof/>
          <w:color w:val="000000" w:themeColor="text1"/>
          <w:szCs w:val="24"/>
        </w:rPr>
        <w:t xml:space="preserve">outcome of the 2028-2034 MFF </w:t>
      </w:r>
      <w:r w:rsidR="0086778C" w:rsidRPr="004C70EC">
        <w:rPr>
          <w:rFonts w:eastAsia="Aptos"/>
          <w:noProof/>
          <w:color w:val="000000" w:themeColor="text1"/>
          <w:szCs w:val="24"/>
        </w:rPr>
        <w:t>negotiations</w:t>
      </w:r>
      <w:r w:rsidR="00D5468E" w:rsidRPr="004C70EC">
        <w:rPr>
          <w:rFonts w:eastAsia="Aptos"/>
          <w:noProof/>
          <w:color w:val="000000" w:themeColor="text1"/>
          <w:szCs w:val="24"/>
        </w:rPr>
        <w:t>,</w:t>
      </w:r>
      <w:r w:rsidR="0086778C" w:rsidRPr="004C70EC">
        <w:rPr>
          <w:rFonts w:eastAsia="Aptos"/>
          <w:noProof/>
          <w:color w:val="000000" w:themeColor="text1"/>
          <w:szCs w:val="24"/>
        </w:rPr>
        <w:t xml:space="preserve"> still</w:t>
      </w:r>
      <w:r w:rsidR="001268C6" w:rsidRPr="004C70EC">
        <w:rPr>
          <w:rFonts w:eastAsia="Aptos"/>
          <w:noProof/>
          <w:color w:val="000000" w:themeColor="text1"/>
          <w:szCs w:val="24"/>
        </w:rPr>
        <w:t xml:space="preserve"> ongoing </w:t>
      </w:r>
      <w:r w:rsidR="00B82693" w:rsidRPr="004C70EC">
        <w:rPr>
          <w:rFonts w:eastAsia="Aptos"/>
          <w:noProof/>
          <w:color w:val="000000" w:themeColor="text1"/>
          <w:szCs w:val="24"/>
        </w:rPr>
        <w:t xml:space="preserve"> </w:t>
      </w:r>
      <w:r w:rsidR="009429E0" w:rsidRPr="004C70EC">
        <w:rPr>
          <w:rFonts w:eastAsia="Aptos"/>
          <w:noProof/>
          <w:color w:val="000000" w:themeColor="text1"/>
          <w:szCs w:val="24"/>
        </w:rPr>
        <w:t>at time of completing the LFDS</w:t>
      </w:r>
      <w:r w:rsidR="0086778C" w:rsidRPr="004C70EC">
        <w:rPr>
          <w:rFonts w:eastAsia="Aptos"/>
          <w:noProof/>
          <w:color w:val="000000" w:themeColor="text1"/>
          <w:szCs w:val="24"/>
        </w:rPr>
        <w:t>,</w:t>
      </w:r>
      <w:r w:rsidR="00B82693" w:rsidRPr="004C70EC">
        <w:rPr>
          <w:rFonts w:eastAsia="Aptos"/>
          <w:noProof/>
          <w:color w:val="000000" w:themeColor="text1"/>
          <w:szCs w:val="24"/>
        </w:rPr>
        <w:t xml:space="preserve"> </w:t>
      </w:r>
      <w:r w:rsidR="001268C6" w:rsidRPr="004C70EC">
        <w:rPr>
          <w:rFonts w:eastAsia="Aptos"/>
          <w:noProof/>
          <w:color w:val="000000" w:themeColor="text1"/>
          <w:szCs w:val="24"/>
        </w:rPr>
        <w:t>cannot be prejudged.</w:t>
      </w:r>
    </w:p>
    <w:p w14:paraId="17D81ADE" w14:textId="77777777" w:rsidR="009429E0" w:rsidRPr="004C70EC" w:rsidRDefault="009429E0" w:rsidP="00431990">
      <w:pPr>
        <w:pStyle w:val="Text1"/>
        <w:rPr>
          <w:noProof/>
          <w:color w:val="000000" w:themeColor="text1"/>
          <w:szCs w:val="24"/>
        </w:rPr>
      </w:pPr>
    </w:p>
    <w:p w14:paraId="588B645B" w14:textId="77777777" w:rsidR="007966CD" w:rsidRPr="004C70EC" w:rsidRDefault="007966CD">
      <w:pPr>
        <w:jc w:val="right"/>
        <w:rPr>
          <w:noProof/>
          <w:color w:val="000000" w:themeColor="text1"/>
          <w:szCs w:val="24"/>
          <w:lang w:val="en-IE"/>
        </w:rPr>
      </w:pPr>
    </w:p>
    <w:p w14:paraId="7695C940" w14:textId="77777777" w:rsidR="007966CD" w:rsidRPr="004C70EC" w:rsidRDefault="007966CD">
      <w:pPr>
        <w:rPr>
          <w:noProof/>
          <w:color w:val="000000" w:themeColor="text1"/>
          <w:szCs w:val="24"/>
        </w:rPr>
        <w:sectPr w:rsidR="007966CD" w:rsidRPr="004C70EC" w:rsidSect="007A289E">
          <w:headerReference w:type="default" r:id="rId30"/>
          <w:footerReference w:type="default" r:id="rId31"/>
          <w:footnotePr>
            <w:numRestart w:val="eachSect"/>
          </w:footnotePr>
          <w:pgSz w:w="16840" w:h="11907" w:orient="landscape" w:code="9"/>
          <w:pgMar w:top="1134" w:right="1418" w:bottom="567" w:left="1418" w:header="709" w:footer="709" w:gutter="0"/>
          <w:cols w:space="708"/>
          <w:docGrid w:linePitch="360"/>
        </w:sectPr>
      </w:pPr>
    </w:p>
    <w:p w14:paraId="6B56A66A" w14:textId="77777777" w:rsidR="007966CD" w:rsidRPr="004C70EC" w:rsidRDefault="007966CD">
      <w:pPr>
        <w:pStyle w:val="ManualHeading3"/>
        <w:rPr>
          <w:bCs/>
          <w:noProof/>
          <w:color w:val="000000" w:themeColor="text1"/>
          <w:szCs w:val="24"/>
        </w:rPr>
      </w:pPr>
      <w:bookmarkStart w:id="68" w:name="_Toc46C2CF7527084A8AB0E10D12466B47AB"/>
      <w:r w:rsidRPr="004C70EC">
        <w:rPr>
          <w:noProof/>
          <w:color w:val="000000" w:themeColor="text1"/>
          <w:szCs w:val="24"/>
        </w:rPr>
        <w:t>3.2.3.</w:t>
      </w:r>
      <w:r w:rsidRPr="004C70EC">
        <w:rPr>
          <w:noProof/>
          <w:color w:val="000000" w:themeColor="text1"/>
          <w:szCs w:val="24"/>
        </w:rPr>
        <w:tab/>
        <w:t xml:space="preserve">Summary of estimated impact on administrative appropriations </w:t>
      </w:r>
      <w:bookmarkEnd w:id="68"/>
      <w:r w:rsidRPr="004C70EC">
        <w:rPr>
          <w:noProof/>
          <w:color w:val="000000" w:themeColor="text1"/>
          <w:szCs w:val="24"/>
        </w:rPr>
        <w:t>(not to be completed for decentralised agencies)</w:t>
      </w:r>
    </w:p>
    <w:p w14:paraId="763B2E9C" w14:textId="77777777" w:rsidR="007966CD" w:rsidRPr="004C70EC" w:rsidRDefault="007966CD">
      <w:pPr>
        <w:pStyle w:val="ListDash1"/>
        <w:rPr>
          <w:noProof/>
          <w:color w:val="000000" w:themeColor="text1"/>
          <w:szCs w:val="24"/>
        </w:rPr>
      </w:pPr>
      <w:r w:rsidRPr="004C70EC">
        <w:rPr>
          <w:rFonts w:eastAsia="Wingdings"/>
          <w:noProof/>
          <w:color w:val="000000" w:themeColor="text1"/>
          <w:szCs w:val="24"/>
        </w:rPr>
        <w:t>¨</w:t>
      </w:r>
      <w:r w:rsidRPr="004C70EC">
        <w:rPr>
          <w:noProof/>
          <w:color w:val="000000" w:themeColor="text1"/>
          <w:szCs w:val="24"/>
        </w:rPr>
        <w:tab/>
        <w:t xml:space="preserve">The proposal/initiative does not require the use of appropriations of an administrative nature </w:t>
      </w:r>
    </w:p>
    <w:p w14:paraId="57780B7C" w14:textId="77777777" w:rsidR="007966CD" w:rsidRPr="004C70EC" w:rsidRDefault="007966CD">
      <w:pPr>
        <w:pStyle w:val="ListDash1"/>
        <w:rPr>
          <w:noProof/>
          <w:color w:val="000000" w:themeColor="text1"/>
          <w:szCs w:val="24"/>
        </w:rPr>
      </w:pPr>
      <w:r w:rsidRPr="004C70EC">
        <w:rPr>
          <w:rStyle w:val="normaltextrun"/>
          <w:rFonts w:eastAsia="Wingdings"/>
          <w:noProof/>
          <w:color w:val="000000" w:themeColor="text1"/>
          <w:szCs w:val="24"/>
          <w:bdr w:val="none" w:sz="0" w:space="0" w:color="auto" w:frame="1"/>
        </w:rPr>
        <w:t>x</w:t>
      </w:r>
      <w:r w:rsidRPr="004C70EC">
        <w:rPr>
          <w:noProof/>
          <w:color w:val="000000" w:themeColor="text1"/>
          <w:szCs w:val="24"/>
        </w:rPr>
        <w:tab/>
        <w:t>The proposal/initiative requires the use of appropriations of an administrative nature, as explained below</w:t>
      </w:r>
    </w:p>
    <w:p w14:paraId="335D74C8" w14:textId="77777777" w:rsidR="00C17C04" w:rsidRPr="004C70EC" w:rsidRDefault="00C17C04" w:rsidP="00C17C04">
      <w:pPr>
        <w:pStyle w:val="ListDash1"/>
        <w:rPr>
          <w:noProof/>
          <w:color w:val="000000" w:themeColor="text1"/>
          <w:szCs w:val="24"/>
        </w:rPr>
      </w:pPr>
      <w:bookmarkStart w:id="69" w:name="_Toc5684BFD6016342A6AACD7E72445DCFB0"/>
      <w:r w:rsidRPr="004C70EC">
        <w:rPr>
          <w:noProof/>
          <w:color w:val="000000" w:themeColor="text1"/>
          <w:szCs w:val="24"/>
        </w:rPr>
        <w:t>3.2.3.1</w:t>
      </w:r>
      <w:r w:rsidRPr="004C70EC">
        <w:rPr>
          <w:noProof/>
          <w:color w:val="000000" w:themeColor="text1"/>
          <w:szCs w:val="24"/>
        </w:rPr>
        <w:tab/>
        <w:t xml:space="preserve">Appropriations </w:t>
      </w:r>
      <w:r w:rsidRPr="004C70EC">
        <w:rPr>
          <w:rFonts w:eastAsia="Calibri"/>
          <w:noProof/>
          <w:color w:val="000000" w:themeColor="text1"/>
          <w:szCs w:val="24"/>
        </w:rPr>
        <w:t>from</w:t>
      </w:r>
      <w:r w:rsidRPr="004C70EC">
        <w:rPr>
          <w:noProof/>
          <w:color w:val="000000" w:themeColor="text1"/>
          <w:szCs w:val="24"/>
        </w:rPr>
        <w:t xml:space="preserve"> voted budget</w:t>
      </w:r>
    </w:p>
    <w:tbl>
      <w:tblPr>
        <w:tblW w:w="10648" w:type="dxa"/>
        <w:tblInd w:w="-792" w:type="dxa"/>
        <w:tblLook w:val="04A0" w:firstRow="1" w:lastRow="0" w:firstColumn="1" w:lastColumn="0" w:noHBand="0" w:noVBand="1"/>
      </w:tblPr>
      <w:tblGrid>
        <w:gridCol w:w="2766"/>
        <w:gridCol w:w="756"/>
        <w:gridCol w:w="756"/>
        <w:gridCol w:w="756"/>
        <w:gridCol w:w="761"/>
        <w:gridCol w:w="761"/>
        <w:gridCol w:w="756"/>
        <w:gridCol w:w="756"/>
        <w:gridCol w:w="1057"/>
        <w:gridCol w:w="1523"/>
      </w:tblGrid>
      <w:tr w:rsidR="004A1163" w:rsidRPr="004C70EC" w14:paraId="4E881D29" w14:textId="77777777" w:rsidTr="002D7694">
        <w:trPr>
          <w:trHeight w:val="307"/>
        </w:trPr>
        <w:tc>
          <w:tcPr>
            <w:tcW w:w="2766" w:type="dxa"/>
            <w:vMerge w:val="restart"/>
            <w:tcBorders>
              <w:top w:val="single" w:sz="8" w:space="0" w:color="auto"/>
              <w:left w:val="single" w:sz="8" w:space="0" w:color="auto"/>
              <w:bottom w:val="single" w:sz="8" w:space="0" w:color="auto"/>
              <w:right w:val="single" w:sz="8" w:space="0" w:color="auto"/>
            </w:tcBorders>
            <w:vAlign w:val="center"/>
            <w:hideMark/>
          </w:tcPr>
          <w:p w14:paraId="2355E33E" w14:textId="77777777" w:rsidR="00C17C04" w:rsidRPr="004C70EC" w:rsidRDefault="00C17C0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VOTED APPROPRIATIONS</w:t>
            </w:r>
          </w:p>
        </w:tc>
        <w:tc>
          <w:tcPr>
            <w:tcW w:w="756" w:type="dxa"/>
            <w:tcBorders>
              <w:top w:val="single" w:sz="8" w:space="0" w:color="auto"/>
              <w:left w:val="nil"/>
              <w:bottom w:val="single" w:sz="8" w:space="0" w:color="auto"/>
              <w:right w:val="single" w:sz="8" w:space="0" w:color="auto"/>
            </w:tcBorders>
            <w:vAlign w:val="center"/>
            <w:hideMark/>
          </w:tcPr>
          <w:p w14:paraId="30FB790C" w14:textId="77777777" w:rsidR="00C17C04" w:rsidRPr="004C70EC" w:rsidRDefault="00C17C04">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756" w:type="dxa"/>
            <w:tcBorders>
              <w:top w:val="single" w:sz="8" w:space="0" w:color="auto"/>
              <w:left w:val="nil"/>
              <w:bottom w:val="single" w:sz="8" w:space="0" w:color="auto"/>
              <w:right w:val="single" w:sz="8" w:space="0" w:color="auto"/>
            </w:tcBorders>
            <w:vAlign w:val="center"/>
            <w:hideMark/>
          </w:tcPr>
          <w:p w14:paraId="3A5F8BB0" w14:textId="77777777" w:rsidR="00C17C04" w:rsidRPr="004C70EC" w:rsidRDefault="00C17C04">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756" w:type="dxa"/>
            <w:tcBorders>
              <w:top w:val="single" w:sz="8" w:space="0" w:color="auto"/>
              <w:left w:val="nil"/>
              <w:bottom w:val="single" w:sz="8" w:space="0" w:color="auto"/>
              <w:right w:val="single" w:sz="8" w:space="0" w:color="auto"/>
            </w:tcBorders>
            <w:vAlign w:val="center"/>
            <w:hideMark/>
          </w:tcPr>
          <w:p w14:paraId="7E7EBFF7" w14:textId="77777777" w:rsidR="00C17C04" w:rsidRPr="004C70EC" w:rsidRDefault="00C17C04">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761" w:type="dxa"/>
            <w:tcBorders>
              <w:top w:val="single" w:sz="8" w:space="0" w:color="auto"/>
              <w:left w:val="nil"/>
              <w:bottom w:val="single" w:sz="8" w:space="0" w:color="auto"/>
              <w:right w:val="single" w:sz="8" w:space="0" w:color="auto"/>
            </w:tcBorders>
            <w:vAlign w:val="center"/>
            <w:hideMark/>
          </w:tcPr>
          <w:p w14:paraId="5F976F8C" w14:textId="77777777" w:rsidR="00C17C04" w:rsidRPr="004C70EC" w:rsidRDefault="00C17C04">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761" w:type="dxa"/>
            <w:tcBorders>
              <w:top w:val="single" w:sz="8" w:space="0" w:color="auto"/>
              <w:left w:val="nil"/>
              <w:bottom w:val="single" w:sz="8" w:space="0" w:color="auto"/>
              <w:right w:val="single" w:sz="8" w:space="0" w:color="auto"/>
            </w:tcBorders>
            <w:vAlign w:val="center"/>
            <w:hideMark/>
          </w:tcPr>
          <w:p w14:paraId="4F9F41C6" w14:textId="77777777" w:rsidR="00C17C04" w:rsidRPr="004C70EC" w:rsidRDefault="00C17C04">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756" w:type="dxa"/>
            <w:tcBorders>
              <w:top w:val="single" w:sz="8" w:space="0" w:color="auto"/>
              <w:left w:val="nil"/>
              <w:bottom w:val="single" w:sz="8" w:space="0" w:color="auto"/>
              <w:right w:val="single" w:sz="8" w:space="0" w:color="auto"/>
            </w:tcBorders>
            <w:vAlign w:val="center"/>
            <w:hideMark/>
          </w:tcPr>
          <w:p w14:paraId="2BAB22B2" w14:textId="77777777" w:rsidR="00C17C04" w:rsidRPr="004C70EC" w:rsidRDefault="00C17C04">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756" w:type="dxa"/>
            <w:tcBorders>
              <w:top w:val="single" w:sz="8" w:space="0" w:color="auto"/>
              <w:left w:val="nil"/>
              <w:bottom w:val="single" w:sz="8" w:space="0" w:color="auto"/>
              <w:right w:val="single" w:sz="8" w:space="0" w:color="auto"/>
            </w:tcBorders>
            <w:vAlign w:val="center"/>
            <w:hideMark/>
          </w:tcPr>
          <w:p w14:paraId="5F5ED15E" w14:textId="77777777" w:rsidR="00C17C04" w:rsidRPr="004C70EC" w:rsidRDefault="00C17C04">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057" w:type="dxa"/>
            <w:vMerge w:val="restart"/>
            <w:tcBorders>
              <w:top w:val="single" w:sz="8" w:space="0" w:color="auto"/>
              <w:left w:val="single" w:sz="8" w:space="0" w:color="auto"/>
              <w:bottom w:val="single" w:sz="8" w:space="0" w:color="auto"/>
              <w:right w:val="single" w:sz="8" w:space="0" w:color="auto"/>
            </w:tcBorders>
            <w:vAlign w:val="center"/>
            <w:hideMark/>
          </w:tcPr>
          <w:p w14:paraId="5392E0A8" w14:textId="77777777" w:rsidR="00C17C04" w:rsidRPr="004C70EC" w:rsidRDefault="00C17C0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w:t>
            </w:r>
            <w:r w:rsidRPr="004C70EC">
              <w:rPr>
                <w:rFonts w:eastAsia="Times New Roman"/>
                <w:b/>
                <w:bCs/>
                <w:noProof/>
                <w:color w:val="000000" w:themeColor="text1"/>
                <w:szCs w:val="24"/>
                <w:lang w:val="en-IE" w:eastAsia="en-IE"/>
              </w:rPr>
              <w:br/>
              <w:t>2028 - 2034</w:t>
            </w:r>
          </w:p>
        </w:tc>
        <w:tc>
          <w:tcPr>
            <w:tcW w:w="1523" w:type="dxa"/>
            <w:tcBorders>
              <w:top w:val="single" w:sz="8" w:space="0" w:color="auto"/>
              <w:left w:val="nil"/>
              <w:bottom w:val="single" w:sz="8" w:space="0" w:color="auto"/>
              <w:right w:val="single" w:sz="8" w:space="0" w:color="auto"/>
            </w:tcBorders>
            <w:vAlign w:val="center"/>
            <w:hideMark/>
          </w:tcPr>
          <w:p w14:paraId="44C1813F" w14:textId="77777777" w:rsidR="00C17C04" w:rsidRPr="004C70EC" w:rsidRDefault="00C17C04">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POST</w:t>
            </w:r>
          </w:p>
        </w:tc>
      </w:tr>
      <w:tr w:rsidR="004A1163" w:rsidRPr="004C70EC" w14:paraId="06EAB581" w14:textId="77777777" w:rsidTr="002D7694">
        <w:trPr>
          <w:trHeight w:val="323"/>
        </w:trPr>
        <w:tc>
          <w:tcPr>
            <w:tcW w:w="2766" w:type="dxa"/>
            <w:vMerge/>
            <w:tcBorders>
              <w:top w:val="single" w:sz="8" w:space="0" w:color="auto"/>
              <w:left w:val="single" w:sz="8" w:space="0" w:color="auto"/>
              <w:bottom w:val="single" w:sz="8" w:space="0" w:color="auto"/>
              <w:right w:val="single" w:sz="8" w:space="0" w:color="auto"/>
            </w:tcBorders>
            <w:vAlign w:val="center"/>
            <w:hideMark/>
          </w:tcPr>
          <w:p w14:paraId="56D38E7A" w14:textId="77777777" w:rsidR="00C17C04" w:rsidRPr="004C70EC" w:rsidRDefault="00C17C04">
            <w:pPr>
              <w:spacing w:before="0" w:after="0"/>
              <w:jc w:val="left"/>
              <w:rPr>
                <w:rFonts w:eastAsia="Times New Roman"/>
                <w:b/>
                <w:bCs/>
                <w:noProof/>
                <w:color w:val="000000" w:themeColor="text1"/>
                <w:szCs w:val="24"/>
                <w:lang w:val="en-IE" w:eastAsia="en-IE"/>
              </w:rPr>
            </w:pPr>
          </w:p>
        </w:tc>
        <w:tc>
          <w:tcPr>
            <w:tcW w:w="756" w:type="dxa"/>
            <w:tcBorders>
              <w:top w:val="nil"/>
              <w:left w:val="nil"/>
              <w:bottom w:val="single" w:sz="8" w:space="0" w:color="auto"/>
              <w:right w:val="single" w:sz="8" w:space="0" w:color="auto"/>
            </w:tcBorders>
            <w:vAlign w:val="center"/>
            <w:hideMark/>
          </w:tcPr>
          <w:p w14:paraId="0D0DBD55" w14:textId="77777777" w:rsidR="00C17C04" w:rsidRPr="004C70EC" w:rsidRDefault="00C17C0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2028</w:t>
            </w:r>
          </w:p>
        </w:tc>
        <w:tc>
          <w:tcPr>
            <w:tcW w:w="756" w:type="dxa"/>
            <w:tcBorders>
              <w:top w:val="nil"/>
              <w:left w:val="nil"/>
              <w:bottom w:val="single" w:sz="8" w:space="0" w:color="auto"/>
              <w:right w:val="single" w:sz="8" w:space="0" w:color="auto"/>
            </w:tcBorders>
            <w:vAlign w:val="center"/>
            <w:hideMark/>
          </w:tcPr>
          <w:p w14:paraId="632525A4" w14:textId="77777777" w:rsidR="00C17C04" w:rsidRPr="004C70EC" w:rsidRDefault="00C17C0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2029</w:t>
            </w:r>
          </w:p>
        </w:tc>
        <w:tc>
          <w:tcPr>
            <w:tcW w:w="756" w:type="dxa"/>
            <w:tcBorders>
              <w:top w:val="nil"/>
              <w:left w:val="nil"/>
              <w:bottom w:val="single" w:sz="8" w:space="0" w:color="auto"/>
              <w:right w:val="single" w:sz="8" w:space="0" w:color="auto"/>
            </w:tcBorders>
            <w:vAlign w:val="center"/>
            <w:hideMark/>
          </w:tcPr>
          <w:p w14:paraId="2321F486" w14:textId="77777777" w:rsidR="00C17C04" w:rsidRPr="004C70EC" w:rsidRDefault="00C17C0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2030</w:t>
            </w:r>
          </w:p>
        </w:tc>
        <w:tc>
          <w:tcPr>
            <w:tcW w:w="761" w:type="dxa"/>
            <w:tcBorders>
              <w:top w:val="nil"/>
              <w:left w:val="nil"/>
              <w:bottom w:val="single" w:sz="8" w:space="0" w:color="auto"/>
              <w:right w:val="single" w:sz="8" w:space="0" w:color="auto"/>
            </w:tcBorders>
            <w:vAlign w:val="center"/>
            <w:hideMark/>
          </w:tcPr>
          <w:p w14:paraId="68AE7A64" w14:textId="77777777" w:rsidR="00C17C04" w:rsidRPr="004C70EC" w:rsidRDefault="00C17C0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2031</w:t>
            </w:r>
          </w:p>
        </w:tc>
        <w:tc>
          <w:tcPr>
            <w:tcW w:w="761" w:type="dxa"/>
            <w:tcBorders>
              <w:top w:val="nil"/>
              <w:left w:val="nil"/>
              <w:bottom w:val="single" w:sz="8" w:space="0" w:color="auto"/>
              <w:right w:val="single" w:sz="8" w:space="0" w:color="auto"/>
            </w:tcBorders>
            <w:vAlign w:val="center"/>
            <w:hideMark/>
          </w:tcPr>
          <w:p w14:paraId="089A33A3" w14:textId="77777777" w:rsidR="00C17C04" w:rsidRPr="004C70EC" w:rsidRDefault="00C17C0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2032</w:t>
            </w:r>
          </w:p>
        </w:tc>
        <w:tc>
          <w:tcPr>
            <w:tcW w:w="756" w:type="dxa"/>
            <w:tcBorders>
              <w:top w:val="nil"/>
              <w:left w:val="nil"/>
              <w:bottom w:val="single" w:sz="8" w:space="0" w:color="auto"/>
              <w:right w:val="single" w:sz="8" w:space="0" w:color="auto"/>
            </w:tcBorders>
            <w:vAlign w:val="center"/>
            <w:hideMark/>
          </w:tcPr>
          <w:p w14:paraId="1EBB9782" w14:textId="77777777" w:rsidR="00C17C04" w:rsidRPr="004C70EC" w:rsidRDefault="00C17C0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2033</w:t>
            </w:r>
          </w:p>
        </w:tc>
        <w:tc>
          <w:tcPr>
            <w:tcW w:w="756" w:type="dxa"/>
            <w:tcBorders>
              <w:top w:val="nil"/>
              <w:left w:val="nil"/>
              <w:bottom w:val="single" w:sz="8" w:space="0" w:color="auto"/>
              <w:right w:val="single" w:sz="8" w:space="0" w:color="auto"/>
            </w:tcBorders>
            <w:vAlign w:val="center"/>
            <w:hideMark/>
          </w:tcPr>
          <w:p w14:paraId="1DB01EE9" w14:textId="77777777" w:rsidR="00C17C04" w:rsidRPr="004C70EC" w:rsidRDefault="00C17C0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w:t>
            </w:r>
          </w:p>
        </w:tc>
        <w:tc>
          <w:tcPr>
            <w:tcW w:w="1057" w:type="dxa"/>
            <w:vMerge/>
            <w:tcBorders>
              <w:top w:val="single" w:sz="8" w:space="0" w:color="auto"/>
              <w:left w:val="single" w:sz="8" w:space="0" w:color="auto"/>
              <w:bottom w:val="single" w:sz="8" w:space="0" w:color="auto"/>
              <w:right w:val="single" w:sz="8" w:space="0" w:color="auto"/>
            </w:tcBorders>
            <w:vAlign w:val="center"/>
            <w:hideMark/>
          </w:tcPr>
          <w:p w14:paraId="089E8B78" w14:textId="77777777" w:rsidR="00C17C04" w:rsidRPr="004C70EC" w:rsidRDefault="00C17C04">
            <w:pPr>
              <w:spacing w:before="0" w:after="0"/>
              <w:jc w:val="left"/>
              <w:rPr>
                <w:rFonts w:eastAsia="Times New Roman"/>
                <w:b/>
                <w:bCs/>
                <w:noProof/>
                <w:color w:val="000000" w:themeColor="text1"/>
                <w:szCs w:val="24"/>
                <w:lang w:val="en-IE" w:eastAsia="en-IE"/>
              </w:rPr>
            </w:pPr>
          </w:p>
        </w:tc>
        <w:tc>
          <w:tcPr>
            <w:tcW w:w="1523" w:type="dxa"/>
            <w:tcBorders>
              <w:top w:val="nil"/>
              <w:left w:val="nil"/>
              <w:bottom w:val="single" w:sz="8" w:space="0" w:color="auto"/>
              <w:right w:val="single" w:sz="8" w:space="0" w:color="auto"/>
            </w:tcBorders>
            <w:vAlign w:val="center"/>
            <w:hideMark/>
          </w:tcPr>
          <w:p w14:paraId="45591E42" w14:textId="77777777" w:rsidR="00C17C04" w:rsidRPr="004C70EC" w:rsidRDefault="00C17C0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2034(annual expenditure)</w:t>
            </w:r>
          </w:p>
        </w:tc>
      </w:tr>
      <w:tr w:rsidR="004A1163" w:rsidRPr="004C70EC" w14:paraId="245AA69D" w14:textId="77777777" w:rsidTr="002D7694">
        <w:trPr>
          <w:trHeight w:val="323"/>
        </w:trPr>
        <w:tc>
          <w:tcPr>
            <w:tcW w:w="9125" w:type="dxa"/>
            <w:gridSpan w:val="9"/>
            <w:tcBorders>
              <w:top w:val="single" w:sz="8" w:space="0" w:color="auto"/>
              <w:left w:val="single" w:sz="8" w:space="0" w:color="auto"/>
              <w:bottom w:val="single" w:sz="8" w:space="0" w:color="auto"/>
              <w:right w:val="single" w:sz="8" w:space="0" w:color="000000"/>
            </w:tcBorders>
            <w:vAlign w:val="center"/>
            <w:hideMark/>
          </w:tcPr>
          <w:p w14:paraId="7541BC13" w14:textId="77777777" w:rsidR="00C17C04" w:rsidRPr="004C70EC" w:rsidRDefault="00C17C04">
            <w:pPr>
              <w:spacing w:before="0" w:after="0"/>
              <w:jc w:val="lef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HEADING 4</w:t>
            </w:r>
          </w:p>
        </w:tc>
        <w:tc>
          <w:tcPr>
            <w:tcW w:w="1523" w:type="dxa"/>
            <w:tcBorders>
              <w:top w:val="nil"/>
              <w:left w:val="nil"/>
              <w:bottom w:val="single" w:sz="8" w:space="0" w:color="auto"/>
              <w:right w:val="single" w:sz="8" w:space="0" w:color="auto"/>
            </w:tcBorders>
            <w:vAlign w:val="center"/>
            <w:hideMark/>
          </w:tcPr>
          <w:p w14:paraId="75D9172A" w14:textId="77777777" w:rsidR="00C17C04" w:rsidRPr="004C70EC" w:rsidRDefault="00C17C04">
            <w:pPr>
              <w:spacing w:before="0" w:after="0"/>
              <w:jc w:val="lef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w:t>
            </w:r>
          </w:p>
        </w:tc>
      </w:tr>
      <w:tr w:rsidR="00415A3C" w:rsidRPr="004C70EC" w14:paraId="3DA0CF2B" w14:textId="77777777" w:rsidTr="003E6C49">
        <w:trPr>
          <w:trHeight w:val="323"/>
        </w:trPr>
        <w:tc>
          <w:tcPr>
            <w:tcW w:w="2766" w:type="dxa"/>
            <w:tcBorders>
              <w:top w:val="nil"/>
              <w:left w:val="single" w:sz="8" w:space="0" w:color="auto"/>
              <w:bottom w:val="single" w:sz="8" w:space="0" w:color="auto"/>
              <w:right w:val="single" w:sz="8" w:space="0" w:color="auto"/>
            </w:tcBorders>
            <w:vAlign w:val="center"/>
            <w:hideMark/>
          </w:tcPr>
          <w:p w14:paraId="44B68E5B" w14:textId="77777777" w:rsidR="00C17C04" w:rsidRPr="004C70EC" w:rsidRDefault="00C17C04">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xml:space="preserve">Human resources </w:t>
            </w:r>
          </w:p>
        </w:tc>
        <w:tc>
          <w:tcPr>
            <w:tcW w:w="756" w:type="dxa"/>
            <w:tcBorders>
              <w:top w:val="nil"/>
              <w:left w:val="nil"/>
              <w:bottom w:val="single" w:sz="8" w:space="0" w:color="auto"/>
              <w:right w:val="single" w:sz="8" w:space="0" w:color="auto"/>
            </w:tcBorders>
            <w:shd w:val="clear" w:color="000000" w:fill="D9D9D9"/>
            <w:vAlign w:val="center"/>
            <w:hideMark/>
          </w:tcPr>
          <w:p w14:paraId="2A80112D"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6,371</w:t>
            </w:r>
          </w:p>
        </w:tc>
        <w:tc>
          <w:tcPr>
            <w:tcW w:w="756" w:type="dxa"/>
            <w:tcBorders>
              <w:top w:val="nil"/>
              <w:left w:val="nil"/>
              <w:bottom w:val="single" w:sz="8" w:space="0" w:color="auto"/>
              <w:right w:val="single" w:sz="8" w:space="0" w:color="auto"/>
            </w:tcBorders>
            <w:shd w:val="clear" w:color="000000" w:fill="D9D9D9"/>
            <w:vAlign w:val="center"/>
            <w:hideMark/>
          </w:tcPr>
          <w:p w14:paraId="0E1FB634"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6,371</w:t>
            </w:r>
          </w:p>
        </w:tc>
        <w:tc>
          <w:tcPr>
            <w:tcW w:w="756" w:type="dxa"/>
            <w:tcBorders>
              <w:top w:val="nil"/>
              <w:left w:val="nil"/>
              <w:bottom w:val="single" w:sz="8" w:space="0" w:color="auto"/>
              <w:right w:val="single" w:sz="8" w:space="0" w:color="auto"/>
            </w:tcBorders>
            <w:shd w:val="clear" w:color="000000" w:fill="D9D9D9"/>
            <w:vAlign w:val="center"/>
            <w:hideMark/>
          </w:tcPr>
          <w:p w14:paraId="719DADF9"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6,371</w:t>
            </w:r>
          </w:p>
        </w:tc>
        <w:tc>
          <w:tcPr>
            <w:tcW w:w="761" w:type="dxa"/>
            <w:tcBorders>
              <w:top w:val="nil"/>
              <w:left w:val="nil"/>
              <w:bottom w:val="single" w:sz="8" w:space="0" w:color="auto"/>
              <w:right w:val="single" w:sz="8" w:space="0" w:color="auto"/>
            </w:tcBorders>
            <w:shd w:val="clear" w:color="000000" w:fill="D9D9D9"/>
            <w:vAlign w:val="center"/>
            <w:hideMark/>
          </w:tcPr>
          <w:p w14:paraId="4928156E"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6,371</w:t>
            </w:r>
          </w:p>
        </w:tc>
        <w:tc>
          <w:tcPr>
            <w:tcW w:w="761" w:type="dxa"/>
            <w:tcBorders>
              <w:top w:val="nil"/>
              <w:left w:val="nil"/>
              <w:bottom w:val="single" w:sz="8" w:space="0" w:color="auto"/>
              <w:right w:val="single" w:sz="8" w:space="0" w:color="auto"/>
            </w:tcBorders>
            <w:shd w:val="clear" w:color="000000" w:fill="D9D9D9"/>
            <w:vAlign w:val="center"/>
            <w:hideMark/>
          </w:tcPr>
          <w:p w14:paraId="21CAED10"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6,371</w:t>
            </w:r>
          </w:p>
        </w:tc>
        <w:tc>
          <w:tcPr>
            <w:tcW w:w="756" w:type="dxa"/>
            <w:tcBorders>
              <w:top w:val="nil"/>
              <w:left w:val="nil"/>
              <w:bottom w:val="single" w:sz="8" w:space="0" w:color="auto"/>
              <w:right w:val="single" w:sz="8" w:space="0" w:color="auto"/>
            </w:tcBorders>
            <w:shd w:val="clear" w:color="000000" w:fill="D9D9D9"/>
            <w:vAlign w:val="center"/>
            <w:hideMark/>
          </w:tcPr>
          <w:p w14:paraId="00F538F6"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6,371</w:t>
            </w:r>
          </w:p>
        </w:tc>
        <w:tc>
          <w:tcPr>
            <w:tcW w:w="756" w:type="dxa"/>
            <w:tcBorders>
              <w:top w:val="nil"/>
              <w:left w:val="nil"/>
              <w:bottom w:val="single" w:sz="8" w:space="0" w:color="auto"/>
              <w:right w:val="single" w:sz="8" w:space="0" w:color="auto"/>
            </w:tcBorders>
            <w:shd w:val="clear" w:color="000000" w:fill="D9D9D9"/>
            <w:vAlign w:val="center"/>
            <w:hideMark/>
          </w:tcPr>
          <w:p w14:paraId="5A96E70B"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6,371</w:t>
            </w:r>
          </w:p>
        </w:tc>
        <w:tc>
          <w:tcPr>
            <w:tcW w:w="1057" w:type="dxa"/>
            <w:tcBorders>
              <w:top w:val="nil"/>
              <w:left w:val="nil"/>
              <w:bottom w:val="single" w:sz="8" w:space="0" w:color="auto"/>
              <w:right w:val="single" w:sz="8" w:space="0" w:color="auto"/>
            </w:tcBorders>
            <w:shd w:val="clear" w:color="000000" w:fill="D9D9D9"/>
            <w:vAlign w:val="center"/>
            <w:hideMark/>
          </w:tcPr>
          <w:p w14:paraId="6A2A7B3E"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44,597</w:t>
            </w:r>
          </w:p>
        </w:tc>
        <w:tc>
          <w:tcPr>
            <w:tcW w:w="1523" w:type="dxa"/>
            <w:tcBorders>
              <w:top w:val="nil"/>
              <w:left w:val="nil"/>
              <w:bottom w:val="single" w:sz="8" w:space="0" w:color="auto"/>
              <w:right w:val="single" w:sz="8" w:space="0" w:color="auto"/>
            </w:tcBorders>
            <w:shd w:val="clear" w:color="000000" w:fill="D9D9D9"/>
            <w:vAlign w:val="center"/>
            <w:hideMark/>
          </w:tcPr>
          <w:p w14:paraId="7AC6F48D"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6,371</w:t>
            </w:r>
          </w:p>
        </w:tc>
      </w:tr>
      <w:tr w:rsidR="00415A3C" w:rsidRPr="004C70EC" w14:paraId="4D88C75B" w14:textId="77777777" w:rsidTr="003E6C49">
        <w:trPr>
          <w:trHeight w:val="323"/>
        </w:trPr>
        <w:tc>
          <w:tcPr>
            <w:tcW w:w="2766" w:type="dxa"/>
            <w:tcBorders>
              <w:top w:val="nil"/>
              <w:left w:val="single" w:sz="8" w:space="0" w:color="auto"/>
              <w:bottom w:val="single" w:sz="8" w:space="0" w:color="auto"/>
              <w:right w:val="single" w:sz="8" w:space="0" w:color="auto"/>
            </w:tcBorders>
            <w:vAlign w:val="center"/>
            <w:hideMark/>
          </w:tcPr>
          <w:p w14:paraId="5D386788" w14:textId="77777777" w:rsidR="00C17C04" w:rsidRPr="004C70EC" w:rsidRDefault="00C17C04">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xml:space="preserve">Other administrative expenditure </w:t>
            </w:r>
          </w:p>
        </w:tc>
        <w:tc>
          <w:tcPr>
            <w:tcW w:w="756" w:type="dxa"/>
            <w:tcBorders>
              <w:top w:val="nil"/>
              <w:left w:val="nil"/>
              <w:bottom w:val="single" w:sz="8" w:space="0" w:color="auto"/>
              <w:right w:val="single" w:sz="8" w:space="0" w:color="auto"/>
            </w:tcBorders>
            <w:shd w:val="clear" w:color="000000" w:fill="D9D9D9"/>
            <w:vAlign w:val="center"/>
            <w:hideMark/>
          </w:tcPr>
          <w:p w14:paraId="57E8AE1D"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0,010</w:t>
            </w:r>
          </w:p>
        </w:tc>
        <w:tc>
          <w:tcPr>
            <w:tcW w:w="756" w:type="dxa"/>
            <w:tcBorders>
              <w:top w:val="nil"/>
              <w:left w:val="nil"/>
              <w:bottom w:val="single" w:sz="8" w:space="0" w:color="auto"/>
              <w:right w:val="single" w:sz="8" w:space="0" w:color="auto"/>
            </w:tcBorders>
            <w:shd w:val="clear" w:color="000000" w:fill="D9D9D9"/>
            <w:vAlign w:val="center"/>
            <w:hideMark/>
          </w:tcPr>
          <w:p w14:paraId="146C62FB"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0,010</w:t>
            </w:r>
          </w:p>
        </w:tc>
        <w:tc>
          <w:tcPr>
            <w:tcW w:w="756" w:type="dxa"/>
            <w:tcBorders>
              <w:top w:val="nil"/>
              <w:left w:val="nil"/>
              <w:bottom w:val="single" w:sz="8" w:space="0" w:color="auto"/>
              <w:right w:val="single" w:sz="8" w:space="0" w:color="auto"/>
            </w:tcBorders>
            <w:shd w:val="clear" w:color="000000" w:fill="D9D9D9"/>
            <w:vAlign w:val="center"/>
            <w:hideMark/>
          </w:tcPr>
          <w:p w14:paraId="1D1E05DC"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0,010</w:t>
            </w:r>
          </w:p>
        </w:tc>
        <w:tc>
          <w:tcPr>
            <w:tcW w:w="761" w:type="dxa"/>
            <w:tcBorders>
              <w:top w:val="nil"/>
              <w:left w:val="nil"/>
              <w:bottom w:val="single" w:sz="8" w:space="0" w:color="auto"/>
              <w:right w:val="single" w:sz="8" w:space="0" w:color="auto"/>
            </w:tcBorders>
            <w:shd w:val="clear" w:color="000000" w:fill="D9D9D9"/>
            <w:vAlign w:val="center"/>
            <w:hideMark/>
          </w:tcPr>
          <w:p w14:paraId="23D39820"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0,011</w:t>
            </w:r>
          </w:p>
        </w:tc>
        <w:tc>
          <w:tcPr>
            <w:tcW w:w="761" w:type="dxa"/>
            <w:tcBorders>
              <w:top w:val="nil"/>
              <w:left w:val="nil"/>
              <w:bottom w:val="single" w:sz="8" w:space="0" w:color="auto"/>
              <w:right w:val="single" w:sz="8" w:space="0" w:color="auto"/>
            </w:tcBorders>
            <w:shd w:val="clear" w:color="000000" w:fill="D9D9D9"/>
            <w:vAlign w:val="center"/>
            <w:hideMark/>
          </w:tcPr>
          <w:p w14:paraId="077FB6E1"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0,011</w:t>
            </w:r>
          </w:p>
        </w:tc>
        <w:tc>
          <w:tcPr>
            <w:tcW w:w="756" w:type="dxa"/>
            <w:tcBorders>
              <w:top w:val="nil"/>
              <w:left w:val="nil"/>
              <w:bottom w:val="single" w:sz="8" w:space="0" w:color="auto"/>
              <w:right w:val="single" w:sz="8" w:space="0" w:color="auto"/>
            </w:tcBorders>
            <w:shd w:val="clear" w:color="000000" w:fill="D9D9D9"/>
            <w:vAlign w:val="center"/>
            <w:hideMark/>
          </w:tcPr>
          <w:p w14:paraId="49979281"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0,011</w:t>
            </w:r>
          </w:p>
        </w:tc>
        <w:tc>
          <w:tcPr>
            <w:tcW w:w="756" w:type="dxa"/>
            <w:tcBorders>
              <w:top w:val="nil"/>
              <w:left w:val="nil"/>
              <w:bottom w:val="single" w:sz="8" w:space="0" w:color="auto"/>
              <w:right w:val="single" w:sz="8" w:space="0" w:color="auto"/>
            </w:tcBorders>
            <w:shd w:val="clear" w:color="000000" w:fill="D9D9D9"/>
            <w:vAlign w:val="center"/>
            <w:hideMark/>
          </w:tcPr>
          <w:p w14:paraId="56DC449D"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0,011</w:t>
            </w:r>
          </w:p>
        </w:tc>
        <w:tc>
          <w:tcPr>
            <w:tcW w:w="1057" w:type="dxa"/>
            <w:tcBorders>
              <w:top w:val="nil"/>
              <w:left w:val="nil"/>
              <w:bottom w:val="single" w:sz="8" w:space="0" w:color="auto"/>
              <w:right w:val="single" w:sz="8" w:space="0" w:color="auto"/>
            </w:tcBorders>
            <w:shd w:val="clear" w:color="000000" w:fill="D9D9D9"/>
            <w:vAlign w:val="center"/>
            <w:hideMark/>
          </w:tcPr>
          <w:p w14:paraId="5B412E80"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0,075</w:t>
            </w:r>
          </w:p>
        </w:tc>
        <w:tc>
          <w:tcPr>
            <w:tcW w:w="1523" w:type="dxa"/>
            <w:tcBorders>
              <w:top w:val="nil"/>
              <w:left w:val="nil"/>
              <w:bottom w:val="single" w:sz="8" w:space="0" w:color="auto"/>
              <w:right w:val="single" w:sz="8" w:space="0" w:color="auto"/>
            </w:tcBorders>
            <w:shd w:val="clear" w:color="000000" w:fill="D9D9D9"/>
            <w:vAlign w:val="center"/>
            <w:hideMark/>
          </w:tcPr>
          <w:p w14:paraId="6EA1BAD1"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0,011</w:t>
            </w:r>
          </w:p>
        </w:tc>
      </w:tr>
      <w:tr w:rsidR="00415A3C" w:rsidRPr="004C70EC" w14:paraId="7207DE7F" w14:textId="77777777" w:rsidTr="003E6C49">
        <w:trPr>
          <w:trHeight w:val="323"/>
        </w:trPr>
        <w:tc>
          <w:tcPr>
            <w:tcW w:w="2766" w:type="dxa"/>
            <w:tcBorders>
              <w:top w:val="nil"/>
              <w:left w:val="single" w:sz="8" w:space="0" w:color="auto"/>
              <w:bottom w:val="single" w:sz="8" w:space="0" w:color="auto"/>
              <w:right w:val="single" w:sz="8" w:space="0" w:color="auto"/>
            </w:tcBorders>
            <w:shd w:val="clear" w:color="000000" w:fill="CCCCCC"/>
            <w:vAlign w:val="center"/>
            <w:hideMark/>
          </w:tcPr>
          <w:p w14:paraId="1354C966" w14:textId="77777777" w:rsidR="00C17C04" w:rsidRPr="004C70EC" w:rsidRDefault="00C17C0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Subtotal HEADING 4</w:t>
            </w:r>
          </w:p>
        </w:tc>
        <w:tc>
          <w:tcPr>
            <w:tcW w:w="756" w:type="dxa"/>
            <w:tcBorders>
              <w:top w:val="nil"/>
              <w:left w:val="nil"/>
              <w:bottom w:val="single" w:sz="8" w:space="0" w:color="auto"/>
              <w:right w:val="single" w:sz="8" w:space="0" w:color="auto"/>
            </w:tcBorders>
            <w:shd w:val="clear" w:color="000000" w:fill="D9D9D9"/>
            <w:vAlign w:val="center"/>
            <w:hideMark/>
          </w:tcPr>
          <w:p w14:paraId="36BF11A4"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6,381</w:t>
            </w:r>
          </w:p>
        </w:tc>
        <w:tc>
          <w:tcPr>
            <w:tcW w:w="756" w:type="dxa"/>
            <w:tcBorders>
              <w:top w:val="nil"/>
              <w:left w:val="nil"/>
              <w:bottom w:val="single" w:sz="8" w:space="0" w:color="auto"/>
              <w:right w:val="single" w:sz="8" w:space="0" w:color="auto"/>
            </w:tcBorders>
            <w:shd w:val="clear" w:color="000000" w:fill="D9D9D9"/>
            <w:vAlign w:val="center"/>
            <w:hideMark/>
          </w:tcPr>
          <w:p w14:paraId="5B149446"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6,381</w:t>
            </w:r>
          </w:p>
        </w:tc>
        <w:tc>
          <w:tcPr>
            <w:tcW w:w="756" w:type="dxa"/>
            <w:tcBorders>
              <w:top w:val="nil"/>
              <w:left w:val="nil"/>
              <w:bottom w:val="single" w:sz="8" w:space="0" w:color="auto"/>
              <w:right w:val="single" w:sz="8" w:space="0" w:color="auto"/>
            </w:tcBorders>
            <w:shd w:val="clear" w:color="000000" w:fill="D9D9D9"/>
            <w:vAlign w:val="center"/>
            <w:hideMark/>
          </w:tcPr>
          <w:p w14:paraId="3F891726"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6,381</w:t>
            </w:r>
          </w:p>
        </w:tc>
        <w:tc>
          <w:tcPr>
            <w:tcW w:w="761" w:type="dxa"/>
            <w:tcBorders>
              <w:top w:val="nil"/>
              <w:left w:val="nil"/>
              <w:bottom w:val="single" w:sz="8" w:space="0" w:color="auto"/>
              <w:right w:val="single" w:sz="8" w:space="0" w:color="auto"/>
            </w:tcBorders>
            <w:shd w:val="clear" w:color="000000" w:fill="D9D9D9"/>
            <w:vAlign w:val="center"/>
            <w:hideMark/>
          </w:tcPr>
          <w:p w14:paraId="0949DEDB"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6,382</w:t>
            </w:r>
          </w:p>
        </w:tc>
        <w:tc>
          <w:tcPr>
            <w:tcW w:w="761" w:type="dxa"/>
            <w:tcBorders>
              <w:top w:val="nil"/>
              <w:left w:val="nil"/>
              <w:bottom w:val="single" w:sz="8" w:space="0" w:color="auto"/>
              <w:right w:val="single" w:sz="8" w:space="0" w:color="auto"/>
            </w:tcBorders>
            <w:shd w:val="clear" w:color="000000" w:fill="D9D9D9"/>
            <w:vAlign w:val="center"/>
            <w:hideMark/>
          </w:tcPr>
          <w:p w14:paraId="71F7270F"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6,382</w:t>
            </w:r>
          </w:p>
        </w:tc>
        <w:tc>
          <w:tcPr>
            <w:tcW w:w="756" w:type="dxa"/>
            <w:tcBorders>
              <w:top w:val="nil"/>
              <w:left w:val="nil"/>
              <w:bottom w:val="single" w:sz="8" w:space="0" w:color="auto"/>
              <w:right w:val="single" w:sz="8" w:space="0" w:color="auto"/>
            </w:tcBorders>
            <w:shd w:val="clear" w:color="000000" w:fill="D9D9D9"/>
            <w:vAlign w:val="center"/>
            <w:hideMark/>
          </w:tcPr>
          <w:p w14:paraId="31A270CC"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6,382</w:t>
            </w:r>
          </w:p>
        </w:tc>
        <w:tc>
          <w:tcPr>
            <w:tcW w:w="756" w:type="dxa"/>
            <w:tcBorders>
              <w:top w:val="nil"/>
              <w:left w:val="nil"/>
              <w:bottom w:val="single" w:sz="8" w:space="0" w:color="auto"/>
              <w:right w:val="single" w:sz="8" w:space="0" w:color="auto"/>
            </w:tcBorders>
            <w:shd w:val="clear" w:color="000000" w:fill="D9D9D9"/>
            <w:vAlign w:val="center"/>
            <w:hideMark/>
          </w:tcPr>
          <w:p w14:paraId="3FCE0FCF"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6,382</w:t>
            </w:r>
          </w:p>
        </w:tc>
        <w:tc>
          <w:tcPr>
            <w:tcW w:w="1057" w:type="dxa"/>
            <w:tcBorders>
              <w:top w:val="nil"/>
              <w:left w:val="nil"/>
              <w:bottom w:val="single" w:sz="8" w:space="0" w:color="auto"/>
              <w:right w:val="single" w:sz="8" w:space="0" w:color="auto"/>
            </w:tcBorders>
            <w:shd w:val="clear" w:color="000000" w:fill="D9D9D9"/>
            <w:vAlign w:val="center"/>
            <w:hideMark/>
          </w:tcPr>
          <w:p w14:paraId="5F415FE6"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44,672</w:t>
            </w:r>
          </w:p>
        </w:tc>
        <w:tc>
          <w:tcPr>
            <w:tcW w:w="1523" w:type="dxa"/>
            <w:tcBorders>
              <w:top w:val="nil"/>
              <w:left w:val="nil"/>
              <w:bottom w:val="single" w:sz="8" w:space="0" w:color="auto"/>
              <w:right w:val="single" w:sz="8" w:space="0" w:color="auto"/>
            </w:tcBorders>
            <w:shd w:val="clear" w:color="000000" w:fill="D9D9D9"/>
            <w:vAlign w:val="center"/>
            <w:hideMark/>
          </w:tcPr>
          <w:p w14:paraId="6A08E361"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6,382</w:t>
            </w:r>
          </w:p>
        </w:tc>
      </w:tr>
      <w:tr w:rsidR="004A1163" w:rsidRPr="004C70EC" w14:paraId="23C979D4" w14:textId="77777777" w:rsidTr="002D7694">
        <w:trPr>
          <w:trHeight w:val="323"/>
        </w:trPr>
        <w:tc>
          <w:tcPr>
            <w:tcW w:w="9125" w:type="dxa"/>
            <w:gridSpan w:val="9"/>
            <w:tcBorders>
              <w:top w:val="single" w:sz="8" w:space="0" w:color="auto"/>
              <w:left w:val="single" w:sz="8" w:space="0" w:color="auto"/>
              <w:bottom w:val="single" w:sz="8" w:space="0" w:color="auto"/>
              <w:right w:val="single" w:sz="8" w:space="0" w:color="000000"/>
            </w:tcBorders>
            <w:vAlign w:val="center"/>
            <w:hideMark/>
          </w:tcPr>
          <w:p w14:paraId="32EF9B4F" w14:textId="77777777" w:rsidR="00C17C04" w:rsidRPr="004C70EC" w:rsidRDefault="00C17C04">
            <w:pPr>
              <w:spacing w:before="0" w:after="0"/>
              <w:jc w:val="lef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Outside HEADING 4</w:t>
            </w:r>
          </w:p>
        </w:tc>
        <w:tc>
          <w:tcPr>
            <w:tcW w:w="1523" w:type="dxa"/>
            <w:tcBorders>
              <w:top w:val="nil"/>
              <w:left w:val="nil"/>
              <w:bottom w:val="single" w:sz="8" w:space="0" w:color="auto"/>
              <w:right w:val="single" w:sz="8" w:space="0" w:color="auto"/>
            </w:tcBorders>
            <w:vAlign w:val="center"/>
            <w:hideMark/>
          </w:tcPr>
          <w:p w14:paraId="2D25F234" w14:textId="77777777" w:rsidR="00C17C04" w:rsidRPr="004C70EC" w:rsidRDefault="00C17C04">
            <w:pPr>
              <w:spacing w:before="0" w:after="0"/>
              <w:jc w:val="lef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w:t>
            </w:r>
          </w:p>
        </w:tc>
      </w:tr>
      <w:tr w:rsidR="00415A3C" w:rsidRPr="004C70EC" w14:paraId="15B494F6" w14:textId="77777777" w:rsidTr="003E6C49">
        <w:trPr>
          <w:trHeight w:val="323"/>
        </w:trPr>
        <w:tc>
          <w:tcPr>
            <w:tcW w:w="2766" w:type="dxa"/>
            <w:tcBorders>
              <w:top w:val="nil"/>
              <w:left w:val="single" w:sz="8" w:space="0" w:color="auto"/>
              <w:bottom w:val="single" w:sz="8" w:space="0" w:color="auto"/>
              <w:right w:val="single" w:sz="8" w:space="0" w:color="auto"/>
            </w:tcBorders>
            <w:vAlign w:val="center"/>
            <w:hideMark/>
          </w:tcPr>
          <w:p w14:paraId="035371B1" w14:textId="77777777" w:rsidR="00C17C04" w:rsidRPr="004C70EC" w:rsidRDefault="00C17C04">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xml:space="preserve">Human resources </w:t>
            </w:r>
          </w:p>
        </w:tc>
        <w:tc>
          <w:tcPr>
            <w:tcW w:w="756" w:type="dxa"/>
            <w:tcBorders>
              <w:top w:val="nil"/>
              <w:left w:val="nil"/>
              <w:bottom w:val="single" w:sz="8" w:space="0" w:color="auto"/>
              <w:right w:val="single" w:sz="8" w:space="0" w:color="auto"/>
            </w:tcBorders>
            <w:shd w:val="clear" w:color="000000" w:fill="D9D9D9"/>
            <w:vAlign w:val="center"/>
            <w:hideMark/>
          </w:tcPr>
          <w:p w14:paraId="333D4534"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2,626</w:t>
            </w:r>
          </w:p>
        </w:tc>
        <w:tc>
          <w:tcPr>
            <w:tcW w:w="756" w:type="dxa"/>
            <w:tcBorders>
              <w:top w:val="nil"/>
              <w:left w:val="nil"/>
              <w:bottom w:val="single" w:sz="8" w:space="0" w:color="auto"/>
              <w:right w:val="single" w:sz="8" w:space="0" w:color="auto"/>
            </w:tcBorders>
            <w:shd w:val="clear" w:color="000000" w:fill="D9D9D9"/>
            <w:vAlign w:val="center"/>
            <w:hideMark/>
          </w:tcPr>
          <w:p w14:paraId="5094B4AF"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2,626</w:t>
            </w:r>
          </w:p>
        </w:tc>
        <w:tc>
          <w:tcPr>
            <w:tcW w:w="756" w:type="dxa"/>
            <w:tcBorders>
              <w:top w:val="nil"/>
              <w:left w:val="nil"/>
              <w:bottom w:val="single" w:sz="8" w:space="0" w:color="auto"/>
              <w:right w:val="single" w:sz="8" w:space="0" w:color="auto"/>
            </w:tcBorders>
            <w:shd w:val="clear" w:color="000000" w:fill="D9D9D9"/>
            <w:vAlign w:val="center"/>
            <w:hideMark/>
          </w:tcPr>
          <w:p w14:paraId="73E4716B"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2,626</w:t>
            </w:r>
          </w:p>
        </w:tc>
        <w:tc>
          <w:tcPr>
            <w:tcW w:w="761" w:type="dxa"/>
            <w:tcBorders>
              <w:top w:val="nil"/>
              <w:left w:val="nil"/>
              <w:bottom w:val="single" w:sz="8" w:space="0" w:color="auto"/>
              <w:right w:val="single" w:sz="8" w:space="0" w:color="auto"/>
            </w:tcBorders>
            <w:shd w:val="clear" w:color="000000" w:fill="D9D9D9"/>
            <w:vAlign w:val="center"/>
            <w:hideMark/>
          </w:tcPr>
          <w:p w14:paraId="1DDFF987"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2,626</w:t>
            </w:r>
          </w:p>
        </w:tc>
        <w:tc>
          <w:tcPr>
            <w:tcW w:w="761" w:type="dxa"/>
            <w:tcBorders>
              <w:top w:val="nil"/>
              <w:left w:val="nil"/>
              <w:bottom w:val="single" w:sz="8" w:space="0" w:color="auto"/>
              <w:right w:val="single" w:sz="8" w:space="0" w:color="auto"/>
            </w:tcBorders>
            <w:shd w:val="clear" w:color="000000" w:fill="D9D9D9"/>
            <w:vAlign w:val="center"/>
            <w:hideMark/>
          </w:tcPr>
          <w:p w14:paraId="34747A00"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2,626</w:t>
            </w:r>
          </w:p>
        </w:tc>
        <w:tc>
          <w:tcPr>
            <w:tcW w:w="756" w:type="dxa"/>
            <w:tcBorders>
              <w:top w:val="nil"/>
              <w:left w:val="nil"/>
              <w:bottom w:val="single" w:sz="8" w:space="0" w:color="auto"/>
              <w:right w:val="single" w:sz="8" w:space="0" w:color="auto"/>
            </w:tcBorders>
            <w:shd w:val="clear" w:color="000000" w:fill="D9D9D9"/>
            <w:vAlign w:val="center"/>
            <w:hideMark/>
          </w:tcPr>
          <w:p w14:paraId="73791030"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2,626</w:t>
            </w:r>
          </w:p>
        </w:tc>
        <w:tc>
          <w:tcPr>
            <w:tcW w:w="756" w:type="dxa"/>
            <w:tcBorders>
              <w:top w:val="nil"/>
              <w:left w:val="nil"/>
              <w:bottom w:val="single" w:sz="8" w:space="0" w:color="auto"/>
              <w:right w:val="single" w:sz="8" w:space="0" w:color="auto"/>
            </w:tcBorders>
            <w:shd w:val="clear" w:color="000000" w:fill="D9D9D9"/>
            <w:vAlign w:val="center"/>
            <w:hideMark/>
          </w:tcPr>
          <w:p w14:paraId="066EF881"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2,626</w:t>
            </w:r>
          </w:p>
        </w:tc>
        <w:tc>
          <w:tcPr>
            <w:tcW w:w="1057" w:type="dxa"/>
            <w:tcBorders>
              <w:top w:val="nil"/>
              <w:left w:val="nil"/>
              <w:bottom w:val="single" w:sz="8" w:space="0" w:color="auto"/>
              <w:right w:val="single" w:sz="8" w:space="0" w:color="auto"/>
            </w:tcBorders>
            <w:shd w:val="clear" w:color="000000" w:fill="D9D9D9"/>
            <w:vAlign w:val="center"/>
            <w:hideMark/>
          </w:tcPr>
          <w:p w14:paraId="6A40121A"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18,382</w:t>
            </w:r>
          </w:p>
        </w:tc>
        <w:tc>
          <w:tcPr>
            <w:tcW w:w="1523" w:type="dxa"/>
            <w:tcBorders>
              <w:top w:val="nil"/>
              <w:left w:val="nil"/>
              <w:bottom w:val="single" w:sz="8" w:space="0" w:color="auto"/>
              <w:right w:val="single" w:sz="8" w:space="0" w:color="auto"/>
            </w:tcBorders>
            <w:shd w:val="clear" w:color="000000" w:fill="D9D9D9"/>
            <w:vAlign w:val="center"/>
            <w:hideMark/>
          </w:tcPr>
          <w:p w14:paraId="370353DA"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2,626</w:t>
            </w:r>
          </w:p>
        </w:tc>
      </w:tr>
      <w:tr w:rsidR="00415A3C" w:rsidRPr="004C70EC" w14:paraId="4B177BBF" w14:textId="77777777" w:rsidTr="003E6C49">
        <w:trPr>
          <w:trHeight w:val="323"/>
        </w:trPr>
        <w:tc>
          <w:tcPr>
            <w:tcW w:w="2766" w:type="dxa"/>
            <w:tcBorders>
              <w:top w:val="nil"/>
              <w:left w:val="single" w:sz="8" w:space="0" w:color="auto"/>
              <w:bottom w:val="single" w:sz="8" w:space="0" w:color="auto"/>
              <w:right w:val="single" w:sz="8" w:space="0" w:color="auto"/>
            </w:tcBorders>
            <w:vAlign w:val="center"/>
            <w:hideMark/>
          </w:tcPr>
          <w:p w14:paraId="4BC34EC6" w14:textId="77777777" w:rsidR="00C17C04" w:rsidRPr="004C70EC" w:rsidRDefault="00C17C04">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Other expenditure of an administrative nature</w:t>
            </w:r>
          </w:p>
        </w:tc>
        <w:tc>
          <w:tcPr>
            <w:tcW w:w="756" w:type="dxa"/>
            <w:tcBorders>
              <w:top w:val="nil"/>
              <w:left w:val="nil"/>
              <w:bottom w:val="single" w:sz="8" w:space="0" w:color="auto"/>
              <w:right w:val="single" w:sz="8" w:space="0" w:color="auto"/>
            </w:tcBorders>
            <w:shd w:val="clear" w:color="000000" w:fill="D9D9D9"/>
            <w:vAlign w:val="center"/>
            <w:hideMark/>
          </w:tcPr>
          <w:p w14:paraId="1EB1DE9E"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0,000</w:t>
            </w:r>
          </w:p>
        </w:tc>
        <w:tc>
          <w:tcPr>
            <w:tcW w:w="756" w:type="dxa"/>
            <w:tcBorders>
              <w:top w:val="nil"/>
              <w:left w:val="nil"/>
              <w:bottom w:val="single" w:sz="8" w:space="0" w:color="auto"/>
              <w:right w:val="single" w:sz="8" w:space="0" w:color="auto"/>
            </w:tcBorders>
            <w:shd w:val="clear" w:color="000000" w:fill="D9D9D9"/>
            <w:vAlign w:val="center"/>
            <w:hideMark/>
          </w:tcPr>
          <w:p w14:paraId="28B62153"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0,000</w:t>
            </w:r>
          </w:p>
        </w:tc>
        <w:tc>
          <w:tcPr>
            <w:tcW w:w="756" w:type="dxa"/>
            <w:tcBorders>
              <w:top w:val="nil"/>
              <w:left w:val="nil"/>
              <w:bottom w:val="single" w:sz="8" w:space="0" w:color="auto"/>
              <w:right w:val="single" w:sz="8" w:space="0" w:color="auto"/>
            </w:tcBorders>
            <w:shd w:val="clear" w:color="000000" w:fill="D9D9D9"/>
            <w:vAlign w:val="center"/>
            <w:hideMark/>
          </w:tcPr>
          <w:p w14:paraId="6E294364"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0,000</w:t>
            </w:r>
          </w:p>
        </w:tc>
        <w:tc>
          <w:tcPr>
            <w:tcW w:w="761" w:type="dxa"/>
            <w:tcBorders>
              <w:top w:val="nil"/>
              <w:left w:val="nil"/>
              <w:bottom w:val="single" w:sz="8" w:space="0" w:color="auto"/>
              <w:right w:val="single" w:sz="8" w:space="0" w:color="auto"/>
            </w:tcBorders>
            <w:shd w:val="clear" w:color="000000" w:fill="D9D9D9"/>
            <w:vAlign w:val="center"/>
            <w:hideMark/>
          </w:tcPr>
          <w:p w14:paraId="400B5627"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0,000</w:t>
            </w:r>
          </w:p>
        </w:tc>
        <w:tc>
          <w:tcPr>
            <w:tcW w:w="761" w:type="dxa"/>
            <w:tcBorders>
              <w:top w:val="nil"/>
              <w:left w:val="nil"/>
              <w:bottom w:val="single" w:sz="8" w:space="0" w:color="auto"/>
              <w:right w:val="single" w:sz="8" w:space="0" w:color="auto"/>
            </w:tcBorders>
            <w:shd w:val="clear" w:color="000000" w:fill="D9D9D9"/>
            <w:vAlign w:val="center"/>
            <w:hideMark/>
          </w:tcPr>
          <w:p w14:paraId="0DF4F5B4"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0,000</w:t>
            </w:r>
          </w:p>
        </w:tc>
        <w:tc>
          <w:tcPr>
            <w:tcW w:w="756" w:type="dxa"/>
            <w:tcBorders>
              <w:top w:val="nil"/>
              <w:left w:val="nil"/>
              <w:bottom w:val="single" w:sz="8" w:space="0" w:color="auto"/>
              <w:right w:val="single" w:sz="8" w:space="0" w:color="auto"/>
            </w:tcBorders>
            <w:shd w:val="clear" w:color="000000" w:fill="D9D9D9"/>
            <w:vAlign w:val="center"/>
            <w:hideMark/>
          </w:tcPr>
          <w:p w14:paraId="0982C493"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0,000</w:t>
            </w:r>
          </w:p>
        </w:tc>
        <w:tc>
          <w:tcPr>
            <w:tcW w:w="756" w:type="dxa"/>
            <w:tcBorders>
              <w:top w:val="nil"/>
              <w:left w:val="nil"/>
              <w:bottom w:val="single" w:sz="8" w:space="0" w:color="auto"/>
              <w:right w:val="single" w:sz="8" w:space="0" w:color="auto"/>
            </w:tcBorders>
            <w:shd w:val="clear" w:color="000000" w:fill="D9D9D9"/>
            <w:vAlign w:val="center"/>
            <w:hideMark/>
          </w:tcPr>
          <w:p w14:paraId="78BBE822"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0,000</w:t>
            </w:r>
          </w:p>
        </w:tc>
        <w:tc>
          <w:tcPr>
            <w:tcW w:w="1057" w:type="dxa"/>
            <w:tcBorders>
              <w:top w:val="nil"/>
              <w:left w:val="nil"/>
              <w:bottom w:val="single" w:sz="8" w:space="0" w:color="auto"/>
              <w:right w:val="single" w:sz="8" w:space="0" w:color="auto"/>
            </w:tcBorders>
            <w:shd w:val="clear" w:color="000000" w:fill="D9D9D9"/>
            <w:vAlign w:val="center"/>
            <w:hideMark/>
          </w:tcPr>
          <w:p w14:paraId="5BC54B0C"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0,000</w:t>
            </w:r>
          </w:p>
        </w:tc>
        <w:tc>
          <w:tcPr>
            <w:tcW w:w="1523" w:type="dxa"/>
            <w:tcBorders>
              <w:top w:val="nil"/>
              <w:left w:val="nil"/>
              <w:bottom w:val="single" w:sz="8" w:space="0" w:color="auto"/>
              <w:right w:val="single" w:sz="8" w:space="0" w:color="auto"/>
            </w:tcBorders>
            <w:shd w:val="clear" w:color="000000" w:fill="D9D9D9"/>
            <w:vAlign w:val="center"/>
            <w:hideMark/>
          </w:tcPr>
          <w:p w14:paraId="3ADCFE60" w14:textId="77777777" w:rsidR="00C17C04" w:rsidRPr="004C70EC" w:rsidRDefault="00C17C0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0,000</w:t>
            </w:r>
          </w:p>
        </w:tc>
      </w:tr>
      <w:tr w:rsidR="00415A3C" w:rsidRPr="004C70EC" w14:paraId="3129124C" w14:textId="77777777" w:rsidTr="003E6C49">
        <w:trPr>
          <w:trHeight w:val="323"/>
        </w:trPr>
        <w:tc>
          <w:tcPr>
            <w:tcW w:w="2766" w:type="dxa"/>
            <w:tcBorders>
              <w:top w:val="nil"/>
              <w:left w:val="single" w:sz="8" w:space="0" w:color="auto"/>
              <w:bottom w:val="single" w:sz="8" w:space="0" w:color="auto"/>
              <w:right w:val="single" w:sz="8" w:space="0" w:color="auto"/>
            </w:tcBorders>
            <w:shd w:val="clear" w:color="000000" w:fill="CCCCCC"/>
            <w:vAlign w:val="center"/>
            <w:hideMark/>
          </w:tcPr>
          <w:p w14:paraId="5EF3242E" w14:textId="77777777" w:rsidR="00C17C04" w:rsidRPr="004C70EC" w:rsidRDefault="00C17C0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Subtotal outside HEADING 4</w:t>
            </w:r>
          </w:p>
        </w:tc>
        <w:tc>
          <w:tcPr>
            <w:tcW w:w="756" w:type="dxa"/>
            <w:tcBorders>
              <w:top w:val="nil"/>
              <w:left w:val="nil"/>
              <w:bottom w:val="single" w:sz="8" w:space="0" w:color="auto"/>
              <w:right w:val="single" w:sz="8" w:space="0" w:color="auto"/>
            </w:tcBorders>
            <w:shd w:val="clear" w:color="000000" w:fill="D9D9D9"/>
            <w:vAlign w:val="center"/>
            <w:hideMark/>
          </w:tcPr>
          <w:p w14:paraId="30BFD1BA"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756" w:type="dxa"/>
            <w:tcBorders>
              <w:top w:val="nil"/>
              <w:left w:val="nil"/>
              <w:bottom w:val="single" w:sz="8" w:space="0" w:color="auto"/>
              <w:right w:val="single" w:sz="8" w:space="0" w:color="auto"/>
            </w:tcBorders>
            <w:shd w:val="clear" w:color="000000" w:fill="D9D9D9"/>
            <w:vAlign w:val="center"/>
            <w:hideMark/>
          </w:tcPr>
          <w:p w14:paraId="49DD9E51"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756" w:type="dxa"/>
            <w:tcBorders>
              <w:top w:val="nil"/>
              <w:left w:val="nil"/>
              <w:bottom w:val="single" w:sz="8" w:space="0" w:color="auto"/>
              <w:right w:val="single" w:sz="8" w:space="0" w:color="auto"/>
            </w:tcBorders>
            <w:shd w:val="clear" w:color="000000" w:fill="D9D9D9"/>
            <w:vAlign w:val="center"/>
            <w:hideMark/>
          </w:tcPr>
          <w:p w14:paraId="560F69C8"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761" w:type="dxa"/>
            <w:tcBorders>
              <w:top w:val="nil"/>
              <w:left w:val="nil"/>
              <w:bottom w:val="single" w:sz="8" w:space="0" w:color="auto"/>
              <w:right w:val="single" w:sz="8" w:space="0" w:color="auto"/>
            </w:tcBorders>
            <w:shd w:val="clear" w:color="000000" w:fill="D9D9D9"/>
            <w:vAlign w:val="center"/>
            <w:hideMark/>
          </w:tcPr>
          <w:p w14:paraId="285A0E20"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761" w:type="dxa"/>
            <w:tcBorders>
              <w:top w:val="nil"/>
              <w:left w:val="nil"/>
              <w:bottom w:val="single" w:sz="8" w:space="0" w:color="auto"/>
              <w:right w:val="single" w:sz="8" w:space="0" w:color="auto"/>
            </w:tcBorders>
            <w:shd w:val="clear" w:color="000000" w:fill="D9D9D9"/>
            <w:vAlign w:val="center"/>
            <w:hideMark/>
          </w:tcPr>
          <w:p w14:paraId="21DCADC1"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756" w:type="dxa"/>
            <w:tcBorders>
              <w:top w:val="nil"/>
              <w:left w:val="nil"/>
              <w:bottom w:val="single" w:sz="8" w:space="0" w:color="auto"/>
              <w:right w:val="single" w:sz="8" w:space="0" w:color="auto"/>
            </w:tcBorders>
            <w:shd w:val="clear" w:color="000000" w:fill="D9D9D9"/>
            <w:vAlign w:val="center"/>
            <w:hideMark/>
          </w:tcPr>
          <w:p w14:paraId="2A028D92"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756" w:type="dxa"/>
            <w:tcBorders>
              <w:top w:val="nil"/>
              <w:left w:val="nil"/>
              <w:bottom w:val="single" w:sz="8" w:space="0" w:color="auto"/>
              <w:right w:val="single" w:sz="8" w:space="0" w:color="auto"/>
            </w:tcBorders>
            <w:shd w:val="clear" w:color="000000" w:fill="D9D9D9"/>
            <w:vAlign w:val="center"/>
            <w:hideMark/>
          </w:tcPr>
          <w:p w14:paraId="3EFDE651"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c>
          <w:tcPr>
            <w:tcW w:w="1057" w:type="dxa"/>
            <w:tcBorders>
              <w:top w:val="nil"/>
              <w:left w:val="nil"/>
              <w:bottom w:val="single" w:sz="8" w:space="0" w:color="auto"/>
              <w:right w:val="single" w:sz="8" w:space="0" w:color="auto"/>
            </w:tcBorders>
            <w:shd w:val="clear" w:color="000000" w:fill="D9D9D9"/>
            <w:vAlign w:val="center"/>
            <w:hideMark/>
          </w:tcPr>
          <w:p w14:paraId="2D7987D2"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18,382</w:t>
            </w:r>
          </w:p>
        </w:tc>
        <w:tc>
          <w:tcPr>
            <w:tcW w:w="1523" w:type="dxa"/>
            <w:tcBorders>
              <w:top w:val="nil"/>
              <w:left w:val="nil"/>
              <w:bottom w:val="single" w:sz="8" w:space="0" w:color="auto"/>
              <w:right w:val="single" w:sz="8" w:space="0" w:color="auto"/>
            </w:tcBorders>
            <w:shd w:val="clear" w:color="000000" w:fill="D9D9D9"/>
            <w:vAlign w:val="center"/>
            <w:hideMark/>
          </w:tcPr>
          <w:p w14:paraId="2A5C4753"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2,626</w:t>
            </w:r>
          </w:p>
        </w:tc>
      </w:tr>
      <w:tr w:rsidR="004A1163" w:rsidRPr="004C70EC" w14:paraId="6130AA3D" w14:textId="77777777" w:rsidTr="002D7694">
        <w:trPr>
          <w:gridAfter w:val="1"/>
          <w:wAfter w:w="1523" w:type="dxa"/>
          <w:trHeight w:val="323"/>
        </w:trPr>
        <w:tc>
          <w:tcPr>
            <w:tcW w:w="9125" w:type="dxa"/>
            <w:gridSpan w:val="9"/>
            <w:tcBorders>
              <w:top w:val="single" w:sz="8" w:space="0" w:color="auto"/>
              <w:left w:val="single" w:sz="8" w:space="0" w:color="auto"/>
              <w:bottom w:val="single" w:sz="8" w:space="0" w:color="auto"/>
              <w:right w:val="single" w:sz="8" w:space="0" w:color="000000"/>
            </w:tcBorders>
            <w:noWrap/>
            <w:vAlign w:val="center"/>
            <w:hideMark/>
          </w:tcPr>
          <w:p w14:paraId="0FAFAA9B" w14:textId="77777777" w:rsidR="00C17C04" w:rsidRPr="004C70EC" w:rsidRDefault="00C17C04">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r>
      <w:tr w:rsidR="00415A3C" w:rsidRPr="004C70EC" w14:paraId="154994ED" w14:textId="77777777" w:rsidTr="003E6C49">
        <w:trPr>
          <w:trHeight w:val="323"/>
        </w:trPr>
        <w:tc>
          <w:tcPr>
            <w:tcW w:w="2766" w:type="dxa"/>
            <w:tcBorders>
              <w:top w:val="nil"/>
              <w:left w:val="single" w:sz="8" w:space="0" w:color="auto"/>
              <w:bottom w:val="single" w:sz="8" w:space="0" w:color="auto"/>
              <w:right w:val="single" w:sz="8" w:space="0" w:color="auto"/>
            </w:tcBorders>
            <w:vAlign w:val="center"/>
            <w:hideMark/>
          </w:tcPr>
          <w:p w14:paraId="22FFCD43" w14:textId="77777777" w:rsidR="00C17C04" w:rsidRPr="004C70EC" w:rsidRDefault="00C17C0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w:t>
            </w:r>
          </w:p>
        </w:tc>
        <w:tc>
          <w:tcPr>
            <w:tcW w:w="756" w:type="dxa"/>
            <w:tcBorders>
              <w:top w:val="nil"/>
              <w:left w:val="nil"/>
              <w:bottom w:val="single" w:sz="8" w:space="0" w:color="auto"/>
              <w:right w:val="single" w:sz="8" w:space="0" w:color="auto"/>
            </w:tcBorders>
            <w:shd w:val="clear" w:color="000000" w:fill="D9D9D9"/>
            <w:vAlign w:val="center"/>
            <w:hideMark/>
          </w:tcPr>
          <w:p w14:paraId="4A725AC8"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9,007</w:t>
            </w:r>
          </w:p>
        </w:tc>
        <w:tc>
          <w:tcPr>
            <w:tcW w:w="756" w:type="dxa"/>
            <w:tcBorders>
              <w:top w:val="nil"/>
              <w:left w:val="nil"/>
              <w:bottom w:val="single" w:sz="8" w:space="0" w:color="auto"/>
              <w:right w:val="single" w:sz="8" w:space="0" w:color="auto"/>
            </w:tcBorders>
            <w:shd w:val="clear" w:color="000000" w:fill="D9D9D9"/>
            <w:vAlign w:val="center"/>
            <w:hideMark/>
          </w:tcPr>
          <w:p w14:paraId="20118386"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9,007</w:t>
            </w:r>
          </w:p>
        </w:tc>
        <w:tc>
          <w:tcPr>
            <w:tcW w:w="756" w:type="dxa"/>
            <w:tcBorders>
              <w:top w:val="nil"/>
              <w:left w:val="nil"/>
              <w:bottom w:val="single" w:sz="8" w:space="0" w:color="auto"/>
              <w:right w:val="single" w:sz="8" w:space="0" w:color="auto"/>
            </w:tcBorders>
            <w:shd w:val="clear" w:color="000000" w:fill="D9D9D9"/>
            <w:vAlign w:val="center"/>
            <w:hideMark/>
          </w:tcPr>
          <w:p w14:paraId="5AEF6F7D"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9,007</w:t>
            </w:r>
          </w:p>
        </w:tc>
        <w:tc>
          <w:tcPr>
            <w:tcW w:w="761" w:type="dxa"/>
            <w:tcBorders>
              <w:top w:val="nil"/>
              <w:left w:val="nil"/>
              <w:bottom w:val="single" w:sz="8" w:space="0" w:color="auto"/>
              <w:right w:val="single" w:sz="8" w:space="0" w:color="auto"/>
            </w:tcBorders>
            <w:shd w:val="clear" w:color="000000" w:fill="D9D9D9"/>
            <w:vAlign w:val="center"/>
            <w:hideMark/>
          </w:tcPr>
          <w:p w14:paraId="2E94F703"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9,008</w:t>
            </w:r>
          </w:p>
        </w:tc>
        <w:tc>
          <w:tcPr>
            <w:tcW w:w="761" w:type="dxa"/>
            <w:tcBorders>
              <w:top w:val="nil"/>
              <w:left w:val="nil"/>
              <w:bottom w:val="single" w:sz="8" w:space="0" w:color="auto"/>
              <w:right w:val="single" w:sz="8" w:space="0" w:color="auto"/>
            </w:tcBorders>
            <w:shd w:val="clear" w:color="000000" w:fill="D9D9D9"/>
            <w:vAlign w:val="center"/>
            <w:hideMark/>
          </w:tcPr>
          <w:p w14:paraId="23D4F772"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9,008</w:t>
            </w:r>
          </w:p>
        </w:tc>
        <w:tc>
          <w:tcPr>
            <w:tcW w:w="756" w:type="dxa"/>
            <w:tcBorders>
              <w:top w:val="nil"/>
              <w:left w:val="nil"/>
              <w:bottom w:val="single" w:sz="8" w:space="0" w:color="auto"/>
              <w:right w:val="single" w:sz="8" w:space="0" w:color="auto"/>
            </w:tcBorders>
            <w:shd w:val="clear" w:color="000000" w:fill="D9D9D9"/>
            <w:vAlign w:val="center"/>
            <w:hideMark/>
          </w:tcPr>
          <w:p w14:paraId="3C25A396"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9,008</w:t>
            </w:r>
          </w:p>
        </w:tc>
        <w:tc>
          <w:tcPr>
            <w:tcW w:w="756" w:type="dxa"/>
            <w:tcBorders>
              <w:top w:val="nil"/>
              <w:left w:val="nil"/>
              <w:bottom w:val="single" w:sz="8" w:space="0" w:color="auto"/>
              <w:right w:val="single" w:sz="8" w:space="0" w:color="auto"/>
            </w:tcBorders>
            <w:shd w:val="clear" w:color="000000" w:fill="D9D9D9"/>
            <w:vAlign w:val="center"/>
            <w:hideMark/>
          </w:tcPr>
          <w:p w14:paraId="0B017CCC"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9,008</w:t>
            </w:r>
          </w:p>
        </w:tc>
        <w:tc>
          <w:tcPr>
            <w:tcW w:w="1057" w:type="dxa"/>
            <w:tcBorders>
              <w:top w:val="nil"/>
              <w:left w:val="nil"/>
              <w:bottom w:val="single" w:sz="8" w:space="0" w:color="auto"/>
              <w:right w:val="single" w:sz="8" w:space="0" w:color="auto"/>
            </w:tcBorders>
            <w:shd w:val="clear" w:color="000000" w:fill="D9D9D9"/>
            <w:vAlign w:val="center"/>
            <w:hideMark/>
          </w:tcPr>
          <w:p w14:paraId="531D66A4"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63,054</w:t>
            </w:r>
          </w:p>
        </w:tc>
        <w:tc>
          <w:tcPr>
            <w:tcW w:w="1523" w:type="dxa"/>
            <w:tcBorders>
              <w:top w:val="nil"/>
              <w:left w:val="nil"/>
              <w:bottom w:val="single" w:sz="8" w:space="0" w:color="auto"/>
              <w:right w:val="single" w:sz="8" w:space="0" w:color="auto"/>
            </w:tcBorders>
            <w:shd w:val="clear" w:color="000000" w:fill="D9D9D9"/>
            <w:vAlign w:val="center"/>
            <w:hideMark/>
          </w:tcPr>
          <w:p w14:paraId="29F774D3" w14:textId="77777777" w:rsidR="00C17C04" w:rsidRPr="004C70EC" w:rsidRDefault="00C17C0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9,008</w:t>
            </w:r>
          </w:p>
        </w:tc>
      </w:tr>
    </w:tbl>
    <w:p w14:paraId="42E30C82" w14:textId="77777777" w:rsidR="00C17C04" w:rsidRPr="004C70EC" w:rsidRDefault="00C17C04" w:rsidP="00D55722">
      <w:pPr>
        <w:pStyle w:val="Text1"/>
        <w:rPr>
          <w:noProof/>
          <w:color w:val="000000" w:themeColor="text1"/>
          <w:szCs w:val="24"/>
        </w:rPr>
      </w:pPr>
    </w:p>
    <w:p w14:paraId="1B63AAD9" w14:textId="77777777" w:rsidR="00C17C04" w:rsidRPr="004C70EC" w:rsidRDefault="00C17C04" w:rsidP="00C17C04">
      <w:pPr>
        <w:pStyle w:val="ListDash1"/>
        <w:rPr>
          <w:noProof/>
          <w:color w:val="000000" w:themeColor="text1"/>
        </w:rPr>
      </w:pPr>
      <w:r w:rsidRPr="004C70EC">
        <w:rPr>
          <w:rFonts w:eastAsia="Aptos"/>
          <w:noProof/>
          <w:color w:val="000000" w:themeColor="text1"/>
        </w:rPr>
        <w:t>* Figures in the tables above are all strictly indicative pending the outcome of the 2028-2034 MFF negotiations which cannot be prejudged.</w:t>
      </w:r>
    </w:p>
    <w:bookmarkEnd w:id="69"/>
    <w:p w14:paraId="599E1595" w14:textId="77777777" w:rsidR="002C2CED" w:rsidRPr="004C70EC" w:rsidRDefault="002C2CED" w:rsidP="00B17889">
      <w:pPr>
        <w:rPr>
          <w:rFonts w:eastAsia="Aptos"/>
          <w:noProof/>
          <w:color w:val="000000" w:themeColor="text1"/>
        </w:rPr>
      </w:pPr>
    </w:p>
    <w:p w14:paraId="20AECB4C" w14:textId="77777777" w:rsidR="002C2CED" w:rsidRPr="004C70EC" w:rsidRDefault="002C2CED" w:rsidP="00B17889">
      <w:pPr>
        <w:rPr>
          <w:rFonts w:eastAsia="Aptos"/>
          <w:noProof/>
          <w:color w:val="000000" w:themeColor="text1"/>
        </w:rPr>
      </w:pPr>
    </w:p>
    <w:p w14:paraId="6CB9F81A" w14:textId="77777777" w:rsidR="002C2CED" w:rsidRPr="004C70EC" w:rsidRDefault="002C2CED" w:rsidP="00B17889">
      <w:pPr>
        <w:rPr>
          <w:rFonts w:eastAsia="Aptos"/>
          <w:noProof/>
          <w:color w:val="000000" w:themeColor="text1"/>
        </w:rPr>
      </w:pPr>
    </w:p>
    <w:p w14:paraId="356FE0F3" w14:textId="77777777" w:rsidR="002C2CED" w:rsidRPr="004C70EC" w:rsidRDefault="002C2CED" w:rsidP="00B17889">
      <w:pPr>
        <w:rPr>
          <w:noProof/>
          <w:color w:val="000000" w:themeColor="text1"/>
        </w:rPr>
      </w:pPr>
    </w:p>
    <w:p w14:paraId="2015AC83" w14:textId="77777777" w:rsidR="007966CD" w:rsidRPr="004C70EC" w:rsidRDefault="007966CD">
      <w:pPr>
        <w:spacing w:after="40"/>
        <w:rPr>
          <w:noProof/>
          <w:color w:val="000000" w:themeColor="text1"/>
          <w:szCs w:val="24"/>
        </w:rPr>
      </w:pPr>
      <w:r w:rsidRPr="004C70EC">
        <w:rPr>
          <w:noProof/>
          <w:color w:val="000000" w:themeColor="text1"/>
          <w:szCs w:val="24"/>
        </w:rPr>
        <w:t>===================================================================</w:t>
      </w:r>
    </w:p>
    <w:p w14:paraId="7A87D615" w14:textId="77777777" w:rsidR="007966CD" w:rsidRPr="004C70EC" w:rsidRDefault="007966CD">
      <w:pPr>
        <w:pStyle w:val="ManualHeading3"/>
        <w:rPr>
          <w:bCs/>
          <w:noProof/>
          <w:color w:val="000000" w:themeColor="text1"/>
          <w:szCs w:val="24"/>
        </w:rPr>
      </w:pPr>
      <w:bookmarkStart w:id="70" w:name="_Toc27C4FFC4A68E4AB4AF0895FF219984D9"/>
      <w:r w:rsidRPr="004C70EC">
        <w:rPr>
          <w:noProof/>
          <w:color w:val="000000" w:themeColor="text1"/>
          <w:szCs w:val="24"/>
        </w:rPr>
        <w:t>3.2.4.</w:t>
      </w:r>
      <w:r w:rsidRPr="004C70EC">
        <w:rPr>
          <w:noProof/>
          <w:color w:val="000000" w:themeColor="text1"/>
          <w:szCs w:val="24"/>
        </w:rPr>
        <w:tab/>
        <w:t xml:space="preserve">Estimated requirements of human resources </w:t>
      </w:r>
      <w:bookmarkEnd w:id="70"/>
      <w:r w:rsidRPr="004C70EC">
        <w:rPr>
          <w:noProof/>
          <w:color w:val="000000" w:themeColor="text1"/>
          <w:szCs w:val="24"/>
        </w:rPr>
        <w:t>(not to be completed for decentralised agencies)</w:t>
      </w:r>
    </w:p>
    <w:p w14:paraId="482CE22F" w14:textId="77777777" w:rsidR="007966CD" w:rsidRPr="004C70EC" w:rsidRDefault="007966CD">
      <w:pPr>
        <w:pStyle w:val="ListDash1"/>
        <w:rPr>
          <w:noProof/>
          <w:color w:val="000000" w:themeColor="text1"/>
          <w:szCs w:val="24"/>
        </w:rPr>
      </w:pPr>
      <w:r w:rsidRPr="004C70EC">
        <w:rPr>
          <w:rFonts w:eastAsia="Wingdings"/>
          <w:noProof/>
          <w:color w:val="000000" w:themeColor="text1"/>
          <w:szCs w:val="24"/>
        </w:rPr>
        <w:t>¨</w:t>
      </w:r>
      <w:r w:rsidRPr="004C70EC">
        <w:rPr>
          <w:noProof/>
          <w:color w:val="000000" w:themeColor="text1"/>
          <w:szCs w:val="24"/>
        </w:rPr>
        <w:tab/>
        <w:t xml:space="preserve">The proposal/initiative does not require the use of human resources </w:t>
      </w:r>
    </w:p>
    <w:p w14:paraId="7CEDF6F8" w14:textId="77777777" w:rsidR="007966CD" w:rsidRPr="004C70EC" w:rsidRDefault="005062E8">
      <w:pPr>
        <w:pStyle w:val="ListDash1"/>
        <w:rPr>
          <w:noProof/>
          <w:color w:val="000000" w:themeColor="text1"/>
          <w:szCs w:val="24"/>
        </w:rPr>
      </w:pPr>
      <w:r w:rsidRPr="004C70EC">
        <w:rPr>
          <w:rFonts w:ascii="Wingdings" w:eastAsia="Wingdings" w:hAnsi="Wingdings" w:cs="Wingdings"/>
          <w:noProof/>
          <w:sz w:val="22"/>
        </w:rPr>
        <w:t></w:t>
      </w:r>
      <w:r w:rsidRPr="004C70EC" w:rsidDel="005062E8">
        <w:rPr>
          <w:rStyle w:val="normaltextrun"/>
          <w:rFonts w:eastAsia="Wingdings"/>
          <w:noProof/>
          <w:color w:val="000000" w:themeColor="text1"/>
          <w:szCs w:val="24"/>
          <w:bdr w:val="none" w:sz="0" w:space="0" w:color="auto" w:frame="1"/>
        </w:rPr>
        <w:t xml:space="preserve"> </w:t>
      </w:r>
      <w:r w:rsidR="007966CD" w:rsidRPr="004C70EC">
        <w:rPr>
          <w:noProof/>
          <w:color w:val="000000" w:themeColor="text1"/>
          <w:szCs w:val="24"/>
        </w:rPr>
        <w:tab/>
        <w:t>The proposal/initiative requires the use of human resources, as explained below</w:t>
      </w:r>
    </w:p>
    <w:p w14:paraId="50287663" w14:textId="77777777" w:rsidR="007966CD" w:rsidRPr="004C70EC" w:rsidRDefault="007966CD">
      <w:pPr>
        <w:pStyle w:val="ManualHeading3"/>
        <w:rPr>
          <w:noProof/>
          <w:color w:val="000000" w:themeColor="text1"/>
          <w:szCs w:val="24"/>
        </w:rPr>
      </w:pPr>
      <w:bookmarkStart w:id="71" w:name="_Toc0A8E85017A0C4A39B77622B14B8F93AA"/>
      <w:r w:rsidRPr="004C70EC">
        <w:rPr>
          <w:noProof/>
          <w:color w:val="000000" w:themeColor="text1"/>
          <w:szCs w:val="24"/>
        </w:rPr>
        <w:t>3.2.4.1.</w:t>
      </w:r>
      <w:r w:rsidRPr="004C70EC">
        <w:rPr>
          <w:noProof/>
          <w:color w:val="000000" w:themeColor="text1"/>
          <w:szCs w:val="24"/>
        </w:rPr>
        <w:tab/>
        <w:t>Financed from voted budget</w:t>
      </w:r>
      <w:bookmarkEnd w:id="71"/>
    </w:p>
    <w:p w14:paraId="3B529C31" w14:textId="77777777" w:rsidR="007966CD" w:rsidRPr="004C70EC" w:rsidRDefault="3F765205">
      <w:pPr>
        <w:spacing w:after="60"/>
        <w:jc w:val="right"/>
        <w:rPr>
          <w:i/>
          <w:noProof/>
          <w:color w:val="000000" w:themeColor="text1"/>
          <w:szCs w:val="24"/>
          <w:lang w:val="en-IE"/>
        </w:rPr>
      </w:pPr>
      <w:r w:rsidRPr="004C70EC">
        <w:rPr>
          <w:i/>
          <w:iCs/>
          <w:noProof/>
          <w:color w:val="000000" w:themeColor="text1"/>
          <w:lang w:val="en-IE"/>
        </w:rPr>
        <w:t>Estimate to be expressed in full-time equivalent units (FTEs)</w:t>
      </w:r>
      <w:r w:rsidR="007966CD" w:rsidRPr="004C70EC">
        <w:rPr>
          <w:rStyle w:val="FootnoteReference"/>
          <w:i/>
          <w:iCs/>
          <w:noProof/>
          <w:color w:val="000000" w:themeColor="text1"/>
          <w:lang w:val="en-IE"/>
        </w:rPr>
        <w:footnoteReference w:id="170"/>
      </w:r>
    </w:p>
    <w:p w14:paraId="6B3ED0AD" w14:textId="77777777" w:rsidR="007966CD" w:rsidRPr="004C70EC" w:rsidRDefault="007966CD">
      <w:pPr>
        <w:spacing w:after="60"/>
        <w:jc w:val="right"/>
        <w:rPr>
          <w:i/>
          <w:noProof/>
          <w:color w:val="000000" w:themeColor="text1"/>
          <w:szCs w:val="24"/>
          <w:lang w:val="en-IE"/>
        </w:rPr>
      </w:pPr>
    </w:p>
    <w:tbl>
      <w:tblPr>
        <w:tblW w:w="9751" w:type="dxa"/>
        <w:jc w:val="center"/>
        <w:tblLook w:val="04A0" w:firstRow="1" w:lastRow="0" w:firstColumn="1" w:lastColumn="0" w:noHBand="0" w:noVBand="1"/>
      </w:tblPr>
      <w:tblGrid>
        <w:gridCol w:w="1837"/>
        <w:gridCol w:w="1519"/>
        <w:gridCol w:w="696"/>
        <w:gridCol w:w="696"/>
        <w:gridCol w:w="696"/>
        <w:gridCol w:w="696"/>
        <w:gridCol w:w="696"/>
        <w:gridCol w:w="696"/>
        <w:gridCol w:w="696"/>
        <w:gridCol w:w="1523"/>
      </w:tblGrid>
      <w:tr w:rsidR="004A1163" w:rsidRPr="004C70EC" w14:paraId="75D89ED6" w14:textId="77777777" w:rsidTr="0058181D">
        <w:trPr>
          <w:trHeight w:val="498"/>
          <w:jc w:val="center"/>
        </w:trPr>
        <w:tc>
          <w:tcPr>
            <w:tcW w:w="4020" w:type="dxa"/>
            <w:gridSpan w:val="2"/>
            <w:vMerge w:val="restart"/>
            <w:tcBorders>
              <w:top w:val="single" w:sz="8" w:space="0" w:color="auto"/>
              <w:left w:val="single" w:sz="8" w:space="0" w:color="auto"/>
              <w:bottom w:val="single" w:sz="8" w:space="0" w:color="000000"/>
              <w:right w:val="single" w:sz="8" w:space="0" w:color="000000"/>
            </w:tcBorders>
            <w:vAlign w:val="center"/>
            <w:hideMark/>
          </w:tcPr>
          <w:p w14:paraId="63D8649F"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w:t>
            </w:r>
            <w:r w:rsidRPr="004C70EC">
              <w:rPr>
                <w:rFonts w:eastAsia="Times New Roman"/>
                <w:b/>
                <w:bCs/>
                <w:noProof/>
                <w:color w:val="000000" w:themeColor="text1"/>
                <w:szCs w:val="24"/>
                <w:lang w:val="en-IE" w:eastAsia="en-IE"/>
              </w:rPr>
              <w:br/>
              <w:t xml:space="preserve">VOTED APPROPRIATIONS </w:t>
            </w:r>
            <w:r w:rsidRPr="004C70EC">
              <w:rPr>
                <w:rFonts w:eastAsia="Times New Roman"/>
                <w:b/>
                <w:bCs/>
                <w:noProof/>
                <w:color w:val="000000" w:themeColor="text1"/>
                <w:szCs w:val="24"/>
                <w:lang w:val="en-IE" w:eastAsia="en-IE"/>
              </w:rPr>
              <w:br/>
              <w:t>+</w:t>
            </w:r>
            <w:r w:rsidRPr="004C70EC">
              <w:rPr>
                <w:rFonts w:eastAsia="Times New Roman"/>
                <w:b/>
                <w:bCs/>
                <w:noProof/>
                <w:color w:val="000000" w:themeColor="text1"/>
                <w:szCs w:val="24"/>
                <w:lang w:val="en-IE" w:eastAsia="en-IE"/>
              </w:rPr>
              <w:br/>
              <w:t>EXTERNAL ASSIGNED REVENUES</w:t>
            </w:r>
          </w:p>
        </w:tc>
        <w:tc>
          <w:tcPr>
            <w:tcW w:w="705" w:type="dxa"/>
            <w:tcBorders>
              <w:top w:val="single" w:sz="8" w:space="0" w:color="auto"/>
              <w:left w:val="nil"/>
              <w:bottom w:val="nil"/>
              <w:right w:val="single" w:sz="8" w:space="0" w:color="auto"/>
            </w:tcBorders>
            <w:vAlign w:val="center"/>
            <w:hideMark/>
          </w:tcPr>
          <w:p w14:paraId="7F9917A0"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706" w:type="dxa"/>
            <w:tcBorders>
              <w:top w:val="single" w:sz="8" w:space="0" w:color="auto"/>
              <w:left w:val="nil"/>
              <w:bottom w:val="nil"/>
              <w:right w:val="single" w:sz="8" w:space="0" w:color="auto"/>
            </w:tcBorders>
            <w:vAlign w:val="center"/>
            <w:hideMark/>
          </w:tcPr>
          <w:p w14:paraId="2F2C5C99"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706" w:type="dxa"/>
            <w:tcBorders>
              <w:top w:val="single" w:sz="8" w:space="0" w:color="auto"/>
              <w:left w:val="nil"/>
              <w:bottom w:val="nil"/>
              <w:right w:val="single" w:sz="8" w:space="0" w:color="auto"/>
            </w:tcBorders>
            <w:vAlign w:val="center"/>
            <w:hideMark/>
          </w:tcPr>
          <w:p w14:paraId="53E91CA4"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721" w:type="dxa"/>
            <w:tcBorders>
              <w:top w:val="single" w:sz="8" w:space="0" w:color="auto"/>
              <w:left w:val="nil"/>
              <w:bottom w:val="nil"/>
              <w:right w:val="single" w:sz="8" w:space="0" w:color="auto"/>
            </w:tcBorders>
            <w:vAlign w:val="center"/>
            <w:hideMark/>
          </w:tcPr>
          <w:p w14:paraId="30FCAF39"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721" w:type="dxa"/>
            <w:tcBorders>
              <w:top w:val="single" w:sz="8" w:space="0" w:color="auto"/>
              <w:left w:val="nil"/>
              <w:bottom w:val="nil"/>
              <w:right w:val="single" w:sz="8" w:space="0" w:color="auto"/>
            </w:tcBorders>
            <w:vAlign w:val="center"/>
            <w:hideMark/>
          </w:tcPr>
          <w:p w14:paraId="68DAE9E8"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721" w:type="dxa"/>
            <w:tcBorders>
              <w:top w:val="single" w:sz="8" w:space="0" w:color="auto"/>
              <w:left w:val="nil"/>
              <w:bottom w:val="nil"/>
              <w:right w:val="single" w:sz="8" w:space="0" w:color="auto"/>
            </w:tcBorders>
            <w:vAlign w:val="center"/>
            <w:hideMark/>
          </w:tcPr>
          <w:p w14:paraId="314C5F12"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724" w:type="dxa"/>
            <w:tcBorders>
              <w:top w:val="single" w:sz="8" w:space="0" w:color="auto"/>
              <w:left w:val="nil"/>
              <w:bottom w:val="nil"/>
              <w:right w:val="single" w:sz="8" w:space="0" w:color="auto"/>
            </w:tcBorders>
            <w:vAlign w:val="center"/>
            <w:hideMark/>
          </w:tcPr>
          <w:p w14:paraId="59E7FDB2"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727" w:type="dxa"/>
            <w:tcBorders>
              <w:top w:val="single" w:sz="8" w:space="0" w:color="auto"/>
              <w:left w:val="nil"/>
              <w:bottom w:val="nil"/>
              <w:right w:val="single" w:sz="8" w:space="0" w:color="auto"/>
            </w:tcBorders>
            <w:vAlign w:val="center"/>
            <w:hideMark/>
          </w:tcPr>
          <w:p w14:paraId="33FC6C6F"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POST</w:t>
            </w:r>
          </w:p>
        </w:tc>
      </w:tr>
      <w:tr w:rsidR="004A1163" w:rsidRPr="004C70EC" w14:paraId="7CA4AE4B" w14:textId="77777777" w:rsidTr="0058181D">
        <w:trPr>
          <w:trHeight w:val="498"/>
          <w:jc w:val="center"/>
        </w:trPr>
        <w:tc>
          <w:tcPr>
            <w:tcW w:w="4020" w:type="dxa"/>
            <w:gridSpan w:val="2"/>
            <w:vMerge/>
            <w:tcBorders>
              <w:top w:val="single" w:sz="8" w:space="0" w:color="auto"/>
              <w:left w:val="single" w:sz="8" w:space="0" w:color="auto"/>
              <w:bottom w:val="single" w:sz="8" w:space="0" w:color="000000"/>
              <w:right w:val="single" w:sz="8" w:space="0" w:color="000000"/>
            </w:tcBorders>
            <w:vAlign w:val="center"/>
            <w:hideMark/>
          </w:tcPr>
          <w:p w14:paraId="125260A5" w14:textId="77777777" w:rsidR="007966CD" w:rsidRPr="004C70EC" w:rsidRDefault="007966CD">
            <w:pPr>
              <w:spacing w:before="0" w:after="0"/>
              <w:jc w:val="left"/>
              <w:rPr>
                <w:rFonts w:eastAsia="Times New Roman"/>
                <w:b/>
                <w:bCs/>
                <w:noProof/>
                <w:color w:val="000000" w:themeColor="text1"/>
                <w:szCs w:val="24"/>
                <w:lang w:val="en-IE" w:eastAsia="en-IE"/>
              </w:rPr>
            </w:pPr>
          </w:p>
        </w:tc>
        <w:tc>
          <w:tcPr>
            <w:tcW w:w="705" w:type="dxa"/>
            <w:tcBorders>
              <w:top w:val="nil"/>
              <w:left w:val="nil"/>
              <w:bottom w:val="single" w:sz="8" w:space="0" w:color="auto"/>
              <w:right w:val="single" w:sz="8" w:space="0" w:color="auto"/>
            </w:tcBorders>
            <w:vAlign w:val="center"/>
            <w:hideMark/>
          </w:tcPr>
          <w:p w14:paraId="7D5258CE"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2028</w:t>
            </w:r>
          </w:p>
        </w:tc>
        <w:tc>
          <w:tcPr>
            <w:tcW w:w="706" w:type="dxa"/>
            <w:tcBorders>
              <w:top w:val="nil"/>
              <w:left w:val="nil"/>
              <w:bottom w:val="single" w:sz="8" w:space="0" w:color="auto"/>
              <w:right w:val="single" w:sz="8" w:space="0" w:color="auto"/>
            </w:tcBorders>
            <w:vAlign w:val="center"/>
            <w:hideMark/>
          </w:tcPr>
          <w:p w14:paraId="5B25BFE2"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2029</w:t>
            </w:r>
          </w:p>
        </w:tc>
        <w:tc>
          <w:tcPr>
            <w:tcW w:w="706" w:type="dxa"/>
            <w:tcBorders>
              <w:top w:val="nil"/>
              <w:left w:val="nil"/>
              <w:bottom w:val="single" w:sz="8" w:space="0" w:color="auto"/>
              <w:right w:val="single" w:sz="8" w:space="0" w:color="auto"/>
            </w:tcBorders>
            <w:vAlign w:val="center"/>
            <w:hideMark/>
          </w:tcPr>
          <w:p w14:paraId="523F346A"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2030</w:t>
            </w:r>
          </w:p>
        </w:tc>
        <w:tc>
          <w:tcPr>
            <w:tcW w:w="721" w:type="dxa"/>
            <w:tcBorders>
              <w:top w:val="nil"/>
              <w:left w:val="nil"/>
              <w:bottom w:val="single" w:sz="8" w:space="0" w:color="auto"/>
              <w:right w:val="single" w:sz="8" w:space="0" w:color="auto"/>
            </w:tcBorders>
            <w:vAlign w:val="center"/>
            <w:hideMark/>
          </w:tcPr>
          <w:p w14:paraId="5DCAB540"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2031</w:t>
            </w:r>
          </w:p>
        </w:tc>
        <w:tc>
          <w:tcPr>
            <w:tcW w:w="721" w:type="dxa"/>
            <w:tcBorders>
              <w:top w:val="nil"/>
              <w:left w:val="nil"/>
              <w:bottom w:val="single" w:sz="8" w:space="0" w:color="auto"/>
              <w:right w:val="single" w:sz="8" w:space="0" w:color="auto"/>
            </w:tcBorders>
            <w:vAlign w:val="center"/>
            <w:hideMark/>
          </w:tcPr>
          <w:p w14:paraId="449843EC"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2032</w:t>
            </w:r>
          </w:p>
        </w:tc>
        <w:tc>
          <w:tcPr>
            <w:tcW w:w="721" w:type="dxa"/>
            <w:tcBorders>
              <w:top w:val="nil"/>
              <w:left w:val="nil"/>
              <w:bottom w:val="single" w:sz="8" w:space="0" w:color="auto"/>
              <w:right w:val="single" w:sz="8" w:space="0" w:color="auto"/>
            </w:tcBorders>
            <w:vAlign w:val="center"/>
            <w:hideMark/>
          </w:tcPr>
          <w:p w14:paraId="20728F40"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2033</w:t>
            </w:r>
          </w:p>
        </w:tc>
        <w:tc>
          <w:tcPr>
            <w:tcW w:w="724" w:type="dxa"/>
            <w:tcBorders>
              <w:top w:val="nil"/>
              <w:left w:val="nil"/>
              <w:bottom w:val="single" w:sz="8" w:space="0" w:color="auto"/>
              <w:right w:val="single" w:sz="8" w:space="0" w:color="auto"/>
            </w:tcBorders>
            <w:vAlign w:val="center"/>
            <w:hideMark/>
          </w:tcPr>
          <w:p w14:paraId="65EE4DE9"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w:t>
            </w:r>
          </w:p>
        </w:tc>
        <w:tc>
          <w:tcPr>
            <w:tcW w:w="727" w:type="dxa"/>
            <w:tcBorders>
              <w:top w:val="nil"/>
              <w:left w:val="nil"/>
              <w:bottom w:val="single" w:sz="8" w:space="0" w:color="auto"/>
              <w:right w:val="single" w:sz="8" w:space="0" w:color="auto"/>
            </w:tcBorders>
            <w:vAlign w:val="center"/>
            <w:hideMark/>
          </w:tcPr>
          <w:p w14:paraId="022FBE50"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w:t>
            </w:r>
            <w:r w:rsidR="00AA1425" w:rsidRPr="004C70EC">
              <w:rPr>
                <w:rFonts w:eastAsia="Times New Roman"/>
                <w:b/>
                <w:bCs/>
                <w:noProof/>
                <w:color w:val="000000" w:themeColor="text1"/>
                <w:szCs w:val="24"/>
                <w:lang w:val="en-IE" w:eastAsia="en-IE"/>
              </w:rPr>
              <w:t>(annu</w:t>
            </w:r>
            <w:r w:rsidR="00DF1254" w:rsidRPr="004C70EC">
              <w:rPr>
                <w:rFonts w:eastAsia="Times New Roman"/>
                <w:b/>
                <w:bCs/>
                <w:noProof/>
                <w:color w:val="000000" w:themeColor="text1"/>
                <w:szCs w:val="24"/>
                <w:lang w:val="en-IE" w:eastAsia="en-IE"/>
              </w:rPr>
              <w:t>al expenditure)</w:t>
            </w:r>
          </w:p>
        </w:tc>
      </w:tr>
      <w:tr w:rsidR="004A1163" w:rsidRPr="004C70EC" w14:paraId="78697E28" w14:textId="77777777" w:rsidTr="0058181D">
        <w:trPr>
          <w:trHeight w:val="303"/>
          <w:jc w:val="center"/>
        </w:trPr>
        <w:tc>
          <w:tcPr>
            <w:tcW w:w="9024" w:type="dxa"/>
            <w:gridSpan w:val="9"/>
            <w:tcBorders>
              <w:top w:val="single" w:sz="8" w:space="0" w:color="auto"/>
              <w:left w:val="single" w:sz="8" w:space="0" w:color="auto"/>
              <w:bottom w:val="single" w:sz="8" w:space="0" w:color="auto"/>
              <w:right w:val="single" w:sz="8" w:space="0" w:color="000000"/>
            </w:tcBorders>
            <w:vAlign w:val="center"/>
            <w:hideMark/>
          </w:tcPr>
          <w:p w14:paraId="54BF6C08" w14:textId="77777777" w:rsidR="007966CD" w:rsidRPr="004C70EC" w:rsidRDefault="007966CD">
            <w:pPr>
              <w:spacing w:before="0" w:after="0"/>
              <w:jc w:val="lef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Establishment plan posts (officials and temporary staff)</w:t>
            </w:r>
          </w:p>
        </w:tc>
        <w:tc>
          <w:tcPr>
            <w:tcW w:w="727" w:type="dxa"/>
            <w:tcBorders>
              <w:top w:val="nil"/>
              <w:left w:val="nil"/>
              <w:bottom w:val="single" w:sz="8" w:space="0" w:color="auto"/>
              <w:right w:val="nil"/>
            </w:tcBorders>
            <w:vAlign w:val="center"/>
            <w:hideMark/>
          </w:tcPr>
          <w:p w14:paraId="4EA05854" w14:textId="77777777" w:rsidR="007966CD" w:rsidRPr="004C70EC" w:rsidRDefault="007966CD">
            <w:pPr>
              <w:spacing w:before="0" w:after="0"/>
              <w:jc w:val="lef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w:t>
            </w:r>
          </w:p>
        </w:tc>
      </w:tr>
      <w:tr w:rsidR="004A1163" w:rsidRPr="004C70EC" w14:paraId="00D9650F" w14:textId="77777777" w:rsidTr="0058181D">
        <w:trPr>
          <w:trHeight w:val="319"/>
          <w:jc w:val="center"/>
        </w:trPr>
        <w:tc>
          <w:tcPr>
            <w:tcW w:w="4020" w:type="dxa"/>
            <w:gridSpan w:val="2"/>
            <w:tcBorders>
              <w:top w:val="single" w:sz="8" w:space="0" w:color="auto"/>
              <w:left w:val="single" w:sz="8" w:space="0" w:color="auto"/>
              <w:bottom w:val="single" w:sz="8" w:space="0" w:color="auto"/>
              <w:right w:val="single" w:sz="8" w:space="0" w:color="auto"/>
            </w:tcBorders>
            <w:vAlign w:val="center"/>
            <w:hideMark/>
          </w:tcPr>
          <w:p w14:paraId="0219B71A" w14:textId="77777777" w:rsidR="007966CD" w:rsidRPr="004C70EC" w:rsidRDefault="007966CD">
            <w:pPr>
              <w:spacing w:before="0" w:after="0"/>
              <w:ind w:firstLineChars="100" w:firstLine="24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20 01 02 01 (Headquarters and Commission’s Representation Offices)</w:t>
            </w:r>
          </w:p>
        </w:tc>
        <w:tc>
          <w:tcPr>
            <w:tcW w:w="705" w:type="dxa"/>
            <w:tcBorders>
              <w:top w:val="nil"/>
              <w:left w:val="nil"/>
              <w:bottom w:val="single" w:sz="8" w:space="0" w:color="auto"/>
              <w:right w:val="single" w:sz="8" w:space="0" w:color="auto"/>
            </w:tcBorders>
            <w:shd w:val="clear" w:color="000000" w:fill="D9D9D9"/>
            <w:vAlign w:val="center"/>
            <w:hideMark/>
          </w:tcPr>
          <w:p w14:paraId="2F920995"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29</w:t>
            </w:r>
          </w:p>
        </w:tc>
        <w:tc>
          <w:tcPr>
            <w:tcW w:w="706" w:type="dxa"/>
            <w:tcBorders>
              <w:top w:val="nil"/>
              <w:left w:val="nil"/>
              <w:bottom w:val="single" w:sz="8" w:space="0" w:color="auto"/>
              <w:right w:val="single" w:sz="8" w:space="0" w:color="auto"/>
            </w:tcBorders>
            <w:shd w:val="clear" w:color="000000" w:fill="D9D9D9"/>
            <w:vAlign w:val="center"/>
            <w:hideMark/>
          </w:tcPr>
          <w:p w14:paraId="10866842"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29</w:t>
            </w:r>
          </w:p>
        </w:tc>
        <w:tc>
          <w:tcPr>
            <w:tcW w:w="706" w:type="dxa"/>
            <w:tcBorders>
              <w:top w:val="nil"/>
              <w:left w:val="nil"/>
              <w:bottom w:val="single" w:sz="8" w:space="0" w:color="auto"/>
              <w:right w:val="single" w:sz="8" w:space="0" w:color="auto"/>
            </w:tcBorders>
            <w:shd w:val="clear" w:color="000000" w:fill="D9D9D9"/>
            <w:vAlign w:val="center"/>
            <w:hideMark/>
          </w:tcPr>
          <w:p w14:paraId="0F5A6F44"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29</w:t>
            </w:r>
          </w:p>
        </w:tc>
        <w:tc>
          <w:tcPr>
            <w:tcW w:w="721" w:type="dxa"/>
            <w:tcBorders>
              <w:top w:val="nil"/>
              <w:left w:val="nil"/>
              <w:bottom w:val="single" w:sz="8" w:space="0" w:color="auto"/>
              <w:right w:val="single" w:sz="8" w:space="0" w:color="auto"/>
            </w:tcBorders>
            <w:shd w:val="clear" w:color="000000" w:fill="D9D9D9"/>
            <w:vAlign w:val="center"/>
            <w:hideMark/>
          </w:tcPr>
          <w:p w14:paraId="1B6B3B87"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29</w:t>
            </w:r>
          </w:p>
        </w:tc>
        <w:tc>
          <w:tcPr>
            <w:tcW w:w="721" w:type="dxa"/>
            <w:tcBorders>
              <w:top w:val="nil"/>
              <w:left w:val="nil"/>
              <w:bottom w:val="single" w:sz="8" w:space="0" w:color="auto"/>
              <w:right w:val="single" w:sz="8" w:space="0" w:color="auto"/>
            </w:tcBorders>
            <w:shd w:val="clear" w:color="000000" w:fill="D9D9D9"/>
            <w:vAlign w:val="center"/>
            <w:hideMark/>
          </w:tcPr>
          <w:p w14:paraId="7BD769E1"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29</w:t>
            </w:r>
          </w:p>
        </w:tc>
        <w:tc>
          <w:tcPr>
            <w:tcW w:w="721" w:type="dxa"/>
            <w:tcBorders>
              <w:top w:val="nil"/>
              <w:left w:val="nil"/>
              <w:bottom w:val="single" w:sz="8" w:space="0" w:color="auto"/>
              <w:right w:val="single" w:sz="8" w:space="0" w:color="auto"/>
            </w:tcBorders>
            <w:shd w:val="clear" w:color="000000" w:fill="D9D9D9"/>
            <w:vAlign w:val="center"/>
            <w:hideMark/>
          </w:tcPr>
          <w:p w14:paraId="1205D3A7"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29</w:t>
            </w:r>
          </w:p>
        </w:tc>
        <w:tc>
          <w:tcPr>
            <w:tcW w:w="724" w:type="dxa"/>
            <w:tcBorders>
              <w:top w:val="nil"/>
              <w:left w:val="nil"/>
              <w:bottom w:val="single" w:sz="8" w:space="0" w:color="auto"/>
              <w:right w:val="single" w:sz="8" w:space="0" w:color="auto"/>
            </w:tcBorders>
            <w:shd w:val="clear" w:color="000000" w:fill="D9D9D9"/>
            <w:vAlign w:val="center"/>
            <w:hideMark/>
          </w:tcPr>
          <w:p w14:paraId="04956B57"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29</w:t>
            </w:r>
          </w:p>
        </w:tc>
        <w:tc>
          <w:tcPr>
            <w:tcW w:w="727" w:type="dxa"/>
            <w:tcBorders>
              <w:top w:val="nil"/>
              <w:left w:val="nil"/>
              <w:bottom w:val="single" w:sz="8" w:space="0" w:color="auto"/>
              <w:right w:val="single" w:sz="8" w:space="0" w:color="auto"/>
            </w:tcBorders>
            <w:shd w:val="clear" w:color="000000" w:fill="D9D9D9"/>
            <w:vAlign w:val="center"/>
            <w:hideMark/>
          </w:tcPr>
          <w:p w14:paraId="73438886"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29</w:t>
            </w:r>
          </w:p>
        </w:tc>
      </w:tr>
      <w:tr w:rsidR="004A1163" w:rsidRPr="004C70EC" w14:paraId="12DBE170" w14:textId="77777777" w:rsidTr="0058181D">
        <w:trPr>
          <w:trHeight w:val="319"/>
          <w:jc w:val="center"/>
        </w:trPr>
        <w:tc>
          <w:tcPr>
            <w:tcW w:w="4020" w:type="dxa"/>
            <w:gridSpan w:val="2"/>
            <w:tcBorders>
              <w:top w:val="single" w:sz="8" w:space="0" w:color="auto"/>
              <w:left w:val="single" w:sz="8" w:space="0" w:color="auto"/>
              <w:bottom w:val="single" w:sz="8" w:space="0" w:color="auto"/>
              <w:right w:val="single" w:sz="8" w:space="0" w:color="auto"/>
            </w:tcBorders>
            <w:vAlign w:val="center"/>
            <w:hideMark/>
          </w:tcPr>
          <w:p w14:paraId="2F06A4FA" w14:textId="77777777" w:rsidR="007966CD" w:rsidRPr="004C70EC" w:rsidRDefault="007966CD">
            <w:pPr>
              <w:spacing w:before="0" w:after="0"/>
              <w:ind w:firstLineChars="100" w:firstLine="24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20 01 02 03 (EU Delegations)</w:t>
            </w:r>
          </w:p>
        </w:tc>
        <w:tc>
          <w:tcPr>
            <w:tcW w:w="705" w:type="dxa"/>
            <w:tcBorders>
              <w:top w:val="nil"/>
              <w:left w:val="nil"/>
              <w:bottom w:val="single" w:sz="8" w:space="0" w:color="auto"/>
              <w:right w:val="single" w:sz="8" w:space="0" w:color="auto"/>
            </w:tcBorders>
            <w:shd w:val="clear" w:color="000000" w:fill="D9D9D9"/>
            <w:vAlign w:val="center"/>
            <w:hideMark/>
          </w:tcPr>
          <w:p w14:paraId="2CF3CAF6"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1FBE10EE"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599C3637"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58D8C391"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0ED38345"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635FAFA0"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4" w:type="dxa"/>
            <w:tcBorders>
              <w:top w:val="nil"/>
              <w:left w:val="nil"/>
              <w:bottom w:val="single" w:sz="8" w:space="0" w:color="auto"/>
              <w:right w:val="single" w:sz="8" w:space="0" w:color="auto"/>
            </w:tcBorders>
            <w:shd w:val="clear" w:color="000000" w:fill="D9D9D9"/>
            <w:vAlign w:val="center"/>
            <w:hideMark/>
          </w:tcPr>
          <w:p w14:paraId="68E18ADA"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7" w:type="dxa"/>
            <w:tcBorders>
              <w:top w:val="nil"/>
              <w:left w:val="nil"/>
              <w:bottom w:val="single" w:sz="8" w:space="0" w:color="auto"/>
              <w:right w:val="single" w:sz="8" w:space="0" w:color="auto"/>
            </w:tcBorders>
            <w:shd w:val="clear" w:color="000000" w:fill="D9D9D9"/>
            <w:vAlign w:val="center"/>
            <w:hideMark/>
          </w:tcPr>
          <w:p w14:paraId="2F98C575"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r>
      <w:tr w:rsidR="004A1163" w:rsidRPr="004C70EC" w14:paraId="123B914F" w14:textId="77777777" w:rsidTr="0058181D">
        <w:trPr>
          <w:trHeight w:val="319"/>
          <w:jc w:val="center"/>
        </w:trPr>
        <w:tc>
          <w:tcPr>
            <w:tcW w:w="4020" w:type="dxa"/>
            <w:gridSpan w:val="2"/>
            <w:tcBorders>
              <w:top w:val="single" w:sz="8" w:space="0" w:color="auto"/>
              <w:left w:val="single" w:sz="8" w:space="0" w:color="auto"/>
              <w:bottom w:val="single" w:sz="8" w:space="0" w:color="auto"/>
              <w:right w:val="single" w:sz="8" w:space="0" w:color="auto"/>
            </w:tcBorders>
            <w:vAlign w:val="center"/>
            <w:hideMark/>
          </w:tcPr>
          <w:p w14:paraId="1864478D" w14:textId="77777777" w:rsidR="007966CD" w:rsidRPr="004C70EC" w:rsidRDefault="007966CD">
            <w:pPr>
              <w:spacing w:before="0" w:after="0"/>
              <w:ind w:firstLineChars="100" w:firstLine="24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01 01 01 01  (Indirect research)</w:t>
            </w:r>
          </w:p>
        </w:tc>
        <w:tc>
          <w:tcPr>
            <w:tcW w:w="705" w:type="dxa"/>
            <w:tcBorders>
              <w:top w:val="nil"/>
              <w:left w:val="nil"/>
              <w:bottom w:val="single" w:sz="8" w:space="0" w:color="auto"/>
              <w:right w:val="single" w:sz="8" w:space="0" w:color="auto"/>
            </w:tcBorders>
            <w:shd w:val="clear" w:color="000000" w:fill="D9D9D9"/>
            <w:vAlign w:val="center"/>
            <w:hideMark/>
          </w:tcPr>
          <w:p w14:paraId="5A19B919"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27DEDBDC"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2BA5505A"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000866D7"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5D5DE6EC"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7670DB00"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4" w:type="dxa"/>
            <w:tcBorders>
              <w:top w:val="nil"/>
              <w:left w:val="nil"/>
              <w:bottom w:val="single" w:sz="8" w:space="0" w:color="auto"/>
              <w:right w:val="single" w:sz="8" w:space="0" w:color="auto"/>
            </w:tcBorders>
            <w:shd w:val="clear" w:color="000000" w:fill="D9D9D9"/>
            <w:vAlign w:val="center"/>
            <w:hideMark/>
          </w:tcPr>
          <w:p w14:paraId="628E92B9"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7" w:type="dxa"/>
            <w:tcBorders>
              <w:top w:val="nil"/>
              <w:left w:val="nil"/>
              <w:bottom w:val="single" w:sz="8" w:space="0" w:color="auto"/>
              <w:right w:val="single" w:sz="8" w:space="0" w:color="auto"/>
            </w:tcBorders>
            <w:shd w:val="clear" w:color="000000" w:fill="D9D9D9"/>
            <w:vAlign w:val="center"/>
            <w:hideMark/>
          </w:tcPr>
          <w:p w14:paraId="129FA9A3"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r>
      <w:tr w:rsidR="004A1163" w:rsidRPr="004C70EC" w14:paraId="7B230762" w14:textId="77777777" w:rsidTr="0058181D">
        <w:trPr>
          <w:trHeight w:val="319"/>
          <w:jc w:val="center"/>
        </w:trPr>
        <w:tc>
          <w:tcPr>
            <w:tcW w:w="4020" w:type="dxa"/>
            <w:gridSpan w:val="2"/>
            <w:tcBorders>
              <w:top w:val="single" w:sz="8" w:space="0" w:color="auto"/>
              <w:left w:val="single" w:sz="8" w:space="0" w:color="auto"/>
              <w:bottom w:val="single" w:sz="8" w:space="0" w:color="auto"/>
              <w:right w:val="single" w:sz="8" w:space="0" w:color="auto"/>
            </w:tcBorders>
            <w:vAlign w:val="center"/>
            <w:hideMark/>
          </w:tcPr>
          <w:p w14:paraId="124234EE" w14:textId="77777777" w:rsidR="007966CD" w:rsidRPr="004C70EC" w:rsidRDefault="007966CD">
            <w:pPr>
              <w:spacing w:before="0" w:after="0"/>
              <w:ind w:firstLineChars="100" w:firstLine="24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01 01 01 11 (Direct research)</w:t>
            </w:r>
          </w:p>
        </w:tc>
        <w:tc>
          <w:tcPr>
            <w:tcW w:w="705" w:type="dxa"/>
            <w:tcBorders>
              <w:top w:val="nil"/>
              <w:left w:val="nil"/>
              <w:bottom w:val="single" w:sz="8" w:space="0" w:color="auto"/>
              <w:right w:val="single" w:sz="8" w:space="0" w:color="auto"/>
            </w:tcBorders>
            <w:shd w:val="clear" w:color="000000" w:fill="D9D9D9"/>
            <w:vAlign w:val="center"/>
            <w:hideMark/>
          </w:tcPr>
          <w:p w14:paraId="10F54EE7"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2DE0AF7D"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1FB91166"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19DD385E"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56C83E78"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5B117701"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4" w:type="dxa"/>
            <w:tcBorders>
              <w:top w:val="nil"/>
              <w:left w:val="nil"/>
              <w:bottom w:val="single" w:sz="8" w:space="0" w:color="auto"/>
              <w:right w:val="single" w:sz="8" w:space="0" w:color="auto"/>
            </w:tcBorders>
            <w:shd w:val="clear" w:color="000000" w:fill="D9D9D9"/>
            <w:vAlign w:val="center"/>
            <w:hideMark/>
          </w:tcPr>
          <w:p w14:paraId="480F5367"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7" w:type="dxa"/>
            <w:tcBorders>
              <w:top w:val="nil"/>
              <w:left w:val="nil"/>
              <w:bottom w:val="single" w:sz="8" w:space="0" w:color="auto"/>
              <w:right w:val="single" w:sz="8" w:space="0" w:color="auto"/>
            </w:tcBorders>
            <w:shd w:val="clear" w:color="000000" w:fill="D9D9D9"/>
            <w:vAlign w:val="center"/>
            <w:hideMark/>
          </w:tcPr>
          <w:p w14:paraId="0EFF81CB"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r>
      <w:tr w:rsidR="004A1163" w:rsidRPr="004C70EC" w14:paraId="009D6F1D" w14:textId="77777777" w:rsidTr="0058181D">
        <w:trPr>
          <w:trHeight w:val="319"/>
          <w:jc w:val="center"/>
        </w:trPr>
        <w:tc>
          <w:tcPr>
            <w:tcW w:w="4020" w:type="dxa"/>
            <w:gridSpan w:val="2"/>
            <w:tcBorders>
              <w:top w:val="single" w:sz="8" w:space="0" w:color="auto"/>
              <w:left w:val="single" w:sz="8" w:space="0" w:color="auto"/>
              <w:bottom w:val="single" w:sz="8" w:space="0" w:color="auto"/>
              <w:right w:val="single" w:sz="8" w:space="0" w:color="auto"/>
            </w:tcBorders>
            <w:vAlign w:val="center"/>
            <w:hideMark/>
          </w:tcPr>
          <w:p w14:paraId="09DF351D" w14:textId="77777777" w:rsidR="007966CD" w:rsidRPr="004C70EC" w:rsidRDefault="007966CD">
            <w:pPr>
              <w:spacing w:before="0" w:after="0"/>
              <w:ind w:firstLineChars="100" w:firstLine="24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Other budget lines (specify)</w:t>
            </w:r>
          </w:p>
        </w:tc>
        <w:tc>
          <w:tcPr>
            <w:tcW w:w="705" w:type="dxa"/>
            <w:tcBorders>
              <w:top w:val="nil"/>
              <w:left w:val="nil"/>
              <w:bottom w:val="single" w:sz="8" w:space="0" w:color="auto"/>
              <w:right w:val="single" w:sz="8" w:space="0" w:color="auto"/>
            </w:tcBorders>
            <w:shd w:val="clear" w:color="000000" w:fill="D9D9D9"/>
            <w:vAlign w:val="center"/>
            <w:hideMark/>
          </w:tcPr>
          <w:p w14:paraId="53054C69"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0D513ECD"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00E2EC1C"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1C88930A"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3E7DA832"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75AA6907"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4" w:type="dxa"/>
            <w:tcBorders>
              <w:top w:val="nil"/>
              <w:left w:val="nil"/>
              <w:bottom w:val="single" w:sz="8" w:space="0" w:color="auto"/>
              <w:right w:val="single" w:sz="8" w:space="0" w:color="auto"/>
            </w:tcBorders>
            <w:shd w:val="clear" w:color="000000" w:fill="D9D9D9"/>
            <w:vAlign w:val="center"/>
            <w:hideMark/>
          </w:tcPr>
          <w:p w14:paraId="258C386A"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7" w:type="dxa"/>
            <w:tcBorders>
              <w:top w:val="nil"/>
              <w:left w:val="nil"/>
              <w:bottom w:val="single" w:sz="8" w:space="0" w:color="auto"/>
              <w:right w:val="single" w:sz="8" w:space="0" w:color="auto"/>
            </w:tcBorders>
            <w:shd w:val="clear" w:color="000000" w:fill="D9D9D9"/>
            <w:vAlign w:val="center"/>
            <w:hideMark/>
          </w:tcPr>
          <w:p w14:paraId="0F5D128D"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r>
      <w:tr w:rsidR="004A1163" w:rsidRPr="004C70EC" w14:paraId="0F0D9502" w14:textId="77777777" w:rsidTr="0058181D">
        <w:trPr>
          <w:trHeight w:val="303"/>
          <w:jc w:val="center"/>
        </w:trPr>
        <w:tc>
          <w:tcPr>
            <w:tcW w:w="9024" w:type="dxa"/>
            <w:gridSpan w:val="9"/>
            <w:tcBorders>
              <w:top w:val="single" w:sz="8" w:space="0" w:color="auto"/>
              <w:left w:val="single" w:sz="8" w:space="0" w:color="auto"/>
              <w:bottom w:val="single" w:sz="8" w:space="0" w:color="auto"/>
              <w:right w:val="single" w:sz="8" w:space="0" w:color="000000"/>
            </w:tcBorders>
            <w:vAlign w:val="center"/>
            <w:hideMark/>
          </w:tcPr>
          <w:p w14:paraId="32BC4E61" w14:textId="77777777" w:rsidR="007966CD" w:rsidRPr="004C70EC" w:rsidRDefault="007966CD">
            <w:pPr>
              <w:spacing w:before="0" w:after="0"/>
              <w:jc w:val="lef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External staff (in Full Time Equivalent unit: FTE)</w:t>
            </w:r>
          </w:p>
        </w:tc>
        <w:tc>
          <w:tcPr>
            <w:tcW w:w="727" w:type="dxa"/>
            <w:tcBorders>
              <w:top w:val="nil"/>
              <w:left w:val="nil"/>
              <w:bottom w:val="single" w:sz="8" w:space="0" w:color="auto"/>
              <w:right w:val="nil"/>
            </w:tcBorders>
            <w:vAlign w:val="center"/>
            <w:hideMark/>
          </w:tcPr>
          <w:p w14:paraId="7D17A478" w14:textId="77777777" w:rsidR="007966CD" w:rsidRPr="004C70EC" w:rsidRDefault="007966CD">
            <w:pPr>
              <w:spacing w:before="0" w:after="0"/>
              <w:jc w:val="lef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w:t>
            </w:r>
          </w:p>
        </w:tc>
      </w:tr>
      <w:tr w:rsidR="004A1163" w:rsidRPr="004C70EC" w14:paraId="41F96DB8" w14:textId="77777777" w:rsidTr="0058181D">
        <w:trPr>
          <w:trHeight w:val="319"/>
          <w:jc w:val="center"/>
        </w:trPr>
        <w:tc>
          <w:tcPr>
            <w:tcW w:w="4020" w:type="dxa"/>
            <w:gridSpan w:val="2"/>
            <w:tcBorders>
              <w:top w:val="single" w:sz="8" w:space="0" w:color="auto"/>
              <w:left w:val="single" w:sz="8" w:space="0" w:color="auto"/>
              <w:bottom w:val="single" w:sz="8" w:space="0" w:color="auto"/>
              <w:right w:val="single" w:sz="8" w:space="0" w:color="auto"/>
            </w:tcBorders>
            <w:vAlign w:val="center"/>
            <w:hideMark/>
          </w:tcPr>
          <w:p w14:paraId="171A1DE9" w14:textId="77777777" w:rsidR="007966CD" w:rsidRPr="004C70EC" w:rsidRDefault="007966CD">
            <w:pPr>
              <w:spacing w:before="0" w:after="0"/>
              <w:ind w:firstLineChars="100" w:firstLine="24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20 02 01 (AC, END from the ‘global envelope’)</w:t>
            </w:r>
          </w:p>
        </w:tc>
        <w:tc>
          <w:tcPr>
            <w:tcW w:w="705" w:type="dxa"/>
            <w:tcBorders>
              <w:top w:val="nil"/>
              <w:left w:val="nil"/>
              <w:bottom w:val="single" w:sz="8" w:space="0" w:color="auto"/>
              <w:right w:val="single" w:sz="8" w:space="0" w:color="auto"/>
            </w:tcBorders>
            <w:shd w:val="clear" w:color="000000" w:fill="D9D9D9"/>
            <w:vAlign w:val="center"/>
            <w:hideMark/>
          </w:tcPr>
          <w:p w14:paraId="5FFA1F40"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9</w:t>
            </w:r>
          </w:p>
        </w:tc>
        <w:tc>
          <w:tcPr>
            <w:tcW w:w="706" w:type="dxa"/>
            <w:tcBorders>
              <w:top w:val="nil"/>
              <w:left w:val="nil"/>
              <w:bottom w:val="single" w:sz="8" w:space="0" w:color="auto"/>
              <w:right w:val="single" w:sz="8" w:space="0" w:color="auto"/>
            </w:tcBorders>
            <w:shd w:val="clear" w:color="000000" w:fill="D9D9D9"/>
            <w:vAlign w:val="center"/>
            <w:hideMark/>
          </w:tcPr>
          <w:p w14:paraId="198DCF84"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9</w:t>
            </w:r>
          </w:p>
        </w:tc>
        <w:tc>
          <w:tcPr>
            <w:tcW w:w="706" w:type="dxa"/>
            <w:tcBorders>
              <w:top w:val="nil"/>
              <w:left w:val="nil"/>
              <w:bottom w:val="single" w:sz="8" w:space="0" w:color="auto"/>
              <w:right w:val="single" w:sz="8" w:space="0" w:color="auto"/>
            </w:tcBorders>
            <w:shd w:val="clear" w:color="000000" w:fill="D9D9D9"/>
            <w:vAlign w:val="center"/>
            <w:hideMark/>
          </w:tcPr>
          <w:p w14:paraId="705EB8B1"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9</w:t>
            </w:r>
          </w:p>
        </w:tc>
        <w:tc>
          <w:tcPr>
            <w:tcW w:w="721" w:type="dxa"/>
            <w:tcBorders>
              <w:top w:val="nil"/>
              <w:left w:val="nil"/>
              <w:bottom w:val="single" w:sz="8" w:space="0" w:color="auto"/>
              <w:right w:val="single" w:sz="8" w:space="0" w:color="auto"/>
            </w:tcBorders>
            <w:shd w:val="clear" w:color="000000" w:fill="D9D9D9"/>
            <w:vAlign w:val="center"/>
            <w:hideMark/>
          </w:tcPr>
          <w:p w14:paraId="7CE051E9"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9</w:t>
            </w:r>
          </w:p>
        </w:tc>
        <w:tc>
          <w:tcPr>
            <w:tcW w:w="721" w:type="dxa"/>
            <w:tcBorders>
              <w:top w:val="nil"/>
              <w:left w:val="nil"/>
              <w:bottom w:val="single" w:sz="8" w:space="0" w:color="auto"/>
              <w:right w:val="single" w:sz="8" w:space="0" w:color="auto"/>
            </w:tcBorders>
            <w:shd w:val="clear" w:color="000000" w:fill="D9D9D9"/>
            <w:vAlign w:val="center"/>
            <w:hideMark/>
          </w:tcPr>
          <w:p w14:paraId="44B36256"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9</w:t>
            </w:r>
          </w:p>
        </w:tc>
        <w:tc>
          <w:tcPr>
            <w:tcW w:w="721" w:type="dxa"/>
            <w:tcBorders>
              <w:top w:val="nil"/>
              <w:left w:val="nil"/>
              <w:bottom w:val="single" w:sz="8" w:space="0" w:color="auto"/>
              <w:right w:val="single" w:sz="8" w:space="0" w:color="auto"/>
            </w:tcBorders>
            <w:shd w:val="clear" w:color="000000" w:fill="D9D9D9"/>
            <w:vAlign w:val="center"/>
            <w:hideMark/>
          </w:tcPr>
          <w:p w14:paraId="30D05F79"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9</w:t>
            </w:r>
          </w:p>
        </w:tc>
        <w:tc>
          <w:tcPr>
            <w:tcW w:w="724" w:type="dxa"/>
            <w:tcBorders>
              <w:top w:val="nil"/>
              <w:left w:val="nil"/>
              <w:bottom w:val="single" w:sz="8" w:space="0" w:color="auto"/>
              <w:right w:val="single" w:sz="8" w:space="0" w:color="auto"/>
            </w:tcBorders>
            <w:shd w:val="clear" w:color="000000" w:fill="D9D9D9"/>
            <w:vAlign w:val="center"/>
            <w:hideMark/>
          </w:tcPr>
          <w:p w14:paraId="44EB83D1"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9</w:t>
            </w:r>
          </w:p>
        </w:tc>
        <w:tc>
          <w:tcPr>
            <w:tcW w:w="727" w:type="dxa"/>
            <w:tcBorders>
              <w:top w:val="nil"/>
              <w:left w:val="nil"/>
              <w:bottom w:val="single" w:sz="8" w:space="0" w:color="auto"/>
              <w:right w:val="single" w:sz="8" w:space="0" w:color="auto"/>
            </w:tcBorders>
            <w:shd w:val="clear" w:color="000000" w:fill="D9D9D9"/>
            <w:vAlign w:val="center"/>
            <w:hideMark/>
          </w:tcPr>
          <w:p w14:paraId="1A2CC11E"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9</w:t>
            </w:r>
          </w:p>
        </w:tc>
      </w:tr>
      <w:tr w:rsidR="004A1163" w:rsidRPr="004C70EC" w14:paraId="5778DFB1" w14:textId="77777777" w:rsidTr="0058181D">
        <w:trPr>
          <w:trHeight w:val="319"/>
          <w:jc w:val="center"/>
        </w:trPr>
        <w:tc>
          <w:tcPr>
            <w:tcW w:w="4020" w:type="dxa"/>
            <w:gridSpan w:val="2"/>
            <w:tcBorders>
              <w:top w:val="single" w:sz="8" w:space="0" w:color="auto"/>
              <w:left w:val="single" w:sz="8" w:space="0" w:color="auto"/>
              <w:bottom w:val="single" w:sz="8" w:space="0" w:color="auto"/>
              <w:right w:val="single" w:sz="8" w:space="0" w:color="auto"/>
            </w:tcBorders>
            <w:vAlign w:val="center"/>
            <w:hideMark/>
          </w:tcPr>
          <w:p w14:paraId="18F3132C" w14:textId="77777777" w:rsidR="007966CD" w:rsidRPr="004C70EC" w:rsidRDefault="007966CD">
            <w:pPr>
              <w:spacing w:before="0" w:after="0"/>
              <w:ind w:firstLineChars="100" w:firstLine="24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20 02 03 (AC, AL, END and JPD in the EU Delegations)</w:t>
            </w:r>
          </w:p>
        </w:tc>
        <w:tc>
          <w:tcPr>
            <w:tcW w:w="705" w:type="dxa"/>
            <w:tcBorders>
              <w:top w:val="nil"/>
              <w:left w:val="nil"/>
              <w:bottom w:val="single" w:sz="8" w:space="0" w:color="auto"/>
              <w:right w:val="single" w:sz="8" w:space="0" w:color="auto"/>
            </w:tcBorders>
            <w:shd w:val="clear" w:color="000000" w:fill="D9D9D9"/>
            <w:vAlign w:val="center"/>
            <w:hideMark/>
          </w:tcPr>
          <w:p w14:paraId="403344F8"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09E9AA99"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64427484"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647CC9FC"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225DC72E"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02AEE224"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4" w:type="dxa"/>
            <w:tcBorders>
              <w:top w:val="nil"/>
              <w:left w:val="nil"/>
              <w:bottom w:val="single" w:sz="8" w:space="0" w:color="auto"/>
              <w:right w:val="single" w:sz="8" w:space="0" w:color="auto"/>
            </w:tcBorders>
            <w:shd w:val="clear" w:color="000000" w:fill="D9D9D9"/>
            <w:vAlign w:val="center"/>
            <w:hideMark/>
          </w:tcPr>
          <w:p w14:paraId="0A263BEC"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7" w:type="dxa"/>
            <w:tcBorders>
              <w:top w:val="nil"/>
              <w:left w:val="nil"/>
              <w:bottom w:val="single" w:sz="8" w:space="0" w:color="auto"/>
              <w:right w:val="single" w:sz="8" w:space="0" w:color="auto"/>
            </w:tcBorders>
            <w:shd w:val="clear" w:color="000000" w:fill="D9D9D9"/>
            <w:vAlign w:val="center"/>
            <w:hideMark/>
          </w:tcPr>
          <w:p w14:paraId="77D59317"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r>
      <w:tr w:rsidR="004A1163" w:rsidRPr="004C70EC" w14:paraId="1FF643AE" w14:textId="77777777" w:rsidTr="003E76A9">
        <w:trPr>
          <w:trHeight w:val="319"/>
          <w:jc w:val="center"/>
        </w:trPr>
        <w:tc>
          <w:tcPr>
            <w:tcW w:w="1296" w:type="dxa"/>
            <w:vMerge w:val="restart"/>
            <w:tcBorders>
              <w:top w:val="nil"/>
              <w:left w:val="single" w:sz="8" w:space="0" w:color="auto"/>
              <w:bottom w:val="single" w:sz="8" w:space="0" w:color="auto"/>
              <w:right w:val="single" w:sz="8" w:space="0" w:color="auto"/>
            </w:tcBorders>
            <w:vAlign w:val="center"/>
            <w:hideMark/>
          </w:tcPr>
          <w:p w14:paraId="532A6E14"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Admin. Support line</w:t>
            </w:r>
            <w:r w:rsidRPr="004C70EC">
              <w:rPr>
                <w:rFonts w:eastAsia="Times New Roman"/>
                <w:noProof/>
                <w:color w:val="000000" w:themeColor="text1"/>
                <w:szCs w:val="24"/>
                <w:lang w:val="en-IE" w:eastAsia="en-IE"/>
              </w:rPr>
              <w:br/>
              <w:t>[XX.01.YY.YY] [2]</w:t>
            </w:r>
          </w:p>
        </w:tc>
        <w:tc>
          <w:tcPr>
            <w:tcW w:w="2724" w:type="dxa"/>
            <w:tcBorders>
              <w:top w:val="nil"/>
              <w:left w:val="nil"/>
              <w:bottom w:val="single" w:sz="8" w:space="0" w:color="auto"/>
              <w:right w:val="single" w:sz="8" w:space="0" w:color="auto"/>
            </w:tcBorders>
            <w:vAlign w:val="center"/>
            <w:hideMark/>
          </w:tcPr>
          <w:p w14:paraId="1DCDDADF" w14:textId="77777777" w:rsidR="007966CD" w:rsidRPr="004C70EC" w:rsidRDefault="007966CD">
            <w:pPr>
              <w:spacing w:before="0" w:after="0"/>
              <w:ind w:firstLineChars="100" w:firstLine="24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at Headquarters</w:t>
            </w:r>
          </w:p>
        </w:tc>
        <w:tc>
          <w:tcPr>
            <w:tcW w:w="705" w:type="dxa"/>
            <w:tcBorders>
              <w:top w:val="nil"/>
              <w:left w:val="nil"/>
              <w:bottom w:val="single" w:sz="8" w:space="0" w:color="auto"/>
              <w:right w:val="single" w:sz="8" w:space="0" w:color="auto"/>
            </w:tcBorders>
            <w:shd w:val="clear" w:color="000000" w:fill="D9D9D9"/>
            <w:vAlign w:val="center"/>
            <w:hideMark/>
          </w:tcPr>
          <w:p w14:paraId="7D525C2C"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5BA708E8"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320D8F1D"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4D38156A"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7B9A6117"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6C8BAA89"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4" w:type="dxa"/>
            <w:tcBorders>
              <w:top w:val="nil"/>
              <w:left w:val="nil"/>
              <w:bottom w:val="single" w:sz="8" w:space="0" w:color="auto"/>
              <w:right w:val="single" w:sz="8" w:space="0" w:color="auto"/>
            </w:tcBorders>
            <w:shd w:val="clear" w:color="000000" w:fill="D9D9D9"/>
            <w:vAlign w:val="center"/>
            <w:hideMark/>
          </w:tcPr>
          <w:p w14:paraId="451A3B49"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7" w:type="dxa"/>
            <w:tcBorders>
              <w:top w:val="nil"/>
              <w:left w:val="nil"/>
              <w:bottom w:val="single" w:sz="8" w:space="0" w:color="auto"/>
              <w:right w:val="single" w:sz="8" w:space="0" w:color="auto"/>
            </w:tcBorders>
            <w:shd w:val="clear" w:color="000000" w:fill="D9D9D9"/>
            <w:vAlign w:val="center"/>
            <w:hideMark/>
          </w:tcPr>
          <w:p w14:paraId="1A61408E"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r>
      <w:tr w:rsidR="004A1163" w:rsidRPr="004C70EC" w14:paraId="1DEF0267" w14:textId="77777777" w:rsidTr="003E76A9">
        <w:trPr>
          <w:trHeight w:val="319"/>
          <w:jc w:val="center"/>
        </w:trPr>
        <w:tc>
          <w:tcPr>
            <w:tcW w:w="1296" w:type="dxa"/>
            <w:vMerge/>
            <w:tcBorders>
              <w:top w:val="nil"/>
              <w:left w:val="single" w:sz="8" w:space="0" w:color="auto"/>
              <w:bottom w:val="single" w:sz="8" w:space="0" w:color="auto"/>
              <w:right w:val="single" w:sz="8" w:space="0" w:color="auto"/>
            </w:tcBorders>
            <w:vAlign w:val="center"/>
            <w:hideMark/>
          </w:tcPr>
          <w:p w14:paraId="458F379D" w14:textId="77777777" w:rsidR="007966CD" w:rsidRPr="004C70EC" w:rsidRDefault="007966CD">
            <w:pPr>
              <w:spacing w:before="0" w:after="0"/>
              <w:jc w:val="left"/>
              <w:rPr>
                <w:rFonts w:eastAsia="Times New Roman"/>
                <w:noProof/>
                <w:color w:val="000000" w:themeColor="text1"/>
                <w:szCs w:val="24"/>
                <w:lang w:val="en-IE" w:eastAsia="en-IE"/>
              </w:rPr>
            </w:pPr>
          </w:p>
        </w:tc>
        <w:tc>
          <w:tcPr>
            <w:tcW w:w="2724" w:type="dxa"/>
            <w:tcBorders>
              <w:top w:val="nil"/>
              <w:left w:val="nil"/>
              <w:bottom w:val="single" w:sz="8" w:space="0" w:color="auto"/>
              <w:right w:val="single" w:sz="8" w:space="0" w:color="auto"/>
            </w:tcBorders>
            <w:vAlign w:val="center"/>
            <w:hideMark/>
          </w:tcPr>
          <w:p w14:paraId="22554DDD" w14:textId="77777777" w:rsidR="007966CD" w:rsidRPr="004C70EC" w:rsidRDefault="007966CD">
            <w:pPr>
              <w:spacing w:before="0" w:after="0"/>
              <w:ind w:firstLineChars="100" w:firstLine="24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xml:space="preserve">- in EU Delegations </w:t>
            </w:r>
          </w:p>
        </w:tc>
        <w:tc>
          <w:tcPr>
            <w:tcW w:w="705" w:type="dxa"/>
            <w:tcBorders>
              <w:top w:val="nil"/>
              <w:left w:val="nil"/>
              <w:bottom w:val="single" w:sz="8" w:space="0" w:color="auto"/>
              <w:right w:val="single" w:sz="8" w:space="0" w:color="auto"/>
            </w:tcBorders>
            <w:shd w:val="clear" w:color="000000" w:fill="D9D9D9"/>
            <w:vAlign w:val="center"/>
            <w:hideMark/>
          </w:tcPr>
          <w:p w14:paraId="3D98EA3B"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2E5EB632"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02807110"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147E1E93"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4567A3E1"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3406BB3E"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4" w:type="dxa"/>
            <w:tcBorders>
              <w:top w:val="nil"/>
              <w:left w:val="nil"/>
              <w:bottom w:val="single" w:sz="8" w:space="0" w:color="auto"/>
              <w:right w:val="single" w:sz="8" w:space="0" w:color="auto"/>
            </w:tcBorders>
            <w:shd w:val="clear" w:color="000000" w:fill="D9D9D9"/>
            <w:vAlign w:val="center"/>
            <w:hideMark/>
          </w:tcPr>
          <w:p w14:paraId="0149FE76"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7" w:type="dxa"/>
            <w:tcBorders>
              <w:top w:val="nil"/>
              <w:left w:val="nil"/>
              <w:bottom w:val="single" w:sz="8" w:space="0" w:color="auto"/>
              <w:right w:val="single" w:sz="8" w:space="0" w:color="auto"/>
            </w:tcBorders>
            <w:shd w:val="clear" w:color="000000" w:fill="D9D9D9"/>
            <w:vAlign w:val="center"/>
            <w:hideMark/>
          </w:tcPr>
          <w:p w14:paraId="0EB3AC8B"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r>
      <w:tr w:rsidR="004A1163" w:rsidRPr="004C70EC" w14:paraId="4DE5EB46" w14:textId="77777777" w:rsidTr="0058181D">
        <w:trPr>
          <w:trHeight w:val="319"/>
          <w:jc w:val="center"/>
        </w:trPr>
        <w:tc>
          <w:tcPr>
            <w:tcW w:w="4020" w:type="dxa"/>
            <w:gridSpan w:val="2"/>
            <w:tcBorders>
              <w:top w:val="single" w:sz="8" w:space="0" w:color="auto"/>
              <w:left w:val="single" w:sz="8" w:space="0" w:color="auto"/>
              <w:bottom w:val="single" w:sz="8" w:space="0" w:color="auto"/>
              <w:right w:val="single" w:sz="8" w:space="0" w:color="auto"/>
            </w:tcBorders>
            <w:vAlign w:val="center"/>
            <w:hideMark/>
          </w:tcPr>
          <w:p w14:paraId="753BE758" w14:textId="77777777" w:rsidR="007966CD" w:rsidRPr="004C70EC" w:rsidRDefault="007966CD">
            <w:pPr>
              <w:spacing w:before="0" w:after="0"/>
              <w:ind w:firstLineChars="100" w:firstLine="24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01 01 01 02 (AC, END - Indirect research)</w:t>
            </w:r>
          </w:p>
        </w:tc>
        <w:tc>
          <w:tcPr>
            <w:tcW w:w="705" w:type="dxa"/>
            <w:tcBorders>
              <w:top w:val="nil"/>
              <w:left w:val="nil"/>
              <w:bottom w:val="single" w:sz="8" w:space="0" w:color="auto"/>
              <w:right w:val="single" w:sz="8" w:space="0" w:color="auto"/>
            </w:tcBorders>
            <w:shd w:val="clear" w:color="000000" w:fill="D9D9D9"/>
            <w:vAlign w:val="center"/>
            <w:hideMark/>
          </w:tcPr>
          <w:p w14:paraId="16270CD3"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7323C175"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3DC1984B"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46FC5993"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5A053E8F"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163DCBD8"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4" w:type="dxa"/>
            <w:tcBorders>
              <w:top w:val="nil"/>
              <w:left w:val="nil"/>
              <w:bottom w:val="single" w:sz="8" w:space="0" w:color="auto"/>
              <w:right w:val="single" w:sz="8" w:space="0" w:color="auto"/>
            </w:tcBorders>
            <w:shd w:val="clear" w:color="000000" w:fill="D9D9D9"/>
            <w:vAlign w:val="center"/>
            <w:hideMark/>
          </w:tcPr>
          <w:p w14:paraId="5BC1D36A"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7" w:type="dxa"/>
            <w:tcBorders>
              <w:top w:val="nil"/>
              <w:left w:val="nil"/>
              <w:bottom w:val="single" w:sz="8" w:space="0" w:color="auto"/>
              <w:right w:val="single" w:sz="8" w:space="0" w:color="auto"/>
            </w:tcBorders>
            <w:shd w:val="clear" w:color="000000" w:fill="D9D9D9"/>
            <w:vAlign w:val="center"/>
            <w:hideMark/>
          </w:tcPr>
          <w:p w14:paraId="35D88152"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r>
      <w:tr w:rsidR="004A1163" w:rsidRPr="004C70EC" w14:paraId="05CCCEF0" w14:textId="77777777" w:rsidTr="0058181D">
        <w:trPr>
          <w:trHeight w:val="319"/>
          <w:jc w:val="center"/>
        </w:trPr>
        <w:tc>
          <w:tcPr>
            <w:tcW w:w="4020" w:type="dxa"/>
            <w:gridSpan w:val="2"/>
            <w:tcBorders>
              <w:top w:val="single" w:sz="8" w:space="0" w:color="auto"/>
              <w:left w:val="single" w:sz="8" w:space="0" w:color="auto"/>
              <w:bottom w:val="single" w:sz="8" w:space="0" w:color="auto"/>
              <w:right w:val="single" w:sz="8" w:space="0" w:color="auto"/>
            </w:tcBorders>
            <w:vAlign w:val="center"/>
            <w:hideMark/>
          </w:tcPr>
          <w:p w14:paraId="087FB706" w14:textId="77777777" w:rsidR="007966CD" w:rsidRPr="004C70EC" w:rsidRDefault="007966CD">
            <w:pPr>
              <w:spacing w:before="0" w:after="0"/>
              <w:ind w:firstLineChars="100" w:firstLine="24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xml:space="preserve"> 01 01 01 12 (AC, END - Direct research)</w:t>
            </w:r>
          </w:p>
        </w:tc>
        <w:tc>
          <w:tcPr>
            <w:tcW w:w="705" w:type="dxa"/>
            <w:tcBorders>
              <w:top w:val="nil"/>
              <w:left w:val="nil"/>
              <w:bottom w:val="single" w:sz="8" w:space="0" w:color="auto"/>
              <w:right w:val="single" w:sz="8" w:space="0" w:color="auto"/>
            </w:tcBorders>
            <w:shd w:val="clear" w:color="000000" w:fill="D9D9D9"/>
            <w:vAlign w:val="center"/>
            <w:hideMark/>
          </w:tcPr>
          <w:p w14:paraId="269D0572"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70E6BCF4"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5EEBD4F9"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185649DF"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415CBBB1"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1D993A50"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4" w:type="dxa"/>
            <w:tcBorders>
              <w:top w:val="nil"/>
              <w:left w:val="nil"/>
              <w:bottom w:val="single" w:sz="8" w:space="0" w:color="auto"/>
              <w:right w:val="single" w:sz="8" w:space="0" w:color="auto"/>
            </w:tcBorders>
            <w:shd w:val="clear" w:color="000000" w:fill="D9D9D9"/>
            <w:vAlign w:val="center"/>
            <w:hideMark/>
          </w:tcPr>
          <w:p w14:paraId="1A5ECDB5"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7" w:type="dxa"/>
            <w:tcBorders>
              <w:top w:val="nil"/>
              <w:left w:val="nil"/>
              <w:bottom w:val="single" w:sz="8" w:space="0" w:color="auto"/>
              <w:right w:val="single" w:sz="8" w:space="0" w:color="auto"/>
            </w:tcBorders>
            <w:shd w:val="clear" w:color="000000" w:fill="D9D9D9"/>
            <w:vAlign w:val="center"/>
            <w:hideMark/>
          </w:tcPr>
          <w:p w14:paraId="42064689"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r>
      <w:tr w:rsidR="004A1163" w:rsidRPr="004C70EC" w14:paraId="7CCDCEA7" w14:textId="77777777" w:rsidTr="0058181D">
        <w:trPr>
          <w:trHeight w:val="319"/>
          <w:jc w:val="center"/>
        </w:trPr>
        <w:tc>
          <w:tcPr>
            <w:tcW w:w="4020" w:type="dxa"/>
            <w:gridSpan w:val="2"/>
            <w:tcBorders>
              <w:top w:val="single" w:sz="8" w:space="0" w:color="auto"/>
              <w:left w:val="single" w:sz="8" w:space="0" w:color="auto"/>
              <w:bottom w:val="single" w:sz="8" w:space="0" w:color="auto"/>
              <w:right w:val="single" w:sz="8" w:space="0" w:color="auto"/>
            </w:tcBorders>
            <w:vAlign w:val="center"/>
            <w:hideMark/>
          </w:tcPr>
          <w:p w14:paraId="1D2B8683" w14:textId="77777777" w:rsidR="007966CD" w:rsidRPr="004C70EC" w:rsidRDefault="007966CD">
            <w:pPr>
              <w:spacing w:before="0" w:after="0"/>
              <w:ind w:firstLineChars="100" w:firstLine="24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Other budget lines (specify) - Heading 4</w:t>
            </w:r>
          </w:p>
        </w:tc>
        <w:tc>
          <w:tcPr>
            <w:tcW w:w="705" w:type="dxa"/>
            <w:tcBorders>
              <w:top w:val="nil"/>
              <w:left w:val="nil"/>
              <w:bottom w:val="single" w:sz="8" w:space="0" w:color="auto"/>
              <w:right w:val="single" w:sz="8" w:space="0" w:color="auto"/>
            </w:tcBorders>
            <w:shd w:val="clear" w:color="000000" w:fill="D9D9D9"/>
            <w:vAlign w:val="center"/>
            <w:hideMark/>
          </w:tcPr>
          <w:p w14:paraId="29D40158"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454457D2"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06" w:type="dxa"/>
            <w:tcBorders>
              <w:top w:val="nil"/>
              <w:left w:val="nil"/>
              <w:bottom w:val="single" w:sz="8" w:space="0" w:color="auto"/>
              <w:right w:val="single" w:sz="8" w:space="0" w:color="auto"/>
            </w:tcBorders>
            <w:shd w:val="clear" w:color="000000" w:fill="D9D9D9"/>
            <w:vAlign w:val="center"/>
            <w:hideMark/>
          </w:tcPr>
          <w:p w14:paraId="69E9FEBC"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50DE5E45"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7DD34D16"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1" w:type="dxa"/>
            <w:tcBorders>
              <w:top w:val="nil"/>
              <w:left w:val="nil"/>
              <w:bottom w:val="single" w:sz="8" w:space="0" w:color="auto"/>
              <w:right w:val="single" w:sz="8" w:space="0" w:color="auto"/>
            </w:tcBorders>
            <w:shd w:val="clear" w:color="000000" w:fill="D9D9D9"/>
            <w:vAlign w:val="center"/>
            <w:hideMark/>
          </w:tcPr>
          <w:p w14:paraId="2E4144E5"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4" w:type="dxa"/>
            <w:tcBorders>
              <w:top w:val="nil"/>
              <w:left w:val="nil"/>
              <w:bottom w:val="single" w:sz="8" w:space="0" w:color="auto"/>
              <w:right w:val="single" w:sz="8" w:space="0" w:color="auto"/>
            </w:tcBorders>
            <w:shd w:val="clear" w:color="000000" w:fill="D9D9D9"/>
            <w:vAlign w:val="center"/>
            <w:hideMark/>
          </w:tcPr>
          <w:p w14:paraId="18FCE16E"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c>
          <w:tcPr>
            <w:tcW w:w="727" w:type="dxa"/>
            <w:tcBorders>
              <w:top w:val="nil"/>
              <w:left w:val="nil"/>
              <w:bottom w:val="single" w:sz="8" w:space="0" w:color="auto"/>
              <w:right w:val="single" w:sz="8" w:space="0" w:color="auto"/>
            </w:tcBorders>
            <w:shd w:val="clear" w:color="000000" w:fill="D9D9D9"/>
            <w:vAlign w:val="center"/>
            <w:hideMark/>
          </w:tcPr>
          <w:p w14:paraId="38610371"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0</w:t>
            </w:r>
          </w:p>
        </w:tc>
      </w:tr>
      <w:tr w:rsidR="004A1163" w:rsidRPr="004C70EC" w14:paraId="76E740EF" w14:textId="77777777" w:rsidTr="0058181D">
        <w:trPr>
          <w:trHeight w:val="303"/>
          <w:jc w:val="center"/>
        </w:trPr>
        <w:tc>
          <w:tcPr>
            <w:tcW w:w="4020" w:type="dxa"/>
            <w:gridSpan w:val="2"/>
            <w:tcBorders>
              <w:top w:val="single" w:sz="8" w:space="0" w:color="auto"/>
              <w:left w:val="single" w:sz="8" w:space="0" w:color="auto"/>
              <w:bottom w:val="single" w:sz="8" w:space="0" w:color="auto"/>
              <w:right w:val="single" w:sz="8" w:space="0" w:color="auto"/>
            </w:tcBorders>
            <w:vAlign w:val="center"/>
            <w:hideMark/>
          </w:tcPr>
          <w:p w14:paraId="7E7DDD3E" w14:textId="77777777" w:rsidR="007966CD" w:rsidRPr="004C70EC" w:rsidRDefault="007966CD">
            <w:pPr>
              <w:spacing w:before="0" w:after="0"/>
              <w:ind w:firstLineChars="100" w:firstLine="24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Other budget lines (specify) - Outside Heading 4</w:t>
            </w:r>
          </w:p>
        </w:tc>
        <w:tc>
          <w:tcPr>
            <w:tcW w:w="705" w:type="dxa"/>
            <w:tcBorders>
              <w:top w:val="nil"/>
              <w:left w:val="nil"/>
              <w:bottom w:val="single" w:sz="8" w:space="0" w:color="auto"/>
              <w:right w:val="single" w:sz="8" w:space="0" w:color="auto"/>
            </w:tcBorders>
            <w:shd w:val="clear" w:color="000000" w:fill="D9D9D9"/>
            <w:vAlign w:val="center"/>
            <w:hideMark/>
          </w:tcPr>
          <w:p w14:paraId="3D9D880A"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26</w:t>
            </w:r>
          </w:p>
        </w:tc>
        <w:tc>
          <w:tcPr>
            <w:tcW w:w="706" w:type="dxa"/>
            <w:tcBorders>
              <w:top w:val="nil"/>
              <w:left w:val="nil"/>
              <w:bottom w:val="single" w:sz="8" w:space="0" w:color="auto"/>
              <w:right w:val="single" w:sz="8" w:space="0" w:color="auto"/>
            </w:tcBorders>
            <w:shd w:val="clear" w:color="000000" w:fill="D9D9D9"/>
            <w:vAlign w:val="center"/>
            <w:hideMark/>
          </w:tcPr>
          <w:p w14:paraId="5F78AC7E"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26</w:t>
            </w:r>
          </w:p>
        </w:tc>
        <w:tc>
          <w:tcPr>
            <w:tcW w:w="706" w:type="dxa"/>
            <w:tcBorders>
              <w:top w:val="nil"/>
              <w:left w:val="nil"/>
              <w:bottom w:val="single" w:sz="8" w:space="0" w:color="auto"/>
              <w:right w:val="single" w:sz="8" w:space="0" w:color="auto"/>
            </w:tcBorders>
            <w:shd w:val="clear" w:color="000000" w:fill="D9D9D9"/>
            <w:vAlign w:val="center"/>
            <w:hideMark/>
          </w:tcPr>
          <w:p w14:paraId="337E34D7"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26</w:t>
            </w:r>
          </w:p>
        </w:tc>
        <w:tc>
          <w:tcPr>
            <w:tcW w:w="721" w:type="dxa"/>
            <w:tcBorders>
              <w:top w:val="nil"/>
              <w:left w:val="nil"/>
              <w:bottom w:val="single" w:sz="8" w:space="0" w:color="auto"/>
              <w:right w:val="single" w:sz="8" w:space="0" w:color="auto"/>
            </w:tcBorders>
            <w:shd w:val="clear" w:color="000000" w:fill="D9D9D9"/>
            <w:vAlign w:val="center"/>
            <w:hideMark/>
          </w:tcPr>
          <w:p w14:paraId="0BBDF87F"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26</w:t>
            </w:r>
          </w:p>
        </w:tc>
        <w:tc>
          <w:tcPr>
            <w:tcW w:w="721" w:type="dxa"/>
            <w:tcBorders>
              <w:top w:val="nil"/>
              <w:left w:val="nil"/>
              <w:bottom w:val="single" w:sz="8" w:space="0" w:color="auto"/>
              <w:right w:val="single" w:sz="8" w:space="0" w:color="auto"/>
            </w:tcBorders>
            <w:shd w:val="clear" w:color="000000" w:fill="D9D9D9"/>
            <w:vAlign w:val="center"/>
            <w:hideMark/>
          </w:tcPr>
          <w:p w14:paraId="11F2D231"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26</w:t>
            </w:r>
          </w:p>
        </w:tc>
        <w:tc>
          <w:tcPr>
            <w:tcW w:w="721" w:type="dxa"/>
            <w:tcBorders>
              <w:top w:val="nil"/>
              <w:left w:val="nil"/>
              <w:bottom w:val="single" w:sz="8" w:space="0" w:color="auto"/>
              <w:right w:val="single" w:sz="8" w:space="0" w:color="auto"/>
            </w:tcBorders>
            <w:shd w:val="clear" w:color="000000" w:fill="D9D9D9"/>
            <w:vAlign w:val="center"/>
            <w:hideMark/>
          </w:tcPr>
          <w:p w14:paraId="2B76622A"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26</w:t>
            </w:r>
          </w:p>
        </w:tc>
        <w:tc>
          <w:tcPr>
            <w:tcW w:w="724" w:type="dxa"/>
            <w:tcBorders>
              <w:top w:val="nil"/>
              <w:left w:val="nil"/>
              <w:bottom w:val="single" w:sz="8" w:space="0" w:color="auto"/>
              <w:right w:val="single" w:sz="8" w:space="0" w:color="auto"/>
            </w:tcBorders>
            <w:shd w:val="clear" w:color="000000" w:fill="D9D9D9"/>
            <w:vAlign w:val="center"/>
            <w:hideMark/>
          </w:tcPr>
          <w:p w14:paraId="77A0C038"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26</w:t>
            </w:r>
          </w:p>
        </w:tc>
        <w:tc>
          <w:tcPr>
            <w:tcW w:w="727" w:type="dxa"/>
            <w:tcBorders>
              <w:top w:val="nil"/>
              <w:left w:val="nil"/>
              <w:bottom w:val="single" w:sz="8" w:space="0" w:color="auto"/>
              <w:right w:val="single" w:sz="8" w:space="0" w:color="auto"/>
            </w:tcBorders>
            <w:shd w:val="clear" w:color="000000" w:fill="D9D9D9"/>
            <w:vAlign w:val="center"/>
            <w:hideMark/>
          </w:tcPr>
          <w:p w14:paraId="6CFB11D0"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26</w:t>
            </w:r>
          </w:p>
        </w:tc>
      </w:tr>
      <w:tr w:rsidR="004A1163" w:rsidRPr="004C70EC" w14:paraId="1598E18D" w14:textId="77777777" w:rsidTr="0058181D">
        <w:trPr>
          <w:trHeight w:val="319"/>
          <w:jc w:val="center"/>
        </w:trPr>
        <w:tc>
          <w:tcPr>
            <w:tcW w:w="4020" w:type="dxa"/>
            <w:gridSpan w:val="2"/>
            <w:tcBorders>
              <w:top w:val="single" w:sz="8" w:space="0" w:color="auto"/>
              <w:left w:val="single" w:sz="8" w:space="0" w:color="auto"/>
              <w:bottom w:val="single" w:sz="8" w:space="0" w:color="auto"/>
              <w:right w:val="single" w:sz="8" w:space="0" w:color="auto"/>
            </w:tcBorders>
            <w:vAlign w:val="center"/>
            <w:hideMark/>
          </w:tcPr>
          <w:p w14:paraId="20B31214" w14:textId="77777777" w:rsidR="007966CD" w:rsidRPr="004C70EC" w:rsidRDefault="007966CD">
            <w:pPr>
              <w:spacing w:before="0" w:after="0"/>
              <w:ind w:firstLineChars="100" w:firstLine="240"/>
              <w:jc w:val="lef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w:t>
            </w:r>
          </w:p>
        </w:tc>
        <w:tc>
          <w:tcPr>
            <w:tcW w:w="705" w:type="dxa"/>
            <w:tcBorders>
              <w:top w:val="nil"/>
              <w:left w:val="nil"/>
              <w:bottom w:val="single" w:sz="8" w:space="0" w:color="auto"/>
              <w:right w:val="single" w:sz="8" w:space="0" w:color="auto"/>
            </w:tcBorders>
            <w:shd w:val="clear" w:color="000000" w:fill="D9D9D9"/>
            <w:vAlign w:val="center"/>
            <w:hideMark/>
          </w:tcPr>
          <w:p w14:paraId="10C9497B"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64</w:t>
            </w:r>
          </w:p>
        </w:tc>
        <w:tc>
          <w:tcPr>
            <w:tcW w:w="706" w:type="dxa"/>
            <w:tcBorders>
              <w:top w:val="nil"/>
              <w:left w:val="nil"/>
              <w:bottom w:val="single" w:sz="8" w:space="0" w:color="auto"/>
              <w:right w:val="single" w:sz="8" w:space="0" w:color="auto"/>
            </w:tcBorders>
            <w:shd w:val="clear" w:color="000000" w:fill="D9D9D9"/>
            <w:vAlign w:val="center"/>
            <w:hideMark/>
          </w:tcPr>
          <w:p w14:paraId="1514C0B6"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64</w:t>
            </w:r>
          </w:p>
        </w:tc>
        <w:tc>
          <w:tcPr>
            <w:tcW w:w="706" w:type="dxa"/>
            <w:tcBorders>
              <w:top w:val="nil"/>
              <w:left w:val="nil"/>
              <w:bottom w:val="single" w:sz="8" w:space="0" w:color="auto"/>
              <w:right w:val="single" w:sz="8" w:space="0" w:color="auto"/>
            </w:tcBorders>
            <w:shd w:val="clear" w:color="000000" w:fill="D9D9D9"/>
            <w:vAlign w:val="center"/>
            <w:hideMark/>
          </w:tcPr>
          <w:p w14:paraId="5831D577"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64</w:t>
            </w:r>
          </w:p>
        </w:tc>
        <w:tc>
          <w:tcPr>
            <w:tcW w:w="721" w:type="dxa"/>
            <w:tcBorders>
              <w:top w:val="nil"/>
              <w:left w:val="nil"/>
              <w:bottom w:val="single" w:sz="8" w:space="0" w:color="auto"/>
              <w:right w:val="single" w:sz="8" w:space="0" w:color="auto"/>
            </w:tcBorders>
            <w:shd w:val="clear" w:color="000000" w:fill="D9D9D9"/>
            <w:vAlign w:val="center"/>
            <w:hideMark/>
          </w:tcPr>
          <w:p w14:paraId="0AD71DC9"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64</w:t>
            </w:r>
          </w:p>
        </w:tc>
        <w:tc>
          <w:tcPr>
            <w:tcW w:w="721" w:type="dxa"/>
            <w:tcBorders>
              <w:top w:val="nil"/>
              <w:left w:val="nil"/>
              <w:bottom w:val="single" w:sz="8" w:space="0" w:color="auto"/>
              <w:right w:val="single" w:sz="8" w:space="0" w:color="auto"/>
            </w:tcBorders>
            <w:shd w:val="clear" w:color="000000" w:fill="D9D9D9"/>
            <w:vAlign w:val="center"/>
            <w:hideMark/>
          </w:tcPr>
          <w:p w14:paraId="799E5C8B"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64</w:t>
            </w:r>
          </w:p>
        </w:tc>
        <w:tc>
          <w:tcPr>
            <w:tcW w:w="721" w:type="dxa"/>
            <w:tcBorders>
              <w:top w:val="nil"/>
              <w:left w:val="nil"/>
              <w:bottom w:val="single" w:sz="8" w:space="0" w:color="auto"/>
              <w:right w:val="single" w:sz="8" w:space="0" w:color="auto"/>
            </w:tcBorders>
            <w:shd w:val="clear" w:color="000000" w:fill="D9D9D9"/>
            <w:vAlign w:val="center"/>
            <w:hideMark/>
          </w:tcPr>
          <w:p w14:paraId="4B5126FF"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64</w:t>
            </w:r>
          </w:p>
        </w:tc>
        <w:tc>
          <w:tcPr>
            <w:tcW w:w="724" w:type="dxa"/>
            <w:tcBorders>
              <w:top w:val="nil"/>
              <w:left w:val="nil"/>
              <w:bottom w:val="single" w:sz="8" w:space="0" w:color="auto"/>
              <w:right w:val="single" w:sz="8" w:space="0" w:color="auto"/>
            </w:tcBorders>
            <w:shd w:val="clear" w:color="000000" w:fill="D9D9D9"/>
            <w:vAlign w:val="center"/>
            <w:hideMark/>
          </w:tcPr>
          <w:p w14:paraId="0351F110"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64</w:t>
            </w:r>
          </w:p>
        </w:tc>
        <w:tc>
          <w:tcPr>
            <w:tcW w:w="727" w:type="dxa"/>
            <w:tcBorders>
              <w:top w:val="nil"/>
              <w:left w:val="nil"/>
              <w:bottom w:val="single" w:sz="8" w:space="0" w:color="auto"/>
              <w:right w:val="single" w:sz="8" w:space="0" w:color="auto"/>
            </w:tcBorders>
            <w:shd w:val="clear" w:color="000000" w:fill="D9D9D9"/>
            <w:vAlign w:val="center"/>
            <w:hideMark/>
          </w:tcPr>
          <w:p w14:paraId="79999FEB"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64</w:t>
            </w:r>
          </w:p>
        </w:tc>
      </w:tr>
    </w:tbl>
    <w:p w14:paraId="2511AD46" w14:textId="77777777" w:rsidR="007966CD" w:rsidRPr="004C70EC" w:rsidRDefault="007966CD">
      <w:pPr>
        <w:spacing w:after="60"/>
        <w:jc w:val="right"/>
        <w:rPr>
          <w:i/>
          <w:noProof/>
          <w:color w:val="000000" w:themeColor="text1"/>
          <w:szCs w:val="24"/>
          <w:lang w:val="en-IE"/>
        </w:rPr>
      </w:pPr>
      <w:r w:rsidRPr="004C70EC">
        <w:rPr>
          <w:rFonts w:eastAsia="Aptos"/>
          <w:noProof/>
          <w:color w:val="000000" w:themeColor="text1"/>
          <w:szCs w:val="24"/>
        </w:rPr>
        <w:t>* Figures in the tables above are all strictly indicative pending the outcome of the 2028-2034 MFF negotiations which cannot be prejudged.</w:t>
      </w:r>
    </w:p>
    <w:p w14:paraId="3231221C" w14:textId="77777777" w:rsidR="007966CD" w:rsidRPr="004C70EC" w:rsidRDefault="007966CD">
      <w:pPr>
        <w:pStyle w:val="Text1"/>
        <w:spacing w:before="60" w:after="60"/>
        <w:ind w:left="-426" w:right="-427"/>
        <w:rPr>
          <w:b/>
          <w:noProof/>
          <w:color w:val="000000" w:themeColor="text1"/>
          <w:szCs w:val="24"/>
          <w:lang w:val="en-IE"/>
        </w:rPr>
      </w:pPr>
      <w:bookmarkStart w:id="72" w:name="_Hlk156979231"/>
    </w:p>
    <w:p w14:paraId="21F6512F" w14:textId="77777777" w:rsidR="007966CD" w:rsidRPr="004C70EC" w:rsidRDefault="000D1EFC">
      <w:pPr>
        <w:pStyle w:val="Text1"/>
        <w:ind w:left="-426"/>
        <w:rPr>
          <w:noProof/>
          <w:color w:val="000000" w:themeColor="text1"/>
          <w:szCs w:val="24"/>
        </w:rPr>
      </w:pPr>
      <w:bookmarkStart w:id="73" w:name="_Hlk167692843"/>
      <w:bookmarkEnd w:id="72"/>
      <w:r w:rsidRPr="004C70EC">
        <w:rPr>
          <w:noProof/>
          <w:color w:val="000000" w:themeColor="text1"/>
          <w:szCs w:val="24"/>
        </w:rPr>
        <w:t>Considering the overall strained situation in Heading 4, in terms of both staffing and the level of appropriations, the human resources required will be only partly met by staff from the DG who are already assigned to the management of the action and/or have been redeployed within the DG.  </w:t>
      </w:r>
    </w:p>
    <w:p w14:paraId="019536B8" w14:textId="77777777" w:rsidR="007966CD" w:rsidRPr="004C70EC" w:rsidRDefault="681889E0">
      <w:pPr>
        <w:pStyle w:val="Text1"/>
        <w:ind w:left="-426"/>
        <w:rPr>
          <w:rStyle w:val="normaltextrun"/>
          <w:noProof/>
          <w:color w:val="000000" w:themeColor="text1"/>
          <w:szCs w:val="24"/>
          <w:shd w:val="clear" w:color="auto" w:fill="FFFFFF"/>
        </w:rPr>
      </w:pPr>
      <w:r w:rsidRPr="004C70EC">
        <w:rPr>
          <w:rStyle w:val="normaltextrun"/>
          <w:noProof/>
          <w:color w:val="000000" w:themeColor="text1"/>
          <w:szCs w:val="24"/>
          <w:shd w:val="clear" w:color="auto" w:fill="FFFFFF"/>
        </w:rPr>
        <w:t xml:space="preserve">24 additional establishment plan posts which are required to implement the proposal and 4 SNEs (in FTEs) to be covered with additional staff to be financed under heading 4. 26 CAs will be financed from appropriations of an administrative nature financed from the envelope of specific programmes. 5ADs, 4 CAs and 1 SNE posts to be covered by current staff available in the Commission services. </w:t>
      </w:r>
    </w:p>
    <w:p w14:paraId="5460DEA0" w14:textId="77777777" w:rsidR="007966CD" w:rsidRPr="004C70EC" w:rsidRDefault="007966CD">
      <w:pPr>
        <w:pStyle w:val="Text1"/>
        <w:ind w:left="-426"/>
        <w:rPr>
          <w:noProof/>
          <w:color w:val="000000" w:themeColor="text1"/>
          <w:szCs w:val="24"/>
        </w:rPr>
      </w:pPr>
    </w:p>
    <w:p w14:paraId="2349794B" w14:textId="77777777" w:rsidR="007966CD" w:rsidRPr="004C70EC" w:rsidRDefault="007966CD">
      <w:pPr>
        <w:pStyle w:val="Text1"/>
        <w:ind w:left="-426"/>
        <w:rPr>
          <w:noProof/>
          <w:color w:val="000000" w:themeColor="text1"/>
          <w:szCs w:val="24"/>
        </w:rPr>
      </w:pPr>
      <w:r w:rsidRPr="004C70EC">
        <w:rPr>
          <w:noProof/>
          <w:color w:val="000000" w:themeColor="text1"/>
          <w:szCs w:val="24"/>
        </w:rPr>
        <w:t xml:space="preserve">The staff required to implement the proposal (in FTEs): </w:t>
      </w:r>
    </w:p>
    <w:tbl>
      <w:tblPr>
        <w:tblStyle w:val="TableGrid"/>
        <w:tblW w:w="10189" w:type="dxa"/>
        <w:tblInd w:w="-426" w:type="dxa"/>
        <w:tblBorders>
          <w:insideH w:val="single" w:sz="6" w:space="0" w:color="auto"/>
          <w:insideV w:val="single" w:sz="6" w:space="0" w:color="auto"/>
        </w:tblBorders>
        <w:tblLook w:val="04A0" w:firstRow="1" w:lastRow="0" w:firstColumn="1" w:lastColumn="0" w:noHBand="0" w:noVBand="1"/>
      </w:tblPr>
      <w:tblGrid>
        <w:gridCol w:w="1981"/>
        <w:gridCol w:w="2181"/>
        <w:gridCol w:w="2067"/>
        <w:gridCol w:w="2081"/>
        <w:gridCol w:w="1879"/>
      </w:tblGrid>
      <w:tr w:rsidR="004A1163" w:rsidRPr="004C70EC" w14:paraId="1EB79F0E" w14:textId="77777777" w:rsidTr="001D23BC">
        <w:trPr>
          <w:trHeight w:val="302"/>
        </w:trPr>
        <w:tc>
          <w:tcPr>
            <w:tcW w:w="1981" w:type="dxa"/>
          </w:tcPr>
          <w:p w14:paraId="54BEF708" w14:textId="77777777" w:rsidR="007966CD" w:rsidRPr="004C70EC" w:rsidRDefault="007966CD">
            <w:pPr>
              <w:pStyle w:val="Text1"/>
              <w:ind w:left="0"/>
              <w:jc w:val="center"/>
              <w:rPr>
                <w:b/>
                <w:bCs/>
                <w:noProof/>
                <w:color w:val="000000" w:themeColor="text1"/>
                <w:szCs w:val="24"/>
              </w:rPr>
            </w:pPr>
          </w:p>
        </w:tc>
        <w:tc>
          <w:tcPr>
            <w:tcW w:w="2181" w:type="dxa"/>
          </w:tcPr>
          <w:p w14:paraId="3D17BE01" w14:textId="77777777" w:rsidR="007966CD" w:rsidRPr="004C70EC" w:rsidRDefault="007966CD">
            <w:pPr>
              <w:pStyle w:val="Text1"/>
              <w:ind w:left="0"/>
              <w:jc w:val="center"/>
              <w:rPr>
                <w:b/>
                <w:bCs/>
                <w:noProof/>
                <w:color w:val="000000" w:themeColor="text1"/>
                <w:szCs w:val="24"/>
              </w:rPr>
            </w:pPr>
            <w:r w:rsidRPr="004C70EC">
              <w:rPr>
                <w:b/>
                <w:bCs/>
                <w:noProof/>
                <w:color w:val="000000" w:themeColor="text1"/>
                <w:szCs w:val="24"/>
              </w:rPr>
              <w:t xml:space="preserve">To be covered by current staff available in the Commission services </w:t>
            </w:r>
          </w:p>
        </w:tc>
        <w:tc>
          <w:tcPr>
            <w:tcW w:w="6027" w:type="dxa"/>
            <w:gridSpan w:val="3"/>
          </w:tcPr>
          <w:p w14:paraId="52E10CDF" w14:textId="77777777" w:rsidR="007966CD" w:rsidRPr="004C70EC" w:rsidRDefault="007966CD">
            <w:pPr>
              <w:pStyle w:val="Text1"/>
              <w:ind w:left="0"/>
              <w:jc w:val="center"/>
              <w:rPr>
                <w:b/>
                <w:bCs/>
                <w:noProof/>
                <w:color w:val="000000" w:themeColor="text1"/>
                <w:szCs w:val="24"/>
              </w:rPr>
            </w:pPr>
            <w:r w:rsidRPr="004C70EC">
              <w:rPr>
                <w:b/>
                <w:bCs/>
                <w:noProof/>
                <w:color w:val="000000" w:themeColor="text1"/>
                <w:szCs w:val="24"/>
              </w:rPr>
              <w:t>Exceptional additional staff*</w:t>
            </w:r>
          </w:p>
        </w:tc>
      </w:tr>
      <w:tr w:rsidR="004A1163" w:rsidRPr="004C70EC" w14:paraId="1DC2D9FB" w14:textId="77777777" w:rsidTr="001D23BC">
        <w:trPr>
          <w:trHeight w:val="302"/>
        </w:trPr>
        <w:tc>
          <w:tcPr>
            <w:tcW w:w="1981" w:type="dxa"/>
          </w:tcPr>
          <w:p w14:paraId="055D9FFA" w14:textId="77777777" w:rsidR="007966CD" w:rsidRPr="004C70EC" w:rsidRDefault="007966CD">
            <w:pPr>
              <w:pStyle w:val="Text1"/>
              <w:ind w:left="0"/>
              <w:jc w:val="center"/>
              <w:rPr>
                <w:b/>
                <w:bCs/>
                <w:noProof/>
                <w:color w:val="000000" w:themeColor="text1"/>
                <w:szCs w:val="24"/>
              </w:rPr>
            </w:pPr>
          </w:p>
        </w:tc>
        <w:tc>
          <w:tcPr>
            <w:tcW w:w="2181" w:type="dxa"/>
          </w:tcPr>
          <w:p w14:paraId="73CEDCA9" w14:textId="77777777" w:rsidR="007966CD" w:rsidRPr="004C70EC" w:rsidRDefault="007966CD">
            <w:pPr>
              <w:pStyle w:val="Text1"/>
              <w:ind w:left="0"/>
              <w:jc w:val="center"/>
              <w:rPr>
                <w:b/>
                <w:bCs/>
                <w:noProof/>
                <w:color w:val="000000" w:themeColor="text1"/>
                <w:szCs w:val="24"/>
              </w:rPr>
            </w:pPr>
          </w:p>
        </w:tc>
        <w:tc>
          <w:tcPr>
            <w:tcW w:w="2067" w:type="dxa"/>
          </w:tcPr>
          <w:p w14:paraId="61F42AFD" w14:textId="77777777" w:rsidR="007966CD" w:rsidRPr="004C70EC" w:rsidRDefault="007966CD">
            <w:pPr>
              <w:pStyle w:val="Text1"/>
              <w:ind w:left="0"/>
              <w:jc w:val="center"/>
              <w:rPr>
                <w:b/>
                <w:bCs/>
                <w:noProof/>
                <w:color w:val="000000" w:themeColor="text1"/>
                <w:szCs w:val="24"/>
              </w:rPr>
            </w:pPr>
            <w:r w:rsidRPr="004C70EC">
              <w:rPr>
                <w:b/>
                <w:bCs/>
                <w:noProof/>
                <w:color w:val="000000" w:themeColor="text1"/>
                <w:szCs w:val="24"/>
              </w:rPr>
              <w:t xml:space="preserve">To be financed under </w:t>
            </w:r>
            <w:r w:rsidRPr="004C70EC">
              <w:rPr>
                <w:b/>
                <w:noProof/>
                <w:color w:val="000000" w:themeColor="text1"/>
                <w:szCs w:val="24"/>
              </w:rPr>
              <w:t>Heading 4</w:t>
            </w:r>
            <w:r w:rsidRPr="004C70EC">
              <w:rPr>
                <w:b/>
                <w:bCs/>
                <w:noProof/>
                <w:color w:val="000000" w:themeColor="text1"/>
                <w:szCs w:val="24"/>
              </w:rPr>
              <w:t xml:space="preserve"> or Research</w:t>
            </w:r>
          </w:p>
        </w:tc>
        <w:tc>
          <w:tcPr>
            <w:tcW w:w="2081" w:type="dxa"/>
          </w:tcPr>
          <w:p w14:paraId="6F2225D1" w14:textId="77777777" w:rsidR="007966CD" w:rsidRPr="004C70EC" w:rsidRDefault="007966CD">
            <w:pPr>
              <w:pStyle w:val="Text1"/>
              <w:ind w:left="0"/>
              <w:jc w:val="center"/>
              <w:rPr>
                <w:b/>
                <w:bCs/>
                <w:noProof/>
                <w:color w:val="000000" w:themeColor="text1"/>
                <w:szCs w:val="24"/>
              </w:rPr>
            </w:pPr>
            <w:r w:rsidRPr="004C70EC">
              <w:rPr>
                <w:b/>
                <w:bCs/>
                <w:noProof/>
                <w:color w:val="000000" w:themeColor="text1"/>
                <w:szCs w:val="24"/>
              </w:rPr>
              <w:t>To be financed from BA line</w:t>
            </w:r>
          </w:p>
        </w:tc>
        <w:tc>
          <w:tcPr>
            <w:tcW w:w="1877" w:type="dxa"/>
          </w:tcPr>
          <w:p w14:paraId="0C11B113" w14:textId="77777777" w:rsidR="007966CD" w:rsidRPr="004C70EC" w:rsidRDefault="007966CD">
            <w:pPr>
              <w:pStyle w:val="Text1"/>
              <w:ind w:left="0"/>
              <w:jc w:val="center"/>
              <w:rPr>
                <w:b/>
                <w:bCs/>
                <w:noProof/>
                <w:color w:val="000000" w:themeColor="text1"/>
                <w:szCs w:val="24"/>
              </w:rPr>
            </w:pPr>
            <w:r w:rsidRPr="004C70EC">
              <w:rPr>
                <w:b/>
                <w:bCs/>
                <w:noProof/>
                <w:color w:val="000000" w:themeColor="text1"/>
                <w:szCs w:val="24"/>
              </w:rPr>
              <w:t>To be financed from fees</w:t>
            </w:r>
          </w:p>
        </w:tc>
      </w:tr>
      <w:tr w:rsidR="004A1163" w:rsidRPr="004C70EC" w14:paraId="6C47A282" w14:textId="77777777" w:rsidTr="001D23BC">
        <w:trPr>
          <w:trHeight w:val="302"/>
        </w:trPr>
        <w:tc>
          <w:tcPr>
            <w:tcW w:w="1981" w:type="dxa"/>
          </w:tcPr>
          <w:p w14:paraId="57312EE0" w14:textId="77777777" w:rsidR="007966CD" w:rsidRPr="004C70EC" w:rsidRDefault="007966CD">
            <w:pPr>
              <w:pStyle w:val="Text1"/>
              <w:ind w:left="0"/>
              <w:rPr>
                <w:noProof/>
                <w:color w:val="000000" w:themeColor="text1"/>
                <w:szCs w:val="24"/>
              </w:rPr>
            </w:pPr>
            <w:r w:rsidRPr="004C70EC">
              <w:rPr>
                <w:noProof/>
                <w:color w:val="000000" w:themeColor="text1"/>
                <w:szCs w:val="24"/>
              </w:rPr>
              <w:t>Establishment plan posts</w:t>
            </w:r>
          </w:p>
        </w:tc>
        <w:tc>
          <w:tcPr>
            <w:tcW w:w="2181" w:type="dxa"/>
          </w:tcPr>
          <w:p w14:paraId="14E0262A" w14:textId="77777777" w:rsidR="007966CD" w:rsidRPr="004C70EC" w:rsidRDefault="007966CD">
            <w:pPr>
              <w:pStyle w:val="Text1"/>
              <w:ind w:left="0"/>
              <w:rPr>
                <w:noProof/>
                <w:color w:val="000000" w:themeColor="text1"/>
                <w:szCs w:val="24"/>
              </w:rPr>
            </w:pPr>
            <w:r w:rsidRPr="004C70EC">
              <w:rPr>
                <w:noProof/>
                <w:color w:val="000000" w:themeColor="text1"/>
                <w:szCs w:val="24"/>
              </w:rPr>
              <w:t>5 ADs</w:t>
            </w:r>
          </w:p>
        </w:tc>
        <w:tc>
          <w:tcPr>
            <w:tcW w:w="2067" w:type="dxa"/>
          </w:tcPr>
          <w:p w14:paraId="7624C41D" w14:textId="77777777" w:rsidR="007966CD" w:rsidRPr="004C70EC" w:rsidRDefault="007966CD">
            <w:pPr>
              <w:pStyle w:val="Text1"/>
              <w:ind w:left="0"/>
              <w:rPr>
                <w:noProof/>
                <w:color w:val="000000" w:themeColor="text1"/>
                <w:szCs w:val="24"/>
              </w:rPr>
            </w:pPr>
            <w:r w:rsidRPr="004C70EC">
              <w:rPr>
                <w:noProof/>
                <w:color w:val="000000" w:themeColor="text1"/>
                <w:szCs w:val="24"/>
              </w:rPr>
              <w:t>19 ADs</w:t>
            </w:r>
          </w:p>
          <w:p w14:paraId="7B8488D6" w14:textId="77777777" w:rsidR="007966CD" w:rsidRPr="004C70EC" w:rsidRDefault="007966CD">
            <w:pPr>
              <w:pStyle w:val="Text1"/>
              <w:ind w:left="0"/>
              <w:rPr>
                <w:noProof/>
                <w:color w:val="000000" w:themeColor="text1"/>
                <w:szCs w:val="24"/>
              </w:rPr>
            </w:pPr>
            <w:r w:rsidRPr="004C70EC">
              <w:rPr>
                <w:noProof/>
                <w:color w:val="000000" w:themeColor="text1"/>
                <w:szCs w:val="24"/>
              </w:rPr>
              <w:t>5 ASTs</w:t>
            </w:r>
          </w:p>
        </w:tc>
        <w:tc>
          <w:tcPr>
            <w:tcW w:w="2081" w:type="dxa"/>
          </w:tcPr>
          <w:p w14:paraId="26828722" w14:textId="77777777" w:rsidR="007966CD" w:rsidRPr="004C70EC" w:rsidRDefault="007966CD">
            <w:pPr>
              <w:pStyle w:val="Text1"/>
              <w:ind w:left="0"/>
              <w:rPr>
                <w:noProof/>
                <w:color w:val="000000" w:themeColor="text1"/>
                <w:szCs w:val="24"/>
              </w:rPr>
            </w:pPr>
            <w:r w:rsidRPr="004C70EC">
              <w:rPr>
                <w:noProof/>
                <w:color w:val="000000" w:themeColor="text1"/>
                <w:szCs w:val="24"/>
              </w:rPr>
              <w:t>N/A</w:t>
            </w:r>
          </w:p>
        </w:tc>
        <w:tc>
          <w:tcPr>
            <w:tcW w:w="1877" w:type="dxa"/>
          </w:tcPr>
          <w:p w14:paraId="7886F3E5" w14:textId="77777777" w:rsidR="007966CD" w:rsidRPr="004C70EC" w:rsidRDefault="007966CD">
            <w:pPr>
              <w:pStyle w:val="Text1"/>
              <w:ind w:left="0"/>
              <w:rPr>
                <w:noProof/>
                <w:color w:val="000000" w:themeColor="text1"/>
                <w:szCs w:val="24"/>
              </w:rPr>
            </w:pPr>
          </w:p>
        </w:tc>
      </w:tr>
      <w:tr w:rsidR="004A1163" w:rsidRPr="004C70EC" w14:paraId="072ACC87" w14:textId="77777777" w:rsidTr="001D23BC">
        <w:trPr>
          <w:trHeight w:val="302"/>
        </w:trPr>
        <w:tc>
          <w:tcPr>
            <w:tcW w:w="1981" w:type="dxa"/>
          </w:tcPr>
          <w:p w14:paraId="13323B0F" w14:textId="77777777" w:rsidR="007966CD" w:rsidRPr="004C70EC" w:rsidRDefault="007966CD">
            <w:pPr>
              <w:pStyle w:val="Text1"/>
              <w:ind w:left="0"/>
              <w:rPr>
                <w:noProof/>
                <w:color w:val="000000" w:themeColor="text1"/>
                <w:szCs w:val="24"/>
              </w:rPr>
            </w:pPr>
            <w:r w:rsidRPr="004C70EC">
              <w:rPr>
                <w:noProof/>
                <w:color w:val="000000" w:themeColor="text1"/>
                <w:szCs w:val="24"/>
              </w:rPr>
              <w:t>External staff (CA, SNEs, INT)</w:t>
            </w:r>
          </w:p>
        </w:tc>
        <w:tc>
          <w:tcPr>
            <w:tcW w:w="2181" w:type="dxa"/>
          </w:tcPr>
          <w:p w14:paraId="09105C3C" w14:textId="77777777" w:rsidR="007966CD" w:rsidRPr="004C70EC" w:rsidRDefault="007966CD">
            <w:pPr>
              <w:pStyle w:val="Text1"/>
              <w:ind w:left="0"/>
              <w:rPr>
                <w:noProof/>
                <w:color w:val="000000" w:themeColor="text1"/>
                <w:szCs w:val="24"/>
              </w:rPr>
            </w:pPr>
            <w:r w:rsidRPr="004C70EC">
              <w:rPr>
                <w:noProof/>
                <w:color w:val="000000" w:themeColor="text1"/>
                <w:szCs w:val="24"/>
              </w:rPr>
              <w:t>4 CAs (FIV) and 1 SNE</w:t>
            </w:r>
          </w:p>
        </w:tc>
        <w:tc>
          <w:tcPr>
            <w:tcW w:w="2067" w:type="dxa"/>
          </w:tcPr>
          <w:p w14:paraId="53AF1C99" w14:textId="77777777" w:rsidR="007966CD" w:rsidRPr="004C70EC" w:rsidRDefault="007966CD">
            <w:pPr>
              <w:pStyle w:val="Text1"/>
              <w:ind w:left="0"/>
              <w:rPr>
                <w:noProof/>
                <w:color w:val="000000" w:themeColor="text1"/>
                <w:szCs w:val="24"/>
              </w:rPr>
            </w:pPr>
            <w:r w:rsidRPr="004C70EC">
              <w:rPr>
                <w:noProof/>
                <w:color w:val="000000" w:themeColor="text1"/>
                <w:szCs w:val="24"/>
              </w:rPr>
              <w:t>4 SNEs</w:t>
            </w:r>
          </w:p>
        </w:tc>
        <w:tc>
          <w:tcPr>
            <w:tcW w:w="2081" w:type="dxa"/>
          </w:tcPr>
          <w:p w14:paraId="7FE8F943" w14:textId="77777777" w:rsidR="007966CD" w:rsidRPr="004C70EC" w:rsidRDefault="007966CD">
            <w:pPr>
              <w:pStyle w:val="Text1"/>
              <w:ind w:left="0"/>
              <w:rPr>
                <w:noProof/>
                <w:color w:val="000000" w:themeColor="text1"/>
                <w:szCs w:val="24"/>
              </w:rPr>
            </w:pPr>
            <w:r w:rsidRPr="004C70EC">
              <w:rPr>
                <w:noProof/>
                <w:color w:val="000000" w:themeColor="text1"/>
                <w:szCs w:val="24"/>
              </w:rPr>
              <w:t>20 CAs FGIV</w:t>
            </w:r>
          </w:p>
          <w:p w14:paraId="27AF7DD2" w14:textId="77777777" w:rsidR="007966CD" w:rsidRPr="004C70EC" w:rsidRDefault="007966CD">
            <w:pPr>
              <w:pStyle w:val="Text1"/>
              <w:ind w:left="0"/>
              <w:rPr>
                <w:noProof/>
                <w:color w:val="000000" w:themeColor="text1"/>
                <w:szCs w:val="24"/>
              </w:rPr>
            </w:pPr>
            <w:r w:rsidRPr="004C70EC">
              <w:rPr>
                <w:noProof/>
                <w:color w:val="000000" w:themeColor="text1"/>
                <w:szCs w:val="24"/>
              </w:rPr>
              <w:t>6 CAs FGIII</w:t>
            </w:r>
          </w:p>
        </w:tc>
        <w:tc>
          <w:tcPr>
            <w:tcW w:w="1877" w:type="dxa"/>
          </w:tcPr>
          <w:p w14:paraId="127AAC25" w14:textId="77777777" w:rsidR="007966CD" w:rsidRPr="004C70EC" w:rsidRDefault="007966CD">
            <w:pPr>
              <w:pStyle w:val="Text1"/>
              <w:ind w:left="0"/>
              <w:rPr>
                <w:noProof/>
                <w:color w:val="000000" w:themeColor="text1"/>
                <w:szCs w:val="24"/>
              </w:rPr>
            </w:pPr>
          </w:p>
        </w:tc>
      </w:tr>
    </w:tbl>
    <w:p w14:paraId="0FF51CA8" w14:textId="77777777" w:rsidR="007966CD" w:rsidRPr="004C70EC" w:rsidRDefault="007966CD">
      <w:pPr>
        <w:rPr>
          <w:noProof/>
          <w:color w:val="000000" w:themeColor="text1"/>
          <w:szCs w:val="24"/>
        </w:rPr>
      </w:pPr>
      <w:r w:rsidRPr="004C70EC">
        <w:rPr>
          <w:noProof/>
          <w:color w:val="000000" w:themeColor="text1"/>
          <w:szCs w:val="24"/>
        </w:rPr>
        <w:t>The provisions of the Biotech Act</w:t>
      </w:r>
      <w:r w:rsidRPr="004C70EC">
        <w:rPr>
          <w:noProof/>
          <w:color w:val="000000" w:themeColor="text1"/>
          <w:szCs w:val="24"/>
          <w:lang w:val="en-IE"/>
        </w:rPr>
        <w:t xml:space="preserve">, focused on health and food applications in the biotechnology sector, </w:t>
      </w:r>
      <w:r w:rsidRPr="004C70EC">
        <w:rPr>
          <w:noProof/>
          <w:color w:val="000000" w:themeColor="text1"/>
          <w:szCs w:val="24"/>
        </w:rPr>
        <w:t>were developed by a temporary taskforce in DG SANTE with support of line units fully resourced to other tasks across different directorates.</w:t>
      </w:r>
      <w:r w:rsidR="002512E7" w:rsidRPr="004C70EC">
        <w:rPr>
          <w:noProof/>
          <w:color w:val="000000" w:themeColor="text1"/>
          <w:szCs w:val="24"/>
        </w:rPr>
        <w:t xml:space="preserve"> </w:t>
      </w:r>
      <w:r w:rsidRPr="004C70EC">
        <w:rPr>
          <w:noProof/>
          <w:color w:val="000000" w:themeColor="text1"/>
          <w:szCs w:val="24"/>
          <w:lang w:val="en-IE"/>
        </w:rPr>
        <w:t>To fully implement the Act's provisions</w:t>
      </w:r>
      <w:r w:rsidR="001E35E1" w:rsidRPr="004C70EC">
        <w:rPr>
          <w:noProof/>
          <w:color w:val="000000" w:themeColor="text1"/>
          <w:szCs w:val="24"/>
          <w:lang w:val="en-IE"/>
        </w:rPr>
        <w:t xml:space="preserve"> </w:t>
      </w:r>
      <w:r w:rsidRPr="004C70EC">
        <w:rPr>
          <w:noProof/>
          <w:color w:val="000000" w:themeColor="text1"/>
          <w:szCs w:val="24"/>
          <w:lang w:val="en-IE"/>
        </w:rPr>
        <w:t>—</w:t>
      </w:r>
      <w:r w:rsidR="001E35E1" w:rsidRPr="004C70EC">
        <w:rPr>
          <w:noProof/>
          <w:color w:val="000000" w:themeColor="text1"/>
          <w:szCs w:val="24"/>
          <w:lang w:val="en-IE"/>
        </w:rPr>
        <w:t xml:space="preserve"> </w:t>
      </w:r>
      <w:r w:rsidRPr="004C70EC">
        <w:rPr>
          <w:noProof/>
          <w:color w:val="000000" w:themeColor="text1"/>
          <w:szCs w:val="24"/>
          <w:lang w:val="en-IE"/>
        </w:rPr>
        <w:t>which aim to streamline and future proof the regulatory system, enhance research, development, manufacturing and financing of biotechnology products, enable use of AI, foster skills and safe use of biotechnology</w:t>
      </w:r>
      <w:r w:rsidR="00DF145D" w:rsidRPr="004C70EC">
        <w:rPr>
          <w:noProof/>
          <w:color w:val="000000" w:themeColor="text1"/>
          <w:szCs w:val="24"/>
          <w:lang w:val="en-IE"/>
        </w:rPr>
        <w:t xml:space="preserve"> </w:t>
      </w:r>
      <w:r w:rsidRPr="004C70EC">
        <w:rPr>
          <w:noProof/>
          <w:color w:val="000000" w:themeColor="text1"/>
          <w:szCs w:val="24"/>
          <w:lang w:val="en-IE"/>
        </w:rPr>
        <w:t>—</w:t>
      </w:r>
      <w:r w:rsidR="00DF145D" w:rsidRPr="004C70EC">
        <w:rPr>
          <w:noProof/>
          <w:color w:val="000000" w:themeColor="text1"/>
          <w:szCs w:val="24"/>
          <w:lang w:val="en-IE"/>
        </w:rPr>
        <w:t xml:space="preserve"> </w:t>
      </w:r>
      <w:r w:rsidRPr="004C70EC">
        <w:rPr>
          <w:noProof/>
          <w:color w:val="000000" w:themeColor="text1"/>
          <w:szCs w:val="24"/>
          <w:lang w:val="en-IE"/>
        </w:rPr>
        <w:t>additional dedicated personnel will be needed, as presented in the table above and detailed below.</w:t>
      </w:r>
    </w:p>
    <w:p w14:paraId="495902B1" w14:textId="77777777" w:rsidR="007966CD" w:rsidRPr="004C70EC" w:rsidRDefault="007966CD">
      <w:pPr>
        <w:pStyle w:val="Text1"/>
        <w:ind w:left="-426" w:right="-427"/>
        <w:rPr>
          <w:noProof/>
          <w:color w:val="000000" w:themeColor="text1"/>
          <w:szCs w:val="24"/>
          <w:lang w:val="en-IE"/>
        </w:rPr>
      </w:pPr>
      <w:r w:rsidRPr="004C70EC">
        <w:rPr>
          <w:noProof/>
          <w:color w:val="000000" w:themeColor="text1"/>
          <w:szCs w:val="24"/>
          <w:lang w:val="en-IE"/>
        </w:rPr>
        <w:t>Description of tasks to be carried out by</w:t>
      </w:r>
      <w:r w:rsidR="00B32BD8" w:rsidRPr="004C70EC">
        <w:rPr>
          <w:noProof/>
          <w:color w:val="000000" w:themeColor="text1"/>
          <w:szCs w:val="24"/>
          <w:lang w:val="en-IE"/>
        </w:rPr>
        <w:t xml:space="preserve"> SANTE</w:t>
      </w:r>
      <w:r w:rsidRPr="004C70EC">
        <w:rPr>
          <w:noProof/>
          <w:color w:val="000000" w:themeColor="text1"/>
          <w:szCs w:val="24"/>
          <w:lang w:val="en-IE"/>
        </w:rPr>
        <w:t>:</w:t>
      </w:r>
    </w:p>
    <w:tbl>
      <w:tblPr>
        <w:tblW w:w="10440" w:type="dxa"/>
        <w:tblInd w:w="-4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91"/>
        <w:gridCol w:w="9049"/>
      </w:tblGrid>
      <w:tr w:rsidR="004A1163" w:rsidRPr="004C70EC" w14:paraId="00065E26" w14:textId="77777777" w:rsidTr="33CE1D06">
        <w:tc>
          <w:tcPr>
            <w:tcW w:w="1391" w:type="dxa"/>
          </w:tcPr>
          <w:p w14:paraId="76C919D6" w14:textId="77777777" w:rsidR="007966CD" w:rsidRPr="004C70EC" w:rsidRDefault="007966CD">
            <w:pPr>
              <w:rPr>
                <w:noProof/>
                <w:color w:val="000000" w:themeColor="text1"/>
                <w:szCs w:val="24"/>
              </w:rPr>
            </w:pPr>
            <w:r w:rsidRPr="004C70EC">
              <w:rPr>
                <w:noProof/>
                <w:color w:val="000000" w:themeColor="text1"/>
                <w:szCs w:val="24"/>
              </w:rPr>
              <w:t>Officials and temporary staff</w:t>
            </w:r>
          </w:p>
        </w:tc>
        <w:tc>
          <w:tcPr>
            <w:tcW w:w="9049" w:type="dxa"/>
          </w:tcPr>
          <w:p w14:paraId="1BF12945" w14:textId="77777777" w:rsidR="007966CD" w:rsidRPr="004C70EC" w:rsidRDefault="007966CD">
            <w:pPr>
              <w:keepNext/>
              <w:keepLines/>
              <w:spacing w:before="160" w:after="80" w:line="279" w:lineRule="auto"/>
              <w:outlineLvl w:val="2"/>
              <w:rPr>
                <w:noProof/>
                <w:color w:val="000000" w:themeColor="text1"/>
                <w:szCs w:val="24"/>
              </w:rPr>
            </w:pPr>
            <w:r w:rsidRPr="004C70EC">
              <w:rPr>
                <w:noProof/>
                <w:color w:val="000000" w:themeColor="text1"/>
                <w:szCs w:val="24"/>
              </w:rPr>
              <w:t>24 FTEs (AD profiles) to:</w:t>
            </w:r>
          </w:p>
          <w:p w14:paraId="0DC8FFBB" w14:textId="77777777" w:rsidR="00ED29B6" w:rsidRPr="004C70EC" w:rsidRDefault="00ED29B6" w:rsidP="00811FF3">
            <w:pPr>
              <w:keepNext/>
              <w:keepLines/>
              <w:numPr>
                <w:ilvl w:val="0"/>
                <w:numId w:val="26"/>
              </w:numPr>
              <w:spacing w:before="160" w:after="80" w:line="279" w:lineRule="auto"/>
              <w:outlineLvl w:val="2"/>
              <w:rPr>
                <w:noProof/>
                <w:color w:val="000000" w:themeColor="text1"/>
                <w:szCs w:val="24"/>
              </w:rPr>
            </w:pPr>
            <w:r w:rsidRPr="004C70EC">
              <w:rPr>
                <w:noProof/>
                <w:color w:val="000000" w:themeColor="text1"/>
                <w:szCs w:val="24"/>
              </w:rPr>
              <w:t xml:space="preserve">Manage </w:t>
            </w:r>
            <w:r w:rsidR="001207F5" w:rsidRPr="004C70EC">
              <w:rPr>
                <w:noProof/>
                <w:color w:val="000000" w:themeColor="text1"/>
                <w:szCs w:val="24"/>
              </w:rPr>
              <w:t>the</w:t>
            </w:r>
            <w:r w:rsidRPr="004C70EC">
              <w:rPr>
                <w:noProof/>
                <w:color w:val="000000" w:themeColor="text1"/>
                <w:szCs w:val="24"/>
              </w:rPr>
              <w:t xml:space="preserve"> workload related to the </w:t>
            </w:r>
            <w:r w:rsidR="008325D0" w:rsidRPr="004C70EC">
              <w:rPr>
                <w:noProof/>
                <w:color w:val="000000" w:themeColor="text1"/>
                <w:szCs w:val="24"/>
              </w:rPr>
              <w:t>revision</w:t>
            </w:r>
            <w:r w:rsidRPr="004C70EC">
              <w:rPr>
                <w:noProof/>
                <w:color w:val="000000" w:themeColor="text1"/>
                <w:szCs w:val="24"/>
              </w:rPr>
              <w:t xml:space="preserve"> </w:t>
            </w:r>
            <w:r w:rsidR="008325D0" w:rsidRPr="004C70EC">
              <w:rPr>
                <w:noProof/>
                <w:color w:val="000000" w:themeColor="text1"/>
                <w:szCs w:val="24"/>
              </w:rPr>
              <w:t>and implementation of</w:t>
            </w:r>
            <w:r w:rsidRPr="004C70EC">
              <w:rPr>
                <w:noProof/>
                <w:color w:val="000000" w:themeColor="text1"/>
                <w:szCs w:val="24"/>
              </w:rPr>
              <w:t xml:space="preserve"> the following legislation </w:t>
            </w:r>
          </w:p>
          <w:p w14:paraId="73075D3B" w14:textId="77777777" w:rsidR="006D238C" w:rsidRPr="004C70EC" w:rsidRDefault="00ED29B6" w:rsidP="00811FF3">
            <w:pPr>
              <w:numPr>
                <w:ilvl w:val="1"/>
                <w:numId w:val="26"/>
              </w:numPr>
              <w:rPr>
                <w:b/>
                <w:bCs/>
                <w:noProof/>
                <w:color w:val="000000" w:themeColor="text1"/>
                <w:szCs w:val="24"/>
              </w:rPr>
            </w:pPr>
            <w:r w:rsidRPr="004C70EC">
              <w:rPr>
                <w:b/>
                <w:bCs/>
                <w:noProof/>
                <w:color w:val="000000" w:themeColor="text1"/>
                <w:szCs w:val="24"/>
              </w:rPr>
              <w:t xml:space="preserve">Amendment to Regulation (EU) 2024/1938 (SoHO): </w:t>
            </w:r>
            <w:r w:rsidRPr="004C70EC">
              <w:rPr>
                <w:noProof/>
                <w:color w:val="000000" w:themeColor="text1"/>
                <w:szCs w:val="24"/>
              </w:rPr>
              <w:t xml:space="preserve">handle increased number of cases concerting the development of novel </w:t>
            </w:r>
            <w:r w:rsidR="0824B86D" w:rsidRPr="004C70EC">
              <w:rPr>
                <w:noProof/>
                <w:color w:val="000000" w:themeColor="text1"/>
                <w:szCs w:val="24"/>
              </w:rPr>
              <w:t>nology</w:t>
            </w:r>
            <w:r w:rsidR="526B036B" w:rsidRPr="004C70EC">
              <w:rPr>
                <w:noProof/>
                <w:color w:val="000000" w:themeColor="text1"/>
                <w:szCs w:val="24"/>
              </w:rPr>
              <w:t>sandboxes</w:t>
            </w:r>
            <w:r w:rsidRPr="004C70EC">
              <w:rPr>
                <w:noProof/>
                <w:color w:val="000000" w:themeColor="text1"/>
                <w:szCs w:val="24"/>
              </w:rPr>
              <w:t xml:space="preserve"> in the field of SoHO</w:t>
            </w:r>
            <w:r w:rsidR="003A171A" w:rsidRPr="004C70EC">
              <w:rPr>
                <w:noProof/>
                <w:color w:val="000000" w:themeColor="text1"/>
                <w:szCs w:val="24"/>
              </w:rPr>
              <w:t>.</w:t>
            </w:r>
            <w:r w:rsidRPr="004C70EC">
              <w:rPr>
                <w:noProof/>
                <w:color w:val="000000" w:themeColor="text1"/>
                <w:szCs w:val="24"/>
              </w:rPr>
              <w:t xml:space="preserve"> </w:t>
            </w:r>
          </w:p>
          <w:p w14:paraId="7C909864" w14:textId="77777777" w:rsidR="00ED29B6" w:rsidRPr="004C70EC" w:rsidRDefault="00ED29B6" w:rsidP="00811FF3">
            <w:pPr>
              <w:numPr>
                <w:ilvl w:val="1"/>
                <w:numId w:val="26"/>
              </w:numPr>
              <w:rPr>
                <w:b/>
                <w:bCs/>
                <w:noProof/>
                <w:color w:val="000000" w:themeColor="text1"/>
                <w:szCs w:val="24"/>
              </w:rPr>
            </w:pPr>
            <w:r w:rsidRPr="004C70EC">
              <w:rPr>
                <w:b/>
                <w:bCs/>
                <w:noProof/>
                <w:color w:val="000000" w:themeColor="text1"/>
                <w:szCs w:val="24"/>
              </w:rPr>
              <w:t>Amendments to Regulation (EC) No 1394/2007 on Advanced Therapeutic Medicinal Products (ATMPs)</w:t>
            </w:r>
            <w:r w:rsidRPr="004C70EC">
              <w:rPr>
                <w:noProof/>
                <w:color w:val="000000" w:themeColor="text1"/>
                <w:szCs w:val="24"/>
              </w:rPr>
              <w:t>:  draft delegated acts in relation to what constitute an ATMP in line with amendments to Regulation (EC) No 1394/200</w:t>
            </w:r>
            <w:r w:rsidRPr="004C70EC">
              <w:rPr>
                <w:b/>
                <w:bCs/>
                <w:noProof/>
                <w:color w:val="000000" w:themeColor="text1"/>
                <w:szCs w:val="24"/>
              </w:rPr>
              <w:t xml:space="preserve">7 </w:t>
            </w:r>
            <w:r w:rsidRPr="004C70EC">
              <w:rPr>
                <w:noProof/>
                <w:color w:val="000000" w:themeColor="text1"/>
                <w:szCs w:val="24"/>
              </w:rPr>
              <w:t>for</w:t>
            </w:r>
            <w:r w:rsidR="00B75319" w:rsidRPr="004C70EC">
              <w:rPr>
                <w:noProof/>
                <w:color w:val="000000" w:themeColor="text1"/>
                <w:szCs w:val="24"/>
              </w:rPr>
              <w:t>e</w:t>
            </w:r>
            <w:r w:rsidRPr="004C70EC">
              <w:rPr>
                <w:noProof/>
                <w:color w:val="000000" w:themeColor="text1"/>
                <w:szCs w:val="24"/>
              </w:rPr>
              <w:t>seen by this Regulation.</w:t>
            </w:r>
          </w:p>
          <w:p w14:paraId="52332D30" w14:textId="77777777" w:rsidR="00ED29B6" w:rsidRPr="004C70EC" w:rsidRDefault="00ED29B6" w:rsidP="00811FF3">
            <w:pPr>
              <w:numPr>
                <w:ilvl w:val="1"/>
                <w:numId w:val="26"/>
              </w:numPr>
              <w:rPr>
                <w:noProof/>
                <w:color w:val="000000" w:themeColor="text1"/>
                <w:szCs w:val="24"/>
              </w:rPr>
            </w:pPr>
            <w:r w:rsidRPr="004C70EC">
              <w:rPr>
                <w:b/>
                <w:bCs/>
                <w:noProof/>
                <w:color w:val="000000" w:themeColor="text1"/>
                <w:szCs w:val="24"/>
              </w:rPr>
              <w:t xml:space="preserve">Amendments to Regulation (EU) No 536/2014 (‘Clinical Trials Regulation’): </w:t>
            </w:r>
            <w:r w:rsidRPr="004C70EC">
              <w:rPr>
                <w:noProof/>
                <w:color w:val="000000" w:themeColor="text1"/>
                <w:szCs w:val="24"/>
              </w:rPr>
              <w:t>prepare the delegated acts and implementing acts rel</w:t>
            </w:r>
            <w:r w:rsidR="005153F6" w:rsidRPr="004C70EC">
              <w:rPr>
                <w:noProof/>
                <w:color w:val="000000" w:themeColor="text1"/>
                <w:szCs w:val="24"/>
              </w:rPr>
              <w:t>a</w:t>
            </w:r>
            <w:r w:rsidRPr="004C70EC">
              <w:rPr>
                <w:noProof/>
                <w:color w:val="000000" w:themeColor="text1"/>
                <w:szCs w:val="24"/>
              </w:rPr>
              <w:t>ted to the changes of CTR, support  the work of expert groups developing guidance and best practices, coordinate with relevant authorities for coherence with other regulatory frameworks, monitor the preparedness of Member States for the harmonised implementation of the changes to the CTR,  monitor and steer the changes to the Clinical Trials Information System</w:t>
            </w:r>
            <w:r w:rsidR="003A171A" w:rsidRPr="004C70EC">
              <w:rPr>
                <w:noProof/>
                <w:color w:val="000000" w:themeColor="text1"/>
                <w:szCs w:val="24"/>
              </w:rPr>
              <w:t>.</w:t>
            </w:r>
          </w:p>
          <w:p w14:paraId="105963D5" w14:textId="77777777" w:rsidR="00C55668" w:rsidRPr="004C70EC" w:rsidRDefault="00ED29B6" w:rsidP="00811FF3">
            <w:pPr>
              <w:pStyle w:val="ListParagraph"/>
              <w:numPr>
                <w:ilvl w:val="1"/>
                <w:numId w:val="26"/>
              </w:numPr>
              <w:spacing w:before="0" w:after="0" w:line="279" w:lineRule="auto"/>
              <w:rPr>
                <w:noProof/>
                <w:color w:val="000000" w:themeColor="text1"/>
                <w:szCs w:val="24"/>
                <w:lang w:val="en-IE"/>
              </w:rPr>
            </w:pPr>
            <w:r w:rsidRPr="004C70EC">
              <w:rPr>
                <w:rFonts w:eastAsiaTheme="majorEastAsia"/>
                <w:b/>
                <w:bCs/>
                <w:noProof/>
                <w:color w:val="000000" w:themeColor="text1"/>
                <w:szCs w:val="24"/>
              </w:rPr>
              <w:t xml:space="preserve">Amendments to Regulation (EC) No 178/2002 (‘General Food Law’): </w:t>
            </w:r>
            <w:r w:rsidRPr="004C70EC">
              <w:rPr>
                <w:rFonts w:eastAsiaTheme="majorEastAsia"/>
                <w:noProof/>
                <w:color w:val="000000" w:themeColor="text1"/>
                <w:szCs w:val="24"/>
              </w:rPr>
              <w:t>comment on behalf of the Commission prior to the commencement of a proposed regulatory sandbox and of any adaptations thereof; Develop of implementing  acts , review annual reports of Member States that have set up regulatory sandboxes, proceed to the necessary adaptations of the applicable legislative framework where required</w:t>
            </w:r>
            <w:r w:rsidRPr="004C70EC">
              <w:rPr>
                <w:rFonts w:eastAsiaTheme="majorEastAsia"/>
                <w:b/>
                <w:bCs/>
                <w:noProof/>
                <w:color w:val="000000" w:themeColor="text1"/>
                <w:szCs w:val="24"/>
              </w:rPr>
              <w:t>.</w:t>
            </w:r>
          </w:p>
          <w:p w14:paraId="50578A3D" w14:textId="77777777" w:rsidR="007966CD" w:rsidRPr="004C70EC" w:rsidRDefault="00C55668" w:rsidP="00811FF3">
            <w:pPr>
              <w:pStyle w:val="ListParagraph"/>
              <w:numPr>
                <w:ilvl w:val="0"/>
                <w:numId w:val="26"/>
              </w:numPr>
              <w:spacing w:before="0" w:after="0" w:line="279" w:lineRule="auto"/>
              <w:rPr>
                <w:noProof/>
                <w:color w:val="000000" w:themeColor="text1"/>
                <w:szCs w:val="24"/>
                <w:lang w:val="en-IE"/>
              </w:rPr>
            </w:pPr>
            <w:r w:rsidRPr="004C70EC">
              <w:rPr>
                <w:noProof/>
                <w:color w:val="000000" w:themeColor="text1"/>
                <w:szCs w:val="24"/>
              </w:rPr>
              <w:t>M</w:t>
            </w:r>
            <w:r w:rsidR="007966CD" w:rsidRPr="004C70EC">
              <w:rPr>
                <w:noProof/>
                <w:color w:val="000000" w:themeColor="text1"/>
                <w:szCs w:val="24"/>
              </w:rPr>
              <w:t>anage a panel of experts advising the Commis</w:t>
            </w:r>
            <w:r w:rsidR="00161C1D" w:rsidRPr="004C70EC">
              <w:rPr>
                <w:noProof/>
                <w:color w:val="000000" w:themeColor="text1"/>
                <w:szCs w:val="24"/>
              </w:rPr>
              <w:t>s</w:t>
            </w:r>
            <w:r w:rsidR="007966CD" w:rsidRPr="004C70EC">
              <w:rPr>
                <w:noProof/>
                <w:color w:val="000000" w:themeColor="text1"/>
                <w:szCs w:val="24"/>
              </w:rPr>
              <w:t xml:space="preserve">ion on new biotechnology developments i.e., </w:t>
            </w:r>
            <w:r w:rsidR="00605279" w:rsidRPr="004C70EC">
              <w:rPr>
                <w:rFonts w:eastAsiaTheme="majorEastAsia"/>
                <w:b/>
                <w:bCs/>
                <w:noProof/>
                <w:color w:val="000000" w:themeColor="text1"/>
                <w:szCs w:val="24"/>
                <w:lang w:val="en-US"/>
              </w:rPr>
              <w:t>Foresight Panel for Emerging Health Innovation</w:t>
            </w:r>
            <w:r w:rsidR="003A171A" w:rsidRPr="004C70EC">
              <w:rPr>
                <w:rFonts w:eastAsiaTheme="majorEastAsia"/>
                <w:b/>
                <w:bCs/>
                <w:noProof/>
                <w:color w:val="000000" w:themeColor="text1"/>
                <w:szCs w:val="24"/>
                <w:lang w:val="en-US"/>
              </w:rPr>
              <w:t>.</w:t>
            </w:r>
            <w:r w:rsidR="007966CD" w:rsidRPr="004C70EC">
              <w:rPr>
                <w:noProof/>
                <w:color w:val="000000" w:themeColor="text1"/>
                <w:szCs w:val="24"/>
              </w:rPr>
              <w:t xml:space="preserve"> </w:t>
            </w:r>
          </w:p>
          <w:p w14:paraId="495F3847" w14:textId="77777777" w:rsidR="007966CD" w:rsidRPr="004C70EC" w:rsidRDefault="0059358A" w:rsidP="00811FF3">
            <w:pPr>
              <w:pStyle w:val="ListParagraph"/>
              <w:keepNext/>
              <w:keepLines/>
              <w:numPr>
                <w:ilvl w:val="0"/>
                <w:numId w:val="26"/>
              </w:numPr>
              <w:spacing w:before="160" w:after="80" w:line="279" w:lineRule="auto"/>
              <w:outlineLvl w:val="2"/>
              <w:rPr>
                <w:noProof/>
                <w:color w:val="000000" w:themeColor="text1"/>
                <w:szCs w:val="24"/>
              </w:rPr>
            </w:pPr>
            <w:r w:rsidRPr="004C70EC">
              <w:rPr>
                <w:rFonts w:eastAsiaTheme="minorEastAsia"/>
                <w:noProof/>
                <w:color w:val="000000" w:themeColor="text1"/>
                <w:szCs w:val="24"/>
              </w:rPr>
              <w:t>S</w:t>
            </w:r>
            <w:r w:rsidR="007966CD" w:rsidRPr="004C70EC">
              <w:rPr>
                <w:rFonts w:eastAsiaTheme="minorEastAsia"/>
                <w:noProof/>
                <w:color w:val="000000" w:themeColor="text1"/>
                <w:szCs w:val="24"/>
              </w:rPr>
              <w:t>et up and manage the regulatory sandbox</w:t>
            </w:r>
            <w:r w:rsidR="007966CD" w:rsidRPr="004C70EC">
              <w:rPr>
                <w:noProof/>
                <w:color w:val="000000" w:themeColor="text1"/>
                <w:szCs w:val="24"/>
              </w:rPr>
              <w:t xml:space="preserve">es </w:t>
            </w:r>
            <w:r w:rsidR="007966CD" w:rsidRPr="004C70EC">
              <w:rPr>
                <w:b/>
                <w:bCs/>
                <w:noProof/>
                <w:color w:val="000000" w:themeColor="text1"/>
                <w:szCs w:val="24"/>
              </w:rPr>
              <w:t>for novel health biotech</w:t>
            </w:r>
            <w:r w:rsidR="21B96DC7" w:rsidRPr="004C70EC">
              <w:rPr>
                <w:b/>
                <w:bCs/>
                <w:noProof/>
                <w:color w:val="000000" w:themeColor="text1"/>
                <w:szCs w:val="24"/>
              </w:rPr>
              <w:t>nology</w:t>
            </w:r>
            <w:r w:rsidR="007966CD" w:rsidRPr="004C70EC">
              <w:rPr>
                <w:b/>
                <w:bCs/>
                <w:noProof/>
                <w:color w:val="000000" w:themeColor="text1"/>
                <w:szCs w:val="24"/>
              </w:rPr>
              <w:t xml:space="preserve"> products not falling in any other legislation in the area of health</w:t>
            </w:r>
            <w:r w:rsidR="003A171A" w:rsidRPr="004C70EC">
              <w:rPr>
                <w:b/>
                <w:bCs/>
                <w:noProof/>
                <w:color w:val="000000" w:themeColor="text1"/>
                <w:szCs w:val="24"/>
              </w:rPr>
              <w:t>.</w:t>
            </w:r>
            <w:r w:rsidR="007966CD" w:rsidRPr="004C70EC">
              <w:rPr>
                <w:noProof/>
                <w:color w:val="000000" w:themeColor="text1"/>
                <w:szCs w:val="24"/>
              </w:rPr>
              <w:t xml:space="preserve"> </w:t>
            </w:r>
          </w:p>
          <w:p w14:paraId="64FEC7C5" w14:textId="77777777" w:rsidR="007966CD" w:rsidRPr="004C70EC" w:rsidRDefault="0059358A" w:rsidP="00811FF3">
            <w:pPr>
              <w:pStyle w:val="ListParagraph"/>
              <w:keepNext/>
              <w:keepLines/>
              <w:numPr>
                <w:ilvl w:val="0"/>
                <w:numId w:val="26"/>
              </w:numPr>
              <w:spacing w:before="160" w:after="80" w:line="279" w:lineRule="auto"/>
              <w:outlineLvl w:val="1"/>
              <w:rPr>
                <w:noProof/>
                <w:color w:val="000000" w:themeColor="text1"/>
                <w:szCs w:val="24"/>
              </w:rPr>
            </w:pPr>
            <w:r w:rsidRPr="004C70EC">
              <w:rPr>
                <w:noProof/>
                <w:color w:val="000000" w:themeColor="text1"/>
                <w:szCs w:val="24"/>
              </w:rPr>
              <w:t>D</w:t>
            </w:r>
            <w:r w:rsidR="007966CD" w:rsidRPr="004C70EC">
              <w:rPr>
                <w:noProof/>
                <w:color w:val="000000" w:themeColor="text1"/>
                <w:szCs w:val="24"/>
              </w:rPr>
              <w:t>evelop implementi</w:t>
            </w:r>
            <w:r w:rsidR="00FB72EF" w:rsidRPr="004C70EC">
              <w:rPr>
                <w:noProof/>
                <w:color w:val="000000" w:themeColor="text1"/>
                <w:szCs w:val="24"/>
              </w:rPr>
              <w:t>n</w:t>
            </w:r>
            <w:r w:rsidR="007966CD" w:rsidRPr="004C70EC">
              <w:rPr>
                <w:noProof/>
                <w:color w:val="000000" w:themeColor="text1"/>
                <w:szCs w:val="24"/>
              </w:rPr>
              <w:t xml:space="preserve">g acts as needed, detail criteria, draft call for proposals and follow the implementation of </w:t>
            </w:r>
            <w:r w:rsidR="007966CD" w:rsidRPr="004C70EC">
              <w:rPr>
                <w:b/>
                <w:bCs/>
                <w:noProof/>
                <w:color w:val="000000" w:themeColor="text1"/>
                <w:szCs w:val="24"/>
              </w:rPr>
              <w:t xml:space="preserve">High Impact </w:t>
            </w:r>
            <w:r w:rsidR="009D7E28" w:rsidRPr="004C70EC">
              <w:rPr>
                <w:b/>
                <w:bCs/>
                <w:noProof/>
                <w:color w:val="000000" w:themeColor="text1"/>
                <w:szCs w:val="24"/>
              </w:rPr>
              <w:t xml:space="preserve">Health </w:t>
            </w:r>
            <w:r w:rsidR="007966CD" w:rsidRPr="004C70EC">
              <w:rPr>
                <w:b/>
                <w:bCs/>
                <w:noProof/>
                <w:color w:val="000000" w:themeColor="text1"/>
                <w:szCs w:val="24"/>
              </w:rPr>
              <w:t>Biotechnology strategic projects</w:t>
            </w:r>
            <w:r w:rsidR="007966CD" w:rsidRPr="004C70EC">
              <w:rPr>
                <w:noProof/>
                <w:color w:val="000000" w:themeColor="text1"/>
                <w:szCs w:val="24"/>
              </w:rPr>
              <w:t xml:space="preserve"> on:</w:t>
            </w:r>
            <w:r w:rsidR="007966CD" w:rsidRPr="004C70EC">
              <w:rPr>
                <w:rFonts w:eastAsiaTheme="minorEastAsia"/>
                <w:noProof/>
                <w:color w:val="000000" w:themeColor="text1"/>
                <w:szCs w:val="24"/>
              </w:rPr>
              <w:t xml:space="preserve"> biotech</w:t>
            </w:r>
            <w:r w:rsidR="26171522" w:rsidRPr="004C70EC">
              <w:rPr>
                <w:rFonts w:eastAsiaTheme="minorEastAsia"/>
                <w:noProof/>
                <w:color w:val="000000" w:themeColor="text1"/>
                <w:szCs w:val="24"/>
              </w:rPr>
              <w:t>nology</w:t>
            </w:r>
            <w:r w:rsidR="007966CD" w:rsidRPr="004C70EC">
              <w:rPr>
                <w:rFonts w:eastAsiaTheme="minorEastAsia"/>
                <w:noProof/>
                <w:color w:val="000000" w:themeColor="text1"/>
                <w:szCs w:val="24"/>
              </w:rPr>
              <w:t xml:space="preserve"> research and development</w:t>
            </w:r>
            <w:r w:rsidR="007966CD" w:rsidRPr="004C70EC">
              <w:rPr>
                <w:noProof/>
                <w:color w:val="000000" w:themeColor="text1"/>
                <w:szCs w:val="24"/>
              </w:rPr>
              <w:t>,</w:t>
            </w:r>
            <w:r w:rsidR="007966CD" w:rsidRPr="004C70EC">
              <w:rPr>
                <w:rFonts w:eastAsiaTheme="minorEastAsia"/>
                <w:noProof/>
                <w:color w:val="000000" w:themeColor="text1"/>
                <w:szCs w:val="24"/>
              </w:rPr>
              <w:t xml:space="preserve"> availability of late-stage capital</w:t>
            </w:r>
            <w:r w:rsidR="007966CD" w:rsidRPr="004C70EC">
              <w:rPr>
                <w:noProof/>
                <w:color w:val="000000" w:themeColor="text1"/>
                <w:szCs w:val="24"/>
              </w:rPr>
              <w:t>, AI biotechnology applications and biosecurity</w:t>
            </w:r>
            <w:r w:rsidR="003A171A" w:rsidRPr="004C70EC">
              <w:rPr>
                <w:noProof/>
                <w:color w:val="000000" w:themeColor="text1"/>
                <w:szCs w:val="24"/>
              </w:rPr>
              <w:t>.</w:t>
            </w:r>
            <w:r w:rsidR="007966CD" w:rsidRPr="004C70EC">
              <w:rPr>
                <w:noProof/>
                <w:color w:val="000000" w:themeColor="text1"/>
                <w:szCs w:val="24"/>
              </w:rPr>
              <w:t xml:space="preserve"> </w:t>
            </w:r>
          </w:p>
          <w:p w14:paraId="1D42B173" w14:textId="77777777" w:rsidR="007966CD" w:rsidRPr="004C70EC" w:rsidRDefault="0059358A" w:rsidP="00811FF3">
            <w:pPr>
              <w:pStyle w:val="ListParagraph"/>
              <w:keepNext/>
              <w:keepLines/>
              <w:numPr>
                <w:ilvl w:val="0"/>
                <w:numId w:val="26"/>
              </w:numPr>
              <w:spacing w:before="160" w:after="80" w:line="279" w:lineRule="auto"/>
              <w:outlineLvl w:val="1"/>
              <w:rPr>
                <w:noProof/>
                <w:color w:val="000000" w:themeColor="text1"/>
                <w:szCs w:val="24"/>
              </w:rPr>
            </w:pPr>
            <w:r w:rsidRPr="004C70EC">
              <w:rPr>
                <w:noProof/>
                <w:color w:val="000000" w:themeColor="text1"/>
                <w:szCs w:val="24"/>
              </w:rPr>
              <w:t>D</w:t>
            </w:r>
            <w:r w:rsidR="007966CD" w:rsidRPr="004C70EC">
              <w:rPr>
                <w:noProof/>
                <w:color w:val="000000" w:themeColor="text1"/>
                <w:szCs w:val="24"/>
              </w:rPr>
              <w:t>raft call for proposals and follow the implementation of innovative and precommercial procurement projects, the establishment of a</w:t>
            </w:r>
            <w:r w:rsidR="00431E89" w:rsidRPr="004C70EC">
              <w:rPr>
                <w:noProof/>
                <w:color w:val="000000" w:themeColor="text1"/>
                <w:szCs w:val="24"/>
              </w:rPr>
              <w:t>n</w:t>
            </w:r>
            <w:r w:rsidR="007966CD" w:rsidRPr="004C70EC">
              <w:rPr>
                <w:noProof/>
                <w:color w:val="000000" w:themeColor="text1"/>
                <w:szCs w:val="24"/>
              </w:rPr>
              <w:t xml:space="preserve"> </w:t>
            </w:r>
            <w:r w:rsidR="00053BDB" w:rsidRPr="004C70EC">
              <w:rPr>
                <w:b/>
                <w:bCs/>
                <w:noProof/>
                <w:color w:val="000000" w:themeColor="text1"/>
                <w:szCs w:val="24"/>
              </w:rPr>
              <w:t>EU Health Biotechnology Support Network</w:t>
            </w:r>
            <w:r w:rsidR="007966CD" w:rsidRPr="004C70EC">
              <w:rPr>
                <w:noProof/>
                <w:color w:val="000000" w:themeColor="text1"/>
                <w:szCs w:val="24"/>
              </w:rPr>
              <w:t xml:space="preserve"> of local an</w:t>
            </w:r>
            <w:r w:rsidR="00010BE6" w:rsidRPr="004C70EC">
              <w:rPr>
                <w:noProof/>
                <w:color w:val="000000" w:themeColor="text1"/>
                <w:szCs w:val="24"/>
              </w:rPr>
              <w:t>t</w:t>
            </w:r>
            <w:r w:rsidR="007966CD" w:rsidRPr="004C70EC">
              <w:rPr>
                <w:noProof/>
                <w:color w:val="000000" w:themeColor="text1"/>
                <w:szCs w:val="24"/>
              </w:rPr>
              <w:t xml:space="preserve">ennas supporting biotechnology undertakings; </w:t>
            </w:r>
          </w:p>
          <w:p w14:paraId="229E5D4C" w14:textId="77777777" w:rsidR="007966CD" w:rsidRPr="004C70EC" w:rsidRDefault="0059358A" w:rsidP="00811FF3">
            <w:pPr>
              <w:pStyle w:val="ListParagraph"/>
              <w:keepNext/>
              <w:keepLines/>
              <w:numPr>
                <w:ilvl w:val="0"/>
                <w:numId w:val="26"/>
              </w:numPr>
              <w:spacing w:before="160" w:after="80" w:line="279" w:lineRule="auto"/>
              <w:outlineLvl w:val="2"/>
              <w:rPr>
                <w:noProof/>
                <w:color w:val="000000" w:themeColor="text1"/>
                <w:szCs w:val="24"/>
              </w:rPr>
            </w:pPr>
            <w:r w:rsidRPr="004C70EC">
              <w:rPr>
                <w:noProof/>
                <w:color w:val="000000" w:themeColor="text1"/>
                <w:szCs w:val="24"/>
              </w:rPr>
              <w:t>P</w:t>
            </w:r>
            <w:r w:rsidR="007966CD" w:rsidRPr="004C70EC">
              <w:rPr>
                <w:noProof/>
                <w:color w:val="000000" w:themeColor="text1"/>
                <w:szCs w:val="24"/>
              </w:rPr>
              <w:t xml:space="preserve">rovide policy and legal guidance to and coordinate with: </w:t>
            </w:r>
          </w:p>
          <w:p w14:paraId="306E0241" w14:textId="77777777" w:rsidR="007966CD" w:rsidRPr="004C70EC" w:rsidRDefault="007966CD" w:rsidP="00811FF3">
            <w:pPr>
              <w:pStyle w:val="ListParagraph"/>
              <w:keepNext/>
              <w:keepLines/>
              <w:numPr>
                <w:ilvl w:val="1"/>
                <w:numId w:val="26"/>
              </w:numPr>
              <w:spacing w:before="160" w:after="80" w:line="279" w:lineRule="auto"/>
              <w:outlineLvl w:val="2"/>
              <w:rPr>
                <w:rFonts w:eastAsiaTheme="minorHAnsi"/>
                <w:noProof/>
                <w:color w:val="000000" w:themeColor="text1"/>
                <w:szCs w:val="24"/>
                <w:lang w:eastAsia="en-US"/>
              </w:rPr>
            </w:pPr>
            <w:r w:rsidRPr="004C70EC">
              <w:rPr>
                <w:noProof/>
                <w:color w:val="000000" w:themeColor="text1"/>
                <w:szCs w:val="24"/>
              </w:rPr>
              <w:t>EMA on</w:t>
            </w:r>
            <w:r w:rsidRPr="004C70EC">
              <w:rPr>
                <w:rFonts w:eastAsiaTheme="minorEastAsia"/>
                <w:noProof/>
                <w:color w:val="000000" w:themeColor="text1"/>
                <w:kern w:val="2"/>
                <w:szCs w:val="24"/>
                <w:lang w:val="en-IE" w:eastAsia="ja-JP"/>
                <w14:ligatures w14:val="standardContextual"/>
              </w:rPr>
              <w:t xml:space="preserve"> AI systems Deployment and Use in the Lifecycle of Medicinal Products</w:t>
            </w:r>
            <w:r w:rsidR="003D1903" w:rsidRPr="004C70EC">
              <w:rPr>
                <w:rFonts w:eastAsiaTheme="minorEastAsia"/>
                <w:noProof/>
                <w:color w:val="000000" w:themeColor="text1"/>
                <w:kern w:val="2"/>
                <w:szCs w:val="24"/>
                <w:lang w:val="en-IE" w:eastAsia="ja-JP"/>
                <w14:ligatures w14:val="standardContextual"/>
              </w:rPr>
              <w:t>.</w:t>
            </w:r>
            <w:r w:rsidRPr="004C70EC">
              <w:rPr>
                <w:rFonts w:eastAsiaTheme="minorEastAsia"/>
                <w:noProof/>
                <w:color w:val="000000" w:themeColor="text1"/>
                <w:kern w:val="2"/>
                <w:szCs w:val="24"/>
                <w:lang w:val="en-IE" w:eastAsia="ja-JP"/>
                <w14:ligatures w14:val="standardContextual"/>
              </w:rPr>
              <w:t xml:space="preserve"> </w:t>
            </w:r>
          </w:p>
          <w:p w14:paraId="075942B2" w14:textId="620FAB6F" w:rsidR="007966CD" w:rsidRPr="004C70EC" w:rsidRDefault="003D1903" w:rsidP="00811FF3">
            <w:pPr>
              <w:pStyle w:val="ListParagraph"/>
              <w:keepNext/>
              <w:keepLines/>
              <w:numPr>
                <w:ilvl w:val="1"/>
                <w:numId w:val="26"/>
              </w:numPr>
              <w:spacing w:before="160" w:after="80" w:line="279" w:lineRule="auto"/>
              <w:outlineLvl w:val="2"/>
              <w:rPr>
                <w:noProof/>
                <w:color w:val="000000" w:themeColor="text1"/>
                <w:szCs w:val="24"/>
              </w:rPr>
            </w:pPr>
            <w:r w:rsidRPr="004C70EC">
              <w:rPr>
                <w:rFonts w:eastAsiaTheme="minorEastAsia"/>
                <w:noProof/>
                <w:color w:val="000000" w:themeColor="text1"/>
                <w:kern w:val="2"/>
                <w:szCs w:val="24"/>
                <w:lang w:eastAsia="ja-JP"/>
                <w14:ligatures w14:val="standardContextual"/>
              </w:rPr>
              <w:t>I</w:t>
            </w:r>
            <w:r w:rsidR="00D83A0D" w:rsidRPr="004C70EC">
              <w:rPr>
                <w:rFonts w:eastAsiaTheme="minorEastAsia"/>
                <w:noProof/>
                <w:color w:val="000000" w:themeColor="text1"/>
                <w:kern w:val="2"/>
                <w:szCs w:val="24"/>
                <w:lang w:eastAsia="ja-JP"/>
                <w14:ligatures w14:val="standardContextual"/>
              </w:rPr>
              <w:t>mplementing partners</w:t>
            </w:r>
            <w:r w:rsidR="007966CD" w:rsidRPr="004C70EC">
              <w:rPr>
                <w:rFonts w:eastAsiaTheme="minorEastAsia"/>
                <w:noProof/>
                <w:color w:val="000000" w:themeColor="text1"/>
                <w:kern w:val="2"/>
                <w:szCs w:val="24"/>
                <w:lang w:val="en-IE" w:eastAsia="ja-JP"/>
                <w14:ligatures w14:val="standardContextual"/>
              </w:rPr>
              <w:t xml:space="preserve"> on the </w:t>
            </w:r>
            <w:r w:rsidR="007966CD" w:rsidRPr="004C70EC">
              <w:rPr>
                <w:noProof/>
                <w:color w:val="000000" w:themeColor="text1"/>
                <w:szCs w:val="24"/>
                <w:lang w:val="en-IE"/>
              </w:rPr>
              <w:t>management of the Biotech</w:t>
            </w:r>
            <w:r w:rsidR="44B1D72F" w:rsidRPr="004C70EC">
              <w:rPr>
                <w:noProof/>
                <w:color w:val="000000" w:themeColor="text1"/>
                <w:szCs w:val="24"/>
                <w:lang w:val="en-IE"/>
              </w:rPr>
              <w:t>nology</w:t>
            </w:r>
            <w:r w:rsidR="007966CD" w:rsidRPr="004C70EC">
              <w:rPr>
                <w:noProof/>
                <w:color w:val="000000" w:themeColor="text1"/>
                <w:szCs w:val="24"/>
                <w:lang w:val="en-IE"/>
              </w:rPr>
              <w:t xml:space="preserve"> Investment </w:t>
            </w:r>
            <w:r>
              <w:rPr>
                <w:noProof/>
                <w:color w:val="000000" w:themeColor="text1"/>
                <w:szCs w:val="24"/>
                <w:lang w:val="en-IE"/>
              </w:rPr>
              <w:t>Pilot</w:t>
            </w:r>
            <w:r w:rsidRPr="004C70EC">
              <w:rPr>
                <w:noProof/>
                <w:color w:val="000000" w:themeColor="text1"/>
                <w:szCs w:val="24"/>
                <w:lang w:val="en-IE"/>
              </w:rPr>
              <w:t>.</w:t>
            </w:r>
            <w:r w:rsidR="007966CD" w:rsidRPr="004C70EC">
              <w:rPr>
                <w:noProof/>
                <w:color w:val="000000" w:themeColor="text1"/>
                <w:szCs w:val="24"/>
                <w:lang w:val="en-IE"/>
              </w:rPr>
              <w:t xml:space="preserve"> </w:t>
            </w:r>
          </w:p>
          <w:p w14:paraId="06605A4B" w14:textId="77777777" w:rsidR="007966CD" w:rsidRPr="004C70EC" w:rsidRDefault="00156C8F" w:rsidP="00811FF3">
            <w:pPr>
              <w:pStyle w:val="ListParagraph"/>
              <w:keepNext/>
              <w:keepLines/>
              <w:numPr>
                <w:ilvl w:val="1"/>
                <w:numId w:val="26"/>
              </w:numPr>
              <w:spacing w:before="160" w:after="80" w:line="279" w:lineRule="auto"/>
              <w:outlineLvl w:val="2"/>
              <w:rPr>
                <w:noProof/>
                <w:color w:val="000000" w:themeColor="text1"/>
                <w:szCs w:val="24"/>
              </w:rPr>
            </w:pPr>
            <w:r w:rsidRPr="004C70EC">
              <w:rPr>
                <w:noProof/>
                <w:color w:val="000000" w:themeColor="text1"/>
                <w:szCs w:val="24"/>
                <w:lang w:val="en-IE"/>
              </w:rPr>
              <w:t>Member</w:t>
            </w:r>
            <w:r w:rsidR="007966CD" w:rsidRPr="004C70EC">
              <w:rPr>
                <w:noProof/>
                <w:color w:val="000000" w:themeColor="text1"/>
                <w:szCs w:val="24"/>
                <w:lang w:val="en-IE"/>
              </w:rPr>
              <w:t xml:space="preserve"> </w:t>
            </w:r>
            <w:r w:rsidR="00FC317D" w:rsidRPr="004C70EC">
              <w:rPr>
                <w:noProof/>
                <w:color w:val="000000" w:themeColor="text1"/>
                <w:szCs w:val="24"/>
                <w:lang w:val="en-IE"/>
              </w:rPr>
              <w:t>S</w:t>
            </w:r>
            <w:r w:rsidR="007966CD" w:rsidRPr="004C70EC">
              <w:rPr>
                <w:noProof/>
                <w:color w:val="000000" w:themeColor="text1"/>
                <w:szCs w:val="24"/>
                <w:lang w:val="en-IE"/>
              </w:rPr>
              <w:t>tates on the supervision of economic operators handling potential  biosecurity risk products</w:t>
            </w:r>
            <w:r w:rsidR="003D1903" w:rsidRPr="004C70EC">
              <w:rPr>
                <w:noProof/>
                <w:color w:val="000000" w:themeColor="text1"/>
                <w:szCs w:val="24"/>
                <w:lang w:val="en-IE"/>
              </w:rPr>
              <w:t>.</w:t>
            </w:r>
          </w:p>
          <w:p w14:paraId="3974A87E" w14:textId="77777777" w:rsidR="007966CD" w:rsidRPr="004C70EC" w:rsidRDefault="007966CD">
            <w:pPr>
              <w:keepNext/>
              <w:keepLines/>
              <w:spacing w:before="160" w:after="80" w:line="279" w:lineRule="auto"/>
              <w:outlineLvl w:val="1"/>
              <w:rPr>
                <w:noProof/>
                <w:color w:val="000000" w:themeColor="text1"/>
                <w:szCs w:val="24"/>
              </w:rPr>
            </w:pPr>
            <w:r w:rsidRPr="004C70EC">
              <w:rPr>
                <w:noProof/>
                <w:color w:val="000000" w:themeColor="text1"/>
                <w:szCs w:val="24"/>
              </w:rPr>
              <w:t xml:space="preserve">5 (AST profiles) to: </w:t>
            </w:r>
          </w:p>
          <w:p w14:paraId="4B70BAEC" w14:textId="77777777" w:rsidR="007966CD" w:rsidRPr="004C70EC" w:rsidRDefault="0059358A" w:rsidP="00811FF3">
            <w:pPr>
              <w:pStyle w:val="ListParagraph"/>
              <w:keepNext/>
              <w:keepLines/>
              <w:numPr>
                <w:ilvl w:val="0"/>
                <w:numId w:val="26"/>
              </w:numPr>
              <w:spacing w:before="160" w:after="80" w:line="279" w:lineRule="auto"/>
              <w:outlineLvl w:val="1"/>
              <w:rPr>
                <w:rFonts w:eastAsiaTheme="minorHAnsi"/>
                <w:noProof/>
                <w:color w:val="000000" w:themeColor="text1"/>
                <w:szCs w:val="24"/>
              </w:rPr>
            </w:pPr>
            <w:r w:rsidRPr="004C70EC">
              <w:rPr>
                <w:noProof/>
                <w:color w:val="000000" w:themeColor="text1"/>
                <w:szCs w:val="24"/>
              </w:rPr>
              <w:t>P</w:t>
            </w:r>
            <w:r w:rsidR="007966CD" w:rsidRPr="004C70EC">
              <w:rPr>
                <w:noProof/>
                <w:color w:val="000000" w:themeColor="text1"/>
                <w:szCs w:val="24"/>
              </w:rPr>
              <w:t xml:space="preserve">rovide administrative and logistic support to experts’ meetings of </w:t>
            </w:r>
            <w:r w:rsidR="007966CD" w:rsidRPr="004C70EC">
              <w:rPr>
                <w:b/>
                <w:bCs/>
                <w:noProof/>
                <w:color w:val="000000" w:themeColor="text1"/>
                <w:szCs w:val="24"/>
              </w:rPr>
              <w:t xml:space="preserve">the </w:t>
            </w:r>
            <w:r w:rsidR="00FF4B3B" w:rsidRPr="004C70EC">
              <w:rPr>
                <w:b/>
                <w:bCs/>
                <w:noProof/>
                <w:color w:val="000000" w:themeColor="text1"/>
                <w:szCs w:val="24"/>
              </w:rPr>
              <w:t xml:space="preserve">Advisory Group on </w:t>
            </w:r>
            <w:r w:rsidR="007966CD" w:rsidRPr="004C70EC">
              <w:rPr>
                <w:b/>
                <w:bCs/>
                <w:noProof/>
                <w:color w:val="000000" w:themeColor="text1"/>
                <w:szCs w:val="24"/>
              </w:rPr>
              <w:t>Biosecurity and Artificial Intelligence</w:t>
            </w:r>
            <w:r w:rsidR="007966CD" w:rsidRPr="004C70EC">
              <w:rPr>
                <w:noProof/>
                <w:color w:val="000000" w:themeColor="text1"/>
                <w:szCs w:val="24"/>
              </w:rPr>
              <w:t xml:space="preserve"> and to meetings of Member States and the Commission in the </w:t>
            </w:r>
            <w:r w:rsidR="00053BDB" w:rsidRPr="004C70EC">
              <w:rPr>
                <w:rFonts w:eastAsiaTheme="majorEastAsia"/>
                <w:b/>
                <w:bCs/>
                <w:noProof/>
                <w:color w:val="000000" w:themeColor="text1"/>
                <w:szCs w:val="24"/>
              </w:rPr>
              <w:t>European Health Biotechnology Steering Group</w:t>
            </w:r>
            <w:r w:rsidR="002B067B" w:rsidRPr="004C70EC">
              <w:rPr>
                <w:rFonts w:eastAsiaTheme="majorEastAsia"/>
                <w:b/>
                <w:bCs/>
                <w:noProof/>
                <w:color w:val="000000" w:themeColor="text1"/>
                <w:szCs w:val="24"/>
              </w:rPr>
              <w:t>.</w:t>
            </w:r>
            <w:r w:rsidR="007966CD" w:rsidRPr="004C70EC">
              <w:rPr>
                <w:rFonts w:eastAsiaTheme="majorEastAsia"/>
                <w:noProof/>
                <w:color w:val="000000" w:themeColor="text1"/>
                <w:szCs w:val="24"/>
              </w:rPr>
              <w:t xml:space="preserve"> </w:t>
            </w:r>
          </w:p>
          <w:p w14:paraId="3EBFBEB6" w14:textId="77777777" w:rsidR="007966CD" w:rsidRPr="004C70EC" w:rsidRDefault="007966CD" w:rsidP="00811FF3">
            <w:pPr>
              <w:pStyle w:val="ListParagraph"/>
              <w:keepNext/>
              <w:keepLines/>
              <w:numPr>
                <w:ilvl w:val="0"/>
                <w:numId w:val="26"/>
              </w:numPr>
              <w:spacing w:before="160" w:after="80" w:line="279" w:lineRule="auto"/>
              <w:outlineLvl w:val="1"/>
              <w:rPr>
                <w:noProof/>
                <w:color w:val="000000" w:themeColor="text1"/>
                <w:szCs w:val="24"/>
              </w:rPr>
            </w:pPr>
            <w:r w:rsidRPr="004C70EC">
              <w:rPr>
                <w:noProof/>
                <w:color w:val="000000" w:themeColor="text1"/>
                <w:szCs w:val="24"/>
              </w:rPr>
              <w:t xml:space="preserve"> </w:t>
            </w:r>
            <w:r w:rsidR="0059358A" w:rsidRPr="004C70EC">
              <w:rPr>
                <w:noProof/>
                <w:color w:val="000000" w:themeColor="text1"/>
                <w:szCs w:val="24"/>
                <w:lang w:val="en-US"/>
              </w:rPr>
              <w:t>S</w:t>
            </w:r>
            <w:r w:rsidRPr="004C70EC">
              <w:rPr>
                <w:noProof/>
                <w:color w:val="000000" w:themeColor="text1"/>
                <w:szCs w:val="24"/>
                <w:lang w:val="en-US"/>
              </w:rPr>
              <w:t xml:space="preserve">upport the process of projects selection and assessment for </w:t>
            </w:r>
            <w:r w:rsidRPr="004C70EC">
              <w:rPr>
                <w:b/>
                <w:bCs/>
                <w:noProof/>
                <w:color w:val="000000" w:themeColor="text1"/>
                <w:szCs w:val="24"/>
              </w:rPr>
              <w:t xml:space="preserve">High Impact </w:t>
            </w:r>
            <w:r w:rsidR="009D7E28" w:rsidRPr="004C70EC">
              <w:rPr>
                <w:b/>
                <w:bCs/>
                <w:noProof/>
                <w:color w:val="000000" w:themeColor="text1"/>
                <w:szCs w:val="24"/>
              </w:rPr>
              <w:t xml:space="preserve">Health </w:t>
            </w:r>
            <w:r w:rsidRPr="004C70EC">
              <w:rPr>
                <w:b/>
                <w:bCs/>
                <w:noProof/>
                <w:color w:val="000000" w:themeColor="text1"/>
                <w:szCs w:val="24"/>
              </w:rPr>
              <w:t>Biotechnology strategic projects</w:t>
            </w:r>
            <w:r w:rsidRPr="004C70EC">
              <w:rPr>
                <w:noProof/>
                <w:color w:val="000000" w:themeColor="text1"/>
                <w:szCs w:val="24"/>
                <w:lang w:val="en-US"/>
              </w:rPr>
              <w:t xml:space="preserve"> and assist with information management</w:t>
            </w:r>
            <w:r w:rsidRPr="004C70EC">
              <w:rPr>
                <w:noProof/>
                <w:color w:val="000000" w:themeColor="text1"/>
                <w:szCs w:val="24"/>
              </w:rPr>
              <w:t>.</w:t>
            </w:r>
          </w:p>
          <w:p w14:paraId="5D0410D3" w14:textId="77777777" w:rsidR="007966CD" w:rsidRPr="004C70EC" w:rsidRDefault="0059358A" w:rsidP="00811FF3">
            <w:pPr>
              <w:pStyle w:val="ListParagraph"/>
              <w:keepNext/>
              <w:keepLines/>
              <w:numPr>
                <w:ilvl w:val="0"/>
                <w:numId w:val="26"/>
              </w:numPr>
              <w:spacing w:before="160" w:after="80" w:line="279" w:lineRule="auto"/>
              <w:outlineLvl w:val="1"/>
              <w:rPr>
                <w:rFonts w:eastAsiaTheme="majorEastAsia"/>
                <w:noProof/>
                <w:color w:val="000000" w:themeColor="text1"/>
                <w:szCs w:val="24"/>
              </w:rPr>
            </w:pPr>
            <w:r w:rsidRPr="004C70EC">
              <w:rPr>
                <w:noProof/>
                <w:color w:val="000000" w:themeColor="text1"/>
                <w:szCs w:val="24"/>
              </w:rPr>
              <w:t>D</w:t>
            </w:r>
            <w:r w:rsidR="007966CD" w:rsidRPr="004C70EC">
              <w:rPr>
                <w:noProof/>
                <w:color w:val="000000" w:themeColor="text1"/>
                <w:szCs w:val="24"/>
              </w:rPr>
              <w:t xml:space="preserve">evelop and maintain </w:t>
            </w:r>
            <w:r w:rsidR="00A4766D" w:rsidRPr="004C70EC">
              <w:rPr>
                <w:noProof/>
                <w:color w:val="000000" w:themeColor="text1"/>
                <w:szCs w:val="24"/>
              </w:rPr>
              <w:t xml:space="preserve">a </w:t>
            </w:r>
            <w:r w:rsidR="007966CD" w:rsidRPr="004C70EC">
              <w:rPr>
                <w:b/>
                <w:noProof/>
                <w:color w:val="000000" w:themeColor="text1"/>
                <w:szCs w:val="24"/>
              </w:rPr>
              <w:t>Union Regulatory Status Repository</w:t>
            </w:r>
            <w:r w:rsidR="007966CD" w:rsidRPr="004C70EC">
              <w:rPr>
                <w:noProof/>
                <w:color w:val="000000" w:themeColor="text1"/>
                <w:szCs w:val="24"/>
              </w:rPr>
              <w:t xml:space="preserve"> </w:t>
            </w:r>
            <w:r w:rsidR="00C35E6F" w:rsidRPr="004C70EC">
              <w:rPr>
                <w:noProof/>
                <w:color w:val="000000" w:themeColor="text1"/>
                <w:szCs w:val="24"/>
              </w:rPr>
              <w:t>to assist developers in navigating cases</w:t>
            </w:r>
            <w:r w:rsidR="007966CD" w:rsidRPr="004C70EC">
              <w:rPr>
                <w:noProof/>
                <w:color w:val="000000" w:themeColor="text1"/>
                <w:szCs w:val="24"/>
              </w:rPr>
              <w:t xml:space="preserve"> of </w:t>
            </w:r>
            <w:r w:rsidR="00C35E6F" w:rsidRPr="004C70EC">
              <w:rPr>
                <w:noProof/>
                <w:color w:val="000000" w:themeColor="text1"/>
                <w:szCs w:val="24"/>
              </w:rPr>
              <w:t>health biotechnology products</w:t>
            </w:r>
            <w:r w:rsidR="007966CD" w:rsidRPr="004C70EC">
              <w:rPr>
                <w:noProof/>
                <w:color w:val="000000" w:themeColor="text1"/>
                <w:szCs w:val="24"/>
              </w:rPr>
              <w:t>.</w:t>
            </w:r>
          </w:p>
        </w:tc>
      </w:tr>
      <w:tr w:rsidR="004A1163" w:rsidRPr="004C70EC" w14:paraId="0443DC68" w14:textId="77777777" w:rsidTr="33CE1D06">
        <w:tc>
          <w:tcPr>
            <w:tcW w:w="1391" w:type="dxa"/>
          </w:tcPr>
          <w:p w14:paraId="0F569613" w14:textId="77777777" w:rsidR="007966CD" w:rsidRPr="004C70EC" w:rsidRDefault="007966CD">
            <w:pPr>
              <w:spacing w:before="60" w:after="60"/>
              <w:rPr>
                <w:noProof/>
                <w:color w:val="000000" w:themeColor="text1"/>
                <w:szCs w:val="24"/>
              </w:rPr>
            </w:pPr>
            <w:r w:rsidRPr="004C70EC">
              <w:rPr>
                <w:noProof/>
                <w:color w:val="000000" w:themeColor="text1"/>
                <w:szCs w:val="24"/>
              </w:rPr>
              <w:t>External staff</w:t>
            </w:r>
          </w:p>
        </w:tc>
        <w:tc>
          <w:tcPr>
            <w:tcW w:w="9049" w:type="dxa"/>
          </w:tcPr>
          <w:p w14:paraId="07C80836" w14:textId="77777777" w:rsidR="007966CD" w:rsidRPr="004C70EC" w:rsidRDefault="007966CD">
            <w:pPr>
              <w:keepNext/>
              <w:keepLines/>
              <w:spacing w:before="160" w:after="80" w:line="279" w:lineRule="auto"/>
              <w:outlineLvl w:val="2"/>
              <w:rPr>
                <w:noProof/>
                <w:color w:val="000000" w:themeColor="text1"/>
                <w:szCs w:val="24"/>
              </w:rPr>
            </w:pPr>
            <w:r w:rsidRPr="004C70EC">
              <w:rPr>
                <w:noProof/>
                <w:color w:val="000000" w:themeColor="text1"/>
                <w:szCs w:val="24"/>
              </w:rPr>
              <w:t>5 SNEs and 24 CAs (FGV) to support ADs with:</w:t>
            </w:r>
          </w:p>
          <w:p w14:paraId="1FEFAE52" w14:textId="77777777" w:rsidR="007966CD" w:rsidRPr="004C70EC" w:rsidRDefault="003D1903" w:rsidP="00811FF3">
            <w:pPr>
              <w:pStyle w:val="ListParagraph"/>
              <w:keepNext/>
              <w:keepLines/>
              <w:numPr>
                <w:ilvl w:val="0"/>
                <w:numId w:val="25"/>
              </w:numPr>
              <w:spacing w:before="160" w:after="80" w:line="279" w:lineRule="auto"/>
              <w:outlineLvl w:val="2"/>
              <w:rPr>
                <w:rFonts w:eastAsiaTheme="majorEastAsia"/>
                <w:b/>
                <w:noProof/>
                <w:color w:val="000000" w:themeColor="text1"/>
                <w:szCs w:val="24"/>
                <w:lang w:val="en-US"/>
              </w:rPr>
            </w:pPr>
            <w:r w:rsidRPr="004C70EC">
              <w:rPr>
                <w:noProof/>
                <w:color w:val="000000" w:themeColor="text1"/>
                <w:szCs w:val="24"/>
              </w:rPr>
              <w:t>E</w:t>
            </w:r>
            <w:r w:rsidR="007966CD" w:rsidRPr="004C70EC">
              <w:rPr>
                <w:noProof/>
                <w:color w:val="000000" w:themeColor="text1"/>
                <w:szCs w:val="24"/>
              </w:rPr>
              <w:t xml:space="preserve">xpert selection and appointment and dissemination of discussion papers produced by the </w:t>
            </w:r>
            <w:r w:rsidR="007966CD" w:rsidRPr="004C70EC">
              <w:rPr>
                <w:b/>
                <w:bCs/>
                <w:noProof/>
                <w:color w:val="000000" w:themeColor="text1"/>
                <w:szCs w:val="24"/>
              </w:rPr>
              <w:t xml:space="preserve">Foresight Panel for </w:t>
            </w:r>
            <w:r w:rsidR="004B6030" w:rsidRPr="004C70EC">
              <w:rPr>
                <w:b/>
                <w:bCs/>
                <w:noProof/>
                <w:color w:val="000000" w:themeColor="text1"/>
                <w:szCs w:val="24"/>
              </w:rPr>
              <w:t>emerging health innovation</w:t>
            </w:r>
            <w:r w:rsidR="007966CD" w:rsidRPr="004C70EC">
              <w:rPr>
                <w:noProof/>
                <w:color w:val="000000" w:themeColor="text1"/>
                <w:szCs w:val="24"/>
              </w:rPr>
              <w:t>, support content preparation of panels meetings</w:t>
            </w:r>
            <w:r w:rsidR="00EE6A1C" w:rsidRPr="004C70EC">
              <w:rPr>
                <w:noProof/>
                <w:color w:val="000000" w:themeColor="text1"/>
                <w:szCs w:val="24"/>
              </w:rPr>
              <w:t xml:space="preserve">. </w:t>
            </w:r>
          </w:p>
          <w:p w14:paraId="48FF31A3" w14:textId="77777777" w:rsidR="007966CD" w:rsidRPr="004C70EC" w:rsidRDefault="00EE6A1C" w:rsidP="00811FF3">
            <w:pPr>
              <w:pStyle w:val="ListParagraph"/>
              <w:numPr>
                <w:ilvl w:val="0"/>
                <w:numId w:val="25"/>
              </w:numPr>
              <w:rPr>
                <w:noProof/>
                <w:color w:val="000000" w:themeColor="text1"/>
                <w:szCs w:val="24"/>
              </w:rPr>
            </w:pPr>
            <w:r w:rsidRPr="004C70EC">
              <w:rPr>
                <w:noProof/>
                <w:color w:val="000000" w:themeColor="text1"/>
                <w:szCs w:val="24"/>
              </w:rPr>
              <w:t>S</w:t>
            </w:r>
            <w:r w:rsidR="007966CD" w:rsidRPr="004C70EC">
              <w:rPr>
                <w:noProof/>
                <w:color w:val="000000" w:themeColor="text1"/>
                <w:szCs w:val="24"/>
              </w:rPr>
              <w:t xml:space="preserve">etting up and management of </w:t>
            </w:r>
            <w:r w:rsidR="007966CD" w:rsidRPr="004C70EC">
              <w:rPr>
                <w:b/>
                <w:bCs/>
                <w:noProof/>
                <w:color w:val="000000" w:themeColor="text1"/>
                <w:szCs w:val="24"/>
              </w:rPr>
              <w:t>Regulatory Sandbox for novel health biotech</w:t>
            </w:r>
            <w:r w:rsidR="014B6BE7" w:rsidRPr="004C70EC">
              <w:rPr>
                <w:b/>
                <w:bCs/>
                <w:noProof/>
                <w:color w:val="000000" w:themeColor="text1"/>
                <w:szCs w:val="24"/>
              </w:rPr>
              <w:t>nology</w:t>
            </w:r>
            <w:r w:rsidR="007966CD" w:rsidRPr="004C70EC">
              <w:rPr>
                <w:b/>
                <w:bCs/>
                <w:noProof/>
                <w:color w:val="000000" w:themeColor="text1"/>
                <w:szCs w:val="24"/>
              </w:rPr>
              <w:t xml:space="preserve"> products not falling in any other legislation in the area of health</w:t>
            </w:r>
            <w:r w:rsidR="007966CD" w:rsidRPr="004C70EC">
              <w:rPr>
                <w:noProof/>
                <w:color w:val="000000" w:themeColor="text1"/>
                <w:szCs w:val="24"/>
              </w:rPr>
              <w:t xml:space="preserve"> </w:t>
            </w:r>
          </w:p>
          <w:p w14:paraId="0120042C" w14:textId="77777777" w:rsidR="007966CD" w:rsidRPr="004C70EC" w:rsidRDefault="00EE6A1C" w:rsidP="00811FF3">
            <w:pPr>
              <w:pStyle w:val="ListParagraph"/>
              <w:numPr>
                <w:ilvl w:val="0"/>
                <w:numId w:val="25"/>
              </w:numPr>
              <w:rPr>
                <w:rFonts w:eastAsiaTheme="minorHAnsi"/>
                <w:b/>
                <w:bCs/>
                <w:noProof/>
                <w:color w:val="000000" w:themeColor="text1"/>
                <w:szCs w:val="24"/>
              </w:rPr>
            </w:pPr>
            <w:r w:rsidRPr="004C70EC">
              <w:rPr>
                <w:rFonts w:eastAsiaTheme="majorEastAsia"/>
                <w:noProof/>
                <w:color w:val="000000" w:themeColor="text1"/>
                <w:szCs w:val="24"/>
              </w:rPr>
              <w:t>C</w:t>
            </w:r>
            <w:r w:rsidR="007966CD" w:rsidRPr="004C70EC">
              <w:rPr>
                <w:rFonts w:eastAsiaTheme="majorEastAsia"/>
                <w:noProof/>
                <w:color w:val="000000" w:themeColor="text1"/>
                <w:szCs w:val="24"/>
              </w:rPr>
              <w:t xml:space="preserve">ommenting on proposed regulatory sandboxes in the framework of the </w:t>
            </w:r>
            <w:r w:rsidR="007966CD" w:rsidRPr="004C70EC">
              <w:rPr>
                <w:rFonts w:eastAsiaTheme="majorEastAsia"/>
                <w:b/>
                <w:bCs/>
                <w:noProof/>
                <w:color w:val="000000" w:themeColor="text1"/>
                <w:szCs w:val="24"/>
              </w:rPr>
              <w:t xml:space="preserve">General Food Law </w:t>
            </w:r>
            <w:r w:rsidR="007966CD" w:rsidRPr="004C70EC">
              <w:rPr>
                <w:rFonts w:eastAsiaTheme="majorEastAsia"/>
                <w:noProof/>
                <w:color w:val="000000" w:themeColor="text1"/>
                <w:szCs w:val="24"/>
              </w:rPr>
              <w:t>and with the development of implementing and delegated acts</w:t>
            </w:r>
            <w:r w:rsidRPr="004C70EC">
              <w:rPr>
                <w:rFonts w:eastAsiaTheme="majorEastAsia"/>
                <w:noProof/>
                <w:color w:val="000000" w:themeColor="text1"/>
                <w:szCs w:val="24"/>
              </w:rPr>
              <w:t>.</w:t>
            </w:r>
            <w:r w:rsidR="007966CD" w:rsidRPr="004C70EC">
              <w:rPr>
                <w:rFonts w:eastAsiaTheme="majorEastAsia"/>
                <w:noProof/>
                <w:color w:val="000000" w:themeColor="text1"/>
                <w:szCs w:val="24"/>
              </w:rPr>
              <w:t xml:space="preserve"> </w:t>
            </w:r>
          </w:p>
          <w:p w14:paraId="444CCA2D" w14:textId="77777777" w:rsidR="007966CD" w:rsidRPr="004C70EC" w:rsidRDefault="00B93A0A" w:rsidP="00811FF3">
            <w:pPr>
              <w:pStyle w:val="ListParagraph"/>
              <w:numPr>
                <w:ilvl w:val="0"/>
                <w:numId w:val="25"/>
              </w:numPr>
              <w:rPr>
                <w:b/>
                <w:bCs/>
                <w:noProof/>
                <w:color w:val="000000" w:themeColor="text1"/>
                <w:szCs w:val="24"/>
              </w:rPr>
            </w:pPr>
            <w:r w:rsidRPr="004C70EC">
              <w:rPr>
                <w:noProof/>
                <w:color w:val="000000" w:themeColor="text1"/>
                <w:szCs w:val="24"/>
              </w:rPr>
              <w:t>D</w:t>
            </w:r>
            <w:r w:rsidR="007966CD" w:rsidRPr="004C70EC">
              <w:rPr>
                <w:noProof/>
                <w:color w:val="000000" w:themeColor="text1"/>
                <w:szCs w:val="24"/>
              </w:rPr>
              <w:t xml:space="preserve">rafting of calls for proposal for </w:t>
            </w:r>
            <w:r w:rsidR="007966CD" w:rsidRPr="004C70EC">
              <w:rPr>
                <w:b/>
                <w:noProof/>
                <w:color w:val="000000" w:themeColor="text1"/>
                <w:szCs w:val="24"/>
              </w:rPr>
              <w:t xml:space="preserve">Hight Impact </w:t>
            </w:r>
            <w:r w:rsidR="009D7E28" w:rsidRPr="004C70EC">
              <w:rPr>
                <w:b/>
                <w:noProof/>
                <w:color w:val="000000" w:themeColor="text1"/>
                <w:szCs w:val="24"/>
              </w:rPr>
              <w:t xml:space="preserve">Health </w:t>
            </w:r>
            <w:r w:rsidR="007966CD" w:rsidRPr="004C70EC">
              <w:rPr>
                <w:b/>
                <w:noProof/>
                <w:color w:val="000000" w:themeColor="text1"/>
                <w:szCs w:val="24"/>
              </w:rPr>
              <w:t>Biotechnology Strategic Projects</w:t>
            </w:r>
            <w:r w:rsidR="007966CD" w:rsidRPr="004C70EC">
              <w:rPr>
                <w:noProof/>
                <w:color w:val="000000" w:themeColor="text1"/>
                <w:szCs w:val="24"/>
              </w:rPr>
              <w:t xml:space="preserve"> and follow their implementation</w:t>
            </w:r>
            <w:r w:rsidR="007966CD" w:rsidRPr="004C70EC">
              <w:rPr>
                <w:b/>
                <w:noProof/>
                <w:color w:val="000000" w:themeColor="text1"/>
                <w:szCs w:val="24"/>
              </w:rPr>
              <w:t xml:space="preserve">, </w:t>
            </w:r>
            <w:r w:rsidR="007966CD" w:rsidRPr="004C70EC">
              <w:rPr>
                <w:noProof/>
                <w:color w:val="000000" w:themeColor="text1"/>
                <w:szCs w:val="24"/>
              </w:rPr>
              <w:t>in different areas (</w:t>
            </w:r>
            <w:r w:rsidR="007966CD" w:rsidRPr="004C70EC">
              <w:rPr>
                <w:rFonts w:eastAsiaTheme="minorEastAsia"/>
                <w:noProof/>
                <w:color w:val="000000" w:themeColor="text1"/>
                <w:szCs w:val="24"/>
              </w:rPr>
              <w:t>biotech</w:t>
            </w:r>
            <w:r w:rsidR="13F54F66" w:rsidRPr="004C70EC">
              <w:rPr>
                <w:rFonts w:eastAsiaTheme="minorEastAsia"/>
                <w:noProof/>
                <w:color w:val="000000" w:themeColor="text1"/>
                <w:szCs w:val="24"/>
              </w:rPr>
              <w:t>nology</w:t>
            </w:r>
            <w:r w:rsidR="007966CD" w:rsidRPr="004C70EC">
              <w:rPr>
                <w:rFonts w:eastAsiaTheme="minorEastAsia"/>
                <w:noProof/>
                <w:color w:val="000000" w:themeColor="text1"/>
                <w:szCs w:val="24"/>
              </w:rPr>
              <w:t xml:space="preserve"> research and development</w:t>
            </w:r>
            <w:r w:rsidR="007966CD" w:rsidRPr="004C70EC">
              <w:rPr>
                <w:noProof/>
                <w:color w:val="000000" w:themeColor="text1"/>
                <w:szCs w:val="24"/>
              </w:rPr>
              <w:t>,</w:t>
            </w:r>
            <w:r w:rsidR="007966CD" w:rsidRPr="004C70EC">
              <w:rPr>
                <w:rFonts w:eastAsiaTheme="minorEastAsia"/>
                <w:noProof/>
                <w:color w:val="000000" w:themeColor="text1"/>
                <w:szCs w:val="24"/>
              </w:rPr>
              <w:t xml:space="preserve"> availability of late-stage capital</w:t>
            </w:r>
            <w:r w:rsidR="007966CD" w:rsidRPr="004C70EC">
              <w:rPr>
                <w:noProof/>
                <w:color w:val="000000" w:themeColor="text1"/>
                <w:szCs w:val="24"/>
              </w:rPr>
              <w:t xml:space="preserve">, AI biotechnology applications and biosecurity) and for the establishment of the </w:t>
            </w:r>
            <w:r w:rsidR="007966CD" w:rsidRPr="004C70EC">
              <w:rPr>
                <w:rFonts w:eastAsiaTheme="minorEastAsia"/>
                <w:b/>
                <w:bCs/>
                <w:noProof/>
                <w:color w:val="000000" w:themeColor="text1"/>
                <w:szCs w:val="24"/>
                <w:lang w:val="en-US" w:eastAsia="ja-JP"/>
              </w:rPr>
              <w:t xml:space="preserve"> and the </w:t>
            </w:r>
            <w:r w:rsidR="00053BDB" w:rsidRPr="004C70EC">
              <w:rPr>
                <w:b/>
                <w:bCs/>
                <w:noProof/>
                <w:color w:val="000000" w:themeColor="text1"/>
                <w:szCs w:val="24"/>
                <w:lang w:val="en-IE"/>
              </w:rPr>
              <w:t>EU Health Biotechnology Support Network</w:t>
            </w:r>
            <w:r w:rsidRPr="004C70EC">
              <w:rPr>
                <w:b/>
                <w:bCs/>
                <w:noProof/>
                <w:color w:val="000000" w:themeColor="text1"/>
                <w:szCs w:val="24"/>
                <w:lang w:val="en-IE"/>
              </w:rPr>
              <w:t>.</w:t>
            </w:r>
          </w:p>
          <w:p w14:paraId="50F4F10C" w14:textId="77777777" w:rsidR="007966CD" w:rsidRPr="004C70EC" w:rsidRDefault="00B93A0A" w:rsidP="00811FF3">
            <w:pPr>
              <w:pStyle w:val="ListParagraph"/>
              <w:numPr>
                <w:ilvl w:val="0"/>
                <w:numId w:val="25"/>
              </w:numPr>
              <w:rPr>
                <w:b/>
                <w:bCs/>
                <w:noProof/>
                <w:color w:val="000000" w:themeColor="text1"/>
                <w:szCs w:val="24"/>
              </w:rPr>
            </w:pPr>
            <w:r w:rsidRPr="004C70EC">
              <w:rPr>
                <w:noProof/>
                <w:color w:val="000000" w:themeColor="text1"/>
                <w:szCs w:val="24"/>
                <w:lang w:val="en-US"/>
              </w:rPr>
              <w:t>P</w:t>
            </w:r>
            <w:r w:rsidR="007966CD" w:rsidRPr="004C70EC">
              <w:rPr>
                <w:noProof/>
                <w:color w:val="000000" w:themeColor="text1"/>
                <w:szCs w:val="24"/>
                <w:lang w:val="en-US"/>
              </w:rPr>
              <w:t>rovid</w:t>
            </w:r>
            <w:r w:rsidR="00FF7FBD" w:rsidRPr="004C70EC">
              <w:rPr>
                <w:noProof/>
                <w:color w:val="000000" w:themeColor="text1"/>
                <w:szCs w:val="24"/>
                <w:lang w:val="en-US"/>
              </w:rPr>
              <w:t>ing</w:t>
            </w:r>
            <w:r w:rsidR="007966CD" w:rsidRPr="004C70EC">
              <w:rPr>
                <w:noProof/>
                <w:color w:val="000000" w:themeColor="text1"/>
                <w:szCs w:val="24"/>
                <w:lang w:val="en-US"/>
              </w:rPr>
              <w:t xml:space="preserve"> technical content development of the AI-Biotech</w:t>
            </w:r>
            <w:r w:rsidR="0D653D87" w:rsidRPr="004C70EC">
              <w:rPr>
                <w:noProof/>
                <w:color w:val="000000" w:themeColor="text1"/>
                <w:szCs w:val="24"/>
                <w:lang w:val="en-US"/>
              </w:rPr>
              <w:t>nology</w:t>
            </w:r>
            <w:r w:rsidR="007966CD" w:rsidRPr="004C70EC">
              <w:rPr>
                <w:noProof/>
                <w:color w:val="000000" w:themeColor="text1"/>
                <w:szCs w:val="24"/>
                <w:lang w:val="en-US"/>
              </w:rPr>
              <w:t xml:space="preserve"> Support Module and its continued maint</w:t>
            </w:r>
            <w:r w:rsidR="00D62B55" w:rsidRPr="004C70EC">
              <w:rPr>
                <w:noProof/>
                <w:color w:val="000000" w:themeColor="text1"/>
                <w:szCs w:val="24"/>
                <w:lang w:val="en-US"/>
              </w:rPr>
              <w:t>e</w:t>
            </w:r>
            <w:r w:rsidR="007966CD" w:rsidRPr="004C70EC">
              <w:rPr>
                <w:noProof/>
                <w:color w:val="000000" w:themeColor="text1"/>
                <w:szCs w:val="24"/>
                <w:lang w:val="en-US"/>
              </w:rPr>
              <w:t>nance and update with information to be disseminated by the Biotechnology Support Network</w:t>
            </w:r>
            <w:r w:rsidRPr="004C70EC">
              <w:rPr>
                <w:noProof/>
                <w:color w:val="000000" w:themeColor="text1"/>
                <w:szCs w:val="24"/>
                <w:lang w:val="en-US"/>
              </w:rPr>
              <w:t>.</w:t>
            </w:r>
          </w:p>
          <w:p w14:paraId="5FD03059" w14:textId="026061DE" w:rsidR="007966CD" w:rsidRPr="004C70EC" w:rsidRDefault="00B93A0A" w:rsidP="00811FF3">
            <w:pPr>
              <w:pStyle w:val="ListParagraph"/>
              <w:numPr>
                <w:ilvl w:val="0"/>
                <w:numId w:val="25"/>
              </w:numPr>
              <w:rPr>
                <w:rFonts w:eastAsiaTheme="minorEastAsia"/>
                <w:b/>
                <w:bCs/>
                <w:noProof/>
                <w:color w:val="000000" w:themeColor="text1"/>
                <w:szCs w:val="24"/>
                <w:lang w:eastAsia="en-US"/>
              </w:rPr>
            </w:pPr>
            <w:r w:rsidRPr="004C70EC">
              <w:rPr>
                <w:noProof/>
                <w:color w:val="000000" w:themeColor="text1"/>
                <w:szCs w:val="24"/>
              </w:rPr>
              <w:t>E</w:t>
            </w:r>
            <w:r w:rsidR="681889E0" w:rsidRPr="004C70EC">
              <w:rPr>
                <w:noProof/>
                <w:color w:val="000000" w:themeColor="text1"/>
                <w:szCs w:val="24"/>
              </w:rPr>
              <w:t xml:space="preserve">nsuring coordination in management of funding and liaison with </w:t>
            </w:r>
            <w:r w:rsidR="61D37C0F" w:rsidRPr="004C70EC">
              <w:rPr>
                <w:noProof/>
                <w:color w:val="000000" w:themeColor="text1"/>
                <w:szCs w:val="24"/>
              </w:rPr>
              <w:t xml:space="preserve">implementing partners </w:t>
            </w:r>
            <w:r w:rsidR="681889E0" w:rsidRPr="004C70EC">
              <w:rPr>
                <w:noProof/>
                <w:color w:val="000000" w:themeColor="text1"/>
                <w:szCs w:val="24"/>
              </w:rPr>
              <w:t xml:space="preserve">in the context of the </w:t>
            </w:r>
            <w:r w:rsidR="681889E0" w:rsidRPr="004C70EC">
              <w:rPr>
                <w:rFonts w:eastAsiaTheme="minorEastAsia"/>
                <w:b/>
                <w:bCs/>
                <w:noProof/>
                <w:color w:val="000000" w:themeColor="text1"/>
                <w:kern w:val="2"/>
                <w:szCs w:val="24"/>
                <w:lang w:val="en-US" w:eastAsia="ja-JP"/>
                <w14:ligatures w14:val="standardContextual"/>
              </w:rPr>
              <w:t xml:space="preserve">EU Biotechnology Investment </w:t>
            </w:r>
            <w:r>
              <w:rPr>
                <w:rFonts w:eastAsiaTheme="minorEastAsia"/>
                <w:b/>
                <w:bCs/>
                <w:noProof/>
                <w:color w:val="000000" w:themeColor="text1"/>
                <w:kern w:val="2"/>
                <w:szCs w:val="24"/>
                <w:lang w:val="en-US" w:eastAsia="ja-JP"/>
                <w14:ligatures w14:val="standardContextual"/>
              </w:rPr>
              <w:t>Pilot</w:t>
            </w:r>
            <w:r w:rsidRPr="004C70EC">
              <w:rPr>
                <w:rFonts w:eastAsiaTheme="minorEastAsia"/>
                <w:b/>
                <w:bCs/>
                <w:noProof/>
                <w:color w:val="000000" w:themeColor="text1"/>
                <w:kern w:val="2"/>
                <w:szCs w:val="24"/>
                <w:lang w:val="en-US" w:eastAsia="ja-JP"/>
                <w14:ligatures w14:val="standardContextual"/>
              </w:rPr>
              <w:t>.</w:t>
            </w:r>
          </w:p>
          <w:p w14:paraId="50DBC21D" w14:textId="77777777" w:rsidR="007966CD" w:rsidRPr="004C70EC" w:rsidRDefault="00B93A0A" w:rsidP="00811FF3">
            <w:pPr>
              <w:pStyle w:val="ListParagraph"/>
              <w:numPr>
                <w:ilvl w:val="0"/>
                <w:numId w:val="25"/>
              </w:numPr>
              <w:rPr>
                <w:b/>
                <w:bCs/>
                <w:noProof/>
                <w:color w:val="000000" w:themeColor="text1"/>
                <w:szCs w:val="24"/>
              </w:rPr>
            </w:pPr>
            <w:r w:rsidRPr="004C70EC">
              <w:rPr>
                <w:noProof/>
                <w:color w:val="000000" w:themeColor="text1"/>
                <w:szCs w:val="24"/>
                <w:lang w:val="en-IE"/>
              </w:rPr>
              <w:t>D</w:t>
            </w:r>
            <w:r w:rsidR="681889E0" w:rsidRPr="004C70EC">
              <w:rPr>
                <w:noProof/>
                <w:color w:val="000000" w:themeColor="text1"/>
                <w:szCs w:val="24"/>
                <w:lang w:val="en-IE"/>
              </w:rPr>
              <w:t>rafting of guidelines on the enforcement of biosecurity provision to be enforced in cooperation with Member States and relevant delegated or implementing acts, monitor and analyse  landscape to identify promising technologies and to support ADs in developing and following calls for capability projects</w:t>
            </w:r>
            <w:r w:rsidRPr="004C70EC">
              <w:rPr>
                <w:noProof/>
                <w:color w:val="000000" w:themeColor="text1"/>
                <w:szCs w:val="24"/>
                <w:lang w:val="en-IE"/>
              </w:rPr>
              <w:t>.</w:t>
            </w:r>
          </w:p>
          <w:p w14:paraId="19B2AF13" w14:textId="77777777" w:rsidR="007966CD" w:rsidRPr="004C70EC" w:rsidRDefault="00B93A0A" w:rsidP="00811FF3">
            <w:pPr>
              <w:pStyle w:val="ListParagraph"/>
              <w:numPr>
                <w:ilvl w:val="0"/>
                <w:numId w:val="25"/>
              </w:numPr>
              <w:rPr>
                <w:b/>
                <w:bCs/>
                <w:noProof/>
                <w:color w:val="000000" w:themeColor="text1"/>
                <w:szCs w:val="24"/>
              </w:rPr>
            </w:pPr>
            <w:r w:rsidRPr="004C70EC">
              <w:rPr>
                <w:noProof/>
                <w:color w:val="000000" w:themeColor="text1"/>
                <w:szCs w:val="24"/>
              </w:rPr>
              <w:t>P</w:t>
            </w:r>
            <w:r w:rsidR="007966CD" w:rsidRPr="004C70EC">
              <w:rPr>
                <w:noProof/>
                <w:color w:val="000000" w:themeColor="text1"/>
                <w:szCs w:val="24"/>
              </w:rPr>
              <w:t>repar</w:t>
            </w:r>
            <w:r w:rsidR="00FF7FBD" w:rsidRPr="004C70EC">
              <w:rPr>
                <w:noProof/>
                <w:color w:val="000000" w:themeColor="text1"/>
                <w:szCs w:val="24"/>
              </w:rPr>
              <w:t>ing</w:t>
            </w:r>
            <w:r w:rsidR="007966CD" w:rsidRPr="004C70EC">
              <w:rPr>
                <w:noProof/>
                <w:color w:val="000000" w:themeColor="text1"/>
                <w:szCs w:val="24"/>
              </w:rPr>
              <w:t xml:space="preserve"> meeting content and support management of the meetings of </w:t>
            </w:r>
            <w:r w:rsidR="007966CD" w:rsidRPr="004C70EC">
              <w:rPr>
                <w:b/>
                <w:bCs/>
                <w:noProof/>
                <w:color w:val="000000" w:themeColor="text1"/>
                <w:szCs w:val="24"/>
              </w:rPr>
              <w:t xml:space="preserve">the </w:t>
            </w:r>
            <w:r w:rsidR="00CB29BF" w:rsidRPr="004C70EC">
              <w:rPr>
                <w:b/>
                <w:bCs/>
                <w:noProof/>
                <w:color w:val="000000" w:themeColor="text1"/>
                <w:szCs w:val="24"/>
              </w:rPr>
              <w:t>Advisory Group on</w:t>
            </w:r>
            <w:r w:rsidR="007966CD" w:rsidRPr="004C70EC">
              <w:rPr>
                <w:b/>
                <w:bCs/>
                <w:noProof/>
                <w:color w:val="000000" w:themeColor="text1"/>
                <w:szCs w:val="24"/>
              </w:rPr>
              <w:t xml:space="preserve"> Biosecurity and Artificial Intelligence </w:t>
            </w:r>
            <w:r w:rsidR="00610418" w:rsidRPr="004C70EC">
              <w:rPr>
                <w:noProof/>
                <w:color w:val="000000" w:themeColor="text1"/>
                <w:szCs w:val="24"/>
              </w:rPr>
              <w:t>a</w:t>
            </w:r>
            <w:r w:rsidR="007966CD" w:rsidRPr="004C70EC">
              <w:rPr>
                <w:noProof/>
                <w:color w:val="000000" w:themeColor="text1"/>
                <w:szCs w:val="24"/>
              </w:rPr>
              <w:t xml:space="preserve">nd the </w:t>
            </w:r>
            <w:r w:rsidR="00053BDB" w:rsidRPr="004C70EC">
              <w:rPr>
                <w:rFonts w:eastAsiaTheme="majorEastAsia"/>
                <w:b/>
                <w:bCs/>
                <w:noProof/>
                <w:color w:val="000000" w:themeColor="text1"/>
                <w:szCs w:val="24"/>
              </w:rPr>
              <w:t>European Health Biotechnology Steering Group</w:t>
            </w:r>
            <w:r w:rsidR="00FF7FBD" w:rsidRPr="004C70EC">
              <w:rPr>
                <w:rFonts w:eastAsiaTheme="majorEastAsia"/>
                <w:b/>
                <w:bCs/>
                <w:noProof/>
                <w:color w:val="000000" w:themeColor="text1"/>
                <w:szCs w:val="24"/>
              </w:rPr>
              <w:t>.</w:t>
            </w:r>
          </w:p>
          <w:p w14:paraId="76F32BE3" w14:textId="77777777" w:rsidR="007966CD" w:rsidRPr="004C70EC" w:rsidRDefault="007966CD">
            <w:pPr>
              <w:rPr>
                <w:noProof/>
                <w:color w:val="000000" w:themeColor="text1"/>
                <w:szCs w:val="24"/>
              </w:rPr>
            </w:pPr>
            <w:r w:rsidRPr="004C70EC">
              <w:rPr>
                <w:noProof/>
                <w:color w:val="000000" w:themeColor="text1"/>
                <w:szCs w:val="24"/>
              </w:rPr>
              <w:t>6 CAs (FGIII) to:</w:t>
            </w:r>
          </w:p>
          <w:p w14:paraId="69E7A84F" w14:textId="77777777" w:rsidR="007966CD" w:rsidRPr="004C70EC" w:rsidRDefault="00FF7FBD" w:rsidP="00811FF3">
            <w:pPr>
              <w:pStyle w:val="ListParagraph"/>
              <w:keepNext/>
              <w:keepLines/>
              <w:numPr>
                <w:ilvl w:val="0"/>
                <w:numId w:val="25"/>
              </w:numPr>
              <w:spacing w:before="160" w:after="80" w:line="279" w:lineRule="auto"/>
              <w:outlineLvl w:val="2"/>
              <w:rPr>
                <w:rFonts w:eastAsiaTheme="majorEastAsia"/>
                <w:b/>
                <w:noProof/>
                <w:color w:val="000000" w:themeColor="text1"/>
                <w:szCs w:val="24"/>
                <w:lang w:val="en-US"/>
              </w:rPr>
            </w:pPr>
            <w:r w:rsidRPr="004C70EC">
              <w:rPr>
                <w:noProof/>
                <w:color w:val="000000" w:themeColor="text1"/>
                <w:szCs w:val="24"/>
              </w:rPr>
              <w:t>P</w:t>
            </w:r>
            <w:r w:rsidR="007966CD" w:rsidRPr="004C70EC">
              <w:rPr>
                <w:noProof/>
                <w:color w:val="000000" w:themeColor="text1"/>
                <w:szCs w:val="24"/>
              </w:rPr>
              <w:t>rovid</w:t>
            </w:r>
            <w:r w:rsidR="00355FE1" w:rsidRPr="004C70EC">
              <w:rPr>
                <w:noProof/>
                <w:color w:val="000000" w:themeColor="text1"/>
                <w:szCs w:val="24"/>
              </w:rPr>
              <w:t>e</w:t>
            </w:r>
            <w:r w:rsidR="007966CD" w:rsidRPr="004C70EC">
              <w:rPr>
                <w:noProof/>
                <w:color w:val="000000" w:themeColor="text1"/>
                <w:szCs w:val="24"/>
              </w:rPr>
              <w:t xml:space="preserve"> administrative support to the organisation of the experts’ meetings of the </w:t>
            </w:r>
            <w:r w:rsidR="007966CD" w:rsidRPr="004C70EC">
              <w:rPr>
                <w:b/>
                <w:bCs/>
                <w:noProof/>
                <w:color w:val="000000" w:themeColor="text1"/>
                <w:szCs w:val="24"/>
              </w:rPr>
              <w:t xml:space="preserve">Foresight Panel for </w:t>
            </w:r>
            <w:r w:rsidR="004B6030" w:rsidRPr="004C70EC">
              <w:rPr>
                <w:b/>
                <w:bCs/>
                <w:noProof/>
                <w:color w:val="000000" w:themeColor="text1"/>
                <w:szCs w:val="24"/>
              </w:rPr>
              <w:t>emerging health innovation</w:t>
            </w:r>
            <w:r w:rsidR="00355FE1" w:rsidRPr="004C70EC">
              <w:rPr>
                <w:b/>
                <w:bCs/>
                <w:noProof/>
                <w:color w:val="000000" w:themeColor="text1"/>
                <w:szCs w:val="24"/>
              </w:rPr>
              <w:t>.</w:t>
            </w:r>
          </w:p>
          <w:p w14:paraId="7730E0D9" w14:textId="77777777" w:rsidR="007966CD" w:rsidRPr="004C70EC" w:rsidRDefault="00FF7FBD" w:rsidP="00811FF3">
            <w:pPr>
              <w:pStyle w:val="ListParagraph"/>
              <w:numPr>
                <w:ilvl w:val="0"/>
                <w:numId w:val="25"/>
              </w:numPr>
              <w:rPr>
                <w:noProof/>
                <w:color w:val="000000" w:themeColor="text1"/>
                <w:szCs w:val="24"/>
              </w:rPr>
            </w:pPr>
            <w:r w:rsidRPr="004C70EC">
              <w:rPr>
                <w:noProof/>
                <w:color w:val="000000" w:themeColor="text1"/>
                <w:szCs w:val="24"/>
              </w:rPr>
              <w:t>P</w:t>
            </w:r>
            <w:r w:rsidR="007966CD" w:rsidRPr="004C70EC">
              <w:rPr>
                <w:noProof/>
                <w:color w:val="000000" w:themeColor="text1"/>
                <w:szCs w:val="24"/>
              </w:rPr>
              <w:t>romot</w:t>
            </w:r>
            <w:r w:rsidR="00355FE1" w:rsidRPr="004C70EC">
              <w:rPr>
                <w:noProof/>
                <w:color w:val="000000" w:themeColor="text1"/>
                <w:szCs w:val="24"/>
              </w:rPr>
              <w:t>e</w:t>
            </w:r>
            <w:r w:rsidR="007966CD" w:rsidRPr="004C70EC">
              <w:rPr>
                <w:noProof/>
                <w:color w:val="000000" w:themeColor="text1"/>
                <w:szCs w:val="24"/>
              </w:rPr>
              <w:t xml:space="preserve"> and facilitate the networking and cooperation among projects and maintain updated lists of High Impact </w:t>
            </w:r>
            <w:r w:rsidR="009D7E28" w:rsidRPr="004C70EC">
              <w:rPr>
                <w:noProof/>
                <w:color w:val="000000" w:themeColor="text1"/>
                <w:szCs w:val="24"/>
              </w:rPr>
              <w:t>Health</w:t>
            </w:r>
            <w:r w:rsidR="007966CD" w:rsidRPr="004C70EC">
              <w:rPr>
                <w:noProof/>
                <w:color w:val="000000" w:themeColor="text1"/>
                <w:szCs w:val="24"/>
              </w:rPr>
              <w:t xml:space="preserve"> Biotechnology Strategic Project.</w:t>
            </w:r>
          </w:p>
          <w:p w14:paraId="292ED23B" w14:textId="77777777" w:rsidR="007966CD" w:rsidRPr="004C70EC" w:rsidRDefault="00FF7FBD" w:rsidP="00811FF3">
            <w:pPr>
              <w:pStyle w:val="ListParagraph"/>
              <w:numPr>
                <w:ilvl w:val="0"/>
                <w:numId w:val="25"/>
              </w:numPr>
              <w:rPr>
                <w:noProof/>
                <w:color w:val="000000" w:themeColor="text1"/>
                <w:szCs w:val="24"/>
              </w:rPr>
            </w:pPr>
            <w:r w:rsidRPr="004C70EC">
              <w:rPr>
                <w:noProof/>
                <w:color w:val="000000" w:themeColor="text1"/>
                <w:szCs w:val="24"/>
              </w:rPr>
              <w:t>S</w:t>
            </w:r>
            <w:r w:rsidR="007966CD" w:rsidRPr="004C70EC">
              <w:rPr>
                <w:noProof/>
                <w:color w:val="000000" w:themeColor="text1"/>
                <w:szCs w:val="24"/>
              </w:rPr>
              <w:t xml:space="preserve">upport with workflow of queries and management of information of the </w:t>
            </w:r>
            <w:r w:rsidR="00053BDB" w:rsidRPr="004C70EC">
              <w:rPr>
                <w:b/>
                <w:bCs/>
                <w:noProof/>
                <w:color w:val="000000" w:themeColor="text1"/>
                <w:szCs w:val="24"/>
                <w:lang w:val="en-IE"/>
              </w:rPr>
              <w:t>EU Health Biotechnology Support Network</w:t>
            </w:r>
            <w:r w:rsidR="00355FE1" w:rsidRPr="004C70EC">
              <w:rPr>
                <w:b/>
                <w:bCs/>
                <w:noProof/>
                <w:color w:val="000000" w:themeColor="text1"/>
                <w:szCs w:val="24"/>
                <w:lang w:val="en-IE"/>
              </w:rPr>
              <w:t>.</w:t>
            </w:r>
          </w:p>
        </w:tc>
      </w:tr>
    </w:tbl>
    <w:p w14:paraId="3A6B3362" w14:textId="77777777" w:rsidR="007966CD" w:rsidRPr="004C70EC" w:rsidRDefault="007966CD">
      <w:pPr>
        <w:pStyle w:val="ManualHeading3"/>
        <w:rPr>
          <w:noProof/>
          <w:color w:val="000000" w:themeColor="text1"/>
          <w:szCs w:val="24"/>
        </w:rPr>
      </w:pPr>
      <w:bookmarkStart w:id="74" w:name="_Toc710D43F7069F42F4914DBA9171E3B413"/>
      <w:r w:rsidRPr="004C70EC">
        <w:rPr>
          <w:noProof/>
          <w:color w:val="000000" w:themeColor="text1"/>
          <w:szCs w:val="24"/>
        </w:rPr>
        <w:t>3.2.5.</w:t>
      </w:r>
      <w:r w:rsidRPr="004C70EC">
        <w:rPr>
          <w:noProof/>
          <w:color w:val="000000" w:themeColor="text1"/>
          <w:szCs w:val="24"/>
        </w:rPr>
        <w:tab/>
        <w:t>Overview of estimated impact on digital technology-related investments</w:t>
      </w:r>
      <w:bookmarkEnd w:id="74"/>
      <w:r w:rsidRPr="004C70EC">
        <w:rPr>
          <w:noProof/>
          <w:color w:val="000000" w:themeColor="text1"/>
          <w:szCs w:val="24"/>
        </w:rPr>
        <w:t xml:space="preserve"> (not to be completed for decentralised agencies)</w:t>
      </w:r>
    </w:p>
    <w:p w14:paraId="3D9F19E2" w14:textId="77777777" w:rsidR="007966CD" w:rsidRPr="004C70EC" w:rsidRDefault="007966CD">
      <w:pPr>
        <w:pStyle w:val="Text1"/>
        <w:spacing w:line="259" w:lineRule="auto"/>
        <w:rPr>
          <w:noProof/>
          <w:color w:val="000000" w:themeColor="text1"/>
          <w:szCs w:val="24"/>
        </w:rPr>
      </w:pPr>
      <w:r w:rsidRPr="004C70EC">
        <w:rPr>
          <w:noProof/>
          <w:color w:val="000000" w:themeColor="text1"/>
          <w:szCs w:val="24"/>
        </w:rPr>
        <w:t xml:space="preserve">Compulsory: the best estimate of the digital technology-related investments entailed by the proposal/initiative should be included in the table below. </w:t>
      </w:r>
    </w:p>
    <w:p w14:paraId="1BB0C06E" w14:textId="77777777" w:rsidR="007966CD" w:rsidRPr="004C70EC" w:rsidRDefault="007966CD">
      <w:pPr>
        <w:pStyle w:val="Text1"/>
        <w:spacing w:line="259" w:lineRule="auto"/>
        <w:rPr>
          <w:noProof/>
          <w:color w:val="000000" w:themeColor="text1"/>
          <w:szCs w:val="24"/>
        </w:rPr>
      </w:pPr>
      <w:r w:rsidRPr="004C70EC">
        <w:rPr>
          <w:noProof/>
          <w:color w:val="000000" w:themeColor="text1"/>
          <w:szCs w:val="24"/>
        </w:rPr>
        <w:t xml:space="preserve">Exceptionally, when required for the implementation of the proposal/initiative, the appropriations under Heading 4 should be presented in the designated line. </w:t>
      </w:r>
    </w:p>
    <w:p w14:paraId="66D300D1" w14:textId="77777777" w:rsidR="007966CD" w:rsidRPr="004C70EC" w:rsidRDefault="007966CD">
      <w:pPr>
        <w:pStyle w:val="Text1"/>
        <w:spacing w:line="259" w:lineRule="auto"/>
        <w:rPr>
          <w:noProof/>
          <w:color w:val="000000" w:themeColor="text1"/>
          <w:szCs w:val="24"/>
        </w:rPr>
      </w:pPr>
      <w:r w:rsidRPr="004C70EC">
        <w:rPr>
          <w:noProof/>
          <w:color w:val="000000" w:themeColor="text1"/>
          <w:szCs w:val="24"/>
        </w:rPr>
        <w:t>The appropriations under Headings 1-3 should be reflected as “Policy IT expenditure on operational programmes”. This expenditure refers to the operational budget to be used to re-use/ buy/ develop IT platforms/ tools directly linked to the implementation of the initiative and their associated investments (e.g. licences, studies, data storage etc). The information provided in this table should be consistent with details presented under Section 4 “Digital dimensions”.</w:t>
      </w:r>
    </w:p>
    <w:tbl>
      <w:tblPr>
        <w:tblW w:w="5000" w:type="pct"/>
        <w:tblLook w:val="04A0" w:firstRow="1" w:lastRow="0" w:firstColumn="1" w:lastColumn="0" w:noHBand="0" w:noVBand="1"/>
      </w:tblPr>
      <w:tblGrid>
        <w:gridCol w:w="1750"/>
        <w:gridCol w:w="926"/>
        <w:gridCol w:w="926"/>
        <w:gridCol w:w="925"/>
        <w:gridCol w:w="926"/>
        <w:gridCol w:w="926"/>
        <w:gridCol w:w="926"/>
        <w:gridCol w:w="927"/>
        <w:gridCol w:w="1057"/>
      </w:tblGrid>
      <w:tr w:rsidR="004A1163" w:rsidRPr="004C70EC" w14:paraId="0377795A" w14:textId="77777777">
        <w:trPr>
          <w:trHeight w:val="650"/>
        </w:trPr>
        <w:tc>
          <w:tcPr>
            <w:tcW w:w="792" w:type="pct"/>
            <w:vMerge w:val="restart"/>
            <w:tcBorders>
              <w:top w:val="single" w:sz="8" w:space="0" w:color="auto"/>
              <w:left w:val="single" w:sz="8" w:space="0" w:color="auto"/>
              <w:bottom w:val="nil"/>
              <w:right w:val="single" w:sz="8" w:space="0" w:color="auto"/>
            </w:tcBorders>
            <w:vAlign w:val="center"/>
            <w:hideMark/>
          </w:tcPr>
          <w:bookmarkEnd w:id="73"/>
          <w:p w14:paraId="47D34F5B"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TOTAL Digital and IT appropriations</w:t>
            </w:r>
          </w:p>
        </w:tc>
        <w:tc>
          <w:tcPr>
            <w:tcW w:w="524" w:type="pct"/>
            <w:tcBorders>
              <w:top w:val="single" w:sz="8" w:space="0" w:color="auto"/>
              <w:left w:val="nil"/>
              <w:bottom w:val="nil"/>
              <w:right w:val="single" w:sz="8" w:space="0" w:color="auto"/>
            </w:tcBorders>
            <w:vAlign w:val="center"/>
            <w:hideMark/>
          </w:tcPr>
          <w:p w14:paraId="10983273"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Year</w:t>
            </w:r>
          </w:p>
        </w:tc>
        <w:tc>
          <w:tcPr>
            <w:tcW w:w="524" w:type="pct"/>
            <w:tcBorders>
              <w:top w:val="single" w:sz="8" w:space="0" w:color="auto"/>
              <w:left w:val="nil"/>
              <w:bottom w:val="nil"/>
              <w:right w:val="single" w:sz="8" w:space="0" w:color="auto"/>
            </w:tcBorders>
            <w:vAlign w:val="center"/>
            <w:hideMark/>
          </w:tcPr>
          <w:p w14:paraId="39D417D5"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Year</w:t>
            </w:r>
          </w:p>
        </w:tc>
        <w:tc>
          <w:tcPr>
            <w:tcW w:w="523" w:type="pct"/>
            <w:tcBorders>
              <w:top w:val="single" w:sz="8" w:space="0" w:color="auto"/>
              <w:left w:val="nil"/>
              <w:bottom w:val="nil"/>
              <w:right w:val="single" w:sz="8" w:space="0" w:color="auto"/>
            </w:tcBorders>
            <w:vAlign w:val="center"/>
            <w:hideMark/>
          </w:tcPr>
          <w:p w14:paraId="18A306BF"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Year</w:t>
            </w:r>
          </w:p>
        </w:tc>
        <w:tc>
          <w:tcPr>
            <w:tcW w:w="524" w:type="pct"/>
            <w:tcBorders>
              <w:top w:val="single" w:sz="8" w:space="0" w:color="auto"/>
              <w:left w:val="nil"/>
              <w:bottom w:val="nil"/>
              <w:right w:val="single" w:sz="8" w:space="0" w:color="auto"/>
            </w:tcBorders>
            <w:vAlign w:val="center"/>
            <w:hideMark/>
          </w:tcPr>
          <w:p w14:paraId="414681FD"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Year</w:t>
            </w:r>
          </w:p>
        </w:tc>
        <w:tc>
          <w:tcPr>
            <w:tcW w:w="524" w:type="pct"/>
            <w:tcBorders>
              <w:top w:val="single" w:sz="8" w:space="0" w:color="auto"/>
              <w:left w:val="nil"/>
              <w:bottom w:val="nil"/>
              <w:right w:val="single" w:sz="8" w:space="0" w:color="auto"/>
            </w:tcBorders>
            <w:vAlign w:val="center"/>
            <w:hideMark/>
          </w:tcPr>
          <w:p w14:paraId="48F58E04"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Year</w:t>
            </w:r>
          </w:p>
        </w:tc>
        <w:tc>
          <w:tcPr>
            <w:tcW w:w="524" w:type="pct"/>
            <w:tcBorders>
              <w:top w:val="single" w:sz="8" w:space="0" w:color="auto"/>
              <w:left w:val="nil"/>
              <w:bottom w:val="nil"/>
              <w:right w:val="single" w:sz="8" w:space="0" w:color="auto"/>
            </w:tcBorders>
            <w:vAlign w:val="center"/>
            <w:hideMark/>
          </w:tcPr>
          <w:p w14:paraId="0F5617C2"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Year</w:t>
            </w:r>
          </w:p>
        </w:tc>
        <w:tc>
          <w:tcPr>
            <w:tcW w:w="524" w:type="pct"/>
            <w:tcBorders>
              <w:top w:val="single" w:sz="8" w:space="0" w:color="auto"/>
              <w:left w:val="nil"/>
              <w:bottom w:val="nil"/>
              <w:right w:val="single" w:sz="8" w:space="0" w:color="auto"/>
            </w:tcBorders>
            <w:vAlign w:val="center"/>
            <w:hideMark/>
          </w:tcPr>
          <w:p w14:paraId="74DA1AF5"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Year</w:t>
            </w:r>
          </w:p>
        </w:tc>
        <w:tc>
          <w:tcPr>
            <w:tcW w:w="543" w:type="pct"/>
            <w:vMerge w:val="restart"/>
            <w:tcBorders>
              <w:top w:val="single" w:sz="8" w:space="0" w:color="auto"/>
              <w:left w:val="single" w:sz="8" w:space="0" w:color="auto"/>
              <w:bottom w:val="single" w:sz="8" w:space="0" w:color="000000"/>
              <w:right w:val="single" w:sz="8" w:space="0" w:color="auto"/>
            </w:tcBorders>
            <w:vAlign w:val="center"/>
            <w:hideMark/>
          </w:tcPr>
          <w:p w14:paraId="6E490CA8"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TOTAL MFF 2028 - 2034</w:t>
            </w:r>
          </w:p>
        </w:tc>
      </w:tr>
      <w:tr w:rsidR="004A1163" w:rsidRPr="004C70EC" w14:paraId="56D1C744" w14:textId="77777777">
        <w:trPr>
          <w:trHeight w:val="300"/>
        </w:trPr>
        <w:tc>
          <w:tcPr>
            <w:tcW w:w="792" w:type="pct"/>
            <w:vMerge/>
            <w:tcBorders>
              <w:top w:val="single" w:sz="8" w:space="0" w:color="auto"/>
              <w:left w:val="single" w:sz="8" w:space="0" w:color="auto"/>
              <w:bottom w:val="nil"/>
              <w:right w:val="single" w:sz="8" w:space="0" w:color="auto"/>
            </w:tcBorders>
            <w:vAlign w:val="center"/>
            <w:hideMark/>
          </w:tcPr>
          <w:p w14:paraId="19772FF7" w14:textId="77777777" w:rsidR="007966CD" w:rsidRPr="004C70EC" w:rsidRDefault="007966CD">
            <w:pPr>
              <w:spacing w:before="0" w:after="0"/>
              <w:jc w:val="left"/>
              <w:rPr>
                <w:rFonts w:eastAsia="Times New Roman"/>
                <w:b/>
                <w:bCs/>
                <w:noProof/>
                <w:color w:val="000000" w:themeColor="text1"/>
                <w:szCs w:val="24"/>
                <w:lang w:val="en-IE" w:eastAsia="en-IE"/>
              </w:rPr>
            </w:pPr>
          </w:p>
        </w:tc>
        <w:tc>
          <w:tcPr>
            <w:tcW w:w="524" w:type="pct"/>
            <w:tcBorders>
              <w:top w:val="nil"/>
              <w:left w:val="nil"/>
              <w:bottom w:val="single" w:sz="8" w:space="0" w:color="auto"/>
              <w:right w:val="single" w:sz="8" w:space="0" w:color="auto"/>
            </w:tcBorders>
            <w:vAlign w:val="center"/>
            <w:hideMark/>
          </w:tcPr>
          <w:p w14:paraId="0C77C809"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2028</w:t>
            </w:r>
          </w:p>
        </w:tc>
        <w:tc>
          <w:tcPr>
            <w:tcW w:w="524" w:type="pct"/>
            <w:tcBorders>
              <w:top w:val="nil"/>
              <w:left w:val="nil"/>
              <w:bottom w:val="single" w:sz="8" w:space="0" w:color="auto"/>
              <w:right w:val="single" w:sz="8" w:space="0" w:color="auto"/>
            </w:tcBorders>
            <w:vAlign w:val="center"/>
            <w:hideMark/>
          </w:tcPr>
          <w:p w14:paraId="6A41C8AD"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2029</w:t>
            </w:r>
          </w:p>
        </w:tc>
        <w:tc>
          <w:tcPr>
            <w:tcW w:w="523" w:type="pct"/>
            <w:tcBorders>
              <w:top w:val="nil"/>
              <w:left w:val="nil"/>
              <w:bottom w:val="single" w:sz="8" w:space="0" w:color="auto"/>
              <w:right w:val="single" w:sz="8" w:space="0" w:color="auto"/>
            </w:tcBorders>
            <w:vAlign w:val="center"/>
            <w:hideMark/>
          </w:tcPr>
          <w:p w14:paraId="78BC72A8"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2030</w:t>
            </w:r>
          </w:p>
        </w:tc>
        <w:tc>
          <w:tcPr>
            <w:tcW w:w="524" w:type="pct"/>
            <w:tcBorders>
              <w:top w:val="nil"/>
              <w:left w:val="nil"/>
              <w:bottom w:val="single" w:sz="8" w:space="0" w:color="auto"/>
              <w:right w:val="single" w:sz="8" w:space="0" w:color="auto"/>
            </w:tcBorders>
            <w:vAlign w:val="center"/>
            <w:hideMark/>
          </w:tcPr>
          <w:p w14:paraId="708780C1"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2031</w:t>
            </w:r>
          </w:p>
        </w:tc>
        <w:tc>
          <w:tcPr>
            <w:tcW w:w="524" w:type="pct"/>
            <w:tcBorders>
              <w:top w:val="nil"/>
              <w:left w:val="nil"/>
              <w:bottom w:val="single" w:sz="8" w:space="0" w:color="auto"/>
              <w:right w:val="single" w:sz="8" w:space="0" w:color="auto"/>
            </w:tcBorders>
            <w:vAlign w:val="center"/>
            <w:hideMark/>
          </w:tcPr>
          <w:p w14:paraId="19635158"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2032</w:t>
            </w:r>
          </w:p>
        </w:tc>
        <w:tc>
          <w:tcPr>
            <w:tcW w:w="524" w:type="pct"/>
            <w:tcBorders>
              <w:top w:val="nil"/>
              <w:left w:val="nil"/>
              <w:bottom w:val="single" w:sz="8" w:space="0" w:color="auto"/>
              <w:right w:val="single" w:sz="8" w:space="0" w:color="auto"/>
            </w:tcBorders>
            <w:vAlign w:val="center"/>
            <w:hideMark/>
          </w:tcPr>
          <w:p w14:paraId="12345FBC"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2033</w:t>
            </w:r>
          </w:p>
        </w:tc>
        <w:tc>
          <w:tcPr>
            <w:tcW w:w="524" w:type="pct"/>
            <w:tcBorders>
              <w:top w:val="nil"/>
              <w:left w:val="nil"/>
              <w:bottom w:val="single" w:sz="8" w:space="0" w:color="auto"/>
              <w:right w:val="single" w:sz="8" w:space="0" w:color="auto"/>
            </w:tcBorders>
            <w:vAlign w:val="center"/>
            <w:hideMark/>
          </w:tcPr>
          <w:p w14:paraId="7E495CB3"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2034</w:t>
            </w:r>
          </w:p>
        </w:tc>
        <w:tc>
          <w:tcPr>
            <w:tcW w:w="543" w:type="pct"/>
            <w:vMerge/>
            <w:tcBorders>
              <w:top w:val="single" w:sz="8" w:space="0" w:color="auto"/>
              <w:left w:val="single" w:sz="8" w:space="0" w:color="auto"/>
              <w:bottom w:val="single" w:sz="8" w:space="0" w:color="000000"/>
              <w:right w:val="single" w:sz="8" w:space="0" w:color="auto"/>
            </w:tcBorders>
            <w:vAlign w:val="center"/>
            <w:hideMark/>
          </w:tcPr>
          <w:p w14:paraId="5F764213" w14:textId="77777777" w:rsidR="007966CD" w:rsidRPr="004C70EC" w:rsidRDefault="007966CD">
            <w:pPr>
              <w:spacing w:before="0" w:after="0"/>
              <w:jc w:val="left"/>
              <w:rPr>
                <w:rFonts w:eastAsia="Times New Roman"/>
                <w:b/>
                <w:bCs/>
                <w:noProof/>
                <w:color w:val="000000" w:themeColor="text1"/>
                <w:szCs w:val="24"/>
                <w:lang w:val="en-IE" w:eastAsia="en-IE"/>
              </w:rPr>
            </w:pPr>
          </w:p>
        </w:tc>
      </w:tr>
      <w:tr w:rsidR="004A1163" w:rsidRPr="004C70EC" w14:paraId="621DE159" w14:textId="77777777">
        <w:trPr>
          <w:trHeight w:val="300"/>
        </w:trPr>
        <w:tc>
          <w:tcPr>
            <w:tcW w:w="5000" w:type="pct"/>
            <w:gridSpan w:val="9"/>
            <w:tcBorders>
              <w:top w:val="nil"/>
              <w:left w:val="single" w:sz="8" w:space="0" w:color="auto"/>
              <w:bottom w:val="single" w:sz="8" w:space="0" w:color="auto"/>
              <w:right w:val="single" w:sz="8" w:space="0" w:color="000000"/>
            </w:tcBorders>
            <w:vAlign w:val="center"/>
            <w:hideMark/>
          </w:tcPr>
          <w:p w14:paraId="48D658EA" w14:textId="77777777" w:rsidR="007966CD" w:rsidRPr="004C70EC" w:rsidRDefault="007966CD">
            <w:pPr>
              <w:spacing w:before="0" w:after="0"/>
              <w:jc w:val="lef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HEADING 4</w:t>
            </w:r>
          </w:p>
        </w:tc>
      </w:tr>
      <w:tr w:rsidR="004A1163" w:rsidRPr="004C70EC" w14:paraId="01749FA1" w14:textId="77777777">
        <w:trPr>
          <w:trHeight w:val="790"/>
        </w:trPr>
        <w:tc>
          <w:tcPr>
            <w:tcW w:w="792" w:type="pct"/>
            <w:tcBorders>
              <w:top w:val="nil"/>
              <w:left w:val="single" w:sz="8" w:space="0" w:color="auto"/>
              <w:bottom w:val="single" w:sz="8" w:space="0" w:color="auto"/>
              <w:right w:val="single" w:sz="8" w:space="0" w:color="auto"/>
            </w:tcBorders>
            <w:vAlign w:val="center"/>
            <w:hideMark/>
          </w:tcPr>
          <w:p w14:paraId="2F5AF317" w14:textId="77777777" w:rsidR="007966CD" w:rsidRPr="004C70EC" w:rsidRDefault="007966CD">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eastAsia="en-IE"/>
              </w:rPr>
              <w:t xml:space="preserve">IT expenditure (corporate) </w:t>
            </w:r>
          </w:p>
        </w:tc>
        <w:tc>
          <w:tcPr>
            <w:tcW w:w="524" w:type="pct"/>
            <w:tcBorders>
              <w:top w:val="nil"/>
              <w:left w:val="nil"/>
              <w:bottom w:val="single" w:sz="8" w:space="0" w:color="auto"/>
              <w:right w:val="single" w:sz="8" w:space="0" w:color="auto"/>
            </w:tcBorders>
            <w:shd w:val="clear" w:color="000000" w:fill="D9D9D9"/>
            <w:vAlign w:val="center"/>
            <w:hideMark/>
          </w:tcPr>
          <w:p w14:paraId="4F2C9870" w14:textId="77777777" w:rsidR="007966CD" w:rsidRPr="004C70EC" w:rsidRDefault="007966CD">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7CE0EDC8" w14:textId="77777777" w:rsidR="007966CD" w:rsidRPr="004C70EC" w:rsidRDefault="007966CD">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eastAsia="en-IE"/>
              </w:rPr>
              <w:t>0</w:t>
            </w:r>
          </w:p>
        </w:tc>
        <w:tc>
          <w:tcPr>
            <w:tcW w:w="523" w:type="pct"/>
            <w:tcBorders>
              <w:top w:val="nil"/>
              <w:left w:val="nil"/>
              <w:bottom w:val="single" w:sz="8" w:space="0" w:color="auto"/>
              <w:right w:val="single" w:sz="8" w:space="0" w:color="auto"/>
            </w:tcBorders>
            <w:shd w:val="clear" w:color="000000" w:fill="D9D9D9"/>
            <w:vAlign w:val="center"/>
            <w:hideMark/>
          </w:tcPr>
          <w:p w14:paraId="5C0EFD7A" w14:textId="77777777" w:rsidR="007966CD" w:rsidRPr="004C70EC" w:rsidRDefault="007966CD">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461F19D8" w14:textId="77777777" w:rsidR="007966CD" w:rsidRPr="004C70EC" w:rsidRDefault="007966CD">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322F5C38" w14:textId="77777777" w:rsidR="007966CD" w:rsidRPr="004C70EC" w:rsidRDefault="007966CD">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5DF1A7A2" w14:textId="77777777" w:rsidR="007966CD" w:rsidRPr="004C70EC" w:rsidRDefault="007966CD">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1AB8E325" w14:textId="77777777" w:rsidR="007966CD" w:rsidRPr="004C70EC" w:rsidRDefault="007966CD">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eastAsia="en-IE"/>
              </w:rPr>
              <w:t>0</w:t>
            </w:r>
          </w:p>
        </w:tc>
        <w:tc>
          <w:tcPr>
            <w:tcW w:w="543" w:type="pct"/>
            <w:tcBorders>
              <w:top w:val="nil"/>
              <w:left w:val="nil"/>
              <w:bottom w:val="single" w:sz="8" w:space="0" w:color="auto"/>
              <w:right w:val="single" w:sz="8" w:space="0" w:color="auto"/>
            </w:tcBorders>
            <w:shd w:val="clear" w:color="000000" w:fill="D9D9D9"/>
            <w:vAlign w:val="center"/>
            <w:hideMark/>
          </w:tcPr>
          <w:p w14:paraId="41EECE7E"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r>
      <w:tr w:rsidR="004A1163" w:rsidRPr="004C70EC" w14:paraId="15D3158A" w14:textId="77777777">
        <w:trPr>
          <w:trHeight w:val="430"/>
        </w:trPr>
        <w:tc>
          <w:tcPr>
            <w:tcW w:w="792" w:type="pct"/>
            <w:tcBorders>
              <w:top w:val="nil"/>
              <w:left w:val="single" w:sz="8" w:space="0" w:color="auto"/>
              <w:bottom w:val="single" w:sz="8" w:space="0" w:color="auto"/>
              <w:right w:val="single" w:sz="8" w:space="0" w:color="auto"/>
            </w:tcBorders>
            <w:shd w:val="clear" w:color="000000" w:fill="CCCCCC"/>
            <w:vAlign w:val="center"/>
            <w:hideMark/>
          </w:tcPr>
          <w:p w14:paraId="721C8D85"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Subtotal HEADING 4</w:t>
            </w:r>
          </w:p>
        </w:tc>
        <w:tc>
          <w:tcPr>
            <w:tcW w:w="524" w:type="pct"/>
            <w:tcBorders>
              <w:top w:val="nil"/>
              <w:left w:val="nil"/>
              <w:bottom w:val="single" w:sz="8" w:space="0" w:color="auto"/>
              <w:right w:val="single" w:sz="8" w:space="0" w:color="auto"/>
            </w:tcBorders>
            <w:shd w:val="clear" w:color="000000" w:fill="D9D9D9"/>
            <w:vAlign w:val="center"/>
            <w:hideMark/>
          </w:tcPr>
          <w:p w14:paraId="4C6E23B3"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385C5D20"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3" w:type="pct"/>
            <w:tcBorders>
              <w:top w:val="nil"/>
              <w:left w:val="nil"/>
              <w:bottom w:val="single" w:sz="8" w:space="0" w:color="auto"/>
              <w:right w:val="single" w:sz="8" w:space="0" w:color="auto"/>
            </w:tcBorders>
            <w:shd w:val="clear" w:color="000000" w:fill="D9D9D9"/>
            <w:vAlign w:val="center"/>
            <w:hideMark/>
          </w:tcPr>
          <w:p w14:paraId="4A6D58F6"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5FFAA204"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2D266CB0"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362471BB"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2F2BEBF3"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43" w:type="pct"/>
            <w:tcBorders>
              <w:top w:val="nil"/>
              <w:left w:val="nil"/>
              <w:bottom w:val="single" w:sz="8" w:space="0" w:color="auto"/>
              <w:right w:val="single" w:sz="8" w:space="0" w:color="auto"/>
            </w:tcBorders>
            <w:shd w:val="clear" w:color="000000" w:fill="D9D9D9"/>
            <w:vAlign w:val="center"/>
            <w:hideMark/>
          </w:tcPr>
          <w:p w14:paraId="43079B06"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r>
      <w:tr w:rsidR="004A1163" w:rsidRPr="004C70EC" w14:paraId="124B054A" w14:textId="77777777">
        <w:trPr>
          <w:trHeight w:val="300"/>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14:paraId="5DEE193C" w14:textId="77777777" w:rsidR="007966CD" w:rsidRPr="004C70EC" w:rsidRDefault="007966CD">
            <w:pPr>
              <w:spacing w:before="0" w:after="0"/>
              <w:jc w:val="lef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Outside HEADING 4</w:t>
            </w:r>
          </w:p>
        </w:tc>
      </w:tr>
      <w:tr w:rsidR="004A1163" w:rsidRPr="004C70EC" w14:paraId="5DD735DE" w14:textId="77777777">
        <w:trPr>
          <w:trHeight w:val="1570"/>
        </w:trPr>
        <w:tc>
          <w:tcPr>
            <w:tcW w:w="792" w:type="pct"/>
            <w:tcBorders>
              <w:top w:val="nil"/>
              <w:left w:val="single" w:sz="8" w:space="0" w:color="auto"/>
              <w:bottom w:val="single" w:sz="8" w:space="0" w:color="auto"/>
              <w:right w:val="single" w:sz="8" w:space="0" w:color="auto"/>
            </w:tcBorders>
            <w:vAlign w:val="center"/>
            <w:hideMark/>
          </w:tcPr>
          <w:p w14:paraId="6316B056" w14:textId="77777777" w:rsidR="007966CD" w:rsidRPr="004C70EC" w:rsidRDefault="007966CD">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eastAsia="en-IE"/>
              </w:rPr>
              <w:t>Policy IT expenditure on operational programmes</w:t>
            </w:r>
          </w:p>
        </w:tc>
        <w:tc>
          <w:tcPr>
            <w:tcW w:w="524" w:type="pct"/>
            <w:tcBorders>
              <w:top w:val="nil"/>
              <w:left w:val="nil"/>
              <w:bottom w:val="single" w:sz="8" w:space="0" w:color="auto"/>
              <w:right w:val="single" w:sz="8" w:space="0" w:color="auto"/>
            </w:tcBorders>
            <w:shd w:val="clear" w:color="000000" w:fill="D9D9D9"/>
            <w:vAlign w:val="center"/>
            <w:hideMark/>
          </w:tcPr>
          <w:p w14:paraId="7877C5E1" w14:textId="77777777" w:rsidR="007966CD" w:rsidRPr="004C70EC" w:rsidRDefault="007966CD">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25EF457F" w14:textId="77777777" w:rsidR="007966CD" w:rsidRPr="004C70EC" w:rsidRDefault="007966CD">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eastAsia="en-IE"/>
              </w:rPr>
              <w:t>0</w:t>
            </w:r>
          </w:p>
        </w:tc>
        <w:tc>
          <w:tcPr>
            <w:tcW w:w="523" w:type="pct"/>
            <w:tcBorders>
              <w:top w:val="nil"/>
              <w:left w:val="nil"/>
              <w:bottom w:val="single" w:sz="8" w:space="0" w:color="auto"/>
              <w:right w:val="single" w:sz="8" w:space="0" w:color="auto"/>
            </w:tcBorders>
            <w:shd w:val="clear" w:color="000000" w:fill="D9D9D9"/>
            <w:vAlign w:val="center"/>
            <w:hideMark/>
          </w:tcPr>
          <w:p w14:paraId="6749DD3F" w14:textId="77777777" w:rsidR="007966CD" w:rsidRPr="004C70EC" w:rsidRDefault="007966CD">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17B99800" w14:textId="77777777" w:rsidR="007966CD" w:rsidRPr="004C70EC" w:rsidRDefault="007966CD">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4608F0DF" w14:textId="77777777" w:rsidR="007966CD" w:rsidRPr="004C70EC" w:rsidRDefault="007966CD">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600D6FAE" w14:textId="77777777" w:rsidR="007966CD" w:rsidRPr="004C70EC" w:rsidRDefault="007966CD">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7E8249CA" w14:textId="77777777" w:rsidR="007966CD" w:rsidRPr="004C70EC" w:rsidRDefault="007966CD">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eastAsia="en-IE"/>
              </w:rPr>
              <w:t>0</w:t>
            </w:r>
          </w:p>
        </w:tc>
        <w:tc>
          <w:tcPr>
            <w:tcW w:w="543" w:type="pct"/>
            <w:tcBorders>
              <w:top w:val="nil"/>
              <w:left w:val="nil"/>
              <w:bottom w:val="single" w:sz="8" w:space="0" w:color="auto"/>
              <w:right w:val="single" w:sz="8" w:space="0" w:color="auto"/>
            </w:tcBorders>
            <w:shd w:val="clear" w:color="000000" w:fill="D9D9D9"/>
            <w:vAlign w:val="center"/>
            <w:hideMark/>
          </w:tcPr>
          <w:p w14:paraId="6755B394"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r>
      <w:tr w:rsidR="004A1163" w:rsidRPr="004C70EC" w14:paraId="4019475E" w14:textId="77777777">
        <w:trPr>
          <w:trHeight w:val="640"/>
        </w:trPr>
        <w:tc>
          <w:tcPr>
            <w:tcW w:w="792" w:type="pct"/>
            <w:tcBorders>
              <w:top w:val="nil"/>
              <w:left w:val="single" w:sz="8" w:space="0" w:color="auto"/>
              <w:bottom w:val="single" w:sz="8" w:space="0" w:color="auto"/>
              <w:right w:val="single" w:sz="8" w:space="0" w:color="auto"/>
            </w:tcBorders>
            <w:shd w:val="clear" w:color="000000" w:fill="CCCCCC"/>
            <w:vAlign w:val="center"/>
            <w:hideMark/>
          </w:tcPr>
          <w:p w14:paraId="243A5E37"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Subtotal outside HEADING 4</w:t>
            </w:r>
          </w:p>
        </w:tc>
        <w:tc>
          <w:tcPr>
            <w:tcW w:w="524" w:type="pct"/>
            <w:tcBorders>
              <w:top w:val="nil"/>
              <w:left w:val="nil"/>
              <w:bottom w:val="single" w:sz="8" w:space="0" w:color="auto"/>
              <w:right w:val="single" w:sz="8" w:space="0" w:color="auto"/>
            </w:tcBorders>
            <w:shd w:val="clear" w:color="000000" w:fill="D9D9D9"/>
            <w:vAlign w:val="center"/>
            <w:hideMark/>
          </w:tcPr>
          <w:p w14:paraId="6E3D3247"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3CBEC6E1"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3" w:type="pct"/>
            <w:tcBorders>
              <w:top w:val="nil"/>
              <w:left w:val="nil"/>
              <w:bottom w:val="single" w:sz="8" w:space="0" w:color="auto"/>
              <w:right w:val="single" w:sz="8" w:space="0" w:color="auto"/>
            </w:tcBorders>
            <w:shd w:val="clear" w:color="000000" w:fill="D9D9D9"/>
            <w:vAlign w:val="center"/>
            <w:hideMark/>
          </w:tcPr>
          <w:p w14:paraId="7DE06D97"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25D9417A"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1AB1B678"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2EB1E892"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4" w:type="pct"/>
            <w:tcBorders>
              <w:top w:val="nil"/>
              <w:left w:val="nil"/>
              <w:bottom w:val="single" w:sz="8" w:space="0" w:color="auto"/>
              <w:right w:val="single" w:sz="8" w:space="0" w:color="auto"/>
            </w:tcBorders>
            <w:shd w:val="clear" w:color="000000" w:fill="D9D9D9"/>
            <w:vAlign w:val="center"/>
            <w:hideMark/>
          </w:tcPr>
          <w:p w14:paraId="7A33EDBF"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43" w:type="pct"/>
            <w:tcBorders>
              <w:top w:val="nil"/>
              <w:left w:val="nil"/>
              <w:bottom w:val="single" w:sz="8" w:space="0" w:color="auto"/>
              <w:right w:val="single" w:sz="8" w:space="0" w:color="auto"/>
            </w:tcBorders>
            <w:shd w:val="clear" w:color="000000" w:fill="D9D9D9"/>
            <w:vAlign w:val="center"/>
            <w:hideMark/>
          </w:tcPr>
          <w:p w14:paraId="3534A7E2"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r>
      <w:tr w:rsidR="004A1163" w:rsidRPr="004C70EC" w14:paraId="6965F155" w14:textId="77777777">
        <w:trPr>
          <w:trHeight w:val="300"/>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14:paraId="24D3B8D1"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 xml:space="preserve"> </w:t>
            </w:r>
          </w:p>
        </w:tc>
      </w:tr>
      <w:tr w:rsidR="004A1163" w:rsidRPr="004C70EC" w14:paraId="1A165AB8" w14:textId="77777777">
        <w:trPr>
          <w:trHeight w:val="300"/>
        </w:trPr>
        <w:tc>
          <w:tcPr>
            <w:tcW w:w="792" w:type="pct"/>
            <w:tcBorders>
              <w:top w:val="nil"/>
              <w:left w:val="single" w:sz="12" w:space="0" w:color="auto"/>
              <w:bottom w:val="single" w:sz="12" w:space="0" w:color="auto"/>
              <w:right w:val="single" w:sz="8" w:space="0" w:color="auto"/>
            </w:tcBorders>
            <w:vAlign w:val="center"/>
            <w:hideMark/>
          </w:tcPr>
          <w:p w14:paraId="06E827B1"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TOTAL</w:t>
            </w:r>
          </w:p>
        </w:tc>
        <w:tc>
          <w:tcPr>
            <w:tcW w:w="524" w:type="pct"/>
            <w:tcBorders>
              <w:top w:val="nil"/>
              <w:left w:val="nil"/>
              <w:bottom w:val="single" w:sz="12" w:space="0" w:color="auto"/>
              <w:right w:val="single" w:sz="8" w:space="0" w:color="auto"/>
            </w:tcBorders>
            <w:shd w:val="clear" w:color="000000" w:fill="D9D9D9"/>
            <w:vAlign w:val="center"/>
            <w:hideMark/>
          </w:tcPr>
          <w:p w14:paraId="134774AA"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4" w:type="pct"/>
            <w:tcBorders>
              <w:top w:val="nil"/>
              <w:left w:val="nil"/>
              <w:bottom w:val="single" w:sz="12" w:space="0" w:color="auto"/>
              <w:right w:val="single" w:sz="8" w:space="0" w:color="auto"/>
            </w:tcBorders>
            <w:shd w:val="clear" w:color="000000" w:fill="D9D9D9"/>
            <w:vAlign w:val="center"/>
            <w:hideMark/>
          </w:tcPr>
          <w:p w14:paraId="37535C8C"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3" w:type="pct"/>
            <w:tcBorders>
              <w:top w:val="nil"/>
              <w:left w:val="nil"/>
              <w:bottom w:val="single" w:sz="12" w:space="0" w:color="auto"/>
              <w:right w:val="single" w:sz="8" w:space="0" w:color="auto"/>
            </w:tcBorders>
            <w:shd w:val="clear" w:color="000000" w:fill="D9D9D9"/>
            <w:vAlign w:val="center"/>
            <w:hideMark/>
          </w:tcPr>
          <w:p w14:paraId="141248F2"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4" w:type="pct"/>
            <w:tcBorders>
              <w:top w:val="nil"/>
              <w:left w:val="nil"/>
              <w:bottom w:val="single" w:sz="12" w:space="0" w:color="auto"/>
              <w:right w:val="single" w:sz="8" w:space="0" w:color="auto"/>
            </w:tcBorders>
            <w:shd w:val="clear" w:color="000000" w:fill="D9D9D9"/>
            <w:vAlign w:val="center"/>
            <w:hideMark/>
          </w:tcPr>
          <w:p w14:paraId="1C85167A"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4" w:type="pct"/>
            <w:tcBorders>
              <w:top w:val="nil"/>
              <w:left w:val="nil"/>
              <w:bottom w:val="single" w:sz="12" w:space="0" w:color="auto"/>
              <w:right w:val="single" w:sz="8" w:space="0" w:color="auto"/>
            </w:tcBorders>
            <w:shd w:val="clear" w:color="000000" w:fill="D9D9D9"/>
            <w:vAlign w:val="center"/>
            <w:hideMark/>
          </w:tcPr>
          <w:p w14:paraId="38BC0064"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4" w:type="pct"/>
            <w:tcBorders>
              <w:top w:val="nil"/>
              <w:left w:val="nil"/>
              <w:bottom w:val="single" w:sz="12" w:space="0" w:color="auto"/>
              <w:right w:val="single" w:sz="8" w:space="0" w:color="auto"/>
            </w:tcBorders>
            <w:shd w:val="clear" w:color="000000" w:fill="D9D9D9"/>
            <w:vAlign w:val="center"/>
            <w:hideMark/>
          </w:tcPr>
          <w:p w14:paraId="1F67CD67"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24" w:type="pct"/>
            <w:tcBorders>
              <w:top w:val="nil"/>
              <w:left w:val="nil"/>
              <w:bottom w:val="single" w:sz="12" w:space="0" w:color="auto"/>
              <w:right w:val="single" w:sz="8" w:space="0" w:color="auto"/>
            </w:tcBorders>
            <w:shd w:val="clear" w:color="000000" w:fill="D9D9D9"/>
            <w:vAlign w:val="center"/>
            <w:hideMark/>
          </w:tcPr>
          <w:p w14:paraId="6C3FB06C"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c>
          <w:tcPr>
            <w:tcW w:w="543" w:type="pct"/>
            <w:tcBorders>
              <w:top w:val="nil"/>
              <w:left w:val="nil"/>
              <w:bottom w:val="single" w:sz="12" w:space="0" w:color="auto"/>
              <w:right w:val="single" w:sz="8" w:space="0" w:color="auto"/>
            </w:tcBorders>
            <w:shd w:val="clear" w:color="000000" w:fill="D9D9D9"/>
            <w:vAlign w:val="center"/>
            <w:hideMark/>
          </w:tcPr>
          <w:p w14:paraId="62600E6D" w14:textId="77777777" w:rsidR="007966CD" w:rsidRPr="004C70EC" w:rsidRDefault="007966CD">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0</w:t>
            </w:r>
          </w:p>
        </w:tc>
      </w:tr>
    </w:tbl>
    <w:p w14:paraId="66A306A1" w14:textId="77777777" w:rsidR="007966CD" w:rsidRPr="004C70EC" w:rsidRDefault="007966CD">
      <w:pPr>
        <w:pStyle w:val="ManualHeading3"/>
        <w:rPr>
          <w:noProof/>
          <w:color w:val="000000" w:themeColor="text1"/>
          <w:szCs w:val="24"/>
        </w:rPr>
      </w:pPr>
      <w:bookmarkStart w:id="75" w:name="_TocE4D17E879627423F8E9189A7217F38D0"/>
      <w:r w:rsidRPr="004C70EC">
        <w:rPr>
          <w:noProof/>
          <w:color w:val="000000" w:themeColor="text1"/>
          <w:szCs w:val="24"/>
        </w:rPr>
        <w:t>3.2.6.</w:t>
      </w:r>
      <w:r w:rsidRPr="004C70EC">
        <w:rPr>
          <w:noProof/>
          <w:color w:val="000000" w:themeColor="text1"/>
          <w:szCs w:val="24"/>
        </w:rPr>
        <w:tab/>
        <w:t xml:space="preserve">Compatibility with the current multiannual financial framework </w:t>
      </w:r>
      <w:bookmarkEnd w:id="75"/>
      <w:r w:rsidRPr="004C70EC">
        <w:rPr>
          <w:noProof/>
          <w:color w:val="000000" w:themeColor="text1"/>
          <w:szCs w:val="24"/>
        </w:rPr>
        <w:t>(not to be completed for decentralised agencies)</w:t>
      </w:r>
    </w:p>
    <w:p w14:paraId="17423AC3" w14:textId="77777777" w:rsidR="007966CD" w:rsidRPr="004C70EC" w:rsidRDefault="007966CD">
      <w:pPr>
        <w:pStyle w:val="Text1"/>
        <w:rPr>
          <w:noProof/>
          <w:color w:val="000000" w:themeColor="text1"/>
          <w:szCs w:val="24"/>
        </w:rPr>
      </w:pPr>
      <w:r w:rsidRPr="004C70EC">
        <w:rPr>
          <w:noProof/>
          <w:color w:val="000000" w:themeColor="text1"/>
          <w:szCs w:val="24"/>
        </w:rPr>
        <w:t>The proposal/initiative:</w:t>
      </w:r>
    </w:p>
    <w:p w14:paraId="62D5105F" w14:textId="77777777" w:rsidR="007966CD" w:rsidRPr="004C70EC" w:rsidRDefault="007966CD">
      <w:pPr>
        <w:pStyle w:val="ListDash1"/>
        <w:rPr>
          <w:noProof/>
          <w:color w:val="000000" w:themeColor="text1"/>
          <w:szCs w:val="24"/>
        </w:rPr>
      </w:pPr>
      <w:r w:rsidRPr="004C70EC">
        <w:rPr>
          <w:rFonts w:ascii="Wingdings" w:eastAsia="Wingdings" w:hAnsi="Wingdings" w:cs="Wingdings"/>
          <w:noProof/>
          <w:sz w:val="22"/>
        </w:rPr>
        <w:t></w:t>
      </w:r>
      <w:r w:rsidR="000F1639" w:rsidRPr="004C70EC">
        <w:rPr>
          <w:rStyle w:val="normaltextrun"/>
          <w:rFonts w:eastAsia="Wingdings"/>
          <w:noProof/>
          <w:color w:val="000000" w:themeColor="text1"/>
          <w:szCs w:val="24"/>
          <w:bdr w:val="none" w:sz="0" w:space="0" w:color="auto" w:frame="1"/>
        </w:rPr>
        <w:t xml:space="preserve"> </w:t>
      </w:r>
      <w:r w:rsidRPr="004C70EC">
        <w:rPr>
          <w:noProof/>
          <w:color w:val="000000" w:themeColor="text1"/>
          <w:szCs w:val="24"/>
        </w:rPr>
        <w:t>can be fully financed through redeployment within the relevant heading of the multiannual financial framework (MFF)</w:t>
      </w:r>
    </w:p>
    <w:p w14:paraId="22E1FBEF" w14:textId="77777777" w:rsidR="007966CD" w:rsidRPr="004C70EC" w:rsidRDefault="007966CD">
      <w:pPr>
        <w:pStyle w:val="Text1"/>
        <w:pBdr>
          <w:top w:val="single" w:sz="4" w:space="0"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 xml:space="preserve">The initiative will be fully financed via redeployments from programmes under the 2028-2034 MFF </w:t>
      </w:r>
    </w:p>
    <w:p w14:paraId="528AB71F" w14:textId="77777777" w:rsidR="007966CD" w:rsidRPr="004C70EC" w:rsidRDefault="007966CD">
      <w:pPr>
        <w:pStyle w:val="ListDash1"/>
        <w:rPr>
          <w:noProof/>
          <w:color w:val="000000" w:themeColor="text1"/>
          <w:szCs w:val="24"/>
        </w:rPr>
      </w:pPr>
      <w:r w:rsidRPr="004C70EC">
        <w:rPr>
          <w:rFonts w:eastAsia="Wingdings"/>
          <w:noProof/>
          <w:color w:val="000000" w:themeColor="text1"/>
          <w:szCs w:val="24"/>
        </w:rPr>
        <w:t>¨</w:t>
      </w:r>
      <w:r w:rsidRPr="004C70EC">
        <w:rPr>
          <w:noProof/>
          <w:color w:val="000000" w:themeColor="text1"/>
          <w:szCs w:val="24"/>
        </w:rPr>
        <w:tab/>
        <w:t>requires use of the unallocated margin under the relevant heading of the MFF and/or use of the special instruments as defined in the MFF Regulation</w:t>
      </w:r>
    </w:p>
    <w:p w14:paraId="2E9FFC0D" w14:textId="77777777" w:rsidR="007966CD" w:rsidRPr="004C70EC" w:rsidRDefault="007966CD">
      <w:pPr>
        <w:pStyle w:val="ListDash1"/>
        <w:rPr>
          <w:noProof/>
          <w:color w:val="000000" w:themeColor="text1"/>
          <w:szCs w:val="24"/>
        </w:rPr>
      </w:pPr>
      <w:r w:rsidRPr="004C70EC">
        <w:rPr>
          <w:rFonts w:eastAsia="Wingdings"/>
          <w:noProof/>
          <w:color w:val="000000" w:themeColor="text1"/>
          <w:szCs w:val="24"/>
        </w:rPr>
        <w:t>¨</w:t>
      </w:r>
      <w:r w:rsidRPr="004C70EC">
        <w:rPr>
          <w:noProof/>
          <w:color w:val="000000" w:themeColor="text1"/>
          <w:szCs w:val="24"/>
        </w:rPr>
        <w:tab/>
        <w:t>requires a revision of the MFF</w:t>
      </w:r>
    </w:p>
    <w:p w14:paraId="4A9545C1" w14:textId="77777777" w:rsidR="007966CD" w:rsidRPr="004C70EC" w:rsidRDefault="007966CD">
      <w:pPr>
        <w:pStyle w:val="ManualHeading3"/>
        <w:rPr>
          <w:noProof/>
          <w:color w:val="000000" w:themeColor="text1"/>
          <w:szCs w:val="24"/>
        </w:rPr>
      </w:pPr>
      <w:bookmarkStart w:id="76" w:name="_TocFE9FDF946A4E4AC0B3A4A3CA7281529D"/>
      <w:r w:rsidRPr="004C70EC">
        <w:rPr>
          <w:noProof/>
          <w:color w:val="000000" w:themeColor="text1"/>
          <w:szCs w:val="24"/>
        </w:rPr>
        <w:t>3.2.7.</w:t>
      </w:r>
      <w:r w:rsidRPr="004C70EC">
        <w:rPr>
          <w:noProof/>
          <w:color w:val="000000" w:themeColor="text1"/>
          <w:szCs w:val="24"/>
        </w:rPr>
        <w:tab/>
        <w:t xml:space="preserve">Third-party contributions </w:t>
      </w:r>
      <w:bookmarkEnd w:id="76"/>
      <w:r w:rsidRPr="004C70EC">
        <w:rPr>
          <w:noProof/>
          <w:color w:val="000000" w:themeColor="text1"/>
          <w:szCs w:val="24"/>
        </w:rPr>
        <w:t>(not to be completed for decentralised agencies)</w:t>
      </w:r>
    </w:p>
    <w:p w14:paraId="5BA1DE72" w14:textId="77777777" w:rsidR="007966CD" w:rsidRPr="004C70EC" w:rsidRDefault="007966CD">
      <w:pPr>
        <w:pStyle w:val="Text1"/>
        <w:rPr>
          <w:noProof/>
          <w:color w:val="000000" w:themeColor="text1"/>
          <w:szCs w:val="24"/>
        </w:rPr>
      </w:pPr>
      <w:r w:rsidRPr="004C70EC">
        <w:rPr>
          <w:noProof/>
          <w:color w:val="000000" w:themeColor="text1"/>
          <w:szCs w:val="24"/>
        </w:rPr>
        <w:t>The proposal/initiative:</w:t>
      </w:r>
    </w:p>
    <w:p w14:paraId="6BDF9361" w14:textId="77777777" w:rsidR="007966CD" w:rsidRPr="004C70EC" w:rsidRDefault="007966CD">
      <w:pPr>
        <w:pStyle w:val="ListDash1"/>
        <w:rPr>
          <w:noProof/>
          <w:color w:val="000000" w:themeColor="text1"/>
          <w:szCs w:val="24"/>
        </w:rPr>
      </w:pPr>
      <w:r w:rsidRPr="004C70EC">
        <w:rPr>
          <w:noProof/>
          <w:color w:val="000000" w:themeColor="text1"/>
          <w:szCs w:val="24"/>
        </w:rPr>
        <w:tab/>
      </w:r>
      <w:r w:rsidR="681889E0" w:rsidRPr="004C70EC">
        <w:rPr>
          <w:noProof/>
          <w:color w:val="000000" w:themeColor="text1"/>
          <w:szCs w:val="24"/>
        </w:rPr>
        <w:t xml:space="preserve">does not provide for co-financing by third parties </w:t>
      </w:r>
    </w:p>
    <w:p w14:paraId="7B25D384" w14:textId="77777777" w:rsidR="007966CD" w:rsidRPr="004C70EC" w:rsidRDefault="006D2D08">
      <w:pPr>
        <w:pStyle w:val="ListDash1"/>
        <w:rPr>
          <w:noProof/>
          <w:color w:val="000000" w:themeColor="text1"/>
          <w:szCs w:val="24"/>
        </w:rPr>
      </w:pPr>
      <w:r w:rsidRPr="004C70EC">
        <w:rPr>
          <w:rFonts w:ascii="Wingdings" w:eastAsia="Wingdings" w:hAnsi="Wingdings" w:cs="Wingdings"/>
          <w:noProof/>
          <w:sz w:val="22"/>
        </w:rPr>
        <w:t></w:t>
      </w:r>
      <w:r w:rsidRPr="004C70EC" w:rsidDel="006D2D08">
        <w:rPr>
          <w:rStyle w:val="normaltextrun"/>
          <w:rFonts w:eastAsia="Wingdings"/>
          <w:noProof/>
          <w:color w:val="000000" w:themeColor="text1"/>
          <w:szCs w:val="24"/>
          <w:bdr w:val="none" w:sz="0" w:space="0" w:color="auto" w:frame="1"/>
        </w:rPr>
        <w:t xml:space="preserve"> </w:t>
      </w:r>
      <w:r w:rsidR="000F1639" w:rsidRPr="004C70EC">
        <w:rPr>
          <w:rStyle w:val="normaltextrun"/>
          <w:rFonts w:eastAsia="Wingdings"/>
          <w:noProof/>
          <w:color w:val="000000" w:themeColor="text1"/>
          <w:szCs w:val="24"/>
          <w:bdr w:val="none" w:sz="0" w:space="0" w:color="auto" w:frame="1"/>
        </w:rPr>
        <w:t xml:space="preserve"> </w:t>
      </w:r>
      <w:r w:rsidR="007966CD" w:rsidRPr="004C70EC">
        <w:rPr>
          <w:noProof/>
          <w:color w:val="000000" w:themeColor="text1"/>
          <w:szCs w:val="24"/>
        </w:rPr>
        <w:t>provides for the co-financing by third parties estimated below:</w:t>
      </w:r>
    </w:p>
    <w:p w14:paraId="753062B7" w14:textId="77777777" w:rsidR="00AB05F2" w:rsidRPr="004C70EC" w:rsidRDefault="00AB05F2" w:rsidP="00880231">
      <w:pPr>
        <w:pStyle w:val="Text1"/>
        <w:rPr>
          <w:noProof/>
          <w:color w:val="000000" w:themeColor="text1"/>
          <w:szCs w:val="24"/>
        </w:rPr>
      </w:pPr>
    </w:p>
    <w:p w14:paraId="5C47F8BF" w14:textId="77777777" w:rsidR="00AB05F2" w:rsidRPr="004C70EC" w:rsidRDefault="00AB05F2" w:rsidP="00880231">
      <w:pPr>
        <w:pStyle w:val="Text1"/>
        <w:rPr>
          <w:noProof/>
          <w:color w:val="000000" w:themeColor="text1"/>
          <w:szCs w:val="24"/>
        </w:rPr>
      </w:pPr>
    </w:p>
    <w:p w14:paraId="501E9160" w14:textId="77777777" w:rsidR="007966CD" w:rsidRPr="004C70EC" w:rsidRDefault="007966CD">
      <w:pPr>
        <w:jc w:val="right"/>
        <w:rPr>
          <w:noProof/>
          <w:color w:val="000000" w:themeColor="text1"/>
          <w:szCs w:val="24"/>
          <w:lang w:val="en-IE"/>
        </w:rPr>
      </w:pPr>
      <w:r w:rsidRPr="004C70EC">
        <w:rPr>
          <w:noProof/>
          <w:color w:val="000000" w:themeColor="text1"/>
          <w:szCs w:val="24"/>
          <w:lang w:val="en-IE"/>
        </w:rPr>
        <w:t>Appropriations in EUR million (to three decimal places)</w:t>
      </w:r>
    </w:p>
    <w:tbl>
      <w:tblPr>
        <w:tblW w:w="4862" w:type="pct"/>
        <w:tblLook w:val="04A0" w:firstRow="1" w:lastRow="0" w:firstColumn="1" w:lastColumn="0" w:noHBand="0" w:noVBand="1"/>
      </w:tblPr>
      <w:tblGrid>
        <w:gridCol w:w="1603"/>
        <w:gridCol w:w="927"/>
        <w:gridCol w:w="927"/>
        <w:gridCol w:w="927"/>
        <w:gridCol w:w="929"/>
        <w:gridCol w:w="929"/>
        <w:gridCol w:w="929"/>
        <w:gridCol w:w="930"/>
        <w:gridCol w:w="932"/>
      </w:tblGrid>
      <w:tr w:rsidR="004A1163" w:rsidRPr="004C70EC" w14:paraId="2D7055BC" w14:textId="77777777">
        <w:trPr>
          <w:cantSplit/>
          <w:trHeight w:val="296"/>
        </w:trPr>
        <w:tc>
          <w:tcPr>
            <w:tcW w:w="794" w:type="pct"/>
            <w:vMerge w:val="restart"/>
            <w:tcBorders>
              <w:top w:val="single" w:sz="8" w:space="0" w:color="auto"/>
              <w:left w:val="single" w:sz="8" w:space="0" w:color="auto"/>
              <w:bottom w:val="single" w:sz="8" w:space="0" w:color="000000"/>
              <w:right w:val="single" w:sz="8" w:space="0" w:color="auto"/>
            </w:tcBorders>
            <w:vAlign w:val="center"/>
            <w:hideMark/>
          </w:tcPr>
          <w:p w14:paraId="3FBBEF7C" w14:textId="77777777" w:rsidR="007966CD" w:rsidRPr="004C70EC" w:rsidRDefault="007966CD">
            <w:pPr>
              <w:spacing w:before="0" w:after="0"/>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525" w:type="pct"/>
            <w:tcBorders>
              <w:top w:val="single" w:sz="8" w:space="0" w:color="auto"/>
              <w:left w:val="nil"/>
              <w:bottom w:val="nil"/>
              <w:right w:val="single" w:sz="8" w:space="0" w:color="auto"/>
            </w:tcBorders>
            <w:vAlign w:val="center"/>
            <w:hideMark/>
          </w:tcPr>
          <w:p w14:paraId="27DF3932"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 xml:space="preserve">Year </w:t>
            </w:r>
          </w:p>
        </w:tc>
        <w:tc>
          <w:tcPr>
            <w:tcW w:w="525" w:type="pct"/>
            <w:tcBorders>
              <w:top w:val="single" w:sz="8" w:space="0" w:color="auto"/>
              <w:left w:val="nil"/>
              <w:bottom w:val="nil"/>
              <w:right w:val="single" w:sz="8" w:space="0" w:color="auto"/>
            </w:tcBorders>
            <w:vAlign w:val="center"/>
            <w:hideMark/>
          </w:tcPr>
          <w:p w14:paraId="39A20224"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 xml:space="preserve">Year </w:t>
            </w:r>
          </w:p>
        </w:tc>
        <w:tc>
          <w:tcPr>
            <w:tcW w:w="525" w:type="pct"/>
            <w:tcBorders>
              <w:top w:val="single" w:sz="8" w:space="0" w:color="auto"/>
              <w:left w:val="nil"/>
              <w:bottom w:val="nil"/>
              <w:right w:val="single" w:sz="8" w:space="0" w:color="auto"/>
            </w:tcBorders>
            <w:vAlign w:val="center"/>
            <w:hideMark/>
          </w:tcPr>
          <w:p w14:paraId="1738E3CA"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 xml:space="preserve">Year </w:t>
            </w:r>
          </w:p>
        </w:tc>
        <w:tc>
          <w:tcPr>
            <w:tcW w:w="526" w:type="pct"/>
            <w:tcBorders>
              <w:top w:val="single" w:sz="8" w:space="0" w:color="auto"/>
              <w:left w:val="nil"/>
              <w:bottom w:val="nil"/>
              <w:right w:val="single" w:sz="8" w:space="0" w:color="auto"/>
            </w:tcBorders>
            <w:vAlign w:val="center"/>
            <w:hideMark/>
          </w:tcPr>
          <w:p w14:paraId="7C878582"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 xml:space="preserve">Year </w:t>
            </w:r>
          </w:p>
        </w:tc>
        <w:tc>
          <w:tcPr>
            <w:tcW w:w="526" w:type="pct"/>
            <w:tcBorders>
              <w:top w:val="single" w:sz="8" w:space="0" w:color="auto"/>
              <w:left w:val="nil"/>
              <w:bottom w:val="nil"/>
              <w:right w:val="single" w:sz="8" w:space="0" w:color="auto"/>
            </w:tcBorders>
            <w:vAlign w:val="center"/>
            <w:hideMark/>
          </w:tcPr>
          <w:p w14:paraId="7619D737"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 xml:space="preserve">Year </w:t>
            </w:r>
          </w:p>
        </w:tc>
        <w:tc>
          <w:tcPr>
            <w:tcW w:w="526" w:type="pct"/>
            <w:tcBorders>
              <w:top w:val="single" w:sz="8" w:space="0" w:color="auto"/>
              <w:left w:val="nil"/>
              <w:bottom w:val="nil"/>
              <w:right w:val="single" w:sz="8" w:space="0" w:color="auto"/>
            </w:tcBorders>
            <w:vAlign w:val="center"/>
            <w:hideMark/>
          </w:tcPr>
          <w:p w14:paraId="58625715"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 xml:space="preserve">Year </w:t>
            </w:r>
          </w:p>
        </w:tc>
        <w:tc>
          <w:tcPr>
            <w:tcW w:w="526" w:type="pct"/>
            <w:tcBorders>
              <w:top w:val="single" w:sz="8" w:space="0" w:color="auto"/>
              <w:left w:val="nil"/>
              <w:bottom w:val="nil"/>
              <w:right w:val="single" w:sz="8" w:space="0" w:color="auto"/>
            </w:tcBorders>
            <w:vAlign w:val="center"/>
            <w:hideMark/>
          </w:tcPr>
          <w:p w14:paraId="4FB3B571"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 xml:space="preserve">Year </w:t>
            </w:r>
          </w:p>
        </w:tc>
        <w:tc>
          <w:tcPr>
            <w:tcW w:w="527" w:type="pct"/>
            <w:vMerge w:val="restart"/>
            <w:tcBorders>
              <w:top w:val="single" w:sz="8" w:space="0" w:color="auto"/>
              <w:left w:val="single" w:sz="8" w:space="0" w:color="auto"/>
              <w:bottom w:val="single" w:sz="8" w:space="0" w:color="000000"/>
              <w:right w:val="single" w:sz="8" w:space="0" w:color="auto"/>
            </w:tcBorders>
            <w:vAlign w:val="center"/>
            <w:hideMark/>
          </w:tcPr>
          <w:p w14:paraId="3C4490B5"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Total</w:t>
            </w:r>
          </w:p>
        </w:tc>
      </w:tr>
      <w:tr w:rsidR="004A1163" w:rsidRPr="004C70EC" w14:paraId="3E4B152D" w14:textId="77777777">
        <w:trPr>
          <w:trHeight w:val="306"/>
        </w:trPr>
        <w:tc>
          <w:tcPr>
            <w:tcW w:w="794" w:type="pct"/>
            <w:vMerge/>
            <w:tcBorders>
              <w:top w:val="single" w:sz="8" w:space="0" w:color="auto"/>
              <w:left w:val="single" w:sz="8" w:space="0" w:color="auto"/>
              <w:bottom w:val="single" w:sz="8" w:space="0" w:color="000000"/>
              <w:right w:val="single" w:sz="8" w:space="0" w:color="auto"/>
            </w:tcBorders>
            <w:vAlign w:val="center"/>
            <w:hideMark/>
          </w:tcPr>
          <w:p w14:paraId="4995C8F1" w14:textId="77777777" w:rsidR="007966CD" w:rsidRPr="004C70EC" w:rsidRDefault="007966CD">
            <w:pPr>
              <w:spacing w:before="0" w:after="0"/>
              <w:jc w:val="left"/>
              <w:rPr>
                <w:rFonts w:eastAsia="Times New Roman"/>
                <w:noProof/>
                <w:color w:val="000000" w:themeColor="text1"/>
                <w:szCs w:val="24"/>
                <w:lang w:val="en-IE" w:eastAsia="en-IE"/>
              </w:rPr>
            </w:pPr>
          </w:p>
        </w:tc>
        <w:tc>
          <w:tcPr>
            <w:tcW w:w="525" w:type="pct"/>
            <w:tcBorders>
              <w:top w:val="nil"/>
              <w:left w:val="nil"/>
              <w:bottom w:val="single" w:sz="8" w:space="0" w:color="auto"/>
              <w:right w:val="single" w:sz="8" w:space="0" w:color="auto"/>
            </w:tcBorders>
            <w:vAlign w:val="center"/>
            <w:hideMark/>
          </w:tcPr>
          <w:p w14:paraId="124A8F82"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2028</w:t>
            </w:r>
          </w:p>
        </w:tc>
        <w:tc>
          <w:tcPr>
            <w:tcW w:w="525" w:type="pct"/>
            <w:tcBorders>
              <w:top w:val="nil"/>
              <w:left w:val="nil"/>
              <w:bottom w:val="single" w:sz="8" w:space="0" w:color="auto"/>
              <w:right w:val="single" w:sz="8" w:space="0" w:color="auto"/>
            </w:tcBorders>
            <w:vAlign w:val="center"/>
            <w:hideMark/>
          </w:tcPr>
          <w:p w14:paraId="51702C6B"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2029</w:t>
            </w:r>
          </w:p>
        </w:tc>
        <w:tc>
          <w:tcPr>
            <w:tcW w:w="525" w:type="pct"/>
            <w:tcBorders>
              <w:top w:val="nil"/>
              <w:left w:val="nil"/>
              <w:bottom w:val="single" w:sz="8" w:space="0" w:color="auto"/>
              <w:right w:val="single" w:sz="8" w:space="0" w:color="auto"/>
            </w:tcBorders>
            <w:vAlign w:val="center"/>
            <w:hideMark/>
          </w:tcPr>
          <w:p w14:paraId="5764D591"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2030</w:t>
            </w:r>
          </w:p>
        </w:tc>
        <w:tc>
          <w:tcPr>
            <w:tcW w:w="526" w:type="pct"/>
            <w:tcBorders>
              <w:top w:val="nil"/>
              <w:left w:val="nil"/>
              <w:bottom w:val="single" w:sz="8" w:space="0" w:color="auto"/>
              <w:right w:val="single" w:sz="8" w:space="0" w:color="auto"/>
            </w:tcBorders>
            <w:vAlign w:val="center"/>
            <w:hideMark/>
          </w:tcPr>
          <w:p w14:paraId="52620D91"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2031</w:t>
            </w:r>
          </w:p>
        </w:tc>
        <w:tc>
          <w:tcPr>
            <w:tcW w:w="526" w:type="pct"/>
            <w:tcBorders>
              <w:top w:val="nil"/>
              <w:left w:val="nil"/>
              <w:bottom w:val="single" w:sz="8" w:space="0" w:color="auto"/>
              <w:right w:val="single" w:sz="8" w:space="0" w:color="auto"/>
            </w:tcBorders>
            <w:vAlign w:val="center"/>
            <w:hideMark/>
          </w:tcPr>
          <w:p w14:paraId="16AF511D"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2032</w:t>
            </w:r>
          </w:p>
        </w:tc>
        <w:tc>
          <w:tcPr>
            <w:tcW w:w="526" w:type="pct"/>
            <w:tcBorders>
              <w:top w:val="nil"/>
              <w:left w:val="nil"/>
              <w:bottom w:val="single" w:sz="8" w:space="0" w:color="auto"/>
              <w:right w:val="single" w:sz="8" w:space="0" w:color="auto"/>
            </w:tcBorders>
            <w:vAlign w:val="center"/>
            <w:hideMark/>
          </w:tcPr>
          <w:p w14:paraId="5EC78C6A"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2033</w:t>
            </w:r>
          </w:p>
        </w:tc>
        <w:tc>
          <w:tcPr>
            <w:tcW w:w="526" w:type="pct"/>
            <w:tcBorders>
              <w:top w:val="nil"/>
              <w:left w:val="nil"/>
              <w:bottom w:val="single" w:sz="8" w:space="0" w:color="auto"/>
              <w:right w:val="single" w:sz="8" w:space="0" w:color="auto"/>
            </w:tcBorders>
            <w:vAlign w:val="center"/>
            <w:hideMark/>
          </w:tcPr>
          <w:p w14:paraId="2862B845" w14:textId="77777777" w:rsidR="007966CD" w:rsidRPr="004C70EC" w:rsidRDefault="007966CD">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eastAsia="en-IE"/>
              </w:rPr>
              <w:t>2034</w:t>
            </w:r>
          </w:p>
        </w:tc>
        <w:tc>
          <w:tcPr>
            <w:tcW w:w="527" w:type="pct"/>
            <w:vMerge/>
            <w:tcBorders>
              <w:top w:val="single" w:sz="8" w:space="0" w:color="auto"/>
              <w:left w:val="single" w:sz="8" w:space="0" w:color="auto"/>
              <w:bottom w:val="single" w:sz="8" w:space="0" w:color="000000"/>
              <w:right w:val="single" w:sz="8" w:space="0" w:color="auto"/>
            </w:tcBorders>
            <w:vAlign w:val="center"/>
            <w:hideMark/>
          </w:tcPr>
          <w:p w14:paraId="6E43E8E9" w14:textId="77777777" w:rsidR="007966CD" w:rsidRPr="004C70EC" w:rsidRDefault="007966CD">
            <w:pPr>
              <w:spacing w:before="0" w:after="0"/>
              <w:jc w:val="left"/>
              <w:rPr>
                <w:rFonts w:eastAsia="Times New Roman"/>
                <w:noProof/>
                <w:color w:val="000000" w:themeColor="text1"/>
                <w:szCs w:val="24"/>
                <w:lang w:val="en-IE" w:eastAsia="en-IE"/>
              </w:rPr>
            </w:pPr>
          </w:p>
        </w:tc>
      </w:tr>
      <w:tr w:rsidR="004A1163" w:rsidRPr="004C70EC" w14:paraId="219DDF4B" w14:textId="77777777">
        <w:trPr>
          <w:cantSplit/>
          <w:trHeight w:val="1072"/>
        </w:trPr>
        <w:tc>
          <w:tcPr>
            <w:tcW w:w="794" w:type="pct"/>
            <w:tcBorders>
              <w:top w:val="nil"/>
              <w:left w:val="single" w:sz="8" w:space="0" w:color="auto"/>
              <w:bottom w:val="single" w:sz="8" w:space="0" w:color="auto"/>
              <w:right w:val="single" w:sz="8" w:space="0" w:color="auto"/>
            </w:tcBorders>
            <w:vAlign w:val="center"/>
            <w:hideMark/>
          </w:tcPr>
          <w:p w14:paraId="617833CA" w14:textId="77777777" w:rsidR="007966CD" w:rsidRPr="004C70EC" w:rsidRDefault="007966CD">
            <w:pPr>
              <w:spacing w:before="0" w:after="0"/>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Specify the co-financing body</w:t>
            </w:r>
            <w:r w:rsidRPr="004C70EC">
              <w:rPr>
                <w:rFonts w:eastAsia="Times New Roman"/>
                <w:i/>
                <w:iCs/>
                <w:noProof/>
                <w:color w:val="000000" w:themeColor="text1"/>
                <w:szCs w:val="24"/>
                <w:lang w:val="en-IE" w:eastAsia="en-IE"/>
              </w:rPr>
              <w:t xml:space="preserve"> </w:t>
            </w:r>
          </w:p>
        </w:tc>
        <w:tc>
          <w:tcPr>
            <w:tcW w:w="525" w:type="pct"/>
            <w:tcBorders>
              <w:top w:val="nil"/>
              <w:left w:val="nil"/>
              <w:bottom w:val="single" w:sz="8" w:space="0" w:color="auto"/>
              <w:right w:val="single" w:sz="8" w:space="0" w:color="auto"/>
            </w:tcBorders>
            <w:vAlign w:val="center"/>
            <w:hideMark/>
          </w:tcPr>
          <w:p w14:paraId="5B67C16B"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525" w:type="pct"/>
            <w:tcBorders>
              <w:top w:val="nil"/>
              <w:left w:val="nil"/>
              <w:bottom w:val="single" w:sz="8" w:space="0" w:color="auto"/>
              <w:right w:val="single" w:sz="8" w:space="0" w:color="auto"/>
            </w:tcBorders>
            <w:vAlign w:val="center"/>
            <w:hideMark/>
          </w:tcPr>
          <w:p w14:paraId="36741B6F"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525" w:type="pct"/>
            <w:tcBorders>
              <w:top w:val="nil"/>
              <w:left w:val="nil"/>
              <w:bottom w:val="single" w:sz="8" w:space="0" w:color="auto"/>
              <w:right w:val="single" w:sz="8" w:space="0" w:color="auto"/>
            </w:tcBorders>
            <w:vAlign w:val="center"/>
            <w:hideMark/>
          </w:tcPr>
          <w:p w14:paraId="1F4D4AF1"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526" w:type="pct"/>
            <w:tcBorders>
              <w:top w:val="nil"/>
              <w:left w:val="nil"/>
              <w:bottom w:val="single" w:sz="8" w:space="0" w:color="auto"/>
              <w:right w:val="single" w:sz="8" w:space="0" w:color="auto"/>
            </w:tcBorders>
            <w:vAlign w:val="center"/>
            <w:hideMark/>
          </w:tcPr>
          <w:p w14:paraId="7340BC51"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526" w:type="pct"/>
            <w:tcBorders>
              <w:top w:val="nil"/>
              <w:left w:val="nil"/>
              <w:bottom w:val="single" w:sz="8" w:space="0" w:color="auto"/>
              <w:right w:val="single" w:sz="8" w:space="0" w:color="auto"/>
            </w:tcBorders>
            <w:vAlign w:val="center"/>
            <w:hideMark/>
          </w:tcPr>
          <w:p w14:paraId="1585552E"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526" w:type="pct"/>
            <w:tcBorders>
              <w:top w:val="nil"/>
              <w:left w:val="nil"/>
              <w:bottom w:val="single" w:sz="8" w:space="0" w:color="auto"/>
              <w:right w:val="single" w:sz="8" w:space="0" w:color="auto"/>
            </w:tcBorders>
            <w:vAlign w:val="center"/>
            <w:hideMark/>
          </w:tcPr>
          <w:p w14:paraId="372192F6"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526" w:type="pct"/>
            <w:tcBorders>
              <w:top w:val="nil"/>
              <w:left w:val="nil"/>
              <w:bottom w:val="single" w:sz="8" w:space="0" w:color="auto"/>
              <w:right w:val="single" w:sz="8" w:space="0" w:color="auto"/>
            </w:tcBorders>
            <w:vAlign w:val="center"/>
            <w:hideMark/>
          </w:tcPr>
          <w:p w14:paraId="1E0FCBA0"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527" w:type="pct"/>
            <w:tcBorders>
              <w:top w:val="nil"/>
              <w:left w:val="nil"/>
              <w:bottom w:val="single" w:sz="8" w:space="0" w:color="auto"/>
              <w:right w:val="single" w:sz="8" w:space="0" w:color="auto"/>
            </w:tcBorders>
            <w:vAlign w:val="center"/>
            <w:hideMark/>
          </w:tcPr>
          <w:p w14:paraId="5F036DF3"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r>
      <w:tr w:rsidR="004A1163" w:rsidRPr="004C70EC" w14:paraId="1A2DF536" w14:textId="77777777">
        <w:trPr>
          <w:cantSplit/>
          <w:trHeight w:val="1072"/>
        </w:trPr>
        <w:tc>
          <w:tcPr>
            <w:tcW w:w="794" w:type="pct"/>
            <w:tcBorders>
              <w:top w:val="nil"/>
              <w:left w:val="single" w:sz="8" w:space="0" w:color="auto"/>
              <w:bottom w:val="single" w:sz="8" w:space="0" w:color="auto"/>
              <w:right w:val="single" w:sz="8" w:space="0" w:color="auto"/>
            </w:tcBorders>
            <w:vAlign w:val="center"/>
            <w:hideMark/>
          </w:tcPr>
          <w:p w14:paraId="408BF5D2" w14:textId="77777777" w:rsidR="007966CD" w:rsidRPr="004C70EC" w:rsidRDefault="007966CD">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eastAsia="en-IE"/>
              </w:rPr>
              <w:t xml:space="preserve">TOTAL appropriations co-financed </w:t>
            </w:r>
          </w:p>
        </w:tc>
        <w:tc>
          <w:tcPr>
            <w:tcW w:w="525" w:type="pct"/>
            <w:tcBorders>
              <w:top w:val="nil"/>
              <w:left w:val="nil"/>
              <w:bottom w:val="single" w:sz="8" w:space="0" w:color="auto"/>
              <w:right w:val="single" w:sz="8" w:space="0" w:color="auto"/>
            </w:tcBorders>
            <w:vAlign w:val="center"/>
            <w:hideMark/>
          </w:tcPr>
          <w:p w14:paraId="54624E42"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 </w:t>
            </w:r>
          </w:p>
        </w:tc>
        <w:tc>
          <w:tcPr>
            <w:tcW w:w="525" w:type="pct"/>
            <w:tcBorders>
              <w:top w:val="nil"/>
              <w:left w:val="nil"/>
              <w:bottom w:val="single" w:sz="8" w:space="0" w:color="auto"/>
              <w:right w:val="single" w:sz="8" w:space="0" w:color="auto"/>
            </w:tcBorders>
            <w:vAlign w:val="center"/>
            <w:hideMark/>
          </w:tcPr>
          <w:p w14:paraId="5A611311"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 </w:t>
            </w:r>
          </w:p>
        </w:tc>
        <w:tc>
          <w:tcPr>
            <w:tcW w:w="525" w:type="pct"/>
            <w:tcBorders>
              <w:top w:val="nil"/>
              <w:left w:val="nil"/>
              <w:bottom w:val="single" w:sz="8" w:space="0" w:color="auto"/>
              <w:right w:val="single" w:sz="8" w:space="0" w:color="auto"/>
            </w:tcBorders>
            <w:vAlign w:val="center"/>
            <w:hideMark/>
          </w:tcPr>
          <w:p w14:paraId="59254BE4"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 </w:t>
            </w:r>
          </w:p>
        </w:tc>
        <w:tc>
          <w:tcPr>
            <w:tcW w:w="526" w:type="pct"/>
            <w:tcBorders>
              <w:top w:val="nil"/>
              <w:left w:val="nil"/>
              <w:bottom w:val="single" w:sz="8" w:space="0" w:color="auto"/>
              <w:right w:val="single" w:sz="8" w:space="0" w:color="auto"/>
            </w:tcBorders>
            <w:vAlign w:val="center"/>
            <w:hideMark/>
          </w:tcPr>
          <w:p w14:paraId="06DD4612"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 </w:t>
            </w:r>
          </w:p>
        </w:tc>
        <w:tc>
          <w:tcPr>
            <w:tcW w:w="526" w:type="pct"/>
            <w:tcBorders>
              <w:top w:val="nil"/>
              <w:left w:val="nil"/>
              <w:bottom w:val="single" w:sz="8" w:space="0" w:color="auto"/>
              <w:right w:val="single" w:sz="8" w:space="0" w:color="auto"/>
            </w:tcBorders>
            <w:vAlign w:val="center"/>
            <w:hideMark/>
          </w:tcPr>
          <w:p w14:paraId="71D5C4A7"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 </w:t>
            </w:r>
          </w:p>
        </w:tc>
        <w:tc>
          <w:tcPr>
            <w:tcW w:w="526" w:type="pct"/>
            <w:tcBorders>
              <w:top w:val="nil"/>
              <w:left w:val="nil"/>
              <w:bottom w:val="single" w:sz="8" w:space="0" w:color="auto"/>
              <w:right w:val="single" w:sz="8" w:space="0" w:color="auto"/>
            </w:tcBorders>
            <w:vAlign w:val="center"/>
            <w:hideMark/>
          </w:tcPr>
          <w:p w14:paraId="30E629A3"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 </w:t>
            </w:r>
          </w:p>
        </w:tc>
        <w:tc>
          <w:tcPr>
            <w:tcW w:w="526" w:type="pct"/>
            <w:tcBorders>
              <w:top w:val="nil"/>
              <w:left w:val="nil"/>
              <w:bottom w:val="single" w:sz="8" w:space="0" w:color="auto"/>
              <w:right w:val="single" w:sz="8" w:space="0" w:color="auto"/>
            </w:tcBorders>
            <w:vAlign w:val="center"/>
            <w:hideMark/>
          </w:tcPr>
          <w:p w14:paraId="08D82C82"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 </w:t>
            </w:r>
          </w:p>
        </w:tc>
        <w:tc>
          <w:tcPr>
            <w:tcW w:w="527" w:type="pct"/>
            <w:tcBorders>
              <w:top w:val="nil"/>
              <w:left w:val="nil"/>
              <w:bottom w:val="single" w:sz="8" w:space="0" w:color="auto"/>
              <w:right w:val="single" w:sz="8" w:space="0" w:color="auto"/>
            </w:tcBorders>
            <w:vAlign w:val="center"/>
            <w:hideMark/>
          </w:tcPr>
          <w:p w14:paraId="683025FB" w14:textId="77777777" w:rsidR="007966CD" w:rsidRPr="004C70EC" w:rsidRDefault="007966CD">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eastAsia="en-IE"/>
              </w:rPr>
              <w:t> </w:t>
            </w:r>
          </w:p>
        </w:tc>
      </w:tr>
    </w:tbl>
    <w:p w14:paraId="7024E916" w14:textId="77777777" w:rsidR="00A230E0" w:rsidRPr="004C70EC" w:rsidRDefault="00A230E0" w:rsidP="0058181D">
      <w:pPr>
        <w:pStyle w:val="Text1"/>
        <w:rPr>
          <w:noProof/>
          <w:color w:val="000000" w:themeColor="text1"/>
        </w:rPr>
      </w:pPr>
      <w:bookmarkStart w:id="77" w:name="_TocDCF3857748774A0FBF547E2E5BCC2ECA"/>
      <w:bookmarkStart w:id="78" w:name="_Hlk177486416"/>
    </w:p>
    <w:bookmarkEnd w:id="77"/>
    <w:bookmarkEnd w:id="78"/>
    <w:p w14:paraId="530EF457" w14:textId="77777777" w:rsidR="00DD52BA" w:rsidRPr="004C70EC" w:rsidRDefault="00DD52BA" w:rsidP="00DD52BA">
      <w:pPr>
        <w:pStyle w:val="ManualHeading3"/>
        <w:rPr>
          <w:noProof/>
          <w:color w:val="000000" w:themeColor="text1"/>
          <w:szCs w:val="24"/>
        </w:rPr>
      </w:pPr>
      <w:r w:rsidRPr="004C70EC">
        <w:rPr>
          <w:noProof/>
          <w:color w:val="000000" w:themeColor="text1"/>
          <w:szCs w:val="24"/>
        </w:rPr>
        <w:t>3.2.8.</w:t>
      </w:r>
      <w:r w:rsidRPr="004C70EC">
        <w:rPr>
          <w:noProof/>
          <w:color w:val="000000" w:themeColor="text1"/>
          <w:szCs w:val="24"/>
        </w:rPr>
        <w:tab/>
        <w:t xml:space="preserve">Estimated human resources and the use of appropriations required in EMA </w:t>
      </w:r>
    </w:p>
    <w:p w14:paraId="7FC0977A" w14:textId="77777777" w:rsidR="00DD52BA" w:rsidRPr="004C70EC" w:rsidRDefault="00DD52BA" w:rsidP="00DD52BA">
      <w:pPr>
        <w:pStyle w:val="Text1"/>
        <w:ind w:left="-142" w:right="1"/>
        <w:rPr>
          <w:noProof/>
          <w:color w:val="000000" w:themeColor="text1"/>
          <w:szCs w:val="24"/>
        </w:rPr>
      </w:pPr>
      <w:r w:rsidRPr="004C70EC">
        <w:rPr>
          <w:noProof/>
          <w:color w:val="000000" w:themeColor="text1"/>
          <w:szCs w:val="24"/>
        </w:rPr>
        <w:t>.</w:t>
      </w:r>
    </w:p>
    <w:p w14:paraId="1A80166A" w14:textId="77777777" w:rsidR="00DD52BA" w:rsidRPr="004C70EC" w:rsidRDefault="00DD52BA" w:rsidP="00DD52BA">
      <w:pPr>
        <w:ind w:left="-142"/>
        <w:jc w:val="left"/>
        <w:rPr>
          <w:noProof/>
          <w:color w:val="000000" w:themeColor="text1"/>
          <w:szCs w:val="24"/>
          <w:u w:val="single"/>
        </w:rPr>
      </w:pPr>
      <w:r w:rsidRPr="004C70EC">
        <w:rPr>
          <w:noProof/>
          <w:color w:val="000000" w:themeColor="text1"/>
          <w:szCs w:val="24"/>
          <w:u w:val="single"/>
        </w:rPr>
        <w:t>Staff requirements (full-time equivalent units)</w:t>
      </w:r>
    </w:p>
    <w:tbl>
      <w:tblPr>
        <w:tblW w:w="8952" w:type="dxa"/>
        <w:tblInd w:w="118" w:type="dxa"/>
        <w:tblLook w:val="04A0" w:firstRow="1" w:lastRow="0" w:firstColumn="1" w:lastColumn="0" w:noHBand="0" w:noVBand="1"/>
      </w:tblPr>
      <w:tblGrid>
        <w:gridCol w:w="2892"/>
        <w:gridCol w:w="770"/>
        <w:gridCol w:w="769"/>
        <w:gridCol w:w="733"/>
        <w:gridCol w:w="733"/>
        <w:gridCol w:w="733"/>
        <w:gridCol w:w="733"/>
        <w:gridCol w:w="746"/>
        <w:gridCol w:w="843"/>
      </w:tblGrid>
      <w:tr w:rsidR="004A1163" w:rsidRPr="004C70EC" w14:paraId="6D77D6BF" w14:textId="77777777">
        <w:trPr>
          <w:trHeight w:val="417"/>
        </w:trPr>
        <w:tc>
          <w:tcPr>
            <w:tcW w:w="2981"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3EE893FC" w14:textId="77777777" w:rsidR="00DD52BA" w:rsidRPr="004C70EC" w:rsidRDefault="00DD52BA">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[Agency]: &lt;EMA .&gt;</w:t>
            </w:r>
          </w:p>
        </w:tc>
        <w:tc>
          <w:tcPr>
            <w:tcW w:w="772" w:type="dxa"/>
            <w:tcBorders>
              <w:top w:val="nil"/>
              <w:left w:val="nil"/>
              <w:bottom w:val="single" w:sz="8" w:space="0" w:color="auto"/>
              <w:right w:val="single" w:sz="8" w:space="0" w:color="auto"/>
            </w:tcBorders>
            <w:shd w:val="clear" w:color="000000" w:fill="D9D9D9"/>
            <w:vAlign w:val="center"/>
            <w:hideMark/>
          </w:tcPr>
          <w:p w14:paraId="7B81FC37"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Year</w:t>
            </w:r>
          </w:p>
        </w:tc>
        <w:tc>
          <w:tcPr>
            <w:tcW w:w="772" w:type="dxa"/>
            <w:tcBorders>
              <w:top w:val="nil"/>
              <w:left w:val="nil"/>
              <w:bottom w:val="single" w:sz="8" w:space="0" w:color="auto"/>
              <w:right w:val="single" w:sz="8" w:space="0" w:color="auto"/>
            </w:tcBorders>
            <w:shd w:val="clear" w:color="000000" w:fill="D9D9D9"/>
            <w:vAlign w:val="center"/>
            <w:hideMark/>
          </w:tcPr>
          <w:p w14:paraId="44B5C9BC"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Year</w:t>
            </w:r>
          </w:p>
        </w:tc>
        <w:tc>
          <w:tcPr>
            <w:tcW w:w="734" w:type="dxa"/>
            <w:tcBorders>
              <w:top w:val="nil"/>
              <w:left w:val="nil"/>
              <w:bottom w:val="single" w:sz="8" w:space="0" w:color="auto"/>
              <w:right w:val="single" w:sz="8" w:space="0" w:color="auto"/>
            </w:tcBorders>
            <w:shd w:val="clear" w:color="000000" w:fill="D9D9D9"/>
            <w:vAlign w:val="center"/>
            <w:hideMark/>
          </w:tcPr>
          <w:p w14:paraId="0D08FF9A"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Year</w:t>
            </w:r>
          </w:p>
        </w:tc>
        <w:tc>
          <w:tcPr>
            <w:tcW w:w="734" w:type="dxa"/>
            <w:tcBorders>
              <w:top w:val="nil"/>
              <w:left w:val="nil"/>
              <w:bottom w:val="single" w:sz="8" w:space="0" w:color="auto"/>
              <w:right w:val="single" w:sz="8" w:space="0" w:color="auto"/>
            </w:tcBorders>
            <w:shd w:val="clear" w:color="000000" w:fill="D9D9D9"/>
            <w:vAlign w:val="center"/>
            <w:hideMark/>
          </w:tcPr>
          <w:p w14:paraId="2D42634E"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Year</w:t>
            </w:r>
          </w:p>
        </w:tc>
        <w:tc>
          <w:tcPr>
            <w:tcW w:w="734" w:type="dxa"/>
            <w:tcBorders>
              <w:top w:val="nil"/>
              <w:left w:val="nil"/>
              <w:bottom w:val="single" w:sz="8" w:space="0" w:color="auto"/>
              <w:right w:val="single" w:sz="8" w:space="0" w:color="auto"/>
            </w:tcBorders>
            <w:shd w:val="clear" w:color="000000" w:fill="D9D9D9"/>
            <w:vAlign w:val="center"/>
            <w:hideMark/>
          </w:tcPr>
          <w:p w14:paraId="66E86F31"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Year</w:t>
            </w:r>
          </w:p>
        </w:tc>
        <w:tc>
          <w:tcPr>
            <w:tcW w:w="734" w:type="dxa"/>
            <w:tcBorders>
              <w:top w:val="nil"/>
              <w:left w:val="nil"/>
              <w:bottom w:val="single" w:sz="8" w:space="0" w:color="auto"/>
              <w:right w:val="single" w:sz="8" w:space="0" w:color="auto"/>
            </w:tcBorders>
            <w:shd w:val="clear" w:color="000000" w:fill="D9D9D9"/>
            <w:vAlign w:val="center"/>
            <w:hideMark/>
          </w:tcPr>
          <w:p w14:paraId="7DFE8C0E"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Year</w:t>
            </w:r>
          </w:p>
        </w:tc>
        <w:tc>
          <w:tcPr>
            <w:tcW w:w="747" w:type="dxa"/>
            <w:tcBorders>
              <w:top w:val="nil"/>
              <w:left w:val="nil"/>
              <w:bottom w:val="single" w:sz="8" w:space="0" w:color="auto"/>
              <w:right w:val="single" w:sz="8" w:space="0" w:color="auto"/>
            </w:tcBorders>
            <w:shd w:val="clear" w:color="000000" w:fill="D9D9D9"/>
            <w:vAlign w:val="center"/>
            <w:hideMark/>
          </w:tcPr>
          <w:p w14:paraId="294FEC73"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Year</w:t>
            </w:r>
          </w:p>
        </w:tc>
        <w:tc>
          <w:tcPr>
            <w:tcW w:w="744" w:type="dxa"/>
            <w:tcBorders>
              <w:top w:val="nil"/>
              <w:left w:val="nil"/>
              <w:bottom w:val="single" w:sz="8" w:space="0" w:color="auto"/>
              <w:right w:val="single" w:sz="8" w:space="0" w:color="auto"/>
            </w:tcBorders>
            <w:shd w:val="clear" w:color="000000" w:fill="D9D9D9"/>
            <w:vAlign w:val="center"/>
            <w:hideMark/>
          </w:tcPr>
          <w:p w14:paraId="7A2EB8E3"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POST</w:t>
            </w:r>
          </w:p>
        </w:tc>
      </w:tr>
      <w:tr w:rsidR="004A1163" w:rsidRPr="004C70EC" w14:paraId="13B5CF32" w14:textId="77777777">
        <w:trPr>
          <w:trHeight w:val="417"/>
        </w:trPr>
        <w:tc>
          <w:tcPr>
            <w:tcW w:w="2981"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29764803" w14:textId="77777777" w:rsidR="00DD52BA" w:rsidRPr="004C70EC" w:rsidRDefault="00DD52BA">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772" w:type="dxa"/>
            <w:tcBorders>
              <w:top w:val="nil"/>
              <w:left w:val="nil"/>
              <w:bottom w:val="single" w:sz="8" w:space="0" w:color="auto"/>
              <w:right w:val="single" w:sz="8" w:space="0" w:color="auto"/>
            </w:tcBorders>
            <w:shd w:val="clear" w:color="000000" w:fill="D9D9D9"/>
            <w:vAlign w:val="center"/>
            <w:hideMark/>
          </w:tcPr>
          <w:p w14:paraId="39B560D9"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2028</w:t>
            </w:r>
          </w:p>
        </w:tc>
        <w:tc>
          <w:tcPr>
            <w:tcW w:w="772" w:type="dxa"/>
            <w:tcBorders>
              <w:top w:val="nil"/>
              <w:left w:val="nil"/>
              <w:bottom w:val="single" w:sz="8" w:space="0" w:color="auto"/>
              <w:right w:val="single" w:sz="8" w:space="0" w:color="auto"/>
            </w:tcBorders>
            <w:shd w:val="clear" w:color="000000" w:fill="D9D9D9"/>
            <w:vAlign w:val="center"/>
            <w:hideMark/>
          </w:tcPr>
          <w:p w14:paraId="7E5142CA"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2029</w:t>
            </w:r>
          </w:p>
        </w:tc>
        <w:tc>
          <w:tcPr>
            <w:tcW w:w="734" w:type="dxa"/>
            <w:tcBorders>
              <w:top w:val="nil"/>
              <w:left w:val="nil"/>
              <w:bottom w:val="single" w:sz="8" w:space="0" w:color="auto"/>
              <w:right w:val="single" w:sz="8" w:space="0" w:color="auto"/>
            </w:tcBorders>
            <w:shd w:val="clear" w:color="000000" w:fill="D9D9D9"/>
            <w:vAlign w:val="center"/>
            <w:hideMark/>
          </w:tcPr>
          <w:p w14:paraId="0E7C370C"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2030</w:t>
            </w:r>
          </w:p>
        </w:tc>
        <w:tc>
          <w:tcPr>
            <w:tcW w:w="734" w:type="dxa"/>
            <w:tcBorders>
              <w:top w:val="nil"/>
              <w:left w:val="nil"/>
              <w:bottom w:val="single" w:sz="8" w:space="0" w:color="auto"/>
              <w:right w:val="single" w:sz="8" w:space="0" w:color="auto"/>
            </w:tcBorders>
            <w:shd w:val="clear" w:color="000000" w:fill="D9D9D9"/>
            <w:vAlign w:val="center"/>
            <w:hideMark/>
          </w:tcPr>
          <w:p w14:paraId="4E587DFB"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2031</w:t>
            </w:r>
          </w:p>
        </w:tc>
        <w:tc>
          <w:tcPr>
            <w:tcW w:w="734" w:type="dxa"/>
            <w:tcBorders>
              <w:top w:val="nil"/>
              <w:left w:val="nil"/>
              <w:bottom w:val="single" w:sz="8" w:space="0" w:color="auto"/>
              <w:right w:val="single" w:sz="8" w:space="0" w:color="auto"/>
            </w:tcBorders>
            <w:shd w:val="clear" w:color="000000" w:fill="D9D9D9"/>
            <w:vAlign w:val="center"/>
            <w:hideMark/>
          </w:tcPr>
          <w:p w14:paraId="33E5EFFC"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2032</w:t>
            </w:r>
          </w:p>
        </w:tc>
        <w:tc>
          <w:tcPr>
            <w:tcW w:w="734" w:type="dxa"/>
            <w:tcBorders>
              <w:top w:val="nil"/>
              <w:left w:val="nil"/>
              <w:bottom w:val="single" w:sz="8" w:space="0" w:color="auto"/>
              <w:right w:val="single" w:sz="8" w:space="0" w:color="auto"/>
            </w:tcBorders>
            <w:shd w:val="clear" w:color="000000" w:fill="D9D9D9"/>
            <w:vAlign w:val="center"/>
            <w:hideMark/>
          </w:tcPr>
          <w:p w14:paraId="17345C4F"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2033</w:t>
            </w:r>
          </w:p>
        </w:tc>
        <w:tc>
          <w:tcPr>
            <w:tcW w:w="747" w:type="dxa"/>
            <w:tcBorders>
              <w:top w:val="nil"/>
              <w:left w:val="nil"/>
              <w:bottom w:val="single" w:sz="8" w:space="0" w:color="auto"/>
              <w:right w:val="single" w:sz="8" w:space="0" w:color="auto"/>
            </w:tcBorders>
            <w:shd w:val="clear" w:color="000000" w:fill="D9D9D9"/>
            <w:vAlign w:val="center"/>
            <w:hideMark/>
          </w:tcPr>
          <w:p w14:paraId="4EC5FA4C"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w:t>
            </w:r>
          </w:p>
        </w:tc>
        <w:tc>
          <w:tcPr>
            <w:tcW w:w="744" w:type="dxa"/>
            <w:tcBorders>
              <w:top w:val="nil"/>
              <w:left w:val="nil"/>
              <w:bottom w:val="single" w:sz="8" w:space="0" w:color="auto"/>
              <w:right w:val="single" w:sz="8" w:space="0" w:color="auto"/>
            </w:tcBorders>
            <w:shd w:val="clear" w:color="000000" w:fill="D9D9D9"/>
            <w:vAlign w:val="center"/>
            <w:hideMark/>
          </w:tcPr>
          <w:p w14:paraId="1C2006E9"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w:t>
            </w:r>
          </w:p>
        </w:tc>
      </w:tr>
      <w:tr w:rsidR="004A1163" w:rsidRPr="004C70EC" w14:paraId="2596B1CE" w14:textId="77777777">
        <w:trPr>
          <w:trHeight w:val="417"/>
        </w:trPr>
        <w:tc>
          <w:tcPr>
            <w:tcW w:w="2981"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40DA6DA2" w14:textId="77777777" w:rsidR="00DD52BA" w:rsidRPr="004C70EC" w:rsidRDefault="00DD52BA">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Temporary agents (AD Grades)</w:t>
            </w:r>
          </w:p>
        </w:tc>
        <w:tc>
          <w:tcPr>
            <w:tcW w:w="772" w:type="dxa"/>
            <w:tcBorders>
              <w:top w:val="nil"/>
              <w:left w:val="nil"/>
              <w:bottom w:val="single" w:sz="8" w:space="0" w:color="auto"/>
              <w:right w:val="single" w:sz="8" w:space="0" w:color="auto"/>
            </w:tcBorders>
            <w:shd w:val="clear" w:color="000000" w:fill="D9D9D9"/>
            <w:vAlign w:val="center"/>
            <w:hideMark/>
          </w:tcPr>
          <w:p w14:paraId="16ACA9BC"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72" w:type="dxa"/>
            <w:tcBorders>
              <w:top w:val="nil"/>
              <w:left w:val="nil"/>
              <w:bottom w:val="single" w:sz="8" w:space="0" w:color="auto"/>
              <w:right w:val="single" w:sz="8" w:space="0" w:color="auto"/>
            </w:tcBorders>
            <w:shd w:val="clear" w:color="000000" w:fill="D9D9D9"/>
            <w:vAlign w:val="center"/>
            <w:hideMark/>
          </w:tcPr>
          <w:p w14:paraId="78F84884"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34" w:type="dxa"/>
            <w:tcBorders>
              <w:top w:val="nil"/>
              <w:left w:val="nil"/>
              <w:bottom w:val="single" w:sz="8" w:space="0" w:color="auto"/>
              <w:right w:val="single" w:sz="8" w:space="0" w:color="auto"/>
            </w:tcBorders>
            <w:shd w:val="clear" w:color="000000" w:fill="D9D9D9"/>
            <w:vAlign w:val="center"/>
            <w:hideMark/>
          </w:tcPr>
          <w:p w14:paraId="6802EB22"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34" w:type="dxa"/>
            <w:tcBorders>
              <w:top w:val="nil"/>
              <w:left w:val="nil"/>
              <w:bottom w:val="single" w:sz="8" w:space="0" w:color="auto"/>
              <w:right w:val="single" w:sz="8" w:space="0" w:color="auto"/>
            </w:tcBorders>
            <w:shd w:val="clear" w:color="000000" w:fill="D9D9D9"/>
            <w:vAlign w:val="center"/>
            <w:hideMark/>
          </w:tcPr>
          <w:p w14:paraId="530368DE"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34" w:type="dxa"/>
            <w:tcBorders>
              <w:top w:val="nil"/>
              <w:left w:val="nil"/>
              <w:bottom w:val="single" w:sz="8" w:space="0" w:color="auto"/>
              <w:right w:val="single" w:sz="8" w:space="0" w:color="auto"/>
            </w:tcBorders>
            <w:shd w:val="clear" w:color="000000" w:fill="D9D9D9"/>
            <w:vAlign w:val="center"/>
            <w:hideMark/>
          </w:tcPr>
          <w:p w14:paraId="44DAED9B"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34" w:type="dxa"/>
            <w:tcBorders>
              <w:top w:val="nil"/>
              <w:left w:val="nil"/>
              <w:bottom w:val="single" w:sz="8" w:space="0" w:color="auto"/>
              <w:right w:val="single" w:sz="8" w:space="0" w:color="auto"/>
            </w:tcBorders>
            <w:shd w:val="clear" w:color="000000" w:fill="D9D9D9"/>
            <w:vAlign w:val="center"/>
            <w:hideMark/>
          </w:tcPr>
          <w:p w14:paraId="1DDA2ECC"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47" w:type="dxa"/>
            <w:tcBorders>
              <w:top w:val="nil"/>
              <w:left w:val="nil"/>
              <w:bottom w:val="single" w:sz="8" w:space="0" w:color="auto"/>
              <w:right w:val="single" w:sz="8" w:space="0" w:color="auto"/>
            </w:tcBorders>
            <w:shd w:val="clear" w:color="000000" w:fill="D9D9D9"/>
            <w:vAlign w:val="center"/>
            <w:hideMark/>
          </w:tcPr>
          <w:p w14:paraId="564219A1"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44" w:type="dxa"/>
            <w:tcBorders>
              <w:top w:val="nil"/>
              <w:left w:val="nil"/>
              <w:bottom w:val="single" w:sz="8" w:space="0" w:color="auto"/>
              <w:right w:val="single" w:sz="8" w:space="0" w:color="auto"/>
            </w:tcBorders>
            <w:shd w:val="clear" w:color="000000" w:fill="D9D9D9"/>
            <w:vAlign w:val="center"/>
            <w:hideMark/>
          </w:tcPr>
          <w:p w14:paraId="40DE274E"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r>
      <w:tr w:rsidR="004A1163" w:rsidRPr="004C70EC" w14:paraId="2F1EAC05" w14:textId="77777777">
        <w:trPr>
          <w:trHeight w:val="417"/>
        </w:trPr>
        <w:tc>
          <w:tcPr>
            <w:tcW w:w="2981"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212FF6D7" w14:textId="77777777" w:rsidR="00DD52BA" w:rsidRPr="004C70EC" w:rsidRDefault="00DD52BA">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Temporary agents (AST grades)</w:t>
            </w:r>
          </w:p>
        </w:tc>
        <w:tc>
          <w:tcPr>
            <w:tcW w:w="772" w:type="dxa"/>
            <w:tcBorders>
              <w:top w:val="nil"/>
              <w:left w:val="nil"/>
              <w:bottom w:val="single" w:sz="8" w:space="0" w:color="auto"/>
              <w:right w:val="single" w:sz="8" w:space="0" w:color="auto"/>
            </w:tcBorders>
            <w:shd w:val="clear" w:color="000000" w:fill="D9D9D9"/>
            <w:vAlign w:val="center"/>
            <w:hideMark/>
          </w:tcPr>
          <w:p w14:paraId="481D6920"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w:t>
            </w:r>
          </w:p>
        </w:tc>
        <w:tc>
          <w:tcPr>
            <w:tcW w:w="772" w:type="dxa"/>
            <w:tcBorders>
              <w:top w:val="nil"/>
              <w:left w:val="nil"/>
              <w:bottom w:val="single" w:sz="8" w:space="0" w:color="auto"/>
              <w:right w:val="single" w:sz="8" w:space="0" w:color="auto"/>
            </w:tcBorders>
            <w:shd w:val="clear" w:color="000000" w:fill="D9D9D9"/>
            <w:vAlign w:val="center"/>
            <w:hideMark/>
          </w:tcPr>
          <w:p w14:paraId="2B56D45B"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w:t>
            </w:r>
          </w:p>
        </w:tc>
        <w:tc>
          <w:tcPr>
            <w:tcW w:w="734" w:type="dxa"/>
            <w:tcBorders>
              <w:top w:val="nil"/>
              <w:left w:val="nil"/>
              <w:bottom w:val="single" w:sz="8" w:space="0" w:color="auto"/>
              <w:right w:val="single" w:sz="8" w:space="0" w:color="auto"/>
            </w:tcBorders>
            <w:shd w:val="clear" w:color="000000" w:fill="D9D9D9"/>
            <w:vAlign w:val="center"/>
            <w:hideMark/>
          </w:tcPr>
          <w:p w14:paraId="3D1D77D5"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w:t>
            </w:r>
          </w:p>
        </w:tc>
        <w:tc>
          <w:tcPr>
            <w:tcW w:w="734" w:type="dxa"/>
            <w:tcBorders>
              <w:top w:val="nil"/>
              <w:left w:val="nil"/>
              <w:bottom w:val="single" w:sz="8" w:space="0" w:color="auto"/>
              <w:right w:val="single" w:sz="8" w:space="0" w:color="auto"/>
            </w:tcBorders>
            <w:shd w:val="clear" w:color="000000" w:fill="D9D9D9"/>
            <w:vAlign w:val="center"/>
            <w:hideMark/>
          </w:tcPr>
          <w:p w14:paraId="2E8AF8E0"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w:t>
            </w:r>
          </w:p>
        </w:tc>
        <w:tc>
          <w:tcPr>
            <w:tcW w:w="734" w:type="dxa"/>
            <w:tcBorders>
              <w:top w:val="nil"/>
              <w:left w:val="nil"/>
              <w:bottom w:val="single" w:sz="8" w:space="0" w:color="auto"/>
              <w:right w:val="single" w:sz="8" w:space="0" w:color="auto"/>
            </w:tcBorders>
            <w:shd w:val="clear" w:color="000000" w:fill="D9D9D9"/>
            <w:vAlign w:val="center"/>
            <w:hideMark/>
          </w:tcPr>
          <w:p w14:paraId="247A82B1"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w:t>
            </w:r>
          </w:p>
        </w:tc>
        <w:tc>
          <w:tcPr>
            <w:tcW w:w="734" w:type="dxa"/>
            <w:tcBorders>
              <w:top w:val="nil"/>
              <w:left w:val="nil"/>
              <w:bottom w:val="single" w:sz="8" w:space="0" w:color="auto"/>
              <w:right w:val="single" w:sz="8" w:space="0" w:color="auto"/>
            </w:tcBorders>
            <w:shd w:val="clear" w:color="000000" w:fill="D9D9D9"/>
            <w:vAlign w:val="center"/>
            <w:hideMark/>
          </w:tcPr>
          <w:p w14:paraId="0AF48790"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w:t>
            </w:r>
          </w:p>
        </w:tc>
        <w:tc>
          <w:tcPr>
            <w:tcW w:w="747" w:type="dxa"/>
            <w:tcBorders>
              <w:top w:val="nil"/>
              <w:left w:val="nil"/>
              <w:bottom w:val="single" w:sz="8" w:space="0" w:color="auto"/>
              <w:right w:val="single" w:sz="8" w:space="0" w:color="auto"/>
            </w:tcBorders>
            <w:shd w:val="clear" w:color="000000" w:fill="D9D9D9"/>
            <w:vAlign w:val="center"/>
            <w:hideMark/>
          </w:tcPr>
          <w:p w14:paraId="620148D2"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w:t>
            </w:r>
          </w:p>
        </w:tc>
        <w:tc>
          <w:tcPr>
            <w:tcW w:w="744" w:type="dxa"/>
            <w:tcBorders>
              <w:top w:val="nil"/>
              <w:left w:val="nil"/>
              <w:bottom w:val="single" w:sz="8" w:space="0" w:color="auto"/>
              <w:right w:val="single" w:sz="8" w:space="0" w:color="auto"/>
            </w:tcBorders>
            <w:shd w:val="clear" w:color="000000" w:fill="D9D9D9"/>
            <w:vAlign w:val="center"/>
            <w:hideMark/>
          </w:tcPr>
          <w:p w14:paraId="66539241"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w:t>
            </w:r>
          </w:p>
        </w:tc>
      </w:tr>
      <w:tr w:rsidR="004A1163" w:rsidRPr="004C70EC" w14:paraId="239CA549" w14:textId="77777777">
        <w:trPr>
          <w:trHeight w:val="417"/>
        </w:trPr>
        <w:tc>
          <w:tcPr>
            <w:tcW w:w="2981"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46B9FE94" w14:textId="77777777" w:rsidR="00DD52BA" w:rsidRPr="004C70EC" w:rsidRDefault="00DD52BA">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Temporary agents (AD+AST) subtotal</w:t>
            </w:r>
          </w:p>
        </w:tc>
        <w:tc>
          <w:tcPr>
            <w:tcW w:w="772" w:type="dxa"/>
            <w:tcBorders>
              <w:top w:val="nil"/>
              <w:left w:val="nil"/>
              <w:bottom w:val="single" w:sz="8" w:space="0" w:color="auto"/>
              <w:right w:val="single" w:sz="8" w:space="0" w:color="auto"/>
            </w:tcBorders>
            <w:shd w:val="clear" w:color="000000" w:fill="D9D9D9"/>
            <w:vAlign w:val="center"/>
            <w:hideMark/>
          </w:tcPr>
          <w:p w14:paraId="68684789"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7</w:t>
            </w:r>
          </w:p>
        </w:tc>
        <w:tc>
          <w:tcPr>
            <w:tcW w:w="772" w:type="dxa"/>
            <w:tcBorders>
              <w:top w:val="nil"/>
              <w:left w:val="nil"/>
              <w:bottom w:val="single" w:sz="8" w:space="0" w:color="auto"/>
              <w:right w:val="single" w:sz="8" w:space="0" w:color="auto"/>
            </w:tcBorders>
            <w:shd w:val="clear" w:color="000000" w:fill="D9D9D9"/>
            <w:vAlign w:val="center"/>
            <w:hideMark/>
          </w:tcPr>
          <w:p w14:paraId="038D2F76"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7</w:t>
            </w:r>
          </w:p>
        </w:tc>
        <w:tc>
          <w:tcPr>
            <w:tcW w:w="734" w:type="dxa"/>
            <w:tcBorders>
              <w:top w:val="nil"/>
              <w:left w:val="nil"/>
              <w:bottom w:val="single" w:sz="8" w:space="0" w:color="auto"/>
              <w:right w:val="single" w:sz="8" w:space="0" w:color="auto"/>
            </w:tcBorders>
            <w:shd w:val="clear" w:color="000000" w:fill="D9D9D9"/>
            <w:vAlign w:val="center"/>
            <w:hideMark/>
          </w:tcPr>
          <w:p w14:paraId="5A62696E"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7</w:t>
            </w:r>
          </w:p>
        </w:tc>
        <w:tc>
          <w:tcPr>
            <w:tcW w:w="734" w:type="dxa"/>
            <w:tcBorders>
              <w:top w:val="nil"/>
              <w:left w:val="nil"/>
              <w:bottom w:val="single" w:sz="8" w:space="0" w:color="auto"/>
              <w:right w:val="single" w:sz="8" w:space="0" w:color="auto"/>
            </w:tcBorders>
            <w:shd w:val="clear" w:color="000000" w:fill="D9D9D9"/>
            <w:vAlign w:val="center"/>
            <w:hideMark/>
          </w:tcPr>
          <w:p w14:paraId="0C737735"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7</w:t>
            </w:r>
          </w:p>
        </w:tc>
        <w:tc>
          <w:tcPr>
            <w:tcW w:w="734" w:type="dxa"/>
            <w:tcBorders>
              <w:top w:val="nil"/>
              <w:left w:val="nil"/>
              <w:bottom w:val="single" w:sz="8" w:space="0" w:color="auto"/>
              <w:right w:val="single" w:sz="8" w:space="0" w:color="auto"/>
            </w:tcBorders>
            <w:shd w:val="clear" w:color="000000" w:fill="D9D9D9"/>
            <w:vAlign w:val="center"/>
            <w:hideMark/>
          </w:tcPr>
          <w:p w14:paraId="44B0E25A"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7</w:t>
            </w:r>
          </w:p>
        </w:tc>
        <w:tc>
          <w:tcPr>
            <w:tcW w:w="734" w:type="dxa"/>
            <w:tcBorders>
              <w:top w:val="nil"/>
              <w:left w:val="nil"/>
              <w:bottom w:val="single" w:sz="8" w:space="0" w:color="auto"/>
              <w:right w:val="single" w:sz="8" w:space="0" w:color="auto"/>
            </w:tcBorders>
            <w:shd w:val="clear" w:color="000000" w:fill="D9D9D9"/>
            <w:vAlign w:val="center"/>
            <w:hideMark/>
          </w:tcPr>
          <w:p w14:paraId="50E87614"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7</w:t>
            </w:r>
          </w:p>
        </w:tc>
        <w:tc>
          <w:tcPr>
            <w:tcW w:w="747" w:type="dxa"/>
            <w:tcBorders>
              <w:top w:val="nil"/>
              <w:left w:val="nil"/>
              <w:bottom w:val="single" w:sz="8" w:space="0" w:color="auto"/>
              <w:right w:val="single" w:sz="8" w:space="0" w:color="auto"/>
            </w:tcBorders>
            <w:shd w:val="clear" w:color="000000" w:fill="D9D9D9"/>
            <w:vAlign w:val="center"/>
            <w:hideMark/>
          </w:tcPr>
          <w:p w14:paraId="0106BFE0"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7</w:t>
            </w:r>
          </w:p>
        </w:tc>
        <w:tc>
          <w:tcPr>
            <w:tcW w:w="744" w:type="dxa"/>
            <w:tcBorders>
              <w:top w:val="nil"/>
              <w:left w:val="nil"/>
              <w:bottom w:val="single" w:sz="8" w:space="0" w:color="auto"/>
              <w:right w:val="single" w:sz="8" w:space="0" w:color="auto"/>
            </w:tcBorders>
            <w:shd w:val="clear" w:color="000000" w:fill="D9D9D9"/>
            <w:vAlign w:val="center"/>
            <w:hideMark/>
          </w:tcPr>
          <w:p w14:paraId="7AFBA959"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7</w:t>
            </w:r>
          </w:p>
        </w:tc>
      </w:tr>
      <w:tr w:rsidR="004A1163" w:rsidRPr="004C70EC" w14:paraId="1DEDFF6B" w14:textId="77777777">
        <w:trPr>
          <w:trHeight w:val="417"/>
        </w:trPr>
        <w:tc>
          <w:tcPr>
            <w:tcW w:w="2981"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4B7D9A64" w14:textId="77777777" w:rsidR="00DD52BA" w:rsidRPr="004C70EC" w:rsidRDefault="00DD52BA">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Contract staff</w:t>
            </w:r>
          </w:p>
        </w:tc>
        <w:tc>
          <w:tcPr>
            <w:tcW w:w="772" w:type="dxa"/>
            <w:tcBorders>
              <w:top w:val="nil"/>
              <w:left w:val="nil"/>
              <w:bottom w:val="single" w:sz="8" w:space="0" w:color="auto"/>
              <w:right w:val="single" w:sz="8" w:space="0" w:color="auto"/>
            </w:tcBorders>
            <w:shd w:val="clear" w:color="000000" w:fill="D9D9D9"/>
            <w:vAlign w:val="center"/>
            <w:hideMark/>
          </w:tcPr>
          <w:p w14:paraId="2C98C300"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72" w:type="dxa"/>
            <w:tcBorders>
              <w:top w:val="nil"/>
              <w:left w:val="nil"/>
              <w:bottom w:val="single" w:sz="8" w:space="0" w:color="auto"/>
              <w:right w:val="single" w:sz="8" w:space="0" w:color="auto"/>
            </w:tcBorders>
            <w:shd w:val="clear" w:color="000000" w:fill="D9D9D9"/>
            <w:vAlign w:val="center"/>
            <w:hideMark/>
          </w:tcPr>
          <w:p w14:paraId="7B7D9437"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34" w:type="dxa"/>
            <w:tcBorders>
              <w:top w:val="nil"/>
              <w:left w:val="nil"/>
              <w:bottom w:val="single" w:sz="8" w:space="0" w:color="auto"/>
              <w:right w:val="single" w:sz="8" w:space="0" w:color="auto"/>
            </w:tcBorders>
            <w:shd w:val="clear" w:color="000000" w:fill="D9D9D9"/>
            <w:vAlign w:val="center"/>
            <w:hideMark/>
          </w:tcPr>
          <w:p w14:paraId="1BABEB2F"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34" w:type="dxa"/>
            <w:tcBorders>
              <w:top w:val="nil"/>
              <w:left w:val="nil"/>
              <w:bottom w:val="single" w:sz="8" w:space="0" w:color="auto"/>
              <w:right w:val="single" w:sz="8" w:space="0" w:color="auto"/>
            </w:tcBorders>
            <w:shd w:val="clear" w:color="000000" w:fill="D9D9D9"/>
            <w:vAlign w:val="center"/>
            <w:hideMark/>
          </w:tcPr>
          <w:p w14:paraId="2D6A1E73"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34" w:type="dxa"/>
            <w:tcBorders>
              <w:top w:val="nil"/>
              <w:left w:val="nil"/>
              <w:bottom w:val="single" w:sz="8" w:space="0" w:color="auto"/>
              <w:right w:val="single" w:sz="8" w:space="0" w:color="auto"/>
            </w:tcBorders>
            <w:shd w:val="clear" w:color="000000" w:fill="D9D9D9"/>
            <w:vAlign w:val="center"/>
            <w:hideMark/>
          </w:tcPr>
          <w:p w14:paraId="5B1EFA57"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34" w:type="dxa"/>
            <w:tcBorders>
              <w:top w:val="nil"/>
              <w:left w:val="nil"/>
              <w:bottom w:val="single" w:sz="8" w:space="0" w:color="auto"/>
              <w:right w:val="single" w:sz="8" w:space="0" w:color="auto"/>
            </w:tcBorders>
            <w:shd w:val="clear" w:color="000000" w:fill="D9D9D9"/>
            <w:vAlign w:val="center"/>
            <w:hideMark/>
          </w:tcPr>
          <w:p w14:paraId="4E76D045"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47" w:type="dxa"/>
            <w:tcBorders>
              <w:top w:val="nil"/>
              <w:left w:val="nil"/>
              <w:bottom w:val="single" w:sz="8" w:space="0" w:color="auto"/>
              <w:right w:val="single" w:sz="8" w:space="0" w:color="auto"/>
            </w:tcBorders>
            <w:shd w:val="clear" w:color="000000" w:fill="D9D9D9"/>
            <w:vAlign w:val="center"/>
            <w:hideMark/>
          </w:tcPr>
          <w:p w14:paraId="3F20B9CA"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44" w:type="dxa"/>
            <w:tcBorders>
              <w:top w:val="nil"/>
              <w:left w:val="nil"/>
              <w:bottom w:val="single" w:sz="8" w:space="0" w:color="auto"/>
              <w:right w:val="single" w:sz="8" w:space="0" w:color="auto"/>
            </w:tcBorders>
            <w:shd w:val="clear" w:color="000000" w:fill="D9D9D9"/>
            <w:vAlign w:val="center"/>
            <w:hideMark/>
          </w:tcPr>
          <w:p w14:paraId="6584423D"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r>
      <w:tr w:rsidR="004A1163" w:rsidRPr="004C70EC" w14:paraId="6E816E71" w14:textId="77777777">
        <w:trPr>
          <w:trHeight w:val="417"/>
        </w:trPr>
        <w:tc>
          <w:tcPr>
            <w:tcW w:w="2981"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4E6C7CDE" w14:textId="77777777" w:rsidR="00DD52BA" w:rsidRPr="004C70EC" w:rsidRDefault="00DD52BA">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Seconded National Experts</w:t>
            </w:r>
          </w:p>
        </w:tc>
        <w:tc>
          <w:tcPr>
            <w:tcW w:w="772" w:type="dxa"/>
            <w:tcBorders>
              <w:top w:val="nil"/>
              <w:left w:val="nil"/>
              <w:bottom w:val="single" w:sz="8" w:space="0" w:color="auto"/>
              <w:right w:val="single" w:sz="8" w:space="0" w:color="auto"/>
            </w:tcBorders>
            <w:shd w:val="clear" w:color="000000" w:fill="D9D9D9"/>
            <w:vAlign w:val="center"/>
            <w:hideMark/>
          </w:tcPr>
          <w:p w14:paraId="32FF380D"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w:t>
            </w:r>
          </w:p>
        </w:tc>
        <w:tc>
          <w:tcPr>
            <w:tcW w:w="772" w:type="dxa"/>
            <w:tcBorders>
              <w:top w:val="nil"/>
              <w:left w:val="nil"/>
              <w:bottom w:val="single" w:sz="8" w:space="0" w:color="auto"/>
              <w:right w:val="single" w:sz="8" w:space="0" w:color="auto"/>
            </w:tcBorders>
            <w:shd w:val="clear" w:color="000000" w:fill="D9D9D9"/>
            <w:vAlign w:val="center"/>
            <w:hideMark/>
          </w:tcPr>
          <w:p w14:paraId="041617AE"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w:t>
            </w:r>
          </w:p>
        </w:tc>
        <w:tc>
          <w:tcPr>
            <w:tcW w:w="734" w:type="dxa"/>
            <w:tcBorders>
              <w:top w:val="nil"/>
              <w:left w:val="nil"/>
              <w:bottom w:val="single" w:sz="8" w:space="0" w:color="auto"/>
              <w:right w:val="single" w:sz="8" w:space="0" w:color="auto"/>
            </w:tcBorders>
            <w:shd w:val="clear" w:color="000000" w:fill="D9D9D9"/>
            <w:vAlign w:val="center"/>
            <w:hideMark/>
          </w:tcPr>
          <w:p w14:paraId="5E97103A"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w:t>
            </w:r>
          </w:p>
        </w:tc>
        <w:tc>
          <w:tcPr>
            <w:tcW w:w="734" w:type="dxa"/>
            <w:tcBorders>
              <w:top w:val="nil"/>
              <w:left w:val="nil"/>
              <w:bottom w:val="single" w:sz="8" w:space="0" w:color="auto"/>
              <w:right w:val="single" w:sz="8" w:space="0" w:color="auto"/>
            </w:tcBorders>
            <w:shd w:val="clear" w:color="000000" w:fill="D9D9D9"/>
            <w:vAlign w:val="center"/>
            <w:hideMark/>
          </w:tcPr>
          <w:p w14:paraId="64566CBE"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w:t>
            </w:r>
          </w:p>
        </w:tc>
        <w:tc>
          <w:tcPr>
            <w:tcW w:w="734" w:type="dxa"/>
            <w:tcBorders>
              <w:top w:val="nil"/>
              <w:left w:val="nil"/>
              <w:bottom w:val="single" w:sz="8" w:space="0" w:color="auto"/>
              <w:right w:val="single" w:sz="8" w:space="0" w:color="auto"/>
            </w:tcBorders>
            <w:shd w:val="clear" w:color="000000" w:fill="D9D9D9"/>
            <w:vAlign w:val="center"/>
            <w:hideMark/>
          </w:tcPr>
          <w:p w14:paraId="62968F89"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w:t>
            </w:r>
          </w:p>
        </w:tc>
        <w:tc>
          <w:tcPr>
            <w:tcW w:w="734" w:type="dxa"/>
            <w:tcBorders>
              <w:top w:val="nil"/>
              <w:left w:val="nil"/>
              <w:bottom w:val="single" w:sz="8" w:space="0" w:color="auto"/>
              <w:right w:val="single" w:sz="8" w:space="0" w:color="auto"/>
            </w:tcBorders>
            <w:shd w:val="clear" w:color="000000" w:fill="D9D9D9"/>
            <w:vAlign w:val="center"/>
            <w:hideMark/>
          </w:tcPr>
          <w:p w14:paraId="450D64CB"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w:t>
            </w:r>
          </w:p>
        </w:tc>
        <w:tc>
          <w:tcPr>
            <w:tcW w:w="747" w:type="dxa"/>
            <w:tcBorders>
              <w:top w:val="nil"/>
              <w:left w:val="nil"/>
              <w:bottom w:val="single" w:sz="8" w:space="0" w:color="auto"/>
              <w:right w:val="single" w:sz="8" w:space="0" w:color="auto"/>
            </w:tcBorders>
            <w:shd w:val="clear" w:color="000000" w:fill="D9D9D9"/>
            <w:vAlign w:val="center"/>
            <w:hideMark/>
          </w:tcPr>
          <w:p w14:paraId="2DE09A69"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w:t>
            </w:r>
          </w:p>
        </w:tc>
        <w:tc>
          <w:tcPr>
            <w:tcW w:w="744" w:type="dxa"/>
            <w:tcBorders>
              <w:top w:val="nil"/>
              <w:left w:val="nil"/>
              <w:bottom w:val="single" w:sz="8" w:space="0" w:color="auto"/>
              <w:right w:val="single" w:sz="8" w:space="0" w:color="auto"/>
            </w:tcBorders>
            <w:shd w:val="clear" w:color="000000" w:fill="D9D9D9"/>
            <w:vAlign w:val="center"/>
            <w:hideMark/>
          </w:tcPr>
          <w:p w14:paraId="1C907FBE"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w:t>
            </w:r>
          </w:p>
        </w:tc>
      </w:tr>
      <w:tr w:rsidR="004A1163" w:rsidRPr="004C70EC" w14:paraId="31AFDA5B" w14:textId="77777777">
        <w:trPr>
          <w:trHeight w:val="417"/>
        </w:trPr>
        <w:tc>
          <w:tcPr>
            <w:tcW w:w="2981"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7676DDC2" w14:textId="77777777" w:rsidR="00DD52BA" w:rsidRPr="004C70EC" w:rsidRDefault="00DD52BA">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Contract agents and SNE subtotal</w:t>
            </w:r>
          </w:p>
        </w:tc>
        <w:tc>
          <w:tcPr>
            <w:tcW w:w="772" w:type="dxa"/>
            <w:tcBorders>
              <w:top w:val="nil"/>
              <w:left w:val="nil"/>
              <w:bottom w:val="single" w:sz="8" w:space="0" w:color="auto"/>
              <w:right w:val="single" w:sz="8" w:space="0" w:color="auto"/>
            </w:tcBorders>
            <w:shd w:val="clear" w:color="000000" w:fill="D9D9D9"/>
            <w:vAlign w:val="center"/>
            <w:hideMark/>
          </w:tcPr>
          <w:p w14:paraId="49264D4B"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72" w:type="dxa"/>
            <w:tcBorders>
              <w:top w:val="nil"/>
              <w:left w:val="nil"/>
              <w:bottom w:val="single" w:sz="8" w:space="0" w:color="auto"/>
              <w:right w:val="single" w:sz="8" w:space="0" w:color="auto"/>
            </w:tcBorders>
            <w:shd w:val="clear" w:color="000000" w:fill="D9D9D9"/>
            <w:vAlign w:val="center"/>
            <w:hideMark/>
          </w:tcPr>
          <w:p w14:paraId="5D700CC9"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34" w:type="dxa"/>
            <w:tcBorders>
              <w:top w:val="nil"/>
              <w:left w:val="nil"/>
              <w:bottom w:val="single" w:sz="8" w:space="0" w:color="auto"/>
              <w:right w:val="single" w:sz="8" w:space="0" w:color="auto"/>
            </w:tcBorders>
            <w:shd w:val="clear" w:color="000000" w:fill="D9D9D9"/>
            <w:vAlign w:val="center"/>
            <w:hideMark/>
          </w:tcPr>
          <w:p w14:paraId="2EA7735B"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34" w:type="dxa"/>
            <w:tcBorders>
              <w:top w:val="nil"/>
              <w:left w:val="nil"/>
              <w:bottom w:val="single" w:sz="8" w:space="0" w:color="auto"/>
              <w:right w:val="single" w:sz="8" w:space="0" w:color="auto"/>
            </w:tcBorders>
            <w:shd w:val="clear" w:color="000000" w:fill="D9D9D9"/>
            <w:vAlign w:val="center"/>
            <w:hideMark/>
          </w:tcPr>
          <w:p w14:paraId="690138F5"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34" w:type="dxa"/>
            <w:tcBorders>
              <w:top w:val="nil"/>
              <w:left w:val="nil"/>
              <w:bottom w:val="single" w:sz="8" w:space="0" w:color="auto"/>
              <w:right w:val="single" w:sz="8" w:space="0" w:color="auto"/>
            </w:tcBorders>
            <w:shd w:val="clear" w:color="000000" w:fill="D9D9D9"/>
            <w:vAlign w:val="center"/>
            <w:hideMark/>
          </w:tcPr>
          <w:p w14:paraId="6EF2F31B"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34" w:type="dxa"/>
            <w:tcBorders>
              <w:top w:val="nil"/>
              <w:left w:val="nil"/>
              <w:bottom w:val="single" w:sz="8" w:space="0" w:color="auto"/>
              <w:right w:val="single" w:sz="8" w:space="0" w:color="auto"/>
            </w:tcBorders>
            <w:shd w:val="clear" w:color="000000" w:fill="D9D9D9"/>
            <w:vAlign w:val="center"/>
            <w:hideMark/>
          </w:tcPr>
          <w:p w14:paraId="7965466B"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47" w:type="dxa"/>
            <w:tcBorders>
              <w:top w:val="nil"/>
              <w:left w:val="nil"/>
              <w:bottom w:val="single" w:sz="8" w:space="0" w:color="auto"/>
              <w:right w:val="single" w:sz="8" w:space="0" w:color="auto"/>
            </w:tcBorders>
            <w:shd w:val="clear" w:color="000000" w:fill="D9D9D9"/>
            <w:vAlign w:val="center"/>
            <w:hideMark/>
          </w:tcPr>
          <w:p w14:paraId="3D4B8190"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c>
          <w:tcPr>
            <w:tcW w:w="744" w:type="dxa"/>
            <w:tcBorders>
              <w:top w:val="nil"/>
              <w:left w:val="nil"/>
              <w:bottom w:val="single" w:sz="8" w:space="0" w:color="auto"/>
              <w:right w:val="single" w:sz="8" w:space="0" w:color="auto"/>
            </w:tcBorders>
            <w:shd w:val="clear" w:color="000000" w:fill="D9D9D9"/>
            <w:vAlign w:val="center"/>
            <w:hideMark/>
          </w:tcPr>
          <w:p w14:paraId="14B6538C"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5</w:t>
            </w:r>
          </w:p>
        </w:tc>
      </w:tr>
      <w:tr w:rsidR="004A1163" w:rsidRPr="004C70EC" w14:paraId="7B09228F" w14:textId="77777777">
        <w:trPr>
          <w:trHeight w:val="417"/>
        </w:trPr>
        <w:tc>
          <w:tcPr>
            <w:tcW w:w="2981"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4258AD40" w14:textId="77777777" w:rsidR="00DD52BA" w:rsidRPr="004C70EC" w:rsidRDefault="00DD52BA">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TOTAL staff</w:t>
            </w:r>
          </w:p>
        </w:tc>
        <w:tc>
          <w:tcPr>
            <w:tcW w:w="772" w:type="dxa"/>
            <w:tcBorders>
              <w:top w:val="nil"/>
              <w:left w:val="nil"/>
              <w:bottom w:val="single" w:sz="8" w:space="0" w:color="auto"/>
              <w:right w:val="single" w:sz="8" w:space="0" w:color="auto"/>
            </w:tcBorders>
            <w:shd w:val="clear" w:color="000000" w:fill="D9D9D9"/>
            <w:vAlign w:val="center"/>
            <w:hideMark/>
          </w:tcPr>
          <w:p w14:paraId="5EFB4212"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12</w:t>
            </w:r>
          </w:p>
        </w:tc>
        <w:tc>
          <w:tcPr>
            <w:tcW w:w="772" w:type="dxa"/>
            <w:tcBorders>
              <w:top w:val="nil"/>
              <w:left w:val="nil"/>
              <w:bottom w:val="single" w:sz="8" w:space="0" w:color="auto"/>
              <w:right w:val="single" w:sz="8" w:space="0" w:color="auto"/>
            </w:tcBorders>
            <w:shd w:val="clear" w:color="000000" w:fill="D9D9D9"/>
            <w:vAlign w:val="center"/>
            <w:hideMark/>
          </w:tcPr>
          <w:p w14:paraId="682293DD"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12</w:t>
            </w:r>
          </w:p>
        </w:tc>
        <w:tc>
          <w:tcPr>
            <w:tcW w:w="734" w:type="dxa"/>
            <w:tcBorders>
              <w:top w:val="nil"/>
              <w:left w:val="nil"/>
              <w:bottom w:val="single" w:sz="8" w:space="0" w:color="auto"/>
              <w:right w:val="single" w:sz="8" w:space="0" w:color="auto"/>
            </w:tcBorders>
            <w:shd w:val="clear" w:color="000000" w:fill="D9D9D9"/>
            <w:vAlign w:val="center"/>
            <w:hideMark/>
          </w:tcPr>
          <w:p w14:paraId="118F71A2"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12</w:t>
            </w:r>
          </w:p>
        </w:tc>
        <w:tc>
          <w:tcPr>
            <w:tcW w:w="734" w:type="dxa"/>
            <w:tcBorders>
              <w:top w:val="nil"/>
              <w:left w:val="nil"/>
              <w:bottom w:val="single" w:sz="8" w:space="0" w:color="auto"/>
              <w:right w:val="single" w:sz="8" w:space="0" w:color="auto"/>
            </w:tcBorders>
            <w:shd w:val="clear" w:color="000000" w:fill="D9D9D9"/>
            <w:vAlign w:val="center"/>
            <w:hideMark/>
          </w:tcPr>
          <w:p w14:paraId="4707205A"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12</w:t>
            </w:r>
          </w:p>
        </w:tc>
        <w:tc>
          <w:tcPr>
            <w:tcW w:w="734" w:type="dxa"/>
            <w:tcBorders>
              <w:top w:val="nil"/>
              <w:left w:val="nil"/>
              <w:bottom w:val="single" w:sz="8" w:space="0" w:color="auto"/>
              <w:right w:val="single" w:sz="8" w:space="0" w:color="auto"/>
            </w:tcBorders>
            <w:shd w:val="clear" w:color="000000" w:fill="D9D9D9"/>
            <w:vAlign w:val="center"/>
            <w:hideMark/>
          </w:tcPr>
          <w:p w14:paraId="777107FD"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12</w:t>
            </w:r>
          </w:p>
        </w:tc>
        <w:tc>
          <w:tcPr>
            <w:tcW w:w="734" w:type="dxa"/>
            <w:tcBorders>
              <w:top w:val="nil"/>
              <w:left w:val="nil"/>
              <w:bottom w:val="single" w:sz="8" w:space="0" w:color="auto"/>
              <w:right w:val="single" w:sz="8" w:space="0" w:color="auto"/>
            </w:tcBorders>
            <w:shd w:val="clear" w:color="000000" w:fill="D9D9D9"/>
            <w:vAlign w:val="center"/>
            <w:hideMark/>
          </w:tcPr>
          <w:p w14:paraId="464C794F"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12</w:t>
            </w:r>
          </w:p>
        </w:tc>
        <w:tc>
          <w:tcPr>
            <w:tcW w:w="747" w:type="dxa"/>
            <w:tcBorders>
              <w:top w:val="nil"/>
              <w:left w:val="nil"/>
              <w:bottom w:val="single" w:sz="8" w:space="0" w:color="auto"/>
              <w:right w:val="single" w:sz="8" w:space="0" w:color="auto"/>
            </w:tcBorders>
            <w:shd w:val="clear" w:color="000000" w:fill="D9D9D9"/>
            <w:vAlign w:val="center"/>
            <w:hideMark/>
          </w:tcPr>
          <w:p w14:paraId="7ED6A409"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12</w:t>
            </w:r>
          </w:p>
        </w:tc>
        <w:tc>
          <w:tcPr>
            <w:tcW w:w="744" w:type="dxa"/>
            <w:tcBorders>
              <w:top w:val="nil"/>
              <w:left w:val="nil"/>
              <w:bottom w:val="single" w:sz="8" w:space="0" w:color="auto"/>
              <w:right w:val="single" w:sz="8" w:space="0" w:color="auto"/>
            </w:tcBorders>
            <w:shd w:val="clear" w:color="000000" w:fill="D9D9D9"/>
            <w:vAlign w:val="center"/>
            <w:hideMark/>
          </w:tcPr>
          <w:p w14:paraId="0B5FF365" w14:textId="77777777" w:rsidR="00DD52BA" w:rsidRPr="004C70EC" w:rsidRDefault="00DD52BA">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12</w:t>
            </w:r>
          </w:p>
        </w:tc>
      </w:tr>
    </w:tbl>
    <w:p w14:paraId="287FC2FC" w14:textId="77777777" w:rsidR="00F41325" w:rsidRPr="004C70EC" w:rsidRDefault="00F41325" w:rsidP="33CE1D06">
      <w:pPr>
        <w:ind w:left="-142"/>
        <w:jc w:val="left"/>
        <w:rPr>
          <w:noProof/>
          <w:color w:val="000000" w:themeColor="text1"/>
          <w:szCs w:val="24"/>
          <w:u w:val="single"/>
        </w:rPr>
      </w:pPr>
    </w:p>
    <w:p w14:paraId="4867FAEA" w14:textId="77777777" w:rsidR="00F41325" w:rsidRPr="004C70EC" w:rsidRDefault="00F41325" w:rsidP="33CE1D06">
      <w:pPr>
        <w:ind w:left="-142"/>
        <w:jc w:val="left"/>
        <w:rPr>
          <w:noProof/>
          <w:color w:val="000000" w:themeColor="text1"/>
          <w:szCs w:val="24"/>
          <w:u w:val="single"/>
        </w:rPr>
      </w:pPr>
    </w:p>
    <w:p w14:paraId="5811B3C8" w14:textId="77777777" w:rsidR="00F41325" w:rsidRPr="004C70EC" w:rsidRDefault="00F41325" w:rsidP="33CE1D06">
      <w:pPr>
        <w:ind w:left="-142"/>
        <w:jc w:val="left"/>
        <w:rPr>
          <w:noProof/>
          <w:color w:val="000000" w:themeColor="text1"/>
          <w:szCs w:val="24"/>
          <w:u w:val="single"/>
        </w:rPr>
      </w:pPr>
    </w:p>
    <w:p w14:paraId="3A2AD227" w14:textId="77777777" w:rsidR="007966CD" w:rsidRPr="004C70EC" w:rsidRDefault="007966CD">
      <w:pPr>
        <w:ind w:left="-142"/>
        <w:jc w:val="left"/>
        <w:rPr>
          <w:noProof/>
          <w:color w:val="000000" w:themeColor="text1"/>
          <w:szCs w:val="24"/>
          <w:u w:val="single"/>
        </w:rPr>
      </w:pPr>
    </w:p>
    <w:p w14:paraId="17CCFB7C" w14:textId="77777777" w:rsidR="00127B6F" w:rsidRPr="004C70EC" w:rsidRDefault="00127B6F" w:rsidP="00127B6F">
      <w:pPr>
        <w:spacing w:before="240"/>
        <w:rPr>
          <w:noProof/>
          <w:color w:val="000000" w:themeColor="text1"/>
          <w:szCs w:val="24"/>
          <w:u w:val="single"/>
          <w:lang w:val="en-IE"/>
        </w:rPr>
      </w:pPr>
      <w:r w:rsidRPr="004C70EC">
        <w:rPr>
          <w:noProof/>
          <w:color w:val="000000" w:themeColor="text1"/>
          <w:szCs w:val="24"/>
          <w:u w:val="single"/>
          <w:lang w:val="en-IE"/>
        </w:rPr>
        <w:t>Appropriations covered by the EU budget contribution in EUR million (to three decimal places)</w:t>
      </w:r>
    </w:p>
    <w:tbl>
      <w:tblPr>
        <w:tblW w:w="9517" w:type="dxa"/>
        <w:tblInd w:w="-228" w:type="dxa"/>
        <w:tblLook w:val="04A0" w:firstRow="1" w:lastRow="0" w:firstColumn="1" w:lastColumn="0" w:noHBand="0" w:noVBand="1"/>
      </w:tblPr>
      <w:tblGrid>
        <w:gridCol w:w="1750"/>
        <w:gridCol w:w="804"/>
        <w:gridCol w:w="773"/>
        <w:gridCol w:w="722"/>
        <w:gridCol w:w="722"/>
        <w:gridCol w:w="722"/>
        <w:gridCol w:w="722"/>
        <w:gridCol w:w="722"/>
        <w:gridCol w:w="1057"/>
        <w:gridCol w:w="1523"/>
      </w:tblGrid>
      <w:tr w:rsidR="00580F54" w:rsidRPr="004C70EC" w14:paraId="52644C6B" w14:textId="77777777" w:rsidTr="00104748">
        <w:trPr>
          <w:trHeight w:val="254"/>
        </w:trPr>
        <w:tc>
          <w:tcPr>
            <w:tcW w:w="1225" w:type="dxa"/>
            <w:vMerge w:val="restart"/>
            <w:tcBorders>
              <w:top w:val="single" w:sz="8" w:space="0" w:color="auto"/>
              <w:left w:val="single" w:sz="8" w:space="0" w:color="auto"/>
              <w:bottom w:val="single" w:sz="8" w:space="0" w:color="000000"/>
              <w:right w:val="single" w:sz="8" w:space="0" w:color="auto"/>
            </w:tcBorders>
            <w:vAlign w:val="center"/>
            <w:hideMark/>
          </w:tcPr>
          <w:p w14:paraId="2DD88B4E" w14:textId="77777777" w:rsidR="00127B6F" w:rsidRPr="004C70EC" w:rsidRDefault="00127B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[Agency]: &lt;EMA .&gt;</w:t>
            </w:r>
          </w:p>
        </w:tc>
        <w:tc>
          <w:tcPr>
            <w:tcW w:w="1011" w:type="dxa"/>
            <w:tcBorders>
              <w:top w:val="single" w:sz="8" w:space="0" w:color="auto"/>
              <w:left w:val="nil"/>
              <w:bottom w:val="nil"/>
              <w:right w:val="single" w:sz="8" w:space="0" w:color="auto"/>
            </w:tcBorders>
            <w:shd w:val="clear" w:color="000000" w:fill="FFFFFF"/>
            <w:vAlign w:val="bottom"/>
            <w:hideMark/>
          </w:tcPr>
          <w:p w14:paraId="6764FF35" w14:textId="77777777" w:rsidR="00127B6F" w:rsidRPr="004C70EC" w:rsidRDefault="00127B6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866" w:type="dxa"/>
            <w:tcBorders>
              <w:top w:val="single" w:sz="8" w:space="0" w:color="auto"/>
              <w:left w:val="nil"/>
              <w:bottom w:val="nil"/>
              <w:right w:val="single" w:sz="8" w:space="0" w:color="auto"/>
            </w:tcBorders>
            <w:shd w:val="clear" w:color="000000" w:fill="FFFFFF"/>
            <w:vAlign w:val="bottom"/>
            <w:hideMark/>
          </w:tcPr>
          <w:p w14:paraId="289F8639" w14:textId="77777777" w:rsidR="00127B6F" w:rsidRPr="004C70EC" w:rsidRDefault="00127B6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866" w:type="dxa"/>
            <w:tcBorders>
              <w:top w:val="single" w:sz="8" w:space="0" w:color="auto"/>
              <w:left w:val="nil"/>
              <w:bottom w:val="nil"/>
              <w:right w:val="single" w:sz="8" w:space="0" w:color="auto"/>
            </w:tcBorders>
            <w:shd w:val="clear" w:color="000000" w:fill="FFFFFF"/>
            <w:vAlign w:val="bottom"/>
            <w:hideMark/>
          </w:tcPr>
          <w:p w14:paraId="0AECF6C0" w14:textId="77777777" w:rsidR="00127B6F" w:rsidRPr="004C70EC" w:rsidRDefault="00127B6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866" w:type="dxa"/>
            <w:tcBorders>
              <w:top w:val="single" w:sz="8" w:space="0" w:color="auto"/>
              <w:left w:val="nil"/>
              <w:bottom w:val="nil"/>
              <w:right w:val="single" w:sz="8" w:space="0" w:color="auto"/>
            </w:tcBorders>
            <w:shd w:val="clear" w:color="000000" w:fill="FFFFFF"/>
            <w:vAlign w:val="bottom"/>
            <w:hideMark/>
          </w:tcPr>
          <w:p w14:paraId="3FC2E683" w14:textId="77777777" w:rsidR="00127B6F" w:rsidRPr="004C70EC" w:rsidRDefault="00127B6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866" w:type="dxa"/>
            <w:tcBorders>
              <w:top w:val="single" w:sz="8" w:space="0" w:color="auto"/>
              <w:left w:val="nil"/>
              <w:bottom w:val="nil"/>
              <w:right w:val="single" w:sz="8" w:space="0" w:color="auto"/>
            </w:tcBorders>
            <w:shd w:val="clear" w:color="000000" w:fill="FFFFFF"/>
            <w:vAlign w:val="bottom"/>
            <w:hideMark/>
          </w:tcPr>
          <w:p w14:paraId="3312035C" w14:textId="77777777" w:rsidR="00127B6F" w:rsidRPr="004C70EC" w:rsidRDefault="00127B6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866" w:type="dxa"/>
            <w:tcBorders>
              <w:top w:val="single" w:sz="8" w:space="0" w:color="auto"/>
              <w:left w:val="nil"/>
              <w:bottom w:val="nil"/>
              <w:right w:val="single" w:sz="8" w:space="0" w:color="auto"/>
            </w:tcBorders>
            <w:shd w:val="clear" w:color="000000" w:fill="FFFFFF"/>
            <w:vAlign w:val="bottom"/>
            <w:hideMark/>
          </w:tcPr>
          <w:p w14:paraId="5517BD1B" w14:textId="77777777" w:rsidR="00127B6F" w:rsidRPr="004C70EC" w:rsidRDefault="00127B6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866" w:type="dxa"/>
            <w:tcBorders>
              <w:top w:val="single" w:sz="8" w:space="0" w:color="auto"/>
              <w:left w:val="nil"/>
              <w:bottom w:val="nil"/>
              <w:right w:val="single" w:sz="8" w:space="0" w:color="auto"/>
            </w:tcBorders>
            <w:shd w:val="clear" w:color="000000" w:fill="FFFFFF"/>
            <w:vAlign w:val="bottom"/>
            <w:hideMark/>
          </w:tcPr>
          <w:p w14:paraId="0ABEA91A" w14:textId="77777777" w:rsidR="00127B6F" w:rsidRPr="004C70EC" w:rsidRDefault="00127B6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1011" w:type="dxa"/>
            <w:vMerge w:val="restart"/>
            <w:tcBorders>
              <w:top w:val="single" w:sz="8" w:space="0" w:color="auto"/>
              <w:left w:val="single" w:sz="8" w:space="0" w:color="auto"/>
              <w:bottom w:val="single" w:sz="8" w:space="0" w:color="000000"/>
              <w:right w:val="single" w:sz="8" w:space="0" w:color="auto"/>
            </w:tcBorders>
            <w:vAlign w:val="center"/>
            <w:hideMark/>
          </w:tcPr>
          <w:p w14:paraId="4F69FA53" w14:textId="77777777" w:rsidR="00127B6F" w:rsidRPr="004C70EC" w:rsidRDefault="00127B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w:t>
            </w:r>
            <w:r w:rsidRPr="004C70EC">
              <w:rPr>
                <w:rFonts w:eastAsia="Times New Roman"/>
                <w:b/>
                <w:bCs/>
                <w:noProof/>
                <w:color w:val="000000" w:themeColor="text1"/>
                <w:szCs w:val="24"/>
                <w:lang w:val="en-IE" w:eastAsia="en-IE"/>
              </w:rPr>
              <w:br/>
              <w:t>2028 - 2034</w:t>
            </w:r>
          </w:p>
        </w:tc>
        <w:tc>
          <w:tcPr>
            <w:tcW w:w="1074" w:type="dxa"/>
            <w:tcBorders>
              <w:top w:val="single" w:sz="8" w:space="0" w:color="auto"/>
              <w:left w:val="nil"/>
              <w:bottom w:val="nil"/>
              <w:right w:val="single" w:sz="8" w:space="0" w:color="auto"/>
            </w:tcBorders>
            <w:shd w:val="clear" w:color="000000" w:fill="FFFFFF"/>
            <w:vAlign w:val="bottom"/>
            <w:hideMark/>
          </w:tcPr>
          <w:p w14:paraId="2FB51E9D" w14:textId="77777777" w:rsidR="00127B6F" w:rsidRPr="004C70EC" w:rsidRDefault="00127B6F">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POST</w:t>
            </w:r>
          </w:p>
        </w:tc>
      </w:tr>
      <w:tr w:rsidR="00580F54" w:rsidRPr="004C70EC" w14:paraId="555CDBE8" w14:textId="77777777" w:rsidTr="00104748">
        <w:trPr>
          <w:trHeight w:val="254"/>
        </w:trPr>
        <w:tc>
          <w:tcPr>
            <w:tcW w:w="1225" w:type="dxa"/>
            <w:vMerge/>
            <w:tcBorders>
              <w:top w:val="single" w:sz="8" w:space="0" w:color="auto"/>
              <w:left w:val="single" w:sz="8" w:space="0" w:color="auto"/>
              <w:bottom w:val="single" w:sz="8" w:space="0" w:color="000000"/>
              <w:right w:val="single" w:sz="8" w:space="0" w:color="auto"/>
            </w:tcBorders>
            <w:vAlign w:val="center"/>
            <w:hideMark/>
          </w:tcPr>
          <w:p w14:paraId="6CD48779" w14:textId="77777777" w:rsidR="00127B6F" w:rsidRPr="004C70EC" w:rsidRDefault="00127B6F">
            <w:pPr>
              <w:spacing w:before="0" w:after="0"/>
              <w:jc w:val="left"/>
              <w:rPr>
                <w:rFonts w:eastAsia="Times New Roman"/>
                <w:b/>
                <w:bCs/>
                <w:noProof/>
                <w:color w:val="000000" w:themeColor="text1"/>
                <w:szCs w:val="24"/>
                <w:lang w:val="en-IE" w:eastAsia="en-IE"/>
              </w:rPr>
            </w:pPr>
          </w:p>
        </w:tc>
        <w:tc>
          <w:tcPr>
            <w:tcW w:w="1011" w:type="dxa"/>
            <w:tcBorders>
              <w:top w:val="nil"/>
              <w:left w:val="nil"/>
              <w:bottom w:val="single" w:sz="8" w:space="0" w:color="auto"/>
              <w:right w:val="single" w:sz="8" w:space="0" w:color="auto"/>
            </w:tcBorders>
            <w:vAlign w:val="center"/>
            <w:hideMark/>
          </w:tcPr>
          <w:p w14:paraId="305E2EA9" w14:textId="77777777" w:rsidR="00127B6F" w:rsidRPr="004C70EC" w:rsidRDefault="00127B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2028</w:t>
            </w:r>
          </w:p>
        </w:tc>
        <w:tc>
          <w:tcPr>
            <w:tcW w:w="866" w:type="dxa"/>
            <w:tcBorders>
              <w:top w:val="nil"/>
              <w:left w:val="nil"/>
              <w:bottom w:val="single" w:sz="8" w:space="0" w:color="auto"/>
              <w:right w:val="single" w:sz="8" w:space="0" w:color="auto"/>
            </w:tcBorders>
            <w:vAlign w:val="center"/>
            <w:hideMark/>
          </w:tcPr>
          <w:p w14:paraId="2830CD0E" w14:textId="77777777" w:rsidR="00127B6F" w:rsidRPr="004C70EC" w:rsidRDefault="00127B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2029</w:t>
            </w:r>
          </w:p>
        </w:tc>
        <w:tc>
          <w:tcPr>
            <w:tcW w:w="866" w:type="dxa"/>
            <w:tcBorders>
              <w:top w:val="nil"/>
              <w:left w:val="nil"/>
              <w:bottom w:val="single" w:sz="8" w:space="0" w:color="auto"/>
              <w:right w:val="single" w:sz="8" w:space="0" w:color="auto"/>
            </w:tcBorders>
            <w:vAlign w:val="center"/>
            <w:hideMark/>
          </w:tcPr>
          <w:p w14:paraId="73376CBF" w14:textId="77777777" w:rsidR="00127B6F" w:rsidRPr="004C70EC" w:rsidRDefault="00127B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2030</w:t>
            </w:r>
          </w:p>
        </w:tc>
        <w:tc>
          <w:tcPr>
            <w:tcW w:w="866" w:type="dxa"/>
            <w:tcBorders>
              <w:top w:val="nil"/>
              <w:left w:val="nil"/>
              <w:bottom w:val="single" w:sz="8" w:space="0" w:color="auto"/>
              <w:right w:val="single" w:sz="8" w:space="0" w:color="auto"/>
            </w:tcBorders>
            <w:vAlign w:val="center"/>
            <w:hideMark/>
          </w:tcPr>
          <w:p w14:paraId="3053D359" w14:textId="77777777" w:rsidR="00127B6F" w:rsidRPr="004C70EC" w:rsidRDefault="00127B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2031</w:t>
            </w:r>
          </w:p>
        </w:tc>
        <w:tc>
          <w:tcPr>
            <w:tcW w:w="866" w:type="dxa"/>
            <w:tcBorders>
              <w:top w:val="nil"/>
              <w:left w:val="nil"/>
              <w:bottom w:val="single" w:sz="8" w:space="0" w:color="auto"/>
              <w:right w:val="single" w:sz="8" w:space="0" w:color="auto"/>
            </w:tcBorders>
            <w:shd w:val="clear" w:color="000000" w:fill="FFFFFF"/>
            <w:hideMark/>
          </w:tcPr>
          <w:p w14:paraId="1ADFCFD5" w14:textId="77777777" w:rsidR="00127B6F" w:rsidRPr="004C70EC" w:rsidRDefault="00127B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2032</w:t>
            </w:r>
          </w:p>
        </w:tc>
        <w:tc>
          <w:tcPr>
            <w:tcW w:w="866" w:type="dxa"/>
            <w:tcBorders>
              <w:top w:val="nil"/>
              <w:left w:val="nil"/>
              <w:bottom w:val="single" w:sz="8" w:space="0" w:color="auto"/>
              <w:right w:val="single" w:sz="8" w:space="0" w:color="auto"/>
            </w:tcBorders>
            <w:shd w:val="clear" w:color="000000" w:fill="FFFFFF"/>
            <w:hideMark/>
          </w:tcPr>
          <w:p w14:paraId="1734D155" w14:textId="77777777" w:rsidR="00127B6F" w:rsidRPr="004C70EC" w:rsidRDefault="00127B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2033</w:t>
            </w:r>
          </w:p>
        </w:tc>
        <w:tc>
          <w:tcPr>
            <w:tcW w:w="866" w:type="dxa"/>
            <w:tcBorders>
              <w:top w:val="nil"/>
              <w:left w:val="nil"/>
              <w:bottom w:val="single" w:sz="8" w:space="0" w:color="auto"/>
              <w:right w:val="single" w:sz="8" w:space="0" w:color="auto"/>
            </w:tcBorders>
            <w:shd w:val="clear" w:color="000000" w:fill="FFFFFF"/>
            <w:hideMark/>
          </w:tcPr>
          <w:p w14:paraId="604F7122" w14:textId="77777777" w:rsidR="00127B6F" w:rsidRPr="004C70EC" w:rsidRDefault="00127B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w:t>
            </w:r>
          </w:p>
        </w:tc>
        <w:tc>
          <w:tcPr>
            <w:tcW w:w="1011" w:type="dxa"/>
            <w:vMerge/>
            <w:tcBorders>
              <w:top w:val="single" w:sz="8" w:space="0" w:color="auto"/>
              <w:left w:val="single" w:sz="8" w:space="0" w:color="auto"/>
              <w:bottom w:val="single" w:sz="8" w:space="0" w:color="000000"/>
              <w:right w:val="single" w:sz="8" w:space="0" w:color="auto"/>
            </w:tcBorders>
            <w:vAlign w:val="center"/>
            <w:hideMark/>
          </w:tcPr>
          <w:p w14:paraId="62B41B96" w14:textId="77777777" w:rsidR="00127B6F" w:rsidRPr="004C70EC" w:rsidRDefault="00127B6F">
            <w:pPr>
              <w:spacing w:before="0" w:after="0"/>
              <w:jc w:val="left"/>
              <w:rPr>
                <w:rFonts w:eastAsia="Times New Roman"/>
                <w:b/>
                <w:bCs/>
                <w:noProof/>
                <w:color w:val="000000" w:themeColor="text1"/>
                <w:szCs w:val="24"/>
                <w:lang w:val="en-IE" w:eastAsia="en-IE"/>
              </w:rPr>
            </w:pPr>
          </w:p>
        </w:tc>
        <w:tc>
          <w:tcPr>
            <w:tcW w:w="1074" w:type="dxa"/>
            <w:tcBorders>
              <w:top w:val="nil"/>
              <w:left w:val="nil"/>
              <w:bottom w:val="single" w:sz="8" w:space="0" w:color="auto"/>
              <w:right w:val="single" w:sz="8" w:space="0" w:color="auto"/>
            </w:tcBorders>
            <w:shd w:val="clear" w:color="000000" w:fill="FFFFFF"/>
            <w:hideMark/>
          </w:tcPr>
          <w:p w14:paraId="32933B76" w14:textId="77777777" w:rsidR="00127B6F" w:rsidRPr="004C70EC" w:rsidRDefault="00127B6F">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2034(annual expenditure)</w:t>
            </w:r>
          </w:p>
        </w:tc>
      </w:tr>
      <w:tr w:rsidR="00580F54" w:rsidRPr="004C70EC" w14:paraId="76B0237D" w14:textId="77777777" w:rsidTr="00104748">
        <w:trPr>
          <w:trHeight w:val="464"/>
        </w:trPr>
        <w:tc>
          <w:tcPr>
            <w:tcW w:w="1225" w:type="dxa"/>
            <w:tcBorders>
              <w:top w:val="nil"/>
              <w:left w:val="single" w:sz="8" w:space="0" w:color="auto"/>
              <w:bottom w:val="single" w:sz="8" w:space="0" w:color="auto"/>
              <w:right w:val="single" w:sz="8" w:space="0" w:color="auto"/>
            </w:tcBorders>
            <w:vAlign w:val="center"/>
            <w:hideMark/>
          </w:tcPr>
          <w:p w14:paraId="666D3C67" w14:textId="77777777" w:rsidR="005E129F" w:rsidRPr="004C70EC" w:rsidRDefault="005E129F" w:rsidP="005E129F">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Title 1: Staff expenditure</w:t>
            </w:r>
          </w:p>
        </w:tc>
        <w:tc>
          <w:tcPr>
            <w:tcW w:w="1011" w:type="dxa"/>
            <w:tcBorders>
              <w:top w:val="nil"/>
              <w:left w:val="nil"/>
              <w:bottom w:val="single" w:sz="8" w:space="0" w:color="auto"/>
              <w:right w:val="single" w:sz="8" w:space="0" w:color="auto"/>
            </w:tcBorders>
            <w:vAlign w:val="center"/>
            <w:hideMark/>
          </w:tcPr>
          <w:p w14:paraId="07B3358E" w14:textId="77777777" w:rsidR="005E129F" w:rsidRPr="004C70EC" w:rsidRDefault="005E129F" w:rsidP="005E129F">
            <w:pPr>
              <w:spacing w:before="0" w:after="0"/>
              <w:jc w:val="lef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1,055</w:t>
            </w:r>
          </w:p>
        </w:tc>
        <w:tc>
          <w:tcPr>
            <w:tcW w:w="866" w:type="dxa"/>
            <w:tcBorders>
              <w:top w:val="nil"/>
              <w:left w:val="nil"/>
              <w:bottom w:val="single" w:sz="8" w:space="0" w:color="auto"/>
              <w:right w:val="single" w:sz="8" w:space="0" w:color="auto"/>
            </w:tcBorders>
            <w:vAlign w:val="center"/>
            <w:hideMark/>
          </w:tcPr>
          <w:p w14:paraId="011A3EEA" w14:textId="77777777" w:rsidR="005E129F" w:rsidRPr="004C70EC" w:rsidRDefault="005E129F" w:rsidP="005E129F">
            <w:pPr>
              <w:spacing w:before="0" w:after="0"/>
              <w:jc w:val="lef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2,153</w:t>
            </w:r>
          </w:p>
        </w:tc>
        <w:tc>
          <w:tcPr>
            <w:tcW w:w="866" w:type="dxa"/>
            <w:tcBorders>
              <w:top w:val="nil"/>
              <w:left w:val="nil"/>
              <w:bottom w:val="single" w:sz="8" w:space="0" w:color="auto"/>
              <w:right w:val="single" w:sz="8" w:space="0" w:color="auto"/>
            </w:tcBorders>
            <w:vAlign w:val="center"/>
            <w:hideMark/>
          </w:tcPr>
          <w:p w14:paraId="66EC3E91" w14:textId="77777777" w:rsidR="005E129F" w:rsidRPr="004C70EC" w:rsidRDefault="005E129F" w:rsidP="005E129F">
            <w:pPr>
              <w:spacing w:before="0" w:after="0"/>
              <w:jc w:val="lef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2,196</w:t>
            </w:r>
          </w:p>
        </w:tc>
        <w:tc>
          <w:tcPr>
            <w:tcW w:w="866" w:type="dxa"/>
            <w:tcBorders>
              <w:top w:val="nil"/>
              <w:left w:val="nil"/>
              <w:bottom w:val="single" w:sz="8" w:space="0" w:color="auto"/>
              <w:right w:val="single" w:sz="8" w:space="0" w:color="auto"/>
            </w:tcBorders>
            <w:vAlign w:val="center"/>
            <w:hideMark/>
          </w:tcPr>
          <w:p w14:paraId="10293D49" w14:textId="77777777" w:rsidR="005E129F" w:rsidRPr="004C70EC" w:rsidRDefault="005E129F" w:rsidP="005E129F">
            <w:pPr>
              <w:spacing w:before="0" w:after="0"/>
              <w:jc w:val="lef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2,240</w:t>
            </w:r>
          </w:p>
        </w:tc>
        <w:tc>
          <w:tcPr>
            <w:tcW w:w="866" w:type="dxa"/>
            <w:tcBorders>
              <w:top w:val="nil"/>
              <w:left w:val="nil"/>
              <w:bottom w:val="single" w:sz="8" w:space="0" w:color="auto"/>
              <w:right w:val="single" w:sz="8" w:space="0" w:color="auto"/>
            </w:tcBorders>
            <w:vAlign w:val="center"/>
            <w:hideMark/>
          </w:tcPr>
          <w:p w14:paraId="1920DB16" w14:textId="77777777" w:rsidR="005E129F" w:rsidRPr="004C70EC" w:rsidRDefault="005E129F" w:rsidP="005E129F">
            <w:pPr>
              <w:spacing w:before="0" w:after="0"/>
              <w:jc w:val="lef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2,285</w:t>
            </w:r>
          </w:p>
        </w:tc>
        <w:tc>
          <w:tcPr>
            <w:tcW w:w="866" w:type="dxa"/>
            <w:tcBorders>
              <w:top w:val="nil"/>
              <w:left w:val="nil"/>
              <w:bottom w:val="single" w:sz="8" w:space="0" w:color="auto"/>
              <w:right w:val="single" w:sz="8" w:space="0" w:color="auto"/>
            </w:tcBorders>
            <w:vAlign w:val="center"/>
            <w:hideMark/>
          </w:tcPr>
          <w:p w14:paraId="1C818BFF" w14:textId="77777777" w:rsidR="005E129F" w:rsidRPr="004C70EC" w:rsidRDefault="005E129F" w:rsidP="005E129F">
            <w:pPr>
              <w:spacing w:before="0" w:after="0"/>
              <w:jc w:val="lef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2,330</w:t>
            </w:r>
          </w:p>
        </w:tc>
        <w:tc>
          <w:tcPr>
            <w:tcW w:w="866" w:type="dxa"/>
            <w:tcBorders>
              <w:top w:val="nil"/>
              <w:left w:val="nil"/>
              <w:bottom w:val="single" w:sz="8" w:space="0" w:color="auto"/>
              <w:right w:val="single" w:sz="8" w:space="0" w:color="auto"/>
            </w:tcBorders>
            <w:vAlign w:val="center"/>
            <w:hideMark/>
          </w:tcPr>
          <w:p w14:paraId="30E48789" w14:textId="77777777" w:rsidR="005E129F" w:rsidRPr="004C70EC" w:rsidRDefault="005E129F" w:rsidP="005E129F">
            <w:pPr>
              <w:spacing w:before="0" w:after="0"/>
              <w:jc w:val="lef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2,377</w:t>
            </w:r>
          </w:p>
        </w:tc>
        <w:tc>
          <w:tcPr>
            <w:tcW w:w="1011" w:type="dxa"/>
            <w:tcBorders>
              <w:top w:val="nil"/>
              <w:left w:val="nil"/>
              <w:bottom w:val="single" w:sz="8" w:space="0" w:color="auto"/>
              <w:right w:val="single" w:sz="8" w:space="0" w:color="auto"/>
            </w:tcBorders>
            <w:shd w:val="clear" w:color="000000" w:fill="D9D9D9"/>
            <w:vAlign w:val="center"/>
            <w:hideMark/>
          </w:tcPr>
          <w:p w14:paraId="4A305AB3" w14:textId="77777777" w:rsidR="005E129F" w:rsidRPr="004C70EC" w:rsidRDefault="005E129F" w:rsidP="005E129F">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14,635</w:t>
            </w:r>
          </w:p>
        </w:tc>
        <w:tc>
          <w:tcPr>
            <w:tcW w:w="1074" w:type="dxa"/>
            <w:tcBorders>
              <w:top w:val="nil"/>
              <w:left w:val="nil"/>
              <w:bottom w:val="single" w:sz="8" w:space="0" w:color="auto"/>
              <w:right w:val="single" w:sz="8" w:space="0" w:color="auto"/>
            </w:tcBorders>
            <w:vAlign w:val="center"/>
            <w:hideMark/>
          </w:tcPr>
          <w:p w14:paraId="3C146D41" w14:textId="77777777" w:rsidR="005E129F" w:rsidRPr="004C70EC" w:rsidRDefault="005E129F" w:rsidP="005E129F">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w:t>
            </w:r>
            <w:r w:rsidR="00246F13" w:rsidRPr="004C70EC">
              <w:rPr>
                <w:rFonts w:eastAsia="Times New Roman"/>
                <w:noProof/>
                <w:color w:val="000000"/>
                <w:sz w:val="20"/>
                <w:szCs w:val="20"/>
                <w:lang w:val="en-IE" w:eastAsia="en-IE"/>
              </w:rPr>
              <w:t>425</w:t>
            </w:r>
          </w:p>
        </w:tc>
      </w:tr>
      <w:tr w:rsidR="0088561A" w:rsidRPr="004C70EC" w14:paraId="7D6088DB" w14:textId="77777777" w:rsidTr="00104748">
        <w:trPr>
          <w:trHeight w:val="1240"/>
        </w:trPr>
        <w:tc>
          <w:tcPr>
            <w:tcW w:w="1225" w:type="dxa"/>
            <w:tcBorders>
              <w:top w:val="nil"/>
              <w:left w:val="single" w:sz="8" w:space="0" w:color="auto"/>
              <w:bottom w:val="single" w:sz="8" w:space="0" w:color="auto"/>
              <w:right w:val="single" w:sz="8" w:space="0" w:color="auto"/>
            </w:tcBorders>
            <w:vAlign w:val="center"/>
            <w:hideMark/>
          </w:tcPr>
          <w:p w14:paraId="5E4E5A2F" w14:textId="77777777" w:rsidR="00127B6F" w:rsidRPr="004C70EC" w:rsidRDefault="00127B6F">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Title 2: Infrastructure and operating expenditure ( IT investments) =</w:t>
            </w:r>
          </w:p>
        </w:tc>
        <w:tc>
          <w:tcPr>
            <w:tcW w:w="1011" w:type="dxa"/>
            <w:tcBorders>
              <w:top w:val="nil"/>
              <w:left w:val="nil"/>
              <w:bottom w:val="single" w:sz="8" w:space="0" w:color="auto"/>
              <w:right w:val="single" w:sz="8" w:space="0" w:color="auto"/>
            </w:tcBorders>
            <w:vAlign w:val="center"/>
            <w:hideMark/>
          </w:tcPr>
          <w:p w14:paraId="7EE6ACF0" w14:textId="77777777" w:rsidR="00127B6F" w:rsidRPr="004C70EC" w:rsidRDefault="00127B6F">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9,000</w:t>
            </w:r>
          </w:p>
        </w:tc>
        <w:tc>
          <w:tcPr>
            <w:tcW w:w="866" w:type="dxa"/>
            <w:tcBorders>
              <w:top w:val="nil"/>
              <w:left w:val="nil"/>
              <w:bottom w:val="single" w:sz="8" w:space="0" w:color="auto"/>
              <w:right w:val="single" w:sz="8" w:space="0" w:color="auto"/>
            </w:tcBorders>
            <w:vAlign w:val="center"/>
            <w:hideMark/>
          </w:tcPr>
          <w:p w14:paraId="72857AA8" w14:textId="77777777" w:rsidR="00127B6F" w:rsidRPr="004C70EC" w:rsidRDefault="00127B6F">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6,000</w:t>
            </w:r>
          </w:p>
        </w:tc>
        <w:tc>
          <w:tcPr>
            <w:tcW w:w="866" w:type="dxa"/>
            <w:tcBorders>
              <w:top w:val="nil"/>
              <w:left w:val="nil"/>
              <w:bottom w:val="single" w:sz="8" w:space="0" w:color="auto"/>
              <w:right w:val="single" w:sz="8" w:space="0" w:color="auto"/>
            </w:tcBorders>
            <w:vAlign w:val="center"/>
            <w:hideMark/>
          </w:tcPr>
          <w:p w14:paraId="05BF6876" w14:textId="77777777" w:rsidR="00127B6F" w:rsidRPr="004C70EC" w:rsidRDefault="00127B6F">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66" w:type="dxa"/>
            <w:tcBorders>
              <w:top w:val="nil"/>
              <w:left w:val="nil"/>
              <w:bottom w:val="single" w:sz="8" w:space="0" w:color="auto"/>
              <w:right w:val="single" w:sz="8" w:space="0" w:color="auto"/>
            </w:tcBorders>
            <w:vAlign w:val="center"/>
            <w:hideMark/>
          </w:tcPr>
          <w:p w14:paraId="1B1719DC" w14:textId="77777777" w:rsidR="00127B6F" w:rsidRPr="004C70EC" w:rsidRDefault="00127B6F">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66" w:type="dxa"/>
            <w:tcBorders>
              <w:top w:val="nil"/>
              <w:left w:val="nil"/>
              <w:bottom w:val="single" w:sz="8" w:space="0" w:color="auto"/>
              <w:right w:val="single" w:sz="8" w:space="0" w:color="auto"/>
            </w:tcBorders>
            <w:vAlign w:val="center"/>
            <w:hideMark/>
          </w:tcPr>
          <w:p w14:paraId="6047E017" w14:textId="77777777" w:rsidR="00127B6F" w:rsidRPr="004C70EC" w:rsidRDefault="00127B6F">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66" w:type="dxa"/>
            <w:tcBorders>
              <w:top w:val="nil"/>
              <w:left w:val="nil"/>
              <w:bottom w:val="single" w:sz="8" w:space="0" w:color="auto"/>
              <w:right w:val="single" w:sz="8" w:space="0" w:color="auto"/>
            </w:tcBorders>
            <w:vAlign w:val="center"/>
            <w:hideMark/>
          </w:tcPr>
          <w:p w14:paraId="406CC406" w14:textId="77777777" w:rsidR="00127B6F" w:rsidRPr="004C70EC" w:rsidRDefault="00127B6F">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66" w:type="dxa"/>
            <w:tcBorders>
              <w:top w:val="nil"/>
              <w:left w:val="nil"/>
              <w:bottom w:val="single" w:sz="8" w:space="0" w:color="auto"/>
              <w:right w:val="single" w:sz="8" w:space="0" w:color="auto"/>
            </w:tcBorders>
            <w:vAlign w:val="center"/>
            <w:hideMark/>
          </w:tcPr>
          <w:p w14:paraId="27A8E2B6" w14:textId="77777777" w:rsidR="00127B6F" w:rsidRPr="004C70EC" w:rsidRDefault="00127B6F">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1011" w:type="dxa"/>
            <w:tcBorders>
              <w:top w:val="nil"/>
              <w:left w:val="nil"/>
              <w:bottom w:val="single" w:sz="8" w:space="0" w:color="auto"/>
              <w:right w:val="single" w:sz="8" w:space="0" w:color="auto"/>
            </w:tcBorders>
            <w:shd w:val="clear" w:color="000000" w:fill="D9D9D9"/>
            <w:vAlign w:val="center"/>
            <w:hideMark/>
          </w:tcPr>
          <w:p w14:paraId="150E335E" w14:textId="77777777" w:rsidR="00127B6F" w:rsidRPr="004C70EC" w:rsidRDefault="00127B6F">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15,000</w:t>
            </w:r>
          </w:p>
        </w:tc>
        <w:tc>
          <w:tcPr>
            <w:tcW w:w="1074" w:type="dxa"/>
            <w:tcBorders>
              <w:top w:val="nil"/>
              <w:left w:val="nil"/>
              <w:bottom w:val="single" w:sz="8" w:space="0" w:color="auto"/>
              <w:right w:val="single" w:sz="8" w:space="0" w:color="auto"/>
            </w:tcBorders>
            <w:vAlign w:val="center"/>
            <w:hideMark/>
          </w:tcPr>
          <w:p w14:paraId="5CD5490E" w14:textId="77777777" w:rsidR="00127B6F" w:rsidRPr="004C70EC" w:rsidRDefault="00127B6F">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r>
      <w:tr w:rsidR="00104748" w:rsidRPr="004C70EC" w14:paraId="6FA4CC1A" w14:textId="77777777" w:rsidTr="00104748">
        <w:trPr>
          <w:trHeight w:val="464"/>
        </w:trPr>
        <w:tc>
          <w:tcPr>
            <w:tcW w:w="1225" w:type="dxa"/>
            <w:tcBorders>
              <w:top w:val="nil"/>
              <w:left w:val="single" w:sz="8" w:space="0" w:color="auto"/>
              <w:bottom w:val="single" w:sz="8" w:space="0" w:color="auto"/>
              <w:right w:val="single" w:sz="8" w:space="0" w:color="auto"/>
            </w:tcBorders>
            <w:vAlign w:val="center"/>
            <w:hideMark/>
          </w:tcPr>
          <w:p w14:paraId="7B6F338A" w14:textId="77777777" w:rsidR="00127B6F" w:rsidRPr="004C70EC" w:rsidRDefault="00127B6F">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Title 3: Operational expenditure</w:t>
            </w:r>
          </w:p>
        </w:tc>
        <w:tc>
          <w:tcPr>
            <w:tcW w:w="1011" w:type="dxa"/>
            <w:tcBorders>
              <w:top w:val="nil"/>
              <w:left w:val="nil"/>
              <w:bottom w:val="single" w:sz="8" w:space="0" w:color="auto"/>
              <w:right w:val="single" w:sz="8" w:space="0" w:color="auto"/>
            </w:tcBorders>
            <w:vAlign w:val="center"/>
            <w:hideMark/>
          </w:tcPr>
          <w:p w14:paraId="74192A3E" w14:textId="77777777" w:rsidR="00127B6F" w:rsidRPr="004C70EC" w:rsidRDefault="00127B6F">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66" w:type="dxa"/>
            <w:tcBorders>
              <w:top w:val="nil"/>
              <w:left w:val="nil"/>
              <w:bottom w:val="single" w:sz="8" w:space="0" w:color="auto"/>
              <w:right w:val="single" w:sz="8" w:space="0" w:color="auto"/>
            </w:tcBorders>
            <w:vAlign w:val="center"/>
            <w:hideMark/>
          </w:tcPr>
          <w:p w14:paraId="04768922" w14:textId="77777777" w:rsidR="00127B6F" w:rsidRPr="004C70EC" w:rsidRDefault="00127B6F">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66" w:type="dxa"/>
            <w:tcBorders>
              <w:top w:val="nil"/>
              <w:left w:val="nil"/>
              <w:bottom w:val="single" w:sz="8" w:space="0" w:color="auto"/>
              <w:right w:val="single" w:sz="8" w:space="0" w:color="auto"/>
            </w:tcBorders>
            <w:vAlign w:val="center"/>
            <w:hideMark/>
          </w:tcPr>
          <w:p w14:paraId="52779386" w14:textId="77777777" w:rsidR="00127B6F" w:rsidRPr="004C70EC" w:rsidRDefault="00127B6F">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66" w:type="dxa"/>
            <w:tcBorders>
              <w:top w:val="nil"/>
              <w:left w:val="nil"/>
              <w:bottom w:val="single" w:sz="8" w:space="0" w:color="auto"/>
              <w:right w:val="single" w:sz="8" w:space="0" w:color="auto"/>
            </w:tcBorders>
            <w:vAlign w:val="center"/>
            <w:hideMark/>
          </w:tcPr>
          <w:p w14:paraId="50636208" w14:textId="77777777" w:rsidR="00127B6F" w:rsidRPr="004C70EC" w:rsidRDefault="00127B6F">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66" w:type="dxa"/>
            <w:tcBorders>
              <w:top w:val="nil"/>
              <w:left w:val="nil"/>
              <w:bottom w:val="single" w:sz="8" w:space="0" w:color="auto"/>
              <w:right w:val="single" w:sz="8" w:space="0" w:color="auto"/>
            </w:tcBorders>
            <w:vAlign w:val="center"/>
            <w:hideMark/>
          </w:tcPr>
          <w:p w14:paraId="0FB4AB65" w14:textId="77777777" w:rsidR="00127B6F" w:rsidRPr="004C70EC" w:rsidRDefault="00127B6F">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66" w:type="dxa"/>
            <w:tcBorders>
              <w:top w:val="nil"/>
              <w:left w:val="nil"/>
              <w:bottom w:val="single" w:sz="8" w:space="0" w:color="auto"/>
              <w:right w:val="single" w:sz="8" w:space="0" w:color="auto"/>
            </w:tcBorders>
            <w:vAlign w:val="center"/>
            <w:hideMark/>
          </w:tcPr>
          <w:p w14:paraId="211FF70B" w14:textId="77777777" w:rsidR="00127B6F" w:rsidRPr="004C70EC" w:rsidRDefault="00127B6F">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66" w:type="dxa"/>
            <w:tcBorders>
              <w:top w:val="nil"/>
              <w:left w:val="nil"/>
              <w:bottom w:val="single" w:sz="8" w:space="0" w:color="auto"/>
              <w:right w:val="single" w:sz="8" w:space="0" w:color="auto"/>
            </w:tcBorders>
            <w:vAlign w:val="center"/>
            <w:hideMark/>
          </w:tcPr>
          <w:p w14:paraId="6255210F" w14:textId="77777777" w:rsidR="00127B6F" w:rsidRPr="004C70EC" w:rsidRDefault="00127B6F">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1011" w:type="dxa"/>
            <w:tcBorders>
              <w:top w:val="nil"/>
              <w:left w:val="nil"/>
              <w:bottom w:val="single" w:sz="8" w:space="0" w:color="auto"/>
              <w:right w:val="single" w:sz="8" w:space="0" w:color="auto"/>
            </w:tcBorders>
            <w:shd w:val="clear" w:color="000000" w:fill="D9D9D9"/>
            <w:vAlign w:val="center"/>
            <w:hideMark/>
          </w:tcPr>
          <w:p w14:paraId="76E221E6" w14:textId="77777777" w:rsidR="00127B6F" w:rsidRPr="004C70EC" w:rsidRDefault="00127B6F">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0,000</w:t>
            </w:r>
          </w:p>
        </w:tc>
        <w:tc>
          <w:tcPr>
            <w:tcW w:w="1074" w:type="dxa"/>
            <w:tcBorders>
              <w:top w:val="nil"/>
              <w:left w:val="nil"/>
              <w:bottom w:val="single" w:sz="8" w:space="0" w:color="auto"/>
              <w:right w:val="single" w:sz="8" w:space="0" w:color="auto"/>
            </w:tcBorders>
            <w:vAlign w:val="center"/>
            <w:hideMark/>
          </w:tcPr>
          <w:p w14:paraId="5C3B7282" w14:textId="77777777" w:rsidR="00127B6F" w:rsidRPr="004C70EC" w:rsidRDefault="00127B6F">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r>
      <w:tr w:rsidR="00415A3C" w:rsidRPr="004C70EC" w14:paraId="6511C2DB" w14:textId="77777777" w:rsidTr="00104748">
        <w:trPr>
          <w:trHeight w:val="464"/>
        </w:trPr>
        <w:tc>
          <w:tcPr>
            <w:tcW w:w="1225" w:type="dxa"/>
            <w:tcBorders>
              <w:top w:val="nil"/>
              <w:left w:val="single" w:sz="8" w:space="0" w:color="auto"/>
              <w:bottom w:val="single" w:sz="8" w:space="0" w:color="auto"/>
              <w:right w:val="single" w:sz="8" w:space="0" w:color="auto"/>
            </w:tcBorders>
            <w:vAlign w:val="center"/>
            <w:hideMark/>
          </w:tcPr>
          <w:p w14:paraId="2036EA59" w14:textId="77777777" w:rsidR="00580F54" w:rsidRPr="004C70EC" w:rsidRDefault="00580F54" w:rsidP="00580F54">
            <w:pPr>
              <w:spacing w:before="0" w:after="0"/>
              <w:jc w:val="lef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xml:space="preserve">TOTAL of appropriations covered by the EU Budget </w:t>
            </w:r>
          </w:p>
        </w:tc>
        <w:tc>
          <w:tcPr>
            <w:tcW w:w="1011" w:type="dxa"/>
            <w:tcBorders>
              <w:top w:val="nil"/>
              <w:left w:val="nil"/>
              <w:bottom w:val="single" w:sz="8" w:space="0" w:color="auto"/>
              <w:right w:val="single" w:sz="8" w:space="0" w:color="auto"/>
            </w:tcBorders>
            <w:shd w:val="clear" w:color="000000" w:fill="D9D9D9"/>
            <w:vAlign w:val="center"/>
            <w:hideMark/>
          </w:tcPr>
          <w:p w14:paraId="75C91732" w14:textId="77777777" w:rsidR="00580F54" w:rsidRPr="004C70EC" w:rsidRDefault="00580F54" w:rsidP="00580F5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10,055</w:t>
            </w:r>
          </w:p>
        </w:tc>
        <w:tc>
          <w:tcPr>
            <w:tcW w:w="866" w:type="dxa"/>
            <w:tcBorders>
              <w:top w:val="nil"/>
              <w:left w:val="nil"/>
              <w:bottom w:val="single" w:sz="8" w:space="0" w:color="auto"/>
              <w:right w:val="single" w:sz="8" w:space="0" w:color="auto"/>
            </w:tcBorders>
            <w:shd w:val="clear" w:color="000000" w:fill="D9D9D9"/>
            <w:vAlign w:val="center"/>
            <w:hideMark/>
          </w:tcPr>
          <w:p w14:paraId="3E8BC237" w14:textId="77777777" w:rsidR="00580F54" w:rsidRPr="004C70EC" w:rsidRDefault="00580F54" w:rsidP="00580F5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8,153</w:t>
            </w:r>
          </w:p>
        </w:tc>
        <w:tc>
          <w:tcPr>
            <w:tcW w:w="866" w:type="dxa"/>
            <w:tcBorders>
              <w:top w:val="nil"/>
              <w:left w:val="nil"/>
              <w:bottom w:val="single" w:sz="8" w:space="0" w:color="auto"/>
              <w:right w:val="single" w:sz="8" w:space="0" w:color="auto"/>
            </w:tcBorders>
            <w:shd w:val="clear" w:color="000000" w:fill="D9D9D9"/>
            <w:vAlign w:val="center"/>
            <w:hideMark/>
          </w:tcPr>
          <w:p w14:paraId="12A684EF" w14:textId="77777777" w:rsidR="00580F54" w:rsidRPr="004C70EC" w:rsidRDefault="00580F54" w:rsidP="00580F5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2,196</w:t>
            </w:r>
          </w:p>
        </w:tc>
        <w:tc>
          <w:tcPr>
            <w:tcW w:w="866" w:type="dxa"/>
            <w:tcBorders>
              <w:top w:val="nil"/>
              <w:left w:val="nil"/>
              <w:bottom w:val="single" w:sz="8" w:space="0" w:color="auto"/>
              <w:right w:val="single" w:sz="8" w:space="0" w:color="auto"/>
            </w:tcBorders>
            <w:shd w:val="clear" w:color="000000" w:fill="D9D9D9"/>
            <w:vAlign w:val="center"/>
            <w:hideMark/>
          </w:tcPr>
          <w:p w14:paraId="19468D35" w14:textId="77777777" w:rsidR="00580F54" w:rsidRPr="004C70EC" w:rsidRDefault="00580F54" w:rsidP="00580F5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2,240</w:t>
            </w:r>
          </w:p>
        </w:tc>
        <w:tc>
          <w:tcPr>
            <w:tcW w:w="866" w:type="dxa"/>
            <w:tcBorders>
              <w:top w:val="nil"/>
              <w:left w:val="nil"/>
              <w:bottom w:val="single" w:sz="8" w:space="0" w:color="auto"/>
              <w:right w:val="single" w:sz="8" w:space="0" w:color="auto"/>
            </w:tcBorders>
            <w:shd w:val="clear" w:color="000000" w:fill="D9D9D9"/>
            <w:vAlign w:val="center"/>
            <w:hideMark/>
          </w:tcPr>
          <w:p w14:paraId="42A3EF90" w14:textId="77777777" w:rsidR="00580F54" w:rsidRPr="004C70EC" w:rsidRDefault="00580F54" w:rsidP="00580F5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2,285</w:t>
            </w:r>
          </w:p>
        </w:tc>
        <w:tc>
          <w:tcPr>
            <w:tcW w:w="866" w:type="dxa"/>
            <w:tcBorders>
              <w:top w:val="nil"/>
              <w:left w:val="nil"/>
              <w:bottom w:val="single" w:sz="8" w:space="0" w:color="auto"/>
              <w:right w:val="single" w:sz="8" w:space="0" w:color="auto"/>
            </w:tcBorders>
            <w:shd w:val="clear" w:color="000000" w:fill="D9D9D9"/>
            <w:vAlign w:val="center"/>
            <w:hideMark/>
          </w:tcPr>
          <w:p w14:paraId="262A41D4" w14:textId="77777777" w:rsidR="00580F54" w:rsidRPr="004C70EC" w:rsidRDefault="00580F54" w:rsidP="00580F5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2,330</w:t>
            </w:r>
          </w:p>
        </w:tc>
        <w:tc>
          <w:tcPr>
            <w:tcW w:w="866" w:type="dxa"/>
            <w:tcBorders>
              <w:top w:val="nil"/>
              <w:left w:val="nil"/>
              <w:bottom w:val="single" w:sz="8" w:space="0" w:color="auto"/>
              <w:right w:val="single" w:sz="8" w:space="0" w:color="auto"/>
            </w:tcBorders>
            <w:shd w:val="clear" w:color="000000" w:fill="D9D9D9"/>
            <w:vAlign w:val="center"/>
            <w:hideMark/>
          </w:tcPr>
          <w:p w14:paraId="3E2C25AD" w14:textId="77777777" w:rsidR="00580F54" w:rsidRPr="004C70EC" w:rsidRDefault="00580F54" w:rsidP="00580F5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2,377</w:t>
            </w:r>
          </w:p>
        </w:tc>
        <w:tc>
          <w:tcPr>
            <w:tcW w:w="1011" w:type="dxa"/>
            <w:tcBorders>
              <w:top w:val="nil"/>
              <w:left w:val="nil"/>
              <w:bottom w:val="single" w:sz="8" w:space="0" w:color="auto"/>
              <w:right w:val="single" w:sz="8" w:space="0" w:color="auto"/>
            </w:tcBorders>
            <w:shd w:val="clear" w:color="000000" w:fill="D9D9D9"/>
            <w:vAlign w:val="center"/>
            <w:hideMark/>
          </w:tcPr>
          <w:p w14:paraId="3EAE3883" w14:textId="77777777" w:rsidR="00580F54" w:rsidRPr="004C70EC" w:rsidRDefault="00580F54" w:rsidP="00580F5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29,635</w:t>
            </w:r>
          </w:p>
        </w:tc>
        <w:tc>
          <w:tcPr>
            <w:tcW w:w="1074" w:type="dxa"/>
            <w:tcBorders>
              <w:top w:val="nil"/>
              <w:left w:val="nil"/>
              <w:bottom w:val="single" w:sz="8" w:space="0" w:color="auto"/>
              <w:right w:val="single" w:sz="8" w:space="0" w:color="auto"/>
            </w:tcBorders>
            <w:shd w:val="clear" w:color="000000" w:fill="D9D9D9"/>
            <w:vAlign w:val="center"/>
            <w:hideMark/>
          </w:tcPr>
          <w:p w14:paraId="3CBACB30" w14:textId="77777777" w:rsidR="00580F54" w:rsidRPr="004C70EC" w:rsidRDefault="00580F54" w:rsidP="00580F5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2,</w:t>
            </w:r>
            <w:r w:rsidR="00246F13" w:rsidRPr="004C70EC">
              <w:rPr>
                <w:rFonts w:eastAsia="Times New Roman"/>
                <w:b/>
                <w:bCs/>
                <w:noProof/>
                <w:color w:val="000000"/>
                <w:sz w:val="20"/>
                <w:szCs w:val="20"/>
                <w:lang w:val="en-IE" w:eastAsia="en-IE"/>
              </w:rPr>
              <w:t>425</w:t>
            </w:r>
          </w:p>
        </w:tc>
      </w:tr>
    </w:tbl>
    <w:p w14:paraId="756D4444" w14:textId="77777777" w:rsidR="007966CD" w:rsidRPr="004C70EC" w:rsidRDefault="00104748" w:rsidP="00F161D8">
      <w:pPr>
        <w:jc w:val="left"/>
        <w:rPr>
          <w:noProof/>
          <w:color w:val="000000" w:themeColor="text1"/>
          <w:szCs w:val="24"/>
          <w:u w:val="single"/>
          <w:lang w:val="en-IE"/>
        </w:rPr>
      </w:pPr>
      <w:r w:rsidRPr="002D7694">
        <w:rPr>
          <w:rFonts w:eastAsia="Times New Roman"/>
          <w:noProof/>
          <w:color w:val="000000" w:themeColor="text1"/>
          <w:u w:val="single"/>
          <w:lang w:val="en-IE" w:eastAsia="en-IE"/>
        </w:rPr>
        <w:t>IT investments</w:t>
      </w:r>
      <w:r w:rsidR="00620C29" w:rsidRPr="002D7694">
        <w:rPr>
          <w:rFonts w:eastAsia="Times New Roman"/>
          <w:noProof/>
          <w:color w:val="000000" w:themeColor="text1"/>
          <w:u w:val="single"/>
          <w:lang w:val="en-IE" w:eastAsia="en-IE"/>
        </w:rPr>
        <w:t>:</w:t>
      </w:r>
      <w:r w:rsidR="00620C29" w:rsidRPr="004C70EC">
        <w:rPr>
          <w:rFonts w:eastAsia="Times New Roman"/>
          <w:noProof/>
          <w:color w:val="000000" w:themeColor="text1"/>
          <w:lang w:val="en-IE" w:eastAsia="en-IE"/>
        </w:rPr>
        <w:t xml:space="preserve"> </w:t>
      </w:r>
      <w:r w:rsidR="00620C29" w:rsidRPr="004C70EC">
        <w:rPr>
          <w:noProof/>
        </w:rPr>
        <w:t>EMA currently maintains the Clinical Trials Information System (CTIS)</w:t>
      </w:r>
      <w:r w:rsidR="670E3AC1" w:rsidRPr="004C70EC">
        <w:rPr>
          <w:noProof/>
        </w:rPr>
        <w:t xml:space="preserve"> development and maintenance</w:t>
      </w:r>
      <w:r w:rsidR="00620C29" w:rsidRPr="004C70EC">
        <w:rPr>
          <w:noProof/>
        </w:rPr>
        <w:t xml:space="preserve">. This Regulation contains major new provisions directly impacting CTIS and need its strengthening. </w:t>
      </w:r>
      <w:r w:rsidR="75BC45C0" w:rsidRPr="004C70EC">
        <w:rPr>
          <w:noProof/>
        </w:rPr>
        <w:t xml:space="preserve">The core objectives of the amendments to the Clinical Trials Regulation </w:t>
      </w:r>
      <w:r w:rsidR="45DA6DFF" w:rsidRPr="004C70EC">
        <w:rPr>
          <w:noProof/>
        </w:rPr>
        <w:t xml:space="preserve">(EU 526/2014) </w:t>
      </w:r>
      <w:r w:rsidR="75BC45C0" w:rsidRPr="004C70EC">
        <w:rPr>
          <w:noProof/>
        </w:rPr>
        <w:t xml:space="preserve">will be implementable only following </w:t>
      </w:r>
      <w:r w:rsidR="69974C12" w:rsidRPr="004C70EC">
        <w:rPr>
          <w:noProof/>
        </w:rPr>
        <w:t xml:space="preserve">significant IT developments and </w:t>
      </w:r>
      <w:r w:rsidR="5183119E" w:rsidRPr="004C70EC">
        <w:rPr>
          <w:noProof/>
        </w:rPr>
        <w:t>establishment</w:t>
      </w:r>
      <w:r w:rsidR="69974C12" w:rsidRPr="004C70EC">
        <w:rPr>
          <w:noProof/>
        </w:rPr>
        <w:t xml:space="preserve"> of new workflows. </w:t>
      </w:r>
      <w:r w:rsidR="00620C29" w:rsidRPr="004C70EC">
        <w:rPr>
          <w:noProof/>
        </w:rPr>
        <w:t xml:space="preserve">We anticipate that these new provisions will necessitate fundamental redesign and build of CTIS followed by long-term maintenance including technology refresh. </w:t>
      </w:r>
    </w:p>
    <w:p w14:paraId="7BE0D671" w14:textId="77777777" w:rsidR="00585779" w:rsidRPr="004C70EC" w:rsidRDefault="00585779" w:rsidP="00585779">
      <w:pPr>
        <w:spacing w:before="240"/>
        <w:rPr>
          <w:b/>
          <w:noProof/>
          <w:color w:val="000000" w:themeColor="text1"/>
          <w:szCs w:val="24"/>
          <w:u w:val="single"/>
          <w:lang w:val="en-IE"/>
        </w:rPr>
      </w:pPr>
      <w:r w:rsidRPr="004C70EC">
        <w:rPr>
          <w:b/>
          <w:noProof/>
          <w:color w:val="000000" w:themeColor="text1"/>
          <w:szCs w:val="24"/>
          <w:u w:val="single"/>
          <w:lang w:val="en-IE"/>
        </w:rPr>
        <w:t xml:space="preserve">Overview/summary of human resources and appropriations (in EUR million) required by the proposal/initiative in a decentralised agency </w:t>
      </w:r>
    </w:p>
    <w:tbl>
      <w:tblPr>
        <w:tblW w:w="9873" w:type="dxa"/>
        <w:tblInd w:w="118" w:type="dxa"/>
        <w:tblLook w:val="04A0" w:firstRow="1" w:lastRow="0" w:firstColumn="1" w:lastColumn="0" w:noHBand="0" w:noVBand="1"/>
      </w:tblPr>
      <w:tblGrid>
        <w:gridCol w:w="2470"/>
        <w:gridCol w:w="854"/>
        <w:gridCol w:w="849"/>
        <w:gridCol w:w="849"/>
        <w:gridCol w:w="807"/>
        <w:gridCol w:w="807"/>
        <w:gridCol w:w="807"/>
        <w:gridCol w:w="807"/>
        <w:gridCol w:w="917"/>
        <w:gridCol w:w="706"/>
      </w:tblGrid>
      <w:tr w:rsidR="001B03F9" w:rsidRPr="004C70EC" w14:paraId="2A8F76F0" w14:textId="77777777" w:rsidTr="00C614E8">
        <w:trPr>
          <w:trHeight w:val="323"/>
        </w:trPr>
        <w:tc>
          <w:tcPr>
            <w:tcW w:w="2516" w:type="dxa"/>
            <w:vMerge w:val="restart"/>
            <w:tcBorders>
              <w:top w:val="single" w:sz="8" w:space="0" w:color="auto"/>
              <w:left w:val="single" w:sz="8" w:space="0" w:color="auto"/>
              <w:bottom w:val="single" w:sz="8" w:space="0" w:color="000000"/>
              <w:right w:val="single" w:sz="8" w:space="0" w:color="auto"/>
            </w:tcBorders>
            <w:vAlign w:val="center"/>
            <w:hideMark/>
          </w:tcPr>
          <w:p w14:paraId="7B8FA30F" w14:textId="77777777" w:rsidR="001B03F9" w:rsidRPr="004C70EC" w:rsidRDefault="001B03F9">
            <w:pPr>
              <w:spacing w:before="0" w:after="0"/>
              <w:jc w:val="center"/>
              <w:rPr>
                <w:rFonts w:eastAsia="Times New Roman"/>
                <w:b/>
                <w:bCs/>
                <w:noProof/>
                <w:color w:val="444444"/>
                <w:sz w:val="20"/>
                <w:szCs w:val="20"/>
                <w:lang w:val="en-IE" w:eastAsia="en-IE"/>
              </w:rPr>
            </w:pPr>
            <w:r w:rsidRPr="004C70EC">
              <w:rPr>
                <w:rFonts w:eastAsia="Times New Roman"/>
                <w:b/>
                <w:bCs/>
                <w:noProof/>
                <w:color w:val="444444"/>
                <w:sz w:val="20"/>
                <w:szCs w:val="20"/>
                <w:lang w:val="en-IE" w:eastAsia="en-IE"/>
              </w:rPr>
              <w:t>[Agency]: &lt;EMA .&gt;</w:t>
            </w:r>
          </w:p>
        </w:tc>
        <w:tc>
          <w:tcPr>
            <w:tcW w:w="858" w:type="dxa"/>
            <w:tcBorders>
              <w:top w:val="single" w:sz="8" w:space="0" w:color="auto"/>
              <w:left w:val="nil"/>
              <w:bottom w:val="nil"/>
              <w:right w:val="single" w:sz="8" w:space="0" w:color="auto"/>
            </w:tcBorders>
            <w:shd w:val="clear" w:color="000000" w:fill="FFFFFF"/>
            <w:vAlign w:val="bottom"/>
            <w:hideMark/>
          </w:tcPr>
          <w:p w14:paraId="506F79F3" w14:textId="77777777" w:rsidR="001B03F9" w:rsidRPr="004C70EC" w:rsidRDefault="001B03F9">
            <w:pPr>
              <w:spacing w:before="0" w:after="0"/>
              <w:jc w:val="center"/>
              <w:rPr>
                <w:rFonts w:eastAsia="Times New Roman"/>
                <w:noProof/>
                <w:color w:val="000000"/>
                <w:sz w:val="20"/>
                <w:szCs w:val="20"/>
                <w:lang w:val="en-IE" w:eastAsia="en-IE"/>
              </w:rPr>
            </w:pPr>
            <w:r w:rsidRPr="004C70EC">
              <w:rPr>
                <w:rFonts w:eastAsia="Times New Roman"/>
                <w:noProof/>
                <w:color w:val="000000"/>
                <w:sz w:val="20"/>
                <w:szCs w:val="20"/>
                <w:lang w:val="en-IE" w:eastAsia="en-IE"/>
              </w:rPr>
              <w:t>Year</w:t>
            </w:r>
          </w:p>
        </w:tc>
        <w:tc>
          <w:tcPr>
            <w:tcW w:w="858" w:type="dxa"/>
            <w:tcBorders>
              <w:top w:val="single" w:sz="8" w:space="0" w:color="auto"/>
              <w:left w:val="nil"/>
              <w:bottom w:val="nil"/>
              <w:right w:val="single" w:sz="8" w:space="0" w:color="auto"/>
            </w:tcBorders>
            <w:shd w:val="clear" w:color="000000" w:fill="FFFFFF"/>
            <w:vAlign w:val="bottom"/>
            <w:hideMark/>
          </w:tcPr>
          <w:p w14:paraId="5FA630B9" w14:textId="77777777" w:rsidR="001B03F9" w:rsidRPr="004C70EC" w:rsidRDefault="001B03F9">
            <w:pPr>
              <w:spacing w:before="0" w:after="0"/>
              <w:jc w:val="center"/>
              <w:rPr>
                <w:rFonts w:eastAsia="Times New Roman"/>
                <w:noProof/>
                <w:color w:val="000000"/>
                <w:sz w:val="20"/>
                <w:szCs w:val="20"/>
                <w:lang w:val="en-IE" w:eastAsia="en-IE"/>
              </w:rPr>
            </w:pPr>
            <w:r w:rsidRPr="004C70EC">
              <w:rPr>
                <w:rFonts w:eastAsia="Times New Roman"/>
                <w:noProof/>
                <w:color w:val="000000"/>
                <w:sz w:val="20"/>
                <w:szCs w:val="20"/>
                <w:lang w:val="en-IE" w:eastAsia="en-IE"/>
              </w:rPr>
              <w:t>Year</w:t>
            </w:r>
          </w:p>
        </w:tc>
        <w:tc>
          <w:tcPr>
            <w:tcW w:w="858" w:type="dxa"/>
            <w:tcBorders>
              <w:top w:val="single" w:sz="8" w:space="0" w:color="auto"/>
              <w:left w:val="nil"/>
              <w:bottom w:val="nil"/>
              <w:right w:val="single" w:sz="8" w:space="0" w:color="auto"/>
            </w:tcBorders>
            <w:shd w:val="clear" w:color="000000" w:fill="FFFFFF"/>
            <w:vAlign w:val="bottom"/>
            <w:hideMark/>
          </w:tcPr>
          <w:p w14:paraId="05A8140F" w14:textId="77777777" w:rsidR="001B03F9" w:rsidRPr="004C70EC" w:rsidRDefault="001B03F9">
            <w:pPr>
              <w:spacing w:before="0" w:after="0"/>
              <w:jc w:val="center"/>
              <w:rPr>
                <w:rFonts w:eastAsia="Times New Roman"/>
                <w:noProof/>
                <w:color w:val="000000"/>
                <w:sz w:val="20"/>
                <w:szCs w:val="20"/>
                <w:lang w:val="en-IE" w:eastAsia="en-IE"/>
              </w:rPr>
            </w:pPr>
            <w:r w:rsidRPr="004C70EC">
              <w:rPr>
                <w:rFonts w:eastAsia="Times New Roman"/>
                <w:noProof/>
                <w:color w:val="000000"/>
                <w:sz w:val="20"/>
                <w:szCs w:val="20"/>
                <w:lang w:val="en-IE" w:eastAsia="en-IE"/>
              </w:rPr>
              <w:t>Year</w:t>
            </w:r>
          </w:p>
        </w:tc>
        <w:tc>
          <w:tcPr>
            <w:tcW w:w="814" w:type="dxa"/>
            <w:tcBorders>
              <w:top w:val="single" w:sz="8" w:space="0" w:color="auto"/>
              <w:left w:val="nil"/>
              <w:bottom w:val="nil"/>
              <w:right w:val="single" w:sz="8" w:space="0" w:color="auto"/>
            </w:tcBorders>
            <w:shd w:val="clear" w:color="000000" w:fill="FFFFFF"/>
            <w:vAlign w:val="bottom"/>
            <w:hideMark/>
          </w:tcPr>
          <w:p w14:paraId="1C1637AD" w14:textId="77777777" w:rsidR="001B03F9" w:rsidRPr="004C70EC" w:rsidRDefault="001B03F9">
            <w:pPr>
              <w:spacing w:before="0" w:after="0"/>
              <w:jc w:val="center"/>
              <w:rPr>
                <w:rFonts w:eastAsia="Times New Roman"/>
                <w:noProof/>
                <w:color w:val="000000"/>
                <w:sz w:val="20"/>
                <w:szCs w:val="20"/>
                <w:lang w:val="en-IE" w:eastAsia="en-IE"/>
              </w:rPr>
            </w:pPr>
            <w:r w:rsidRPr="004C70EC">
              <w:rPr>
                <w:rFonts w:eastAsia="Times New Roman"/>
                <w:noProof/>
                <w:color w:val="000000"/>
                <w:sz w:val="20"/>
                <w:szCs w:val="20"/>
                <w:lang w:val="en-IE" w:eastAsia="en-IE"/>
              </w:rPr>
              <w:t>Year</w:t>
            </w:r>
          </w:p>
        </w:tc>
        <w:tc>
          <w:tcPr>
            <w:tcW w:w="814" w:type="dxa"/>
            <w:tcBorders>
              <w:top w:val="single" w:sz="8" w:space="0" w:color="auto"/>
              <w:left w:val="nil"/>
              <w:bottom w:val="nil"/>
              <w:right w:val="single" w:sz="8" w:space="0" w:color="auto"/>
            </w:tcBorders>
            <w:shd w:val="clear" w:color="000000" w:fill="FFFFFF"/>
            <w:vAlign w:val="bottom"/>
            <w:hideMark/>
          </w:tcPr>
          <w:p w14:paraId="1B62B27B" w14:textId="77777777" w:rsidR="001B03F9" w:rsidRPr="004C70EC" w:rsidRDefault="001B03F9">
            <w:pPr>
              <w:spacing w:before="0" w:after="0"/>
              <w:jc w:val="center"/>
              <w:rPr>
                <w:rFonts w:eastAsia="Times New Roman"/>
                <w:noProof/>
                <w:color w:val="000000"/>
                <w:sz w:val="20"/>
                <w:szCs w:val="20"/>
                <w:lang w:val="en-IE" w:eastAsia="en-IE"/>
              </w:rPr>
            </w:pPr>
            <w:r w:rsidRPr="004C70EC">
              <w:rPr>
                <w:rFonts w:eastAsia="Times New Roman"/>
                <w:noProof/>
                <w:color w:val="000000"/>
                <w:sz w:val="20"/>
                <w:szCs w:val="20"/>
                <w:lang w:val="en-IE" w:eastAsia="en-IE"/>
              </w:rPr>
              <w:t>Year</w:t>
            </w:r>
          </w:p>
        </w:tc>
        <w:tc>
          <w:tcPr>
            <w:tcW w:w="814" w:type="dxa"/>
            <w:tcBorders>
              <w:top w:val="single" w:sz="8" w:space="0" w:color="auto"/>
              <w:left w:val="nil"/>
              <w:bottom w:val="nil"/>
              <w:right w:val="single" w:sz="8" w:space="0" w:color="auto"/>
            </w:tcBorders>
            <w:shd w:val="clear" w:color="000000" w:fill="FFFFFF"/>
            <w:vAlign w:val="bottom"/>
            <w:hideMark/>
          </w:tcPr>
          <w:p w14:paraId="3465C8DD" w14:textId="77777777" w:rsidR="001B03F9" w:rsidRPr="004C70EC" w:rsidRDefault="001B03F9">
            <w:pPr>
              <w:spacing w:before="0" w:after="0"/>
              <w:jc w:val="center"/>
              <w:rPr>
                <w:rFonts w:eastAsia="Times New Roman"/>
                <w:noProof/>
                <w:color w:val="000000"/>
                <w:sz w:val="20"/>
                <w:szCs w:val="20"/>
                <w:lang w:val="en-IE" w:eastAsia="en-IE"/>
              </w:rPr>
            </w:pPr>
            <w:r w:rsidRPr="004C70EC">
              <w:rPr>
                <w:rFonts w:eastAsia="Times New Roman"/>
                <w:noProof/>
                <w:color w:val="000000"/>
                <w:sz w:val="20"/>
                <w:szCs w:val="20"/>
                <w:lang w:val="en-IE" w:eastAsia="en-IE"/>
              </w:rPr>
              <w:t>Year</w:t>
            </w:r>
          </w:p>
        </w:tc>
        <w:tc>
          <w:tcPr>
            <w:tcW w:w="814" w:type="dxa"/>
            <w:tcBorders>
              <w:top w:val="single" w:sz="8" w:space="0" w:color="auto"/>
              <w:left w:val="nil"/>
              <w:bottom w:val="nil"/>
              <w:right w:val="single" w:sz="8" w:space="0" w:color="auto"/>
            </w:tcBorders>
            <w:shd w:val="clear" w:color="000000" w:fill="FFFFFF"/>
            <w:vAlign w:val="bottom"/>
            <w:hideMark/>
          </w:tcPr>
          <w:p w14:paraId="3FD79842" w14:textId="77777777" w:rsidR="001B03F9" w:rsidRPr="004C70EC" w:rsidRDefault="001B03F9">
            <w:pPr>
              <w:spacing w:before="0" w:after="0"/>
              <w:jc w:val="center"/>
              <w:rPr>
                <w:rFonts w:eastAsia="Times New Roman"/>
                <w:noProof/>
                <w:color w:val="000000"/>
                <w:sz w:val="20"/>
                <w:szCs w:val="20"/>
                <w:lang w:val="en-IE" w:eastAsia="en-IE"/>
              </w:rPr>
            </w:pPr>
            <w:r w:rsidRPr="004C70EC">
              <w:rPr>
                <w:rFonts w:eastAsia="Times New Roman"/>
                <w:noProof/>
                <w:color w:val="000000"/>
                <w:sz w:val="20"/>
                <w:szCs w:val="20"/>
                <w:lang w:val="en-IE" w:eastAsia="en-IE"/>
              </w:rPr>
              <w:t>Year</w:t>
            </w:r>
          </w:p>
        </w:tc>
        <w:tc>
          <w:tcPr>
            <w:tcW w:w="829" w:type="dxa"/>
            <w:vMerge w:val="restart"/>
            <w:tcBorders>
              <w:top w:val="single" w:sz="8" w:space="0" w:color="auto"/>
              <w:left w:val="single" w:sz="8" w:space="0" w:color="auto"/>
              <w:bottom w:val="single" w:sz="8" w:space="0" w:color="000000"/>
              <w:right w:val="single" w:sz="8" w:space="0" w:color="auto"/>
            </w:tcBorders>
            <w:vAlign w:val="center"/>
            <w:hideMark/>
          </w:tcPr>
          <w:p w14:paraId="4CF8EAE0" w14:textId="77777777" w:rsidR="001B03F9" w:rsidRPr="004C70EC" w:rsidRDefault="001B03F9">
            <w:pPr>
              <w:spacing w:before="0" w:after="0"/>
              <w:jc w:val="center"/>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TOTAL</w:t>
            </w:r>
            <w:r w:rsidRPr="004C70EC">
              <w:rPr>
                <w:rFonts w:eastAsia="Times New Roman"/>
                <w:b/>
                <w:bCs/>
                <w:noProof/>
                <w:color w:val="000000"/>
                <w:sz w:val="20"/>
                <w:szCs w:val="20"/>
                <w:lang w:val="en-IE" w:eastAsia="en-IE"/>
              </w:rPr>
              <w:br/>
              <w:t>2028 - 2034</w:t>
            </w:r>
          </w:p>
        </w:tc>
        <w:tc>
          <w:tcPr>
            <w:tcW w:w="698" w:type="dxa"/>
            <w:tcBorders>
              <w:top w:val="single" w:sz="8" w:space="0" w:color="auto"/>
              <w:left w:val="nil"/>
              <w:bottom w:val="nil"/>
              <w:right w:val="single" w:sz="8" w:space="0" w:color="auto"/>
            </w:tcBorders>
            <w:shd w:val="clear" w:color="000000" w:fill="FFFFFF"/>
            <w:vAlign w:val="bottom"/>
            <w:hideMark/>
          </w:tcPr>
          <w:p w14:paraId="0457777C" w14:textId="77777777" w:rsidR="001B03F9" w:rsidRPr="004C70EC" w:rsidRDefault="001B03F9">
            <w:pPr>
              <w:spacing w:before="0" w:after="0"/>
              <w:jc w:val="center"/>
              <w:rPr>
                <w:rFonts w:eastAsia="Times New Roman"/>
                <w:noProof/>
                <w:color w:val="000000"/>
                <w:sz w:val="20"/>
                <w:szCs w:val="20"/>
                <w:lang w:val="en-IE" w:eastAsia="en-IE"/>
              </w:rPr>
            </w:pPr>
            <w:r w:rsidRPr="004C70EC">
              <w:rPr>
                <w:rFonts w:eastAsia="Times New Roman"/>
                <w:noProof/>
                <w:color w:val="000000"/>
                <w:sz w:val="20"/>
                <w:szCs w:val="20"/>
                <w:lang w:val="en-IE" w:eastAsia="en-IE"/>
              </w:rPr>
              <w:t>POST</w:t>
            </w:r>
          </w:p>
        </w:tc>
      </w:tr>
      <w:tr w:rsidR="00E91DCB" w:rsidRPr="004C70EC" w14:paraId="3A880A6B" w14:textId="77777777" w:rsidTr="00C614E8">
        <w:trPr>
          <w:trHeight w:val="339"/>
        </w:trPr>
        <w:tc>
          <w:tcPr>
            <w:tcW w:w="2516" w:type="dxa"/>
            <w:vMerge/>
            <w:tcBorders>
              <w:top w:val="single" w:sz="8" w:space="0" w:color="auto"/>
              <w:left w:val="single" w:sz="8" w:space="0" w:color="auto"/>
              <w:bottom w:val="single" w:sz="8" w:space="0" w:color="000000"/>
              <w:right w:val="single" w:sz="8" w:space="0" w:color="auto"/>
            </w:tcBorders>
            <w:vAlign w:val="center"/>
            <w:hideMark/>
          </w:tcPr>
          <w:p w14:paraId="5CD29314" w14:textId="77777777" w:rsidR="001B03F9" w:rsidRPr="004C70EC" w:rsidRDefault="001B03F9">
            <w:pPr>
              <w:spacing w:before="0" w:after="0"/>
              <w:jc w:val="left"/>
              <w:rPr>
                <w:rFonts w:eastAsia="Times New Roman"/>
                <w:b/>
                <w:bCs/>
                <w:noProof/>
                <w:color w:val="444444"/>
                <w:sz w:val="20"/>
                <w:szCs w:val="20"/>
                <w:lang w:val="en-IE" w:eastAsia="en-IE"/>
              </w:rPr>
            </w:pPr>
          </w:p>
        </w:tc>
        <w:tc>
          <w:tcPr>
            <w:tcW w:w="858" w:type="dxa"/>
            <w:tcBorders>
              <w:top w:val="nil"/>
              <w:left w:val="nil"/>
              <w:bottom w:val="single" w:sz="8" w:space="0" w:color="auto"/>
              <w:right w:val="single" w:sz="8" w:space="0" w:color="auto"/>
            </w:tcBorders>
            <w:vAlign w:val="center"/>
            <w:hideMark/>
          </w:tcPr>
          <w:p w14:paraId="15614175" w14:textId="77777777" w:rsidR="001B03F9" w:rsidRPr="004C70EC" w:rsidRDefault="001B03F9">
            <w:pPr>
              <w:spacing w:before="0" w:after="0"/>
              <w:jc w:val="center"/>
              <w:rPr>
                <w:rFonts w:eastAsia="Times New Roman"/>
                <w:b/>
                <w:bCs/>
                <w:noProof/>
                <w:color w:val="444444"/>
                <w:sz w:val="20"/>
                <w:szCs w:val="20"/>
                <w:lang w:val="en-IE" w:eastAsia="en-IE"/>
              </w:rPr>
            </w:pPr>
            <w:r w:rsidRPr="004C70EC">
              <w:rPr>
                <w:rFonts w:eastAsia="Times New Roman"/>
                <w:b/>
                <w:bCs/>
                <w:noProof/>
                <w:color w:val="444444"/>
                <w:sz w:val="20"/>
                <w:szCs w:val="20"/>
                <w:lang w:val="en-IE" w:eastAsia="en-IE"/>
              </w:rPr>
              <w:t>2028</w:t>
            </w:r>
          </w:p>
        </w:tc>
        <w:tc>
          <w:tcPr>
            <w:tcW w:w="858" w:type="dxa"/>
            <w:tcBorders>
              <w:top w:val="nil"/>
              <w:left w:val="nil"/>
              <w:bottom w:val="single" w:sz="8" w:space="0" w:color="auto"/>
              <w:right w:val="single" w:sz="8" w:space="0" w:color="auto"/>
            </w:tcBorders>
            <w:vAlign w:val="center"/>
            <w:hideMark/>
          </w:tcPr>
          <w:p w14:paraId="4F18DB27" w14:textId="77777777" w:rsidR="001B03F9" w:rsidRPr="004C70EC" w:rsidRDefault="001B03F9">
            <w:pPr>
              <w:spacing w:before="0" w:after="0"/>
              <w:jc w:val="center"/>
              <w:rPr>
                <w:rFonts w:eastAsia="Times New Roman"/>
                <w:b/>
                <w:bCs/>
                <w:noProof/>
                <w:color w:val="444444"/>
                <w:sz w:val="20"/>
                <w:szCs w:val="20"/>
                <w:lang w:val="en-IE" w:eastAsia="en-IE"/>
              </w:rPr>
            </w:pPr>
            <w:r w:rsidRPr="004C70EC">
              <w:rPr>
                <w:rFonts w:eastAsia="Times New Roman"/>
                <w:b/>
                <w:bCs/>
                <w:noProof/>
                <w:color w:val="444444"/>
                <w:sz w:val="20"/>
                <w:szCs w:val="20"/>
                <w:lang w:val="en-IE" w:eastAsia="en-IE"/>
              </w:rPr>
              <w:t>2029</w:t>
            </w:r>
          </w:p>
        </w:tc>
        <w:tc>
          <w:tcPr>
            <w:tcW w:w="858" w:type="dxa"/>
            <w:tcBorders>
              <w:top w:val="nil"/>
              <w:left w:val="nil"/>
              <w:bottom w:val="single" w:sz="8" w:space="0" w:color="auto"/>
              <w:right w:val="single" w:sz="8" w:space="0" w:color="auto"/>
            </w:tcBorders>
            <w:vAlign w:val="center"/>
            <w:hideMark/>
          </w:tcPr>
          <w:p w14:paraId="079C431C" w14:textId="77777777" w:rsidR="001B03F9" w:rsidRPr="004C70EC" w:rsidRDefault="001B03F9">
            <w:pPr>
              <w:spacing w:before="0" w:after="0"/>
              <w:jc w:val="center"/>
              <w:rPr>
                <w:rFonts w:eastAsia="Times New Roman"/>
                <w:b/>
                <w:bCs/>
                <w:noProof/>
                <w:color w:val="444444"/>
                <w:sz w:val="20"/>
                <w:szCs w:val="20"/>
                <w:lang w:val="en-IE" w:eastAsia="en-IE"/>
              </w:rPr>
            </w:pPr>
            <w:r w:rsidRPr="004C70EC">
              <w:rPr>
                <w:rFonts w:eastAsia="Times New Roman"/>
                <w:b/>
                <w:bCs/>
                <w:noProof/>
                <w:color w:val="444444"/>
                <w:sz w:val="20"/>
                <w:szCs w:val="20"/>
                <w:lang w:val="en-IE" w:eastAsia="en-IE"/>
              </w:rPr>
              <w:t>2030</w:t>
            </w:r>
          </w:p>
        </w:tc>
        <w:tc>
          <w:tcPr>
            <w:tcW w:w="814" w:type="dxa"/>
            <w:tcBorders>
              <w:top w:val="nil"/>
              <w:left w:val="nil"/>
              <w:bottom w:val="single" w:sz="8" w:space="0" w:color="auto"/>
              <w:right w:val="single" w:sz="8" w:space="0" w:color="auto"/>
            </w:tcBorders>
            <w:vAlign w:val="center"/>
            <w:hideMark/>
          </w:tcPr>
          <w:p w14:paraId="10C737C8" w14:textId="77777777" w:rsidR="001B03F9" w:rsidRPr="004C70EC" w:rsidRDefault="001B03F9">
            <w:pPr>
              <w:spacing w:before="0" w:after="0"/>
              <w:jc w:val="center"/>
              <w:rPr>
                <w:rFonts w:eastAsia="Times New Roman"/>
                <w:b/>
                <w:bCs/>
                <w:noProof/>
                <w:color w:val="444444"/>
                <w:sz w:val="20"/>
                <w:szCs w:val="20"/>
                <w:lang w:val="en-IE" w:eastAsia="en-IE"/>
              </w:rPr>
            </w:pPr>
            <w:r w:rsidRPr="004C70EC">
              <w:rPr>
                <w:rFonts w:eastAsia="Times New Roman"/>
                <w:b/>
                <w:bCs/>
                <w:noProof/>
                <w:color w:val="444444"/>
                <w:sz w:val="20"/>
                <w:szCs w:val="20"/>
                <w:lang w:val="en-IE" w:eastAsia="en-IE"/>
              </w:rPr>
              <w:t>2031</w:t>
            </w:r>
          </w:p>
        </w:tc>
        <w:tc>
          <w:tcPr>
            <w:tcW w:w="814" w:type="dxa"/>
            <w:tcBorders>
              <w:top w:val="nil"/>
              <w:left w:val="nil"/>
              <w:bottom w:val="single" w:sz="8" w:space="0" w:color="auto"/>
              <w:right w:val="single" w:sz="8" w:space="0" w:color="auto"/>
            </w:tcBorders>
            <w:vAlign w:val="center"/>
            <w:hideMark/>
          </w:tcPr>
          <w:p w14:paraId="45B3A662" w14:textId="77777777" w:rsidR="001B03F9" w:rsidRPr="004C70EC" w:rsidRDefault="001B03F9">
            <w:pPr>
              <w:spacing w:before="0" w:after="0"/>
              <w:jc w:val="center"/>
              <w:rPr>
                <w:rFonts w:eastAsia="Times New Roman"/>
                <w:b/>
                <w:bCs/>
                <w:noProof/>
                <w:color w:val="444444"/>
                <w:sz w:val="20"/>
                <w:szCs w:val="20"/>
                <w:lang w:val="en-IE" w:eastAsia="en-IE"/>
              </w:rPr>
            </w:pPr>
            <w:r w:rsidRPr="004C70EC">
              <w:rPr>
                <w:rFonts w:eastAsia="Times New Roman"/>
                <w:b/>
                <w:bCs/>
                <w:noProof/>
                <w:color w:val="444444"/>
                <w:sz w:val="20"/>
                <w:szCs w:val="20"/>
                <w:lang w:val="en-IE" w:eastAsia="en-IE"/>
              </w:rPr>
              <w:t>2032</w:t>
            </w:r>
          </w:p>
        </w:tc>
        <w:tc>
          <w:tcPr>
            <w:tcW w:w="814" w:type="dxa"/>
            <w:tcBorders>
              <w:top w:val="nil"/>
              <w:left w:val="nil"/>
              <w:bottom w:val="single" w:sz="8" w:space="0" w:color="auto"/>
              <w:right w:val="single" w:sz="8" w:space="0" w:color="auto"/>
            </w:tcBorders>
            <w:vAlign w:val="center"/>
            <w:hideMark/>
          </w:tcPr>
          <w:p w14:paraId="1802D652" w14:textId="77777777" w:rsidR="001B03F9" w:rsidRPr="004C70EC" w:rsidRDefault="001B03F9">
            <w:pPr>
              <w:spacing w:before="0" w:after="0"/>
              <w:jc w:val="center"/>
              <w:rPr>
                <w:rFonts w:eastAsia="Times New Roman"/>
                <w:b/>
                <w:bCs/>
                <w:noProof/>
                <w:color w:val="444444"/>
                <w:sz w:val="20"/>
                <w:szCs w:val="20"/>
                <w:lang w:val="en-IE" w:eastAsia="en-IE"/>
              </w:rPr>
            </w:pPr>
            <w:r w:rsidRPr="004C70EC">
              <w:rPr>
                <w:rFonts w:eastAsia="Times New Roman"/>
                <w:b/>
                <w:bCs/>
                <w:noProof/>
                <w:color w:val="444444"/>
                <w:sz w:val="20"/>
                <w:szCs w:val="20"/>
                <w:lang w:val="en-IE" w:eastAsia="en-IE"/>
              </w:rPr>
              <w:t>2033</w:t>
            </w:r>
          </w:p>
        </w:tc>
        <w:tc>
          <w:tcPr>
            <w:tcW w:w="814" w:type="dxa"/>
            <w:tcBorders>
              <w:top w:val="nil"/>
              <w:left w:val="nil"/>
              <w:bottom w:val="single" w:sz="8" w:space="0" w:color="auto"/>
              <w:right w:val="single" w:sz="8" w:space="0" w:color="auto"/>
            </w:tcBorders>
            <w:vAlign w:val="center"/>
            <w:hideMark/>
          </w:tcPr>
          <w:p w14:paraId="3FE4BDAA" w14:textId="77777777" w:rsidR="001B03F9" w:rsidRPr="004C70EC" w:rsidRDefault="001B03F9">
            <w:pPr>
              <w:spacing w:before="0" w:after="0"/>
              <w:jc w:val="center"/>
              <w:rPr>
                <w:rFonts w:eastAsia="Times New Roman"/>
                <w:b/>
                <w:bCs/>
                <w:noProof/>
                <w:color w:val="444444"/>
                <w:sz w:val="20"/>
                <w:szCs w:val="20"/>
                <w:lang w:val="en-IE" w:eastAsia="en-IE"/>
              </w:rPr>
            </w:pPr>
            <w:r w:rsidRPr="004C70EC">
              <w:rPr>
                <w:rFonts w:eastAsia="Times New Roman"/>
                <w:b/>
                <w:bCs/>
                <w:noProof/>
                <w:color w:val="444444"/>
                <w:sz w:val="20"/>
                <w:szCs w:val="20"/>
                <w:lang w:val="en-IE" w:eastAsia="en-IE"/>
              </w:rPr>
              <w:t>2034</w:t>
            </w:r>
          </w:p>
        </w:tc>
        <w:tc>
          <w:tcPr>
            <w:tcW w:w="829" w:type="dxa"/>
            <w:vMerge/>
            <w:tcBorders>
              <w:top w:val="single" w:sz="8" w:space="0" w:color="auto"/>
              <w:left w:val="single" w:sz="8" w:space="0" w:color="auto"/>
              <w:bottom w:val="single" w:sz="8" w:space="0" w:color="000000"/>
              <w:right w:val="single" w:sz="8" w:space="0" w:color="auto"/>
            </w:tcBorders>
            <w:vAlign w:val="center"/>
            <w:hideMark/>
          </w:tcPr>
          <w:p w14:paraId="454CED3D" w14:textId="77777777" w:rsidR="001B03F9" w:rsidRPr="004C70EC" w:rsidRDefault="001B03F9">
            <w:pPr>
              <w:spacing w:before="0" w:after="0"/>
              <w:jc w:val="left"/>
              <w:rPr>
                <w:rFonts w:eastAsia="Times New Roman"/>
                <w:b/>
                <w:bCs/>
                <w:noProof/>
                <w:color w:val="000000"/>
                <w:sz w:val="20"/>
                <w:szCs w:val="20"/>
                <w:lang w:val="en-IE" w:eastAsia="en-IE"/>
              </w:rPr>
            </w:pPr>
          </w:p>
        </w:tc>
        <w:tc>
          <w:tcPr>
            <w:tcW w:w="698" w:type="dxa"/>
            <w:tcBorders>
              <w:top w:val="nil"/>
              <w:left w:val="nil"/>
              <w:bottom w:val="single" w:sz="8" w:space="0" w:color="auto"/>
              <w:right w:val="single" w:sz="8" w:space="0" w:color="auto"/>
            </w:tcBorders>
            <w:shd w:val="clear" w:color="000000" w:fill="FFFFFF"/>
            <w:hideMark/>
          </w:tcPr>
          <w:p w14:paraId="333605C4" w14:textId="77777777" w:rsidR="001B03F9" w:rsidRPr="004C70EC" w:rsidRDefault="001B03F9">
            <w:pPr>
              <w:spacing w:before="0" w:after="0"/>
              <w:jc w:val="center"/>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2034</w:t>
            </w:r>
          </w:p>
        </w:tc>
      </w:tr>
      <w:tr w:rsidR="001B03F9" w:rsidRPr="004C70EC" w14:paraId="487DED44" w14:textId="77777777" w:rsidTr="00C614E8">
        <w:trPr>
          <w:trHeight w:val="339"/>
        </w:trPr>
        <w:tc>
          <w:tcPr>
            <w:tcW w:w="2516" w:type="dxa"/>
            <w:tcBorders>
              <w:top w:val="nil"/>
              <w:left w:val="single" w:sz="8" w:space="0" w:color="auto"/>
              <w:bottom w:val="single" w:sz="8" w:space="0" w:color="auto"/>
              <w:right w:val="single" w:sz="8" w:space="0" w:color="auto"/>
            </w:tcBorders>
            <w:vAlign w:val="center"/>
            <w:hideMark/>
          </w:tcPr>
          <w:p w14:paraId="10047906" w14:textId="77777777" w:rsidR="001B03F9" w:rsidRPr="004C70EC" w:rsidRDefault="001B03F9">
            <w:pPr>
              <w:spacing w:before="0" w:after="0"/>
              <w:jc w:val="left"/>
              <w:rPr>
                <w:rFonts w:eastAsia="Times New Roman"/>
                <w:noProof/>
                <w:color w:val="000000"/>
                <w:sz w:val="20"/>
                <w:szCs w:val="20"/>
                <w:lang w:val="en-IE" w:eastAsia="en-IE"/>
              </w:rPr>
            </w:pPr>
            <w:r w:rsidRPr="004C70EC">
              <w:rPr>
                <w:rFonts w:eastAsia="Times New Roman"/>
                <w:noProof/>
                <w:color w:val="000000"/>
                <w:sz w:val="20"/>
                <w:szCs w:val="20"/>
                <w:lang w:val="en-IE" w:eastAsia="en-IE"/>
              </w:rPr>
              <w:t>Temporary agents (AD+AST)</w:t>
            </w:r>
          </w:p>
        </w:tc>
        <w:tc>
          <w:tcPr>
            <w:tcW w:w="858" w:type="dxa"/>
            <w:tcBorders>
              <w:top w:val="nil"/>
              <w:left w:val="nil"/>
              <w:bottom w:val="single" w:sz="8" w:space="0" w:color="auto"/>
              <w:right w:val="single" w:sz="8" w:space="0" w:color="auto"/>
            </w:tcBorders>
            <w:vAlign w:val="center"/>
            <w:hideMark/>
          </w:tcPr>
          <w:p w14:paraId="16A39FF7"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7</w:t>
            </w:r>
          </w:p>
        </w:tc>
        <w:tc>
          <w:tcPr>
            <w:tcW w:w="858" w:type="dxa"/>
            <w:tcBorders>
              <w:top w:val="nil"/>
              <w:left w:val="nil"/>
              <w:bottom w:val="single" w:sz="8" w:space="0" w:color="auto"/>
              <w:right w:val="single" w:sz="8" w:space="0" w:color="auto"/>
            </w:tcBorders>
            <w:vAlign w:val="center"/>
            <w:hideMark/>
          </w:tcPr>
          <w:p w14:paraId="1E3C96D5"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7</w:t>
            </w:r>
          </w:p>
        </w:tc>
        <w:tc>
          <w:tcPr>
            <w:tcW w:w="858" w:type="dxa"/>
            <w:tcBorders>
              <w:top w:val="nil"/>
              <w:left w:val="nil"/>
              <w:bottom w:val="single" w:sz="8" w:space="0" w:color="auto"/>
              <w:right w:val="single" w:sz="8" w:space="0" w:color="auto"/>
            </w:tcBorders>
            <w:vAlign w:val="center"/>
            <w:hideMark/>
          </w:tcPr>
          <w:p w14:paraId="15732387"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7</w:t>
            </w:r>
          </w:p>
        </w:tc>
        <w:tc>
          <w:tcPr>
            <w:tcW w:w="814" w:type="dxa"/>
            <w:tcBorders>
              <w:top w:val="nil"/>
              <w:left w:val="nil"/>
              <w:bottom w:val="single" w:sz="8" w:space="0" w:color="auto"/>
              <w:right w:val="single" w:sz="8" w:space="0" w:color="auto"/>
            </w:tcBorders>
            <w:vAlign w:val="center"/>
            <w:hideMark/>
          </w:tcPr>
          <w:p w14:paraId="7D26A3B8"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7</w:t>
            </w:r>
          </w:p>
        </w:tc>
        <w:tc>
          <w:tcPr>
            <w:tcW w:w="814" w:type="dxa"/>
            <w:tcBorders>
              <w:top w:val="nil"/>
              <w:left w:val="nil"/>
              <w:bottom w:val="single" w:sz="8" w:space="0" w:color="auto"/>
              <w:right w:val="single" w:sz="8" w:space="0" w:color="auto"/>
            </w:tcBorders>
            <w:vAlign w:val="center"/>
            <w:hideMark/>
          </w:tcPr>
          <w:p w14:paraId="4E63B417"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7</w:t>
            </w:r>
          </w:p>
        </w:tc>
        <w:tc>
          <w:tcPr>
            <w:tcW w:w="814" w:type="dxa"/>
            <w:tcBorders>
              <w:top w:val="nil"/>
              <w:left w:val="nil"/>
              <w:bottom w:val="single" w:sz="8" w:space="0" w:color="auto"/>
              <w:right w:val="single" w:sz="8" w:space="0" w:color="auto"/>
            </w:tcBorders>
            <w:vAlign w:val="center"/>
            <w:hideMark/>
          </w:tcPr>
          <w:p w14:paraId="6200C612"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7</w:t>
            </w:r>
          </w:p>
        </w:tc>
        <w:tc>
          <w:tcPr>
            <w:tcW w:w="814" w:type="dxa"/>
            <w:tcBorders>
              <w:top w:val="nil"/>
              <w:left w:val="nil"/>
              <w:bottom w:val="single" w:sz="8" w:space="0" w:color="auto"/>
              <w:right w:val="single" w:sz="8" w:space="0" w:color="auto"/>
            </w:tcBorders>
            <w:vAlign w:val="center"/>
            <w:hideMark/>
          </w:tcPr>
          <w:p w14:paraId="52BB9A12"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7</w:t>
            </w:r>
          </w:p>
        </w:tc>
        <w:tc>
          <w:tcPr>
            <w:tcW w:w="829" w:type="dxa"/>
            <w:tcBorders>
              <w:top w:val="nil"/>
              <w:left w:val="nil"/>
              <w:bottom w:val="single" w:sz="8" w:space="0" w:color="auto"/>
              <w:right w:val="single" w:sz="8" w:space="0" w:color="auto"/>
            </w:tcBorders>
            <w:shd w:val="clear" w:color="000000" w:fill="808080"/>
            <w:vAlign w:val="center"/>
            <w:hideMark/>
          </w:tcPr>
          <w:p w14:paraId="02129636" w14:textId="77777777" w:rsidR="001B03F9" w:rsidRPr="004C70EC" w:rsidRDefault="001B03F9">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 </w:t>
            </w:r>
          </w:p>
        </w:tc>
        <w:tc>
          <w:tcPr>
            <w:tcW w:w="698" w:type="dxa"/>
            <w:tcBorders>
              <w:top w:val="nil"/>
              <w:left w:val="nil"/>
              <w:bottom w:val="single" w:sz="8" w:space="0" w:color="auto"/>
              <w:right w:val="single" w:sz="8" w:space="0" w:color="auto"/>
            </w:tcBorders>
            <w:vAlign w:val="center"/>
            <w:hideMark/>
          </w:tcPr>
          <w:p w14:paraId="1E1937C9"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12</w:t>
            </w:r>
          </w:p>
        </w:tc>
      </w:tr>
      <w:tr w:rsidR="001B03F9" w:rsidRPr="004C70EC" w14:paraId="40EC6F1D" w14:textId="77777777" w:rsidTr="00C614E8">
        <w:trPr>
          <w:trHeight w:val="339"/>
        </w:trPr>
        <w:tc>
          <w:tcPr>
            <w:tcW w:w="2516" w:type="dxa"/>
            <w:tcBorders>
              <w:top w:val="nil"/>
              <w:left w:val="single" w:sz="8" w:space="0" w:color="auto"/>
              <w:bottom w:val="single" w:sz="8" w:space="0" w:color="auto"/>
              <w:right w:val="single" w:sz="8" w:space="0" w:color="auto"/>
            </w:tcBorders>
            <w:vAlign w:val="center"/>
            <w:hideMark/>
          </w:tcPr>
          <w:p w14:paraId="220432FB" w14:textId="77777777" w:rsidR="001B03F9" w:rsidRPr="004C70EC" w:rsidRDefault="001B03F9">
            <w:pPr>
              <w:spacing w:before="0" w:after="0"/>
              <w:jc w:val="left"/>
              <w:rPr>
                <w:rFonts w:eastAsia="Times New Roman"/>
                <w:noProof/>
                <w:color w:val="000000"/>
                <w:sz w:val="20"/>
                <w:szCs w:val="20"/>
                <w:lang w:val="en-IE" w:eastAsia="en-IE"/>
              </w:rPr>
            </w:pPr>
            <w:r w:rsidRPr="004C70EC">
              <w:rPr>
                <w:rFonts w:eastAsia="Times New Roman"/>
                <w:noProof/>
                <w:color w:val="000000"/>
                <w:sz w:val="20"/>
                <w:szCs w:val="20"/>
                <w:lang w:val="en-IE" w:eastAsia="en-IE"/>
              </w:rPr>
              <w:t>Contract agents</w:t>
            </w:r>
          </w:p>
        </w:tc>
        <w:tc>
          <w:tcPr>
            <w:tcW w:w="858" w:type="dxa"/>
            <w:tcBorders>
              <w:top w:val="nil"/>
              <w:left w:val="nil"/>
              <w:bottom w:val="single" w:sz="8" w:space="0" w:color="auto"/>
              <w:right w:val="single" w:sz="8" w:space="0" w:color="auto"/>
            </w:tcBorders>
            <w:vAlign w:val="center"/>
            <w:hideMark/>
          </w:tcPr>
          <w:p w14:paraId="16248288"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5</w:t>
            </w:r>
          </w:p>
        </w:tc>
        <w:tc>
          <w:tcPr>
            <w:tcW w:w="858" w:type="dxa"/>
            <w:tcBorders>
              <w:top w:val="nil"/>
              <w:left w:val="nil"/>
              <w:bottom w:val="single" w:sz="8" w:space="0" w:color="auto"/>
              <w:right w:val="single" w:sz="8" w:space="0" w:color="auto"/>
            </w:tcBorders>
            <w:vAlign w:val="center"/>
            <w:hideMark/>
          </w:tcPr>
          <w:p w14:paraId="11B0497E"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5</w:t>
            </w:r>
          </w:p>
        </w:tc>
        <w:tc>
          <w:tcPr>
            <w:tcW w:w="858" w:type="dxa"/>
            <w:tcBorders>
              <w:top w:val="nil"/>
              <w:left w:val="nil"/>
              <w:bottom w:val="single" w:sz="8" w:space="0" w:color="auto"/>
              <w:right w:val="single" w:sz="8" w:space="0" w:color="auto"/>
            </w:tcBorders>
            <w:vAlign w:val="center"/>
            <w:hideMark/>
          </w:tcPr>
          <w:p w14:paraId="33000F16"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5</w:t>
            </w:r>
          </w:p>
        </w:tc>
        <w:tc>
          <w:tcPr>
            <w:tcW w:w="814" w:type="dxa"/>
            <w:tcBorders>
              <w:top w:val="nil"/>
              <w:left w:val="nil"/>
              <w:bottom w:val="single" w:sz="8" w:space="0" w:color="auto"/>
              <w:right w:val="single" w:sz="8" w:space="0" w:color="auto"/>
            </w:tcBorders>
            <w:vAlign w:val="center"/>
            <w:hideMark/>
          </w:tcPr>
          <w:p w14:paraId="244F8E32"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5</w:t>
            </w:r>
          </w:p>
        </w:tc>
        <w:tc>
          <w:tcPr>
            <w:tcW w:w="814" w:type="dxa"/>
            <w:tcBorders>
              <w:top w:val="nil"/>
              <w:left w:val="nil"/>
              <w:bottom w:val="single" w:sz="8" w:space="0" w:color="auto"/>
              <w:right w:val="single" w:sz="8" w:space="0" w:color="auto"/>
            </w:tcBorders>
            <w:vAlign w:val="center"/>
            <w:hideMark/>
          </w:tcPr>
          <w:p w14:paraId="1B0EC76B"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5</w:t>
            </w:r>
          </w:p>
        </w:tc>
        <w:tc>
          <w:tcPr>
            <w:tcW w:w="814" w:type="dxa"/>
            <w:tcBorders>
              <w:top w:val="nil"/>
              <w:left w:val="nil"/>
              <w:bottom w:val="single" w:sz="8" w:space="0" w:color="auto"/>
              <w:right w:val="single" w:sz="8" w:space="0" w:color="auto"/>
            </w:tcBorders>
            <w:vAlign w:val="center"/>
            <w:hideMark/>
          </w:tcPr>
          <w:p w14:paraId="210510A4"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5</w:t>
            </w:r>
          </w:p>
        </w:tc>
        <w:tc>
          <w:tcPr>
            <w:tcW w:w="814" w:type="dxa"/>
            <w:tcBorders>
              <w:top w:val="nil"/>
              <w:left w:val="nil"/>
              <w:bottom w:val="single" w:sz="8" w:space="0" w:color="auto"/>
              <w:right w:val="single" w:sz="8" w:space="0" w:color="auto"/>
            </w:tcBorders>
            <w:vAlign w:val="center"/>
            <w:hideMark/>
          </w:tcPr>
          <w:p w14:paraId="5A5C22F7"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5</w:t>
            </w:r>
          </w:p>
        </w:tc>
        <w:tc>
          <w:tcPr>
            <w:tcW w:w="829" w:type="dxa"/>
            <w:tcBorders>
              <w:top w:val="nil"/>
              <w:left w:val="nil"/>
              <w:bottom w:val="single" w:sz="8" w:space="0" w:color="auto"/>
              <w:right w:val="single" w:sz="8" w:space="0" w:color="auto"/>
            </w:tcBorders>
            <w:shd w:val="clear" w:color="000000" w:fill="808080"/>
            <w:vAlign w:val="center"/>
            <w:hideMark/>
          </w:tcPr>
          <w:p w14:paraId="1BB65133" w14:textId="77777777" w:rsidR="001B03F9" w:rsidRPr="004C70EC" w:rsidRDefault="001B03F9">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 </w:t>
            </w:r>
          </w:p>
        </w:tc>
        <w:tc>
          <w:tcPr>
            <w:tcW w:w="698" w:type="dxa"/>
            <w:tcBorders>
              <w:top w:val="nil"/>
              <w:left w:val="nil"/>
              <w:bottom w:val="single" w:sz="8" w:space="0" w:color="auto"/>
              <w:right w:val="single" w:sz="8" w:space="0" w:color="auto"/>
            </w:tcBorders>
            <w:vAlign w:val="center"/>
            <w:hideMark/>
          </w:tcPr>
          <w:p w14:paraId="3C55C17B"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5</w:t>
            </w:r>
          </w:p>
        </w:tc>
      </w:tr>
      <w:tr w:rsidR="001B03F9" w:rsidRPr="004C70EC" w14:paraId="10D07A13" w14:textId="77777777" w:rsidTr="00C614E8">
        <w:trPr>
          <w:trHeight w:val="339"/>
        </w:trPr>
        <w:tc>
          <w:tcPr>
            <w:tcW w:w="2516" w:type="dxa"/>
            <w:tcBorders>
              <w:top w:val="nil"/>
              <w:left w:val="single" w:sz="8" w:space="0" w:color="auto"/>
              <w:bottom w:val="single" w:sz="8" w:space="0" w:color="auto"/>
              <w:right w:val="single" w:sz="8" w:space="0" w:color="auto"/>
            </w:tcBorders>
            <w:vAlign w:val="center"/>
            <w:hideMark/>
          </w:tcPr>
          <w:p w14:paraId="496F86CC" w14:textId="77777777" w:rsidR="001B03F9" w:rsidRPr="004C70EC" w:rsidRDefault="001B03F9">
            <w:pPr>
              <w:spacing w:before="0" w:after="0"/>
              <w:jc w:val="left"/>
              <w:rPr>
                <w:rFonts w:eastAsia="Times New Roman"/>
                <w:noProof/>
                <w:color w:val="000000"/>
                <w:sz w:val="20"/>
                <w:szCs w:val="20"/>
                <w:lang w:val="en-IE" w:eastAsia="en-IE"/>
              </w:rPr>
            </w:pPr>
            <w:r w:rsidRPr="004C70EC">
              <w:rPr>
                <w:rFonts w:eastAsia="Times New Roman"/>
                <w:noProof/>
                <w:color w:val="000000"/>
                <w:sz w:val="20"/>
                <w:szCs w:val="20"/>
                <w:lang w:val="en-IE" w:eastAsia="en-IE"/>
              </w:rPr>
              <w:t>Seconded National Experts</w:t>
            </w:r>
          </w:p>
        </w:tc>
        <w:tc>
          <w:tcPr>
            <w:tcW w:w="858" w:type="dxa"/>
            <w:tcBorders>
              <w:top w:val="nil"/>
              <w:left w:val="nil"/>
              <w:bottom w:val="single" w:sz="8" w:space="0" w:color="auto"/>
              <w:right w:val="single" w:sz="8" w:space="0" w:color="auto"/>
            </w:tcBorders>
            <w:vAlign w:val="center"/>
            <w:hideMark/>
          </w:tcPr>
          <w:p w14:paraId="56932317"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0</w:t>
            </w:r>
          </w:p>
        </w:tc>
        <w:tc>
          <w:tcPr>
            <w:tcW w:w="858" w:type="dxa"/>
            <w:tcBorders>
              <w:top w:val="nil"/>
              <w:left w:val="nil"/>
              <w:bottom w:val="single" w:sz="8" w:space="0" w:color="auto"/>
              <w:right w:val="single" w:sz="8" w:space="0" w:color="auto"/>
            </w:tcBorders>
            <w:vAlign w:val="center"/>
            <w:hideMark/>
          </w:tcPr>
          <w:p w14:paraId="65B6012B"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0</w:t>
            </w:r>
          </w:p>
        </w:tc>
        <w:tc>
          <w:tcPr>
            <w:tcW w:w="858" w:type="dxa"/>
            <w:tcBorders>
              <w:top w:val="nil"/>
              <w:left w:val="nil"/>
              <w:bottom w:val="single" w:sz="8" w:space="0" w:color="auto"/>
              <w:right w:val="single" w:sz="8" w:space="0" w:color="auto"/>
            </w:tcBorders>
            <w:vAlign w:val="center"/>
            <w:hideMark/>
          </w:tcPr>
          <w:p w14:paraId="1257CA55"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0</w:t>
            </w:r>
          </w:p>
        </w:tc>
        <w:tc>
          <w:tcPr>
            <w:tcW w:w="814" w:type="dxa"/>
            <w:tcBorders>
              <w:top w:val="nil"/>
              <w:left w:val="nil"/>
              <w:bottom w:val="single" w:sz="8" w:space="0" w:color="auto"/>
              <w:right w:val="single" w:sz="8" w:space="0" w:color="auto"/>
            </w:tcBorders>
            <w:vAlign w:val="center"/>
            <w:hideMark/>
          </w:tcPr>
          <w:p w14:paraId="4CF9CE15"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0</w:t>
            </w:r>
          </w:p>
        </w:tc>
        <w:tc>
          <w:tcPr>
            <w:tcW w:w="814" w:type="dxa"/>
            <w:tcBorders>
              <w:top w:val="nil"/>
              <w:left w:val="nil"/>
              <w:bottom w:val="single" w:sz="8" w:space="0" w:color="auto"/>
              <w:right w:val="single" w:sz="8" w:space="0" w:color="auto"/>
            </w:tcBorders>
            <w:vAlign w:val="center"/>
            <w:hideMark/>
          </w:tcPr>
          <w:p w14:paraId="2663E61B"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0</w:t>
            </w:r>
          </w:p>
        </w:tc>
        <w:tc>
          <w:tcPr>
            <w:tcW w:w="814" w:type="dxa"/>
            <w:tcBorders>
              <w:top w:val="nil"/>
              <w:left w:val="nil"/>
              <w:bottom w:val="single" w:sz="8" w:space="0" w:color="auto"/>
              <w:right w:val="single" w:sz="8" w:space="0" w:color="auto"/>
            </w:tcBorders>
            <w:vAlign w:val="center"/>
            <w:hideMark/>
          </w:tcPr>
          <w:p w14:paraId="617F518E"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0</w:t>
            </w:r>
          </w:p>
        </w:tc>
        <w:tc>
          <w:tcPr>
            <w:tcW w:w="814" w:type="dxa"/>
            <w:tcBorders>
              <w:top w:val="nil"/>
              <w:left w:val="nil"/>
              <w:bottom w:val="single" w:sz="8" w:space="0" w:color="auto"/>
              <w:right w:val="single" w:sz="8" w:space="0" w:color="auto"/>
            </w:tcBorders>
            <w:vAlign w:val="center"/>
            <w:hideMark/>
          </w:tcPr>
          <w:p w14:paraId="6C6893D1"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0</w:t>
            </w:r>
          </w:p>
        </w:tc>
        <w:tc>
          <w:tcPr>
            <w:tcW w:w="829" w:type="dxa"/>
            <w:tcBorders>
              <w:top w:val="nil"/>
              <w:left w:val="nil"/>
              <w:bottom w:val="single" w:sz="8" w:space="0" w:color="auto"/>
              <w:right w:val="single" w:sz="8" w:space="0" w:color="auto"/>
            </w:tcBorders>
            <w:shd w:val="clear" w:color="000000" w:fill="808080"/>
            <w:vAlign w:val="center"/>
            <w:hideMark/>
          </w:tcPr>
          <w:p w14:paraId="02FBB3F6" w14:textId="77777777" w:rsidR="001B03F9" w:rsidRPr="004C70EC" w:rsidRDefault="001B03F9">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 </w:t>
            </w:r>
          </w:p>
        </w:tc>
        <w:tc>
          <w:tcPr>
            <w:tcW w:w="698" w:type="dxa"/>
            <w:tcBorders>
              <w:top w:val="nil"/>
              <w:left w:val="nil"/>
              <w:bottom w:val="single" w:sz="8" w:space="0" w:color="auto"/>
              <w:right w:val="single" w:sz="8" w:space="0" w:color="auto"/>
            </w:tcBorders>
            <w:vAlign w:val="center"/>
            <w:hideMark/>
          </w:tcPr>
          <w:p w14:paraId="0D33A1BD"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 </w:t>
            </w:r>
          </w:p>
        </w:tc>
      </w:tr>
      <w:tr w:rsidR="001B03F9" w:rsidRPr="004C70EC" w14:paraId="489DA31C" w14:textId="77777777">
        <w:trPr>
          <w:trHeight w:val="339"/>
        </w:trPr>
        <w:tc>
          <w:tcPr>
            <w:tcW w:w="2516" w:type="dxa"/>
            <w:tcBorders>
              <w:top w:val="nil"/>
              <w:left w:val="single" w:sz="8" w:space="0" w:color="auto"/>
              <w:bottom w:val="single" w:sz="8" w:space="0" w:color="auto"/>
              <w:right w:val="single" w:sz="8" w:space="0" w:color="auto"/>
            </w:tcBorders>
            <w:shd w:val="clear" w:color="000000" w:fill="BFBFBF"/>
            <w:vAlign w:val="center"/>
            <w:hideMark/>
          </w:tcPr>
          <w:p w14:paraId="28E7EE08" w14:textId="77777777" w:rsidR="001B03F9" w:rsidRPr="004C70EC" w:rsidRDefault="001B03F9">
            <w:pPr>
              <w:spacing w:before="0" w:after="0"/>
              <w:jc w:val="lef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Total staff</w:t>
            </w:r>
          </w:p>
        </w:tc>
        <w:tc>
          <w:tcPr>
            <w:tcW w:w="858" w:type="dxa"/>
            <w:tcBorders>
              <w:top w:val="nil"/>
              <w:left w:val="nil"/>
              <w:bottom w:val="single" w:sz="8" w:space="0" w:color="auto"/>
              <w:right w:val="single" w:sz="8" w:space="0" w:color="auto"/>
            </w:tcBorders>
            <w:shd w:val="clear" w:color="000000" w:fill="BFBFBF"/>
            <w:vAlign w:val="center"/>
            <w:hideMark/>
          </w:tcPr>
          <w:p w14:paraId="64A369E8"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12</w:t>
            </w:r>
          </w:p>
        </w:tc>
        <w:tc>
          <w:tcPr>
            <w:tcW w:w="858" w:type="dxa"/>
            <w:tcBorders>
              <w:top w:val="nil"/>
              <w:left w:val="nil"/>
              <w:bottom w:val="single" w:sz="8" w:space="0" w:color="auto"/>
              <w:right w:val="single" w:sz="8" w:space="0" w:color="auto"/>
            </w:tcBorders>
            <w:shd w:val="clear" w:color="000000" w:fill="BFBFBF"/>
            <w:vAlign w:val="center"/>
            <w:hideMark/>
          </w:tcPr>
          <w:p w14:paraId="6C22C5ED"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12</w:t>
            </w:r>
          </w:p>
        </w:tc>
        <w:tc>
          <w:tcPr>
            <w:tcW w:w="858" w:type="dxa"/>
            <w:tcBorders>
              <w:top w:val="nil"/>
              <w:left w:val="nil"/>
              <w:bottom w:val="single" w:sz="8" w:space="0" w:color="auto"/>
              <w:right w:val="single" w:sz="8" w:space="0" w:color="auto"/>
            </w:tcBorders>
            <w:shd w:val="clear" w:color="000000" w:fill="BFBFBF"/>
            <w:vAlign w:val="center"/>
            <w:hideMark/>
          </w:tcPr>
          <w:p w14:paraId="0D101920"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12</w:t>
            </w:r>
          </w:p>
        </w:tc>
        <w:tc>
          <w:tcPr>
            <w:tcW w:w="814" w:type="dxa"/>
            <w:tcBorders>
              <w:top w:val="nil"/>
              <w:left w:val="nil"/>
              <w:bottom w:val="single" w:sz="8" w:space="0" w:color="auto"/>
              <w:right w:val="single" w:sz="8" w:space="0" w:color="auto"/>
            </w:tcBorders>
            <w:shd w:val="clear" w:color="000000" w:fill="BFBFBF"/>
            <w:vAlign w:val="center"/>
            <w:hideMark/>
          </w:tcPr>
          <w:p w14:paraId="3DA09633"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12</w:t>
            </w:r>
          </w:p>
        </w:tc>
        <w:tc>
          <w:tcPr>
            <w:tcW w:w="814" w:type="dxa"/>
            <w:tcBorders>
              <w:top w:val="nil"/>
              <w:left w:val="nil"/>
              <w:bottom w:val="single" w:sz="8" w:space="0" w:color="auto"/>
              <w:right w:val="single" w:sz="8" w:space="0" w:color="auto"/>
            </w:tcBorders>
            <w:shd w:val="clear" w:color="000000" w:fill="BFBFBF"/>
            <w:vAlign w:val="center"/>
            <w:hideMark/>
          </w:tcPr>
          <w:p w14:paraId="54AEF77F"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12</w:t>
            </w:r>
          </w:p>
        </w:tc>
        <w:tc>
          <w:tcPr>
            <w:tcW w:w="814" w:type="dxa"/>
            <w:tcBorders>
              <w:top w:val="nil"/>
              <w:left w:val="nil"/>
              <w:bottom w:val="single" w:sz="8" w:space="0" w:color="auto"/>
              <w:right w:val="single" w:sz="8" w:space="0" w:color="auto"/>
            </w:tcBorders>
            <w:shd w:val="clear" w:color="000000" w:fill="BFBFBF"/>
            <w:vAlign w:val="center"/>
            <w:hideMark/>
          </w:tcPr>
          <w:p w14:paraId="57599C3A"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12</w:t>
            </w:r>
          </w:p>
        </w:tc>
        <w:tc>
          <w:tcPr>
            <w:tcW w:w="814" w:type="dxa"/>
            <w:tcBorders>
              <w:top w:val="nil"/>
              <w:left w:val="nil"/>
              <w:bottom w:val="single" w:sz="8" w:space="0" w:color="auto"/>
              <w:right w:val="single" w:sz="8" w:space="0" w:color="auto"/>
            </w:tcBorders>
            <w:shd w:val="clear" w:color="000000" w:fill="BFBFBF"/>
            <w:vAlign w:val="center"/>
            <w:hideMark/>
          </w:tcPr>
          <w:p w14:paraId="23CB35CA"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12</w:t>
            </w:r>
          </w:p>
        </w:tc>
        <w:tc>
          <w:tcPr>
            <w:tcW w:w="829" w:type="dxa"/>
            <w:tcBorders>
              <w:top w:val="nil"/>
              <w:left w:val="nil"/>
              <w:bottom w:val="single" w:sz="8" w:space="0" w:color="auto"/>
              <w:right w:val="single" w:sz="8" w:space="0" w:color="auto"/>
            </w:tcBorders>
            <w:shd w:val="clear" w:color="000000" w:fill="808080"/>
            <w:vAlign w:val="center"/>
            <w:hideMark/>
          </w:tcPr>
          <w:p w14:paraId="45DB3C42"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 </w:t>
            </w:r>
          </w:p>
        </w:tc>
        <w:tc>
          <w:tcPr>
            <w:tcW w:w="698" w:type="dxa"/>
            <w:tcBorders>
              <w:top w:val="nil"/>
              <w:left w:val="nil"/>
              <w:bottom w:val="single" w:sz="8" w:space="0" w:color="auto"/>
              <w:right w:val="single" w:sz="8" w:space="0" w:color="auto"/>
            </w:tcBorders>
            <w:shd w:val="clear" w:color="000000" w:fill="BFBFBF"/>
            <w:vAlign w:val="center"/>
            <w:hideMark/>
          </w:tcPr>
          <w:p w14:paraId="06A37A76" w14:textId="77777777" w:rsidR="001B03F9" w:rsidRPr="004C70EC" w:rsidRDefault="001B03F9">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12</w:t>
            </w:r>
          </w:p>
        </w:tc>
      </w:tr>
      <w:tr w:rsidR="001B03F9" w:rsidRPr="004C70EC" w14:paraId="73A1B6F1" w14:textId="77777777" w:rsidTr="00C614E8">
        <w:trPr>
          <w:trHeight w:val="566"/>
        </w:trPr>
        <w:tc>
          <w:tcPr>
            <w:tcW w:w="2516" w:type="dxa"/>
            <w:tcBorders>
              <w:top w:val="nil"/>
              <w:left w:val="single" w:sz="8" w:space="0" w:color="auto"/>
              <w:bottom w:val="single" w:sz="8" w:space="0" w:color="auto"/>
              <w:right w:val="single" w:sz="8" w:space="0" w:color="auto"/>
            </w:tcBorders>
            <w:vAlign w:val="center"/>
            <w:hideMark/>
          </w:tcPr>
          <w:p w14:paraId="62874362" w14:textId="77777777" w:rsidR="001B03F9" w:rsidRPr="004C70EC" w:rsidRDefault="001B03F9">
            <w:pPr>
              <w:spacing w:before="0" w:after="0"/>
              <w:jc w:val="left"/>
              <w:rPr>
                <w:rFonts w:eastAsia="Times New Roman"/>
                <w:noProof/>
                <w:color w:val="000000"/>
                <w:sz w:val="20"/>
                <w:szCs w:val="20"/>
                <w:lang w:val="en-IE" w:eastAsia="en-IE"/>
              </w:rPr>
            </w:pPr>
            <w:r w:rsidRPr="004C70EC">
              <w:rPr>
                <w:rFonts w:eastAsia="Times New Roman"/>
                <w:noProof/>
                <w:color w:val="000000"/>
                <w:sz w:val="20"/>
                <w:szCs w:val="20"/>
                <w:lang w:val="en-IE" w:eastAsia="en-IE"/>
              </w:rPr>
              <w:t>Appropriations covered by the EU Budget</w:t>
            </w:r>
          </w:p>
        </w:tc>
        <w:tc>
          <w:tcPr>
            <w:tcW w:w="858" w:type="dxa"/>
            <w:tcBorders>
              <w:top w:val="nil"/>
              <w:left w:val="nil"/>
              <w:bottom w:val="single" w:sz="8" w:space="0" w:color="auto"/>
              <w:right w:val="single" w:sz="8" w:space="0" w:color="auto"/>
            </w:tcBorders>
            <w:shd w:val="clear" w:color="000000" w:fill="BFBFBF"/>
            <w:vAlign w:val="center"/>
            <w:hideMark/>
          </w:tcPr>
          <w:p w14:paraId="7A30FB1D"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10,055</w:t>
            </w:r>
          </w:p>
        </w:tc>
        <w:tc>
          <w:tcPr>
            <w:tcW w:w="858" w:type="dxa"/>
            <w:tcBorders>
              <w:top w:val="nil"/>
              <w:left w:val="nil"/>
              <w:bottom w:val="single" w:sz="8" w:space="0" w:color="auto"/>
              <w:right w:val="single" w:sz="8" w:space="0" w:color="auto"/>
            </w:tcBorders>
            <w:shd w:val="clear" w:color="000000" w:fill="BFBFBF"/>
            <w:vAlign w:val="center"/>
            <w:hideMark/>
          </w:tcPr>
          <w:p w14:paraId="441E72AF"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8,153</w:t>
            </w:r>
          </w:p>
        </w:tc>
        <w:tc>
          <w:tcPr>
            <w:tcW w:w="858" w:type="dxa"/>
            <w:tcBorders>
              <w:top w:val="nil"/>
              <w:left w:val="nil"/>
              <w:bottom w:val="single" w:sz="8" w:space="0" w:color="auto"/>
              <w:right w:val="single" w:sz="8" w:space="0" w:color="auto"/>
            </w:tcBorders>
            <w:shd w:val="clear" w:color="000000" w:fill="BFBFBF"/>
            <w:vAlign w:val="center"/>
            <w:hideMark/>
          </w:tcPr>
          <w:p w14:paraId="5F2273D2"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2,196</w:t>
            </w:r>
          </w:p>
        </w:tc>
        <w:tc>
          <w:tcPr>
            <w:tcW w:w="814" w:type="dxa"/>
            <w:tcBorders>
              <w:top w:val="nil"/>
              <w:left w:val="nil"/>
              <w:bottom w:val="single" w:sz="8" w:space="0" w:color="auto"/>
              <w:right w:val="single" w:sz="8" w:space="0" w:color="auto"/>
            </w:tcBorders>
            <w:shd w:val="clear" w:color="000000" w:fill="BFBFBF"/>
            <w:vAlign w:val="center"/>
            <w:hideMark/>
          </w:tcPr>
          <w:p w14:paraId="47C22DBC"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2,240</w:t>
            </w:r>
          </w:p>
        </w:tc>
        <w:tc>
          <w:tcPr>
            <w:tcW w:w="814" w:type="dxa"/>
            <w:tcBorders>
              <w:top w:val="nil"/>
              <w:left w:val="nil"/>
              <w:bottom w:val="single" w:sz="8" w:space="0" w:color="auto"/>
              <w:right w:val="single" w:sz="8" w:space="0" w:color="auto"/>
            </w:tcBorders>
            <w:shd w:val="clear" w:color="000000" w:fill="BFBFBF"/>
            <w:vAlign w:val="center"/>
            <w:hideMark/>
          </w:tcPr>
          <w:p w14:paraId="7F615518"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2,285</w:t>
            </w:r>
          </w:p>
        </w:tc>
        <w:tc>
          <w:tcPr>
            <w:tcW w:w="814" w:type="dxa"/>
            <w:tcBorders>
              <w:top w:val="nil"/>
              <w:left w:val="nil"/>
              <w:bottom w:val="single" w:sz="8" w:space="0" w:color="auto"/>
              <w:right w:val="single" w:sz="8" w:space="0" w:color="auto"/>
            </w:tcBorders>
            <w:shd w:val="clear" w:color="000000" w:fill="BFBFBF"/>
            <w:vAlign w:val="center"/>
            <w:hideMark/>
          </w:tcPr>
          <w:p w14:paraId="540A64B7"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2,330</w:t>
            </w:r>
          </w:p>
        </w:tc>
        <w:tc>
          <w:tcPr>
            <w:tcW w:w="814" w:type="dxa"/>
            <w:tcBorders>
              <w:top w:val="nil"/>
              <w:left w:val="nil"/>
              <w:bottom w:val="single" w:sz="8" w:space="0" w:color="auto"/>
              <w:right w:val="single" w:sz="8" w:space="0" w:color="auto"/>
            </w:tcBorders>
            <w:shd w:val="clear" w:color="000000" w:fill="BFBFBF"/>
            <w:vAlign w:val="center"/>
            <w:hideMark/>
          </w:tcPr>
          <w:p w14:paraId="2DC6A902"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2,377</w:t>
            </w:r>
          </w:p>
        </w:tc>
        <w:tc>
          <w:tcPr>
            <w:tcW w:w="829" w:type="dxa"/>
            <w:tcBorders>
              <w:top w:val="nil"/>
              <w:left w:val="nil"/>
              <w:bottom w:val="single" w:sz="8" w:space="0" w:color="auto"/>
              <w:right w:val="single" w:sz="8" w:space="0" w:color="auto"/>
            </w:tcBorders>
            <w:shd w:val="clear" w:color="000000" w:fill="BFBFBF"/>
            <w:vAlign w:val="center"/>
            <w:hideMark/>
          </w:tcPr>
          <w:p w14:paraId="394E741D" w14:textId="77777777" w:rsidR="001B03F9" w:rsidRPr="004C70EC" w:rsidRDefault="001B03F9">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29,635</w:t>
            </w:r>
          </w:p>
        </w:tc>
        <w:tc>
          <w:tcPr>
            <w:tcW w:w="698" w:type="dxa"/>
            <w:tcBorders>
              <w:top w:val="nil"/>
              <w:left w:val="nil"/>
              <w:bottom w:val="single" w:sz="8" w:space="0" w:color="auto"/>
              <w:right w:val="single" w:sz="8" w:space="0" w:color="auto"/>
            </w:tcBorders>
            <w:shd w:val="clear" w:color="000000" w:fill="BFBFBF"/>
            <w:vAlign w:val="center"/>
            <w:hideMark/>
          </w:tcPr>
          <w:p w14:paraId="11C953D4"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2,</w:t>
            </w:r>
            <w:r w:rsidR="00F516FF" w:rsidRPr="004C70EC">
              <w:rPr>
                <w:rFonts w:eastAsia="Times New Roman"/>
                <w:noProof/>
                <w:color w:val="000000"/>
                <w:sz w:val="20"/>
                <w:szCs w:val="20"/>
                <w:lang w:val="en-IE" w:eastAsia="en-IE"/>
              </w:rPr>
              <w:t>425</w:t>
            </w:r>
          </w:p>
        </w:tc>
      </w:tr>
      <w:tr w:rsidR="001B03F9" w:rsidRPr="004C70EC" w14:paraId="6313D357" w14:textId="77777777" w:rsidTr="00C614E8">
        <w:trPr>
          <w:trHeight w:val="339"/>
        </w:trPr>
        <w:tc>
          <w:tcPr>
            <w:tcW w:w="2516" w:type="dxa"/>
            <w:tcBorders>
              <w:top w:val="nil"/>
              <w:left w:val="single" w:sz="8" w:space="0" w:color="auto"/>
              <w:bottom w:val="single" w:sz="8" w:space="0" w:color="auto"/>
              <w:right w:val="single" w:sz="8" w:space="0" w:color="auto"/>
            </w:tcBorders>
            <w:vAlign w:val="center"/>
            <w:hideMark/>
          </w:tcPr>
          <w:p w14:paraId="1DF42DF8" w14:textId="77777777" w:rsidR="001B03F9" w:rsidRPr="004C70EC" w:rsidRDefault="001B03F9">
            <w:pPr>
              <w:spacing w:before="0" w:after="0"/>
              <w:jc w:val="left"/>
              <w:rPr>
                <w:rFonts w:eastAsia="Times New Roman"/>
                <w:noProof/>
                <w:color w:val="000000"/>
                <w:sz w:val="20"/>
                <w:szCs w:val="20"/>
                <w:lang w:val="en-IE" w:eastAsia="en-IE"/>
              </w:rPr>
            </w:pPr>
            <w:r w:rsidRPr="004C70EC">
              <w:rPr>
                <w:rFonts w:eastAsia="Times New Roman"/>
                <w:noProof/>
                <w:color w:val="000000"/>
                <w:sz w:val="20"/>
                <w:szCs w:val="20"/>
                <w:lang w:val="en-IE" w:eastAsia="en-IE"/>
              </w:rPr>
              <w:t>Appropriations covered by fees</w:t>
            </w:r>
          </w:p>
        </w:tc>
        <w:tc>
          <w:tcPr>
            <w:tcW w:w="858" w:type="dxa"/>
            <w:tcBorders>
              <w:top w:val="nil"/>
              <w:left w:val="nil"/>
              <w:bottom w:val="single" w:sz="8" w:space="0" w:color="auto"/>
              <w:right w:val="single" w:sz="8" w:space="0" w:color="auto"/>
            </w:tcBorders>
            <w:shd w:val="clear" w:color="000000" w:fill="BFBFBF"/>
            <w:vAlign w:val="center"/>
            <w:hideMark/>
          </w:tcPr>
          <w:p w14:paraId="3B9444A8"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58" w:type="dxa"/>
            <w:tcBorders>
              <w:top w:val="nil"/>
              <w:left w:val="nil"/>
              <w:bottom w:val="single" w:sz="8" w:space="0" w:color="auto"/>
              <w:right w:val="single" w:sz="8" w:space="0" w:color="auto"/>
            </w:tcBorders>
            <w:shd w:val="clear" w:color="000000" w:fill="BFBFBF"/>
            <w:vAlign w:val="center"/>
            <w:hideMark/>
          </w:tcPr>
          <w:p w14:paraId="421AB866"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58" w:type="dxa"/>
            <w:tcBorders>
              <w:top w:val="nil"/>
              <w:left w:val="nil"/>
              <w:bottom w:val="single" w:sz="8" w:space="0" w:color="auto"/>
              <w:right w:val="single" w:sz="8" w:space="0" w:color="auto"/>
            </w:tcBorders>
            <w:shd w:val="clear" w:color="000000" w:fill="BFBFBF"/>
            <w:vAlign w:val="center"/>
            <w:hideMark/>
          </w:tcPr>
          <w:p w14:paraId="1620F2F4"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14" w:type="dxa"/>
            <w:tcBorders>
              <w:top w:val="nil"/>
              <w:left w:val="nil"/>
              <w:bottom w:val="single" w:sz="8" w:space="0" w:color="auto"/>
              <w:right w:val="single" w:sz="8" w:space="0" w:color="auto"/>
            </w:tcBorders>
            <w:shd w:val="clear" w:color="000000" w:fill="BFBFBF"/>
            <w:vAlign w:val="center"/>
            <w:hideMark/>
          </w:tcPr>
          <w:p w14:paraId="09154293"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14" w:type="dxa"/>
            <w:tcBorders>
              <w:top w:val="nil"/>
              <w:left w:val="nil"/>
              <w:bottom w:val="single" w:sz="8" w:space="0" w:color="auto"/>
              <w:right w:val="single" w:sz="8" w:space="0" w:color="auto"/>
            </w:tcBorders>
            <w:shd w:val="clear" w:color="000000" w:fill="BFBFBF"/>
            <w:vAlign w:val="center"/>
            <w:hideMark/>
          </w:tcPr>
          <w:p w14:paraId="0FA7C345"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14" w:type="dxa"/>
            <w:tcBorders>
              <w:top w:val="nil"/>
              <w:left w:val="nil"/>
              <w:bottom w:val="single" w:sz="8" w:space="0" w:color="auto"/>
              <w:right w:val="single" w:sz="8" w:space="0" w:color="auto"/>
            </w:tcBorders>
            <w:shd w:val="clear" w:color="000000" w:fill="BFBFBF"/>
            <w:vAlign w:val="center"/>
            <w:hideMark/>
          </w:tcPr>
          <w:p w14:paraId="31FAD495"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14" w:type="dxa"/>
            <w:tcBorders>
              <w:top w:val="nil"/>
              <w:left w:val="nil"/>
              <w:bottom w:val="single" w:sz="8" w:space="0" w:color="auto"/>
              <w:right w:val="single" w:sz="8" w:space="0" w:color="auto"/>
            </w:tcBorders>
            <w:shd w:val="clear" w:color="000000" w:fill="BFBFBF"/>
            <w:vAlign w:val="center"/>
            <w:hideMark/>
          </w:tcPr>
          <w:p w14:paraId="7EBA198A"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29" w:type="dxa"/>
            <w:tcBorders>
              <w:top w:val="nil"/>
              <w:left w:val="nil"/>
              <w:bottom w:val="single" w:sz="8" w:space="0" w:color="auto"/>
              <w:right w:val="single" w:sz="8" w:space="0" w:color="auto"/>
            </w:tcBorders>
            <w:shd w:val="clear" w:color="000000" w:fill="BFBFBF"/>
            <w:vAlign w:val="center"/>
            <w:hideMark/>
          </w:tcPr>
          <w:p w14:paraId="4472B2ED" w14:textId="77777777" w:rsidR="001B03F9" w:rsidRPr="004C70EC" w:rsidRDefault="001B03F9">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0,000</w:t>
            </w:r>
          </w:p>
        </w:tc>
        <w:tc>
          <w:tcPr>
            <w:tcW w:w="698" w:type="dxa"/>
            <w:tcBorders>
              <w:top w:val="nil"/>
              <w:left w:val="nil"/>
              <w:bottom w:val="single" w:sz="8" w:space="0" w:color="auto"/>
              <w:right w:val="single" w:sz="8" w:space="0" w:color="auto"/>
            </w:tcBorders>
            <w:shd w:val="clear" w:color="000000" w:fill="BFBFBF"/>
            <w:vAlign w:val="center"/>
            <w:hideMark/>
          </w:tcPr>
          <w:p w14:paraId="7F47083C"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r>
      <w:tr w:rsidR="001B03F9" w:rsidRPr="004C70EC" w14:paraId="73F16B5C" w14:textId="77777777" w:rsidTr="00C614E8">
        <w:trPr>
          <w:trHeight w:val="566"/>
        </w:trPr>
        <w:tc>
          <w:tcPr>
            <w:tcW w:w="2516" w:type="dxa"/>
            <w:tcBorders>
              <w:top w:val="nil"/>
              <w:left w:val="single" w:sz="8" w:space="0" w:color="auto"/>
              <w:bottom w:val="single" w:sz="8" w:space="0" w:color="auto"/>
              <w:right w:val="single" w:sz="8" w:space="0" w:color="auto"/>
            </w:tcBorders>
            <w:vAlign w:val="center"/>
            <w:hideMark/>
          </w:tcPr>
          <w:p w14:paraId="0A9FA007" w14:textId="77777777" w:rsidR="001B03F9" w:rsidRPr="004C70EC" w:rsidRDefault="001B03F9">
            <w:pPr>
              <w:spacing w:before="0" w:after="0"/>
              <w:jc w:val="left"/>
              <w:rPr>
                <w:rFonts w:eastAsia="Times New Roman"/>
                <w:noProof/>
                <w:color w:val="000000"/>
                <w:sz w:val="20"/>
                <w:szCs w:val="20"/>
                <w:lang w:val="en-IE" w:eastAsia="en-IE"/>
              </w:rPr>
            </w:pPr>
            <w:r w:rsidRPr="004C70EC">
              <w:rPr>
                <w:rFonts w:eastAsia="Times New Roman"/>
                <w:noProof/>
                <w:color w:val="000000"/>
                <w:sz w:val="20"/>
                <w:szCs w:val="20"/>
                <w:lang w:val="en-IE" w:eastAsia="en-IE"/>
              </w:rPr>
              <w:t>Appropriations co-financed (if applicable)</w:t>
            </w:r>
          </w:p>
        </w:tc>
        <w:tc>
          <w:tcPr>
            <w:tcW w:w="858" w:type="dxa"/>
            <w:tcBorders>
              <w:top w:val="nil"/>
              <w:left w:val="nil"/>
              <w:bottom w:val="single" w:sz="8" w:space="0" w:color="auto"/>
              <w:right w:val="single" w:sz="8" w:space="0" w:color="auto"/>
            </w:tcBorders>
            <w:shd w:val="clear" w:color="000000" w:fill="BFBFBF"/>
            <w:vAlign w:val="center"/>
            <w:hideMark/>
          </w:tcPr>
          <w:p w14:paraId="28CAE3D7"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58" w:type="dxa"/>
            <w:tcBorders>
              <w:top w:val="nil"/>
              <w:left w:val="nil"/>
              <w:bottom w:val="single" w:sz="8" w:space="0" w:color="auto"/>
              <w:right w:val="single" w:sz="8" w:space="0" w:color="auto"/>
            </w:tcBorders>
            <w:shd w:val="clear" w:color="000000" w:fill="BFBFBF"/>
            <w:vAlign w:val="center"/>
            <w:hideMark/>
          </w:tcPr>
          <w:p w14:paraId="0A938AE5"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58" w:type="dxa"/>
            <w:tcBorders>
              <w:top w:val="nil"/>
              <w:left w:val="nil"/>
              <w:bottom w:val="single" w:sz="8" w:space="0" w:color="auto"/>
              <w:right w:val="single" w:sz="8" w:space="0" w:color="auto"/>
            </w:tcBorders>
            <w:shd w:val="clear" w:color="000000" w:fill="BFBFBF"/>
            <w:vAlign w:val="center"/>
            <w:hideMark/>
          </w:tcPr>
          <w:p w14:paraId="59443A39"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14" w:type="dxa"/>
            <w:tcBorders>
              <w:top w:val="nil"/>
              <w:left w:val="nil"/>
              <w:bottom w:val="single" w:sz="8" w:space="0" w:color="auto"/>
              <w:right w:val="single" w:sz="8" w:space="0" w:color="auto"/>
            </w:tcBorders>
            <w:shd w:val="clear" w:color="000000" w:fill="BFBFBF"/>
            <w:vAlign w:val="center"/>
            <w:hideMark/>
          </w:tcPr>
          <w:p w14:paraId="297A7E0A"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14" w:type="dxa"/>
            <w:tcBorders>
              <w:top w:val="nil"/>
              <w:left w:val="nil"/>
              <w:bottom w:val="single" w:sz="8" w:space="0" w:color="auto"/>
              <w:right w:val="single" w:sz="8" w:space="0" w:color="auto"/>
            </w:tcBorders>
            <w:shd w:val="clear" w:color="000000" w:fill="BFBFBF"/>
            <w:vAlign w:val="center"/>
            <w:hideMark/>
          </w:tcPr>
          <w:p w14:paraId="5B421D99"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14" w:type="dxa"/>
            <w:tcBorders>
              <w:top w:val="nil"/>
              <w:left w:val="nil"/>
              <w:bottom w:val="single" w:sz="8" w:space="0" w:color="auto"/>
              <w:right w:val="single" w:sz="8" w:space="0" w:color="auto"/>
            </w:tcBorders>
            <w:shd w:val="clear" w:color="000000" w:fill="BFBFBF"/>
            <w:vAlign w:val="center"/>
            <w:hideMark/>
          </w:tcPr>
          <w:p w14:paraId="127659DD"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14" w:type="dxa"/>
            <w:tcBorders>
              <w:top w:val="nil"/>
              <w:left w:val="nil"/>
              <w:bottom w:val="single" w:sz="8" w:space="0" w:color="auto"/>
              <w:right w:val="single" w:sz="8" w:space="0" w:color="auto"/>
            </w:tcBorders>
            <w:shd w:val="clear" w:color="000000" w:fill="BFBFBF"/>
            <w:vAlign w:val="center"/>
            <w:hideMark/>
          </w:tcPr>
          <w:p w14:paraId="6162409C"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29" w:type="dxa"/>
            <w:tcBorders>
              <w:top w:val="nil"/>
              <w:left w:val="nil"/>
              <w:bottom w:val="single" w:sz="8" w:space="0" w:color="auto"/>
              <w:right w:val="single" w:sz="8" w:space="0" w:color="auto"/>
            </w:tcBorders>
            <w:shd w:val="clear" w:color="000000" w:fill="BFBFBF"/>
            <w:vAlign w:val="center"/>
            <w:hideMark/>
          </w:tcPr>
          <w:p w14:paraId="11558BE6" w14:textId="77777777" w:rsidR="001B03F9" w:rsidRPr="004C70EC" w:rsidRDefault="001B03F9">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0,000</w:t>
            </w:r>
          </w:p>
        </w:tc>
        <w:tc>
          <w:tcPr>
            <w:tcW w:w="698" w:type="dxa"/>
            <w:tcBorders>
              <w:top w:val="nil"/>
              <w:left w:val="nil"/>
              <w:bottom w:val="single" w:sz="8" w:space="0" w:color="auto"/>
              <w:right w:val="single" w:sz="8" w:space="0" w:color="auto"/>
            </w:tcBorders>
            <w:shd w:val="clear" w:color="000000" w:fill="BFBFBF"/>
            <w:vAlign w:val="center"/>
            <w:hideMark/>
          </w:tcPr>
          <w:p w14:paraId="19E4A743" w14:textId="77777777" w:rsidR="001B03F9" w:rsidRPr="004C70EC" w:rsidRDefault="001B03F9">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r>
      <w:tr w:rsidR="001B03F9" w:rsidRPr="004C70EC" w14:paraId="18F159C1" w14:textId="77777777">
        <w:trPr>
          <w:trHeight w:val="339"/>
        </w:trPr>
        <w:tc>
          <w:tcPr>
            <w:tcW w:w="2516" w:type="dxa"/>
            <w:tcBorders>
              <w:top w:val="nil"/>
              <w:left w:val="single" w:sz="8" w:space="0" w:color="auto"/>
              <w:bottom w:val="single" w:sz="8" w:space="0" w:color="auto"/>
              <w:right w:val="single" w:sz="8" w:space="0" w:color="auto"/>
            </w:tcBorders>
            <w:shd w:val="clear" w:color="000000" w:fill="BFBFBF"/>
            <w:vAlign w:val="center"/>
            <w:hideMark/>
          </w:tcPr>
          <w:p w14:paraId="0FB0A734" w14:textId="77777777" w:rsidR="001B03F9" w:rsidRPr="004C70EC" w:rsidRDefault="001B03F9">
            <w:pPr>
              <w:spacing w:before="0" w:after="0"/>
              <w:jc w:val="lef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TOTAL appropriations</w:t>
            </w:r>
          </w:p>
        </w:tc>
        <w:tc>
          <w:tcPr>
            <w:tcW w:w="858" w:type="dxa"/>
            <w:tcBorders>
              <w:top w:val="nil"/>
              <w:left w:val="nil"/>
              <w:bottom w:val="single" w:sz="8" w:space="0" w:color="auto"/>
              <w:right w:val="single" w:sz="8" w:space="0" w:color="auto"/>
            </w:tcBorders>
            <w:shd w:val="clear" w:color="000000" w:fill="BFBFBF"/>
            <w:vAlign w:val="center"/>
            <w:hideMark/>
          </w:tcPr>
          <w:p w14:paraId="070B3642" w14:textId="77777777" w:rsidR="001B03F9" w:rsidRPr="004C70EC" w:rsidRDefault="001B03F9">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10,055</w:t>
            </w:r>
          </w:p>
        </w:tc>
        <w:tc>
          <w:tcPr>
            <w:tcW w:w="858" w:type="dxa"/>
            <w:tcBorders>
              <w:top w:val="nil"/>
              <w:left w:val="nil"/>
              <w:bottom w:val="single" w:sz="8" w:space="0" w:color="auto"/>
              <w:right w:val="single" w:sz="8" w:space="0" w:color="auto"/>
            </w:tcBorders>
            <w:shd w:val="clear" w:color="000000" w:fill="BFBFBF"/>
            <w:vAlign w:val="center"/>
            <w:hideMark/>
          </w:tcPr>
          <w:p w14:paraId="542D3693" w14:textId="77777777" w:rsidR="001B03F9" w:rsidRPr="004C70EC" w:rsidRDefault="001B03F9">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8,153</w:t>
            </w:r>
          </w:p>
        </w:tc>
        <w:tc>
          <w:tcPr>
            <w:tcW w:w="858" w:type="dxa"/>
            <w:tcBorders>
              <w:top w:val="nil"/>
              <w:left w:val="nil"/>
              <w:bottom w:val="single" w:sz="8" w:space="0" w:color="auto"/>
              <w:right w:val="single" w:sz="8" w:space="0" w:color="auto"/>
            </w:tcBorders>
            <w:shd w:val="clear" w:color="000000" w:fill="BFBFBF"/>
            <w:vAlign w:val="center"/>
            <w:hideMark/>
          </w:tcPr>
          <w:p w14:paraId="659392DF" w14:textId="77777777" w:rsidR="001B03F9" w:rsidRPr="004C70EC" w:rsidRDefault="001B03F9">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2,196</w:t>
            </w:r>
          </w:p>
        </w:tc>
        <w:tc>
          <w:tcPr>
            <w:tcW w:w="814" w:type="dxa"/>
            <w:tcBorders>
              <w:top w:val="nil"/>
              <w:left w:val="nil"/>
              <w:bottom w:val="single" w:sz="8" w:space="0" w:color="auto"/>
              <w:right w:val="single" w:sz="8" w:space="0" w:color="auto"/>
            </w:tcBorders>
            <w:shd w:val="clear" w:color="000000" w:fill="BFBFBF"/>
            <w:vAlign w:val="center"/>
            <w:hideMark/>
          </w:tcPr>
          <w:p w14:paraId="69765D4F" w14:textId="77777777" w:rsidR="001B03F9" w:rsidRPr="004C70EC" w:rsidRDefault="001B03F9">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2,240</w:t>
            </w:r>
          </w:p>
        </w:tc>
        <w:tc>
          <w:tcPr>
            <w:tcW w:w="814" w:type="dxa"/>
            <w:tcBorders>
              <w:top w:val="nil"/>
              <w:left w:val="nil"/>
              <w:bottom w:val="single" w:sz="8" w:space="0" w:color="auto"/>
              <w:right w:val="single" w:sz="8" w:space="0" w:color="auto"/>
            </w:tcBorders>
            <w:shd w:val="clear" w:color="000000" w:fill="BFBFBF"/>
            <w:vAlign w:val="center"/>
            <w:hideMark/>
          </w:tcPr>
          <w:p w14:paraId="7CE699E7" w14:textId="77777777" w:rsidR="001B03F9" w:rsidRPr="004C70EC" w:rsidRDefault="001B03F9">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2,285</w:t>
            </w:r>
          </w:p>
        </w:tc>
        <w:tc>
          <w:tcPr>
            <w:tcW w:w="814" w:type="dxa"/>
            <w:tcBorders>
              <w:top w:val="nil"/>
              <w:left w:val="nil"/>
              <w:bottom w:val="single" w:sz="8" w:space="0" w:color="auto"/>
              <w:right w:val="single" w:sz="8" w:space="0" w:color="auto"/>
            </w:tcBorders>
            <w:shd w:val="clear" w:color="000000" w:fill="BFBFBF"/>
            <w:vAlign w:val="center"/>
            <w:hideMark/>
          </w:tcPr>
          <w:p w14:paraId="35AB3CF0" w14:textId="77777777" w:rsidR="001B03F9" w:rsidRPr="004C70EC" w:rsidRDefault="001B03F9">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2,330</w:t>
            </w:r>
          </w:p>
        </w:tc>
        <w:tc>
          <w:tcPr>
            <w:tcW w:w="814" w:type="dxa"/>
            <w:tcBorders>
              <w:top w:val="nil"/>
              <w:left w:val="nil"/>
              <w:bottom w:val="single" w:sz="8" w:space="0" w:color="auto"/>
              <w:right w:val="single" w:sz="8" w:space="0" w:color="auto"/>
            </w:tcBorders>
            <w:shd w:val="clear" w:color="000000" w:fill="BFBFBF"/>
            <w:vAlign w:val="center"/>
            <w:hideMark/>
          </w:tcPr>
          <w:p w14:paraId="054D8D25" w14:textId="77777777" w:rsidR="001B03F9" w:rsidRPr="004C70EC" w:rsidRDefault="001B03F9">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2,377</w:t>
            </w:r>
          </w:p>
        </w:tc>
        <w:tc>
          <w:tcPr>
            <w:tcW w:w="829" w:type="dxa"/>
            <w:tcBorders>
              <w:top w:val="nil"/>
              <w:left w:val="nil"/>
              <w:bottom w:val="single" w:sz="8" w:space="0" w:color="auto"/>
              <w:right w:val="single" w:sz="8" w:space="0" w:color="auto"/>
            </w:tcBorders>
            <w:shd w:val="clear" w:color="000000" w:fill="BFBFBF"/>
            <w:vAlign w:val="center"/>
            <w:hideMark/>
          </w:tcPr>
          <w:p w14:paraId="0B2C82A3" w14:textId="77777777" w:rsidR="001B03F9" w:rsidRPr="004C70EC" w:rsidRDefault="001B03F9">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29,635</w:t>
            </w:r>
          </w:p>
        </w:tc>
        <w:tc>
          <w:tcPr>
            <w:tcW w:w="698" w:type="dxa"/>
            <w:tcBorders>
              <w:top w:val="nil"/>
              <w:left w:val="nil"/>
              <w:bottom w:val="single" w:sz="8" w:space="0" w:color="auto"/>
              <w:right w:val="single" w:sz="8" w:space="0" w:color="auto"/>
            </w:tcBorders>
            <w:shd w:val="clear" w:color="000000" w:fill="BFBFBF"/>
            <w:vAlign w:val="center"/>
            <w:hideMark/>
          </w:tcPr>
          <w:p w14:paraId="459C518D" w14:textId="77777777" w:rsidR="001B03F9" w:rsidRPr="004C70EC" w:rsidRDefault="001B03F9">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2,</w:t>
            </w:r>
            <w:r w:rsidR="00F516FF" w:rsidRPr="004C70EC">
              <w:rPr>
                <w:rFonts w:eastAsia="Times New Roman"/>
                <w:b/>
                <w:bCs/>
                <w:noProof/>
                <w:color w:val="000000"/>
                <w:sz w:val="20"/>
                <w:szCs w:val="20"/>
                <w:lang w:val="en-IE" w:eastAsia="en-IE"/>
              </w:rPr>
              <w:t>425</w:t>
            </w:r>
          </w:p>
        </w:tc>
      </w:tr>
    </w:tbl>
    <w:p w14:paraId="7E0CF82F" w14:textId="77777777" w:rsidR="00B15450" w:rsidRPr="004C70EC" w:rsidRDefault="00263A45">
      <w:pPr>
        <w:spacing w:before="240"/>
        <w:rPr>
          <w:noProof/>
          <w:color w:val="000000" w:themeColor="text1"/>
          <w:szCs w:val="24"/>
        </w:rPr>
      </w:pPr>
      <w:r w:rsidRPr="004C70EC">
        <w:rPr>
          <w:noProof/>
          <w:color w:val="000000" w:themeColor="text1"/>
          <w:szCs w:val="24"/>
          <w:u w:val="single"/>
        </w:rPr>
        <w:t>Appropriations covered by fees:</w:t>
      </w:r>
      <w:r w:rsidRPr="004C70EC">
        <w:rPr>
          <w:noProof/>
          <w:color w:val="000000" w:themeColor="text1"/>
          <w:szCs w:val="24"/>
        </w:rPr>
        <w:t xml:space="preserve"> </w:t>
      </w:r>
      <w:r w:rsidR="00B15450" w:rsidRPr="004C70EC">
        <w:rPr>
          <w:noProof/>
          <w:color w:val="000000" w:themeColor="text1"/>
          <w:szCs w:val="24"/>
        </w:rPr>
        <w:t>Veterinary sandboxes established in this Regulation will be supported by fees, however being a completely new use case for which EMA will not be able to establish the fee level before the coming into effect of this Regulation, it is impossible to establish an amount and assess the level of contribution at this stage.</w:t>
      </w:r>
    </w:p>
    <w:p w14:paraId="529A1052" w14:textId="77777777" w:rsidR="009769D5" w:rsidRPr="004C70EC" w:rsidRDefault="00233B17">
      <w:pPr>
        <w:spacing w:before="240"/>
        <w:rPr>
          <w:noProof/>
          <w:color w:val="000000" w:themeColor="text1"/>
          <w:szCs w:val="24"/>
          <w:u w:val="single"/>
          <w:lang w:val="en-IE"/>
        </w:rPr>
      </w:pPr>
      <w:r w:rsidRPr="004C70EC">
        <w:rPr>
          <w:noProof/>
          <w:color w:val="000000" w:themeColor="text1"/>
          <w:szCs w:val="24"/>
        </w:rPr>
        <w:t>Without prejudice to the negotiations on the next MFF, the appropriations allocated to the agencies from 2028 onwards will be compensated</w:t>
      </w:r>
      <w:r w:rsidRPr="004C70EC">
        <w:rPr>
          <w:rFonts w:eastAsia="Aptos"/>
          <w:noProof/>
          <w:color w:val="000000" w:themeColor="text1"/>
          <w:szCs w:val="24"/>
        </w:rPr>
        <w:t xml:space="preserve"> </w:t>
      </w:r>
      <w:r w:rsidRPr="004C70EC">
        <w:rPr>
          <w:rFonts w:eastAsia="Times New Roman"/>
          <w:noProof/>
          <w:color w:val="000000" w:themeColor="text1"/>
          <w:szCs w:val="24"/>
        </w:rPr>
        <w:t>v</w:t>
      </w:r>
      <w:r w:rsidRPr="004C70EC">
        <w:rPr>
          <w:noProof/>
          <w:color w:val="000000" w:themeColor="text1"/>
          <w:szCs w:val="24"/>
        </w:rPr>
        <w:t>ia redeployments from programmes under the 2028-2034 MFF</w:t>
      </w:r>
      <w:r w:rsidR="00517604" w:rsidRPr="004C70EC">
        <w:rPr>
          <w:noProof/>
          <w:color w:val="000000" w:themeColor="text1"/>
          <w:szCs w:val="24"/>
        </w:rPr>
        <w:t>.</w:t>
      </w:r>
      <w:r w:rsidR="006F744F" w:rsidRPr="004C70EC">
        <w:rPr>
          <w:noProof/>
          <w:color w:val="000000" w:themeColor="text1"/>
          <w:szCs w:val="24"/>
        </w:rPr>
        <w:t xml:space="preserve"> If a compensatory reduction is needed, the resources allocated to the agencies and their funding streams and sources may need to be revised.</w:t>
      </w:r>
    </w:p>
    <w:p w14:paraId="7B70ED55" w14:textId="77777777" w:rsidR="007966CD" w:rsidRPr="004C70EC" w:rsidRDefault="007966CD">
      <w:pPr>
        <w:pStyle w:val="Text1"/>
        <w:ind w:left="-426" w:right="-427"/>
        <w:rPr>
          <w:noProof/>
          <w:color w:val="000000" w:themeColor="text1"/>
          <w:szCs w:val="24"/>
          <w:lang w:val="en-IE"/>
        </w:rPr>
      </w:pPr>
      <w:r w:rsidRPr="004C70EC">
        <w:rPr>
          <w:noProof/>
          <w:color w:val="000000" w:themeColor="text1"/>
          <w:szCs w:val="24"/>
          <w:lang w:val="en-IE"/>
        </w:rPr>
        <w:t xml:space="preserve">Description of tasks to be carried </w:t>
      </w:r>
      <w:r w:rsidRPr="004C70EC">
        <w:rPr>
          <w:b/>
          <w:bCs/>
          <w:noProof/>
          <w:color w:val="000000" w:themeColor="text1"/>
          <w:szCs w:val="24"/>
          <w:lang w:val="en-IE"/>
        </w:rPr>
        <w:t>out by the European Medicines Agency (EMA)</w:t>
      </w:r>
      <w:r w:rsidRPr="004C70EC">
        <w:rPr>
          <w:noProof/>
          <w:color w:val="000000" w:themeColor="text1"/>
          <w:szCs w:val="24"/>
          <w:lang w:val="en-IE"/>
        </w:rPr>
        <w:t>:</w:t>
      </w:r>
    </w:p>
    <w:tbl>
      <w:tblPr>
        <w:tblW w:w="10440" w:type="dxa"/>
        <w:tblInd w:w="-4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760"/>
        <w:gridCol w:w="7680"/>
      </w:tblGrid>
      <w:tr w:rsidR="004A1163" w:rsidRPr="004C70EC" w14:paraId="3FDABF76" w14:textId="77777777" w:rsidTr="33CE1D06">
        <w:trPr>
          <w:trHeight w:val="704"/>
        </w:trPr>
        <w:tc>
          <w:tcPr>
            <w:tcW w:w="2760" w:type="dxa"/>
          </w:tcPr>
          <w:p w14:paraId="364DC406" w14:textId="77777777" w:rsidR="007966CD" w:rsidRPr="004C70EC" w:rsidRDefault="007966CD">
            <w:pPr>
              <w:rPr>
                <w:noProof/>
                <w:color w:val="000000" w:themeColor="text1"/>
                <w:szCs w:val="24"/>
              </w:rPr>
            </w:pPr>
            <w:r w:rsidRPr="004C70EC">
              <w:rPr>
                <w:noProof/>
                <w:color w:val="000000" w:themeColor="text1"/>
                <w:szCs w:val="24"/>
              </w:rPr>
              <w:t>Officials and temporary staff</w:t>
            </w:r>
          </w:p>
        </w:tc>
        <w:tc>
          <w:tcPr>
            <w:tcW w:w="7680" w:type="dxa"/>
          </w:tcPr>
          <w:p w14:paraId="6065F49E" w14:textId="77777777" w:rsidR="005C5673" w:rsidRPr="004C70EC" w:rsidRDefault="005C5673" w:rsidP="005C5673">
            <w:pPr>
              <w:rPr>
                <w:noProof/>
              </w:rPr>
            </w:pPr>
            <w:r w:rsidRPr="004C70EC">
              <w:rPr>
                <w:noProof/>
              </w:rPr>
              <w:t xml:space="preserve">The Biotech Act proposal will contain </w:t>
            </w:r>
            <w:r w:rsidRPr="002D7694">
              <w:rPr>
                <w:b/>
                <w:noProof/>
              </w:rPr>
              <w:t>major new provisions on the management of Clinical Trials.</w:t>
            </w:r>
            <w:r w:rsidRPr="004C70EC">
              <w:rPr>
                <w:noProof/>
              </w:rPr>
              <w:t xml:space="preserve"> These include multiple new workflows, parallel submissions, amended dossier requirement, a core product dossier and extension to combined </w:t>
            </w:r>
            <w:r w:rsidR="16CA775D" w:rsidRPr="004C70EC">
              <w:rPr>
                <w:noProof/>
              </w:rPr>
              <w:t xml:space="preserve">studies </w:t>
            </w:r>
            <w:r w:rsidRPr="004C70EC">
              <w:rPr>
                <w:noProof/>
              </w:rPr>
              <w:t xml:space="preserve"> including in-vitro diagnostics, among others. </w:t>
            </w:r>
          </w:p>
          <w:p w14:paraId="42663474" w14:textId="77777777" w:rsidR="005C5673" w:rsidRPr="004C70EC" w:rsidRDefault="005C5673" w:rsidP="005C5673">
            <w:pPr>
              <w:keepNext/>
              <w:keepLines/>
              <w:spacing w:before="160" w:after="80" w:line="279" w:lineRule="auto"/>
              <w:outlineLvl w:val="1"/>
              <w:rPr>
                <w:rFonts w:eastAsiaTheme="majorEastAsia"/>
                <w:noProof/>
                <w:color w:val="000000" w:themeColor="text1"/>
                <w:szCs w:val="24"/>
              </w:rPr>
            </w:pPr>
            <w:r w:rsidRPr="004C70EC">
              <w:rPr>
                <w:rFonts w:eastAsiaTheme="majorEastAsia"/>
                <w:noProof/>
                <w:color w:val="000000" w:themeColor="text1"/>
                <w:szCs w:val="24"/>
              </w:rPr>
              <w:t>The requested 5 ADs will be:  </w:t>
            </w:r>
          </w:p>
          <w:p w14:paraId="65F724EC" w14:textId="77777777" w:rsidR="005C5673" w:rsidRPr="002D7694" w:rsidRDefault="005C5673" w:rsidP="00811FF3">
            <w:pPr>
              <w:keepNext/>
              <w:keepLines/>
              <w:numPr>
                <w:ilvl w:val="0"/>
                <w:numId w:val="17"/>
              </w:numPr>
              <w:spacing w:before="160" w:after="80" w:line="279" w:lineRule="auto"/>
              <w:ind w:left="360"/>
              <w:outlineLvl w:val="1"/>
              <w:rPr>
                <w:rFonts w:eastAsiaTheme="majorEastAsia"/>
                <w:b/>
                <w:noProof/>
                <w:color w:val="000000" w:themeColor="text1"/>
              </w:rPr>
            </w:pPr>
            <w:r w:rsidRPr="004C70EC">
              <w:rPr>
                <w:rFonts w:eastAsiaTheme="majorEastAsia"/>
                <w:noProof/>
                <w:color w:val="000000" w:themeColor="text1"/>
              </w:rPr>
              <w:t>Managing the significantly increased daily operations of Clinical Trial Information System (CTIS) including the access and tasks of its &gt;20,000 users</w:t>
            </w:r>
            <w:r w:rsidR="1A9936CD" w:rsidRPr="004C70EC">
              <w:rPr>
                <w:rFonts w:eastAsiaTheme="majorEastAsia"/>
                <w:noProof/>
                <w:color w:val="000000" w:themeColor="text1"/>
              </w:rPr>
              <w:t xml:space="preserve"> and close to </w:t>
            </w:r>
            <w:r w:rsidR="1A9936CD" w:rsidRPr="002D7694">
              <w:rPr>
                <w:rFonts w:eastAsiaTheme="majorEastAsia"/>
                <w:b/>
                <w:noProof/>
                <w:color w:val="000000" w:themeColor="text1"/>
              </w:rPr>
              <w:t>3000 initial clinical trial applications</w:t>
            </w:r>
            <w:r w:rsidR="1A9936CD" w:rsidRPr="004C70EC">
              <w:rPr>
                <w:rFonts w:eastAsiaTheme="majorEastAsia"/>
                <w:noProof/>
                <w:color w:val="000000" w:themeColor="text1"/>
              </w:rPr>
              <w:t xml:space="preserve"> and </w:t>
            </w:r>
            <w:r w:rsidR="1A9936CD" w:rsidRPr="002D7694">
              <w:rPr>
                <w:rFonts w:eastAsiaTheme="majorEastAsia"/>
                <w:b/>
                <w:noProof/>
                <w:color w:val="000000" w:themeColor="text1"/>
              </w:rPr>
              <w:t>thousands of substantial modification applicat</w:t>
            </w:r>
            <w:r w:rsidR="22B04380" w:rsidRPr="002D7694">
              <w:rPr>
                <w:rFonts w:eastAsiaTheme="majorEastAsia"/>
                <w:b/>
                <w:noProof/>
                <w:color w:val="000000" w:themeColor="text1"/>
              </w:rPr>
              <w:t>ions</w:t>
            </w:r>
            <w:r w:rsidRPr="002D7694">
              <w:rPr>
                <w:rFonts w:eastAsiaTheme="majorEastAsia"/>
                <w:b/>
                <w:noProof/>
                <w:color w:val="000000" w:themeColor="text1"/>
              </w:rPr>
              <w:t>. </w:t>
            </w:r>
          </w:p>
          <w:p w14:paraId="55506952" w14:textId="77777777" w:rsidR="005C5673" w:rsidRPr="004C70EC" w:rsidRDefault="005C5673" w:rsidP="00811FF3">
            <w:pPr>
              <w:keepNext/>
              <w:keepLines/>
              <w:numPr>
                <w:ilvl w:val="0"/>
                <w:numId w:val="18"/>
              </w:numPr>
              <w:spacing w:before="160" w:after="80" w:line="279" w:lineRule="auto"/>
              <w:ind w:left="360"/>
              <w:outlineLvl w:val="1"/>
              <w:rPr>
                <w:rFonts w:eastAsiaTheme="majorEastAsia"/>
                <w:noProof/>
                <w:color w:val="000000" w:themeColor="text1"/>
              </w:rPr>
            </w:pPr>
            <w:r w:rsidRPr="004C70EC">
              <w:rPr>
                <w:rFonts w:eastAsiaTheme="majorEastAsia"/>
                <w:noProof/>
                <w:color w:val="000000" w:themeColor="text1"/>
              </w:rPr>
              <w:t>Identifying, designing, reviewing and ensuring oversight of the delivery process for new functionalities and modules in CTIS in line with relevant legal provisions. </w:t>
            </w:r>
          </w:p>
          <w:p w14:paraId="08E544BC" w14:textId="77777777" w:rsidR="707B06BD" w:rsidRPr="004C70EC" w:rsidRDefault="2A2EA997" w:rsidP="00811FF3">
            <w:pPr>
              <w:keepNext/>
              <w:keepLines/>
              <w:numPr>
                <w:ilvl w:val="0"/>
                <w:numId w:val="18"/>
              </w:numPr>
              <w:spacing w:before="160" w:after="80" w:line="279" w:lineRule="auto"/>
              <w:ind w:left="360"/>
              <w:outlineLvl w:val="1"/>
              <w:rPr>
                <w:rFonts w:eastAsiaTheme="majorEastAsia"/>
                <w:noProof/>
                <w:color w:val="000000" w:themeColor="text1"/>
              </w:rPr>
            </w:pPr>
            <w:r w:rsidRPr="004C70EC">
              <w:rPr>
                <w:rFonts w:eastAsiaTheme="majorEastAsia"/>
                <w:noProof/>
                <w:color w:val="000000" w:themeColor="text1"/>
              </w:rPr>
              <w:t xml:space="preserve">Monitoring the performance of the contractor, </w:t>
            </w:r>
          </w:p>
          <w:p w14:paraId="5E8AA0E2" w14:textId="77777777" w:rsidR="005C5673" w:rsidRPr="004C70EC" w:rsidRDefault="005C5673" w:rsidP="00811FF3">
            <w:pPr>
              <w:keepNext/>
              <w:keepLines/>
              <w:numPr>
                <w:ilvl w:val="0"/>
                <w:numId w:val="19"/>
              </w:numPr>
              <w:spacing w:before="160" w:after="80" w:line="279" w:lineRule="auto"/>
              <w:ind w:left="360"/>
              <w:outlineLvl w:val="1"/>
              <w:rPr>
                <w:rFonts w:eastAsiaTheme="majorEastAsia"/>
                <w:noProof/>
                <w:color w:val="000000" w:themeColor="text1"/>
                <w:szCs w:val="24"/>
              </w:rPr>
            </w:pPr>
            <w:r w:rsidRPr="004C70EC">
              <w:rPr>
                <w:rFonts w:eastAsiaTheme="majorEastAsia"/>
                <w:noProof/>
                <w:color w:val="000000" w:themeColor="text1"/>
                <w:szCs w:val="24"/>
              </w:rPr>
              <w:t>Working with CTIS subject matter experts and stakeholders, to prioritise and validate CTIS technical specifications, in line with relevant legal provisions. </w:t>
            </w:r>
          </w:p>
          <w:p w14:paraId="074AEDF9" w14:textId="77777777" w:rsidR="005C5673" w:rsidRPr="004C70EC" w:rsidRDefault="005C5673" w:rsidP="00811FF3">
            <w:pPr>
              <w:keepNext/>
              <w:keepLines/>
              <w:numPr>
                <w:ilvl w:val="0"/>
                <w:numId w:val="20"/>
              </w:numPr>
              <w:spacing w:before="160" w:after="80" w:line="279" w:lineRule="auto"/>
              <w:ind w:left="360"/>
              <w:outlineLvl w:val="1"/>
              <w:rPr>
                <w:rFonts w:eastAsiaTheme="majorEastAsia"/>
                <w:noProof/>
                <w:color w:val="000000" w:themeColor="text1"/>
                <w:szCs w:val="24"/>
              </w:rPr>
            </w:pPr>
            <w:r w:rsidRPr="004C70EC">
              <w:rPr>
                <w:rFonts w:eastAsiaTheme="majorEastAsia"/>
                <w:noProof/>
                <w:color w:val="000000" w:themeColor="text1"/>
                <w:szCs w:val="24"/>
              </w:rPr>
              <w:t>Performing CTIS testing activities, including for the new functionalities and modules. </w:t>
            </w:r>
          </w:p>
          <w:p w14:paraId="60982433" w14:textId="77777777" w:rsidR="005C5673" w:rsidRPr="004C70EC" w:rsidRDefault="005C5673" w:rsidP="00811FF3">
            <w:pPr>
              <w:keepNext/>
              <w:keepLines/>
              <w:numPr>
                <w:ilvl w:val="0"/>
                <w:numId w:val="21"/>
              </w:numPr>
              <w:spacing w:before="160" w:after="80" w:line="279" w:lineRule="auto"/>
              <w:ind w:left="360"/>
              <w:outlineLvl w:val="1"/>
              <w:rPr>
                <w:rFonts w:eastAsiaTheme="majorEastAsia"/>
                <w:noProof/>
                <w:color w:val="000000" w:themeColor="text1"/>
                <w:szCs w:val="24"/>
              </w:rPr>
            </w:pPr>
            <w:r w:rsidRPr="004C70EC">
              <w:rPr>
                <w:rFonts w:eastAsiaTheme="majorEastAsia"/>
                <w:noProof/>
                <w:color w:val="000000" w:themeColor="text1"/>
                <w:szCs w:val="24"/>
              </w:rPr>
              <w:t>Planning and performing change management activities.</w:t>
            </w:r>
          </w:p>
          <w:p w14:paraId="47B1A1F4" w14:textId="77777777" w:rsidR="005C5673" w:rsidRPr="004C70EC" w:rsidRDefault="005C5673" w:rsidP="00811FF3">
            <w:pPr>
              <w:keepNext/>
              <w:keepLines/>
              <w:numPr>
                <w:ilvl w:val="0"/>
                <w:numId w:val="21"/>
              </w:numPr>
              <w:spacing w:before="160" w:after="80" w:line="279" w:lineRule="auto"/>
              <w:ind w:left="360"/>
              <w:outlineLvl w:val="1"/>
              <w:rPr>
                <w:rFonts w:eastAsiaTheme="majorEastAsia"/>
                <w:noProof/>
                <w:color w:val="000000" w:themeColor="text1"/>
              </w:rPr>
            </w:pPr>
            <w:r w:rsidRPr="004C70EC">
              <w:rPr>
                <w:rFonts w:eastAsiaTheme="majorEastAsia"/>
                <w:noProof/>
                <w:color w:val="000000" w:themeColor="text1"/>
              </w:rPr>
              <w:t>Performing communication, engagement and training of all relevant stakeholders (e.g. sponsors, Member State </w:t>
            </w:r>
            <w:r w:rsidR="22AA29F6" w:rsidRPr="004C70EC">
              <w:rPr>
                <w:rFonts w:eastAsiaTheme="majorEastAsia"/>
                <w:noProof/>
                <w:color w:val="000000" w:themeColor="text1"/>
              </w:rPr>
              <w:t xml:space="preserve"> regulatory bodies </w:t>
            </w:r>
            <w:r w:rsidRPr="004C70EC">
              <w:rPr>
                <w:rFonts w:eastAsiaTheme="majorEastAsia"/>
                <w:noProof/>
                <w:color w:val="000000" w:themeColor="text1"/>
              </w:rPr>
              <w:t>). </w:t>
            </w:r>
          </w:p>
          <w:p w14:paraId="049ED6ED" w14:textId="77777777" w:rsidR="2B85092C" w:rsidRPr="004C70EC" w:rsidRDefault="2B85092C" w:rsidP="00811FF3">
            <w:pPr>
              <w:keepNext/>
              <w:keepLines/>
              <w:numPr>
                <w:ilvl w:val="0"/>
                <w:numId w:val="21"/>
              </w:numPr>
              <w:spacing w:before="160" w:after="80" w:line="279" w:lineRule="auto"/>
              <w:ind w:left="360"/>
              <w:outlineLvl w:val="1"/>
              <w:rPr>
                <w:rFonts w:eastAsiaTheme="majorEastAsia"/>
                <w:noProof/>
                <w:color w:val="000000" w:themeColor="text1"/>
              </w:rPr>
            </w:pPr>
            <w:r w:rsidRPr="004C70EC">
              <w:rPr>
                <w:rFonts w:eastAsiaTheme="majorEastAsia"/>
                <w:noProof/>
                <w:color w:val="000000" w:themeColor="text1"/>
              </w:rPr>
              <w:t xml:space="preserve">Maintaining the training materials up to date. </w:t>
            </w:r>
          </w:p>
          <w:p w14:paraId="5CA7E7EF" w14:textId="77777777" w:rsidR="2B85092C" w:rsidRPr="004C70EC" w:rsidRDefault="2B85092C" w:rsidP="00811FF3">
            <w:pPr>
              <w:keepNext/>
              <w:keepLines/>
              <w:numPr>
                <w:ilvl w:val="0"/>
                <w:numId w:val="21"/>
              </w:numPr>
              <w:spacing w:before="160" w:after="80" w:line="279" w:lineRule="auto"/>
              <w:ind w:left="360"/>
              <w:outlineLvl w:val="1"/>
              <w:rPr>
                <w:rFonts w:eastAsiaTheme="majorEastAsia"/>
                <w:noProof/>
                <w:color w:val="000000" w:themeColor="text1"/>
              </w:rPr>
            </w:pPr>
            <w:r w:rsidRPr="004C70EC">
              <w:rPr>
                <w:rFonts w:eastAsiaTheme="majorEastAsia"/>
                <w:noProof/>
                <w:color w:val="000000" w:themeColor="text1"/>
              </w:rPr>
              <w:t xml:space="preserve">Monitoring the KPIs of the IT system and the CTR for regular reporting </w:t>
            </w:r>
          </w:p>
          <w:p w14:paraId="3079B19D" w14:textId="77777777" w:rsidR="2B85092C" w:rsidRPr="004C70EC" w:rsidRDefault="2B85092C" w:rsidP="00811FF3">
            <w:pPr>
              <w:keepNext/>
              <w:keepLines/>
              <w:numPr>
                <w:ilvl w:val="0"/>
                <w:numId w:val="21"/>
              </w:numPr>
              <w:spacing w:before="160" w:after="80" w:line="279" w:lineRule="auto"/>
              <w:ind w:left="360"/>
              <w:outlineLvl w:val="1"/>
              <w:rPr>
                <w:rFonts w:eastAsiaTheme="majorEastAsia"/>
                <w:noProof/>
                <w:color w:val="000000" w:themeColor="text1"/>
              </w:rPr>
            </w:pPr>
            <w:r w:rsidRPr="004C70EC">
              <w:rPr>
                <w:rFonts w:eastAsiaTheme="majorEastAsia"/>
                <w:noProof/>
                <w:color w:val="000000" w:themeColor="text1"/>
              </w:rPr>
              <w:t xml:space="preserve">Delivering reports when requested </w:t>
            </w:r>
          </w:p>
          <w:p w14:paraId="479F9C31" w14:textId="77777777" w:rsidR="2B85092C" w:rsidRPr="004C70EC" w:rsidRDefault="2B85092C" w:rsidP="00811FF3">
            <w:pPr>
              <w:keepNext/>
              <w:keepLines/>
              <w:numPr>
                <w:ilvl w:val="0"/>
                <w:numId w:val="21"/>
              </w:numPr>
              <w:spacing w:before="160" w:after="80" w:line="279" w:lineRule="auto"/>
              <w:ind w:left="360"/>
              <w:outlineLvl w:val="1"/>
              <w:rPr>
                <w:rFonts w:eastAsiaTheme="majorEastAsia"/>
                <w:noProof/>
                <w:color w:val="000000" w:themeColor="text1"/>
              </w:rPr>
            </w:pPr>
            <w:r w:rsidRPr="004C70EC">
              <w:rPr>
                <w:rFonts w:eastAsiaTheme="majorEastAsia"/>
                <w:noProof/>
                <w:color w:val="000000" w:themeColor="text1"/>
              </w:rPr>
              <w:t xml:space="preserve">Regulatory compliance check of the IT system </w:t>
            </w:r>
          </w:p>
          <w:p w14:paraId="5137DA91" w14:textId="77777777" w:rsidR="005C5673" w:rsidRPr="004C70EC" w:rsidRDefault="005C5673" w:rsidP="005C5673">
            <w:pPr>
              <w:keepNext/>
              <w:keepLines/>
              <w:spacing w:before="160" w:after="80" w:line="279" w:lineRule="auto"/>
              <w:outlineLvl w:val="1"/>
              <w:rPr>
                <w:rFonts w:eastAsiaTheme="majorEastAsia"/>
                <w:noProof/>
                <w:color w:val="000000" w:themeColor="text1"/>
                <w:szCs w:val="24"/>
              </w:rPr>
            </w:pPr>
            <w:r w:rsidRPr="004C70EC">
              <w:rPr>
                <w:rFonts w:eastAsiaTheme="majorEastAsia"/>
                <w:noProof/>
                <w:color w:val="000000" w:themeColor="text1"/>
                <w:szCs w:val="24"/>
              </w:rPr>
              <w:t>2 AST will:</w:t>
            </w:r>
          </w:p>
          <w:p w14:paraId="66C8D38D" w14:textId="77777777" w:rsidR="005C5673" w:rsidRPr="004C70EC" w:rsidRDefault="005C5673" w:rsidP="00811FF3">
            <w:pPr>
              <w:pStyle w:val="ListParagraph"/>
              <w:keepNext/>
              <w:keepLines/>
              <w:numPr>
                <w:ilvl w:val="0"/>
                <w:numId w:val="35"/>
              </w:numPr>
              <w:spacing w:before="160" w:after="80" w:line="279" w:lineRule="auto"/>
              <w:outlineLvl w:val="1"/>
              <w:rPr>
                <w:rFonts w:eastAsiaTheme="majorEastAsia"/>
                <w:noProof/>
                <w:color w:val="000000" w:themeColor="text1"/>
                <w:szCs w:val="24"/>
              </w:rPr>
            </w:pPr>
            <w:r w:rsidRPr="004C70EC">
              <w:rPr>
                <w:rFonts w:eastAsiaTheme="majorEastAsia"/>
                <w:noProof/>
                <w:color w:val="000000" w:themeColor="text1"/>
                <w:szCs w:val="24"/>
              </w:rPr>
              <w:t>Support AD organization of meetings with sponsors and/or experts and drafting minutes.</w:t>
            </w:r>
          </w:p>
          <w:p w14:paraId="4168B11F" w14:textId="77777777" w:rsidR="005C5673" w:rsidRPr="004C70EC" w:rsidRDefault="005C5673" w:rsidP="00811FF3">
            <w:pPr>
              <w:pStyle w:val="ListParagraph"/>
              <w:keepNext/>
              <w:keepLines/>
              <w:numPr>
                <w:ilvl w:val="0"/>
                <w:numId w:val="35"/>
              </w:numPr>
              <w:spacing w:before="160" w:after="80" w:line="279" w:lineRule="auto"/>
              <w:outlineLvl w:val="1"/>
              <w:rPr>
                <w:rFonts w:eastAsiaTheme="majorEastAsia"/>
                <w:noProof/>
                <w:color w:val="000000" w:themeColor="text1"/>
                <w:szCs w:val="24"/>
              </w:rPr>
            </w:pPr>
            <w:r w:rsidRPr="004C70EC">
              <w:rPr>
                <w:rFonts w:eastAsiaTheme="majorEastAsia"/>
                <w:noProof/>
                <w:color w:val="000000" w:themeColor="text1"/>
                <w:szCs w:val="24"/>
              </w:rPr>
              <w:t>Support and coordinate engagement with CTIS subject matter experts and stakeholders.</w:t>
            </w:r>
          </w:p>
          <w:p w14:paraId="685FD77D" w14:textId="77777777" w:rsidR="007966CD" w:rsidRPr="004C70EC" w:rsidRDefault="005C5673" w:rsidP="00431990">
            <w:pPr>
              <w:keepNext/>
              <w:keepLines/>
              <w:spacing w:before="160" w:after="80" w:line="279" w:lineRule="auto"/>
              <w:ind w:left="360"/>
              <w:outlineLvl w:val="1"/>
              <w:rPr>
                <w:rFonts w:eastAsiaTheme="majorEastAsia"/>
                <w:noProof/>
                <w:color w:val="000000" w:themeColor="text1"/>
                <w:szCs w:val="24"/>
              </w:rPr>
            </w:pPr>
            <w:r w:rsidRPr="004C70EC">
              <w:rPr>
                <w:rFonts w:eastAsiaTheme="majorEastAsia"/>
                <w:noProof/>
                <w:color w:val="000000" w:themeColor="text1"/>
                <w:szCs w:val="24"/>
              </w:rPr>
              <w:t>Support and coordinate communication and training activities with sponsors, member state authorities, ethics bodies etc.</w:t>
            </w:r>
          </w:p>
        </w:tc>
      </w:tr>
      <w:tr w:rsidR="004A1163" w:rsidRPr="004C70EC" w14:paraId="7ACED3A5" w14:textId="77777777" w:rsidTr="33CE1D06">
        <w:trPr>
          <w:trHeight w:val="300"/>
        </w:trPr>
        <w:tc>
          <w:tcPr>
            <w:tcW w:w="2760" w:type="dxa"/>
          </w:tcPr>
          <w:p w14:paraId="45EFDEAB" w14:textId="77777777" w:rsidR="007966CD" w:rsidRPr="004C70EC" w:rsidRDefault="007966CD">
            <w:pPr>
              <w:spacing w:before="60" w:after="60"/>
              <w:rPr>
                <w:noProof/>
                <w:color w:val="000000" w:themeColor="text1"/>
                <w:szCs w:val="24"/>
              </w:rPr>
            </w:pPr>
            <w:r w:rsidRPr="004C70EC">
              <w:rPr>
                <w:noProof/>
                <w:color w:val="000000" w:themeColor="text1"/>
                <w:szCs w:val="24"/>
              </w:rPr>
              <w:t>External staff</w:t>
            </w:r>
          </w:p>
        </w:tc>
        <w:tc>
          <w:tcPr>
            <w:tcW w:w="7680" w:type="dxa"/>
          </w:tcPr>
          <w:p w14:paraId="1E3E26EE" w14:textId="77777777" w:rsidR="003029D5" w:rsidRPr="004C70EC" w:rsidRDefault="003029D5" w:rsidP="003029D5">
            <w:pPr>
              <w:keepNext/>
              <w:keepLines/>
              <w:spacing w:before="160" w:after="80" w:line="279" w:lineRule="auto"/>
              <w:outlineLvl w:val="1"/>
              <w:rPr>
                <w:rFonts w:eastAsiaTheme="majorEastAsia"/>
                <w:noProof/>
                <w:color w:val="000000" w:themeColor="text1"/>
                <w:szCs w:val="24"/>
              </w:rPr>
            </w:pPr>
            <w:r w:rsidRPr="004C70EC">
              <w:rPr>
                <w:rFonts w:eastAsiaTheme="majorEastAsia"/>
                <w:noProof/>
                <w:color w:val="000000" w:themeColor="text1"/>
                <w:szCs w:val="24"/>
              </w:rPr>
              <w:t>The requested 5 FTE will be supporting ADs in:</w:t>
            </w:r>
          </w:p>
          <w:p w14:paraId="51684603" w14:textId="77777777" w:rsidR="36789498" w:rsidRPr="004C70EC" w:rsidRDefault="094AE2E8" w:rsidP="00811FF3">
            <w:pPr>
              <w:keepNext/>
              <w:keepLines/>
              <w:numPr>
                <w:ilvl w:val="0"/>
                <w:numId w:val="22"/>
              </w:numPr>
              <w:spacing w:before="160" w:after="80" w:line="279" w:lineRule="auto"/>
              <w:ind w:left="360"/>
              <w:outlineLvl w:val="1"/>
              <w:rPr>
                <w:rFonts w:eastAsiaTheme="majorEastAsia"/>
                <w:noProof/>
                <w:color w:val="000000" w:themeColor="text1"/>
              </w:rPr>
            </w:pPr>
            <w:r w:rsidRPr="004C70EC">
              <w:rPr>
                <w:rFonts w:eastAsiaTheme="majorEastAsia"/>
                <w:noProof/>
                <w:color w:val="000000" w:themeColor="text1"/>
              </w:rPr>
              <w:t xml:space="preserve">Overall support to the ADs, and as </w:t>
            </w:r>
            <w:r w:rsidR="00BE6C7D" w:rsidRPr="004C70EC">
              <w:rPr>
                <w:rFonts w:eastAsiaTheme="majorEastAsia"/>
                <w:noProof/>
                <w:color w:val="000000" w:themeColor="text1"/>
              </w:rPr>
              <w:t>appropriate</w:t>
            </w:r>
            <w:r w:rsidRPr="004C70EC">
              <w:rPr>
                <w:rFonts w:eastAsiaTheme="majorEastAsia"/>
                <w:noProof/>
                <w:color w:val="000000" w:themeColor="text1"/>
              </w:rPr>
              <w:t xml:space="preserve">, in the case of national experts, they provide expertise </w:t>
            </w:r>
          </w:p>
          <w:p w14:paraId="2852BADB" w14:textId="77777777" w:rsidR="7B8C5006" w:rsidRPr="004C70EC" w:rsidRDefault="7B8C5006" w:rsidP="00811FF3">
            <w:pPr>
              <w:keepNext/>
              <w:keepLines/>
              <w:numPr>
                <w:ilvl w:val="0"/>
                <w:numId w:val="22"/>
              </w:numPr>
              <w:spacing w:before="160" w:after="80" w:line="279" w:lineRule="auto"/>
              <w:ind w:left="360"/>
              <w:outlineLvl w:val="1"/>
              <w:rPr>
                <w:rFonts w:eastAsiaTheme="majorEastAsia"/>
                <w:noProof/>
                <w:color w:val="000000" w:themeColor="text1"/>
              </w:rPr>
            </w:pPr>
            <w:r w:rsidRPr="004C70EC">
              <w:rPr>
                <w:rFonts w:eastAsiaTheme="majorEastAsia"/>
                <w:noProof/>
                <w:color w:val="000000" w:themeColor="text1"/>
              </w:rPr>
              <w:t xml:space="preserve">Implementation of the development plan </w:t>
            </w:r>
          </w:p>
          <w:p w14:paraId="08D72E44" w14:textId="77777777" w:rsidR="37AE9C84" w:rsidRPr="004C70EC" w:rsidRDefault="37AE9C84" w:rsidP="00811FF3">
            <w:pPr>
              <w:keepNext/>
              <w:keepLines/>
              <w:numPr>
                <w:ilvl w:val="0"/>
                <w:numId w:val="22"/>
              </w:numPr>
              <w:spacing w:before="160" w:after="80" w:line="279" w:lineRule="auto"/>
              <w:ind w:left="360"/>
              <w:outlineLvl w:val="1"/>
              <w:rPr>
                <w:rFonts w:eastAsiaTheme="majorEastAsia"/>
                <w:noProof/>
                <w:color w:val="000000" w:themeColor="text1"/>
              </w:rPr>
            </w:pPr>
            <w:r w:rsidRPr="004C70EC">
              <w:rPr>
                <w:rFonts w:eastAsiaTheme="majorEastAsia"/>
                <w:noProof/>
                <w:color w:val="000000" w:themeColor="text1"/>
              </w:rPr>
              <w:t>Contribute to coordination tasks</w:t>
            </w:r>
          </w:p>
          <w:p w14:paraId="42169DDA" w14:textId="77777777" w:rsidR="003029D5" w:rsidRPr="004C70EC" w:rsidRDefault="003029D5" w:rsidP="00811FF3">
            <w:pPr>
              <w:keepNext/>
              <w:keepLines/>
              <w:numPr>
                <w:ilvl w:val="0"/>
                <w:numId w:val="22"/>
              </w:numPr>
              <w:spacing w:before="160" w:after="80" w:line="279" w:lineRule="auto"/>
              <w:ind w:left="360"/>
              <w:outlineLvl w:val="1"/>
              <w:rPr>
                <w:rFonts w:eastAsiaTheme="majorEastAsia"/>
                <w:noProof/>
                <w:color w:val="000000" w:themeColor="text1"/>
                <w:szCs w:val="24"/>
              </w:rPr>
            </w:pPr>
            <w:r w:rsidRPr="004C70EC">
              <w:rPr>
                <w:rFonts w:eastAsiaTheme="majorEastAsia"/>
                <w:noProof/>
                <w:color w:val="000000" w:themeColor="text1"/>
                <w:szCs w:val="24"/>
              </w:rPr>
              <w:t>Maintaining continuous availability and operation of CTIS. </w:t>
            </w:r>
          </w:p>
          <w:p w14:paraId="78B2820B" w14:textId="77777777" w:rsidR="003029D5" w:rsidRPr="004C70EC" w:rsidRDefault="003029D5" w:rsidP="00811FF3">
            <w:pPr>
              <w:keepNext/>
              <w:keepLines/>
              <w:numPr>
                <w:ilvl w:val="0"/>
                <w:numId w:val="23"/>
              </w:numPr>
              <w:spacing w:before="160" w:after="80" w:line="279" w:lineRule="auto"/>
              <w:ind w:left="360"/>
              <w:outlineLvl w:val="1"/>
              <w:rPr>
                <w:rFonts w:eastAsiaTheme="majorEastAsia"/>
                <w:noProof/>
                <w:color w:val="000000" w:themeColor="text1"/>
                <w:szCs w:val="24"/>
              </w:rPr>
            </w:pPr>
            <w:r w:rsidRPr="004C70EC">
              <w:rPr>
                <w:rFonts w:eastAsiaTheme="majorEastAsia"/>
                <w:noProof/>
                <w:color w:val="000000" w:themeColor="text1"/>
                <w:szCs w:val="24"/>
              </w:rPr>
              <w:t>Managing post-delivery maintenance, providing support to relevant stakeholders (e.g. IT and business service desk). </w:t>
            </w:r>
            <w:r w:rsidRPr="004C70EC" w:rsidDel="00C96CE1">
              <w:rPr>
                <w:rFonts w:eastAsiaTheme="majorEastAsia"/>
                <w:noProof/>
                <w:color w:val="000000" w:themeColor="text1"/>
                <w:szCs w:val="24"/>
              </w:rPr>
              <w:t xml:space="preserve"> </w:t>
            </w:r>
          </w:p>
          <w:p w14:paraId="7333D5A1" w14:textId="77777777" w:rsidR="003029D5" w:rsidRPr="004C70EC" w:rsidRDefault="003029D5" w:rsidP="00811FF3">
            <w:pPr>
              <w:keepNext/>
              <w:keepLines/>
              <w:numPr>
                <w:ilvl w:val="0"/>
                <w:numId w:val="23"/>
              </w:numPr>
              <w:spacing w:before="160" w:after="80" w:line="279" w:lineRule="auto"/>
              <w:ind w:left="360"/>
              <w:outlineLvl w:val="1"/>
              <w:rPr>
                <w:rFonts w:eastAsiaTheme="majorEastAsia"/>
                <w:noProof/>
                <w:color w:val="000000" w:themeColor="text1"/>
                <w:szCs w:val="24"/>
              </w:rPr>
            </w:pPr>
            <w:r w:rsidRPr="004C70EC">
              <w:rPr>
                <w:rFonts w:eastAsiaTheme="majorEastAsia"/>
                <w:noProof/>
                <w:color w:val="000000" w:themeColor="text1"/>
                <w:szCs w:val="24"/>
              </w:rPr>
              <w:t>performing continuous monitoring of the CTIS function and performance. </w:t>
            </w:r>
          </w:p>
          <w:p w14:paraId="26978896" w14:textId="77777777" w:rsidR="003029D5" w:rsidRPr="004C70EC" w:rsidRDefault="003029D5" w:rsidP="00811FF3">
            <w:pPr>
              <w:keepNext/>
              <w:keepLines/>
              <w:numPr>
                <w:ilvl w:val="0"/>
                <w:numId w:val="24"/>
              </w:numPr>
              <w:spacing w:before="160" w:after="80" w:line="279" w:lineRule="auto"/>
              <w:ind w:left="360"/>
              <w:outlineLvl w:val="1"/>
              <w:rPr>
                <w:rFonts w:eastAsiaTheme="majorEastAsia"/>
                <w:noProof/>
                <w:color w:val="000000" w:themeColor="text1"/>
              </w:rPr>
            </w:pPr>
            <w:r w:rsidRPr="004C70EC">
              <w:rPr>
                <w:rFonts w:eastAsiaTheme="majorEastAsia"/>
                <w:noProof/>
                <w:color w:val="000000" w:themeColor="text1"/>
              </w:rPr>
              <w:t>Providing programme and project management. </w:t>
            </w:r>
          </w:p>
          <w:p w14:paraId="1E5FA927" w14:textId="77777777" w:rsidR="1388BF03" w:rsidRPr="004C70EC" w:rsidRDefault="07B7A31B" w:rsidP="00811FF3">
            <w:pPr>
              <w:keepNext/>
              <w:keepLines/>
              <w:numPr>
                <w:ilvl w:val="0"/>
                <w:numId w:val="24"/>
              </w:numPr>
              <w:spacing w:before="160" w:after="80" w:line="279" w:lineRule="auto"/>
              <w:ind w:left="360"/>
              <w:outlineLvl w:val="1"/>
              <w:rPr>
                <w:rFonts w:eastAsiaTheme="majorEastAsia"/>
                <w:noProof/>
                <w:color w:val="000000" w:themeColor="text1"/>
              </w:rPr>
            </w:pPr>
            <w:r w:rsidRPr="004C70EC">
              <w:rPr>
                <w:rFonts w:eastAsiaTheme="majorEastAsia"/>
                <w:noProof/>
                <w:color w:val="000000" w:themeColor="text1"/>
              </w:rPr>
              <w:t>Response to queries from stakeholders</w:t>
            </w:r>
          </w:p>
          <w:p w14:paraId="56E8FBA8" w14:textId="77777777" w:rsidR="07B7A31B" w:rsidRPr="004C70EC" w:rsidRDefault="07B7A31B" w:rsidP="00811FF3">
            <w:pPr>
              <w:keepNext/>
              <w:keepLines/>
              <w:numPr>
                <w:ilvl w:val="0"/>
                <w:numId w:val="24"/>
              </w:numPr>
              <w:spacing w:before="160" w:after="80" w:line="279" w:lineRule="auto"/>
              <w:ind w:left="360"/>
              <w:outlineLvl w:val="1"/>
              <w:rPr>
                <w:rFonts w:eastAsiaTheme="majorEastAsia"/>
                <w:noProof/>
                <w:color w:val="000000" w:themeColor="text1"/>
              </w:rPr>
            </w:pPr>
            <w:r w:rsidRPr="004C70EC">
              <w:rPr>
                <w:rFonts w:eastAsiaTheme="majorEastAsia"/>
                <w:noProof/>
                <w:color w:val="000000" w:themeColor="text1"/>
              </w:rPr>
              <w:t xml:space="preserve">Support the development of CTIS training material </w:t>
            </w:r>
          </w:p>
          <w:p w14:paraId="430B489A" w14:textId="77777777" w:rsidR="07B7A31B" w:rsidRPr="004C70EC" w:rsidRDefault="07B7A31B" w:rsidP="00811FF3">
            <w:pPr>
              <w:keepNext/>
              <w:keepLines/>
              <w:numPr>
                <w:ilvl w:val="0"/>
                <w:numId w:val="24"/>
              </w:numPr>
              <w:spacing w:before="160" w:after="80" w:line="279" w:lineRule="auto"/>
              <w:ind w:left="360"/>
              <w:outlineLvl w:val="1"/>
              <w:rPr>
                <w:rFonts w:eastAsiaTheme="majorEastAsia"/>
                <w:noProof/>
                <w:color w:val="000000" w:themeColor="text1"/>
              </w:rPr>
            </w:pPr>
            <w:r w:rsidRPr="004C70EC">
              <w:rPr>
                <w:rFonts w:eastAsiaTheme="majorEastAsia"/>
                <w:noProof/>
                <w:color w:val="000000" w:themeColor="text1"/>
              </w:rPr>
              <w:t>Stakeholder communication (e.g. CTIS Forum and other events)</w:t>
            </w:r>
          </w:p>
          <w:p w14:paraId="22ED1D5B" w14:textId="77777777" w:rsidR="007966CD" w:rsidRPr="004C70EC" w:rsidRDefault="007966CD" w:rsidP="03D0C434">
            <w:pPr>
              <w:keepNext/>
              <w:keepLines/>
              <w:spacing w:before="160" w:after="80" w:line="279" w:lineRule="auto"/>
              <w:outlineLvl w:val="1"/>
              <w:rPr>
                <w:rFonts w:eastAsiaTheme="majorEastAsia"/>
                <w:b/>
                <w:bCs/>
                <w:noProof/>
                <w:color w:val="000000" w:themeColor="text1"/>
              </w:rPr>
            </w:pPr>
          </w:p>
          <w:p w14:paraId="7D8BE4A0" w14:textId="77777777" w:rsidR="007966CD" w:rsidRPr="004C70EC" w:rsidRDefault="39B0836C">
            <w:pPr>
              <w:keepNext/>
              <w:keepLines/>
              <w:spacing w:before="160" w:after="80" w:line="279" w:lineRule="auto"/>
              <w:outlineLvl w:val="1"/>
              <w:rPr>
                <w:rFonts w:eastAsiaTheme="majorEastAsia"/>
                <w:b/>
                <w:noProof/>
                <w:color w:val="000000" w:themeColor="text1"/>
              </w:rPr>
            </w:pPr>
            <w:r w:rsidRPr="004C70EC">
              <w:rPr>
                <w:rFonts w:eastAsiaTheme="majorEastAsia"/>
                <w:b/>
                <w:bCs/>
                <w:noProof/>
                <w:color w:val="000000" w:themeColor="text1"/>
              </w:rPr>
              <w:t>The extra resources  are absolut</w:t>
            </w:r>
            <w:r w:rsidR="009332D1">
              <w:rPr>
                <w:rFonts w:eastAsiaTheme="majorEastAsia"/>
                <w:b/>
                <w:bCs/>
                <w:noProof/>
                <w:color w:val="000000" w:themeColor="text1"/>
              </w:rPr>
              <w:t>e</w:t>
            </w:r>
            <w:r w:rsidRPr="004C70EC">
              <w:rPr>
                <w:rFonts w:eastAsiaTheme="majorEastAsia"/>
                <w:b/>
                <w:bCs/>
                <w:noProof/>
                <w:color w:val="000000" w:themeColor="text1"/>
              </w:rPr>
              <w:t>ly necessary since timely implementation of the amendments targeting competitiveness are d</w:t>
            </w:r>
            <w:r w:rsidR="17E77D6D" w:rsidRPr="004C70EC">
              <w:rPr>
                <w:rFonts w:eastAsiaTheme="majorEastAsia"/>
                <w:b/>
                <w:bCs/>
                <w:noProof/>
                <w:color w:val="000000" w:themeColor="text1"/>
              </w:rPr>
              <w:t>ependent on substantial IT development that woul</w:t>
            </w:r>
            <w:r w:rsidR="009332D1">
              <w:rPr>
                <w:rFonts w:eastAsiaTheme="majorEastAsia"/>
                <w:b/>
                <w:bCs/>
                <w:noProof/>
                <w:color w:val="000000" w:themeColor="text1"/>
              </w:rPr>
              <w:t>d</w:t>
            </w:r>
            <w:r w:rsidR="17E77D6D" w:rsidRPr="004C70EC">
              <w:rPr>
                <w:rFonts w:eastAsiaTheme="majorEastAsia"/>
                <w:b/>
                <w:bCs/>
                <w:noProof/>
                <w:color w:val="000000" w:themeColor="text1"/>
              </w:rPr>
              <w:t xml:space="preserve"> need to be set up in short time. </w:t>
            </w:r>
          </w:p>
        </w:tc>
      </w:tr>
    </w:tbl>
    <w:p w14:paraId="6B9A5527" w14:textId="77777777" w:rsidR="00626E71" w:rsidRPr="004C70EC" w:rsidRDefault="00626E71" w:rsidP="00626E71">
      <w:pPr>
        <w:pStyle w:val="Text1"/>
        <w:rPr>
          <w:noProof/>
          <w:color w:val="000000" w:themeColor="text1"/>
          <w:szCs w:val="24"/>
        </w:rPr>
      </w:pPr>
    </w:p>
    <w:p w14:paraId="1AC1AEE2" w14:textId="77777777" w:rsidR="00626E71" w:rsidRPr="004C70EC" w:rsidRDefault="00626E71" w:rsidP="0058181D">
      <w:pPr>
        <w:pStyle w:val="Text1"/>
        <w:rPr>
          <w:noProof/>
          <w:color w:val="000000" w:themeColor="text1"/>
          <w:szCs w:val="24"/>
        </w:rPr>
      </w:pPr>
    </w:p>
    <w:p w14:paraId="135ED55E" w14:textId="77777777" w:rsidR="007966CD" w:rsidRPr="004C70EC" w:rsidRDefault="007966CD">
      <w:pPr>
        <w:pStyle w:val="ManualHeading3"/>
        <w:rPr>
          <w:noProof/>
          <w:color w:val="000000" w:themeColor="text1"/>
          <w:szCs w:val="24"/>
        </w:rPr>
      </w:pPr>
      <w:r w:rsidRPr="004C70EC">
        <w:rPr>
          <w:noProof/>
          <w:color w:val="000000" w:themeColor="text1"/>
          <w:szCs w:val="24"/>
        </w:rPr>
        <w:t>3.2.9.</w:t>
      </w:r>
      <w:r w:rsidRPr="004C70EC">
        <w:rPr>
          <w:noProof/>
          <w:color w:val="000000" w:themeColor="text1"/>
          <w:szCs w:val="24"/>
        </w:rPr>
        <w:tab/>
        <w:t xml:space="preserve">Estimated human resources and the use of appropriations required in EFSA </w:t>
      </w:r>
    </w:p>
    <w:p w14:paraId="382C32A4" w14:textId="77777777" w:rsidR="007966CD" w:rsidRPr="004C70EC" w:rsidRDefault="007966CD">
      <w:pPr>
        <w:spacing w:before="0" w:after="200" w:line="276" w:lineRule="auto"/>
        <w:jc w:val="left"/>
        <w:rPr>
          <w:noProof/>
          <w:color w:val="000000" w:themeColor="text1"/>
          <w:szCs w:val="24"/>
          <w:u w:val="single"/>
        </w:rPr>
      </w:pPr>
    </w:p>
    <w:p w14:paraId="129F9FF6" w14:textId="77777777" w:rsidR="007966CD" w:rsidRPr="004C70EC" w:rsidRDefault="007966CD">
      <w:pPr>
        <w:ind w:left="-142"/>
        <w:jc w:val="left"/>
        <w:rPr>
          <w:noProof/>
          <w:color w:val="000000" w:themeColor="text1"/>
          <w:szCs w:val="24"/>
          <w:u w:val="single"/>
        </w:rPr>
      </w:pPr>
      <w:r w:rsidRPr="004C70EC">
        <w:rPr>
          <w:noProof/>
          <w:color w:val="000000" w:themeColor="text1"/>
          <w:szCs w:val="24"/>
          <w:u w:val="single"/>
        </w:rPr>
        <w:t>Staff requirements (full-time equivalent units)</w:t>
      </w:r>
    </w:p>
    <w:tbl>
      <w:tblPr>
        <w:tblW w:w="9856" w:type="dxa"/>
        <w:tblInd w:w="118" w:type="dxa"/>
        <w:tblLook w:val="04A0" w:firstRow="1" w:lastRow="0" w:firstColumn="1" w:lastColumn="0" w:noHBand="0" w:noVBand="1"/>
      </w:tblPr>
      <w:tblGrid>
        <w:gridCol w:w="3295"/>
        <w:gridCol w:w="850"/>
        <w:gridCol w:w="850"/>
        <w:gridCol w:w="809"/>
        <w:gridCol w:w="809"/>
        <w:gridCol w:w="809"/>
        <w:gridCol w:w="809"/>
        <w:gridCol w:w="822"/>
        <w:gridCol w:w="803"/>
      </w:tblGrid>
      <w:tr w:rsidR="004A1163" w:rsidRPr="004C70EC" w14:paraId="4C64F99A" w14:textId="77777777" w:rsidTr="006B1C60">
        <w:trPr>
          <w:trHeight w:val="705"/>
        </w:trPr>
        <w:tc>
          <w:tcPr>
            <w:tcW w:w="3362" w:type="dxa"/>
            <w:tcBorders>
              <w:top w:val="single" w:sz="8" w:space="0" w:color="auto"/>
              <w:left w:val="single" w:sz="8" w:space="0" w:color="auto"/>
              <w:bottom w:val="single" w:sz="8" w:space="0" w:color="auto"/>
              <w:right w:val="single" w:sz="8" w:space="0" w:color="000000"/>
            </w:tcBorders>
            <w:vAlign w:val="center"/>
            <w:hideMark/>
          </w:tcPr>
          <w:p w14:paraId="10C866CE" w14:textId="77777777" w:rsidR="006540A4" w:rsidRPr="004C70EC" w:rsidRDefault="006540A4" w:rsidP="006540A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[Agency]: &lt;EFSA&gt;</w:t>
            </w:r>
          </w:p>
        </w:tc>
        <w:tc>
          <w:tcPr>
            <w:tcW w:w="855"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31C966B" w14:textId="77777777" w:rsidR="006540A4" w:rsidRPr="004C70EC" w:rsidRDefault="006540A4" w:rsidP="002A0468">
            <w:pPr>
              <w:spacing w:before="0" w:after="0"/>
              <w:jc w:val="center"/>
              <w:rPr>
                <w:rFonts w:eastAsia="Times New Roman"/>
                <w:noProof/>
                <w:color w:val="000000" w:themeColor="text1"/>
                <w:szCs w:val="24"/>
                <w:lang w:val="en-IE" w:eastAsia="en-IE"/>
              </w:rPr>
            </w:pPr>
            <w:r w:rsidRPr="004C70EC">
              <w:rPr>
                <w:noProof/>
                <w:color w:val="000000" w:themeColor="text1"/>
                <w:szCs w:val="24"/>
              </w:rPr>
              <w:t>Year</w:t>
            </w:r>
          </w:p>
        </w:tc>
        <w:tc>
          <w:tcPr>
            <w:tcW w:w="855" w:type="dxa"/>
            <w:tcBorders>
              <w:top w:val="single" w:sz="8" w:space="0" w:color="auto"/>
              <w:left w:val="nil"/>
              <w:bottom w:val="single" w:sz="8" w:space="0" w:color="auto"/>
              <w:right w:val="single" w:sz="8" w:space="0" w:color="auto"/>
            </w:tcBorders>
            <w:shd w:val="clear" w:color="000000" w:fill="FFFFFF"/>
            <w:vAlign w:val="center"/>
            <w:hideMark/>
          </w:tcPr>
          <w:p w14:paraId="2AC37FCF" w14:textId="77777777" w:rsidR="006540A4" w:rsidRPr="004C70EC" w:rsidRDefault="006540A4" w:rsidP="006540A4">
            <w:pPr>
              <w:spacing w:before="0" w:after="0"/>
              <w:jc w:val="center"/>
              <w:rPr>
                <w:rFonts w:eastAsia="Times New Roman"/>
                <w:noProof/>
                <w:color w:val="000000" w:themeColor="text1"/>
                <w:szCs w:val="24"/>
                <w:lang w:val="en-IE" w:eastAsia="en-IE"/>
              </w:rPr>
            </w:pPr>
            <w:r w:rsidRPr="004C70EC">
              <w:rPr>
                <w:noProof/>
                <w:color w:val="000000" w:themeColor="text1"/>
                <w:szCs w:val="24"/>
              </w:rPr>
              <w:t>Year</w:t>
            </w:r>
          </w:p>
        </w:tc>
        <w:tc>
          <w:tcPr>
            <w:tcW w:w="813" w:type="dxa"/>
            <w:tcBorders>
              <w:top w:val="single" w:sz="8" w:space="0" w:color="auto"/>
              <w:left w:val="nil"/>
              <w:bottom w:val="single" w:sz="8" w:space="0" w:color="auto"/>
              <w:right w:val="single" w:sz="8" w:space="0" w:color="auto"/>
            </w:tcBorders>
            <w:shd w:val="clear" w:color="000000" w:fill="FFFFFF"/>
            <w:vAlign w:val="center"/>
            <w:hideMark/>
          </w:tcPr>
          <w:p w14:paraId="290AE245" w14:textId="77777777" w:rsidR="006540A4" w:rsidRPr="004C70EC" w:rsidRDefault="006540A4" w:rsidP="006540A4">
            <w:pPr>
              <w:spacing w:before="0" w:after="0"/>
              <w:jc w:val="center"/>
              <w:rPr>
                <w:rFonts w:eastAsia="Times New Roman"/>
                <w:noProof/>
                <w:color w:val="000000" w:themeColor="text1"/>
                <w:szCs w:val="24"/>
                <w:lang w:val="en-IE" w:eastAsia="en-IE"/>
              </w:rPr>
            </w:pPr>
            <w:r w:rsidRPr="004C70EC">
              <w:rPr>
                <w:noProof/>
                <w:color w:val="000000" w:themeColor="text1"/>
                <w:szCs w:val="24"/>
              </w:rPr>
              <w:t>Year</w:t>
            </w:r>
          </w:p>
        </w:tc>
        <w:tc>
          <w:tcPr>
            <w:tcW w:w="813" w:type="dxa"/>
            <w:tcBorders>
              <w:top w:val="single" w:sz="8" w:space="0" w:color="auto"/>
              <w:left w:val="nil"/>
              <w:bottom w:val="single" w:sz="8" w:space="0" w:color="auto"/>
              <w:right w:val="single" w:sz="8" w:space="0" w:color="auto"/>
            </w:tcBorders>
            <w:shd w:val="clear" w:color="000000" w:fill="FFFFFF"/>
            <w:vAlign w:val="center"/>
            <w:hideMark/>
          </w:tcPr>
          <w:p w14:paraId="21974224" w14:textId="77777777" w:rsidR="006540A4" w:rsidRPr="004C70EC" w:rsidRDefault="006540A4" w:rsidP="006540A4">
            <w:pPr>
              <w:spacing w:before="0" w:after="0"/>
              <w:jc w:val="center"/>
              <w:rPr>
                <w:rFonts w:eastAsia="Times New Roman"/>
                <w:noProof/>
                <w:color w:val="000000" w:themeColor="text1"/>
                <w:szCs w:val="24"/>
                <w:lang w:val="en-IE" w:eastAsia="en-IE"/>
              </w:rPr>
            </w:pPr>
            <w:r w:rsidRPr="004C70EC">
              <w:rPr>
                <w:noProof/>
                <w:color w:val="000000" w:themeColor="text1"/>
                <w:szCs w:val="24"/>
              </w:rPr>
              <w:t>Year</w:t>
            </w:r>
          </w:p>
        </w:tc>
        <w:tc>
          <w:tcPr>
            <w:tcW w:w="813" w:type="dxa"/>
            <w:tcBorders>
              <w:top w:val="single" w:sz="8" w:space="0" w:color="auto"/>
              <w:left w:val="nil"/>
              <w:bottom w:val="single" w:sz="8" w:space="0" w:color="auto"/>
              <w:right w:val="single" w:sz="8" w:space="0" w:color="auto"/>
            </w:tcBorders>
            <w:shd w:val="clear" w:color="000000" w:fill="FFFFFF"/>
            <w:vAlign w:val="center"/>
            <w:hideMark/>
          </w:tcPr>
          <w:p w14:paraId="42D12716" w14:textId="77777777" w:rsidR="006540A4" w:rsidRPr="004C70EC" w:rsidRDefault="006540A4" w:rsidP="006540A4">
            <w:pPr>
              <w:spacing w:before="0" w:after="0"/>
              <w:jc w:val="center"/>
              <w:rPr>
                <w:rFonts w:eastAsia="Times New Roman"/>
                <w:noProof/>
                <w:color w:val="000000" w:themeColor="text1"/>
                <w:szCs w:val="24"/>
                <w:lang w:val="en-IE" w:eastAsia="en-IE"/>
              </w:rPr>
            </w:pPr>
            <w:r w:rsidRPr="004C70EC">
              <w:rPr>
                <w:noProof/>
                <w:color w:val="000000" w:themeColor="text1"/>
                <w:szCs w:val="24"/>
              </w:rPr>
              <w:t>Year</w:t>
            </w:r>
          </w:p>
        </w:tc>
        <w:tc>
          <w:tcPr>
            <w:tcW w:w="813" w:type="dxa"/>
            <w:tcBorders>
              <w:top w:val="single" w:sz="8" w:space="0" w:color="auto"/>
              <w:left w:val="nil"/>
              <w:bottom w:val="single" w:sz="8" w:space="0" w:color="auto"/>
              <w:right w:val="single" w:sz="8" w:space="0" w:color="auto"/>
            </w:tcBorders>
            <w:shd w:val="clear" w:color="000000" w:fill="FFFFFF"/>
            <w:vAlign w:val="center"/>
            <w:hideMark/>
          </w:tcPr>
          <w:p w14:paraId="6CD53FD2" w14:textId="77777777" w:rsidR="006540A4" w:rsidRPr="004C70EC" w:rsidRDefault="006540A4" w:rsidP="006540A4">
            <w:pPr>
              <w:spacing w:before="0" w:after="0"/>
              <w:jc w:val="center"/>
              <w:rPr>
                <w:rFonts w:eastAsia="Times New Roman"/>
                <w:noProof/>
                <w:color w:val="000000" w:themeColor="text1"/>
                <w:szCs w:val="24"/>
                <w:lang w:val="en-IE" w:eastAsia="en-IE"/>
              </w:rPr>
            </w:pPr>
            <w:r w:rsidRPr="004C70EC">
              <w:rPr>
                <w:noProof/>
                <w:color w:val="000000" w:themeColor="text1"/>
                <w:szCs w:val="24"/>
              </w:rPr>
              <w:t>Year</w:t>
            </w:r>
          </w:p>
        </w:tc>
        <w:tc>
          <w:tcPr>
            <w:tcW w:w="826" w:type="dxa"/>
            <w:tcBorders>
              <w:top w:val="single" w:sz="8" w:space="0" w:color="auto"/>
              <w:left w:val="nil"/>
              <w:bottom w:val="single" w:sz="8" w:space="0" w:color="auto"/>
              <w:right w:val="single" w:sz="8" w:space="0" w:color="auto"/>
            </w:tcBorders>
            <w:shd w:val="clear" w:color="000000" w:fill="FFFFFF"/>
            <w:vAlign w:val="center"/>
            <w:hideMark/>
          </w:tcPr>
          <w:p w14:paraId="4BFE4A68" w14:textId="77777777" w:rsidR="006540A4" w:rsidRPr="004C70EC" w:rsidRDefault="006540A4" w:rsidP="006540A4">
            <w:pPr>
              <w:spacing w:before="0" w:after="0"/>
              <w:jc w:val="center"/>
              <w:rPr>
                <w:rFonts w:eastAsia="Times New Roman"/>
                <w:noProof/>
                <w:color w:val="000000" w:themeColor="text1"/>
                <w:szCs w:val="24"/>
                <w:lang w:val="en-IE" w:eastAsia="en-IE"/>
              </w:rPr>
            </w:pPr>
            <w:r w:rsidRPr="004C70EC">
              <w:rPr>
                <w:noProof/>
                <w:color w:val="000000" w:themeColor="text1"/>
                <w:szCs w:val="24"/>
              </w:rPr>
              <w:t>Year</w:t>
            </w:r>
          </w:p>
        </w:tc>
        <w:tc>
          <w:tcPr>
            <w:tcW w:w="706" w:type="dxa"/>
            <w:tcBorders>
              <w:top w:val="single" w:sz="8" w:space="0" w:color="auto"/>
              <w:left w:val="nil"/>
              <w:bottom w:val="single" w:sz="8" w:space="0" w:color="auto"/>
              <w:right w:val="single" w:sz="8" w:space="0" w:color="auto"/>
            </w:tcBorders>
            <w:shd w:val="clear" w:color="000000" w:fill="FFFFFF"/>
            <w:vAlign w:val="center"/>
            <w:hideMark/>
          </w:tcPr>
          <w:p w14:paraId="75796001" w14:textId="77777777" w:rsidR="006540A4" w:rsidRPr="004C70EC" w:rsidRDefault="006540A4" w:rsidP="006540A4">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POST</w:t>
            </w:r>
          </w:p>
        </w:tc>
      </w:tr>
      <w:tr w:rsidR="004A1163" w:rsidRPr="004C70EC" w14:paraId="6E6B1232" w14:textId="77777777" w:rsidTr="006B1C60">
        <w:trPr>
          <w:trHeight w:val="312"/>
        </w:trPr>
        <w:tc>
          <w:tcPr>
            <w:tcW w:w="3362" w:type="dxa"/>
            <w:tcBorders>
              <w:top w:val="single" w:sz="8" w:space="0" w:color="auto"/>
              <w:left w:val="single" w:sz="8" w:space="0" w:color="auto"/>
              <w:bottom w:val="single" w:sz="8" w:space="0" w:color="auto"/>
              <w:right w:val="single" w:sz="8" w:space="0" w:color="000000"/>
            </w:tcBorders>
            <w:vAlign w:val="center"/>
            <w:hideMark/>
          </w:tcPr>
          <w:p w14:paraId="58C870DF" w14:textId="77777777" w:rsidR="006540A4" w:rsidRPr="004C70EC" w:rsidRDefault="006540A4" w:rsidP="006540A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w:t>
            </w:r>
          </w:p>
        </w:tc>
        <w:tc>
          <w:tcPr>
            <w:tcW w:w="855" w:type="dxa"/>
            <w:tcBorders>
              <w:top w:val="nil"/>
              <w:left w:val="nil"/>
              <w:bottom w:val="single" w:sz="8" w:space="0" w:color="auto"/>
              <w:right w:val="single" w:sz="8" w:space="0" w:color="auto"/>
            </w:tcBorders>
            <w:vAlign w:val="center"/>
            <w:hideMark/>
          </w:tcPr>
          <w:p w14:paraId="1C9EF261" w14:textId="77777777" w:rsidR="006540A4" w:rsidRPr="004C70EC" w:rsidRDefault="006540A4" w:rsidP="006540A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2028</w:t>
            </w:r>
          </w:p>
        </w:tc>
        <w:tc>
          <w:tcPr>
            <w:tcW w:w="855" w:type="dxa"/>
            <w:tcBorders>
              <w:top w:val="nil"/>
              <w:left w:val="nil"/>
              <w:bottom w:val="single" w:sz="8" w:space="0" w:color="auto"/>
              <w:right w:val="single" w:sz="8" w:space="0" w:color="auto"/>
            </w:tcBorders>
            <w:vAlign w:val="center"/>
            <w:hideMark/>
          </w:tcPr>
          <w:p w14:paraId="18C54523" w14:textId="77777777" w:rsidR="006540A4" w:rsidRPr="004C70EC" w:rsidRDefault="006540A4" w:rsidP="006540A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2029</w:t>
            </w:r>
          </w:p>
        </w:tc>
        <w:tc>
          <w:tcPr>
            <w:tcW w:w="813" w:type="dxa"/>
            <w:tcBorders>
              <w:top w:val="nil"/>
              <w:left w:val="nil"/>
              <w:bottom w:val="single" w:sz="8" w:space="0" w:color="auto"/>
              <w:right w:val="single" w:sz="8" w:space="0" w:color="auto"/>
            </w:tcBorders>
            <w:vAlign w:val="center"/>
            <w:hideMark/>
          </w:tcPr>
          <w:p w14:paraId="62FA17A5" w14:textId="77777777" w:rsidR="006540A4" w:rsidRPr="004C70EC" w:rsidRDefault="006540A4" w:rsidP="006540A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2030</w:t>
            </w:r>
          </w:p>
        </w:tc>
        <w:tc>
          <w:tcPr>
            <w:tcW w:w="813" w:type="dxa"/>
            <w:tcBorders>
              <w:top w:val="nil"/>
              <w:left w:val="nil"/>
              <w:bottom w:val="single" w:sz="8" w:space="0" w:color="auto"/>
              <w:right w:val="single" w:sz="8" w:space="0" w:color="auto"/>
            </w:tcBorders>
            <w:shd w:val="clear" w:color="000000" w:fill="FFFFFF"/>
            <w:vAlign w:val="center"/>
            <w:hideMark/>
          </w:tcPr>
          <w:p w14:paraId="2F69FD2B" w14:textId="77777777" w:rsidR="006540A4" w:rsidRPr="004C70EC" w:rsidRDefault="006540A4" w:rsidP="006540A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2031</w:t>
            </w:r>
          </w:p>
        </w:tc>
        <w:tc>
          <w:tcPr>
            <w:tcW w:w="813" w:type="dxa"/>
            <w:tcBorders>
              <w:top w:val="nil"/>
              <w:left w:val="nil"/>
              <w:bottom w:val="single" w:sz="8" w:space="0" w:color="auto"/>
              <w:right w:val="single" w:sz="8" w:space="0" w:color="auto"/>
            </w:tcBorders>
            <w:shd w:val="clear" w:color="000000" w:fill="FFFFFF"/>
            <w:vAlign w:val="center"/>
            <w:hideMark/>
          </w:tcPr>
          <w:p w14:paraId="10222780" w14:textId="77777777" w:rsidR="006540A4" w:rsidRPr="004C70EC" w:rsidRDefault="006540A4" w:rsidP="006540A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2032</w:t>
            </w:r>
          </w:p>
        </w:tc>
        <w:tc>
          <w:tcPr>
            <w:tcW w:w="813" w:type="dxa"/>
            <w:tcBorders>
              <w:top w:val="nil"/>
              <w:left w:val="nil"/>
              <w:bottom w:val="single" w:sz="8" w:space="0" w:color="auto"/>
              <w:right w:val="single" w:sz="8" w:space="0" w:color="auto"/>
            </w:tcBorders>
            <w:shd w:val="clear" w:color="000000" w:fill="FFFFFF"/>
            <w:vAlign w:val="center"/>
            <w:hideMark/>
          </w:tcPr>
          <w:p w14:paraId="09521AEB" w14:textId="77777777" w:rsidR="006540A4" w:rsidRPr="004C70EC" w:rsidRDefault="006540A4" w:rsidP="006540A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2033</w:t>
            </w:r>
          </w:p>
        </w:tc>
        <w:tc>
          <w:tcPr>
            <w:tcW w:w="826" w:type="dxa"/>
            <w:tcBorders>
              <w:top w:val="nil"/>
              <w:left w:val="nil"/>
              <w:bottom w:val="single" w:sz="8" w:space="0" w:color="auto"/>
              <w:right w:val="single" w:sz="8" w:space="0" w:color="auto"/>
            </w:tcBorders>
            <w:shd w:val="clear" w:color="000000" w:fill="FFFFFF"/>
            <w:vAlign w:val="center"/>
            <w:hideMark/>
          </w:tcPr>
          <w:p w14:paraId="2DDF4C70" w14:textId="77777777" w:rsidR="006540A4" w:rsidRPr="004C70EC" w:rsidRDefault="006540A4" w:rsidP="006540A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w:t>
            </w:r>
          </w:p>
        </w:tc>
        <w:tc>
          <w:tcPr>
            <w:tcW w:w="706" w:type="dxa"/>
            <w:tcBorders>
              <w:top w:val="nil"/>
              <w:left w:val="nil"/>
              <w:bottom w:val="single" w:sz="8" w:space="0" w:color="auto"/>
              <w:right w:val="single" w:sz="8" w:space="0" w:color="auto"/>
            </w:tcBorders>
            <w:shd w:val="clear" w:color="000000" w:fill="FFFFFF"/>
            <w:vAlign w:val="center"/>
            <w:hideMark/>
          </w:tcPr>
          <w:p w14:paraId="6A843ED3" w14:textId="77777777" w:rsidR="006540A4" w:rsidRPr="004C70EC" w:rsidRDefault="006540A4" w:rsidP="006540A4">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w:t>
            </w:r>
          </w:p>
        </w:tc>
      </w:tr>
      <w:tr w:rsidR="004A1163" w:rsidRPr="004C70EC" w14:paraId="2AD31F73" w14:textId="77777777" w:rsidTr="006B1C60">
        <w:trPr>
          <w:trHeight w:val="610"/>
        </w:trPr>
        <w:tc>
          <w:tcPr>
            <w:tcW w:w="3362"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1CA5F76F" w14:textId="77777777" w:rsidR="006540A4" w:rsidRPr="004C70EC" w:rsidRDefault="006540A4" w:rsidP="006540A4">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Temporary agents (AD Grades)</w:t>
            </w:r>
          </w:p>
        </w:tc>
        <w:tc>
          <w:tcPr>
            <w:tcW w:w="855" w:type="dxa"/>
            <w:tcBorders>
              <w:top w:val="nil"/>
              <w:left w:val="nil"/>
              <w:bottom w:val="single" w:sz="8" w:space="0" w:color="auto"/>
              <w:right w:val="single" w:sz="8" w:space="0" w:color="auto"/>
            </w:tcBorders>
            <w:shd w:val="clear" w:color="000000" w:fill="FFFFFF"/>
            <w:vAlign w:val="center"/>
            <w:hideMark/>
          </w:tcPr>
          <w:p w14:paraId="26122D20" w14:textId="77777777" w:rsidR="006540A4" w:rsidRPr="004C70EC" w:rsidRDefault="008F7272"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5</w:t>
            </w:r>
          </w:p>
        </w:tc>
        <w:tc>
          <w:tcPr>
            <w:tcW w:w="855" w:type="dxa"/>
            <w:tcBorders>
              <w:top w:val="nil"/>
              <w:left w:val="nil"/>
              <w:bottom w:val="single" w:sz="8" w:space="0" w:color="auto"/>
              <w:right w:val="single" w:sz="8" w:space="0" w:color="auto"/>
            </w:tcBorders>
            <w:shd w:val="clear" w:color="000000" w:fill="FFFFFF"/>
            <w:vAlign w:val="center"/>
            <w:hideMark/>
          </w:tcPr>
          <w:p w14:paraId="2259E943" w14:textId="77777777" w:rsidR="006540A4" w:rsidRPr="004C70EC" w:rsidRDefault="008F7272"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5</w:t>
            </w:r>
          </w:p>
        </w:tc>
        <w:tc>
          <w:tcPr>
            <w:tcW w:w="813" w:type="dxa"/>
            <w:tcBorders>
              <w:top w:val="nil"/>
              <w:left w:val="nil"/>
              <w:bottom w:val="single" w:sz="8" w:space="0" w:color="auto"/>
              <w:right w:val="single" w:sz="8" w:space="0" w:color="auto"/>
            </w:tcBorders>
            <w:shd w:val="clear" w:color="000000" w:fill="FFFFFF"/>
            <w:vAlign w:val="center"/>
            <w:hideMark/>
          </w:tcPr>
          <w:p w14:paraId="6E567180" w14:textId="77777777" w:rsidR="006540A4" w:rsidRPr="004C70EC" w:rsidRDefault="008F7272"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5</w:t>
            </w:r>
          </w:p>
        </w:tc>
        <w:tc>
          <w:tcPr>
            <w:tcW w:w="813" w:type="dxa"/>
            <w:tcBorders>
              <w:top w:val="nil"/>
              <w:left w:val="nil"/>
              <w:bottom w:val="single" w:sz="8" w:space="0" w:color="auto"/>
              <w:right w:val="single" w:sz="8" w:space="0" w:color="auto"/>
            </w:tcBorders>
            <w:shd w:val="clear" w:color="000000" w:fill="FFFFFF"/>
            <w:vAlign w:val="center"/>
            <w:hideMark/>
          </w:tcPr>
          <w:p w14:paraId="054D2441" w14:textId="77777777" w:rsidR="006540A4" w:rsidRPr="004C70EC" w:rsidRDefault="008F7272"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5</w:t>
            </w:r>
          </w:p>
        </w:tc>
        <w:tc>
          <w:tcPr>
            <w:tcW w:w="813" w:type="dxa"/>
            <w:tcBorders>
              <w:top w:val="nil"/>
              <w:left w:val="nil"/>
              <w:bottom w:val="single" w:sz="8" w:space="0" w:color="auto"/>
              <w:right w:val="single" w:sz="8" w:space="0" w:color="auto"/>
            </w:tcBorders>
            <w:shd w:val="clear" w:color="000000" w:fill="FFFFFF"/>
            <w:vAlign w:val="center"/>
            <w:hideMark/>
          </w:tcPr>
          <w:p w14:paraId="7B7482B0" w14:textId="77777777" w:rsidR="006540A4" w:rsidRPr="004C70EC" w:rsidRDefault="008F7272"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5</w:t>
            </w:r>
          </w:p>
        </w:tc>
        <w:tc>
          <w:tcPr>
            <w:tcW w:w="813" w:type="dxa"/>
            <w:tcBorders>
              <w:top w:val="nil"/>
              <w:left w:val="nil"/>
              <w:bottom w:val="single" w:sz="8" w:space="0" w:color="auto"/>
              <w:right w:val="single" w:sz="8" w:space="0" w:color="auto"/>
            </w:tcBorders>
            <w:shd w:val="clear" w:color="000000" w:fill="FFFFFF"/>
            <w:vAlign w:val="center"/>
            <w:hideMark/>
          </w:tcPr>
          <w:p w14:paraId="3FC6992B" w14:textId="77777777" w:rsidR="006540A4" w:rsidRPr="004C70EC" w:rsidRDefault="008F7272"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5</w:t>
            </w:r>
          </w:p>
        </w:tc>
        <w:tc>
          <w:tcPr>
            <w:tcW w:w="826" w:type="dxa"/>
            <w:tcBorders>
              <w:top w:val="nil"/>
              <w:left w:val="nil"/>
              <w:bottom w:val="single" w:sz="8" w:space="0" w:color="auto"/>
              <w:right w:val="single" w:sz="8" w:space="0" w:color="auto"/>
            </w:tcBorders>
            <w:shd w:val="clear" w:color="000000" w:fill="FFFFFF"/>
            <w:vAlign w:val="center"/>
            <w:hideMark/>
          </w:tcPr>
          <w:p w14:paraId="40EECA95" w14:textId="77777777" w:rsidR="006540A4" w:rsidRPr="004C70EC" w:rsidRDefault="008F7272"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5</w:t>
            </w:r>
          </w:p>
        </w:tc>
        <w:tc>
          <w:tcPr>
            <w:tcW w:w="706" w:type="dxa"/>
            <w:tcBorders>
              <w:top w:val="nil"/>
              <w:left w:val="nil"/>
              <w:bottom w:val="single" w:sz="8" w:space="0" w:color="auto"/>
              <w:right w:val="single" w:sz="8" w:space="0" w:color="auto"/>
            </w:tcBorders>
            <w:shd w:val="clear" w:color="000000" w:fill="FFFFFF"/>
            <w:vAlign w:val="center"/>
            <w:hideMark/>
          </w:tcPr>
          <w:p w14:paraId="23DE864E" w14:textId="77777777" w:rsidR="006540A4" w:rsidRPr="004C70EC" w:rsidRDefault="008F7272"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5</w:t>
            </w:r>
          </w:p>
        </w:tc>
      </w:tr>
      <w:tr w:rsidR="004A1163" w:rsidRPr="004C70EC" w14:paraId="36D07D36" w14:textId="77777777" w:rsidTr="006B1C60">
        <w:trPr>
          <w:trHeight w:val="908"/>
        </w:trPr>
        <w:tc>
          <w:tcPr>
            <w:tcW w:w="3362"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006A52B4" w14:textId="77777777" w:rsidR="006540A4" w:rsidRPr="004C70EC" w:rsidRDefault="006540A4" w:rsidP="006540A4">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Temporary agents (AST grades)</w:t>
            </w:r>
          </w:p>
        </w:tc>
        <w:tc>
          <w:tcPr>
            <w:tcW w:w="855" w:type="dxa"/>
            <w:tcBorders>
              <w:top w:val="nil"/>
              <w:left w:val="nil"/>
              <w:bottom w:val="single" w:sz="8" w:space="0" w:color="auto"/>
              <w:right w:val="single" w:sz="8" w:space="0" w:color="auto"/>
            </w:tcBorders>
            <w:shd w:val="clear" w:color="000000" w:fill="FFFFFF"/>
            <w:vAlign w:val="center"/>
            <w:hideMark/>
          </w:tcPr>
          <w:p w14:paraId="09F3614A" w14:textId="77777777" w:rsidR="006540A4" w:rsidRPr="004C70EC" w:rsidRDefault="008F7272"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1</w:t>
            </w:r>
          </w:p>
        </w:tc>
        <w:tc>
          <w:tcPr>
            <w:tcW w:w="855" w:type="dxa"/>
            <w:tcBorders>
              <w:top w:val="nil"/>
              <w:left w:val="nil"/>
              <w:bottom w:val="single" w:sz="8" w:space="0" w:color="auto"/>
              <w:right w:val="single" w:sz="8" w:space="0" w:color="auto"/>
            </w:tcBorders>
            <w:shd w:val="clear" w:color="000000" w:fill="FFFFFF"/>
            <w:vAlign w:val="center"/>
            <w:hideMark/>
          </w:tcPr>
          <w:p w14:paraId="58E81991" w14:textId="77777777" w:rsidR="006540A4" w:rsidRPr="004C70EC" w:rsidRDefault="008F7272"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1</w:t>
            </w:r>
          </w:p>
        </w:tc>
        <w:tc>
          <w:tcPr>
            <w:tcW w:w="813" w:type="dxa"/>
            <w:tcBorders>
              <w:top w:val="nil"/>
              <w:left w:val="nil"/>
              <w:bottom w:val="single" w:sz="8" w:space="0" w:color="auto"/>
              <w:right w:val="single" w:sz="8" w:space="0" w:color="auto"/>
            </w:tcBorders>
            <w:shd w:val="clear" w:color="000000" w:fill="FFFFFF"/>
            <w:vAlign w:val="center"/>
            <w:hideMark/>
          </w:tcPr>
          <w:p w14:paraId="5B29B22B" w14:textId="77777777" w:rsidR="006540A4" w:rsidRPr="004C70EC" w:rsidRDefault="008F7272"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1</w:t>
            </w:r>
          </w:p>
        </w:tc>
        <w:tc>
          <w:tcPr>
            <w:tcW w:w="813" w:type="dxa"/>
            <w:tcBorders>
              <w:top w:val="nil"/>
              <w:left w:val="nil"/>
              <w:bottom w:val="single" w:sz="8" w:space="0" w:color="auto"/>
              <w:right w:val="single" w:sz="8" w:space="0" w:color="auto"/>
            </w:tcBorders>
            <w:shd w:val="clear" w:color="000000" w:fill="FFFFFF"/>
            <w:vAlign w:val="center"/>
            <w:hideMark/>
          </w:tcPr>
          <w:p w14:paraId="69A4FFB9" w14:textId="77777777" w:rsidR="006540A4" w:rsidRPr="004C70EC" w:rsidRDefault="008F7272"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1</w:t>
            </w:r>
          </w:p>
        </w:tc>
        <w:tc>
          <w:tcPr>
            <w:tcW w:w="813" w:type="dxa"/>
            <w:tcBorders>
              <w:top w:val="nil"/>
              <w:left w:val="nil"/>
              <w:bottom w:val="single" w:sz="8" w:space="0" w:color="auto"/>
              <w:right w:val="single" w:sz="8" w:space="0" w:color="auto"/>
            </w:tcBorders>
            <w:shd w:val="clear" w:color="000000" w:fill="FFFFFF"/>
            <w:vAlign w:val="center"/>
            <w:hideMark/>
          </w:tcPr>
          <w:p w14:paraId="79F34FD1" w14:textId="77777777" w:rsidR="006540A4" w:rsidRPr="004C70EC" w:rsidRDefault="008F7272"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1</w:t>
            </w:r>
          </w:p>
        </w:tc>
        <w:tc>
          <w:tcPr>
            <w:tcW w:w="813" w:type="dxa"/>
            <w:tcBorders>
              <w:top w:val="nil"/>
              <w:left w:val="nil"/>
              <w:bottom w:val="single" w:sz="8" w:space="0" w:color="auto"/>
              <w:right w:val="single" w:sz="8" w:space="0" w:color="auto"/>
            </w:tcBorders>
            <w:shd w:val="clear" w:color="000000" w:fill="FFFFFF"/>
            <w:vAlign w:val="center"/>
            <w:hideMark/>
          </w:tcPr>
          <w:p w14:paraId="064A0F8C" w14:textId="77777777" w:rsidR="006540A4" w:rsidRPr="004C70EC" w:rsidRDefault="008F7272"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1</w:t>
            </w:r>
          </w:p>
        </w:tc>
        <w:tc>
          <w:tcPr>
            <w:tcW w:w="826" w:type="dxa"/>
            <w:tcBorders>
              <w:top w:val="nil"/>
              <w:left w:val="nil"/>
              <w:bottom w:val="single" w:sz="8" w:space="0" w:color="auto"/>
              <w:right w:val="single" w:sz="8" w:space="0" w:color="auto"/>
            </w:tcBorders>
            <w:shd w:val="clear" w:color="000000" w:fill="FFFFFF"/>
            <w:vAlign w:val="center"/>
            <w:hideMark/>
          </w:tcPr>
          <w:p w14:paraId="624322D5" w14:textId="77777777" w:rsidR="006540A4" w:rsidRPr="004C70EC" w:rsidRDefault="008F7272"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1</w:t>
            </w:r>
          </w:p>
        </w:tc>
        <w:tc>
          <w:tcPr>
            <w:tcW w:w="706" w:type="dxa"/>
            <w:tcBorders>
              <w:top w:val="nil"/>
              <w:left w:val="nil"/>
              <w:bottom w:val="single" w:sz="8" w:space="0" w:color="auto"/>
              <w:right w:val="single" w:sz="8" w:space="0" w:color="auto"/>
            </w:tcBorders>
            <w:shd w:val="clear" w:color="000000" w:fill="FFFFFF"/>
            <w:vAlign w:val="center"/>
            <w:hideMark/>
          </w:tcPr>
          <w:p w14:paraId="449C2F54" w14:textId="77777777" w:rsidR="006540A4" w:rsidRPr="004C70EC" w:rsidRDefault="008F7272"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1</w:t>
            </w:r>
          </w:p>
        </w:tc>
      </w:tr>
      <w:tr w:rsidR="004A1163" w:rsidRPr="004C70EC" w14:paraId="0C837654" w14:textId="77777777" w:rsidTr="006B1C60">
        <w:trPr>
          <w:trHeight w:val="610"/>
        </w:trPr>
        <w:tc>
          <w:tcPr>
            <w:tcW w:w="3362"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77605655" w14:textId="77777777" w:rsidR="006540A4" w:rsidRPr="004C70EC" w:rsidRDefault="006540A4" w:rsidP="006540A4">
            <w:pPr>
              <w:spacing w:before="0" w:after="0"/>
              <w:jc w:val="lef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Temporary agents (AD+AST) subtotal</w:t>
            </w:r>
          </w:p>
        </w:tc>
        <w:tc>
          <w:tcPr>
            <w:tcW w:w="855" w:type="dxa"/>
            <w:tcBorders>
              <w:top w:val="nil"/>
              <w:left w:val="nil"/>
              <w:bottom w:val="single" w:sz="8" w:space="0" w:color="auto"/>
              <w:right w:val="single" w:sz="8" w:space="0" w:color="auto"/>
            </w:tcBorders>
            <w:shd w:val="clear" w:color="000000" w:fill="D9D9D9"/>
            <w:vAlign w:val="center"/>
            <w:hideMark/>
          </w:tcPr>
          <w:p w14:paraId="45DCF34A" w14:textId="77777777" w:rsidR="006540A4" w:rsidRPr="004C70EC" w:rsidRDefault="006540A4" w:rsidP="006540A4">
            <w:pPr>
              <w:spacing w:before="0" w:after="0"/>
              <w:jc w:val="righ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6</w:t>
            </w:r>
          </w:p>
        </w:tc>
        <w:tc>
          <w:tcPr>
            <w:tcW w:w="855" w:type="dxa"/>
            <w:tcBorders>
              <w:top w:val="nil"/>
              <w:left w:val="nil"/>
              <w:bottom w:val="single" w:sz="8" w:space="0" w:color="auto"/>
              <w:right w:val="single" w:sz="8" w:space="0" w:color="auto"/>
            </w:tcBorders>
            <w:shd w:val="clear" w:color="000000" w:fill="D9D9D9"/>
            <w:vAlign w:val="center"/>
            <w:hideMark/>
          </w:tcPr>
          <w:p w14:paraId="486E33D3" w14:textId="77777777" w:rsidR="006540A4" w:rsidRPr="004C70EC" w:rsidRDefault="006540A4" w:rsidP="006540A4">
            <w:pPr>
              <w:spacing w:before="0" w:after="0"/>
              <w:jc w:val="righ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6</w:t>
            </w:r>
          </w:p>
        </w:tc>
        <w:tc>
          <w:tcPr>
            <w:tcW w:w="813" w:type="dxa"/>
            <w:tcBorders>
              <w:top w:val="nil"/>
              <w:left w:val="nil"/>
              <w:bottom w:val="single" w:sz="8" w:space="0" w:color="auto"/>
              <w:right w:val="single" w:sz="8" w:space="0" w:color="auto"/>
            </w:tcBorders>
            <w:shd w:val="clear" w:color="000000" w:fill="D9D9D9"/>
            <w:vAlign w:val="center"/>
            <w:hideMark/>
          </w:tcPr>
          <w:p w14:paraId="46C70C9B" w14:textId="77777777" w:rsidR="006540A4" w:rsidRPr="004C70EC" w:rsidRDefault="006540A4" w:rsidP="006540A4">
            <w:pPr>
              <w:spacing w:before="0" w:after="0"/>
              <w:jc w:val="righ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6</w:t>
            </w:r>
          </w:p>
        </w:tc>
        <w:tc>
          <w:tcPr>
            <w:tcW w:w="813" w:type="dxa"/>
            <w:tcBorders>
              <w:top w:val="nil"/>
              <w:left w:val="nil"/>
              <w:bottom w:val="single" w:sz="8" w:space="0" w:color="auto"/>
              <w:right w:val="single" w:sz="8" w:space="0" w:color="auto"/>
            </w:tcBorders>
            <w:shd w:val="clear" w:color="000000" w:fill="D9D9D9"/>
            <w:vAlign w:val="center"/>
            <w:hideMark/>
          </w:tcPr>
          <w:p w14:paraId="5D3B5FD0" w14:textId="77777777" w:rsidR="006540A4" w:rsidRPr="004C70EC" w:rsidRDefault="006540A4" w:rsidP="006540A4">
            <w:pPr>
              <w:spacing w:before="0" w:after="0"/>
              <w:jc w:val="righ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6</w:t>
            </w:r>
          </w:p>
        </w:tc>
        <w:tc>
          <w:tcPr>
            <w:tcW w:w="813" w:type="dxa"/>
            <w:tcBorders>
              <w:top w:val="nil"/>
              <w:left w:val="nil"/>
              <w:bottom w:val="single" w:sz="8" w:space="0" w:color="auto"/>
              <w:right w:val="single" w:sz="8" w:space="0" w:color="auto"/>
            </w:tcBorders>
            <w:shd w:val="clear" w:color="000000" w:fill="D9D9D9"/>
            <w:vAlign w:val="center"/>
            <w:hideMark/>
          </w:tcPr>
          <w:p w14:paraId="49D78FAB" w14:textId="77777777" w:rsidR="006540A4" w:rsidRPr="004C70EC" w:rsidRDefault="006540A4" w:rsidP="006540A4">
            <w:pPr>
              <w:spacing w:before="0" w:after="0"/>
              <w:jc w:val="righ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6</w:t>
            </w:r>
          </w:p>
        </w:tc>
        <w:tc>
          <w:tcPr>
            <w:tcW w:w="813" w:type="dxa"/>
            <w:tcBorders>
              <w:top w:val="nil"/>
              <w:left w:val="nil"/>
              <w:bottom w:val="single" w:sz="8" w:space="0" w:color="auto"/>
              <w:right w:val="single" w:sz="8" w:space="0" w:color="auto"/>
            </w:tcBorders>
            <w:shd w:val="clear" w:color="000000" w:fill="D9D9D9"/>
            <w:vAlign w:val="center"/>
            <w:hideMark/>
          </w:tcPr>
          <w:p w14:paraId="6DAF7C8B" w14:textId="77777777" w:rsidR="006540A4" w:rsidRPr="004C70EC" w:rsidRDefault="006540A4" w:rsidP="006540A4">
            <w:pPr>
              <w:spacing w:before="0" w:after="0"/>
              <w:jc w:val="righ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6</w:t>
            </w:r>
          </w:p>
        </w:tc>
        <w:tc>
          <w:tcPr>
            <w:tcW w:w="826" w:type="dxa"/>
            <w:tcBorders>
              <w:top w:val="nil"/>
              <w:left w:val="nil"/>
              <w:bottom w:val="single" w:sz="8" w:space="0" w:color="auto"/>
              <w:right w:val="single" w:sz="8" w:space="0" w:color="auto"/>
            </w:tcBorders>
            <w:shd w:val="clear" w:color="000000" w:fill="D9D9D9"/>
            <w:vAlign w:val="center"/>
            <w:hideMark/>
          </w:tcPr>
          <w:p w14:paraId="0049D025" w14:textId="77777777" w:rsidR="006540A4" w:rsidRPr="004C70EC" w:rsidRDefault="006540A4" w:rsidP="006540A4">
            <w:pPr>
              <w:spacing w:before="0" w:after="0"/>
              <w:jc w:val="righ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6</w:t>
            </w:r>
          </w:p>
        </w:tc>
        <w:tc>
          <w:tcPr>
            <w:tcW w:w="706" w:type="dxa"/>
            <w:tcBorders>
              <w:top w:val="nil"/>
              <w:left w:val="nil"/>
              <w:bottom w:val="single" w:sz="8" w:space="0" w:color="auto"/>
              <w:right w:val="single" w:sz="8" w:space="0" w:color="auto"/>
            </w:tcBorders>
            <w:shd w:val="clear" w:color="000000" w:fill="D9D9D9"/>
            <w:vAlign w:val="center"/>
            <w:hideMark/>
          </w:tcPr>
          <w:p w14:paraId="2AC2C16F" w14:textId="77777777" w:rsidR="006540A4" w:rsidRPr="004C70EC" w:rsidRDefault="006540A4" w:rsidP="006540A4">
            <w:pPr>
              <w:spacing w:before="0" w:after="0"/>
              <w:jc w:val="righ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6</w:t>
            </w:r>
          </w:p>
        </w:tc>
      </w:tr>
      <w:tr w:rsidR="004A1163" w:rsidRPr="004C70EC" w14:paraId="1084AA7D" w14:textId="77777777" w:rsidTr="006B1C60">
        <w:trPr>
          <w:trHeight w:val="312"/>
        </w:trPr>
        <w:tc>
          <w:tcPr>
            <w:tcW w:w="3362"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2A5F1C74" w14:textId="77777777" w:rsidR="006540A4" w:rsidRPr="004C70EC" w:rsidRDefault="006540A4" w:rsidP="006540A4">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Contract staff</w:t>
            </w:r>
          </w:p>
        </w:tc>
        <w:tc>
          <w:tcPr>
            <w:tcW w:w="855" w:type="dxa"/>
            <w:tcBorders>
              <w:top w:val="nil"/>
              <w:left w:val="nil"/>
              <w:bottom w:val="single" w:sz="8" w:space="0" w:color="auto"/>
              <w:right w:val="single" w:sz="8" w:space="0" w:color="auto"/>
            </w:tcBorders>
            <w:shd w:val="clear" w:color="000000" w:fill="FFFFFF"/>
            <w:vAlign w:val="center"/>
            <w:hideMark/>
          </w:tcPr>
          <w:p w14:paraId="1DD360DD" w14:textId="77777777" w:rsidR="006540A4" w:rsidRPr="004C70EC" w:rsidRDefault="006540A4"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8</w:t>
            </w:r>
          </w:p>
        </w:tc>
        <w:tc>
          <w:tcPr>
            <w:tcW w:w="855" w:type="dxa"/>
            <w:tcBorders>
              <w:top w:val="nil"/>
              <w:left w:val="nil"/>
              <w:bottom w:val="single" w:sz="8" w:space="0" w:color="auto"/>
              <w:right w:val="single" w:sz="8" w:space="0" w:color="auto"/>
            </w:tcBorders>
            <w:shd w:val="clear" w:color="000000" w:fill="FFFFFF"/>
            <w:vAlign w:val="center"/>
            <w:hideMark/>
          </w:tcPr>
          <w:p w14:paraId="5137C624" w14:textId="77777777" w:rsidR="006540A4" w:rsidRPr="004C70EC" w:rsidRDefault="006540A4"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8</w:t>
            </w:r>
          </w:p>
        </w:tc>
        <w:tc>
          <w:tcPr>
            <w:tcW w:w="813" w:type="dxa"/>
            <w:tcBorders>
              <w:top w:val="nil"/>
              <w:left w:val="nil"/>
              <w:bottom w:val="single" w:sz="8" w:space="0" w:color="auto"/>
              <w:right w:val="single" w:sz="8" w:space="0" w:color="auto"/>
            </w:tcBorders>
            <w:shd w:val="clear" w:color="000000" w:fill="FFFFFF"/>
            <w:vAlign w:val="center"/>
            <w:hideMark/>
          </w:tcPr>
          <w:p w14:paraId="63B93455" w14:textId="77777777" w:rsidR="006540A4" w:rsidRPr="004C70EC" w:rsidRDefault="006540A4"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8</w:t>
            </w:r>
          </w:p>
        </w:tc>
        <w:tc>
          <w:tcPr>
            <w:tcW w:w="813" w:type="dxa"/>
            <w:tcBorders>
              <w:top w:val="nil"/>
              <w:left w:val="nil"/>
              <w:bottom w:val="single" w:sz="8" w:space="0" w:color="auto"/>
              <w:right w:val="single" w:sz="8" w:space="0" w:color="auto"/>
            </w:tcBorders>
            <w:shd w:val="clear" w:color="000000" w:fill="FFFFFF"/>
            <w:vAlign w:val="center"/>
            <w:hideMark/>
          </w:tcPr>
          <w:p w14:paraId="5319983D" w14:textId="77777777" w:rsidR="006540A4" w:rsidRPr="004C70EC" w:rsidRDefault="006540A4"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8</w:t>
            </w:r>
          </w:p>
        </w:tc>
        <w:tc>
          <w:tcPr>
            <w:tcW w:w="813" w:type="dxa"/>
            <w:tcBorders>
              <w:top w:val="nil"/>
              <w:left w:val="nil"/>
              <w:bottom w:val="single" w:sz="8" w:space="0" w:color="auto"/>
              <w:right w:val="single" w:sz="8" w:space="0" w:color="auto"/>
            </w:tcBorders>
            <w:shd w:val="clear" w:color="000000" w:fill="FFFFFF"/>
            <w:vAlign w:val="center"/>
            <w:hideMark/>
          </w:tcPr>
          <w:p w14:paraId="17F24390" w14:textId="77777777" w:rsidR="006540A4" w:rsidRPr="004C70EC" w:rsidRDefault="006540A4"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8</w:t>
            </w:r>
          </w:p>
        </w:tc>
        <w:tc>
          <w:tcPr>
            <w:tcW w:w="813" w:type="dxa"/>
            <w:tcBorders>
              <w:top w:val="nil"/>
              <w:left w:val="nil"/>
              <w:bottom w:val="single" w:sz="8" w:space="0" w:color="auto"/>
              <w:right w:val="single" w:sz="8" w:space="0" w:color="auto"/>
            </w:tcBorders>
            <w:shd w:val="clear" w:color="000000" w:fill="FFFFFF"/>
            <w:vAlign w:val="center"/>
            <w:hideMark/>
          </w:tcPr>
          <w:p w14:paraId="4416B844" w14:textId="77777777" w:rsidR="006540A4" w:rsidRPr="004C70EC" w:rsidRDefault="006540A4"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8</w:t>
            </w:r>
          </w:p>
        </w:tc>
        <w:tc>
          <w:tcPr>
            <w:tcW w:w="826" w:type="dxa"/>
            <w:tcBorders>
              <w:top w:val="nil"/>
              <w:left w:val="nil"/>
              <w:bottom w:val="single" w:sz="8" w:space="0" w:color="auto"/>
              <w:right w:val="single" w:sz="8" w:space="0" w:color="auto"/>
            </w:tcBorders>
            <w:shd w:val="clear" w:color="000000" w:fill="FFFFFF"/>
            <w:vAlign w:val="center"/>
            <w:hideMark/>
          </w:tcPr>
          <w:p w14:paraId="36A7D116" w14:textId="77777777" w:rsidR="006540A4" w:rsidRPr="004C70EC" w:rsidRDefault="006540A4"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8</w:t>
            </w:r>
          </w:p>
        </w:tc>
        <w:tc>
          <w:tcPr>
            <w:tcW w:w="706" w:type="dxa"/>
            <w:tcBorders>
              <w:top w:val="nil"/>
              <w:left w:val="nil"/>
              <w:bottom w:val="single" w:sz="8" w:space="0" w:color="auto"/>
              <w:right w:val="single" w:sz="8" w:space="0" w:color="auto"/>
            </w:tcBorders>
            <w:shd w:val="clear" w:color="000000" w:fill="FFFFFF"/>
            <w:vAlign w:val="center"/>
            <w:hideMark/>
          </w:tcPr>
          <w:p w14:paraId="5F0CFE4D" w14:textId="77777777" w:rsidR="006540A4" w:rsidRPr="004C70EC" w:rsidRDefault="00415A3C"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8</w:t>
            </w:r>
            <w:r w:rsidR="006540A4" w:rsidRPr="004C70EC">
              <w:rPr>
                <w:rFonts w:eastAsia="Times New Roman"/>
                <w:noProof/>
                <w:color w:val="000000" w:themeColor="text1"/>
                <w:szCs w:val="24"/>
                <w:lang w:val="en-IE" w:eastAsia="en-IE"/>
              </w:rPr>
              <w:t> </w:t>
            </w:r>
          </w:p>
        </w:tc>
      </w:tr>
      <w:tr w:rsidR="004A1163" w:rsidRPr="004C70EC" w14:paraId="748B8DAA" w14:textId="77777777" w:rsidTr="006B1C60">
        <w:trPr>
          <w:trHeight w:val="312"/>
        </w:trPr>
        <w:tc>
          <w:tcPr>
            <w:tcW w:w="3362"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4C8D4112" w14:textId="77777777" w:rsidR="006540A4" w:rsidRPr="004C70EC" w:rsidRDefault="006540A4" w:rsidP="006540A4">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Seconded National Experts</w:t>
            </w:r>
          </w:p>
        </w:tc>
        <w:tc>
          <w:tcPr>
            <w:tcW w:w="855" w:type="dxa"/>
            <w:tcBorders>
              <w:top w:val="nil"/>
              <w:left w:val="nil"/>
              <w:bottom w:val="single" w:sz="8" w:space="0" w:color="auto"/>
              <w:right w:val="single" w:sz="8" w:space="0" w:color="auto"/>
            </w:tcBorders>
            <w:shd w:val="clear" w:color="000000" w:fill="FFFFFF"/>
            <w:vAlign w:val="center"/>
            <w:hideMark/>
          </w:tcPr>
          <w:p w14:paraId="62062A33" w14:textId="77777777" w:rsidR="006540A4" w:rsidRPr="004C70EC" w:rsidRDefault="006540A4" w:rsidP="006540A4">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55" w:type="dxa"/>
            <w:tcBorders>
              <w:top w:val="nil"/>
              <w:left w:val="nil"/>
              <w:bottom w:val="single" w:sz="8" w:space="0" w:color="auto"/>
              <w:right w:val="single" w:sz="8" w:space="0" w:color="auto"/>
            </w:tcBorders>
            <w:shd w:val="clear" w:color="000000" w:fill="FFFFFF"/>
            <w:vAlign w:val="center"/>
            <w:hideMark/>
          </w:tcPr>
          <w:p w14:paraId="218DDE7D" w14:textId="77777777" w:rsidR="006540A4" w:rsidRPr="004C70EC" w:rsidRDefault="006540A4" w:rsidP="006540A4">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13" w:type="dxa"/>
            <w:tcBorders>
              <w:top w:val="nil"/>
              <w:left w:val="nil"/>
              <w:bottom w:val="single" w:sz="8" w:space="0" w:color="auto"/>
              <w:right w:val="single" w:sz="8" w:space="0" w:color="auto"/>
            </w:tcBorders>
            <w:shd w:val="clear" w:color="000000" w:fill="FFFFFF"/>
            <w:vAlign w:val="center"/>
            <w:hideMark/>
          </w:tcPr>
          <w:p w14:paraId="5A9D33D4" w14:textId="77777777" w:rsidR="006540A4" w:rsidRPr="004C70EC" w:rsidRDefault="006540A4" w:rsidP="006540A4">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13" w:type="dxa"/>
            <w:tcBorders>
              <w:top w:val="nil"/>
              <w:left w:val="nil"/>
              <w:bottom w:val="single" w:sz="8" w:space="0" w:color="auto"/>
              <w:right w:val="single" w:sz="8" w:space="0" w:color="auto"/>
            </w:tcBorders>
            <w:shd w:val="clear" w:color="000000" w:fill="FFFFFF"/>
            <w:vAlign w:val="center"/>
            <w:hideMark/>
          </w:tcPr>
          <w:p w14:paraId="5BDA44B9" w14:textId="77777777" w:rsidR="006540A4" w:rsidRPr="004C70EC" w:rsidRDefault="006540A4"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13" w:type="dxa"/>
            <w:tcBorders>
              <w:top w:val="nil"/>
              <w:left w:val="nil"/>
              <w:bottom w:val="single" w:sz="8" w:space="0" w:color="auto"/>
              <w:right w:val="single" w:sz="8" w:space="0" w:color="auto"/>
            </w:tcBorders>
            <w:shd w:val="clear" w:color="000000" w:fill="FFFFFF"/>
            <w:vAlign w:val="center"/>
            <w:hideMark/>
          </w:tcPr>
          <w:p w14:paraId="5F8B5EF2" w14:textId="77777777" w:rsidR="006540A4" w:rsidRPr="004C70EC" w:rsidRDefault="006540A4"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13" w:type="dxa"/>
            <w:tcBorders>
              <w:top w:val="nil"/>
              <w:left w:val="nil"/>
              <w:bottom w:val="single" w:sz="8" w:space="0" w:color="auto"/>
              <w:right w:val="single" w:sz="8" w:space="0" w:color="auto"/>
            </w:tcBorders>
            <w:shd w:val="clear" w:color="000000" w:fill="FFFFFF"/>
            <w:vAlign w:val="center"/>
            <w:hideMark/>
          </w:tcPr>
          <w:p w14:paraId="00C65FC8" w14:textId="77777777" w:rsidR="006540A4" w:rsidRPr="004C70EC" w:rsidRDefault="006540A4"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26" w:type="dxa"/>
            <w:tcBorders>
              <w:top w:val="nil"/>
              <w:left w:val="nil"/>
              <w:bottom w:val="single" w:sz="8" w:space="0" w:color="auto"/>
              <w:right w:val="single" w:sz="8" w:space="0" w:color="auto"/>
            </w:tcBorders>
            <w:shd w:val="clear" w:color="000000" w:fill="FFFFFF"/>
            <w:vAlign w:val="center"/>
            <w:hideMark/>
          </w:tcPr>
          <w:p w14:paraId="5555246B" w14:textId="77777777" w:rsidR="006540A4" w:rsidRPr="004C70EC" w:rsidRDefault="006540A4"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706" w:type="dxa"/>
            <w:tcBorders>
              <w:top w:val="nil"/>
              <w:left w:val="nil"/>
              <w:bottom w:val="single" w:sz="8" w:space="0" w:color="auto"/>
              <w:right w:val="single" w:sz="8" w:space="0" w:color="auto"/>
            </w:tcBorders>
            <w:shd w:val="clear" w:color="000000" w:fill="FFFFFF"/>
            <w:vAlign w:val="center"/>
            <w:hideMark/>
          </w:tcPr>
          <w:p w14:paraId="3E62EF85" w14:textId="77777777" w:rsidR="006540A4" w:rsidRPr="004C70EC" w:rsidRDefault="006540A4" w:rsidP="006540A4">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r>
      <w:tr w:rsidR="004A1163" w:rsidRPr="004C70EC" w14:paraId="6318F083" w14:textId="77777777" w:rsidTr="006B1C60">
        <w:trPr>
          <w:trHeight w:val="312"/>
        </w:trPr>
        <w:tc>
          <w:tcPr>
            <w:tcW w:w="3362"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28C6B67C" w14:textId="77777777" w:rsidR="006540A4" w:rsidRPr="004C70EC" w:rsidRDefault="006540A4" w:rsidP="006540A4">
            <w:pPr>
              <w:spacing w:before="0" w:after="0"/>
              <w:jc w:val="lef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Contract agents and SNE subtotal</w:t>
            </w:r>
          </w:p>
        </w:tc>
        <w:tc>
          <w:tcPr>
            <w:tcW w:w="855" w:type="dxa"/>
            <w:tcBorders>
              <w:top w:val="nil"/>
              <w:left w:val="nil"/>
              <w:bottom w:val="single" w:sz="8" w:space="0" w:color="auto"/>
              <w:right w:val="single" w:sz="8" w:space="0" w:color="auto"/>
            </w:tcBorders>
            <w:shd w:val="clear" w:color="000000" w:fill="D9D9D9"/>
            <w:vAlign w:val="center"/>
            <w:hideMark/>
          </w:tcPr>
          <w:p w14:paraId="6A53731C" w14:textId="77777777" w:rsidR="006540A4" w:rsidRPr="004C70EC" w:rsidRDefault="006540A4" w:rsidP="006540A4">
            <w:pPr>
              <w:spacing w:before="0" w:after="0"/>
              <w:jc w:val="righ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8</w:t>
            </w:r>
          </w:p>
        </w:tc>
        <w:tc>
          <w:tcPr>
            <w:tcW w:w="855" w:type="dxa"/>
            <w:tcBorders>
              <w:top w:val="nil"/>
              <w:left w:val="nil"/>
              <w:bottom w:val="single" w:sz="8" w:space="0" w:color="auto"/>
              <w:right w:val="single" w:sz="8" w:space="0" w:color="auto"/>
            </w:tcBorders>
            <w:shd w:val="clear" w:color="000000" w:fill="D9D9D9"/>
            <w:vAlign w:val="center"/>
            <w:hideMark/>
          </w:tcPr>
          <w:p w14:paraId="1E73DEA1" w14:textId="77777777" w:rsidR="006540A4" w:rsidRPr="004C70EC" w:rsidRDefault="006540A4" w:rsidP="006540A4">
            <w:pPr>
              <w:spacing w:before="0" w:after="0"/>
              <w:jc w:val="righ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8</w:t>
            </w:r>
          </w:p>
        </w:tc>
        <w:tc>
          <w:tcPr>
            <w:tcW w:w="813" w:type="dxa"/>
            <w:tcBorders>
              <w:top w:val="nil"/>
              <w:left w:val="nil"/>
              <w:bottom w:val="single" w:sz="8" w:space="0" w:color="auto"/>
              <w:right w:val="single" w:sz="8" w:space="0" w:color="auto"/>
            </w:tcBorders>
            <w:shd w:val="clear" w:color="000000" w:fill="D9D9D9"/>
            <w:vAlign w:val="center"/>
            <w:hideMark/>
          </w:tcPr>
          <w:p w14:paraId="5E3077B7" w14:textId="77777777" w:rsidR="006540A4" w:rsidRPr="004C70EC" w:rsidRDefault="006540A4" w:rsidP="006540A4">
            <w:pPr>
              <w:spacing w:before="0" w:after="0"/>
              <w:jc w:val="righ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8</w:t>
            </w:r>
          </w:p>
        </w:tc>
        <w:tc>
          <w:tcPr>
            <w:tcW w:w="813" w:type="dxa"/>
            <w:tcBorders>
              <w:top w:val="nil"/>
              <w:left w:val="nil"/>
              <w:bottom w:val="single" w:sz="8" w:space="0" w:color="auto"/>
              <w:right w:val="single" w:sz="8" w:space="0" w:color="auto"/>
            </w:tcBorders>
            <w:shd w:val="clear" w:color="000000" w:fill="D9D9D9"/>
            <w:vAlign w:val="center"/>
            <w:hideMark/>
          </w:tcPr>
          <w:p w14:paraId="046D8E49" w14:textId="77777777" w:rsidR="006540A4" w:rsidRPr="004C70EC" w:rsidRDefault="006540A4" w:rsidP="006540A4">
            <w:pPr>
              <w:spacing w:before="0" w:after="0"/>
              <w:jc w:val="righ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8</w:t>
            </w:r>
          </w:p>
        </w:tc>
        <w:tc>
          <w:tcPr>
            <w:tcW w:w="813" w:type="dxa"/>
            <w:tcBorders>
              <w:top w:val="nil"/>
              <w:left w:val="nil"/>
              <w:bottom w:val="single" w:sz="8" w:space="0" w:color="auto"/>
              <w:right w:val="single" w:sz="8" w:space="0" w:color="auto"/>
            </w:tcBorders>
            <w:shd w:val="clear" w:color="000000" w:fill="D9D9D9"/>
            <w:vAlign w:val="center"/>
            <w:hideMark/>
          </w:tcPr>
          <w:p w14:paraId="79F84216" w14:textId="77777777" w:rsidR="006540A4" w:rsidRPr="004C70EC" w:rsidRDefault="006540A4" w:rsidP="006540A4">
            <w:pPr>
              <w:spacing w:before="0" w:after="0"/>
              <w:jc w:val="righ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8</w:t>
            </w:r>
          </w:p>
        </w:tc>
        <w:tc>
          <w:tcPr>
            <w:tcW w:w="813" w:type="dxa"/>
            <w:tcBorders>
              <w:top w:val="nil"/>
              <w:left w:val="nil"/>
              <w:bottom w:val="single" w:sz="8" w:space="0" w:color="auto"/>
              <w:right w:val="single" w:sz="8" w:space="0" w:color="auto"/>
            </w:tcBorders>
            <w:shd w:val="clear" w:color="000000" w:fill="D9D9D9"/>
            <w:vAlign w:val="center"/>
            <w:hideMark/>
          </w:tcPr>
          <w:p w14:paraId="440C2F57" w14:textId="77777777" w:rsidR="006540A4" w:rsidRPr="004C70EC" w:rsidRDefault="006540A4" w:rsidP="006540A4">
            <w:pPr>
              <w:spacing w:before="0" w:after="0"/>
              <w:jc w:val="righ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8</w:t>
            </w:r>
          </w:p>
        </w:tc>
        <w:tc>
          <w:tcPr>
            <w:tcW w:w="826" w:type="dxa"/>
            <w:tcBorders>
              <w:top w:val="nil"/>
              <w:left w:val="nil"/>
              <w:bottom w:val="single" w:sz="8" w:space="0" w:color="auto"/>
              <w:right w:val="single" w:sz="8" w:space="0" w:color="auto"/>
            </w:tcBorders>
            <w:shd w:val="clear" w:color="000000" w:fill="D9D9D9"/>
            <w:vAlign w:val="center"/>
            <w:hideMark/>
          </w:tcPr>
          <w:p w14:paraId="2281056F" w14:textId="77777777" w:rsidR="006540A4" w:rsidRPr="004C70EC" w:rsidRDefault="006540A4" w:rsidP="006540A4">
            <w:pPr>
              <w:spacing w:before="0" w:after="0"/>
              <w:jc w:val="righ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8</w:t>
            </w:r>
          </w:p>
        </w:tc>
        <w:tc>
          <w:tcPr>
            <w:tcW w:w="706" w:type="dxa"/>
            <w:tcBorders>
              <w:top w:val="nil"/>
              <w:left w:val="nil"/>
              <w:bottom w:val="single" w:sz="8" w:space="0" w:color="auto"/>
              <w:right w:val="single" w:sz="8" w:space="0" w:color="auto"/>
            </w:tcBorders>
            <w:shd w:val="clear" w:color="000000" w:fill="D9D9D9"/>
            <w:vAlign w:val="center"/>
            <w:hideMark/>
          </w:tcPr>
          <w:p w14:paraId="4ABA2B38" w14:textId="77777777" w:rsidR="006540A4" w:rsidRPr="004C70EC" w:rsidRDefault="006E6E1F" w:rsidP="006540A4">
            <w:pPr>
              <w:spacing w:before="0" w:after="0"/>
              <w:jc w:val="right"/>
              <w:rPr>
                <w:rFonts w:eastAsia="Times New Roman"/>
                <w:i/>
                <w:iCs/>
                <w:noProof/>
                <w:color w:val="000000" w:themeColor="text1"/>
                <w:szCs w:val="24"/>
                <w:lang w:val="en-IE" w:eastAsia="en-IE"/>
              </w:rPr>
            </w:pPr>
            <w:r w:rsidRPr="004C70EC">
              <w:rPr>
                <w:rFonts w:eastAsia="Times New Roman"/>
                <w:i/>
                <w:iCs/>
                <w:noProof/>
                <w:color w:val="000000" w:themeColor="text1"/>
                <w:szCs w:val="24"/>
                <w:lang w:val="en-IE" w:eastAsia="en-IE"/>
              </w:rPr>
              <w:t>8</w:t>
            </w:r>
          </w:p>
        </w:tc>
      </w:tr>
      <w:tr w:rsidR="004A1163" w:rsidRPr="004C70EC" w14:paraId="67010759" w14:textId="77777777" w:rsidTr="006B1C60">
        <w:trPr>
          <w:trHeight w:val="312"/>
        </w:trPr>
        <w:tc>
          <w:tcPr>
            <w:tcW w:w="3362"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4ECFC461" w14:textId="77777777" w:rsidR="006540A4" w:rsidRPr="004C70EC" w:rsidRDefault="006540A4" w:rsidP="006540A4">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TOTAL staff</w:t>
            </w:r>
          </w:p>
        </w:tc>
        <w:tc>
          <w:tcPr>
            <w:tcW w:w="855" w:type="dxa"/>
            <w:tcBorders>
              <w:top w:val="nil"/>
              <w:left w:val="nil"/>
              <w:bottom w:val="single" w:sz="8" w:space="0" w:color="auto"/>
              <w:right w:val="single" w:sz="8" w:space="0" w:color="auto"/>
            </w:tcBorders>
            <w:shd w:val="clear" w:color="000000" w:fill="D9D9D9"/>
            <w:vAlign w:val="center"/>
            <w:hideMark/>
          </w:tcPr>
          <w:p w14:paraId="13ADA192" w14:textId="77777777" w:rsidR="006540A4" w:rsidRPr="004C70EC" w:rsidRDefault="006540A4" w:rsidP="006540A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14</w:t>
            </w:r>
          </w:p>
        </w:tc>
        <w:tc>
          <w:tcPr>
            <w:tcW w:w="855" w:type="dxa"/>
            <w:tcBorders>
              <w:top w:val="nil"/>
              <w:left w:val="nil"/>
              <w:bottom w:val="single" w:sz="8" w:space="0" w:color="auto"/>
              <w:right w:val="single" w:sz="8" w:space="0" w:color="auto"/>
            </w:tcBorders>
            <w:shd w:val="clear" w:color="000000" w:fill="D9D9D9"/>
            <w:vAlign w:val="center"/>
            <w:hideMark/>
          </w:tcPr>
          <w:p w14:paraId="071C19D6" w14:textId="77777777" w:rsidR="006540A4" w:rsidRPr="004C70EC" w:rsidRDefault="006540A4" w:rsidP="006540A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14</w:t>
            </w:r>
          </w:p>
        </w:tc>
        <w:tc>
          <w:tcPr>
            <w:tcW w:w="813" w:type="dxa"/>
            <w:tcBorders>
              <w:top w:val="nil"/>
              <w:left w:val="nil"/>
              <w:bottom w:val="single" w:sz="8" w:space="0" w:color="auto"/>
              <w:right w:val="single" w:sz="8" w:space="0" w:color="auto"/>
            </w:tcBorders>
            <w:shd w:val="clear" w:color="000000" w:fill="D9D9D9"/>
            <w:vAlign w:val="center"/>
            <w:hideMark/>
          </w:tcPr>
          <w:p w14:paraId="5C17D845" w14:textId="77777777" w:rsidR="006540A4" w:rsidRPr="004C70EC" w:rsidRDefault="006540A4" w:rsidP="006540A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14</w:t>
            </w:r>
          </w:p>
        </w:tc>
        <w:tc>
          <w:tcPr>
            <w:tcW w:w="813" w:type="dxa"/>
            <w:tcBorders>
              <w:top w:val="nil"/>
              <w:left w:val="nil"/>
              <w:bottom w:val="single" w:sz="8" w:space="0" w:color="auto"/>
              <w:right w:val="single" w:sz="8" w:space="0" w:color="auto"/>
            </w:tcBorders>
            <w:shd w:val="clear" w:color="000000" w:fill="D9D9D9"/>
            <w:vAlign w:val="center"/>
            <w:hideMark/>
          </w:tcPr>
          <w:p w14:paraId="19D0AB61" w14:textId="77777777" w:rsidR="006540A4" w:rsidRPr="004C70EC" w:rsidRDefault="006540A4" w:rsidP="006540A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14</w:t>
            </w:r>
          </w:p>
        </w:tc>
        <w:tc>
          <w:tcPr>
            <w:tcW w:w="813" w:type="dxa"/>
            <w:tcBorders>
              <w:top w:val="nil"/>
              <w:left w:val="nil"/>
              <w:bottom w:val="single" w:sz="8" w:space="0" w:color="auto"/>
              <w:right w:val="single" w:sz="8" w:space="0" w:color="auto"/>
            </w:tcBorders>
            <w:shd w:val="clear" w:color="000000" w:fill="D9D9D9"/>
            <w:vAlign w:val="center"/>
            <w:hideMark/>
          </w:tcPr>
          <w:p w14:paraId="754B79AF" w14:textId="77777777" w:rsidR="006540A4" w:rsidRPr="004C70EC" w:rsidRDefault="006540A4" w:rsidP="006540A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14</w:t>
            </w:r>
          </w:p>
        </w:tc>
        <w:tc>
          <w:tcPr>
            <w:tcW w:w="813" w:type="dxa"/>
            <w:tcBorders>
              <w:top w:val="nil"/>
              <w:left w:val="nil"/>
              <w:bottom w:val="single" w:sz="8" w:space="0" w:color="auto"/>
              <w:right w:val="single" w:sz="8" w:space="0" w:color="auto"/>
            </w:tcBorders>
            <w:shd w:val="clear" w:color="000000" w:fill="D9D9D9"/>
            <w:vAlign w:val="center"/>
            <w:hideMark/>
          </w:tcPr>
          <w:p w14:paraId="6B88196B" w14:textId="77777777" w:rsidR="006540A4" w:rsidRPr="004C70EC" w:rsidRDefault="006540A4" w:rsidP="006540A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14</w:t>
            </w:r>
          </w:p>
        </w:tc>
        <w:tc>
          <w:tcPr>
            <w:tcW w:w="826" w:type="dxa"/>
            <w:tcBorders>
              <w:top w:val="nil"/>
              <w:left w:val="nil"/>
              <w:bottom w:val="single" w:sz="8" w:space="0" w:color="auto"/>
              <w:right w:val="single" w:sz="8" w:space="0" w:color="auto"/>
            </w:tcBorders>
            <w:shd w:val="clear" w:color="000000" w:fill="D9D9D9"/>
            <w:vAlign w:val="center"/>
            <w:hideMark/>
          </w:tcPr>
          <w:p w14:paraId="5F441EF9" w14:textId="77777777" w:rsidR="006540A4" w:rsidRPr="004C70EC" w:rsidRDefault="006540A4" w:rsidP="006540A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14</w:t>
            </w:r>
          </w:p>
        </w:tc>
        <w:tc>
          <w:tcPr>
            <w:tcW w:w="706" w:type="dxa"/>
            <w:tcBorders>
              <w:top w:val="nil"/>
              <w:left w:val="nil"/>
              <w:bottom w:val="single" w:sz="8" w:space="0" w:color="auto"/>
              <w:right w:val="single" w:sz="8" w:space="0" w:color="auto"/>
            </w:tcBorders>
            <w:shd w:val="clear" w:color="000000" w:fill="D9D9D9"/>
            <w:vAlign w:val="center"/>
            <w:hideMark/>
          </w:tcPr>
          <w:p w14:paraId="53650F19" w14:textId="77777777" w:rsidR="006540A4" w:rsidRPr="004C70EC" w:rsidRDefault="006E6E1F" w:rsidP="006540A4">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14</w:t>
            </w:r>
          </w:p>
        </w:tc>
      </w:tr>
    </w:tbl>
    <w:p w14:paraId="2D83D64C" w14:textId="77777777" w:rsidR="006540A4" w:rsidRPr="004C70EC" w:rsidRDefault="006540A4">
      <w:pPr>
        <w:ind w:left="-142"/>
        <w:jc w:val="left"/>
        <w:rPr>
          <w:noProof/>
          <w:color w:val="000000" w:themeColor="text1"/>
          <w:szCs w:val="24"/>
          <w:u w:val="single"/>
        </w:rPr>
      </w:pPr>
    </w:p>
    <w:p w14:paraId="35C0E9D7" w14:textId="77777777" w:rsidR="006540A4" w:rsidRPr="004C70EC" w:rsidRDefault="006540A4">
      <w:pPr>
        <w:ind w:left="-142"/>
        <w:jc w:val="left"/>
        <w:rPr>
          <w:noProof/>
          <w:color w:val="000000" w:themeColor="text1"/>
          <w:szCs w:val="24"/>
          <w:u w:val="single"/>
        </w:rPr>
      </w:pPr>
    </w:p>
    <w:p w14:paraId="44D7BAD7" w14:textId="77777777" w:rsidR="007966CD" w:rsidRPr="004C70EC" w:rsidRDefault="007966CD">
      <w:pPr>
        <w:spacing w:before="0" w:after="200" w:line="276" w:lineRule="auto"/>
        <w:jc w:val="left"/>
        <w:rPr>
          <w:noProof/>
          <w:color w:val="000000" w:themeColor="text1"/>
          <w:szCs w:val="24"/>
          <w:u w:val="single"/>
          <w:lang w:val="en-IE"/>
        </w:rPr>
      </w:pPr>
    </w:p>
    <w:p w14:paraId="2327ACDD" w14:textId="77777777" w:rsidR="007966CD" w:rsidRPr="004C70EC" w:rsidRDefault="007966CD">
      <w:pPr>
        <w:spacing w:before="0" w:after="200" w:line="276" w:lineRule="auto"/>
        <w:jc w:val="left"/>
        <w:rPr>
          <w:b/>
          <w:noProof/>
          <w:color w:val="000000" w:themeColor="text1"/>
          <w:szCs w:val="24"/>
          <w:u w:val="single"/>
          <w:lang w:val="en-IE"/>
        </w:rPr>
      </w:pPr>
      <w:r w:rsidRPr="004C70EC">
        <w:rPr>
          <w:b/>
          <w:bCs/>
          <w:noProof/>
          <w:color w:val="000000" w:themeColor="text1"/>
          <w:szCs w:val="24"/>
          <w:u w:val="single"/>
          <w:lang w:val="en-IE"/>
        </w:rPr>
        <w:t xml:space="preserve">Overview/summary of human resources and appropriations (in EUR million) required by the proposal/initiative in a decentralised agency </w:t>
      </w:r>
    </w:p>
    <w:tbl>
      <w:tblPr>
        <w:tblW w:w="9171" w:type="dxa"/>
        <w:tblInd w:w="118" w:type="dxa"/>
        <w:tblLook w:val="04A0" w:firstRow="1" w:lastRow="0" w:firstColumn="1" w:lastColumn="0" w:noHBand="0" w:noVBand="1"/>
      </w:tblPr>
      <w:tblGrid>
        <w:gridCol w:w="1743"/>
        <w:gridCol w:w="694"/>
        <w:gridCol w:w="694"/>
        <w:gridCol w:w="694"/>
        <w:gridCol w:w="694"/>
        <w:gridCol w:w="694"/>
        <w:gridCol w:w="694"/>
        <w:gridCol w:w="694"/>
        <w:gridCol w:w="1053"/>
        <w:gridCol w:w="1517"/>
      </w:tblGrid>
      <w:tr w:rsidR="00154BFD" w:rsidRPr="004C70EC" w14:paraId="283D5DF0" w14:textId="77777777" w:rsidTr="00BC217C">
        <w:trPr>
          <w:trHeight w:val="257"/>
        </w:trPr>
        <w:tc>
          <w:tcPr>
            <w:tcW w:w="1196" w:type="dxa"/>
            <w:vMerge w:val="restart"/>
            <w:tcBorders>
              <w:top w:val="single" w:sz="8" w:space="0" w:color="auto"/>
              <w:left w:val="single" w:sz="8" w:space="0" w:color="auto"/>
              <w:bottom w:val="single" w:sz="8" w:space="0" w:color="000000"/>
              <w:right w:val="single" w:sz="8" w:space="0" w:color="auto"/>
            </w:tcBorders>
            <w:vAlign w:val="center"/>
            <w:hideMark/>
          </w:tcPr>
          <w:p w14:paraId="441F5D32" w14:textId="77777777" w:rsidR="00A069F0" w:rsidRPr="004C70EC" w:rsidRDefault="00A069F0" w:rsidP="00A069F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[Agency]: &lt;EFSA&gt;</w:t>
            </w:r>
          </w:p>
        </w:tc>
        <w:tc>
          <w:tcPr>
            <w:tcW w:w="848" w:type="dxa"/>
            <w:tcBorders>
              <w:top w:val="single" w:sz="8" w:space="0" w:color="auto"/>
              <w:left w:val="nil"/>
              <w:bottom w:val="nil"/>
              <w:right w:val="single" w:sz="8" w:space="0" w:color="auto"/>
            </w:tcBorders>
            <w:shd w:val="clear" w:color="000000" w:fill="FFFFFF"/>
            <w:vAlign w:val="bottom"/>
            <w:hideMark/>
          </w:tcPr>
          <w:p w14:paraId="024728E0" w14:textId="77777777" w:rsidR="00A069F0" w:rsidRPr="004C70EC" w:rsidRDefault="00A069F0" w:rsidP="00A069F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848" w:type="dxa"/>
            <w:tcBorders>
              <w:top w:val="single" w:sz="8" w:space="0" w:color="auto"/>
              <w:left w:val="nil"/>
              <w:bottom w:val="nil"/>
              <w:right w:val="single" w:sz="8" w:space="0" w:color="auto"/>
            </w:tcBorders>
            <w:shd w:val="clear" w:color="000000" w:fill="FFFFFF"/>
            <w:vAlign w:val="bottom"/>
            <w:hideMark/>
          </w:tcPr>
          <w:p w14:paraId="7EF7C774" w14:textId="77777777" w:rsidR="00A069F0" w:rsidRPr="004C70EC" w:rsidRDefault="00A069F0" w:rsidP="00A069F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848" w:type="dxa"/>
            <w:tcBorders>
              <w:top w:val="single" w:sz="8" w:space="0" w:color="auto"/>
              <w:left w:val="nil"/>
              <w:bottom w:val="nil"/>
              <w:right w:val="single" w:sz="8" w:space="0" w:color="auto"/>
            </w:tcBorders>
            <w:shd w:val="clear" w:color="000000" w:fill="FFFFFF"/>
            <w:vAlign w:val="bottom"/>
            <w:hideMark/>
          </w:tcPr>
          <w:p w14:paraId="02ABA22F" w14:textId="77777777" w:rsidR="00A069F0" w:rsidRPr="004C70EC" w:rsidRDefault="00A069F0" w:rsidP="00A069F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848" w:type="dxa"/>
            <w:tcBorders>
              <w:top w:val="single" w:sz="8" w:space="0" w:color="auto"/>
              <w:left w:val="nil"/>
              <w:bottom w:val="nil"/>
              <w:right w:val="single" w:sz="8" w:space="0" w:color="auto"/>
            </w:tcBorders>
            <w:shd w:val="clear" w:color="000000" w:fill="FFFFFF"/>
            <w:vAlign w:val="bottom"/>
            <w:hideMark/>
          </w:tcPr>
          <w:p w14:paraId="0D79A4FE" w14:textId="77777777" w:rsidR="00A069F0" w:rsidRPr="004C70EC" w:rsidRDefault="00A069F0" w:rsidP="00A069F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848" w:type="dxa"/>
            <w:tcBorders>
              <w:top w:val="single" w:sz="8" w:space="0" w:color="auto"/>
              <w:left w:val="nil"/>
              <w:bottom w:val="nil"/>
              <w:right w:val="single" w:sz="8" w:space="0" w:color="auto"/>
            </w:tcBorders>
            <w:shd w:val="clear" w:color="000000" w:fill="FFFFFF"/>
            <w:vAlign w:val="bottom"/>
            <w:hideMark/>
          </w:tcPr>
          <w:p w14:paraId="0EBB556F" w14:textId="77777777" w:rsidR="00A069F0" w:rsidRPr="004C70EC" w:rsidRDefault="00A069F0" w:rsidP="00A069F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848" w:type="dxa"/>
            <w:tcBorders>
              <w:top w:val="single" w:sz="8" w:space="0" w:color="auto"/>
              <w:left w:val="nil"/>
              <w:bottom w:val="nil"/>
              <w:right w:val="single" w:sz="8" w:space="0" w:color="auto"/>
            </w:tcBorders>
            <w:shd w:val="clear" w:color="000000" w:fill="FFFFFF"/>
            <w:vAlign w:val="bottom"/>
            <w:hideMark/>
          </w:tcPr>
          <w:p w14:paraId="43C92D6F" w14:textId="77777777" w:rsidR="00A069F0" w:rsidRPr="004C70EC" w:rsidRDefault="00A069F0" w:rsidP="00A069F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848" w:type="dxa"/>
            <w:tcBorders>
              <w:top w:val="single" w:sz="8" w:space="0" w:color="auto"/>
              <w:left w:val="nil"/>
              <w:bottom w:val="nil"/>
              <w:right w:val="single" w:sz="8" w:space="0" w:color="auto"/>
            </w:tcBorders>
            <w:shd w:val="clear" w:color="000000" w:fill="FFFFFF"/>
            <w:vAlign w:val="bottom"/>
            <w:hideMark/>
          </w:tcPr>
          <w:p w14:paraId="17E0D850" w14:textId="77777777" w:rsidR="00A069F0" w:rsidRPr="004C70EC" w:rsidRDefault="00A069F0" w:rsidP="00A069F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Year</w:t>
            </w:r>
          </w:p>
        </w:tc>
        <w:tc>
          <w:tcPr>
            <w:tcW w:w="989" w:type="dxa"/>
            <w:vMerge w:val="restart"/>
            <w:tcBorders>
              <w:top w:val="single" w:sz="8" w:space="0" w:color="auto"/>
              <w:left w:val="single" w:sz="8" w:space="0" w:color="auto"/>
              <w:bottom w:val="single" w:sz="8" w:space="0" w:color="000000"/>
              <w:right w:val="single" w:sz="8" w:space="0" w:color="auto"/>
            </w:tcBorders>
            <w:vAlign w:val="center"/>
            <w:hideMark/>
          </w:tcPr>
          <w:p w14:paraId="27D73880" w14:textId="77777777" w:rsidR="00A069F0" w:rsidRPr="004C70EC" w:rsidRDefault="00A069F0" w:rsidP="00A069F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TOTAL</w:t>
            </w:r>
            <w:r w:rsidRPr="004C70EC">
              <w:rPr>
                <w:rFonts w:eastAsia="Times New Roman"/>
                <w:b/>
                <w:bCs/>
                <w:noProof/>
                <w:color w:val="000000" w:themeColor="text1"/>
                <w:szCs w:val="24"/>
                <w:lang w:val="en-IE" w:eastAsia="en-IE"/>
              </w:rPr>
              <w:br/>
              <w:t>2028 - 2034</w:t>
            </w:r>
          </w:p>
        </w:tc>
        <w:tc>
          <w:tcPr>
            <w:tcW w:w="1050" w:type="dxa"/>
            <w:tcBorders>
              <w:top w:val="single" w:sz="8" w:space="0" w:color="auto"/>
              <w:left w:val="nil"/>
              <w:bottom w:val="nil"/>
              <w:right w:val="single" w:sz="8" w:space="0" w:color="auto"/>
            </w:tcBorders>
            <w:shd w:val="clear" w:color="000000" w:fill="FFFFFF"/>
            <w:vAlign w:val="bottom"/>
            <w:hideMark/>
          </w:tcPr>
          <w:p w14:paraId="069F4C43" w14:textId="77777777" w:rsidR="00A069F0" w:rsidRPr="004C70EC" w:rsidRDefault="00A069F0" w:rsidP="00A069F0">
            <w:pPr>
              <w:spacing w:before="0" w:after="0"/>
              <w:jc w:val="center"/>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POST</w:t>
            </w:r>
          </w:p>
        </w:tc>
      </w:tr>
      <w:tr w:rsidR="00154BFD" w:rsidRPr="004C70EC" w14:paraId="4F34E96D" w14:textId="77777777" w:rsidTr="00BC217C">
        <w:trPr>
          <w:trHeight w:val="270"/>
        </w:trPr>
        <w:tc>
          <w:tcPr>
            <w:tcW w:w="1196" w:type="dxa"/>
            <w:vMerge/>
            <w:tcBorders>
              <w:top w:val="single" w:sz="8" w:space="0" w:color="auto"/>
              <w:left w:val="single" w:sz="8" w:space="0" w:color="auto"/>
              <w:bottom w:val="single" w:sz="8" w:space="0" w:color="000000"/>
              <w:right w:val="single" w:sz="8" w:space="0" w:color="auto"/>
            </w:tcBorders>
            <w:vAlign w:val="center"/>
            <w:hideMark/>
          </w:tcPr>
          <w:p w14:paraId="5549917C" w14:textId="77777777" w:rsidR="00A069F0" w:rsidRPr="004C70EC" w:rsidRDefault="00A069F0" w:rsidP="00A069F0">
            <w:pPr>
              <w:spacing w:before="0" w:after="0"/>
              <w:jc w:val="left"/>
              <w:rPr>
                <w:rFonts w:eastAsia="Times New Roman"/>
                <w:b/>
                <w:bCs/>
                <w:noProof/>
                <w:color w:val="000000" w:themeColor="text1"/>
                <w:szCs w:val="24"/>
                <w:lang w:val="en-IE" w:eastAsia="en-IE"/>
              </w:rPr>
            </w:pPr>
          </w:p>
        </w:tc>
        <w:tc>
          <w:tcPr>
            <w:tcW w:w="848" w:type="dxa"/>
            <w:tcBorders>
              <w:top w:val="nil"/>
              <w:left w:val="nil"/>
              <w:bottom w:val="single" w:sz="8" w:space="0" w:color="auto"/>
              <w:right w:val="single" w:sz="8" w:space="0" w:color="auto"/>
            </w:tcBorders>
            <w:vAlign w:val="center"/>
            <w:hideMark/>
          </w:tcPr>
          <w:p w14:paraId="025F1EF6" w14:textId="77777777" w:rsidR="00A069F0" w:rsidRPr="004C70EC" w:rsidRDefault="00A069F0" w:rsidP="00A069F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2028</w:t>
            </w:r>
          </w:p>
        </w:tc>
        <w:tc>
          <w:tcPr>
            <w:tcW w:w="848" w:type="dxa"/>
            <w:tcBorders>
              <w:top w:val="nil"/>
              <w:left w:val="nil"/>
              <w:bottom w:val="single" w:sz="8" w:space="0" w:color="auto"/>
              <w:right w:val="single" w:sz="8" w:space="0" w:color="auto"/>
            </w:tcBorders>
            <w:vAlign w:val="center"/>
            <w:hideMark/>
          </w:tcPr>
          <w:p w14:paraId="16337FD6" w14:textId="77777777" w:rsidR="00A069F0" w:rsidRPr="004C70EC" w:rsidRDefault="00A069F0" w:rsidP="00A069F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2029</w:t>
            </w:r>
          </w:p>
        </w:tc>
        <w:tc>
          <w:tcPr>
            <w:tcW w:w="848" w:type="dxa"/>
            <w:tcBorders>
              <w:top w:val="nil"/>
              <w:left w:val="nil"/>
              <w:bottom w:val="single" w:sz="8" w:space="0" w:color="auto"/>
              <w:right w:val="single" w:sz="8" w:space="0" w:color="auto"/>
            </w:tcBorders>
            <w:vAlign w:val="center"/>
            <w:hideMark/>
          </w:tcPr>
          <w:p w14:paraId="50BBFEA0" w14:textId="77777777" w:rsidR="00A069F0" w:rsidRPr="004C70EC" w:rsidRDefault="00A069F0" w:rsidP="00A069F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2030</w:t>
            </w:r>
          </w:p>
        </w:tc>
        <w:tc>
          <w:tcPr>
            <w:tcW w:w="848" w:type="dxa"/>
            <w:tcBorders>
              <w:top w:val="nil"/>
              <w:left w:val="nil"/>
              <w:bottom w:val="single" w:sz="8" w:space="0" w:color="auto"/>
              <w:right w:val="single" w:sz="8" w:space="0" w:color="auto"/>
            </w:tcBorders>
            <w:vAlign w:val="center"/>
            <w:hideMark/>
          </w:tcPr>
          <w:p w14:paraId="57240E59" w14:textId="77777777" w:rsidR="00A069F0" w:rsidRPr="004C70EC" w:rsidRDefault="00A069F0" w:rsidP="00A069F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2031</w:t>
            </w:r>
          </w:p>
        </w:tc>
        <w:tc>
          <w:tcPr>
            <w:tcW w:w="848" w:type="dxa"/>
            <w:tcBorders>
              <w:top w:val="nil"/>
              <w:left w:val="nil"/>
              <w:bottom w:val="single" w:sz="8" w:space="0" w:color="auto"/>
              <w:right w:val="single" w:sz="8" w:space="0" w:color="auto"/>
            </w:tcBorders>
            <w:shd w:val="clear" w:color="000000" w:fill="FFFFFF"/>
            <w:hideMark/>
          </w:tcPr>
          <w:p w14:paraId="1D475E73" w14:textId="77777777" w:rsidR="00A069F0" w:rsidRPr="004C70EC" w:rsidRDefault="00A069F0" w:rsidP="00A069F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2032</w:t>
            </w:r>
          </w:p>
        </w:tc>
        <w:tc>
          <w:tcPr>
            <w:tcW w:w="848" w:type="dxa"/>
            <w:tcBorders>
              <w:top w:val="nil"/>
              <w:left w:val="nil"/>
              <w:bottom w:val="single" w:sz="8" w:space="0" w:color="auto"/>
              <w:right w:val="single" w:sz="8" w:space="0" w:color="auto"/>
            </w:tcBorders>
            <w:shd w:val="clear" w:color="000000" w:fill="FFFFFF"/>
            <w:hideMark/>
          </w:tcPr>
          <w:p w14:paraId="55FF2DC1" w14:textId="77777777" w:rsidR="00A069F0" w:rsidRPr="004C70EC" w:rsidRDefault="00A069F0" w:rsidP="00A069F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2033</w:t>
            </w:r>
          </w:p>
        </w:tc>
        <w:tc>
          <w:tcPr>
            <w:tcW w:w="848" w:type="dxa"/>
            <w:tcBorders>
              <w:top w:val="nil"/>
              <w:left w:val="nil"/>
              <w:bottom w:val="single" w:sz="8" w:space="0" w:color="auto"/>
              <w:right w:val="single" w:sz="8" w:space="0" w:color="auto"/>
            </w:tcBorders>
            <w:shd w:val="clear" w:color="000000" w:fill="FFFFFF"/>
            <w:hideMark/>
          </w:tcPr>
          <w:p w14:paraId="398B25FF" w14:textId="77777777" w:rsidR="00A069F0" w:rsidRPr="004C70EC" w:rsidRDefault="00A069F0" w:rsidP="00A069F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w:t>
            </w:r>
          </w:p>
        </w:tc>
        <w:tc>
          <w:tcPr>
            <w:tcW w:w="989" w:type="dxa"/>
            <w:vMerge/>
            <w:tcBorders>
              <w:top w:val="single" w:sz="8" w:space="0" w:color="auto"/>
              <w:left w:val="single" w:sz="8" w:space="0" w:color="auto"/>
              <w:bottom w:val="single" w:sz="8" w:space="0" w:color="000000"/>
              <w:right w:val="single" w:sz="8" w:space="0" w:color="auto"/>
            </w:tcBorders>
            <w:vAlign w:val="center"/>
            <w:hideMark/>
          </w:tcPr>
          <w:p w14:paraId="2A3D7C28" w14:textId="77777777" w:rsidR="00A069F0" w:rsidRPr="004C70EC" w:rsidRDefault="00A069F0" w:rsidP="00A069F0">
            <w:pPr>
              <w:spacing w:before="0" w:after="0"/>
              <w:jc w:val="left"/>
              <w:rPr>
                <w:rFonts w:eastAsia="Times New Roman"/>
                <w:b/>
                <w:bCs/>
                <w:noProof/>
                <w:color w:val="000000" w:themeColor="text1"/>
                <w:szCs w:val="24"/>
                <w:lang w:val="en-IE" w:eastAsia="en-IE"/>
              </w:rPr>
            </w:pPr>
          </w:p>
        </w:tc>
        <w:tc>
          <w:tcPr>
            <w:tcW w:w="1050" w:type="dxa"/>
            <w:tcBorders>
              <w:top w:val="nil"/>
              <w:left w:val="nil"/>
              <w:bottom w:val="single" w:sz="8" w:space="0" w:color="auto"/>
              <w:right w:val="single" w:sz="8" w:space="0" w:color="auto"/>
            </w:tcBorders>
            <w:shd w:val="clear" w:color="000000" w:fill="FFFFFF"/>
            <w:hideMark/>
          </w:tcPr>
          <w:p w14:paraId="13D0E02D" w14:textId="77777777" w:rsidR="00A069F0" w:rsidRPr="004C70EC" w:rsidRDefault="00A069F0" w:rsidP="00A069F0">
            <w:pPr>
              <w:spacing w:before="0" w:after="0"/>
              <w:jc w:val="center"/>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2034</w:t>
            </w:r>
            <w:r w:rsidR="005C356F" w:rsidRPr="004C70EC">
              <w:rPr>
                <w:rFonts w:eastAsia="Times New Roman"/>
                <w:b/>
                <w:bCs/>
                <w:noProof/>
                <w:color w:val="000000" w:themeColor="text1"/>
                <w:szCs w:val="24"/>
                <w:lang w:val="en-IE" w:eastAsia="en-IE"/>
              </w:rPr>
              <w:t>(annual expenditure)</w:t>
            </w:r>
          </w:p>
        </w:tc>
      </w:tr>
      <w:tr w:rsidR="00AE75C7" w:rsidRPr="004C70EC" w14:paraId="4F36BEFD" w14:textId="77777777" w:rsidTr="002D7694">
        <w:trPr>
          <w:trHeight w:val="477"/>
        </w:trPr>
        <w:tc>
          <w:tcPr>
            <w:tcW w:w="1196" w:type="dxa"/>
            <w:tcBorders>
              <w:top w:val="nil"/>
              <w:left w:val="single" w:sz="8" w:space="0" w:color="auto"/>
              <w:bottom w:val="single" w:sz="8" w:space="0" w:color="auto"/>
              <w:right w:val="single" w:sz="8" w:space="0" w:color="auto"/>
            </w:tcBorders>
            <w:vAlign w:val="center"/>
            <w:hideMark/>
          </w:tcPr>
          <w:p w14:paraId="3BEBD496" w14:textId="77777777" w:rsidR="00AE75C7" w:rsidRPr="004C70EC" w:rsidRDefault="00AE75C7" w:rsidP="00AE75C7">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Title 1: Staff expenditure</w:t>
            </w:r>
          </w:p>
        </w:tc>
        <w:tc>
          <w:tcPr>
            <w:tcW w:w="848" w:type="dxa"/>
            <w:tcBorders>
              <w:top w:val="nil"/>
              <w:left w:val="nil"/>
              <w:bottom w:val="single" w:sz="8" w:space="0" w:color="auto"/>
              <w:right w:val="single" w:sz="8" w:space="0" w:color="auto"/>
            </w:tcBorders>
            <w:vAlign w:val="center"/>
            <w:hideMark/>
          </w:tcPr>
          <w:p w14:paraId="61475E19" w14:textId="77777777" w:rsidR="00AE75C7" w:rsidRPr="004C70EC" w:rsidRDefault="00AE75C7" w:rsidP="00AE75C7">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0,882</w:t>
            </w:r>
          </w:p>
        </w:tc>
        <w:tc>
          <w:tcPr>
            <w:tcW w:w="848" w:type="dxa"/>
            <w:tcBorders>
              <w:top w:val="nil"/>
              <w:left w:val="nil"/>
              <w:bottom w:val="single" w:sz="8" w:space="0" w:color="auto"/>
              <w:right w:val="single" w:sz="8" w:space="0" w:color="auto"/>
            </w:tcBorders>
            <w:vAlign w:val="center"/>
            <w:hideMark/>
          </w:tcPr>
          <w:p w14:paraId="09F1DC99" w14:textId="77777777" w:rsidR="00AE75C7" w:rsidRPr="004C70EC" w:rsidRDefault="00AE75C7" w:rsidP="00AE75C7">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1,800</w:t>
            </w:r>
          </w:p>
        </w:tc>
        <w:tc>
          <w:tcPr>
            <w:tcW w:w="848" w:type="dxa"/>
            <w:tcBorders>
              <w:top w:val="nil"/>
              <w:left w:val="nil"/>
              <w:bottom w:val="single" w:sz="8" w:space="0" w:color="auto"/>
              <w:right w:val="single" w:sz="8" w:space="0" w:color="auto"/>
            </w:tcBorders>
            <w:vAlign w:val="center"/>
            <w:hideMark/>
          </w:tcPr>
          <w:p w14:paraId="1EA88232" w14:textId="77777777" w:rsidR="00AE75C7" w:rsidRPr="004C70EC" w:rsidRDefault="00AE75C7" w:rsidP="00AE75C7">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1,836</w:t>
            </w:r>
          </w:p>
        </w:tc>
        <w:tc>
          <w:tcPr>
            <w:tcW w:w="848" w:type="dxa"/>
            <w:tcBorders>
              <w:top w:val="nil"/>
              <w:left w:val="nil"/>
              <w:bottom w:val="single" w:sz="8" w:space="0" w:color="auto"/>
              <w:right w:val="single" w:sz="8" w:space="0" w:color="auto"/>
            </w:tcBorders>
            <w:vAlign w:val="center"/>
            <w:hideMark/>
          </w:tcPr>
          <w:p w14:paraId="41977CE0" w14:textId="77777777" w:rsidR="00AE75C7" w:rsidRPr="004C70EC" w:rsidRDefault="00AE75C7" w:rsidP="00AE75C7">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1,872</w:t>
            </w:r>
          </w:p>
        </w:tc>
        <w:tc>
          <w:tcPr>
            <w:tcW w:w="848" w:type="dxa"/>
            <w:tcBorders>
              <w:top w:val="nil"/>
              <w:left w:val="nil"/>
              <w:bottom w:val="single" w:sz="8" w:space="0" w:color="auto"/>
              <w:right w:val="single" w:sz="8" w:space="0" w:color="auto"/>
            </w:tcBorders>
            <w:vAlign w:val="center"/>
            <w:hideMark/>
          </w:tcPr>
          <w:p w14:paraId="6B9E6681" w14:textId="77777777" w:rsidR="00AE75C7" w:rsidRPr="004C70EC" w:rsidRDefault="00AE75C7" w:rsidP="00AE75C7">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1,910</w:t>
            </w:r>
          </w:p>
        </w:tc>
        <w:tc>
          <w:tcPr>
            <w:tcW w:w="848" w:type="dxa"/>
            <w:tcBorders>
              <w:top w:val="nil"/>
              <w:left w:val="nil"/>
              <w:bottom w:val="single" w:sz="8" w:space="0" w:color="auto"/>
              <w:right w:val="single" w:sz="8" w:space="0" w:color="auto"/>
            </w:tcBorders>
            <w:vAlign w:val="center"/>
            <w:hideMark/>
          </w:tcPr>
          <w:p w14:paraId="36CF477E" w14:textId="77777777" w:rsidR="00AE75C7" w:rsidRPr="004C70EC" w:rsidRDefault="00AE75C7" w:rsidP="00AE75C7">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1,948</w:t>
            </w:r>
          </w:p>
        </w:tc>
        <w:tc>
          <w:tcPr>
            <w:tcW w:w="848" w:type="dxa"/>
            <w:tcBorders>
              <w:top w:val="nil"/>
              <w:left w:val="nil"/>
              <w:bottom w:val="single" w:sz="8" w:space="0" w:color="auto"/>
              <w:right w:val="single" w:sz="8" w:space="0" w:color="auto"/>
            </w:tcBorders>
            <w:vAlign w:val="center"/>
            <w:hideMark/>
          </w:tcPr>
          <w:p w14:paraId="48F68484" w14:textId="77777777" w:rsidR="00AE75C7" w:rsidRPr="004C70EC" w:rsidRDefault="00AE75C7" w:rsidP="00AE75C7">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1,987</w:t>
            </w:r>
          </w:p>
        </w:tc>
        <w:tc>
          <w:tcPr>
            <w:tcW w:w="989" w:type="dxa"/>
            <w:tcBorders>
              <w:top w:val="nil"/>
              <w:left w:val="nil"/>
              <w:bottom w:val="single" w:sz="8" w:space="0" w:color="auto"/>
              <w:right w:val="single" w:sz="8" w:space="0" w:color="auto"/>
            </w:tcBorders>
            <w:shd w:val="clear" w:color="000000" w:fill="D9D9D9"/>
            <w:vAlign w:val="center"/>
            <w:hideMark/>
          </w:tcPr>
          <w:p w14:paraId="34468A54" w14:textId="77777777" w:rsidR="00AE75C7" w:rsidRPr="004C70EC" w:rsidRDefault="00AE75C7" w:rsidP="00AE75C7">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12,235</w:t>
            </w:r>
          </w:p>
        </w:tc>
        <w:tc>
          <w:tcPr>
            <w:tcW w:w="1050" w:type="dxa"/>
            <w:tcBorders>
              <w:top w:val="nil"/>
              <w:left w:val="nil"/>
              <w:bottom w:val="single" w:sz="8" w:space="0" w:color="auto"/>
              <w:right w:val="single" w:sz="8" w:space="0" w:color="auto"/>
            </w:tcBorders>
            <w:vAlign w:val="center"/>
            <w:hideMark/>
          </w:tcPr>
          <w:p w14:paraId="11359235" w14:textId="77777777" w:rsidR="00AE75C7" w:rsidRPr="004C70EC" w:rsidRDefault="008E24FE" w:rsidP="00AE75C7">
            <w:pPr>
              <w:spacing w:before="0" w:after="0"/>
              <w:jc w:val="right"/>
              <w:rPr>
                <w:rFonts w:eastAsia="Times New Roman"/>
                <w:noProof/>
                <w:color w:val="000000" w:themeColor="text1"/>
                <w:szCs w:val="24"/>
                <w:lang w:val="en-IE" w:eastAsia="en-IE"/>
              </w:rPr>
            </w:pPr>
            <w:r w:rsidRPr="004C70EC">
              <w:rPr>
                <w:rFonts w:eastAsia="Times New Roman"/>
                <w:noProof/>
                <w:color w:val="000000"/>
                <w:sz w:val="20"/>
                <w:szCs w:val="20"/>
                <w:lang w:val="en-IE" w:eastAsia="en-IE"/>
              </w:rPr>
              <w:t>2</w:t>
            </w:r>
            <w:r w:rsidR="00AE75C7" w:rsidRPr="004C70EC">
              <w:rPr>
                <w:rFonts w:eastAsia="Times New Roman"/>
                <w:noProof/>
                <w:color w:val="000000"/>
                <w:sz w:val="20"/>
                <w:szCs w:val="20"/>
                <w:lang w:val="en-IE" w:eastAsia="en-IE"/>
              </w:rPr>
              <w:t>,</w:t>
            </w:r>
            <w:r w:rsidRPr="004C70EC">
              <w:rPr>
                <w:rFonts w:eastAsia="Times New Roman"/>
                <w:noProof/>
                <w:color w:val="000000"/>
                <w:sz w:val="20"/>
                <w:szCs w:val="20"/>
                <w:lang w:val="en-IE" w:eastAsia="en-IE"/>
              </w:rPr>
              <w:t>027</w:t>
            </w:r>
          </w:p>
        </w:tc>
      </w:tr>
      <w:tr w:rsidR="004A1163" w:rsidRPr="004C70EC" w14:paraId="58B1A9FC" w14:textId="77777777" w:rsidTr="002D7694">
        <w:trPr>
          <w:trHeight w:val="515"/>
        </w:trPr>
        <w:tc>
          <w:tcPr>
            <w:tcW w:w="1196" w:type="dxa"/>
            <w:tcBorders>
              <w:top w:val="nil"/>
              <w:left w:val="single" w:sz="8" w:space="0" w:color="auto"/>
              <w:bottom w:val="single" w:sz="8" w:space="0" w:color="auto"/>
              <w:right w:val="single" w:sz="8" w:space="0" w:color="auto"/>
            </w:tcBorders>
            <w:vAlign w:val="center"/>
            <w:hideMark/>
          </w:tcPr>
          <w:p w14:paraId="0249D18C" w14:textId="77777777" w:rsidR="00A069F0" w:rsidRPr="004C70EC" w:rsidRDefault="00A069F0" w:rsidP="00A069F0">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Title 2: Infrastructure and operating expenditure</w:t>
            </w:r>
          </w:p>
        </w:tc>
        <w:tc>
          <w:tcPr>
            <w:tcW w:w="848" w:type="dxa"/>
            <w:tcBorders>
              <w:top w:val="nil"/>
              <w:left w:val="nil"/>
              <w:bottom w:val="single" w:sz="8" w:space="0" w:color="auto"/>
              <w:right w:val="single" w:sz="8" w:space="0" w:color="auto"/>
            </w:tcBorders>
            <w:vAlign w:val="center"/>
            <w:hideMark/>
          </w:tcPr>
          <w:p w14:paraId="64F88EF8" w14:textId="77777777" w:rsidR="00A069F0" w:rsidRPr="004C70EC" w:rsidRDefault="00A069F0" w:rsidP="00A069F0">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48" w:type="dxa"/>
            <w:tcBorders>
              <w:top w:val="nil"/>
              <w:left w:val="nil"/>
              <w:bottom w:val="single" w:sz="8" w:space="0" w:color="auto"/>
              <w:right w:val="single" w:sz="8" w:space="0" w:color="auto"/>
            </w:tcBorders>
            <w:vAlign w:val="center"/>
            <w:hideMark/>
          </w:tcPr>
          <w:p w14:paraId="2E91B942" w14:textId="77777777" w:rsidR="00A069F0" w:rsidRPr="004C70EC" w:rsidRDefault="00A069F0" w:rsidP="00A069F0">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48" w:type="dxa"/>
            <w:tcBorders>
              <w:top w:val="nil"/>
              <w:left w:val="nil"/>
              <w:bottom w:val="single" w:sz="8" w:space="0" w:color="auto"/>
              <w:right w:val="single" w:sz="8" w:space="0" w:color="auto"/>
            </w:tcBorders>
            <w:vAlign w:val="center"/>
            <w:hideMark/>
          </w:tcPr>
          <w:p w14:paraId="277CD871" w14:textId="77777777" w:rsidR="00A069F0" w:rsidRPr="004C70EC" w:rsidRDefault="00A069F0" w:rsidP="00A069F0">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48" w:type="dxa"/>
            <w:tcBorders>
              <w:top w:val="nil"/>
              <w:left w:val="nil"/>
              <w:bottom w:val="single" w:sz="8" w:space="0" w:color="auto"/>
              <w:right w:val="single" w:sz="8" w:space="0" w:color="auto"/>
            </w:tcBorders>
            <w:vAlign w:val="center"/>
            <w:hideMark/>
          </w:tcPr>
          <w:p w14:paraId="7B883B1E" w14:textId="77777777" w:rsidR="00A069F0" w:rsidRPr="004C70EC" w:rsidRDefault="00A069F0" w:rsidP="00A069F0">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48" w:type="dxa"/>
            <w:tcBorders>
              <w:top w:val="nil"/>
              <w:left w:val="nil"/>
              <w:bottom w:val="single" w:sz="8" w:space="0" w:color="auto"/>
              <w:right w:val="single" w:sz="8" w:space="0" w:color="auto"/>
            </w:tcBorders>
            <w:vAlign w:val="center"/>
            <w:hideMark/>
          </w:tcPr>
          <w:p w14:paraId="3450E676" w14:textId="77777777" w:rsidR="00A069F0" w:rsidRPr="004C70EC" w:rsidRDefault="00A069F0" w:rsidP="00A069F0">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48" w:type="dxa"/>
            <w:tcBorders>
              <w:top w:val="nil"/>
              <w:left w:val="nil"/>
              <w:bottom w:val="single" w:sz="8" w:space="0" w:color="auto"/>
              <w:right w:val="single" w:sz="8" w:space="0" w:color="auto"/>
            </w:tcBorders>
            <w:vAlign w:val="center"/>
            <w:hideMark/>
          </w:tcPr>
          <w:p w14:paraId="1EA5FA63" w14:textId="77777777" w:rsidR="00A069F0" w:rsidRPr="004C70EC" w:rsidRDefault="00A069F0" w:rsidP="00A069F0">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48" w:type="dxa"/>
            <w:tcBorders>
              <w:top w:val="nil"/>
              <w:left w:val="nil"/>
              <w:bottom w:val="single" w:sz="8" w:space="0" w:color="auto"/>
              <w:right w:val="single" w:sz="8" w:space="0" w:color="auto"/>
            </w:tcBorders>
            <w:vAlign w:val="center"/>
            <w:hideMark/>
          </w:tcPr>
          <w:p w14:paraId="6083604F" w14:textId="77777777" w:rsidR="00A069F0" w:rsidRPr="004C70EC" w:rsidRDefault="00A069F0" w:rsidP="00A069F0">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989" w:type="dxa"/>
            <w:tcBorders>
              <w:top w:val="nil"/>
              <w:left w:val="nil"/>
              <w:bottom w:val="single" w:sz="8" w:space="0" w:color="auto"/>
              <w:right w:val="single" w:sz="8" w:space="0" w:color="auto"/>
            </w:tcBorders>
            <w:shd w:val="clear" w:color="000000" w:fill="D9D9D9"/>
            <w:vAlign w:val="center"/>
            <w:hideMark/>
          </w:tcPr>
          <w:p w14:paraId="2B12A751" w14:textId="77777777" w:rsidR="00A069F0" w:rsidRPr="004C70EC" w:rsidRDefault="00A069F0" w:rsidP="00A069F0">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0,000</w:t>
            </w:r>
          </w:p>
        </w:tc>
        <w:tc>
          <w:tcPr>
            <w:tcW w:w="1050" w:type="dxa"/>
            <w:tcBorders>
              <w:top w:val="nil"/>
              <w:left w:val="nil"/>
              <w:bottom w:val="single" w:sz="8" w:space="0" w:color="auto"/>
              <w:right w:val="single" w:sz="8" w:space="0" w:color="auto"/>
            </w:tcBorders>
            <w:vAlign w:val="center"/>
            <w:hideMark/>
          </w:tcPr>
          <w:p w14:paraId="05A9A87E" w14:textId="77777777" w:rsidR="00A069F0" w:rsidRPr="004C70EC" w:rsidRDefault="00A069F0" w:rsidP="00A069F0">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r>
      <w:tr w:rsidR="004A1163" w:rsidRPr="004C70EC" w14:paraId="67A0CD89" w14:textId="77777777" w:rsidTr="002D7694">
        <w:trPr>
          <w:trHeight w:val="464"/>
        </w:trPr>
        <w:tc>
          <w:tcPr>
            <w:tcW w:w="1196" w:type="dxa"/>
            <w:tcBorders>
              <w:top w:val="nil"/>
              <w:left w:val="single" w:sz="8" w:space="0" w:color="auto"/>
              <w:bottom w:val="single" w:sz="8" w:space="0" w:color="auto"/>
              <w:right w:val="single" w:sz="8" w:space="0" w:color="auto"/>
            </w:tcBorders>
            <w:vAlign w:val="center"/>
            <w:hideMark/>
          </w:tcPr>
          <w:p w14:paraId="32D31BF0" w14:textId="77777777" w:rsidR="00A069F0" w:rsidRPr="004C70EC" w:rsidRDefault="00A069F0" w:rsidP="00A069F0">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Title 3: Operational expenditure</w:t>
            </w:r>
          </w:p>
        </w:tc>
        <w:tc>
          <w:tcPr>
            <w:tcW w:w="848" w:type="dxa"/>
            <w:tcBorders>
              <w:top w:val="nil"/>
              <w:left w:val="nil"/>
              <w:bottom w:val="single" w:sz="8" w:space="0" w:color="auto"/>
              <w:right w:val="single" w:sz="8" w:space="0" w:color="auto"/>
            </w:tcBorders>
            <w:vAlign w:val="center"/>
            <w:hideMark/>
          </w:tcPr>
          <w:p w14:paraId="67E39589" w14:textId="77777777" w:rsidR="00A069F0" w:rsidRPr="004C70EC" w:rsidRDefault="00A069F0" w:rsidP="00A069F0">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48" w:type="dxa"/>
            <w:tcBorders>
              <w:top w:val="nil"/>
              <w:left w:val="nil"/>
              <w:bottom w:val="single" w:sz="8" w:space="0" w:color="auto"/>
              <w:right w:val="single" w:sz="8" w:space="0" w:color="auto"/>
            </w:tcBorders>
            <w:vAlign w:val="center"/>
            <w:hideMark/>
          </w:tcPr>
          <w:p w14:paraId="20EC9053" w14:textId="77777777" w:rsidR="00A069F0" w:rsidRPr="004C70EC" w:rsidRDefault="00A069F0" w:rsidP="00A069F0">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48" w:type="dxa"/>
            <w:tcBorders>
              <w:top w:val="nil"/>
              <w:left w:val="nil"/>
              <w:bottom w:val="single" w:sz="8" w:space="0" w:color="auto"/>
              <w:right w:val="single" w:sz="8" w:space="0" w:color="auto"/>
            </w:tcBorders>
            <w:vAlign w:val="center"/>
            <w:hideMark/>
          </w:tcPr>
          <w:p w14:paraId="2E6974AE" w14:textId="77777777" w:rsidR="00A069F0" w:rsidRPr="004C70EC" w:rsidRDefault="00A069F0" w:rsidP="00A069F0">
            <w:pPr>
              <w:spacing w:before="0" w:after="0"/>
              <w:jc w:val="lef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48" w:type="dxa"/>
            <w:tcBorders>
              <w:top w:val="nil"/>
              <w:left w:val="nil"/>
              <w:bottom w:val="single" w:sz="8" w:space="0" w:color="auto"/>
              <w:right w:val="single" w:sz="8" w:space="0" w:color="auto"/>
            </w:tcBorders>
            <w:vAlign w:val="center"/>
            <w:hideMark/>
          </w:tcPr>
          <w:p w14:paraId="1EADF75A" w14:textId="77777777" w:rsidR="00A069F0" w:rsidRPr="004C70EC" w:rsidRDefault="00A069F0" w:rsidP="00A069F0">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48" w:type="dxa"/>
            <w:tcBorders>
              <w:top w:val="nil"/>
              <w:left w:val="nil"/>
              <w:bottom w:val="single" w:sz="8" w:space="0" w:color="auto"/>
              <w:right w:val="single" w:sz="8" w:space="0" w:color="auto"/>
            </w:tcBorders>
            <w:vAlign w:val="center"/>
            <w:hideMark/>
          </w:tcPr>
          <w:p w14:paraId="12F6FDC2" w14:textId="77777777" w:rsidR="00A069F0" w:rsidRPr="004C70EC" w:rsidRDefault="00A069F0" w:rsidP="00A069F0">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48" w:type="dxa"/>
            <w:tcBorders>
              <w:top w:val="nil"/>
              <w:left w:val="nil"/>
              <w:bottom w:val="single" w:sz="8" w:space="0" w:color="auto"/>
              <w:right w:val="single" w:sz="8" w:space="0" w:color="auto"/>
            </w:tcBorders>
            <w:vAlign w:val="center"/>
            <w:hideMark/>
          </w:tcPr>
          <w:p w14:paraId="2871A896" w14:textId="77777777" w:rsidR="00A069F0" w:rsidRPr="004C70EC" w:rsidRDefault="00A069F0" w:rsidP="00A069F0">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848" w:type="dxa"/>
            <w:tcBorders>
              <w:top w:val="nil"/>
              <w:left w:val="nil"/>
              <w:bottom w:val="single" w:sz="8" w:space="0" w:color="auto"/>
              <w:right w:val="single" w:sz="8" w:space="0" w:color="auto"/>
            </w:tcBorders>
            <w:vAlign w:val="center"/>
            <w:hideMark/>
          </w:tcPr>
          <w:p w14:paraId="2B5D434F" w14:textId="77777777" w:rsidR="00A069F0" w:rsidRPr="004C70EC" w:rsidRDefault="00A069F0" w:rsidP="00A069F0">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c>
          <w:tcPr>
            <w:tcW w:w="989" w:type="dxa"/>
            <w:tcBorders>
              <w:top w:val="nil"/>
              <w:left w:val="nil"/>
              <w:bottom w:val="single" w:sz="8" w:space="0" w:color="auto"/>
              <w:right w:val="single" w:sz="8" w:space="0" w:color="auto"/>
            </w:tcBorders>
            <w:shd w:val="clear" w:color="000000" w:fill="D9D9D9"/>
            <w:vAlign w:val="center"/>
            <w:hideMark/>
          </w:tcPr>
          <w:p w14:paraId="33EBE5BF" w14:textId="77777777" w:rsidR="00A069F0" w:rsidRPr="004C70EC" w:rsidRDefault="00A069F0" w:rsidP="00A069F0">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0,000</w:t>
            </w:r>
          </w:p>
        </w:tc>
        <w:tc>
          <w:tcPr>
            <w:tcW w:w="1050" w:type="dxa"/>
            <w:tcBorders>
              <w:top w:val="nil"/>
              <w:left w:val="nil"/>
              <w:bottom w:val="single" w:sz="8" w:space="0" w:color="auto"/>
              <w:right w:val="single" w:sz="8" w:space="0" w:color="auto"/>
            </w:tcBorders>
            <w:vAlign w:val="center"/>
            <w:hideMark/>
          </w:tcPr>
          <w:p w14:paraId="7BD9A521" w14:textId="77777777" w:rsidR="00A069F0" w:rsidRPr="004C70EC" w:rsidRDefault="00A069F0" w:rsidP="00A069F0">
            <w:pPr>
              <w:spacing w:before="0" w:after="0"/>
              <w:jc w:val="right"/>
              <w:rPr>
                <w:rFonts w:eastAsia="Times New Roman"/>
                <w:noProof/>
                <w:color w:val="000000" w:themeColor="text1"/>
                <w:szCs w:val="24"/>
                <w:lang w:val="en-IE" w:eastAsia="en-IE"/>
              </w:rPr>
            </w:pPr>
            <w:r w:rsidRPr="004C70EC">
              <w:rPr>
                <w:rFonts w:eastAsia="Times New Roman"/>
                <w:noProof/>
                <w:color w:val="000000" w:themeColor="text1"/>
                <w:szCs w:val="24"/>
                <w:lang w:val="en-IE" w:eastAsia="en-IE"/>
              </w:rPr>
              <w:t> </w:t>
            </w:r>
          </w:p>
        </w:tc>
      </w:tr>
      <w:tr w:rsidR="002D7694" w:rsidRPr="004C70EC" w14:paraId="1DCC8EAE" w14:textId="77777777" w:rsidTr="002D7694">
        <w:trPr>
          <w:trHeight w:val="451"/>
        </w:trPr>
        <w:tc>
          <w:tcPr>
            <w:tcW w:w="1196" w:type="dxa"/>
            <w:tcBorders>
              <w:top w:val="nil"/>
              <w:left w:val="single" w:sz="8" w:space="0" w:color="auto"/>
              <w:bottom w:val="single" w:sz="8" w:space="0" w:color="auto"/>
              <w:right w:val="single" w:sz="8" w:space="0" w:color="auto"/>
            </w:tcBorders>
            <w:vAlign w:val="center"/>
            <w:hideMark/>
          </w:tcPr>
          <w:p w14:paraId="1EF9E600" w14:textId="77777777" w:rsidR="00BC217C" w:rsidRPr="004C70EC" w:rsidRDefault="00BC217C" w:rsidP="00BC217C">
            <w:pPr>
              <w:spacing w:before="0" w:after="0"/>
              <w:jc w:val="left"/>
              <w:rPr>
                <w:rFonts w:eastAsia="Times New Roman"/>
                <w:b/>
                <w:bCs/>
                <w:noProof/>
                <w:color w:val="000000" w:themeColor="text1"/>
                <w:szCs w:val="24"/>
                <w:lang w:val="en-IE" w:eastAsia="en-IE"/>
              </w:rPr>
            </w:pPr>
            <w:r w:rsidRPr="004C70EC">
              <w:rPr>
                <w:rFonts w:eastAsia="Times New Roman"/>
                <w:b/>
                <w:bCs/>
                <w:noProof/>
                <w:color w:val="000000" w:themeColor="text1"/>
                <w:szCs w:val="24"/>
                <w:lang w:val="en-IE" w:eastAsia="en-IE"/>
              </w:rPr>
              <w:t xml:space="preserve">TOTAL of appropriations covered by the EU Budget </w:t>
            </w:r>
          </w:p>
        </w:tc>
        <w:tc>
          <w:tcPr>
            <w:tcW w:w="848" w:type="dxa"/>
            <w:tcBorders>
              <w:top w:val="nil"/>
              <w:left w:val="nil"/>
              <w:bottom w:val="single" w:sz="8" w:space="0" w:color="auto"/>
              <w:right w:val="single" w:sz="8" w:space="0" w:color="auto"/>
            </w:tcBorders>
            <w:shd w:val="clear" w:color="000000" w:fill="D9D9D9"/>
            <w:vAlign w:val="center"/>
            <w:hideMark/>
          </w:tcPr>
          <w:p w14:paraId="73F950AF" w14:textId="77777777" w:rsidR="00BC217C" w:rsidRPr="004C70EC" w:rsidRDefault="00BC217C" w:rsidP="00BC217C">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0,882</w:t>
            </w:r>
          </w:p>
        </w:tc>
        <w:tc>
          <w:tcPr>
            <w:tcW w:w="848" w:type="dxa"/>
            <w:tcBorders>
              <w:top w:val="nil"/>
              <w:left w:val="nil"/>
              <w:bottom w:val="single" w:sz="8" w:space="0" w:color="auto"/>
              <w:right w:val="single" w:sz="8" w:space="0" w:color="auto"/>
            </w:tcBorders>
            <w:shd w:val="clear" w:color="000000" w:fill="D9D9D9"/>
            <w:vAlign w:val="center"/>
            <w:hideMark/>
          </w:tcPr>
          <w:p w14:paraId="3E993CBD" w14:textId="77777777" w:rsidR="00BC217C" w:rsidRPr="004C70EC" w:rsidRDefault="00BC217C" w:rsidP="00BC217C">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1,800</w:t>
            </w:r>
          </w:p>
        </w:tc>
        <w:tc>
          <w:tcPr>
            <w:tcW w:w="848" w:type="dxa"/>
            <w:tcBorders>
              <w:top w:val="nil"/>
              <w:left w:val="nil"/>
              <w:bottom w:val="single" w:sz="8" w:space="0" w:color="auto"/>
              <w:right w:val="single" w:sz="8" w:space="0" w:color="auto"/>
            </w:tcBorders>
            <w:shd w:val="clear" w:color="000000" w:fill="D9D9D9"/>
            <w:vAlign w:val="center"/>
            <w:hideMark/>
          </w:tcPr>
          <w:p w14:paraId="17BBFF8C" w14:textId="77777777" w:rsidR="00BC217C" w:rsidRPr="004C70EC" w:rsidRDefault="00BC217C" w:rsidP="00BC217C">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1,836</w:t>
            </w:r>
          </w:p>
        </w:tc>
        <w:tc>
          <w:tcPr>
            <w:tcW w:w="848" w:type="dxa"/>
            <w:tcBorders>
              <w:top w:val="nil"/>
              <w:left w:val="nil"/>
              <w:bottom w:val="single" w:sz="8" w:space="0" w:color="auto"/>
              <w:right w:val="single" w:sz="8" w:space="0" w:color="auto"/>
            </w:tcBorders>
            <w:shd w:val="clear" w:color="000000" w:fill="D9D9D9"/>
            <w:vAlign w:val="center"/>
            <w:hideMark/>
          </w:tcPr>
          <w:p w14:paraId="22474C04" w14:textId="77777777" w:rsidR="00BC217C" w:rsidRPr="004C70EC" w:rsidRDefault="00BC217C" w:rsidP="00BC217C">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1,872</w:t>
            </w:r>
          </w:p>
        </w:tc>
        <w:tc>
          <w:tcPr>
            <w:tcW w:w="848" w:type="dxa"/>
            <w:tcBorders>
              <w:top w:val="nil"/>
              <w:left w:val="nil"/>
              <w:bottom w:val="single" w:sz="8" w:space="0" w:color="auto"/>
              <w:right w:val="single" w:sz="8" w:space="0" w:color="auto"/>
            </w:tcBorders>
            <w:shd w:val="clear" w:color="000000" w:fill="D9D9D9"/>
            <w:vAlign w:val="center"/>
            <w:hideMark/>
          </w:tcPr>
          <w:p w14:paraId="243C0B19" w14:textId="77777777" w:rsidR="00BC217C" w:rsidRPr="004C70EC" w:rsidRDefault="00BC217C" w:rsidP="00BC217C">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1,910</w:t>
            </w:r>
          </w:p>
        </w:tc>
        <w:tc>
          <w:tcPr>
            <w:tcW w:w="848" w:type="dxa"/>
            <w:tcBorders>
              <w:top w:val="nil"/>
              <w:left w:val="nil"/>
              <w:bottom w:val="single" w:sz="8" w:space="0" w:color="auto"/>
              <w:right w:val="single" w:sz="8" w:space="0" w:color="auto"/>
            </w:tcBorders>
            <w:shd w:val="clear" w:color="000000" w:fill="D9D9D9"/>
            <w:vAlign w:val="center"/>
            <w:hideMark/>
          </w:tcPr>
          <w:p w14:paraId="2E828929" w14:textId="77777777" w:rsidR="00BC217C" w:rsidRPr="004C70EC" w:rsidRDefault="00BC217C" w:rsidP="00BC217C">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1,948</w:t>
            </w:r>
          </w:p>
        </w:tc>
        <w:tc>
          <w:tcPr>
            <w:tcW w:w="848" w:type="dxa"/>
            <w:tcBorders>
              <w:top w:val="nil"/>
              <w:left w:val="nil"/>
              <w:bottom w:val="single" w:sz="8" w:space="0" w:color="auto"/>
              <w:right w:val="single" w:sz="8" w:space="0" w:color="auto"/>
            </w:tcBorders>
            <w:shd w:val="clear" w:color="000000" w:fill="D9D9D9"/>
            <w:vAlign w:val="center"/>
            <w:hideMark/>
          </w:tcPr>
          <w:p w14:paraId="60D4C3E2" w14:textId="77777777" w:rsidR="00BC217C" w:rsidRPr="004C70EC" w:rsidRDefault="00BC217C" w:rsidP="00BC217C">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1,987</w:t>
            </w:r>
          </w:p>
        </w:tc>
        <w:tc>
          <w:tcPr>
            <w:tcW w:w="989" w:type="dxa"/>
            <w:tcBorders>
              <w:top w:val="nil"/>
              <w:left w:val="nil"/>
              <w:bottom w:val="single" w:sz="8" w:space="0" w:color="auto"/>
              <w:right w:val="single" w:sz="8" w:space="0" w:color="auto"/>
            </w:tcBorders>
            <w:shd w:val="clear" w:color="000000" w:fill="D9D9D9"/>
            <w:vAlign w:val="center"/>
            <w:hideMark/>
          </w:tcPr>
          <w:p w14:paraId="5D6B94B5" w14:textId="77777777" w:rsidR="00BC217C" w:rsidRPr="004C70EC" w:rsidRDefault="00BC217C" w:rsidP="00BC217C">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12,235</w:t>
            </w:r>
          </w:p>
        </w:tc>
        <w:tc>
          <w:tcPr>
            <w:tcW w:w="1050" w:type="dxa"/>
            <w:tcBorders>
              <w:top w:val="nil"/>
              <w:left w:val="nil"/>
              <w:bottom w:val="single" w:sz="8" w:space="0" w:color="auto"/>
              <w:right w:val="single" w:sz="8" w:space="0" w:color="auto"/>
            </w:tcBorders>
            <w:shd w:val="clear" w:color="000000" w:fill="D9D9D9"/>
            <w:vAlign w:val="center"/>
            <w:hideMark/>
          </w:tcPr>
          <w:p w14:paraId="0334DB45" w14:textId="77777777" w:rsidR="00BC217C" w:rsidRPr="004C70EC" w:rsidRDefault="000F69E2" w:rsidP="00BC217C">
            <w:pPr>
              <w:spacing w:before="0" w:after="0"/>
              <w:jc w:val="right"/>
              <w:rPr>
                <w:rFonts w:eastAsia="Times New Roman"/>
                <w:b/>
                <w:bCs/>
                <w:noProof/>
                <w:color w:val="000000" w:themeColor="text1"/>
                <w:szCs w:val="24"/>
                <w:lang w:val="en-IE" w:eastAsia="en-IE"/>
              </w:rPr>
            </w:pPr>
            <w:r w:rsidRPr="004C70EC">
              <w:rPr>
                <w:rFonts w:eastAsia="Times New Roman"/>
                <w:b/>
                <w:bCs/>
                <w:noProof/>
                <w:color w:val="000000"/>
                <w:sz w:val="20"/>
                <w:szCs w:val="20"/>
                <w:lang w:val="en-IE" w:eastAsia="en-IE"/>
              </w:rPr>
              <w:t>2</w:t>
            </w:r>
            <w:r w:rsidR="00BC217C" w:rsidRPr="004C70EC">
              <w:rPr>
                <w:rFonts w:eastAsia="Times New Roman"/>
                <w:b/>
                <w:bCs/>
                <w:noProof/>
                <w:color w:val="000000"/>
                <w:sz w:val="20"/>
                <w:szCs w:val="20"/>
                <w:lang w:val="en-IE" w:eastAsia="en-IE"/>
              </w:rPr>
              <w:t>,</w:t>
            </w:r>
            <w:r w:rsidRPr="004C70EC">
              <w:rPr>
                <w:rFonts w:eastAsia="Times New Roman"/>
                <w:b/>
                <w:bCs/>
                <w:noProof/>
                <w:color w:val="000000"/>
                <w:sz w:val="20"/>
                <w:szCs w:val="20"/>
                <w:lang w:val="en-IE" w:eastAsia="en-IE"/>
              </w:rPr>
              <w:t>027</w:t>
            </w:r>
          </w:p>
        </w:tc>
      </w:tr>
    </w:tbl>
    <w:p w14:paraId="4B8A6DEC" w14:textId="77777777" w:rsidR="00A069F0" w:rsidRPr="004C70EC" w:rsidRDefault="00A069F0">
      <w:pPr>
        <w:spacing w:before="0" w:after="200" w:line="276" w:lineRule="auto"/>
        <w:jc w:val="left"/>
        <w:rPr>
          <w:b/>
          <w:bCs/>
          <w:noProof/>
          <w:color w:val="000000" w:themeColor="text1"/>
          <w:szCs w:val="24"/>
          <w:u w:val="single"/>
          <w:lang w:val="en-IE"/>
        </w:rPr>
      </w:pPr>
    </w:p>
    <w:p w14:paraId="18A7D6DF" w14:textId="77777777" w:rsidR="00A069F0" w:rsidRPr="004C70EC" w:rsidRDefault="00A069F0">
      <w:pPr>
        <w:spacing w:before="0" w:after="200" w:line="276" w:lineRule="auto"/>
        <w:jc w:val="left"/>
        <w:rPr>
          <w:b/>
          <w:bCs/>
          <w:noProof/>
          <w:color w:val="000000" w:themeColor="text1"/>
          <w:szCs w:val="24"/>
          <w:u w:val="single"/>
          <w:lang w:val="en-IE"/>
        </w:rPr>
      </w:pPr>
    </w:p>
    <w:p w14:paraId="79EADE35" w14:textId="77777777" w:rsidR="00A069F0" w:rsidRPr="004C70EC" w:rsidRDefault="00A069F0">
      <w:pPr>
        <w:spacing w:before="0" w:after="200" w:line="276" w:lineRule="auto"/>
        <w:jc w:val="left"/>
        <w:rPr>
          <w:b/>
          <w:bCs/>
          <w:noProof/>
          <w:color w:val="000000" w:themeColor="text1"/>
          <w:szCs w:val="24"/>
          <w:u w:val="single"/>
          <w:lang w:val="en-IE"/>
        </w:rPr>
      </w:pPr>
    </w:p>
    <w:p w14:paraId="425B961C" w14:textId="77777777" w:rsidR="00A069F0" w:rsidRPr="004C70EC" w:rsidRDefault="00A069F0">
      <w:pPr>
        <w:spacing w:before="0" w:after="200" w:line="276" w:lineRule="auto"/>
        <w:jc w:val="left"/>
        <w:rPr>
          <w:b/>
          <w:bCs/>
          <w:noProof/>
          <w:color w:val="000000" w:themeColor="text1"/>
          <w:szCs w:val="24"/>
          <w:u w:val="single"/>
          <w:lang w:val="en-IE"/>
        </w:rPr>
      </w:pPr>
    </w:p>
    <w:p w14:paraId="4E9A7794" w14:textId="77777777" w:rsidR="00F67118" w:rsidRPr="004C70EC" w:rsidRDefault="00F67118">
      <w:pPr>
        <w:spacing w:before="0" w:after="200" w:line="276" w:lineRule="auto"/>
        <w:jc w:val="left"/>
        <w:rPr>
          <w:noProof/>
          <w:color w:val="000000" w:themeColor="text1"/>
          <w:szCs w:val="24"/>
        </w:rPr>
      </w:pPr>
    </w:p>
    <w:tbl>
      <w:tblPr>
        <w:tblW w:w="9891" w:type="dxa"/>
        <w:tblInd w:w="118" w:type="dxa"/>
        <w:tblLook w:val="04A0" w:firstRow="1" w:lastRow="0" w:firstColumn="1" w:lastColumn="0" w:noHBand="0" w:noVBand="1"/>
      </w:tblPr>
      <w:tblGrid>
        <w:gridCol w:w="2476"/>
        <w:gridCol w:w="850"/>
        <w:gridCol w:w="851"/>
        <w:gridCol w:w="851"/>
        <w:gridCol w:w="810"/>
        <w:gridCol w:w="810"/>
        <w:gridCol w:w="810"/>
        <w:gridCol w:w="810"/>
        <w:gridCol w:w="917"/>
        <w:gridCol w:w="706"/>
      </w:tblGrid>
      <w:tr w:rsidR="00F67118" w:rsidRPr="004C70EC" w14:paraId="169B2AD0" w14:textId="77777777" w:rsidTr="00C614E8">
        <w:trPr>
          <w:trHeight w:val="335"/>
        </w:trPr>
        <w:tc>
          <w:tcPr>
            <w:tcW w:w="2521" w:type="dxa"/>
            <w:vMerge w:val="restart"/>
            <w:tcBorders>
              <w:top w:val="single" w:sz="8" w:space="0" w:color="auto"/>
              <w:left w:val="single" w:sz="8" w:space="0" w:color="auto"/>
              <w:bottom w:val="single" w:sz="8" w:space="0" w:color="000000"/>
              <w:right w:val="single" w:sz="8" w:space="0" w:color="auto"/>
            </w:tcBorders>
            <w:vAlign w:val="center"/>
            <w:hideMark/>
          </w:tcPr>
          <w:p w14:paraId="16EA4694" w14:textId="77777777" w:rsidR="00F67118" w:rsidRPr="004C70EC" w:rsidRDefault="00F67118">
            <w:pPr>
              <w:spacing w:before="0" w:after="0"/>
              <w:jc w:val="center"/>
              <w:rPr>
                <w:rFonts w:eastAsia="Times New Roman"/>
                <w:b/>
                <w:bCs/>
                <w:noProof/>
                <w:color w:val="444444"/>
                <w:sz w:val="20"/>
                <w:szCs w:val="20"/>
                <w:lang w:val="en-IE" w:eastAsia="en-IE"/>
              </w:rPr>
            </w:pPr>
            <w:r w:rsidRPr="004C70EC">
              <w:rPr>
                <w:rFonts w:eastAsia="Times New Roman"/>
                <w:b/>
                <w:bCs/>
                <w:noProof/>
                <w:color w:val="444444"/>
                <w:sz w:val="20"/>
                <w:szCs w:val="20"/>
                <w:lang w:val="en-IE" w:eastAsia="en-IE"/>
              </w:rPr>
              <w:t>[Agency]: &lt;EFSA&gt;</w:t>
            </w:r>
          </w:p>
        </w:tc>
        <w:tc>
          <w:tcPr>
            <w:tcW w:w="859" w:type="dxa"/>
            <w:tcBorders>
              <w:top w:val="single" w:sz="8" w:space="0" w:color="auto"/>
              <w:left w:val="nil"/>
              <w:bottom w:val="nil"/>
              <w:right w:val="single" w:sz="8" w:space="0" w:color="auto"/>
            </w:tcBorders>
            <w:shd w:val="clear" w:color="000000" w:fill="FFFFFF"/>
            <w:vAlign w:val="bottom"/>
            <w:hideMark/>
          </w:tcPr>
          <w:p w14:paraId="34A25F21" w14:textId="77777777" w:rsidR="00F67118" w:rsidRPr="004C70EC" w:rsidRDefault="00F67118">
            <w:pPr>
              <w:spacing w:before="0" w:after="0"/>
              <w:jc w:val="center"/>
              <w:rPr>
                <w:rFonts w:eastAsia="Times New Roman"/>
                <w:noProof/>
                <w:color w:val="000000"/>
                <w:sz w:val="20"/>
                <w:szCs w:val="20"/>
                <w:lang w:val="en-IE" w:eastAsia="en-IE"/>
              </w:rPr>
            </w:pPr>
            <w:r w:rsidRPr="004C70EC">
              <w:rPr>
                <w:rFonts w:eastAsia="Times New Roman"/>
                <w:noProof/>
                <w:color w:val="000000"/>
                <w:sz w:val="20"/>
                <w:szCs w:val="20"/>
                <w:lang w:val="en-IE" w:eastAsia="en-IE"/>
              </w:rPr>
              <w:t>Year</w:t>
            </w:r>
          </w:p>
        </w:tc>
        <w:tc>
          <w:tcPr>
            <w:tcW w:w="859" w:type="dxa"/>
            <w:tcBorders>
              <w:top w:val="single" w:sz="8" w:space="0" w:color="auto"/>
              <w:left w:val="nil"/>
              <w:bottom w:val="nil"/>
              <w:right w:val="single" w:sz="8" w:space="0" w:color="auto"/>
            </w:tcBorders>
            <w:shd w:val="clear" w:color="000000" w:fill="FFFFFF"/>
            <w:vAlign w:val="bottom"/>
            <w:hideMark/>
          </w:tcPr>
          <w:p w14:paraId="542833C7" w14:textId="77777777" w:rsidR="00F67118" w:rsidRPr="004C70EC" w:rsidRDefault="00F67118">
            <w:pPr>
              <w:spacing w:before="0" w:after="0"/>
              <w:jc w:val="center"/>
              <w:rPr>
                <w:rFonts w:eastAsia="Times New Roman"/>
                <w:noProof/>
                <w:color w:val="000000"/>
                <w:sz w:val="20"/>
                <w:szCs w:val="20"/>
                <w:lang w:val="en-IE" w:eastAsia="en-IE"/>
              </w:rPr>
            </w:pPr>
            <w:r w:rsidRPr="004C70EC">
              <w:rPr>
                <w:rFonts w:eastAsia="Times New Roman"/>
                <w:noProof/>
                <w:color w:val="000000"/>
                <w:sz w:val="20"/>
                <w:szCs w:val="20"/>
                <w:lang w:val="en-IE" w:eastAsia="en-IE"/>
              </w:rPr>
              <w:t>Year</w:t>
            </w:r>
          </w:p>
        </w:tc>
        <w:tc>
          <w:tcPr>
            <w:tcW w:w="859" w:type="dxa"/>
            <w:tcBorders>
              <w:top w:val="single" w:sz="8" w:space="0" w:color="auto"/>
              <w:left w:val="nil"/>
              <w:bottom w:val="nil"/>
              <w:right w:val="single" w:sz="8" w:space="0" w:color="auto"/>
            </w:tcBorders>
            <w:shd w:val="clear" w:color="000000" w:fill="FFFFFF"/>
            <w:vAlign w:val="bottom"/>
            <w:hideMark/>
          </w:tcPr>
          <w:p w14:paraId="25573B60" w14:textId="77777777" w:rsidR="00F67118" w:rsidRPr="004C70EC" w:rsidRDefault="00F67118">
            <w:pPr>
              <w:spacing w:before="0" w:after="0"/>
              <w:jc w:val="center"/>
              <w:rPr>
                <w:rFonts w:eastAsia="Times New Roman"/>
                <w:noProof/>
                <w:color w:val="000000"/>
                <w:sz w:val="20"/>
                <w:szCs w:val="20"/>
                <w:lang w:val="en-IE" w:eastAsia="en-IE"/>
              </w:rPr>
            </w:pPr>
            <w:r w:rsidRPr="004C70EC">
              <w:rPr>
                <w:rFonts w:eastAsia="Times New Roman"/>
                <w:noProof/>
                <w:color w:val="000000"/>
                <w:sz w:val="20"/>
                <w:szCs w:val="20"/>
                <w:lang w:val="en-IE" w:eastAsia="en-IE"/>
              </w:rPr>
              <w:t>Year</w:t>
            </w:r>
          </w:p>
        </w:tc>
        <w:tc>
          <w:tcPr>
            <w:tcW w:w="816" w:type="dxa"/>
            <w:tcBorders>
              <w:top w:val="single" w:sz="8" w:space="0" w:color="auto"/>
              <w:left w:val="nil"/>
              <w:bottom w:val="nil"/>
              <w:right w:val="single" w:sz="8" w:space="0" w:color="auto"/>
            </w:tcBorders>
            <w:shd w:val="clear" w:color="000000" w:fill="FFFFFF"/>
            <w:vAlign w:val="bottom"/>
            <w:hideMark/>
          </w:tcPr>
          <w:p w14:paraId="1E8DA2CD" w14:textId="77777777" w:rsidR="00F67118" w:rsidRPr="004C70EC" w:rsidRDefault="00F67118">
            <w:pPr>
              <w:spacing w:before="0" w:after="0"/>
              <w:jc w:val="center"/>
              <w:rPr>
                <w:rFonts w:eastAsia="Times New Roman"/>
                <w:noProof/>
                <w:color w:val="000000"/>
                <w:sz w:val="20"/>
                <w:szCs w:val="20"/>
                <w:lang w:val="en-IE" w:eastAsia="en-IE"/>
              </w:rPr>
            </w:pPr>
            <w:r w:rsidRPr="004C70EC">
              <w:rPr>
                <w:rFonts w:eastAsia="Times New Roman"/>
                <w:noProof/>
                <w:color w:val="000000"/>
                <w:sz w:val="20"/>
                <w:szCs w:val="20"/>
                <w:lang w:val="en-IE" w:eastAsia="en-IE"/>
              </w:rPr>
              <w:t>Year</w:t>
            </w:r>
          </w:p>
        </w:tc>
        <w:tc>
          <w:tcPr>
            <w:tcW w:w="816" w:type="dxa"/>
            <w:tcBorders>
              <w:top w:val="single" w:sz="8" w:space="0" w:color="auto"/>
              <w:left w:val="nil"/>
              <w:bottom w:val="nil"/>
              <w:right w:val="single" w:sz="8" w:space="0" w:color="auto"/>
            </w:tcBorders>
            <w:shd w:val="clear" w:color="000000" w:fill="FFFFFF"/>
            <w:vAlign w:val="bottom"/>
            <w:hideMark/>
          </w:tcPr>
          <w:p w14:paraId="3AAB4C8B" w14:textId="77777777" w:rsidR="00F67118" w:rsidRPr="004C70EC" w:rsidRDefault="00F67118">
            <w:pPr>
              <w:spacing w:before="0" w:after="0"/>
              <w:jc w:val="center"/>
              <w:rPr>
                <w:rFonts w:eastAsia="Times New Roman"/>
                <w:noProof/>
                <w:color w:val="000000"/>
                <w:sz w:val="20"/>
                <w:szCs w:val="20"/>
                <w:lang w:val="en-IE" w:eastAsia="en-IE"/>
              </w:rPr>
            </w:pPr>
            <w:r w:rsidRPr="004C70EC">
              <w:rPr>
                <w:rFonts w:eastAsia="Times New Roman"/>
                <w:noProof/>
                <w:color w:val="000000"/>
                <w:sz w:val="20"/>
                <w:szCs w:val="20"/>
                <w:lang w:val="en-IE" w:eastAsia="en-IE"/>
              </w:rPr>
              <w:t>Year</w:t>
            </w:r>
          </w:p>
        </w:tc>
        <w:tc>
          <w:tcPr>
            <w:tcW w:w="816" w:type="dxa"/>
            <w:tcBorders>
              <w:top w:val="single" w:sz="8" w:space="0" w:color="auto"/>
              <w:left w:val="nil"/>
              <w:bottom w:val="nil"/>
              <w:right w:val="single" w:sz="8" w:space="0" w:color="auto"/>
            </w:tcBorders>
            <w:shd w:val="clear" w:color="000000" w:fill="FFFFFF"/>
            <w:vAlign w:val="bottom"/>
            <w:hideMark/>
          </w:tcPr>
          <w:p w14:paraId="58A44191" w14:textId="77777777" w:rsidR="00F67118" w:rsidRPr="004C70EC" w:rsidRDefault="00F67118">
            <w:pPr>
              <w:spacing w:before="0" w:after="0"/>
              <w:jc w:val="center"/>
              <w:rPr>
                <w:rFonts w:eastAsia="Times New Roman"/>
                <w:noProof/>
                <w:color w:val="000000"/>
                <w:sz w:val="20"/>
                <w:szCs w:val="20"/>
                <w:lang w:val="en-IE" w:eastAsia="en-IE"/>
              </w:rPr>
            </w:pPr>
            <w:r w:rsidRPr="004C70EC">
              <w:rPr>
                <w:rFonts w:eastAsia="Times New Roman"/>
                <w:noProof/>
                <w:color w:val="000000"/>
                <w:sz w:val="20"/>
                <w:szCs w:val="20"/>
                <w:lang w:val="en-IE" w:eastAsia="en-IE"/>
              </w:rPr>
              <w:t>Year</w:t>
            </w:r>
          </w:p>
        </w:tc>
        <w:tc>
          <w:tcPr>
            <w:tcW w:w="816" w:type="dxa"/>
            <w:tcBorders>
              <w:top w:val="single" w:sz="8" w:space="0" w:color="auto"/>
              <w:left w:val="nil"/>
              <w:bottom w:val="nil"/>
              <w:right w:val="single" w:sz="8" w:space="0" w:color="auto"/>
            </w:tcBorders>
            <w:shd w:val="clear" w:color="000000" w:fill="FFFFFF"/>
            <w:vAlign w:val="bottom"/>
            <w:hideMark/>
          </w:tcPr>
          <w:p w14:paraId="3074460C" w14:textId="77777777" w:rsidR="00F67118" w:rsidRPr="004C70EC" w:rsidRDefault="00F67118">
            <w:pPr>
              <w:spacing w:before="0" w:after="0"/>
              <w:jc w:val="center"/>
              <w:rPr>
                <w:rFonts w:eastAsia="Times New Roman"/>
                <w:noProof/>
                <w:color w:val="000000"/>
                <w:sz w:val="20"/>
                <w:szCs w:val="20"/>
                <w:lang w:val="en-IE" w:eastAsia="en-IE"/>
              </w:rPr>
            </w:pPr>
            <w:r w:rsidRPr="004C70EC">
              <w:rPr>
                <w:rFonts w:eastAsia="Times New Roman"/>
                <w:noProof/>
                <w:color w:val="000000"/>
                <w:sz w:val="20"/>
                <w:szCs w:val="20"/>
                <w:lang w:val="en-IE" w:eastAsia="en-IE"/>
              </w:rPr>
              <w:t>Year</w:t>
            </w:r>
          </w:p>
        </w:tc>
        <w:tc>
          <w:tcPr>
            <w:tcW w:w="830" w:type="dxa"/>
            <w:vMerge w:val="restart"/>
            <w:tcBorders>
              <w:top w:val="single" w:sz="8" w:space="0" w:color="auto"/>
              <w:left w:val="single" w:sz="8" w:space="0" w:color="auto"/>
              <w:bottom w:val="single" w:sz="8" w:space="0" w:color="000000"/>
              <w:right w:val="single" w:sz="8" w:space="0" w:color="auto"/>
            </w:tcBorders>
            <w:vAlign w:val="center"/>
            <w:hideMark/>
          </w:tcPr>
          <w:p w14:paraId="77B00330" w14:textId="77777777" w:rsidR="00F67118" w:rsidRPr="004C70EC" w:rsidRDefault="00F67118">
            <w:pPr>
              <w:spacing w:before="0" w:after="0"/>
              <w:jc w:val="center"/>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TOTAL</w:t>
            </w:r>
            <w:r w:rsidRPr="004C70EC">
              <w:rPr>
                <w:rFonts w:eastAsia="Times New Roman"/>
                <w:b/>
                <w:bCs/>
                <w:noProof/>
                <w:color w:val="000000"/>
                <w:sz w:val="20"/>
                <w:szCs w:val="20"/>
                <w:lang w:val="en-IE" w:eastAsia="en-IE"/>
              </w:rPr>
              <w:br/>
              <w:t>2028 - 2034</w:t>
            </w:r>
          </w:p>
        </w:tc>
        <w:tc>
          <w:tcPr>
            <w:tcW w:w="699" w:type="dxa"/>
            <w:tcBorders>
              <w:top w:val="single" w:sz="8" w:space="0" w:color="auto"/>
              <w:left w:val="nil"/>
              <w:bottom w:val="nil"/>
              <w:right w:val="single" w:sz="8" w:space="0" w:color="auto"/>
            </w:tcBorders>
            <w:shd w:val="clear" w:color="000000" w:fill="FFFFFF"/>
            <w:vAlign w:val="bottom"/>
            <w:hideMark/>
          </w:tcPr>
          <w:p w14:paraId="3677378F" w14:textId="77777777" w:rsidR="00F67118" w:rsidRPr="004C70EC" w:rsidRDefault="00F67118">
            <w:pPr>
              <w:spacing w:before="0" w:after="0"/>
              <w:jc w:val="center"/>
              <w:rPr>
                <w:rFonts w:eastAsia="Times New Roman"/>
                <w:noProof/>
                <w:color w:val="000000"/>
                <w:sz w:val="20"/>
                <w:szCs w:val="20"/>
                <w:lang w:val="en-IE" w:eastAsia="en-IE"/>
              </w:rPr>
            </w:pPr>
            <w:r w:rsidRPr="004C70EC">
              <w:rPr>
                <w:rFonts w:eastAsia="Times New Roman"/>
                <w:noProof/>
                <w:color w:val="000000"/>
                <w:sz w:val="20"/>
                <w:szCs w:val="20"/>
                <w:lang w:val="en-IE" w:eastAsia="en-IE"/>
              </w:rPr>
              <w:t>POST</w:t>
            </w:r>
          </w:p>
        </w:tc>
      </w:tr>
      <w:tr w:rsidR="00F67118" w:rsidRPr="004C70EC" w14:paraId="13DAE162" w14:textId="77777777" w:rsidTr="00C614E8">
        <w:trPr>
          <w:trHeight w:val="351"/>
        </w:trPr>
        <w:tc>
          <w:tcPr>
            <w:tcW w:w="2521" w:type="dxa"/>
            <w:vMerge/>
            <w:tcBorders>
              <w:top w:val="single" w:sz="8" w:space="0" w:color="auto"/>
              <w:left w:val="single" w:sz="8" w:space="0" w:color="auto"/>
              <w:bottom w:val="single" w:sz="8" w:space="0" w:color="000000"/>
              <w:right w:val="single" w:sz="8" w:space="0" w:color="auto"/>
            </w:tcBorders>
            <w:vAlign w:val="center"/>
            <w:hideMark/>
          </w:tcPr>
          <w:p w14:paraId="59C63A70" w14:textId="77777777" w:rsidR="00F67118" w:rsidRPr="004C70EC" w:rsidRDefault="00F67118">
            <w:pPr>
              <w:spacing w:before="0" w:after="0"/>
              <w:jc w:val="left"/>
              <w:rPr>
                <w:rFonts w:eastAsia="Times New Roman"/>
                <w:b/>
                <w:bCs/>
                <w:noProof/>
                <w:color w:val="444444"/>
                <w:sz w:val="20"/>
                <w:szCs w:val="20"/>
                <w:lang w:val="en-IE" w:eastAsia="en-IE"/>
              </w:rPr>
            </w:pPr>
          </w:p>
        </w:tc>
        <w:tc>
          <w:tcPr>
            <w:tcW w:w="859" w:type="dxa"/>
            <w:tcBorders>
              <w:top w:val="nil"/>
              <w:left w:val="nil"/>
              <w:bottom w:val="single" w:sz="8" w:space="0" w:color="auto"/>
              <w:right w:val="single" w:sz="8" w:space="0" w:color="auto"/>
            </w:tcBorders>
            <w:vAlign w:val="center"/>
            <w:hideMark/>
          </w:tcPr>
          <w:p w14:paraId="24BCC277" w14:textId="77777777" w:rsidR="00F67118" w:rsidRPr="004C70EC" w:rsidRDefault="00F67118">
            <w:pPr>
              <w:spacing w:before="0" w:after="0"/>
              <w:jc w:val="center"/>
              <w:rPr>
                <w:rFonts w:eastAsia="Times New Roman"/>
                <w:b/>
                <w:bCs/>
                <w:noProof/>
                <w:color w:val="444444"/>
                <w:sz w:val="20"/>
                <w:szCs w:val="20"/>
                <w:lang w:val="en-IE" w:eastAsia="en-IE"/>
              </w:rPr>
            </w:pPr>
            <w:r w:rsidRPr="004C70EC">
              <w:rPr>
                <w:rFonts w:eastAsia="Times New Roman"/>
                <w:b/>
                <w:bCs/>
                <w:noProof/>
                <w:color w:val="444444"/>
                <w:sz w:val="20"/>
                <w:szCs w:val="20"/>
                <w:lang w:val="en-IE" w:eastAsia="en-IE"/>
              </w:rPr>
              <w:t>2028</w:t>
            </w:r>
          </w:p>
        </w:tc>
        <w:tc>
          <w:tcPr>
            <w:tcW w:w="859" w:type="dxa"/>
            <w:tcBorders>
              <w:top w:val="nil"/>
              <w:left w:val="nil"/>
              <w:bottom w:val="single" w:sz="8" w:space="0" w:color="auto"/>
              <w:right w:val="single" w:sz="8" w:space="0" w:color="auto"/>
            </w:tcBorders>
            <w:vAlign w:val="center"/>
            <w:hideMark/>
          </w:tcPr>
          <w:p w14:paraId="787D18A8" w14:textId="77777777" w:rsidR="00F67118" w:rsidRPr="004C70EC" w:rsidRDefault="00F67118">
            <w:pPr>
              <w:spacing w:before="0" w:after="0"/>
              <w:jc w:val="center"/>
              <w:rPr>
                <w:rFonts w:eastAsia="Times New Roman"/>
                <w:b/>
                <w:bCs/>
                <w:noProof/>
                <w:color w:val="444444"/>
                <w:sz w:val="20"/>
                <w:szCs w:val="20"/>
                <w:lang w:val="en-IE" w:eastAsia="en-IE"/>
              </w:rPr>
            </w:pPr>
            <w:r w:rsidRPr="004C70EC">
              <w:rPr>
                <w:rFonts w:eastAsia="Times New Roman"/>
                <w:b/>
                <w:bCs/>
                <w:noProof/>
                <w:color w:val="444444"/>
                <w:sz w:val="20"/>
                <w:szCs w:val="20"/>
                <w:lang w:val="en-IE" w:eastAsia="en-IE"/>
              </w:rPr>
              <w:t>2029</w:t>
            </w:r>
          </w:p>
        </w:tc>
        <w:tc>
          <w:tcPr>
            <w:tcW w:w="859" w:type="dxa"/>
            <w:tcBorders>
              <w:top w:val="nil"/>
              <w:left w:val="nil"/>
              <w:bottom w:val="single" w:sz="8" w:space="0" w:color="auto"/>
              <w:right w:val="single" w:sz="8" w:space="0" w:color="auto"/>
            </w:tcBorders>
            <w:vAlign w:val="center"/>
            <w:hideMark/>
          </w:tcPr>
          <w:p w14:paraId="7227E588" w14:textId="77777777" w:rsidR="00F67118" w:rsidRPr="004C70EC" w:rsidRDefault="00F67118">
            <w:pPr>
              <w:spacing w:before="0" w:after="0"/>
              <w:jc w:val="center"/>
              <w:rPr>
                <w:rFonts w:eastAsia="Times New Roman"/>
                <w:b/>
                <w:bCs/>
                <w:noProof/>
                <w:color w:val="444444"/>
                <w:sz w:val="20"/>
                <w:szCs w:val="20"/>
                <w:lang w:val="en-IE" w:eastAsia="en-IE"/>
              </w:rPr>
            </w:pPr>
            <w:r w:rsidRPr="004C70EC">
              <w:rPr>
                <w:rFonts w:eastAsia="Times New Roman"/>
                <w:b/>
                <w:bCs/>
                <w:noProof/>
                <w:color w:val="444444"/>
                <w:sz w:val="20"/>
                <w:szCs w:val="20"/>
                <w:lang w:val="en-IE" w:eastAsia="en-IE"/>
              </w:rPr>
              <w:t>2030</w:t>
            </w:r>
          </w:p>
        </w:tc>
        <w:tc>
          <w:tcPr>
            <w:tcW w:w="816" w:type="dxa"/>
            <w:tcBorders>
              <w:top w:val="nil"/>
              <w:left w:val="nil"/>
              <w:bottom w:val="single" w:sz="8" w:space="0" w:color="auto"/>
              <w:right w:val="single" w:sz="8" w:space="0" w:color="auto"/>
            </w:tcBorders>
            <w:vAlign w:val="center"/>
            <w:hideMark/>
          </w:tcPr>
          <w:p w14:paraId="7F9D8006" w14:textId="77777777" w:rsidR="00F67118" w:rsidRPr="004C70EC" w:rsidRDefault="00F67118">
            <w:pPr>
              <w:spacing w:before="0" w:after="0"/>
              <w:jc w:val="center"/>
              <w:rPr>
                <w:rFonts w:eastAsia="Times New Roman"/>
                <w:b/>
                <w:bCs/>
                <w:noProof/>
                <w:color w:val="444444"/>
                <w:sz w:val="20"/>
                <w:szCs w:val="20"/>
                <w:lang w:val="en-IE" w:eastAsia="en-IE"/>
              </w:rPr>
            </w:pPr>
            <w:r w:rsidRPr="004C70EC">
              <w:rPr>
                <w:rFonts w:eastAsia="Times New Roman"/>
                <w:b/>
                <w:bCs/>
                <w:noProof/>
                <w:color w:val="444444"/>
                <w:sz w:val="20"/>
                <w:szCs w:val="20"/>
                <w:lang w:val="en-IE" w:eastAsia="en-IE"/>
              </w:rPr>
              <w:t>2031</w:t>
            </w:r>
          </w:p>
        </w:tc>
        <w:tc>
          <w:tcPr>
            <w:tcW w:w="816" w:type="dxa"/>
            <w:tcBorders>
              <w:top w:val="nil"/>
              <w:left w:val="nil"/>
              <w:bottom w:val="single" w:sz="8" w:space="0" w:color="auto"/>
              <w:right w:val="single" w:sz="8" w:space="0" w:color="auto"/>
            </w:tcBorders>
            <w:vAlign w:val="center"/>
            <w:hideMark/>
          </w:tcPr>
          <w:p w14:paraId="58455C7E" w14:textId="77777777" w:rsidR="00F67118" w:rsidRPr="004C70EC" w:rsidRDefault="00F67118">
            <w:pPr>
              <w:spacing w:before="0" w:after="0"/>
              <w:jc w:val="center"/>
              <w:rPr>
                <w:rFonts w:eastAsia="Times New Roman"/>
                <w:b/>
                <w:bCs/>
                <w:noProof/>
                <w:color w:val="444444"/>
                <w:sz w:val="20"/>
                <w:szCs w:val="20"/>
                <w:lang w:val="en-IE" w:eastAsia="en-IE"/>
              </w:rPr>
            </w:pPr>
            <w:r w:rsidRPr="004C70EC">
              <w:rPr>
                <w:rFonts w:eastAsia="Times New Roman"/>
                <w:b/>
                <w:bCs/>
                <w:noProof/>
                <w:color w:val="444444"/>
                <w:sz w:val="20"/>
                <w:szCs w:val="20"/>
                <w:lang w:val="en-IE" w:eastAsia="en-IE"/>
              </w:rPr>
              <w:t>2032</w:t>
            </w:r>
          </w:p>
        </w:tc>
        <w:tc>
          <w:tcPr>
            <w:tcW w:w="816" w:type="dxa"/>
            <w:tcBorders>
              <w:top w:val="nil"/>
              <w:left w:val="nil"/>
              <w:bottom w:val="single" w:sz="8" w:space="0" w:color="auto"/>
              <w:right w:val="single" w:sz="8" w:space="0" w:color="auto"/>
            </w:tcBorders>
            <w:vAlign w:val="center"/>
            <w:hideMark/>
          </w:tcPr>
          <w:p w14:paraId="77FA206B" w14:textId="77777777" w:rsidR="00F67118" w:rsidRPr="004C70EC" w:rsidRDefault="00F67118">
            <w:pPr>
              <w:spacing w:before="0" w:after="0"/>
              <w:jc w:val="center"/>
              <w:rPr>
                <w:rFonts w:eastAsia="Times New Roman"/>
                <w:b/>
                <w:bCs/>
                <w:noProof/>
                <w:color w:val="444444"/>
                <w:sz w:val="20"/>
                <w:szCs w:val="20"/>
                <w:lang w:val="en-IE" w:eastAsia="en-IE"/>
              </w:rPr>
            </w:pPr>
            <w:r w:rsidRPr="004C70EC">
              <w:rPr>
                <w:rFonts w:eastAsia="Times New Roman"/>
                <w:b/>
                <w:bCs/>
                <w:noProof/>
                <w:color w:val="444444"/>
                <w:sz w:val="20"/>
                <w:szCs w:val="20"/>
                <w:lang w:val="en-IE" w:eastAsia="en-IE"/>
              </w:rPr>
              <w:t>2033</w:t>
            </w:r>
          </w:p>
        </w:tc>
        <w:tc>
          <w:tcPr>
            <w:tcW w:w="816" w:type="dxa"/>
            <w:tcBorders>
              <w:top w:val="nil"/>
              <w:left w:val="nil"/>
              <w:bottom w:val="single" w:sz="8" w:space="0" w:color="auto"/>
              <w:right w:val="single" w:sz="8" w:space="0" w:color="auto"/>
            </w:tcBorders>
            <w:vAlign w:val="center"/>
            <w:hideMark/>
          </w:tcPr>
          <w:p w14:paraId="51BA901F" w14:textId="77777777" w:rsidR="00F67118" w:rsidRPr="004C70EC" w:rsidRDefault="00F67118">
            <w:pPr>
              <w:spacing w:before="0" w:after="0"/>
              <w:jc w:val="center"/>
              <w:rPr>
                <w:rFonts w:eastAsia="Times New Roman"/>
                <w:b/>
                <w:bCs/>
                <w:noProof/>
                <w:color w:val="444444"/>
                <w:sz w:val="20"/>
                <w:szCs w:val="20"/>
                <w:lang w:val="en-IE" w:eastAsia="en-IE"/>
              </w:rPr>
            </w:pPr>
            <w:r w:rsidRPr="004C70EC">
              <w:rPr>
                <w:rFonts w:eastAsia="Times New Roman"/>
                <w:b/>
                <w:bCs/>
                <w:noProof/>
                <w:color w:val="444444"/>
                <w:sz w:val="20"/>
                <w:szCs w:val="20"/>
                <w:lang w:val="en-IE" w:eastAsia="en-IE"/>
              </w:rPr>
              <w:t>2034</w:t>
            </w:r>
          </w:p>
        </w:tc>
        <w:tc>
          <w:tcPr>
            <w:tcW w:w="830" w:type="dxa"/>
            <w:vMerge/>
            <w:tcBorders>
              <w:top w:val="single" w:sz="8" w:space="0" w:color="auto"/>
              <w:left w:val="single" w:sz="8" w:space="0" w:color="auto"/>
              <w:bottom w:val="single" w:sz="8" w:space="0" w:color="000000"/>
              <w:right w:val="single" w:sz="8" w:space="0" w:color="auto"/>
            </w:tcBorders>
            <w:vAlign w:val="center"/>
            <w:hideMark/>
          </w:tcPr>
          <w:p w14:paraId="7D37DAC9" w14:textId="77777777" w:rsidR="00F67118" w:rsidRPr="004C70EC" w:rsidRDefault="00F67118">
            <w:pPr>
              <w:spacing w:before="0" w:after="0"/>
              <w:jc w:val="left"/>
              <w:rPr>
                <w:rFonts w:eastAsia="Times New Roman"/>
                <w:b/>
                <w:bCs/>
                <w:noProof/>
                <w:color w:val="000000"/>
                <w:sz w:val="20"/>
                <w:szCs w:val="20"/>
                <w:lang w:val="en-IE" w:eastAsia="en-IE"/>
              </w:rPr>
            </w:pPr>
          </w:p>
        </w:tc>
        <w:tc>
          <w:tcPr>
            <w:tcW w:w="699" w:type="dxa"/>
            <w:tcBorders>
              <w:top w:val="nil"/>
              <w:left w:val="nil"/>
              <w:bottom w:val="single" w:sz="8" w:space="0" w:color="auto"/>
              <w:right w:val="single" w:sz="8" w:space="0" w:color="auto"/>
            </w:tcBorders>
            <w:shd w:val="clear" w:color="000000" w:fill="FFFFFF"/>
            <w:hideMark/>
          </w:tcPr>
          <w:p w14:paraId="62D155F1" w14:textId="77777777" w:rsidR="00F67118" w:rsidRPr="004C70EC" w:rsidRDefault="00F67118">
            <w:pPr>
              <w:spacing w:before="0" w:after="0"/>
              <w:jc w:val="center"/>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2034</w:t>
            </w:r>
          </w:p>
        </w:tc>
      </w:tr>
      <w:tr w:rsidR="00F67118" w:rsidRPr="004C70EC" w14:paraId="440963F3" w14:textId="77777777" w:rsidTr="00C614E8">
        <w:trPr>
          <w:trHeight w:val="351"/>
        </w:trPr>
        <w:tc>
          <w:tcPr>
            <w:tcW w:w="2521" w:type="dxa"/>
            <w:tcBorders>
              <w:top w:val="nil"/>
              <w:left w:val="single" w:sz="8" w:space="0" w:color="auto"/>
              <w:bottom w:val="single" w:sz="8" w:space="0" w:color="auto"/>
              <w:right w:val="single" w:sz="8" w:space="0" w:color="auto"/>
            </w:tcBorders>
            <w:vAlign w:val="center"/>
            <w:hideMark/>
          </w:tcPr>
          <w:p w14:paraId="4F05367B" w14:textId="77777777" w:rsidR="00F67118" w:rsidRPr="004C70EC" w:rsidRDefault="00F67118">
            <w:pPr>
              <w:spacing w:before="0" w:after="0"/>
              <w:jc w:val="left"/>
              <w:rPr>
                <w:rFonts w:eastAsia="Times New Roman"/>
                <w:noProof/>
                <w:color w:val="000000"/>
                <w:sz w:val="20"/>
                <w:szCs w:val="20"/>
                <w:lang w:val="en-IE" w:eastAsia="en-IE"/>
              </w:rPr>
            </w:pPr>
            <w:r w:rsidRPr="004C70EC">
              <w:rPr>
                <w:rFonts w:eastAsia="Times New Roman"/>
                <w:noProof/>
                <w:color w:val="000000"/>
                <w:sz w:val="20"/>
                <w:szCs w:val="20"/>
                <w:lang w:val="en-IE" w:eastAsia="en-IE"/>
              </w:rPr>
              <w:t>Temporary agents (AD+AST)</w:t>
            </w:r>
          </w:p>
        </w:tc>
        <w:tc>
          <w:tcPr>
            <w:tcW w:w="859" w:type="dxa"/>
            <w:tcBorders>
              <w:top w:val="nil"/>
              <w:left w:val="nil"/>
              <w:bottom w:val="single" w:sz="8" w:space="0" w:color="auto"/>
              <w:right w:val="single" w:sz="8" w:space="0" w:color="auto"/>
            </w:tcBorders>
            <w:vAlign w:val="center"/>
            <w:hideMark/>
          </w:tcPr>
          <w:p w14:paraId="1607EA46"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6</w:t>
            </w:r>
          </w:p>
        </w:tc>
        <w:tc>
          <w:tcPr>
            <w:tcW w:w="859" w:type="dxa"/>
            <w:tcBorders>
              <w:top w:val="nil"/>
              <w:left w:val="nil"/>
              <w:bottom w:val="single" w:sz="8" w:space="0" w:color="auto"/>
              <w:right w:val="single" w:sz="8" w:space="0" w:color="auto"/>
            </w:tcBorders>
            <w:vAlign w:val="center"/>
            <w:hideMark/>
          </w:tcPr>
          <w:p w14:paraId="48B32DE3"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6</w:t>
            </w:r>
          </w:p>
        </w:tc>
        <w:tc>
          <w:tcPr>
            <w:tcW w:w="859" w:type="dxa"/>
            <w:tcBorders>
              <w:top w:val="nil"/>
              <w:left w:val="nil"/>
              <w:bottom w:val="single" w:sz="8" w:space="0" w:color="auto"/>
              <w:right w:val="single" w:sz="8" w:space="0" w:color="auto"/>
            </w:tcBorders>
            <w:vAlign w:val="center"/>
            <w:hideMark/>
          </w:tcPr>
          <w:p w14:paraId="1CF4289F"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6</w:t>
            </w:r>
          </w:p>
        </w:tc>
        <w:tc>
          <w:tcPr>
            <w:tcW w:w="816" w:type="dxa"/>
            <w:tcBorders>
              <w:top w:val="nil"/>
              <w:left w:val="nil"/>
              <w:bottom w:val="single" w:sz="8" w:space="0" w:color="auto"/>
              <w:right w:val="single" w:sz="8" w:space="0" w:color="auto"/>
            </w:tcBorders>
            <w:vAlign w:val="center"/>
            <w:hideMark/>
          </w:tcPr>
          <w:p w14:paraId="5DC7165B"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6</w:t>
            </w:r>
          </w:p>
        </w:tc>
        <w:tc>
          <w:tcPr>
            <w:tcW w:w="816" w:type="dxa"/>
            <w:tcBorders>
              <w:top w:val="nil"/>
              <w:left w:val="nil"/>
              <w:bottom w:val="single" w:sz="8" w:space="0" w:color="auto"/>
              <w:right w:val="single" w:sz="8" w:space="0" w:color="auto"/>
            </w:tcBorders>
            <w:vAlign w:val="center"/>
            <w:hideMark/>
          </w:tcPr>
          <w:p w14:paraId="39B17C8C"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6</w:t>
            </w:r>
          </w:p>
        </w:tc>
        <w:tc>
          <w:tcPr>
            <w:tcW w:w="816" w:type="dxa"/>
            <w:tcBorders>
              <w:top w:val="nil"/>
              <w:left w:val="nil"/>
              <w:bottom w:val="single" w:sz="8" w:space="0" w:color="auto"/>
              <w:right w:val="single" w:sz="8" w:space="0" w:color="auto"/>
            </w:tcBorders>
            <w:vAlign w:val="center"/>
            <w:hideMark/>
          </w:tcPr>
          <w:p w14:paraId="6903D861"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6</w:t>
            </w:r>
          </w:p>
        </w:tc>
        <w:tc>
          <w:tcPr>
            <w:tcW w:w="816" w:type="dxa"/>
            <w:tcBorders>
              <w:top w:val="nil"/>
              <w:left w:val="nil"/>
              <w:bottom w:val="single" w:sz="8" w:space="0" w:color="auto"/>
              <w:right w:val="single" w:sz="8" w:space="0" w:color="auto"/>
            </w:tcBorders>
            <w:vAlign w:val="center"/>
            <w:hideMark/>
          </w:tcPr>
          <w:p w14:paraId="5390F30E"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6</w:t>
            </w:r>
          </w:p>
        </w:tc>
        <w:tc>
          <w:tcPr>
            <w:tcW w:w="830" w:type="dxa"/>
            <w:tcBorders>
              <w:top w:val="nil"/>
              <w:left w:val="nil"/>
              <w:bottom w:val="single" w:sz="8" w:space="0" w:color="auto"/>
              <w:right w:val="single" w:sz="8" w:space="0" w:color="auto"/>
            </w:tcBorders>
            <w:shd w:val="clear" w:color="000000" w:fill="808080"/>
            <w:vAlign w:val="center"/>
            <w:hideMark/>
          </w:tcPr>
          <w:p w14:paraId="7AC9368D" w14:textId="77777777" w:rsidR="00F67118" w:rsidRPr="004C70EC" w:rsidRDefault="00F67118">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 </w:t>
            </w:r>
          </w:p>
        </w:tc>
        <w:tc>
          <w:tcPr>
            <w:tcW w:w="699" w:type="dxa"/>
            <w:tcBorders>
              <w:top w:val="nil"/>
              <w:left w:val="nil"/>
              <w:bottom w:val="single" w:sz="8" w:space="0" w:color="auto"/>
              <w:right w:val="single" w:sz="8" w:space="0" w:color="auto"/>
            </w:tcBorders>
            <w:vAlign w:val="center"/>
            <w:hideMark/>
          </w:tcPr>
          <w:p w14:paraId="143EB098"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6</w:t>
            </w:r>
          </w:p>
        </w:tc>
      </w:tr>
      <w:tr w:rsidR="00F67118" w:rsidRPr="004C70EC" w14:paraId="220D89C4" w14:textId="77777777" w:rsidTr="00C614E8">
        <w:trPr>
          <w:trHeight w:val="351"/>
        </w:trPr>
        <w:tc>
          <w:tcPr>
            <w:tcW w:w="2521" w:type="dxa"/>
            <w:tcBorders>
              <w:top w:val="nil"/>
              <w:left w:val="single" w:sz="8" w:space="0" w:color="auto"/>
              <w:bottom w:val="single" w:sz="8" w:space="0" w:color="auto"/>
              <w:right w:val="single" w:sz="8" w:space="0" w:color="auto"/>
            </w:tcBorders>
            <w:vAlign w:val="center"/>
            <w:hideMark/>
          </w:tcPr>
          <w:p w14:paraId="374C4BFA" w14:textId="77777777" w:rsidR="00F67118" w:rsidRPr="004C70EC" w:rsidRDefault="00F67118">
            <w:pPr>
              <w:spacing w:before="0" w:after="0"/>
              <w:jc w:val="left"/>
              <w:rPr>
                <w:rFonts w:eastAsia="Times New Roman"/>
                <w:noProof/>
                <w:color w:val="000000"/>
                <w:sz w:val="20"/>
                <w:szCs w:val="20"/>
                <w:lang w:val="en-IE" w:eastAsia="en-IE"/>
              </w:rPr>
            </w:pPr>
            <w:r w:rsidRPr="004C70EC">
              <w:rPr>
                <w:rFonts w:eastAsia="Times New Roman"/>
                <w:noProof/>
                <w:color w:val="000000"/>
                <w:sz w:val="20"/>
                <w:szCs w:val="20"/>
                <w:lang w:val="en-IE" w:eastAsia="en-IE"/>
              </w:rPr>
              <w:t>Contract agents</w:t>
            </w:r>
          </w:p>
        </w:tc>
        <w:tc>
          <w:tcPr>
            <w:tcW w:w="859" w:type="dxa"/>
            <w:tcBorders>
              <w:top w:val="nil"/>
              <w:left w:val="nil"/>
              <w:bottom w:val="single" w:sz="8" w:space="0" w:color="auto"/>
              <w:right w:val="single" w:sz="8" w:space="0" w:color="auto"/>
            </w:tcBorders>
            <w:vAlign w:val="center"/>
            <w:hideMark/>
          </w:tcPr>
          <w:p w14:paraId="050B827A"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8</w:t>
            </w:r>
          </w:p>
        </w:tc>
        <w:tc>
          <w:tcPr>
            <w:tcW w:w="859" w:type="dxa"/>
            <w:tcBorders>
              <w:top w:val="nil"/>
              <w:left w:val="nil"/>
              <w:bottom w:val="single" w:sz="8" w:space="0" w:color="auto"/>
              <w:right w:val="single" w:sz="8" w:space="0" w:color="auto"/>
            </w:tcBorders>
            <w:vAlign w:val="center"/>
            <w:hideMark/>
          </w:tcPr>
          <w:p w14:paraId="25992ED4"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8</w:t>
            </w:r>
          </w:p>
        </w:tc>
        <w:tc>
          <w:tcPr>
            <w:tcW w:w="859" w:type="dxa"/>
            <w:tcBorders>
              <w:top w:val="nil"/>
              <w:left w:val="nil"/>
              <w:bottom w:val="single" w:sz="8" w:space="0" w:color="auto"/>
              <w:right w:val="single" w:sz="8" w:space="0" w:color="auto"/>
            </w:tcBorders>
            <w:vAlign w:val="center"/>
            <w:hideMark/>
          </w:tcPr>
          <w:p w14:paraId="00A650D0"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8</w:t>
            </w:r>
          </w:p>
        </w:tc>
        <w:tc>
          <w:tcPr>
            <w:tcW w:w="816" w:type="dxa"/>
            <w:tcBorders>
              <w:top w:val="nil"/>
              <w:left w:val="nil"/>
              <w:bottom w:val="single" w:sz="8" w:space="0" w:color="auto"/>
              <w:right w:val="single" w:sz="8" w:space="0" w:color="auto"/>
            </w:tcBorders>
            <w:vAlign w:val="center"/>
            <w:hideMark/>
          </w:tcPr>
          <w:p w14:paraId="0776EE38"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8</w:t>
            </w:r>
          </w:p>
        </w:tc>
        <w:tc>
          <w:tcPr>
            <w:tcW w:w="816" w:type="dxa"/>
            <w:tcBorders>
              <w:top w:val="nil"/>
              <w:left w:val="nil"/>
              <w:bottom w:val="single" w:sz="8" w:space="0" w:color="auto"/>
              <w:right w:val="single" w:sz="8" w:space="0" w:color="auto"/>
            </w:tcBorders>
            <w:vAlign w:val="center"/>
            <w:hideMark/>
          </w:tcPr>
          <w:p w14:paraId="789D85BA"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8</w:t>
            </w:r>
          </w:p>
        </w:tc>
        <w:tc>
          <w:tcPr>
            <w:tcW w:w="816" w:type="dxa"/>
            <w:tcBorders>
              <w:top w:val="nil"/>
              <w:left w:val="nil"/>
              <w:bottom w:val="single" w:sz="8" w:space="0" w:color="auto"/>
              <w:right w:val="single" w:sz="8" w:space="0" w:color="auto"/>
            </w:tcBorders>
            <w:vAlign w:val="center"/>
            <w:hideMark/>
          </w:tcPr>
          <w:p w14:paraId="4E201C6E"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8</w:t>
            </w:r>
          </w:p>
        </w:tc>
        <w:tc>
          <w:tcPr>
            <w:tcW w:w="816" w:type="dxa"/>
            <w:tcBorders>
              <w:top w:val="nil"/>
              <w:left w:val="nil"/>
              <w:bottom w:val="single" w:sz="8" w:space="0" w:color="auto"/>
              <w:right w:val="single" w:sz="8" w:space="0" w:color="auto"/>
            </w:tcBorders>
            <w:vAlign w:val="center"/>
            <w:hideMark/>
          </w:tcPr>
          <w:p w14:paraId="40EF80C0"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8</w:t>
            </w:r>
          </w:p>
        </w:tc>
        <w:tc>
          <w:tcPr>
            <w:tcW w:w="830" w:type="dxa"/>
            <w:tcBorders>
              <w:top w:val="nil"/>
              <w:left w:val="nil"/>
              <w:bottom w:val="single" w:sz="8" w:space="0" w:color="auto"/>
              <w:right w:val="single" w:sz="8" w:space="0" w:color="auto"/>
            </w:tcBorders>
            <w:shd w:val="clear" w:color="000000" w:fill="808080"/>
            <w:vAlign w:val="center"/>
            <w:hideMark/>
          </w:tcPr>
          <w:p w14:paraId="3F2B28F5" w14:textId="77777777" w:rsidR="00F67118" w:rsidRPr="004C70EC" w:rsidRDefault="00F67118">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 </w:t>
            </w:r>
          </w:p>
        </w:tc>
        <w:tc>
          <w:tcPr>
            <w:tcW w:w="699" w:type="dxa"/>
            <w:tcBorders>
              <w:top w:val="nil"/>
              <w:left w:val="nil"/>
              <w:bottom w:val="single" w:sz="8" w:space="0" w:color="auto"/>
              <w:right w:val="single" w:sz="8" w:space="0" w:color="auto"/>
            </w:tcBorders>
            <w:vAlign w:val="center"/>
            <w:hideMark/>
          </w:tcPr>
          <w:p w14:paraId="75CF055C"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8</w:t>
            </w:r>
          </w:p>
        </w:tc>
      </w:tr>
      <w:tr w:rsidR="00F67118" w:rsidRPr="004C70EC" w14:paraId="37E5D1B3" w14:textId="77777777" w:rsidTr="00C614E8">
        <w:trPr>
          <w:trHeight w:val="351"/>
        </w:trPr>
        <w:tc>
          <w:tcPr>
            <w:tcW w:w="2521" w:type="dxa"/>
            <w:tcBorders>
              <w:top w:val="nil"/>
              <w:left w:val="single" w:sz="8" w:space="0" w:color="auto"/>
              <w:bottom w:val="single" w:sz="8" w:space="0" w:color="auto"/>
              <w:right w:val="single" w:sz="8" w:space="0" w:color="auto"/>
            </w:tcBorders>
            <w:vAlign w:val="center"/>
            <w:hideMark/>
          </w:tcPr>
          <w:p w14:paraId="7C6AFB0B" w14:textId="77777777" w:rsidR="00F67118" w:rsidRPr="004C70EC" w:rsidRDefault="00F67118">
            <w:pPr>
              <w:spacing w:before="0" w:after="0"/>
              <w:jc w:val="left"/>
              <w:rPr>
                <w:rFonts w:eastAsia="Times New Roman"/>
                <w:noProof/>
                <w:color w:val="000000"/>
                <w:sz w:val="20"/>
                <w:szCs w:val="20"/>
                <w:lang w:val="en-IE" w:eastAsia="en-IE"/>
              </w:rPr>
            </w:pPr>
            <w:r w:rsidRPr="004C70EC">
              <w:rPr>
                <w:rFonts w:eastAsia="Times New Roman"/>
                <w:noProof/>
                <w:color w:val="000000"/>
                <w:sz w:val="20"/>
                <w:szCs w:val="20"/>
                <w:lang w:val="en-IE" w:eastAsia="en-IE"/>
              </w:rPr>
              <w:t>Seconded National Experts</w:t>
            </w:r>
          </w:p>
        </w:tc>
        <w:tc>
          <w:tcPr>
            <w:tcW w:w="859" w:type="dxa"/>
            <w:tcBorders>
              <w:top w:val="nil"/>
              <w:left w:val="nil"/>
              <w:bottom w:val="single" w:sz="8" w:space="0" w:color="auto"/>
              <w:right w:val="single" w:sz="8" w:space="0" w:color="auto"/>
            </w:tcBorders>
            <w:vAlign w:val="center"/>
            <w:hideMark/>
          </w:tcPr>
          <w:p w14:paraId="2F2DC2D8"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0</w:t>
            </w:r>
          </w:p>
        </w:tc>
        <w:tc>
          <w:tcPr>
            <w:tcW w:w="859" w:type="dxa"/>
            <w:tcBorders>
              <w:top w:val="nil"/>
              <w:left w:val="nil"/>
              <w:bottom w:val="single" w:sz="8" w:space="0" w:color="auto"/>
              <w:right w:val="single" w:sz="8" w:space="0" w:color="auto"/>
            </w:tcBorders>
            <w:vAlign w:val="center"/>
            <w:hideMark/>
          </w:tcPr>
          <w:p w14:paraId="0998970A"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0</w:t>
            </w:r>
          </w:p>
        </w:tc>
        <w:tc>
          <w:tcPr>
            <w:tcW w:w="859" w:type="dxa"/>
            <w:tcBorders>
              <w:top w:val="nil"/>
              <w:left w:val="nil"/>
              <w:bottom w:val="single" w:sz="8" w:space="0" w:color="auto"/>
              <w:right w:val="single" w:sz="8" w:space="0" w:color="auto"/>
            </w:tcBorders>
            <w:vAlign w:val="center"/>
            <w:hideMark/>
          </w:tcPr>
          <w:p w14:paraId="3DE70172"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0</w:t>
            </w:r>
          </w:p>
        </w:tc>
        <w:tc>
          <w:tcPr>
            <w:tcW w:w="816" w:type="dxa"/>
            <w:tcBorders>
              <w:top w:val="nil"/>
              <w:left w:val="nil"/>
              <w:bottom w:val="single" w:sz="8" w:space="0" w:color="auto"/>
              <w:right w:val="single" w:sz="8" w:space="0" w:color="auto"/>
            </w:tcBorders>
            <w:vAlign w:val="center"/>
            <w:hideMark/>
          </w:tcPr>
          <w:p w14:paraId="622F4FB3"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0</w:t>
            </w:r>
          </w:p>
        </w:tc>
        <w:tc>
          <w:tcPr>
            <w:tcW w:w="816" w:type="dxa"/>
            <w:tcBorders>
              <w:top w:val="nil"/>
              <w:left w:val="nil"/>
              <w:bottom w:val="single" w:sz="8" w:space="0" w:color="auto"/>
              <w:right w:val="single" w:sz="8" w:space="0" w:color="auto"/>
            </w:tcBorders>
            <w:vAlign w:val="center"/>
            <w:hideMark/>
          </w:tcPr>
          <w:p w14:paraId="4C116556"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0</w:t>
            </w:r>
          </w:p>
        </w:tc>
        <w:tc>
          <w:tcPr>
            <w:tcW w:w="816" w:type="dxa"/>
            <w:tcBorders>
              <w:top w:val="nil"/>
              <w:left w:val="nil"/>
              <w:bottom w:val="single" w:sz="8" w:space="0" w:color="auto"/>
              <w:right w:val="single" w:sz="8" w:space="0" w:color="auto"/>
            </w:tcBorders>
            <w:vAlign w:val="center"/>
            <w:hideMark/>
          </w:tcPr>
          <w:p w14:paraId="52696FE1"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0</w:t>
            </w:r>
          </w:p>
        </w:tc>
        <w:tc>
          <w:tcPr>
            <w:tcW w:w="816" w:type="dxa"/>
            <w:tcBorders>
              <w:top w:val="nil"/>
              <w:left w:val="nil"/>
              <w:bottom w:val="single" w:sz="8" w:space="0" w:color="auto"/>
              <w:right w:val="single" w:sz="8" w:space="0" w:color="auto"/>
            </w:tcBorders>
            <w:vAlign w:val="center"/>
            <w:hideMark/>
          </w:tcPr>
          <w:p w14:paraId="31F5EA33"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0</w:t>
            </w:r>
          </w:p>
        </w:tc>
        <w:tc>
          <w:tcPr>
            <w:tcW w:w="830" w:type="dxa"/>
            <w:tcBorders>
              <w:top w:val="nil"/>
              <w:left w:val="nil"/>
              <w:bottom w:val="single" w:sz="8" w:space="0" w:color="auto"/>
              <w:right w:val="single" w:sz="8" w:space="0" w:color="auto"/>
            </w:tcBorders>
            <w:shd w:val="clear" w:color="000000" w:fill="808080"/>
            <w:vAlign w:val="center"/>
            <w:hideMark/>
          </w:tcPr>
          <w:p w14:paraId="422669BD" w14:textId="77777777" w:rsidR="00F67118" w:rsidRPr="004C70EC" w:rsidRDefault="00F67118">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 </w:t>
            </w:r>
          </w:p>
        </w:tc>
        <w:tc>
          <w:tcPr>
            <w:tcW w:w="699" w:type="dxa"/>
            <w:tcBorders>
              <w:top w:val="nil"/>
              <w:left w:val="nil"/>
              <w:bottom w:val="single" w:sz="8" w:space="0" w:color="auto"/>
              <w:right w:val="single" w:sz="8" w:space="0" w:color="auto"/>
            </w:tcBorders>
            <w:vAlign w:val="center"/>
            <w:hideMark/>
          </w:tcPr>
          <w:p w14:paraId="56B34EE0"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 </w:t>
            </w:r>
          </w:p>
        </w:tc>
      </w:tr>
      <w:tr w:rsidR="00F67118" w:rsidRPr="004C70EC" w14:paraId="559A4719" w14:textId="77777777">
        <w:trPr>
          <w:trHeight w:val="351"/>
        </w:trPr>
        <w:tc>
          <w:tcPr>
            <w:tcW w:w="2521" w:type="dxa"/>
            <w:tcBorders>
              <w:top w:val="nil"/>
              <w:left w:val="single" w:sz="8" w:space="0" w:color="auto"/>
              <w:bottom w:val="single" w:sz="8" w:space="0" w:color="auto"/>
              <w:right w:val="single" w:sz="8" w:space="0" w:color="auto"/>
            </w:tcBorders>
            <w:shd w:val="clear" w:color="000000" w:fill="BFBFBF"/>
            <w:vAlign w:val="center"/>
            <w:hideMark/>
          </w:tcPr>
          <w:p w14:paraId="06AA9034" w14:textId="77777777" w:rsidR="00F67118" w:rsidRPr="004C70EC" w:rsidRDefault="00F67118">
            <w:pPr>
              <w:spacing w:before="0" w:after="0"/>
              <w:jc w:val="lef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Total staff</w:t>
            </w:r>
          </w:p>
        </w:tc>
        <w:tc>
          <w:tcPr>
            <w:tcW w:w="859" w:type="dxa"/>
            <w:tcBorders>
              <w:top w:val="nil"/>
              <w:left w:val="nil"/>
              <w:bottom w:val="single" w:sz="8" w:space="0" w:color="auto"/>
              <w:right w:val="single" w:sz="8" w:space="0" w:color="auto"/>
            </w:tcBorders>
            <w:shd w:val="clear" w:color="000000" w:fill="BFBFBF"/>
            <w:vAlign w:val="center"/>
            <w:hideMark/>
          </w:tcPr>
          <w:p w14:paraId="586ADC01"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14</w:t>
            </w:r>
          </w:p>
        </w:tc>
        <w:tc>
          <w:tcPr>
            <w:tcW w:w="859" w:type="dxa"/>
            <w:tcBorders>
              <w:top w:val="nil"/>
              <w:left w:val="nil"/>
              <w:bottom w:val="single" w:sz="8" w:space="0" w:color="auto"/>
              <w:right w:val="single" w:sz="8" w:space="0" w:color="auto"/>
            </w:tcBorders>
            <w:shd w:val="clear" w:color="000000" w:fill="BFBFBF"/>
            <w:vAlign w:val="center"/>
            <w:hideMark/>
          </w:tcPr>
          <w:p w14:paraId="1686E649"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14</w:t>
            </w:r>
          </w:p>
        </w:tc>
        <w:tc>
          <w:tcPr>
            <w:tcW w:w="859" w:type="dxa"/>
            <w:tcBorders>
              <w:top w:val="nil"/>
              <w:left w:val="nil"/>
              <w:bottom w:val="single" w:sz="8" w:space="0" w:color="auto"/>
              <w:right w:val="single" w:sz="8" w:space="0" w:color="auto"/>
            </w:tcBorders>
            <w:shd w:val="clear" w:color="000000" w:fill="BFBFBF"/>
            <w:vAlign w:val="center"/>
            <w:hideMark/>
          </w:tcPr>
          <w:p w14:paraId="503D42C7"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14</w:t>
            </w:r>
          </w:p>
        </w:tc>
        <w:tc>
          <w:tcPr>
            <w:tcW w:w="816" w:type="dxa"/>
            <w:tcBorders>
              <w:top w:val="nil"/>
              <w:left w:val="nil"/>
              <w:bottom w:val="single" w:sz="8" w:space="0" w:color="auto"/>
              <w:right w:val="single" w:sz="8" w:space="0" w:color="auto"/>
            </w:tcBorders>
            <w:shd w:val="clear" w:color="000000" w:fill="BFBFBF"/>
            <w:vAlign w:val="center"/>
            <w:hideMark/>
          </w:tcPr>
          <w:p w14:paraId="5937B857"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14</w:t>
            </w:r>
          </w:p>
        </w:tc>
        <w:tc>
          <w:tcPr>
            <w:tcW w:w="816" w:type="dxa"/>
            <w:tcBorders>
              <w:top w:val="nil"/>
              <w:left w:val="nil"/>
              <w:bottom w:val="single" w:sz="8" w:space="0" w:color="auto"/>
              <w:right w:val="single" w:sz="8" w:space="0" w:color="auto"/>
            </w:tcBorders>
            <w:shd w:val="clear" w:color="000000" w:fill="BFBFBF"/>
            <w:vAlign w:val="center"/>
            <w:hideMark/>
          </w:tcPr>
          <w:p w14:paraId="49A7B899"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14</w:t>
            </w:r>
          </w:p>
        </w:tc>
        <w:tc>
          <w:tcPr>
            <w:tcW w:w="816" w:type="dxa"/>
            <w:tcBorders>
              <w:top w:val="nil"/>
              <w:left w:val="nil"/>
              <w:bottom w:val="single" w:sz="8" w:space="0" w:color="auto"/>
              <w:right w:val="single" w:sz="8" w:space="0" w:color="auto"/>
            </w:tcBorders>
            <w:shd w:val="clear" w:color="000000" w:fill="BFBFBF"/>
            <w:vAlign w:val="center"/>
            <w:hideMark/>
          </w:tcPr>
          <w:p w14:paraId="42619B00"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14</w:t>
            </w:r>
          </w:p>
        </w:tc>
        <w:tc>
          <w:tcPr>
            <w:tcW w:w="816" w:type="dxa"/>
            <w:tcBorders>
              <w:top w:val="nil"/>
              <w:left w:val="nil"/>
              <w:bottom w:val="single" w:sz="8" w:space="0" w:color="auto"/>
              <w:right w:val="single" w:sz="8" w:space="0" w:color="auto"/>
            </w:tcBorders>
            <w:shd w:val="clear" w:color="000000" w:fill="BFBFBF"/>
            <w:vAlign w:val="center"/>
            <w:hideMark/>
          </w:tcPr>
          <w:p w14:paraId="35842B8A"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14</w:t>
            </w:r>
          </w:p>
        </w:tc>
        <w:tc>
          <w:tcPr>
            <w:tcW w:w="830" w:type="dxa"/>
            <w:tcBorders>
              <w:top w:val="nil"/>
              <w:left w:val="nil"/>
              <w:bottom w:val="single" w:sz="8" w:space="0" w:color="auto"/>
              <w:right w:val="single" w:sz="8" w:space="0" w:color="auto"/>
            </w:tcBorders>
            <w:shd w:val="clear" w:color="000000" w:fill="808080"/>
            <w:vAlign w:val="center"/>
            <w:hideMark/>
          </w:tcPr>
          <w:p w14:paraId="2A870D20"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 </w:t>
            </w:r>
          </w:p>
        </w:tc>
        <w:tc>
          <w:tcPr>
            <w:tcW w:w="699" w:type="dxa"/>
            <w:tcBorders>
              <w:top w:val="nil"/>
              <w:left w:val="nil"/>
              <w:bottom w:val="single" w:sz="8" w:space="0" w:color="auto"/>
              <w:right w:val="single" w:sz="8" w:space="0" w:color="auto"/>
            </w:tcBorders>
            <w:shd w:val="clear" w:color="000000" w:fill="BFBFBF"/>
            <w:vAlign w:val="center"/>
            <w:hideMark/>
          </w:tcPr>
          <w:p w14:paraId="1A0F3CC0" w14:textId="77777777" w:rsidR="00F67118" w:rsidRPr="004C70EC" w:rsidRDefault="00F67118">
            <w:pPr>
              <w:spacing w:before="0" w:after="0"/>
              <w:jc w:val="right"/>
              <w:rPr>
                <w:rFonts w:eastAsia="Times New Roman"/>
                <w:b/>
                <w:bCs/>
                <w:noProof/>
                <w:color w:val="000000"/>
                <w:sz w:val="16"/>
                <w:szCs w:val="16"/>
                <w:lang w:val="en-IE" w:eastAsia="en-IE"/>
              </w:rPr>
            </w:pPr>
            <w:r w:rsidRPr="004C70EC">
              <w:rPr>
                <w:rFonts w:eastAsia="Times New Roman"/>
                <w:b/>
                <w:bCs/>
                <w:noProof/>
                <w:color w:val="000000"/>
                <w:sz w:val="16"/>
                <w:szCs w:val="16"/>
                <w:lang w:val="en-IE" w:eastAsia="en-IE"/>
              </w:rPr>
              <w:t>14</w:t>
            </w:r>
          </w:p>
        </w:tc>
      </w:tr>
      <w:tr w:rsidR="00F67118" w:rsidRPr="004C70EC" w14:paraId="07113CE5" w14:textId="77777777" w:rsidTr="00C614E8">
        <w:trPr>
          <w:trHeight w:val="586"/>
        </w:trPr>
        <w:tc>
          <w:tcPr>
            <w:tcW w:w="2521" w:type="dxa"/>
            <w:tcBorders>
              <w:top w:val="nil"/>
              <w:left w:val="single" w:sz="8" w:space="0" w:color="auto"/>
              <w:bottom w:val="single" w:sz="8" w:space="0" w:color="auto"/>
              <w:right w:val="single" w:sz="8" w:space="0" w:color="auto"/>
            </w:tcBorders>
            <w:vAlign w:val="center"/>
            <w:hideMark/>
          </w:tcPr>
          <w:p w14:paraId="1AA67083" w14:textId="77777777" w:rsidR="00F67118" w:rsidRPr="004C70EC" w:rsidRDefault="00F67118">
            <w:pPr>
              <w:spacing w:before="0" w:after="0"/>
              <w:jc w:val="left"/>
              <w:rPr>
                <w:rFonts w:eastAsia="Times New Roman"/>
                <w:noProof/>
                <w:color w:val="000000"/>
                <w:sz w:val="20"/>
                <w:szCs w:val="20"/>
                <w:lang w:val="en-IE" w:eastAsia="en-IE"/>
              </w:rPr>
            </w:pPr>
            <w:r w:rsidRPr="004C70EC">
              <w:rPr>
                <w:rFonts w:eastAsia="Times New Roman"/>
                <w:noProof/>
                <w:color w:val="000000"/>
                <w:sz w:val="20"/>
                <w:szCs w:val="20"/>
                <w:lang w:val="en-IE" w:eastAsia="en-IE"/>
              </w:rPr>
              <w:t>Appropriations covered by the EU Budget</w:t>
            </w:r>
          </w:p>
        </w:tc>
        <w:tc>
          <w:tcPr>
            <w:tcW w:w="859" w:type="dxa"/>
            <w:tcBorders>
              <w:top w:val="nil"/>
              <w:left w:val="nil"/>
              <w:bottom w:val="single" w:sz="8" w:space="0" w:color="auto"/>
              <w:right w:val="single" w:sz="8" w:space="0" w:color="auto"/>
            </w:tcBorders>
            <w:shd w:val="clear" w:color="000000" w:fill="BFBFBF"/>
            <w:vAlign w:val="center"/>
            <w:hideMark/>
          </w:tcPr>
          <w:p w14:paraId="7E3710AD"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0,882</w:t>
            </w:r>
          </w:p>
        </w:tc>
        <w:tc>
          <w:tcPr>
            <w:tcW w:w="859" w:type="dxa"/>
            <w:tcBorders>
              <w:top w:val="nil"/>
              <w:left w:val="nil"/>
              <w:bottom w:val="single" w:sz="8" w:space="0" w:color="auto"/>
              <w:right w:val="single" w:sz="8" w:space="0" w:color="auto"/>
            </w:tcBorders>
            <w:shd w:val="clear" w:color="000000" w:fill="BFBFBF"/>
            <w:vAlign w:val="center"/>
            <w:hideMark/>
          </w:tcPr>
          <w:p w14:paraId="2187BACE"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1,800</w:t>
            </w:r>
          </w:p>
        </w:tc>
        <w:tc>
          <w:tcPr>
            <w:tcW w:w="859" w:type="dxa"/>
            <w:tcBorders>
              <w:top w:val="nil"/>
              <w:left w:val="nil"/>
              <w:bottom w:val="single" w:sz="8" w:space="0" w:color="auto"/>
              <w:right w:val="single" w:sz="8" w:space="0" w:color="auto"/>
            </w:tcBorders>
            <w:shd w:val="clear" w:color="000000" w:fill="BFBFBF"/>
            <w:vAlign w:val="center"/>
            <w:hideMark/>
          </w:tcPr>
          <w:p w14:paraId="6F163159"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1,836</w:t>
            </w:r>
          </w:p>
        </w:tc>
        <w:tc>
          <w:tcPr>
            <w:tcW w:w="816" w:type="dxa"/>
            <w:tcBorders>
              <w:top w:val="nil"/>
              <w:left w:val="nil"/>
              <w:bottom w:val="single" w:sz="8" w:space="0" w:color="auto"/>
              <w:right w:val="single" w:sz="8" w:space="0" w:color="auto"/>
            </w:tcBorders>
            <w:shd w:val="clear" w:color="000000" w:fill="BFBFBF"/>
            <w:vAlign w:val="center"/>
            <w:hideMark/>
          </w:tcPr>
          <w:p w14:paraId="41700C3B"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1,872</w:t>
            </w:r>
          </w:p>
        </w:tc>
        <w:tc>
          <w:tcPr>
            <w:tcW w:w="816" w:type="dxa"/>
            <w:tcBorders>
              <w:top w:val="nil"/>
              <w:left w:val="nil"/>
              <w:bottom w:val="single" w:sz="8" w:space="0" w:color="auto"/>
              <w:right w:val="single" w:sz="8" w:space="0" w:color="auto"/>
            </w:tcBorders>
            <w:shd w:val="clear" w:color="000000" w:fill="BFBFBF"/>
            <w:vAlign w:val="center"/>
            <w:hideMark/>
          </w:tcPr>
          <w:p w14:paraId="029218AA"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1,910</w:t>
            </w:r>
          </w:p>
        </w:tc>
        <w:tc>
          <w:tcPr>
            <w:tcW w:w="816" w:type="dxa"/>
            <w:tcBorders>
              <w:top w:val="nil"/>
              <w:left w:val="nil"/>
              <w:bottom w:val="single" w:sz="8" w:space="0" w:color="auto"/>
              <w:right w:val="single" w:sz="8" w:space="0" w:color="auto"/>
            </w:tcBorders>
            <w:shd w:val="clear" w:color="000000" w:fill="BFBFBF"/>
            <w:vAlign w:val="center"/>
            <w:hideMark/>
          </w:tcPr>
          <w:p w14:paraId="39C8F472"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1,948</w:t>
            </w:r>
          </w:p>
        </w:tc>
        <w:tc>
          <w:tcPr>
            <w:tcW w:w="816" w:type="dxa"/>
            <w:tcBorders>
              <w:top w:val="nil"/>
              <w:left w:val="nil"/>
              <w:bottom w:val="single" w:sz="8" w:space="0" w:color="auto"/>
              <w:right w:val="single" w:sz="8" w:space="0" w:color="auto"/>
            </w:tcBorders>
            <w:shd w:val="clear" w:color="000000" w:fill="BFBFBF"/>
            <w:vAlign w:val="center"/>
            <w:hideMark/>
          </w:tcPr>
          <w:p w14:paraId="6D568637"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1,987</w:t>
            </w:r>
          </w:p>
        </w:tc>
        <w:tc>
          <w:tcPr>
            <w:tcW w:w="830" w:type="dxa"/>
            <w:tcBorders>
              <w:top w:val="nil"/>
              <w:left w:val="nil"/>
              <w:bottom w:val="single" w:sz="8" w:space="0" w:color="auto"/>
              <w:right w:val="single" w:sz="8" w:space="0" w:color="auto"/>
            </w:tcBorders>
            <w:shd w:val="clear" w:color="000000" w:fill="BFBFBF"/>
            <w:vAlign w:val="center"/>
            <w:hideMark/>
          </w:tcPr>
          <w:p w14:paraId="2B67E3CB" w14:textId="77777777" w:rsidR="00F67118" w:rsidRPr="004C70EC" w:rsidRDefault="00F67118">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12,235</w:t>
            </w:r>
          </w:p>
        </w:tc>
        <w:tc>
          <w:tcPr>
            <w:tcW w:w="699" w:type="dxa"/>
            <w:tcBorders>
              <w:top w:val="nil"/>
              <w:left w:val="nil"/>
              <w:bottom w:val="single" w:sz="8" w:space="0" w:color="auto"/>
              <w:right w:val="single" w:sz="8" w:space="0" w:color="auto"/>
            </w:tcBorders>
            <w:shd w:val="clear" w:color="000000" w:fill="BFBFBF"/>
            <w:vAlign w:val="center"/>
            <w:hideMark/>
          </w:tcPr>
          <w:p w14:paraId="4B9AA74E" w14:textId="77777777" w:rsidR="00F67118" w:rsidRPr="004C70EC" w:rsidRDefault="000F69E2">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2</w:t>
            </w:r>
            <w:r w:rsidR="00F67118" w:rsidRPr="004C70EC">
              <w:rPr>
                <w:rFonts w:eastAsia="Times New Roman"/>
                <w:noProof/>
                <w:color w:val="000000"/>
                <w:sz w:val="20"/>
                <w:szCs w:val="20"/>
                <w:lang w:val="en-IE" w:eastAsia="en-IE"/>
              </w:rPr>
              <w:t>,</w:t>
            </w:r>
            <w:r w:rsidRPr="004C70EC">
              <w:rPr>
                <w:rFonts w:eastAsia="Times New Roman"/>
                <w:noProof/>
                <w:color w:val="000000"/>
                <w:sz w:val="20"/>
                <w:szCs w:val="20"/>
                <w:lang w:val="en-IE" w:eastAsia="en-IE"/>
              </w:rPr>
              <w:t>027</w:t>
            </w:r>
          </w:p>
        </w:tc>
      </w:tr>
      <w:tr w:rsidR="00F67118" w:rsidRPr="004C70EC" w14:paraId="052F5AD9" w14:textId="77777777" w:rsidTr="00C614E8">
        <w:trPr>
          <w:trHeight w:val="351"/>
        </w:trPr>
        <w:tc>
          <w:tcPr>
            <w:tcW w:w="2521" w:type="dxa"/>
            <w:tcBorders>
              <w:top w:val="nil"/>
              <w:left w:val="single" w:sz="8" w:space="0" w:color="auto"/>
              <w:bottom w:val="single" w:sz="8" w:space="0" w:color="auto"/>
              <w:right w:val="single" w:sz="8" w:space="0" w:color="auto"/>
            </w:tcBorders>
            <w:vAlign w:val="center"/>
            <w:hideMark/>
          </w:tcPr>
          <w:p w14:paraId="3B59E3B3" w14:textId="77777777" w:rsidR="00F67118" w:rsidRPr="004C70EC" w:rsidRDefault="00F67118">
            <w:pPr>
              <w:spacing w:before="0" w:after="0"/>
              <w:jc w:val="left"/>
              <w:rPr>
                <w:rFonts w:eastAsia="Times New Roman"/>
                <w:noProof/>
                <w:color w:val="000000"/>
                <w:sz w:val="20"/>
                <w:szCs w:val="20"/>
                <w:lang w:val="en-IE" w:eastAsia="en-IE"/>
              </w:rPr>
            </w:pPr>
            <w:r w:rsidRPr="004C70EC">
              <w:rPr>
                <w:rFonts w:eastAsia="Times New Roman"/>
                <w:noProof/>
                <w:color w:val="000000"/>
                <w:sz w:val="20"/>
                <w:szCs w:val="20"/>
                <w:lang w:val="en-IE" w:eastAsia="en-IE"/>
              </w:rPr>
              <w:t>Appropriations covered by fees</w:t>
            </w:r>
          </w:p>
        </w:tc>
        <w:tc>
          <w:tcPr>
            <w:tcW w:w="859" w:type="dxa"/>
            <w:tcBorders>
              <w:top w:val="nil"/>
              <w:left w:val="nil"/>
              <w:bottom w:val="single" w:sz="8" w:space="0" w:color="auto"/>
              <w:right w:val="single" w:sz="8" w:space="0" w:color="auto"/>
            </w:tcBorders>
            <w:shd w:val="clear" w:color="000000" w:fill="BFBFBF"/>
            <w:vAlign w:val="center"/>
            <w:hideMark/>
          </w:tcPr>
          <w:p w14:paraId="028120F3"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59" w:type="dxa"/>
            <w:tcBorders>
              <w:top w:val="nil"/>
              <w:left w:val="nil"/>
              <w:bottom w:val="single" w:sz="8" w:space="0" w:color="auto"/>
              <w:right w:val="single" w:sz="8" w:space="0" w:color="auto"/>
            </w:tcBorders>
            <w:shd w:val="clear" w:color="000000" w:fill="BFBFBF"/>
            <w:vAlign w:val="center"/>
            <w:hideMark/>
          </w:tcPr>
          <w:p w14:paraId="2ED9B25E"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59" w:type="dxa"/>
            <w:tcBorders>
              <w:top w:val="nil"/>
              <w:left w:val="nil"/>
              <w:bottom w:val="single" w:sz="8" w:space="0" w:color="auto"/>
              <w:right w:val="single" w:sz="8" w:space="0" w:color="auto"/>
            </w:tcBorders>
            <w:shd w:val="clear" w:color="000000" w:fill="BFBFBF"/>
            <w:vAlign w:val="center"/>
            <w:hideMark/>
          </w:tcPr>
          <w:p w14:paraId="709C7A71"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16" w:type="dxa"/>
            <w:tcBorders>
              <w:top w:val="nil"/>
              <w:left w:val="nil"/>
              <w:bottom w:val="single" w:sz="8" w:space="0" w:color="auto"/>
              <w:right w:val="single" w:sz="8" w:space="0" w:color="auto"/>
            </w:tcBorders>
            <w:shd w:val="clear" w:color="000000" w:fill="BFBFBF"/>
            <w:vAlign w:val="center"/>
            <w:hideMark/>
          </w:tcPr>
          <w:p w14:paraId="3E123E08"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16" w:type="dxa"/>
            <w:tcBorders>
              <w:top w:val="nil"/>
              <w:left w:val="nil"/>
              <w:bottom w:val="single" w:sz="8" w:space="0" w:color="auto"/>
              <w:right w:val="single" w:sz="8" w:space="0" w:color="auto"/>
            </w:tcBorders>
            <w:shd w:val="clear" w:color="000000" w:fill="BFBFBF"/>
            <w:vAlign w:val="center"/>
            <w:hideMark/>
          </w:tcPr>
          <w:p w14:paraId="5CE291D8"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16" w:type="dxa"/>
            <w:tcBorders>
              <w:top w:val="nil"/>
              <w:left w:val="nil"/>
              <w:bottom w:val="single" w:sz="8" w:space="0" w:color="auto"/>
              <w:right w:val="single" w:sz="8" w:space="0" w:color="auto"/>
            </w:tcBorders>
            <w:shd w:val="clear" w:color="000000" w:fill="BFBFBF"/>
            <w:vAlign w:val="center"/>
            <w:hideMark/>
          </w:tcPr>
          <w:p w14:paraId="7B01FC9B"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16" w:type="dxa"/>
            <w:tcBorders>
              <w:top w:val="nil"/>
              <w:left w:val="nil"/>
              <w:bottom w:val="single" w:sz="8" w:space="0" w:color="auto"/>
              <w:right w:val="single" w:sz="8" w:space="0" w:color="auto"/>
            </w:tcBorders>
            <w:shd w:val="clear" w:color="000000" w:fill="BFBFBF"/>
            <w:vAlign w:val="center"/>
            <w:hideMark/>
          </w:tcPr>
          <w:p w14:paraId="1644D127"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30" w:type="dxa"/>
            <w:tcBorders>
              <w:top w:val="nil"/>
              <w:left w:val="nil"/>
              <w:bottom w:val="single" w:sz="8" w:space="0" w:color="auto"/>
              <w:right w:val="single" w:sz="8" w:space="0" w:color="auto"/>
            </w:tcBorders>
            <w:shd w:val="clear" w:color="000000" w:fill="BFBFBF"/>
            <w:vAlign w:val="center"/>
            <w:hideMark/>
          </w:tcPr>
          <w:p w14:paraId="69188EF8" w14:textId="77777777" w:rsidR="00F67118" w:rsidRPr="004C70EC" w:rsidRDefault="00F67118">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0,000</w:t>
            </w:r>
          </w:p>
        </w:tc>
        <w:tc>
          <w:tcPr>
            <w:tcW w:w="699" w:type="dxa"/>
            <w:tcBorders>
              <w:top w:val="nil"/>
              <w:left w:val="nil"/>
              <w:bottom w:val="single" w:sz="8" w:space="0" w:color="auto"/>
              <w:right w:val="single" w:sz="8" w:space="0" w:color="auto"/>
            </w:tcBorders>
            <w:shd w:val="clear" w:color="000000" w:fill="BFBFBF"/>
            <w:vAlign w:val="center"/>
            <w:hideMark/>
          </w:tcPr>
          <w:p w14:paraId="6E31BD12"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r>
      <w:tr w:rsidR="00F67118" w:rsidRPr="004C70EC" w14:paraId="1852D903" w14:textId="77777777" w:rsidTr="00C614E8">
        <w:trPr>
          <w:trHeight w:val="586"/>
        </w:trPr>
        <w:tc>
          <w:tcPr>
            <w:tcW w:w="2521" w:type="dxa"/>
            <w:tcBorders>
              <w:top w:val="nil"/>
              <w:left w:val="single" w:sz="8" w:space="0" w:color="auto"/>
              <w:bottom w:val="single" w:sz="8" w:space="0" w:color="auto"/>
              <w:right w:val="single" w:sz="8" w:space="0" w:color="auto"/>
            </w:tcBorders>
            <w:vAlign w:val="center"/>
            <w:hideMark/>
          </w:tcPr>
          <w:p w14:paraId="04BCDB53" w14:textId="77777777" w:rsidR="00F67118" w:rsidRPr="004C70EC" w:rsidRDefault="00F67118">
            <w:pPr>
              <w:spacing w:before="0" w:after="0"/>
              <w:jc w:val="left"/>
              <w:rPr>
                <w:rFonts w:eastAsia="Times New Roman"/>
                <w:noProof/>
                <w:color w:val="000000"/>
                <w:sz w:val="20"/>
                <w:szCs w:val="20"/>
                <w:lang w:val="en-IE" w:eastAsia="en-IE"/>
              </w:rPr>
            </w:pPr>
            <w:r w:rsidRPr="004C70EC">
              <w:rPr>
                <w:rFonts w:eastAsia="Times New Roman"/>
                <w:noProof/>
                <w:color w:val="000000"/>
                <w:sz w:val="20"/>
                <w:szCs w:val="20"/>
                <w:lang w:val="en-IE" w:eastAsia="en-IE"/>
              </w:rPr>
              <w:t>Appropriations co-financed (if applicable)</w:t>
            </w:r>
          </w:p>
        </w:tc>
        <w:tc>
          <w:tcPr>
            <w:tcW w:w="859" w:type="dxa"/>
            <w:tcBorders>
              <w:top w:val="nil"/>
              <w:left w:val="nil"/>
              <w:bottom w:val="single" w:sz="8" w:space="0" w:color="auto"/>
              <w:right w:val="single" w:sz="8" w:space="0" w:color="auto"/>
            </w:tcBorders>
            <w:shd w:val="clear" w:color="000000" w:fill="BFBFBF"/>
            <w:vAlign w:val="center"/>
            <w:hideMark/>
          </w:tcPr>
          <w:p w14:paraId="5C36C43C"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59" w:type="dxa"/>
            <w:tcBorders>
              <w:top w:val="nil"/>
              <w:left w:val="nil"/>
              <w:bottom w:val="single" w:sz="8" w:space="0" w:color="auto"/>
              <w:right w:val="single" w:sz="8" w:space="0" w:color="auto"/>
            </w:tcBorders>
            <w:shd w:val="clear" w:color="000000" w:fill="BFBFBF"/>
            <w:vAlign w:val="center"/>
            <w:hideMark/>
          </w:tcPr>
          <w:p w14:paraId="3C131DC5"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59" w:type="dxa"/>
            <w:tcBorders>
              <w:top w:val="nil"/>
              <w:left w:val="nil"/>
              <w:bottom w:val="single" w:sz="8" w:space="0" w:color="auto"/>
              <w:right w:val="single" w:sz="8" w:space="0" w:color="auto"/>
            </w:tcBorders>
            <w:shd w:val="clear" w:color="000000" w:fill="BFBFBF"/>
            <w:vAlign w:val="center"/>
            <w:hideMark/>
          </w:tcPr>
          <w:p w14:paraId="4469DE97"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16" w:type="dxa"/>
            <w:tcBorders>
              <w:top w:val="nil"/>
              <w:left w:val="nil"/>
              <w:bottom w:val="single" w:sz="8" w:space="0" w:color="auto"/>
              <w:right w:val="single" w:sz="8" w:space="0" w:color="auto"/>
            </w:tcBorders>
            <w:shd w:val="clear" w:color="000000" w:fill="BFBFBF"/>
            <w:vAlign w:val="center"/>
            <w:hideMark/>
          </w:tcPr>
          <w:p w14:paraId="2C8D2065"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16" w:type="dxa"/>
            <w:tcBorders>
              <w:top w:val="nil"/>
              <w:left w:val="nil"/>
              <w:bottom w:val="single" w:sz="8" w:space="0" w:color="auto"/>
              <w:right w:val="single" w:sz="8" w:space="0" w:color="auto"/>
            </w:tcBorders>
            <w:shd w:val="clear" w:color="000000" w:fill="BFBFBF"/>
            <w:vAlign w:val="center"/>
            <w:hideMark/>
          </w:tcPr>
          <w:p w14:paraId="3D209EDB"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16" w:type="dxa"/>
            <w:tcBorders>
              <w:top w:val="nil"/>
              <w:left w:val="nil"/>
              <w:bottom w:val="single" w:sz="8" w:space="0" w:color="auto"/>
              <w:right w:val="single" w:sz="8" w:space="0" w:color="auto"/>
            </w:tcBorders>
            <w:shd w:val="clear" w:color="000000" w:fill="BFBFBF"/>
            <w:vAlign w:val="center"/>
            <w:hideMark/>
          </w:tcPr>
          <w:p w14:paraId="277AFB12"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16" w:type="dxa"/>
            <w:tcBorders>
              <w:top w:val="nil"/>
              <w:left w:val="nil"/>
              <w:bottom w:val="single" w:sz="8" w:space="0" w:color="auto"/>
              <w:right w:val="single" w:sz="8" w:space="0" w:color="auto"/>
            </w:tcBorders>
            <w:shd w:val="clear" w:color="000000" w:fill="BFBFBF"/>
            <w:vAlign w:val="center"/>
            <w:hideMark/>
          </w:tcPr>
          <w:p w14:paraId="33FEAE44"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c>
          <w:tcPr>
            <w:tcW w:w="830" w:type="dxa"/>
            <w:tcBorders>
              <w:top w:val="nil"/>
              <w:left w:val="nil"/>
              <w:bottom w:val="single" w:sz="8" w:space="0" w:color="auto"/>
              <w:right w:val="single" w:sz="8" w:space="0" w:color="auto"/>
            </w:tcBorders>
            <w:shd w:val="clear" w:color="000000" w:fill="BFBFBF"/>
            <w:vAlign w:val="center"/>
            <w:hideMark/>
          </w:tcPr>
          <w:p w14:paraId="4C70408B" w14:textId="77777777" w:rsidR="00F67118" w:rsidRPr="004C70EC" w:rsidRDefault="00F67118">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0,000</w:t>
            </w:r>
          </w:p>
        </w:tc>
        <w:tc>
          <w:tcPr>
            <w:tcW w:w="699" w:type="dxa"/>
            <w:tcBorders>
              <w:top w:val="nil"/>
              <w:left w:val="nil"/>
              <w:bottom w:val="single" w:sz="8" w:space="0" w:color="auto"/>
              <w:right w:val="single" w:sz="8" w:space="0" w:color="auto"/>
            </w:tcBorders>
            <w:shd w:val="clear" w:color="000000" w:fill="BFBFBF"/>
            <w:vAlign w:val="center"/>
            <w:hideMark/>
          </w:tcPr>
          <w:p w14:paraId="0968E62C" w14:textId="77777777" w:rsidR="00F67118" w:rsidRPr="004C70EC" w:rsidRDefault="00F67118">
            <w:pPr>
              <w:spacing w:before="0" w:after="0"/>
              <w:jc w:val="right"/>
              <w:rPr>
                <w:rFonts w:eastAsia="Times New Roman"/>
                <w:noProof/>
                <w:color w:val="000000"/>
                <w:sz w:val="20"/>
                <w:szCs w:val="20"/>
                <w:lang w:val="en-IE" w:eastAsia="en-IE"/>
              </w:rPr>
            </w:pPr>
            <w:r w:rsidRPr="004C70EC">
              <w:rPr>
                <w:rFonts w:eastAsia="Times New Roman"/>
                <w:noProof/>
                <w:color w:val="000000"/>
                <w:sz w:val="20"/>
                <w:szCs w:val="20"/>
                <w:lang w:val="en-IE" w:eastAsia="en-IE"/>
              </w:rPr>
              <w:t>0,000</w:t>
            </w:r>
          </w:p>
        </w:tc>
      </w:tr>
      <w:tr w:rsidR="00F67118" w:rsidRPr="004C70EC" w14:paraId="0D799BA7" w14:textId="77777777">
        <w:trPr>
          <w:trHeight w:val="351"/>
        </w:trPr>
        <w:tc>
          <w:tcPr>
            <w:tcW w:w="2521" w:type="dxa"/>
            <w:tcBorders>
              <w:top w:val="nil"/>
              <w:left w:val="single" w:sz="8" w:space="0" w:color="auto"/>
              <w:bottom w:val="single" w:sz="8" w:space="0" w:color="auto"/>
              <w:right w:val="single" w:sz="8" w:space="0" w:color="auto"/>
            </w:tcBorders>
            <w:shd w:val="clear" w:color="000000" w:fill="BFBFBF"/>
            <w:vAlign w:val="center"/>
            <w:hideMark/>
          </w:tcPr>
          <w:p w14:paraId="3D5C1651" w14:textId="77777777" w:rsidR="00F67118" w:rsidRPr="004C70EC" w:rsidRDefault="00F67118">
            <w:pPr>
              <w:spacing w:before="0" w:after="0"/>
              <w:jc w:val="lef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TOTAL appropriations</w:t>
            </w:r>
          </w:p>
        </w:tc>
        <w:tc>
          <w:tcPr>
            <w:tcW w:w="859" w:type="dxa"/>
            <w:tcBorders>
              <w:top w:val="nil"/>
              <w:left w:val="nil"/>
              <w:bottom w:val="single" w:sz="8" w:space="0" w:color="auto"/>
              <w:right w:val="single" w:sz="8" w:space="0" w:color="auto"/>
            </w:tcBorders>
            <w:shd w:val="clear" w:color="000000" w:fill="BFBFBF"/>
            <w:vAlign w:val="center"/>
            <w:hideMark/>
          </w:tcPr>
          <w:p w14:paraId="10D0ED2E" w14:textId="77777777" w:rsidR="00F67118" w:rsidRPr="004C70EC" w:rsidRDefault="00F67118">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0,882</w:t>
            </w:r>
          </w:p>
        </w:tc>
        <w:tc>
          <w:tcPr>
            <w:tcW w:w="859" w:type="dxa"/>
            <w:tcBorders>
              <w:top w:val="nil"/>
              <w:left w:val="nil"/>
              <w:bottom w:val="single" w:sz="8" w:space="0" w:color="auto"/>
              <w:right w:val="single" w:sz="8" w:space="0" w:color="auto"/>
            </w:tcBorders>
            <w:shd w:val="clear" w:color="000000" w:fill="BFBFBF"/>
            <w:vAlign w:val="center"/>
            <w:hideMark/>
          </w:tcPr>
          <w:p w14:paraId="3A27C9B0" w14:textId="77777777" w:rsidR="00F67118" w:rsidRPr="004C70EC" w:rsidRDefault="00F67118">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1,800</w:t>
            </w:r>
          </w:p>
        </w:tc>
        <w:tc>
          <w:tcPr>
            <w:tcW w:w="859" w:type="dxa"/>
            <w:tcBorders>
              <w:top w:val="nil"/>
              <w:left w:val="nil"/>
              <w:bottom w:val="single" w:sz="8" w:space="0" w:color="auto"/>
              <w:right w:val="single" w:sz="8" w:space="0" w:color="auto"/>
            </w:tcBorders>
            <w:shd w:val="clear" w:color="000000" w:fill="BFBFBF"/>
            <w:vAlign w:val="center"/>
            <w:hideMark/>
          </w:tcPr>
          <w:p w14:paraId="237145D2" w14:textId="77777777" w:rsidR="00F67118" w:rsidRPr="004C70EC" w:rsidRDefault="00F67118">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1,836</w:t>
            </w:r>
          </w:p>
        </w:tc>
        <w:tc>
          <w:tcPr>
            <w:tcW w:w="816" w:type="dxa"/>
            <w:tcBorders>
              <w:top w:val="nil"/>
              <w:left w:val="nil"/>
              <w:bottom w:val="single" w:sz="8" w:space="0" w:color="auto"/>
              <w:right w:val="single" w:sz="8" w:space="0" w:color="auto"/>
            </w:tcBorders>
            <w:shd w:val="clear" w:color="000000" w:fill="BFBFBF"/>
            <w:vAlign w:val="center"/>
            <w:hideMark/>
          </w:tcPr>
          <w:p w14:paraId="4B905DCF" w14:textId="77777777" w:rsidR="00F67118" w:rsidRPr="004C70EC" w:rsidRDefault="00F67118">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1,872</w:t>
            </w:r>
          </w:p>
        </w:tc>
        <w:tc>
          <w:tcPr>
            <w:tcW w:w="816" w:type="dxa"/>
            <w:tcBorders>
              <w:top w:val="nil"/>
              <w:left w:val="nil"/>
              <w:bottom w:val="single" w:sz="8" w:space="0" w:color="auto"/>
              <w:right w:val="single" w:sz="8" w:space="0" w:color="auto"/>
            </w:tcBorders>
            <w:shd w:val="clear" w:color="000000" w:fill="BFBFBF"/>
            <w:vAlign w:val="center"/>
            <w:hideMark/>
          </w:tcPr>
          <w:p w14:paraId="7C6BA3D7" w14:textId="77777777" w:rsidR="00F67118" w:rsidRPr="004C70EC" w:rsidRDefault="00F67118">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1,910</w:t>
            </w:r>
          </w:p>
        </w:tc>
        <w:tc>
          <w:tcPr>
            <w:tcW w:w="816" w:type="dxa"/>
            <w:tcBorders>
              <w:top w:val="nil"/>
              <w:left w:val="nil"/>
              <w:bottom w:val="single" w:sz="8" w:space="0" w:color="auto"/>
              <w:right w:val="single" w:sz="8" w:space="0" w:color="auto"/>
            </w:tcBorders>
            <w:shd w:val="clear" w:color="000000" w:fill="BFBFBF"/>
            <w:vAlign w:val="center"/>
            <w:hideMark/>
          </w:tcPr>
          <w:p w14:paraId="4879608C" w14:textId="77777777" w:rsidR="00F67118" w:rsidRPr="004C70EC" w:rsidRDefault="00F67118">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1,948</w:t>
            </w:r>
          </w:p>
        </w:tc>
        <w:tc>
          <w:tcPr>
            <w:tcW w:w="816" w:type="dxa"/>
            <w:tcBorders>
              <w:top w:val="nil"/>
              <w:left w:val="nil"/>
              <w:bottom w:val="single" w:sz="8" w:space="0" w:color="auto"/>
              <w:right w:val="single" w:sz="8" w:space="0" w:color="auto"/>
            </w:tcBorders>
            <w:shd w:val="clear" w:color="000000" w:fill="BFBFBF"/>
            <w:vAlign w:val="center"/>
            <w:hideMark/>
          </w:tcPr>
          <w:p w14:paraId="7379B4FF" w14:textId="77777777" w:rsidR="00F67118" w:rsidRPr="004C70EC" w:rsidRDefault="00F67118">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1,987</w:t>
            </w:r>
          </w:p>
        </w:tc>
        <w:tc>
          <w:tcPr>
            <w:tcW w:w="830" w:type="dxa"/>
            <w:tcBorders>
              <w:top w:val="nil"/>
              <w:left w:val="nil"/>
              <w:bottom w:val="single" w:sz="8" w:space="0" w:color="auto"/>
              <w:right w:val="single" w:sz="8" w:space="0" w:color="auto"/>
            </w:tcBorders>
            <w:shd w:val="clear" w:color="000000" w:fill="BFBFBF"/>
            <w:vAlign w:val="center"/>
            <w:hideMark/>
          </w:tcPr>
          <w:p w14:paraId="1F21882F" w14:textId="77777777" w:rsidR="00F67118" w:rsidRPr="004C70EC" w:rsidRDefault="00F67118">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12,235</w:t>
            </w:r>
          </w:p>
        </w:tc>
        <w:tc>
          <w:tcPr>
            <w:tcW w:w="699" w:type="dxa"/>
            <w:tcBorders>
              <w:top w:val="nil"/>
              <w:left w:val="nil"/>
              <w:bottom w:val="single" w:sz="8" w:space="0" w:color="auto"/>
              <w:right w:val="single" w:sz="8" w:space="0" w:color="auto"/>
            </w:tcBorders>
            <w:shd w:val="clear" w:color="000000" w:fill="BFBFBF"/>
            <w:vAlign w:val="center"/>
            <w:hideMark/>
          </w:tcPr>
          <w:p w14:paraId="64723C21" w14:textId="77777777" w:rsidR="00F67118" w:rsidRPr="004C70EC" w:rsidRDefault="000F69E2">
            <w:pPr>
              <w:spacing w:before="0" w:after="0"/>
              <w:jc w:val="right"/>
              <w:rPr>
                <w:rFonts w:eastAsia="Times New Roman"/>
                <w:b/>
                <w:bCs/>
                <w:noProof/>
                <w:color w:val="000000"/>
                <w:sz w:val="20"/>
                <w:szCs w:val="20"/>
                <w:lang w:val="en-IE" w:eastAsia="en-IE"/>
              </w:rPr>
            </w:pPr>
            <w:r w:rsidRPr="004C70EC">
              <w:rPr>
                <w:rFonts w:eastAsia="Times New Roman"/>
                <w:b/>
                <w:bCs/>
                <w:noProof/>
                <w:color w:val="000000"/>
                <w:sz w:val="20"/>
                <w:szCs w:val="20"/>
                <w:lang w:val="en-IE" w:eastAsia="en-IE"/>
              </w:rPr>
              <w:t>2</w:t>
            </w:r>
            <w:r w:rsidR="00F67118" w:rsidRPr="004C70EC">
              <w:rPr>
                <w:rFonts w:eastAsia="Times New Roman"/>
                <w:b/>
                <w:bCs/>
                <w:noProof/>
                <w:color w:val="000000"/>
                <w:sz w:val="20"/>
                <w:szCs w:val="20"/>
                <w:lang w:val="en-IE" w:eastAsia="en-IE"/>
              </w:rPr>
              <w:t>,</w:t>
            </w:r>
            <w:r w:rsidRPr="004C70EC">
              <w:rPr>
                <w:rFonts w:eastAsia="Times New Roman"/>
                <w:b/>
                <w:bCs/>
                <w:noProof/>
                <w:color w:val="000000"/>
                <w:sz w:val="20"/>
                <w:szCs w:val="20"/>
                <w:lang w:val="en-IE" w:eastAsia="en-IE"/>
              </w:rPr>
              <w:t>027</w:t>
            </w:r>
          </w:p>
        </w:tc>
      </w:tr>
    </w:tbl>
    <w:p w14:paraId="0D550B18" w14:textId="77777777" w:rsidR="00F67118" w:rsidRPr="004C70EC" w:rsidRDefault="00F67118">
      <w:pPr>
        <w:spacing w:before="0" w:after="200" w:line="276" w:lineRule="auto"/>
        <w:jc w:val="left"/>
        <w:rPr>
          <w:noProof/>
          <w:color w:val="000000" w:themeColor="text1"/>
          <w:szCs w:val="24"/>
        </w:rPr>
      </w:pPr>
    </w:p>
    <w:p w14:paraId="12975EC1" w14:textId="77777777" w:rsidR="00F67118" w:rsidRPr="004C70EC" w:rsidRDefault="00F67118">
      <w:pPr>
        <w:spacing w:before="0" w:after="200" w:line="276" w:lineRule="auto"/>
        <w:jc w:val="left"/>
        <w:rPr>
          <w:noProof/>
          <w:color w:val="000000" w:themeColor="text1"/>
          <w:szCs w:val="24"/>
        </w:rPr>
      </w:pPr>
    </w:p>
    <w:p w14:paraId="541ACD15" w14:textId="77777777" w:rsidR="007B7053" w:rsidRPr="004C70EC" w:rsidRDefault="00233B17">
      <w:pPr>
        <w:spacing w:before="0" w:after="200" w:line="276" w:lineRule="auto"/>
        <w:jc w:val="left"/>
        <w:rPr>
          <w:b/>
          <w:bCs/>
          <w:noProof/>
          <w:color w:val="000000" w:themeColor="text1"/>
          <w:szCs w:val="24"/>
          <w:u w:val="single"/>
          <w:lang w:val="en-IE"/>
        </w:rPr>
      </w:pPr>
      <w:r w:rsidRPr="004C70EC">
        <w:rPr>
          <w:noProof/>
          <w:color w:val="000000" w:themeColor="text1"/>
          <w:szCs w:val="24"/>
        </w:rPr>
        <w:t>Without prejudice to the negotiations on the next MFF, the appropriations allocated to the agencies from 2028 onwards will be compensated</w:t>
      </w:r>
      <w:r w:rsidRPr="004C70EC">
        <w:rPr>
          <w:rFonts w:eastAsia="Aptos"/>
          <w:noProof/>
          <w:color w:val="000000" w:themeColor="text1"/>
          <w:szCs w:val="24"/>
        </w:rPr>
        <w:t xml:space="preserve"> </w:t>
      </w:r>
      <w:r w:rsidRPr="004C70EC">
        <w:rPr>
          <w:rFonts w:eastAsia="Times New Roman"/>
          <w:noProof/>
          <w:color w:val="000000" w:themeColor="text1"/>
          <w:szCs w:val="24"/>
        </w:rPr>
        <w:t>v</w:t>
      </w:r>
      <w:r w:rsidRPr="004C70EC">
        <w:rPr>
          <w:noProof/>
          <w:color w:val="000000" w:themeColor="text1"/>
          <w:szCs w:val="24"/>
        </w:rPr>
        <w:t>ia redeployments from programmes under the 2028-2034 MFF</w:t>
      </w:r>
      <w:r w:rsidR="00551D13" w:rsidRPr="004C70EC">
        <w:rPr>
          <w:noProof/>
          <w:color w:val="000000" w:themeColor="text1"/>
          <w:szCs w:val="24"/>
        </w:rPr>
        <w:t>.</w:t>
      </w:r>
      <w:r w:rsidR="007A439D" w:rsidRPr="004C70EC">
        <w:rPr>
          <w:noProof/>
          <w:color w:val="000000" w:themeColor="text1"/>
          <w:szCs w:val="24"/>
        </w:rPr>
        <w:t xml:space="preserve"> </w:t>
      </w:r>
      <w:r w:rsidR="003F1263" w:rsidRPr="004C70EC">
        <w:rPr>
          <w:noProof/>
          <w:color w:val="000000" w:themeColor="text1"/>
          <w:szCs w:val="24"/>
        </w:rPr>
        <w:t>If a compensatory reduction is needed, the resources allocated to the agencies and their funding streams and sources may need to be revised.</w:t>
      </w:r>
    </w:p>
    <w:p w14:paraId="233A7699" w14:textId="77777777" w:rsidR="007B7053" w:rsidRPr="004C70EC" w:rsidRDefault="001C4C91" w:rsidP="0058181D">
      <w:pPr>
        <w:tabs>
          <w:tab w:val="left" w:pos="968"/>
        </w:tabs>
        <w:spacing w:before="0" w:after="200" w:line="276" w:lineRule="auto"/>
        <w:jc w:val="left"/>
        <w:rPr>
          <w:noProof/>
          <w:color w:val="000000" w:themeColor="text1"/>
          <w:szCs w:val="24"/>
          <w:u w:val="single"/>
          <w:lang w:val="en-IE"/>
        </w:rPr>
      </w:pPr>
      <w:r w:rsidRPr="004C70EC">
        <w:rPr>
          <w:b/>
          <w:bCs/>
          <w:noProof/>
          <w:color w:val="000000" w:themeColor="text1"/>
          <w:szCs w:val="24"/>
          <w:u w:val="single"/>
          <w:lang w:val="en-IE"/>
        </w:rPr>
        <w:tab/>
      </w:r>
    </w:p>
    <w:p w14:paraId="14E48880" w14:textId="77777777" w:rsidR="007966CD" w:rsidRPr="004C70EC" w:rsidRDefault="007966CD">
      <w:pPr>
        <w:spacing w:before="0" w:after="200" w:line="276" w:lineRule="auto"/>
        <w:jc w:val="left"/>
        <w:rPr>
          <w:noProof/>
          <w:color w:val="000000" w:themeColor="text1"/>
          <w:szCs w:val="24"/>
          <w:u w:val="single"/>
          <w:lang w:val="en-IE"/>
        </w:rPr>
      </w:pPr>
    </w:p>
    <w:p w14:paraId="1E5563D4" w14:textId="77777777" w:rsidR="007966CD" w:rsidRPr="004C70EC" w:rsidRDefault="007966CD">
      <w:pPr>
        <w:pStyle w:val="Text1"/>
        <w:ind w:left="-426" w:right="-427"/>
        <w:rPr>
          <w:noProof/>
          <w:color w:val="000000" w:themeColor="text1"/>
          <w:szCs w:val="24"/>
          <w:lang w:val="en-IE"/>
        </w:rPr>
      </w:pPr>
    </w:p>
    <w:p w14:paraId="4CE380E0" w14:textId="77777777" w:rsidR="007966CD" w:rsidRPr="004C70EC" w:rsidRDefault="007966CD">
      <w:pPr>
        <w:pStyle w:val="Text1"/>
        <w:ind w:left="-426" w:right="-427"/>
        <w:rPr>
          <w:noProof/>
          <w:color w:val="000000" w:themeColor="text1"/>
          <w:szCs w:val="24"/>
          <w:lang w:val="en-IE"/>
        </w:rPr>
      </w:pPr>
      <w:r w:rsidRPr="004C70EC">
        <w:rPr>
          <w:noProof/>
          <w:color w:val="000000" w:themeColor="text1"/>
          <w:szCs w:val="24"/>
          <w:lang w:val="en-IE"/>
        </w:rPr>
        <w:t xml:space="preserve">Description of tasks to be carried </w:t>
      </w:r>
      <w:r w:rsidRPr="004C70EC">
        <w:rPr>
          <w:b/>
          <w:bCs/>
          <w:noProof/>
          <w:color w:val="000000" w:themeColor="text1"/>
          <w:szCs w:val="24"/>
          <w:lang w:val="en-IE"/>
        </w:rPr>
        <w:t>out by the European Food Safety Agency (EFSA)</w:t>
      </w:r>
      <w:r w:rsidRPr="004C70EC">
        <w:rPr>
          <w:noProof/>
          <w:color w:val="000000" w:themeColor="text1"/>
          <w:szCs w:val="24"/>
          <w:lang w:val="en-IE"/>
        </w:rPr>
        <w:t>:</w:t>
      </w:r>
    </w:p>
    <w:tbl>
      <w:tblPr>
        <w:tblW w:w="10440" w:type="dxa"/>
        <w:tblInd w:w="-4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240"/>
        <w:gridCol w:w="7200"/>
      </w:tblGrid>
      <w:tr w:rsidR="004A1163" w:rsidRPr="004C70EC" w14:paraId="310D7AB6" w14:textId="77777777" w:rsidTr="33CE1D06">
        <w:tc>
          <w:tcPr>
            <w:tcW w:w="3240" w:type="dxa"/>
          </w:tcPr>
          <w:p w14:paraId="4ED3E871" w14:textId="77777777" w:rsidR="007966CD" w:rsidRPr="004C70EC" w:rsidRDefault="007966CD">
            <w:pPr>
              <w:rPr>
                <w:noProof/>
                <w:color w:val="000000" w:themeColor="text1"/>
                <w:szCs w:val="24"/>
              </w:rPr>
            </w:pPr>
            <w:r w:rsidRPr="004C70EC">
              <w:rPr>
                <w:noProof/>
                <w:color w:val="000000" w:themeColor="text1"/>
                <w:szCs w:val="24"/>
              </w:rPr>
              <w:t>Officials and temporary staff</w:t>
            </w:r>
          </w:p>
        </w:tc>
        <w:tc>
          <w:tcPr>
            <w:tcW w:w="7200" w:type="dxa"/>
          </w:tcPr>
          <w:p w14:paraId="32891370" w14:textId="77777777" w:rsidR="00A130A2" w:rsidRPr="004C70EC" w:rsidRDefault="00A130A2" w:rsidP="00A130A2">
            <w:pPr>
              <w:keepNext/>
              <w:keepLines/>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 xml:space="preserve">Currently, there are a lot of delays during the EU risk assessment as EFSA receives low quality dossiers, for which it has to frequently stop the EU risk assessment process and request applicants to provide clarifications and/or additional information. To enhance innovation and to ensure that applicants, and especially SMEs, submit high quality/comprehensive application dossiers it is imperative to support them at pre-submission phase. This will ensure that the EU risk assessment finishes within the time provided increasing the applicants’ chances of reaching the market as quickly as they can (while keeping funding from investors). </w:t>
            </w:r>
          </w:p>
          <w:p w14:paraId="4FBB881A" w14:textId="77777777" w:rsidR="00A130A2" w:rsidRPr="004C70EC" w:rsidRDefault="00A130A2" w:rsidP="00A130A2">
            <w:pPr>
              <w:keepNext/>
              <w:keepLines/>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 xml:space="preserve">Currently EFSA provides pre-submission advice only as regards what an application dossier needs to contain (administrative/regulatory aspects). Given the restricted scope of pre-submission advice (PSA), the uptake of the existing PSA is limited; applicants primarily need support on the scientific aspects of preparing a dossier. </w:t>
            </w:r>
          </w:p>
          <w:p w14:paraId="6861342B" w14:textId="77777777" w:rsidR="00A130A2" w:rsidRPr="004C70EC" w:rsidRDefault="00A130A2" w:rsidP="00A130A2">
            <w:pPr>
              <w:keepNext/>
              <w:keepLines/>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 xml:space="preserve">The provisions of the Biotech Act </w:t>
            </w:r>
            <w:r w:rsidRPr="004C70EC">
              <w:rPr>
                <w:rFonts w:eastAsiaTheme="majorEastAsia"/>
                <w:b/>
                <w:bCs/>
                <w:noProof/>
                <w:color w:val="000000" w:themeColor="text1"/>
                <w:szCs w:val="24"/>
                <w:lang w:val="en-IE"/>
              </w:rPr>
              <w:t>will significantly increase</w:t>
            </w:r>
            <w:r w:rsidRPr="004C70EC">
              <w:rPr>
                <w:rFonts w:eastAsiaTheme="majorEastAsia"/>
                <w:noProof/>
                <w:color w:val="000000" w:themeColor="text1"/>
                <w:szCs w:val="24"/>
                <w:lang w:val="en-IE"/>
              </w:rPr>
              <w:t xml:space="preserve"> EFSA workload, in particular </w:t>
            </w:r>
            <w:r w:rsidRPr="004C70EC">
              <w:rPr>
                <w:rFonts w:eastAsiaTheme="majorEastAsia"/>
                <w:b/>
                <w:bCs/>
                <w:noProof/>
                <w:color w:val="000000" w:themeColor="text1"/>
                <w:szCs w:val="24"/>
                <w:lang w:val="en-IE"/>
              </w:rPr>
              <w:t xml:space="preserve">due to the enlarged scope of PSA which will now cover </w:t>
            </w:r>
            <w:r w:rsidRPr="004C70EC">
              <w:rPr>
                <w:rFonts w:eastAsiaTheme="majorEastAsia"/>
                <w:b/>
                <w:bCs/>
                <w:noProof/>
                <w:color w:val="000000" w:themeColor="text1"/>
                <w:szCs w:val="24"/>
                <w:u w:val="single"/>
                <w:lang w:val="en-IE"/>
              </w:rPr>
              <w:t>also scientific advice</w:t>
            </w:r>
            <w:r w:rsidRPr="004C70EC">
              <w:rPr>
                <w:rFonts w:eastAsiaTheme="majorEastAsia"/>
                <w:b/>
                <w:bCs/>
                <w:noProof/>
                <w:color w:val="000000" w:themeColor="text1"/>
                <w:szCs w:val="24"/>
                <w:lang w:val="en-IE"/>
              </w:rPr>
              <w:t xml:space="preserve"> (i.e. what kind of studies, advice on the appropriate study design depending on the subject matter at issue, etc).</w:t>
            </w:r>
            <w:r w:rsidRPr="004C70EC">
              <w:rPr>
                <w:rFonts w:eastAsiaTheme="majorEastAsia"/>
                <w:noProof/>
                <w:color w:val="000000" w:themeColor="text1"/>
                <w:szCs w:val="24"/>
                <w:lang w:val="en-IE"/>
              </w:rPr>
              <w:t xml:space="preserve"> Given the considerable attractiveness of the proposed changes for applicants, especially for SMEs, this is expected to result in a significant increased uptake of pre-submission advice (PSA) especially by SMEs both in terms of numbers of requests for pre-submission advice but also in the breadth and coverage of advice to be given. </w:t>
            </w:r>
          </w:p>
          <w:p w14:paraId="741B56F2" w14:textId="77777777" w:rsidR="00A130A2" w:rsidRPr="004C70EC" w:rsidRDefault="00A130A2" w:rsidP="00A130A2">
            <w:pPr>
              <w:keepNext/>
              <w:keepLines/>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u w:val="single"/>
                <w:lang w:val="en-IE"/>
              </w:rPr>
              <w:t xml:space="preserve">As regards numbers, </w:t>
            </w:r>
            <w:r w:rsidRPr="004C70EC">
              <w:rPr>
                <w:rFonts w:eastAsiaTheme="majorEastAsia"/>
                <w:b/>
                <w:bCs/>
                <w:noProof/>
                <w:color w:val="000000" w:themeColor="text1"/>
                <w:szCs w:val="24"/>
                <w:lang w:val="en-IE"/>
              </w:rPr>
              <w:t>EFSA expects about 200 requests per year</w:t>
            </w:r>
            <w:r w:rsidRPr="004C70EC">
              <w:rPr>
                <w:rFonts w:eastAsiaTheme="majorEastAsia"/>
                <w:noProof/>
                <w:color w:val="000000" w:themeColor="text1"/>
                <w:szCs w:val="24"/>
                <w:lang w:val="en-IE"/>
              </w:rPr>
              <w:t xml:space="preserve"> </w:t>
            </w:r>
            <w:r w:rsidRPr="004C70EC">
              <w:rPr>
                <w:rFonts w:eastAsiaTheme="majorEastAsia"/>
                <w:b/>
                <w:bCs/>
                <w:noProof/>
                <w:color w:val="000000" w:themeColor="text1"/>
                <w:szCs w:val="24"/>
                <w:lang w:val="en-IE"/>
              </w:rPr>
              <w:t xml:space="preserve">across all authorisation domains in the food chain – which are many and diverse – </w:t>
            </w:r>
            <w:r w:rsidRPr="004C70EC">
              <w:rPr>
                <w:rFonts w:eastAsiaTheme="majorEastAsia"/>
                <w:noProof/>
                <w:color w:val="000000" w:themeColor="text1"/>
                <w:szCs w:val="24"/>
                <w:lang w:val="en-IE"/>
              </w:rPr>
              <w:t>both for new products/substances and renewals where applicable (e.g. novel foods, food additives/enzymes/flavourings, feed additives, plant protection products, maximum residue limits of pesticides, GM food and feed, food contact materials, health claims, addition of vitamins and minerals and other substances to foods, etc).</w:t>
            </w:r>
          </w:p>
          <w:p w14:paraId="57E36F62" w14:textId="77777777" w:rsidR="00A130A2" w:rsidRPr="004C70EC" w:rsidRDefault="00A130A2" w:rsidP="00A130A2">
            <w:pPr>
              <w:keepNext/>
              <w:keepLines/>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 xml:space="preserve">As </w:t>
            </w:r>
            <w:r w:rsidRPr="004C70EC">
              <w:rPr>
                <w:rFonts w:eastAsiaTheme="majorEastAsia"/>
                <w:noProof/>
                <w:color w:val="000000" w:themeColor="text1"/>
                <w:szCs w:val="24"/>
                <w:u w:val="single"/>
                <w:lang w:val="en-IE"/>
              </w:rPr>
              <w:t>regards the breadth and coverage of the advice to be given</w:t>
            </w:r>
            <w:r w:rsidRPr="004C70EC">
              <w:rPr>
                <w:rFonts w:eastAsiaTheme="majorEastAsia"/>
                <w:noProof/>
                <w:color w:val="000000" w:themeColor="text1"/>
                <w:szCs w:val="24"/>
                <w:lang w:val="en-IE"/>
              </w:rPr>
              <w:t xml:space="preserve">, EFSA will now be required to carry out </w:t>
            </w:r>
            <w:r w:rsidRPr="004C70EC">
              <w:rPr>
                <w:rFonts w:eastAsiaTheme="majorEastAsia"/>
                <w:b/>
                <w:bCs/>
                <w:noProof/>
                <w:color w:val="000000" w:themeColor="text1"/>
                <w:szCs w:val="24"/>
                <w:lang w:val="en-IE"/>
              </w:rPr>
              <w:t xml:space="preserve">a closer evaluation of the request at hand and provide tailor-made </w:t>
            </w:r>
            <w:r w:rsidRPr="004C70EC">
              <w:rPr>
                <w:rFonts w:eastAsiaTheme="majorEastAsia"/>
                <w:noProof/>
                <w:color w:val="000000" w:themeColor="text1"/>
                <w:szCs w:val="24"/>
                <w:lang w:val="en-IE"/>
              </w:rPr>
              <w:t xml:space="preserve">advice covering both administrative/regulatory aspects </w:t>
            </w:r>
            <w:r w:rsidRPr="004C70EC">
              <w:rPr>
                <w:rFonts w:eastAsiaTheme="majorEastAsia"/>
                <w:b/>
                <w:bCs/>
                <w:noProof/>
                <w:color w:val="000000" w:themeColor="text1"/>
                <w:szCs w:val="24"/>
                <w:lang w:val="en-IE"/>
              </w:rPr>
              <w:t>but also scientific aspects on each individual case</w:t>
            </w:r>
            <w:r w:rsidRPr="004C70EC">
              <w:rPr>
                <w:rFonts w:eastAsiaTheme="majorEastAsia"/>
                <w:noProof/>
                <w:color w:val="000000" w:themeColor="text1"/>
                <w:szCs w:val="24"/>
                <w:lang w:val="en-IE"/>
              </w:rPr>
              <w:t xml:space="preserve">. </w:t>
            </w:r>
          </w:p>
          <w:p w14:paraId="4B34EAFA" w14:textId="77777777" w:rsidR="00A130A2" w:rsidRPr="004C70EC" w:rsidRDefault="00A130A2" w:rsidP="00A130A2">
            <w:pPr>
              <w:keepNext/>
              <w:keepLines/>
              <w:spacing w:before="160" w:after="80" w:line="279" w:lineRule="auto"/>
              <w:outlineLvl w:val="1"/>
              <w:rPr>
                <w:rFonts w:eastAsiaTheme="majorEastAsia"/>
                <w:noProof/>
                <w:color w:val="000000" w:themeColor="text1"/>
                <w:szCs w:val="24"/>
                <w:lang w:val="en-IE"/>
              </w:rPr>
            </w:pPr>
            <w:r w:rsidRPr="004C70EC">
              <w:rPr>
                <w:rFonts w:eastAsiaTheme="majorEastAsia"/>
                <w:b/>
                <w:bCs/>
                <w:noProof/>
                <w:color w:val="000000" w:themeColor="text1"/>
                <w:szCs w:val="24"/>
                <w:lang w:val="en-IE"/>
              </w:rPr>
              <w:t xml:space="preserve"> </w:t>
            </w:r>
            <w:r w:rsidRPr="004C70EC">
              <w:rPr>
                <w:rFonts w:eastAsiaTheme="majorEastAsia"/>
                <w:noProof/>
                <w:color w:val="000000" w:themeColor="text1"/>
                <w:szCs w:val="24"/>
                <w:lang w:val="en-IE"/>
              </w:rPr>
              <w:t>Thus, the requested -5 ADs are necessary to:</w:t>
            </w:r>
          </w:p>
          <w:p w14:paraId="482753A2" w14:textId="77777777" w:rsidR="00A130A2" w:rsidRPr="004C70EC" w:rsidRDefault="00A130A2" w:rsidP="00811FF3">
            <w:pPr>
              <w:pStyle w:val="ListParagraph"/>
              <w:keepNext/>
              <w:keepLines/>
              <w:numPr>
                <w:ilvl w:val="0"/>
                <w:numId w:val="34"/>
              </w:numPr>
              <w:spacing w:before="160" w:after="80" w:line="279" w:lineRule="auto"/>
              <w:outlineLvl w:val="1"/>
              <w:rPr>
                <w:rFonts w:eastAsiaTheme="majorEastAsia"/>
                <w:noProof/>
                <w:color w:val="000000" w:themeColor="text1"/>
                <w:szCs w:val="24"/>
                <w:lang w:val="en-IE"/>
              </w:rPr>
            </w:pPr>
            <w:r w:rsidRPr="004C70EC">
              <w:rPr>
                <w:rFonts w:eastAsiaTheme="majorEastAsia"/>
                <w:b/>
                <w:bCs/>
                <w:noProof/>
                <w:color w:val="000000" w:themeColor="text1"/>
                <w:szCs w:val="24"/>
                <w:lang w:val="en-IE"/>
              </w:rPr>
              <w:t>Prepare and</w:t>
            </w:r>
            <w:r w:rsidRPr="004C70EC">
              <w:rPr>
                <w:rFonts w:eastAsiaTheme="majorEastAsia"/>
                <w:noProof/>
                <w:color w:val="000000" w:themeColor="text1"/>
                <w:szCs w:val="24"/>
                <w:lang w:val="en-IE"/>
              </w:rPr>
              <w:t xml:space="preserve"> </w:t>
            </w:r>
            <w:r w:rsidRPr="004C70EC">
              <w:rPr>
                <w:rFonts w:eastAsiaTheme="majorEastAsia"/>
                <w:b/>
                <w:bCs/>
                <w:noProof/>
                <w:color w:val="000000" w:themeColor="text1"/>
                <w:szCs w:val="24"/>
                <w:lang w:val="en-IE"/>
              </w:rPr>
              <w:t>provide tailor-made</w:t>
            </w:r>
            <w:r w:rsidRPr="004C70EC">
              <w:rPr>
                <w:rFonts w:eastAsiaTheme="majorEastAsia"/>
                <w:noProof/>
                <w:color w:val="000000" w:themeColor="text1"/>
                <w:szCs w:val="24"/>
                <w:lang w:val="en-IE"/>
              </w:rPr>
              <w:t xml:space="preserve"> pre-submission advice consisting of scientific advice including on the type and design of studies to be submitted in support of an application/notification and on the content of the application/notification at hand. The scientific advice will be particularly demanding as it needs to be specific to the needs of each induvial application taking also into account the profile of the applicant at hand (e.g. SME that has no experience with applications) as well as the subject matter (type of product, applicable sectoral legislation, type of approval, e.g. new or renewal etc). This includes additional tasks such as: </w:t>
            </w:r>
          </w:p>
          <w:p w14:paraId="27C04D63" w14:textId="77777777" w:rsidR="00A130A2" w:rsidRPr="004C70EC" w:rsidRDefault="00A130A2" w:rsidP="00811FF3">
            <w:pPr>
              <w:pStyle w:val="ListParagraph"/>
              <w:keepNext/>
              <w:keepLines/>
              <w:numPr>
                <w:ilvl w:val="1"/>
                <w:numId w:val="34"/>
              </w:numPr>
              <w:spacing w:before="160" w:after="80" w:line="279" w:lineRule="auto"/>
              <w:outlineLvl w:val="1"/>
              <w:rPr>
                <w:rFonts w:eastAsiaTheme="majorEastAsia"/>
                <w:noProof/>
                <w:color w:val="000000" w:themeColor="text1"/>
                <w:szCs w:val="24"/>
                <w:lang w:val="en-IE"/>
              </w:rPr>
            </w:pPr>
            <w:r w:rsidRPr="004C70EC">
              <w:rPr>
                <w:rFonts w:eastAsiaTheme="majorEastAsia"/>
                <w:b/>
                <w:bCs/>
                <w:noProof/>
                <w:color w:val="000000" w:themeColor="text1"/>
                <w:szCs w:val="24"/>
                <w:lang w:val="en-IE"/>
              </w:rPr>
              <w:t xml:space="preserve">coordinate </w:t>
            </w:r>
            <w:r w:rsidRPr="004C70EC">
              <w:rPr>
                <w:rFonts w:eastAsiaTheme="majorEastAsia"/>
                <w:noProof/>
                <w:color w:val="000000" w:themeColor="text1"/>
                <w:szCs w:val="24"/>
                <w:lang w:val="en-IE"/>
              </w:rPr>
              <w:t xml:space="preserve">with subject matter units for the needed tasks, involvement of working group Experts, Panel experts, who might also later be involved in dossier assessment; In this respect, </w:t>
            </w:r>
            <w:r w:rsidRPr="004C70EC">
              <w:rPr>
                <w:rFonts w:eastAsiaTheme="majorEastAsia"/>
                <w:b/>
                <w:bCs/>
                <w:noProof/>
                <w:color w:val="000000" w:themeColor="text1"/>
                <w:szCs w:val="24"/>
                <w:lang w:val="en-IE"/>
              </w:rPr>
              <w:t>additional research and work would need to be carried out as regards previous scientific outputs of the EFSA of all 11 Panels across all authorisation procedures in the food chain, data requirements set out in sectoral legislation and all relevant scientific guidances</w:t>
            </w:r>
            <w:r w:rsidRPr="004C70EC">
              <w:rPr>
                <w:rFonts w:eastAsiaTheme="majorEastAsia"/>
                <w:noProof/>
                <w:color w:val="000000" w:themeColor="text1"/>
                <w:szCs w:val="24"/>
                <w:lang w:val="en-IE"/>
              </w:rPr>
              <w:t xml:space="preserve">, where such exist as well as </w:t>
            </w:r>
            <w:r w:rsidRPr="004C70EC">
              <w:rPr>
                <w:rFonts w:eastAsiaTheme="majorEastAsia"/>
                <w:b/>
                <w:bCs/>
                <w:noProof/>
                <w:color w:val="000000" w:themeColor="text1"/>
                <w:szCs w:val="24"/>
                <w:lang w:val="en-IE"/>
              </w:rPr>
              <w:t xml:space="preserve">the latest scientific information </w:t>
            </w:r>
            <w:r w:rsidRPr="004C70EC">
              <w:rPr>
                <w:rFonts w:eastAsiaTheme="majorEastAsia"/>
                <w:noProof/>
                <w:color w:val="000000" w:themeColor="text1"/>
                <w:szCs w:val="24"/>
                <w:lang w:val="en-IE"/>
              </w:rPr>
              <w:t xml:space="preserve">that may be relevant for the applicant concerned; </w:t>
            </w:r>
          </w:p>
          <w:p w14:paraId="17659926" w14:textId="77777777" w:rsidR="00A130A2" w:rsidRPr="004C70EC" w:rsidRDefault="00A130A2" w:rsidP="00811FF3">
            <w:pPr>
              <w:pStyle w:val="ListParagraph"/>
              <w:keepNext/>
              <w:keepLines/>
              <w:numPr>
                <w:ilvl w:val="1"/>
                <w:numId w:val="34"/>
              </w:numPr>
              <w:spacing w:before="160" w:after="80" w:line="279" w:lineRule="auto"/>
              <w:outlineLvl w:val="1"/>
              <w:rPr>
                <w:rFonts w:eastAsiaTheme="majorEastAsia"/>
                <w:noProof/>
                <w:color w:val="000000" w:themeColor="text1"/>
                <w:szCs w:val="24"/>
                <w:lang w:val="en-IE"/>
              </w:rPr>
            </w:pPr>
            <w:r w:rsidRPr="004C70EC">
              <w:rPr>
                <w:rFonts w:eastAsiaTheme="majorEastAsia"/>
                <w:b/>
                <w:bCs/>
                <w:noProof/>
                <w:color w:val="000000" w:themeColor="text1"/>
                <w:szCs w:val="24"/>
                <w:lang w:val="en-IE"/>
              </w:rPr>
              <w:t>coordinate with Member State experts</w:t>
            </w:r>
            <w:r w:rsidRPr="004C70EC">
              <w:rPr>
                <w:rFonts w:eastAsiaTheme="majorEastAsia"/>
                <w:noProof/>
                <w:color w:val="000000" w:themeColor="text1"/>
                <w:szCs w:val="24"/>
                <w:lang w:val="en-IE"/>
              </w:rPr>
              <w:t xml:space="preserve"> in the relevant </w:t>
            </w:r>
            <w:r w:rsidRPr="004C70EC">
              <w:rPr>
                <w:rFonts w:eastAsiaTheme="majorEastAsia"/>
                <w:b/>
                <w:bCs/>
                <w:noProof/>
                <w:color w:val="000000" w:themeColor="text1"/>
                <w:szCs w:val="24"/>
                <w:lang w:val="en-IE"/>
              </w:rPr>
              <w:t>EFSA networks/fora</w:t>
            </w:r>
            <w:r w:rsidRPr="004C70EC">
              <w:rPr>
                <w:rFonts w:eastAsiaTheme="majorEastAsia"/>
                <w:noProof/>
                <w:color w:val="000000" w:themeColor="text1"/>
                <w:szCs w:val="24"/>
                <w:lang w:val="en-IE"/>
              </w:rPr>
              <w:t xml:space="preserve"> but also with other EU agencies where needed – in the area of pesticides where the approval system of active substances is semi-decentralised this will need additional effort to coordinate with the relevant MS authorities to ensure the provision of PSA from EFSA and from the MS authorities in a consistent manner;</w:t>
            </w:r>
          </w:p>
          <w:p w14:paraId="2FB0F38A" w14:textId="77777777" w:rsidR="00A130A2" w:rsidRPr="004C70EC" w:rsidRDefault="00A130A2" w:rsidP="00811FF3">
            <w:pPr>
              <w:pStyle w:val="ListParagraph"/>
              <w:keepNext/>
              <w:keepLines/>
              <w:numPr>
                <w:ilvl w:val="1"/>
                <w:numId w:val="34"/>
              </w:numPr>
              <w:spacing w:before="160" w:after="80" w:line="279" w:lineRule="auto"/>
              <w:outlineLvl w:val="1"/>
              <w:rPr>
                <w:rFonts w:eastAsiaTheme="majorEastAsia"/>
                <w:noProof/>
                <w:color w:val="000000" w:themeColor="text1"/>
                <w:szCs w:val="24"/>
                <w:lang w:val="en-IE"/>
              </w:rPr>
            </w:pPr>
            <w:r w:rsidRPr="004C70EC">
              <w:rPr>
                <w:rFonts w:eastAsiaTheme="majorEastAsia"/>
                <w:b/>
                <w:bCs/>
                <w:noProof/>
                <w:color w:val="000000" w:themeColor="text1"/>
                <w:szCs w:val="24"/>
                <w:lang w:val="en-IE"/>
              </w:rPr>
              <w:t>exchange with the requestor</w:t>
            </w:r>
            <w:r w:rsidRPr="004C70EC">
              <w:rPr>
                <w:rFonts w:eastAsiaTheme="majorEastAsia"/>
                <w:noProof/>
                <w:color w:val="000000" w:themeColor="text1"/>
                <w:szCs w:val="24"/>
                <w:lang w:val="en-IE"/>
              </w:rPr>
              <w:t xml:space="preserve"> (on acceptability, requests for clarifications); </w:t>
            </w:r>
          </w:p>
          <w:p w14:paraId="327BB978" w14:textId="77777777" w:rsidR="00A130A2" w:rsidRPr="004C70EC" w:rsidRDefault="00A130A2" w:rsidP="00811FF3">
            <w:pPr>
              <w:pStyle w:val="ListParagraph"/>
              <w:keepNext/>
              <w:keepLines/>
              <w:numPr>
                <w:ilvl w:val="1"/>
                <w:numId w:val="34"/>
              </w:numPr>
              <w:spacing w:before="160" w:after="80" w:line="279" w:lineRule="auto"/>
              <w:outlineLvl w:val="1"/>
              <w:rPr>
                <w:rFonts w:eastAsiaTheme="majorEastAsia"/>
                <w:noProof/>
                <w:color w:val="000000" w:themeColor="text1"/>
                <w:szCs w:val="24"/>
                <w:lang w:val="en-IE"/>
              </w:rPr>
            </w:pPr>
            <w:r w:rsidRPr="004C70EC">
              <w:rPr>
                <w:rFonts w:eastAsiaTheme="majorEastAsia"/>
                <w:b/>
                <w:bCs/>
                <w:noProof/>
                <w:color w:val="000000" w:themeColor="text1"/>
                <w:szCs w:val="24"/>
                <w:lang w:val="en-IE"/>
              </w:rPr>
              <w:t>regular consultation with EFSA’s legal department to provide advice</w:t>
            </w:r>
            <w:r w:rsidRPr="004C70EC">
              <w:rPr>
                <w:rFonts w:eastAsiaTheme="majorEastAsia"/>
                <w:noProof/>
                <w:color w:val="000000" w:themeColor="text1"/>
                <w:szCs w:val="24"/>
                <w:lang w:val="en-IE"/>
              </w:rPr>
              <w:t xml:space="preserve"> in line with the applicable rules (remit of pre-submission advice, public disclosure of the advice given once corresponding valid applications are made etc.) ensure the clarity and consistency of the pre-submission advice to all requestors across all authorisation procedures, especially where applicants would need to apply for more than 1 authorisation process for placing products on the market (application for novel foods and subsequently application for a health claim);</w:t>
            </w:r>
          </w:p>
          <w:p w14:paraId="4F86FD3F" w14:textId="77777777" w:rsidR="00A130A2" w:rsidRPr="004C70EC" w:rsidRDefault="00A130A2" w:rsidP="00811FF3">
            <w:pPr>
              <w:pStyle w:val="ListParagraph"/>
              <w:keepNext/>
              <w:keepLines/>
              <w:numPr>
                <w:ilvl w:val="1"/>
                <w:numId w:val="34"/>
              </w:numPr>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 xml:space="preserve">coordinate the timely handling of all PSA requests in a manner that provides added value to the applicants and ensure that high quality dossiers are subsequently submitted. </w:t>
            </w:r>
          </w:p>
          <w:p w14:paraId="08AE2CC3" w14:textId="77777777" w:rsidR="00A130A2" w:rsidRPr="004C70EC" w:rsidRDefault="00A130A2" w:rsidP="00811FF3">
            <w:pPr>
              <w:pStyle w:val="ListParagraph"/>
              <w:keepNext/>
              <w:keepLines/>
              <w:numPr>
                <w:ilvl w:val="0"/>
                <w:numId w:val="34"/>
              </w:numPr>
              <w:spacing w:before="160" w:after="80" w:line="279" w:lineRule="auto"/>
              <w:outlineLvl w:val="1"/>
              <w:rPr>
                <w:rFonts w:eastAsiaTheme="majorEastAsia"/>
                <w:noProof/>
                <w:color w:val="000000" w:themeColor="text1"/>
                <w:szCs w:val="24"/>
                <w:lang w:val="en-IE"/>
              </w:rPr>
            </w:pPr>
            <w:r w:rsidRPr="004C70EC">
              <w:rPr>
                <w:rFonts w:eastAsiaTheme="majorEastAsia"/>
                <w:b/>
                <w:bCs/>
                <w:noProof/>
                <w:color w:val="000000" w:themeColor="text1"/>
                <w:szCs w:val="24"/>
                <w:lang w:val="en-IE"/>
              </w:rPr>
              <w:t>promotion of the pre-submission advice</w:t>
            </w:r>
            <w:r w:rsidRPr="004C70EC">
              <w:rPr>
                <w:rFonts w:eastAsiaTheme="majorEastAsia"/>
                <w:noProof/>
                <w:color w:val="000000" w:themeColor="text1"/>
                <w:szCs w:val="24"/>
                <w:lang w:val="en-IE"/>
              </w:rPr>
              <w:t xml:space="preserve"> provided by EFSA upon request among applicants and particularly SMEs, who are often one-time applicant and have no experience on how to prepare application dossiers for risk assessment purposes;</w:t>
            </w:r>
          </w:p>
          <w:p w14:paraId="1CF7E446" w14:textId="77777777" w:rsidR="00A130A2" w:rsidRPr="004C70EC" w:rsidRDefault="00A130A2" w:rsidP="00811FF3">
            <w:pPr>
              <w:pStyle w:val="ListParagraph"/>
              <w:keepNext/>
              <w:keepLines/>
              <w:numPr>
                <w:ilvl w:val="0"/>
                <w:numId w:val="34"/>
              </w:numPr>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to effectively explain the ‘</w:t>
            </w:r>
            <w:r w:rsidRPr="004C70EC">
              <w:rPr>
                <w:rFonts w:eastAsiaTheme="majorEastAsia"/>
                <w:b/>
                <w:bCs/>
                <w:noProof/>
                <w:color w:val="000000" w:themeColor="text1"/>
                <w:szCs w:val="24"/>
                <w:lang w:val="en-IE"/>
              </w:rPr>
              <w:t>pre-submission advice (PSA)’ process</w:t>
            </w:r>
            <w:r w:rsidRPr="004C70EC">
              <w:rPr>
                <w:rFonts w:eastAsiaTheme="majorEastAsia"/>
                <w:noProof/>
                <w:color w:val="000000" w:themeColor="text1"/>
                <w:szCs w:val="24"/>
                <w:lang w:val="en-IE"/>
              </w:rPr>
              <w:t xml:space="preserve"> to potential requestors; </w:t>
            </w:r>
          </w:p>
          <w:p w14:paraId="6CFD0414" w14:textId="77777777" w:rsidR="00A130A2" w:rsidRPr="004C70EC" w:rsidRDefault="00A130A2" w:rsidP="00811FF3">
            <w:pPr>
              <w:pStyle w:val="ListParagraph"/>
              <w:keepNext/>
              <w:keepLines/>
              <w:numPr>
                <w:ilvl w:val="0"/>
                <w:numId w:val="34"/>
              </w:numPr>
              <w:spacing w:before="160" w:after="80" w:line="279" w:lineRule="auto"/>
              <w:outlineLvl w:val="1"/>
              <w:rPr>
                <w:noProof/>
                <w:lang w:val="en-IE"/>
              </w:rPr>
            </w:pPr>
            <w:r w:rsidRPr="004C70EC">
              <w:rPr>
                <w:rFonts w:eastAsiaTheme="majorEastAsia"/>
                <w:noProof/>
                <w:color w:val="000000" w:themeColor="text1"/>
                <w:szCs w:val="24"/>
                <w:lang w:val="en-IE"/>
              </w:rPr>
              <w:t xml:space="preserve">to ensure </w:t>
            </w:r>
            <w:r w:rsidRPr="004C70EC">
              <w:rPr>
                <w:rFonts w:eastAsiaTheme="majorEastAsia"/>
                <w:b/>
                <w:bCs/>
                <w:noProof/>
                <w:color w:val="000000" w:themeColor="text1"/>
                <w:szCs w:val="24"/>
                <w:lang w:val="en-IE"/>
              </w:rPr>
              <w:t>appropriate training to the subject matter</w:t>
            </w:r>
            <w:r w:rsidRPr="004C70EC">
              <w:rPr>
                <w:rFonts w:eastAsiaTheme="majorEastAsia"/>
                <w:noProof/>
                <w:color w:val="000000" w:themeColor="text1"/>
                <w:szCs w:val="24"/>
                <w:lang w:val="en-IE"/>
              </w:rPr>
              <w:t xml:space="preserve"> units </w:t>
            </w:r>
            <w:r w:rsidRPr="004C70EC">
              <w:rPr>
                <w:rFonts w:eastAsiaTheme="majorEastAsia"/>
                <w:b/>
                <w:bCs/>
                <w:noProof/>
                <w:color w:val="000000" w:themeColor="text1"/>
                <w:szCs w:val="24"/>
                <w:lang w:val="en-IE"/>
              </w:rPr>
              <w:t>and/or relevant experts</w:t>
            </w:r>
            <w:r w:rsidRPr="004C70EC">
              <w:rPr>
                <w:rFonts w:eastAsiaTheme="majorEastAsia"/>
                <w:noProof/>
                <w:color w:val="000000" w:themeColor="text1"/>
                <w:szCs w:val="24"/>
                <w:lang w:val="en-IE"/>
              </w:rPr>
              <w:t xml:space="preserve"> both on the required content of dossiers and on the scientific front taking into account the EFSA scientific guidance documents and data requirements laid down in the sector specific legislation.</w:t>
            </w:r>
          </w:p>
          <w:p w14:paraId="41926B60" w14:textId="77777777" w:rsidR="00A130A2" w:rsidRPr="004C70EC" w:rsidRDefault="00A130A2" w:rsidP="00A130A2">
            <w:pPr>
              <w:keepNext/>
              <w:keepLines/>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The permanent</w:t>
            </w:r>
            <w:r w:rsidRPr="004C70EC" w:rsidDel="008F7272">
              <w:rPr>
                <w:rFonts w:eastAsiaTheme="majorEastAsia"/>
                <w:noProof/>
                <w:color w:val="000000" w:themeColor="text1"/>
                <w:szCs w:val="24"/>
                <w:lang w:val="en-IE"/>
              </w:rPr>
              <w:t xml:space="preserve"> </w:t>
            </w:r>
            <w:r w:rsidRPr="004C70EC">
              <w:rPr>
                <w:rFonts w:eastAsiaTheme="majorEastAsia"/>
                <w:noProof/>
                <w:color w:val="000000" w:themeColor="text1"/>
                <w:szCs w:val="24"/>
                <w:lang w:val="en-IE"/>
              </w:rPr>
              <w:t xml:space="preserve">5 AD positions will ensure clarity and consistency in the provision of PSA, maintain the uptake of PSA to ensure that high quality dossiers are later submitted that would accelerate the risk assessment process and that the </w:t>
            </w:r>
            <w:r w:rsidRPr="004C70EC">
              <w:rPr>
                <w:rFonts w:eastAsiaTheme="majorEastAsia"/>
                <w:b/>
                <w:bCs/>
                <w:noProof/>
                <w:color w:val="000000" w:themeColor="text1"/>
                <w:szCs w:val="24"/>
                <w:lang w:val="en-IE"/>
              </w:rPr>
              <w:t>knowledge is retained within EFSA in the most effective manner</w:t>
            </w:r>
            <w:r w:rsidRPr="004C70EC">
              <w:rPr>
                <w:rFonts w:eastAsiaTheme="majorEastAsia"/>
                <w:noProof/>
                <w:color w:val="000000" w:themeColor="text1"/>
                <w:szCs w:val="24"/>
                <w:lang w:val="en-IE"/>
              </w:rPr>
              <w:t xml:space="preserve">. </w:t>
            </w:r>
          </w:p>
          <w:p w14:paraId="292E224F" w14:textId="77777777" w:rsidR="00A130A2" w:rsidRPr="004C70EC" w:rsidRDefault="00A130A2" w:rsidP="00A130A2">
            <w:pPr>
              <w:keepNext/>
              <w:keepLines/>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1 Assistant staff (AST) is needed for:</w:t>
            </w:r>
          </w:p>
          <w:p w14:paraId="69E701C5" w14:textId="77777777" w:rsidR="00A130A2" w:rsidRPr="004C70EC" w:rsidRDefault="00A130A2" w:rsidP="00811FF3">
            <w:pPr>
              <w:pStyle w:val="ListParagraph"/>
              <w:keepNext/>
              <w:keepLines/>
              <w:numPr>
                <w:ilvl w:val="0"/>
                <w:numId w:val="34"/>
              </w:numPr>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organization of tele-meetings with the requestor and/or experts (if needed) and drafting minutes;</w:t>
            </w:r>
          </w:p>
          <w:p w14:paraId="5E3BD0EF" w14:textId="77777777" w:rsidR="00A130A2" w:rsidRPr="004C70EC" w:rsidRDefault="00A130A2" w:rsidP="00811FF3">
            <w:pPr>
              <w:pStyle w:val="ListParagraph"/>
              <w:keepNext/>
              <w:keepLines/>
              <w:numPr>
                <w:ilvl w:val="0"/>
                <w:numId w:val="34"/>
              </w:numPr>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developing a knowledge database and ensuring its maintenance, monitoring, reporting, auditing of the requests;</w:t>
            </w:r>
          </w:p>
          <w:p w14:paraId="37CB5005" w14:textId="77777777" w:rsidR="00A130A2" w:rsidRPr="004C70EC" w:rsidRDefault="00A130A2" w:rsidP="00811FF3">
            <w:pPr>
              <w:pStyle w:val="ListParagraph"/>
              <w:keepNext/>
              <w:keepLines/>
              <w:numPr>
                <w:ilvl w:val="0"/>
                <w:numId w:val="34"/>
              </w:numPr>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 xml:space="preserve">following up on the continuous improvement of the service and support IT tool improvements; </w:t>
            </w:r>
          </w:p>
          <w:p w14:paraId="0DC99893" w14:textId="77777777" w:rsidR="00A130A2" w:rsidRPr="004C70EC" w:rsidRDefault="00A130A2" w:rsidP="00811FF3">
            <w:pPr>
              <w:pStyle w:val="ListParagraph"/>
              <w:keepNext/>
              <w:keepLines/>
              <w:numPr>
                <w:ilvl w:val="0"/>
                <w:numId w:val="34"/>
              </w:numPr>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 xml:space="preserve">supporting applicants on the characteristics of the service and the IT Tools; </w:t>
            </w:r>
          </w:p>
          <w:p w14:paraId="09EF0131" w14:textId="77777777" w:rsidR="007A75EB" w:rsidRPr="004C70EC" w:rsidRDefault="00A130A2" w:rsidP="00811FF3">
            <w:pPr>
              <w:pStyle w:val="ListParagraph"/>
              <w:numPr>
                <w:ilvl w:val="0"/>
                <w:numId w:val="34"/>
              </w:numPr>
              <w:rPr>
                <w:rFonts w:eastAsiaTheme="majorEastAsia"/>
                <w:noProof/>
                <w:lang w:val="en-IE"/>
              </w:rPr>
            </w:pPr>
            <w:r w:rsidRPr="004C70EC">
              <w:rPr>
                <w:rFonts w:eastAsiaTheme="majorEastAsia"/>
                <w:noProof/>
                <w:color w:val="000000" w:themeColor="text1"/>
                <w:szCs w:val="24"/>
                <w:lang w:val="en-IE"/>
              </w:rPr>
              <w:t>disseminating the service among applicants and SMEs, supporting the publication of summary in Open EFSA, publication of full advice at the time of a validated dossier.</w:t>
            </w:r>
          </w:p>
        </w:tc>
      </w:tr>
      <w:tr w:rsidR="004A1163" w:rsidRPr="004C70EC" w14:paraId="5F6A0B14" w14:textId="77777777" w:rsidTr="33CE1D06">
        <w:tc>
          <w:tcPr>
            <w:tcW w:w="3240" w:type="dxa"/>
          </w:tcPr>
          <w:p w14:paraId="6D295DA6" w14:textId="77777777" w:rsidR="007966CD" w:rsidRPr="004C70EC" w:rsidRDefault="007966CD">
            <w:pPr>
              <w:spacing w:before="60" w:after="60"/>
              <w:rPr>
                <w:noProof/>
                <w:color w:val="000000" w:themeColor="text1"/>
                <w:szCs w:val="24"/>
              </w:rPr>
            </w:pPr>
            <w:r w:rsidRPr="004C70EC">
              <w:rPr>
                <w:noProof/>
                <w:color w:val="000000" w:themeColor="text1"/>
                <w:szCs w:val="24"/>
              </w:rPr>
              <w:t>External staff</w:t>
            </w:r>
          </w:p>
        </w:tc>
        <w:tc>
          <w:tcPr>
            <w:tcW w:w="7200" w:type="dxa"/>
          </w:tcPr>
          <w:p w14:paraId="66FA98B9" w14:textId="77777777" w:rsidR="007D5926" w:rsidRPr="004C70EC" w:rsidRDefault="007D5926" w:rsidP="007D5926">
            <w:pPr>
              <w:keepNext/>
              <w:keepLines/>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 xml:space="preserve">Given the expected considerable increased uptake of the PSA in the early years of entry into application of this enlarged service, the permanent staff would need the support of 8 CAs (FGIV) to set in motion the relevant process and the establishment/maintenance in terms of content of a knowledge database for future use for all the tasks outlined and for all authorisation procedures across the food chain for which EFSA is responsible to provide scientific advice. More specifically: </w:t>
            </w:r>
          </w:p>
          <w:p w14:paraId="36C1CEF1" w14:textId="77777777" w:rsidR="007D5926" w:rsidRPr="004C70EC" w:rsidRDefault="007D5926" w:rsidP="00811FF3">
            <w:pPr>
              <w:pStyle w:val="ListParagraph"/>
              <w:keepNext/>
              <w:keepLines/>
              <w:numPr>
                <w:ilvl w:val="0"/>
                <w:numId w:val="34"/>
              </w:numPr>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perform reception and triage of the request;</w:t>
            </w:r>
          </w:p>
          <w:p w14:paraId="442CD64E" w14:textId="77777777" w:rsidR="007D5926" w:rsidRPr="004C70EC" w:rsidRDefault="007D5926" w:rsidP="00811FF3">
            <w:pPr>
              <w:pStyle w:val="ListParagraph"/>
              <w:keepNext/>
              <w:keepLines/>
              <w:numPr>
                <w:ilvl w:val="0"/>
                <w:numId w:val="34"/>
              </w:numPr>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 xml:space="preserve">analyse the request and ensure appropriate understanding what is needed to provide tailor-made advice; </w:t>
            </w:r>
          </w:p>
          <w:p w14:paraId="0726579D" w14:textId="77777777" w:rsidR="007D5926" w:rsidRPr="004C70EC" w:rsidRDefault="007D5926" w:rsidP="00811FF3">
            <w:pPr>
              <w:pStyle w:val="ListParagraph"/>
              <w:keepNext/>
              <w:keepLines/>
              <w:numPr>
                <w:ilvl w:val="0"/>
                <w:numId w:val="34"/>
              </w:numPr>
              <w:spacing w:before="160" w:after="80" w:line="279" w:lineRule="auto"/>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liaise with the technical units and identify the relevant and appropriate profile of scientific experts (either from the established panels or their working groups or even from the reserve list of experts) that could support the scientific aspects of PSA depending on each individual request; ensure their participation, analysis and input to the provision of the PSA;</w:t>
            </w:r>
          </w:p>
          <w:p w14:paraId="64FBDD60" w14:textId="77777777" w:rsidR="007D5926" w:rsidRPr="004C70EC" w:rsidRDefault="007D5926" w:rsidP="00811FF3">
            <w:pPr>
              <w:pStyle w:val="ListParagraph"/>
              <w:keepNext/>
              <w:keepLines/>
              <w:numPr>
                <w:ilvl w:val="0"/>
                <w:numId w:val="34"/>
              </w:numPr>
              <w:spacing w:before="160" w:after="80" w:line="278" w:lineRule="auto"/>
              <w:ind w:left="714" w:hanging="357"/>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perform literature review and preparatory work to support the scientific experts and ensure also the provision of PSA on administrative/regulatory aspects;</w:t>
            </w:r>
          </w:p>
          <w:p w14:paraId="2D68A6AF" w14:textId="77777777" w:rsidR="007D5926" w:rsidRPr="004C70EC" w:rsidRDefault="007D5926" w:rsidP="00811FF3">
            <w:pPr>
              <w:pStyle w:val="ListParagraph"/>
              <w:keepNext/>
              <w:keepLines/>
              <w:numPr>
                <w:ilvl w:val="0"/>
                <w:numId w:val="34"/>
              </w:numPr>
              <w:spacing w:before="160" w:after="80" w:line="279" w:lineRule="auto"/>
              <w:ind w:left="714" w:hanging="357"/>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exchanges with the requestor (on acceptability, requests for clarifications) and setting up where appropriate PSA meetings;</w:t>
            </w:r>
          </w:p>
          <w:p w14:paraId="22CF5640" w14:textId="77777777" w:rsidR="007D5926" w:rsidRPr="004C70EC" w:rsidRDefault="007D5926" w:rsidP="00811FF3">
            <w:pPr>
              <w:pStyle w:val="ListParagraph"/>
              <w:numPr>
                <w:ilvl w:val="0"/>
                <w:numId w:val="34"/>
              </w:numPr>
              <w:spacing w:before="160" w:after="80"/>
              <w:ind w:left="714" w:hanging="357"/>
              <w:rPr>
                <w:rFonts w:eastAsiaTheme="majorEastAsia"/>
                <w:noProof/>
                <w:color w:val="000000" w:themeColor="text1"/>
                <w:szCs w:val="24"/>
                <w:lang w:val="en-IE"/>
              </w:rPr>
            </w:pPr>
            <w:r w:rsidRPr="004C70EC">
              <w:rPr>
                <w:rFonts w:eastAsiaTheme="majorEastAsia"/>
                <w:noProof/>
                <w:color w:val="000000" w:themeColor="text1"/>
                <w:szCs w:val="24"/>
                <w:lang w:val="en-IE"/>
              </w:rPr>
              <w:t xml:space="preserve">review of written replies and summaries to ensure consistency; </w:t>
            </w:r>
          </w:p>
          <w:p w14:paraId="072CA474" w14:textId="77777777" w:rsidR="007D5926" w:rsidRPr="004C70EC" w:rsidRDefault="007D5926" w:rsidP="00811FF3">
            <w:pPr>
              <w:pStyle w:val="ListParagraph"/>
              <w:numPr>
                <w:ilvl w:val="0"/>
                <w:numId w:val="34"/>
              </w:numPr>
              <w:spacing w:before="160" w:after="80"/>
              <w:ind w:left="714" w:hanging="357"/>
              <w:rPr>
                <w:noProof/>
                <w:lang w:val="en-IE"/>
              </w:rPr>
            </w:pPr>
            <w:r w:rsidRPr="004C70EC">
              <w:rPr>
                <w:rFonts w:eastAsiaTheme="majorEastAsia"/>
                <w:noProof/>
                <w:color w:val="000000" w:themeColor="text1"/>
                <w:szCs w:val="24"/>
                <w:lang w:val="en-IE"/>
              </w:rPr>
              <w:t>ensure that the replies provided are introduced into a  knowledge database to keep records of past advice for future use depending on the relevant needs of the requests at hand;</w:t>
            </w:r>
          </w:p>
          <w:p w14:paraId="56ADA964" w14:textId="77777777" w:rsidR="007D5926" w:rsidRPr="004C70EC" w:rsidRDefault="007D5926" w:rsidP="00811FF3">
            <w:pPr>
              <w:pStyle w:val="ListParagraph"/>
              <w:keepNext/>
              <w:keepLines/>
              <w:numPr>
                <w:ilvl w:val="0"/>
                <w:numId w:val="34"/>
              </w:numPr>
              <w:spacing w:before="160" w:after="80" w:line="279" w:lineRule="auto"/>
              <w:ind w:left="714" w:hanging="357"/>
              <w:outlineLvl w:val="1"/>
              <w:rPr>
                <w:rFonts w:eastAsiaTheme="majorEastAsia"/>
                <w:noProof/>
                <w:color w:val="000000" w:themeColor="text1"/>
                <w:szCs w:val="24"/>
                <w:lang w:val="en-IE"/>
              </w:rPr>
            </w:pPr>
            <w:r w:rsidRPr="004C70EC">
              <w:rPr>
                <w:rFonts w:eastAsiaTheme="majorEastAsia"/>
                <w:noProof/>
                <w:color w:val="000000" w:themeColor="text1"/>
                <w:szCs w:val="24"/>
                <w:lang w:val="en-IE"/>
              </w:rPr>
              <w:t xml:space="preserve">drafting of the written advice to be sent to the requestor, finalisation of the advice and ensure that public disclosure of the PSA advice does not contain personal data or other confidential information. </w:t>
            </w:r>
          </w:p>
          <w:p w14:paraId="5F484475" w14:textId="77777777" w:rsidR="007D5926" w:rsidRPr="004C70EC" w:rsidRDefault="007D5926" w:rsidP="007D5926">
            <w:pPr>
              <w:keepNext/>
              <w:keepLines/>
              <w:spacing w:before="160" w:after="80" w:line="279" w:lineRule="auto"/>
              <w:outlineLvl w:val="1"/>
              <w:rPr>
                <w:rFonts w:eastAsiaTheme="majorEastAsia"/>
                <w:noProof/>
                <w:color w:val="000000" w:themeColor="text1"/>
                <w:szCs w:val="24"/>
                <w:lang w:val="en-IE"/>
              </w:rPr>
            </w:pPr>
            <w:r w:rsidRPr="004C70EC">
              <w:rPr>
                <w:rFonts w:eastAsiaTheme="majorEastAsia"/>
                <w:b/>
                <w:bCs/>
                <w:noProof/>
                <w:color w:val="000000" w:themeColor="text1"/>
                <w:szCs w:val="24"/>
                <w:lang w:val="en-IE"/>
              </w:rPr>
              <w:t>If such staffing is not guaranteed</w:t>
            </w:r>
            <w:r w:rsidRPr="004C70EC">
              <w:rPr>
                <w:rFonts w:eastAsiaTheme="majorEastAsia"/>
                <w:noProof/>
                <w:color w:val="000000" w:themeColor="text1"/>
                <w:szCs w:val="24"/>
                <w:lang w:val="en-IE"/>
              </w:rPr>
              <w:t xml:space="preserve"> and </w:t>
            </w:r>
            <w:r w:rsidRPr="004C70EC">
              <w:rPr>
                <w:rFonts w:eastAsiaTheme="majorEastAsia"/>
                <w:b/>
                <w:bCs/>
                <w:noProof/>
                <w:color w:val="000000" w:themeColor="text1"/>
                <w:szCs w:val="24"/>
                <w:lang w:val="en-IE"/>
              </w:rPr>
              <w:t>given the considerable increase of PSA that is expected</w:t>
            </w:r>
            <w:r w:rsidRPr="004C70EC">
              <w:rPr>
                <w:rFonts w:eastAsiaTheme="majorEastAsia"/>
                <w:noProof/>
                <w:color w:val="000000" w:themeColor="text1"/>
                <w:szCs w:val="24"/>
                <w:lang w:val="en-IE"/>
              </w:rPr>
              <w:t xml:space="preserve">, EFSA would not be able to deliver on the PSA advice without moving staff from its ‘core business’ – which is the provision of risk assessment – to the pre-submission phase. </w:t>
            </w:r>
            <w:r w:rsidRPr="004C70EC">
              <w:rPr>
                <w:rFonts w:eastAsiaTheme="majorEastAsia"/>
                <w:b/>
                <w:bCs/>
                <w:noProof/>
                <w:color w:val="000000" w:themeColor="text1"/>
                <w:szCs w:val="24"/>
                <w:u w:val="single"/>
                <w:lang w:val="en-IE"/>
              </w:rPr>
              <w:t>This will result in even more delays</w:t>
            </w:r>
            <w:r w:rsidRPr="004C70EC">
              <w:rPr>
                <w:rFonts w:eastAsiaTheme="majorEastAsia"/>
                <w:noProof/>
                <w:color w:val="000000" w:themeColor="text1"/>
                <w:szCs w:val="24"/>
                <w:lang w:val="en-IE"/>
              </w:rPr>
              <w:t xml:space="preserve"> than currently occur in the delivery of scientific outputs, </w:t>
            </w:r>
            <w:r w:rsidRPr="004C70EC">
              <w:rPr>
                <w:rFonts w:eastAsiaTheme="majorEastAsia"/>
                <w:b/>
                <w:bCs/>
                <w:noProof/>
                <w:color w:val="000000" w:themeColor="text1"/>
                <w:szCs w:val="24"/>
                <w:u w:val="single"/>
                <w:lang w:val="en-IE"/>
              </w:rPr>
              <w:t>defeating the very purpose of the Biotech act</w:t>
            </w:r>
            <w:r w:rsidRPr="004C70EC">
              <w:rPr>
                <w:rFonts w:eastAsiaTheme="majorEastAsia"/>
                <w:noProof/>
                <w:color w:val="000000" w:themeColor="text1"/>
                <w:szCs w:val="24"/>
                <w:lang w:val="en-IE"/>
              </w:rPr>
              <w:t xml:space="preserve">, which is to stimulate innovation and ensure that the time to the market for innovators is reduced. </w:t>
            </w:r>
          </w:p>
          <w:p w14:paraId="72772241" w14:textId="77777777" w:rsidR="007966CD" w:rsidRPr="004C70EC" w:rsidRDefault="007D5926" w:rsidP="33CE1D06">
            <w:pPr>
              <w:keepNext/>
              <w:keepLines/>
              <w:spacing w:before="160" w:after="80" w:line="279" w:lineRule="auto"/>
              <w:outlineLvl w:val="1"/>
              <w:rPr>
                <w:rFonts w:eastAsiaTheme="majorEastAsia"/>
                <w:b/>
                <w:bCs/>
                <w:noProof/>
                <w:color w:val="000000" w:themeColor="text1"/>
                <w:szCs w:val="24"/>
              </w:rPr>
            </w:pPr>
            <w:r w:rsidRPr="004C70EC">
              <w:rPr>
                <w:rFonts w:eastAsiaTheme="majorEastAsia"/>
                <w:noProof/>
                <w:color w:val="000000" w:themeColor="text1"/>
                <w:szCs w:val="24"/>
                <w:lang w:val="en-IE"/>
              </w:rPr>
              <w:t xml:space="preserve">Therefore, it is absolutely imperative for ensuring the objectives of the Biotech act to guarantee the EFSA additional resources so as to avoid any </w:t>
            </w:r>
            <w:r w:rsidRPr="004C70EC">
              <w:rPr>
                <w:rFonts w:eastAsiaTheme="majorEastAsia"/>
                <w:b/>
                <w:bCs/>
                <w:noProof/>
                <w:color w:val="000000" w:themeColor="text1"/>
                <w:szCs w:val="24"/>
                <w:lang w:val="en-IE"/>
              </w:rPr>
              <w:t>direct negative impact on the timeliness and speed of delivery of scientific opinions.</w:t>
            </w:r>
            <w:r w:rsidR="76F3A842" w:rsidRPr="004C70EC">
              <w:rPr>
                <w:rFonts w:eastAsiaTheme="majorEastAsia"/>
                <w:noProof/>
                <w:color w:val="000000" w:themeColor="text1"/>
                <w:szCs w:val="24"/>
                <w:lang w:val="en-IE"/>
              </w:rPr>
              <w:t>.</w:t>
            </w:r>
          </w:p>
        </w:tc>
      </w:tr>
    </w:tbl>
    <w:p w14:paraId="0237D4A9" w14:textId="77777777" w:rsidR="007966CD" w:rsidRPr="004C70EC" w:rsidDel="00B60DEB" w:rsidRDefault="007966CD">
      <w:pPr>
        <w:spacing w:before="0" w:after="200" w:line="276" w:lineRule="auto"/>
        <w:jc w:val="left"/>
        <w:rPr>
          <w:noProof/>
          <w:color w:val="000000" w:themeColor="text1"/>
          <w:szCs w:val="24"/>
          <w:u w:val="single"/>
          <w:lang w:val="en-IE"/>
        </w:rPr>
      </w:pPr>
    </w:p>
    <w:p w14:paraId="32E61B6E" w14:textId="77777777" w:rsidR="007966CD" w:rsidRPr="004C70EC" w:rsidRDefault="007966CD">
      <w:pPr>
        <w:outlineLvl w:val="1"/>
        <w:rPr>
          <w:noProof/>
          <w:color w:val="000000" w:themeColor="text1"/>
          <w:szCs w:val="24"/>
        </w:rPr>
      </w:pPr>
      <w:r w:rsidRPr="004C70EC">
        <w:rPr>
          <w:noProof/>
          <w:color w:val="000000" w:themeColor="text1"/>
          <w:szCs w:val="24"/>
        </w:rPr>
        <w:br/>
      </w:r>
      <w:bookmarkStart w:id="79" w:name="_Hlk166860179"/>
      <w:r w:rsidRPr="004C70EC">
        <w:rPr>
          <w:noProof/>
          <w:color w:val="000000" w:themeColor="text1"/>
          <w:szCs w:val="24"/>
        </w:rPr>
        <w:t>3.3.</w:t>
      </w:r>
      <w:r w:rsidRPr="004C70EC">
        <w:rPr>
          <w:noProof/>
          <w:color w:val="000000" w:themeColor="text1"/>
          <w:szCs w:val="24"/>
        </w:rPr>
        <w:tab/>
        <w:t xml:space="preserve">Estimated impact on revenue </w:t>
      </w:r>
    </w:p>
    <w:bookmarkEnd w:id="79"/>
    <w:p w14:paraId="40B7221B" w14:textId="77777777" w:rsidR="007966CD" w:rsidRPr="004C70EC" w:rsidRDefault="007966CD">
      <w:pPr>
        <w:pStyle w:val="ListDash1"/>
        <w:rPr>
          <w:noProof/>
          <w:color w:val="000000" w:themeColor="text1"/>
          <w:szCs w:val="24"/>
        </w:rPr>
      </w:pPr>
      <w:r w:rsidRPr="004C70EC">
        <w:rPr>
          <w:noProof/>
          <w:color w:val="000000" w:themeColor="text1"/>
          <w:szCs w:val="24"/>
        </w:rPr>
        <w:t>The proposal/initiative has no financial impact on revenue.</w:t>
      </w:r>
    </w:p>
    <w:p w14:paraId="4CA439CE" w14:textId="77777777" w:rsidR="007966CD" w:rsidRPr="004C70EC" w:rsidRDefault="007966CD">
      <w:pPr>
        <w:pStyle w:val="ListDash1"/>
        <w:rPr>
          <w:noProof/>
          <w:color w:val="000000" w:themeColor="text1"/>
          <w:szCs w:val="24"/>
        </w:rPr>
      </w:pPr>
      <w:r w:rsidRPr="004C70EC">
        <w:rPr>
          <w:noProof/>
          <w:color w:val="000000" w:themeColor="text1"/>
          <w:szCs w:val="24"/>
        </w:rPr>
        <w:t>The proposal/initiative has the following financial impact:</w:t>
      </w:r>
    </w:p>
    <w:p w14:paraId="534A5F10" w14:textId="77777777" w:rsidR="007966CD" w:rsidRPr="004C70EC" w:rsidRDefault="007966CD">
      <w:pPr>
        <w:pStyle w:val="ListNumberLevel3"/>
        <w:tabs>
          <w:tab w:val="clear" w:pos="2126"/>
          <w:tab w:val="num" w:pos="1843"/>
        </w:tabs>
        <w:rPr>
          <w:noProof/>
          <w:color w:val="000000" w:themeColor="text1"/>
          <w:szCs w:val="24"/>
        </w:rPr>
      </w:pPr>
      <w:r w:rsidRPr="004C70EC">
        <w:rPr>
          <w:noProof/>
          <w:color w:val="000000" w:themeColor="text1"/>
          <w:szCs w:val="24"/>
        </w:rPr>
        <w:t xml:space="preserve">on own resources </w:t>
      </w:r>
    </w:p>
    <w:p w14:paraId="672DD0BC" w14:textId="77777777" w:rsidR="007966CD" w:rsidRPr="004C70EC" w:rsidRDefault="007966CD">
      <w:pPr>
        <w:pStyle w:val="ListNumberLevel3"/>
        <w:tabs>
          <w:tab w:val="clear" w:pos="2126"/>
          <w:tab w:val="num" w:pos="1843"/>
        </w:tabs>
        <w:rPr>
          <w:noProof/>
          <w:color w:val="000000" w:themeColor="text1"/>
          <w:szCs w:val="24"/>
        </w:rPr>
      </w:pPr>
      <w:r w:rsidRPr="004C70EC">
        <w:rPr>
          <w:noProof/>
          <w:color w:val="000000" w:themeColor="text1"/>
          <w:szCs w:val="24"/>
        </w:rPr>
        <w:t>on other revenue</w:t>
      </w:r>
    </w:p>
    <w:p w14:paraId="63ADBA06" w14:textId="77777777" w:rsidR="007966CD" w:rsidRPr="004C70EC" w:rsidRDefault="007966CD">
      <w:pPr>
        <w:pStyle w:val="ListNumberLevel3"/>
        <w:tabs>
          <w:tab w:val="clear" w:pos="2126"/>
          <w:tab w:val="num" w:pos="1843"/>
        </w:tabs>
        <w:rPr>
          <w:noProof/>
          <w:color w:val="000000" w:themeColor="text1"/>
          <w:szCs w:val="24"/>
        </w:rPr>
      </w:pPr>
      <w:r w:rsidRPr="004C70EC">
        <w:rPr>
          <w:noProof/>
          <w:color w:val="000000" w:themeColor="text1"/>
          <w:szCs w:val="24"/>
        </w:rPr>
        <w:t>please indicate, if the revenue is assigned to expenditure lines</w:t>
      </w:r>
    </w:p>
    <w:p w14:paraId="1AC67071" w14:textId="77777777" w:rsidR="007966CD" w:rsidRPr="004C70EC" w:rsidRDefault="007966CD">
      <w:pPr>
        <w:jc w:val="right"/>
        <w:rPr>
          <w:noProof/>
          <w:color w:val="000000" w:themeColor="text1"/>
          <w:szCs w:val="24"/>
          <w:lang w:val="en-IE"/>
        </w:rPr>
      </w:pPr>
      <w:r w:rsidRPr="004C70EC">
        <w:rPr>
          <w:noProof/>
          <w:color w:val="000000" w:themeColor="text1"/>
          <w:szCs w:val="24"/>
          <w:lang w:val="en-IE"/>
        </w:rPr>
        <w:t xml:space="preserve">     EUR million (to three decimal places)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4"/>
        <w:gridCol w:w="1670"/>
        <w:gridCol w:w="864"/>
        <w:gridCol w:w="807"/>
        <w:gridCol w:w="812"/>
        <w:gridCol w:w="832"/>
        <w:gridCol w:w="830"/>
        <w:gridCol w:w="830"/>
        <w:gridCol w:w="830"/>
      </w:tblGrid>
      <w:tr w:rsidR="004A1163" w:rsidRPr="004C70EC" w14:paraId="0572D7BF" w14:textId="77777777" w:rsidTr="4CF51068">
        <w:trPr>
          <w:trHeight w:val="388"/>
        </w:trPr>
        <w:tc>
          <w:tcPr>
            <w:tcW w:w="1001" w:type="pct"/>
            <w:vMerge w:val="restart"/>
            <w:vAlign w:val="center"/>
          </w:tcPr>
          <w:p w14:paraId="49D466FB" w14:textId="77777777" w:rsidR="007966CD" w:rsidRPr="004C70EC" w:rsidRDefault="007966CD">
            <w:pPr>
              <w:spacing w:before="40" w:after="40"/>
              <w:rPr>
                <w:noProof/>
                <w:color w:val="000000" w:themeColor="text1"/>
                <w:szCs w:val="24"/>
              </w:rPr>
            </w:pPr>
            <w:r w:rsidRPr="004C70EC">
              <w:rPr>
                <w:noProof/>
                <w:color w:val="000000" w:themeColor="text1"/>
                <w:szCs w:val="24"/>
              </w:rPr>
              <w:t>Budget revenue line:</w:t>
            </w:r>
          </w:p>
        </w:tc>
        <w:tc>
          <w:tcPr>
            <w:tcW w:w="703" w:type="pct"/>
            <w:vMerge w:val="restart"/>
            <w:vAlign w:val="center"/>
          </w:tcPr>
          <w:p w14:paraId="747F9368" w14:textId="77777777" w:rsidR="007966CD" w:rsidRPr="004C70EC" w:rsidRDefault="007966CD">
            <w:pPr>
              <w:jc w:val="center"/>
              <w:rPr>
                <w:noProof/>
                <w:color w:val="000000" w:themeColor="text1"/>
                <w:szCs w:val="24"/>
                <w:lang w:val="en-IE"/>
              </w:rPr>
            </w:pPr>
            <w:r w:rsidRPr="004C70EC">
              <w:rPr>
                <w:noProof/>
                <w:color w:val="000000" w:themeColor="text1"/>
                <w:szCs w:val="24"/>
                <w:lang w:val="en-IE"/>
              </w:rPr>
              <w:t>Appropriations available for the current financial year</w:t>
            </w:r>
          </w:p>
        </w:tc>
        <w:tc>
          <w:tcPr>
            <w:tcW w:w="3296" w:type="pct"/>
            <w:gridSpan w:val="7"/>
            <w:vAlign w:val="center"/>
          </w:tcPr>
          <w:p w14:paraId="5D46F005" w14:textId="77777777" w:rsidR="007966CD" w:rsidRPr="004C70EC" w:rsidRDefault="3F765205">
            <w:pPr>
              <w:jc w:val="center"/>
              <w:rPr>
                <w:noProof/>
                <w:color w:val="000000" w:themeColor="text1"/>
                <w:szCs w:val="24"/>
                <w:lang w:val="en-IE"/>
              </w:rPr>
            </w:pPr>
            <w:r w:rsidRPr="004C70EC">
              <w:rPr>
                <w:noProof/>
                <w:color w:val="000000" w:themeColor="text1"/>
                <w:lang w:val="en-IE"/>
              </w:rPr>
              <w:t>Impact of the proposal/initiative</w:t>
            </w:r>
            <w:r w:rsidR="007966CD" w:rsidRPr="004C70EC">
              <w:rPr>
                <w:rStyle w:val="FootnoteReference"/>
                <w:noProof/>
                <w:color w:val="000000" w:themeColor="text1"/>
              </w:rPr>
              <w:footnoteReference w:id="171"/>
            </w:r>
          </w:p>
        </w:tc>
      </w:tr>
      <w:tr w:rsidR="004A1163" w:rsidRPr="004C70EC" w14:paraId="2B97D5E6" w14:textId="77777777" w:rsidTr="4CF51068">
        <w:trPr>
          <w:trHeight w:val="388"/>
        </w:trPr>
        <w:tc>
          <w:tcPr>
            <w:tcW w:w="1001" w:type="pct"/>
            <w:vMerge/>
          </w:tcPr>
          <w:p w14:paraId="21CB6B64" w14:textId="77777777" w:rsidR="007966CD" w:rsidRPr="004C70EC" w:rsidRDefault="007966CD">
            <w:pPr>
              <w:spacing w:before="40" w:after="40"/>
              <w:rPr>
                <w:noProof/>
                <w:color w:val="000000" w:themeColor="text1"/>
                <w:szCs w:val="24"/>
                <w:lang w:val="en-IE"/>
              </w:rPr>
            </w:pPr>
          </w:p>
        </w:tc>
        <w:tc>
          <w:tcPr>
            <w:tcW w:w="703" w:type="pct"/>
            <w:vMerge/>
          </w:tcPr>
          <w:p w14:paraId="13E3AD3A" w14:textId="77777777" w:rsidR="007966CD" w:rsidRPr="004C70EC" w:rsidRDefault="007966CD">
            <w:pPr>
              <w:spacing w:beforeLines="40" w:before="96" w:afterLines="40" w:after="96"/>
              <w:rPr>
                <w:i/>
                <w:noProof/>
                <w:color w:val="000000" w:themeColor="text1"/>
                <w:szCs w:val="24"/>
                <w:lang w:val="en-IE"/>
              </w:rPr>
            </w:pPr>
          </w:p>
        </w:tc>
        <w:tc>
          <w:tcPr>
            <w:tcW w:w="490" w:type="pct"/>
            <w:vAlign w:val="center"/>
          </w:tcPr>
          <w:p w14:paraId="20795201" w14:textId="77777777" w:rsidR="007966CD" w:rsidRPr="004C70EC" w:rsidRDefault="007966CD">
            <w:pPr>
              <w:jc w:val="center"/>
              <w:rPr>
                <w:noProof/>
                <w:color w:val="000000" w:themeColor="text1"/>
                <w:szCs w:val="24"/>
              </w:rPr>
            </w:pPr>
            <w:r w:rsidRPr="004C70EC">
              <w:rPr>
                <w:noProof/>
                <w:color w:val="000000" w:themeColor="text1"/>
                <w:szCs w:val="24"/>
              </w:rPr>
              <w:t xml:space="preserve">Year </w:t>
            </w:r>
            <w:r w:rsidRPr="004C70EC">
              <w:rPr>
                <w:b/>
                <w:noProof/>
                <w:color w:val="000000" w:themeColor="text1"/>
                <w:szCs w:val="24"/>
              </w:rPr>
              <w:t>2028</w:t>
            </w:r>
          </w:p>
        </w:tc>
        <w:tc>
          <w:tcPr>
            <w:tcW w:w="459" w:type="pct"/>
            <w:vAlign w:val="center"/>
          </w:tcPr>
          <w:p w14:paraId="694BB239" w14:textId="77777777" w:rsidR="007966CD" w:rsidRPr="004C70EC" w:rsidRDefault="007966CD">
            <w:pPr>
              <w:jc w:val="center"/>
              <w:rPr>
                <w:noProof/>
                <w:color w:val="000000" w:themeColor="text1"/>
                <w:szCs w:val="24"/>
              </w:rPr>
            </w:pPr>
            <w:r w:rsidRPr="004C70EC">
              <w:rPr>
                <w:noProof/>
                <w:color w:val="000000" w:themeColor="text1"/>
                <w:szCs w:val="24"/>
              </w:rPr>
              <w:t xml:space="preserve">Year </w:t>
            </w:r>
            <w:r w:rsidRPr="004C70EC">
              <w:rPr>
                <w:b/>
                <w:noProof/>
                <w:color w:val="000000" w:themeColor="text1"/>
                <w:szCs w:val="24"/>
              </w:rPr>
              <w:t>2029</w:t>
            </w:r>
          </w:p>
        </w:tc>
        <w:tc>
          <w:tcPr>
            <w:tcW w:w="462" w:type="pct"/>
            <w:vAlign w:val="center"/>
          </w:tcPr>
          <w:p w14:paraId="180127F3" w14:textId="77777777" w:rsidR="007966CD" w:rsidRPr="004C70EC" w:rsidRDefault="007966CD">
            <w:pPr>
              <w:jc w:val="center"/>
              <w:rPr>
                <w:noProof/>
                <w:color w:val="000000" w:themeColor="text1"/>
                <w:szCs w:val="24"/>
              </w:rPr>
            </w:pPr>
            <w:r w:rsidRPr="004C70EC">
              <w:rPr>
                <w:noProof/>
                <w:color w:val="000000" w:themeColor="text1"/>
                <w:szCs w:val="24"/>
              </w:rPr>
              <w:t xml:space="preserve">Year </w:t>
            </w:r>
            <w:r w:rsidRPr="004C70EC">
              <w:rPr>
                <w:b/>
                <w:noProof/>
                <w:color w:val="000000" w:themeColor="text1"/>
                <w:szCs w:val="24"/>
              </w:rPr>
              <w:t>2030</w:t>
            </w:r>
          </w:p>
        </w:tc>
        <w:tc>
          <w:tcPr>
            <w:tcW w:w="472" w:type="pct"/>
            <w:vAlign w:val="center"/>
          </w:tcPr>
          <w:p w14:paraId="7F6656B0" w14:textId="77777777" w:rsidR="007966CD" w:rsidRPr="004C70EC" w:rsidRDefault="007966CD">
            <w:pPr>
              <w:jc w:val="center"/>
              <w:rPr>
                <w:noProof/>
                <w:color w:val="000000" w:themeColor="text1"/>
                <w:szCs w:val="24"/>
              </w:rPr>
            </w:pPr>
            <w:r w:rsidRPr="004C70EC">
              <w:rPr>
                <w:noProof/>
                <w:color w:val="000000" w:themeColor="text1"/>
                <w:szCs w:val="24"/>
              </w:rPr>
              <w:t xml:space="preserve">Year </w:t>
            </w:r>
            <w:r w:rsidRPr="004C70EC">
              <w:rPr>
                <w:b/>
                <w:noProof/>
                <w:color w:val="000000" w:themeColor="text1"/>
                <w:szCs w:val="24"/>
              </w:rPr>
              <w:t>2031</w:t>
            </w:r>
          </w:p>
        </w:tc>
        <w:tc>
          <w:tcPr>
            <w:tcW w:w="471" w:type="pct"/>
          </w:tcPr>
          <w:p w14:paraId="14188DBC" w14:textId="77777777" w:rsidR="007966CD" w:rsidRPr="004C70EC" w:rsidRDefault="007966CD">
            <w:pPr>
              <w:jc w:val="center"/>
              <w:rPr>
                <w:noProof/>
                <w:color w:val="000000" w:themeColor="text1"/>
                <w:szCs w:val="24"/>
              </w:rPr>
            </w:pPr>
            <w:r w:rsidRPr="004C70EC">
              <w:rPr>
                <w:noProof/>
                <w:color w:val="000000" w:themeColor="text1"/>
                <w:szCs w:val="24"/>
              </w:rPr>
              <w:t xml:space="preserve">Year </w:t>
            </w:r>
            <w:r w:rsidRPr="004C70EC">
              <w:rPr>
                <w:b/>
                <w:bCs/>
                <w:noProof/>
                <w:color w:val="000000" w:themeColor="text1"/>
                <w:szCs w:val="24"/>
              </w:rPr>
              <w:t>2032</w:t>
            </w:r>
          </w:p>
        </w:tc>
        <w:tc>
          <w:tcPr>
            <w:tcW w:w="471" w:type="pct"/>
          </w:tcPr>
          <w:p w14:paraId="0D021913" w14:textId="77777777" w:rsidR="007966CD" w:rsidRPr="004C70EC" w:rsidRDefault="007966CD">
            <w:pPr>
              <w:jc w:val="center"/>
              <w:rPr>
                <w:noProof/>
                <w:color w:val="000000" w:themeColor="text1"/>
                <w:szCs w:val="24"/>
              </w:rPr>
            </w:pPr>
            <w:r w:rsidRPr="004C70EC">
              <w:rPr>
                <w:noProof/>
                <w:color w:val="000000" w:themeColor="text1"/>
                <w:szCs w:val="24"/>
              </w:rPr>
              <w:t xml:space="preserve">Year </w:t>
            </w:r>
            <w:r w:rsidRPr="004C70EC">
              <w:rPr>
                <w:b/>
                <w:bCs/>
                <w:noProof/>
                <w:color w:val="000000" w:themeColor="text1"/>
                <w:szCs w:val="24"/>
              </w:rPr>
              <w:t>2033</w:t>
            </w:r>
          </w:p>
        </w:tc>
        <w:tc>
          <w:tcPr>
            <w:tcW w:w="471" w:type="pct"/>
          </w:tcPr>
          <w:p w14:paraId="2488B516" w14:textId="77777777" w:rsidR="007966CD" w:rsidRPr="004C70EC" w:rsidRDefault="007966CD">
            <w:pPr>
              <w:jc w:val="center"/>
              <w:rPr>
                <w:noProof/>
                <w:color w:val="000000" w:themeColor="text1"/>
                <w:szCs w:val="24"/>
              </w:rPr>
            </w:pPr>
            <w:r w:rsidRPr="004C70EC">
              <w:rPr>
                <w:noProof/>
                <w:color w:val="000000" w:themeColor="text1"/>
                <w:szCs w:val="24"/>
              </w:rPr>
              <w:t xml:space="preserve">Year </w:t>
            </w:r>
            <w:r w:rsidRPr="004C70EC">
              <w:rPr>
                <w:b/>
                <w:bCs/>
                <w:noProof/>
                <w:color w:val="000000" w:themeColor="text1"/>
                <w:szCs w:val="24"/>
              </w:rPr>
              <w:t>2034</w:t>
            </w:r>
          </w:p>
        </w:tc>
      </w:tr>
      <w:tr w:rsidR="004A1163" w:rsidRPr="004C70EC" w14:paraId="6F4040BB" w14:textId="77777777" w:rsidTr="4CF51068">
        <w:trPr>
          <w:trHeight w:val="388"/>
        </w:trPr>
        <w:tc>
          <w:tcPr>
            <w:tcW w:w="1001" w:type="pct"/>
            <w:vAlign w:val="center"/>
          </w:tcPr>
          <w:p w14:paraId="7AF5A846" w14:textId="77777777" w:rsidR="007966CD" w:rsidRPr="004C70EC" w:rsidRDefault="007966CD">
            <w:pPr>
              <w:spacing w:before="40" w:after="40"/>
              <w:rPr>
                <w:noProof/>
                <w:color w:val="000000" w:themeColor="text1"/>
                <w:szCs w:val="24"/>
              </w:rPr>
            </w:pPr>
            <w:r w:rsidRPr="004C70EC">
              <w:rPr>
                <w:noProof/>
                <w:color w:val="000000" w:themeColor="text1"/>
                <w:szCs w:val="24"/>
              </w:rPr>
              <w:t>Article ………….</w:t>
            </w:r>
          </w:p>
        </w:tc>
        <w:tc>
          <w:tcPr>
            <w:tcW w:w="703" w:type="pct"/>
          </w:tcPr>
          <w:p w14:paraId="3D458FD3" w14:textId="77777777" w:rsidR="007966CD" w:rsidRPr="004C70EC" w:rsidRDefault="007966CD">
            <w:pPr>
              <w:spacing w:beforeLines="40" w:before="96" w:afterLines="40" w:after="96"/>
              <w:jc w:val="center"/>
              <w:rPr>
                <w:i/>
                <w:noProof/>
                <w:color w:val="000000" w:themeColor="text1"/>
                <w:szCs w:val="24"/>
              </w:rPr>
            </w:pPr>
          </w:p>
        </w:tc>
        <w:tc>
          <w:tcPr>
            <w:tcW w:w="490" w:type="pct"/>
          </w:tcPr>
          <w:p w14:paraId="30AB5803" w14:textId="77777777" w:rsidR="007966CD" w:rsidRPr="004C70EC" w:rsidRDefault="007966CD">
            <w:pPr>
              <w:spacing w:beforeLines="40" w:before="96" w:afterLines="40" w:after="96"/>
              <w:jc w:val="center"/>
              <w:rPr>
                <w:noProof/>
                <w:color w:val="000000" w:themeColor="text1"/>
                <w:szCs w:val="24"/>
              </w:rPr>
            </w:pPr>
          </w:p>
        </w:tc>
        <w:tc>
          <w:tcPr>
            <w:tcW w:w="459" w:type="pct"/>
          </w:tcPr>
          <w:p w14:paraId="385C3412" w14:textId="77777777" w:rsidR="007966CD" w:rsidRPr="004C70EC" w:rsidRDefault="007966CD">
            <w:pPr>
              <w:spacing w:beforeLines="40" w:before="96" w:afterLines="40" w:after="96"/>
              <w:jc w:val="center"/>
              <w:rPr>
                <w:noProof/>
                <w:color w:val="000000" w:themeColor="text1"/>
                <w:szCs w:val="24"/>
              </w:rPr>
            </w:pPr>
          </w:p>
        </w:tc>
        <w:tc>
          <w:tcPr>
            <w:tcW w:w="462" w:type="pct"/>
          </w:tcPr>
          <w:p w14:paraId="44466D3B" w14:textId="77777777" w:rsidR="007966CD" w:rsidRPr="004C70EC" w:rsidRDefault="007966CD">
            <w:pPr>
              <w:spacing w:beforeLines="40" w:before="96" w:afterLines="40" w:after="96"/>
              <w:jc w:val="center"/>
              <w:rPr>
                <w:noProof/>
                <w:color w:val="000000" w:themeColor="text1"/>
                <w:szCs w:val="24"/>
              </w:rPr>
            </w:pPr>
          </w:p>
        </w:tc>
        <w:tc>
          <w:tcPr>
            <w:tcW w:w="472" w:type="pct"/>
          </w:tcPr>
          <w:p w14:paraId="5CD95057" w14:textId="77777777" w:rsidR="007966CD" w:rsidRPr="004C70EC" w:rsidRDefault="007966CD">
            <w:pPr>
              <w:spacing w:beforeLines="40" w:before="96" w:afterLines="40" w:after="96"/>
              <w:jc w:val="center"/>
              <w:rPr>
                <w:noProof/>
                <w:color w:val="000000" w:themeColor="text1"/>
                <w:szCs w:val="24"/>
              </w:rPr>
            </w:pPr>
          </w:p>
        </w:tc>
        <w:tc>
          <w:tcPr>
            <w:tcW w:w="471" w:type="pct"/>
          </w:tcPr>
          <w:p w14:paraId="17EC06A1" w14:textId="77777777" w:rsidR="007966CD" w:rsidRPr="004C70EC" w:rsidRDefault="007966CD">
            <w:pPr>
              <w:spacing w:beforeLines="40" w:before="96" w:afterLines="40" w:after="96"/>
              <w:jc w:val="center"/>
              <w:rPr>
                <w:noProof/>
                <w:color w:val="000000" w:themeColor="text1"/>
                <w:szCs w:val="24"/>
              </w:rPr>
            </w:pPr>
          </w:p>
        </w:tc>
        <w:tc>
          <w:tcPr>
            <w:tcW w:w="471" w:type="pct"/>
          </w:tcPr>
          <w:p w14:paraId="54C70CFA" w14:textId="77777777" w:rsidR="007966CD" w:rsidRPr="004C70EC" w:rsidRDefault="007966CD">
            <w:pPr>
              <w:spacing w:beforeLines="40" w:before="96" w:afterLines="40" w:after="96"/>
              <w:jc w:val="center"/>
              <w:rPr>
                <w:noProof/>
                <w:color w:val="000000" w:themeColor="text1"/>
                <w:szCs w:val="24"/>
              </w:rPr>
            </w:pPr>
          </w:p>
        </w:tc>
        <w:tc>
          <w:tcPr>
            <w:tcW w:w="471" w:type="pct"/>
          </w:tcPr>
          <w:p w14:paraId="7349BF63" w14:textId="77777777" w:rsidR="007966CD" w:rsidRPr="004C70EC" w:rsidRDefault="007966CD">
            <w:pPr>
              <w:spacing w:beforeLines="40" w:before="96" w:afterLines="40" w:after="96"/>
              <w:jc w:val="center"/>
              <w:rPr>
                <w:noProof/>
                <w:color w:val="000000" w:themeColor="text1"/>
                <w:szCs w:val="24"/>
              </w:rPr>
            </w:pPr>
          </w:p>
        </w:tc>
      </w:tr>
    </w:tbl>
    <w:p w14:paraId="0F004B3C" w14:textId="77777777" w:rsidR="007966CD" w:rsidRPr="004C70EC" w:rsidRDefault="007966CD">
      <w:pPr>
        <w:pStyle w:val="Text1"/>
        <w:rPr>
          <w:noProof/>
          <w:color w:val="000000" w:themeColor="text1"/>
          <w:szCs w:val="24"/>
        </w:rPr>
      </w:pPr>
      <w:r w:rsidRPr="004C70EC">
        <w:rPr>
          <w:noProof/>
          <w:color w:val="000000" w:themeColor="text1"/>
          <w:szCs w:val="24"/>
        </w:rPr>
        <w:t>For assigned revenue, specify the budget expenditure line(s) affected.</w:t>
      </w:r>
    </w:p>
    <w:p w14:paraId="1952F5AC"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w:t>
      </w:r>
    </w:p>
    <w:p w14:paraId="1EA775CB" w14:textId="77777777" w:rsidR="007966CD" w:rsidRPr="004C70EC" w:rsidRDefault="007966CD">
      <w:pPr>
        <w:pStyle w:val="Text1"/>
        <w:rPr>
          <w:noProof/>
          <w:color w:val="000000" w:themeColor="text1"/>
          <w:szCs w:val="24"/>
        </w:rPr>
      </w:pPr>
      <w:r w:rsidRPr="004C70EC">
        <w:rPr>
          <w:noProof/>
          <w:color w:val="000000" w:themeColor="text1"/>
          <w:szCs w:val="24"/>
        </w:rPr>
        <w:t>Other remarks (e.g. method/formula used for calculating the impact on revenue or any other information).</w:t>
      </w:r>
    </w:p>
    <w:p w14:paraId="195EA9F7" w14:textId="77777777" w:rsidR="007966CD" w:rsidRPr="004C70EC" w:rsidRDefault="007966CD">
      <w:pPr>
        <w:pStyle w:val="Text1"/>
        <w:pBdr>
          <w:top w:val="single" w:sz="4" w:space="1" w:color="auto"/>
          <w:left w:val="single" w:sz="4" w:space="4" w:color="auto"/>
          <w:bottom w:val="single" w:sz="4" w:space="1" w:color="auto"/>
          <w:right w:val="single" w:sz="4" w:space="4" w:color="auto"/>
        </w:pBdr>
        <w:rPr>
          <w:noProof/>
          <w:color w:val="000000" w:themeColor="text1"/>
          <w:szCs w:val="24"/>
        </w:rPr>
      </w:pPr>
      <w:r w:rsidRPr="004C70EC">
        <w:rPr>
          <w:noProof/>
          <w:color w:val="000000" w:themeColor="text1"/>
          <w:szCs w:val="24"/>
        </w:rPr>
        <w:t>[…]</w:t>
      </w:r>
    </w:p>
    <w:p w14:paraId="5FAB2B91" w14:textId="77777777" w:rsidR="007966CD" w:rsidRPr="004C70EC" w:rsidRDefault="007966CD" w:rsidP="10B9E77E">
      <w:pPr>
        <w:pStyle w:val="ManualHeading1"/>
        <w:rPr>
          <w:noProof/>
          <w:color w:val="000000" w:themeColor="text1"/>
          <w:szCs w:val="24"/>
        </w:rPr>
      </w:pPr>
      <w:bookmarkStart w:id="80" w:name="_Toc979780F5D4F3470A94F5C87E76F373E3"/>
      <w:r w:rsidRPr="004C70EC">
        <w:rPr>
          <w:noProof/>
          <w:color w:val="000000" w:themeColor="text1"/>
          <w:szCs w:val="24"/>
        </w:rPr>
        <w:t>4.</w:t>
      </w:r>
      <w:r w:rsidRPr="004C70EC">
        <w:rPr>
          <w:noProof/>
          <w:color w:val="000000" w:themeColor="text1"/>
          <w:szCs w:val="24"/>
        </w:rPr>
        <w:tab/>
      </w:r>
      <w:bookmarkStart w:id="81" w:name="_Hlk167692977"/>
      <w:r w:rsidRPr="004C70EC">
        <w:rPr>
          <w:caps/>
          <w:noProof/>
          <w:color w:val="000000" w:themeColor="text1"/>
          <w:szCs w:val="24"/>
        </w:rPr>
        <w:t>Digital dimensions</w:t>
      </w:r>
      <w:bookmarkEnd w:id="80"/>
      <w:r w:rsidRPr="004C70EC">
        <w:rPr>
          <w:caps/>
          <w:noProof/>
          <w:color w:val="000000" w:themeColor="text1"/>
          <w:szCs w:val="24"/>
        </w:rPr>
        <w:t xml:space="preserve"> </w:t>
      </w:r>
    </w:p>
    <w:p w14:paraId="44B3346A" w14:textId="77777777" w:rsidR="00525BA0" w:rsidRPr="008774EA" w:rsidRDefault="00525BA0" w:rsidP="00525BA0">
      <w:pPr>
        <w:pStyle w:val="ManualHeading2"/>
        <w:rPr>
          <w:noProof/>
        </w:rPr>
      </w:pPr>
      <w:bookmarkStart w:id="82" w:name="_@_7F33386E4C48404B919D0B6E0D6AE652Z"/>
      <w:bookmarkStart w:id="83" w:name="_Toc41E696DB1F964FAA86DF1624A6692440"/>
      <w:bookmarkEnd w:id="82"/>
      <w:r>
        <w:rPr>
          <w:noProof/>
        </w:rPr>
        <w:t>4.1.</w:t>
      </w:r>
      <w:r>
        <w:rPr>
          <w:noProof/>
        </w:rPr>
        <w:tab/>
        <w:t>Requirements of digital relevance</w:t>
      </w:r>
      <w:bookmarkEnd w:id="83"/>
    </w:p>
    <w:p w14:paraId="29EE9F13" w14:textId="77777777" w:rsidR="007966CD" w:rsidRPr="004C70EC" w:rsidRDefault="007966CD">
      <w:pPr>
        <w:rPr>
          <w:rFonts w:eastAsia="Times New Roman"/>
          <w:i/>
          <w:noProof/>
          <w:color w:val="000000" w:themeColor="text1"/>
          <w:szCs w:val="24"/>
          <w:lang w:val="en-US" w:eastAsia="en-GB"/>
        </w:rPr>
      </w:pPr>
      <w:r w:rsidRPr="004C70EC">
        <w:rPr>
          <w:rFonts w:eastAsia="Times New Roman"/>
          <w:i/>
          <w:noProof/>
          <w:color w:val="000000" w:themeColor="text1"/>
          <w:szCs w:val="24"/>
          <w:lang w:val="en-US" w:eastAsia="en-GB"/>
        </w:rPr>
        <w:t>High-level description of the requirements of digital relevance and related categories (data, process digitalisation &amp; automation, digital solutions and/or digital public services)</w:t>
      </w:r>
      <w:r w:rsidRPr="004C70EC">
        <w:rPr>
          <w:rFonts w:eastAsia="Times New Roman"/>
          <w:i/>
          <w:noProof/>
          <w:color w:val="000000" w:themeColor="text1"/>
          <w:szCs w:val="24"/>
          <w:lang w:eastAsia="en-GB"/>
        </w:rPr>
        <w:t xml:space="preserve"> </w:t>
      </w:r>
    </w:p>
    <w:tbl>
      <w:tblPr>
        <w:tblStyle w:val="TableGrid"/>
        <w:tblW w:w="0" w:type="auto"/>
        <w:tblLook w:val="04A0" w:firstRow="1" w:lastRow="0" w:firstColumn="1" w:lastColumn="0" w:noHBand="0" w:noVBand="1"/>
      </w:tblPr>
      <w:tblGrid>
        <w:gridCol w:w="2163"/>
        <w:gridCol w:w="2036"/>
        <w:gridCol w:w="1656"/>
        <w:gridCol w:w="1783"/>
        <w:gridCol w:w="1616"/>
      </w:tblGrid>
      <w:tr w:rsidR="004A1163" w:rsidRPr="004C70EC" w14:paraId="228BA85B"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596A34" w14:textId="77777777" w:rsidR="7F96C8C6" w:rsidRPr="004C70EC" w:rsidRDefault="7F96C8C6">
            <w:pPr>
              <w:rPr>
                <w:b/>
                <w:noProof/>
                <w:color w:val="000000" w:themeColor="text1"/>
                <w:szCs w:val="24"/>
              </w:rPr>
            </w:pPr>
            <w:r w:rsidRPr="004C70EC">
              <w:rPr>
                <w:b/>
                <w:noProof/>
                <w:color w:val="000000" w:themeColor="text1"/>
                <w:szCs w:val="24"/>
              </w:rPr>
              <w:t>Reference to the requirement</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4C1F9C" w14:textId="77777777" w:rsidR="7F96C8C6" w:rsidRPr="004C70EC" w:rsidRDefault="7F96C8C6">
            <w:pPr>
              <w:jc w:val="left"/>
              <w:rPr>
                <w:b/>
                <w:noProof/>
                <w:color w:val="000000" w:themeColor="text1"/>
                <w:szCs w:val="24"/>
              </w:rPr>
            </w:pPr>
            <w:r w:rsidRPr="004C70EC">
              <w:rPr>
                <w:b/>
                <w:noProof/>
                <w:color w:val="000000" w:themeColor="text1"/>
                <w:szCs w:val="24"/>
              </w:rPr>
              <w:t>Requirement description</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6591E4" w14:textId="77777777" w:rsidR="7F96C8C6" w:rsidRPr="004C70EC" w:rsidRDefault="7F96C8C6">
            <w:pPr>
              <w:jc w:val="left"/>
              <w:rPr>
                <w:b/>
                <w:noProof/>
                <w:color w:val="000000" w:themeColor="text1"/>
                <w:szCs w:val="24"/>
              </w:rPr>
            </w:pPr>
            <w:r w:rsidRPr="004C70EC">
              <w:rPr>
                <w:b/>
                <w:noProof/>
                <w:color w:val="000000" w:themeColor="text1"/>
                <w:szCs w:val="24"/>
              </w:rPr>
              <w:t>Actors affected or concerned by the requirement</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9AB928" w14:textId="77777777" w:rsidR="7F96C8C6" w:rsidRPr="004C70EC" w:rsidRDefault="7F96C8C6">
            <w:pPr>
              <w:jc w:val="left"/>
              <w:rPr>
                <w:b/>
                <w:noProof/>
                <w:color w:val="000000" w:themeColor="text1"/>
                <w:szCs w:val="24"/>
              </w:rPr>
            </w:pPr>
            <w:r w:rsidRPr="004C70EC">
              <w:rPr>
                <w:b/>
                <w:noProof/>
                <w:color w:val="000000" w:themeColor="text1"/>
                <w:szCs w:val="24"/>
              </w:rPr>
              <w:t>High-level Processes</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BE31DD" w14:textId="77777777" w:rsidR="7F96C8C6" w:rsidRPr="004C70EC" w:rsidRDefault="7F96C8C6">
            <w:pPr>
              <w:jc w:val="left"/>
              <w:rPr>
                <w:b/>
                <w:noProof/>
                <w:color w:val="000000" w:themeColor="text1"/>
                <w:szCs w:val="24"/>
              </w:rPr>
            </w:pPr>
            <w:r w:rsidRPr="004C70EC">
              <w:rPr>
                <w:b/>
                <w:noProof/>
                <w:color w:val="000000" w:themeColor="text1"/>
                <w:szCs w:val="24"/>
              </w:rPr>
              <w:t>Categories</w:t>
            </w:r>
          </w:p>
        </w:tc>
      </w:tr>
      <w:tr w:rsidR="004A1163" w:rsidRPr="004C70EC" w14:paraId="66230D0F"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C65FF5" w14:textId="77777777" w:rsidR="7F96C8C6" w:rsidRPr="004C70EC" w:rsidRDefault="7F96C8C6">
            <w:pPr>
              <w:rPr>
                <w:i/>
                <w:noProof/>
                <w:color w:val="000000" w:themeColor="text1"/>
                <w:szCs w:val="24"/>
              </w:rPr>
            </w:pPr>
            <w:r w:rsidRPr="004C70EC">
              <w:rPr>
                <w:i/>
                <w:noProof/>
                <w:color w:val="000000" w:themeColor="text1"/>
                <w:szCs w:val="24"/>
              </w:rPr>
              <w:t xml:space="preserve">Article [3] 1b Health Biotechnology Strategic Projects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5C1CFB" w14:textId="77777777" w:rsidR="7F96C8C6" w:rsidRPr="004C70EC" w:rsidRDefault="7F96C8C6" w:rsidP="004A1163">
            <w:pPr>
              <w:spacing w:before="0" w:after="0" w:line="278" w:lineRule="auto"/>
              <w:jc w:val="left"/>
              <w:rPr>
                <w:noProof/>
                <w:color w:val="000000" w:themeColor="text1"/>
                <w:szCs w:val="24"/>
              </w:rPr>
            </w:pPr>
            <w:r w:rsidRPr="004C70EC">
              <w:rPr>
                <w:noProof/>
                <w:color w:val="000000" w:themeColor="text1"/>
                <w:szCs w:val="24"/>
              </w:rPr>
              <w:t xml:space="preserve">Scaling-up or upgrading critical research and technology infrastructures underpinning the development, testing and validation of biotechnology products, including but not limited to pilot or testing infrastructures for biomanufacturing, data and digital platforms; </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D0C75D" w14:textId="77777777" w:rsidR="7F96C8C6" w:rsidRPr="004C70EC" w:rsidRDefault="7F96C8C6">
            <w:pPr>
              <w:rPr>
                <w:noProof/>
                <w:color w:val="000000" w:themeColor="text1"/>
                <w:szCs w:val="24"/>
              </w:rPr>
            </w:pPr>
            <w:r w:rsidRPr="004C70EC">
              <w:rPr>
                <w:noProof/>
                <w:color w:val="000000" w:themeColor="text1"/>
                <w:szCs w:val="24"/>
              </w:rPr>
              <w:t>Member State authorities, Research organisations, Biotechnology industry actors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7D1021" w14:textId="77777777" w:rsidR="7F96C8C6" w:rsidRPr="004C70EC" w:rsidRDefault="7F96C8C6">
            <w:pPr>
              <w:rPr>
                <w:noProof/>
                <w:color w:val="000000" w:themeColor="text1"/>
                <w:szCs w:val="24"/>
              </w:rPr>
            </w:pPr>
            <w:r w:rsidRPr="004C70EC">
              <w:rPr>
                <w:noProof/>
                <w:color w:val="000000" w:themeColor="text1"/>
                <w:szCs w:val="24"/>
              </w:rPr>
              <w:t>Technical documentation, Data generation, Data processing</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E0978E" w14:textId="77777777" w:rsidR="7F96C8C6" w:rsidRPr="004C70EC" w:rsidRDefault="7F96C8C6">
            <w:pPr>
              <w:rPr>
                <w:noProof/>
                <w:color w:val="000000" w:themeColor="text1"/>
                <w:szCs w:val="24"/>
              </w:rPr>
            </w:pPr>
            <w:r w:rsidRPr="004C70EC">
              <w:rPr>
                <w:noProof/>
                <w:color w:val="000000" w:themeColor="text1"/>
                <w:szCs w:val="24"/>
              </w:rPr>
              <w:t xml:space="preserve">Data, Digital Solution  </w:t>
            </w:r>
          </w:p>
        </w:tc>
      </w:tr>
      <w:tr w:rsidR="004A1163" w:rsidRPr="004C70EC" w14:paraId="482D8AA2"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B8D6A2" w14:textId="77777777" w:rsidR="7F96C8C6" w:rsidRPr="004C70EC" w:rsidRDefault="7F96C8C6">
            <w:pPr>
              <w:rPr>
                <w:i/>
                <w:noProof/>
                <w:color w:val="000000" w:themeColor="text1"/>
                <w:szCs w:val="24"/>
              </w:rPr>
            </w:pPr>
            <w:r w:rsidRPr="004C70EC">
              <w:rPr>
                <w:i/>
                <w:noProof/>
                <w:color w:val="000000" w:themeColor="text1"/>
                <w:szCs w:val="24"/>
              </w:rPr>
              <w:t xml:space="preserve">Article [3] 1c Health Biotechnology Strategic Projects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0EEB0D" w14:textId="77777777" w:rsidR="7F96C8C6" w:rsidRPr="004C70EC" w:rsidRDefault="7F96C8C6" w:rsidP="004A1163">
            <w:pPr>
              <w:spacing w:before="0" w:after="0" w:line="257" w:lineRule="auto"/>
              <w:jc w:val="left"/>
              <w:rPr>
                <w:noProof/>
                <w:color w:val="000000" w:themeColor="text1"/>
                <w:szCs w:val="24"/>
              </w:rPr>
            </w:pPr>
            <w:r w:rsidRPr="004C70EC">
              <w:rPr>
                <w:noProof/>
                <w:color w:val="000000" w:themeColor="text1"/>
                <w:szCs w:val="24"/>
              </w:rPr>
              <w:t>accelerating innovation and technology deployment through one or more of the following features:</w:t>
            </w:r>
          </w:p>
          <w:p w14:paraId="1E5C48A3" w14:textId="77777777" w:rsidR="7F96C8C6" w:rsidRPr="004C70EC" w:rsidRDefault="7F96C8C6" w:rsidP="004A1163">
            <w:pPr>
              <w:spacing w:before="0" w:after="0" w:line="278" w:lineRule="auto"/>
              <w:jc w:val="left"/>
              <w:rPr>
                <w:noProof/>
                <w:color w:val="000000" w:themeColor="text1"/>
                <w:szCs w:val="24"/>
              </w:rPr>
            </w:pPr>
            <w:r w:rsidRPr="004C70EC">
              <w:rPr>
                <w:noProof/>
                <w:color w:val="000000" w:themeColor="text1"/>
                <w:szCs w:val="24"/>
              </w:rPr>
              <w:t>(i) introducing or scaling up breakthrough innovations in biotechnology that have the potential to strengthen the Union’s industrial competitiveness, including AI-enabled technologies and tools;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5B52E1" w14:textId="77777777" w:rsidR="7F96C8C6" w:rsidRPr="004C70EC" w:rsidRDefault="7F96C8C6">
            <w:pPr>
              <w:rPr>
                <w:noProof/>
                <w:color w:val="000000" w:themeColor="text1"/>
                <w:szCs w:val="24"/>
              </w:rPr>
            </w:pPr>
            <w:r w:rsidRPr="004C70EC">
              <w:rPr>
                <w:noProof/>
                <w:color w:val="000000" w:themeColor="text1"/>
                <w:szCs w:val="24"/>
              </w:rPr>
              <w:t>Commission, Member State authorities, Research organisations, Biotechnology industry actors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876E63" w14:textId="77777777" w:rsidR="7F96C8C6" w:rsidRPr="004C70EC" w:rsidRDefault="7F96C8C6">
            <w:pPr>
              <w:rPr>
                <w:noProof/>
                <w:color w:val="000000" w:themeColor="text1"/>
                <w:szCs w:val="24"/>
              </w:rPr>
            </w:pPr>
            <w:r w:rsidRPr="004C70EC">
              <w:rPr>
                <w:noProof/>
                <w:color w:val="000000" w:themeColor="text1"/>
                <w:szCs w:val="24"/>
              </w:rPr>
              <w:t>Technical documentation, Data generation, Data processing</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A28DFB" w14:textId="77777777" w:rsidR="7F96C8C6" w:rsidRPr="004C70EC" w:rsidRDefault="7F96C8C6">
            <w:pPr>
              <w:rPr>
                <w:noProof/>
                <w:color w:val="000000" w:themeColor="text1"/>
                <w:szCs w:val="24"/>
              </w:rPr>
            </w:pPr>
            <w:r w:rsidRPr="004C70EC">
              <w:rPr>
                <w:noProof/>
                <w:color w:val="000000" w:themeColor="text1"/>
                <w:szCs w:val="24"/>
              </w:rPr>
              <w:t>Data, Digital Solution</w:t>
            </w:r>
          </w:p>
        </w:tc>
      </w:tr>
      <w:tr w:rsidR="004A1163" w:rsidRPr="004C70EC" w14:paraId="28F98BC2"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162C4863" w14:textId="77777777" w:rsidR="7F96C8C6" w:rsidRPr="004C70EC" w:rsidRDefault="7F96C8C6">
            <w:pPr>
              <w:rPr>
                <w:i/>
                <w:noProof/>
                <w:color w:val="000000" w:themeColor="text1"/>
                <w:szCs w:val="24"/>
              </w:rPr>
            </w:pPr>
            <w:r w:rsidRPr="004C70EC">
              <w:rPr>
                <w:i/>
                <w:noProof/>
                <w:color w:val="000000" w:themeColor="text1"/>
                <w:szCs w:val="24"/>
              </w:rPr>
              <w:t xml:space="preserve">Article [4] 1d High Impact Health Biotechnology Strategic Projects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3BE1C825" w14:textId="77777777" w:rsidR="7F96C8C6" w:rsidRPr="004C70EC" w:rsidRDefault="7F96C8C6">
            <w:pPr>
              <w:rPr>
                <w:noProof/>
                <w:color w:val="000000" w:themeColor="text1"/>
                <w:szCs w:val="24"/>
              </w:rPr>
            </w:pPr>
            <w:r w:rsidRPr="004C70EC">
              <w:rPr>
                <w:noProof/>
                <w:color w:val="000000" w:themeColor="text1"/>
                <w:szCs w:val="24"/>
              </w:rPr>
              <w:t>the project contributes to the development of trusted testing environments for AI-enabled biotechnology innovations, fulfilling the conditions laid down in Article [36], paragraph [1] or it is Biotechnology Data Quality Accelerator High Impact Project, fulfilling the conditions laid down in Article [37]</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5FC80689" w14:textId="77777777" w:rsidR="7F96C8C6" w:rsidRPr="004C70EC" w:rsidRDefault="7F96C8C6">
            <w:pPr>
              <w:rPr>
                <w:noProof/>
                <w:color w:val="000000" w:themeColor="text1"/>
                <w:szCs w:val="24"/>
              </w:rPr>
            </w:pPr>
            <w:r w:rsidRPr="004C70EC">
              <w:rPr>
                <w:noProof/>
                <w:color w:val="000000" w:themeColor="text1"/>
                <w:szCs w:val="24"/>
              </w:rPr>
              <w:t xml:space="preserve"> Commission, Member State authorities, Research organisations, Biotechnology industry actors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17AFA078" w14:textId="77777777" w:rsidR="7F96C8C6" w:rsidRPr="004C70EC" w:rsidRDefault="7F96C8C6">
            <w:pPr>
              <w:rPr>
                <w:noProof/>
                <w:color w:val="000000" w:themeColor="text1"/>
                <w:szCs w:val="24"/>
              </w:rPr>
            </w:pPr>
            <w:r w:rsidRPr="004C70EC">
              <w:rPr>
                <w:noProof/>
                <w:color w:val="000000" w:themeColor="text1"/>
                <w:szCs w:val="24"/>
              </w:rPr>
              <w:t>Data generation, Data processing</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47ABE83F" w14:textId="77777777" w:rsidR="7F96C8C6" w:rsidRPr="004C70EC" w:rsidRDefault="7F96C8C6">
            <w:pPr>
              <w:rPr>
                <w:noProof/>
                <w:color w:val="000000" w:themeColor="text1"/>
                <w:szCs w:val="24"/>
              </w:rPr>
            </w:pPr>
            <w:r w:rsidRPr="004C70EC">
              <w:rPr>
                <w:noProof/>
                <w:color w:val="000000" w:themeColor="text1"/>
                <w:szCs w:val="24"/>
              </w:rPr>
              <w:t>Data, Digital Solution</w:t>
            </w:r>
          </w:p>
        </w:tc>
      </w:tr>
      <w:tr w:rsidR="004A1163" w:rsidRPr="004C70EC" w14:paraId="1CFECAD1"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08736746" w14:textId="77777777" w:rsidR="7F96C8C6" w:rsidRPr="004C70EC" w:rsidRDefault="7F96C8C6">
            <w:pPr>
              <w:rPr>
                <w:i/>
                <w:noProof/>
                <w:color w:val="000000" w:themeColor="text1"/>
                <w:szCs w:val="24"/>
              </w:rPr>
            </w:pPr>
            <w:r w:rsidRPr="004C70EC">
              <w:rPr>
                <w:i/>
                <w:noProof/>
                <w:color w:val="000000" w:themeColor="text1"/>
                <w:szCs w:val="24"/>
              </w:rPr>
              <w:t xml:space="preserve">Article [5] a </w:t>
            </w:r>
          </w:p>
          <w:p w14:paraId="4E4D9B15" w14:textId="77777777" w:rsidR="7F96C8C6" w:rsidRPr="004C70EC" w:rsidRDefault="7F96C8C6">
            <w:pPr>
              <w:rPr>
                <w:i/>
                <w:noProof/>
                <w:color w:val="000000" w:themeColor="text1"/>
                <w:szCs w:val="24"/>
              </w:rPr>
            </w:pPr>
            <w:r w:rsidRPr="004C70EC">
              <w:rPr>
                <w:i/>
                <w:noProof/>
                <w:color w:val="000000" w:themeColor="text1"/>
                <w:szCs w:val="24"/>
              </w:rPr>
              <w:t>Biotechnology Development Accelerator</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12434661" w14:textId="77777777" w:rsidR="7F96C8C6" w:rsidRPr="004C70EC" w:rsidRDefault="7F96C8C6">
            <w:pPr>
              <w:rPr>
                <w:noProof/>
                <w:color w:val="000000" w:themeColor="text1"/>
                <w:szCs w:val="24"/>
              </w:rPr>
            </w:pPr>
            <w:r w:rsidRPr="004C70EC">
              <w:rPr>
                <w:noProof/>
                <w:color w:val="000000" w:themeColor="text1"/>
                <w:szCs w:val="24"/>
              </w:rPr>
              <w:t xml:space="preserve">it provides trusted testing or demonstration facilities replicating real-world biomanufacturing processes, including general manufacturing practices (GMPs) compliant processes, or their enabling technologies, for process testing, validation, and small batch manufacturing, including for the initial phases of clinical trials; such enabling technologies may include digital technologies, including AI with specific applicability in biotechnology and biomanufacturing; </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39EFB13C" w14:textId="77777777" w:rsidR="7F96C8C6" w:rsidRPr="004C70EC" w:rsidRDefault="7F96C8C6">
            <w:pPr>
              <w:rPr>
                <w:noProof/>
                <w:color w:val="000000" w:themeColor="text1"/>
                <w:szCs w:val="24"/>
              </w:rPr>
            </w:pPr>
            <w:r w:rsidRPr="004C70EC">
              <w:rPr>
                <w:noProof/>
                <w:color w:val="000000" w:themeColor="text1"/>
                <w:szCs w:val="24"/>
              </w:rPr>
              <w:t>Commission, Member State authorities, Research organisations, Biotechnology industry actors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3B6F14E7" w14:textId="77777777" w:rsidR="7F96C8C6" w:rsidRPr="004C70EC" w:rsidRDefault="7F96C8C6">
            <w:pPr>
              <w:rPr>
                <w:noProof/>
                <w:color w:val="000000" w:themeColor="text1"/>
                <w:szCs w:val="24"/>
                <w:lang w:val="it"/>
              </w:rPr>
            </w:pPr>
            <w:r w:rsidRPr="004C70EC">
              <w:rPr>
                <w:noProof/>
                <w:color w:val="000000" w:themeColor="text1"/>
                <w:szCs w:val="24"/>
                <w:lang w:val="it"/>
              </w:rPr>
              <w:t>Data generation, Data processing</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2F81AE0C" w14:textId="77777777" w:rsidR="7F96C8C6" w:rsidRPr="004C70EC" w:rsidRDefault="7F96C8C6">
            <w:pPr>
              <w:rPr>
                <w:noProof/>
                <w:color w:val="000000" w:themeColor="text1"/>
                <w:szCs w:val="24"/>
              </w:rPr>
            </w:pPr>
            <w:r w:rsidRPr="004C70EC">
              <w:rPr>
                <w:noProof/>
                <w:color w:val="000000" w:themeColor="text1"/>
                <w:szCs w:val="24"/>
              </w:rPr>
              <w:t>Data, Digital Solution</w:t>
            </w:r>
          </w:p>
        </w:tc>
      </w:tr>
      <w:tr w:rsidR="004A1163" w:rsidRPr="004C70EC" w14:paraId="169D2599"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75B78033" w14:textId="77777777" w:rsidR="7F96C8C6" w:rsidRPr="004C70EC" w:rsidRDefault="7F96C8C6">
            <w:pPr>
              <w:rPr>
                <w:i/>
                <w:noProof/>
                <w:color w:val="000000" w:themeColor="text1"/>
                <w:szCs w:val="24"/>
              </w:rPr>
            </w:pPr>
            <w:r w:rsidRPr="004C70EC">
              <w:rPr>
                <w:i/>
                <w:noProof/>
                <w:color w:val="000000" w:themeColor="text1"/>
                <w:szCs w:val="24"/>
              </w:rPr>
              <w:t>Article [5] c Biotechnology Development Accelerator</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1BBE2149" w14:textId="77777777" w:rsidR="7F96C8C6" w:rsidRPr="004C70EC" w:rsidRDefault="7F96C8C6">
            <w:pPr>
              <w:rPr>
                <w:noProof/>
                <w:color w:val="000000" w:themeColor="text1"/>
                <w:szCs w:val="24"/>
              </w:rPr>
            </w:pPr>
            <w:r w:rsidRPr="004C70EC">
              <w:rPr>
                <w:noProof/>
                <w:color w:val="000000" w:themeColor="text1"/>
                <w:szCs w:val="24"/>
              </w:rPr>
              <w:t>it aims to support hands-on and work-based training programmes aligned with the Union’s skills and workforce development objectives in the biotechnology and biomanufacturing sectors or in relation to enabling technologies, such as digital technologies including AI, with specific applicability in biotechnology and biomanufacturing;</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680FB1A1" w14:textId="77777777" w:rsidR="7F96C8C6" w:rsidRPr="004C70EC" w:rsidRDefault="7F96C8C6">
            <w:pPr>
              <w:rPr>
                <w:noProof/>
                <w:color w:val="000000" w:themeColor="text1"/>
                <w:szCs w:val="24"/>
              </w:rPr>
            </w:pPr>
            <w:r w:rsidRPr="004C70EC">
              <w:rPr>
                <w:noProof/>
                <w:color w:val="000000" w:themeColor="text1"/>
                <w:szCs w:val="24"/>
              </w:rPr>
              <w:t>Commission, Member State authorities, Research organisations, Biotechnology industry actors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3D1E4B99" w14:textId="77777777" w:rsidR="7F96C8C6" w:rsidRPr="004C70EC" w:rsidRDefault="7F96C8C6">
            <w:pPr>
              <w:rPr>
                <w:noProof/>
                <w:color w:val="000000" w:themeColor="text1"/>
                <w:szCs w:val="24"/>
              </w:rPr>
            </w:pPr>
            <w:r w:rsidRPr="004C70EC">
              <w:rPr>
                <w:noProof/>
                <w:color w:val="000000" w:themeColor="text1"/>
                <w:szCs w:val="24"/>
              </w:rPr>
              <w:t>Technical documentation, 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4E470BD1" w14:textId="77777777" w:rsidR="7F96C8C6" w:rsidRPr="004C70EC" w:rsidRDefault="7F96C8C6">
            <w:pPr>
              <w:rPr>
                <w:noProof/>
                <w:color w:val="000000" w:themeColor="text1"/>
                <w:szCs w:val="24"/>
              </w:rPr>
            </w:pPr>
            <w:r w:rsidRPr="004C70EC">
              <w:rPr>
                <w:noProof/>
                <w:color w:val="000000" w:themeColor="text1"/>
                <w:szCs w:val="24"/>
              </w:rPr>
              <w:t>Data, Digital Solution</w:t>
            </w:r>
          </w:p>
        </w:tc>
      </w:tr>
      <w:tr w:rsidR="004A1163" w:rsidRPr="004C70EC" w14:paraId="4F27AABA"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25B81BCD" w14:textId="77777777" w:rsidR="7F96C8C6" w:rsidRPr="004C70EC" w:rsidRDefault="7F96C8C6">
            <w:pPr>
              <w:rPr>
                <w:i/>
                <w:noProof/>
                <w:color w:val="000000" w:themeColor="text1"/>
                <w:szCs w:val="24"/>
              </w:rPr>
            </w:pPr>
            <w:r w:rsidRPr="004C70EC">
              <w:rPr>
                <w:i/>
                <w:noProof/>
                <w:color w:val="000000" w:themeColor="text1"/>
                <w:szCs w:val="24"/>
              </w:rPr>
              <w:t>Article [5] d Biotechnology Development Accelerator</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230F4A50" w14:textId="77777777" w:rsidR="7F96C8C6" w:rsidRPr="004C70EC" w:rsidRDefault="7F96C8C6">
            <w:pPr>
              <w:rPr>
                <w:noProof/>
                <w:color w:val="000000" w:themeColor="text1"/>
                <w:szCs w:val="24"/>
              </w:rPr>
            </w:pPr>
            <w:r w:rsidRPr="004C70EC">
              <w:rPr>
                <w:noProof/>
                <w:color w:val="000000" w:themeColor="text1"/>
                <w:szCs w:val="24"/>
              </w:rPr>
              <w:t>it conducts applied research in biotechnology or biomanufacturing, or in relation to enabling technologies, such as digital technologies including AI, with specific applicability in biotechnology and biomanufacturing</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1CA29371" w14:textId="77777777" w:rsidR="7F96C8C6" w:rsidRPr="004C70EC" w:rsidRDefault="7F96C8C6">
            <w:pPr>
              <w:rPr>
                <w:noProof/>
                <w:color w:val="000000" w:themeColor="text1"/>
                <w:szCs w:val="24"/>
              </w:rPr>
            </w:pPr>
            <w:r w:rsidRPr="004C70EC">
              <w:rPr>
                <w:noProof/>
                <w:color w:val="000000" w:themeColor="text1"/>
                <w:szCs w:val="24"/>
              </w:rPr>
              <w:t>Research organisations, Biotechnology industry actors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23FF0841" w14:textId="77777777" w:rsidR="7F96C8C6" w:rsidRPr="004C70EC" w:rsidRDefault="7F96C8C6">
            <w:pPr>
              <w:rPr>
                <w:noProof/>
                <w:color w:val="000000" w:themeColor="text1"/>
                <w:szCs w:val="24"/>
              </w:rPr>
            </w:pPr>
            <w:r w:rsidRPr="004C70EC">
              <w:rPr>
                <w:noProof/>
                <w:color w:val="000000" w:themeColor="text1"/>
                <w:szCs w:val="24"/>
              </w:rPr>
              <w:t>Data generation, data processing</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09EC73EB" w14:textId="77777777" w:rsidR="7F96C8C6" w:rsidRPr="004C70EC" w:rsidRDefault="7F96C8C6">
            <w:pPr>
              <w:rPr>
                <w:noProof/>
                <w:color w:val="000000" w:themeColor="text1"/>
                <w:szCs w:val="24"/>
              </w:rPr>
            </w:pPr>
            <w:r w:rsidRPr="004C70EC">
              <w:rPr>
                <w:noProof/>
                <w:color w:val="000000" w:themeColor="text1"/>
                <w:szCs w:val="24"/>
              </w:rPr>
              <w:t>Data, Digital Solution</w:t>
            </w:r>
          </w:p>
        </w:tc>
      </w:tr>
      <w:tr w:rsidR="004A1163" w:rsidRPr="004C70EC" w14:paraId="6AC28F82"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3FCD8FCA" w14:textId="77777777" w:rsidR="7F96C8C6" w:rsidRPr="004C70EC" w:rsidRDefault="7F96C8C6">
            <w:pPr>
              <w:rPr>
                <w:i/>
                <w:noProof/>
                <w:color w:val="000000" w:themeColor="text1"/>
                <w:szCs w:val="24"/>
              </w:rPr>
            </w:pPr>
            <w:r w:rsidRPr="004C70EC">
              <w:rPr>
                <w:i/>
                <w:noProof/>
                <w:color w:val="000000" w:themeColor="text1"/>
                <w:szCs w:val="24"/>
              </w:rPr>
              <w:t>Article [11] 7</w:t>
            </w:r>
          </w:p>
          <w:p w14:paraId="4C1219A4" w14:textId="77777777" w:rsidR="7F96C8C6" w:rsidRPr="004C70EC" w:rsidRDefault="7F96C8C6">
            <w:pPr>
              <w:rPr>
                <w:i/>
                <w:noProof/>
                <w:color w:val="000000" w:themeColor="text1"/>
                <w:szCs w:val="24"/>
              </w:rPr>
            </w:pPr>
            <w:r w:rsidRPr="004C70EC">
              <w:rPr>
                <w:i/>
                <w:noProof/>
                <w:color w:val="000000" w:themeColor="text1"/>
                <w:szCs w:val="24"/>
              </w:rPr>
              <w:t>Single Points of Contact</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6D6E7993" w14:textId="77777777" w:rsidR="7F96C8C6" w:rsidRPr="004C70EC" w:rsidRDefault="7F96C8C6">
            <w:pPr>
              <w:rPr>
                <w:noProof/>
                <w:color w:val="000000" w:themeColor="text1"/>
                <w:szCs w:val="24"/>
              </w:rPr>
            </w:pPr>
            <w:r w:rsidRPr="004C70EC">
              <w:rPr>
                <w:noProof/>
                <w:color w:val="000000" w:themeColor="text1"/>
                <w:szCs w:val="24"/>
              </w:rPr>
              <w:t>Member States shall promote the reuse of existing data, studies and authorisations in order to avoid duplication of procedures, reduce administrative burden and ensure consistency of decision-making. For that purpose, they shall ensure that, when assessing an application, competent authorities duly take into account all relevant studies, assessments and valid permits or authorisations already carried out or issued for the same project or its components, provided that they remain applicable and up to date.</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423AE3CE" w14:textId="77777777" w:rsidR="7F96C8C6" w:rsidRPr="004C70EC" w:rsidRDefault="7F96C8C6">
            <w:pPr>
              <w:rPr>
                <w:noProof/>
                <w:color w:val="000000" w:themeColor="text1"/>
                <w:szCs w:val="24"/>
              </w:rPr>
            </w:pPr>
            <w:r w:rsidRPr="004C70EC">
              <w:rPr>
                <w:noProof/>
                <w:color w:val="000000" w:themeColor="text1"/>
              </w:rPr>
              <w:t>M</w:t>
            </w:r>
            <w:r w:rsidRPr="004C70EC">
              <w:rPr>
                <w:noProof/>
                <w:color w:val="000000" w:themeColor="text1"/>
                <w:szCs w:val="24"/>
              </w:rPr>
              <w:t>ember State authorities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684222C9" w14:textId="77777777" w:rsidR="7F96C8C6" w:rsidRPr="004C70EC" w:rsidRDefault="7F96C8C6">
            <w:pPr>
              <w:rPr>
                <w:noProof/>
                <w:color w:val="000000" w:themeColor="text1"/>
                <w:szCs w:val="24"/>
              </w:rPr>
            </w:pPr>
            <w:r w:rsidRPr="004C70EC">
              <w:rPr>
                <w:noProof/>
                <w:color w:val="000000" w:themeColor="text1"/>
                <w:szCs w:val="24"/>
              </w:rPr>
              <w:t>Reuse of existing data</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4C3D67C3"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2386D159"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45086F1A" w14:textId="77777777" w:rsidR="7F96C8C6" w:rsidRPr="004C70EC" w:rsidRDefault="7F96C8C6">
            <w:pPr>
              <w:rPr>
                <w:i/>
                <w:noProof/>
                <w:color w:val="000000" w:themeColor="text1"/>
                <w:szCs w:val="24"/>
              </w:rPr>
            </w:pPr>
            <w:r w:rsidRPr="004C70EC">
              <w:rPr>
                <w:i/>
                <w:noProof/>
                <w:color w:val="000000" w:themeColor="text1"/>
                <w:szCs w:val="24"/>
              </w:rPr>
              <w:t xml:space="preserve">Article [15] 2e Networks of </w:t>
            </w:r>
            <w:r w:rsidR="009A1806" w:rsidRPr="004C70EC">
              <w:rPr>
                <w:i/>
                <w:noProof/>
                <w:color w:val="000000" w:themeColor="text1"/>
                <w:szCs w:val="24"/>
              </w:rPr>
              <w:t xml:space="preserve">Health </w:t>
            </w:r>
            <w:r w:rsidRPr="004C70EC">
              <w:rPr>
                <w:i/>
                <w:noProof/>
                <w:color w:val="000000" w:themeColor="text1"/>
                <w:szCs w:val="24"/>
              </w:rPr>
              <w:t>Biotechnology Clusters</w:t>
            </w:r>
          </w:p>
          <w:p w14:paraId="6F9B2277" w14:textId="77777777" w:rsidR="7F96C8C6" w:rsidRPr="004C70EC" w:rsidRDefault="7F96C8C6">
            <w:pPr>
              <w:rPr>
                <w:i/>
                <w:noProof/>
                <w:color w:val="000000" w:themeColor="text1"/>
                <w:szCs w:val="24"/>
              </w:rPr>
            </w:pPr>
            <w:r w:rsidRPr="004C70EC">
              <w:rPr>
                <w:i/>
                <w:noProof/>
                <w:color w:val="000000" w:themeColor="text1"/>
                <w:szCs w:val="24"/>
              </w:rPr>
              <w:t xml:space="preserve">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2D863042" w14:textId="77777777" w:rsidR="7F96C8C6" w:rsidRPr="004C70EC" w:rsidRDefault="7F96C8C6">
            <w:pPr>
              <w:rPr>
                <w:noProof/>
                <w:color w:val="000000" w:themeColor="text1"/>
                <w:szCs w:val="24"/>
              </w:rPr>
            </w:pPr>
            <w:r w:rsidRPr="004C70EC">
              <w:rPr>
                <w:noProof/>
                <w:color w:val="000000" w:themeColor="text1"/>
                <w:szCs w:val="24"/>
              </w:rPr>
              <w:t>Such networking and cooperation should aim to: e) promote the development of interoperable infrastructure and digital platforms, and AI-enabled technologies supporting biotechnology and biomanufacturing</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0FF625BA" w14:textId="77777777" w:rsidR="7F96C8C6" w:rsidRPr="004C70EC" w:rsidRDefault="7F96C8C6">
            <w:pPr>
              <w:rPr>
                <w:noProof/>
                <w:color w:val="000000" w:themeColor="text1"/>
                <w:szCs w:val="24"/>
              </w:rPr>
            </w:pPr>
            <w:r w:rsidRPr="004C70EC">
              <w:rPr>
                <w:noProof/>
                <w:color w:val="000000" w:themeColor="text1"/>
                <w:szCs w:val="24"/>
              </w:rPr>
              <w:t>Commission, Member State authorities, Research organisations, Biotechnology industry actors</w:t>
            </w:r>
          </w:p>
          <w:p w14:paraId="71120A90" w14:textId="77777777" w:rsidR="7F96C8C6" w:rsidRPr="004C70EC" w:rsidRDefault="7F96C8C6">
            <w:pPr>
              <w:rPr>
                <w:noProof/>
                <w:color w:val="000000" w:themeColor="text1"/>
                <w:szCs w:val="24"/>
                <w:lang w:val="en-US"/>
              </w:rPr>
            </w:pPr>
            <w:r w:rsidRPr="004C70EC">
              <w:rPr>
                <w:noProof/>
                <w:color w:val="000000" w:themeColor="text1"/>
                <w:szCs w:val="24"/>
                <w:lang w:val="en-US"/>
              </w:rPr>
              <w:t xml:space="preserve"> </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5C2C26C7" w14:textId="77777777" w:rsidR="7F96C8C6" w:rsidRPr="004C70EC" w:rsidRDefault="7F96C8C6">
            <w:pPr>
              <w:rPr>
                <w:noProof/>
                <w:color w:val="000000" w:themeColor="text1"/>
                <w:szCs w:val="24"/>
              </w:rPr>
            </w:pPr>
            <w:r w:rsidRPr="004C70EC">
              <w:rPr>
                <w:noProof/>
                <w:color w:val="000000" w:themeColor="text1"/>
                <w:szCs w:val="24"/>
              </w:rPr>
              <w:t>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24D892DC"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729798E4"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061A0B7E" w14:textId="77777777" w:rsidR="7F96C8C6" w:rsidRPr="004C70EC" w:rsidRDefault="7F96C8C6">
            <w:pPr>
              <w:rPr>
                <w:i/>
                <w:noProof/>
                <w:color w:val="000000" w:themeColor="text1"/>
                <w:szCs w:val="24"/>
              </w:rPr>
            </w:pPr>
            <w:r w:rsidRPr="004C70EC">
              <w:rPr>
                <w:i/>
                <w:noProof/>
                <w:color w:val="000000" w:themeColor="text1"/>
                <w:szCs w:val="24"/>
              </w:rPr>
              <w:t>Article [16] 6a Access Principles and Security Safeguards</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3037912E" w14:textId="77777777" w:rsidR="7F96C8C6" w:rsidRPr="004C70EC" w:rsidRDefault="7F96C8C6">
            <w:pPr>
              <w:rPr>
                <w:noProof/>
                <w:color w:val="000000" w:themeColor="text1"/>
                <w:szCs w:val="24"/>
                <w:lang w:val="en-US"/>
              </w:rPr>
            </w:pPr>
            <w:r w:rsidRPr="004C70EC">
              <w:rPr>
                <w:noProof/>
                <w:color w:val="000000" w:themeColor="text1"/>
                <w:szCs w:val="24"/>
                <w:lang w:val="en-US"/>
              </w:rPr>
              <w:t>access by a non-associated third country or by a non-associated third-country entity to sensitive information is prevented and the employees or other persons involved have national security clearance issued by a Member State or an associated country, where appropriate;</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5EC95239" w14:textId="77777777" w:rsidR="7F96C8C6" w:rsidRPr="004C70EC" w:rsidRDefault="7F96C8C6">
            <w:pPr>
              <w:rPr>
                <w:noProof/>
                <w:color w:val="000000" w:themeColor="text1"/>
                <w:szCs w:val="24"/>
                <w:lang w:val="en-US"/>
              </w:rPr>
            </w:pPr>
            <w:r w:rsidRPr="004C70EC">
              <w:rPr>
                <w:noProof/>
                <w:color w:val="000000" w:themeColor="text1"/>
                <w:szCs w:val="24"/>
                <w:lang w:val="en-US"/>
              </w:rPr>
              <w:t>Non-associated third country, Non-associated third-country entity, Member States, Associated countries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6C643D9B" w14:textId="77777777" w:rsidR="7F96C8C6" w:rsidRPr="004C70EC" w:rsidRDefault="7F96C8C6">
            <w:pPr>
              <w:rPr>
                <w:noProof/>
                <w:color w:val="000000" w:themeColor="text1"/>
                <w:szCs w:val="24"/>
              </w:rPr>
            </w:pPr>
            <w:r w:rsidRPr="004C70EC">
              <w:rPr>
                <w:noProof/>
                <w:color w:val="000000" w:themeColor="text1"/>
                <w:szCs w:val="24"/>
              </w:rPr>
              <w:t>Access to data</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5C9C4889"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6C4506BA"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3CD15CF6" w14:textId="77777777" w:rsidR="7F96C8C6" w:rsidRPr="004C70EC" w:rsidRDefault="7F96C8C6">
            <w:pPr>
              <w:rPr>
                <w:i/>
                <w:noProof/>
                <w:color w:val="000000" w:themeColor="text1"/>
                <w:szCs w:val="24"/>
              </w:rPr>
            </w:pPr>
            <w:r w:rsidRPr="004C70EC">
              <w:rPr>
                <w:i/>
                <w:noProof/>
                <w:color w:val="000000" w:themeColor="text1"/>
                <w:szCs w:val="24"/>
              </w:rPr>
              <w:t>Article [16] 6b Access Principles and Security Safeguards</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46E82634" w14:textId="77777777" w:rsidR="7F96C8C6" w:rsidRPr="004C70EC" w:rsidRDefault="7F96C8C6">
            <w:pPr>
              <w:rPr>
                <w:noProof/>
                <w:color w:val="000000" w:themeColor="text1"/>
                <w:szCs w:val="24"/>
                <w:lang w:val="en-US"/>
              </w:rPr>
            </w:pPr>
            <w:r w:rsidRPr="004C70EC">
              <w:rPr>
                <w:noProof/>
                <w:color w:val="000000" w:themeColor="text1"/>
                <w:szCs w:val="24"/>
                <w:lang w:val="en-US"/>
              </w:rPr>
              <w:t>intellectual property arising from, and the results of, the activities related to the access to infrastructures and datasets remain within the legal entity that is granted access, during and after such access, are not subject to control or restriction by a non-associated third country or by a non-associated third-country entity, and are neither exported outside the Union or outside associated countries nor accessible from outside the Union or outside associated countries without the approval of the Member State or the associated country in which the legal entity is established and in accordance with the objectives of this Regulation</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530E74C0" w14:textId="77777777" w:rsidR="7F96C8C6" w:rsidRPr="004C70EC" w:rsidRDefault="7F96C8C6">
            <w:pPr>
              <w:rPr>
                <w:noProof/>
                <w:color w:val="000000" w:themeColor="text1"/>
                <w:szCs w:val="24"/>
                <w:lang w:val="en-US"/>
              </w:rPr>
            </w:pPr>
            <w:r w:rsidRPr="004C70EC">
              <w:rPr>
                <w:noProof/>
                <w:color w:val="000000" w:themeColor="text1"/>
                <w:szCs w:val="24"/>
                <w:lang w:val="en-US"/>
              </w:rPr>
              <w:t>Non-associated third country, Non-associated third-country entity, Member States, Associated countries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6CA1DE1C" w14:textId="77777777" w:rsidR="7F96C8C6" w:rsidRPr="004C70EC" w:rsidRDefault="7F96C8C6">
            <w:pPr>
              <w:rPr>
                <w:noProof/>
                <w:color w:val="000000" w:themeColor="text1"/>
                <w:szCs w:val="24"/>
                <w:lang w:val="en-US"/>
              </w:rPr>
            </w:pPr>
            <w:r w:rsidRPr="004C70EC">
              <w:rPr>
                <w:noProof/>
                <w:color w:val="000000" w:themeColor="text1"/>
                <w:szCs w:val="24"/>
                <w:lang w:val="en-US"/>
              </w:rPr>
              <w:t>Access to infrastructures and datasets</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18D2DBC0"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1F917558"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2F1FED54" w14:textId="77777777" w:rsidR="7F96C8C6" w:rsidRPr="004C70EC" w:rsidRDefault="7F96C8C6">
            <w:pPr>
              <w:rPr>
                <w:i/>
                <w:noProof/>
                <w:color w:val="000000" w:themeColor="text1"/>
                <w:szCs w:val="24"/>
                <w:lang w:val="en-US"/>
              </w:rPr>
            </w:pPr>
            <w:r w:rsidRPr="004C70EC">
              <w:rPr>
                <w:i/>
                <w:noProof/>
                <w:color w:val="000000" w:themeColor="text1"/>
                <w:szCs w:val="24"/>
                <w:lang w:val="en-US"/>
              </w:rPr>
              <w:t>Article [17] 2e Strategic Mapping of the Union’s Biotechnology Ecosystem</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76E08EBF" w14:textId="77777777" w:rsidR="7F96C8C6" w:rsidRPr="004C70EC" w:rsidRDefault="7F96C8C6">
            <w:pPr>
              <w:rPr>
                <w:noProof/>
                <w:color w:val="000000" w:themeColor="text1"/>
                <w:szCs w:val="24"/>
              </w:rPr>
            </w:pPr>
            <w:r w:rsidRPr="004C70EC">
              <w:rPr>
                <w:noProof/>
                <w:color w:val="000000" w:themeColor="text1"/>
                <w:szCs w:val="24"/>
              </w:rPr>
              <w:t xml:space="preserve">use of data and artificial intelligence, by assessing access to data, computing and digital infrastructures for biotechnology and identifying opportunities to foster responsible AI-enabled innovation and </w:t>
            </w:r>
            <w:r w:rsidR="00AB09E8" w:rsidRPr="004C70EC">
              <w:rPr>
                <w:noProof/>
                <w:color w:val="000000" w:themeColor="text1"/>
                <w:szCs w:val="24"/>
              </w:rPr>
              <w:t>contribute to the</w:t>
            </w:r>
            <w:r w:rsidRPr="004C70EC">
              <w:rPr>
                <w:noProof/>
                <w:color w:val="000000" w:themeColor="text1"/>
                <w:szCs w:val="24"/>
              </w:rPr>
              <w:t xml:space="preserve"> mitigat</w:t>
            </w:r>
            <w:r w:rsidR="00AB09E8" w:rsidRPr="004C70EC">
              <w:rPr>
                <w:noProof/>
                <w:color w:val="000000" w:themeColor="text1"/>
                <w:szCs w:val="24"/>
              </w:rPr>
              <w:t>ion of</w:t>
            </w:r>
            <w:r w:rsidRPr="004C70EC">
              <w:rPr>
                <w:noProof/>
                <w:color w:val="000000" w:themeColor="text1"/>
                <w:szCs w:val="24"/>
              </w:rPr>
              <w:t xml:space="preserve"> related risks.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1FD1306C" w14:textId="77777777" w:rsidR="7F96C8C6" w:rsidRPr="004C70EC" w:rsidRDefault="7F96C8C6">
            <w:pPr>
              <w:rPr>
                <w:noProof/>
                <w:color w:val="000000" w:themeColor="text1"/>
                <w:szCs w:val="24"/>
                <w:lang w:val="en-US"/>
              </w:rPr>
            </w:pPr>
            <w:r w:rsidRPr="004C70EC">
              <w:rPr>
                <w:noProof/>
                <w:color w:val="000000" w:themeColor="text1"/>
                <w:szCs w:val="24"/>
                <w:lang w:val="en-US"/>
              </w:rPr>
              <w:t>Union bodies and agencies, industry stakeholders and research organisations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373B5C9A" w14:textId="77777777" w:rsidR="7F96C8C6" w:rsidRPr="004C70EC" w:rsidRDefault="7F96C8C6">
            <w:pPr>
              <w:rPr>
                <w:noProof/>
                <w:color w:val="000000" w:themeColor="text1"/>
                <w:szCs w:val="24"/>
              </w:rPr>
            </w:pPr>
            <w:r w:rsidRPr="004C70EC">
              <w:rPr>
                <w:noProof/>
                <w:color w:val="000000" w:themeColor="text1"/>
                <w:szCs w:val="24"/>
              </w:rPr>
              <w:t>Mapping</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7B5C50B7"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0B148B39"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2A4F63FF" w14:textId="77777777" w:rsidR="7F96C8C6" w:rsidRPr="004C70EC" w:rsidRDefault="7F96C8C6">
            <w:pPr>
              <w:rPr>
                <w:i/>
                <w:noProof/>
                <w:color w:val="000000" w:themeColor="text1"/>
                <w:szCs w:val="24"/>
              </w:rPr>
            </w:pPr>
            <w:r w:rsidRPr="004C70EC">
              <w:rPr>
                <w:i/>
                <w:noProof/>
                <w:color w:val="000000" w:themeColor="text1"/>
                <w:szCs w:val="24"/>
              </w:rPr>
              <w:t>Article [21] 5a</w:t>
            </w:r>
          </w:p>
          <w:p w14:paraId="42BBFBDD" w14:textId="77777777" w:rsidR="7F96C8C6" w:rsidRPr="004C70EC" w:rsidRDefault="7F96C8C6">
            <w:pPr>
              <w:rPr>
                <w:i/>
                <w:noProof/>
                <w:color w:val="000000" w:themeColor="text1"/>
                <w:szCs w:val="24"/>
              </w:rPr>
            </w:pPr>
            <w:r w:rsidRPr="004C70EC">
              <w:rPr>
                <w:i/>
                <w:noProof/>
                <w:color w:val="000000" w:themeColor="text1"/>
                <w:szCs w:val="24"/>
              </w:rPr>
              <w:t>Composition and Functioning of the Steering Group</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40BA190A" w14:textId="77777777" w:rsidR="7F96C8C6" w:rsidRPr="004C70EC" w:rsidRDefault="7F96C8C6">
            <w:pPr>
              <w:rPr>
                <w:noProof/>
                <w:color w:val="000000" w:themeColor="text1"/>
                <w:szCs w:val="24"/>
              </w:rPr>
            </w:pPr>
            <w:r w:rsidRPr="004C70EC">
              <w:rPr>
                <w:noProof/>
                <w:color w:val="000000" w:themeColor="text1"/>
                <w:szCs w:val="24"/>
              </w:rPr>
              <w:t>facilitate the exchange of information and best practices among Member States, the Commission, and relevant stakeholders in relation to the recognition and the implementation of health biotechnology strategic projects and high impact health biotechnology strategic projects;</w:t>
            </w:r>
          </w:p>
          <w:p w14:paraId="3E5F609C" w14:textId="77777777" w:rsidR="7F96C8C6" w:rsidRPr="004C70EC" w:rsidRDefault="7F96C8C6">
            <w:pPr>
              <w:rPr>
                <w:noProof/>
                <w:color w:val="000000" w:themeColor="text1"/>
                <w:szCs w:val="24"/>
              </w:rPr>
            </w:pPr>
            <w:r w:rsidRPr="004C70EC">
              <w:rPr>
                <w:noProof/>
                <w:color w:val="000000" w:themeColor="text1"/>
                <w:szCs w:val="24"/>
              </w:rPr>
              <w:t xml:space="preserve"> </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6C0A218D" w14:textId="77777777" w:rsidR="7F96C8C6" w:rsidRPr="004C70EC" w:rsidRDefault="7F96C8C6">
            <w:pPr>
              <w:rPr>
                <w:noProof/>
                <w:color w:val="000000" w:themeColor="text1"/>
                <w:szCs w:val="24"/>
              </w:rPr>
            </w:pPr>
            <w:r w:rsidRPr="004C70EC">
              <w:rPr>
                <w:noProof/>
                <w:color w:val="000000" w:themeColor="text1"/>
                <w:szCs w:val="24"/>
              </w:rPr>
              <w:t>Members of the Steering Group, Commission, Member State authorities, research organisations, biotechnology industry actors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5BB6191B" w14:textId="77777777" w:rsidR="7F96C8C6" w:rsidRPr="004C70EC" w:rsidRDefault="7F96C8C6">
            <w:pPr>
              <w:rPr>
                <w:noProof/>
                <w:color w:val="000000" w:themeColor="text1"/>
                <w:szCs w:val="24"/>
              </w:rPr>
            </w:pPr>
            <w:r w:rsidRPr="004C70EC">
              <w:rPr>
                <w:noProof/>
                <w:color w:val="000000" w:themeColor="text1"/>
                <w:szCs w:val="24"/>
              </w:rPr>
              <w:t>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73EDF673" w14:textId="77777777" w:rsidR="7F96C8C6" w:rsidRPr="004C70EC" w:rsidRDefault="7F96C8C6">
            <w:pPr>
              <w:rPr>
                <w:noProof/>
                <w:color w:val="000000" w:themeColor="text1"/>
                <w:szCs w:val="24"/>
              </w:rPr>
            </w:pPr>
            <w:r w:rsidRPr="004C70EC">
              <w:rPr>
                <w:noProof/>
                <w:color w:val="000000" w:themeColor="text1"/>
                <w:szCs w:val="24"/>
              </w:rPr>
              <w:t>Data, Digital Public Service</w:t>
            </w:r>
          </w:p>
        </w:tc>
      </w:tr>
      <w:tr w:rsidR="004A1163" w:rsidRPr="004C70EC" w14:paraId="01BEB29B"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2E2DBD7C" w14:textId="77777777" w:rsidR="7F96C8C6" w:rsidRPr="004C70EC" w:rsidRDefault="7F96C8C6">
            <w:pPr>
              <w:rPr>
                <w:i/>
                <w:noProof/>
                <w:color w:val="000000" w:themeColor="text1"/>
                <w:szCs w:val="24"/>
              </w:rPr>
            </w:pPr>
            <w:r w:rsidRPr="004C70EC">
              <w:rPr>
                <w:i/>
                <w:noProof/>
                <w:color w:val="000000" w:themeColor="text1"/>
                <w:szCs w:val="24"/>
              </w:rPr>
              <w:t xml:space="preserve"> Article [21] 5h</w:t>
            </w:r>
          </w:p>
          <w:p w14:paraId="2BCB053B" w14:textId="77777777" w:rsidR="7F96C8C6" w:rsidRPr="004C70EC" w:rsidRDefault="7F96C8C6">
            <w:pPr>
              <w:rPr>
                <w:i/>
                <w:noProof/>
                <w:color w:val="000000" w:themeColor="text1"/>
                <w:szCs w:val="24"/>
              </w:rPr>
            </w:pPr>
            <w:r w:rsidRPr="004C70EC">
              <w:rPr>
                <w:i/>
                <w:noProof/>
                <w:color w:val="000000" w:themeColor="text1"/>
                <w:szCs w:val="24"/>
              </w:rPr>
              <w:t>Composition and Functioning of the Steering Group</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26947157" w14:textId="77777777" w:rsidR="7F96C8C6" w:rsidRPr="004C70EC" w:rsidRDefault="7F96C8C6">
            <w:pPr>
              <w:rPr>
                <w:noProof/>
                <w:color w:val="000000" w:themeColor="text1"/>
                <w:szCs w:val="24"/>
              </w:rPr>
            </w:pPr>
            <w:r w:rsidRPr="004C70EC">
              <w:rPr>
                <w:noProof/>
                <w:color w:val="000000" w:themeColor="text1"/>
                <w:szCs w:val="24"/>
              </w:rPr>
              <w:t>facilitate the coordination and information exchange among the Member States on enforcement of the biosecurity provisions in this regulation and other emerging biosecurity topics as provided for in Article</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27CCE655" w14:textId="77777777" w:rsidR="7F96C8C6" w:rsidRPr="004C70EC" w:rsidRDefault="7F96C8C6">
            <w:pPr>
              <w:rPr>
                <w:noProof/>
                <w:color w:val="000000" w:themeColor="text1"/>
                <w:szCs w:val="24"/>
              </w:rPr>
            </w:pPr>
            <w:r w:rsidRPr="004C70EC">
              <w:rPr>
                <w:noProof/>
                <w:color w:val="000000" w:themeColor="text1"/>
                <w:szCs w:val="24"/>
              </w:rPr>
              <w:t>Commission, Member State authorities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7AAD088B" w14:textId="77777777" w:rsidR="7F96C8C6" w:rsidRPr="004C70EC" w:rsidRDefault="7F96C8C6">
            <w:pPr>
              <w:rPr>
                <w:noProof/>
                <w:color w:val="000000" w:themeColor="text1"/>
                <w:szCs w:val="24"/>
              </w:rPr>
            </w:pPr>
            <w:r w:rsidRPr="004C70EC">
              <w:rPr>
                <w:noProof/>
                <w:color w:val="000000" w:themeColor="text1"/>
                <w:szCs w:val="24"/>
              </w:rPr>
              <w:t>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5B2DA924" w14:textId="77777777" w:rsidR="7F96C8C6" w:rsidRPr="004C70EC" w:rsidRDefault="7F96C8C6">
            <w:pPr>
              <w:rPr>
                <w:noProof/>
                <w:color w:val="000000" w:themeColor="text1"/>
                <w:szCs w:val="24"/>
              </w:rPr>
            </w:pPr>
            <w:r w:rsidRPr="004C70EC">
              <w:rPr>
                <w:noProof/>
                <w:color w:val="000000" w:themeColor="text1"/>
                <w:szCs w:val="24"/>
              </w:rPr>
              <w:t>Data, Digital public service</w:t>
            </w:r>
          </w:p>
        </w:tc>
      </w:tr>
      <w:tr w:rsidR="004A1163" w:rsidRPr="004C70EC" w14:paraId="6107EAAD"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0BD6A6B3" w14:textId="77777777" w:rsidR="7F96C8C6" w:rsidRPr="004C70EC" w:rsidRDefault="7F96C8C6">
            <w:pPr>
              <w:rPr>
                <w:i/>
                <w:noProof/>
                <w:color w:val="000000" w:themeColor="text1"/>
                <w:szCs w:val="24"/>
              </w:rPr>
            </w:pPr>
            <w:r w:rsidRPr="004C70EC">
              <w:rPr>
                <w:i/>
                <w:noProof/>
                <w:color w:val="000000" w:themeColor="text1"/>
                <w:szCs w:val="24"/>
              </w:rPr>
              <w:t>Article [29]b</w:t>
            </w:r>
          </w:p>
          <w:p w14:paraId="44C5D1F5" w14:textId="77777777" w:rsidR="7F96C8C6" w:rsidRPr="004C70EC" w:rsidRDefault="7F96C8C6">
            <w:pPr>
              <w:rPr>
                <w:i/>
                <w:noProof/>
                <w:color w:val="000000" w:themeColor="text1"/>
                <w:szCs w:val="24"/>
              </w:rPr>
            </w:pPr>
            <w:r w:rsidRPr="004C70EC">
              <w:rPr>
                <w:i/>
                <w:noProof/>
                <w:color w:val="000000" w:themeColor="text1"/>
                <w:szCs w:val="24"/>
              </w:rPr>
              <w:t>Health Biotechnology Strategic Projects for Biosimilars</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741485EC" w14:textId="77777777" w:rsidR="7F96C8C6" w:rsidRPr="004C70EC" w:rsidRDefault="7F96C8C6">
            <w:pPr>
              <w:rPr>
                <w:noProof/>
                <w:color w:val="000000" w:themeColor="text1"/>
                <w:szCs w:val="24"/>
              </w:rPr>
            </w:pPr>
            <w:r w:rsidRPr="004C70EC">
              <w:rPr>
                <w:noProof/>
                <w:color w:val="000000" w:themeColor="text1"/>
                <w:szCs w:val="24"/>
              </w:rPr>
              <w:t>it contributes to the research, development and marketing authorisation of biosimilar products, and where appropriate to strengthen the use of platform technologies. It includes analytical methodologies that would reduce the need for clinical data for biosimilar medicinal products, without affecting their quality, safety and efficacy.</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5262AF29" w14:textId="77777777" w:rsidR="7F96C8C6" w:rsidRPr="004C70EC" w:rsidRDefault="7F96C8C6">
            <w:pPr>
              <w:rPr>
                <w:noProof/>
                <w:color w:val="000000" w:themeColor="text1"/>
                <w:szCs w:val="24"/>
              </w:rPr>
            </w:pPr>
            <w:r w:rsidRPr="004C70EC">
              <w:rPr>
                <w:noProof/>
                <w:color w:val="000000" w:themeColor="text1"/>
                <w:szCs w:val="24"/>
              </w:rPr>
              <w:t>Member State authorities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2EE69E9F" w14:textId="77777777" w:rsidR="7F96C8C6" w:rsidRPr="004C70EC" w:rsidRDefault="7F96C8C6">
            <w:pPr>
              <w:rPr>
                <w:noProof/>
                <w:color w:val="000000" w:themeColor="text1"/>
                <w:szCs w:val="24"/>
              </w:rPr>
            </w:pPr>
            <w:r w:rsidRPr="004C70EC">
              <w:rPr>
                <w:noProof/>
                <w:color w:val="000000" w:themeColor="text1"/>
                <w:szCs w:val="24"/>
              </w:rPr>
              <w:t>Use of platform technologies</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606014B9"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1C18BA2C"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07C2D727" w14:textId="77777777" w:rsidR="7F96C8C6" w:rsidRPr="004C70EC" w:rsidRDefault="7F96C8C6">
            <w:pPr>
              <w:rPr>
                <w:i/>
                <w:noProof/>
                <w:color w:val="000000" w:themeColor="text1"/>
                <w:szCs w:val="24"/>
              </w:rPr>
            </w:pPr>
            <w:r w:rsidRPr="004C70EC">
              <w:rPr>
                <w:i/>
                <w:noProof/>
                <w:color w:val="000000" w:themeColor="text1"/>
                <w:szCs w:val="24"/>
              </w:rPr>
              <w:t>Article [31]</w:t>
            </w:r>
          </w:p>
          <w:p w14:paraId="58C4A0A6" w14:textId="77777777" w:rsidR="7F96C8C6" w:rsidRPr="004C70EC" w:rsidRDefault="7F96C8C6">
            <w:pPr>
              <w:rPr>
                <w:i/>
                <w:noProof/>
                <w:color w:val="000000" w:themeColor="text1"/>
                <w:szCs w:val="24"/>
              </w:rPr>
            </w:pPr>
            <w:r w:rsidRPr="004C70EC">
              <w:rPr>
                <w:i/>
                <w:noProof/>
                <w:color w:val="000000" w:themeColor="text1"/>
                <w:szCs w:val="24"/>
              </w:rPr>
              <w:t>Guidance on the deployment and use of systems based on advanced technologies, including AI, in the lifecycle of medicinal products</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0A53E3F7" w14:textId="77777777" w:rsidR="7F96C8C6" w:rsidRPr="004C70EC" w:rsidRDefault="7F96C8C6">
            <w:pPr>
              <w:rPr>
                <w:noProof/>
                <w:color w:val="000000" w:themeColor="text1"/>
                <w:szCs w:val="24"/>
              </w:rPr>
            </w:pPr>
            <w:r w:rsidRPr="004C70EC">
              <w:rPr>
                <w:noProof/>
                <w:color w:val="000000" w:themeColor="text1"/>
                <w:szCs w:val="24"/>
              </w:rPr>
              <w:t xml:space="preserve">The European Medicines Agency (‘the Agency’) shall develop guidance on the deployment and use of artificial-intelligence systems (‘AI systems’) and of general-purpose AI models in the lifecycle of medicinal products development, including during pre-clinical research, clinical development and trials, manufacturing and post-authorisation monitoring. </w:t>
            </w:r>
          </w:p>
          <w:p w14:paraId="4F5D1E2C" w14:textId="77777777" w:rsidR="7F96C8C6" w:rsidRPr="004C70EC" w:rsidRDefault="7F96C8C6">
            <w:pPr>
              <w:rPr>
                <w:noProof/>
                <w:color w:val="000000" w:themeColor="text1"/>
                <w:szCs w:val="24"/>
              </w:rPr>
            </w:pPr>
            <w:r w:rsidRPr="004C70EC">
              <w:rPr>
                <w:noProof/>
                <w:color w:val="000000" w:themeColor="text1"/>
                <w:szCs w:val="24"/>
              </w:rPr>
              <w:t>Such guidance shall comply with relevant EU legislation and shall be developed and updated in cooperation with the Commission.</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425B549A" w14:textId="77777777" w:rsidR="7F96C8C6" w:rsidRPr="004C70EC" w:rsidRDefault="7F96C8C6">
            <w:pPr>
              <w:rPr>
                <w:noProof/>
                <w:color w:val="000000" w:themeColor="text1"/>
                <w:szCs w:val="24"/>
                <w:lang w:val="en-US"/>
              </w:rPr>
            </w:pPr>
            <w:r w:rsidRPr="004C70EC">
              <w:rPr>
                <w:noProof/>
                <w:color w:val="000000" w:themeColor="text1"/>
                <w:szCs w:val="24"/>
              </w:rPr>
              <w:t xml:space="preserve">Commission, EU Agencies, Member State authorities, </w:t>
            </w:r>
            <w:r w:rsidRPr="004C70EC">
              <w:rPr>
                <w:noProof/>
                <w:color w:val="000000" w:themeColor="text1"/>
                <w:szCs w:val="24"/>
                <w:lang w:val="en-US"/>
              </w:rPr>
              <w:t>industry stakeholders and research organisations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44C970E3" w14:textId="77777777" w:rsidR="7F96C8C6" w:rsidRPr="004C70EC" w:rsidRDefault="7F96C8C6">
            <w:pPr>
              <w:rPr>
                <w:noProof/>
                <w:color w:val="000000" w:themeColor="text1"/>
                <w:szCs w:val="24"/>
              </w:rPr>
            </w:pPr>
            <w:r w:rsidRPr="004C70EC">
              <w:rPr>
                <w:noProof/>
                <w:color w:val="000000" w:themeColor="text1"/>
                <w:szCs w:val="24"/>
              </w:rPr>
              <w:t>Technical documentation</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7EFC7F3D" w14:textId="77777777" w:rsidR="7F96C8C6" w:rsidRPr="004C70EC" w:rsidRDefault="7F96C8C6">
            <w:pPr>
              <w:rPr>
                <w:noProof/>
                <w:color w:val="000000" w:themeColor="text1"/>
                <w:szCs w:val="24"/>
              </w:rPr>
            </w:pPr>
            <w:r w:rsidRPr="004C70EC">
              <w:rPr>
                <w:noProof/>
                <w:color w:val="000000" w:themeColor="text1"/>
                <w:szCs w:val="24"/>
              </w:rPr>
              <w:t xml:space="preserve">The European Medicines Agency (‘the Agency’) shall develop guidance on the deployment and use of artificial-intelligence systems (‘AI systems’) and of general-purpose AI models in the lifecycle of medicinal products development, including during pre-clinical research, clinical development and trials, manufacturing and post-authorisation monitoring. </w:t>
            </w:r>
          </w:p>
          <w:p w14:paraId="37AA5201" w14:textId="77777777" w:rsidR="7F96C8C6" w:rsidRPr="004C70EC" w:rsidRDefault="7F96C8C6">
            <w:pPr>
              <w:rPr>
                <w:noProof/>
                <w:color w:val="000000" w:themeColor="text1"/>
                <w:szCs w:val="24"/>
              </w:rPr>
            </w:pPr>
            <w:r w:rsidRPr="004C70EC">
              <w:rPr>
                <w:noProof/>
                <w:color w:val="000000" w:themeColor="text1"/>
                <w:szCs w:val="24"/>
              </w:rPr>
              <w:t>Such guidance shall comply with relevant EU legislation and shall be developed and updated in cooperation with the Commission.</w:t>
            </w:r>
          </w:p>
        </w:tc>
      </w:tr>
      <w:tr w:rsidR="004A1163" w:rsidRPr="004C70EC" w14:paraId="070FF94D"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7BAADA3C" w14:textId="77777777" w:rsidR="7F96C8C6" w:rsidRPr="004C70EC" w:rsidRDefault="7F96C8C6">
            <w:pPr>
              <w:rPr>
                <w:i/>
                <w:noProof/>
                <w:color w:val="000000" w:themeColor="text1"/>
                <w:szCs w:val="24"/>
              </w:rPr>
            </w:pPr>
            <w:r w:rsidRPr="004C70EC">
              <w:rPr>
                <w:i/>
                <w:noProof/>
                <w:color w:val="000000" w:themeColor="text1"/>
                <w:szCs w:val="24"/>
              </w:rPr>
              <w:t>Article [32]1</w:t>
            </w:r>
          </w:p>
          <w:p w14:paraId="64832F19" w14:textId="77777777" w:rsidR="7F96C8C6" w:rsidRPr="004C70EC" w:rsidRDefault="7F96C8C6">
            <w:pPr>
              <w:rPr>
                <w:i/>
                <w:noProof/>
                <w:color w:val="000000" w:themeColor="text1"/>
                <w:szCs w:val="24"/>
              </w:rPr>
            </w:pPr>
            <w:r w:rsidRPr="004C70EC">
              <w:rPr>
                <w:i/>
                <w:noProof/>
                <w:color w:val="000000" w:themeColor="text1"/>
                <w:szCs w:val="24"/>
              </w:rPr>
              <w:t xml:space="preserve">Biotechnology testing environments for advanced biotechnology innovations  </w:t>
            </w:r>
          </w:p>
          <w:p w14:paraId="17B2C34D" w14:textId="77777777" w:rsidR="7F96C8C6" w:rsidRPr="004C70EC" w:rsidRDefault="7F96C8C6">
            <w:pPr>
              <w:rPr>
                <w:i/>
                <w:noProof/>
                <w:color w:val="000000" w:themeColor="text1"/>
                <w:szCs w:val="24"/>
              </w:rPr>
            </w:pPr>
            <w:r w:rsidRPr="004C70EC">
              <w:rPr>
                <w:i/>
                <w:noProof/>
                <w:color w:val="000000" w:themeColor="text1"/>
                <w:szCs w:val="24"/>
              </w:rPr>
              <w:t xml:space="preserve">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3FFB260F" w14:textId="77777777" w:rsidR="7F96C8C6" w:rsidRPr="004C70EC" w:rsidRDefault="7F96C8C6">
            <w:pPr>
              <w:rPr>
                <w:noProof/>
                <w:color w:val="000000" w:themeColor="text1"/>
                <w:szCs w:val="24"/>
              </w:rPr>
            </w:pPr>
            <w:r w:rsidRPr="004C70EC">
              <w:rPr>
                <w:noProof/>
                <w:color w:val="000000" w:themeColor="text1"/>
                <w:szCs w:val="24"/>
              </w:rPr>
              <w:t>A project located in the Union that contributes to the development of trusted testing environments for AI-enabled biotechnology innovations shall be recognised as a high-impact health biotechnology strategic project where, in addition to the conditions laid down in Article [6], paragraph [1], it substantially strengthens the Union’s capacity for responsible experimentation, development, testing and validation of such innovations and it fulfils all of the following conditions: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20EFD30F" w14:textId="77777777" w:rsidR="7F96C8C6" w:rsidRPr="004C70EC" w:rsidRDefault="7F96C8C6">
            <w:pPr>
              <w:rPr>
                <w:noProof/>
                <w:color w:val="000000" w:themeColor="text1"/>
                <w:szCs w:val="24"/>
              </w:rPr>
            </w:pPr>
            <w:r w:rsidRPr="004C70EC">
              <w:rPr>
                <w:noProof/>
                <w:color w:val="000000" w:themeColor="text1"/>
                <w:szCs w:val="24"/>
              </w:rPr>
              <w:t>Commission, Member State authorities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2B80B679" w14:textId="77777777" w:rsidR="7F96C8C6" w:rsidRPr="004C70EC" w:rsidRDefault="7F96C8C6">
            <w:pPr>
              <w:rPr>
                <w:noProof/>
                <w:color w:val="000000" w:themeColor="text1"/>
                <w:szCs w:val="24"/>
              </w:rPr>
            </w:pPr>
            <w:r w:rsidRPr="004C70EC">
              <w:rPr>
                <w:noProof/>
                <w:color w:val="000000" w:themeColor="text1"/>
                <w:szCs w:val="24"/>
              </w:rPr>
              <w:t>Data generation, Data processing, setting up testing environments for AI</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03E51980"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795C8687"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0ADBC27D" w14:textId="77777777" w:rsidR="7F96C8C6" w:rsidRPr="004C70EC" w:rsidRDefault="7F96C8C6">
            <w:pPr>
              <w:rPr>
                <w:i/>
                <w:noProof/>
                <w:color w:val="000000" w:themeColor="text1"/>
                <w:szCs w:val="24"/>
              </w:rPr>
            </w:pPr>
            <w:r w:rsidRPr="004C70EC">
              <w:rPr>
                <w:i/>
                <w:noProof/>
                <w:color w:val="000000" w:themeColor="text1"/>
                <w:szCs w:val="24"/>
              </w:rPr>
              <w:t>Article [33] 2a</w:t>
            </w:r>
          </w:p>
          <w:p w14:paraId="2BC0DBC6" w14:textId="77777777" w:rsidR="7F96C8C6" w:rsidRPr="004C70EC" w:rsidRDefault="7F96C8C6">
            <w:pPr>
              <w:rPr>
                <w:i/>
                <w:noProof/>
                <w:color w:val="000000" w:themeColor="text1"/>
                <w:szCs w:val="24"/>
              </w:rPr>
            </w:pPr>
            <w:r w:rsidRPr="004C70EC">
              <w:rPr>
                <w:i/>
                <w:noProof/>
                <w:color w:val="000000" w:themeColor="text1"/>
                <w:szCs w:val="24"/>
              </w:rPr>
              <w:t xml:space="preserve">Biotechnology Data Quality Accelerator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20BC14C5" w14:textId="77777777" w:rsidR="7F96C8C6" w:rsidRPr="004C70EC" w:rsidRDefault="7F96C8C6">
            <w:pPr>
              <w:rPr>
                <w:noProof/>
                <w:color w:val="000000" w:themeColor="text1"/>
                <w:szCs w:val="24"/>
              </w:rPr>
            </w:pPr>
            <w:r w:rsidRPr="004C70EC">
              <w:rPr>
                <w:noProof/>
                <w:color w:val="000000" w:themeColor="text1"/>
                <w:szCs w:val="24"/>
              </w:rPr>
              <w:t>aim to foster the development and deployment of trustworthy and competitive AI applications in health biotechnologies, including large-scale and general-purpose models;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6A759B3C" w14:textId="77777777" w:rsidR="7F96C8C6" w:rsidRPr="004C70EC" w:rsidRDefault="7F96C8C6">
            <w:pPr>
              <w:rPr>
                <w:noProof/>
                <w:color w:val="000000" w:themeColor="text1"/>
                <w:szCs w:val="24"/>
              </w:rPr>
            </w:pPr>
            <w:r w:rsidRPr="004C70EC">
              <w:rPr>
                <w:noProof/>
                <w:color w:val="000000" w:themeColor="text1"/>
                <w:szCs w:val="24"/>
              </w:rPr>
              <w:t>Research organisations, Biotechnology industry actors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3CD14C8D" w14:textId="77777777" w:rsidR="7F96C8C6" w:rsidRPr="004C70EC" w:rsidRDefault="7F96C8C6">
            <w:pPr>
              <w:rPr>
                <w:noProof/>
                <w:color w:val="000000" w:themeColor="text1"/>
                <w:szCs w:val="24"/>
              </w:rPr>
            </w:pPr>
            <w:r w:rsidRPr="004C70EC">
              <w:rPr>
                <w:noProof/>
                <w:color w:val="000000" w:themeColor="text1"/>
                <w:szCs w:val="24"/>
              </w:rPr>
              <w:t>Development and deployment of AI solutions</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44728B73"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7C0E4880"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6DA1DB62" w14:textId="77777777" w:rsidR="7F96C8C6" w:rsidRPr="004C70EC" w:rsidRDefault="7F96C8C6">
            <w:pPr>
              <w:rPr>
                <w:i/>
                <w:noProof/>
                <w:color w:val="000000" w:themeColor="text1"/>
                <w:szCs w:val="24"/>
              </w:rPr>
            </w:pPr>
            <w:r w:rsidRPr="004C70EC">
              <w:rPr>
                <w:i/>
                <w:noProof/>
                <w:color w:val="000000" w:themeColor="text1"/>
                <w:szCs w:val="24"/>
              </w:rPr>
              <w:t>Article [33] 2b</w:t>
            </w:r>
          </w:p>
          <w:p w14:paraId="756A1FA1" w14:textId="77777777" w:rsidR="7F96C8C6" w:rsidRPr="004C70EC" w:rsidRDefault="7F96C8C6">
            <w:pPr>
              <w:rPr>
                <w:i/>
                <w:noProof/>
                <w:color w:val="000000" w:themeColor="text1"/>
                <w:szCs w:val="24"/>
              </w:rPr>
            </w:pPr>
            <w:r w:rsidRPr="004C70EC">
              <w:rPr>
                <w:i/>
                <w:noProof/>
                <w:color w:val="000000" w:themeColor="text1"/>
                <w:szCs w:val="24"/>
              </w:rPr>
              <w:t xml:space="preserve">Biotechnology Data Quality Accelerator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034C6C63" w14:textId="77777777" w:rsidR="7F96C8C6" w:rsidRPr="004C70EC" w:rsidRDefault="7F96C8C6">
            <w:pPr>
              <w:rPr>
                <w:noProof/>
                <w:color w:val="000000" w:themeColor="text1"/>
                <w:szCs w:val="24"/>
              </w:rPr>
            </w:pPr>
            <w:r w:rsidRPr="004C70EC">
              <w:rPr>
                <w:noProof/>
                <w:color w:val="000000" w:themeColor="text1"/>
                <w:szCs w:val="24"/>
              </w:rPr>
              <w:t xml:space="preserve">ensure that datasets are established, managed and processed in accordance with applicable Union legislation on data governance, ethics and fundamental rights, including Regulation (EU) 2025/327 [European Health Data Space], Regulation (EU) 2016/679 [General Data Protection Regulation]. </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25E6C00C" w14:textId="77777777" w:rsidR="7F96C8C6" w:rsidRPr="004C70EC" w:rsidRDefault="7F96C8C6">
            <w:pPr>
              <w:rPr>
                <w:noProof/>
                <w:color w:val="000000" w:themeColor="text1"/>
                <w:szCs w:val="24"/>
              </w:rPr>
            </w:pPr>
            <w:r w:rsidRPr="004C70EC">
              <w:rPr>
                <w:noProof/>
                <w:color w:val="000000" w:themeColor="text1"/>
                <w:szCs w:val="24"/>
              </w:rPr>
              <w:t>Research organisations, Biotechnology industry actors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20625B0A" w14:textId="77777777" w:rsidR="7F96C8C6" w:rsidRPr="004C70EC" w:rsidRDefault="7F96C8C6">
            <w:pPr>
              <w:rPr>
                <w:noProof/>
                <w:color w:val="000000" w:themeColor="text1"/>
                <w:szCs w:val="24"/>
              </w:rPr>
            </w:pPr>
            <w:r w:rsidRPr="004C70EC">
              <w:rPr>
                <w:noProof/>
                <w:color w:val="000000" w:themeColor="text1"/>
                <w:szCs w:val="24"/>
              </w:rPr>
              <w:t>Data generation, data processing</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784B4E78"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6C3E17BC"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4B0060E4" w14:textId="77777777" w:rsidR="7F96C8C6" w:rsidRPr="004C70EC" w:rsidRDefault="7F96C8C6">
            <w:pPr>
              <w:rPr>
                <w:i/>
                <w:noProof/>
                <w:color w:val="000000" w:themeColor="text1"/>
                <w:szCs w:val="24"/>
              </w:rPr>
            </w:pPr>
            <w:r w:rsidRPr="004C70EC">
              <w:rPr>
                <w:i/>
                <w:noProof/>
                <w:color w:val="000000" w:themeColor="text1"/>
                <w:szCs w:val="24"/>
              </w:rPr>
              <w:t>Article [33] 2c</w:t>
            </w:r>
          </w:p>
          <w:p w14:paraId="6891F78C" w14:textId="77777777" w:rsidR="7F96C8C6" w:rsidRPr="004C70EC" w:rsidRDefault="7F96C8C6">
            <w:pPr>
              <w:rPr>
                <w:i/>
                <w:noProof/>
                <w:color w:val="000000" w:themeColor="text1"/>
                <w:szCs w:val="24"/>
              </w:rPr>
            </w:pPr>
            <w:r w:rsidRPr="004C70EC">
              <w:rPr>
                <w:i/>
                <w:noProof/>
                <w:color w:val="000000" w:themeColor="text1"/>
                <w:szCs w:val="24"/>
              </w:rPr>
              <w:t xml:space="preserve">Biotechnology Data Quality Accelerator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42D2A534" w14:textId="77777777" w:rsidR="7F96C8C6" w:rsidRPr="004C70EC" w:rsidRDefault="7F96C8C6">
            <w:pPr>
              <w:rPr>
                <w:noProof/>
                <w:color w:val="000000" w:themeColor="text1"/>
                <w:szCs w:val="24"/>
              </w:rPr>
            </w:pPr>
            <w:r w:rsidRPr="004C70EC">
              <w:rPr>
                <w:noProof/>
                <w:color w:val="000000" w:themeColor="text1"/>
                <w:szCs w:val="24"/>
              </w:rPr>
              <w:t>make such datasets, or the metadata and reference annotations thereof, available under fair, reasonable and non-discriminatory conditions, ensuring equitable access for users including research organisations, SMEs and public institutions, in compliance with the provisions of Article [9] of this Regulation.</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26189296" w14:textId="77777777" w:rsidR="7F96C8C6" w:rsidRPr="004C70EC" w:rsidRDefault="7F96C8C6">
            <w:pPr>
              <w:rPr>
                <w:noProof/>
                <w:color w:val="000000" w:themeColor="text1"/>
                <w:szCs w:val="24"/>
              </w:rPr>
            </w:pPr>
            <w:r w:rsidRPr="004C70EC">
              <w:rPr>
                <w:noProof/>
                <w:color w:val="000000" w:themeColor="text1"/>
                <w:szCs w:val="24"/>
              </w:rPr>
              <w:t>Research organisations, Biotechnology industry actors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17BC3E0A" w14:textId="77777777" w:rsidR="7F96C8C6" w:rsidRPr="004C70EC" w:rsidRDefault="7F96C8C6">
            <w:pPr>
              <w:rPr>
                <w:noProof/>
                <w:color w:val="000000" w:themeColor="text1"/>
                <w:szCs w:val="24"/>
              </w:rPr>
            </w:pPr>
            <w:r w:rsidRPr="004C70EC">
              <w:rPr>
                <w:noProof/>
                <w:color w:val="000000" w:themeColor="text1"/>
                <w:szCs w:val="24"/>
              </w:rPr>
              <w:t>Data access</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2BA4CC4B"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2F2427F2"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252173DF" w14:textId="77777777" w:rsidR="7F96C8C6" w:rsidRPr="004C70EC" w:rsidRDefault="7F96C8C6">
            <w:pPr>
              <w:rPr>
                <w:i/>
                <w:noProof/>
                <w:color w:val="000000" w:themeColor="text1"/>
                <w:szCs w:val="24"/>
              </w:rPr>
            </w:pPr>
            <w:r w:rsidRPr="004C70EC">
              <w:rPr>
                <w:i/>
                <w:noProof/>
                <w:color w:val="000000" w:themeColor="text1"/>
                <w:szCs w:val="24"/>
              </w:rPr>
              <w:t>Article [33] 2d</w:t>
            </w:r>
          </w:p>
          <w:p w14:paraId="0F66ED22" w14:textId="77777777" w:rsidR="7F96C8C6" w:rsidRPr="004C70EC" w:rsidRDefault="7F96C8C6">
            <w:pPr>
              <w:rPr>
                <w:i/>
                <w:noProof/>
                <w:color w:val="000000" w:themeColor="text1"/>
                <w:szCs w:val="24"/>
              </w:rPr>
            </w:pPr>
            <w:r w:rsidRPr="004C70EC">
              <w:rPr>
                <w:i/>
                <w:noProof/>
                <w:color w:val="000000" w:themeColor="text1"/>
                <w:szCs w:val="24"/>
              </w:rPr>
              <w:t xml:space="preserve">Biotechnology Data Quality Accelerator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7AA3F0E3" w14:textId="77777777" w:rsidR="7F96C8C6" w:rsidRPr="004C70EC" w:rsidRDefault="7F96C8C6">
            <w:pPr>
              <w:rPr>
                <w:noProof/>
                <w:color w:val="000000" w:themeColor="text1"/>
                <w:szCs w:val="24"/>
              </w:rPr>
            </w:pPr>
            <w:r w:rsidRPr="004C70EC">
              <w:rPr>
                <w:noProof/>
                <w:color w:val="000000" w:themeColor="text1"/>
                <w:szCs w:val="24"/>
              </w:rPr>
              <w:t xml:space="preserve">contribute to the development of Union standards and quality frameworks for data representativeness, provenance, interoperability and annotation in biotechnology; </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7E5D35DD" w14:textId="77777777" w:rsidR="7F96C8C6" w:rsidRPr="004C70EC" w:rsidRDefault="7F96C8C6">
            <w:pPr>
              <w:rPr>
                <w:noProof/>
                <w:color w:val="000000" w:themeColor="text1"/>
                <w:szCs w:val="24"/>
              </w:rPr>
            </w:pPr>
            <w:r w:rsidRPr="004C70EC">
              <w:rPr>
                <w:noProof/>
                <w:color w:val="000000" w:themeColor="text1"/>
                <w:szCs w:val="24"/>
              </w:rPr>
              <w:t>Research organisations, Biotechnology industry actors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58E853CC" w14:textId="77777777" w:rsidR="7F96C8C6" w:rsidRPr="004C70EC" w:rsidRDefault="7F96C8C6">
            <w:pPr>
              <w:rPr>
                <w:noProof/>
                <w:color w:val="000000" w:themeColor="text1"/>
                <w:szCs w:val="24"/>
              </w:rPr>
            </w:pPr>
            <w:r w:rsidRPr="004C70EC">
              <w:rPr>
                <w:noProof/>
                <w:color w:val="000000" w:themeColor="text1"/>
                <w:szCs w:val="24"/>
              </w:rPr>
              <w:t>Data interoperability, Standard Development</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63E3A454"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5BD27858"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191D4B4E" w14:textId="77777777" w:rsidR="7F96C8C6" w:rsidRPr="004C70EC" w:rsidRDefault="7F96C8C6">
            <w:pPr>
              <w:rPr>
                <w:i/>
                <w:noProof/>
                <w:color w:val="000000" w:themeColor="text1"/>
                <w:szCs w:val="24"/>
              </w:rPr>
            </w:pPr>
            <w:r w:rsidRPr="004C70EC">
              <w:rPr>
                <w:i/>
                <w:noProof/>
                <w:color w:val="000000" w:themeColor="text1"/>
                <w:szCs w:val="24"/>
              </w:rPr>
              <w:t>Article [33] 2e</w:t>
            </w:r>
          </w:p>
          <w:p w14:paraId="13DEA164" w14:textId="77777777" w:rsidR="7F96C8C6" w:rsidRPr="004C70EC" w:rsidRDefault="7F96C8C6">
            <w:pPr>
              <w:rPr>
                <w:i/>
                <w:noProof/>
                <w:color w:val="000000" w:themeColor="text1"/>
                <w:szCs w:val="24"/>
              </w:rPr>
            </w:pPr>
            <w:r w:rsidRPr="004C70EC">
              <w:rPr>
                <w:i/>
                <w:noProof/>
                <w:color w:val="000000" w:themeColor="text1"/>
                <w:szCs w:val="24"/>
              </w:rPr>
              <w:t xml:space="preserve">Biotechnology Data Quality Accelerator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5EE239B1" w14:textId="77777777" w:rsidR="7F96C8C6" w:rsidRPr="004C70EC" w:rsidRDefault="7F96C8C6">
            <w:pPr>
              <w:rPr>
                <w:noProof/>
                <w:color w:val="000000" w:themeColor="text1"/>
                <w:szCs w:val="24"/>
              </w:rPr>
            </w:pPr>
            <w:r w:rsidRPr="004C70EC">
              <w:rPr>
                <w:noProof/>
                <w:color w:val="000000" w:themeColor="text1"/>
                <w:szCs w:val="24"/>
              </w:rPr>
              <w:t>support, where appropriate, the integration of these datasets into Union infrastructures, including the European Health Data Space, European Research Area data spaces, or other, including the infrastructures operated by high impact health biotechnology strategic projects.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27CC1644" w14:textId="77777777" w:rsidR="7F96C8C6" w:rsidRPr="004C70EC" w:rsidRDefault="7F96C8C6">
            <w:pPr>
              <w:rPr>
                <w:noProof/>
                <w:color w:val="000000" w:themeColor="text1"/>
                <w:szCs w:val="24"/>
              </w:rPr>
            </w:pPr>
            <w:r w:rsidRPr="004C70EC">
              <w:rPr>
                <w:noProof/>
                <w:color w:val="000000" w:themeColor="text1"/>
                <w:szCs w:val="24"/>
              </w:rPr>
              <w:t>Research organisations, Biotechnology industry actors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5B7EF5CF" w14:textId="77777777" w:rsidR="7F96C8C6" w:rsidRPr="004C70EC" w:rsidRDefault="7F96C8C6">
            <w:pPr>
              <w:rPr>
                <w:noProof/>
                <w:color w:val="000000" w:themeColor="text1"/>
                <w:szCs w:val="24"/>
              </w:rPr>
            </w:pPr>
            <w:r w:rsidRPr="004C70EC">
              <w:rPr>
                <w:noProof/>
                <w:color w:val="000000" w:themeColor="text1"/>
                <w:szCs w:val="24"/>
              </w:rPr>
              <w:t>Infrastructure interoperability, Data integration</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30A8EE80"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7CCB59B1"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345FABA0" w14:textId="77777777" w:rsidR="7F96C8C6" w:rsidRPr="004C70EC" w:rsidRDefault="7F96C8C6">
            <w:pPr>
              <w:rPr>
                <w:i/>
                <w:noProof/>
                <w:color w:val="000000" w:themeColor="text1"/>
                <w:szCs w:val="24"/>
              </w:rPr>
            </w:pPr>
            <w:r w:rsidRPr="004C70EC">
              <w:rPr>
                <w:i/>
                <w:noProof/>
                <w:color w:val="000000" w:themeColor="text1"/>
                <w:szCs w:val="24"/>
              </w:rPr>
              <w:t>Article [33] 2f</w:t>
            </w:r>
          </w:p>
          <w:p w14:paraId="5547E2EE" w14:textId="77777777" w:rsidR="7F96C8C6" w:rsidRPr="004C70EC" w:rsidRDefault="7F96C8C6">
            <w:pPr>
              <w:rPr>
                <w:i/>
                <w:noProof/>
                <w:color w:val="000000" w:themeColor="text1"/>
                <w:szCs w:val="24"/>
              </w:rPr>
            </w:pPr>
            <w:r w:rsidRPr="004C70EC">
              <w:rPr>
                <w:i/>
                <w:noProof/>
                <w:color w:val="000000" w:themeColor="text1"/>
                <w:szCs w:val="24"/>
              </w:rPr>
              <w:t xml:space="preserve">Biotechnology Data Quality Accelerator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41D99B14" w14:textId="77777777" w:rsidR="7F96C8C6" w:rsidRPr="004C70EC" w:rsidRDefault="7F96C8C6">
            <w:pPr>
              <w:rPr>
                <w:noProof/>
                <w:color w:val="000000" w:themeColor="text1"/>
                <w:szCs w:val="24"/>
              </w:rPr>
            </w:pPr>
            <w:r w:rsidRPr="004C70EC">
              <w:rPr>
                <w:noProof/>
                <w:color w:val="000000" w:themeColor="text1"/>
                <w:szCs w:val="24"/>
              </w:rPr>
              <w:t>give due consideration to the interoperability with platforms deployed pursuant to the EHDS and other relevant data spaces.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541F2734" w14:textId="77777777" w:rsidR="7F96C8C6" w:rsidRPr="004C70EC" w:rsidRDefault="7F96C8C6">
            <w:pPr>
              <w:rPr>
                <w:noProof/>
                <w:color w:val="000000" w:themeColor="text1"/>
                <w:szCs w:val="24"/>
              </w:rPr>
            </w:pPr>
            <w:r w:rsidRPr="004C70EC">
              <w:rPr>
                <w:noProof/>
                <w:color w:val="000000" w:themeColor="text1"/>
                <w:szCs w:val="24"/>
              </w:rPr>
              <w:t>Research organisations, Biotechnology industry actors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4A2FE708" w14:textId="77777777" w:rsidR="7F96C8C6" w:rsidRPr="004C70EC" w:rsidRDefault="7F96C8C6">
            <w:pPr>
              <w:rPr>
                <w:noProof/>
                <w:color w:val="000000" w:themeColor="text1"/>
                <w:szCs w:val="24"/>
              </w:rPr>
            </w:pPr>
            <w:r w:rsidRPr="004C70EC">
              <w:rPr>
                <w:noProof/>
                <w:color w:val="000000" w:themeColor="text1"/>
                <w:szCs w:val="24"/>
              </w:rPr>
              <w:t>Platform interoperability</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2ABF0263"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7F8275BD"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203CD151" w14:textId="77777777" w:rsidR="7F96C8C6" w:rsidRPr="004C70EC" w:rsidRDefault="7F96C8C6">
            <w:pPr>
              <w:rPr>
                <w:i/>
                <w:noProof/>
                <w:color w:val="000000" w:themeColor="text1"/>
                <w:szCs w:val="24"/>
              </w:rPr>
            </w:pPr>
            <w:r w:rsidRPr="004C70EC">
              <w:rPr>
                <w:i/>
                <w:noProof/>
                <w:color w:val="000000" w:themeColor="text1"/>
                <w:szCs w:val="24"/>
              </w:rPr>
              <w:t>Article [35] 1</w:t>
            </w:r>
          </w:p>
          <w:p w14:paraId="5836C732" w14:textId="77777777" w:rsidR="7F96C8C6" w:rsidRPr="004C70EC" w:rsidRDefault="7F96C8C6">
            <w:pPr>
              <w:rPr>
                <w:i/>
                <w:noProof/>
                <w:color w:val="000000" w:themeColor="text1"/>
                <w:szCs w:val="24"/>
              </w:rPr>
            </w:pPr>
            <w:r w:rsidRPr="004C70EC">
              <w:rPr>
                <w:i/>
                <w:noProof/>
                <w:color w:val="000000" w:themeColor="text1"/>
                <w:szCs w:val="24"/>
              </w:rPr>
              <w:t>Union Regulatory Status Repository</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4884C0E6" w14:textId="77777777" w:rsidR="7F96C8C6" w:rsidRPr="004C70EC" w:rsidRDefault="7F96C8C6">
            <w:pPr>
              <w:rPr>
                <w:noProof/>
                <w:color w:val="000000" w:themeColor="text1"/>
                <w:szCs w:val="24"/>
              </w:rPr>
            </w:pPr>
            <w:r w:rsidRPr="004C70EC">
              <w:rPr>
                <w:noProof/>
                <w:color w:val="000000" w:themeColor="text1"/>
                <w:szCs w:val="24"/>
              </w:rPr>
              <w:t>The Commission shall compile, maintain, develop and make publicly available a Regulatory Status Repository to assist developers in navigating cases of novel biotechnology products (‘Regulatory Status Repository’).</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27E91B70" w14:textId="77777777" w:rsidR="7F96C8C6" w:rsidRPr="004C70EC" w:rsidRDefault="7F96C8C6">
            <w:pPr>
              <w:rPr>
                <w:noProof/>
                <w:color w:val="000000" w:themeColor="text1"/>
                <w:szCs w:val="24"/>
              </w:rPr>
            </w:pPr>
            <w:r w:rsidRPr="004C70EC">
              <w:rPr>
                <w:noProof/>
                <w:color w:val="000000" w:themeColor="text1"/>
                <w:szCs w:val="24"/>
              </w:rPr>
              <w:t>Member State authorities, Commission</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34CE5009" w14:textId="77777777" w:rsidR="7F96C8C6" w:rsidRPr="004C70EC" w:rsidRDefault="7F96C8C6">
            <w:pPr>
              <w:rPr>
                <w:noProof/>
                <w:color w:val="000000" w:themeColor="text1"/>
                <w:szCs w:val="24"/>
              </w:rPr>
            </w:pPr>
            <w:r w:rsidRPr="004C70EC">
              <w:rPr>
                <w:noProof/>
                <w:color w:val="000000" w:themeColor="text1"/>
                <w:szCs w:val="24"/>
              </w:rPr>
              <w:t>Technical documentation, 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69E13385"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66A1AE5A"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4AEBE09A" w14:textId="77777777" w:rsidR="7F96C8C6" w:rsidRPr="004C70EC" w:rsidRDefault="7F96C8C6">
            <w:pPr>
              <w:rPr>
                <w:i/>
                <w:noProof/>
                <w:color w:val="000000" w:themeColor="text1"/>
                <w:szCs w:val="24"/>
              </w:rPr>
            </w:pPr>
            <w:r w:rsidRPr="004C70EC">
              <w:rPr>
                <w:i/>
                <w:noProof/>
                <w:color w:val="000000" w:themeColor="text1"/>
                <w:szCs w:val="24"/>
              </w:rPr>
              <w:t>Article [35] 2</w:t>
            </w:r>
          </w:p>
          <w:p w14:paraId="5614410C" w14:textId="77777777" w:rsidR="7F96C8C6" w:rsidRPr="004C70EC" w:rsidRDefault="7F96C8C6">
            <w:pPr>
              <w:rPr>
                <w:i/>
                <w:noProof/>
                <w:color w:val="000000" w:themeColor="text1"/>
                <w:szCs w:val="24"/>
              </w:rPr>
            </w:pPr>
            <w:r w:rsidRPr="004C70EC">
              <w:rPr>
                <w:i/>
                <w:noProof/>
                <w:color w:val="000000" w:themeColor="text1"/>
                <w:szCs w:val="24"/>
              </w:rPr>
              <w:t>Union Regulatory Status Repository</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62103FAD" w14:textId="77777777" w:rsidR="7F96C8C6" w:rsidRPr="004C70EC" w:rsidRDefault="7F96C8C6">
            <w:pPr>
              <w:rPr>
                <w:noProof/>
                <w:color w:val="000000" w:themeColor="text1"/>
                <w:szCs w:val="24"/>
              </w:rPr>
            </w:pPr>
            <w:r w:rsidRPr="004C70EC">
              <w:rPr>
                <w:noProof/>
                <w:color w:val="000000" w:themeColor="text1"/>
                <w:szCs w:val="24"/>
              </w:rPr>
              <w:t>The Regulatory Status Repository shall contain:</w:t>
            </w:r>
          </w:p>
          <w:p w14:paraId="2467B348" w14:textId="77777777" w:rsidR="7F96C8C6" w:rsidRPr="004C70EC" w:rsidRDefault="7F96C8C6">
            <w:pPr>
              <w:rPr>
                <w:noProof/>
                <w:color w:val="000000" w:themeColor="text1"/>
                <w:szCs w:val="24"/>
              </w:rPr>
            </w:pPr>
            <w:r w:rsidRPr="004C70EC">
              <w:rPr>
                <w:noProof/>
                <w:color w:val="000000" w:themeColor="text1"/>
                <w:szCs w:val="24"/>
              </w:rPr>
              <w:t>a) decisions, opinions, scientific recommendations regarding the regulatory status of a health innovations, issued pursuant to the mechanisms laid down in Article 4 of [revised Regulation (EU) 2017/745], Articles 61 and 62 of [revised Regulation (EC) No 726/2004] and Articles 13 and 69 of Regulation (EU) 2024/1938;</w:t>
            </w:r>
          </w:p>
          <w:p w14:paraId="3955860E" w14:textId="77777777" w:rsidR="7F96C8C6" w:rsidRPr="004C70EC" w:rsidRDefault="7F96C8C6">
            <w:pPr>
              <w:rPr>
                <w:noProof/>
                <w:color w:val="000000" w:themeColor="text1"/>
                <w:szCs w:val="24"/>
              </w:rPr>
            </w:pPr>
            <w:r w:rsidRPr="004C70EC">
              <w:rPr>
                <w:noProof/>
                <w:color w:val="000000" w:themeColor="text1"/>
                <w:szCs w:val="24"/>
              </w:rPr>
              <w:t>b) the summaries of the scientific recommendations delivered by the European Medicines Agency in accordance with Article 17 of Regulation (EC) No 1394/2007 on whether a product falls within the definition of an advanced therapy medicinal product or not;</w:t>
            </w:r>
          </w:p>
          <w:p w14:paraId="2104AA12" w14:textId="77777777" w:rsidR="7F96C8C6" w:rsidRPr="004C70EC" w:rsidRDefault="7F96C8C6">
            <w:pPr>
              <w:rPr>
                <w:noProof/>
                <w:color w:val="000000" w:themeColor="text1"/>
                <w:szCs w:val="24"/>
              </w:rPr>
            </w:pPr>
            <w:r w:rsidRPr="004C70EC">
              <w:rPr>
                <w:noProof/>
                <w:color w:val="000000" w:themeColor="text1"/>
                <w:szCs w:val="24"/>
              </w:rPr>
              <w:t>c) the discussion papers delivered by the Foresight Panel for Emerging Health Innovation.</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4AFD25FE" w14:textId="77777777" w:rsidR="7F96C8C6" w:rsidRPr="004C70EC" w:rsidRDefault="7F96C8C6">
            <w:pPr>
              <w:rPr>
                <w:noProof/>
                <w:color w:val="000000" w:themeColor="text1"/>
                <w:szCs w:val="24"/>
              </w:rPr>
            </w:pPr>
            <w:r w:rsidRPr="004C70EC">
              <w:rPr>
                <w:noProof/>
                <w:color w:val="000000" w:themeColor="text1"/>
                <w:szCs w:val="24"/>
              </w:rPr>
              <w:t>Member State authorities, Commission</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6CA7569D" w14:textId="77777777" w:rsidR="7F96C8C6" w:rsidRPr="004C70EC" w:rsidRDefault="7F96C8C6">
            <w:pPr>
              <w:rPr>
                <w:noProof/>
                <w:color w:val="000000" w:themeColor="text1"/>
                <w:szCs w:val="24"/>
              </w:rPr>
            </w:pPr>
            <w:r w:rsidRPr="004C70EC">
              <w:rPr>
                <w:noProof/>
                <w:color w:val="000000" w:themeColor="text1"/>
                <w:szCs w:val="24"/>
              </w:rPr>
              <w:t>Technical documentation, 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6AB2C0F7"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7D897727"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63AA9EBD" w14:textId="77777777" w:rsidR="7F96C8C6" w:rsidRPr="004C70EC" w:rsidRDefault="7F96C8C6">
            <w:pPr>
              <w:rPr>
                <w:i/>
                <w:noProof/>
                <w:color w:val="000000" w:themeColor="text1"/>
                <w:szCs w:val="24"/>
              </w:rPr>
            </w:pPr>
            <w:r w:rsidRPr="004C70EC">
              <w:rPr>
                <w:i/>
                <w:noProof/>
                <w:color w:val="000000" w:themeColor="text1"/>
                <w:szCs w:val="24"/>
              </w:rPr>
              <w:t>Article [35] 3</w:t>
            </w:r>
          </w:p>
          <w:p w14:paraId="2398B604" w14:textId="77777777" w:rsidR="7F96C8C6" w:rsidRPr="004C70EC" w:rsidRDefault="7F96C8C6">
            <w:pPr>
              <w:rPr>
                <w:i/>
                <w:noProof/>
                <w:color w:val="000000" w:themeColor="text1"/>
                <w:szCs w:val="24"/>
              </w:rPr>
            </w:pPr>
            <w:r w:rsidRPr="004C70EC">
              <w:rPr>
                <w:i/>
                <w:noProof/>
                <w:color w:val="000000" w:themeColor="text1"/>
                <w:szCs w:val="24"/>
              </w:rPr>
              <w:t>Union Regulatory Status Repository</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348B8CDF" w14:textId="77777777" w:rsidR="7F96C8C6" w:rsidRPr="004C70EC" w:rsidRDefault="7F96C8C6">
            <w:pPr>
              <w:rPr>
                <w:noProof/>
                <w:color w:val="000000" w:themeColor="text1"/>
                <w:szCs w:val="24"/>
              </w:rPr>
            </w:pPr>
            <w:r w:rsidRPr="004C70EC">
              <w:rPr>
                <w:noProof/>
                <w:color w:val="000000" w:themeColor="text1"/>
                <w:szCs w:val="24"/>
              </w:rPr>
              <w:t>Member States shall make publicly available, through the relevant national platforms or registries, decisions, opinions, scientific recommendations, and other outputs issued at national level concerning the regulatory status of novel biotechnology products. Member States shall inform the Commission where such information is made available.</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68A8238C" w14:textId="77777777" w:rsidR="7F96C8C6" w:rsidRPr="004C70EC" w:rsidRDefault="7F96C8C6">
            <w:pPr>
              <w:rPr>
                <w:noProof/>
                <w:color w:val="000000" w:themeColor="text1"/>
                <w:szCs w:val="24"/>
              </w:rPr>
            </w:pPr>
            <w:r w:rsidRPr="004C70EC">
              <w:rPr>
                <w:noProof/>
                <w:color w:val="000000" w:themeColor="text1"/>
                <w:szCs w:val="24"/>
              </w:rPr>
              <w:t>Member State authorities, Commission</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15689837" w14:textId="77777777" w:rsidR="7F96C8C6" w:rsidRPr="004C70EC" w:rsidRDefault="7F96C8C6">
            <w:pPr>
              <w:rPr>
                <w:noProof/>
                <w:color w:val="000000" w:themeColor="text1"/>
                <w:szCs w:val="24"/>
              </w:rPr>
            </w:pPr>
            <w:r w:rsidRPr="004C70EC">
              <w:rPr>
                <w:noProof/>
                <w:color w:val="000000" w:themeColor="text1"/>
                <w:szCs w:val="24"/>
              </w:rPr>
              <w:t>Technical documentation, 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68A42E19"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03D67962"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1DAD1FF6" w14:textId="77777777" w:rsidR="7F96C8C6" w:rsidRPr="004C70EC" w:rsidRDefault="7F96C8C6">
            <w:pPr>
              <w:rPr>
                <w:i/>
                <w:noProof/>
                <w:color w:val="000000" w:themeColor="text1"/>
                <w:szCs w:val="24"/>
              </w:rPr>
            </w:pPr>
            <w:r w:rsidRPr="004C70EC">
              <w:rPr>
                <w:i/>
                <w:noProof/>
                <w:color w:val="000000" w:themeColor="text1"/>
                <w:szCs w:val="24"/>
              </w:rPr>
              <w:t>Article [39] Regulatory Sandboxes provided for in the applicable frameworks and Cross Framework Communication</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15AFDF89" w14:textId="77777777" w:rsidR="7F96C8C6" w:rsidRPr="004C70EC" w:rsidRDefault="7F96C8C6">
            <w:pPr>
              <w:rPr>
                <w:noProof/>
                <w:color w:val="000000" w:themeColor="text1"/>
                <w:szCs w:val="24"/>
              </w:rPr>
            </w:pPr>
            <w:r w:rsidRPr="004C70EC">
              <w:rPr>
                <w:noProof/>
                <w:color w:val="000000" w:themeColor="text1"/>
                <w:szCs w:val="24"/>
              </w:rPr>
              <w:t>The European Medicines Agency, the MDCG, the SCB and the Foresight Panel, as applicable, shall facilitate dialogue among the authorities responsible for the setting up and the implementation of regulatory sandboxes for novel health biotechnology products. This dialogue shall focus on exchanging mutual learnings and findings, specifically including:</w:t>
            </w:r>
          </w:p>
          <w:p w14:paraId="171F42F8" w14:textId="77777777" w:rsidR="7F96C8C6" w:rsidRPr="004C70EC" w:rsidRDefault="7F96C8C6">
            <w:pPr>
              <w:rPr>
                <w:noProof/>
                <w:color w:val="000000" w:themeColor="text1"/>
                <w:szCs w:val="24"/>
              </w:rPr>
            </w:pPr>
            <w:r w:rsidRPr="004C70EC">
              <w:rPr>
                <w:noProof/>
                <w:color w:val="000000" w:themeColor="text1"/>
                <w:szCs w:val="24"/>
              </w:rPr>
              <w:t>(a) promoting knowledge sharing, by facilitating the exchange of information, experiences and best practices, including on regulatory approaches, technological challenges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2558E06A" w14:textId="77777777" w:rsidR="7F96C8C6" w:rsidRPr="004C70EC" w:rsidRDefault="7F96C8C6">
            <w:pPr>
              <w:rPr>
                <w:noProof/>
                <w:color w:val="000000" w:themeColor="text1"/>
                <w:szCs w:val="24"/>
              </w:rPr>
            </w:pPr>
            <w:r w:rsidRPr="004C70EC">
              <w:rPr>
                <w:noProof/>
                <w:color w:val="000000" w:themeColor="text1"/>
                <w:szCs w:val="24"/>
              </w:rPr>
              <w:t>Member State authorities, Commission</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5DA5FE73" w14:textId="77777777" w:rsidR="7F96C8C6" w:rsidRPr="004C70EC" w:rsidRDefault="7F96C8C6">
            <w:pPr>
              <w:rPr>
                <w:noProof/>
                <w:color w:val="000000" w:themeColor="text1"/>
                <w:szCs w:val="24"/>
              </w:rPr>
            </w:pPr>
            <w:r w:rsidRPr="004C70EC">
              <w:rPr>
                <w:noProof/>
                <w:color w:val="000000" w:themeColor="text1"/>
                <w:szCs w:val="24"/>
              </w:rPr>
              <w:t>Technical documentation, 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441F679B" w14:textId="77777777" w:rsidR="7F96C8C6" w:rsidRPr="004C70EC" w:rsidRDefault="7F96C8C6">
            <w:pPr>
              <w:rPr>
                <w:noProof/>
                <w:color w:val="000000" w:themeColor="text1"/>
                <w:szCs w:val="24"/>
              </w:rPr>
            </w:pPr>
            <w:r w:rsidRPr="004C70EC">
              <w:rPr>
                <w:noProof/>
                <w:color w:val="000000" w:themeColor="text1"/>
                <w:szCs w:val="24"/>
              </w:rPr>
              <w:t>Data, Digital public service</w:t>
            </w:r>
          </w:p>
        </w:tc>
      </w:tr>
      <w:tr w:rsidR="004A1163" w:rsidRPr="004C70EC" w14:paraId="4D7DACE4"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55FB506F" w14:textId="77777777" w:rsidR="7F96C8C6" w:rsidRPr="004C70EC" w:rsidRDefault="7F96C8C6">
            <w:pPr>
              <w:rPr>
                <w:i/>
                <w:noProof/>
                <w:color w:val="000000" w:themeColor="text1"/>
                <w:szCs w:val="24"/>
              </w:rPr>
            </w:pPr>
            <w:r w:rsidRPr="004C70EC">
              <w:rPr>
                <w:i/>
                <w:noProof/>
                <w:color w:val="000000" w:themeColor="text1"/>
                <w:szCs w:val="24"/>
              </w:rPr>
              <w:t>Article [40]</w:t>
            </w:r>
          </w:p>
          <w:p w14:paraId="25499621" w14:textId="77777777" w:rsidR="7F96C8C6" w:rsidRPr="004C70EC" w:rsidRDefault="7F96C8C6" w:rsidP="004A1163">
            <w:pPr>
              <w:spacing w:before="160" w:after="80" w:line="276" w:lineRule="auto"/>
              <w:rPr>
                <w:i/>
                <w:noProof/>
                <w:color w:val="000000" w:themeColor="text1"/>
                <w:szCs w:val="24"/>
              </w:rPr>
            </w:pPr>
            <w:r w:rsidRPr="004C70EC">
              <w:rPr>
                <w:i/>
                <w:noProof/>
                <w:color w:val="000000" w:themeColor="text1"/>
                <w:szCs w:val="24"/>
              </w:rPr>
              <w:t xml:space="preserve">Regulatory sandboxes for novel health biotechnology products not falling under other sandboxes in Union legislation  </w:t>
            </w:r>
          </w:p>
          <w:p w14:paraId="131147BB" w14:textId="77777777" w:rsidR="7F96C8C6" w:rsidRPr="004C70EC" w:rsidRDefault="7F96C8C6">
            <w:pPr>
              <w:rPr>
                <w:i/>
                <w:noProof/>
                <w:color w:val="000000" w:themeColor="text1"/>
                <w:szCs w:val="24"/>
              </w:rPr>
            </w:pPr>
            <w:r w:rsidRPr="004C70EC">
              <w:rPr>
                <w:i/>
                <w:noProof/>
                <w:color w:val="000000" w:themeColor="text1"/>
                <w:szCs w:val="24"/>
              </w:rPr>
              <w:t xml:space="preserve">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18F99F50" w14:textId="77777777" w:rsidR="7F96C8C6" w:rsidRPr="004C70EC" w:rsidRDefault="7F96C8C6">
            <w:pPr>
              <w:rPr>
                <w:noProof/>
                <w:color w:val="000000" w:themeColor="text1"/>
                <w:szCs w:val="24"/>
              </w:rPr>
            </w:pPr>
            <w:r w:rsidRPr="004C70EC">
              <w:rPr>
                <w:noProof/>
                <w:color w:val="000000" w:themeColor="text1"/>
                <w:szCs w:val="24"/>
              </w:rPr>
              <w:t>The Commission may, by means of implementing acts, lay down common principles, criteria and practical arrangements for the assessment of applications received from developers and for the establishment and the supervision of the regulatory sandboxes and for sandbox plans.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3B617364" w14:textId="77777777" w:rsidR="7F96C8C6" w:rsidRPr="004C70EC" w:rsidRDefault="7F96C8C6">
            <w:pPr>
              <w:rPr>
                <w:noProof/>
                <w:color w:val="000000" w:themeColor="text1"/>
                <w:szCs w:val="24"/>
              </w:rPr>
            </w:pPr>
            <w:r w:rsidRPr="004C70EC">
              <w:rPr>
                <w:noProof/>
                <w:color w:val="000000" w:themeColor="text1"/>
                <w:szCs w:val="24"/>
              </w:rPr>
              <w:t>Commission</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24948711" w14:textId="77777777" w:rsidR="7F96C8C6" w:rsidRPr="004C70EC" w:rsidRDefault="7F96C8C6">
            <w:pPr>
              <w:rPr>
                <w:noProof/>
                <w:color w:val="000000" w:themeColor="text1"/>
                <w:szCs w:val="24"/>
              </w:rPr>
            </w:pPr>
            <w:r w:rsidRPr="004C70EC">
              <w:rPr>
                <w:noProof/>
                <w:color w:val="000000" w:themeColor="text1"/>
                <w:szCs w:val="24"/>
              </w:rPr>
              <w:t>Technical documentation</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710E5271" w14:textId="77777777" w:rsidR="7F96C8C6" w:rsidRPr="004C70EC" w:rsidRDefault="7F96C8C6">
            <w:pPr>
              <w:rPr>
                <w:noProof/>
                <w:color w:val="000000" w:themeColor="text1"/>
                <w:szCs w:val="24"/>
              </w:rPr>
            </w:pPr>
            <w:r w:rsidRPr="004C70EC">
              <w:rPr>
                <w:noProof/>
                <w:color w:val="000000" w:themeColor="text1"/>
                <w:szCs w:val="24"/>
              </w:rPr>
              <w:t>Digital public service</w:t>
            </w:r>
          </w:p>
        </w:tc>
      </w:tr>
      <w:tr w:rsidR="004A1163" w:rsidRPr="004C70EC" w14:paraId="1FFA7ABD"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695E79C6" w14:textId="77777777" w:rsidR="7F96C8C6" w:rsidRPr="004C70EC" w:rsidRDefault="7F96C8C6">
            <w:pPr>
              <w:rPr>
                <w:i/>
                <w:noProof/>
                <w:color w:val="000000" w:themeColor="text1"/>
                <w:szCs w:val="24"/>
              </w:rPr>
            </w:pPr>
            <w:r w:rsidRPr="004C70EC">
              <w:rPr>
                <w:i/>
                <w:noProof/>
                <w:color w:val="000000" w:themeColor="text1"/>
                <w:szCs w:val="24"/>
              </w:rPr>
              <w:t>Article [41] d</w:t>
            </w:r>
          </w:p>
          <w:p w14:paraId="68727DB0" w14:textId="77777777" w:rsidR="7F96C8C6" w:rsidRPr="004C70EC" w:rsidRDefault="7F96C8C6">
            <w:pPr>
              <w:rPr>
                <w:i/>
                <w:noProof/>
                <w:color w:val="000000" w:themeColor="text1"/>
                <w:szCs w:val="24"/>
              </w:rPr>
            </w:pPr>
            <w:r w:rsidRPr="004C70EC">
              <w:rPr>
                <w:i/>
                <w:noProof/>
                <w:color w:val="000000" w:themeColor="text1"/>
                <w:szCs w:val="24"/>
              </w:rPr>
              <w:t xml:space="preserve">EU Biothreat Radar High Impact Projects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0B4CC433" w14:textId="77777777" w:rsidR="7F96C8C6" w:rsidRPr="004C70EC" w:rsidRDefault="7F96C8C6">
            <w:pPr>
              <w:rPr>
                <w:noProof/>
                <w:color w:val="000000" w:themeColor="text1"/>
                <w:szCs w:val="24"/>
              </w:rPr>
            </w:pPr>
            <w:r w:rsidRPr="004C70EC">
              <w:rPr>
                <w:noProof/>
                <w:color w:val="000000" w:themeColor="text1"/>
                <w:szCs w:val="24"/>
              </w:rPr>
              <w:t>ensure that sequencing data generated through early detection activities is shared in a timely manner via the European Nucleotide Archive (ENA), to enable access and use by actors across the Union for the development, validation and deployment of advanced pathogen detection and characterisation methods; engage in partnerships among industry, academia, public authorities and defence actors to ensure data sharing and integration of warning systems;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1B0F844A" w14:textId="77777777" w:rsidR="7F96C8C6" w:rsidRPr="004C70EC" w:rsidRDefault="7F96C8C6">
            <w:pPr>
              <w:rPr>
                <w:noProof/>
                <w:color w:val="000000" w:themeColor="text1"/>
                <w:szCs w:val="24"/>
              </w:rPr>
            </w:pPr>
            <w:r w:rsidRPr="004C70EC">
              <w:rPr>
                <w:noProof/>
                <w:color w:val="000000" w:themeColor="text1"/>
                <w:szCs w:val="24"/>
              </w:rPr>
              <w:t>Commission, Member State authorities, Biotechnology industry actors, Research Organisations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3D52C15B" w14:textId="77777777" w:rsidR="7F96C8C6" w:rsidRPr="004C70EC" w:rsidRDefault="7F96C8C6">
            <w:pPr>
              <w:rPr>
                <w:noProof/>
                <w:color w:val="000000" w:themeColor="text1"/>
                <w:szCs w:val="24"/>
              </w:rPr>
            </w:pPr>
            <w:r w:rsidRPr="004C70EC">
              <w:rPr>
                <w:noProof/>
                <w:color w:val="000000" w:themeColor="text1"/>
                <w:szCs w:val="24"/>
              </w:rPr>
              <w:t>Surveillance, data sharing</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2AD09BEC"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7C36EB17"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67435B81" w14:textId="77777777" w:rsidR="7F96C8C6" w:rsidRPr="004C70EC" w:rsidRDefault="7F96C8C6">
            <w:pPr>
              <w:rPr>
                <w:i/>
                <w:noProof/>
                <w:color w:val="000000" w:themeColor="text1"/>
                <w:szCs w:val="24"/>
              </w:rPr>
            </w:pPr>
            <w:r w:rsidRPr="004C70EC">
              <w:rPr>
                <w:i/>
                <w:noProof/>
                <w:color w:val="000000" w:themeColor="text1"/>
                <w:szCs w:val="24"/>
              </w:rPr>
              <w:t>Article [42] f</w:t>
            </w:r>
          </w:p>
          <w:p w14:paraId="1E1A6292" w14:textId="77777777" w:rsidR="7F96C8C6" w:rsidRPr="004C70EC" w:rsidRDefault="7F96C8C6">
            <w:pPr>
              <w:rPr>
                <w:i/>
                <w:noProof/>
                <w:color w:val="000000" w:themeColor="text1"/>
                <w:szCs w:val="24"/>
              </w:rPr>
            </w:pPr>
            <w:r w:rsidRPr="004C70EC">
              <w:rPr>
                <w:i/>
                <w:noProof/>
                <w:color w:val="000000" w:themeColor="text1"/>
                <w:szCs w:val="24"/>
              </w:rPr>
              <w:t xml:space="preserve">Biodefence capability high impact strategic project  </w:t>
            </w:r>
          </w:p>
          <w:p w14:paraId="7544346E" w14:textId="77777777" w:rsidR="7F96C8C6" w:rsidRPr="004C70EC" w:rsidRDefault="7F96C8C6">
            <w:pPr>
              <w:rPr>
                <w:i/>
                <w:noProof/>
                <w:color w:val="000000" w:themeColor="text1"/>
                <w:szCs w:val="24"/>
              </w:rPr>
            </w:pPr>
            <w:r w:rsidRPr="004C70EC">
              <w:rPr>
                <w:i/>
                <w:noProof/>
                <w:color w:val="000000" w:themeColor="text1"/>
                <w:szCs w:val="24"/>
              </w:rPr>
              <w:t xml:space="preserve">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549C6568" w14:textId="77777777" w:rsidR="7F96C8C6" w:rsidRPr="004C70EC" w:rsidRDefault="7F96C8C6">
            <w:pPr>
              <w:rPr>
                <w:noProof/>
                <w:color w:val="000000" w:themeColor="text1"/>
                <w:szCs w:val="24"/>
              </w:rPr>
            </w:pPr>
            <w:r w:rsidRPr="004C70EC">
              <w:rPr>
                <w:noProof/>
                <w:color w:val="000000" w:themeColor="text1"/>
                <w:szCs w:val="24"/>
              </w:rPr>
              <w:t>development, validation and benchmarking of methods for the detection and attribution of genetic engineering, including the creation of open genetic engineering detection tools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0EEB33F5" w14:textId="77777777" w:rsidR="7F96C8C6" w:rsidRPr="004C70EC" w:rsidRDefault="7F96C8C6">
            <w:pPr>
              <w:rPr>
                <w:noProof/>
                <w:color w:val="000000" w:themeColor="text1"/>
                <w:szCs w:val="24"/>
              </w:rPr>
            </w:pPr>
            <w:r w:rsidRPr="004C70EC">
              <w:rPr>
                <w:noProof/>
                <w:color w:val="000000" w:themeColor="text1"/>
                <w:szCs w:val="24"/>
              </w:rPr>
              <w:t>Commission, Member State authorities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7034E411" w14:textId="77777777" w:rsidR="7F96C8C6" w:rsidRPr="004C70EC" w:rsidRDefault="7F96C8C6">
            <w:pPr>
              <w:rPr>
                <w:noProof/>
                <w:color w:val="000000" w:themeColor="text1"/>
                <w:szCs w:val="24"/>
              </w:rPr>
            </w:pPr>
            <w:r w:rsidRPr="004C70EC">
              <w:rPr>
                <w:noProof/>
                <w:color w:val="000000" w:themeColor="text1"/>
                <w:szCs w:val="24"/>
              </w:rPr>
              <w:t>Health cross border Surveillance, data sharing</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381E4481"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100E7F60"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61E5D694" w14:textId="77777777" w:rsidR="7F96C8C6" w:rsidRPr="004C70EC" w:rsidRDefault="7F96C8C6">
            <w:pPr>
              <w:rPr>
                <w:i/>
                <w:noProof/>
                <w:color w:val="000000" w:themeColor="text1"/>
                <w:szCs w:val="24"/>
              </w:rPr>
            </w:pPr>
            <w:r w:rsidRPr="004C70EC">
              <w:rPr>
                <w:i/>
                <w:noProof/>
                <w:color w:val="000000" w:themeColor="text1"/>
                <w:szCs w:val="24"/>
              </w:rPr>
              <w:t>Article [44] Verification of Legitimate Need</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4965C41B" w14:textId="77777777" w:rsidR="7F96C8C6" w:rsidRPr="004C70EC" w:rsidRDefault="7F96C8C6" w:rsidP="004A1163">
            <w:pPr>
              <w:spacing w:before="0" w:after="0" w:line="278" w:lineRule="auto"/>
              <w:rPr>
                <w:noProof/>
                <w:color w:val="000000" w:themeColor="text1"/>
                <w:szCs w:val="24"/>
              </w:rPr>
            </w:pPr>
            <w:r w:rsidRPr="004C70EC">
              <w:rPr>
                <w:noProof/>
                <w:color w:val="000000" w:themeColor="text1"/>
                <w:szCs w:val="24"/>
              </w:rPr>
              <w:t>An economic operator that makes available on the Union market, including through online marketplaces, biotechnology products of concern, shall, for each transaction, verify proof of identity of the prospective customer, record the transaction, including the quantities ordered, and assess whether the customer has a legitimate need.</w:t>
            </w:r>
          </w:p>
          <w:p w14:paraId="60211F91" w14:textId="77777777" w:rsidR="7F96C8C6" w:rsidRPr="004C70EC" w:rsidRDefault="7F96C8C6">
            <w:pPr>
              <w:rPr>
                <w:noProof/>
                <w:color w:val="000000" w:themeColor="text1"/>
                <w:szCs w:val="24"/>
              </w:rPr>
            </w:pPr>
            <w:r w:rsidRPr="004C70EC">
              <w:rPr>
                <w:noProof/>
                <w:color w:val="000000" w:themeColor="text1"/>
                <w:szCs w:val="24"/>
              </w:rPr>
              <w:t xml:space="preserve"> </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71C4DCC2" w14:textId="77777777" w:rsidR="7F96C8C6" w:rsidRPr="004C70EC" w:rsidRDefault="7F96C8C6">
            <w:pPr>
              <w:rPr>
                <w:noProof/>
                <w:color w:val="000000" w:themeColor="text1"/>
                <w:szCs w:val="24"/>
              </w:rPr>
            </w:pPr>
            <w:r w:rsidRPr="004C70EC">
              <w:rPr>
                <w:noProof/>
                <w:color w:val="000000" w:themeColor="text1"/>
                <w:szCs w:val="24"/>
              </w:rPr>
              <w:t>Economic operator, prospective customer</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2855EB93" w14:textId="77777777" w:rsidR="7F96C8C6" w:rsidRPr="004C70EC" w:rsidRDefault="7F96C8C6">
            <w:pPr>
              <w:rPr>
                <w:noProof/>
                <w:color w:val="000000" w:themeColor="text1"/>
                <w:szCs w:val="24"/>
              </w:rPr>
            </w:pPr>
            <w:r w:rsidRPr="004C70EC">
              <w:rPr>
                <w:noProof/>
                <w:color w:val="000000" w:themeColor="text1"/>
                <w:szCs w:val="24"/>
              </w:rPr>
              <w:t>Identity verification</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033B2BDD"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25DA1FB1"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1739414C" w14:textId="77777777" w:rsidR="7F96C8C6" w:rsidRPr="004C70EC" w:rsidRDefault="7F96C8C6">
            <w:pPr>
              <w:rPr>
                <w:i/>
                <w:noProof/>
                <w:color w:val="000000" w:themeColor="text1"/>
                <w:szCs w:val="24"/>
              </w:rPr>
            </w:pPr>
            <w:r w:rsidRPr="004C70EC">
              <w:rPr>
                <w:i/>
                <w:noProof/>
                <w:color w:val="000000" w:themeColor="text1"/>
                <w:szCs w:val="24"/>
              </w:rPr>
              <w:t>Article [46]</w:t>
            </w:r>
            <w:r w:rsidRPr="004C70EC">
              <w:rPr>
                <w:noProof/>
                <w:color w:val="000000" w:themeColor="text1"/>
                <w:szCs w:val="24"/>
              </w:rPr>
              <w:t xml:space="preserve"> </w:t>
            </w:r>
            <w:r w:rsidRPr="004C70EC">
              <w:rPr>
                <w:i/>
                <w:noProof/>
                <w:color w:val="000000" w:themeColor="text1"/>
                <w:szCs w:val="24"/>
              </w:rPr>
              <w:t xml:space="preserve">Prevention and Reporting of Misuse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0A8ACCAA" w14:textId="77777777" w:rsidR="7F96C8C6" w:rsidRPr="004C70EC" w:rsidRDefault="7F96C8C6" w:rsidP="004A1163">
            <w:pPr>
              <w:spacing w:before="0" w:after="0" w:line="278" w:lineRule="auto"/>
              <w:rPr>
                <w:noProof/>
                <w:color w:val="000000" w:themeColor="text1"/>
                <w:szCs w:val="24"/>
              </w:rPr>
            </w:pPr>
            <w:r w:rsidRPr="004C70EC">
              <w:rPr>
                <w:noProof/>
                <w:color w:val="000000" w:themeColor="text1"/>
                <w:szCs w:val="24"/>
              </w:rPr>
              <w:t xml:space="preserve">For the purpose of preventing and detecting biotechnology misuse, economic operators and online marketplaces shall report suspicious transactions, </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09DA5740" w14:textId="77777777" w:rsidR="7F96C8C6" w:rsidRPr="004C70EC" w:rsidRDefault="7F96C8C6">
            <w:pPr>
              <w:rPr>
                <w:noProof/>
                <w:color w:val="000000" w:themeColor="text1"/>
                <w:szCs w:val="24"/>
              </w:rPr>
            </w:pPr>
            <w:r w:rsidRPr="004C70EC">
              <w:rPr>
                <w:noProof/>
                <w:color w:val="000000" w:themeColor="text1"/>
                <w:szCs w:val="24"/>
              </w:rPr>
              <w:t>Economic operators, Online marketplaces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1851DC4A" w14:textId="77777777" w:rsidR="7F96C8C6" w:rsidRPr="004C70EC" w:rsidRDefault="7F96C8C6">
            <w:pPr>
              <w:rPr>
                <w:noProof/>
                <w:color w:val="000000" w:themeColor="text1"/>
                <w:szCs w:val="24"/>
              </w:rPr>
            </w:pPr>
            <w:r w:rsidRPr="004C70EC">
              <w:rPr>
                <w:noProof/>
                <w:color w:val="000000" w:themeColor="text1"/>
                <w:szCs w:val="24"/>
              </w:rPr>
              <w:t>Data reporting, 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177CB28A" w14:textId="77777777" w:rsidR="7F96C8C6" w:rsidRPr="004C70EC" w:rsidRDefault="7F96C8C6">
            <w:pPr>
              <w:rPr>
                <w:noProof/>
                <w:color w:val="000000" w:themeColor="text1"/>
                <w:szCs w:val="24"/>
              </w:rPr>
            </w:pPr>
            <w:r w:rsidRPr="004C70EC">
              <w:rPr>
                <w:noProof/>
                <w:color w:val="000000" w:themeColor="text1"/>
                <w:szCs w:val="24"/>
              </w:rPr>
              <w:t xml:space="preserve">Data </w:t>
            </w:r>
          </w:p>
        </w:tc>
      </w:tr>
      <w:tr w:rsidR="004A1163" w:rsidRPr="004C70EC" w14:paraId="1CD14C99"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3BFE8EAF" w14:textId="77777777" w:rsidR="7F96C8C6" w:rsidRPr="004C70EC" w:rsidRDefault="7F96C8C6">
            <w:pPr>
              <w:rPr>
                <w:i/>
                <w:noProof/>
                <w:color w:val="000000" w:themeColor="text1"/>
                <w:szCs w:val="24"/>
              </w:rPr>
            </w:pPr>
            <w:r w:rsidRPr="004C70EC">
              <w:rPr>
                <w:i/>
                <w:noProof/>
                <w:color w:val="000000" w:themeColor="text1"/>
                <w:szCs w:val="24"/>
              </w:rPr>
              <w:t>Article [48] 2</w:t>
            </w:r>
          </w:p>
          <w:p w14:paraId="2FB4B10F" w14:textId="77777777" w:rsidR="7F96C8C6" w:rsidRPr="004C70EC" w:rsidRDefault="7F96C8C6">
            <w:pPr>
              <w:rPr>
                <w:i/>
                <w:noProof/>
                <w:color w:val="000000" w:themeColor="text1"/>
                <w:szCs w:val="24"/>
              </w:rPr>
            </w:pPr>
            <w:r w:rsidRPr="004C70EC">
              <w:rPr>
                <w:i/>
                <w:noProof/>
                <w:color w:val="000000" w:themeColor="text1"/>
                <w:szCs w:val="24"/>
              </w:rPr>
              <w:t>National Inspection Authorities</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41F94BFD" w14:textId="77777777" w:rsidR="7F96C8C6" w:rsidRPr="004C70EC" w:rsidRDefault="7F96C8C6">
            <w:pPr>
              <w:rPr>
                <w:noProof/>
                <w:color w:val="000000" w:themeColor="text1"/>
                <w:szCs w:val="24"/>
              </w:rPr>
            </w:pPr>
            <w:r w:rsidRPr="004C70EC">
              <w:rPr>
                <w:noProof/>
                <w:color w:val="000000" w:themeColor="text1"/>
                <w:szCs w:val="24"/>
              </w:rPr>
              <w:t>Member States shall ensure that the national inspection authority has the resources and investigative powers necessary to perform their tasks, including the power to request information and records, to carry out on-site inspections and, where appropriate, to conduct test purchases, including online.</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13E503F3" w14:textId="77777777" w:rsidR="7F96C8C6" w:rsidRPr="004C70EC" w:rsidRDefault="7F96C8C6">
            <w:pPr>
              <w:rPr>
                <w:noProof/>
                <w:color w:val="000000" w:themeColor="text1"/>
                <w:szCs w:val="24"/>
              </w:rPr>
            </w:pPr>
            <w:r w:rsidRPr="004C70EC">
              <w:rPr>
                <w:noProof/>
                <w:color w:val="000000" w:themeColor="text1"/>
                <w:szCs w:val="24"/>
              </w:rPr>
              <w:t>Commission, Member State authorities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53D54F5A" w14:textId="77777777" w:rsidR="7F96C8C6" w:rsidRPr="004C70EC" w:rsidRDefault="7F96C8C6">
            <w:pPr>
              <w:rPr>
                <w:noProof/>
                <w:color w:val="000000" w:themeColor="text1"/>
                <w:szCs w:val="24"/>
              </w:rPr>
            </w:pPr>
            <w:r w:rsidRPr="004C70EC">
              <w:rPr>
                <w:noProof/>
                <w:color w:val="000000" w:themeColor="text1"/>
                <w:szCs w:val="24"/>
              </w:rPr>
              <w:t>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395213E0" w14:textId="77777777" w:rsidR="7F96C8C6" w:rsidRPr="004C70EC" w:rsidRDefault="7F96C8C6">
            <w:pPr>
              <w:rPr>
                <w:noProof/>
                <w:color w:val="000000" w:themeColor="text1"/>
                <w:szCs w:val="24"/>
              </w:rPr>
            </w:pPr>
            <w:r w:rsidRPr="004C70EC">
              <w:rPr>
                <w:noProof/>
                <w:color w:val="000000" w:themeColor="text1"/>
                <w:szCs w:val="24"/>
              </w:rPr>
              <w:t xml:space="preserve">Data </w:t>
            </w:r>
          </w:p>
        </w:tc>
      </w:tr>
      <w:tr w:rsidR="004A1163" w:rsidRPr="004C70EC" w14:paraId="3C661B8E"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2474435B" w14:textId="77777777" w:rsidR="7F96C8C6" w:rsidRPr="004C70EC" w:rsidRDefault="7F96C8C6">
            <w:pPr>
              <w:rPr>
                <w:i/>
                <w:noProof/>
                <w:color w:val="000000" w:themeColor="text1"/>
                <w:szCs w:val="24"/>
              </w:rPr>
            </w:pPr>
            <w:r w:rsidRPr="004C70EC">
              <w:rPr>
                <w:i/>
                <w:noProof/>
                <w:color w:val="000000" w:themeColor="text1"/>
                <w:szCs w:val="24"/>
              </w:rPr>
              <w:t>Article [48] 4</w:t>
            </w:r>
          </w:p>
          <w:p w14:paraId="1B48AF43" w14:textId="77777777" w:rsidR="7F96C8C6" w:rsidRPr="004C70EC" w:rsidRDefault="7F96C8C6">
            <w:pPr>
              <w:rPr>
                <w:i/>
                <w:noProof/>
                <w:color w:val="000000" w:themeColor="text1"/>
                <w:szCs w:val="24"/>
              </w:rPr>
            </w:pPr>
            <w:r w:rsidRPr="004C70EC">
              <w:rPr>
                <w:i/>
                <w:noProof/>
                <w:color w:val="000000" w:themeColor="text1"/>
                <w:szCs w:val="24"/>
              </w:rPr>
              <w:t>National Inspection Authorities</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4E784F77" w14:textId="77777777" w:rsidR="7F96C8C6" w:rsidRPr="004C70EC" w:rsidRDefault="7F96C8C6">
            <w:pPr>
              <w:rPr>
                <w:noProof/>
                <w:color w:val="000000" w:themeColor="text1"/>
                <w:szCs w:val="24"/>
              </w:rPr>
            </w:pPr>
            <w:r w:rsidRPr="004C70EC">
              <w:rPr>
                <w:noProof/>
                <w:color w:val="000000" w:themeColor="text1"/>
                <w:szCs w:val="24"/>
              </w:rPr>
              <w:t>Member States shall ensure the participation of national inspection authorities, as appropriate, in the relevant activities of the Steering Group, in particular for the exchange of information on implementation practices, inspection findings and emerging risks.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788D75EC" w14:textId="77777777" w:rsidR="7F96C8C6" w:rsidRPr="004C70EC" w:rsidRDefault="7F96C8C6">
            <w:pPr>
              <w:rPr>
                <w:noProof/>
                <w:color w:val="000000" w:themeColor="text1"/>
                <w:szCs w:val="24"/>
              </w:rPr>
            </w:pPr>
            <w:r w:rsidRPr="004C70EC">
              <w:rPr>
                <w:noProof/>
                <w:color w:val="000000" w:themeColor="text1"/>
                <w:szCs w:val="24"/>
              </w:rPr>
              <w:t>Commission, Member State authorities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65F1DBF0" w14:textId="77777777" w:rsidR="7F96C8C6" w:rsidRPr="004C70EC" w:rsidRDefault="7F96C8C6">
            <w:pPr>
              <w:rPr>
                <w:noProof/>
                <w:color w:val="000000" w:themeColor="text1"/>
                <w:szCs w:val="24"/>
              </w:rPr>
            </w:pPr>
            <w:r w:rsidRPr="004C70EC">
              <w:rPr>
                <w:noProof/>
                <w:color w:val="000000" w:themeColor="text1"/>
                <w:szCs w:val="24"/>
              </w:rPr>
              <w:t>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0A8F741C" w14:textId="77777777" w:rsidR="7F96C8C6" w:rsidRPr="004C70EC" w:rsidRDefault="7F96C8C6">
            <w:pPr>
              <w:rPr>
                <w:noProof/>
                <w:color w:val="000000" w:themeColor="text1"/>
                <w:szCs w:val="24"/>
              </w:rPr>
            </w:pPr>
            <w:r w:rsidRPr="004C70EC">
              <w:rPr>
                <w:noProof/>
                <w:color w:val="000000" w:themeColor="text1"/>
                <w:szCs w:val="24"/>
              </w:rPr>
              <w:t>Data (data flow)</w:t>
            </w:r>
          </w:p>
        </w:tc>
      </w:tr>
      <w:tr w:rsidR="004A1163" w:rsidRPr="004C70EC" w14:paraId="3C6C5DE0"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343BF812" w14:textId="77777777" w:rsidR="7F96C8C6" w:rsidRPr="004C70EC" w:rsidRDefault="7F96C8C6">
            <w:pPr>
              <w:rPr>
                <w:i/>
                <w:noProof/>
                <w:color w:val="000000" w:themeColor="text1"/>
                <w:szCs w:val="24"/>
              </w:rPr>
            </w:pPr>
            <w:r w:rsidRPr="004C70EC">
              <w:rPr>
                <w:i/>
                <w:noProof/>
                <w:color w:val="000000" w:themeColor="text1"/>
                <w:szCs w:val="24"/>
              </w:rPr>
              <w:t>Article [49]</w:t>
            </w:r>
          </w:p>
          <w:p w14:paraId="7BA88A13" w14:textId="77777777" w:rsidR="7F96C8C6" w:rsidRPr="004C70EC" w:rsidRDefault="7F96C8C6">
            <w:pPr>
              <w:rPr>
                <w:i/>
                <w:noProof/>
                <w:color w:val="000000" w:themeColor="text1"/>
                <w:szCs w:val="24"/>
              </w:rPr>
            </w:pPr>
            <w:r w:rsidRPr="004C70EC">
              <w:rPr>
                <w:i/>
                <w:noProof/>
                <w:color w:val="000000" w:themeColor="text1"/>
                <w:szCs w:val="24"/>
              </w:rPr>
              <w:t>Commission Enforcement Support and Monitoring</w:t>
            </w:r>
          </w:p>
          <w:p w14:paraId="0BC5FC4F" w14:textId="77777777" w:rsidR="7F96C8C6" w:rsidRPr="004C70EC" w:rsidRDefault="7F96C8C6">
            <w:pPr>
              <w:rPr>
                <w:i/>
                <w:noProof/>
                <w:color w:val="000000" w:themeColor="text1"/>
                <w:szCs w:val="24"/>
              </w:rPr>
            </w:pPr>
            <w:r w:rsidRPr="004C70EC">
              <w:rPr>
                <w:i/>
                <w:noProof/>
                <w:color w:val="000000" w:themeColor="text1"/>
                <w:szCs w:val="24"/>
              </w:rPr>
              <w:t xml:space="preserve">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456D0A7C" w14:textId="77777777" w:rsidR="7F96C8C6" w:rsidRPr="004C70EC" w:rsidRDefault="7F96C8C6">
            <w:pPr>
              <w:rPr>
                <w:noProof/>
                <w:color w:val="000000" w:themeColor="text1"/>
                <w:szCs w:val="24"/>
              </w:rPr>
            </w:pPr>
            <w:r w:rsidRPr="004C70EC">
              <w:rPr>
                <w:noProof/>
                <w:color w:val="000000" w:themeColor="text1"/>
                <w:szCs w:val="24"/>
              </w:rPr>
              <w:t>The Commission may support and monitor national competent authorities in the enforcement of this section, by taking actions such as requesting information and records and running training exercises.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03382233" w14:textId="77777777" w:rsidR="7F96C8C6" w:rsidRPr="004C70EC" w:rsidRDefault="7F96C8C6">
            <w:pPr>
              <w:rPr>
                <w:noProof/>
                <w:color w:val="000000" w:themeColor="text1"/>
                <w:szCs w:val="24"/>
              </w:rPr>
            </w:pPr>
            <w:r w:rsidRPr="004C70EC">
              <w:rPr>
                <w:noProof/>
                <w:color w:val="000000" w:themeColor="text1"/>
                <w:szCs w:val="24"/>
              </w:rPr>
              <w:t>Commission</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1B84A844" w14:textId="77777777" w:rsidR="7F96C8C6" w:rsidRPr="004C70EC" w:rsidRDefault="7F96C8C6">
            <w:pPr>
              <w:rPr>
                <w:noProof/>
                <w:color w:val="000000" w:themeColor="text1"/>
                <w:szCs w:val="24"/>
              </w:rPr>
            </w:pPr>
            <w:r w:rsidRPr="004C70EC">
              <w:rPr>
                <w:noProof/>
                <w:color w:val="000000" w:themeColor="text1"/>
                <w:szCs w:val="24"/>
              </w:rPr>
              <w:t>Monitoring, requesting information</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4B37F2D9" w14:textId="77777777" w:rsidR="7F96C8C6" w:rsidRPr="004C70EC" w:rsidRDefault="7F96C8C6">
            <w:pPr>
              <w:rPr>
                <w:noProof/>
                <w:color w:val="000000" w:themeColor="text1"/>
                <w:szCs w:val="24"/>
              </w:rPr>
            </w:pPr>
            <w:r w:rsidRPr="004C70EC">
              <w:rPr>
                <w:noProof/>
                <w:color w:val="000000" w:themeColor="text1"/>
                <w:szCs w:val="24"/>
              </w:rPr>
              <w:t>Data, Digital public service</w:t>
            </w:r>
          </w:p>
        </w:tc>
      </w:tr>
      <w:tr w:rsidR="004A1163" w:rsidRPr="004C70EC" w14:paraId="159360C2"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245A3B8F" w14:textId="77777777" w:rsidR="7F96C8C6" w:rsidRPr="004C70EC" w:rsidRDefault="7F96C8C6">
            <w:pPr>
              <w:rPr>
                <w:i/>
                <w:noProof/>
                <w:color w:val="000000" w:themeColor="text1"/>
                <w:szCs w:val="24"/>
              </w:rPr>
            </w:pPr>
            <w:r w:rsidRPr="004C70EC">
              <w:rPr>
                <w:i/>
                <w:noProof/>
                <w:color w:val="000000" w:themeColor="text1"/>
                <w:szCs w:val="24"/>
              </w:rPr>
              <w:t xml:space="preserve">Article [52] </w:t>
            </w:r>
          </w:p>
          <w:p w14:paraId="34ABA6FB" w14:textId="77777777" w:rsidR="7F96C8C6" w:rsidRPr="004C70EC" w:rsidRDefault="7F96C8C6">
            <w:pPr>
              <w:rPr>
                <w:i/>
                <w:noProof/>
                <w:color w:val="000000" w:themeColor="text1"/>
                <w:szCs w:val="24"/>
              </w:rPr>
            </w:pPr>
            <w:r w:rsidRPr="004C70EC">
              <w:rPr>
                <w:i/>
                <w:noProof/>
                <w:color w:val="000000" w:themeColor="text1"/>
                <w:szCs w:val="24"/>
              </w:rPr>
              <w:t xml:space="preserve">Advisory Group on Biosecurity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3831B058" w14:textId="77777777" w:rsidR="7F96C8C6" w:rsidRPr="004C70EC" w:rsidRDefault="7F96C8C6">
            <w:pPr>
              <w:rPr>
                <w:noProof/>
                <w:color w:val="000000" w:themeColor="text1"/>
                <w:szCs w:val="24"/>
              </w:rPr>
            </w:pPr>
            <w:r w:rsidRPr="004C70EC">
              <w:rPr>
                <w:noProof/>
                <w:color w:val="000000" w:themeColor="text1"/>
                <w:szCs w:val="24"/>
              </w:rPr>
              <w:t>AI models in biological applications. The Commission, based on advice by the Advisory Group on Biosecurity, and where appropriate, in cooperation with the Steering Group, may issue and regularly update guidance, to assist actors in the supply chain and the competent authorities, and to facilitate cooperation between them.</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6546EC8B" w14:textId="77777777" w:rsidR="7F96C8C6" w:rsidRPr="004C70EC" w:rsidRDefault="7F96C8C6">
            <w:pPr>
              <w:rPr>
                <w:noProof/>
                <w:color w:val="000000" w:themeColor="text1"/>
                <w:szCs w:val="24"/>
              </w:rPr>
            </w:pPr>
            <w:r w:rsidRPr="004C70EC">
              <w:rPr>
                <w:noProof/>
                <w:color w:val="000000" w:themeColor="text1"/>
                <w:szCs w:val="24"/>
              </w:rPr>
              <w:t>Commission, Member State authorities, Actors in the supply chain</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6CED82C2" w14:textId="77777777" w:rsidR="7F96C8C6" w:rsidRPr="004C70EC" w:rsidRDefault="7F96C8C6">
            <w:pPr>
              <w:rPr>
                <w:noProof/>
                <w:color w:val="000000" w:themeColor="text1"/>
                <w:szCs w:val="24"/>
              </w:rPr>
            </w:pPr>
            <w:r w:rsidRPr="004C70EC">
              <w:rPr>
                <w:noProof/>
                <w:color w:val="000000" w:themeColor="text1"/>
                <w:szCs w:val="24"/>
              </w:rPr>
              <w:t>Monitoring, access to data, Technical guidelines</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6EBE4CC0" w14:textId="77777777" w:rsidR="7F96C8C6" w:rsidRPr="004C70EC" w:rsidRDefault="7F96C8C6">
            <w:pPr>
              <w:rPr>
                <w:noProof/>
                <w:color w:val="000000" w:themeColor="text1"/>
                <w:szCs w:val="24"/>
              </w:rPr>
            </w:pPr>
            <w:r w:rsidRPr="004C70EC">
              <w:rPr>
                <w:noProof/>
                <w:color w:val="000000" w:themeColor="text1"/>
                <w:szCs w:val="24"/>
              </w:rPr>
              <w:t>Data, Digital public service</w:t>
            </w:r>
          </w:p>
        </w:tc>
      </w:tr>
      <w:tr w:rsidR="004A1163" w:rsidRPr="004C70EC" w14:paraId="725B73CE"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51F3A175" w14:textId="77777777" w:rsidR="7F96C8C6" w:rsidRPr="004C70EC" w:rsidRDefault="7F96C8C6">
            <w:pPr>
              <w:rPr>
                <w:i/>
                <w:noProof/>
                <w:color w:val="000000" w:themeColor="text1"/>
                <w:szCs w:val="24"/>
              </w:rPr>
            </w:pPr>
            <w:r w:rsidRPr="004C70EC">
              <w:rPr>
                <w:i/>
                <w:noProof/>
                <w:color w:val="000000" w:themeColor="text1"/>
                <w:szCs w:val="24"/>
              </w:rPr>
              <w:t>Article [53]</w:t>
            </w:r>
          </w:p>
          <w:p w14:paraId="0A85DB13" w14:textId="77777777" w:rsidR="7F96C8C6" w:rsidRPr="004C70EC" w:rsidRDefault="7F96C8C6">
            <w:pPr>
              <w:rPr>
                <w:i/>
                <w:noProof/>
                <w:color w:val="000000" w:themeColor="text1"/>
                <w:szCs w:val="24"/>
              </w:rPr>
            </w:pPr>
            <w:r w:rsidRPr="004C70EC">
              <w:rPr>
                <w:i/>
                <w:noProof/>
                <w:color w:val="000000" w:themeColor="text1"/>
                <w:szCs w:val="24"/>
              </w:rPr>
              <w:t xml:space="preserve">Biological Systemic Risk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4C322C03" w14:textId="77777777" w:rsidR="7F96C8C6" w:rsidRPr="004C70EC" w:rsidRDefault="7F96C8C6">
            <w:pPr>
              <w:rPr>
                <w:noProof/>
                <w:color w:val="000000" w:themeColor="text1"/>
                <w:szCs w:val="24"/>
              </w:rPr>
            </w:pPr>
            <w:r w:rsidRPr="004C70EC">
              <w:rPr>
                <w:noProof/>
                <w:color w:val="000000" w:themeColor="text1"/>
                <w:szCs w:val="24"/>
              </w:rPr>
              <w:t>The Commission shall monitor systemic risk from AI models in biological applications and propose mitigating actions, based on advice provided by the Scientific Panel, including boosting biodefense capabilities or regulation, including on assessment and mitigation of systemic risk from those models, as appropriate.</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3BCF4D33" w14:textId="77777777" w:rsidR="7F96C8C6" w:rsidRPr="004C70EC" w:rsidRDefault="7F96C8C6">
            <w:pPr>
              <w:rPr>
                <w:noProof/>
                <w:color w:val="000000" w:themeColor="text1"/>
                <w:szCs w:val="24"/>
              </w:rPr>
            </w:pPr>
            <w:r w:rsidRPr="004C70EC">
              <w:rPr>
                <w:noProof/>
                <w:color w:val="000000" w:themeColor="text1"/>
                <w:szCs w:val="24"/>
              </w:rPr>
              <w:t>Commission, Member State authorities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1AD17CC4" w14:textId="77777777" w:rsidR="7F96C8C6" w:rsidRPr="004C70EC" w:rsidRDefault="7F96C8C6">
            <w:pPr>
              <w:rPr>
                <w:noProof/>
                <w:color w:val="000000" w:themeColor="text1"/>
                <w:szCs w:val="24"/>
              </w:rPr>
            </w:pPr>
            <w:r w:rsidRPr="004C70EC">
              <w:rPr>
                <w:noProof/>
                <w:color w:val="000000" w:themeColor="text1"/>
                <w:szCs w:val="24"/>
              </w:rPr>
              <w:t>Monitoring systemic risk</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71AC1982"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1421B29C"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39768F1C" w14:textId="77777777" w:rsidR="7F96C8C6" w:rsidRPr="004C70EC" w:rsidRDefault="7F96C8C6">
            <w:pPr>
              <w:rPr>
                <w:i/>
                <w:noProof/>
                <w:color w:val="000000" w:themeColor="text1"/>
                <w:szCs w:val="24"/>
              </w:rPr>
            </w:pPr>
            <w:r w:rsidRPr="004C70EC">
              <w:rPr>
                <w:i/>
                <w:noProof/>
                <w:color w:val="000000" w:themeColor="text1"/>
                <w:szCs w:val="24"/>
              </w:rPr>
              <w:t xml:space="preserve">Article [54] </w:t>
            </w:r>
          </w:p>
          <w:p w14:paraId="145D06F5" w14:textId="77777777" w:rsidR="7F96C8C6" w:rsidRPr="004C70EC" w:rsidRDefault="7F96C8C6">
            <w:pPr>
              <w:rPr>
                <w:i/>
                <w:noProof/>
                <w:color w:val="000000" w:themeColor="text1"/>
                <w:szCs w:val="24"/>
              </w:rPr>
            </w:pPr>
            <w:r w:rsidRPr="004C70EC">
              <w:rPr>
                <w:i/>
                <w:noProof/>
                <w:color w:val="000000" w:themeColor="text1"/>
                <w:szCs w:val="24"/>
              </w:rPr>
              <w:t>Monitoring and Guidance</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4FE09A0D" w14:textId="77777777" w:rsidR="7F96C8C6" w:rsidRPr="004C70EC" w:rsidRDefault="7F96C8C6">
            <w:pPr>
              <w:rPr>
                <w:noProof/>
                <w:color w:val="000000" w:themeColor="text1"/>
                <w:szCs w:val="24"/>
              </w:rPr>
            </w:pPr>
            <w:r w:rsidRPr="004C70EC">
              <w:rPr>
                <w:noProof/>
                <w:color w:val="000000" w:themeColor="text1"/>
                <w:szCs w:val="24"/>
              </w:rPr>
              <w:t>information on how to exchange relevant information between competent authorities, national contact points and among Member States;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7682D5A3" w14:textId="77777777" w:rsidR="7F96C8C6" w:rsidRPr="004C70EC" w:rsidRDefault="7F96C8C6">
            <w:pPr>
              <w:rPr>
                <w:noProof/>
                <w:color w:val="000000" w:themeColor="text1"/>
                <w:szCs w:val="24"/>
              </w:rPr>
            </w:pPr>
            <w:r w:rsidRPr="004C70EC">
              <w:rPr>
                <w:noProof/>
                <w:color w:val="000000" w:themeColor="text1"/>
                <w:szCs w:val="24"/>
              </w:rPr>
              <w:t>Commission, Member State authorities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144AC428" w14:textId="77777777" w:rsidR="7F96C8C6" w:rsidRPr="004C70EC" w:rsidRDefault="7F96C8C6">
            <w:pPr>
              <w:rPr>
                <w:noProof/>
                <w:color w:val="000000" w:themeColor="text1"/>
                <w:szCs w:val="24"/>
              </w:rPr>
            </w:pPr>
            <w:r w:rsidRPr="004C70EC">
              <w:rPr>
                <w:noProof/>
                <w:color w:val="000000" w:themeColor="text1"/>
                <w:szCs w:val="24"/>
              </w:rPr>
              <w:t>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1353E26A"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03270564"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6BCDC3B1" w14:textId="77777777" w:rsidR="7F96C8C6" w:rsidRPr="004C70EC" w:rsidRDefault="7F96C8C6">
            <w:pPr>
              <w:jc w:val="left"/>
              <w:rPr>
                <w:i/>
                <w:noProof/>
                <w:color w:val="000000" w:themeColor="text1"/>
                <w:szCs w:val="24"/>
              </w:rPr>
            </w:pPr>
            <w:r w:rsidRPr="004C70EC">
              <w:rPr>
                <w:i/>
                <w:noProof/>
                <w:color w:val="000000" w:themeColor="text1"/>
                <w:szCs w:val="24"/>
              </w:rPr>
              <w:t>Article [55] Coordination on Biosecurity and Biosafety</w:t>
            </w:r>
          </w:p>
          <w:p w14:paraId="4FD93FE8" w14:textId="77777777" w:rsidR="7F96C8C6" w:rsidRPr="004C70EC" w:rsidRDefault="7F96C8C6">
            <w:pPr>
              <w:rPr>
                <w:i/>
                <w:noProof/>
                <w:color w:val="000000" w:themeColor="text1"/>
                <w:szCs w:val="24"/>
              </w:rPr>
            </w:pPr>
            <w:r w:rsidRPr="004C70EC">
              <w:rPr>
                <w:i/>
                <w:noProof/>
                <w:color w:val="000000" w:themeColor="text1"/>
                <w:szCs w:val="24"/>
              </w:rPr>
              <w:t xml:space="preserve">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5C75829E" w14:textId="77777777" w:rsidR="7F96C8C6" w:rsidRPr="004C70EC" w:rsidRDefault="7F96C8C6">
            <w:pPr>
              <w:rPr>
                <w:noProof/>
                <w:color w:val="000000" w:themeColor="text1"/>
                <w:szCs w:val="24"/>
              </w:rPr>
            </w:pPr>
            <w:r w:rsidRPr="004C70EC">
              <w:rPr>
                <w:noProof/>
                <w:color w:val="000000" w:themeColor="text1"/>
                <w:szCs w:val="24"/>
              </w:rPr>
              <w:t>The Steering Group in cooperation with the Commission, facilitates coordination and information exchange on emerging AI-enabled bio-risks;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2320D159" w14:textId="77777777" w:rsidR="7F96C8C6" w:rsidRPr="004C70EC" w:rsidRDefault="7F96C8C6">
            <w:pPr>
              <w:rPr>
                <w:noProof/>
                <w:color w:val="000000" w:themeColor="text1"/>
                <w:szCs w:val="24"/>
              </w:rPr>
            </w:pPr>
            <w:r w:rsidRPr="004C70EC">
              <w:rPr>
                <w:noProof/>
                <w:color w:val="000000" w:themeColor="text1"/>
                <w:szCs w:val="24"/>
              </w:rPr>
              <w:t>Commission, Member State authorities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3D0C1707" w14:textId="77777777" w:rsidR="7F96C8C6" w:rsidRPr="004C70EC" w:rsidRDefault="7F96C8C6">
            <w:pPr>
              <w:rPr>
                <w:noProof/>
                <w:color w:val="000000" w:themeColor="text1"/>
                <w:szCs w:val="24"/>
              </w:rPr>
            </w:pPr>
            <w:r w:rsidRPr="004C70EC">
              <w:rPr>
                <w:noProof/>
                <w:color w:val="000000" w:themeColor="text1"/>
                <w:szCs w:val="24"/>
              </w:rPr>
              <w:t>Information exchange, Technical Guidelines</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13DC3D44" w14:textId="77777777" w:rsidR="7F96C8C6" w:rsidRPr="004C70EC" w:rsidRDefault="7F96C8C6">
            <w:pPr>
              <w:rPr>
                <w:noProof/>
                <w:color w:val="000000" w:themeColor="text1"/>
                <w:szCs w:val="24"/>
              </w:rPr>
            </w:pPr>
            <w:r w:rsidRPr="004C70EC">
              <w:rPr>
                <w:noProof/>
                <w:color w:val="000000" w:themeColor="text1"/>
                <w:szCs w:val="24"/>
              </w:rPr>
              <w:t>Data, Digital Public Service</w:t>
            </w:r>
          </w:p>
        </w:tc>
      </w:tr>
      <w:tr w:rsidR="004A1163" w:rsidRPr="004C70EC" w14:paraId="67B41318"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0B067CD6" w14:textId="77777777" w:rsidR="7F96C8C6" w:rsidRPr="004C70EC" w:rsidRDefault="7F96C8C6">
            <w:pPr>
              <w:jc w:val="left"/>
              <w:rPr>
                <w:i/>
                <w:noProof/>
                <w:color w:val="000000" w:themeColor="text1"/>
                <w:szCs w:val="24"/>
              </w:rPr>
            </w:pPr>
            <w:r w:rsidRPr="004C70EC">
              <w:rPr>
                <w:i/>
                <w:noProof/>
                <w:color w:val="000000" w:themeColor="text1"/>
                <w:szCs w:val="24"/>
              </w:rPr>
              <w:t>Article [56] Amendments to Regulation (EC) No 178/2002 (General Food Law): Article 3</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12EFD75E" w14:textId="77777777" w:rsidR="7F96C8C6" w:rsidRPr="004C70EC" w:rsidRDefault="7F96C8C6">
            <w:pPr>
              <w:rPr>
                <w:noProof/>
                <w:color w:val="000000" w:themeColor="text1"/>
                <w:szCs w:val="24"/>
              </w:rPr>
            </w:pPr>
            <w:r w:rsidRPr="004C70EC">
              <w:rPr>
                <w:noProof/>
                <w:color w:val="000000" w:themeColor="text1"/>
                <w:szCs w:val="24"/>
              </w:rPr>
              <w:t>‘regulatory sandbox’ means a controlled environment where participants can test innovative products or substances and related processes as well as data and other regulatory requirements at a pre-market stage under a set of defined rules and monitoring and for a limited period of time.</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1625EF68" w14:textId="77777777" w:rsidR="7F96C8C6" w:rsidRPr="004C70EC" w:rsidRDefault="7F96C8C6">
            <w:pPr>
              <w:rPr>
                <w:noProof/>
                <w:color w:val="000000" w:themeColor="text1"/>
                <w:szCs w:val="24"/>
              </w:rPr>
            </w:pPr>
            <w:r w:rsidRPr="004C70EC">
              <w:rPr>
                <w:noProof/>
                <w:color w:val="000000" w:themeColor="text1"/>
                <w:szCs w:val="24"/>
              </w:rPr>
              <w:t>Commission, Member State authorities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485E3133" w14:textId="77777777" w:rsidR="7F96C8C6" w:rsidRPr="004C70EC" w:rsidRDefault="7F96C8C6">
            <w:pPr>
              <w:rPr>
                <w:noProof/>
                <w:color w:val="000000" w:themeColor="text1"/>
                <w:szCs w:val="24"/>
              </w:rPr>
            </w:pPr>
            <w:r w:rsidRPr="004C70EC">
              <w:rPr>
                <w:noProof/>
                <w:color w:val="000000" w:themeColor="text1"/>
                <w:szCs w:val="24"/>
              </w:rPr>
              <w:t>Technical documentation, 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60924D80"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794649F1"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024D79A2" w14:textId="77777777" w:rsidR="7F96C8C6" w:rsidRPr="004C70EC" w:rsidRDefault="7F96C8C6">
            <w:pPr>
              <w:jc w:val="left"/>
              <w:rPr>
                <w:i/>
                <w:noProof/>
                <w:color w:val="000000" w:themeColor="text1"/>
                <w:szCs w:val="24"/>
              </w:rPr>
            </w:pPr>
            <w:r w:rsidRPr="004C70EC">
              <w:rPr>
                <w:i/>
                <w:noProof/>
                <w:color w:val="000000" w:themeColor="text1"/>
                <w:szCs w:val="24"/>
              </w:rPr>
              <w:t>Article [56] Amendments to Regulation (EC) No 178/2002 (General Food Law): Article 49a (3)General provisions on regulatory sandboxes</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713FDD44" w14:textId="77777777" w:rsidR="7F96C8C6" w:rsidRPr="004C70EC" w:rsidRDefault="7F96C8C6" w:rsidP="004A1163">
            <w:pPr>
              <w:ind w:left="59" w:hanging="59"/>
              <w:rPr>
                <w:noProof/>
                <w:color w:val="000000" w:themeColor="text1"/>
                <w:szCs w:val="24"/>
              </w:rPr>
            </w:pPr>
            <w:r w:rsidRPr="004C70EC">
              <w:rPr>
                <w:noProof/>
                <w:color w:val="000000" w:themeColor="text1"/>
                <w:szCs w:val="24"/>
                <w:lang w:val="en-US"/>
              </w:rPr>
              <w:t xml:space="preserve">Regulatory sandboxes may be established in relation to the following: (a) </w:t>
            </w:r>
            <w:r w:rsidRPr="004C70EC">
              <w:rPr>
                <w:noProof/>
                <w:color w:val="000000" w:themeColor="text1"/>
                <w:szCs w:val="24"/>
              </w:rPr>
              <w:t>all stages of the production, processing and distribution of food with the exception of novel foods, and also of the feed produced for, or fed to food-producing animals; (b) food contact materials, with the exception of plastic recycled materials;  (c) products, other than food and feed, containing or consisting of genetically modified organisms as defined in Article 2, point (2), of Directive 2001/18/EC, excluding organisms obtained through the techniques of genetic modification listed in Annex I B to Directive 2001/18/EC. The making available of products within a regulatory sandbox shall not be regarded as placing on the market.</w:t>
            </w:r>
          </w:p>
          <w:p w14:paraId="3A187A5C" w14:textId="77777777" w:rsidR="7F96C8C6" w:rsidRPr="004C70EC" w:rsidRDefault="7F96C8C6">
            <w:pPr>
              <w:rPr>
                <w:noProof/>
                <w:color w:val="000000" w:themeColor="text1"/>
                <w:szCs w:val="24"/>
              </w:rPr>
            </w:pPr>
            <w:r w:rsidRPr="004C70EC">
              <w:rPr>
                <w:noProof/>
                <w:color w:val="000000" w:themeColor="text1"/>
                <w:szCs w:val="24"/>
              </w:rPr>
              <w:t xml:space="preserve">Regulatory sandboxes shall have the following objectives: </w:t>
            </w:r>
          </w:p>
          <w:p w14:paraId="581AE12E" w14:textId="77777777" w:rsidR="7F96C8C6" w:rsidRPr="004C70EC" w:rsidRDefault="7F96C8C6">
            <w:pPr>
              <w:rPr>
                <w:noProof/>
                <w:color w:val="000000" w:themeColor="text1"/>
                <w:szCs w:val="24"/>
                <w:lang w:val="en-US"/>
              </w:rPr>
            </w:pPr>
            <w:r w:rsidRPr="004C70EC">
              <w:rPr>
                <w:noProof/>
                <w:color w:val="000000" w:themeColor="text1"/>
                <w:szCs w:val="24"/>
                <w:lang w:val="en-US"/>
              </w:rPr>
              <w:t>(a)</w:t>
            </w:r>
            <w:r w:rsidRPr="004C70EC">
              <w:rPr>
                <w:noProof/>
                <w:color w:val="000000" w:themeColor="text1"/>
                <w:szCs w:val="24"/>
              </w:rPr>
              <w:t xml:space="preserve">        </w:t>
            </w:r>
            <w:r w:rsidRPr="004C70EC">
              <w:rPr>
                <w:noProof/>
                <w:color w:val="000000" w:themeColor="text1"/>
                <w:szCs w:val="24"/>
                <w:lang w:val="en-US"/>
              </w:rPr>
              <w:t xml:space="preserve">facilitating the development, testing and validation of technologies, products and substances before they obtain authorisation or approval for placing on the market, where so required by Union law; </w:t>
            </w:r>
          </w:p>
          <w:p w14:paraId="1A3D7FAC" w14:textId="77777777" w:rsidR="7F96C8C6" w:rsidRPr="004C70EC" w:rsidRDefault="7F96C8C6">
            <w:pPr>
              <w:rPr>
                <w:noProof/>
                <w:color w:val="000000" w:themeColor="text1"/>
                <w:szCs w:val="24"/>
                <w:lang w:val="en-US"/>
              </w:rPr>
            </w:pPr>
            <w:r w:rsidRPr="004C70EC">
              <w:rPr>
                <w:noProof/>
                <w:color w:val="000000" w:themeColor="text1"/>
                <w:szCs w:val="24"/>
                <w:lang w:val="en-US"/>
              </w:rPr>
              <w:t>(b)</w:t>
            </w:r>
            <w:r w:rsidRPr="004C70EC">
              <w:rPr>
                <w:noProof/>
                <w:color w:val="000000" w:themeColor="text1"/>
                <w:szCs w:val="24"/>
              </w:rPr>
              <w:t xml:space="preserve">       </w:t>
            </w:r>
            <w:r w:rsidRPr="004C70EC">
              <w:rPr>
                <w:noProof/>
                <w:color w:val="000000" w:themeColor="text1"/>
                <w:szCs w:val="24"/>
                <w:lang w:val="en-US"/>
              </w:rPr>
              <w:t>testing data requirements, including the type and design of studies required for conducting a safety and/or efficacy assessment;</w:t>
            </w:r>
          </w:p>
          <w:p w14:paraId="4457BAC8" w14:textId="77777777" w:rsidR="7F96C8C6" w:rsidRPr="004C70EC" w:rsidRDefault="7F96C8C6">
            <w:pPr>
              <w:rPr>
                <w:noProof/>
                <w:color w:val="000000" w:themeColor="text1"/>
                <w:szCs w:val="24"/>
                <w:lang w:val="en-US"/>
              </w:rPr>
            </w:pPr>
            <w:r w:rsidRPr="004C70EC">
              <w:rPr>
                <w:noProof/>
                <w:color w:val="000000" w:themeColor="text1"/>
                <w:szCs w:val="24"/>
                <w:lang w:val="en-US"/>
              </w:rPr>
              <w:t>(c) testing alternative regulatory requirements and appraising their performance as regards the attainment of the objectives of the applicable Union sectoral law in comparison to the existing requirements; in the areas where Union law provides for an approval or authorisation, as well as in the area of food information to consumers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74A56790" w14:textId="77777777" w:rsidR="7F96C8C6" w:rsidRPr="004C70EC" w:rsidRDefault="7F96C8C6">
            <w:pPr>
              <w:rPr>
                <w:noProof/>
                <w:color w:val="000000" w:themeColor="text1"/>
                <w:szCs w:val="24"/>
              </w:rPr>
            </w:pPr>
            <w:r w:rsidRPr="004C70EC">
              <w:rPr>
                <w:noProof/>
                <w:color w:val="000000" w:themeColor="text1"/>
                <w:szCs w:val="24"/>
              </w:rPr>
              <w:t>Member States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08830883" w14:textId="77777777" w:rsidR="7F96C8C6" w:rsidRPr="004C70EC" w:rsidRDefault="7F96C8C6">
            <w:pPr>
              <w:rPr>
                <w:noProof/>
                <w:color w:val="000000" w:themeColor="text1"/>
                <w:szCs w:val="24"/>
              </w:rPr>
            </w:pPr>
            <w:r w:rsidRPr="004C70EC">
              <w:rPr>
                <w:noProof/>
                <w:color w:val="000000" w:themeColor="text1"/>
                <w:szCs w:val="24"/>
              </w:rPr>
              <w:t>Facilitating the development, testing, and validation of technologies;</w:t>
            </w:r>
          </w:p>
          <w:p w14:paraId="25EA2D2F" w14:textId="77777777" w:rsidR="7F96C8C6" w:rsidRPr="004C70EC" w:rsidRDefault="7F96C8C6">
            <w:pPr>
              <w:rPr>
                <w:noProof/>
                <w:color w:val="000000" w:themeColor="text1"/>
                <w:szCs w:val="24"/>
              </w:rPr>
            </w:pPr>
            <w:r w:rsidRPr="004C70EC">
              <w:rPr>
                <w:noProof/>
                <w:color w:val="000000" w:themeColor="text1"/>
                <w:szCs w:val="24"/>
              </w:rPr>
              <w:t>Testing data requirements</w:t>
            </w:r>
          </w:p>
          <w:p w14:paraId="23D42244" w14:textId="77777777" w:rsidR="7F96C8C6" w:rsidRPr="004C70EC" w:rsidRDefault="7F96C8C6">
            <w:pPr>
              <w:rPr>
                <w:noProof/>
                <w:color w:val="000000" w:themeColor="text1"/>
                <w:szCs w:val="24"/>
              </w:rPr>
            </w:pPr>
            <w:r w:rsidRPr="004C70EC">
              <w:rPr>
                <w:noProof/>
                <w:color w:val="000000" w:themeColor="text1"/>
                <w:szCs w:val="24"/>
              </w:rPr>
              <w:t xml:space="preserve">Testing alternative regulatory requirements (such as digital labelling instead of actual labels on food products). </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1C335B67" w14:textId="77777777" w:rsidR="7F96C8C6" w:rsidRPr="004C70EC" w:rsidRDefault="7F96C8C6">
            <w:pPr>
              <w:rPr>
                <w:noProof/>
                <w:color w:val="000000" w:themeColor="text1"/>
                <w:szCs w:val="24"/>
              </w:rPr>
            </w:pPr>
            <w:r w:rsidRPr="004C70EC">
              <w:rPr>
                <w:noProof/>
                <w:color w:val="000000" w:themeColor="text1"/>
                <w:szCs w:val="24"/>
              </w:rPr>
              <w:t>Technologies, Data</w:t>
            </w:r>
          </w:p>
        </w:tc>
      </w:tr>
      <w:tr w:rsidR="004A1163" w:rsidRPr="004C70EC" w14:paraId="4FD6C08F"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188FA65A" w14:textId="77777777" w:rsidR="7F96C8C6" w:rsidRPr="004C70EC" w:rsidRDefault="7F96C8C6">
            <w:pPr>
              <w:jc w:val="left"/>
              <w:rPr>
                <w:i/>
                <w:noProof/>
                <w:color w:val="000000" w:themeColor="text1"/>
                <w:szCs w:val="24"/>
              </w:rPr>
            </w:pPr>
            <w:r w:rsidRPr="004C70EC">
              <w:rPr>
                <w:i/>
                <w:noProof/>
                <w:color w:val="000000" w:themeColor="text1"/>
                <w:szCs w:val="24"/>
              </w:rPr>
              <w:t>Article [56] Amendments to Regulation (EC) No 178/2002 (General Food Law): Article 3</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59ED91A7" w14:textId="77777777" w:rsidR="7F96C8C6" w:rsidRPr="004C70EC" w:rsidRDefault="7F96C8C6">
            <w:pPr>
              <w:rPr>
                <w:noProof/>
                <w:color w:val="000000" w:themeColor="text1"/>
                <w:szCs w:val="24"/>
              </w:rPr>
            </w:pPr>
            <w:r w:rsidRPr="004C70EC">
              <w:rPr>
                <w:noProof/>
                <w:color w:val="000000" w:themeColor="text1"/>
                <w:szCs w:val="24"/>
              </w:rPr>
              <w:t>‘regulatory sandbox’ means a controlled environment where participants can test innovative products or substances and related processes as well as data and other regulatory requirements at a pre-market stage under a set of defined rules and monitoring and for a limited period of time.</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09F98E09" w14:textId="77777777" w:rsidR="7F96C8C6" w:rsidRPr="004C70EC" w:rsidRDefault="7F96C8C6">
            <w:pPr>
              <w:rPr>
                <w:noProof/>
                <w:color w:val="000000" w:themeColor="text1"/>
                <w:szCs w:val="24"/>
              </w:rPr>
            </w:pPr>
            <w:r w:rsidRPr="004C70EC">
              <w:rPr>
                <w:noProof/>
                <w:color w:val="000000" w:themeColor="text1"/>
                <w:szCs w:val="24"/>
              </w:rPr>
              <w:t>Commission, Member State authorities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45CAA4FE" w14:textId="77777777" w:rsidR="7F96C8C6" w:rsidRPr="004C70EC" w:rsidRDefault="7F96C8C6">
            <w:pPr>
              <w:rPr>
                <w:noProof/>
                <w:color w:val="000000" w:themeColor="text1"/>
                <w:szCs w:val="24"/>
              </w:rPr>
            </w:pPr>
            <w:r w:rsidRPr="004C70EC">
              <w:rPr>
                <w:noProof/>
                <w:color w:val="000000" w:themeColor="text1"/>
                <w:szCs w:val="24"/>
              </w:rPr>
              <w:t>Technical documentation, 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0A28872F"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2F8D4770"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7CA60769" w14:textId="77777777" w:rsidR="7F96C8C6" w:rsidRPr="004C70EC" w:rsidRDefault="7F96C8C6">
            <w:pPr>
              <w:jc w:val="left"/>
              <w:rPr>
                <w:i/>
                <w:noProof/>
                <w:color w:val="000000" w:themeColor="text1"/>
                <w:szCs w:val="24"/>
              </w:rPr>
            </w:pPr>
            <w:r w:rsidRPr="004C70EC">
              <w:rPr>
                <w:i/>
                <w:noProof/>
                <w:color w:val="000000" w:themeColor="text1"/>
                <w:szCs w:val="24"/>
              </w:rPr>
              <w:t>Article [56] Amendments to Regulation (EC) No 178/2002 (General Food Law): Article 49a (3)General provisions on regulatory sandboxes</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087742B4" w14:textId="77777777" w:rsidR="7F96C8C6" w:rsidRPr="004C70EC" w:rsidRDefault="7F96C8C6" w:rsidP="004A1163">
            <w:pPr>
              <w:ind w:left="59" w:hanging="59"/>
              <w:rPr>
                <w:noProof/>
                <w:color w:val="000000" w:themeColor="text1"/>
                <w:szCs w:val="24"/>
              </w:rPr>
            </w:pPr>
            <w:r w:rsidRPr="004C70EC">
              <w:rPr>
                <w:noProof/>
                <w:color w:val="000000" w:themeColor="text1"/>
                <w:szCs w:val="24"/>
                <w:lang w:val="en-US"/>
              </w:rPr>
              <w:t xml:space="preserve">Regulatory sandboxes may be established in relation to the following: (a) </w:t>
            </w:r>
            <w:r w:rsidRPr="004C70EC">
              <w:rPr>
                <w:noProof/>
                <w:color w:val="000000" w:themeColor="text1"/>
                <w:szCs w:val="24"/>
              </w:rPr>
              <w:t>all stages of the production, processing and distribution of food with the exception of novel foods, and also of the feed produced for, or fed to food-producing animals; (b) food contact materials, with the exception of plastic recycled materials;  (c) products, other than food and feed, containing or consisting of genetically modified organisms as defined in Article 2, point (2), of Directive 2001/18/EC, excluding organisms obtained through the techniques of genetic modification listed in Annex I B to Directive 2001/18/EC. The making available of products within a regulatory sandbox shall not be regarded as placing on the market.</w:t>
            </w:r>
          </w:p>
          <w:p w14:paraId="6246BB18" w14:textId="77777777" w:rsidR="7F96C8C6" w:rsidRPr="004C70EC" w:rsidRDefault="7F96C8C6">
            <w:pPr>
              <w:rPr>
                <w:noProof/>
                <w:color w:val="000000" w:themeColor="text1"/>
                <w:szCs w:val="24"/>
              </w:rPr>
            </w:pPr>
            <w:r w:rsidRPr="004C70EC">
              <w:rPr>
                <w:noProof/>
                <w:color w:val="000000" w:themeColor="text1"/>
                <w:szCs w:val="24"/>
              </w:rPr>
              <w:t xml:space="preserve">Regulatory sandboxes shall have the following objectives: </w:t>
            </w:r>
          </w:p>
          <w:p w14:paraId="4E848167" w14:textId="77777777" w:rsidR="7F96C8C6" w:rsidRPr="004C70EC" w:rsidRDefault="7F96C8C6">
            <w:pPr>
              <w:rPr>
                <w:noProof/>
                <w:color w:val="000000" w:themeColor="text1"/>
                <w:szCs w:val="24"/>
                <w:lang w:val="en-US"/>
              </w:rPr>
            </w:pPr>
            <w:r w:rsidRPr="004C70EC">
              <w:rPr>
                <w:noProof/>
                <w:color w:val="000000" w:themeColor="text1"/>
                <w:szCs w:val="24"/>
                <w:lang w:val="en-US"/>
              </w:rPr>
              <w:t>(a)</w:t>
            </w:r>
            <w:r w:rsidRPr="004C70EC">
              <w:rPr>
                <w:noProof/>
                <w:color w:val="000000" w:themeColor="text1"/>
                <w:szCs w:val="24"/>
              </w:rPr>
              <w:t xml:space="preserve">        </w:t>
            </w:r>
            <w:r w:rsidRPr="004C70EC">
              <w:rPr>
                <w:noProof/>
                <w:color w:val="000000" w:themeColor="text1"/>
                <w:szCs w:val="24"/>
                <w:lang w:val="en-US"/>
              </w:rPr>
              <w:t xml:space="preserve">facilitating the development, testing and validation of technologies, products and substances before they obtain authorisation or approval for placing on the market, where so required by Union law; </w:t>
            </w:r>
          </w:p>
          <w:p w14:paraId="4C6525A8" w14:textId="77777777" w:rsidR="7F96C8C6" w:rsidRPr="004C70EC" w:rsidRDefault="7F96C8C6">
            <w:pPr>
              <w:rPr>
                <w:noProof/>
                <w:color w:val="000000" w:themeColor="text1"/>
                <w:szCs w:val="24"/>
                <w:lang w:val="en-US"/>
              </w:rPr>
            </w:pPr>
            <w:r w:rsidRPr="004C70EC">
              <w:rPr>
                <w:noProof/>
                <w:color w:val="000000" w:themeColor="text1"/>
                <w:szCs w:val="24"/>
                <w:lang w:val="en-US"/>
              </w:rPr>
              <w:t>(b)</w:t>
            </w:r>
            <w:r w:rsidRPr="004C70EC">
              <w:rPr>
                <w:noProof/>
                <w:color w:val="000000" w:themeColor="text1"/>
                <w:szCs w:val="24"/>
              </w:rPr>
              <w:t xml:space="preserve">       </w:t>
            </w:r>
            <w:r w:rsidRPr="004C70EC">
              <w:rPr>
                <w:noProof/>
                <w:color w:val="000000" w:themeColor="text1"/>
                <w:szCs w:val="24"/>
                <w:lang w:val="en-US"/>
              </w:rPr>
              <w:t>testing data requirements, including the type and design of studies required for conducting a safety and/or efficacy assessment;</w:t>
            </w:r>
          </w:p>
          <w:p w14:paraId="5F6284AE" w14:textId="77777777" w:rsidR="7F96C8C6" w:rsidRPr="004C70EC" w:rsidRDefault="7F96C8C6">
            <w:pPr>
              <w:rPr>
                <w:noProof/>
                <w:color w:val="000000" w:themeColor="text1"/>
                <w:szCs w:val="24"/>
                <w:lang w:val="en-US"/>
              </w:rPr>
            </w:pPr>
            <w:r w:rsidRPr="004C70EC">
              <w:rPr>
                <w:noProof/>
                <w:color w:val="000000" w:themeColor="text1"/>
                <w:szCs w:val="24"/>
                <w:lang w:val="en-US"/>
              </w:rPr>
              <w:t>(c) testing alternative regulatory requirements and appraising their performance as regards the attainment of the objectives of the applicable Union sectoral law in comparison to the existing requirements; in the areas where Union law provides for an approval or authorisation, as well as in the area of food information to consumers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61890191" w14:textId="77777777" w:rsidR="7F96C8C6" w:rsidRPr="004C70EC" w:rsidRDefault="7F96C8C6">
            <w:pPr>
              <w:rPr>
                <w:noProof/>
                <w:color w:val="000000" w:themeColor="text1"/>
                <w:szCs w:val="24"/>
              </w:rPr>
            </w:pPr>
            <w:r w:rsidRPr="004C70EC">
              <w:rPr>
                <w:noProof/>
                <w:color w:val="000000" w:themeColor="text1"/>
                <w:szCs w:val="24"/>
              </w:rPr>
              <w:t>Member States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600E0944" w14:textId="77777777" w:rsidR="7F96C8C6" w:rsidRPr="004C70EC" w:rsidRDefault="7F96C8C6">
            <w:pPr>
              <w:rPr>
                <w:noProof/>
                <w:color w:val="000000" w:themeColor="text1"/>
                <w:szCs w:val="24"/>
              </w:rPr>
            </w:pPr>
            <w:r w:rsidRPr="004C70EC">
              <w:rPr>
                <w:noProof/>
                <w:color w:val="000000" w:themeColor="text1"/>
                <w:szCs w:val="24"/>
              </w:rPr>
              <w:t>Facilitating the development, testing, and validation of technologies;</w:t>
            </w:r>
          </w:p>
          <w:p w14:paraId="15865DA2" w14:textId="77777777" w:rsidR="7F96C8C6" w:rsidRPr="004C70EC" w:rsidRDefault="7F96C8C6">
            <w:pPr>
              <w:rPr>
                <w:noProof/>
                <w:color w:val="000000" w:themeColor="text1"/>
                <w:szCs w:val="24"/>
              </w:rPr>
            </w:pPr>
            <w:r w:rsidRPr="004C70EC">
              <w:rPr>
                <w:noProof/>
                <w:color w:val="000000" w:themeColor="text1"/>
                <w:szCs w:val="24"/>
              </w:rPr>
              <w:t>Testing data requirements</w:t>
            </w:r>
          </w:p>
          <w:p w14:paraId="5EC2C0DA" w14:textId="77777777" w:rsidR="7F96C8C6" w:rsidRPr="004C70EC" w:rsidRDefault="7F96C8C6">
            <w:pPr>
              <w:rPr>
                <w:noProof/>
                <w:color w:val="000000" w:themeColor="text1"/>
                <w:szCs w:val="24"/>
              </w:rPr>
            </w:pPr>
            <w:r w:rsidRPr="004C70EC">
              <w:rPr>
                <w:noProof/>
                <w:color w:val="000000" w:themeColor="text1"/>
                <w:szCs w:val="24"/>
              </w:rPr>
              <w:t xml:space="preserve">Testing alternative regulatory requirements (such as digital labelling instead of actual labels on food products). </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706D6374" w14:textId="77777777" w:rsidR="7F96C8C6" w:rsidRPr="004C70EC" w:rsidRDefault="7F96C8C6">
            <w:pPr>
              <w:rPr>
                <w:noProof/>
                <w:color w:val="000000" w:themeColor="text1"/>
                <w:szCs w:val="24"/>
              </w:rPr>
            </w:pPr>
            <w:r w:rsidRPr="004C70EC">
              <w:rPr>
                <w:noProof/>
                <w:color w:val="000000" w:themeColor="text1"/>
                <w:szCs w:val="24"/>
              </w:rPr>
              <w:t>Technologies, Data</w:t>
            </w:r>
          </w:p>
        </w:tc>
      </w:tr>
      <w:tr w:rsidR="004A1163" w:rsidRPr="004C70EC" w14:paraId="3E4791DF"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59FA558C" w14:textId="77777777" w:rsidR="7F96C8C6" w:rsidRPr="004C70EC" w:rsidRDefault="7F96C8C6">
            <w:pPr>
              <w:rPr>
                <w:i/>
                <w:noProof/>
                <w:color w:val="000000" w:themeColor="text1"/>
                <w:szCs w:val="24"/>
              </w:rPr>
            </w:pPr>
            <w:r w:rsidRPr="004C70EC">
              <w:rPr>
                <w:i/>
                <w:noProof/>
                <w:color w:val="000000" w:themeColor="text1"/>
                <w:szCs w:val="24"/>
              </w:rPr>
              <w:t>Article [56] Amendments to Regulation (EC) No 178/2002 (General Food Law): Article 49a</w:t>
            </w:r>
          </w:p>
          <w:p w14:paraId="73B0CF19" w14:textId="77777777" w:rsidR="7F96C8C6" w:rsidRPr="004C70EC" w:rsidRDefault="7F96C8C6">
            <w:pPr>
              <w:rPr>
                <w:i/>
                <w:noProof/>
                <w:color w:val="000000" w:themeColor="text1"/>
                <w:szCs w:val="24"/>
              </w:rPr>
            </w:pPr>
            <w:r w:rsidRPr="004C70EC">
              <w:rPr>
                <w:i/>
                <w:noProof/>
                <w:color w:val="000000" w:themeColor="text1"/>
                <w:szCs w:val="24"/>
              </w:rPr>
              <w:t>General provisions on regulatory sandboxes</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6105D9DB" w14:textId="77777777" w:rsidR="7F96C8C6" w:rsidRPr="004C70EC" w:rsidRDefault="7F96C8C6" w:rsidP="004A1163">
            <w:pPr>
              <w:ind w:left="33"/>
              <w:rPr>
                <w:noProof/>
                <w:color w:val="000000" w:themeColor="text1"/>
                <w:szCs w:val="24"/>
              </w:rPr>
            </w:pPr>
            <w:r w:rsidRPr="004C70EC">
              <w:rPr>
                <w:noProof/>
                <w:color w:val="000000" w:themeColor="text1"/>
                <w:szCs w:val="24"/>
              </w:rPr>
              <w:t>Member States shall monitor and supervise the operation of regulatory sandboxes that they establish and ensure compliance with the regulatory sandbox plan.</w:t>
            </w:r>
          </w:p>
          <w:p w14:paraId="3883966D" w14:textId="77777777" w:rsidR="7F96C8C6" w:rsidRPr="004C70EC" w:rsidRDefault="7F96C8C6" w:rsidP="004A1163">
            <w:pPr>
              <w:ind w:left="33"/>
              <w:rPr>
                <w:noProof/>
                <w:color w:val="000000" w:themeColor="text1"/>
                <w:szCs w:val="24"/>
              </w:rPr>
            </w:pPr>
            <w:r w:rsidRPr="004C70EC">
              <w:rPr>
                <w:noProof/>
                <w:color w:val="000000" w:themeColor="text1"/>
                <w:szCs w:val="24"/>
              </w:rPr>
              <w:t>A participant to an established regulatory sandbox shall immediately inform the competent authorities of the Member State(s) concerned if it considers or has reason to believe that the conditions of the regulatory sandbox plan have not been complied with and/or there are potential risks to public health, animal health or welfare, plant health or to the environment, which may require the revocation of the regulatory sandbox or the amendment of the regulatory sandbox plan to provide for mitigating measures. Participants shall also immediately inform the competent authorities of any other information that concerns the quality, safety or efficacy of the subject matter of the relevant regulatory sandbox.</w:t>
            </w:r>
          </w:p>
          <w:p w14:paraId="2B2EB4B5" w14:textId="77777777" w:rsidR="7F96C8C6" w:rsidRPr="004C70EC" w:rsidRDefault="7F96C8C6" w:rsidP="004A1163">
            <w:pPr>
              <w:ind w:left="33"/>
              <w:rPr>
                <w:noProof/>
                <w:color w:val="000000" w:themeColor="text1"/>
                <w:szCs w:val="24"/>
              </w:rPr>
            </w:pPr>
            <w:r w:rsidRPr="004C70EC">
              <w:rPr>
                <w:noProof/>
                <w:color w:val="000000" w:themeColor="text1"/>
                <w:szCs w:val="24"/>
              </w:rPr>
              <w:t>Member States shall immediately notify to the Commission and, where relevant, to the Authority any violation of the conditions set out in the regulatory sandbox plan and/or the identification of any potential risks to public health, animal health or welfare, plant health or to the environment.</w:t>
            </w:r>
          </w:p>
          <w:p w14:paraId="39D746D1" w14:textId="77777777" w:rsidR="7F96C8C6" w:rsidRPr="004C70EC" w:rsidRDefault="7F96C8C6">
            <w:pPr>
              <w:rPr>
                <w:noProof/>
                <w:color w:val="000000" w:themeColor="text1"/>
                <w:szCs w:val="24"/>
                <w:lang w:val="en-US"/>
              </w:rPr>
            </w:pPr>
            <w:r w:rsidRPr="004C70EC">
              <w:rPr>
                <w:noProof/>
                <w:color w:val="000000" w:themeColor="text1"/>
                <w:szCs w:val="24"/>
              </w:rPr>
              <w:t xml:space="preserve">Member States shall suspend or revoke a regulatory sandbox at any time on their own motion, or at the request of the Commission in accordance with paragraph 9, in either of the following cases: (a) </w:t>
            </w:r>
            <w:r w:rsidRPr="004C70EC">
              <w:rPr>
                <w:noProof/>
                <w:color w:val="000000" w:themeColor="text1"/>
                <w:szCs w:val="24"/>
                <w:lang w:val="en-US"/>
              </w:rPr>
              <w:t xml:space="preserve">the requirements and conditions governing the regulatory sandbox plan are not met; (b) where necessary to protect public health, animal health or welfare, plant health or the environment and there is no possibility for effective mitigation measures. </w:t>
            </w:r>
          </w:p>
          <w:p w14:paraId="12C48935" w14:textId="77777777" w:rsidR="7F96C8C6" w:rsidRPr="004C70EC" w:rsidRDefault="7F96C8C6">
            <w:pPr>
              <w:rPr>
                <w:noProof/>
                <w:color w:val="000000" w:themeColor="text1"/>
                <w:szCs w:val="24"/>
                <w:lang w:val="en-US"/>
              </w:rPr>
            </w:pPr>
            <w:r w:rsidRPr="004C70EC">
              <w:rPr>
                <w:noProof/>
                <w:color w:val="000000" w:themeColor="text1"/>
                <w:szCs w:val="24"/>
                <w:lang w:val="en-US"/>
              </w:rPr>
              <w:t>Member States shall inform the Commission, the Authority and the other Member States without delay of the suspension or revocation of a regulatory sandbox and of the reasons.</w:t>
            </w:r>
          </w:p>
          <w:p w14:paraId="18D08275" w14:textId="77777777" w:rsidR="7F96C8C6" w:rsidRPr="004C70EC" w:rsidRDefault="7F96C8C6">
            <w:pPr>
              <w:rPr>
                <w:noProof/>
                <w:color w:val="000000" w:themeColor="text1"/>
                <w:szCs w:val="24"/>
              </w:rPr>
            </w:pPr>
            <w:r w:rsidRPr="004C70EC">
              <w:rPr>
                <w:noProof/>
                <w:color w:val="000000" w:themeColor="text1"/>
                <w:szCs w:val="24"/>
                <w:lang w:val="en-US"/>
              </w:rPr>
              <w:t xml:space="preserve">Where after the setting up of a regulatory sandbox in their territory, a Member State identifies risks </w:t>
            </w:r>
            <w:r w:rsidRPr="004C70EC">
              <w:rPr>
                <w:noProof/>
                <w:color w:val="000000" w:themeColor="text1"/>
                <w:szCs w:val="24"/>
              </w:rPr>
              <w:t xml:space="preserve">to public health, animal health and welfare, plant health and to the environment which can be fully mitigated by amendments to the regulatory sandbox plan, it shall communicate to the Commission, the Authority and the other Member States the  draft amendments in accordance with the procedure laid down in Article 49b. </w:t>
            </w:r>
          </w:p>
          <w:p w14:paraId="122991EE" w14:textId="77777777" w:rsidR="7F96C8C6" w:rsidRPr="004C70EC" w:rsidRDefault="7F96C8C6">
            <w:pPr>
              <w:rPr>
                <w:noProof/>
                <w:color w:val="000000" w:themeColor="text1"/>
                <w:szCs w:val="24"/>
              </w:rPr>
            </w:pPr>
            <w:r w:rsidRPr="004C70EC">
              <w:rPr>
                <w:noProof/>
                <w:color w:val="000000" w:themeColor="text1"/>
                <w:szCs w:val="24"/>
              </w:rPr>
              <w:t xml:space="preserve">Where the Commission considers that one of the cases referred to in paragraph 7 is fulfilled, it shall immediately adopt implementing acts.in accordance with the procedure referred to in Article 58(2) requesting the suspension or the revocation of the regulatory sandbox concerned. </w:t>
            </w:r>
          </w:p>
          <w:p w14:paraId="5FD01F9E" w14:textId="77777777" w:rsidR="7F96C8C6" w:rsidRPr="004C70EC" w:rsidRDefault="7F96C8C6">
            <w:pPr>
              <w:rPr>
                <w:noProof/>
                <w:color w:val="000000" w:themeColor="text1"/>
                <w:szCs w:val="24"/>
              </w:rPr>
            </w:pPr>
            <w:r w:rsidRPr="004C70EC">
              <w:rPr>
                <w:noProof/>
                <w:color w:val="000000" w:themeColor="text1"/>
                <w:szCs w:val="24"/>
              </w:rPr>
              <w:t xml:space="preserve">However, in emergencies, the Commission may provisionally adopt an implementing act requesting the suspension of the regulatory sandbox concerned after consulting the Member State(s) concerned and informing the other Member States. As soon as possible, and at most within 10 working days, the measure taken shall be confirmed, amended or revoked in accordance with the procedure referred to in Article 58(2) and the reasons for the Commission’s decision shall be made public without delay. </w:t>
            </w:r>
          </w:p>
          <w:p w14:paraId="4E59C72A" w14:textId="77777777" w:rsidR="7F96C8C6" w:rsidRPr="004C70EC" w:rsidRDefault="7F96C8C6">
            <w:pPr>
              <w:rPr>
                <w:noProof/>
                <w:color w:val="000000" w:themeColor="text1"/>
                <w:szCs w:val="24"/>
              </w:rPr>
            </w:pPr>
            <w:r w:rsidRPr="004C70EC">
              <w:rPr>
                <w:noProof/>
                <w:color w:val="000000" w:themeColor="text1"/>
                <w:szCs w:val="24"/>
              </w:rPr>
              <w:t xml:space="preserve">A Member State may prolong the duration once of a regulatory sandbox for a limited time where this is justified by the need to attain the objective of the specific regulatory sandbox at hand and shall inform the Commission, the Authority and the other Member States thereof. </w:t>
            </w:r>
          </w:p>
          <w:p w14:paraId="653A7D22" w14:textId="77777777" w:rsidR="7F96C8C6" w:rsidRPr="004C70EC" w:rsidRDefault="7F96C8C6">
            <w:pPr>
              <w:jc w:val="left"/>
              <w:rPr>
                <w:noProof/>
                <w:color w:val="000000" w:themeColor="text1"/>
                <w:szCs w:val="24"/>
              </w:rPr>
            </w:pPr>
            <w:r w:rsidRPr="004C70EC">
              <w:rPr>
                <w:noProof/>
                <w:color w:val="000000" w:themeColor="text1"/>
                <w:szCs w:val="24"/>
              </w:rPr>
              <w:t xml:space="preserve">The Commission may, by means of implementing acts, specify common principles or  practical arrangements for the establishment and supervision of regulatory sandboxes, including the establishment of sandboxes involving several Member States pursuant to this Article, Article 49b and  49c .Those implementing acts shall be adopted in accordance with the procedure referred to in Article 58(2). </w:t>
            </w:r>
          </w:p>
          <w:p w14:paraId="0FDF6A41" w14:textId="77777777" w:rsidR="7F96C8C6" w:rsidRPr="004C70EC" w:rsidRDefault="7F96C8C6" w:rsidP="004A1163">
            <w:pPr>
              <w:spacing w:before="0" w:after="160" w:line="257" w:lineRule="auto"/>
              <w:rPr>
                <w:noProof/>
                <w:color w:val="000000" w:themeColor="text1"/>
                <w:szCs w:val="24"/>
              </w:rPr>
            </w:pPr>
            <w:r w:rsidRPr="004C70EC">
              <w:rPr>
                <w:noProof/>
                <w:color w:val="000000" w:themeColor="text1"/>
                <w:szCs w:val="24"/>
              </w:rPr>
              <w:t xml:space="preserve"> </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08FBFE7B" w14:textId="77777777" w:rsidR="7F96C8C6" w:rsidRPr="004C70EC" w:rsidRDefault="7F96C8C6">
            <w:pPr>
              <w:rPr>
                <w:noProof/>
                <w:color w:val="000000" w:themeColor="text1"/>
                <w:szCs w:val="24"/>
              </w:rPr>
            </w:pPr>
            <w:r w:rsidRPr="004C70EC">
              <w:rPr>
                <w:noProof/>
                <w:color w:val="000000" w:themeColor="text1"/>
                <w:szCs w:val="24"/>
              </w:rPr>
              <w:t>Member States, Commission</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465E775F" w14:textId="77777777" w:rsidR="7F96C8C6" w:rsidRPr="004C70EC" w:rsidRDefault="7F96C8C6">
            <w:pPr>
              <w:rPr>
                <w:noProof/>
                <w:color w:val="000000" w:themeColor="text1"/>
                <w:szCs w:val="24"/>
              </w:rPr>
            </w:pPr>
            <w:r w:rsidRPr="004C70EC">
              <w:rPr>
                <w:noProof/>
                <w:color w:val="000000" w:themeColor="text1"/>
                <w:szCs w:val="24"/>
              </w:rPr>
              <w:t>Monitoring and Supervision, 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31164451"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135042A5"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5AB3E590" w14:textId="77777777" w:rsidR="7F96C8C6" w:rsidRPr="004C70EC" w:rsidRDefault="7F96C8C6">
            <w:pPr>
              <w:rPr>
                <w:i/>
                <w:noProof/>
                <w:color w:val="000000" w:themeColor="text1"/>
                <w:szCs w:val="24"/>
              </w:rPr>
            </w:pPr>
            <w:r w:rsidRPr="004C70EC">
              <w:rPr>
                <w:i/>
                <w:noProof/>
                <w:color w:val="000000" w:themeColor="text1"/>
                <w:szCs w:val="24"/>
              </w:rPr>
              <w:t>Article [56] Amendments to Regulation (EC) No 178/2002 (General Food Law): Article 49b</w:t>
            </w:r>
          </w:p>
          <w:p w14:paraId="427A9F14" w14:textId="77777777" w:rsidR="7F96C8C6" w:rsidRPr="004C70EC" w:rsidRDefault="7F96C8C6">
            <w:pPr>
              <w:rPr>
                <w:i/>
                <w:noProof/>
                <w:color w:val="000000" w:themeColor="text1"/>
                <w:szCs w:val="24"/>
              </w:rPr>
            </w:pPr>
            <w:r w:rsidRPr="004C70EC">
              <w:rPr>
                <w:i/>
                <w:noProof/>
                <w:color w:val="000000" w:themeColor="text1"/>
                <w:szCs w:val="24"/>
              </w:rPr>
              <w:t>Establishment of regulatory sandboxes at national level</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75358CF7" w14:textId="77777777" w:rsidR="7F96C8C6" w:rsidRPr="004C70EC" w:rsidRDefault="7F96C8C6" w:rsidP="004A1163">
            <w:pPr>
              <w:spacing w:before="0" w:after="0" w:line="257" w:lineRule="auto"/>
              <w:jc w:val="left"/>
              <w:rPr>
                <w:noProof/>
                <w:color w:val="000000" w:themeColor="text1"/>
                <w:szCs w:val="24"/>
              </w:rPr>
            </w:pPr>
            <w:r w:rsidRPr="004C70EC">
              <w:rPr>
                <w:noProof/>
                <w:color w:val="000000" w:themeColor="text1"/>
                <w:szCs w:val="24"/>
                <w:lang w:val="en-US"/>
              </w:rPr>
              <w:t>Where a Member State deems it appropriate to establish a regulatory sandbox pursuant to Article 49a, it shall communicate to the Commission, the Authority and the other Member States a</w:t>
            </w:r>
            <w:r w:rsidRPr="004C70EC">
              <w:rPr>
                <w:noProof/>
                <w:color w:val="000000" w:themeColor="text1"/>
                <w:szCs w:val="24"/>
              </w:rPr>
              <w:t xml:space="preserve"> draft regulatory sandbox plan 60 days prior to the commencement </w:t>
            </w:r>
          </w:p>
          <w:p w14:paraId="226DE39B"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 xml:space="preserve"> </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6CC17F28" w14:textId="77777777" w:rsidR="7F96C8C6" w:rsidRPr="004C70EC" w:rsidRDefault="7F96C8C6">
            <w:pPr>
              <w:rPr>
                <w:noProof/>
                <w:color w:val="000000" w:themeColor="text1"/>
                <w:szCs w:val="24"/>
              </w:rPr>
            </w:pPr>
            <w:r w:rsidRPr="004C70EC">
              <w:rPr>
                <w:noProof/>
                <w:color w:val="000000" w:themeColor="text1"/>
                <w:szCs w:val="24"/>
              </w:rPr>
              <w:t>Commission, EFSA, Member State authorities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5638172B" w14:textId="77777777" w:rsidR="7F96C8C6" w:rsidRPr="004C70EC" w:rsidRDefault="7F96C8C6">
            <w:pPr>
              <w:rPr>
                <w:noProof/>
                <w:color w:val="000000" w:themeColor="text1"/>
                <w:szCs w:val="24"/>
              </w:rPr>
            </w:pPr>
            <w:r w:rsidRPr="004C70EC">
              <w:rPr>
                <w:noProof/>
                <w:color w:val="000000" w:themeColor="text1"/>
                <w:szCs w:val="24"/>
              </w:rPr>
              <w:t>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40DDAD5B"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1A237D99"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09196B78" w14:textId="77777777" w:rsidR="7F96C8C6" w:rsidRPr="004C70EC" w:rsidRDefault="7F96C8C6">
            <w:pPr>
              <w:rPr>
                <w:i/>
                <w:noProof/>
                <w:color w:val="000000" w:themeColor="text1"/>
                <w:szCs w:val="24"/>
              </w:rPr>
            </w:pPr>
            <w:r w:rsidRPr="004C70EC">
              <w:rPr>
                <w:i/>
                <w:noProof/>
                <w:color w:val="000000" w:themeColor="text1"/>
                <w:szCs w:val="24"/>
              </w:rPr>
              <w:t>Article [56] Amendments to Regulation (EC) No 178/2002 (General Food Law): Article 49c</w:t>
            </w:r>
          </w:p>
          <w:p w14:paraId="2F3C7E90" w14:textId="77777777" w:rsidR="7F96C8C6" w:rsidRPr="004C70EC" w:rsidRDefault="7F96C8C6">
            <w:pPr>
              <w:rPr>
                <w:i/>
                <w:noProof/>
                <w:color w:val="000000" w:themeColor="text1"/>
                <w:szCs w:val="24"/>
              </w:rPr>
            </w:pPr>
            <w:r w:rsidRPr="004C70EC">
              <w:rPr>
                <w:i/>
                <w:noProof/>
                <w:color w:val="000000" w:themeColor="text1"/>
                <w:szCs w:val="24"/>
              </w:rPr>
              <w:t>Other responsibilities, monitoring and reporting obligations regarding regulatory sandboxes</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3ED014FB" w14:textId="77777777" w:rsidR="7F96C8C6" w:rsidRPr="004C70EC" w:rsidRDefault="7F96C8C6" w:rsidP="004A1163">
            <w:pPr>
              <w:ind w:left="-47"/>
              <w:jc w:val="left"/>
              <w:rPr>
                <w:noProof/>
                <w:color w:val="000000" w:themeColor="text1"/>
                <w:szCs w:val="24"/>
              </w:rPr>
            </w:pPr>
            <w:r w:rsidRPr="004C70EC">
              <w:rPr>
                <w:noProof/>
                <w:color w:val="000000" w:themeColor="text1"/>
                <w:szCs w:val="24"/>
              </w:rPr>
              <w:t>Regulatory sandboxes shall not affect the enforcement and monitoring responsibilities of the competent authorities set out in Article 17 and in other sectoral legislation. Participants, with the exception of final consumers, in particular the operator that is the developer of the product or substance concerned, shall remain liable under applicable national legislation for any harm inflicted on third parties as a result from the testing taking place in the sandbox.</w:t>
            </w:r>
          </w:p>
          <w:p w14:paraId="4FC1C3A4" w14:textId="77777777" w:rsidR="7F96C8C6" w:rsidRPr="004C70EC" w:rsidRDefault="7F96C8C6" w:rsidP="004A1163">
            <w:pPr>
              <w:ind w:left="-47"/>
              <w:jc w:val="left"/>
              <w:rPr>
                <w:noProof/>
                <w:color w:val="000000" w:themeColor="text1"/>
                <w:szCs w:val="24"/>
              </w:rPr>
            </w:pPr>
            <w:r w:rsidRPr="004C70EC">
              <w:rPr>
                <w:noProof/>
                <w:color w:val="000000" w:themeColor="text1"/>
                <w:szCs w:val="24"/>
              </w:rPr>
              <w:t xml:space="preserve">Member States shall submit annual reports to the Commission on the results from the implementation of regulatory sandboxes, including good practices developed, lessons learnt and recommendations on their setup and, where relevant, on the application of the relevant sectorial Union legislation. Those reports shall be made publicly available by the Commission. </w:t>
            </w:r>
          </w:p>
          <w:p w14:paraId="577B37FA" w14:textId="77777777" w:rsidR="7F96C8C6" w:rsidRPr="004C70EC" w:rsidRDefault="7F96C8C6" w:rsidP="004A1163">
            <w:pPr>
              <w:ind w:left="-47"/>
              <w:jc w:val="left"/>
              <w:rPr>
                <w:noProof/>
                <w:color w:val="000000" w:themeColor="text1"/>
                <w:szCs w:val="24"/>
              </w:rPr>
            </w:pPr>
            <w:r w:rsidRPr="004C70EC">
              <w:rPr>
                <w:noProof/>
                <w:color w:val="000000" w:themeColor="text1"/>
                <w:szCs w:val="24"/>
              </w:rPr>
              <w:t>The Authority shall also ensure the necessary revisions of its guidance where relevant and appropriate on the basis of those annual reports.</w:t>
            </w:r>
          </w:p>
          <w:p w14:paraId="2D1F6403" w14:textId="77777777" w:rsidR="7F96C8C6" w:rsidRPr="004C70EC" w:rsidRDefault="7F96C8C6" w:rsidP="004A1163">
            <w:pPr>
              <w:spacing w:before="0" w:after="160" w:line="257" w:lineRule="auto"/>
              <w:rPr>
                <w:noProof/>
                <w:color w:val="000000" w:themeColor="text1"/>
                <w:szCs w:val="24"/>
              </w:rPr>
            </w:pPr>
            <w:r w:rsidRPr="004C70EC">
              <w:rPr>
                <w:noProof/>
                <w:color w:val="000000" w:themeColor="text1"/>
                <w:szCs w:val="24"/>
              </w:rPr>
              <w:t xml:space="preserve"> </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284C9A0A" w14:textId="77777777" w:rsidR="7F96C8C6" w:rsidRPr="004C70EC" w:rsidRDefault="7F96C8C6">
            <w:pPr>
              <w:rPr>
                <w:noProof/>
                <w:color w:val="000000" w:themeColor="text1"/>
                <w:szCs w:val="24"/>
              </w:rPr>
            </w:pPr>
            <w:r w:rsidRPr="004C70EC">
              <w:rPr>
                <w:noProof/>
                <w:color w:val="000000" w:themeColor="text1"/>
                <w:szCs w:val="24"/>
              </w:rPr>
              <w:t>Commission, Agency (EFSA), Member State authorities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1DBE2808" w14:textId="77777777" w:rsidR="7F96C8C6" w:rsidRPr="004C70EC" w:rsidRDefault="7F96C8C6">
            <w:pPr>
              <w:rPr>
                <w:noProof/>
                <w:color w:val="000000" w:themeColor="text1"/>
                <w:szCs w:val="24"/>
              </w:rPr>
            </w:pPr>
            <w:r w:rsidRPr="004C70EC">
              <w:rPr>
                <w:noProof/>
                <w:color w:val="000000" w:themeColor="text1"/>
                <w:szCs w:val="24"/>
              </w:rPr>
              <w:t>Monitoring, 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23128FCD"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974A2F" w14:paraId="7555B681"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5E960D0E" w14:textId="77777777" w:rsidR="7F96C8C6" w:rsidRPr="004C70EC" w:rsidRDefault="7F96C8C6">
            <w:pPr>
              <w:rPr>
                <w:i/>
                <w:noProof/>
                <w:color w:val="000000" w:themeColor="text1"/>
                <w:szCs w:val="24"/>
              </w:rPr>
            </w:pPr>
            <w:r w:rsidRPr="004C70EC">
              <w:rPr>
                <w:i/>
                <w:noProof/>
                <w:color w:val="000000" w:themeColor="text1"/>
                <w:szCs w:val="24"/>
              </w:rPr>
              <w:t>Article [58]</w:t>
            </w:r>
            <w:r w:rsidRPr="004C70EC">
              <w:rPr>
                <w:noProof/>
                <w:color w:val="000000" w:themeColor="text1"/>
                <w:szCs w:val="24"/>
              </w:rPr>
              <w:t xml:space="preserve"> </w:t>
            </w:r>
            <w:r w:rsidRPr="004C70EC">
              <w:rPr>
                <w:i/>
                <w:noProof/>
                <w:color w:val="000000" w:themeColor="text1"/>
                <w:szCs w:val="24"/>
              </w:rPr>
              <w:t>Amendments to Regulation (EU) No 536/2014 (‘Clinical Trials Regulation’)</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3D7FADF3"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 xml:space="preserve">Article 5: Submission of an application through EU portal </w:t>
            </w:r>
          </w:p>
          <w:p w14:paraId="66411147"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 xml:space="preserve">Article 6: Assessment report by the reporting Member State— Aspects covered by Part I </w:t>
            </w:r>
          </w:p>
          <w:p w14:paraId="6940AE00"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7: Assessment report - Aspects covered by Part II</w:t>
            </w:r>
          </w:p>
          <w:p w14:paraId="716034B3"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 xml:space="preserve">Article 8: Decision on the clinical trial by Member States to sponsor </w:t>
            </w:r>
          </w:p>
          <w:p w14:paraId="12D2BD27"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9: Persons assessing the application</w:t>
            </w:r>
          </w:p>
          <w:p w14:paraId="39AF3A0A"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 xml:space="preserve">Article 14c: Coordinated assessment for the authorisation of combined studies </w:t>
            </w:r>
          </w:p>
          <w:p w14:paraId="1252664E"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17: Validation of an application for the authorisation of a substantial modification of an aspect covered by Part I of the assessment report</w:t>
            </w:r>
          </w:p>
          <w:p w14:paraId="7E2B7B8D"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19: Decision on the substantial modification of an aspect covered by Part I of the assessment report</w:t>
            </w:r>
          </w:p>
          <w:p w14:paraId="652FB96C"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20: validation, assessment and decision regarding a substantial modification of an aspect covered by Part II of the assessment report</w:t>
            </w:r>
          </w:p>
          <w:p w14:paraId="72E93EF8"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21: Substantial modification of aspects covered by Parts I and II of the assessment report</w:t>
            </w:r>
          </w:p>
          <w:p w14:paraId="7921AF05"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 xml:space="preserve">Article 25: Data submitted in the application dossier </w:t>
            </w:r>
          </w:p>
          <w:p w14:paraId="1C4447A2" w14:textId="77777777" w:rsidR="7F96C8C6" w:rsidRPr="004C70EC" w:rsidRDefault="7F96C8C6" w:rsidP="004A1163">
            <w:pPr>
              <w:spacing w:line="257" w:lineRule="auto"/>
              <w:rPr>
                <w:noProof/>
                <w:color w:val="000000" w:themeColor="text1"/>
                <w:szCs w:val="24"/>
              </w:rPr>
            </w:pPr>
            <w:r w:rsidRPr="004C70EC">
              <w:rPr>
                <w:noProof/>
                <w:color w:val="000000" w:themeColor="text1"/>
                <w:szCs w:val="24"/>
              </w:rPr>
              <w:t xml:space="preserve">   </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027CCC3A" w14:textId="77777777" w:rsidR="7F96C8C6" w:rsidRPr="004C70EC" w:rsidRDefault="7F96C8C6">
            <w:pPr>
              <w:rPr>
                <w:noProof/>
                <w:color w:val="000000" w:themeColor="text1"/>
                <w:szCs w:val="24"/>
              </w:rPr>
            </w:pPr>
            <w:r w:rsidRPr="004C70EC">
              <w:rPr>
                <w:noProof/>
                <w:color w:val="000000" w:themeColor="text1"/>
                <w:szCs w:val="24"/>
              </w:rPr>
              <w:t>Biotechnology industry actors, Commission, Agency,  Member States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08B36D4B" w14:textId="77777777" w:rsidR="7F96C8C6" w:rsidRPr="004C70EC" w:rsidRDefault="7F96C8C6">
            <w:pPr>
              <w:rPr>
                <w:noProof/>
                <w:color w:val="000000" w:themeColor="text1"/>
                <w:szCs w:val="24"/>
              </w:rPr>
            </w:pPr>
            <w:r w:rsidRPr="004C70EC">
              <w:rPr>
                <w:noProof/>
                <w:color w:val="000000" w:themeColor="text1"/>
                <w:szCs w:val="24"/>
              </w:rPr>
              <w:t>Submission of an application, Information exchange, access to application</w:t>
            </w:r>
          </w:p>
          <w:p w14:paraId="66748DC5" w14:textId="77777777" w:rsidR="7F96C8C6" w:rsidRPr="004C70EC" w:rsidRDefault="7F96C8C6">
            <w:pPr>
              <w:rPr>
                <w:noProof/>
                <w:color w:val="000000" w:themeColor="text1"/>
                <w:szCs w:val="24"/>
              </w:rPr>
            </w:pPr>
            <w:r w:rsidRPr="004C70EC">
              <w:rPr>
                <w:noProof/>
                <w:color w:val="000000" w:themeColor="text1"/>
                <w:szCs w:val="24"/>
              </w:rPr>
              <w:t xml:space="preserve"> </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206F9FE4" w14:textId="77777777" w:rsidR="7F96C8C6" w:rsidRPr="004C70EC" w:rsidRDefault="7F96C8C6">
            <w:pPr>
              <w:rPr>
                <w:noProof/>
                <w:color w:val="000000" w:themeColor="text1"/>
                <w:szCs w:val="24"/>
                <w:lang w:val="fr"/>
              </w:rPr>
            </w:pPr>
            <w:r w:rsidRPr="004C70EC">
              <w:rPr>
                <w:noProof/>
                <w:color w:val="000000" w:themeColor="text1"/>
                <w:szCs w:val="24"/>
                <w:lang w:val="fr"/>
              </w:rPr>
              <w:t>Data, Process automation, EU portal</w:t>
            </w:r>
          </w:p>
        </w:tc>
      </w:tr>
      <w:tr w:rsidR="004A1163" w:rsidRPr="004C70EC" w14:paraId="58650E85"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74477A68" w14:textId="77777777" w:rsidR="7F96C8C6" w:rsidRPr="004C70EC" w:rsidRDefault="7F96C8C6">
            <w:pPr>
              <w:rPr>
                <w:noProof/>
                <w:color w:val="000000" w:themeColor="text1"/>
                <w:szCs w:val="24"/>
              </w:rPr>
            </w:pPr>
            <w:r w:rsidRPr="004C70EC">
              <w:rPr>
                <w:i/>
                <w:noProof/>
                <w:color w:val="000000" w:themeColor="text1"/>
                <w:szCs w:val="24"/>
              </w:rPr>
              <w:t>Article [58]</w:t>
            </w:r>
            <w:r w:rsidRPr="004C70EC">
              <w:rPr>
                <w:noProof/>
                <w:color w:val="000000" w:themeColor="text1"/>
                <w:szCs w:val="24"/>
              </w:rPr>
              <w:t xml:space="preserve"> </w:t>
            </w:r>
            <w:r w:rsidRPr="004C70EC">
              <w:rPr>
                <w:i/>
                <w:noProof/>
                <w:color w:val="000000" w:themeColor="text1"/>
                <w:szCs w:val="24"/>
              </w:rPr>
              <w:t>Amendments to Regulation (EU) No 536/2014 (‘Clinical Trials Regulation’)/</w:t>
            </w:r>
            <w:r w:rsidRPr="004C70EC">
              <w:rPr>
                <w:noProof/>
                <w:color w:val="000000" w:themeColor="text1"/>
                <w:szCs w:val="24"/>
              </w:rPr>
              <w:t>Article 27e: Use of AI in Clinical Trials</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752FD83F" w14:textId="77777777" w:rsidR="7F96C8C6" w:rsidRPr="004C70EC" w:rsidRDefault="7F96C8C6" w:rsidP="004A1163">
            <w:pPr>
              <w:spacing w:line="257" w:lineRule="auto"/>
              <w:rPr>
                <w:noProof/>
                <w:color w:val="000000" w:themeColor="text1"/>
                <w:szCs w:val="24"/>
              </w:rPr>
            </w:pPr>
            <w:r w:rsidRPr="004C70EC">
              <w:rPr>
                <w:noProof/>
                <w:color w:val="000000" w:themeColor="text1"/>
                <w:szCs w:val="24"/>
              </w:rPr>
              <w:t>Sponsors shall evaluate AI models or AI systems proposed to be used in the context of the lifecycle of the specific clinical trial</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4787DB74" w14:textId="77777777" w:rsidR="7F96C8C6" w:rsidRPr="004C70EC" w:rsidRDefault="7F96C8C6">
            <w:pPr>
              <w:rPr>
                <w:noProof/>
                <w:color w:val="000000" w:themeColor="text1"/>
                <w:szCs w:val="24"/>
              </w:rPr>
            </w:pPr>
            <w:r w:rsidRPr="004C70EC">
              <w:rPr>
                <w:noProof/>
                <w:color w:val="000000" w:themeColor="text1"/>
                <w:szCs w:val="24"/>
              </w:rPr>
              <w:t>Biotechnology industry actors, Commission, Agency,  Member States</w:t>
            </w:r>
          </w:p>
          <w:p w14:paraId="41FAC0A4" w14:textId="77777777" w:rsidR="7F96C8C6" w:rsidRPr="004C70EC" w:rsidRDefault="7F96C8C6">
            <w:pPr>
              <w:rPr>
                <w:noProof/>
                <w:color w:val="000000" w:themeColor="text1"/>
                <w:szCs w:val="24"/>
              </w:rPr>
            </w:pPr>
            <w:r w:rsidRPr="004C70EC">
              <w:rPr>
                <w:noProof/>
                <w:color w:val="000000" w:themeColor="text1"/>
                <w:szCs w:val="24"/>
              </w:rPr>
              <w:t xml:space="preserve"> </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4BBD22B4" w14:textId="77777777" w:rsidR="7F96C8C6" w:rsidRPr="004C70EC" w:rsidRDefault="7F96C8C6">
            <w:pPr>
              <w:rPr>
                <w:noProof/>
                <w:color w:val="000000" w:themeColor="text1"/>
                <w:szCs w:val="24"/>
              </w:rPr>
            </w:pPr>
            <w:r w:rsidRPr="004C70EC">
              <w:rPr>
                <w:noProof/>
                <w:color w:val="000000" w:themeColor="text1"/>
                <w:szCs w:val="24"/>
              </w:rPr>
              <w:t>Evaluation of AI models</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31E9260A"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651DE282"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37EAE9B2" w14:textId="77777777" w:rsidR="7F96C8C6" w:rsidRPr="004C70EC" w:rsidRDefault="7F96C8C6">
            <w:pPr>
              <w:rPr>
                <w:i/>
                <w:noProof/>
                <w:color w:val="000000" w:themeColor="text1"/>
                <w:szCs w:val="24"/>
              </w:rPr>
            </w:pPr>
            <w:r w:rsidRPr="004C70EC">
              <w:rPr>
                <w:i/>
                <w:noProof/>
                <w:color w:val="000000" w:themeColor="text1"/>
                <w:szCs w:val="24"/>
              </w:rPr>
              <w:t>Article [58]</w:t>
            </w:r>
            <w:r w:rsidRPr="004C70EC">
              <w:rPr>
                <w:noProof/>
                <w:color w:val="000000" w:themeColor="text1"/>
                <w:szCs w:val="24"/>
              </w:rPr>
              <w:t xml:space="preserve"> </w:t>
            </w:r>
            <w:r w:rsidRPr="004C70EC">
              <w:rPr>
                <w:i/>
                <w:noProof/>
                <w:color w:val="000000" w:themeColor="text1"/>
                <w:szCs w:val="24"/>
              </w:rPr>
              <w:t>Amendments to Regulation (EU) No 536/2014 (‘Clinical Trials Regulation’) Articles 41 –46, 55, 56-58, 79a regarding reporting requirements</w:t>
            </w:r>
          </w:p>
          <w:p w14:paraId="4A142249" w14:textId="77777777" w:rsidR="7F96C8C6" w:rsidRPr="004C70EC" w:rsidRDefault="7F96C8C6">
            <w:pPr>
              <w:rPr>
                <w:i/>
                <w:noProof/>
                <w:color w:val="000000" w:themeColor="text1"/>
                <w:szCs w:val="24"/>
              </w:rPr>
            </w:pPr>
            <w:r w:rsidRPr="004C70EC">
              <w:rPr>
                <w:i/>
                <w:noProof/>
                <w:color w:val="000000" w:themeColor="text1"/>
                <w:szCs w:val="24"/>
              </w:rPr>
              <w:t xml:space="preserve">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01743572"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41: Reporting of adverse events and serious adverse events by the investigator to the sponsor</w:t>
            </w:r>
          </w:p>
          <w:p w14:paraId="6233119B"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42: Reporting of suspected unexpected serious adverse reactions by the sponsor to the Agency</w:t>
            </w:r>
          </w:p>
          <w:p w14:paraId="5C37542E"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43: Annual reporting by the sponsor to the Agency</w:t>
            </w:r>
          </w:p>
          <w:p w14:paraId="51A54B17"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44: Assessment by Member States</w:t>
            </w:r>
          </w:p>
          <w:p w14:paraId="4D3E9E27"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46: Reporting with regard to auxiliary medicinal products</w:t>
            </w:r>
          </w:p>
          <w:p w14:paraId="76460E1D"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48: Monitoring</w:t>
            </w:r>
          </w:p>
          <w:p w14:paraId="78986777"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52: Reporting of serious breaches</w:t>
            </w:r>
          </w:p>
          <w:p w14:paraId="09C64708"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55: Investigator’s brochure</w:t>
            </w:r>
          </w:p>
          <w:p w14:paraId="169FA8B1"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56: Recording, processing, handling and storage of clinical trial information:</w:t>
            </w:r>
          </w:p>
          <w:p w14:paraId="06175D47"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57: Clinical trial master file</w:t>
            </w:r>
          </w:p>
          <w:p w14:paraId="49623181"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58: Archiving of the clinical trial master file</w:t>
            </w:r>
          </w:p>
          <w:p w14:paraId="5711EAFE" w14:textId="77777777" w:rsidR="7F96C8C6" w:rsidRPr="004C70EC" w:rsidRDefault="7F96C8C6" w:rsidP="004A1163">
            <w:pPr>
              <w:spacing w:line="257" w:lineRule="auto"/>
              <w:rPr>
                <w:noProof/>
                <w:color w:val="000000" w:themeColor="text1"/>
                <w:szCs w:val="24"/>
              </w:rPr>
            </w:pPr>
            <w:r w:rsidRPr="004C70EC">
              <w:rPr>
                <w:noProof/>
                <w:color w:val="000000" w:themeColor="text1"/>
                <w:szCs w:val="24"/>
              </w:rPr>
              <w:t>Article 79a: Obligations as regards Union controls: Ensure that the necessary technical assistance and the available documentation, upon justified request, is being provided to the Commission as well as any other support that the Commission requests</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6570F6E6" w14:textId="77777777" w:rsidR="7F96C8C6" w:rsidRPr="004C70EC" w:rsidRDefault="7F96C8C6">
            <w:pPr>
              <w:rPr>
                <w:noProof/>
                <w:color w:val="000000" w:themeColor="text1"/>
                <w:szCs w:val="24"/>
              </w:rPr>
            </w:pPr>
            <w:r w:rsidRPr="004C70EC">
              <w:rPr>
                <w:noProof/>
                <w:color w:val="000000" w:themeColor="text1"/>
                <w:szCs w:val="24"/>
              </w:rPr>
              <w:t>Biotechnology industry actors, Commission, Agency,  Member States</w:t>
            </w:r>
          </w:p>
          <w:p w14:paraId="39BCD396" w14:textId="77777777" w:rsidR="7F96C8C6" w:rsidRPr="004C70EC" w:rsidRDefault="7F96C8C6">
            <w:pPr>
              <w:rPr>
                <w:noProof/>
                <w:color w:val="000000" w:themeColor="text1"/>
                <w:szCs w:val="24"/>
              </w:rPr>
            </w:pPr>
            <w:r w:rsidRPr="004C70EC">
              <w:rPr>
                <w:noProof/>
                <w:color w:val="000000" w:themeColor="text1"/>
                <w:szCs w:val="24"/>
              </w:rPr>
              <w:t xml:space="preserve"> </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1C0DE8E7" w14:textId="77777777" w:rsidR="7F96C8C6" w:rsidRPr="004C70EC" w:rsidRDefault="7F96C8C6">
            <w:pPr>
              <w:rPr>
                <w:noProof/>
                <w:color w:val="000000" w:themeColor="text1"/>
                <w:szCs w:val="24"/>
              </w:rPr>
            </w:pPr>
            <w:r w:rsidRPr="004C70EC">
              <w:rPr>
                <w:noProof/>
                <w:color w:val="000000" w:themeColor="text1"/>
                <w:szCs w:val="24"/>
              </w:rPr>
              <w:t>Reporting</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5CAC9D5D" w14:textId="77777777" w:rsidR="7F96C8C6" w:rsidRPr="004C70EC" w:rsidRDefault="7F96C8C6">
            <w:pPr>
              <w:rPr>
                <w:noProof/>
                <w:color w:val="000000" w:themeColor="text1"/>
                <w:szCs w:val="24"/>
              </w:rPr>
            </w:pPr>
            <w:r w:rsidRPr="004C70EC">
              <w:rPr>
                <w:noProof/>
                <w:color w:val="000000" w:themeColor="text1"/>
                <w:szCs w:val="24"/>
              </w:rPr>
              <w:t>Data, EU portal</w:t>
            </w:r>
          </w:p>
        </w:tc>
      </w:tr>
      <w:tr w:rsidR="004A1163" w:rsidRPr="00974A2F" w14:paraId="795DD863"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46877A61" w14:textId="77777777" w:rsidR="7F96C8C6" w:rsidRPr="004C70EC" w:rsidRDefault="7F96C8C6">
            <w:pPr>
              <w:rPr>
                <w:i/>
                <w:noProof/>
                <w:color w:val="000000" w:themeColor="text1"/>
                <w:szCs w:val="24"/>
              </w:rPr>
            </w:pPr>
            <w:r w:rsidRPr="004C70EC">
              <w:rPr>
                <w:i/>
                <w:noProof/>
                <w:color w:val="000000" w:themeColor="text1"/>
                <w:szCs w:val="24"/>
              </w:rPr>
              <w:t>Article [58]</w:t>
            </w:r>
            <w:r w:rsidRPr="004C70EC">
              <w:rPr>
                <w:noProof/>
                <w:color w:val="000000" w:themeColor="text1"/>
                <w:szCs w:val="24"/>
              </w:rPr>
              <w:t xml:space="preserve"> </w:t>
            </w:r>
            <w:r w:rsidRPr="004C70EC">
              <w:rPr>
                <w:i/>
                <w:noProof/>
                <w:color w:val="000000" w:themeColor="text1"/>
                <w:szCs w:val="24"/>
              </w:rPr>
              <w:t>Amendments to Regulation (EU) No 536/2014 (‘Clinical Trials Regulation’)</w:t>
            </w:r>
          </w:p>
          <w:p w14:paraId="566EBD52" w14:textId="77777777" w:rsidR="7F96C8C6" w:rsidRPr="004C70EC" w:rsidRDefault="7F96C8C6">
            <w:pPr>
              <w:rPr>
                <w:i/>
                <w:noProof/>
                <w:color w:val="000000" w:themeColor="text1"/>
                <w:szCs w:val="24"/>
              </w:rPr>
            </w:pPr>
            <w:r w:rsidRPr="004C70EC">
              <w:rPr>
                <w:i/>
                <w:noProof/>
                <w:color w:val="000000" w:themeColor="text1"/>
                <w:szCs w:val="24"/>
              </w:rPr>
              <w:t xml:space="preserve">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7161C3B5" w14:textId="77777777" w:rsidR="7F96C8C6" w:rsidRPr="004C70EC" w:rsidRDefault="7F96C8C6" w:rsidP="004A1163">
            <w:pPr>
              <w:spacing w:before="0" w:after="160" w:line="257" w:lineRule="auto"/>
              <w:rPr>
                <w:noProof/>
                <w:color w:val="000000" w:themeColor="text1"/>
                <w:szCs w:val="24"/>
                <w:lang w:val="en-US"/>
              </w:rPr>
            </w:pPr>
            <w:r w:rsidRPr="004C70EC">
              <w:rPr>
                <w:noProof/>
                <w:color w:val="000000" w:themeColor="text1"/>
                <w:szCs w:val="24"/>
              </w:rPr>
              <w:t xml:space="preserve">Article 81 is amended: </w:t>
            </w:r>
            <w:r w:rsidRPr="004C70EC">
              <w:rPr>
                <w:noProof/>
                <w:color w:val="000000" w:themeColor="text1"/>
                <w:szCs w:val="24"/>
                <w:lang w:val="en-US"/>
              </w:rPr>
              <w:t>The sponsor shall permanently update in the EU database information on any changes to the clinical trials which are not substantial modifications but are relevant for the supervision of the clinical trial. The sponsor shall also update the EU portal to satisfy a condition to which an authorisation decision is subject to.</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4E9DFD8D" w14:textId="77777777" w:rsidR="7F96C8C6" w:rsidRPr="004C70EC" w:rsidRDefault="7F96C8C6">
            <w:pPr>
              <w:rPr>
                <w:noProof/>
                <w:color w:val="000000" w:themeColor="text1"/>
                <w:szCs w:val="24"/>
              </w:rPr>
            </w:pPr>
            <w:r w:rsidRPr="004C70EC">
              <w:rPr>
                <w:noProof/>
                <w:color w:val="000000" w:themeColor="text1"/>
                <w:szCs w:val="24"/>
              </w:rPr>
              <w:t>Commission, Agency (EMA),  Member States</w:t>
            </w:r>
          </w:p>
          <w:p w14:paraId="1E14DB5F" w14:textId="77777777" w:rsidR="7F96C8C6" w:rsidRPr="004C70EC" w:rsidRDefault="7F96C8C6">
            <w:pPr>
              <w:rPr>
                <w:noProof/>
                <w:color w:val="000000" w:themeColor="text1"/>
                <w:szCs w:val="24"/>
              </w:rPr>
            </w:pPr>
            <w:r w:rsidRPr="004C70EC">
              <w:rPr>
                <w:noProof/>
                <w:color w:val="000000" w:themeColor="text1"/>
                <w:szCs w:val="24"/>
              </w:rPr>
              <w:t xml:space="preserve"> </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21309A7D" w14:textId="77777777" w:rsidR="7F96C8C6" w:rsidRPr="004C70EC" w:rsidRDefault="7F96C8C6">
            <w:pPr>
              <w:rPr>
                <w:noProof/>
                <w:color w:val="000000" w:themeColor="text1"/>
                <w:szCs w:val="24"/>
              </w:rPr>
            </w:pPr>
            <w:r w:rsidRPr="004C70EC">
              <w:rPr>
                <w:noProof/>
                <w:color w:val="000000" w:themeColor="text1"/>
                <w:szCs w:val="24"/>
              </w:rPr>
              <w:t>Reporting</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60A3721E" w14:textId="77777777" w:rsidR="7F96C8C6" w:rsidRPr="004C70EC" w:rsidRDefault="7F96C8C6">
            <w:pPr>
              <w:rPr>
                <w:noProof/>
                <w:color w:val="000000" w:themeColor="text1"/>
                <w:szCs w:val="24"/>
                <w:lang w:val="fr-BE"/>
              </w:rPr>
            </w:pPr>
            <w:r w:rsidRPr="004C70EC">
              <w:rPr>
                <w:noProof/>
                <w:color w:val="000000" w:themeColor="text1"/>
                <w:szCs w:val="24"/>
                <w:lang w:val="fr-BE"/>
              </w:rPr>
              <w:t>Data, digital solution, process automation, EU portal, EU database</w:t>
            </w:r>
          </w:p>
        </w:tc>
      </w:tr>
      <w:tr w:rsidR="004A1163" w:rsidRPr="004C70EC" w14:paraId="70FAE129"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204358F6" w14:textId="77777777" w:rsidR="7F96C8C6" w:rsidRPr="004C70EC" w:rsidRDefault="7F96C8C6">
            <w:pPr>
              <w:rPr>
                <w:i/>
                <w:noProof/>
                <w:color w:val="000000" w:themeColor="text1"/>
                <w:szCs w:val="24"/>
              </w:rPr>
            </w:pPr>
            <w:r w:rsidRPr="004C70EC">
              <w:rPr>
                <w:i/>
                <w:noProof/>
                <w:color w:val="000000" w:themeColor="text1"/>
                <w:szCs w:val="24"/>
              </w:rPr>
              <w:t>Article [58]</w:t>
            </w:r>
            <w:r w:rsidRPr="004C70EC">
              <w:rPr>
                <w:noProof/>
                <w:color w:val="000000" w:themeColor="text1"/>
                <w:szCs w:val="24"/>
              </w:rPr>
              <w:t xml:space="preserve"> </w:t>
            </w:r>
            <w:r w:rsidRPr="004C70EC">
              <w:rPr>
                <w:i/>
                <w:noProof/>
                <w:color w:val="000000" w:themeColor="text1"/>
                <w:szCs w:val="24"/>
              </w:rPr>
              <w:t>Amendments to Regulation (EU) No 536/2014 (‘Clinical Trials Regulation’)</w:t>
            </w:r>
          </w:p>
          <w:p w14:paraId="52B886BE" w14:textId="77777777" w:rsidR="7F96C8C6" w:rsidRPr="004C70EC" w:rsidRDefault="7F96C8C6">
            <w:pPr>
              <w:rPr>
                <w:i/>
                <w:noProof/>
                <w:color w:val="000000" w:themeColor="text1"/>
                <w:szCs w:val="24"/>
              </w:rPr>
            </w:pPr>
            <w:r w:rsidRPr="004C70EC">
              <w:rPr>
                <w:i/>
                <w:noProof/>
                <w:color w:val="000000" w:themeColor="text1"/>
                <w:szCs w:val="24"/>
              </w:rPr>
              <w:t xml:space="preserve"> </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0C161BC4" w14:textId="77777777" w:rsidR="7F96C8C6" w:rsidRPr="004C70EC" w:rsidRDefault="7F96C8C6" w:rsidP="004A1163">
            <w:pPr>
              <w:spacing w:before="0" w:after="0" w:line="257" w:lineRule="auto"/>
              <w:rPr>
                <w:noProof/>
                <w:color w:val="000000" w:themeColor="text1"/>
                <w:szCs w:val="24"/>
              </w:rPr>
            </w:pPr>
            <w:r w:rsidRPr="004C70EC">
              <w:rPr>
                <w:noProof/>
                <w:color w:val="000000" w:themeColor="text1"/>
                <w:szCs w:val="24"/>
              </w:rPr>
              <w:t>Article 93: Data protection: Sponsors shall comply with Regulation (EU) 2016/679 to process personal data, including data concerning health, in the public interest of health in the context of the entire lifecycle of a clinical trial, from the preparation of the application for the authorisation of the clinical trial to the end of the archiving period</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4733E187" w14:textId="77777777" w:rsidR="7F96C8C6" w:rsidRPr="004C70EC" w:rsidRDefault="7F96C8C6">
            <w:pPr>
              <w:rPr>
                <w:noProof/>
                <w:color w:val="000000" w:themeColor="text1"/>
                <w:szCs w:val="24"/>
              </w:rPr>
            </w:pPr>
            <w:r w:rsidRPr="004C70EC">
              <w:rPr>
                <w:noProof/>
                <w:color w:val="000000" w:themeColor="text1"/>
                <w:szCs w:val="24"/>
              </w:rPr>
              <w:t>Biotechnology industry actors, Commission, Agency,  Member States</w:t>
            </w:r>
          </w:p>
          <w:p w14:paraId="2C5FE225" w14:textId="77777777" w:rsidR="7F96C8C6" w:rsidRPr="004C70EC" w:rsidRDefault="7F96C8C6">
            <w:pPr>
              <w:rPr>
                <w:noProof/>
                <w:color w:val="000000" w:themeColor="text1"/>
                <w:szCs w:val="24"/>
              </w:rPr>
            </w:pPr>
            <w:r w:rsidRPr="004C70EC">
              <w:rPr>
                <w:noProof/>
                <w:color w:val="000000" w:themeColor="text1"/>
                <w:szCs w:val="24"/>
              </w:rPr>
              <w:t xml:space="preserve"> </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757360B5" w14:textId="77777777" w:rsidR="7F96C8C6" w:rsidRPr="004C70EC" w:rsidRDefault="7F96C8C6">
            <w:pPr>
              <w:rPr>
                <w:noProof/>
                <w:color w:val="000000" w:themeColor="text1"/>
                <w:szCs w:val="24"/>
              </w:rPr>
            </w:pPr>
            <w:r w:rsidRPr="004C70EC">
              <w:rPr>
                <w:noProof/>
                <w:color w:val="000000" w:themeColor="text1"/>
                <w:szCs w:val="24"/>
              </w:rPr>
              <w:t>Data protection</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6651F397"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6677823C"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639CE504" w14:textId="77777777" w:rsidR="7F96C8C6" w:rsidRPr="004C70EC" w:rsidRDefault="7F96C8C6">
            <w:pPr>
              <w:rPr>
                <w:i/>
                <w:noProof/>
                <w:color w:val="000000" w:themeColor="text1"/>
                <w:szCs w:val="24"/>
              </w:rPr>
            </w:pPr>
            <w:r w:rsidRPr="004C70EC">
              <w:rPr>
                <w:i/>
                <w:noProof/>
                <w:color w:val="000000" w:themeColor="text1"/>
                <w:szCs w:val="24"/>
              </w:rPr>
              <w:t>Article [59] Amendments to Regulation (EU) 2019/6 (Veterinary Medicine Products Regulation)</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150AC5DD" w14:textId="77777777" w:rsidR="7F96C8C6" w:rsidRPr="004C70EC" w:rsidRDefault="7F96C8C6">
            <w:pPr>
              <w:rPr>
                <w:noProof/>
                <w:color w:val="000000" w:themeColor="text1"/>
                <w:szCs w:val="24"/>
              </w:rPr>
            </w:pPr>
            <w:r w:rsidRPr="004C70EC">
              <w:rPr>
                <w:noProof/>
                <w:color w:val="000000" w:themeColor="text1"/>
                <w:szCs w:val="24"/>
              </w:rPr>
              <w:t xml:space="preserve">Article 61 (2). Where a variation as referred to in paragraph (1) affects the summary of product characteristics, labelling or package leaflet, the marketing authorisation holder shall record the change in the product database within 30 days after its implementation.  </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595568FB" w14:textId="77777777" w:rsidR="7F96C8C6" w:rsidRPr="004C70EC" w:rsidRDefault="7F96C8C6">
            <w:pPr>
              <w:rPr>
                <w:noProof/>
                <w:color w:val="000000" w:themeColor="text1"/>
                <w:szCs w:val="24"/>
              </w:rPr>
            </w:pPr>
            <w:r w:rsidRPr="004C70EC">
              <w:rPr>
                <w:noProof/>
                <w:color w:val="000000" w:themeColor="text1"/>
                <w:szCs w:val="24"/>
              </w:rPr>
              <w:t>Commission, Member State authorities, Agency</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3CA939C7" w14:textId="77777777" w:rsidR="7F96C8C6" w:rsidRPr="004C70EC" w:rsidRDefault="7F96C8C6">
            <w:pPr>
              <w:rPr>
                <w:noProof/>
                <w:color w:val="000000" w:themeColor="text1"/>
                <w:szCs w:val="24"/>
              </w:rPr>
            </w:pPr>
            <w:r w:rsidRPr="004C70EC">
              <w:rPr>
                <w:noProof/>
                <w:color w:val="000000" w:themeColor="text1"/>
                <w:szCs w:val="24"/>
              </w:rPr>
              <w:t>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431A63E8"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3EF35F1D"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11CC3887" w14:textId="77777777" w:rsidR="7F96C8C6" w:rsidRPr="004C70EC" w:rsidRDefault="7F96C8C6">
            <w:pPr>
              <w:rPr>
                <w:i/>
                <w:noProof/>
                <w:color w:val="000000" w:themeColor="text1"/>
                <w:szCs w:val="24"/>
              </w:rPr>
            </w:pPr>
            <w:r w:rsidRPr="004C70EC">
              <w:rPr>
                <w:i/>
                <w:noProof/>
                <w:color w:val="000000" w:themeColor="text1"/>
                <w:szCs w:val="24"/>
              </w:rPr>
              <w:t>Article [59]</w:t>
            </w:r>
          </w:p>
          <w:p w14:paraId="62A148C4" w14:textId="77777777" w:rsidR="7F96C8C6" w:rsidRPr="004C70EC" w:rsidRDefault="7F96C8C6">
            <w:pPr>
              <w:rPr>
                <w:i/>
                <w:noProof/>
                <w:color w:val="000000" w:themeColor="text1"/>
                <w:szCs w:val="24"/>
              </w:rPr>
            </w:pPr>
            <w:r w:rsidRPr="004C70EC">
              <w:rPr>
                <w:i/>
                <w:noProof/>
                <w:color w:val="000000" w:themeColor="text1"/>
                <w:szCs w:val="24"/>
              </w:rPr>
              <w:t>Amendments to Regulation (EU) 2019/6 (Veterinary Medicine Products Regulation)</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60716A1B" w14:textId="77777777" w:rsidR="7F96C8C6" w:rsidRPr="004C70EC" w:rsidRDefault="7F96C8C6">
            <w:pPr>
              <w:rPr>
                <w:noProof/>
                <w:color w:val="000000" w:themeColor="text1"/>
                <w:szCs w:val="24"/>
              </w:rPr>
            </w:pPr>
            <w:r w:rsidRPr="004C70EC">
              <w:rPr>
                <w:noProof/>
                <w:color w:val="000000" w:themeColor="text1"/>
                <w:szCs w:val="24"/>
              </w:rPr>
              <w:t>‘CHAPTER IX REGULATORY SANDBOX Article 136a Regulatory sandbox 5.After a sandbox is established, the Agency shall:</w:t>
            </w:r>
          </w:p>
          <w:p w14:paraId="7A008504" w14:textId="77777777" w:rsidR="7F96C8C6" w:rsidRPr="004C70EC" w:rsidRDefault="7F96C8C6">
            <w:pPr>
              <w:rPr>
                <w:noProof/>
                <w:color w:val="000000" w:themeColor="text1"/>
                <w:szCs w:val="24"/>
              </w:rPr>
            </w:pPr>
            <w:r w:rsidRPr="004C70EC">
              <w:rPr>
                <w:noProof/>
                <w:color w:val="000000" w:themeColor="text1"/>
                <w:szCs w:val="24"/>
              </w:rPr>
              <w:t>a)develop and make publicly available technical and scientific requirements for technologies, methods or products developed under the sandbox, taking due account of the potential risks of thereof for human and animal health and the environment;</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00FBEA49" w14:textId="77777777" w:rsidR="7F96C8C6" w:rsidRPr="004C70EC" w:rsidRDefault="7F96C8C6">
            <w:pPr>
              <w:rPr>
                <w:noProof/>
                <w:color w:val="000000" w:themeColor="text1"/>
                <w:szCs w:val="24"/>
              </w:rPr>
            </w:pPr>
            <w:r w:rsidRPr="004C70EC">
              <w:rPr>
                <w:noProof/>
                <w:color w:val="000000" w:themeColor="text1"/>
                <w:szCs w:val="24"/>
              </w:rPr>
              <w:t>Commission, Member State authorities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5B57A180" w14:textId="77777777" w:rsidR="7F96C8C6" w:rsidRPr="004C70EC" w:rsidRDefault="7F96C8C6">
            <w:pPr>
              <w:rPr>
                <w:noProof/>
                <w:color w:val="000000" w:themeColor="text1"/>
                <w:szCs w:val="24"/>
              </w:rPr>
            </w:pPr>
            <w:r w:rsidRPr="004C70EC">
              <w:rPr>
                <w:noProof/>
                <w:color w:val="000000" w:themeColor="text1"/>
                <w:szCs w:val="24"/>
              </w:rPr>
              <w:t>Technical documentation, 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4BDB8112"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32D5871A"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1994B1A1" w14:textId="77777777" w:rsidR="7F96C8C6" w:rsidRPr="004C70EC" w:rsidRDefault="7F96C8C6">
            <w:pPr>
              <w:rPr>
                <w:i/>
                <w:noProof/>
                <w:color w:val="000000" w:themeColor="text1"/>
                <w:szCs w:val="24"/>
              </w:rPr>
            </w:pPr>
            <w:r w:rsidRPr="004C70EC">
              <w:rPr>
                <w:i/>
                <w:noProof/>
                <w:color w:val="000000" w:themeColor="text1"/>
                <w:szCs w:val="24"/>
              </w:rPr>
              <w:t>Article [61] Amendments to Regulation (EC) No 2024/1938 Article [39a] 3</w:t>
            </w:r>
          </w:p>
          <w:p w14:paraId="786F3C03" w14:textId="77777777" w:rsidR="7F96C8C6" w:rsidRPr="004C70EC" w:rsidRDefault="7F96C8C6">
            <w:pPr>
              <w:rPr>
                <w:i/>
                <w:noProof/>
                <w:color w:val="000000" w:themeColor="text1"/>
                <w:szCs w:val="24"/>
              </w:rPr>
            </w:pPr>
            <w:r w:rsidRPr="004C70EC">
              <w:rPr>
                <w:i/>
                <w:noProof/>
                <w:color w:val="000000" w:themeColor="text1"/>
                <w:szCs w:val="24"/>
              </w:rPr>
              <w:t>SoHO regulatory sandboxes</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5E5E26B7" w14:textId="77777777" w:rsidR="7F96C8C6" w:rsidRPr="004C70EC" w:rsidRDefault="7F96C8C6">
            <w:pPr>
              <w:rPr>
                <w:noProof/>
                <w:color w:val="000000" w:themeColor="text1"/>
                <w:szCs w:val="24"/>
              </w:rPr>
            </w:pPr>
            <w:r w:rsidRPr="004C70EC">
              <w:rPr>
                <w:noProof/>
                <w:color w:val="000000" w:themeColor="text1"/>
                <w:szCs w:val="24"/>
              </w:rPr>
              <w:t>The regulatory sandbox shall aim to allow the assessment of the innovations referred to in paragraph 1 in a real-world environment under strict regulatory supervision, to ensure that the necessary evidence and data is generated to demonstrate their, safety quality, including effectiveness in view of their distribution.</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5D001C69" w14:textId="77777777" w:rsidR="7F96C8C6" w:rsidRPr="004C70EC" w:rsidRDefault="7F96C8C6">
            <w:pPr>
              <w:rPr>
                <w:noProof/>
                <w:color w:val="000000" w:themeColor="text1"/>
                <w:szCs w:val="24"/>
              </w:rPr>
            </w:pPr>
            <w:r w:rsidRPr="004C70EC">
              <w:rPr>
                <w:noProof/>
                <w:color w:val="000000" w:themeColor="text1"/>
                <w:szCs w:val="24"/>
              </w:rPr>
              <w:t>Member State authorities, Commission</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684ED17E" w14:textId="77777777" w:rsidR="7F96C8C6" w:rsidRPr="004C70EC" w:rsidRDefault="7F96C8C6">
            <w:pPr>
              <w:rPr>
                <w:noProof/>
                <w:color w:val="000000" w:themeColor="text1"/>
                <w:szCs w:val="24"/>
              </w:rPr>
            </w:pPr>
            <w:r w:rsidRPr="004C70EC">
              <w:rPr>
                <w:noProof/>
                <w:color w:val="000000" w:themeColor="text1"/>
                <w:szCs w:val="24"/>
              </w:rPr>
              <w:t>Assessment of innovations</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32C7B773"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62CFA1A6"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44ACBF7F" w14:textId="77777777" w:rsidR="7F96C8C6" w:rsidRPr="004C70EC" w:rsidRDefault="7F96C8C6">
            <w:pPr>
              <w:rPr>
                <w:i/>
                <w:noProof/>
                <w:color w:val="000000" w:themeColor="text1"/>
                <w:szCs w:val="24"/>
              </w:rPr>
            </w:pPr>
            <w:r w:rsidRPr="004C70EC">
              <w:rPr>
                <w:i/>
                <w:noProof/>
                <w:color w:val="000000" w:themeColor="text1"/>
                <w:szCs w:val="24"/>
              </w:rPr>
              <w:t xml:space="preserve">Article [61] Amendments to Regulation (EC) No 2024/1398 </w:t>
            </w:r>
          </w:p>
          <w:p w14:paraId="323B36D1" w14:textId="77777777" w:rsidR="7F96C8C6" w:rsidRPr="004C70EC" w:rsidRDefault="7F96C8C6">
            <w:pPr>
              <w:rPr>
                <w:i/>
                <w:noProof/>
                <w:color w:val="000000" w:themeColor="text1"/>
                <w:szCs w:val="24"/>
              </w:rPr>
            </w:pPr>
            <w:r w:rsidRPr="004C70EC">
              <w:rPr>
                <w:i/>
                <w:noProof/>
                <w:color w:val="000000" w:themeColor="text1"/>
                <w:szCs w:val="24"/>
              </w:rPr>
              <w:t>Article [39a] 7a</w:t>
            </w:r>
          </w:p>
          <w:p w14:paraId="24B2B4F0" w14:textId="77777777" w:rsidR="7F96C8C6" w:rsidRPr="004C70EC" w:rsidRDefault="7F96C8C6">
            <w:pPr>
              <w:rPr>
                <w:i/>
                <w:noProof/>
                <w:color w:val="000000" w:themeColor="text1"/>
                <w:szCs w:val="24"/>
              </w:rPr>
            </w:pPr>
            <w:r w:rsidRPr="004C70EC">
              <w:rPr>
                <w:i/>
                <w:noProof/>
                <w:color w:val="000000" w:themeColor="text1"/>
                <w:szCs w:val="24"/>
              </w:rPr>
              <w:t>SoHO regulatory sandboxes</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76D419D3" w14:textId="77777777" w:rsidR="7F96C8C6" w:rsidRPr="004C70EC" w:rsidRDefault="7F96C8C6">
            <w:pPr>
              <w:rPr>
                <w:noProof/>
                <w:color w:val="000000" w:themeColor="text1"/>
                <w:szCs w:val="24"/>
              </w:rPr>
            </w:pPr>
            <w:r w:rsidRPr="004C70EC">
              <w:rPr>
                <w:noProof/>
                <w:color w:val="000000" w:themeColor="text1"/>
                <w:szCs w:val="24"/>
              </w:rPr>
              <w:t>request information and data from holders of authorisations of SoHO preparations, developers  independent experts and researchers, representatives of healthcare professionals and patients and may engage with them in preliminary discussions;</w:t>
            </w:r>
          </w:p>
          <w:p w14:paraId="41EFAE29" w14:textId="77777777" w:rsidR="7F96C8C6" w:rsidRPr="004C70EC" w:rsidRDefault="7F96C8C6">
            <w:pPr>
              <w:rPr>
                <w:noProof/>
                <w:color w:val="000000" w:themeColor="text1"/>
                <w:szCs w:val="24"/>
              </w:rPr>
            </w:pPr>
            <w:r w:rsidRPr="004C70EC">
              <w:rPr>
                <w:noProof/>
                <w:color w:val="000000" w:themeColor="text1"/>
                <w:szCs w:val="24"/>
              </w:rPr>
              <w:t xml:space="preserve"> </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22F93423" w14:textId="77777777" w:rsidR="7F96C8C6" w:rsidRPr="004C70EC" w:rsidRDefault="7F96C8C6">
            <w:pPr>
              <w:rPr>
                <w:noProof/>
                <w:color w:val="000000" w:themeColor="text1"/>
                <w:szCs w:val="24"/>
              </w:rPr>
            </w:pPr>
            <w:r w:rsidRPr="004C70EC">
              <w:rPr>
                <w:noProof/>
                <w:color w:val="000000" w:themeColor="text1"/>
                <w:szCs w:val="24"/>
              </w:rPr>
              <w:t xml:space="preserve">Member State authorities, developers, independent experts and researchers, representatives of healthcare professionals and patients </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4D51E301" w14:textId="77777777" w:rsidR="7F96C8C6" w:rsidRPr="004C70EC" w:rsidRDefault="7F96C8C6">
            <w:pPr>
              <w:rPr>
                <w:noProof/>
                <w:color w:val="000000" w:themeColor="text1"/>
                <w:szCs w:val="24"/>
              </w:rPr>
            </w:pPr>
            <w:r w:rsidRPr="004C70EC">
              <w:rPr>
                <w:noProof/>
                <w:color w:val="000000" w:themeColor="text1"/>
                <w:szCs w:val="24"/>
              </w:rPr>
              <w:t>Data access, information exchange, leveraging information published on the EU SoHO platform (art 74.3(b) of Regulation (EU)2024/1938,</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597E715B"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475250AB"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5279453B" w14:textId="77777777" w:rsidR="7F96C8C6" w:rsidRPr="004C70EC" w:rsidRDefault="7F96C8C6">
            <w:pPr>
              <w:rPr>
                <w:i/>
                <w:noProof/>
                <w:color w:val="000000" w:themeColor="text1"/>
                <w:szCs w:val="24"/>
              </w:rPr>
            </w:pPr>
            <w:r w:rsidRPr="004C70EC">
              <w:rPr>
                <w:i/>
                <w:noProof/>
                <w:color w:val="000000" w:themeColor="text1"/>
                <w:szCs w:val="24"/>
              </w:rPr>
              <w:t>Article [63] Evaluation</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1161BFCE" w14:textId="77777777" w:rsidR="7F96C8C6" w:rsidRPr="004C70EC" w:rsidRDefault="7F96C8C6">
            <w:pPr>
              <w:rPr>
                <w:noProof/>
                <w:color w:val="000000" w:themeColor="text1"/>
                <w:szCs w:val="24"/>
              </w:rPr>
            </w:pPr>
            <w:r w:rsidRPr="004C70EC">
              <w:rPr>
                <w:noProof/>
                <w:color w:val="000000" w:themeColor="text1"/>
                <w:szCs w:val="24"/>
              </w:rPr>
              <w:t>The national authorities and the economic operators shall, upon request, provide the Commission with any relevant information they have and that the Commission may need for its assessment pursuant to in paragraph 1</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6E07ED5E" w14:textId="77777777" w:rsidR="7F96C8C6" w:rsidRPr="004C70EC" w:rsidRDefault="7F96C8C6">
            <w:pPr>
              <w:rPr>
                <w:noProof/>
                <w:color w:val="000000" w:themeColor="text1"/>
                <w:szCs w:val="24"/>
              </w:rPr>
            </w:pPr>
            <w:r w:rsidRPr="004C70EC">
              <w:rPr>
                <w:noProof/>
                <w:color w:val="000000" w:themeColor="text1"/>
                <w:szCs w:val="24"/>
              </w:rPr>
              <w:t>Commission, Member State authorities, research organisations, biotechnology industry actors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412A1D71" w14:textId="77777777" w:rsidR="7F96C8C6" w:rsidRPr="004C70EC" w:rsidRDefault="7F96C8C6">
            <w:pPr>
              <w:rPr>
                <w:noProof/>
                <w:color w:val="000000" w:themeColor="text1"/>
                <w:szCs w:val="24"/>
              </w:rPr>
            </w:pPr>
            <w:r w:rsidRPr="004C70EC">
              <w:rPr>
                <w:noProof/>
                <w:color w:val="000000" w:themeColor="text1"/>
                <w:szCs w:val="24"/>
              </w:rPr>
              <w:t>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07B86048" w14:textId="77777777" w:rsidR="7F96C8C6" w:rsidRPr="004C70EC" w:rsidRDefault="7F96C8C6">
            <w:pPr>
              <w:rPr>
                <w:noProof/>
                <w:color w:val="000000" w:themeColor="text1"/>
                <w:szCs w:val="24"/>
              </w:rPr>
            </w:pPr>
            <w:r w:rsidRPr="004C70EC">
              <w:rPr>
                <w:noProof/>
                <w:color w:val="000000" w:themeColor="text1"/>
                <w:szCs w:val="24"/>
              </w:rPr>
              <w:t>Data</w:t>
            </w:r>
          </w:p>
        </w:tc>
      </w:tr>
      <w:tr w:rsidR="004A1163" w:rsidRPr="004C70EC" w14:paraId="7C630C48" w14:textId="77777777" w:rsidTr="7F96C8C6">
        <w:trPr>
          <w:trHeight w:val="300"/>
        </w:trPr>
        <w:tc>
          <w:tcPr>
            <w:tcW w:w="1946" w:type="dxa"/>
            <w:tcBorders>
              <w:top w:val="single" w:sz="8" w:space="0" w:color="auto"/>
              <w:left w:val="single" w:sz="8" w:space="0" w:color="auto"/>
              <w:bottom w:val="single" w:sz="8" w:space="0" w:color="auto"/>
              <w:right w:val="single" w:sz="8" w:space="0" w:color="auto"/>
            </w:tcBorders>
            <w:tcMar>
              <w:left w:w="108" w:type="dxa"/>
              <w:right w:w="108" w:type="dxa"/>
            </w:tcMar>
          </w:tcPr>
          <w:p w14:paraId="3BED97E6" w14:textId="77777777" w:rsidR="7F96C8C6" w:rsidRPr="004C70EC" w:rsidRDefault="7F96C8C6">
            <w:pPr>
              <w:rPr>
                <w:i/>
                <w:noProof/>
                <w:color w:val="000000" w:themeColor="text1"/>
                <w:szCs w:val="24"/>
              </w:rPr>
            </w:pPr>
            <w:r w:rsidRPr="004C70EC">
              <w:rPr>
                <w:i/>
                <w:noProof/>
                <w:color w:val="000000" w:themeColor="text1"/>
                <w:szCs w:val="24"/>
              </w:rPr>
              <w:t>Article [66]</w:t>
            </w:r>
          </w:p>
          <w:p w14:paraId="24E91BFD" w14:textId="77777777" w:rsidR="7F96C8C6" w:rsidRPr="004C70EC" w:rsidRDefault="7F96C8C6">
            <w:pPr>
              <w:rPr>
                <w:i/>
                <w:noProof/>
                <w:color w:val="000000" w:themeColor="text1"/>
                <w:szCs w:val="24"/>
              </w:rPr>
            </w:pPr>
            <w:r w:rsidRPr="004C70EC">
              <w:rPr>
                <w:i/>
                <w:noProof/>
                <w:color w:val="000000" w:themeColor="text1"/>
                <w:szCs w:val="24"/>
              </w:rPr>
              <w:t>Handling of Confidential Information</w:t>
            </w: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1DE36CB0" w14:textId="77777777" w:rsidR="7F96C8C6" w:rsidRPr="004C70EC" w:rsidRDefault="7F96C8C6">
            <w:pPr>
              <w:rPr>
                <w:noProof/>
                <w:color w:val="000000" w:themeColor="text1"/>
                <w:szCs w:val="24"/>
              </w:rPr>
            </w:pPr>
            <w:r w:rsidRPr="004C70EC">
              <w:rPr>
                <w:noProof/>
                <w:color w:val="000000" w:themeColor="text1"/>
                <w:szCs w:val="24"/>
              </w:rPr>
              <w:t>Member States and the Commission shall ensure the protection of trade and business secrets and other sensitive, confidential and classified information obtained and processed in application of this Regulation, including recommendations and measures to be taken, in accordance with Union and relevant national law.</w:t>
            </w:r>
          </w:p>
          <w:p w14:paraId="38CD631F" w14:textId="77777777" w:rsidR="7F96C8C6" w:rsidRPr="004C70EC" w:rsidRDefault="7F96C8C6">
            <w:pPr>
              <w:rPr>
                <w:noProof/>
                <w:color w:val="000000" w:themeColor="text1"/>
                <w:szCs w:val="24"/>
              </w:rPr>
            </w:pPr>
            <w:r w:rsidRPr="004C70EC">
              <w:rPr>
                <w:noProof/>
                <w:color w:val="000000" w:themeColor="text1"/>
                <w:szCs w:val="24"/>
              </w:rPr>
              <w:t>The Commission and Member States shall ensure that classified information provided or exchanged pursuant to this Regulation is not downgraded or declassified without the prior written consent of the originator in accordance with relevant Union or national law.</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3A60652B" w14:textId="77777777" w:rsidR="7F96C8C6" w:rsidRPr="004C70EC" w:rsidRDefault="7F96C8C6">
            <w:pPr>
              <w:rPr>
                <w:noProof/>
                <w:color w:val="000000" w:themeColor="text1"/>
                <w:szCs w:val="24"/>
              </w:rPr>
            </w:pPr>
            <w:r w:rsidRPr="004C70EC">
              <w:rPr>
                <w:noProof/>
                <w:color w:val="000000" w:themeColor="text1"/>
                <w:szCs w:val="24"/>
              </w:rPr>
              <w:t>Commission, Member States</w:t>
            </w:r>
          </w:p>
        </w:tc>
        <w:tc>
          <w:tcPr>
            <w:tcW w:w="1566" w:type="dxa"/>
            <w:tcBorders>
              <w:top w:val="single" w:sz="8" w:space="0" w:color="auto"/>
              <w:left w:val="single" w:sz="8" w:space="0" w:color="auto"/>
              <w:bottom w:val="single" w:sz="8" w:space="0" w:color="auto"/>
              <w:right w:val="single" w:sz="8" w:space="0" w:color="auto"/>
            </w:tcBorders>
            <w:tcMar>
              <w:left w:w="108" w:type="dxa"/>
              <w:right w:w="108" w:type="dxa"/>
            </w:tcMar>
          </w:tcPr>
          <w:p w14:paraId="1F15F259" w14:textId="77777777" w:rsidR="7F96C8C6" w:rsidRPr="004C70EC" w:rsidRDefault="7F96C8C6">
            <w:pPr>
              <w:rPr>
                <w:noProof/>
                <w:color w:val="000000" w:themeColor="text1"/>
                <w:szCs w:val="24"/>
              </w:rPr>
            </w:pPr>
            <w:r w:rsidRPr="004C70EC">
              <w:rPr>
                <w:noProof/>
                <w:color w:val="000000" w:themeColor="text1"/>
                <w:szCs w:val="24"/>
              </w:rPr>
              <w:t>Information exchange</w:t>
            </w:r>
          </w:p>
        </w:tc>
        <w:tc>
          <w:tcPr>
            <w:tcW w:w="1399" w:type="dxa"/>
            <w:tcBorders>
              <w:top w:val="single" w:sz="8" w:space="0" w:color="auto"/>
              <w:left w:val="single" w:sz="8" w:space="0" w:color="auto"/>
              <w:bottom w:val="single" w:sz="8" w:space="0" w:color="auto"/>
              <w:right w:val="single" w:sz="8" w:space="0" w:color="auto"/>
            </w:tcBorders>
            <w:tcMar>
              <w:left w:w="108" w:type="dxa"/>
              <w:right w:w="108" w:type="dxa"/>
            </w:tcMar>
          </w:tcPr>
          <w:p w14:paraId="27FEFE00" w14:textId="77777777" w:rsidR="7F96C8C6" w:rsidRPr="004C70EC" w:rsidRDefault="7F96C8C6">
            <w:pPr>
              <w:rPr>
                <w:noProof/>
                <w:color w:val="000000" w:themeColor="text1"/>
                <w:szCs w:val="24"/>
              </w:rPr>
            </w:pPr>
            <w:r w:rsidRPr="004C70EC">
              <w:rPr>
                <w:noProof/>
                <w:color w:val="000000" w:themeColor="text1"/>
                <w:szCs w:val="24"/>
              </w:rPr>
              <w:t>Data, Digital solution</w:t>
            </w:r>
          </w:p>
        </w:tc>
      </w:tr>
    </w:tbl>
    <w:p w14:paraId="7EDB0E87" w14:textId="77777777" w:rsidR="007966CD" w:rsidRPr="004C70EC" w:rsidRDefault="007966CD">
      <w:pPr>
        <w:rPr>
          <w:rFonts w:eastAsia="Times New Roman"/>
          <w:i/>
          <w:noProof/>
          <w:color w:val="000000" w:themeColor="text1"/>
          <w:szCs w:val="24"/>
          <w:lang w:eastAsia="en-GB"/>
        </w:rPr>
      </w:pPr>
    </w:p>
    <w:p w14:paraId="34C9524C" w14:textId="77777777" w:rsidR="065A1B6A" w:rsidRPr="004C70EC" w:rsidRDefault="065A1B6A" w:rsidP="5B856EBA">
      <w:pPr>
        <w:spacing w:before="0" w:after="0"/>
        <w:rPr>
          <w:noProof/>
          <w:color w:val="000000" w:themeColor="text1"/>
          <w:szCs w:val="24"/>
        </w:rPr>
      </w:pPr>
    </w:p>
    <w:p w14:paraId="2A66EDD3" w14:textId="77777777" w:rsidR="065A1B6A" w:rsidRPr="004C70EC" w:rsidRDefault="065A1B6A" w:rsidP="5B856EBA">
      <w:pPr>
        <w:spacing w:before="0" w:after="0"/>
        <w:rPr>
          <w:noProof/>
          <w:color w:val="000000" w:themeColor="text1"/>
          <w:szCs w:val="24"/>
        </w:rPr>
      </w:pPr>
    </w:p>
    <w:p w14:paraId="49BE84AE" w14:textId="77777777" w:rsidR="065A1B6A" w:rsidRPr="004C70EC" w:rsidRDefault="065A1B6A" w:rsidP="5B856EBA">
      <w:pPr>
        <w:spacing w:before="0" w:after="0"/>
        <w:rPr>
          <w:noProof/>
          <w:color w:val="000000" w:themeColor="text1"/>
          <w:szCs w:val="24"/>
        </w:rPr>
      </w:pPr>
    </w:p>
    <w:p w14:paraId="2CF4D690" w14:textId="77777777" w:rsidR="065A1B6A" w:rsidRPr="004C70EC" w:rsidRDefault="065A1B6A" w:rsidP="5B856EBA">
      <w:pPr>
        <w:spacing w:before="0" w:after="0"/>
        <w:rPr>
          <w:noProof/>
          <w:color w:val="000000" w:themeColor="text1"/>
          <w:szCs w:val="24"/>
        </w:rPr>
      </w:pPr>
    </w:p>
    <w:p w14:paraId="47D81380" w14:textId="77777777" w:rsidR="065A1B6A" w:rsidRPr="004C70EC" w:rsidRDefault="065A1B6A" w:rsidP="5B856EBA">
      <w:pPr>
        <w:spacing w:before="0" w:after="0"/>
        <w:rPr>
          <w:noProof/>
          <w:color w:val="000000" w:themeColor="text1"/>
          <w:szCs w:val="24"/>
        </w:rPr>
      </w:pPr>
    </w:p>
    <w:p w14:paraId="4770F063" w14:textId="77777777" w:rsidR="065A1B6A" w:rsidRPr="004C70EC" w:rsidRDefault="065A1B6A" w:rsidP="5B856EBA">
      <w:pPr>
        <w:spacing w:before="0" w:after="0"/>
        <w:rPr>
          <w:noProof/>
          <w:color w:val="000000" w:themeColor="text1"/>
          <w:szCs w:val="24"/>
        </w:rPr>
      </w:pPr>
    </w:p>
    <w:p w14:paraId="52C2EC77" w14:textId="77777777" w:rsidR="065A1B6A" w:rsidRPr="004C70EC" w:rsidRDefault="065A1B6A" w:rsidP="5B856EBA">
      <w:pPr>
        <w:spacing w:before="0" w:after="0"/>
        <w:rPr>
          <w:noProof/>
          <w:color w:val="000000" w:themeColor="text1"/>
          <w:szCs w:val="24"/>
        </w:rPr>
      </w:pPr>
    </w:p>
    <w:p w14:paraId="1AF67DA7" w14:textId="77777777" w:rsidR="065A1B6A" w:rsidRPr="004C70EC" w:rsidRDefault="065A1B6A" w:rsidP="5B856EBA">
      <w:pPr>
        <w:spacing w:before="0" w:after="0"/>
        <w:rPr>
          <w:noProof/>
          <w:color w:val="000000" w:themeColor="text1"/>
          <w:szCs w:val="24"/>
        </w:rPr>
      </w:pPr>
    </w:p>
    <w:p w14:paraId="7D3F4322" w14:textId="77777777" w:rsidR="065A1B6A" w:rsidRPr="004C70EC" w:rsidRDefault="065A1B6A" w:rsidP="5B856EBA">
      <w:pPr>
        <w:spacing w:before="0" w:after="0"/>
        <w:rPr>
          <w:noProof/>
          <w:color w:val="000000" w:themeColor="text1"/>
          <w:szCs w:val="24"/>
        </w:rPr>
      </w:pPr>
    </w:p>
    <w:p w14:paraId="7EFF7CE3" w14:textId="77777777" w:rsidR="065A1B6A" w:rsidRPr="004C70EC" w:rsidRDefault="065A1B6A" w:rsidP="5B856EBA">
      <w:pPr>
        <w:spacing w:before="0" w:after="0"/>
        <w:rPr>
          <w:noProof/>
          <w:color w:val="000000" w:themeColor="text1"/>
          <w:szCs w:val="24"/>
        </w:rPr>
      </w:pPr>
    </w:p>
    <w:p w14:paraId="2A671550" w14:textId="77777777" w:rsidR="065A1B6A" w:rsidRPr="004C70EC" w:rsidRDefault="065A1B6A" w:rsidP="5B856EBA">
      <w:pPr>
        <w:spacing w:before="0" w:after="0"/>
        <w:rPr>
          <w:noProof/>
          <w:color w:val="000000" w:themeColor="text1"/>
          <w:szCs w:val="24"/>
        </w:rPr>
      </w:pPr>
    </w:p>
    <w:p w14:paraId="4FA979D9" w14:textId="77777777" w:rsidR="007966CD" w:rsidRPr="004C70EC" w:rsidRDefault="007966CD" w:rsidP="5B856EBA">
      <w:pPr>
        <w:spacing w:before="0" w:after="0"/>
        <w:rPr>
          <w:rFonts w:eastAsia="Times New Roman"/>
          <w:b/>
          <w:noProof/>
          <w:color w:val="000000" w:themeColor="text1"/>
          <w:szCs w:val="24"/>
          <w:lang w:eastAsia="en-GB"/>
        </w:rPr>
      </w:pPr>
      <w:r w:rsidRPr="004C70EC">
        <w:rPr>
          <w:rFonts w:eastAsia="Times New Roman"/>
          <w:b/>
          <w:noProof/>
          <w:color w:val="000000" w:themeColor="text1"/>
          <w:szCs w:val="24"/>
          <w:lang w:eastAsia="en-GB"/>
        </w:rPr>
        <w:br w:type="page"/>
      </w:r>
    </w:p>
    <w:p w14:paraId="33B4673A" w14:textId="77777777" w:rsidR="00525BA0" w:rsidRPr="00902D52" w:rsidRDefault="00525BA0" w:rsidP="00525BA0">
      <w:pPr>
        <w:pStyle w:val="ManualHeading2"/>
        <w:rPr>
          <w:noProof/>
        </w:rPr>
      </w:pPr>
      <w:bookmarkStart w:id="84" w:name="_Toc7A98A565472942FC8A2F09B3C25E37D6"/>
      <w:r>
        <w:rPr>
          <w:noProof/>
        </w:rPr>
        <w:t>4.2.</w:t>
      </w:r>
      <w:r>
        <w:rPr>
          <w:noProof/>
        </w:rPr>
        <w:tab/>
        <w:t>Data</w:t>
      </w:r>
      <w:bookmarkEnd w:id="84"/>
    </w:p>
    <w:p w14:paraId="2AE8FD67" w14:textId="77777777" w:rsidR="007966CD" w:rsidRPr="004C70EC" w:rsidRDefault="007966CD">
      <w:pPr>
        <w:rPr>
          <w:rFonts w:eastAsia="Times New Roman"/>
          <w:i/>
          <w:noProof/>
          <w:color w:val="000000" w:themeColor="text1"/>
          <w:szCs w:val="24"/>
          <w:lang w:val="en-US" w:eastAsia="en-GB"/>
        </w:rPr>
      </w:pPr>
      <w:r w:rsidRPr="004C70EC">
        <w:rPr>
          <w:rFonts w:eastAsia="Times New Roman"/>
          <w:i/>
          <w:noProof/>
          <w:color w:val="000000" w:themeColor="text1"/>
          <w:szCs w:val="24"/>
          <w:lang w:val="en-US" w:eastAsia="en-GB"/>
        </w:rPr>
        <w:t>High-level description of the data in scope</w:t>
      </w:r>
    </w:p>
    <w:tbl>
      <w:tblPr>
        <w:tblStyle w:val="TableGrid"/>
        <w:tblW w:w="0" w:type="auto"/>
        <w:tblLook w:val="04A0" w:firstRow="1" w:lastRow="0" w:firstColumn="1" w:lastColumn="0" w:noHBand="0" w:noVBand="1"/>
      </w:tblPr>
      <w:tblGrid>
        <w:gridCol w:w="3338"/>
        <w:gridCol w:w="2330"/>
        <w:gridCol w:w="3392"/>
      </w:tblGrid>
      <w:tr w:rsidR="004A1163" w:rsidRPr="004C70EC" w14:paraId="03E9F1D3" w14:textId="77777777" w:rsidTr="588CF2EE">
        <w:trPr>
          <w:trHeight w:val="300"/>
        </w:trPr>
        <w:tc>
          <w:tcPr>
            <w:tcW w:w="3338" w:type="dxa"/>
            <w:tcBorders>
              <w:top w:val="single" w:sz="8" w:space="0" w:color="auto"/>
              <w:left w:val="single" w:sz="8" w:space="0" w:color="auto"/>
              <w:bottom w:val="single" w:sz="8" w:space="0" w:color="auto"/>
              <w:right w:val="single" w:sz="8" w:space="0" w:color="auto"/>
            </w:tcBorders>
            <w:tcMar>
              <w:left w:w="108" w:type="dxa"/>
              <w:right w:w="108" w:type="dxa"/>
            </w:tcMar>
          </w:tcPr>
          <w:p w14:paraId="474E3062" w14:textId="77777777" w:rsidR="588CF2EE" w:rsidRPr="004C70EC" w:rsidRDefault="588CF2EE">
            <w:pPr>
              <w:jc w:val="left"/>
              <w:rPr>
                <w:b/>
                <w:noProof/>
                <w:color w:val="000000" w:themeColor="text1"/>
                <w:szCs w:val="24"/>
              </w:rPr>
            </w:pPr>
            <w:r w:rsidRPr="004C70EC">
              <w:rPr>
                <w:b/>
                <w:noProof/>
                <w:color w:val="000000" w:themeColor="text1"/>
                <w:szCs w:val="24"/>
              </w:rPr>
              <w:t xml:space="preserve">Type of data </w:t>
            </w:r>
          </w:p>
        </w:tc>
        <w:tc>
          <w:tcPr>
            <w:tcW w:w="2330" w:type="dxa"/>
            <w:tcBorders>
              <w:top w:val="single" w:sz="8" w:space="0" w:color="auto"/>
              <w:left w:val="single" w:sz="8" w:space="0" w:color="auto"/>
              <w:bottom w:val="single" w:sz="8" w:space="0" w:color="auto"/>
              <w:right w:val="single" w:sz="8" w:space="0" w:color="auto"/>
            </w:tcBorders>
            <w:tcMar>
              <w:left w:w="108" w:type="dxa"/>
              <w:right w:w="108" w:type="dxa"/>
            </w:tcMar>
          </w:tcPr>
          <w:p w14:paraId="1DA302E2" w14:textId="77777777" w:rsidR="588CF2EE" w:rsidRPr="004C70EC" w:rsidRDefault="588CF2EE">
            <w:pPr>
              <w:jc w:val="left"/>
              <w:rPr>
                <w:b/>
                <w:noProof/>
                <w:color w:val="000000" w:themeColor="text1"/>
                <w:szCs w:val="24"/>
              </w:rPr>
            </w:pPr>
            <w:r w:rsidRPr="004C70EC">
              <w:rPr>
                <w:b/>
                <w:noProof/>
                <w:color w:val="000000" w:themeColor="text1"/>
                <w:szCs w:val="24"/>
              </w:rPr>
              <w:t>Reference to the requirement(s)</w:t>
            </w:r>
          </w:p>
        </w:tc>
        <w:tc>
          <w:tcPr>
            <w:tcW w:w="3392" w:type="dxa"/>
            <w:tcBorders>
              <w:top w:val="single" w:sz="8" w:space="0" w:color="auto"/>
              <w:left w:val="single" w:sz="8" w:space="0" w:color="auto"/>
              <w:bottom w:val="single" w:sz="8" w:space="0" w:color="auto"/>
              <w:right w:val="single" w:sz="8" w:space="0" w:color="auto"/>
            </w:tcBorders>
            <w:tcMar>
              <w:left w:w="108" w:type="dxa"/>
              <w:right w:w="108" w:type="dxa"/>
            </w:tcMar>
          </w:tcPr>
          <w:p w14:paraId="11B2656E" w14:textId="77777777" w:rsidR="588CF2EE" w:rsidRPr="004C70EC" w:rsidRDefault="588CF2EE">
            <w:pPr>
              <w:jc w:val="left"/>
              <w:rPr>
                <w:b/>
                <w:noProof/>
                <w:color w:val="000000" w:themeColor="text1"/>
                <w:szCs w:val="24"/>
              </w:rPr>
            </w:pPr>
            <w:r w:rsidRPr="004C70EC">
              <w:rPr>
                <w:b/>
                <w:noProof/>
                <w:color w:val="000000" w:themeColor="text1"/>
                <w:szCs w:val="24"/>
              </w:rPr>
              <w:t>Standard and/or specification (if applicable)</w:t>
            </w:r>
          </w:p>
        </w:tc>
      </w:tr>
      <w:tr w:rsidR="004A1163" w:rsidRPr="004C70EC" w14:paraId="7C0E0892" w14:textId="77777777" w:rsidTr="588CF2EE">
        <w:trPr>
          <w:trHeight w:val="300"/>
        </w:trPr>
        <w:tc>
          <w:tcPr>
            <w:tcW w:w="3338" w:type="dxa"/>
            <w:tcBorders>
              <w:top w:val="single" w:sz="8" w:space="0" w:color="auto"/>
              <w:left w:val="single" w:sz="8" w:space="0" w:color="auto"/>
              <w:bottom w:val="single" w:sz="8" w:space="0" w:color="auto"/>
              <w:right w:val="single" w:sz="8" w:space="0" w:color="auto"/>
            </w:tcBorders>
            <w:tcMar>
              <w:left w:w="108" w:type="dxa"/>
              <w:right w:w="108" w:type="dxa"/>
            </w:tcMar>
          </w:tcPr>
          <w:p w14:paraId="40EEDC5B" w14:textId="77777777" w:rsidR="588CF2EE" w:rsidRPr="004C70EC" w:rsidRDefault="588CF2EE">
            <w:pPr>
              <w:jc w:val="left"/>
              <w:rPr>
                <w:noProof/>
                <w:color w:val="000000" w:themeColor="text1"/>
                <w:szCs w:val="24"/>
              </w:rPr>
            </w:pPr>
            <w:r w:rsidRPr="004C70EC">
              <w:rPr>
                <w:noProof/>
                <w:color w:val="000000" w:themeColor="text1"/>
                <w:szCs w:val="24"/>
              </w:rPr>
              <w:t>Data required for testing and validation of biotechnology products</w:t>
            </w:r>
          </w:p>
        </w:tc>
        <w:tc>
          <w:tcPr>
            <w:tcW w:w="2330" w:type="dxa"/>
            <w:tcBorders>
              <w:top w:val="single" w:sz="8" w:space="0" w:color="auto"/>
              <w:left w:val="single" w:sz="8" w:space="0" w:color="auto"/>
              <w:bottom w:val="single" w:sz="8" w:space="0" w:color="auto"/>
              <w:right w:val="single" w:sz="8" w:space="0" w:color="auto"/>
            </w:tcBorders>
            <w:tcMar>
              <w:left w:w="108" w:type="dxa"/>
              <w:right w:w="108" w:type="dxa"/>
            </w:tcMar>
          </w:tcPr>
          <w:p w14:paraId="26886B72" w14:textId="77777777" w:rsidR="588CF2EE" w:rsidRPr="004C70EC" w:rsidRDefault="588CF2EE">
            <w:pPr>
              <w:jc w:val="left"/>
              <w:rPr>
                <w:i/>
                <w:noProof/>
                <w:color w:val="000000" w:themeColor="text1"/>
                <w:szCs w:val="24"/>
              </w:rPr>
            </w:pPr>
            <w:r w:rsidRPr="004C70EC">
              <w:rPr>
                <w:i/>
                <w:noProof/>
                <w:color w:val="000000" w:themeColor="text1"/>
                <w:szCs w:val="24"/>
              </w:rPr>
              <w:t>Article [3]1 Health Biotechnology Strategic Projects</w:t>
            </w:r>
          </w:p>
          <w:p w14:paraId="5A8ECCD4" w14:textId="77777777" w:rsidR="588CF2EE" w:rsidRPr="004C70EC" w:rsidRDefault="588CF2EE">
            <w:pPr>
              <w:jc w:val="left"/>
              <w:rPr>
                <w:i/>
                <w:noProof/>
                <w:color w:val="000000" w:themeColor="text1"/>
                <w:szCs w:val="24"/>
              </w:rPr>
            </w:pPr>
            <w:r w:rsidRPr="004C70EC">
              <w:rPr>
                <w:i/>
                <w:noProof/>
                <w:color w:val="000000" w:themeColor="text1"/>
                <w:szCs w:val="24"/>
              </w:rPr>
              <w:t>Article [4] 1 High Impact Health Biotechnology Strategic Projects</w:t>
            </w:r>
          </w:p>
          <w:p w14:paraId="3354C7BE" w14:textId="77777777" w:rsidR="588CF2EE" w:rsidRPr="004C70EC" w:rsidRDefault="588CF2EE">
            <w:pPr>
              <w:rPr>
                <w:i/>
                <w:noProof/>
                <w:color w:val="000000" w:themeColor="text1"/>
                <w:szCs w:val="24"/>
              </w:rPr>
            </w:pPr>
            <w:r w:rsidRPr="004C70EC">
              <w:rPr>
                <w:i/>
                <w:noProof/>
                <w:color w:val="000000" w:themeColor="text1"/>
                <w:szCs w:val="24"/>
              </w:rPr>
              <w:t xml:space="preserve">Article [15] 2e Networks of </w:t>
            </w:r>
            <w:r w:rsidR="009A1806" w:rsidRPr="004C70EC">
              <w:rPr>
                <w:i/>
                <w:noProof/>
                <w:color w:val="000000" w:themeColor="text1"/>
                <w:szCs w:val="24"/>
              </w:rPr>
              <w:t xml:space="preserve">Health </w:t>
            </w:r>
            <w:r w:rsidRPr="004C70EC">
              <w:rPr>
                <w:i/>
                <w:noProof/>
                <w:color w:val="000000" w:themeColor="text1"/>
                <w:szCs w:val="24"/>
              </w:rPr>
              <w:t xml:space="preserve">Biotechnology Clusters </w:t>
            </w:r>
          </w:p>
          <w:p w14:paraId="567F9EFC" w14:textId="77777777" w:rsidR="588CF2EE" w:rsidRPr="004C70EC" w:rsidRDefault="588CF2EE">
            <w:pPr>
              <w:rPr>
                <w:i/>
                <w:noProof/>
                <w:color w:val="000000" w:themeColor="text1"/>
                <w:szCs w:val="24"/>
              </w:rPr>
            </w:pPr>
            <w:r w:rsidRPr="004C70EC">
              <w:rPr>
                <w:i/>
                <w:noProof/>
                <w:color w:val="000000" w:themeColor="text1"/>
                <w:szCs w:val="24"/>
              </w:rPr>
              <w:t>Article [5] Biotechnology Development Accelerator</w:t>
            </w:r>
          </w:p>
          <w:p w14:paraId="79031704" w14:textId="77777777" w:rsidR="588CF2EE" w:rsidRPr="004C70EC" w:rsidRDefault="588CF2EE">
            <w:pPr>
              <w:rPr>
                <w:noProof/>
                <w:color w:val="000000" w:themeColor="text1"/>
                <w:szCs w:val="24"/>
              </w:rPr>
            </w:pPr>
            <w:r w:rsidRPr="004C70EC">
              <w:rPr>
                <w:i/>
                <w:noProof/>
                <w:color w:val="000000" w:themeColor="text1"/>
                <w:szCs w:val="24"/>
              </w:rPr>
              <w:t>Article [30] Strategic Projects for Biosimilars</w:t>
            </w:r>
            <w:r w:rsidRPr="004C70EC">
              <w:rPr>
                <w:noProof/>
                <w:color w:val="000000" w:themeColor="text1"/>
                <w:szCs w:val="24"/>
              </w:rPr>
              <w:t xml:space="preserve"> </w:t>
            </w:r>
          </w:p>
          <w:p w14:paraId="0696DCC2" w14:textId="77777777" w:rsidR="588CF2EE" w:rsidRPr="004C70EC" w:rsidRDefault="588CF2EE">
            <w:pPr>
              <w:rPr>
                <w:i/>
                <w:noProof/>
                <w:color w:val="000000" w:themeColor="text1"/>
                <w:szCs w:val="24"/>
              </w:rPr>
            </w:pPr>
            <w:r w:rsidRPr="004C70EC">
              <w:rPr>
                <w:i/>
                <w:noProof/>
                <w:color w:val="000000" w:themeColor="text1"/>
                <w:szCs w:val="24"/>
              </w:rPr>
              <w:t>Article [32]  Biotechnology  Testing Environments  for advanced biotechnology innovations</w:t>
            </w:r>
          </w:p>
          <w:p w14:paraId="649FABF5" w14:textId="77777777" w:rsidR="588CF2EE" w:rsidRPr="004C70EC" w:rsidRDefault="588CF2EE">
            <w:pPr>
              <w:rPr>
                <w:i/>
                <w:noProof/>
                <w:color w:val="000000" w:themeColor="text1"/>
                <w:szCs w:val="24"/>
              </w:rPr>
            </w:pPr>
            <w:r w:rsidRPr="004C70EC">
              <w:rPr>
                <w:i/>
                <w:noProof/>
                <w:color w:val="000000" w:themeColor="text1"/>
                <w:szCs w:val="24"/>
              </w:rPr>
              <w:t xml:space="preserve">Article [33] 2 Biotechnology Data Quality Accelerator </w:t>
            </w:r>
          </w:p>
          <w:p w14:paraId="5C94B9A8" w14:textId="77777777" w:rsidR="588CF2EE" w:rsidRPr="004C70EC" w:rsidRDefault="588CF2EE">
            <w:pPr>
              <w:rPr>
                <w:i/>
                <w:noProof/>
                <w:color w:val="000000" w:themeColor="text1"/>
                <w:szCs w:val="24"/>
              </w:rPr>
            </w:pPr>
            <w:r w:rsidRPr="004C70EC">
              <w:rPr>
                <w:i/>
                <w:noProof/>
                <w:color w:val="000000" w:themeColor="text1"/>
                <w:szCs w:val="24"/>
              </w:rPr>
              <w:t>Article [59]</w:t>
            </w:r>
          </w:p>
          <w:p w14:paraId="50A35233" w14:textId="77777777" w:rsidR="588CF2EE" w:rsidRPr="004C70EC" w:rsidRDefault="588CF2EE">
            <w:pPr>
              <w:rPr>
                <w:i/>
                <w:noProof/>
                <w:color w:val="000000" w:themeColor="text1"/>
                <w:szCs w:val="24"/>
              </w:rPr>
            </w:pPr>
            <w:r w:rsidRPr="004C70EC">
              <w:rPr>
                <w:i/>
                <w:noProof/>
                <w:color w:val="000000" w:themeColor="text1"/>
                <w:szCs w:val="24"/>
              </w:rPr>
              <w:t>Amendments to Regulation (EU) 2019/6 (Veterinary Medicine Products Regulation)</w:t>
            </w:r>
          </w:p>
          <w:p w14:paraId="24954525" w14:textId="77777777" w:rsidR="588CF2EE" w:rsidRPr="004C70EC" w:rsidRDefault="588CF2EE">
            <w:pPr>
              <w:rPr>
                <w:i/>
                <w:noProof/>
                <w:color w:val="000000" w:themeColor="text1"/>
                <w:szCs w:val="24"/>
              </w:rPr>
            </w:pPr>
            <w:r w:rsidRPr="004C70EC">
              <w:rPr>
                <w:i/>
                <w:noProof/>
                <w:color w:val="000000" w:themeColor="text1"/>
                <w:szCs w:val="24"/>
              </w:rPr>
              <w:t>Article [61] Amendments to Regulation (EC) No 2024/1938/</w:t>
            </w:r>
            <w:r w:rsidRPr="004C70EC">
              <w:rPr>
                <w:noProof/>
                <w:color w:val="000000" w:themeColor="text1"/>
                <w:szCs w:val="24"/>
              </w:rPr>
              <w:t xml:space="preserve"> </w:t>
            </w:r>
            <w:r w:rsidRPr="004C70EC">
              <w:rPr>
                <w:i/>
                <w:noProof/>
                <w:color w:val="000000" w:themeColor="text1"/>
                <w:szCs w:val="24"/>
              </w:rPr>
              <w:t>Article [39a] 3 SoHO regulatory sandboxes</w:t>
            </w:r>
          </w:p>
          <w:p w14:paraId="0D8A7562" w14:textId="77777777" w:rsidR="588CF2EE" w:rsidRPr="004C70EC" w:rsidRDefault="588CF2EE">
            <w:pPr>
              <w:rPr>
                <w:i/>
                <w:noProof/>
                <w:color w:val="000000" w:themeColor="text1"/>
                <w:szCs w:val="24"/>
              </w:rPr>
            </w:pPr>
            <w:r w:rsidRPr="004C70EC">
              <w:rPr>
                <w:i/>
                <w:noProof/>
                <w:color w:val="000000" w:themeColor="text1"/>
                <w:szCs w:val="24"/>
              </w:rPr>
              <w:t>Article [49a] General provisions on regulatory sandboxes</w:t>
            </w:r>
          </w:p>
          <w:p w14:paraId="13C5FB62" w14:textId="77777777" w:rsidR="588CF2EE" w:rsidRPr="004C70EC" w:rsidRDefault="588CF2EE">
            <w:pPr>
              <w:rPr>
                <w:i/>
                <w:noProof/>
                <w:color w:val="000000" w:themeColor="text1"/>
                <w:szCs w:val="24"/>
              </w:rPr>
            </w:pPr>
            <w:r w:rsidRPr="004C70EC">
              <w:rPr>
                <w:i/>
                <w:noProof/>
                <w:color w:val="000000" w:themeColor="text1"/>
                <w:szCs w:val="24"/>
              </w:rPr>
              <w:t xml:space="preserve"> </w:t>
            </w:r>
          </w:p>
        </w:tc>
        <w:tc>
          <w:tcPr>
            <w:tcW w:w="3392" w:type="dxa"/>
            <w:tcBorders>
              <w:top w:val="single" w:sz="8" w:space="0" w:color="auto"/>
              <w:left w:val="single" w:sz="8" w:space="0" w:color="auto"/>
              <w:bottom w:val="single" w:sz="8" w:space="0" w:color="auto"/>
              <w:right w:val="single" w:sz="8" w:space="0" w:color="auto"/>
            </w:tcBorders>
            <w:tcMar>
              <w:left w:w="108" w:type="dxa"/>
              <w:right w:w="108" w:type="dxa"/>
            </w:tcMar>
          </w:tcPr>
          <w:p w14:paraId="2D499CB8" w14:textId="77777777" w:rsidR="588CF2EE" w:rsidRPr="004C70EC" w:rsidRDefault="588CF2EE">
            <w:pPr>
              <w:jc w:val="left"/>
              <w:rPr>
                <w:noProof/>
                <w:color w:val="000000" w:themeColor="text1"/>
                <w:szCs w:val="24"/>
              </w:rPr>
            </w:pPr>
            <w:r w:rsidRPr="004C70EC">
              <w:rPr>
                <w:noProof/>
                <w:color w:val="000000" w:themeColor="text1"/>
                <w:szCs w:val="24"/>
              </w:rPr>
              <w:t>N.A.</w:t>
            </w:r>
          </w:p>
        </w:tc>
      </w:tr>
      <w:tr w:rsidR="004A1163" w:rsidRPr="004C70EC" w14:paraId="46566820" w14:textId="77777777" w:rsidTr="588CF2EE">
        <w:trPr>
          <w:trHeight w:val="300"/>
        </w:trPr>
        <w:tc>
          <w:tcPr>
            <w:tcW w:w="3338" w:type="dxa"/>
            <w:tcBorders>
              <w:top w:val="single" w:sz="8" w:space="0" w:color="auto"/>
              <w:left w:val="single" w:sz="8" w:space="0" w:color="auto"/>
              <w:bottom w:val="single" w:sz="8" w:space="0" w:color="auto"/>
              <w:right w:val="single" w:sz="8" w:space="0" w:color="auto"/>
            </w:tcBorders>
            <w:tcMar>
              <w:left w:w="108" w:type="dxa"/>
              <w:right w:w="108" w:type="dxa"/>
            </w:tcMar>
          </w:tcPr>
          <w:p w14:paraId="416BBF0D" w14:textId="77777777" w:rsidR="588CF2EE" w:rsidRPr="004C70EC" w:rsidRDefault="588CF2EE">
            <w:pPr>
              <w:jc w:val="left"/>
              <w:rPr>
                <w:noProof/>
                <w:color w:val="000000" w:themeColor="text1"/>
                <w:szCs w:val="24"/>
              </w:rPr>
            </w:pPr>
            <w:r w:rsidRPr="004C70EC">
              <w:rPr>
                <w:noProof/>
                <w:color w:val="000000" w:themeColor="text1"/>
                <w:szCs w:val="24"/>
              </w:rPr>
              <w:t>Sensitive information, biotechnology datasets</w:t>
            </w:r>
          </w:p>
        </w:tc>
        <w:tc>
          <w:tcPr>
            <w:tcW w:w="2330" w:type="dxa"/>
            <w:tcBorders>
              <w:top w:val="single" w:sz="8" w:space="0" w:color="auto"/>
              <w:left w:val="single" w:sz="8" w:space="0" w:color="auto"/>
              <w:bottom w:val="single" w:sz="8" w:space="0" w:color="auto"/>
              <w:right w:val="single" w:sz="8" w:space="0" w:color="auto"/>
            </w:tcBorders>
            <w:tcMar>
              <w:left w:w="108" w:type="dxa"/>
              <w:right w:w="108" w:type="dxa"/>
            </w:tcMar>
          </w:tcPr>
          <w:p w14:paraId="5D8D32DB" w14:textId="77777777" w:rsidR="588CF2EE" w:rsidRPr="004C70EC" w:rsidRDefault="588CF2EE">
            <w:pPr>
              <w:jc w:val="left"/>
              <w:rPr>
                <w:i/>
                <w:noProof/>
                <w:color w:val="000000" w:themeColor="text1"/>
                <w:szCs w:val="24"/>
              </w:rPr>
            </w:pPr>
            <w:r w:rsidRPr="004C70EC">
              <w:rPr>
                <w:i/>
                <w:noProof/>
                <w:color w:val="000000" w:themeColor="text1"/>
                <w:szCs w:val="24"/>
              </w:rPr>
              <w:t>Article [16] Access Principles and Security Safeguards</w:t>
            </w:r>
          </w:p>
        </w:tc>
        <w:tc>
          <w:tcPr>
            <w:tcW w:w="3392" w:type="dxa"/>
            <w:tcBorders>
              <w:top w:val="single" w:sz="8" w:space="0" w:color="auto"/>
              <w:left w:val="single" w:sz="8" w:space="0" w:color="auto"/>
              <w:bottom w:val="single" w:sz="8" w:space="0" w:color="auto"/>
              <w:right w:val="single" w:sz="8" w:space="0" w:color="auto"/>
            </w:tcBorders>
            <w:tcMar>
              <w:left w:w="108" w:type="dxa"/>
              <w:right w:w="108" w:type="dxa"/>
            </w:tcMar>
          </w:tcPr>
          <w:p w14:paraId="0CE4F34C" w14:textId="77777777" w:rsidR="588CF2EE" w:rsidRPr="004C70EC" w:rsidRDefault="588CF2EE">
            <w:pPr>
              <w:jc w:val="left"/>
              <w:rPr>
                <w:noProof/>
                <w:color w:val="000000" w:themeColor="text1"/>
                <w:szCs w:val="24"/>
              </w:rPr>
            </w:pPr>
            <w:r w:rsidRPr="004C70EC">
              <w:rPr>
                <w:noProof/>
                <w:color w:val="000000" w:themeColor="text1"/>
                <w:szCs w:val="24"/>
              </w:rPr>
              <w:t>N.A.</w:t>
            </w:r>
          </w:p>
        </w:tc>
      </w:tr>
      <w:tr w:rsidR="004A1163" w:rsidRPr="004C70EC" w14:paraId="22A593FA" w14:textId="77777777" w:rsidTr="588CF2EE">
        <w:trPr>
          <w:trHeight w:val="300"/>
        </w:trPr>
        <w:tc>
          <w:tcPr>
            <w:tcW w:w="3338" w:type="dxa"/>
            <w:tcBorders>
              <w:top w:val="single" w:sz="8" w:space="0" w:color="auto"/>
              <w:left w:val="single" w:sz="8" w:space="0" w:color="auto"/>
              <w:bottom w:val="single" w:sz="8" w:space="0" w:color="auto"/>
              <w:right w:val="single" w:sz="8" w:space="0" w:color="auto"/>
            </w:tcBorders>
            <w:tcMar>
              <w:left w:w="108" w:type="dxa"/>
              <w:right w:w="108" w:type="dxa"/>
            </w:tcMar>
          </w:tcPr>
          <w:p w14:paraId="7BE57255" w14:textId="77777777" w:rsidR="588CF2EE" w:rsidRPr="004C70EC" w:rsidRDefault="588CF2EE">
            <w:pPr>
              <w:jc w:val="left"/>
              <w:rPr>
                <w:noProof/>
                <w:color w:val="000000" w:themeColor="text1"/>
                <w:szCs w:val="24"/>
              </w:rPr>
            </w:pPr>
            <w:r w:rsidRPr="004C70EC">
              <w:rPr>
                <w:noProof/>
                <w:color w:val="000000" w:themeColor="text1"/>
                <w:szCs w:val="24"/>
              </w:rPr>
              <w:t>Mapping of existing infrastructures</w:t>
            </w:r>
          </w:p>
        </w:tc>
        <w:tc>
          <w:tcPr>
            <w:tcW w:w="2330" w:type="dxa"/>
            <w:tcBorders>
              <w:top w:val="single" w:sz="8" w:space="0" w:color="auto"/>
              <w:left w:val="single" w:sz="8" w:space="0" w:color="auto"/>
              <w:bottom w:val="single" w:sz="8" w:space="0" w:color="auto"/>
              <w:right w:val="single" w:sz="8" w:space="0" w:color="auto"/>
            </w:tcBorders>
            <w:tcMar>
              <w:left w:w="108" w:type="dxa"/>
              <w:right w:w="108" w:type="dxa"/>
            </w:tcMar>
          </w:tcPr>
          <w:p w14:paraId="2C60177F" w14:textId="77777777" w:rsidR="588CF2EE" w:rsidRPr="004C70EC" w:rsidRDefault="588CF2EE">
            <w:pPr>
              <w:jc w:val="left"/>
              <w:rPr>
                <w:i/>
                <w:noProof/>
                <w:color w:val="000000" w:themeColor="text1"/>
                <w:szCs w:val="24"/>
              </w:rPr>
            </w:pPr>
            <w:r w:rsidRPr="004C70EC">
              <w:rPr>
                <w:i/>
                <w:noProof/>
                <w:color w:val="000000" w:themeColor="text1"/>
                <w:szCs w:val="24"/>
              </w:rPr>
              <w:t>Article [17] Strategic Mapping of the Union’s Biotechnology Ecosystem</w:t>
            </w:r>
          </w:p>
        </w:tc>
        <w:tc>
          <w:tcPr>
            <w:tcW w:w="3392" w:type="dxa"/>
            <w:tcBorders>
              <w:top w:val="single" w:sz="8" w:space="0" w:color="auto"/>
              <w:left w:val="single" w:sz="8" w:space="0" w:color="auto"/>
              <w:bottom w:val="single" w:sz="8" w:space="0" w:color="auto"/>
              <w:right w:val="single" w:sz="8" w:space="0" w:color="auto"/>
            </w:tcBorders>
            <w:tcMar>
              <w:left w:w="108" w:type="dxa"/>
              <w:right w:w="108" w:type="dxa"/>
            </w:tcMar>
          </w:tcPr>
          <w:p w14:paraId="7D723D46" w14:textId="77777777" w:rsidR="588CF2EE" w:rsidRPr="004C70EC" w:rsidRDefault="588CF2EE">
            <w:pPr>
              <w:jc w:val="left"/>
              <w:rPr>
                <w:noProof/>
                <w:color w:val="000000" w:themeColor="text1"/>
                <w:szCs w:val="24"/>
              </w:rPr>
            </w:pPr>
            <w:r w:rsidRPr="004C70EC">
              <w:rPr>
                <w:noProof/>
                <w:color w:val="000000" w:themeColor="text1"/>
                <w:szCs w:val="24"/>
              </w:rPr>
              <w:t>N.A.</w:t>
            </w:r>
          </w:p>
        </w:tc>
      </w:tr>
      <w:tr w:rsidR="004A1163" w:rsidRPr="004C70EC" w14:paraId="7903AC7A" w14:textId="77777777" w:rsidTr="588CF2EE">
        <w:trPr>
          <w:trHeight w:val="300"/>
        </w:trPr>
        <w:tc>
          <w:tcPr>
            <w:tcW w:w="3338" w:type="dxa"/>
            <w:tcBorders>
              <w:top w:val="single" w:sz="8" w:space="0" w:color="auto"/>
              <w:left w:val="single" w:sz="8" w:space="0" w:color="auto"/>
              <w:bottom w:val="single" w:sz="8" w:space="0" w:color="auto"/>
              <w:right w:val="single" w:sz="8" w:space="0" w:color="auto"/>
            </w:tcBorders>
            <w:tcMar>
              <w:left w:w="108" w:type="dxa"/>
              <w:right w:w="108" w:type="dxa"/>
            </w:tcMar>
          </w:tcPr>
          <w:p w14:paraId="452AA6E0" w14:textId="77777777" w:rsidR="588CF2EE" w:rsidRPr="004C70EC" w:rsidRDefault="588CF2EE">
            <w:pPr>
              <w:jc w:val="left"/>
              <w:rPr>
                <w:noProof/>
                <w:color w:val="000000" w:themeColor="text1"/>
                <w:szCs w:val="24"/>
              </w:rPr>
            </w:pPr>
            <w:r w:rsidRPr="004C70EC">
              <w:rPr>
                <w:noProof/>
                <w:color w:val="000000" w:themeColor="text1"/>
                <w:szCs w:val="24"/>
              </w:rPr>
              <w:t>Guidance on the use and deployment of AI</w:t>
            </w:r>
          </w:p>
        </w:tc>
        <w:tc>
          <w:tcPr>
            <w:tcW w:w="2330" w:type="dxa"/>
            <w:tcBorders>
              <w:top w:val="single" w:sz="8" w:space="0" w:color="auto"/>
              <w:left w:val="single" w:sz="8" w:space="0" w:color="auto"/>
              <w:bottom w:val="single" w:sz="8" w:space="0" w:color="auto"/>
              <w:right w:val="single" w:sz="8" w:space="0" w:color="auto"/>
            </w:tcBorders>
            <w:tcMar>
              <w:left w:w="108" w:type="dxa"/>
              <w:right w:w="108" w:type="dxa"/>
            </w:tcMar>
          </w:tcPr>
          <w:p w14:paraId="1050BD0A" w14:textId="77777777" w:rsidR="588CF2EE" w:rsidRPr="004C70EC" w:rsidRDefault="588CF2EE">
            <w:pPr>
              <w:jc w:val="left"/>
              <w:rPr>
                <w:i/>
                <w:noProof/>
                <w:color w:val="000000" w:themeColor="text1"/>
                <w:szCs w:val="24"/>
              </w:rPr>
            </w:pPr>
            <w:r w:rsidRPr="004C70EC">
              <w:rPr>
                <w:i/>
                <w:noProof/>
                <w:color w:val="000000" w:themeColor="text1"/>
                <w:szCs w:val="24"/>
              </w:rPr>
              <w:t>Article [31] Guidance on the deployment and use of systems based on advanced technologies including AI Systems in the Lifecycle of Medicinal Products</w:t>
            </w:r>
          </w:p>
        </w:tc>
        <w:tc>
          <w:tcPr>
            <w:tcW w:w="3392" w:type="dxa"/>
            <w:tcBorders>
              <w:top w:val="single" w:sz="8" w:space="0" w:color="auto"/>
              <w:left w:val="single" w:sz="8" w:space="0" w:color="auto"/>
              <w:bottom w:val="single" w:sz="8" w:space="0" w:color="auto"/>
              <w:right w:val="single" w:sz="8" w:space="0" w:color="auto"/>
            </w:tcBorders>
            <w:tcMar>
              <w:left w:w="108" w:type="dxa"/>
              <w:right w:w="108" w:type="dxa"/>
            </w:tcMar>
          </w:tcPr>
          <w:p w14:paraId="0470DE10" w14:textId="77777777" w:rsidR="588CF2EE" w:rsidRPr="004C70EC" w:rsidRDefault="588CF2EE">
            <w:pPr>
              <w:jc w:val="left"/>
              <w:rPr>
                <w:noProof/>
                <w:color w:val="000000" w:themeColor="text1"/>
                <w:szCs w:val="24"/>
              </w:rPr>
            </w:pPr>
            <w:r w:rsidRPr="004C70EC">
              <w:rPr>
                <w:noProof/>
                <w:color w:val="000000" w:themeColor="text1"/>
                <w:szCs w:val="24"/>
              </w:rPr>
              <w:t>N.A.</w:t>
            </w:r>
          </w:p>
        </w:tc>
      </w:tr>
      <w:tr w:rsidR="004A1163" w:rsidRPr="004C70EC" w14:paraId="5B2D8062" w14:textId="77777777" w:rsidTr="588CF2EE">
        <w:trPr>
          <w:trHeight w:val="300"/>
        </w:trPr>
        <w:tc>
          <w:tcPr>
            <w:tcW w:w="3338" w:type="dxa"/>
            <w:tcBorders>
              <w:top w:val="single" w:sz="8" w:space="0" w:color="auto"/>
              <w:left w:val="single" w:sz="8" w:space="0" w:color="auto"/>
              <w:bottom w:val="single" w:sz="8" w:space="0" w:color="auto"/>
              <w:right w:val="single" w:sz="8" w:space="0" w:color="auto"/>
            </w:tcBorders>
            <w:tcMar>
              <w:left w:w="108" w:type="dxa"/>
              <w:right w:w="108" w:type="dxa"/>
            </w:tcMar>
          </w:tcPr>
          <w:p w14:paraId="1CFCCC05" w14:textId="77777777" w:rsidR="588CF2EE" w:rsidRPr="004C70EC" w:rsidRDefault="588CF2EE">
            <w:pPr>
              <w:jc w:val="left"/>
              <w:rPr>
                <w:noProof/>
                <w:color w:val="000000" w:themeColor="text1"/>
                <w:szCs w:val="24"/>
              </w:rPr>
            </w:pPr>
            <w:r w:rsidRPr="004C70EC">
              <w:rPr>
                <w:noProof/>
                <w:color w:val="000000" w:themeColor="text1"/>
                <w:szCs w:val="24"/>
              </w:rPr>
              <w:t>Regulatory decisions, opinions, recommendations</w:t>
            </w:r>
          </w:p>
        </w:tc>
        <w:tc>
          <w:tcPr>
            <w:tcW w:w="2330" w:type="dxa"/>
            <w:tcBorders>
              <w:top w:val="single" w:sz="8" w:space="0" w:color="auto"/>
              <w:left w:val="single" w:sz="8" w:space="0" w:color="auto"/>
              <w:bottom w:val="single" w:sz="8" w:space="0" w:color="auto"/>
              <w:right w:val="single" w:sz="8" w:space="0" w:color="auto"/>
            </w:tcBorders>
            <w:tcMar>
              <w:left w:w="108" w:type="dxa"/>
              <w:right w:w="108" w:type="dxa"/>
            </w:tcMar>
          </w:tcPr>
          <w:p w14:paraId="292B8D7F" w14:textId="77777777" w:rsidR="588CF2EE" w:rsidRPr="004C70EC" w:rsidRDefault="588CF2EE">
            <w:pPr>
              <w:jc w:val="left"/>
              <w:rPr>
                <w:i/>
                <w:noProof/>
                <w:color w:val="000000" w:themeColor="text1"/>
                <w:szCs w:val="24"/>
              </w:rPr>
            </w:pPr>
            <w:r w:rsidRPr="004C70EC">
              <w:rPr>
                <w:i/>
                <w:noProof/>
                <w:color w:val="000000" w:themeColor="text1"/>
                <w:szCs w:val="24"/>
              </w:rPr>
              <w:t>Article [35] 1 Union Regulatory Status Repository</w:t>
            </w:r>
          </w:p>
        </w:tc>
        <w:tc>
          <w:tcPr>
            <w:tcW w:w="3392" w:type="dxa"/>
            <w:tcBorders>
              <w:top w:val="single" w:sz="8" w:space="0" w:color="auto"/>
              <w:left w:val="single" w:sz="8" w:space="0" w:color="auto"/>
              <w:bottom w:val="single" w:sz="8" w:space="0" w:color="auto"/>
              <w:right w:val="single" w:sz="8" w:space="0" w:color="auto"/>
            </w:tcBorders>
            <w:tcMar>
              <w:left w:w="108" w:type="dxa"/>
              <w:right w:w="108" w:type="dxa"/>
            </w:tcMar>
          </w:tcPr>
          <w:p w14:paraId="06E00507" w14:textId="77777777" w:rsidR="588CF2EE" w:rsidRPr="004C70EC" w:rsidRDefault="588CF2EE">
            <w:pPr>
              <w:jc w:val="left"/>
              <w:rPr>
                <w:noProof/>
                <w:color w:val="000000" w:themeColor="text1"/>
                <w:szCs w:val="24"/>
              </w:rPr>
            </w:pPr>
            <w:r w:rsidRPr="004C70EC">
              <w:rPr>
                <w:noProof/>
                <w:color w:val="000000" w:themeColor="text1"/>
                <w:szCs w:val="24"/>
              </w:rPr>
              <w:t>N.A.</w:t>
            </w:r>
          </w:p>
        </w:tc>
      </w:tr>
      <w:tr w:rsidR="004A1163" w:rsidRPr="004C70EC" w14:paraId="4188D2BC" w14:textId="77777777" w:rsidTr="588CF2EE">
        <w:trPr>
          <w:trHeight w:val="300"/>
        </w:trPr>
        <w:tc>
          <w:tcPr>
            <w:tcW w:w="3338" w:type="dxa"/>
            <w:tcBorders>
              <w:top w:val="single" w:sz="8" w:space="0" w:color="auto"/>
              <w:left w:val="single" w:sz="8" w:space="0" w:color="auto"/>
              <w:bottom w:val="single" w:sz="8" w:space="0" w:color="auto"/>
              <w:right w:val="single" w:sz="8" w:space="0" w:color="auto"/>
            </w:tcBorders>
            <w:tcMar>
              <w:left w:w="108" w:type="dxa"/>
              <w:right w:w="108" w:type="dxa"/>
            </w:tcMar>
          </w:tcPr>
          <w:p w14:paraId="7BA31B32" w14:textId="77777777" w:rsidR="588CF2EE" w:rsidRPr="004C70EC" w:rsidRDefault="588CF2EE">
            <w:pPr>
              <w:jc w:val="left"/>
              <w:rPr>
                <w:noProof/>
                <w:color w:val="000000" w:themeColor="text1"/>
                <w:szCs w:val="24"/>
              </w:rPr>
            </w:pPr>
            <w:r w:rsidRPr="004C70EC">
              <w:rPr>
                <w:noProof/>
                <w:color w:val="000000" w:themeColor="text1"/>
                <w:szCs w:val="24"/>
              </w:rPr>
              <w:t>Personal health data, clinical data</w:t>
            </w:r>
          </w:p>
        </w:tc>
        <w:tc>
          <w:tcPr>
            <w:tcW w:w="2330" w:type="dxa"/>
            <w:tcBorders>
              <w:top w:val="single" w:sz="8" w:space="0" w:color="auto"/>
              <w:left w:val="single" w:sz="8" w:space="0" w:color="auto"/>
              <w:bottom w:val="single" w:sz="8" w:space="0" w:color="auto"/>
              <w:right w:val="single" w:sz="8" w:space="0" w:color="auto"/>
            </w:tcBorders>
            <w:tcMar>
              <w:left w:w="108" w:type="dxa"/>
              <w:right w:w="108" w:type="dxa"/>
            </w:tcMar>
          </w:tcPr>
          <w:p w14:paraId="3B574713" w14:textId="77777777" w:rsidR="588CF2EE" w:rsidRPr="004C70EC" w:rsidRDefault="588CF2EE">
            <w:pPr>
              <w:jc w:val="left"/>
              <w:rPr>
                <w:i/>
                <w:noProof/>
                <w:color w:val="000000" w:themeColor="text1"/>
                <w:szCs w:val="24"/>
              </w:rPr>
            </w:pPr>
            <w:r w:rsidRPr="004C70EC">
              <w:rPr>
                <w:i/>
                <w:noProof/>
                <w:color w:val="000000" w:themeColor="text1"/>
                <w:szCs w:val="24"/>
              </w:rPr>
              <w:t>Article [58]</w:t>
            </w:r>
            <w:r w:rsidRPr="004C70EC">
              <w:rPr>
                <w:noProof/>
                <w:color w:val="000000" w:themeColor="text1"/>
                <w:szCs w:val="24"/>
              </w:rPr>
              <w:t xml:space="preserve"> </w:t>
            </w:r>
            <w:r w:rsidRPr="004C70EC">
              <w:rPr>
                <w:i/>
                <w:noProof/>
                <w:color w:val="000000" w:themeColor="text1"/>
                <w:szCs w:val="24"/>
              </w:rPr>
              <w:t>Amendments to Regulation (EU) No 536/2014 (‘Clinical Trials Regulation’)</w:t>
            </w:r>
          </w:p>
        </w:tc>
        <w:tc>
          <w:tcPr>
            <w:tcW w:w="3392" w:type="dxa"/>
            <w:tcBorders>
              <w:top w:val="single" w:sz="8" w:space="0" w:color="auto"/>
              <w:left w:val="single" w:sz="8" w:space="0" w:color="auto"/>
              <w:bottom w:val="single" w:sz="8" w:space="0" w:color="auto"/>
              <w:right w:val="single" w:sz="8" w:space="0" w:color="auto"/>
            </w:tcBorders>
            <w:tcMar>
              <w:left w:w="108" w:type="dxa"/>
              <w:right w:w="108" w:type="dxa"/>
            </w:tcMar>
          </w:tcPr>
          <w:p w14:paraId="1E4E6BC3" w14:textId="77777777" w:rsidR="588CF2EE" w:rsidRPr="004C70EC" w:rsidRDefault="588CF2EE">
            <w:pPr>
              <w:jc w:val="left"/>
              <w:rPr>
                <w:noProof/>
                <w:color w:val="000000" w:themeColor="text1"/>
                <w:szCs w:val="24"/>
              </w:rPr>
            </w:pPr>
            <w:r w:rsidRPr="004C70EC">
              <w:rPr>
                <w:noProof/>
                <w:color w:val="000000" w:themeColor="text1"/>
                <w:szCs w:val="24"/>
              </w:rPr>
              <w:t>N.A.</w:t>
            </w:r>
          </w:p>
        </w:tc>
      </w:tr>
      <w:tr w:rsidR="004A1163" w:rsidRPr="004C70EC" w14:paraId="1FC17BCD" w14:textId="77777777" w:rsidTr="588CF2EE">
        <w:trPr>
          <w:trHeight w:val="300"/>
        </w:trPr>
        <w:tc>
          <w:tcPr>
            <w:tcW w:w="3338" w:type="dxa"/>
            <w:tcBorders>
              <w:top w:val="single" w:sz="8" w:space="0" w:color="auto"/>
              <w:left w:val="single" w:sz="8" w:space="0" w:color="auto"/>
              <w:bottom w:val="single" w:sz="8" w:space="0" w:color="auto"/>
              <w:right w:val="single" w:sz="8" w:space="0" w:color="auto"/>
            </w:tcBorders>
            <w:tcMar>
              <w:left w:w="108" w:type="dxa"/>
              <w:right w:w="108" w:type="dxa"/>
            </w:tcMar>
          </w:tcPr>
          <w:p w14:paraId="3909474C" w14:textId="77777777" w:rsidR="588CF2EE" w:rsidRPr="004C70EC" w:rsidRDefault="588CF2EE">
            <w:pPr>
              <w:jc w:val="left"/>
              <w:rPr>
                <w:noProof/>
                <w:color w:val="000000" w:themeColor="text1"/>
                <w:szCs w:val="24"/>
              </w:rPr>
            </w:pPr>
            <w:r w:rsidRPr="004C70EC">
              <w:rPr>
                <w:noProof/>
                <w:color w:val="000000" w:themeColor="text1"/>
                <w:szCs w:val="24"/>
              </w:rPr>
              <w:t>Cross-border surveillance of biological threats</w:t>
            </w:r>
          </w:p>
        </w:tc>
        <w:tc>
          <w:tcPr>
            <w:tcW w:w="2330" w:type="dxa"/>
            <w:tcBorders>
              <w:top w:val="single" w:sz="8" w:space="0" w:color="auto"/>
              <w:left w:val="single" w:sz="8" w:space="0" w:color="auto"/>
              <w:bottom w:val="single" w:sz="8" w:space="0" w:color="auto"/>
              <w:right w:val="single" w:sz="8" w:space="0" w:color="auto"/>
            </w:tcBorders>
            <w:tcMar>
              <w:left w:w="108" w:type="dxa"/>
              <w:right w:w="108" w:type="dxa"/>
            </w:tcMar>
          </w:tcPr>
          <w:p w14:paraId="3400EFA6" w14:textId="77777777" w:rsidR="588CF2EE" w:rsidRPr="004C70EC" w:rsidRDefault="588CF2EE">
            <w:pPr>
              <w:rPr>
                <w:i/>
                <w:noProof/>
                <w:color w:val="000000" w:themeColor="text1"/>
                <w:szCs w:val="24"/>
              </w:rPr>
            </w:pPr>
            <w:r w:rsidRPr="004C70EC">
              <w:rPr>
                <w:i/>
                <w:noProof/>
                <w:color w:val="000000" w:themeColor="text1"/>
                <w:szCs w:val="24"/>
              </w:rPr>
              <w:t xml:space="preserve">Article [41] </w:t>
            </w:r>
          </w:p>
          <w:p w14:paraId="22F68042" w14:textId="77777777" w:rsidR="588CF2EE" w:rsidRPr="004C70EC" w:rsidRDefault="588CF2EE">
            <w:pPr>
              <w:rPr>
                <w:i/>
                <w:noProof/>
                <w:color w:val="000000" w:themeColor="text1"/>
                <w:szCs w:val="24"/>
              </w:rPr>
            </w:pPr>
            <w:r w:rsidRPr="004C70EC">
              <w:rPr>
                <w:i/>
                <w:noProof/>
                <w:color w:val="000000" w:themeColor="text1"/>
                <w:szCs w:val="24"/>
              </w:rPr>
              <w:t>EU Biothreat Radar High Impact Projects</w:t>
            </w:r>
          </w:p>
          <w:p w14:paraId="65A32C5B" w14:textId="77777777" w:rsidR="588CF2EE" w:rsidRPr="004C70EC" w:rsidRDefault="588CF2EE">
            <w:pPr>
              <w:rPr>
                <w:i/>
                <w:noProof/>
                <w:color w:val="000000" w:themeColor="text1"/>
                <w:szCs w:val="24"/>
              </w:rPr>
            </w:pPr>
            <w:r w:rsidRPr="004C70EC">
              <w:rPr>
                <w:i/>
                <w:noProof/>
                <w:color w:val="000000" w:themeColor="text1"/>
                <w:szCs w:val="24"/>
              </w:rPr>
              <w:t xml:space="preserve">Article [42] </w:t>
            </w:r>
          </w:p>
          <w:p w14:paraId="3FE98ABB" w14:textId="77777777" w:rsidR="588CF2EE" w:rsidRPr="004C70EC" w:rsidRDefault="588CF2EE">
            <w:pPr>
              <w:rPr>
                <w:i/>
                <w:noProof/>
                <w:color w:val="000000" w:themeColor="text1"/>
                <w:szCs w:val="24"/>
              </w:rPr>
            </w:pPr>
            <w:r w:rsidRPr="004C70EC">
              <w:rPr>
                <w:i/>
                <w:noProof/>
                <w:color w:val="000000" w:themeColor="text1"/>
                <w:szCs w:val="24"/>
              </w:rPr>
              <w:t xml:space="preserve">Biodefence capability high impact strategic project  </w:t>
            </w:r>
          </w:p>
          <w:p w14:paraId="7D7C0272" w14:textId="77777777" w:rsidR="588CF2EE" w:rsidRPr="004C70EC" w:rsidRDefault="588CF2EE">
            <w:pPr>
              <w:jc w:val="left"/>
              <w:rPr>
                <w:i/>
                <w:noProof/>
                <w:color w:val="000000" w:themeColor="text1"/>
                <w:szCs w:val="24"/>
              </w:rPr>
            </w:pPr>
            <w:r w:rsidRPr="004C70EC">
              <w:rPr>
                <w:i/>
                <w:noProof/>
                <w:color w:val="000000" w:themeColor="text1"/>
                <w:szCs w:val="24"/>
              </w:rPr>
              <w:t>Article [44] Verification of Legitimate Need</w:t>
            </w:r>
          </w:p>
          <w:p w14:paraId="1976B971" w14:textId="77777777" w:rsidR="588CF2EE" w:rsidRPr="004C70EC" w:rsidRDefault="588CF2EE">
            <w:pPr>
              <w:jc w:val="left"/>
              <w:rPr>
                <w:i/>
                <w:noProof/>
                <w:color w:val="000000" w:themeColor="text1"/>
                <w:szCs w:val="24"/>
              </w:rPr>
            </w:pPr>
            <w:r w:rsidRPr="004C70EC">
              <w:rPr>
                <w:i/>
                <w:noProof/>
                <w:color w:val="000000" w:themeColor="text1"/>
                <w:szCs w:val="24"/>
              </w:rPr>
              <w:t>Article [46]</w:t>
            </w:r>
            <w:r w:rsidRPr="004C70EC">
              <w:rPr>
                <w:noProof/>
                <w:color w:val="000000" w:themeColor="text1"/>
                <w:szCs w:val="24"/>
              </w:rPr>
              <w:t xml:space="preserve"> </w:t>
            </w:r>
            <w:r w:rsidRPr="004C70EC">
              <w:rPr>
                <w:i/>
                <w:noProof/>
                <w:color w:val="000000" w:themeColor="text1"/>
                <w:szCs w:val="24"/>
              </w:rPr>
              <w:t>Prevention and Reporting of Misuse</w:t>
            </w:r>
          </w:p>
          <w:p w14:paraId="7AB4D86C" w14:textId="77777777" w:rsidR="588CF2EE" w:rsidRPr="004C70EC" w:rsidRDefault="588CF2EE">
            <w:pPr>
              <w:rPr>
                <w:i/>
                <w:noProof/>
                <w:color w:val="000000" w:themeColor="text1"/>
                <w:szCs w:val="24"/>
              </w:rPr>
            </w:pPr>
            <w:r w:rsidRPr="004C70EC">
              <w:rPr>
                <w:i/>
                <w:noProof/>
                <w:color w:val="000000" w:themeColor="text1"/>
                <w:szCs w:val="24"/>
              </w:rPr>
              <w:t xml:space="preserve">Article [48] </w:t>
            </w:r>
          </w:p>
          <w:p w14:paraId="06DFA62B" w14:textId="77777777" w:rsidR="588CF2EE" w:rsidRPr="004C70EC" w:rsidRDefault="588CF2EE">
            <w:pPr>
              <w:jc w:val="left"/>
              <w:rPr>
                <w:i/>
                <w:noProof/>
                <w:color w:val="000000" w:themeColor="text1"/>
                <w:szCs w:val="24"/>
              </w:rPr>
            </w:pPr>
            <w:r w:rsidRPr="004C70EC">
              <w:rPr>
                <w:i/>
                <w:noProof/>
                <w:color w:val="000000" w:themeColor="text1"/>
                <w:szCs w:val="24"/>
              </w:rPr>
              <w:t xml:space="preserve">National Inspection Authorities  </w:t>
            </w:r>
          </w:p>
          <w:p w14:paraId="4CF667B5" w14:textId="77777777" w:rsidR="588CF2EE" w:rsidRPr="004C70EC" w:rsidRDefault="588CF2EE">
            <w:pPr>
              <w:rPr>
                <w:i/>
                <w:noProof/>
                <w:color w:val="000000" w:themeColor="text1"/>
                <w:szCs w:val="24"/>
              </w:rPr>
            </w:pPr>
            <w:r w:rsidRPr="004C70EC">
              <w:rPr>
                <w:i/>
                <w:noProof/>
                <w:color w:val="000000" w:themeColor="text1"/>
                <w:szCs w:val="24"/>
              </w:rPr>
              <w:t>Article [49]</w:t>
            </w:r>
          </w:p>
          <w:p w14:paraId="23F56B6A" w14:textId="77777777" w:rsidR="588CF2EE" w:rsidRPr="004C70EC" w:rsidRDefault="588CF2EE">
            <w:pPr>
              <w:rPr>
                <w:i/>
                <w:noProof/>
                <w:color w:val="000000" w:themeColor="text1"/>
                <w:szCs w:val="24"/>
              </w:rPr>
            </w:pPr>
            <w:r w:rsidRPr="004C70EC">
              <w:rPr>
                <w:i/>
                <w:noProof/>
                <w:color w:val="000000" w:themeColor="text1"/>
                <w:szCs w:val="24"/>
              </w:rPr>
              <w:t>Commission Enforcement Support and Monitoring</w:t>
            </w:r>
          </w:p>
          <w:p w14:paraId="19268120" w14:textId="77777777" w:rsidR="588CF2EE" w:rsidRPr="004C70EC" w:rsidRDefault="588CF2EE">
            <w:pPr>
              <w:rPr>
                <w:i/>
                <w:noProof/>
                <w:color w:val="000000" w:themeColor="text1"/>
                <w:szCs w:val="24"/>
              </w:rPr>
            </w:pPr>
            <w:r w:rsidRPr="004C70EC">
              <w:rPr>
                <w:i/>
                <w:noProof/>
                <w:color w:val="000000" w:themeColor="text1"/>
                <w:szCs w:val="24"/>
              </w:rPr>
              <w:t xml:space="preserve">Article [52] </w:t>
            </w:r>
          </w:p>
          <w:p w14:paraId="75346444" w14:textId="77777777" w:rsidR="588CF2EE" w:rsidRPr="004C70EC" w:rsidRDefault="588CF2EE">
            <w:pPr>
              <w:jc w:val="left"/>
              <w:rPr>
                <w:i/>
                <w:noProof/>
                <w:color w:val="000000" w:themeColor="text1"/>
                <w:szCs w:val="24"/>
              </w:rPr>
            </w:pPr>
            <w:r w:rsidRPr="004C70EC">
              <w:rPr>
                <w:i/>
                <w:noProof/>
                <w:color w:val="000000" w:themeColor="text1"/>
                <w:szCs w:val="24"/>
              </w:rPr>
              <w:t xml:space="preserve">Advisory Group on Biosecurity  </w:t>
            </w:r>
          </w:p>
          <w:p w14:paraId="75F77505" w14:textId="77777777" w:rsidR="588CF2EE" w:rsidRPr="004C70EC" w:rsidRDefault="588CF2EE">
            <w:pPr>
              <w:rPr>
                <w:i/>
                <w:noProof/>
                <w:color w:val="000000" w:themeColor="text1"/>
                <w:szCs w:val="24"/>
              </w:rPr>
            </w:pPr>
            <w:r w:rsidRPr="004C70EC">
              <w:rPr>
                <w:i/>
                <w:noProof/>
                <w:color w:val="000000" w:themeColor="text1"/>
                <w:szCs w:val="24"/>
              </w:rPr>
              <w:t>Article [53]</w:t>
            </w:r>
          </w:p>
          <w:p w14:paraId="31512572" w14:textId="77777777" w:rsidR="588CF2EE" w:rsidRPr="004C70EC" w:rsidRDefault="588CF2EE">
            <w:pPr>
              <w:rPr>
                <w:i/>
                <w:noProof/>
                <w:color w:val="000000" w:themeColor="text1"/>
                <w:szCs w:val="24"/>
              </w:rPr>
            </w:pPr>
            <w:r w:rsidRPr="004C70EC">
              <w:rPr>
                <w:i/>
                <w:noProof/>
                <w:color w:val="000000" w:themeColor="text1"/>
                <w:szCs w:val="24"/>
              </w:rPr>
              <w:t>Biological Systemic Risk</w:t>
            </w:r>
          </w:p>
          <w:p w14:paraId="11165E29" w14:textId="77777777" w:rsidR="588CF2EE" w:rsidRPr="004C70EC" w:rsidRDefault="588CF2EE">
            <w:pPr>
              <w:rPr>
                <w:i/>
                <w:noProof/>
                <w:color w:val="000000" w:themeColor="text1"/>
                <w:szCs w:val="24"/>
              </w:rPr>
            </w:pPr>
            <w:r w:rsidRPr="004C70EC">
              <w:rPr>
                <w:i/>
                <w:noProof/>
                <w:color w:val="000000" w:themeColor="text1"/>
                <w:szCs w:val="24"/>
              </w:rPr>
              <w:t xml:space="preserve">Article [54] </w:t>
            </w:r>
          </w:p>
          <w:p w14:paraId="2226F2E9" w14:textId="77777777" w:rsidR="588CF2EE" w:rsidRPr="004C70EC" w:rsidRDefault="588CF2EE">
            <w:pPr>
              <w:rPr>
                <w:i/>
                <w:noProof/>
                <w:color w:val="000000" w:themeColor="text1"/>
                <w:szCs w:val="24"/>
              </w:rPr>
            </w:pPr>
            <w:r w:rsidRPr="004C70EC">
              <w:rPr>
                <w:i/>
                <w:noProof/>
                <w:color w:val="000000" w:themeColor="text1"/>
                <w:szCs w:val="24"/>
              </w:rPr>
              <w:t>Monitoring and Guidance</w:t>
            </w:r>
          </w:p>
          <w:p w14:paraId="4B4187F8" w14:textId="77777777" w:rsidR="588CF2EE" w:rsidRPr="004C70EC" w:rsidRDefault="588CF2EE">
            <w:pPr>
              <w:jc w:val="left"/>
              <w:rPr>
                <w:i/>
                <w:noProof/>
                <w:color w:val="000000" w:themeColor="text1"/>
                <w:szCs w:val="24"/>
              </w:rPr>
            </w:pPr>
            <w:r w:rsidRPr="004C70EC">
              <w:rPr>
                <w:i/>
                <w:noProof/>
                <w:color w:val="000000" w:themeColor="text1"/>
                <w:szCs w:val="24"/>
              </w:rPr>
              <w:t>Article [55] Coordination on Biosecurity and Biosafety</w:t>
            </w:r>
          </w:p>
          <w:p w14:paraId="2C0A1F32" w14:textId="77777777" w:rsidR="588CF2EE" w:rsidRPr="004C70EC" w:rsidRDefault="588CF2EE">
            <w:pPr>
              <w:rPr>
                <w:i/>
                <w:noProof/>
                <w:color w:val="000000" w:themeColor="text1"/>
                <w:szCs w:val="24"/>
              </w:rPr>
            </w:pPr>
            <w:r w:rsidRPr="004C70EC">
              <w:rPr>
                <w:i/>
                <w:noProof/>
                <w:color w:val="000000" w:themeColor="text1"/>
                <w:szCs w:val="24"/>
              </w:rPr>
              <w:t xml:space="preserve"> </w:t>
            </w:r>
          </w:p>
        </w:tc>
        <w:tc>
          <w:tcPr>
            <w:tcW w:w="3392" w:type="dxa"/>
            <w:tcBorders>
              <w:top w:val="single" w:sz="8" w:space="0" w:color="auto"/>
              <w:left w:val="single" w:sz="8" w:space="0" w:color="auto"/>
              <w:bottom w:val="single" w:sz="8" w:space="0" w:color="auto"/>
              <w:right w:val="single" w:sz="8" w:space="0" w:color="auto"/>
            </w:tcBorders>
            <w:tcMar>
              <w:left w:w="108" w:type="dxa"/>
              <w:right w:w="108" w:type="dxa"/>
            </w:tcMar>
          </w:tcPr>
          <w:p w14:paraId="1B5B7C6F" w14:textId="77777777" w:rsidR="588CF2EE" w:rsidRPr="004C70EC" w:rsidRDefault="588CF2EE">
            <w:pPr>
              <w:jc w:val="left"/>
              <w:rPr>
                <w:noProof/>
                <w:color w:val="000000" w:themeColor="text1"/>
                <w:szCs w:val="24"/>
              </w:rPr>
            </w:pPr>
            <w:r w:rsidRPr="004C70EC">
              <w:rPr>
                <w:noProof/>
                <w:color w:val="000000" w:themeColor="text1"/>
                <w:szCs w:val="24"/>
              </w:rPr>
              <w:t>One implementing Act/Delegated Act foreseen</w:t>
            </w:r>
          </w:p>
        </w:tc>
      </w:tr>
      <w:tr w:rsidR="004A1163" w:rsidRPr="004C70EC" w14:paraId="2FB28F2E" w14:textId="77777777" w:rsidTr="588CF2EE">
        <w:trPr>
          <w:trHeight w:val="300"/>
        </w:trPr>
        <w:tc>
          <w:tcPr>
            <w:tcW w:w="3338" w:type="dxa"/>
            <w:tcBorders>
              <w:top w:val="single" w:sz="8" w:space="0" w:color="auto"/>
              <w:left w:val="single" w:sz="8" w:space="0" w:color="auto"/>
              <w:bottom w:val="single" w:sz="8" w:space="0" w:color="auto"/>
              <w:right w:val="single" w:sz="8" w:space="0" w:color="auto"/>
            </w:tcBorders>
            <w:tcMar>
              <w:left w:w="108" w:type="dxa"/>
              <w:right w:w="108" w:type="dxa"/>
            </w:tcMar>
          </w:tcPr>
          <w:p w14:paraId="5CB73A44" w14:textId="77777777" w:rsidR="588CF2EE" w:rsidRPr="004C70EC" w:rsidRDefault="588CF2EE">
            <w:pPr>
              <w:jc w:val="left"/>
              <w:rPr>
                <w:noProof/>
                <w:color w:val="000000" w:themeColor="text1"/>
                <w:szCs w:val="24"/>
              </w:rPr>
            </w:pPr>
            <w:r w:rsidRPr="004C70EC">
              <w:rPr>
                <w:noProof/>
                <w:color w:val="000000" w:themeColor="text1"/>
                <w:szCs w:val="24"/>
              </w:rPr>
              <w:t>Handling of confidential information</w:t>
            </w:r>
          </w:p>
        </w:tc>
        <w:tc>
          <w:tcPr>
            <w:tcW w:w="2330" w:type="dxa"/>
            <w:tcBorders>
              <w:top w:val="single" w:sz="8" w:space="0" w:color="auto"/>
              <w:left w:val="single" w:sz="8" w:space="0" w:color="auto"/>
              <w:bottom w:val="single" w:sz="8" w:space="0" w:color="auto"/>
              <w:right w:val="single" w:sz="8" w:space="0" w:color="auto"/>
            </w:tcBorders>
            <w:tcMar>
              <w:left w:w="108" w:type="dxa"/>
              <w:right w:w="108" w:type="dxa"/>
            </w:tcMar>
          </w:tcPr>
          <w:p w14:paraId="7C4337E3" w14:textId="77777777" w:rsidR="588CF2EE" w:rsidRPr="004C70EC" w:rsidRDefault="588CF2EE">
            <w:pPr>
              <w:rPr>
                <w:i/>
                <w:noProof/>
                <w:color w:val="000000" w:themeColor="text1"/>
                <w:szCs w:val="24"/>
              </w:rPr>
            </w:pPr>
            <w:r w:rsidRPr="004C70EC">
              <w:rPr>
                <w:i/>
                <w:noProof/>
                <w:color w:val="000000" w:themeColor="text1"/>
                <w:szCs w:val="24"/>
              </w:rPr>
              <w:t>Article [66] Handling of Confidential Information</w:t>
            </w:r>
          </w:p>
        </w:tc>
        <w:tc>
          <w:tcPr>
            <w:tcW w:w="3392" w:type="dxa"/>
            <w:tcBorders>
              <w:top w:val="single" w:sz="8" w:space="0" w:color="auto"/>
              <w:left w:val="single" w:sz="8" w:space="0" w:color="auto"/>
              <w:bottom w:val="single" w:sz="8" w:space="0" w:color="auto"/>
              <w:right w:val="single" w:sz="8" w:space="0" w:color="auto"/>
            </w:tcBorders>
            <w:tcMar>
              <w:left w:w="108" w:type="dxa"/>
              <w:right w:w="108" w:type="dxa"/>
            </w:tcMar>
          </w:tcPr>
          <w:p w14:paraId="39C402F7" w14:textId="77777777" w:rsidR="588CF2EE" w:rsidRPr="004C70EC" w:rsidRDefault="588CF2EE">
            <w:pPr>
              <w:jc w:val="left"/>
              <w:rPr>
                <w:noProof/>
                <w:color w:val="000000" w:themeColor="text1"/>
                <w:szCs w:val="24"/>
              </w:rPr>
            </w:pPr>
            <w:r w:rsidRPr="004C70EC">
              <w:rPr>
                <w:noProof/>
                <w:color w:val="000000" w:themeColor="text1"/>
                <w:szCs w:val="24"/>
              </w:rPr>
              <w:t>N.A.</w:t>
            </w:r>
          </w:p>
        </w:tc>
      </w:tr>
    </w:tbl>
    <w:p w14:paraId="702B9C31" w14:textId="77777777" w:rsidR="47CCA6C1" w:rsidRPr="004C70EC" w:rsidRDefault="47CCA6C1" w:rsidP="588CF2EE">
      <w:pPr>
        <w:rPr>
          <w:rFonts w:eastAsia="Times New Roman"/>
          <w:i/>
          <w:iCs/>
          <w:noProof/>
          <w:color w:val="000000" w:themeColor="text1"/>
          <w:szCs w:val="24"/>
          <w:lang w:val="en-US" w:eastAsia="en-GB"/>
        </w:rPr>
      </w:pPr>
    </w:p>
    <w:p w14:paraId="541404C0" w14:textId="77777777" w:rsidR="22E54C08" w:rsidRPr="004C70EC" w:rsidRDefault="22E54C08">
      <w:pPr>
        <w:rPr>
          <w:noProof/>
          <w:color w:val="000000" w:themeColor="text1"/>
          <w:szCs w:val="24"/>
        </w:rPr>
      </w:pPr>
    </w:p>
    <w:p w14:paraId="1F072AD2" w14:textId="77777777" w:rsidR="22E54C08" w:rsidRPr="004C70EC" w:rsidRDefault="22E54C08">
      <w:pPr>
        <w:rPr>
          <w:noProof/>
          <w:color w:val="000000" w:themeColor="text1"/>
          <w:szCs w:val="24"/>
        </w:rPr>
      </w:pPr>
    </w:p>
    <w:p w14:paraId="7102716F" w14:textId="77777777" w:rsidR="22E54C08" w:rsidRPr="004C70EC" w:rsidRDefault="22E54C08">
      <w:pPr>
        <w:rPr>
          <w:noProof/>
          <w:color w:val="000000" w:themeColor="text1"/>
          <w:szCs w:val="24"/>
        </w:rPr>
      </w:pPr>
    </w:p>
    <w:p w14:paraId="05C6A38B" w14:textId="77777777" w:rsidR="22E54C08" w:rsidRPr="004C70EC" w:rsidRDefault="22E54C08">
      <w:pPr>
        <w:rPr>
          <w:noProof/>
          <w:color w:val="000000" w:themeColor="text1"/>
          <w:szCs w:val="24"/>
        </w:rPr>
      </w:pPr>
    </w:p>
    <w:p w14:paraId="307CB47C" w14:textId="77777777" w:rsidR="22E54C08" w:rsidRPr="004C70EC" w:rsidRDefault="22E54C08">
      <w:pPr>
        <w:rPr>
          <w:noProof/>
          <w:color w:val="000000" w:themeColor="text1"/>
          <w:szCs w:val="24"/>
        </w:rPr>
      </w:pPr>
    </w:p>
    <w:p w14:paraId="3B24BA3C" w14:textId="77777777" w:rsidR="22E54C08" w:rsidRPr="004C70EC" w:rsidRDefault="22E54C08">
      <w:pPr>
        <w:rPr>
          <w:noProof/>
          <w:color w:val="000000" w:themeColor="text1"/>
          <w:szCs w:val="24"/>
        </w:rPr>
      </w:pPr>
    </w:p>
    <w:p w14:paraId="0B096AB0" w14:textId="77777777" w:rsidR="22E54C08" w:rsidRPr="004C70EC" w:rsidRDefault="22E54C08">
      <w:pPr>
        <w:rPr>
          <w:noProof/>
          <w:color w:val="000000" w:themeColor="text1"/>
          <w:szCs w:val="24"/>
        </w:rPr>
      </w:pPr>
    </w:p>
    <w:p w14:paraId="034EA215" w14:textId="77777777" w:rsidR="22E54C08" w:rsidRPr="004C70EC" w:rsidRDefault="22E54C08">
      <w:pPr>
        <w:rPr>
          <w:noProof/>
          <w:color w:val="000000" w:themeColor="text1"/>
          <w:szCs w:val="24"/>
        </w:rPr>
      </w:pPr>
    </w:p>
    <w:p w14:paraId="7AAC9F52" w14:textId="77777777" w:rsidR="007966CD" w:rsidRPr="004C70EC" w:rsidRDefault="007966CD">
      <w:pPr>
        <w:rPr>
          <w:rFonts w:eastAsia="Times New Roman"/>
          <w:noProof/>
          <w:color w:val="000000" w:themeColor="text1"/>
          <w:szCs w:val="24"/>
          <w:lang w:eastAsia="en-GB"/>
        </w:rPr>
      </w:pPr>
    </w:p>
    <w:p w14:paraId="4B6906A0" w14:textId="77777777" w:rsidR="007966CD" w:rsidRPr="004C70EC" w:rsidRDefault="007966CD">
      <w:pPr>
        <w:rPr>
          <w:rFonts w:eastAsia="Times New Roman"/>
          <w:noProof/>
          <w:color w:val="000000" w:themeColor="text1"/>
          <w:szCs w:val="24"/>
          <w:lang w:eastAsia="en-GB"/>
        </w:rPr>
      </w:pPr>
    </w:p>
    <w:p w14:paraId="17300005" w14:textId="77777777" w:rsidR="007966CD" w:rsidRPr="004C70EC" w:rsidRDefault="007966CD">
      <w:pPr>
        <w:rPr>
          <w:rFonts w:eastAsia="Times New Roman"/>
          <w:noProof/>
          <w:color w:val="000000" w:themeColor="text1"/>
          <w:szCs w:val="24"/>
          <w:lang w:eastAsia="en-GB"/>
        </w:rPr>
      </w:pPr>
    </w:p>
    <w:p w14:paraId="277D75C4" w14:textId="77777777" w:rsidR="007966CD" w:rsidRPr="004C70EC" w:rsidRDefault="007966CD">
      <w:pPr>
        <w:rPr>
          <w:rFonts w:eastAsia="Times New Roman"/>
          <w:noProof/>
          <w:color w:val="000000" w:themeColor="text1"/>
          <w:szCs w:val="24"/>
          <w:lang w:val="en-US" w:eastAsia="en-GB"/>
        </w:rPr>
      </w:pPr>
      <w:r w:rsidRPr="004C70EC">
        <w:rPr>
          <w:rFonts w:eastAsia="Times New Roman"/>
          <w:b/>
          <w:bCs/>
          <w:noProof/>
          <w:color w:val="000000" w:themeColor="text1"/>
          <w:szCs w:val="24"/>
          <w:lang w:val="en-US" w:eastAsia="en-GB"/>
        </w:rPr>
        <w:t xml:space="preserve">Alignment with the European Data Strategy </w:t>
      </w:r>
    </w:p>
    <w:p w14:paraId="131BB1A7" w14:textId="77777777" w:rsidR="007966CD" w:rsidRPr="004C70EC" w:rsidRDefault="007966CD">
      <w:pPr>
        <w:rPr>
          <w:rFonts w:eastAsia="Times New Roman"/>
          <w:i/>
          <w:noProof/>
          <w:color w:val="000000" w:themeColor="text1"/>
          <w:szCs w:val="24"/>
          <w:lang w:val="en-US" w:eastAsia="en-GB"/>
        </w:rPr>
      </w:pPr>
      <w:r w:rsidRPr="004C70EC">
        <w:rPr>
          <w:rFonts w:eastAsia="Times New Roman"/>
          <w:i/>
          <w:noProof/>
          <w:color w:val="000000" w:themeColor="text1"/>
          <w:szCs w:val="24"/>
          <w:lang w:val="en-US" w:eastAsia="en-GB"/>
        </w:rPr>
        <w:t>Explanation of how the requirement(s) are aligned with the European Data Strategy</w:t>
      </w:r>
    </w:p>
    <w:tbl>
      <w:tblPr>
        <w:tblStyle w:val="TableGrid2"/>
        <w:tblW w:w="0" w:type="auto"/>
        <w:tblLook w:val="04A0" w:firstRow="1" w:lastRow="0" w:firstColumn="1" w:lastColumn="0" w:noHBand="0" w:noVBand="1"/>
      </w:tblPr>
      <w:tblGrid>
        <w:gridCol w:w="9289"/>
      </w:tblGrid>
      <w:tr w:rsidR="004A1163" w:rsidRPr="004C70EC" w14:paraId="48BE5F1B" w14:textId="77777777">
        <w:tc>
          <w:tcPr>
            <w:tcW w:w="13994" w:type="dxa"/>
          </w:tcPr>
          <w:p w14:paraId="287B1827" w14:textId="77777777" w:rsidR="007966CD" w:rsidRPr="004C70EC" w:rsidRDefault="007966CD" w:rsidP="328CE8BD">
            <w:pPr>
              <w:rPr>
                <w:noProof/>
                <w:color w:val="000000" w:themeColor="text1"/>
                <w:szCs w:val="24"/>
                <w:lang w:val="en-US"/>
              </w:rPr>
            </w:pPr>
            <w:r w:rsidRPr="004C70EC">
              <w:rPr>
                <w:noProof/>
                <w:color w:val="000000" w:themeColor="text1"/>
                <w:szCs w:val="24"/>
                <w:lang w:val="en-IE"/>
              </w:rPr>
              <w:t>Article [</w:t>
            </w:r>
            <w:r w:rsidR="5CF2A700" w:rsidRPr="004C70EC">
              <w:rPr>
                <w:noProof/>
                <w:color w:val="000000" w:themeColor="text1"/>
                <w:szCs w:val="24"/>
                <w:lang w:val="en-IE"/>
              </w:rPr>
              <w:t>3</w:t>
            </w:r>
            <w:r w:rsidR="04A719E5" w:rsidRPr="004C70EC">
              <w:rPr>
                <w:noProof/>
                <w:color w:val="000000" w:themeColor="text1"/>
                <w:szCs w:val="24"/>
                <w:lang w:val="en-IE"/>
              </w:rPr>
              <w:t>3</w:t>
            </w:r>
            <w:r w:rsidRPr="004C70EC">
              <w:rPr>
                <w:noProof/>
                <w:color w:val="000000" w:themeColor="text1"/>
                <w:szCs w:val="24"/>
                <w:lang w:val="en-IE"/>
              </w:rPr>
              <w:t xml:space="preserve">] Biotechnology Data Quality Accelerator High Impact </w:t>
            </w:r>
            <w:r w:rsidR="009D7E28" w:rsidRPr="004C70EC">
              <w:rPr>
                <w:noProof/>
                <w:color w:val="000000" w:themeColor="text1"/>
                <w:szCs w:val="24"/>
              </w:rPr>
              <w:t>Health</w:t>
            </w:r>
            <w:r w:rsidR="009D7E28" w:rsidRPr="004C70EC">
              <w:rPr>
                <w:i/>
                <w:iCs/>
                <w:noProof/>
                <w:color w:val="000000" w:themeColor="text1"/>
                <w:szCs w:val="24"/>
              </w:rPr>
              <w:t xml:space="preserve"> </w:t>
            </w:r>
            <w:r w:rsidRPr="004C70EC">
              <w:rPr>
                <w:noProof/>
                <w:color w:val="000000" w:themeColor="text1"/>
                <w:szCs w:val="24"/>
                <w:lang w:val="en-IE"/>
              </w:rPr>
              <w:t>Biotech</w:t>
            </w:r>
            <w:r w:rsidR="22C32123" w:rsidRPr="004C70EC">
              <w:rPr>
                <w:noProof/>
                <w:color w:val="000000" w:themeColor="text1"/>
                <w:szCs w:val="24"/>
                <w:lang w:val="en-IE"/>
              </w:rPr>
              <w:t>nology</w:t>
            </w:r>
            <w:r w:rsidRPr="004C70EC">
              <w:rPr>
                <w:noProof/>
                <w:color w:val="000000" w:themeColor="text1"/>
                <w:szCs w:val="24"/>
                <w:lang w:val="en-IE"/>
              </w:rPr>
              <w:t xml:space="preserve"> Strategic Projects will ensure that datasets are established, managed and processed in accordance with applicable Union legislation on data governance, ethics and fundamental rights, including Regulation (EU) 2025/327 [European Health Data Space], Regulation (EU) 2016/679 [General Data Protection Regulation].</w:t>
            </w:r>
          </w:p>
          <w:p w14:paraId="155A6AC2" w14:textId="77777777" w:rsidR="007966CD" w:rsidRPr="004C70EC" w:rsidRDefault="007966CD" w:rsidP="04CAD43E">
            <w:pPr>
              <w:spacing w:before="0"/>
              <w:jc w:val="left"/>
              <w:rPr>
                <w:noProof/>
                <w:color w:val="000000" w:themeColor="text1"/>
                <w:szCs w:val="24"/>
                <w:lang w:val="en-IE"/>
              </w:rPr>
            </w:pPr>
          </w:p>
        </w:tc>
      </w:tr>
    </w:tbl>
    <w:p w14:paraId="4A53655A" w14:textId="77777777" w:rsidR="007966CD" w:rsidRPr="004C70EC" w:rsidRDefault="007966CD">
      <w:pPr>
        <w:rPr>
          <w:rFonts w:eastAsia="Times New Roman"/>
          <w:b/>
          <w:noProof/>
          <w:color w:val="000000" w:themeColor="text1"/>
          <w:szCs w:val="24"/>
          <w:lang w:val="en-US" w:eastAsia="en-GB"/>
        </w:rPr>
      </w:pPr>
      <w:r w:rsidRPr="004C70EC">
        <w:rPr>
          <w:rFonts w:eastAsia="Times New Roman"/>
          <w:b/>
          <w:noProof/>
          <w:color w:val="000000" w:themeColor="text1"/>
          <w:szCs w:val="24"/>
          <w:lang w:val="en-US" w:eastAsia="en-GB"/>
        </w:rPr>
        <w:t>Alignment with the once-only principle</w:t>
      </w:r>
    </w:p>
    <w:p w14:paraId="7C63FFAA" w14:textId="77777777" w:rsidR="007966CD" w:rsidRPr="004C70EC" w:rsidRDefault="007966CD">
      <w:pPr>
        <w:rPr>
          <w:rFonts w:eastAsia="Times New Roman"/>
          <w:i/>
          <w:iCs/>
          <w:noProof/>
          <w:color w:val="000000" w:themeColor="text1"/>
          <w:szCs w:val="24"/>
          <w:lang w:val="en-US" w:eastAsia="en-GB"/>
        </w:rPr>
      </w:pPr>
      <w:r w:rsidRPr="004C70EC">
        <w:rPr>
          <w:rFonts w:eastAsia="Times New Roman"/>
          <w:i/>
          <w:iCs/>
          <w:noProof/>
          <w:color w:val="000000" w:themeColor="text1"/>
          <w:szCs w:val="24"/>
          <w:lang w:val="en-US" w:eastAsia="en-GB"/>
        </w:rPr>
        <w:t>Explanation of how the once-only principle has been considered and how the possibility to reuse existing data has been explored</w:t>
      </w:r>
    </w:p>
    <w:tbl>
      <w:tblPr>
        <w:tblStyle w:val="TableGrid2"/>
        <w:tblW w:w="0" w:type="auto"/>
        <w:tblLook w:val="04A0" w:firstRow="1" w:lastRow="0" w:firstColumn="1" w:lastColumn="0" w:noHBand="0" w:noVBand="1"/>
      </w:tblPr>
      <w:tblGrid>
        <w:gridCol w:w="9289"/>
      </w:tblGrid>
      <w:tr w:rsidR="004A1163" w:rsidRPr="004C70EC" w14:paraId="6B442DFE" w14:textId="77777777">
        <w:tc>
          <w:tcPr>
            <w:tcW w:w="13994" w:type="dxa"/>
          </w:tcPr>
          <w:p w14:paraId="23541206" w14:textId="77777777" w:rsidR="007966CD" w:rsidRPr="004C70EC" w:rsidRDefault="007966CD">
            <w:pPr>
              <w:rPr>
                <w:noProof/>
                <w:color w:val="000000" w:themeColor="text1"/>
                <w:szCs w:val="24"/>
                <w:lang w:val="en-US"/>
              </w:rPr>
            </w:pPr>
            <w:r w:rsidRPr="004C70EC">
              <w:rPr>
                <w:noProof/>
                <w:color w:val="000000" w:themeColor="text1"/>
                <w:szCs w:val="24"/>
                <w:lang w:val="en-IE"/>
              </w:rPr>
              <w:t xml:space="preserve">The legal provision allows for the reuse of data and evidence that has already been submitted for the purposes of a first registration. </w:t>
            </w:r>
          </w:p>
        </w:tc>
      </w:tr>
    </w:tbl>
    <w:p w14:paraId="31A563DB" w14:textId="77777777" w:rsidR="007966CD" w:rsidRPr="004C70EC" w:rsidRDefault="007966CD">
      <w:pPr>
        <w:rPr>
          <w:rFonts w:eastAsia="Times New Roman"/>
          <w:i/>
          <w:iCs/>
          <w:noProof/>
          <w:color w:val="000000" w:themeColor="text1"/>
          <w:szCs w:val="24"/>
          <w:lang w:val="en-US" w:eastAsia="en-GB"/>
        </w:rPr>
      </w:pPr>
      <w:r w:rsidRPr="004C70EC">
        <w:rPr>
          <w:rFonts w:eastAsia="Times New Roman"/>
          <w:i/>
          <w:iCs/>
          <w:noProof/>
          <w:color w:val="000000" w:themeColor="text1"/>
          <w:szCs w:val="24"/>
          <w:lang w:val="en-US" w:eastAsia="en-GB"/>
        </w:rPr>
        <w:t>Explanation of how newly created data is findable, accessible, interoperable and reusable, and meets high-quality standards</w:t>
      </w:r>
    </w:p>
    <w:tbl>
      <w:tblPr>
        <w:tblStyle w:val="TableGrid2"/>
        <w:tblW w:w="0" w:type="auto"/>
        <w:tblLook w:val="04A0" w:firstRow="1" w:lastRow="0" w:firstColumn="1" w:lastColumn="0" w:noHBand="0" w:noVBand="1"/>
      </w:tblPr>
      <w:tblGrid>
        <w:gridCol w:w="9289"/>
      </w:tblGrid>
      <w:tr w:rsidR="004A1163" w:rsidRPr="004C70EC" w14:paraId="34F869DD" w14:textId="77777777">
        <w:tc>
          <w:tcPr>
            <w:tcW w:w="13994" w:type="dxa"/>
          </w:tcPr>
          <w:p w14:paraId="30F4A8B1" w14:textId="77777777" w:rsidR="007966CD" w:rsidRPr="004C70EC" w:rsidRDefault="007966CD">
            <w:pPr>
              <w:rPr>
                <w:noProof/>
                <w:color w:val="000000" w:themeColor="text1"/>
                <w:szCs w:val="24"/>
              </w:rPr>
            </w:pPr>
            <w:r w:rsidRPr="004C70EC">
              <w:rPr>
                <w:noProof/>
                <w:color w:val="000000" w:themeColor="text1"/>
                <w:szCs w:val="24"/>
              </w:rPr>
              <w:t>Through Union programmes and infrastructures, the Act promotes fair, reasonable and non-discriminatory access to high-quality data resources for researchers, SMEs and public institutions, thereby accelerating innovation while ensuring compliance with Union standards on data protection, ethics and security.</w:t>
            </w:r>
          </w:p>
        </w:tc>
      </w:tr>
    </w:tbl>
    <w:p w14:paraId="39021BC7" w14:textId="77777777" w:rsidR="007966CD" w:rsidRPr="004C70EC" w:rsidRDefault="007966CD">
      <w:pPr>
        <w:rPr>
          <w:rFonts w:eastAsia="Times New Roman"/>
          <w:b/>
          <w:noProof/>
          <w:color w:val="000000" w:themeColor="text1"/>
          <w:szCs w:val="24"/>
          <w:lang w:eastAsia="en-GB"/>
        </w:rPr>
      </w:pPr>
    </w:p>
    <w:p w14:paraId="20F068A0" w14:textId="77777777" w:rsidR="007966CD" w:rsidRPr="004C70EC" w:rsidRDefault="007966CD">
      <w:pPr>
        <w:tabs>
          <w:tab w:val="left" w:pos="5370"/>
        </w:tabs>
        <w:rPr>
          <w:rFonts w:eastAsia="Times New Roman"/>
          <w:b/>
          <w:noProof/>
          <w:color w:val="000000" w:themeColor="text1"/>
          <w:szCs w:val="24"/>
          <w:lang w:eastAsia="en-GB"/>
        </w:rPr>
      </w:pPr>
      <w:r w:rsidRPr="004C70EC">
        <w:rPr>
          <w:rFonts w:eastAsia="Times New Roman"/>
          <w:b/>
          <w:noProof/>
          <w:color w:val="000000" w:themeColor="text1"/>
          <w:szCs w:val="24"/>
          <w:lang w:eastAsia="en-GB"/>
        </w:rPr>
        <w:t xml:space="preserve">Data flows </w:t>
      </w:r>
    </w:p>
    <w:p w14:paraId="41EA98F8" w14:textId="77777777" w:rsidR="007966CD" w:rsidRPr="004C70EC" w:rsidRDefault="007966CD">
      <w:pPr>
        <w:tabs>
          <w:tab w:val="left" w:pos="5370"/>
        </w:tabs>
        <w:rPr>
          <w:rFonts w:eastAsia="Times New Roman"/>
          <w:i/>
          <w:noProof/>
          <w:color w:val="000000" w:themeColor="text1"/>
          <w:szCs w:val="24"/>
          <w:lang w:eastAsia="en-GB"/>
        </w:rPr>
      </w:pPr>
      <w:r w:rsidRPr="004C70EC">
        <w:rPr>
          <w:rFonts w:eastAsia="Times New Roman"/>
          <w:i/>
          <w:noProof/>
          <w:color w:val="000000" w:themeColor="text1"/>
          <w:szCs w:val="24"/>
          <w:lang w:eastAsia="en-GB"/>
        </w:rPr>
        <w:t>High-level description of the data flows</w:t>
      </w:r>
    </w:p>
    <w:tbl>
      <w:tblPr>
        <w:tblStyle w:val="TableGrid"/>
        <w:tblW w:w="0" w:type="auto"/>
        <w:tblLook w:val="04A0" w:firstRow="1" w:lastRow="0" w:firstColumn="1" w:lastColumn="0" w:noHBand="0" w:noVBand="1"/>
      </w:tblPr>
      <w:tblGrid>
        <w:gridCol w:w="1770"/>
        <w:gridCol w:w="1611"/>
        <w:gridCol w:w="1503"/>
        <w:gridCol w:w="1503"/>
        <w:gridCol w:w="1654"/>
        <w:gridCol w:w="1248"/>
      </w:tblGrid>
      <w:tr w:rsidR="004A1163" w:rsidRPr="004C70EC" w14:paraId="7862EC7B" w14:textId="77777777" w:rsidTr="21057125">
        <w:trPr>
          <w:trHeight w:val="300"/>
        </w:trPr>
        <w:tc>
          <w:tcPr>
            <w:tcW w:w="2753" w:type="dxa"/>
            <w:tcBorders>
              <w:top w:val="single" w:sz="8" w:space="0" w:color="auto"/>
              <w:left w:val="single" w:sz="8" w:space="0" w:color="auto"/>
              <w:bottom w:val="single" w:sz="8" w:space="0" w:color="auto"/>
              <w:right w:val="single" w:sz="8" w:space="0" w:color="auto"/>
            </w:tcBorders>
            <w:tcMar>
              <w:left w:w="108" w:type="dxa"/>
              <w:right w:w="108" w:type="dxa"/>
            </w:tcMar>
          </w:tcPr>
          <w:p w14:paraId="5FFB2993" w14:textId="77777777" w:rsidR="21057125" w:rsidRPr="004C70EC" w:rsidRDefault="21057125">
            <w:pPr>
              <w:jc w:val="left"/>
              <w:rPr>
                <w:b/>
                <w:noProof/>
                <w:color w:val="000000" w:themeColor="text1"/>
                <w:szCs w:val="24"/>
              </w:rPr>
            </w:pPr>
            <w:r w:rsidRPr="004C70EC">
              <w:rPr>
                <w:b/>
                <w:noProof/>
                <w:color w:val="000000" w:themeColor="text1"/>
                <w:szCs w:val="24"/>
              </w:rPr>
              <w:t>Type of data</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4176D12E" w14:textId="77777777" w:rsidR="21057125" w:rsidRPr="004C70EC" w:rsidRDefault="21057125">
            <w:pPr>
              <w:jc w:val="left"/>
              <w:rPr>
                <w:b/>
                <w:noProof/>
                <w:color w:val="000000" w:themeColor="text1"/>
                <w:szCs w:val="24"/>
              </w:rPr>
            </w:pPr>
            <w:r w:rsidRPr="004C70EC">
              <w:rPr>
                <w:b/>
                <w:noProof/>
                <w:color w:val="000000" w:themeColor="text1"/>
                <w:szCs w:val="24"/>
              </w:rPr>
              <w:t>Reference(s) to the requirement(s)</w:t>
            </w:r>
          </w:p>
        </w:tc>
        <w:tc>
          <w:tcPr>
            <w:tcW w:w="1201" w:type="dxa"/>
            <w:tcBorders>
              <w:top w:val="single" w:sz="8" w:space="0" w:color="auto"/>
              <w:left w:val="single" w:sz="8" w:space="0" w:color="auto"/>
              <w:bottom w:val="single" w:sz="8" w:space="0" w:color="auto"/>
              <w:right w:val="single" w:sz="8" w:space="0" w:color="auto"/>
            </w:tcBorders>
            <w:tcMar>
              <w:left w:w="108" w:type="dxa"/>
              <w:right w:w="108" w:type="dxa"/>
            </w:tcMar>
          </w:tcPr>
          <w:p w14:paraId="0643B751" w14:textId="77777777" w:rsidR="21057125" w:rsidRPr="004C70EC" w:rsidRDefault="21057125">
            <w:pPr>
              <w:jc w:val="left"/>
              <w:rPr>
                <w:b/>
                <w:noProof/>
                <w:color w:val="000000" w:themeColor="text1"/>
                <w:szCs w:val="24"/>
              </w:rPr>
            </w:pPr>
            <w:r w:rsidRPr="004C70EC">
              <w:rPr>
                <w:b/>
                <w:noProof/>
                <w:color w:val="000000" w:themeColor="text1"/>
                <w:szCs w:val="24"/>
              </w:rPr>
              <w:t>Actors who provide the data</w:t>
            </w:r>
          </w:p>
        </w:tc>
        <w:tc>
          <w:tcPr>
            <w:tcW w:w="1212" w:type="dxa"/>
            <w:tcBorders>
              <w:top w:val="single" w:sz="8" w:space="0" w:color="auto"/>
              <w:left w:val="single" w:sz="8" w:space="0" w:color="auto"/>
              <w:bottom w:val="single" w:sz="8" w:space="0" w:color="auto"/>
              <w:right w:val="single" w:sz="8" w:space="0" w:color="auto"/>
            </w:tcBorders>
            <w:tcMar>
              <w:left w:w="108" w:type="dxa"/>
              <w:right w:w="108" w:type="dxa"/>
            </w:tcMar>
          </w:tcPr>
          <w:p w14:paraId="6EDC5D96" w14:textId="77777777" w:rsidR="21057125" w:rsidRPr="004C70EC" w:rsidRDefault="21057125">
            <w:pPr>
              <w:jc w:val="left"/>
              <w:rPr>
                <w:b/>
                <w:noProof/>
                <w:color w:val="000000" w:themeColor="text1"/>
                <w:szCs w:val="24"/>
              </w:rPr>
            </w:pPr>
            <w:r w:rsidRPr="004C70EC">
              <w:rPr>
                <w:b/>
                <w:noProof/>
                <w:color w:val="000000" w:themeColor="text1"/>
                <w:szCs w:val="24"/>
              </w:rPr>
              <w:t>Actors who receive the data</w:t>
            </w:r>
          </w:p>
        </w:tc>
        <w:tc>
          <w:tcPr>
            <w:tcW w:w="1391" w:type="dxa"/>
            <w:tcBorders>
              <w:top w:val="single" w:sz="8" w:space="0" w:color="auto"/>
              <w:left w:val="single" w:sz="8" w:space="0" w:color="auto"/>
              <w:bottom w:val="single" w:sz="8" w:space="0" w:color="auto"/>
              <w:right w:val="single" w:sz="8" w:space="0" w:color="auto"/>
            </w:tcBorders>
            <w:tcMar>
              <w:left w:w="108" w:type="dxa"/>
              <w:right w:w="108" w:type="dxa"/>
            </w:tcMar>
          </w:tcPr>
          <w:p w14:paraId="16FF486B" w14:textId="77777777" w:rsidR="21057125" w:rsidRPr="004C70EC" w:rsidRDefault="21057125">
            <w:pPr>
              <w:jc w:val="left"/>
              <w:rPr>
                <w:b/>
                <w:noProof/>
                <w:color w:val="000000" w:themeColor="text1"/>
                <w:szCs w:val="24"/>
              </w:rPr>
            </w:pPr>
            <w:r w:rsidRPr="004C70EC">
              <w:rPr>
                <w:b/>
                <w:noProof/>
                <w:color w:val="000000" w:themeColor="text1"/>
                <w:szCs w:val="24"/>
              </w:rPr>
              <w:t>Trigger for the data exchange</w:t>
            </w:r>
          </w:p>
        </w:tc>
        <w:tc>
          <w:tcPr>
            <w:tcW w:w="1393" w:type="dxa"/>
            <w:tcBorders>
              <w:top w:val="single" w:sz="8" w:space="0" w:color="auto"/>
              <w:left w:val="single" w:sz="8" w:space="0" w:color="auto"/>
              <w:bottom w:val="single" w:sz="8" w:space="0" w:color="auto"/>
              <w:right w:val="single" w:sz="8" w:space="0" w:color="auto"/>
            </w:tcBorders>
            <w:tcMar>
              <w:left w:w="108" w:type="dxa"/>
              <w:right w:w="108" w:type="dxa"/>
            </w:tcMar>
          </w:tcPr>
          <w:p w14:paraId="5A89ED56" w14:textId="77777777" w:rsidR="21057125" w:rsidRPr="004C70EC" w:rsidRDefault="21057125">
            <w:pPr>
              <w:jc w:val="left"/>
              <w:rPr>
                <w:b/>
                <w:noProof/>
                <w:color w:val="000000" w:themeColor="text1"/>
                <w:szCs w:val="24"/>
              </w:rPr>
            </w:pPr>
            <w:r w:rsidRPr="004C70EC">
              <w:rPr>
                <w:b/>
                <w:noProof/>
                <w:color w:val="000000" w:themeColor="text1"/>
                <w:szCs w:val="24"/>
              </w:rPr>
              <w:t>Frequency (if applicable)</w:t>
            </w:r>
          </w:p>
        </w:tc>
      </w:tr>
      <w:tr w:rsidR="004A1163" w:rsidRPr="004C70EC" w14:paraId="39D35215" w14:textId="77777777" w:rsidTr="21057125">
        <w:trPr>
          <w:trHeight w:val="300"/>
        </w:trPr>
        <w:tc>
          <w:tcPr>
            <w:tcW w:w="2753" w:type="dxa"/>
            <w:tcBorders>
              <w:top w:val="single" w:sz="8" w:space="0" w:color="auto"/>
              <w:left w:val="single" w:sz="8" w:space="0" w:color="auto"/>
              <w:bottom w:val="single" w:sz="8" w:space="0" w:color="auto"/>
              <w:right w:val="single" w:sz="8" w:space="0" w:color="auto"/>
            </w:tcBorders>
            <w:tcMar>
              <w:left w:w="108" w:type="dxa"/>
              <w:right w:w="108" w:type="dxa"/>
            </w:tcMar>
          </w:tcPr>
          <w:p w14:paraId="06172EA3" w14:textId="77777777" w:rsidR="21057125" w:rsidRPr="004C70EC" w:rsidRDefault="21057125">
            <w:pPr>
              <w:rPr>
                <w:noProof/>
                <w:color w:val="000000" w:themeColor="text1"/>
                <w:szCs w:val="24"/>
              </w:rPr>
            </w:pPr>
            <w:r w:rsidRPr="004C70EC">
              <w:rPr>
                <w:noProof/>
                <w:color w:val="000000" w:themeColor="text1"/>
                <w:szCs w:val="24"/>
              </w:rPr>
              <w:t>Data required for testing and validation of biotechnology products</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4264D1BF" w14:textId="77777777" w:rsidR="21057125" w:rsidRPr="004C70EC" w:rsidRDefault="21057125">
            <w:pPr>
              <w:jc w:val="left"/>
              <w:rPr>
                <w:i/>
                <w:noProof/>
                <w:color w:val="000000" w:themeColor="text1"/>
                <w:szCs w:val="24"/>
              </w:rPr>
            </w:pPr>
            <w:r w:rsidRPr="004C70EC">
              <w:rPr>
                <w:i/>
                <w:noProof/>
                <w:color w:val="000000" w:themeColor="text1"/>
                <w:szCs w:val="24"/>
              </w:rPr>
              <w:t>Article [3]1 Health Biotechnology Strategic Projects</w:t>
            </w:r>
          </w:p>
          <w:p w14:paraId="30CF5E82" w14:textId="77777777" w:rsidR="21057125" w:rsidRPr="004C70EC" w:rsidRDefault="21057125">
            <w:pPr>
              <w:jc w:val="left"/>
              <w:rPr>
                <w:i/>
                <w:noProof/>
                <w:color w:val="000000" w:themeColor="text1"/>
                <w:szCs w:val="24"/>
              </w:rPr>
            </w:pPr>
            <w:r w:rsidRPr="004C70EC">
              <w:rPr>
                <w:i/>
                <w:noProof/>
                <w:color w:val="000000" w:themeColor="text1"/>
                <w:szCs w:val="24"/>
              </w:rPr>
              <w:t>Article [4] 1 High Impact Health Biotechnology Strategic Projects</w:t>
            </w:r>
          </w:p>
          <w:p w14:paraId="1E697E11" w14:textId="77777777" w:rsidR="21057125" w:rsidRPr="004C70EC" w:rsidRDefault="21057125">
            <w:pPr>
              <w:rPr>
                <w:i/>
                <w:noProof/>
                <w:color w:val="000000" w:themeColor="text1"/>
                <w:szCs w:val="24"/>
              </w:rPr>
            </w:pPr>
            <w:r w:rsidRPr="004C70EC">
              <w:rPr>
                <w:i/>
                <w:noProof/>
                <w:color w:val="000000" w:themeColor="text1"/>
                <w:szCs w:val="24"/>
              </w:rPr>
              <w:t>Article [5] Biotechnology Development Accelerator</w:t>
            </w:r>
          </w:p>
          <w:p w14:paraId="501607AD" w14:textId="77777777" w:rsidR="21057125" w:rsidRPr="004C70EC" w:rsidRDefault="21057125">
            <w:pPr>
              <w:rPr>
                <w:i/>
                <w:noProof/>
                <w:color w:val="000000" w:themeColor="text1"/>
                <w:szCs w:val="24"/>
              </w:rPr>
            </w:pPr>
            <w:r w:rsidRPr="004C70EC">
              <w:rPr>
                <w:i/>
                <w:noProof/>
                <w:color w:val="000000" w:themeColor="text1"/>
                <w:szCs w:val="24"/>
              </w:rPr>
              <w:t xml:space="preserve">Article [15] 2e Networks of </w:t>
            </w:r>
            <w:r w:rsidR="009A1806" w:rsidRPr="004C70EC">
              <w:rPr>
                <w:i/>
                <w:noProof/>
                <w:color w:val="000000" w:themeColor="text1"/>
                <w:szCs w:val="24"/>
              </w:rPr>
              <w:t xml:space="preserve">Health </w:t>
            </w:r>
            <w:r w:rsidRPr="004C70EC">
              <w:rPr>
                <w:i/>
                <w:noProof/>
                <w:color w:val="000000" w:themeColor="text1"/>
                <w:szCs w:val="24"/>
              </w:rPr>
              <w:t xml:space="preserve">Biotechnology Clusters </w:t>
            </w:r>
          </w:p>
          <w:p w14:paraId="783145D8" w14:textId="77777777" w:rsidR="21057125" w:rsidRPr="004C70EC" w:rsidRDefault="21057125">
            <w:pPr>
              <w:rPr>
                <w:noProof/>
                <w:color w:val="000000" w:themeColor="text1"/>
                <w:szCs w:val="24"/>
              </w:rPr>
            </w:pPr>
            <w:r w:rsidRPr="004C70EC">
              <w:rPr>
                <w:i/>
                <w:noProof/>
                <w:color w:val="000000" w:themeColor="text1"/>
                <w:szCs w:val="24"/>
              </w:rPr>
              <w:t>Article [29] Strategic Projects for Biosimilars</w:t>
            </w:r>
            <w:r w:rsidRPr="004C70EC">
              <w:rPr>
                <w:noProof/>
                <w:color w:val="000000" w:themeColor="text1"/>
                <w:szCs w:val="24"/>
              </w:rPr>
              <w:t xml:space="preserve"> </w:t>
            </w:r>
          </w:p>
          <w:p w14:paraId="1551730C" w14:textId="77777777" w:rsidR="21057125" w:rsidRPr="004C70EC" w:rsidRDefault="21057125">
            <w:pPr>
              <w:rPr>
                <w:i/>
                <w:noProof/>
                <w:color w:val="000000" w:themeColor="text1"/>
                <w:szCs w:val="24"/>
              </w:rPr>
            </w:pPr>
            <w:r w:rsidRPr="004C70EC">
              <w:rPr>
                <w:i/>
                <w:noProof/>
                <w:color w:val="000000" w:themeColor="text1"/>
                <w:szCs w:val="24"/>
              </w:rPr>
              <w:t>Article [32</w:t>
            </w:r>
            <w:r w:rsidRPr="004C70EC">
              <w:rPr>
                <w:noProof/>
                <w:color w:val="000000" w:themeColor="text1"/>
                <w:szCs w:val="24"/>
              </w:rPr>
              <w:t xml:space="preserve"> </w:t>
            </w:r>
            <w:r w:rsidRPr="004C70EC">
              <w:rPr>
                <w:i/>
                <w:noProof/>
                <w:color w:val="000000" w:themeColor="text1"/>
                <w:szCs w:val="24"/>
              </w:rPr>
              <w:t>Article [32]</w:t>
            </w:r>
          </w:p>
          <w:p w14:paraId="70B74555" w14:textId="77777777" w:rsidR="21057125" w:rsidRPr="004C70EC" w:rsidRDefault="21057125">
            <w:pPr>
              <w:rPr>
                <w:i/>
                <w:noProof/>
                <w:color w:val="000000" w:themeColor="text1"/>
                <w:szCs w:val="24"/>
              </w:rPr>
            </w:pPr>
            <w:r w:rsidRPr="004C70EC">
              <w:rPr>
                <w:i/>
                <w:noProof/>
                <w:color w:val="000000" w:themeColor="text1"/>
                <w:szCs w:val="24"/>
              </w:rPr>
              <w:t xml:space="preserve">Biotechnology testing environments for advanced biotechnology innovations  </w:t>
            </w:r>
          </w:p>
          <w:p w14:paraId="41EBD400" w14:textId="77777777" w:rsidR="21057125" w:rsidRPr="004C70EC" w:rsidRDefault="21057125">
            <w:pPr>
              <w:rPr>
                <w:i/>
                <w:noProof/>
                <w:color w:val="000000" w:themeColor="text1"/>
                <w:szCs w:val="24"/>
              </w:rPr>
            </w:pPr>
            <w:r w:rsidRPr="004C70EC">
              <w:rPr>
                <w:i/>
                <w:noProof/>
                <w:color w:val="000000" w:themeColor="text1"/>
                <w:szCs w:val="24"/>
              </w:rPr>
              <w:t xml:space="preserve">Article [33] Biotechnology Data Quality Accelerator </w:t>
            </w:r>
          </w:p>
          <w:p w14:paraId="0F30E33D" w14:textId="77777777" w:rsidR="21057125" w:rsidRPr="004C70EC" w:rsidRDefault="21057125">
            <w:pPr>
              <w:rPr>
                <w:i/>
                <w:noProof/>
                <w:color w:val="000000" w:themeColor="text1"/>
                <w:szCs w:val="24"/>
              </w:rPr>
            </w:pPr>
            <w:r w:rsidRPr="004C70EC">
              <w:rPr>
                <w:i/>
                <w:noProof/>
                <w:color w:val="000000" w:themeColor="text1"/>
                <w:szCs w:val="24"/>
              </w:rPr>
              <w:t xml:space="preserve">Article [56] Amendments to Regulation (EC) No 178/2002 (General Food Law): Article [49a] General </w:t>
            </w:r>
          </w:p>
          <w:p w14:paraId="618A4977" w14:textId="77777777" w:rsidR="21057125" w:rsidRPr="004C70EC" w:rsidRDefault="21057125">
            <w:pPr>
              <w:rPr>
                <w:i/>
                <w:noProof/>
                <w:color w:val="000000" w:themeColor="text1"/>
                <w:szCs w:val="24"/>
              </w:rPr>
            </w:pPr>
            <w:r w:rsidRPr="004C70EC">
              <w:rPr>
                <w:i/>
                <w:noProof/>
                <w:color w:val="000000" w:themeColor="text1"/>
                <w:szCs w:val="24"/>
              </w:rPr>
              <w:t>Article [59]</w:t>
            </w:r>
          </w:p>
          <w:p w14:paraId="11313DD0" w14:textId="77777777" w:rsidR="21057125" w:rsidRPr="004C70EC" w:rsidRDefault="21057125">
            <w:pPr>
              <w:jc w:val="left"/>
              <w:rPr>
                <w:i/>
                <w:noProof/>
                <w:color w:val="000000" w:themeColor="text1"/>
                <w:szCs w:val="24"/>
              </w:rPr>
            </w:pPr>
            <w:r w:rsidRPr="004C70EC">
              <w:rPr>
                <w:i/>
                <w:noProof/>
                <w:color w:val="000000" w:themeColor="text1"/>
                <w:szCs w:val="24"/>
              </w:rPr>
              <w:t>Amendments to Regulation (EU) 2019/6 (Veterinary Medicine Products Regulation)</w:t>
            </w:r>
          </w:p>
          <w:p w14:paraId="291D1766" w14:textId="77777777" w:rsidR="21057125" w:rsidRPr="004C70EC" w:rsidRDefault="21057125">
            <w:pPr>
              <w:rPr>
                <w:i/>
                <w:noProof/>
                <w:color w:val="000000" w:themeColor="text1"/>
                <w:szCs w:val="24"/>
              </w:rPr>
            </w:pPr>
            <w:r w:rsidRPr="004C70EC">
              <w:rPr>
                <w:i/>
                <w:noProof/>
                <w:color w:val="000000" w:themeColor="text1"/>
                <w:szCs w:val="24"/>
              </w:rPr>
              <w:t>Article [61] Amendments to Regulation (EC) No 2024/1398/</w:t>
            </w:r>
            <w:r w:rsidRPr="004C70EC">
              <w:rPr>
                <w:noProof/>
                <w:color w:val="000000" w:themeColor="text1"/>
                <w:szCs w:val="24"/>
              </w:rPr>
              <w:t xml:space="preserve"> </w:t>
            </w:r>
            <w:r w:rsidRPr="004C70EC">
              <w:rPr>
                <w:i/>
                <w:noProof/>
                <w:color w:val="000000" w:themeColor="text1"/>
                <w:szCs w:val="24"/>
              </w:rPr>
              <w:t>Article [39a] 3 SoHO regulatory sandboxes  provisions on regulatory sandboxes</w:t>
            </w:r>
          </w:p>
        </w:tc>
        <w:tc>
          <w:tcPr>
            <w:tcW w:w="1201" w:type="dxa"/>
            <w:tcBorders>
              <w:top w:val="single" w:sz="8" w:space="0" w:color="auto"/>
              <w:left w:val="single" w:sz="8" w:space="0" w:color="auto"/>
              <w:bottom w:val="single" w:sz="8" w:space="0" w:color="auto"/>
              <w:right w:val="single" w:sz="8" w:space="0" w:color="auto"/>
            </w:tcBorders>
            <w:tcMar>
              <w:left w:w="108" w:type="dxa"/>
              <w:right w:w="108" w:type="dxa"/>
            </w:tcMar>
          </w:tcPr>
          <w:p w14:paraId="5C177ECB" w14:textId="77777777" w:rsidR="21057125" w:rsidRPr="004C70EC" w:rsidRDefault="21057125">
            <w:pPr>
              <w:jc w:val="left"/>
              <w:rPr>
                <w:noProof/>
                <w:color w:val="000000" w:themeColor="text1"/>
                <w:szCs w:val="24"/>
              </w:rPr>
            </w:pPr>
            <w:r w:rsidRPr="004C70EC">
              <w:rPr>
                <w:noProof/>
                <w:color w:val="000000" w:themeColor="text1"/>
                <w:szCs w:val="24"/>
              </w:rPr>
              <w:t>Biotechnology industry actors, Research organizations</w:t>
            </w:r>
          </w:p>
        </w:tc>
        <w:tc>
          <w:tcPr>
            <w:tcW w:w="1212" w:type="dxa"/>
            <w:tcBorders>
              <w:top w:val="single" w:sz="8" w:space="0" w:color="auto"/>
              <w:left w:val="single" w:sz="8" w:space="0" w:color="auto"/>
              <w:bottom w:val="single" w:sz="8" w:space="0" w:color="auto"/>
              <w:right w:val="single" w:sz="8" w:space="0" w:color="auto"/>
            </w:tcBorders>
            <w:tcMar>
              <w:left w:w="108" w:type="dxa"/>
              <w:right w:w="108" w:type="dxa"/>
            </w:tcMar>
          </w:tcPr>
          <w:p w14:paraId="0C680A51" w14:textId="77777777" w:rsidR="21057125" w:rsidRPr="004C70EC" w:rsidRDefault="21057125">
            <w:pPr>
              <w:jc w:val="left"/>
              <w:rPr>
                <w:noProof/>
                <w:color w:val="000000" w:themeColor="text1"/>
                <w:szCs w:val="24"/>
              </w:rPr>
            </w:pPr>
            <w:r w:rsidRPr="004C70EC">
              <w:rPr>
                <w:noProof/>
                <w:color w:val="000000" w:themeColor="text1"/>
                <w:szCs w:val="24"/>
              </w:rPr>
              <w:t>Member States, Commission, Agencies (EMA, EFSA)</w:t>
            </w:r>
          </w:p>
        </w:tc>
        <w:tc>
          <w:tcPr>
            <w:tcW w:w="1391" w:type="dxa"/>
            <w:tcBorders>
              <w:top w:val="single" w:sz="8" w:space="0" w:color="auto"/>
              <w:left w:val="single" w:sz="8" w:space="0" w:color="auto"/>
              <w:bottom w:val="single" w:sz="8" w:space="0" w:color="auto"/>
              <w:right w:val="single" w:sz="8" w:space="0" w:color="auto"/>
            </w:tcBorders>
            <w:tcMar>
              <w:left w:w="108" w:type="dxa"/>
              <w:right w:w="108" w:type="dxa"/>
            </w:tcMar>
          </w:tcPr>
          <w:p w14:paraId="0E606D5E" w14:textId="77777777" w:rsidR="21057125" w:rsidRPr="004C70EC" w:rsidRDefault="21057125">
            <w:pPr>
              <w:jc w:val="left"/>
              <w:rPr>
                <w:noProof/>
                <w:color w:val="000000" w:themeColor="text1"/>
                <w:szCs w:val="24"/>
              </w:rPr>
            </w:pPr>
            <w:r w:rsidRPr="004C70EC">
              <w:rPr>
                <w:noProof/>
                <w:color w:val="000000" w:themeColor="text1"/>
                <w:szCs w:val="24"/>
              </w:rPr>
              <w:t>Testing and validation of innovations</w:t>
            </w:r>
          </w:p>
        </w:tc>
        <w:tc>
          <w:tcPr>
            <w:tcW w:w="1393" w:type="dxa"/>
            <w:tcBorders>
              <w:top w:val="single" w:sz="8" w:space="0" w:color="auto"/>
              <w:left w:val="single" w:sz="8" w:space="0" w:color="auto"/>
              <w:bottom w:val="single" w:sz="8" w:space="0" w:color="auto"/>
              <w:right w:val="single" w:sz="8" w:space="0" w:color="auto"/>
            </w:tcBorders>
            <w:tcMar>
              <w:left w:w="108" w:type="dxa"/>
              <w:right w:w="108" w:type="dxa"/>
            </w:tcMar>
          </w:tcPr>
          <w:p w14:paraId="24505B82" w14:textId="77777777" w:rsidR="21057125" w:rsidRPr="004C70EC" w:rsidRDefault="21057125">
            <w:pPr>
              <w:jc w:val="left"/>
              <w:rPr>
                <w:noProof/>
                <w:color w:val="000000" w:themeColor="text1"/>
                <w:szCs w:val="24"/>
              </w:rPr>
            </w:pPr>
            <w:r w:rsidRPr="004C70EC">
              <w:rPr>
                <w:noProof/>
                <w:color w:val="000000" w:themeColor="text1"/>
                <w:szCs w:val="24"/>
              </w:rPr>
              <w:t>N.A.</w:t>
            </w:r>
          </w:p>
        </w:tc>
      </w:tr>
      <w:tr w:rsidR="004A1163" w:rsidRPr="004C70EC" w14:paraId="3D975BA0" w14:textId="77777777" w:rsidTr="21057125">
        <w:trPr>
          <w:trHeight w:val="300"/>
        </w:trPr>
        <w:tc>
          <w:tcPr>
            <w:tcW w:w="2753" w:type="dxa"/>
            <w:tcBorders>
              <w:top w:val="single" w:sz="8" w:space="0" w:color="auto"/>
              <w:left w:val="single" w:sz="8" w:space="0" w:color="auto"/>
              <w:bottom w:val="single" w:sz="8" w:space="0" w:color="auto"/>
              <w:right w:val="single" w:sz="8" w:space="0" w:color="auto"/>
            </w:tcBorders>
            <w:tcMar>
              <w:left w:w="108" w:type="dxa"/>
              <w:right w:w="108" w:type="dxa"/>
            </w:tcMar>
          </w:tcPr>
          <w:p w14:paraId="7B00D0E2" w14:textId="77777777" w:rsidR="21057125" w:rsidRPr="004C70EC" w:rsidRDefault="21057125">
            <w:pPr>
              <w:jc w:val="left"/>
              <w:rPr>
                <w:noProof/>
                <w:color w:val="000000" w:themeColor="text1"/>
                <w:szCs w:val="24"/>
              </w:rPr>
            </w:pPr>
            <w:r w:rsidRPr="004C70EC">
              <w:rPr>
                <w:noProof/>
                <w:color w:val="000000" w:themeColor="text1"/>
                <w:szCs w:val="24"/>
              </w:rPr>
              <w:t>Reuse of existing data</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695A6576" w14:textId="77777777" w:rsidR="21057125" w:rsidRPr="004C70EC" w:rsidRDefault="21057125">
            <w:pPr>
              <w:jc w:val="left"/>
              <w:rPr>
                <w:i/>
                <w:noProof/>
                <w:color w:val="000000" w:themeColor="text1"/>
                <w:szCs w:val="24"/>
              </w:rPr>
            </w:pPr>
            <w:r w:rsidRPr="004C70EC">
              <w:rPr>
                <w:i/>
                <w:noProof/>
                <w:color w:val="000000" w:themeColor="text1"/>
                <w:szCs w:val="24"/>
              </w:rPr>
              <w:t>Article [11] Single Points of Contact</w:t>
            </w:r>
          </w:p>
        </w:tc>
        <w:tc>
          <w:tcPr>
            <w:tcW w:w="1201" w:type="dxa"/>
            <w:tcBorders>
              <w:top w:val="single" w:sz="8" w:space="0" w:color="auto"/>
              <w:left w:val="single" w:sz="8" w:space="0" w:color="auto"/>
              <w:bottom w:val="single" w:sz="8" w:space="0" w:color="auto"/>
              <w:right w:val="single" w:sz="8" w:space="0" w:color="auto"/>
            </w:tcBorders>
            <w:tcMar>
              <w:left w:w="108" w:type="dxa"/>
              <w:right w:w="108" w:type="dxa"/>
            </w:tcMar>
          </w:tcPr>
          <w:p w14:paraId="4BF34758" w14:textId="77777777" w:rsidR="21057125" w:rsidRPr="004C70EC" w:rsidRDefault="21057125">
            <w:pPr>
              <w:jc w:val="left"/>
              <w:rPr>
                <w:noProof/>
                <w:color w:val="000000" w:themeColor="text1"/>
                <w:szCs w:val="24"/>
              </w:rPr>
            </w:pPr>
            <w:r w:rsidRPr="004C70EC">
              <w:rPr>
                <w:noProof/>
                <w:color w:val="000000" w:themeColor="text1"/>
                <w:szCs w:val="24"/>
              </w:rPr>
              <w:t>Biotechnology industry actors, Research organizations</w:t>
            </w:r>
          </w:p>
        </w:tc>
        <w:tc>
          <w:tcPr>
            <w:tcW w:w="1212" w:type="dxa"/>
            <w:tcBorders>
              <w:top w:val="single" w:sz="8" w:space="0" w:color="auto"/>
              <w:left w:val="single" w:sz="8" w:space="0" w:color="auto"/>
              <w:bottom w:val="single" w:sz="8" w:space="0" w:color="auto"/>
              <w:right w:val="single" w:sz="8" w:space="0" w:color="auto"/>
            </w:tcBorders>
            <w:tcMar>
              <w:left w:w="108" w:type="dxa"/>
              <w:right w:w="108" w:type="dxa"/>
            </w:tcMar>
          </w:tcPr>
          <w:p w14:paraId="4F04CEE3" w14:textId="77777777" w:rsidR="21057125" w:rsidRPr="004C70EC" w:rsidRDefault="21057125">
            <w:pPr>
              <w:jc w:val="left"/>
              <w:rPr>
                <w:noProof/>
                <w:color w:val="000000" w:themeColor="text1"/>
                <w:szCs w:val="24"/>
              </w:rPr>
            </w:pPr>
            <w:r w:rsidRPr="004C70EC">
              <w:rPr>
                <w:noProof/>
                <w:color w:val="000000" w:themeColor="text1"/>
                <w:szCs w:val="24"/>
              </w:rPr>
              <w:t>Member States, Commission</w:t>
            </w:r>
          </w:p>
        </w:tc>
        <w:tc>
          <w:tcPr>
            <w:tcW w:w="1391" w:type="dxa"/>
            <w:tcBorders>
              <w:top w:val="single" w:sz="8" w:space="0" w:color="auto"/>
              <w:left w:val="single" w:sz="8" w:space="0" w:color="auto"/>
              <w:bottom w:val="single" w:sz="8" w:space="0" w:color="auto"/>
              <w:right w:val="single" w:sz="8" w:space="0" w:color="auto"/>
            </w:tcBorders>
            <w:tcMar>
              <w:left w:w="108" w:type="dxa"/>
              <w:right w:w="108" w:type="dxa"/>
            </w:tcMar>
          </w:tcPr>
          <w:p w14:paraId="0681C517" w14:textId="77777777" w:rsidR="21057125" w:rsidRPr="004C70EC" w:rsidRDefault="21057125">
            <w:pPr>
              <w:jc w:val="left"/>
              <w:rPr>
                <w:noProof/>
                <w:color w:val="000000" w:themeColor="text1"/>
                <w:szCs w:val="24"/>
              </w:rPr>
            </w:pPr>
            <w:r w:rsidRPr="004C70EC">
              <w:rPr>
                <w:noProof/>
                <w:color w:val="000000" w:themeColor="text1"/>
                <w:szCs w:val="24"/>
              </w:rPr>
              <w:t>permit-granting process for strategic biotechnology projects and high impact biotechnology projects</w:t>
            </w:r>
          </w:p>
        </w:tc>
        <w:tc>
          <w:tcPr>
            <w:tcW w:w="1393" w:type="dxa"/>
            <w:tcBorders>
              <w:top w:val="single" w:sz="8" w:space="0" w:color="auto"/>
              <w:left w:val="single" w:sz="8" w:space="0" w:color="auto"/>
              <w:bottom w:val="single" w:sz="8" w:space="0" w:color="auto"/>
              <w:right w:val="single" w:sz="8" w:space="0" w:color="auto"/>
            </w:tcBorders>
            <w:tcMar>
              <w:left w:w="108" w:type="dxa"/>
              <w:right w:w="108" w:type="dxa"/>
            </w:tcMar>
          </w:tcPr>
          <w:p w14:paraId="3B72C90A" w14:textId="77777777" w:rsidR="21057125" w:rsidRPr="004C70EC" w:rsidRDefault="21057125">
            <w:pPr>
              <w:jc w:val="left"/>
              <w:rPr>
                <w:noProof/>
                <w:color w:val="000000" w:themeColor="text1"/>
                <w:szCs w:val="24"/>
              </w:rPr>
            </w:pPr>
            <w:r w:rsidRPr="004C70EC">
              <w:rPr>
                <w:noProof/>
                <w:color w:val="000000" w:themeColor="text1"/>
                <w:szCs w:val="24"/>
              </w:rPr>
              <w:t xml:space="preserve"> </w:t>
            </w:r>
          </w:p>
        </w:tc>
      </w:tr>
      <w:tr w:rsidR="004A1163" w:rsidRPr="004C70EC" w14:paraId="209BC0D4" w14:textId="77777777" w:rsidTr="21057125">
        <w:trPr>
          <w:trHeight w:val="300"/>
        </w:trPr>
        <w:tc>
          <w:tcPr>
            <w:tcW w:w="2753" w:type="dxa"/>
            <w:tcBorders>
              <w:top w:val="single" w:sz="8" w:space="0" w:color="auto"/>
              <w:left w:val="single" w:sz="8" w:space="0" w:color="auto"/>
              <w:bottom w:val="single" w:sz="8" w:space="0" w:color="auto"/>
              <w:right w:val="single" w:sz="8" w:space="0" w:color="auto"/>
            </w:tcBorders>
            <w:tcMar>
              <w:left w:w="108" w:type="dxa"/>
              <w:right w:w="108" w:type="dxa"/>
            </w:tcMar>
          </w:tcPr>
          <w:p w14:paraId="72A2DE8A" w14:textId="77777777" w:rsidR="21057125" w:rsidRPr="004C70EC" w:rsidRDefault="21057125">
            <w:pPr>
              <w:jc w:val="left"/>
              <w:rPr>
                <w:noProof/>
                <w:color w:val="000000" w:themeColor="text1"/>
                <w:szCs w:val="24"/>
              </w:rPr>
            </w:pPr>
            <w:r w:rsidRPr="004C70EC">
              <w:rPr>
                <w:noProof/>
                <w:color w:val="000000" w:themeColor="text1"/>
                <w:szCs w:val="24"/>
              </w:rPr>
              <w:t>Guidance on the use and deployment of AI</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6D405708" w14:textId="77777777" w:rsidR="21057125" w:rsidRPr="004C70EC" w:rsidRDefault="21057125">
            <w:pPr>
              <w:jc w:val="left"/>
              <w:rPr>
                <w:i/>
                <w:noProof/>
                <w:color w:val="000000" w:themeColor="text1"/>
                <w:szCs w:val="24"/>
              </w:rPr>
            </w:pPr>
            <w:r w:rsidRPr="004C70EC">
              <w:rPr>
                <w:i/>
                <w:noProof/>
                <w:color w:val="000000" w:themeColor="text1"/>
                <w:szCs w:val="24"/>
              </w:rPr>
              <w:t>Article [31] Guidance on the deployment and use of systems based on advanced technologies including AI, in the Lifecycle of Medicinal Products</w:t>
            </w:r>
          </w:p>
        </w:tc>
        <w:tc>
          <w:tcPr>
            <w:tcW w:w="1201" w:type="dxa"/>
            <w:tcBorders>
              <w:top w:val="single" w:sz="8" w:space="0" w:color="auto"/>
              <w:left w:val="single" w:sz="8" w:space="0" w:color="auto"/>
              <w:bottom w:val="single" w:sz="8" w:space="0" w:color="auto"/>
              <w:right w:val="single" w:sz="8" w:space="0" w:color="auto"/>
            </w:tcBorders>
            <w:tcMar>
              <w:left w:w="108" w:type="dxa"/>
              <w:right w:w="108" w:type="dxa"/>
            </w:tcMar>
          </w:tcPr>
          <w:p w14:paraId="5857B455" w14:textId="77777777" w:rsidR="21057125" w:rsidRPr="004C70EC" w:rsidRDefault="21057125">
            <w:pPr>
              <w:jc w:val="left"/>
              <w:rPr>
                <w:noProof/>
                <w:color w:val="000000" w:themeColor="text1"/>
                <w:szCs w:val="24"/>
              </w:rPr>
            </w:pPr>
            <w:r w:rsidRPr="004C70EC">
              <w:rPr>
                <w:noProof/>
                <w:color w:val="000000" w:themeColor="text1"/>
                <w:szCs w:val="24"/>
              </w:rPr>
              <w:t>Member States, Agency (EMA), Commission</w:t>
            </w:r>
          </w:p>
        </w:tc>
        <w:tc>
          <w:tcPr>
            <w:tcW w:w="1212" w:type="dxa"/>
            <w:tcBorders>
              <w:top w:val="single" w:sz="8" w:space="0" w:color="auto"/>
              <w:left w:val="single" w:sz="8" w:space="0" w:color="auto"/>
              <w:bottom w:val="single" w:sz="8" w:space="0" w:color="auto"/>
              <w:right w:val="single" w:sz="8" w:space="0" w:color="auto"/>
            </w:tcBorders>
            <w:tcMar>
              <w:left w:w="108" w:type="dxa"/>
              <w:right w:w="108" w:type="dxa"/>
            </w:tcMar>
          </w:tcPr>
          <w:p w14:paraId="37AE0668" w14:textId="77777777" w:rsidR="21057125" w:rsidRPr="004C70EC" w:rsidRDefault="21057125">
            <w:pPr>
              <w:jc w:val="left"/>
              <w:rPr>
                <w:noProof/>
                <w:color w:val="000000" w:themeColor="text1"/>
                <w:szCs w:val="24"/>
              </w:rPr>
            </w:pPr>
            <w:r w:rsidRPr="004C70EC">
              <w:rPr>
                <w:noProof/>
                <w:color w:val="000000" w:themeColor="text1"/>
                <w:szCs w:val="24"/>
              </w:rPr>
              <w:t>Biotechnology industry actors, Research organizations</w:t>
            </w:r>
          </w:p>
        </w:tc>
        <w:tc>
          <w:tcPr>
            <w:tcW w:w="1391" w:type="dxa"/>
            <w:tcBorders>
              <w:top w:val="single" w:sz="8" w:space="0" w:color="auto"/>
              <w:left w:val="single" w:sz="8" w:space="0" w:color="auto"/>
              <w:bottom w:val="single" w:sz="8" w:space="0" w:color="auto"/>
              <w:right w:val="single" w:sz="8" w:space="0" w:color="auto"/>
            </w:tcBorders>
            <w:tcMar>
              <w:left w:w="108" w:type="dxa"/>
              <w:right w:w="108" w:type="dxa"/>
            </w:tcMar>
          </w:tcPr>
          <w:p w14:paraId="2A38A258" w14:textId="77777777" w:rsidR="21057125" w:rsidRPr="004C70EC" w:rsidRDefault="21057125">
            <w:pPr>
              <w:jc w:val="left"/>
              <w:rPr>
                <w:noProof/>
                <w:color w:val="000000" w:themeColor="text1"/>
                <w:szCs w:val="24"/>
              </w:rPr>
            </w:pPr>
            <w:r w:rsidRPr="004C70EC">
              <w:rPr>
                <w:noProof/>
                <w:color w:val="000000" w:themeColor="text1"/>
                <w:szCs w:val="24"/>
              </w:rPr>
              <w:t>Guidance for biotechnology industry actors and research organizations on the deployment and use of AI systems and general purpose AI models in the lifecycle of medicinal product development</w:t>
            </w:r>
          </w:p>
        </w:tc>
        <w:tc>
          <w:tcPr>
            <w:tcW w:w="1393" w:type="dxa"/>
            <w:tcBorders>
              <w:top w:val="single" w:sz="8" w:space="0" w:color="auto"/>
              <w:left w:val="single" w:sz="8" w:space="0" w:color="auto"/>
              <w:bottom w:val="single" w:sz="8" w:space="0" w:color="auto"/>
              <w:right w:val="single" w:sz="8" w:space="0" w:color="auto"/>
            </w:tcBorders>
            <w:tcMar>
              <w:left w:w="108" w:type="dxa"/>
              <w:right w:w="108" w:type="dxa"/>
            </w:tcMar>
          </w:tcPr>
          <w:p w14:paraId="59B8C649" w14:textId="77777777" w:rsidR="21057125" w:rsidRPr="004C70EC" w:rsidRDefault="21057125">
            <w:pPr>
              <w:jc w:val="left"/>
              <w:rPr>
                <w:noProof/>
                <w:color w:val="000000" w:themeColor="text1"/>
                <w:szCs w:val="24"/>
              </w:rPr>
            </w:pPr>
            <w:r w:rsidRPr="004C70EC">
              <w:rPr>
                <w:noProof/>
                <w:color w:val="000000" w:themeColor="text1"/>
                <w:szCs w:val="24"/>
              </w:rPr>
              <w:t xml:space="preserve"> </w:t>
            </w:r>
          </w:p>
        </w:tc>
      </w:tr>
      <w:tr w:rsidR="004A1163" w:rsidRPr="004C70EC" w14:paraId="23D25578" w14:textId="77777777" w:rsidTr="21057125">
        <w:trPr>
          <w:trHeight w:val="300"/>
        </w:trPr>
        <w:tc>
          <w:tcPr>
            <w:tcW w:w="2753" w:type="dxa"/>
            <w:tcBorders>
              <w:top w:val="single" w:sz="8" w:space="0" w:color="auto"/>
              <w:left w:val="single" w:sz="8" w:space="0" w:color="auto"/>
              <w:bottom w:val="single" w:sz="8" w:space="0" w:color="auto"/>
              <w:right w:val="single" w:sz="8" w:space="0" w:color="auto"/>
            </w:tcBorders>
            <w:tcMar>
              <w:left w:w="108" w:type="dxa"/>
              <w:right w:w="108" w:type="dxa"/>
            </w:tcMar>
          </w:tcPr>
          <w:p w14:paraId="1241447C" w14:textId="77777777" w:rsidR="21057125" w:rsidRPr="004C70EC" w:rsidRDefault="21057125">
            <w:pPr>
              <w:jc w:val="left"/>
              <w:rPr>
                <w:noProof/>
                <w:color w:val="000000" w:themeColor="text1"/>
                <w:szCs w:val="24"/>
              </w:rPr>
            </w:pPr>
            <w:r w:rsidRPr="004C70EC">
              <w:rPr>
                <w:noProof/>
                <w:color w:val="000000" w:themeColor="text1"/>
                <w:szCs w:val="24"/>
              </w:rPr>
              <w:t>Regulatory decisions, opinions, recommendations</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6CECF6C0" w14:textId="77777777" w:rsidR="21057125" w:rsidRPr="004C70EC" w:rsidRDefault="21057125">
            <w:pPr>
              <w:jc w:val="left"/>
              <w:rPr>
                <w:i/>
                <w:noProof/>
                <w:color w:val="000000" w:themeColor="text1"/>
                <w:szCs w:val="24"/>
              </w:rPr>
            </w:pPr>
            <w:r w:rsidRPr="004C70EC">
              <w:rPr>
                <w:i/>
                <w:noProof/>
                <w:color w:val="000000" w:themeColor="text1"/>
                <w:szCs w:val="24"/>
              </w:rPr>
              <w:t>Article [35] 1 Union Regulatory Status Repository</w:t>
            </w:r>
          </w:p>
        </w:tc>
        <w:tc>
          <w:tcPr>
            <w:tcW w:w="1201" w:type="dxa"/>
            <w:tcBorders>
              <w:top w:val="single" w:sz="8" w:space="0" w:color="auto"/>
              <w:left w:val="single" w:sz="8" w:space="0" w:color="auto"/>
              <w:bottom w:val="single" w:sz="8" w:space="0" w:color="auto"/>
              <w:right w:val="single" w:sz="8" w:space="0" w:color="auto"/>
            </w:tcBorders>
            <w:tcMar>
              <w:left w:w="108" w:type="dxa"/>
              <w:right w:w="108" w:type="dxa"/>
            </w:tcMar>
          </w:tcPr>
          <w:p w14:paraId="59C31C4F" w14:textId="77777777" w:rsidR="21057125" w:rsidRPr="004C70EC" w:rsidRDefault="21057125">
            <w:pPr>
              <w:jc w:val="left"/>
              <w:rPr>
                <w:noProof/>
                <w:color w:val="000000" w:themeColor="text1"/>
                <w:szCs w:val="24"/>
              </w:rPr>
            </w:pPr>
            <w:r w:rsidRPr="004C70EC">
              <w:rPr>
                <w:noProof/>
                <w:color w:val="000000" w:themeColor="text1"/>
                <w:szCs w:val="24"/>
              </w:rPr>
              <w:t>Member States, Agency (EMA), Commission</w:t>
            </w:r>
          </w:p>
        </w:tc>
        <w:tc>
          <w:tcPr>
            <w:tcW w:w="1212" w:type="dxa"/>
            <w:tcBorders>
              <w:top w:val="single" w:sz="8" w:space="0" w:color="auto"/>
              <w:left w:val="single" w:sz="8" w:space="0" w:color="auto"/>
              <w:bottom w:val="single" w:sz="8" w:space="0" w:color="auto"/>
              <w:right w:val="single" w:sz="8" w:space="0" w:color="auto"/>
            </w:tcBorders>
            <w:tcMar>
              <w:left w:w="108" w:type="dxa"/>
              <w:right w:w="108" w:type="dxa"/>
            </w:tcMar>
          </w:tcPr>
          <w:p w14:paraId="2D21E695" w14:textId="77777777" w:rsidR="21057125" w:rsidRPr="004C70EC" w:rsidRDefault="21057125">
            <w:pPr>
              <w:jc w:val="left"/>
              <w:rPr>
                <w:noProof/>
                <w:color w:val="000000" w:themeColor="text1"/>
                <w:szCs w:val="24"/>
              </w:rPr>
            </w:pPr>
            <w:r w:rsidRPr="004C70EC">
              <w:rPr>
                <w:noProof/>
                <w:color w:val="000000" w:themeColor="text1"/>
                <w:szCs w:val="24"/>
              </w:rPr>
              <w:t>Biotechnology industry actors, Research organizations</w:t>
            </w:r>
          </w:p>
        </w:tc>
        <w:tc>
          <w:tcPr>
            <w:tcW w:w="1391" w:type="dxa"/>
            <w:tcBorders>
              <w:top w:val="single" w:sz="8" w:space="0" w:color="auto"/>
              <w:left w:val="single" w:sz="8" w:space="0" w:color="auto"/>
              <w:bottom w:val="single" w:sz="8" w:space="0" w:color="auto"/>
              <w:right w:val="single" w:sz="8" w:space="0" w:color="auto"/>
            </w:tcBorders>
            <w:tcMar>
              <w:left w:w="108" w:type="dxa"/>
              <w:right w:w="108" w:type="dxa"/>
            </w:tcMar>
          </w:tcPr>
          <w:p w14:paraId="08979A7B" w14:textId="77777777" w:rsidR="21057125" w:rsidRPr="004C70EC" w:rsidRDefault="21057125">
            <w:pPr>
              <w:jc w:val="left"/>
              <w:rPr>
                <w:noProof/>
                <w:color w:val="000000" w:themeColor="text1"/>
                <w:szCs w:val="24"/>
              </w:rPr>
            </w:pPr>
            <w:r w:rsidRPr="004C70EC">
              <w:rPr>
                <w:noProof/>
                <w:color w:val="000000" w:themeColor="text1"/>
                <w:szCs w:val="24"/>
              </w:rPr>
              <w:t xml:space="preserve">Repository will assist developers in navigating cases of novel biotechnology health biotechnology products </w:t>
            </w:r>
          </w:p>
        </w:tc>
        <w:tc>
          <w:tcPr>
            <w:tcW w:w="1393" w:type="dxa"/>
            <w:tcBorders>
              <w:top w:val="single" w:sz="8" w:space="0" w:color="auto"/>
              <w:left w:val="single" w:sz="8" w:space="0" w:color="auto"/>
              <w:bottom w:val="single" w:sz="8" w:space="0" w:color="auto"/>
              <w:right w:val="single" w:sz="8" w:space="0" w:color="auto"/>
            </w:tcBorders>
            <w:tcMar>
              <w:left w:w="108" w:type="dxa"/>
              <w:right w:w="108" w:type="dxa"/>
            </w:tcMar>
          </w:tcPr>
          <w:p w14:paraId="3B0E0493" w14:textId="77777777" w:rsidR="21057125" w:rsidRPr="004C70EC" w:rsidRDefault="21057125">
            <w:pPr>
              <w:jc w:val="left"/>
              <w:rPr>
                <w:noProof/>
                <w:color w:val="000000" w:themeColor="text1"/>
                <w:szCs w:val="24"/>
              </w:rPr>
            </w:pPr>
            <w:r w:rsidRPr="004C70EC">
              <w:rPr>
                <w:noProof/>
                <w:color w:val="000000" w:themeColor="text1"/>
                <w:szCs w:val="24"/>
              </w:rPr>
              <w:t xml:space="preserve"> </w:t>
            </w:r>
          </w:p>
        </w:tc>
      </w:tr>
      <w:tr w:rsidR="004A1163" w:rsidRPr="004C70EC" w14:paraId="20AE5443" w14:textId="77777777" w:rsidTr="21057125">
        <w:trPr>
          <w:trHeight w:val="300"/>
        </w:trPr>
        <w:tc>
          <w:tcPr>
            <w:tcW w:w="2753" w:type="dxa"/>
            <w:tcBorders>
              <w:top w:val="single" w:sz="8" w:space="0" w:color="auto"/>
              <w:left w:val="single" w:sz="8" w:space="0" w:color="auto"/>
              <w:bottom w:val="single" w:sz="8" w:space="0" w:color="auto"/>
              <w:right w:val="single" w:sz="8" w:space="0" w:color="auto"/>
            </w:tcBorders>
            <w:tcMar>
              <w:left w:w="108" w:type="dxa"/>
              <w:right w:w="108" w:type="dxa"/>
            </w:tcMar>
          </w:tcPr>
          <w:p w14:paraId="57259CCE" w14:textId="77777777" w:rsidR="21057125" w:rsidRPr="004C70EC" w:rsidRDefault="21057125">
            <w:pPr>
              <w:jc w:val="left"/>
              <w:rPr>
                <w:noProof/>
                <w:color w:val="000000" w:themeColor="text1"/>
                <w:szCs w:val="24"/>
              </w:rPr>
            </w:pPr>
            <w:r w:rsidRPr="004C70EC">
              <w:rPr>
                <w:noProof/>
                <w:color w:val="000000" w:themeColor="text1"/>
                <w:szCs w:val="24"/>
              </w:rPr>
              <w:t>Personal health data, clinical data</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58FD7E39" w14:textId="77777777" w:rsidR="21057125" w:rsidRPr="004C70EC" w:rsidRDefault="21057125">
            <w:pPr>
              <w:jc w:val="left"/>
              <w:rPr>
                <w:i/>
                <w:noProof/>
                <w:color w:val="000000" w:themeColor="text1"/>
                <w:szCs w:val="24"/>
              </w:rPr>
            </w:pPr>
            <w:r w:rsidRPr="004C70EC">
              <w:rPr>
                <w:i/>
                <w:noProof/>
                <w:color w:val="000000" w:themeColor="text1"/>
                <w:szCs w:val="24"/>
              </w:rPr>
              <w:t>Article [58]</w:t>
            </w:r>
            <w:r w:rsidRPr="004C70EC">
              <w:rPr>
                <w:noProof/>
                <w:color w:val="000000" w:themeColor="text1"/>
                <w:szCs w:val="24"/>
              </w:rPr>
              <w:t xml:space="preserve"> </w:t>
            </w:r>
            <w:r w:rsidRPr="004C70EC">
              <w:rPr>
                <w:i/>
                <w:noProof/>
                <w:color w:val="000000" w:themeColor="text1"/>
                <w:szCs w:val="24"/>
              </w:rPr>
              <w:t>Amendments to Regulation (EU) No 536/2014 (‘Clinical Trials Regulation’)</w:t>
            </w:r>
          </w:p>
        </w:tc>
        <w:tc>
          <w:tcPr>
            <w:tcW w:w="1201" w:type="dxa"/>
            <w:tcBorders>
              <w:top w:val="single" w:sz="8" w:space="0" w:color="auto"/>
              <w:left w:val="single" w:sz="8" w:space="0" w:color="auto"/>
              <w:bottom w:val="single" w:sz="8" w:space="0" w:color="auto"/>
              <w:right w:val="single" w:sz="8" w:space="0" w:color="auto"/>
            </w:tcBorders>
            <w:tcMar>
              <w:left w:w="108" w:type="dxa"/>
              <w:right w:w="108" w:type="dxa"/>
            </w:tcMar>
          </w:tcPr>
          <w:p w14:paraId="0FE0466C" w14:textId="77777777" w:rsidR="21057125" w:rsidRPr="004C70EC" w:rsidRDefault="21057125">
            <w:pPr>
              <w:jc w:val="left"/>
              <w:rPr>
                <w:noProof/>
                <w:color w:val="000000" w:themeColor="text1"/>
                <w:szCs w:val="24"/>
              </w:rPr>
            </w:pPr>
            <w:r w:rsidRPr="004C70EC">
              <w:rPr>
                <w:noProof/>
                <w:color w:val="000000" w:themeColor="text1"/>
                <w:szCs w:val="24"/>
              </w:rPr>
              <w:t>Biotechnology industry actors, Research organizations</w:t>
            </w:r>
          </w:p>
        </w:tc>
        <w:tc>
          <w:tcPr>
            <w:tcW w:w="1212" w:type="dxa"/>
            <w:tcBorders>
              <w:top w:val="single" w:sz="8" w:space="0" w:color="auto"/>
              <w:left w:val="single" w:sz="8" w:space="0" w:color="auto"/>
              <w:bottom w:val="single" w:sz="8" w:space="0" w:color="auto"/>
              <w:right w:val="single" w:sz="8" w:space="0" w:color="auto"/>
            </w:tcBorders>
            <w:tcMar>
              <w:left w:w="108" w:type="dxa"/>
              <w:right w:w="108" w:type="dxa"/>
            </w:tcMar>
          </w:tcPr>
          <w:p w14:paraId="29FA5E6C" w14:textId="77777777" w:rsidR="21057125" w:rsidRPr="004C70EC" w:rsidRDefault="21057125">
            <w:pPr>
              <w:jc w:val="left"/>
              <w:rPr>
                <w:noProof/>
                <w:color w:val="000000" w:themeColor="text1"/>
                <w:szCs w:val="24"/>
              </w:rPr>
            </w:pPr>
            <w:r w:rsidRPr="004C70EC">
              <w:rPr>
                <w:noProof/>
                <w:color w:val="000000" w:themeColor="text1"/>
                <w:szCs w:val="24"/>
              </w:rPr>
              <w:t>Member States, Agency (EMA) Commission</w:t>
            </w:r>
          </w:p>
        </w:tc>
        <w:tc>
          <w:tcPr>
            <w:tcW w:w="1391" w:type="dxa"/>
            <w:tcBorders>
              <w:top w:val="single" w:sz="8" w:space="0" w:color="auto"/>
              <w:left w:val="single" w:sz="8" w:space="0" w:color="auto"/>
              <w:bottom w:val="single" w:sz="8" w:space="0" w:color="auto"/>
              <w:right w:val="single" w:sz="8" w:space="0" w:color="auto"/>
            </w:tcBorders>
            <w:tcMar>
              <w:left w:w="108" w:type="dxa"/>
              <w:right w:w="108" w:type="dxa"/>
            </w:tcMar>
          </w:tcPr>
          <w:p w14:paraId="05053020" w14:textId="77777777" w:rsidR="21057125" w:rsidRPr="004C70EC" w:rsidRDefault="21057125">
            <w:pPr>
              <w:jc w:val="left"/>
              <w:rPr>
                <w:noProof/>
                <w:color w:val="000000" w:themeColor="text1"/>
                <w:szCs w:val="24"/>
              </w:rPr>
            </w:pPr>
            <w:r w:rsidRPr="004C70EC">
              <w:rPr>
                <w:noProof/>
                <w:color w:val="000000" w:themeColor="text1"/>
                <w:szCs w:val="24"/>
              </w:rPr>
              <w:t>Submission of clinical trial</w:t>
            </w:r>
          </w:p>
        </w:tc>
        <w:tc>
          <w:tcPr>
            <w:tcW w:w="1393" w:type="dxa"/>
            <w:tcBorders>
              <w:top w:val="single" w:sz="8" w:space="0" w:color="auto"/>
              <w:left w:val="single" w:sz="8" w:space="0" w:color="auto"/>
              <w:bottom w:val="single" w:sz="8" w:space="0" w:color="auto"/>
              <w:right w:val="single" w:sz="8" w:space="0" w:color="auto"/>
            </w:tcBorders>
            <w:tcMar>
              <w:left w:w="108" w:type="dxa"/>
              <w:right w:w="108" w:type="dxa"/>
            </w:tcMar>
          </w:tcPr>
          <w:p w14:paraId="3313FBC4" w14:textId="77777777" w:rsidR="21057125" w:rsidRPr="004C70EC" w:rsidRDefault="21057125">
            <w:pPr>
              <w:jc w:val="left"/>
              <w:rPr>
                <w:noProof/>
                <w:color w:val="000000" w:themeColor="text1"/>
                <w:szCs w:val="24"/>
              </w:rPr>
            </w:pPr>
            <w:r w:rsidRPr="004C70EC">
              <w:rPr>
                <w:noProof/>
                <w:color w:val="000000" w:themeColor="text1"/>
                <w:szCs w:val="24"/>
              </w:rPr>
              <w:t xml:space="preserve"> </w:t>
            </w:r>
          </w:p>
        </w:tc>
      </w:tr>
      <w:tr w:rsidR="004A1163" w:rsidRPr="004C70EC" w14:paraId="192AA37A" w14:textId="77777777" w:rsidTr="21057125">
        <w:trPr>
          <w:trHeight w:val="300"/>
        </w:trPr>
        <w:tc>
          <w:tcPr>
            <w:tcW w:w="2753" w:type="dxa"/>
            <w:tcBorders>
              <w:top w:val="single" w:sz="8" w:space="0" w:color="auto"/>
              <w:left w:val="single" w:sz="8" w:space="0" w:color="auto"/>
              <w:bottom w:val="single" w:sz="8" w:space="0" w:color="auto"/>
              <w:right w:val="single" w:sz="8" w:space="0" w:color="auto"/>
            </w:tcBorders>
            <w:tcMar>
              <w:left w:w="108" w:type="dxa"/>
              <w:right w:w="108" w:type="dxa"/>
            </w:tcMar>
          </w:tcPr>
          <w:p w14:paraId="5AE361CF" w14:textId="77777777" w:rsidR="21057125" w:rsidRPr="004C70EC" w:rsidRDefault="21057125">
            <w:pPr>
              <w:jc w:val="left"/>
              <w:rPr>
                <w:noProof/>
                <w:color w:val="000000" w:themeColor="text1"/>
                <w:szCs w:val="24"/>
              </w:rPr>
            </w:pPr>
            <w:r w:rsidRPr="004C70EC">
              <w:rPr>
                <w:noProof/>
                <w:color w:val="000000" w:themeColor="text1"/>
                <w:szCs w:val="24"/>
              </w:rPr>
              <w:t>Cross-border surveillance of biological threats</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602C2960" w14:textId="77777777" w:rsidR="21057125" w:rsidRPr="004C70EC" w:rsidRDefault="21057125">
            <w:pPr>
              <w:rPr>
                <w:i/>
                <w:noProof/>
                <w:color w:val="000000" w:themeColor="text1"/>
                <w:szCs w:val="24"/>
              </w:rPr>
            </w:pPr>
            <w:r w:rsidRPr="004C70EC">
              <w:rPr>
                <w:i/>
                <w:noProof/>
                <w:color w:val="000000" w:themeColor="text1"/>
                <w:szCs w:val="24"/>
              </w:rPr>
              <w:t xml:space="preserve">Article [41] </w:t>
            </w:r>
          </w:p>
          <w:p w14:paraId="193C264A" w14:textId="77777777" w:rsidR="21057125" w:rsidRPr="004C70EC" w:rsidRDefault="21057125">
            <w:pPr>
              <w:rPr>
                <w:i/>
                <w:noProof/>
                <w:color w:val="000000" w:themeColor="text1"/>
                <w:szCs w:val="24"/>
              </w:rPr>
            </w:pPr>
            <w:r w:rsidRPr="004C70EC">
              <w:rPr>
                <w:i/>
                <w:noProof/>
                <w:color w:val="000000" w:themeColor="text1"/>
                <w:szCs w:val="24"/>
              </w:rPr>
              <w:t>EU Biothreat Radar High Impact Projects</w:t>
            </w:r>
          </w:p>
          <w:p w14:paraId="33959344" w14:textId="77777777" w:rsidR="21057125" w:rsidRPr="004C70EC" w:rsidRDefault="21057125">
            <w:pPr>
              <w:rPr>
                <w:i/>
                <w:noProof/>
                <w:color w:val="000000" w:themeColor="text1"/>
                <w:szCs w:val="24"/>
              </w:rPr>
            </w:pPr>
            <w:r w:rsidRPr="004C70EC">
              <w:rPr>
                <w:i/>
                <w:noProof/>
                <w:color w:val="000000" w:themeColor="text1"/>
                <w:szCs w:val="24"/>
              </w:rPr>
              <w:t xml:space="preserve">Article [42] </w:t>
            </w:r>
          </w:p>
          <w:p w14:paraId="0C3F5BE4" w14:textId="77777777" w:rsidR="21057125" w:rsidRPr="004C70EC" w:rsidRDefault="21057125">
            <w:pPr>
              <w:rPr>
                <w:i/>
                <w:noProof/>
                <w:color w:val="000000" w:themeColor="text1"/>
                <w:szCs w:val="24"/>
              </w:rPr>
            </w:pPr>
            <w:r w:rsidRPr="004C70EC">
              <w:rPr>
                <w:i/>
                <w:noProof/>
                <w:color w:val="000000" w:themeColor="text1"/>
                <w:szCs w:val="24"/>
              </w:rPr>
              <w:t xml:space="preserve">Biodefence capability high impact strategic project  </w:t>
            </w:r>
          </w:p>
          <w:p w14:paraId="75B4F88A" w14:textId="77777777" w:rsidR="21057125" w:rsidRPr="004C70EC" w:rsidRDefault="21057125">
            <w:pPr>
              <w:jc w:val="left"/>
              <w:rPr>
                <w:i/>
                <w:noProof/>
                <w:color w:val="000000" w:themeColor="text1"/>
                <w:szCs w:val="24"/>
              </w:rPr>
            </w:pPr>
            <w:r w:rsidRPr="004C70EC">
              <w:rPr>
                <w:i/>
                <w:noProof/>
                <w:color w:val="000000" w:themeColor="text1"/>
                <w:szCs w:val="24"/>
              </w:rPr>
              <w:t>Article [44] Verification of Legitimate Need</w:t>
            </w:r>
          </w:p>
          <w:p w14:paraId="3AAFC79C" w14:textId="77777777" w:rsidR="21057125" w:rsidRPr="004C70EC" w:rsidRDefault="21057125">
            <w:pPr>
              <w:jc w:val="left"/>
              <w:rPr>
                <w:i/>
                <w:noProof/>
                <w:color w:val="000000" w:themeColor="text1"/>
                <w:szCs w:val="24"/>
              </w:rPr>
            </w:pPr>
            <w:r w:rsidRPr="004C70EC">
              <w:rPr>
                <w:i/>
                <w:noProof/>
                <w:color w:val="000000" w:themeColor="text1"/>
                <w:szCs w:val="24"/>
              </w:rPr>
              <w:t>Article [46]</w:t>
            </w:r>
            <w:r w:rsidRPr="004C70EC">
              <w:rPr>
                <w:noProof/>
                <w:color w:val="000000" w:themeColor="text1"/>
                <w:szCs w:val="24"/>
              </w:rPr>
              <w:t xml:space="preserve"> </w:t>
            </w:r>
            <w:r w:rsidRPr="004C70EC">
              <w:rPr>
                <w:i/>
                <w:noProof/>
                <w:color w:val="000000" w:themeColor="text1"/>
                <w:szCs w:val="24"/>
              </w:rPr>
              <w:t>Prevention and Reporting of Misuse</w:t>
            </w:r>
          </w:p>
          <w:p w14:paraId="048980B8" w14:textId="77777777" w:rsidR="21057125" w:rsidRPr="004C70EC" w:rsidRDefault="21057125">
            <w:pPr>
              <w:rPr>
                <w:i/>
                <w:noProof/>
                <w:color w:val="000000" w:themeColor="text1"/>
                <w:szCs w:val="24"/>
              </w:rPr>
            </w:pPr>
            <w:r w:rsidRPr="004C70EC">
              <w:rPr>
                <w:i/>
                <w:noProof/>
                <w:color w:val="000000" w:themeColor="text1"/>
                <w:szCs w:val="24"/>
              </w:rPr>
              <w:t xml:space="preserve">Article [48] </w:t>
            </w:r>
          </w:p>
          <w:p w14:paraId="2A1BCC8A" w14:textId="77777777" w:rsidR="21057125" w:rsidRPr="004C70EC" w:rsidRDefault="21057125">
            <w:pPr>
              <w:jc w:val="left"/>
              <w:rPr>
                <w:i/>
                <w:noProof/>
                <w:color w:val="000000" w:themeColor="text1"/>
                <w:szCs w:val="24"/>
              </w:rPr>
            </w:pPr>
            <w:r w:rsidRPr="004C70EC">
              <w:rPr>
                <w:i/>
                <w:noProof/>
                <w:color w:val="000000" w:themeColor="text1"/>
                <w:szCs w:val="24"/>
              </w:rPr>
              <w:t xml:space="preserve">National Inspection Authorities  </w:t>
            </w:r>
          </w:p>
          <w:p w14:paraId="07829EBB" w14:textId="77777777" w:rsidR="21057125" w:rsidRPr="004C70EC" w:rsidRDefault="21057125">
            <w:pPr>
              <w:rPr>
                <w:i/>
                <w:noProof/>
                <w:color w:val="000000" w:themeColor="text1"/>
                <w:szCs w:val="24"/>
              </w:rPr>
            </w:pPr>
            <w:r w:rsidRPr="004C70EC">
              <w:rPr>
                <w:i/>
                <w:noProof/>
                <w:color w:val="000000" w:themeColor="text1"/>
                <w:szCs w:val="24"/>
              </w:rPr>
              <w:t>Article [49]</w:t>
            </w:r>
          </w:p>
          <w:p w14:paraId="3910222F" w14:textId="77777777" w:rsidR="21057125" w:rsidRPr="004C70EC" w:rsidRDefault="21057125">
            <w:pPr>
              <w:rPr>
                <w:i/>
                <w:noProof/>
                <w:color w:val="000000" w:themeColor="text1"/>
                <w:szCs w:val="24"/>
              </w:rPr>
            </w:pPr>
            <w:r w:rsidRPr="004C70EC">
              <w:rPr>
                <w:i/>
                <w:noProof/>
                <w:color w:val="000000" w:themeColor="text1"/>
                <w:szCs w:val="24"/>
              </w:rPr>
              <w:t>Commission Enforcement Support and Monitoring</w:t>
            </w:r>
          </w:p>
          <w:p w14:paraId="3AFC2C08" w14:textId="77777777" w:rsidR="21057125" w:rsidRPr="004C70EC" w:rsidRDefault="21057125">
            <w:pPr>
              <w:rPr>
                <w:i/>
                <w:noProof/>
                <w:color w:val="000000" w:themeColor="text1"/>
                <w:szCs w:val="24"/>
              </w:rPr>
            </w:pPr>
            <w:r w:rsidRPr="004C70EC">
              <w:rPr>
                <w:i/>
                <w:noProof/>
                <w:color w:val="000000" w:themeColor="text1"/>
                <w:szCs w:val="24"/>
              </w:rPr>
              <w:t xml:space="preserve">Article [52] </w:t>
            </w:r>
          </w:p>
          <w:p w14:paraId="77320944" w14:textId="77777777" w:rsidR="21057125" w:rsidRPr="004C70EC" w:rsidRDefault="21057125">
            <w:pPr>
              <w:jc w:val="left"/>
              <w:rPr>
                <w:i/>
                <w:noProof/>
                <w:color w:val="000000" w:themeColor="text1"/>
                <w:szCs w:val="24"/>
              </w:rPr>
            </w:pPr>
            <w:r w:rsidRPr="004C70EC">
              <w:rPr>
                <w:i/>
                <w:noProof/>
                <w:color w:val="000000" w:themeColor="text1"/>
                <w:szCs w:val="24"/>
              </w:rPr>
              <w:t xml:space="preserve">Advisory Group on Biosecurity  </w:t>
            </w:r>
          </w:p>
          <w:p w14:paraId="559A7827" w14:textId="77777777" w:rsidR="21057125" w:rsidRPr="004C70EC" w:rsidRDefault="21057125">
            <w:pPr>
              <w:rPr>
                <w:i/>
                <w:noProof/>
                <w:color w:val="000000" w:themeColor="text1"/>
                <w:szCs w:val="24"/>
              </w:rPr>
            </w:pPr>
            <w:r w:rsidRPr="004C70EC">
              <w:rPr>
                <w:i/>
                <w:noProof/>
                <w:color w:val="000000" w:themeColor="text1"/>
                <w:szCs w:val="24"/>
              </w:rPr>
              <w:t>Article [53]</w:t>
            </w:r>
          </w:p>
          <w:p w14:paraId="22005327" w14:textId="77777777" w:rsidR="21057125" w:rsidRPr="004C70EC" w:rsidRDefault="21057125">
            <w:pPr>
              <w:rPr>
                <w:i/>
                <w:noProof/>
                <w:color w:val="000000" w:themeColor="text1"/>
                <w:szCs w:val="24"/>
              </w:rPr>
            </w:pPr>
            <w:r w:rsidRPr="004C70EC">
              <w:rPr>
                <w:i/>
                <w:noProof/>
                <w:color w:val="000000" w:themeColor="text1"/>
                <w:szCs w:val="24"/>
              </w:rPr>
              <w:t>Biological Systemic Risk</w:t>
            </w:r>
          </w:p>
          <w:p w14:paraId="0182B0A0" w14:textId="77777777" w:rsidR="21057125" w:rsidRPr="004C70EC" w:rsidRDefault="21057125">
            <w:pPr>
              <w:rPr>
                <w:i/>
                <w:noProof/>
                <w:color w:val="000000" w:themeColor="text1"/>
                <w:szCs w:val="24"/>
              </w:rPr>
            </w:pPr>
            <w:r w:rsidRPr="004C70EC">
              <w:rPr>
                <w:i/>
                <w:noProof/>
                <w:color w:val="000000" w:themeColor="text1"/>
                <w:szCs w:val="24"/>
              </w:rPr>
              <w:t xml:space="preserve">Article [54] </w:t>
            </w:r>
          </w:p>
          <w:p w14:paraId="0DBE991C" w14:textId="77777777" w:rsidR="21057125" w:rsidRPr="004C70EC" w:rsidRDefault="21057125">
            <w:pPr>
              <w:rPr>
                <w:i/>
                <w:noProof/>
                <w:color w:val="000000" w:themeColor="text1"/>
                <w:szCs w:val="24"/>
              </w:rPr>
            </w:pPr>
            <w:r w:rsidRPr="004C70EC">
              <w:rPr>
                <w:i/>
                <w:noProof/>
                <w:color w:val="000000" w:themeColor="text1"/>
                <w:szCs w:val="24"/>
              </w:rPr>
              <w:t>Monitoring and Guidance</w:t>
            </w:r>
          </w:p>
          <w:p w14:paraId="64047660" w14:textId="77777777" w:rsidR="21057125" w:rsidRPr="004C70EC" w:rsidRDefault="21057125">
            <w:pPr>
              <w:jc w:val="left"/>
              <w:rPr>
                <w:i/>
                <w:noProof/>
                <w:color w:val="000000" w:themeColor="text1"/>
                <w:szCs w:val="24"/>
              </w:rPr>
            </w:pPr>
            <w:r w:rsidRPr="004C70EC">
              <w:rPr>
                <w:i/>
                <w:noProof/>
                <w:color w:val="000000" w:themeColor="text1"/>
                <w:szCs w:val="24"/>
              </w:rPr>
              <w:t xml:space="preserve">Article [55] Coordination on Biosecurity and Biosafety </w:t>
            </w:r>
          </w:p>
          <w:p w14:paraId="1A3E36DA" w14:textId="77777777" w:rsidR="21057125" w:rsidRPr="004C70EC" w:rsidRDefault="21057125">
            <w:pPr>
              <w:jc w:val="left"/>
              <w:rPr>
                <w:i/>
                <w:noProof/>
                <w:color w:val="000000" w:themeColor="text1"/>
                <w:szCs w:val="24"/>
              </w:rPr>
            </w:pPr>
            <w:r w:rsidRPr="004C70EC">
              <w:rPr>
                <w:i/>
                <w:noProof/>
                <w:color w:val="000000" w:themeColor="text1"/>
                <w:szCs w:val="24"/>
              </w:rPr>
              <w:t xml:space="preserve"> </w:t>
            </w:r>
          </w:p>
        </w:tc>
        <w:tc>
          <w:tcPr>
            <w:tcW w:w="1201" w:type="dxa"/>
            <w:tcBorders>
              <w:top w:val="single" w:sz="8" w:space="0" w:color="auto"/>
              <w:left w:val="single" w:sz="8" w:space="0" w:color="auto"/>
              <w:bottom w:val="single" w:sz="8" w:space="0" w:color="auto"/>
              <w:right w:val="single" w:sz="8" w:space="0" w:color="auto"/>
            </w:tcBorders>
            <w:tcMar>
              <w:left w:w="108" w:type="dxa"/>
              <w:right w:w="108" w:type="dxa"/>
            </w:tcMar>
          </w:tcPr>
          <w:p w14:paraId="5FCB0FA0" w14:textId="77777777" w:rsidR="21057125" w:rsidRPr="004C70EC" w:rsidRDefault="21057125">
            <w:pPr>
              <w:jc w:val="left"/>
              <w:rPr>
                <w:noProof/>
                <w:color w:val="000000" w:themeColor="text1"/>
                <w:szCs w:val="24"/>
              </w:rPr>
            </w:pPr>
            <w:r w:rsidRPr="004C70EC">
              <w:rPr>
                <w:noProof/>
                <w:color w:val="000000" w:themeColor="text1"/>
                <w:szCs w:val="24"/>
              </w:rPr>
              <w:t>Biotechnology industry actors, Research organizations</w:t>
            </w:r>
          </w:p>
        </w:tc>
        <w:tc>
          <w:tcPr>
            <w:tcW w:w="1212" w:type="dxa"/>
            <w:tcBorders>
              <w:top w:val="single" w:sz="8" w:space="0" w:color="auto"/>
              <w:left w:val="single" w:sz="8" w:space="0" w:color="auto"/>
              <w:bottom w:val="single" w:sz="8" w:space="0" w:color="auto"/>
              <w:right w:val="single" w:sz="8" w:space="0" w:color="auto"/>
            </w:tcBorders>
            <w:tcMar>
              <w:left w:w="108" w:type="dxa"/>
              <w:right w:w="108" w:type="dxa"/>
            </w:tcMar>
          </w:tcPr>
          <w:p w14:paraId="0C236371" w14:textId="77777777" w:rsidR="21057125" w:rsidRPr="004C70EC" w:rsidRDefault="21057125">
            <w:pPr>
              <w:jc w:val="left"/>
              <w:rPr>
                <w:noProof/>
                <w:color w:val="000000" w:themeColor="text1"/>
                <w:szCs w:val="24"/>
              </w:rPr>
            </w:pPr>
            <w:r w:rsidRPr="004C70EC">
              <w:rPr>
                <w:noProof/>
                <w:color w:val="000000" w:themeColor="text1"/>
                <w:szCs w:val="24"/>
              </w:rPr>
              <w:t>Member States, Commission</w:t>
            </w:r>
          </w:p>
        </w:tc>
        <w:tc>
          <w:tcPr>
            <w:tcW w:w="1391" w:type="dxa"/>
            <w:tcBorders>
              <w:top w:val="single" w:sz="8" w:space="0" w:color="auto"/>
              <w:left w:val="single" w:sz="8" w:space="0" w:color="auto"/>
              <w:bottom w:val="single" w:sz="8" w:space="0" w:color="auto"/>
              <w:right w:val="single" w:sz="8" w:space="0" w:color="auto"/>
            </w:tcBorders>
            <w:tcMar>
              <w:left w:w="108" w:type="dxa"/>
              <w:right w:w="108" w:type="dxa"/>
            </w:tcMar>
          </w:tcPr>
          <w:p w14:paraId="44AA9242" w14:textId="77777777" w:rsidR="21057125" w:rsidRPr="004C70EC" w:rsidRDefault="21057125">
            <w:pPr>
              <w:jc w:val="left"/>
              <w:rPr>
                <w:noProof/>
                <w:color w:val="000000" w:themeColor="text1"/>
                <w:szCs w:val="24"/>
              </w:rPr>
            </w:pPr>
            <w:r w:rsidRPr="004C70EC">
              <w:rPr>
                <w:noProof/>
                <w:color w:val="000000" w:themeColor="text1"/>
                <w:szCs w:val="24"/>
              </w:rPr>
              <w:t>Detection, characterisation, identification, analysis and assessment of biological threats</w:t>
            </w:r>
          </w:p>
        </w:tc>
        <w:tc>
          <w:tcPr>
            <w:tcW w:w="1393" w:type="dxa"/>
            <w:tcBorders>
              <w:top w:val="single" w:sz="8" w:space="0" w:color="auto"/>
              <w:left w:val="single" w:sz="8" w:space="0" w:color="auto"/>
              <w:bottom w:val="single" w:sz="8" w:space="0" w:color="auto"/>
              <w:right w:val="single" w:sz="8" w:space="0" w:color="auto"/>
            </w:tcBorders>
            <w:tcMar>
              <w:left w:w="108" w:type="dxa"/>
              <w:right w:w="108" w:type="dxa"/>
            </w:tcMar>
          </w:tcPr>
          <w:p w14:paraId="5EB9CE42" w14:textId="77777777" w:rsidR="21057125" w:rsidRPr="004C70EC" w:rsidRDefault="21057125">
            <w:pPr>
              <w:jc w:val="left"/>
              <w:rPr>
                <w:noProof/>
                <w:color w:val="000000" w:themeColor="text1"/>
                <w:szCs w:val="24"/>
              </w:rPr>
            </w:pPr>
            <w:r w:rsidRPr="004C70EC">
              <w:rPr>
                <w:noProof/>
                <w:color w:val="000000" w:themeColor="text1"/>
                <w:szCs w:val="24"/>
              </w:rPr>
              <w:t xml:space="preserve"> </w:t>
            </w:r>
          </w:p>
        </w:tc>
      </w:tr>
      <w:tr w:rsidR="004A1163" w:rsidRPr="004C70EC" w14:paraId="3AA449AF" w14:textId="77777777" w:rsidTr="21057125">
        <w:trPr>
          <w:trHeight w:val="300"/>
        </w:trPr>
        <w:tc>
          <w:tcPr>
            <w:tcW w:w="2753" w:type="dxa"/>
            <w:tcBorders>
              <w:top w:val="single" w:sz="8" w:space="0" w:color="auto"/>
              <w:left w:val="single" w:sz="8" w:space="0" w:color="auto"/>
              <w:bottom w:val="single" w:sz="8" w:space="0" w:color="auto"/>
              <w:right w:val="single" w:sz="8" w:space="0" w:color="auto"/>
            </w:tcBorders>
            <w:tcMar>
              <w:left w:w="108" w:type="dxa"/>
              <w:right w:w="108" w:type="dxa"/>
            </w:tcMar>
          </w:tcPr>
          <w:p w14:paraId="13CE4F92" w14:textId="77777777" w:rsidR="21057125" w:rsidRPr="004C70EC" w:rsidRDefault="21057125">
            <w:pPr>
              <w:jc w:val="left"/>
              <w:rPr>
                <w:noProof/>
                <w:color w:val="000000" w:themeColor="text1"/>
                <w:szCs w:val="24"/>
              </w:rPr>
            </w:pPr>
            <w:r w:rsidRPr="004C70EC">
              <w:rPr>
                <w:noProof/>
                <w:color w:val="000000" w:themeColor="text1"/>
                <w:szCs w:val="24"/>
              </w:rPr>
              <w:t>Handling of confidential information</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6CCF5C1E" w14:textId="77777777" w:rsidR="21057125" w:rsidRPr="004C70EC" w:rsidRDefault="21057125">
            <w:pPr>
              <w:jc w:val="left"/>
              <w:rPr>
                <w:i/>
                <w:noProof/>
                <w:color w:val="000000" w:themeColor="text1"/>
                <w:szCs w:val="24"/>
              </w:rPr>
            </w:pPr>
            <w:r w:rsidRPr="004C70EC">
              <w:rPr>
                <w:i/>
                <w:noProof/>
                <w:color w:val="000000" w:themeColor="text1"/>
                <w:szCs w:val="24"/>
              </w:rPr>
              <w:t>Article [66] Handling of Confidential Information</w:t>
            </w:r>
          </w:p>
        </w:tc>
        <w:tc>
          <w:tcPr>
            <w:tcW w:w="1201" w:type="dxa"/>
            <w:tcBorders>
              <w:top w:val="single" w:sz="8" w:space="0" w:color="auto"/>
              <w:left w:val="single" w:sz="8" w:space="0" w:color="auto"/>
              <w:bottom w:val="single" w:sz="8" w:space="0" w:color="auto"/>
              <w:right w:val="single" w:sz="8" w:space="0" w:color="auto"/>
            </w:tcBorders>
            <w:tcMar>
              <w:left w:w="108" w:type="dxa"/>
              <w:right w:w="108" w:type="dxa"/>
            </w:tcMar>
          </w:tcPr>
          <w:p w14:paraId="6A0DE10F" w14:textId="77777777" w:rsidR="21057125" w:rsidRPr="004C70EC" w:rsidRDefault="21057125">
            <w:pPr>
              <w:jc w:val="left"/>
              <w:rPr>
                <w:noProof/>
                <w:color w:val="000000" w:themeColor="text1"/>
                <w:szCs w:val="24"/>
              </w:rPr>
            </w:pPr>
            <w:r w:rsidRPr="004C70EC">
              <w:rPr>
                <w:noProof/>
                <w:color w:val="000000" w:themeColor="text1"/>
                <w:szCs w:val="24"/>
              </w:rPr>
              <w:t>Member States, Commission</w:t>
            </w:r>
          </w:p>
        </w:tc>
        <w:tc>
          <w:tcPr>
            <w:tcW w:w="1212" w:type="dxa"/>
            <w:tcBorders>
              <w:top w:val="single" w:sz="8" w:space="0" w:color="auto"/>
              <w:left w:val="single" w:sz="8" w:space="0" w:color="auto"/>
              <w:bottom w:val="single" w:sz="8" w:space="0" w:color="auto"/>
              <w:right w:val="single" w:sz="8" w:space="0" w:color="auto"/>
            </w:tcBorders>
            <w:tcMar>
              <w:left w:w="108" w:type="dxa"/>
              <w:right w:w="108" w:type="dxa"/>
            </w:tcMar>
          </w:tcPr>
          <w:p w14:paraId="317FE786" w14:textId="77777777" w:rsidR="21057125" w:rsidRPr="004C70EC" w:rsidRDefault="21057125">
            <w:pPr>
              <w:jc w:val="left"/>
              <w:rPr>
                <w:noProof/>
                <w:color w:val="000000" w:themeColor="text1"/>
                <w:szCs w:val="24"/>
              </w:rPr>
            </w:pPr>
            <w:r w:rsidRPr="004C70EC">
              <w:rPr>
                <w:noProof/>
                <w:color w:val="000000" w:themeColor="text1"/>
                <w:szCs w:val="24"/>
              </w:rPr>
              <w:t>Biotechnology industry actors, Research organizations</w:t>
            </w:r>
          </w:p>
        </w:tc>
        <w:tc>
          <w:tcPr>
            <w:tcW w:w="1391" w:type="dxa"/>
            <w:tcBorders>
              <w:top w:val="single" w:sz="8" w:space="0" w:color="auto"/>
              <w:left w:val="single" w:sz="8" w:space="0" w:color="auto"/>
              <w:bottom w:val="single" w:sz="8" w:space="0" w:color="auto"/>
              <w:right w:val="single" w:sz="8" w:space="0" w:color="auto"/>
            </w:tcBorders>
            <w:tcMar>
              <w:left w:w="108" w:type="dxa"/>
              <w:right w:w="108" w:type="dxa"/>
            </w:tcMar>
          </w:tcPr>
          <w:p w14:paraId="12E1C8D0" w14:textId="77777777" w:rsidR="21057125" w:rsidRPr="004C70EC" w:rsidRDefault="21057125">
            <w:pPr>
              <w:jc w:val="left"/>
              <w:rPr>
                <w:noProof/>
                <w:color w:val="000000" w:themeColor="text1"/>
                <w:szCs w:val="24"/>
              </w:rPr>
            </w:pPr>
            <w:r w:rsidRPr="004C70EC">
              <w:rPr>
                <w:noProof/>
                <w:color w:val="000000" w:themeColor="text1"/>
                <w:szCs w:val="24"/>
              </w:rPr>
              <w:t>Information acquired in the course of regulation, trade and business secrets</w:t>
            </w:r>
          </w:p>
        </w:tc>
        <w:tc>
          <w:tcPr>
            <w:tcW w:w="1393" w:type="dxa"/>
            <w:tcBorders>
              <w:top w:val="single" w:sz="8" w:space="0" w:color="auto"/>
              <w:left w:val="single" w:sz="8" w:space="0" w:color="auto"/>
              <w:bottom w:val="single" w:sz="8" w:space="0" w:color="auto"/>
              <w:right w:val="single" w:sz="8" w:space="0" w:color="auto"/>
            </w:tcBorders>
            <w:tcMar>
              <w:left w:w="108" w:type="dxa"/>
              <w:right w:w="108" w:type="dxa"/>
            </w:tcMar>
          </w:tcPr>
          <w:p w14:paraId="7AE191D3" w14:textId="77777777" w:rsidR="21057125" w:rsidRPr="004C70EC" w:rsidRDefault="21057125">
            <w:pPr>
              <w:jc w:val="left"/>
              <w:rPr>
                <w:noProof/>
                <w:color w:val="000000" w:themeColor="text1"/>
                <w:szCs w:val="24"/>
              </w:rPr>
            </w:pPr>
          </w:p>
        </w:tc>
      </w:tr>
    </w:tbl>
    <w:p w14:paraId="4BAB8621" w14:textId="77777777" w:rsidR="21057125" w:rsidRPr="004C70EC" w:rsidRDefault="21057125" w:rsidP="21057125">
      <w:pPr>
        <w:tabs>
          <w:tab w:val="left" w:pos="5370"/>
        </w:tabs>
        <w:rPr>
          <w:rFonts w:eastAsia="Times New Roman"/>
          <w:i/>
          <w:iCs/>
          <w:noProof/>
          <w:color w:val="000000" w:themeColor="text1"/>
          <w:szCs w:val="24"/>
          <w:lang w:eastAsia="en-GB"/>
        </w:rPr>
      </w:pPr>
    </w:p>
    <w:p w14:paraId="0E458BBD" w14:textId="77777777" w:rsidR="007966CD" w:rsidRPr="004C70EC" w:rsidRDefault="007966CD">
      <w:pPr>
        <w:rPr>
          <w:noProof/>
          <w:color w:val="000000" w:themeColor="text1"/>
          <w:szCs w:val="24"/>
        </w:rPr>
      </w:pPr>
    </w:p>
    <w:p w14:paraId="1D0E8CC8" w14:textId="77777777" w:rsidR="00525BA0" w:rsidRPr="009347D1" w:rsidRDefault="00525BA0" w:rsidP="00525BA0">
      <w:pPr>
        <w:pStyle w:val="ManualHeading2"/>
        <w:rPr>
          <w:noProof/>
        </w:rPr>
      </w:pPr>
      <w:bookmarkStart w:id="85" w:name="_TocBB369F06D323422099F99CA392A57F42"/>
      <w:r>
        <w:rPr>
          <w:noProof/>
        </w:rPr>
        <w:t>4.3.</w:t>
      </w:r>
      <w:r>
        <w:rPr>
          <w:noProof/>
        </w:rPr>
        <w:tab/>
        <w:t>Digital solutions</w:t>
      </w:r>
      <w:bookmarkEnd w:id="85"/>
    </w:p>
    <w:p w14:paraId="523B9432" w14:textId="77777777" w:rsidR="007966CD" w:rsidRPr="004C70EC" w:rsidRDefault="007966CD">
      <w:pPr>
        <w:rPr>
          <w:rFonts w:eastAsia="Times New Roman"/>
          <w:i/>
          <w:noProof/>
          <w:color w:val="000000" w:themeColor="text1"/>
          <w:szCs w:val="24"/>
          <w:lang w:val="en-US" w:eastAsia="en-GB"/>
        </w:rPr>
      </w:pPr>
      <w:r w:rsidRPr="004C70EC">
        <w:rPr>
          <w:rFonts w:eastAsia="Times New Roman"/>
          <w:i/>
          <w:noProof/>
          <w:color w:val="000000" w:themeColor="text1"/>
          <w:szCs w:val="24"/>
          <w:lang w:val="en-US" w:eastAsia="en-GB"/>
        </w:rPr>
        <w:t>High-level description of digital solutions</w:t>
      </w:r>
    </w:p>
    <w:tbl>
      <w:tblPr>
        <w:tblStyle w:val="TableGrid2"/>
        <w:tblW w:w="9289" w:type="dxa"/>
        <w:tblLook w:val="04A0" w:firstRow="1" w:lastRow="0" w:firstColumn="1" w:lastColumn="0" w:noHBand="0" w:noVBand="1"/>
      </w:tblPr>
      <w:tblGrid>
        <w:gridCol w:w="1388"/>
        <w:gridCol w:w="1487"/>
        <w:gridCol w:w="1421"/>
        <w:gridCol w:w="1272"/>
        <w:gridCol w:w="1233"/>
        <w:gridCol w:w="1233"/>
        <w:gridCol w:w="1255"/>
      </w:tblGrid>
      <w:tr w:rsidR="004A1163" w:rsidRPr="004C70EC" w14:paraId="2B376EA1" w14:textId="77777777" w:rsidTr="00431990">
        <w:trPr>
          <w:trHeight w:val="300"/>
        </w:trPr>
        <w:tc>
          <w:tcPr>
            <w:tcW w:w="1317" w:type="dxa"/>
            <w:vAlign w:val="center"/>
          </w:tcPr>
          <w:p w14:paraId="52B11D33" w14:textId="77777777" w:rsidR="007966CD" w:rsidRPr="004C70EC" w:rsidRDefault="007966CD">
            <w:pPr>
              <w:spacing w:before="0" w:after="0"/>
              <w:jc w:val="center"/>
              <w:rPr>
                <w:b/>
                <w:bCs/>
                <w:noProof/>
                <w:color w:val="000000" w:themeColor="text1"/>
                <w:szCs w:val="24"/>
                <w:lang w:val="fr-BE" w:eastAsia="fr-BE"/>
              </w:rPr>
            </w:pPr>
            <w:r w:rsidRPr="004C70EC">
              <w:rPr>
                <w:b/>
                <w:bCs/>
                <w:noProof/>
                <w:color w:val="000000" w:themeColor="text1"/>
                <w:szCs w:val="24"/>
              </w:rPr>
              <w:t>Digital solution</w:t>
            </w:r>
          </w:p>
        </w:tc>
        <w:tc>
          <w:tcPr>
            <w:tcW w:w="1669" w:type="dxa"/>
            <w:vAlign w:val="center"/>
          </w:tcPr>
          <w:p w14:paraId="6FBA21F7" w14:textId="77777777" w:rsidR="007966CD" w:rsidRPr="004C70EC" w:rsidRDefault="007966CD">
            <w:pPr>
              <w:jc w:val="center"/>
              <w:rPr>
                <w:b/>
                <w:bCs/>
                <w:noProof/>
                <w:color w:val="000000" w:themeColor="text1"/>
                <w:szCs w:val="24"/>
              </w:rPr>
            </w:pPr>
            <w:r w:rsidRPr="004C70EC">
              <w:rPr>
                <w:b/>
                <w:bCs/>
                <w:noProof/>
                <w:color w:val="000000" w:themeColor="text1"/>
                <w:szCs w:val="24"/>
              </w:rPr>
              <w:t>Reference(s) to the requirement(s)</w:t>
            </w:r>
          </w:p>
        </w:tc>
        <w:tc>
          <w:tcPr>
            <w:tcW w:w="1348" w:type="dxa"/>
            <w:vAlign w:val="center"/>
          </w:tcPr>
          <w:p w14:paraId="52B5E4E9" w14:textId="77777777" w:rsidR="007966CD" w:rsidRPr="004C70EC" w:rsidRDefault="007966CD">
            <w:pPr>
              <w:spacing w:before="0" w:after="0"/>
              <w:jc w:val="center"/>
              <w:rPr>
                <w:b/>
                <w:bCs/>
                <w:noProof/>
                <w:color w:val="000000" w:themeColor="text1"/>
                <w:szCs w:val="24"/>
                <w:lang w:val="fr-BE" w:eastAsia="fr-BE"/>
              </w:rPr>
            </w:pPr>
            <w:r w:rsidRPr="004C70EC">
              <w:rPr>
                <w:b/>
                <w:bCs/>
                <w:noProof/>
                <w:color w:val="000000" w:themeColor="text1"/>
                <w:szCs w:val="24"/>
              </w:rPr>
              <w:t>Main mandated functionalities</w:t>
            </w:r>
          </w:p>
        </w:tc>
        <w:tc>
          <w:tcPr>
            <w:tcW w:w="1665" w:type="dxa"/>
            <w:vAlign w:val="center"/>
          </w:tcPr>
          <w:p w14:paraId="271B92F1" w14:textId="77777777" w:rsidR="007966CD" w:rsidRPr="004C70EC" w:rsidRDefault="007966CD">
            <w:pPr>
              <w:jc w:val="center"/>
              <w:rPr>
                <w:b/>
                <w:bCs/>
                <w:noProof/>
                <w:color w:val="000000" w:themeColor="text1"/>
                <w:szCs w:val="24"/>
              </w:rPr>
            </w:pPr>
            <w:r w:rsidRPr="004C70EC">
              <w:rPr>
                <w:b/>
                <w:bCs/>
                <w:noProof/>
                <w:color w:val="000000" w:themeColor="text1"/>
                <w:szCs w:val="24"/>
              </w:rPr>
              <w:t>Responsible body</w:t>
            </w:r>
          </w:p>
        </w:tc>
        <w:tc>
          <w:tcPr>
            <w:tcW w:w="714" w:type="dxa"/>
            <w:vAlign w:val="center"/>
          </w:tcPr>
          <w:p w14:paraId="67E0E849" w14:textId="77777777" w:rsidR="007966CD" w:rsidRPr="004C70EC" w:rsidRDefault="007966CD">
            <w:pPr>
              <w:spacing w:before="0" w:after="0"/>
              <w:jc w:val="center"/>
              <w:rPr>
                <w:b/>
                <w:bCs/>
                <w:noProof/>
                <w:color w:val="000000" w:themeColor="text1"/>
                <w:szCs w:val="24"/>
              </w:rPr>
            </w:pPr>
            <w:r w:rsidRPr="004C70EC">
              <w:rPr>
                <w:b/>
                <w:bCs/>
                <w:noProof/>
                <w:color w:val="000000" w:themeColor="text1"/>
                <w:szCs w:val="24"/>
              </w:rPr>
              <w:t>How is accessibility catered for?</w:t>
            </w:r>
          </w:p>
        </w:tc>
        <w:tc>
          <w:tcPr>
            <w:tcW w:w="1384" w:type="dxa"/>
            <w:vAlign w:val="center"/>
          </w:tcPr>
          <w:p w14:paraId="3A3C3653" w14:textId="77777777" w:rsidR="007966CD" w:rsidRPr="004C70EC" w:rsidRDefault="007966CD">
            <w:pPr>
              <w:spacing w:before="0" w:after="0"/>
              <w:jc w:val="center"/>
              <w:rPr>
                <w:b/>
                <w:bCs/>
                <w:noProof/>
                <w:color w:val="000000" w:themeColor="text1"/>
                <w:szCs w:val="24"/>
              </w:rPr>
            </w:pPr>
            <w:r w:rsidRPr="004C70EC">
              <w:rPr>
                <w:b/>
                <w:bCs/>
                <w:noProof/>
                <w:color w:val="000000" w:themeColor="text1"/>
                <w:szCs w:val="24"/>
              </w:rPr>
              <w:t>How is reusability considered?</w:t>
            </w:r>
          </w:p>
        </w:tc>
        <w:tc>
          <w:tcPr>
            <w:tcW w:w="1192" w:type="dxa"/>
            <w:vAlign w:val="center"/>
          </w:tcPr>
          <w:p w14:paraId="32FCE705" w14:textId="77777777" w:rsidR="007966CD" w:rsidRPr="004C70EC" w:rsidRDefault="007966CD">
            <w:pPr>
              <w:spacing w:before="0" w:after="0"/>
              <w:jc w:val="center"/>
              <w:rPr>
                <w:b/>
                <w:bCs/>
                <w:noProof/>
                <w:color w:val="000000" w:themeColor="text1"/>
                <w:szCs w:val="24"/>
              </w:rPr>
            </w:pPr>
            <w:r w:rsidRPr="004C70EC">
              <w:rPr>
                <w:b/>
                <w:bCs/>
                <w:noProof/>
                <w:color w:val="000000" w:themeColor="text1"/>
                <w:szCs w:val="24"/>
              </w:rPr>
              <w:t>Use of AI technologies (if applicable)</w:t>
            </w:r>
          </w:p>
        </w:tc>
      </w:tr>
      <w:tr w:rsidR="004A1163" w:rsidRPr="004C70EC" w14:paraId="306CBE41" w14:textId="77777777" w:rsidTr="00431990">
        <w:trPr>
          <w:trHeight w:val="300"/>
        </w:trPr>
        <w:tc>
          <w:tcPr>
            <w:tcW w:w="1317" w:type="dxa"/>
          </w:tcPr>
          <w:p w14:paraId="089BD8BB" w14:textId="77777777" w:rsidR="007966CD" w:rsidRPr="004C70EC" w:rsidRDefault="6AA37919">
            <w:pPr>
              <w:rPr>
                <w:noProof/>
                <w:color w:val="000000" w:themeColor="text1"/>
                <w:szCs w:val="24"/>
              </w:rPr>
            </w:pPr>
            <w:r w:rsidRPr="004C70EC">
              <w:rPr>
                <w:noProof/>
                <w:color w:val="000000" w:themeColor="text1"/>
                <w:szCs w:val="24"/>
              </w:rPr>
              <w:t xml:space="preserve">Biotechnology testing environments for advanced biotechnology innovations  </w:t>
            </w:r>
          </w:p>
          <w:p w14:paraId="5DD620EC" w14:textId="77777777" w:rsidR="007966CD" w:rsidRPr="004C70EC" w:rsidRDefault="007966CD">
            <w:pPr>
              <w:rPr>
                <w:noProof/>
                <w:color w:val="000000" w:themeColor="text1"/>
                <w:szCs w:val="24"/>
              </w:rPr>
            </w:pPr>
            <w:r w:rsidRPr="004C70EC">
              <w:rPr>
                <w:noProof/>
                <w:color w:val="000000" w:themeColor="text1"/>
                <w:szCs w:val="24"/>
              </w:rPr>
              <w:t xml:space="preserve"> </w:t>
            </w:r>
          </w:p>
        </w:tc>
        <w:tc>
          <w:tcPr>
            <w:tcW w:w="1669" w:type="dxa"/>
          </w:tcPr>
          <w:p w14:paraId="7AB9F744" w14:textId="77777777" w:rsidR="007966CD" w:rsidRPr="004C70EC" w:rsidRDefault="007966CD">
            <w:pPr>
              <w:jc w:val="left"/>
              <w:rPr>
                <w:noProof/>
                <w:color w:val="000000" w:themeColor="text1"/>
                <w:szCs w:val="24"/>
              </w:rPr>
            </w:pPr>
            <w:r w:rsidRPr="004C70EC">
              <w:rPr>
                <w:noProof/>
                <w:color w:val="000000" w:themeColor="text1"/>
                <w:szCs w:val="24"/>
              </w:rPr>
              <w:t>Article [</w:t>
            </w:r>
            <w:r w:rsidR="5CF2A700" w:rsidRPr="004C70EC">
              <w:rPr>
                <w:noProof/>
                <w:color w:val="000000" w:themeColor="text1"/>
                <w:szCs w:val="24"/>
              </w:rPr>
              <w:t>3</w:t>
            </w:r>
            <w:r w:rsidR="4A143A82" w:rsidRPr="004C70EC">
              <w:rPr>
                <w:noProof/>
                <w:color w:val="000000" w:themeColor="text1"/>
                <w:szCs w:val="24"/>
              </w:rPr>
              <w:t>2</w:t>
            </w:r>
            <w:r w:rsidRPr="004C70EC">
              <w:rPr>
                <w:noProof/>
                <w:color w:val="000000" w:themeColor="text1"/>
                <w:szCs w:val="24"/>
              </w:rPr>
              <w:t xml:space="preserve">] </w:t>
            </w:r>
            <w:r w:rsidR="5CF2A700" w:rsidRPr="004C70EC">
              <w:rPr>
                <w:noProof/>
                <w:color w:val="000000" w:themeColor="text1"/>
                <w:szCs w:val="24"/>
              </w:rPr>
              <w:t>B</w:t>
            </w:r>
            <w:r w:rsidR="61A5B783" w:rsidRPr="004C70EC">
              <w:rPr>
                <w:noProof/>
                <w:color w:val="000000" w:themeColor="text1"/>
                <w:szCs w:val="24"/>
              </w:rPr>
              <w:t>iotechnology</w:t>
            </w:r>
            <w:r w:rsidR="64CCA0F2" w:rsidRPr="004C70EC">
              <w:rPr>
                <w:noProof/>
                <w:color w:val="000000" w:themeColor="text1"/>
                <w:szCs w:val="24"/>
              </w:rPr>
              <w:t xml:space="preserve"> testing environments for advanced biotechnology innovations  - high-impact biotechnology strategic projects</w:t>
            </w:r>
          </w:p>
        </w:tc>
        <w:tc>
          <w:tcPr>
            <w:tcW w:w="1348" w:type="dxa"/>
          </w:tcPr>
          <w:p w14:paraId="4B4FDD5E" w14:textId="77777777" w:rsidR="007966CD" w:rsidRPr="004C70EC" w:rsidRDefault="007966CD">
            <w:pPr>
              <w:jc w:val="left"/>
              <w:rPr>
                <w:noProof/>
                <w:color w:val="000000" w:themeColor="text1"/>
                <w:szCs w:val="24"/>
              </w:rPr>
            </w:pPr>
            <w:r w:rsidRPr="004C70EC">
              <w:rPr>
                <w:noProof/>
                <w:color w:val="000000" w:themeColor="text1"/>
                <w:szCs w:val="24"/>
              </w:rPr>
              <w:t>Development of trusted testing environments  biotechnology innovations</w:t>
            </w:r>
          </w:p>
        </w:tc>
        <w:tc>
          <w:tcPr>
            <w:tcW w:w="1665" w:type="dxa"/>
          </w:tcPr>
          <w:p w14:paraId="51EC4E1E" w14:textId="77777777" w:rsidR="007966CD" w:rsidRPr="004C70EC" w:rsidRDefault="007966CD">
            <w:pPr>
              <w:jc w:val="left"/>
              <w:rPr>
                <w:noProof/>
                <w:color w:val="000000" w:themeColor="text1"/>
                <w:szCs w:val="24"/>
              </w:rPr>
            </w:pPr>
            <w:r w:rsidRPr="004C70EC">
              <w:rPr>
                <w:noProof/>
                <w:color w:val="000000" w:themeColor="text1"/>
                <w:szCs w:val="24"/>
              </w:rPr>
              <w:t>Commission, Member States</w:t>
            </w:r>
          </w:p>
        </w:tc>
        <w:tc>
          <w:tcPr>
            <w:tcW w:w="714" w:type="dxa"/>
          </w:tcPr>
          <w:p w14:paraId="717DAF1C" w14:textId="77777777" w:rsidR="007966CD" w:rsidRPr="004C70EC" w:rsidRDefault="007966CD">
            <w:pPr>
              <w:jc w:val="left"/>
              <w:rPr>
                <w:noProof/>
                <w:color w:val="000000" w:themeColor="text1"/>
                <w:szCs w:val="24"/>
              </w:rPr>
            </w:pPr>
          </w:p>
        </w:tc>
        <w:tc>
          <w:tcPr>
            <w:tcW w:w="1384" w:type="dxa"/>
          </w:tcPr>
          <w:p w14:paraId="7DB3B9AF" w14:textId="77777777" w:rsidR="007966CD" w:rsidRPr="004C70EC" w:rsidRDefault="007966CD">
            <w:pPr>
              <w:jc w:val="left"/>
              <w:rPr>
                <w:noProof/>
                <w:color w:val="000000" w:themeColor="text1"/>
                <w:szCs w:val="24"/>
              </w:rPr>
            </w:pPr>
          </w:p>
        </w:tc>
        <w:tc>
          <w:tcPr>
            <w:tcW w:w="1192" w:type="dxa"/>
          </w:tcPr>
          <w:p w14:paraId="72E759CB" w14:textId="77777777" w:rsidR="007966CD" w:rsidRPr="004C70EC" w:rsidRDefault="007966CD">
            <w:pPr>
              <w:jc w:val="left"/>
              <w:rPr>
                <w:noProof/>
                <w:color w:val="000000" w:themeColor="text1"/>
                <w:szCs w:val="24"/>
              </w:rPr>
            </w:pPr>
            <w:r w:rsidRPr="004C70EC">
              <w:rPr>
                <w:noProof/>
                <w:color w:val="000000" w:themeColor="text1"/>
                <w:szCs w:val="24"/>
              </w:rPr>
              <w:t>Yes</w:t>
            </w:r>
          </w:p>
        </w:tc>
      </w:tr>
    </w:tbl>
    <w:p w14:paraId="56CB80AE" w14:textId="77777777" w:rsidR="007966CD" w:rsidRPr="004C70EC" w:rsidRDefault="007966CD">
      <w:pPr>
        <w:rPr>
          <w:rFonts w:eastAsia="Times New Roman"/>
          <w:i/>
          <w:noProof/>
          <w:color w:val="000000" w:themeColor="text1"/>
          <w:szCs w:val="24"/>
          <w:lang w:eastAsia="en-GB"/>
        </w:rPr>
      </w:pPr>
      <w:r w:rsidRPr="004C70EC">
        <w:rPr>
          <w:rFonts w:eastAsia="Times New Roman"/>
          <w:i/>
          <w:noProof/>
          <w:color w:val="000000" w:themeColor="text1"/>
          <w:szCs w:val="24"/>
          <w:lang w:val="en-US" w:eastAsia="en-GB"/>
        </w:rPr>
        <w:t>For each digital solution, explanation of how the digital solution complies with applicable digital policies and legislative enactments</w:t>
      </w:r>
    </w:p>
    <w:p w14:paraId="58146E79" w14:textId="77777777" w:rsidR="007966CD" w:rsidRPr="004C70EC" w:rsidRDefault="007966CD">
      <w:pPr>
        <w:rPr>
          <w:rFonts w:eastAsia="Times New Roman"/>
          <w:b/>
          <w:noProof/>
          <w:color w:val="000000" w:themeColor="text1"/>
          <w:szCs w:val="24"/>
          <w:u w:val="single"/>
          <w:lang w:val="en-US" w:eastAsia="en-GB"/>
        </w:rPr>
      </w:pPr>
    </w:p>
    <w:p w14:paraId="22DEFAF0" w14:textId="77777777" w:rsidR="007966CD" w:rsidRPr="004C70EC" w:rsidRDefault="007966CD">
      <w:pPr>
        <w:rPr>
          <w:rFonts w:eastAsia="Times New Roman"/>
          <w:noProof/>
          <w:color w:val="000000" w:themeColor="text1"/>
          <w:szCs w:val="24"/>
          <w:u w:val="single"/>
          <w:lang w:val="en-US" w:eastAsia="en-GB"/>
        </w:rPr>
      </w:pPr>
      <w:r w:rsidRPr="004C70EC">
        <w:rPr>
          <w:rFonts w:eastAsia="Times New Roman"/>
          <w:b/>
          <w:bCs/>
          <w:noProof/>
          <w:color w:val="000000" w:themeColor="text1"/>
          <w:szCs w:val="24"/>
          <w:u w:val="single"/>
          <w:lang w:val="en-US" w:eastAsia="en-GB"/>
        </w:rPr>
        <w:t xml:space="preserve">Digital solution #1: </w:t>
      </w:r>
      <w:r w:rsidRPr="004C70EC">
        <w:rPr>
          <w:rFonts w:eastAsia="Times New Roman"/>
          <w:noProof/>
          <w:color w:val="000000" w:themeColor="text1"/>
          <w:szCs w:val="24"/>
          <w:u w:val="single"/>
          <w:lang w:val="en-US" w:eastAsia="en-GB"/>
        </w:rPr>
        <w:t>Biotechnology testing Environments</w:t>
      </w:r>
      <w:r w:rsidR="488545D8" w:rsidRPr="004C70EC">
        <w:rPr>
          <w:rFonts w:eastAsia="Times New Roman"/>
          <w:noProof/>
          <w:color w:val="000000" w:themeColor="text1"/>
          <w:szCs w:val="24"/>
          <w:u w:val="single"/>
          <w:lang w:val="en-US" w:eastAsia="en-GB"/>
        </w:rPr>
        <w:t xml:space="preserve"> for advanced biotechnology innovations</w:t>
      </w:r>
    </w:p>
    <w:tbl>
      <w:tblPr>
        <w:tblStyle w:val="TableGrid2"/>
        <w:tblW w:w="5000" w:type="pct"/>
        <w:tblLook w:val="04A0" w:firstRow="1" w:lastRow="0" w:firstColumn="1" w:lastColumn="0" w:noHBand="0" w:noVBand="1"/>
      </w:tblPr>
      <w:tblGrid>
        <w:gridCol w:w="2385"/>
        <w:gridCol w:w="3452"/>
        <w:gridCol w:w="3452"/>
      </w:tblGrid>
      <w:tr w:rsidR="004A1163" w:rsidRPr="004C70EC" w14:paraId="33C76D43" w14:textId="77777777">
        <w:trPr>
          <w:trHeight w:val="300"/>
        </w:trPr>
        <w:tc>
          <w:tcPr>
            <w:tcW w:w="1284" w:type="pct"/>
          </w:tcPr>
          <w:p w14:paraId="5F4DA100" w14:textId="77777777" w:rsidR="007966CD" w:rsidRPr="004C70EC" w:rsidRDefault="007966CD">
            <w:pPr>
              <w:jc w:val="left"/>
              <w:rPr>
                <w:b/>
                <w:noProof/>
                <w:color w:val="000000" w:themeColor="text1"/>
                <w:szCs w:val="24"/>
              </w:rPr>
            </w:pPr>
            <w:r w:rsidRPr="004C70EC">
              <w:rPr>
                <w:b/>
                <w:noProof/>
                <w:color w:val="000000" w:themeColor="text1"/>
                <w:szCs w:val="24"/>
              </w:rPr>
              <w:t>Digital and/or sectorial policy (when these are applicable)</w:t>
            </w:r>
          </w:p>
        </w:tc>
        <w:tc>
          <w:tcPr>
            <w:tcW w:w="1858" w:type="pct"/>
          </w:tcPr>
          <w:p w14:paraId="402678B5" w14:textId="77777777" w:rsidR="007966CD" w:rsidRPr="004C70EC" w:rsidRDefault="007966CD">
            <w:pPr>
              <w:jc w:val="left"/>
              <w:rPr>
                <w:b/>
                <w:noProof/>
                <w:color w:val="000000" w:themeColor="text1"/>
                <w:szCs w:val="24"/>
              </w:rPr>
            </w:pPr>
            <w:r w:rsidRPr="004C70EC">
              <w:rPr>
                <w:b/>
                <w:noProof/>
                <w:color w:val="000000" w:themeColor="text1"/>
                <w:szCs w:val="24"/>
              </w:rPr>
              <w:t>Explanation on how it aligns</w:t>
            </w:r>
          </w:p>
        </w:tc>
        <w:tc>
          <w:tcPr>
            <w:tcW w:w="1858" w:type="pct"/>
          </w:tcPr>
          <w:p w14:paraId="1EF18D53" w14:textId="77777777" w:rsidR="007966CD" w:rsidRPr="004C70EC" w:rsidRDefault="007966CD">
            <w:pPr>
              <w:jc w:val="left"/>
              <w:rPr>
                <w:b/>
                <w:bCs/>
                <w:noProof/>
                <w:color w:val="000000" w:themeColor="text1"/>
                <w:szCs w:val="24"/>
              </w:rPr>
            </w:pPr>
          </w:p>
        </w:tc>
      </w:tr>
      <w:tr w:rsidR="004A1163" w:rsidRPr="004C70EC" w14:paraId="5876790E" w14:textId="77777777">
        <w:trPr>
          <w:trHeight w:val="300"/>
        </w:trPr>
        <w:tc>
          <w:tcPr>
            <w:tcW w:w="1284" w:type="pct"/>
          </w:tcPr>
          <w:p w14:paraId="04B78174" w14:textId="77777777" w:rsidR="007966CD" w:rsidRPr="004C70EC" w:rsidRDefault="007966CD">
            <w:pPr>
              <w:jc w:val="left"/>
              <w:rPr>
                <w:noProof/>
                <w:color w:val="000000" w:themeColor="text1"/>
                <w:szCs w:val="24"/>
              </w:rPr>
            </w:pPr>
            <w:r w:rsidRPr="004C70EC">
              <w:rPr>
                <w:b/>
                <w:i/>
                <w:noProof/>
                <w:color w:val="000000" w:themeColor="text1"/>
                <w:szCs w:val="24"/>
                <w:lang w:val="en-US"/>
              </w:rPr>
              <w:t>AI Act</w:t>
            </w:r>
          </w:p>
        </w:tc>
        <w:tc>
          <w:tcPr>
            <w:tcW w:w="1858" w:type="pct"/>
          </w:tcPr>
          <w:p w14:paraId="0EEDF804" w14:textId="77777777" w:rsidR="007966CD" w:rsidRPr="004C70EC" w:rsidRDefault="007966CD">
            <w:pPr>
              <w:jc w:val="left"/>
              <w:rPr>
                <w:noProof/>
                <w:color w:val="000000" w:themeColor="text1"/>
                <w:szCs w:val="24"/>
                <w:lang w:val="en-US"/>
              </w:rPr>
            </w:pPr>
            <w:r w:rsidRPr="004C70EC">
              <w:rPr>
                <w:noProof/>
                <w:color w:val="000000" w:themeColor="text1"/>
                <w:szCs w:val="24"/>
              </w:rPr>
              <w:t>Development and testing of AI enabled biotechnology solutions is in line with Article 51. It ensures that these systems fulfil the obligations set out in Articles 53-55 of the act.</w:t>
            </w:r>
          </w:p>
        </w:tc>
        <w:tc>
          <w:tcPr>
            <w:tcW w:w="1858" w:type="pct"/>
          </w:tcPr>
          <w:p w14:paraId="5A505FC2" w14:textId="77777777" w:rsidR="007966CD" w:rsidRPr="004C70EC" w:rsidRDefault="007966CD">
            <w:pPr>
              <w:jc w:val="left"/>
              <w:rPr>
                <w:noProof/>
                <w:color w:val="000000" w:themeColor="text1"/>
                <w:szCs w:val="24"/>
              </w:rPr>
            </w:pPr>
          </w:p>
        </w:tc>
      </w:tr>
      <w:tr w:rsidR="004A1163" w:rsidRPr="004C70EC" w14:paraId="081C24CD" w14:textId="77777777">
        <w:trPr>
          <w:trHeight w:val="300"/>
        </w:trPr>
        <w:tc>
          <w:tcPr>
            <w:tcW w:w="1284" w:type="pct"/>
          </w:tcPr>
          <w:p w14:paraId="540EF749" w14:textId="77777777" w:rsidR="007966CD" w:rsidRPr="004C70EC" w:rsidRDefault="007966CD">
            <w:pPr>
              <w:jc w:val="left"/>
              <w:rPr>
                <w:noProof/>
                <w:color w:val="000000" w:themeColor="text1"/>
                <w:szCs w:val="24"/>
                <w:lang w:val="en-US"/>
              </w:rPr>
            </w:pPr>
            <w:r w:rsidRPr="004C70EC">
              <w:rPr>
                <w:b/>
                <w:i/>
                <w:noProof/>
                <w:color w:val="000000" w:themeColor="text1"/>
                <w:szCs w:val="24"/>
                <w:lang w:val="en-US"/>
              </w:rPr>
              <w:t>EU Cybersecurity framework</w:t>
            </w:r>
          </w:p>
        </w:tc>
        <w:tc>
          <w:tcPr>
            <w:tcW w:w="1858" w:type="pct"/>
          </w:tcPr>
          <w:p w14:paraId="5D318642" w14:textId="77777777" w:rsidR="007966CD" w:rsidRPr="004C70EC" w:rsidRDefault="007966CD">
            <w:pPr>
              <w:jc w:val="left"/>
              <w:rPr>
                <w:noProof/>
                <w:color w:val="000000" w:themeColor="text1"/>
                <w:szCs w:val="24"/>
              </w:rPr>
            </w:pPr>
            <w:r w:rsidRPr="004C70EC">
              <w:rPr>
                <w:noProof/>
                <w:color w:val="000000" w:themeColor="text1"/>
                <w:szCs w:val="24"/>
              </w:rPr>
              <w:t xml:space="preserve">Article 10 “Access Principles and Security Safeguards”  provides that </w:t>
            </w:r>
            <w:r w:rsidR="00973627" w:rsidRPr="004C70EC">
              <w:rPr>
                <w:noProof/>
                <w:color w:val="000000" w:themeColor="text1"/>
                <w:szCs w:val="24"/>
              </w:rPr>
              <w:t>health</w:t>
            </w:r>
            <w:r w:rsidR="00973627" w:rsidRPr="004C70EC">
              <w:rPr>
                <w:i/>
                <w:iCs/>
                <w:noProof/>
                <w:color w:val="000000" w:themeColor="text1"/>
                <w:szCs w:val="24"/>
              </w:rPr>
              <w:t xml:space="preserve"> </w:t>
            </w:r>
            <w:r w:rsidRPr="004C70EC">
              <w:rPr>
                <w:noProof/>
                <w:color w:val="000000" w:themeColor="text1"/>
                <w:szCs w:val="24"/>
              </w:rPr>
              <w:t>biotechnology strategic projects, high impact biotechnology strategic projects, and any other entities operating infrastructures, facilities and services established or supported in accordance with  this Regulation shall ensure that access to and the operation of their infrastructures, facilities and services complies, where applicable, with Directive (EU) 2022/2555 of the European Parliament and of the Council (NIS2 Directive), including the relevant cybersecurity risk-management and reporting obligations.</w:t>
            </w:r>
          </w:p>
        </w:tc>
        <w:tc>
          <w:tcPr>
            <w:tcW w:w="1858" w:type="pct"/>
          </w:tcPr>
          <w:p w14:paraId="4FF86A8B" w14:textId="77777777" w:rsidR="007966CD" w:rsidRPr="004C70EC" w:rsidRDefault="007966CD">
            <w:pPr>
              <w:jc w:val="left"/>
              <w:rPr>
                <w:noProof/>
                <w:color w:val="000000" w:themeColor="text1"/>
                <w:szCs w:val="24"/>
              </w:rPr>
            </w:pPr>
          </w:p>
        </w:tc>
      </w:tr>
      <w:tr w:rsidR="004A1163" w:rsidRPr="004C70EC" w14:paraId="5FC8D03B" w14:textId="77777777">
        <w:trPr>
          <w:trHeight w:val="300"/>
        </w:trPr>
        <w:tc>
          <w:tcPr>
            <w:tcW w:w="1284" w:type="pct"/>
          </w:tcPr>
          <w:p w14:paraId="3ABC78D5" w14:textId="77777777" w:rsidR="007966CD" w:rsidRPr="004C70EC" w:rsidRDefault="007966CD">
            <w:pPr>
              <w:jc w:val="left"/>
              <w:rPr>
                <w:noProof/>
                <w:color w:val="000000" w:themeColor="text1"/>
                <w:szCs w:val="24"/>
              </w:rPr>
            </w:pPr>
            <w:r w:rsidRPr="004C70EC">
              <w:rPr>
                <w:b/>
                <w:i/>
                <w:noProof/>
                <w:color w:val="000000" w:themeColor="text1"/>
                <w:szCs w:val="24"/>
              </w:rPr>
              <w:t>eIDAS</w:t>
            </w:r>
          </w:p>
        </w:tc>
        <w:tc>
          <w:tcPr>
            <w:tcW w:w="1858" w:type="pct"/>
          </w:tcPr>
          <w:p w14:paraId="6B744B3C" w14:textId="77777777" w:rsidR="007966CD" w:rsidRPr="004C70EC" w:rsidRDefault="007966CD">
            <w:pPr>
              <w:jc w:val="left"/>
              <w:rPr>
                <w:noProof/>
                <w:color w:val="000000" w:themeColor="text1"/>
                <w:szCs w:val="24"/>
              </w:rPr>
            </w:pPr>
            <w:r w:rsidRPr="004C70EC">
              <w:rPr>
                <w:noProof/>
                <w:color w:val="000000" w:themeColor="text1"/>
                <w:szCs w:val="24"/>
              </w:rPr>
              <w:t>Individuals and organi</w:t>
            </w:r>
            <w:r w:rsidR="00854512" w:rsidRPr="004C70EC">
              <w:rPr>
                <w:noProof/>
                <w:color w:val="000000" w:themeColor="text1"/>
                <w:szCs w:val="24"/>
              </w:rPr>
              <w:t>s</w:t>
            </w:r>
            <w:r w:rsidRPr="004C70EC">
              <w:rPr>
                <w:noProof/>
                <w:color w:val="000000" w:themeColor="text1"/>
                <w:szCs w:val="24"/>
              </w:rPr>
              <w:t>ations will use electronic identification in line with EU legislation.</w:t>
            </w:r>
          </w:p>
        </w:tc>
        <w:tc>
          <w:tcPr>
            <w:tcW w:w="1858" w:type="pct"/>
          </w:tcPr>
          <w:p w14:paraId="67771E0D" w14:textId="77777777" w:rsidR="007966CD" w:rsidRPr="004C70EC" w:rsidRDefault="007966CD">
            <w:pPr>
              <w:spacing w:line="259" w:lineRule="auto"/>
              <w:jc w:val="left"/>
              <w:rPr>
                <w:noProof/>
                <w:color w:val="000000" w:themeColor="text1"/>
                <w:szCs w:val="24"/>
              </w:rPr>
            </w:pPr>
          </w:p>
        </w:tc>
      </w:tr>
      <w:tr w:rsidR="004A1163" w:rsidRPr="004C70EC" w14:paraId="6DD32C61" w14:textId="77777777">
        <w:trPr>
          <w:trHeight w:val="300"/>
        </w:trPr>
        <w:tc>
          <w:tcPr>
            <w:tcW w:w="1284" w:type="pct"/>
          </w:tcPr>
          <w:p w14:paraId="35E95CC6" w14:textId="77777777" w:rsidR="007966CD" w:rsidRPr="004C70EC" w:rsidRDefault="007966CD">
            <w:pPr>
              <w:jc w:val="left"/>
              <w:rPr>
                <w:noProof/>
                <w:color w:val="000000" w:themeColor="text1"/>
                <w:szCs w:val="24"/>
                <w:lang w:val="en-US"/>
              </w:rPr>
            </w:pPr>
            <w:r w:rsidRPr="004C70EC">
              <w:rPr>
                <w:b/>
                <w:i/>
                <w:noProof/>
                <w:color w:val="000000" w:themeColor="text1"/>
                <w:szCs w:val="24"/>
                <w:lang w:val="en-US"/>
              </w:rPr>
              <w:t>Single Digital Gateway and IMI</w:t>
            </w:r>
          </w:p>
        </w:tc>
        <w:tc>
          <w:tcPr>
            <w:tcW w:w="1858" w:type="pct"/>
          </w:tcPr>
          <w:p w14:paraId="5498DCA3" w14:textId="77777777" w:rsidR="007966CD" w:rsidRPr="004C70EC" w:rsidRDefault="007966CD">
            <w:pPr>
              <w:jc w:val="left"/>
              <w:rPr>
                <w:noProof/>
                <w:color w:val="000000" w:themeColor="text1"/>
                <w:szCs w:val="24"/>
              </w:rPr>
            </w:pPr>
            <w:r w:rsidRPr="004C70EC">
              <w:rPr>
                <w:noProof/>
                <w:color w:val="000000" w:themeColor="text1"/>
                <w:szCs w:val="24"/>
              </w:rPr>
              <w:t>N.A.</w:t>
            </w:r>
          </w:p>
        </w:tc>
        <w:tc>
          <w:tcPr>
            <w:tcW w:w="1858" w:type="pct"/>
          </w:tcPr>
          <w:p w14:paraId="075548B6" w14:textId="77777777" w:rsidR="007966CD" w:rsidRPr="004C70EC" w:rsidRDefault="007966CD">
            <w:pPr>
              <w:jc w:val="left"/>
              <w:rPr>
                <w:noProof/>
                <w:color w:val="000000" w:themeColor="text1"/>
                <w:szCs w:val="24"/>
              </w:rPr>
            </w:pPr>
          </w:p>
        </w:tc>
      </w:tr>
      <w:tr w:rsidR="004A1163" w:rsidRPr="004C70EC" w14:paraId="123CDCB6" w14:textId="77777777">
        <w:trPr>
          <w:trHeight w:val="300"/>
        </w:trPr>
        <w:tc>
          <w:tcPr>
            <w:tcW w:w="1284" w:type="pct"/>
          </w:tcPr>
          <w:p w14:paraId="595A8344" w14:textId="77777777" w:rsidR="007966CD" w:rsidRPr="004C70EC" w:rsidRDefault="007966CD">
            <w:pPr>
              <w:jc w:val="left"/>
              <w:rPr>
                <w:noProof/>
                <w:color w:val="000000" w:themeColor="text1"/>
                <w:szCs w:val="24"/>
              </w:rPr>
            </w:pPr>
            <w:r w:rsidRPr="004C70EC">
              <w:rPr>
                <w:b/>
                <w:i/>
                <w:noProof/>
                <w:color w:val="000000" w:themeColor="text1"/>
                <w:szCs w:val="24"/>
              </w:rPr>
              <w:t>Others</w:t>
            </w:r>
          </w:p>
        </w:tc>
        <w:tc>
          <w:tcPr>
            <w:tcW w:w="1858" w:type="pct"/>
          </w:tcPr>
          <w:p w14:paraId="006AB5A1" w14:textId="77777777" w:rsidR="007966CD" w:rsidRPr="004C70EC" w:rsidRDefault="007966CD">
            <w:pPr>
              <w:rPr>
                <w:i/>
                <w:iCs/>
                <w:noProof/>
                <w:color w:val="000000" w:themeColor="text1"/>
                <w:szCs w:val="24"/>
                <w:lang w:val="en-IE"/>
              </w:rPr>
            </w:pPr>
          </w:p>
        </w:tc>
        <w:tc>
          <w:tcPr>
            <w:tcW w:w="1858" w:type="pct"/>
          </w:tcPr>
          <w:p w14:paraId="18C68083" w14:textId="77777777" w:rsidR="007966CD" w:rsidRPr="004C70EC" w:rsidRDefault="007966CD">
            <w:pPr>
              <w:rPr>
                <w:i/>
                <w:iCs/>
                <w:noProof/>
                <w:color w:val="000000" w:themeColor="text1"/>
                <w:szCs w:val="24"/>
              </w:rPr>
            </w:pPr>
          </w:p>
        </w:tc>
      </w:tr>
    </w:tbl>
    <w:p w14:paraId="43EBFD28" w14:textId="77777777" w:rsidR="007966CD" w:rsidRPr="004C70EC" w:rsidRDefault="007966CD">
      <w:pPr>
        <w:rPr>
          <w:rFonts w:eastAsia="Times New Roman"/>
          <w:i/>
          <w:noProof/>
          <w:color w:val="000000" w:themeColor="text1"/>
          <w:szCs w:val="24"/>
          <w:lang w:eastAsia="en-GB"/>
        </w:rPr>
      </w:pPr>
    </w:p>
    <w:p w14:paraId="4F5BD138" w14:textId="77777777" w:rsidR="007966CD" w:rsidRPr="004C70EC" w:rsidRDefault="007966CD">
      <w:pPr>
        <w:rPr>
          <w:rFonts w:eastAsia="Times New Roman"/>
          <w:i/>
          <w:noProof/>
          <w:color w:val="000000" w:themeColor="text1"/>
          <w:szCs w:val="24"/>
          <w:lang w:val="en-US" w:eastAsia="en-GB"/>
        </w:rPr>
      </w:pPr>
    </w:p>
    <w:p w14:paraId="10761FDF" w14:textId="77777777" w:rsidR="007966CD" w:rsidRPr="004C70EC" w:rsidRDefault="007966CD">
      <w:pPr>
        <w:rPr>
          <w:rFonts w:eastAsia="Times New Roman"/>
          <w:b/>
          <w:bCs/>
          <w:noProof/>
          <w:color w:val="000000" w:themeColor="text1"/>
          <w:szCs w:val="24"/>
          <w:lang w:eastAsia="en-GB"/>
        </w:rPr>
      </w:pPr>
    </w:p>
    <w:p w14:paraId="1EB16F47" w14:textId="77777777" w:rsidR="007966CD" w:rsidRPr="004C70EC" w:rsidRDefault="007966CD">
      <w:pPr>
        <w:rPr>
          <w:rFonts w:eastAsia="Times New Roman"/>
          <w:b/>
          <w:bCs/>
          <w:noProof/>
          <w:color w:val="000000" w:themeColor="text1"/>
          <w:szCs w:val="24"/>
          <w:lang w:eastAsia="en-GB"/>
        </w:rPr>
      </w:pPr>
    </w:p>
    <w:p w14:paraId="1806B24A" w14:textId="77777777" w:rsidR="00525BA0" w:rsidRPr="00525BA0" w:rsidRDefault="00525BA0" w:rsidP="00525BA0">
      <w:pPr>
        <w:pStyle w:val="ManualHeading2"/>
        <w:rPr>
          <w:rStyle w:val="Emphasis"/>
          <w:b w:val="0"/>
          <w:bCs/>
          <w:i w:val="0"/>
          <w:iCs w:val="0"/>
          <w:noProof/>
        </w:rPr>
      </w:pPr>
      <w:bookmarkStart w:id="86" w:name="_Toc4290C87C151847E1A88E1ED2446D77EA"/>
      <w:r w:rsidRPr="002D7694">
        <w:rPr>
          <w:rStyle w:val="Emphasis"/>
          <w:bCs/>
          <w:i w:val="0"/>
          <w:iCs w:val="0"/>
          <w:noProof/>
        </w:rPr>
        <w:t>4.4.</w:t>
      </w:r>
      <w:r w:rsidRPr="002D7694">
        <w:rPr>
          <w:i/>
          <w:noProof/>
        </w:rPr>
        <w:tab/>
      </w:r>
      <w:r w:rsidRPr="002D7694">
        <w:rPr>
          <w:rStyle w:val="Emphasis"/>
          <w:bCs/>
          <w:i w:val="0"/>
          <w:iCs w:val="0"/>
          <w:noProof/>
        </w:rPr>
        <w:t>Interoperability assessment</w:t>
      </w:r>
      <w:bookmarkEnd w:id="86"/>
    </w:p>
    <w:p w14:paraId="53F27CE6" w14:textId="77777777" w:rsidR="007966CD" w:rsidRPr="004C70EC" w:rsidRDefault="007966CD">
      <w:pPr>
        <w:rPr>
          <w:rFonts w:eastAsia="Times New Roman"/>
          <w:i/>
          <w:noProof/>
          <w:color w:val="000000" w:themeColor="text1"/>
          <w:szCs w:val="24"/>
          <w:lang w:val="en-US" w:eastAsia="en-GB"/>
        </w:rPr>
      </w:pPr>
      <w:r w:rsidRPr="004C70EC">
        <w:rPr>
          <w:rFonts w:eastAsia="Times New Roman"/>
          <w:i/>
          <w:noProof/>
          <w:color w:val="000000" w:themeColor="text1"/>
          <w:szCs w:val="24"/>
          <w:lang w:val="en-US" w:eastAsia="en-GB"/>
        </w:rPr>
        <w:t>High-level description of the digital public service(s) affected by the requirements</w:t>
      </w:r>
    </w:p>
    <w:tbl>
      <w:tblPr>
        <w:tblStyle w:val="TableGrid2"/>
        <w:tblW w:w="10173" w:type="dxa"/>
        <w:tblLook w:val="04A0" w:firstRow="1" w:lastRow="0" w:firstColumn="1" w:lastColumn="0" w:noHBand="0" w:noVBand="1"/>
      </w:tblPr>
      <w:tblGrid>
        <w:gridCol w:w="1982"/>
        <w:gridCol w:w="1696"/>
        <w:gridCol w:w="1817"/>
        <w:gridCol w:w="2410"/>
        <w:gridCol w:w="2268"/>
      </w:tblGrid>
      <w:tr w:rsidR="004A1163" w:rsidRPr="004C70EC" w14:paraId="6C4FD598" w14:textId="77777777" w:rsidTr="0D02C688">
        <w:trPr>
          <w:trHeight w:val="300"/>
        </w:trPr>
        <w:tc>
          <w:tcPr>
            <w:tcW w:w="1982" w:type="dxa"/>
          </w:tcPr>
          <w:p w14:paraId="18AE705A" w14:textId="77777777" w:rsidR="007966CD" w:rsidRPr="004C70EC" w:rsidRDefault="007966CD">
            <w:pPr>
              <w:spacing w:before="0" w:after="0"/>
              <w:jc w:val="left"/>
              <w:rPr>
                <w:b/>
                <w:bCs/>
                <w:noProof/>
                <w:color w:val="000000" w:themeColor="text1"/>
                <w:szCs w:val="24"/>
                <w:lang w:val="en-US" w:eastAsia="fr-BE"/>
              </w:rPr>
            </w:pPr>
            <w:r w:rsidRPr="004C70EC">
              <w:rPr>
                <w:b/>
                <w:bCs/>
                <w:noProof/>
                <w:color w:val="000000" w:themeColor="text1"/>
                <w:szCs w:val="24"/>
              </w:rPr>
              <w:t>Digital public service or category of digital public services</w:t>
            </w:r>
          </w:p>
        </w:tc>
        <w:tc>
          <w:tcPr>
            <w:tcW w:w="1696" w:type="dxa"/>
          </w:tcPr>
          <w:p w14:paraId="7718FCA4" w14:textId="77777777" w:rsidR="007966CD" w:rsidRPr="004C70EC" w:rsidRDefault="007966CD">
            <w:pPr>
              <w:jc w:val="left"/>
              <w:rPr>
                <w:b/>
                <w:bCs/>
                <w:noProof/>
                <w:color w:val="000000" w:themeColor="text1"/>
                <w:szCs w:val="24"/>
              </w:rPr>
            </w:pPr>
            <w:r w:rsidRPr="004C70EC">
              <w:rPr>
                <w:b/>
                <w:bCs/>
                <w:noProof/>
                <w:color w:val="000000" w:themeColor="text1"/>
                <w:szCs w:val="24"/>
              </w:rPr>
              <w:t>Description</w:t>
            </w:r>
          </w:p>
        </w:tc>
        <w:tc>
          <w:tcPr>
            <w:tcW w:w="1817" w:type="dxa"/>
          </w:tcPr>
          <w:p w14:paraId="14A11884" w14:textId="77777777" w:rsidR="007966CD" w:rsidRPr="004C70EC" w:rsidRDefault="007966CD">
            <w:pPr>
              <w:jc w:val="left"/>
              <w:rPr>
                <w:b/>
                <w:bCs/>
                <w:noProof/>
                <w:color w:val="000000" w:themeColor="text1"/>
                <w:szCs w:val="24"/>
              </w:rPr>
            </w:pPr>
            <w:r w:rsidRPr="004C70EC">
              <w:rPr>
                <w:b/>
                <w:bCs/>
                <w:noProof/>
                <w:color w:val="000000" w:themeColor="text1"/>
                <w:szCs w:val="24"/>
              </w:rPr>
              <w:t>Reference(s) to the requirement(s)</w:t>
            </w:r>
          </w:p>
        </w:tc>
        <w:tc>
          <w:tcPr>
            <w:tcW w:w="2410" w:type="dxa"/>
            <w:shd w:val="clear" w:color="auto" w:fill="7F7F7F" w:themeFill="text1" w:themeFillTint="80"/>
          </w:tcPr>
          <w:p w14:paraId="03363A07" w14:textId="77777777" w:rsidR="007966CD" w:rsidRPr="004C70EC" w:rsidRDefault="007966CD">
            <w:pPr>
              <w:jc w:val="left"/>
              <w:rPr>
                <w:b/>
                <w:bCs/>
                <w:noProof/>
                <w:color w:val="000000" w:themeColor="text1"/>
                <w:szCs w:val="24"/>
              </w:rPr>
            </w:pPr>
            <w:r w:rsidRPr="004C70EC">
              <w:rPr>
                <w:b/>
                <w:bCs/>
                <w:noProof/>
                <w:color w:val="000000" w:themeColor="text1"/>
                <w:szCs w:val="24"/>
              </w:rPr>
              <w:t xml:space="preserve">Interoperable Europe Solution(s) </w:t>
            </w:r>
          </w:p>
          <w:p w14:paraId="525CC940" w14:textId="77777777" w:rsidR="007966CD" w:rsidRPr="004C70EC" w:rsidRDefault="007966CD">
            <w:pPr>
              <w:jc w:val="left"/>
              <w:rPr>
                <w:b/>
                <w:bCs/>
                <w:noProof/>
                <w:color w:val="000000" w:themeColor="text1"/>
                <w:szCs w:val="24"/>
              </w:rPr>
            </w:pPr>
            <w:r w:rsidRPr="004C70EC">
              <w:rPr>
                <w:b/>
                <w:bCs/>
                <w:noProof/>
                <w:color w:val="000000" w:themeColor="text1"/>
                <w:szCs w:val="24"/>
              </w:rPr>
              <w:t>(NOT APPLICABLE)</w:t>
            </w:r>
          </w:p>
        </w:tc>
        <w:tc>
          <w:tcPr>
            <w:tcW w:w="2268" w:type="dxa"/>
          </w:tcPr>
          <w:p w14:paraId="4CA18A9F" w14:textId="77777777" w:rsidR="007966CD" w:rsidRPr="004C70EC" w:rsidRDefault="007966CD">
            <w:pPr>
              <w:jc w:val="left"/>
              <w:rPr>
                <w:b/>
                <w:bCs/>
                <w:noProof/>
                <w:color w:val="000000" w:themeColor="text1"/>
                <w:szCs w:val="24"/>
              </w:rPr>
            </w:pPr>
            <w:r w:rsidRPr="004C70EC">
              <w:rPr>
                <w:b/>
                <w:bCs/>
                <w:noProof/>
                <w:color w:val="000000" w:themeColor="text1"/>
                <w:szCs w:val="24"/>
              </w:rPr>
              <w:t xml:space="preserve">Other interoperability solution(s) </w:t>
            </w:r>
          </w:p>
        </w:tc>
      </w:tr>
      <w:tr w:rsidR="004A1163" w:rsidRPr="004C70EC" w14:paraId="2F0B2961" w14:textId="77777777" w:rsidTr="0D02C688">
        <w:trPr>
          <w:trHeight w:val="300"/>
        </w:trPr>
        <w:tc>
          <w:tcPr>
            <w:tcW w:w="1982" w:type="dxa"/>
          </w:tcPr>
          <w:p w14:paraId="4DC20E45" w14:textId="77777777" w:rsidR="007966CD" w:rsidRPr="004C70EC" w:rsidRDefault="007966CD">
            <w:pPr>
              <w:jc w:val="left"/>
              <w:rPr>
                <w:noProof/>
                <w:color w:val="000000" w:themeColor="text1"/>
                <w:szCs w:val="24"/>
              </w:rPr>
            </w:pPr>
            <w:r w:rsidRPr="004C70EC">
              <w:rPr>
                <w:noProof/>
                <w:color w:val="000000" w:themeColor="text1"/>
                <w:szCs w:val="24"/>
              </w:rPr>
              <w:t>Biotechnology Data Quality Accelerator</w:t>
            </w:r>
          </w:p>
        </w:tc>
        <w:tc>
          <w:tcPr>
            <w:tcW w:w="1696" w:type="dxa"/>
          </w:tcPr>
          <w:p w14:paraId="28AA5631" w14:textId="77777777" w:rsidR="007966CD" w:rsidRPr="004C70EC" w:rsidRDefault="007966CD">
            <w:pPr>
              <w:jc w:val="left"/>
              <w:rPr>
                <w:noProof/>
                <w:color w:val="000000" w:themeColor="text1"/>
                <w:szCs w:val="24"/>
              </w:rPr>
            </w:pPr>
            <w:r w:rsidRPr="004C70EC">
              <w:rPr>
                <w:noProof/>
                <w:color w:val="000000" w:themeColor="text1"/>
                <w:szCs w:val="24"/>
              </w:rPr>
              <w:t>Biotechnology Data Quality Accelerator, aimed at improving data quality at source, enhancing interoperability and annotation, and fostering the creation, curation, maintenance and use of shared datasets for the development and refinement of AI systems and models in health biotechnology.</w:t>
            </w:r>
          </w:p>
        </w:tc>
        <w:tc>
          <w:tcPr>
            <w:tcW w:w="1817" w:type="dxa"/>
          </w:tcPr>
          <w:p w14:paraId="29B96993" w14:textId="77777777" w:rsidR="007966CD" w:rsidRPr="004C70EC" w:rsidRDefault="007966CD">
            <w:pPr>
              <w:jc w:val="center"/>
              <w:rPr>
                <w:i/>
                <w:noProof/>
                <w:color w:val="000000" w:themeColor="text1"/>
                <w:szCs w:val="24"/>
                <w:lang w:val="en-IE"/>
              </w:rPr>
            </w:pPr>
            <w:r w:rsidRPr="004C70EC">
              <w:rPr>
                <w:i/>
                <w:noProof/>
                <w:color w:val="000000" w:themeColor="text1"/>
                <w:szCs w:val="24"/>
                <w:lang w:val="en-IE"/>
              </w:rPr>
              <w:t>Article [</w:t>
            </w:r>
            <w:r w:rsidR="31847728" w:rsidRPr="004C70EC">
              <w:rPr>
                <w:i/>
                <w:iCs/>
                <w:noProof/>
                <w:color w:val="000000" w:themeColor="text1"/>
                <w:szCs w:val="24"/>
                <w:lang w:val="en-IE"/>
              </w:rPr>
              <w:t>3</w:t>
            </w:r>
            <w:r w:rsidR="2DC52E44" w:rsidRPr="004C70EC">
              <w:rPr>
                <w:i/>
                <w:iCs/>
                <w:noProof/>
                <w:color w:val="000000" w:themeColor="text1"/>
                <w:szCs w:val="24"/>
                <w:lang w:val="en-IE"/>
              </w:rPr>
              <w:t>3</w:t>
            </w:r>
            <w:r w:rsidRPr="004C70EC">
              <w:rPr>
                <w:i/>
                <w:noProof/>
                <w:color w:val="000000" w:themeColor="text1"/>
                <w:szCs w:val="24"/>
                <w:lang w:val="en-IE"/>
              </w:rPr>
              <w:t xml:space="preserve">] Biotechnology Data Quality Accelerator </w:t>
            </w:r>
          </w:p>
        </w:tc>
        <w:tc>
          <w:tcPr>
            <w:tcW w:w="2410" w:type="dxa"/>
            <w:shd w:val="clear" w:color="auto" w:fill="7F7F7F" w:themeFill="text1" w:themeFillTint="80"/>
          </w:tcPr>
          <w:p w14:paraId="4913E2BA" w14:textId="77777777" w:rsidR="007966CD" w:rsidRPr="004C70EC" w:rsidRDefault="007966CD">
            <w:pPr>
              <w:jc w:val="left"/>
              <w:rPr>
                <w:noProof/>
                <w:color w:val="000000" w:themeColor="text1"/>
                <w:szCs w:val="24"/>
              </w:rPr>
            </w:pPr>
            <w:r w:rsidRPr="004C70EC">
              <w:rPr>
                <w:noProof/>
                <w:color w:val="000000" w:themeColor="text1"/>
                <w:szCs w:val="24"/>
              </w:rPr>
              <w:t>//</w:t>
            </w:r>
          </w:p>
        </w:tc>
        <w:tc>
          <w:tcPr>
            <w:tcW w:w="2268" w:type="dxa"/>
          </w:tcPr>
          <w:p w14:paraId="1AEDC780" w14:textId="77777777" w:rsidR="007966CD" w:rsidRPr="004C70EC" w:rsidRDefault="007966CD">
            <w:pPr>
              <w:jc w:val="left"/>
              <w:rPr>
                <w:noProof/>
                <w:color w:val="000000" w:themeColor="text1"/>
                <w:szCs w:val="24"/>
                <w:lang w:val="en-IE"/>
              </w:rPr>
            </w:pPr>
          </w:p>
        </w:tc>
      </w:tr>
      <w:tr w:rsidR="004A1163" w:rsidRPr="004C70EC" w14:paraId="5A73853F" w14:textId="77777777" w:rsidTr="0D02C688">
        <w:trPr>
          <w:trHeight w:val="300"/>
        </w:trPr>
        <w:tc>
          <w:tcPr>
            <w:tcW w:w="1982" w:type="dxa"/>
          </w:tcPr>
          <w:p w14:paraId="5A3F4AB3" w14:textId="77777777" w:rsidR="007966CD" w:rsidRPr="004C70EC" w:rsidRDefault="007966CD">
            <w:pPr>
              <w:jc w:val="left"/>
              <w:rPr>
                <w:rFonts w:eastAsia="Calibri"/>
                <w:noProof/>
                <w:color w:val="000000" w:themeColor="text1"/>
                <w:szCs w:val="24"/>
                <w:lang w:val="en-US"/>
              </w:rPr>
            </w:pPr>
            <w:r w:rsidRPr="004C70EC">
              <w:rPr>
                <w:rFonts w:eastAsia="Calibri"/>
                <w:noProof/>
                <w:color w:val="000000" w:themeColor="text1"/>
                <w:szCs w:val="24"/>
                <w:lang w:val="en-US"/>
              </w:rPr>
              <w:t xml:space="preserve">Category of digital public services according to </w:t>
            </w:r>
            <w:hyperlink r:id="rId32" w:history="1">
              <w:r w:rsidRPr="004C70EC">
                <w:rPr>
                  <w:rFonts w:eastAsia="Calibri"/>
                  <w:noProof/>
                  <w:color w:val="000000" w:themeColor="text1"/>
                  <w:szCs w:val="24"/>
                  <w:u w:val="single"/>
                  <w:lang w:val="en-US"/>
                </w:rPr>
                <w:t>COFOG</w:t>
              </w:r>
            </w:hyperlink>
            <w:r w:rsidRPr="004C70EC">
              <w:rPr>
                <w:rFonts w:eastAsia="Calibri"/>
                <w:noProof/>
                <w:color w:val="000000" w:themeColor="text1"/>
                <w:szCs w:val="24"/>
                <w:lang w:val="en-US"/>
              </w:rPr>
              <w:t xml:space="preserve"> #1</w:t>
            </w:r>
          </w:p>
        </w:tc>
        <w:tc>
          <w:tcPr>
            <w:tcW w:w="1696" w:type="dxa"/>
          </w:tcPr>
          <w:p w14:paraId="49219469" w14:textId="77777777" w:rsidR="007966CD" w:rsidRPr="004C70EC" w:rsidRDefault="007966CD">
            <w:pPr>
              <w:jc w:val="left"/>
              <w:rPr>
                <w:noProof/>
                <w:color w:val="000000" w:themeColor="text1"/>
                <w:szCs w:val="24"/>
              </w:rPr>
            </w:pPr>
          </w:p>
        </w:tc>
        <w:tc>
          <w:tcPr>
            <w:tcW w:w="1817" w:type="dxa"/>
          </w:tcPr>
          <w:p w14:paraId="284762C0" w14:textId="77777777" w:rsidR="007966CD" w:rsidRPr="004C70EC" w:rsidRDefault="007966CD">
            <w:pPr>
              <w:jc w:val="left"/>
              <w:rPr>
                <w:noProof/>
                <w:color w:val="000000" w:themeColor="text1"/>
                <w:szCs w:val="24"/>
              </w:rPr>
            </w:pPr>
          </w:p>
        </w:tc>
        <w:tc>
          <w:tcPr>
            <w:tcW w:w="2410" w:type="dxa"/>
            <w:shd w:val="clear" w:color="auto" w:fill="7F7F7F" w:themeFill="text1" w:themeFillTint="80"/>
          </w:tcPr>
          <w:p w14:paraId="55A43B16" w14:textId="77777777" w:rsidR="007966CD" w:rsidRPr="004C70EC" w:rsidRDefault="007966CD">
            <w:pPr>
              <w:jc w:val="left"/>
              <w:rPr>
                <w:noProof/>
                <w:color w:val="000000" w:themeColor="text1"/>
                <w:szCs w:val="24"/>
              </w:rPr>
            </w:pPr>
            <w:r w:rsidRPr="004C70EC">
              <w:rPr>
                <w:noProof/>
                <w:color w:val="000000" w:themeColor="text1"/>
                <w:szCs w:val="24"/>
              </w:rPr>
              <w:t>//</w:t>
            </w:r>
          </w:p>
        </w:tc>
        <w:tc>
          <w:tcPr>
            <w:tcW w:w="2268" w:type="dxa"/>
          </w:tcPr>
          <w:p w14:paraId="187BA4F2" w14:textId="77777777" w:rsidR="007966CD" w:rsidRPr="004C70EC" w:rsidRDefault="007966CD">
            <w:pPr>
              <w:jc w:val="left"/>
              <w:rPr>
                <w:noProof/>
                <w:color w:val="000000" w:themeColor="text1"/>
                <w:szCs w:val="24"/>
              </w:rPr>
            </w:pPr>
          </w:p>
        </w:tc>
      </w:tr>
    </w:tbl>
    <w:p w14:paraId="1CCB979B" w14:textId="77777777" w:rsidR="007966CD" w:rsidRPr="004C70EC" w:rsidRDefault="007966CD">
      <w:pPr>
        <w:rPr>
          <w:rFonts w:eastAsia="Times New Roman"/>
          <w:i/>
          <w:iCs/>
          <w:noProof/>
          <w:color w:val="000000" w:themeColor="text1"/>
          <w:szCs w:val="24"/>
          <w:lang w:val="en-US" w:eastAsia="en-GB"/>
        </w:rPr>
      </w:pPr>
    </w:p>
    <w:p w14:paraId="4983E75B" w14:textId="77777777" w:rsidR="007966CD" w:rsidRPr="004C70EC" w:rsidRDefault="007966CD">
      <w:pPr>
        <w:spacing w:before="0" w:after="0"/>
        <w:jc w:val="left"/>
        <w:rPr>
          <w:rFonts w:eastAsia="Times New Roman"/>
          <w:i/>
          <w:iCs/>
          <w:noProof/>
          <w:color w:val="000000" w:themeColor="text1"/>
          <w:szCs w:val="24"/>
          <w:lang w:val="en-US" w:eastAsia="en-GB"/>
        </w:rPr>
      </w:pPr>
      <w:r w:rsidRPr="004C70EC">
        <w:rPr>
          <w:rFonts w:eastAsia="Times New Roman"/>
          <w:i/>
          <w:iCs/>
          <w:noProof/>
          <w:color w:val="000000" w:themeColor="text1"/>
          <w:szCs w:val="24"/>
          <w:lang w:val="en-US" w:eastAsia="en-GB"/>
        </w:rPr>
        <w:br w:type="page"/>
      </w:r>
    </w:p>
    <w:p w14:paraId="644F63ED" w14:textId="77777777" w:rsidR="007966CD" w:rsidRPr="004C70EC" w:rsidRDefault="007966CD">
      <w:pPr>
        <w:rPr>
          <w:rFonts w:eastAsia="Times New Roman"/>
          <w:b/>
          <w:bCs/>
          <w:noProof/>
          <w:color w:val="000000" w:themeColor="text1"/>
          <w:szCs w:val="24"/>
          <w:u w:val="single"/>
          <w:lang w:eastAsia="en-GB"/>
        </w:rPr>
      </w:pPr>
      <w:r w:rsidRPr="004C70EC">
        <w:rPr>
          <w:rFonts w:eastAsia="Times New Roman"/>
          <w:i/>
          <w:iCs/>
          <w:noProof/>
          <w:color w:val="000000" w:themeColor="text1"/>
          <w:szCs w:val="24"/>
          <w:lang w:val="en-US" w:eastAsia="en-GB"/>
        </w:rPr>
        <w:t>Impact of the requirement(s) as per digital public service on cross-border interoperability</w:t>
      </w:r>
    </w:p>
    <w:p w14:paraId="54B95B14" w14:textId="77777777" w:rsidR="007966CD" w:rsidRPr="004C70EC" w:rsidRDefault="007966CD">
      <w:pPr>
        <w:rPr>
          <w:rFonts w:eastAsia="Times New Roman"/>
          <w:noProof/>
          <w:color w:val="000000" w:themeColor="text1"/>
          <w:szCs w:val="24"/>
          <w:u w:val="single"/>
          <w:lang w:val="en-US" w:eastAsia="en-GB"/>
        </w:rPr>
      </w:pPr>
      <w:r w:rsidRPr="004C70EC">
        <w:rPr>
          <w:rFonts w:eastAsia="Times New Roman"/>
          <w:b/>
          <w:bCs/>
          <w:noProof/>
          <w:color w:val="000000" w:themeColor="text1"/>
          <w:szCs w:val="24"/>
          <w:u w:val="single"/>
          <w:lang w:val="en-US" w:eastAsia="en-GB"/>
        </w:rPr>
        <w:t xml:space="preserve">Digital public service #1 </w:t>
      </w:r>
      <w:r w:rsidRPr="004C70EC">
        <w:rPr>
          <w:rFonts w:eastAsia="Times New Roman"/>
          <w:noProof/>
          <w:color w:val="000000" w:themeColor="text1"/>
          <w:szCs w:val="24"/>
          <w:u w:val="single"/>
          <w:lang w:val="en-US" w:eastAsia="en-GB"/>
        </w:rPr>
        <w:t>Biotechnology Data Quality Accelerator</w:t>
      </w:r>
    </w:p>
    <w:tbl>
      <w:tblPr>
        <w:tblStyle w:val="TableGrid2"/>
        <w:tblW w:w="5000" w:type="pct"/>
        <w:tblLook w:val="04A0" w:firstRow="1" w:lastRow="0" w:firstColumn="1" w:lastColumn="0" w:noHBand="0" w:noVBand="1"/>
      </w:tblPr>
      <w:tblGrid>
        <w:gridCol w:w="2543"/>
        <w:gridCol w:w="2967"/>
        <w:gridCol w:w="3779"/>
      </w:tblGrid>
      <w:tr w:rsidR="004A1163" w:rsidRPr="004C70EC" w14:paraId="125432E5" w14:textId="77777777">
        <w:tc>
          <w:tcPr>
            <w:tcW w:w="1369" w:type="pct"/>
          </w:tcPr>
          <w:p w14:paraId="65E80241" w14:textId="77777777" w:rsidR="007966CD" w:rsidRPr="004C70EC" w:rsidRDefault="007966CD">
            <w:pPr>
              <w:jc w:val="left"/>
              <w:rPr>
                <w:b/>
                <w:bCs/>
                <w:noProof/>
                <w:color w:val="000000" w:themeColor="text1"/>
                <w:szCs w:val="24"/>
              </w:rPr>
            </w:pPr>
            <w:r w:rsidRPr="004C70EC">
              <w:rPr>
                <w:b/>
                <w:bCs/>
                <w:noProof/>
                <w:color w:val="000000" w:themeColor="text1"/>
                <w:szCs w:val="24"/>
              </w:rPr>
              <w:t>Assessment</w:t>
            </w:r>
          </w:p>
        </w:tc>
        <w:tc>
          <w:tcPr>
            <w:tcW w:w="1597" w:type="pct"/>
          </w:tcPr>
          <w:p w14:paraId="10AB5859" w14:textId="77777777" w:rsidR="007966CD" w:rsidRPr="004C70EC" w:rsidRDefault="007966CD">
            <w:pPr>
              <w:jc w:val="left"/>
              <w:rPr>
                <w:b/>
                <w:bCs/>
                <w:noProof/>
                <w:color w:val="000000" w:themeColor="text1"/>
                <w:szCs w:val="24"/>
              </w:rPr>
            </w:pPr>
            <w:r w:rsidRPr="004C70EC">
              <w:rPr>
                <w:b/>
                <w:bCs/>
                <w:noProof/>
                <w:color w:val="000000" w:themeColor="text1"/>
                <w:szCs w:val="24"/>
              </w:rPr>
              <w:t>Measure(s)</w:t>
            </w:r>
          </w:p>
        </w:tc>
        <w:tc>
          <w:tcPr>
            <w:tcW w:w="2034" w:type="pct"/>
          </w:tcPr>
          <w:p w14:paraId="186914EB" w14:textId="77777777" w:rsidR="007966CD" w:rsidRPr="004C70EC" w:rsidRDefault="007966CD">
            <w:pPr>
              <w:jc w:val="left"/>
              <w:rPr>
                <w:b/>
                <w:bCs/>
                <w:noProof/>
                <w:color w:val="000000" w:themeColor="text1"/>
                <w:szCs w:val="24"/>
              </w:rPr>
            </w:pPr>
            <w:r w:rsidRPr="004C70EC">
              <w:rPr>
                <w:b/>
                <w:bCs/>
                <w:noProof/>
                <w:color w:val="000000" w:themeColor="text1"/>
                <w:szCs w:val="24"/>
              </w:rPr>
              <w:t>Potential remaining barriers (if applicable)</w:t>
            </w:r>
          </w:p>
        </w:tc>
      </w:tr>
      <w:tr w:rsidR="004A1163" w:rsidRPr="004C70EC" w14:paraId="5DC2CCEC" w14:textId="77777777">
        <w:tc>
          <w:tcPr>
            <w:tcW w:w="1369" w:type="pct"/>
          </w:tcPr>
          <w:p w14:paraId="43314585" w14:textId="77777777" w:rsidR="007966CD" w:rsidRPr="004C70EC" w:rsidRDefault="007966CD">
            <w:pPr>
              <w:spacing w:before="0"/>
              <w:jc w:val="left"/>
              <w:rPr>
                <w:rFonts w:eastAsia="Yu Mincho"/>
                <w:b/>
                <w:bCs/>
                <w:noProof/>
                <w:color w:val="000000" w:themeColor="text1"/>
                <w:szCs w:val="24"/>
                <w:lang w:val="en-US"/>
              </w:rPr>
            </w:pPr>
            <w:r w:rsidRPr="004C70EC">
              <w:rPr>
                <w:rFonts w:eastAsia="Yu Mincho"/>
                <w:b/>
                <w:bCs/>
                <w:noProof/>
                <w:color w:val="000000" w:themeColor="text1"/>
                <w:szCs w:val="24"/>
                <w:lang w:val="en-US"/>
              </w:rPr>
              <w:t xml:space="preserve">Alignment with existing digital and sectorial policies </w:t>
            </w:r>
          </w:p>
          <w:p w14:paraId="5444E059" w14:textId="77777777" w:rsidR="007966CD" w:rsidRPr="004C70EC" w:rsidRDefault="007966CD">
            <w:pPr>
              <w:spacing w:before="0"/>
              <w:jc w:val="left"/>
              <w:rPr>
                <w:b/>
                <w:bCs/>
                <w:noProof/>
                <w:color w:val="000000" w:themeColor="text1"/>
                <w:szCs w:val="24"/>
                <w:lang w:val="en-US"/>
              </w:rPr>
            </w:pPr>
            <w:r w:rsidRPr="004C70EC">
              <w:rPr>
                <w:rFonts w:eastAsia="Yu Mincho"/>
                <w:b/>
                <w:bCs/>
                <w:noProof/>
                <w:color w:val="000000" w:themeColor="text1"/>
                <w:szCs w:val="24"/>
                <w:lang w:val="en-US"/>
              </w:rPr>
              <w:t>Please list the applicable digital and sectorial policies identified</w:t>
            </w:r>
          </w:p>
        </w:tc>
        <w:tc>
          <w:tcPr>
            <w:tcW w:w="1597" w:type="pct"/>
          </w:tcPr>
          <w:p w14:paraId="715F98C9" w14:textId="77777777" w:rsidR="007966CD" w:rsidRPr="004C70EC" w:rsidRDefault="007966CD">
            <w:pPr>
              <w:spacing w:before="0"/>
              <w:jc w:val="left"/>
              <w:rPr>
                <w:noProof/>
                <w:color w:val="000000" w:themeColor="text1"/>
                <w:szCs w:val="24"/>
              </w:rPr>
            </w:pPr>
            <w:r w:rsidRPr="004C70EC">
              <w:rPr>
                <w:noProof/>
                <w:color w:val="000000" w:themeColor="text1"/>
                <w:szCs w:val="24"/>
              </w:rPr>
              <w:t>The Biotechnology Data Quality Accelerator will operate in accordance with applicable Union legislation on data governance, ethics and fundamental rights, including Regulation (EU) 2025/327 [European Health Data Space], Regulation (EU) 2016/679 [General Data Protection Regulation].</w:t>
            </w:r>
          </w:p>
        </w:tc>
        <w:tc>
          <w:tcPr>
            <w:tcW w:w="2034" w:type="pct"/>
          </w:tcPr>
          <w:p w14:paraId="7B754AC8" w14:textId="77777777" w:rsidR="007966CD" w:rsidRPr="004C70EC" w:rsidRDefault="007966CD">
            <w:pPr>
              <w:tabs>
                <w:tab w:val="left" w:pos="5678"/>
              </w:tabs>
              <w:spacing w:before="0" w:line="259" w:lineRule="auto"/>
              <w:jc w:val="left"/>
              <w:rPr>
                <w:i/>
                <w:iCs/>
                <w:noProof/>
                <w:color w:val="000000" w:themeColor="text1"/>
                <w:szCs w:val="24"/>
              </w:rPr>
            </w:pPr>
            <w:r w:rsidRPr="004C70EC">
              <w:rPr>
                <w:i/>
                <w:iCs/>
                <w:noProof/>
                <w:color w:val="000000" w:themeColor="text1"/>
                <w:szCs w:val="24"/>
              </w:rPr>
              <w:t>N.A.</w:t>
            </w:r>
          </w:p>
        </w:tc>
      </w:tr>
      <w:tr w:rsidR="004A1163" w:rsidRPr="004C70EC" w14:paraId="054BCDE9" w14:textId="77777777">
        <w:tc>
          <w:tcPr>
            <w:tcW w:w="1369" w:type="pct"/>
          </w:tcPr>
          <w:p w14:paraId="153C53BA" w14:textId="77777777" w:rsidR="007966CD" w:rsidRPr="004C70EC" w:rsidRDefault="007966CD">
            <w:pPr>
              <w:jc w:val="left"/>
              <w:rPr>
                <w:rFonts w:eastAsia="Yu Mincho"/>
                <w:b/>
                <w:bCs/>
                <w:noProof/>
                <w:color w:val="000000" w:themeColor="text1"/>
                <w:szCs w:val="24"/>
                <w:lang w:val="en-US"/>
              </w:rPr>
            </w:pPr>
            <w:r w:rsidRPr="004C70EC">
              <w:rPr>
                <w:rFonts w:eastAsia="Yu Mincho"/>
                <w:b/>
                <w:bCs/>
                <w:noProof/>
                <w:color w:val="000000" w:themeColor="text1"/>
                <w:szCs w:val="24"/>
              </w:rPr>
              <w:t>O</w:t>
            </w:r>
            <w:r w:rsidRPr="004C70EC">
              <w:rPr>
                <w:rFonts w:eastAsia="Yu Mincho"/>
                <w:b/>
                <w:bCs/>
                <w:noProof/>
                <w:color w:val="000000" w:themeColor="text1"/>
                <w:szCs w:val="24"/>
                <w:lang w:val="en-US"/>
              </w:rPr>
              <w:t>rganisational measures for a smooth cross-border digital public services delivery</w:t>
            </w:r>
          </w:p>
          <w:p w14:paraId="4664BFD1" w14:textId="77777777" w:rsidR="007966CD" w:rsidRPr="004C70EC" w:rsidRDefault="007966CD">
            <w:pPr>
              <w:jc w:val="left"/>
              <w:rPr>
                <w:b/>
                <w:bCs/>
                <w:noProof/>
                <w:color w:val="000000" w:themeColor="text1"/>
                <w:szCs w:val="24"/>
              </w:rPr>
            </w:pPr>
            <w:r w:rsidRPr="004C70EC">
              <w:rPr>
                <w:b/>
                <w:noProof/>
                <w:color w:val="000000" w:themeColor="text1"/>
                <w:szCs w:val="24"/>
              </w:rPr>
              <w:t>Please list the governance measures foreseen</w:t>
            </w:r>
          </w:p>
        </w:tc>
        <w:tc>
          <w:tcPr>
            <w:tcW w:w="1597" w:type="pct"/>
          </w:tcPr>
          <w:p w14:paraId="221F8613" w14:textId="77777777" w:rsidR="007966CD" w:rsidRPr="004C70EC" w:rsidRDefault="007966CD">
            <w:pPr>
              <w:spacing w:beforeAutospacing="1" w:after="0" w:line="276" w:lineRule="auto"/>
              <w:rPr>
                <w:noProof/>
                <w:color w:val="000000" w:themeColor="text1"/>
                <w:szCs w:val="24"/>
              </w:rPr>
            </w:pPr>
            <w:r w:rsidRPr="004C70EC">
              <w:rPr>
                <w:noProof/>
                <w:color w:val="000000" w:themeColor="text1"/>
                <w:szCs w:val="24"/>
              </w:rPr>
              <w:t>It will support, where appropriate, the integration of these datasets into Union infrastructures</w:t>
            </w:r>
            <w:r w:rsidRPr="004C70EC">
              <w:rPr>
                <w:b/>
                <w:bCs/>
                <w:noProof/>
                <w:color w:val="000000" w:themeColor="text1"/>
                <w:szCs w:val="24"/>
              </w:rPr>
              <w:t>,</w:t>
            </w:r>
            <w:r w:rsidRPr="004C70EC">
              <w:rPr>
                <w:noProof/>
                <w:color w:val="000000" w:themeColor="text1"/>
                <w:szCs w:val="24"/>
              </w:rPr>
              <w:t xml:space="preserve"> including the European Health Data Space, European Research Area data spaces, or other, including the infrastructures operated by high impact </w:t>
            </w:r>
            <w:r w:rsidR="00973627" w:rsidRPr="004C70EC">
              <w:rPr>
                <w:noProof/>
                <w:color w:val="000000" w:themeColor="text1"/>
                <w:szCs w:val="24"/>
              </w:rPr>
              <w:t>health</w:t>
            </w:r>
            <w:r w:rsidR="00973627" w:rsidRPr="004C70EC">
              <w:rPr>
                <w:i/>
                <w:iCs/>
                <w:noProof/>
                <w:color w:val="000000" w:themeColor="text1"/>
                <w:szCs w:val="24"/>
              </w:rPr>
              <w:t xml:space="preserve"> </w:t>
            </w:r>
            <w:r w:rsidRPr="004C70EC">
              <w:rPr>
                <w:noProof/>
                <w:color w:val="000000" w:themeColor="text1"/>
                <w:szCs w:val="24"/>
              </w:rPr>
              <w:t>biotechnology strategic projects.</w:t>
            </w:r>
          </w:p>
          <w:p w14:paraId="2E6755E1" w14:textId="77777777" w:rsidR="007966CD" w:rsidRPr="004C70EC" w:rsidRDefault="007966CD">
            <w:pPr>
              <w:spacing w:before="100" w:beforeAutospacing="1" w:after="0" w:line="276" w:lineRule="auto"/>
              <w:rPr>
                <w:noProof/>
                <w:color w:val="000000" w:themeColor="text1"/>
                <w:szCs w:val="24"/>
              </w:rPr>
            </w:pPr>
          </w:p>
        </w:tc>
        <w:tc>
          <w:tcPr>
            <w:tcW w:w="2034" w:type="pct"/>
          </w:tcPr>
          <w:p w14:paraId="4D565D72" w14:textId="77777777" w:rsidR="007966CD" w:rsidRPr="004C70EC" w:rsidRDefault="007966CD">
            <w:pPr>
              <w:tabs>
                <w:tab w:val="left" w:pos="5678"/>
              </w:tabs>
              <w:spacing w:before="0" w:line="259" w:lineRule="auto"/>
              <w:jc w:val="left"/>
              <w:rPr>
                <w:i/>
                <w:iCs/>
                <w:noProof/>
                <w:color w:val="000000" w:themeColor="text1"/>
                <w:szCs w:val="24"/>
              </w:rPr>
            </w:pPr>
            <w:r w:rsidRPr="004C70EC">
              <w:rPr>
                <w:i/>
                <w:iCs/>
                <w:noProof/>
                <w:color w:val="000000" w:themeColor="text1"/>
                <w:szCs w:val="24"/>
              </w:rPr>
              <w:t>N.A.</w:t>
            </w:r>
          </w:p>
        </w:tc>
      </w:tr>
      <w:tr w:rsidR="004A1163" w:rsidRPr="004C70EC" w14:paraId="5864CD24" w14:textId="77777777">
        <w:tc>
          <w:tcPr>
            <w:tcW w:w="1369" w:type="pct"/>
          </w:tcPr>
          <w:p w14:paraId="482721E9" w14:textId="77777777" w:rsidR="007966CD" w:rsidRPr="004C70EC" w:rsidRDefault="007966CD">
            <w:pPr>
              <w:jc w:val="left"/>
              <w:rPr>
                <w:rFonts w:eastAsia="Yu Mincho"/>
                <w:b/>
                <w:bCs/>
                <w:noProof/>
                <w:color w:val="000000" w:themeColor="text1"/>
                <w:szCs w:val="24"/>
                <w:lang w:val="en-US"/>
              </w:rPr>
            </w:pPr>
            <w:r w:rsidRPr="004C70EC">
              <w:rPr>
                <w:rFonts w:eastAsia="Yu Mincho"/>
                <w:b/>
                <w:bCs/>
                <w:noProof/>
                <w:color w:val="000000" w:themeColor="text1"/>
                <w:szCs w:val="24"/>
              </w:rPr>
              <w:t>Measures taken to ensure a shared understanding of the data</w:t>
            </w:r>
          </w:p>
          <w:p w14:paraId="204CBF50" w14:textId="77777777" w:rsidR="007966CD" w:rsidRPr="004C70EC" w:rsidRDefault="007966CD">
            <w:pPr>
              <w:jc w:val="left"/>
              <w:rPr>
                <w:b/>
                <w:bCs/>
                <w:noProof/>
                <w:color w:val="000000" w:themeColor="text1"/>
                <w:szCs w:val="24"/>
                <w:lang w:val="en-US"/>
              </w:rPr>
            </w:pPr>
            <w:r w:rsidRPr="004C70EC">
              <w:rPr>
                <w:b/>
                <w:noProof/>
                <w:color w:val="000000" w:themeColor="text1"/>
                <w:szCs w:val="24"/>
                <w:lang w:val="en-US"/>
              </w:rPr>
              <w:t>Please list such measures</w:t>
            </w:r>
          </w:p>
        </w:tc>
        <w:tc>
          <w:tcPr>
            <w:tcW w:w="1597" w:type="pct"/>
          </w:tcPr>
          <w:p w14:paraId="3B542778" w14:textId="77777777" w:rsidR="007966CD" w:rsidRPr="004C70EC" w:rsidRDefault="0F7C9C8D">
            <w:pPr>
              <w:spacing w:before="0"/>
              <w:jc w:val="left"/>
              <w:rPr>
                <w:noProof/>
                <w:color w:val="000000" w:themeColor="text1"/>
                <w:szCs w:val="24"/>
              </w:rPr>
            </w:pPr>
            <w:r w:rsidRPr="004C70EC">
              <w:rPr>
                <w:noProof/>
                <w:color w:val="000000" w:themeColor="text1"/>
                <w:szCs w:val="24"/>
              </w:rPr>
              <w:t>Datasets, or the metadata and reference annotations thereof, will be available under fair, reasonable and non-discriminatory conditions, ensuring equitable access for users including research organisations, SMEs and public institutions</w:t>
            </w:r>
            <w:r w:rsidR="278F73CA" w:rsidRPr="004C70EC">
              <w:rPr>
                <w:noProof/>
                <w:color w:val="000000" w:themeColor="text1"/>
                <w:szCs w:val="24"/>
              </w:rPr>
              <w:t>.</w:t>
            </w:r>
          </w:p>
        </w:tc>
        <w:tc>
          <w:tcPr>
            <w:tcW w:w="2034" w:type="pct"/>
          </w:tcPr>
          <w:p w14:paraId="267B0468" w14:textId="77777777" w:rsidR="007966CD" w:rsidRPr="004C70EC" w:rsidRDefault="007966CD">
            <w:pPr>
              <w:tabs>
                <w:tab w:val="left" w:pos="5678"/>
              </w:tabs>
              <w:spacing w:before="0" w:line="259" w:lineRule="auto"/>
              <w:jc w:val="left"/>
              <w:rPr>
                <w:i/>
                <w:iCs/>
                <w:noProof/>
                <w:color w:val="000000" w:themeColor="text1"/>
                <w:szCs w:val="24"/>
              </w:rPr>
            </w:pPr>
            <w:r w:rsidRPr="004C70EC">
              <w:rPr>
                <w:i/>
                <w:iCs/>
                <w:noProof/>
                <w:color w:val="000000" w:themeColor="text1"/>
                <w:szCs w:val="24"/>
              </w:rPr>
              <w:t>N.A.</w:t>
            </w:r>
          </w:p>
        </w:tc>
      </w:tr>
      <w:tr w:rsidR="004A1163" w:rsidRPr="004C70EC" w14:paraId="07270B47" w14:textId="77777777">
        <w:tc>
          <w:tcPr>
            <w:tcW w:w="1369" w:type="pct"/>
          </w:tcPr>
          <w:p w14:paraId="2E1EC33C" w14:textId="77777777" w:rsidR="007966CD" w:rsidRPr="004C70EC" w:rsidRDefault="007966CD">
            <w:pPr>
              <w:jc w:val="left"/>
              <w:rPr>
                <w:rFonts w:eastAsia="Yu Mincho"/>
                <w:b/>
                <w:noProof/>
                <w:color w:val="000000" w:themeColor="text1"/>
                <w:szCs w:val="24"/>
                <w:lang w:val="en-US"/>
              </w:rPr>
            </w:pPr>
            <w:r w:rsidRPr="004C70EC">
              <w:rPr>
                <w:rFonts w:eastAsia="Yu Mincho"/>
                <w:b/>
                <w:noProof/>
                <w:color w:val="000000" w:themeColor="text1"/>
                <w:szCs w:val="24"/>
              </w:rPr>
              <w:t>Use of commonly agreed open technical specifications and standards</w:t>
            </w:r>
          </w:p>
          <w:p w14:paraId="6D349083" w14:textId="77777777" w:rsidR="007966CD" w:rsidRPr="004C70EC" w:rsidRDefault="007966CD">
            <w:pPr>
              <w:jc w:val="left"/>
              <w:rPr>
                <w:b/>
                <w:bCs/>
                <w:noProof/>
                <w:color w:val="000000" w:themeColor="text1"/>
                <w:szCs w:val="24"/>
                <w:lang w:val="en-US"/>
              </w:rPr>
            </w:pPr>
            <w:r w:rsidRPr="004C70EC">
              <w:rPr>
                <w:b/>
                <w:noProof/>
                <w:color w:val="000000" w:themeColor="text1"/>
                <w:szCs w:val="24"/>
                <w:lang w:val="en-US"/>
              </w:rPr>
              <w:t>Please list such measures</w:t>
            </w:r>
          </w:p>
        </w:tc>
        <w:tc>
          <w:tcPr>
            <w:tcW w:w="1597" w:type="pct"/>
          </w:tcPr>
          <w:p w14:paraId="1498E8E1" w14:textId="77777777" w:rsidR="007966CD" w:rsidRPr="004C70EC" w:rsidRDefault="007966CD">
            <w:pPr>
              <w:spacing w:beforeAutospacing="1" w:after="0" w:line="276" w:lineRule="auto"/>
              <w:rPr>
                <w:noProof/>
                <w:color w:val="000000" w:themeColor="text1"/>
                <w:szCs w:val="24"/>
              </w:rPr>
            </w:pPr>
            <w:r w:rsidRPr="004C70EC">
              <w:rPr>
                <w:noProof/>
                <w:color w:val="000000" w:themeColor="text1"/>
                <w:szCs w:val="24"/>
              </w:rPr>
              <w:t>I</w:t>
            </w:r>
            <w:r w:rsidR="4B210B2A" w:rsidRPr="004C70EC">
              <w:rPr>
                <w:noProof/>
                <w:color w:val="000000" w:themeColor="text1"/>
                <w:szCs w:val="24"/>
              </w:rPr>
              <w:t xml:space="preserve">t will </w:t>
            </w:r>
            <w:r w:rsidRPr="004C70EC">
              <w:rPr>
                <w:noProof/>
                <w:color w:val="000000" w:themeColor="text1"/>
                <w:szCs w:val="24"/>
              </w:rPr>
              <w:t>contribute to the development of Union standards and quality frameworks for data representativeness, provenance, interoperability and annotation in biotechnology</w:t>
            </w:r>
          </w:p>
        </w:tc>
        <w:tc>
          <w:tcPr>
            <w:tcW w:w="2034" w:type="pct"/>
          </w:tcPr>
          <w:p w14:paraId="492AB9CF" w14:textId="77777777" w:rsidR="007966CD" w:rsidRPr="004C70EC" w:rsidRDefault="007966CD">
            <w:pPr>
              <w:tabs>
                <w:tab w:val="left" w:pos="5678"/>
              </w:tabs>
              <w:spacing w:before="0"/>
              <w:jc w:val="left"/>
              <w:rPr>
                <w:i/>
                <w:iCs/>
                <w:noProof/>
                <w:color w:val="000000" w:themeColor="text1"/>
                <w:szCs w:val="24"/>
              </w:rPr>
            </w:pPr>
            <w:r w:rsidRPr="004C70EC">
              <w:rPr>
                <w:i/>
                <w:iCs/>
                <w:noProof/>
                <w:color w:val="000000" w:themeColor="text1"/>
                <w:szCs w:val="24"/>
              </w:rPr>
              <w:t>N.A.</w:t>
            </w:r>
          </w:p>
        </w:tc>
      </w:tr>
    </w:tbl>
    <w:p w14:paraId="7FE8446F" w14:textId="77777777" w:rsidR="007966CD" w:rsidRPr="004C70EC" w:rsidRDefault="007966CD">
      <w:pPr>
        <w:rPr>
          <w:rFonts w:eastAsia="Times New Roman"/>
          <w:noProof/>
          <w:color w:val="000000" w:themeColor="text1"/>
          <w:szCs w:val="24"/>
          <w:lang w:eastAsia="en-GB"/>
        </w:rPr>
      </w:pPr>
    </w:p>
    <w:p w14:paraId="0C964585" w14:textId="77777777" w:rsidR="007966CD" w:rsidRPr="004C70EC" w:rsidRDefault="007966CD">
      <w:pPr>
        <w:spacing w:before="0" w:after="0"/>
        <w:jc w:val="left"/>
        <w:rPr>
          <w:rFonts w:eastAsia="Times New Roman"/>
          <w:noProof/>
          <w:color w:val="000000" w:themeColor="text1"/>
          <w:szCs w:val="24"/>
          <w:lang w:eastAsia="en-GB"/>
        </w:rPr>
      </w:pPr>
      <w:r w:rsidRPr="004C70EC">
        <w:rPr>
          <w:rFonts w:eastAsia="Times New Roman"/>
          <w:noProof/>
          <w:color w:val="000000" w:themeColor="text1"/>
          <w:szCs w:val="24"/>
          <w:lang w:eastAsia="en-GB"/>
        </w:rPr>
        <w:br w:type="page"/>
      </w:r>
    </w:p>
    <w:p w14:paraId="7BF5C812" w14:textId="77777777" w:rsidR="00525BA0" w:rsidRPr="001B7467" w:rsidRDefault="00525BA0" w:rsidP="00525BA0">
      <w:pPr>
        <w:pStyle w:val="ManualHeading2"/>
        <w:rPr>
          <w:noProof/>
        </w:rPr>
      </w:pPr>
      <w:bookmarkStart w:id="87" w:name="_Toc187D593553D3413197CE45ABEC30DA05"/>
      <w:r>
        <w:rPr>
          <w:noProof/>
        </w:rPr>
        <w:t>4.5.</w:t>
      </w:r>
      <w:r>
        <w:rPr>
          <w:noProof/>
        </w:rPr>
        <w:tab/>
        <w:t>Measures to support digital</w:t>
      </w:r>
      <w:r w:rsidRPr="001B7467">
        <w:rPr>
          <w:noProof/>
        </w:rPr>
        <w:t xml:space="preserve"> </w:t>
      </w:r>
      <w:r>
        <w:rPr>
          <w:noProof/>
        </w:rPr>
        <w:t>i</w:t>
      </w:r>
      <w:r w:rsidRPr="001B7467">
        <w:rPr>
          <w:noProof/>
        </w:rPr>
        <w:t>mplementation</w:t>
      </w:r>
      <w:bookmarkEnd w:id="87"/>
    </w:p>
    <w:p w14:paraId="1F0942B1" w14:textId="77777777" w:rsidR="007966CD" w:rsidRPr="004C70EC" w:rsidRDefault="007966CD">
      <w:pPr>
        <w:rPr>
          <w:rFonts w:eastAsia="Times New Roman"/>
          <w:i/>
          <w:noProof/>
          <w:color w:val="000000" w:themeColor="text1"/>
          <w:szCs w:val="24"/>
          <w:lang w:eastAsia="en-GB"/>
        </w:rPr>
      </w:pPr>
      <w:r w:rsidRPr="004C70EC">
        <w:rPr>
          <w:rFonts w:eastAsia="Times New Roman"/>
          <w:i/>
          <w:noProof/>
          <w:color w:val="000000" w:themeColor="text1"/>
          <w:szCs w:val="24"/>
          <w:lang w:eastAsia="en-GB"/>
        </w:rPr>
        <w:t>High-level description of measures supporting digital implementation</w:t>
      </w:r>
    </w:p>
    <w:p w14:paraId="4150465C" w14:textId="77777777" w:rsidR="7C00F56E" w:rsidRPr="004C70EC" w:rsidRDefault="7C00F56E">
      <w:pPr>
        <w:rPr>
          <w:rFonts w:eastAsia="Times New Roman"/>
          <w:i/>
          <w:noProof/>
          <w:color w:val="000000" w:themeColor="text1"/>
          <w:szCs w:val="24"/>
        </w:rPr>
      </w:pPr>
    </w:p>
    <w:tbl>
      <w:tblPr>
        <w:tblStyle w:val="TableGrid"/>
        <w:tblW w:w="0" w:type="auto"/>
        <w:tblLook w:val="04A0" w:firstRow="1" w:lastRow="0" w:firstColumn="1" w:lastColumn="0" w:noHBand="0" w:noVBand="1"/>
      </w:tblPr>
      <w:tblGrid>
        <w:gridCol w:w="2284"/>
        <w:gridCol w:w="2249"/>
        <w:gridCol w:w="1590"/>
        <w:gridCol w:w="1736"/>
        <w:gridCol w:w="1430"/>
      </w:tblGrid>
      <w:tr w:rsidR="004A1163" w:rsidRPr="004C70EC" w14:paraId="526491FC" w14:textId="77777777" w:rsidTr="7C00F56E">
        <w:trPr>
          <w:trHeight w:val="300"/>
        </w:trPr>
        <w:tc>
          <w:tcPr>
            <w:tcW w:w="2801" w:type="dxa"/>
            <w:tcBorders>
              <w:top w:val="single" w:sz="8" w:space="0" w:color="auto"/>
              <w:left w:val="single" w:sz="8" w:space="0" w:color="auto"/>
              <w:bottom w:val="single" w:sz="8" w:space="0" w:color="auto"/>
              <w:right w:val="single" w:sz="8" w:space="0" w:color="auto"/>
            </w:tcBorders>
            <w:tcMar>
              <w:left w:w="108" w:type="dxa"/>
              <w:right w:w="108" w:type="dxa"/>
            </w:tcMar>
          </w:tcPr>
          <w:p w14:paraId="3FA80AE4" w14:textId="77777777" w:rsidR="7C00F56E" w:rsidRPr="004C70EC" w:rsidRDefault="7C00F56E">
            <w:pPr>
              <w:jc w:val="left"/>
              <w:rPr>
                <w:b/>
                <w:noProof/>
                <w:color w:val="000000" w:themeColor="text1"/>
                <w:szCs w:val="24"/>
              </w:rPr>
            </w:pPr>
            <w:r w:rsidRPr="004C70EC">
              <w:rPr>
                <w:b/>
                <w:noProof/>
                <w:color w:val="000000" w:themeColor="text1"/>
                <w:szCs w:val="24"/>
              </w:rPr>
              <w:t>Description of the measure</w:t>
            </w:r>
          </w:p>
        </w:tc>
        <w:tc>
          <w:tcPr>
            <w:tcW w:w="2328" w:type="dxa"/>
            <w:tcBorders>
              <w:top w:val="single" w:sz="8" w:space="0" w:color="auto"/>
              <w:left w:val="single" w:sz="8" w:space="0" w:color="auto"/>
              <w:bottom w:val="single" w:sz="8" w:space="0" w:color="auto"/>
              <w:right w:val="single" w:sz="8" w:space="0" w:color="auto"/>
            </w:tcBorders>
            <w:tcMar>
              <w:left w:w="108" w:type="dxa"/>
              <w:right w:w="108" w:type="dxa"/>
            </w:tcMar>
          </w:tcPr>
          <w:p w14:paraId="2CB6B402" w14:textId="77777777" w:rsidR="7C00F56E" w:rsidRPr="004C70EC" w:rsidRDefault="7C00F56E">
            <w:pPr>
              <w:jc w:val="left"/>
              <w:rPr>
                <w:b/>
                <w:noProof/>
                <w:color w:val="000000" w:themeColor="text1"/>
                <w:szCs w:val="24"/>
              </w:rPr>
            </w:pPr>
            <w:r w:rsidRPr="004C70EC">
              <w:rPr>
                <w:b/>
                <w:noProof/>
                <w:color w:val="000000" w:themeColor="text1"/>
                <w:szCs w:val="24"/>
              </w:rPr>
              <w:t xml:space="preserve">Reference(s) to the requirement(s) </w:t>
            </w:r>
          </w:p>
        </w:tc>
        <w:tc>
          <w:tcPr>
            <w:tcW w:w="1184" w:type="dxa"/>
            <w:tcBorders>
              <w:top w:val="single" w:sz="8" w:space="0" w:color="auto"/>
              <w:left w:val="single" w:sz="8" w:space="0" w:color="auto"/>
              <w:bottom w:val="single" w:sz="8" w:space="0" w:color="auto"/>
              <w:right w:val="single" w:sz="8" w:space="0" w:color="auto"/>
            </w:tcBorders>
            <w:tcMar>
              <w:left w:w="108" w:type="dxa"/>
              <w:right w:w="108" w:type="dxa"/>
            </w:tcMar>
          </w:tcPr>
          <w:p w14:paraId="782468C5" w14:textId="77777777" w:rsidR="7C00F56E" w:rsidRPr="004C70EC" w:rsidRDefault="7C00F56E">
            <w:pPr>
              <w:jc w:val="left"/>
              <w:rPr>
                <w:b/>
                <w:noProof/>
                <w:color w:val="000000" w:themeColor="text1"/>
                <w:szCs w:val="24"/>
              </w:rPr>
            </w:pPr>
            <w:r w:rsidRPr="004C70EC">
              <w:rPr>
                <w:b/>
                <w:noProof/>
                <w:color w:val="000000" w:themeColor="text1"/>
                <w:szCs w:val="24"/>
              </w:rPr>
              <w:t xml:space="preserve">Commission role </w:t>
            </w:r>
          </w:p>
          <w:p w14:paraId="27D448AD" w14:textId="77777777" w:rsidR="7C00F56E" w:rsidRPr="004C70EC" w:rsidRDefault="7C00F56E">
            <w:pPr>
              <w:jc w:val="left"/>
              <w:rPr>
                <w:noProof/>
                <w:color w:val="000000" w:themeColor="text1"/>
                <w:szCs w:val="24"/>
              </w:rPr>
            </w:pPr>
            <w:r w:rsidRPr="004C70EC">
              <w:rPr>
                <w:noProof/>
                <w:color w:val="000000" w:themeColor="text1"/>
                <w:szCs w:val="24"/>
              </w:rPr>
              <w:t>(if applicable)</w:t>
            </w:r>
          </w:p>
        </w:tc>
        <w:tc>
          <w:tcPr>
            <w:tcW w:w="1182" w:type="dxa"/>
            <w:tcBorders>
              <w:top w:val="single" w:sz="8" w:space="0" w:color="auto"/>
              <w:left w:val="single" w:sz="8" w:space="0" w:color="auto"/>
              <w:bottom w:val="single" w:sz="8" w:space="0" w:color="auto"/>
              <w:right w:val="single" w:sz="8" w:space="0" w:color="auto"/>
            </w:tcBorders>
            <w:tcMar>
              <w:left w:w="108" w:type="dxa"/>
              <w:right w:w="108" w:type="dxa"/>
            </w:tcMar>
          </w:tcPr>
          <w:p w14:paraId="15F4D91C" w14:textId="77777777" w:rsidR="7C00F56E" w:rsidRPr="004C70EC" w:rsidRDefault="7C00F56E">
            <w:pPr>
              <w:jc w:val="left"/>
              <w:rPr>
                <w:b/>
                <w:noProof/>
                <w:color w:val="000000" w:themeColor="text1"/>
                <w:szCs w:val="24"/>
              </w:rPr>
            </w:pPr>
            <w:r w:rsidRPr="004C70EC">
              <w:rPr>
                <w:b/>
                <w:noProof/>
                <w:color w:val="000000" w:themeColor="text1"/>
                <w:szCs w:val="24"/>
              </w:rPr>
              <w:t>Actors to be involved</w:t>
            </w:r>
          </w:p>
          <w:p w14:paraId="6D39CCDA" w14:textId="77777777" w:rsidR="7C00F56E" w:rsidRPr="004C70EC" w:rsidRDefault="7C00F56E">
            <w:pPr>
              <w:jc w:val="left"/>
              <w:rPr>
                <w:noProof/>
                <w:color w:val="000000" w:themeColor="text1"/>
                <w:szCs w:val="24"/>
              </w:rPr>
            </w:pPr>
            <w:r w:rsidRPr="004C70EC">
              <w:rPr>
                <w:noProof/>
                <w:color w:val="000000" w:themeColor="text1"/>
                <w:szCs w:val="24"/>
              </w:rPr>
              <w:t>(if applicable)</w:t>
            </w:r>
          </w:p>
        </w:tc>
        <w:tc>
          <w:tcPr>
            <w:tcW w:w="1565" w:type="dxa"/>
            <w:tcBorders>
              <w:top w:val="single" w:sz="8" w:space="0" w:color="auto"/>
              <w:left w:val="single" w:sz="8" w:space="0" w:color="auto"/>
              <w:bottom w:val="single" w:sz="8" w:space="0" w:color="auto"/>
              <w:right w:val="single" w:sz="8" w:space="0" w:color="auto"/>
            </w:tcBorders>
            <w:tcMar>
              <w:left w:w="108" w:type="dxa"/>
              <w:right w:w="108" w:type="dxa"/>
            </w:tcMar>
          </w:tcPr>
          <w:p w14:paraId="5D74C48D" w14:textId="77777777" w:rsidR="7C00F56E" w:rsidRPr="004C70EC" w:rsidRDefault="7C00F56E">
            <w:pPr>
              <w:jc w:val="left"/>
              <w:rPr>
                <w:b/>
                <w:noProof/>
                <w:color w:val="000000" w:themeColor="text1"/>
                <w:szCs w:val="24"/>
              </w:rPr>
            </w:pPr>
            <w:r w:rsidRPr="004C70EC">
              <w:rPr>
                <w:b/>
                <w:noProof/>
                <w:color w:val="000000" w:themeColor="text1"/>
                <w:szCs w:val="24"/>
              </w:rPr>
              <w:t>Expected timeline</w:t>
            </w:r>
          </w:p>
          <w:p w14:paraId="63A52AB7" w14:textId="77777777" w:rsidR="7C00F56E" w:rsidRPr="004C70EC" w:rsidRDefault="7C00F56E">
            <w:pPr>
              <w:jc w:val="left"/>
              <w:rPr>
                <w:noProof/>
                <w:color w:val="000000" w:themeColor="text1"/>
                <w:szCs w:val="24"/>
              </w:rPr>
            </w:pPr>
            <w:r w:rsidRPr="004C70EC">
              <w:rPr>
                <w:noProof/>
                <w:color w:val="000000" w:themeColor="text1"/>
                <w:szCs w:val="24"/>
              </w:rPr>
              <w:t>(if applicable)</w:t>
            </w:r>
          </w:p>
        </w:tc>
      </w:tr>
      <w:tr w:rsidR="004A1163" w:rsidRPr="004C70EC" w14:paraId="6D2CEE2F" w14:textId="77777777" w:rsidTr="7C00F56E">
        <w:trPr>
          <w:trHeight w:val="300"/>
        </w:trPr>
        <w:tc>
          <w:tcPr>
            <w:tcW w:w="2801" w:type="dxa"/>
            <w:tcBorders>
              <w:top w:val="single" w:sz="8" w:space="0" w:color="auto"/>
              <w:left w:val="single" w:sz="8" w:space="0" w:color="auto"/>
              <w:bottom w:val="single" w:sz="8" w:space="0" w:color="auto"/>
              <w:right w:val="single" w:sz="8" w:space="0" w:color="auto"/>
            </w:tcBorders>
            <w:tcMar>
              <w:left w:w="108" w:type="dxa"/>
              <w:right w:w="108" w:type="dxa"/>
            </w:tcMar>
          </w:tcPr>
          <w:p w14:paraId="774152C6" w14:textId="77777777" w:rsidR="7C00F56E" w:rsidRPr="004C70EC" w:rsidRDefault="7C00F56E">
            <w:pPr>
              <w:jc w:val="left"/>
              <w:rPr>
                <w:noProof/>
                <w:color w:val="000000" w:themeColor="text1"/>
                <w:szCs w:val="24"/>
              </w:rPr>
            </w:pPr>
            <w:r w:rsidRPr="004C70EC">
              <w:rPr>
                <w:noProof/>
                <w:color w:val="000000" w:themeColor="text1"/>
                <w:szCs w:val="24"/>
              </w:rPr>
              <w:t xml:space="preserve">Adopting guidelines </w:t>
            </w:r>
          </w:p>
        </w:tc>
        <w:tc>
          <w:tcPr>
            <w:tcW w:w="2328" w:type="dxa"/>
            <w:tcBorders>
              <w:top w:val="single" w:sz="8" w:space="0" w:color="auto"/>
              <w:left w:val="single" w:sz="8" w:space="0" w:color="auto"/>
              <w:bottom w:val="single" w:sz="8" w:space="0" w:color="auto"/>
              <w:right w:val="single" w:sz="8" w:space="0" w:color="auto"/>
            </w:tcBorders>
            <w:tcMar>
              <w:left w:w="108" w:type="dxa"/>
              <w:right w:w="108" w:type="dxa"/>
            </w:tcMar>
          </w:tcPr>
          <w:p w14:paraId="20117B28" w14:textId="77777777" w:rsidR="7C00F56E" w:rsidRPr="004C70EC" w:rsidRDefault="7C00F56E">
            <w:pPr>
              <w:jc w:val="left"/>
              <w:rPr>
                <w:noProof/>
                <w:color w:val="000000" w:themeColor="text1"/>
                <w:szCs w:val="24"/>
              </w:rPr>
            </w:pPr>
            <w:r w:rsidRPr="004C70EC">
              <w:rPr>
                <w:noProof/>
                <w:color w:val="000000" w:themeColor="text1"/>
                <w:szCs w:val="24"/>
              </w:rPr>
              <w:t>Article [4] High Impact Health Biotechnology Strategic Projects</w:t>
            </w:r>
          </w:p>
          <w:p w14:paraId="59AE5F82" w14:textId="77777777" w:rsidR="7C00F56E" w:rsidRPr="004C70EC" w:rsidRDefault="7C00F56E">
            <w:pPr>
              <w:jc w:val="left"/>
              <w:rPr>
                <w:noProof/>
                <w:color w:val="000000" w:themeColor="text1"/>
                <w:szCs w:val="24"/>
              </w:rPr>
            </w:pPr>
            <w:r w:rsidRPr="004C70EC">
              <w:rPr>
                <w:noProof/>
                <w:color w:val="000000" w:themeColor="text1"/>
                <w:szCs w:val="24"/>
              </w:rPr>
              <w:t>Article [14] Financial and technical support</w:t>
            </w:r>
          </w:p>
          <w:p w14:paraId="1192DDFD" w14:textId="77777777" w:rsidR="7C00F56E" w:rsidRPr="004C70EC" w:rsidRDefault="7C00F56E">
            <w:pPr>
              <w:jc w:val="left"/>
              <w:rPr>
                <w:noProof/>
                <w:color w:val="000000" w:themeColor="text1"/>
                <w:szCs w:val="24"/>
              </w:rPr>
            </w:pPr>
            <w:r w:rsidRPr="004C70EC">
              <w:rPr>
                <w:noProof/>
                <w:color w:val="000000" w:themeColor="text1"/>
                <w:szCs w:val="24"/>
              </w:rPr>
              <w:t xml:space="preserve">Article [15] Networks of </w:t>
            </w:r>
            <w:r w:rsidR="007C3480" w:rsidRPr="004C70EC">
              <w:rPr>
                <w:noProof/>
                <w:color w:val="000000" w:themeColor="text1"/>
                <w:szCs w:val="24"/>
              </w:rPr>
              <w:t xml:space="preserve">Health </w:t>
            </w:r>
            <w:r w:rsidRPr="004C70EC">
              <w:rPr>
                <w:noProof/>
                <w:color w:val="000000" w:themeColor="text1"/>
                <w:szCs w:val="24"/>
              </w:rPr>
              <w:t>Biotechnology Clusters</w:t>
            </w:r>
          </w:p>
          <w:p w14:paraId="4A5AEBA1" w14:textId="77777777" w:rsidR="7C00F56E" w:rsidRPr="004C70EC" w:rsidRDefault="7C00F56E">
            <w:pPr>
              <w:jc w:val="left"/>
              <w:rPr>
                <w:noProof/>
                <w:color w:val="000000" w:themeColor="text1"/>
                <w:szCs w:val="24"/>
              </w:rPr>
            </w:pPr>
            <w:r w:rsidRPr="004C70EC">
              <w:rPr>
                <w:noProof/>
                <w:color w:val="000000" w:themeColor="text1"/>
                <w:szCs w:val="24"/>
              </w:rPr>
              <w:t>Article [39] Regulatory Sandboxes provided for in the applicable frameworks and Cross Framework Communication</w:t>
            </w:r>
          </w:p>
          <w:p w14:paraId="1D0E6C96" w14:textId="77777777" w:rsidR="7C00F56E" w:rsidRPr="004C70EC" w:rsidRDefault="7C00F56E">
            <w:pPr>
              <w:jc w:val="left"/>
              <w:rPr>
                <w:noProof/>
                <w:color w:val="000000" w:themeColor="text1"/>
                <w:szCs w:val="24"/>
              </w:rPr>
            </w:pPr>
            <w:r w:rsidRPr="004C70EC">
              <w:rPr>
                <w:noProof/>
                <w:color w:val="000000" w:themeColor="text1"/>
                <w:szCs w:val="24"/>
              </w:rPr>
              <w:t>Article [58] Amendments to Regulation (EU) No 536/2014 (‘Clinical Trials Regulation’):</w:t>
            </w:r>
          </w:p>
          <w:p w14:paraId="4D687BF3" w14:textId="77777777" w:rsidR="7C00F56E" w:rsidRPr="004C70EC" w:rsidRDefault="7C00F56E" w:rsidP="00811FF3">
            <w:pPr>
              <w:pStyle w:val="ListParagraph"/>
              <w:numPr>
                <w:ilvl w:val="0"/>
                <w:numId w:val="33"/>
              </w:numPr>
              <w:spacing w:before="0" w:after="0"/>
              <w:jc w:val="left"/>
              <w:rPr>
                <w:noProof/>
                <w:color w:val="000000" w:themeColor="text1"/>
                <w:szCs w:val="24"/>
              </w:rPr>
            </w:pPr>
            <w:r w:rsidRPr="004C70EC">
              <w:rPr>
                <w:noProof/>
                <w:color w:val="000000" w:themeColor="text1"/>
                <w:szCs w:val="24"/>
              </w:rPr>
              <w:t>Article 37: End of a clinical trial, temporary halt and early termination of a clinical trial and submission of the results</w:t>
            </w:r>
          </w:p>
          <w:p w14:paraId="3C6801BA" w14:textId="77777777" w:rsidR="7C00F56E" w:rsidRPr="004C70EC" w:rsidRDefault="7C00F56E" w:rsidP="00811FF3">
            <w:pPr>
              <w:pStyle w:val="ListParagraph"/>
              <w:numPr>
                <w:ilvl w:val="0"/>
                <w:numId w:val="33"/>
              </w:numPr>
              <w:spacing w:before="0" w:after="0"/>
              <w:jc w:val="left"/>
              <w:rPr>
                <w:noProof/>
                <w:color w:val="000000" w:themeColor="text1"/>
                <w:szCs w:val="24"/>
              </w:rPr>
            </w:pPr>
            <w:r w:rsidRPr="004C70EC">
              <w:rPr>
                <w:noProof/>
                <w:color w:val="000000" w:themeColor="text1"/>
                <w:szCs w:val="24"/>
              </w:rPr>
              <w:t>Article 47: Compliance with the protocol and good clinical practice</w:t>
            </w:r>
          </w:p>
          <w:p w14:paraId="7D171E59" w14:textId="77777777" w:rsidR="7C00F56E" w:rsidRPr="004C70EC" w:rsidRDefault="7C00F56E" w:rsidP="00811FF3">
            <w:pPr>
              <w:pStyle w:val="ListParagraph"/>
              <w:numPr>
                <w:ilvl w:val="0"/>
                <w:numId w:val="33"/>
              </w:numPr>
              <w:spacing w:before="0" w:after="0"/>
              <w:jc w:val="left"/>
              <w:rPr>
                <w:noProof/>
                <w:color w:val="000000" w:themeColor="text1"/>
                <w:szCs w:val="24"/>
              </w:rPr>
            </w:pPr>
            <w:r w:rsidRPr="004C70EC">
              <w:rPr>
                <w:noProof/>
                <w:color w:val="000000" w:themeColor="text1"/>
                <w:szCs w:val="24"/>
              </w:rPr>
              <w:t>Article 63: Manufacturing and import</w:t>
            </w:r>
          </w:p>
          <w:p w14:paraId="7AF43E1B" w14:textId="77777777" w:rsidR="7C00F56E" w:rsidRPr="004C70EC" w:rsidRDefault="7C00F56E" w:rsidP="00811FF3">
            <w:pPr>
              <w:pStyle w:val="ListParagraph"/>
              <w:numPr>
                <w:ilvl w:val="0"/>
                <w:numId w:val="33"/>
              </w:numPr>
              <w:spacing w:before="0" w:after="0"/>
              <w:jc w:val="left"/>
              <w:rPr>
                <w:noProof/>
                <w:color w:val="000000" w:themeColor="text1"/>
                <w:szCs w:val="24"/>
              </w:rPr>
            </w:pPr>
            <w:r w:rsidRPr="004C70EC">
              <w:rPr>
                <w:noProof/>
                <w:color w:val="000000" w:themeColor="text1"/>
                <w:szCs w:val="24"/>
              </w:rPr>
              <w:t>Article 85: Clinical Trials Coordination and Advisory Group</w:t>
            </w:r>
          </w:p>
        </w:tc>
        <w:tc>
          <w:tcPr>
            <w:tcW w:w="1184" w:type="dxa"/>
            <w:tcBorders>
              <w:top w:val="single" w:sz="8" w:space="0" w:color="auto"/>
              <w:left w:val="single" w:sz="8" w:space="0" w:color="auto"/>
              <w:bottom w:val="single" w:sz="8" w:space="0" w:color="auto"/>
              <w:right w:val="single" w:sz="8" w:space="0" w:color="auto"/>
            </w:tcBorders>
            <w:tcMar>
              <w:left w:w="108" w:type="dxa"/>
              <w:right w:w="108" w:type="dxa"/>
            </w:tcMar>
          </w:tcPr>
          <w:p w14:paraId="06FF82BB" w14:textId="77777777" w:rsidR="7C00F56E" w:rsidRPr="004C70EC" w:rsidRDefault="7C00F56E">
            <w:pPr>
              <w:jc w:val="left"/>
              <w:rPr>
                <w:noProof/>
                <w:color w:val="000000" w:themeColor="text1"/>
                <w:szCs w:val="24"/>
              </w:rPr>
            </w:pPr>
            <w:r w:rsidRPr="004C70EC">
              <w:rPr>
                <w:noProof/>
                <w:color w:val="000000" w:themeColor="text1"/>
                <w:szCs w:val="24"/>
              </w:rPr>
              <w:t>Commission will produce guidelines or will be involved in the production of guidelines</w:t>
            </w:r>
          </w:p>
        </w:tc>
        <w:tc>
          <w:tcPr>
            <w:tcW w:w="1182" w:type="dxa"/>
            <w:tcBorders>
              <w:top w:val="single" w:sz="8" w:space="0" w:color="auto"/>
              <w:left w:val="single" w:sz="8" w:space="0" w:color="auto"/>
              <w:bottom w:val="single" w:sz="8" w:space="0" w:color="auto"/>
              <w:right w:val="single" w:sz="8" w:space="0" w:color="auto"/>
            </w:tcBorders>
            <w:tcMar>
              <w:left w:w="108" w:type="dxa"/>
              <w:right w:w="108" w:type="dxa"/>
            </w:tcMar>
          </w:tcPr>
          <w:p w14:paraId="1346E939" w14:textId="77777777" w:rsidR="7C00F56E" w:rsidRPr="004C70EC" w:rsidRDefault="7C00F56E">
            <w:pPr>
              <w:jc w:val="left"/>
              <w:rPr>
                <w:noProof/>
                <w:color w:val="000000" w:themeColor="text1"/>
                <w:szCs w:val="24"/>
              </w:rPr>
            </w:pPr>
            <w:r w:rsidRPr="004C70EC">
              <w:rPr>
                <w:noProof/>
                <w:color w:val="000000" w:themeColor="text1"/>
                <w:szCs w:val="24"/>
              </w:rPr>
              <w:t xml:space="preserve">Agency (EMA, EFSA), Advisory Groups composed of Member State Representatives </w:t>
            </w:r>
          </w:p>
        </w:tc>
        <w:tc>
          <w:tcPr>
            <w:tcW w:w="1565" w:type="dxa"/>
            <w:tcBorders>
              <w:top w:val="single" w:sz="8" w:space="0" w:color="auto"/>
              <w:left w:val="single" w:sz="8" w:space="0" w:color="auto"/>
              <w:bottom w:val="single" w:sz="8" w:space="0" w:color="auto"/>
              <w:right w:val="single" w:sz="8" w:space="0" w:color="auto"/>
            </w:tcBorders>
            <w:tcMar>
              <w:left w:w="108" w:type="dxa"/>
              <w:right w:w="108" w:type="dxa"/>
            </w:tcMar>
          </w:tcPr>
          <w:p w14:paraId="226DE668" w14:textId="77777777" w:rsidR="7C00F56E" w:rsidRPr="004C70EC" w:rsidRDefault="7C00F56E">
            <w:pPr>
              <w:jc w:val="left"/>
              <w:rPr>
                <w:noProof/>
                <w:color w:val="000000" w:themeColor="text1"/>
                <w:szCs w:val="24"/>
              </w:rPr>
            </w:pPr>
            <w:r w:rsidRPr="004C70EC">
              <w:rPr>
                <w:noProof/>
                <w:color w:val="000000" w:themeColor="text1"/>
                <w:szCs w:val="24"/>
              </w:rPr>
              <w:t xml:space="preserve"> </w:t>
            </w:r>
          </w:p>
        </w:tc>
      </w:tr>
      <w:tr w:rsidR="004A1163" w:rsidRPr="004C70EC" w14:paraId="53836CF9" w14:textId="77777777" w:rsidTr="7C00F56E">
        <w:trPr>
          <w:trHeight w:val="300"/>
        </w:trPr>
        <w:tc>
          <w:tcPr>
            <w:tcW w:w="2801" w:type="dxa"/>
            <w:tcBorders>
              <w:top w:val="single" w:sz="8" w:space="0" w:color="auto"/>
              <w:left w:val="single" w:sz="8" w:space="0" w:color="auto"/>
              <w:bottom w:val="single" w:sz="8" w:space="0" w:color="auto"/>
              <w:right w:val="single" w:sz="8" w:space="0" w:color="auto"/>
            </w:tcBorders>
            <w:tcMar>
              <w:left w:w="108" w:type="dxa"/>
              <w:right w:w="108" w:type="dxa"/>
            </w:tcMar>
          </w:tcPr>
          <w:p w14:paraId="6FBA6912" w14:textId="77777777" w:rsidR="7C00F56E" w:rsidRPr="004C70EC" w:rsidRDefault="7C00F56E">
            <w:pPr>
              <w:jc w:val="left"/>
              <w:rPr>
                <w:noProof/>
                <w:color w:val="000000" w:themeColor="text1"/>
                <w:szCs w:val="24"/>
              </w:rPr>
            </w:pPr>
            <w:r w:rsidRPr="004C70EC">
              <w:rPr>
                <w:noProof/>
                <w:color w:val="000000" w:themeColor="text1"/>
                <w:szCs w:val="24"/>
              </w:rPr>
              <w:t xml:space="preserve">Designing policy implementation pilots </w:t>
            </w:r>
          </w:p>
        </w:tc>
        <w:tc>
          <w:tcPr>
            <w:tcW w:w="2328" w:type="dxa"/>
            <w:tcBorders>
              <w:top w:val="single" w:sz="8" w:space="0" w:color="auto"/>
              <w:left w:val="single" w:sz="8" w:space="0" w:color="auto"/>
              <w:bottom w:val="single" w:sz="8" w:space="0" w:color="auto"/>
              <w:right w:val="single" w:sz="8" w:space="0" w:color="auto"/>
            </w:tcBorders>
            <w:tcMar>
              <w:left w:w="108" w:type="dxa"/>
              <w:right w:w="108" w:type="dxa"/>
            </w:tcMar>
          </w:tcPr>
          <w:p w14:paraId="5D5DDC3C" w14:textId="77777777" w:rsidR="7C00F56E" w:rsidRPr="004C70EC" w:rsidRDefault="7C00F56E">
            <w:pPr>
              <w:jc w:val="left"/>
              <w:rPr>
                <w:noProof/>
                <w:color w:val="000000" w:themeColor="text1"/>
                <w:szCs w:val="24"/>
              </w:rPr>
            </w:pPr>
            <w:r w:rsidRPr="004C70EC">
              <w:rPr>
                <w:noProof/>
                <w:color w:val="000000" w:themeColor="text1"/>
                <w:szCs w:val="24"/>
              </w:rPr>
              <w:t xml:space="preserve">Article [15] Networks of </w:t>
            </w:r>
            <w:r w:rsidR="007C3480" w:rsidRPr="004C70EC">
              <w:rPr>
                <w:noProof/>
                <w:color w:val="000000" w:themeColor="text1"/>
                <w:szCs w:val="24"/>
              </w:rPr>
              <w:t xml:space="preserve">Health </w:t>
            </w:r>
            <w:r w:rsidRPr="004C70EC">
              <w:rPr>
                <w:noProof/>
                <w:color w:val="000000" w:themeColor="text1"/>
                <w:szCs w:val="24"/>
              </w:rPr>
              <w:t>Biotechnology Clusters</w:t>
            </w:r>
          </w:p>
        </w:tc>
        <w:tc>
          <w:tcPr>
            <w:tcW w:w="1184" w:type="dxa"/>
            <w:tcBorders>
              <w:top w:val="single" w:sz="8" w:space="0" w:color="auto"/>
              <w:left w:val="single" w:sz="8" w:space="0" w:color="auto"/>
              <w:bottom w:val="single" w:sz="8" w:space="0" w:color="auto"/>
              <w:right w:val="single" w:sz="8" w:space="0" w:color="auto"/>
            </w:tcBorders>
            <w:tcMar>
              <w:left w:w="108" w:type="dxa"/>
              <w:right w:w="108" w:type="dxa"/>
            </w:tcMar>
          </w:tcPr>
          <w:p w14:paraId="74D6DE02" w14:textId="77777777" w:rsidR="7C00F56E" w:rsidRPr="004C70EC" w:rsidRDefault="7C00F56E">
            <w:pPr>
              <w:jc w:val="left"/>
              <w:rPr>
                <w:noProof/>
                <w:color w:val="000000" w:themeColor="text1"/>
                <w:szCs w:val="24"/>
              </w:rPr>
            </w:pPr>
            <w:r w:rsidRPr="004C70EC">
              <w:rPr>
                <w:noProof/>
                <w:color w:val="000000" w:themeColor="text1"/>
                <w:szCs w:val="24"/>
              </w:rPr>
              <w:t>Commission will participate through the Steering Group</w:t>
            </w:r>
          </w:p>
        </w:tc>
        <w:tc>
          <w:tcPr>
            <w:tcW w:w="1182" w:type="dxa"/>
            <w:tcBorders>
              <w:top w:val="single" w:sz="8" w:space="0" w:color="auto"/>
              <w:left w:val="single" w:sz="8" w:space="0" w:color="auto"/>
              <w:bottom w:val="single" w:sz="8" w:space="0" w:color="auto"/>
              <w:right w:val="single" w:sz="8" w:space="0" w:color="auto"/>
            </w:tcBorders>
            <w:tcMar>
              <w:left w:w="108" w:type="dxa"/>
              <w:right w:w="108" w:type="dxa"/>
            </w:tcMar>
          </w:tcPr>
          <w:p w14:paraId="720FE85C" w14:textId="77777777" w:rsidR="7C00F56E" w:rsidRPr="004C70EC" w:rsidRDefault="7C00F56E">
            <w:pPr>
              <w:jc w:val="left"/>
              <w:rPr>
                <w:noProof/>
                <w:color w:val="000000" w:themeColor="text1"/>
                <w:szCs w:val="24"/>
              </w:rPr>
            </w:pPr>
            <w:r w:rsidRPr="004C70EC">
              <w:rPr>
                <w:noProof/>
                <w:color w:val="000000" w:themeColor="text1"/>
                <w:szCs w:val="24"/>
              </w:rPr>
              <w:t>Member States, Biotechnology Industry actors, Research organizations</w:t>
            </w:r>
          </w:p>
        </w:tc>
        <w:tc>
          <w:tcPr>
            <w:tcW w:w="1565" w:type="dxa"/>
            <w:tcBorders>
              <w:top w:val="single" w:sz="8" w:space="0" w:color="auto"/>
              <w:left w:val="single" w:sz="8" w:space="0" w:color="auto"/>
              <w:bottom w:val="single" w:sz="8" w:space="0" w:color="auto"/>
              <w:right w:val="single" w:sz="8" w:space="0" w:color="auto"/>
            </w:tcBorders>
            <w:tcMar>
              <w:left w:w="108" w:type="dxa"/>
              <w:right w:w="108" w:type="dxa"/>
            </w:tcMar>
          </w:tcPr>
          <w:p w14:paraId="67521884" w14:textId="77777777" w:rsidR="7C00F56E" w:rsidRPr="004C70EC" w:rsidRDefault="7C00F56E">
            <w:pPr>
              <w:jc w:val="left"/>
              <w:rPr>
                <w:noProof/>
                <w:color w:val="000000" w:themeColor="text1"/>
                <w:szCs w:val="24"/>
              </w:rPr>
            </w:pPr>
            <w:r w:rsidRPr="004C70EC">
              <w:rPr>
                <w:noProof/>
                <w:color w:val="000000" w:themeColor="text1"/>
                <w:szCs w:val="24"/>
              </w:rPr>
              <w:t xml:space="preserve"> </w:t>
            </w:r>
          </w:p>
        </w:tc>
      </w:tr>
      <w:tr w:rsidR="004A1163" w:rsidRPr="004A1163" w14:paraId="3E5055F7" w14:textId="77777777" w:rsidTr="7C00F56E">
        <w:trPr>
          <w:trHeight w:val="300"/>
        </w:trPr>
        <w:tc>
          <w:tcPr>
            <w:tcW w:w="2801" w:type="dxa"/>
            <w:tcBorders>
              <w:top w:val="single" w:sz="8" w:space="0" w:color="auto"/>
              <w:left w:val="single" w:sz="8" w:space="0" w:color="auto"/>
              <w:bottom w:val="single" w:sz="8" w:space="0" w:color="auto"/>
              <w:right w:val="single" w:sz="8" w:space="0" w:color="auto"/>
            </w:tcBorders>
            <w:tcMar>
              <w:left w:w="108" w:type="dxa"/>
              <w:right w:w="108" w:type="dxa"/>
            </w:tcMar>
          </w:tcPr>
          <w:p w14:paraId="73F8714F" w14:textId="77777777" w:rsidR="7C00F56E" w:rsidRPr="004C70EC" w:rsidRDefault="7C00F56E">
            <w:pPr>
              <w:jc w:val="left"/>
              <w:rPr>
                <w:noProof/>
                <w:color w:val="000000" w:themeColor="text1"/>
                <w:szCs w:val="24"/>
                <w:lang w:val="en-US"/>
              </w:rPr>
            </w:pPr>
            <w:r w:rsidRPr="004C70EC">
              <w:rPr>
                <w:noProof/>
                <w:color w:val="000000" w:themeColor="text1"/>
                <w:szCs w:val="24"/>
                <w:lang w:val="en-US"/>
              </w:rPr>
              <w:t>Sandboxing</w:t>
            </w:r>
          </w:p>
        </w:tc>
        <w:tc>
          <w:tcPr>
            <w:tcW w:w="2328" w:type="dxa"/>
            <w:tcBorders>
              <w:top w:val="single" w:sz="8" w:space="0" w:color="auto"/>
              <w:left w:val="single" w:sz="8" w:space="0" w:color="auto"/>
              <w:bottom w:val="single" w:sz="8" w:space="0" w:color="auto"/>
              <w:right w:val="single" w:sz="8" w:space="0" w:color="auto"/>
            </w:tcBorders>
            <w:tcMar>
              <w:left w:w="108" w:type="dxa"/>
              <w:right w:w="108" w:type="dxa"/>
            </w:tcMar>
          </w:tcPr>
          <w:p w14:paraId="1D1FD046" w14:textId="77777777" w:rsidR="7C00F56E" w:rsidRPr="004C70EC" w:rsidRDefault="7C00F56E">
            <w:pPr>
              <w:jc w:val="left"/>
              <w:rPr>
                <w:noProof/>
                <w:color w:val="000000" w:themeColor="text1"/>
                <w:szCs w:val="24"/>
              </w:rPr>
            </w:pPr>
            <w:r w:rsidRPr="004C70EC">
              <w:rPr>
                <w:noProof/>
                <w:color w:val="000000" w:themeColor="text1"/>
                <w:szCs w:val="24"/>
              </w:rPr>
              <w:t>Article [39]  Regulatory sandboxes provided for in the applicable frameworks and cross-framework communication</w:t>
            </w:r>
          </w:p>
          <w:p w14:paraId="6885C88C" w14:textId="77777777" w:rsidR="7C00F56E" w:rsidRPr="004C70EC" w:rsidRDefault="7C00F56E">
            <w:pPr>
              <w:jc w:val="left"/>
              <w:rPr>
                <w:noProof/>
                <w:color w:val="000000" w:themeColor="text1"/>
                <w:szCs w:val="24"/>
              </w:rPr>
            </w:pPr>
            <w:r w:rsidRPr="004C70EC">
              <w:rPr>
                <w:noProof/>
                <w:color w:val="000000" w:themeColor="text1"/>
                <w:szCs w:val="24"/>
              </w:rPr>
              <w:t>Article [40] Regulatory sandboxes or novel health biotechnology products not falling under other sandboxes in Union legislation</w:t>
            </w:r>
          </w:p>
          <w:p w14:paraId="6F6B88C2" w14:textId="77777777" w:rsidR="7C00F56E" w:rsidRPr="004C70EC" w:rsidRDefault="7C00F56E">
            <w:pPr>
              <w:jc w:val="left"/>
              <w:rPr>
                <w:noProof/>
                <w:color w:val="000000" w:themeColor="text1"/>
                <w:szCs w:val="24"/>
              </w:rPr>
            </w:pPr>
            <w:r w:rsidRPr="004C70EC">
              <w:rPr>
                <w:noProof/>
                <w:color w:val="000000" w:themeColor="text1"/>
                <w:szCs w:val="24"/>
              </w:rPr>
              <w:t>Article [58] Amendments to Regulation (EU) No 536/2014 (‘Clinical Trials Regulation’)/Article 85: Clinical Trials Coordination and Advisory Group</w:t>
            </w:r>
          </w:p>
          <w:p w14:paraId="0B6A7BE2" w14:textId="77777777" w:rsidR="7C00F56E" w:rsidRPr="004C70EC" w:rsidRDefault="7C00F56E">
            <w:pPr>
              <w:jc w:val="left"/>
              <w:rPr>
                <w:noProof/>
                <w:color w:val="000000" w:themeColor="text1"/>
                <w:szCs w:val="24"/>
              </w:rPr>
            </w:pPr>
            <w:r w:rsidRPr="004C70EC">
              <w:rPr>
                <w:noProof/>
                <w:color w:val="000000" w:themeColor="text1"/>
                <w:szCs w:val="24"/>
              </w:rPr>
              <w:t>Article [59] Amendments to Regulation (EU) 2019/6 (Veterinary Medicine Products Regulation) Article 136a: Regulatory sandbox</w:t>
            </w:r>
          </w:p>
          <w:p w14:paraId="0F1F34E4" w14:textId="77777777" w:rsidR="7C00F56E" w:rsidRPr="004C70EC" w:rsidRDefault="7C00F56E">
            <w:pPr>
              <w:jc w:val="left"/>
              <w:rPr>
                <w:noProof/>
                <w:color w:val="000000" w:themeColor="text1"/>
                <w:szCs w:val="24"/>
              </w:rPr>
            </w:pPr>
            <w:r w:rsidRPr="004C70EC">
              <w:rPr>
                <w:noProof/>
                <w:color w:val="000000" w:themeColor="text1"/>
                <w:szCs w:val="24"/>
              </w:rPr>
              <w:t>Article [61] Amendment to Regulation (EU) 2024/1938 (SoHO)/Article 39a: SOHO regulatory sandboxes</w:t>
            </w:r>
          </w:p>
        </w:tc>
        <w:tc>
          <w:tcPr>
            <w:tcW w:w="1184" w:type="dxa"/>
            <w:tcBorders>
              <w:top w:val="single" w:sz="8" w:space="0" w:color="auto"/>
              <w:left w:val="single" w:sz="8" w:space="0" w:color="auto"/>
              <w:bottom w:val="single" w:sz="8" w:space="0" w:color="auto"/>
              <w:right w:val="single" w:sz="8" w:space="0" w:color="auto"/>
            </w:tcBorders>
            <w:tcMar>
              <w:left w:w="108" w:type="dxa"/>
              <w:right w:w="108" w:type="dxa"/>
            </w:tcMar>
          </w:tcPr>
          <w:p w14:paraId="3B3CD39D" w14:textId="77777777" w:rsidR="7C00F56E" w:rsidRPr="004C70EC" w:rsidRDefault="7C00F56E">
            <w:pPr>
              <w:jc w:val="left"/>
              <w:rPr>
                <w:noProof/>
                <w:color w:val="000000" w:themeColor="text1"/>
                <w:szCs w:val="24"/>
              </w:rPr>
            </w:pPr>
            <w:r w:rsidRPr="004C70EC">
              <w:rPr>
                <w:noProof/>
                <w:color w:val="000000" w:themeColor="text1"/>
                <w:szCs w:val="24"/>
              </w:rPr>
              <w:t>Commission shall encourage setting up regulatory sandboxes for AI biotechnology solutions, Substances of Human Origin</w:t>
            </w:r>
          </w:p>
        </w:tc>
        <w:tc>
          <w:tcPr>
            <w:tcW w:w="1182" w:type="dxa"/>
            <w:tcBorders>
              <w:top w:val="single" w:sz="8" w:space="0" w:color="auto"/>
              <w:left w:val="single" w:sz="8" w:space="0" w:color="auto"/>
              <w:bottom w:val="single" w:sz="8" w:space="0" w:color="auto"/>
              <w:right w:val="single" w:sz="8" w:space="0" w:color="auto"/>
            </w:tcBorders>
            <w:tcMar>
              <w:left w:w="108" w:type="dxa"/>
              <w:right w:w="108" w:type="dxa"/>
            </w:tcMar>
          </w:tcPr>
          <w:p w14:paraId="278EFE23" w14:textId="77777777" w:rsidR="7C00F56E" w:rsidRPr="004A1163" w:rsidRDefault="7C00F56E">
            <w:pPr>
              <w:jc w:val="left"/>
              <w:rPr>
                <w:noProof/>
                <w:color w:val="000000" w:themeColor="text1"/>
                <w:szCs w:val="24"/>
              </w:rPr>
            </w:pPr>
            <w:r w:rsidRPr="004C70EC">
              <w:rPr>
                <w:noProof/>
                <w:color w:val="000000" w:themeColor="text1"/>
                <w:szCs w:val="24"/>
              </w:rPr>
              <w:t>Member States</w:t>
            </w:r>
          </w:p>
        </w:tc>
        <w:tc>
          <w:tcPr>
            <w:tcW w:w="1565" w:type="dxa"/>
            <w:tcBorders>
              <w:top w:val="single" w:sz="8" w:space="0" w:color="auto"/>
              <w:left w:val="single" w:sz="8" w:space="0" w:color="auto"/>
              <w:bottom w:val="single" w:sz="8" w:space="0" w:color="auto"/>
              <w:right w:val="single" w:sz="8" w:space="0" w:color="auto"/>
            </w:tcBorders>
            <w:tcMar>
              <w:left w:w="108" w:type="dxa"/>
              <w:right w:w="108" w:type="dxa"/>
            </w:tcMar>
          </w:tcPr>
          <w:p w14:paraId="33B83EDC" w14:textId="77777777" w:rsidR="7C00F56E" w:rsidRPr="004A1163" w:rsidRDefault="7C00F56E">
            <w:pPr>
              <w:jc w:val="left"/>
              <w:rPr>
                <w:noProof/>
                <w:color w:val="000000" w:themeColor="text1"/>
                <w:szCs w:val="24"/>
              </w:rPr>
            </w:pPr>
            <w:r w:rsidRPr="004A1163">
              <w:rPr>
                <w:noProof/>
                <w:color w:val="000000" w:themeColor="text1"/>
                <w:szCs w:val="24"/>
              </w:rPr>
              <w:t xml:space="preserve"> </w:t>
            </w:r>
          </w:p>
        </w:tc>
      </w:tr>
    </w:tbl>
    <w:p w14:paraId="2AFEA89E" w14:textId="77777777" w:rsidR="4DD79DCC" w:rsidRPr="004A1163" w:rsidRDefault="4DD79DCC">
      <w:pPr>
        <w:rPr>
          <w:rFonts w:eastAsia="Times New Roman"/>
          <w:noProof/>
          <w:color w:val="000000" w:themeColor="text1"/>
          <w:szCs w:val="24"/>
        </w:rPr>
      </w:pPr>
      <w:r w:rsidRPr="004A1163">
        <w:rPr>
          <w:rFonts w:eastAsia="Times New Roman"/>
          <w:noProof/>
          <w:color w:val="000000" w:themeColor="text1"/>
          <w:szCs w:val="24"/>
        </w:rPr>
        <w:t xml:space="preserve"> </w:t>
      </w:r>
    </w:p>
    <w:p w14:paraId="06977E9B" w14:textId="77777777" w:rsidR="4DD79DCC" w:rsidRPr="004A1163" w:rsidRDefault="4DD79DCC" w:rsidP="004A1163">
      <w:pPr>
        <w:spacing w:before="0" w:after="200" w:line="276" w:lineRule="auto"/>
        <w:jc w:val="left"/>
        <w:rPr>
          <w:rFonts w:eastAsia="Times New Roman"/>
          <w:noProof/>
          <w:color w:val="000000" w:themeColor="text1"/>
          <w:szCs w:val="24"/>
        </w:rPr>
      </w:pPr>
      <w:r w:rsidRPr="004A1163">
        <w:rPr>
          <w:rFonts w:eastAsia="Times New Roman"/>
          <w:noProof/>
          <w:color w:val="000000" w:themeColor="text1"/>
          <w:szCs w:val="24"/>
        </w:rPr>
        <w:t xml:space="preserve"> </w:t>
      </w:r>
    </w:p>
    <w:p w14:paraId="7CE0C58A" w14:textId="77777777" w:rsidR="4DD79DCC" w:rsidRPr="004A1163" w:rsidRDefault="4DD79DCC">
      <w:pPr>
        <w:rPr>
          <w:rFonts w:eastAsia="Times New Roman"/>
          <w:noProof/>
          <w:color w:val="000000" w:themeColor="text1"/>
          <w:szCs w:val="24"/>
        </w:rPr>
      </w:pPr>
      <w:r w:rsidRPr="004A1163">
        <w:rPr>
          <w:rFonts w:eastAsia="Times New Roman"/>
          <w:noProof/>
          <w:color w:val="000000" w:themeColor="text1"/>
          <w:szCs w:val="24"/>
        </w:rPr>
        <w:t xml:space="preserve"> </w:t>
      </w:r>
    </w:p>
    <w:p w14:paraId="5607390A" w14:textId="77777777" w:rsidR="7C00F56E" w:rsidRPr="004A1163" w:rsidRDefault="7C00F56E">
      <w:pPr>
        <w:rPr>
          <w:rFonts w:eastAsia="Times New Roman"/>
          <w:noProof/>
          <w:color w:val="000000" w:themeColor="text1"/>
          <w:szCs w:val="24"/>
        </w:rPr>
      </w:pPr>
    </w:p>
    <w:p w14:paraId="6E2422DA" w14:textId="77777777" w:rsidR="7C00F56E" w:rsidRPr="004A1163" w:rsidRDefault="7C00F56E" w:rsidP="7C00F56E">
      <w:pPr>
        <w:rPr>
          <w:rFonts w:eastAsia="Times New Roman"/>
          <w:i/>
          <w:iCs/>
          <w:noProof/>
          <w:color w:val="000000" w:themeColor="text1"/>
          <w:szCs w:val="24"/>
          <w:lang w:eastAsia="en-GB"/>
        </w:rPr>
      </w:pPr>
    </w:p>
    <w:p w14:paraId="7B59E673" w14:textId="77777777" w:rsidR="22E54C08" w:rsidRPr="004A1163" w:rsidRDefault="22E54C08">
      <w:pPr>
        <w:rPr>
          <w:noProof/>
          <w:color w:val="000000" w:themeColor="text1"/>
          <w:szCs w:val="24"/>
        </w:rPr>
      </w:pPr>
    </w:p>
    <w:p w14:paraId="42EAC14A" w14:textId="77777777" w:rsidR="22E54C08" w:rsidRPr="004A1163" w:rsidRDefault="22E54C08">
      <w:pPr>
        <w:rPr>
          <w:noProof/>
          <w:color w:val="000000" w:themeColor="text1"/>
          <w:szCs w:val="24"/>
        </w:rPr>
      </w:pPr>
    </w:p>
    <w:p w14:paraId="430602EF" w14:textId="77777777" w:rsidR="22E54C08" w:rsidRPr="004A1163" w:rsidRDefault="22E54C08">
      <w:pPr>
        <w:rPr>
          <w:noProof/>
          <w:color w:val="000000" w:themeColor="text1"/>
          <w:szCs w:val="24"/>
        </w:rPr>
      </w:pPr>
    </w:p>
    <w:bookmarkEnd w:id="81"/>
    <w:p w14:paraId="58AB5680" w14:textId="77777777" w:rsidR="007966CD" w:rsidRPr="004A1163" w:rsidRDefault="007966CD">
      <w:pPr>
        <w:rPr>
          <w:noProof/>
          <w:color w:val="000000" w:themeColor="text1"/>
          <w:szCs w:val="24"/>
        </w:rPr>
      </w:pPr>
    </w:p>
    <w:p w14:paraId="402257DF" w14:textId="77777777" w:rsidR="007966CD" w:rsidRPr="004A1163" w:rsidRDefault="007966CD">
      <w:pPr>
        <w:spacing w:before="0" w:after="200" w:line="276" w:lineRule="auto"/>
        <w:jc w:val="left"/>
        <w:rPr>
          <w:noProof/>
          <w:color w:val="000000" w:themeColor="text1"/>
          <w:szCs w:val="24"/>
          <w:u w:val="single"/>
          <w:lang w:val="en-IE"/>
        </w:rPr>
      </w:pPr>
    </w:p>
    <w:p w14:paraId="0091EB05" w14:textId="77777777" w:rsidR="007966CD" w:rsidRPr="004A1163" w:rsidRDefault="007966CD">
      <w:pPr>
        <w:rPr>
          <w:noProof/>
          <w:color w:val="000000" w:themeColor="text1"/>
          <w:szCs w:val="24"/>
          <w:lang w:val="en-IE"/>
        </w:rPr>
      </w:pPr>
    </w:p>
    <w:sectPr w:rsidR="007966CD" w:rsidRPr="004A1163" w:rsidSect="007A289E">
      <w:headerReference w:type="default" r:id="rId33"/>
      <w:footerReference w:type="default" r:id="rId34"/>
      <w:footnotePr>
        <w:numRestart w:val="eachSect"/>
      </w:footnotePr>
      <w:pgSz w:w="11907" w:h="16839"/>
      <w:pgMar w:top="1134" w:right="1417" w:bottom="1134" w:left="1417"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765853" w14:textId="77777777" w:rsidR="007941AD" w:rsidRDefault="007941AD" w:rsidP="002A2DB6">
      <w:pPr>
        <w:spacing w:before="0" w:after="0"/>
      </w:pPr>
      <w:r>
        <w:separator/>
      </w:r>
    </w:p>
  </w:endnote>
  <w:endnote w:type="continuationSeparator" w:id="0">
    <w:p w14:paraId="35471F89" w14:textId="77777777" w:rsidR="007941AD" w:rsidRDefault="007941AD" w:rsidP="002A2DB6">
      <w:pPr>
        <w:spacing w:before="0" w:after="0"/>
      </w:pPr>
      <w:r>
        <w:continuationSeparator/>
      </w:r>
    </w:p>
  </w:endnote>
  <w:endnote w:type="continuationNotice" w:id="1">
    <w:p w14:paraId="62C0C234" w14:textId="77777777" w:rsidR="007941AD" w:rsidRDefault="007941A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Roboto">
    <w:altName w:val="Times New Roman"/>
    <w:charset w:val="00"/>
    <w:family w:val="auto"/>
    <w:pitch w:val="variable"/>
    <w:sig w:usb0="00000001" w:usb1="5000217F" w:usb2="00000021" w:usb3="00000000" w:csb0="0000019F" w:csb1="00000000"/>
  </w:font>
  <w:font w:name="Aptos Narrow">
    <w:altName w:val="Arial"/>
    <w:charset w:val="00"/>
    <w:family w:val="swiss"/>
    <w:pitch w:val="variable"/>
    <w:sig w:usb0="00000001" w:usb1="00000003" w:usb2="00000000" w:usb3="00000000" w:csb0="0000019F" w:csb1="00000000"/>
  </w:font>
  <w:font w:name="Aptos">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53C99" w14:textId="56298DC9" w:rsidR="007A289E" w:rsidRPr="007A289E" w:rsidRDefault="007A289E" w:rsidP="007A289E">
    <w:pPr>
      <w:pStyle w:val="Footer"/>
      <w:rPr>
        <w:rFonts w:ascii="Arial" w:hAnsi="Arial" w:cs="Arial"/>
        <w:b/>
        <w:sz w:val="48"/>
      </w:rPr>
    </w:pPr>
    <w:r w:rsidRPr="007A289E">
      <w:rPr>
        <w:rFonts w:ascii="Arial" w:hAnsi="Arial" w:cs="Arial"/>
        <w:b/>
        <w:sz w:val="48"/>
      </w:rPr>
      <w:t>EN</w:t>
    </w:r>
    <w:r w:rsidRPr="007A289E">
      <w:rPr>
        <w:rFonts w:ascii="Arial" w:hAnsi="Arial" w:cs="Arial"/>
        <w:b/>
        <w:sz w:val="48"/>
      </w:rPr>
      <w:tab/>
    </w:r>
    <w:r w:rsidRPr="007A289E">
      <w:rPr>
        <w:rFonts w:ascii="Arial" w:hAnsi="Arial" w:cs="Arial"/>
        <w:b/>
        <w:sz w:val="48"/>
      </w:rPr>
      <w:tab/>
    </w:r>
    <w:r w:rsidRPr="007A289E">
      <w:tab/>
    </w:r>
    <w:r w:rsidRPr="007A289E">
      <w:rPr>
        <w:rFonts w:ascii="Arial" w:hAnsi="Arial" w:cs="Arial"/>
        <w:b/>
        <w:sz w:val="48"/>
      </w:rPr>
      <w:t>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AD9FE" w14:textId="1776A201" w:rsidR="007A289E" w:rsidRPr="007A289E" w:rsidRDefault="007A289E" w:rsidP="007A289E">
    <w:pPr>
      <w:pStyle w:val="Footer"/>
      <w:rPr>
        <w:rFonts w:ascii="Arial" w:hAnsi="Arial" w:cs="Arial"/>
        <w:b/>
        <w:sz w:val="48"/>
      </w:rPr>
    </w:pPr>
    <w:r w:rsidRPr="007A289E">
      <w:rPr>
        <w:rFonts w:ascii="Arial" w:hAnsi="Arial" w:cs="Arial"/>
        <w:b/>
        <w:sz w:val="48"/>
      </w:rPr>
      <w:t>EN</w:t>
    </w:r>
    <w:r w:rsidRPr="007A289E">
      <w:rPr>
        <w:rFonts w:ascii="Arial" w:hAnsi="Arial" w:cs="Arial"/>
        <w:b/>
        <w:sz w:val="48"/>
      </w:rPr>
      <w:tab/>
    </w:r>
    <w:r w:rsidRPr="007A289E">
      <w:rPr>
        <w:rFonts w:ascii="Arial" w:hAnsi="Arial" w:cs="Arial"/>
        <w:b/>
        <w:sz w:val="48"/>
      </w:rPr>
      <w:tab/>
    </w:r>
    <w:r w:rsidRPr="007A289E">
      <w:tab/>
    </w:r>
    <w:r w:rsidRPr="007A289E">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6DB63" w14:textId="77777777" w:rsidR="007A289E" w:rsidRDefault="007A28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D566C" w14:textId="1D56D090" w:rsidR="007A289E" w:rsidRPr="007A289E" w:rsidRDefault="007A289E" w:rsidP="007A289E">
    <w:pPr>
      <w:pStyle w:val="Footer"/>
      <w:rPr>
        <w:rFonts w:ascii="Arial" w:hAnsi="Arial" w:cs="Arial"/>
        <w:b/>
        <w:sz w:val="48"/>
      </w:rPr>
    </w:pPr>
    <w:r w:rsidRPr="007A289E">
      <w:rPr>
        <w:rFonts w:ascii="Arial" w:hAnsi="Arial" w:cs="Arial"/>
        <w:b/>
        <w:sz w:val="48"/>
      </w:rPr>
      <w:t>EN</w:t>
    </w:r>
    <w:r w:rsidRPr="007A289E">
      <w:rPr>
        <w:rFonts w:ascii="Arial" w:hAnsi="Arial" w:cs="Arial"/>
        <w:b/>
        <w:sz w:val="48"/>
      </w:rPr>
      <w:tab/>
    </w:r>
    <w:r>
      <w:fldChar w:fldCharType="begin"/>
    </w:r>
    <w:r>
      <w:instrText xml:space="preserve"> PAGE  \* MERGEFORMAT </w:instrText>
    </w:r>
    <w:r>
      <w:fldChar w:fldCharType="separate"/>
    </w:r>
    <w:r w:rsidR="00411BCA">
      <w:rPr>
        <w:noProof/>
      </w:rPr>
      <w:t>172</w:t>
    </w:r>
    <w:r>
      <w:fldChar w:fldCharType="end"/>
    </w:r>
    <w:r>
      <w:tab/>
    </w:r>
    <w:r w:rsidRPr="007A289E">
      <w:tab/>
    </w:r>
    <w:r w:rsidRPr="007A289E">
      <w:rPr>
        <w:rFonts w:ascii="Arial" w:hAnsi="Arial" w:cs="Arial"/>
        <w:b/>
        <w:sz w:val="48"/>
      </w:rPr>
      <w:t>EN</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0FF63" w14:textId="77777777" w:rsidR="007A289E" w:rsidRDefault="007A289E" w:rsidP="007A289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8D482" w14:textId="74695016" w:rsidR="007A289E" w:rsidRPr="007A289E" w:rsidRDefault="007A289E" w:rsidP="007A289E">
    <w:pPr>
      <w:pStyle w:val="FooterLandscape"/>
      <w:rPr>
        <w:rFonts w:ascii="Arial" w:hAnsi="Arial" w:cs="Arial"/>
        <w:b/>
        <w:sz w:val="48"/>
      </w:rPr>
    </w:pPr>
    <w:r w:rsidRPr="007A289E">
      <w:rPr>
        <w:rFonts w:ascii="Arial" w:hAnsi="Arial" w:cs="Arial"/>
        <w:b/>
        <w:sz w:val="48"/>
      </w:rPr>
      <w:t>EN</w:t>
    </w:r>
    <w:r w:rsidRPr="007A289E">
      <w:rPr>
        <w:rFonts w:ascii="Arial" w:hAnsi="Arial" w:cs="Arial"/>
        <w:b/>
        <w:sz w:val="48"/>
      </w:rPr>
      <w:tab/>
    </w:r>
    <w:r>
      <w:fldChar w:fldCharType="begin"/>
    </w:r>
    <w:r>
      <w:instrText xml:space="preserve"> PAGE  \* MERGEFORMAT </w:instrText>
    </w:r>
    <w:r>
      <w:fldChar w:fldCharType="separate"/>
    </w:r>
    <w:r>
      <w:rPr>
        <w:noProof/>
      </w:rPr>
      <w:t>0</w:t>
    </w:r>
    <w:r>
      <w:fldChar w:fldCharType="end"/>
    </w:r>
    <w:r>
      <w:tab/>
    </w:r>
    <w:r w:rsidRPr="007A289E">
      <w:tab/>
    </w:r>
    <w:r w:rsidRPr="007A289E">
      <w:rPr>
        <w:rFonts w:ascii="Arial" w:hAnsi="Arial" w:cs="Arial"/>
        <w:b/>
        <w:sz w:val="48"/>
      </w:rPr>
      <w:t>EN</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7E50F" w14:textId="32AD0A83" w:rsidR="007A289E" w:rsidRPr="007A289E" w:rsidRDefault="007A289E" w:rsidP="007A289E">
    <w:pPr>
      <w:pStyle w:val="Footer"/>
      <w:rPr>
        <w:rFonts w:ascii="Arial" w:hAnsi="Arial" w:cs="Arial"/>
        <w:b/>
        <w:sz w:val="48"/>
      </w:rPr>
    </w:pPr>
    <w:r w:rsidRPr="007A289E">
      <w:rPr>
        <w:rFonts w:ascii="Arial" w:hAnsi="Arial" w:cs="Arial"/>
        <w:b/>
        <w:sz w:val="48"/>
      </w:rPr>
      <w:t>EN</w:t>
    </w:r>
    <w:r w:rsidRPr="007A289E">
      <w:rPr>
        <w:rFonts w:ascii="Arial" w:hAnsi="Arial" w:cs="Arial"/>
        <w:b/>
        <w:sz w:val="48"/>
      </w:rPr>
      <w:tab/>
    </w:r>
    <w:r>
      <w:fldChar w:fldCharType="begin"/>
    </w:r>
    <w:r>
      <w:instrText xml:space="preserve"> PAGE  \* MERGEFORMAT </w:instrText>
    </w:r>
    <w:r>
      <w:fldChar w:fldCharType="separate"/>
    </w:r>
    <w:r>
      <w:rPr>
        <w:noProof/>
      </w:rPr>
      <w:t>1</w:t>
    </w:r>
    <w:r>
      <w:fldChar w:fldCharType="end"/>
    </w:r>
    <w:r>
      <w:tab/>
    </w:r>
    <w:r w:rsidRPr="007A289E">
      <w:tab/>
    </w:r>
    <w:r w:rsidRPr="007A289E">
      <w:rPr>
        <w:rFonts w:ascii="Arial" w:hAnsi="Arial" w:cs="Arial"/>
        <w:b/>
        <w:sz w:val="48"/>
      </w:rPr>
      <w:t>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6ECEAE" w14:textId="77777777" w:rsidR="007941AD" w:rsidRDefault="007941AD" w:rsidP="002A2DB6">
      <w:pPr>
        <w:spacing w:before="0" w:after="0"/>
      </w:pPr>
      <w:r>
        <w:separator/>
      </w:r>
    </w:p>
  </w:footnote>
  <w:footnote w:type="continuationSeparator" w:id="0">
    <w:p w14:paraId="1E3C1900" w14:textId="77777777" w:rsidR="007941AD" w:rsidRDefault="007941AD" w:rsidP="002A2DB6">
      <w:pPr>
        <w:spacing w:before="0" w:after="0"/>
      </w:pPr>
      <w:r>
        <w:continuationSeparator/>
      </w:r>
    </w:p>
  </w:footnote>
  <w:footnote w:type="continuationNotice" w:id="1">
    <w:p w14:paraId="13B0A4F8" w14:textId="77777777" w:rsidR="007941AD" w:rsidRDefault="007941AD">
      <w:pPr>
        <w:spacing w:before="0" w:after="0"/>
      </w:pPr>
    </w:p>
  </w:footnote>
  <w:footnote w:id="2">
    <w:p w14:paraId="4FA1EDC8" w14:textId="77777777" w:rsidR="008968AB" w:rsidRPr="004C70EC" w:rsidRDefault="008968AB" w:rsidP="008968AB">
      <w:pPr>
        <w:pStyle w:val="FootnoteText"/>
        <w:rPr>
          <w:lang w:val="en-IE"/>
        </w:rPr>
      </w:pPr>
      <w:r w:rsidRPr="004C70EC">
        <w:rPr>
          <w:rStyle w:val="FootnoteReference"/>
        </w:rPr>
        <w:footnoteRef/>
      </w:r>
      <w:r w:rsidR="00157D85" w:rsidRPr="004C70EC">
        <w:rPr>
          <w:rStyle w:val="Hyperlink"/>
          <w:lang w:val="en-IE"/>
        </w:rPr>
        <w:tab/>
      </w:r>
      <w:r w:rsidRPr="004C70EC">
        <w:rPr>
          <w:rStyle w:val="Hyperlink"/>
          <w:lang w:val="en-IE"/>
        </w:rPr>
        <w:t>https://www.europabio.org/wp-content/uploads/2025/03/WifOR_EuropaBio2025.pdf</w:t>
      </w:r>
    </w:p>
    <w:p w14:paraId="122BEE92" w14:textId="77777777" w:rsidR="008968AB" w:rsidRPr="004C70EC" w:rsidRDefault="008968AB" w:rsidP="008968AB">
      <w:pPr>
        <w:pStyle w:val="FootnoteText"/>
        <w:rPr>
          <w:lang w:val="en-IE"/>
        </w:rPr>
      </w:pPr>
    </w:p>
  </w:footnote>
  <w:footnote w:id="3">
    <w:p w14:paraId="3A6C1382" w14:textId="77777777" w:rsidR="0080781D" w:rsidRPr="004C70EC" w:rsidRDefault="0080781D" w:rsidP="0080781D">
      <w:pPr>
        <w:pStyle w:val="FootnoteText"/>
      </w:pPr>
      <w:r w:rsidRPr="004C70EC">
        <w:rPr>
          <w:rStyle w:val="FootnoteReference"/>
          <w:rFonts w:eastAsia="Arial Narrow"/>
        </w:rPr>
        <w:footnoteRef/>
      </w:r>
      <w:r w:rsidRPr="004C70EC">
        <w:rPr>
          <w:rFonts w:eastAsia="Arial Narrow"/>
        </w:rPr>
        <w:tab/>
        <w:t>J</w:t>
      </w:r>
      <w:r w:rsidRPr="004C70EC">
        <w:rPr>
          <w:rFonts w:eastAsia="Arial Narrow"/>
          <w:color w:val="000000" w:themeColor="text1"/>
        </w:rPr>
        <w:t>oint Research Centre (2024), Exploring the global landscape of biotechnology Innovation: preliminary insights from patent analysis,</w:t>
      </w:r>
      <w:r w:rsidRPr="004C70EC">
        <w:rPr>
          <w:rFonts w:eastAsia="Arial Narrow"/>
          <w:b/>
          <w:lang w:val="en-IE"/>
        </w:rPr>
        <w:t xml:space="preserve">  </w:t>
      </w:r>
      <w:r w:rsidRPr="004C70EC">
        <w:rPr>
          <w:rFonts w:eastAsia="Arial Narrow"/>
          <w:color w:val="0000FF"/>
          <w:u w:val="single"/>
        </w:rPr>
        <w:t>https://publications.jrc.ec.europa.eu/repository/handle/JRC137266</w:t>
      </w:r>
      <w:r w:rsidRPr="004C70EC">
        <w:rPr>
          <w:rFonts w:eastAsia="Arial Narrow"/>
        </w:rPr>
        <w:t>.</w:t>
      </w:r>
    </w:p>
  </w:footnote>
  <w:footnote w:id="4">
    <w:p w14:paraId="5F352C1B" w14:textId="77777777" w:rsidR="0080781D" w:rsidRPr="004C70EC" w:rsidRDefault="0080781D" w:rsidP="0080781D">
      <w:pPr>
        <w:pStyle w:val="FootnoteText"/>
      </w:pPr>
      <w:r w:rsidRPr="004C70EC">
        <w:rPr>
          <w:rStyle w:val="FootnoteReference"/>
        </w:rPr>
        <w:footnoteRef/>
      </w:r>
      <w:r w:rsidRPr="004C70EC">
        <w:tab/>
        <w:t>From discovery to economic impact: Biotechnology Competitiveness for Europe, Vlaams Instituut voor Biotechnologie, 2024</w:t>
      </w:r>
    </w:p>
  </w:footnote>
  <w:footnote w:id="5">
    <w:p w14:paraId="15E9E566" w14:textId="77777777" w:rsidR="41ACB8F9" w:rsidRPr="004C70EC" w:rsidRDefault="41ACB8F9" w:rsidP="004A1163">
      <w:pPr>
        <w:pStyle w:val="FootnoteText"/>
        <w:rPr>
          <w:rFonts w:eastAsia="Times New Roman"/>
          <w:color w:val="333333"/>
        </w:rPr>
      </w:pPr>
      <w:r w:rsidRPr="004C70EC">
        <w:rPr>
          <w:rStyle w:val="FootnoteReference"/>
        </w:rPr>
        <w:footnoteRef/>
      </w:r>
      <w:r w:rsidR="005A39B3" w:rsidRPr="004C70EC">
        <w:tab/>
      </w:r>
      <w:r w:rsidRPr="004C70EC">
        <w:rPr>
          <w:rFonts w:eastAsia="Times New Roman"/>
          <w:color w:val="333333"/>
        </w:rPr>
        <w:t xml:space="preserve">Regulation (EU) 2024/1689 of the European Parliament and of the Council of 13 June 2024 laying down harmonised rules on artificial intelligence and amending Regulations (EC) No 300/2008, (EU) No 167/2013, (EU) No 168/2013, (EU) 2018/858, (EU) 2018/1139 and (EU) 2019/2144 and Directives 2014/90/EU, (EU) 2016/797 and (EU) 2020/1828 (Artificial Intelligence Act) (Text with EEA relevance), </w:t>
      </w:r>
      <w:r w:rsidR="240167F0" w:rsidRPr="004C70EC">
        <w:rPr>
          <w:rFonts w:eastAsia="Times New Roman"/>
          <w:color w:val="333333"/>
        </w:rPr>
        <w:t xml:space="preserve">OJ L, 2024/1689, 12.7.2024, ELI: </w:t>
      </w:r>
      <w:hyperlink r:id="rId1" w:history="1">
        <w:r w:rsidR="240167F0" w:rsidRPr="004C70EC">
          <w:rPr>
            <w:rStyle w:val="Hyperlink"/>
            <w:rFonts w:eastAsia="Times New Roman"/>
            <w:color w:val="333333"/>
          </w:rPr>
          <w:t>http://data.europa.eu/eli/reg/2024/1689/oj</w:t>
        </w:r>
      </w:hyperlink>
    </w:p>
  </w:footnote>
  <w:footnote w:id="6">
    <w:p w14:paraId="49122883" w14:textId="77777777" w:rsidR="1938E227" w:rsidRPr="004C70EC" w:rsidRDefault="1938E227">
      <w:pPr>
        <w:pStyle w:val="FootnoteText"/>
      </w:pPr>
      <w:r w:rsidRPr="004C70EC">
        <w:rPr>
          <w:rStyle w:val="FootnoteReference"/>
        </w:rPr>
        <w:footnoteRef/>
      </w:r>
      <w:r w:rsidR="00157D85" w:rsidRPr="004C70EC">
        <w:tab/>
      </w:r>
      <w:r w:rsidR="00D73938" w:rsidRPr="004C70EC">
        <w:rPr>
          <w:rFonts w:eastAsia="Times New Roman"/>
        </w:rPr>
        <w:t>E</w:t>
      </w:r>
      <w:r w:rsidR="000264E1" w:rsidRPr="004C70EC">
        <w:rPr>
          <w:rFonts w:eastAsia="Times New Roman"/>
        </w:rPr>
        <w:t xml:space="preserve">uropean </w:t>
      </w:r>
      <w:r w:rsidR="00D73938" w:rsidRPr="004C70EC">
        <w:rPr>
          <w:rFonts w:eastAsia="Times New Roman"/>
        </w:rPr>
        <w:t>F</w:t>
      </w:r>
      <w:r w:rsidR="000264E1" w:rsidRPr="004C70EC">
        <w:rPr>
          <w:rFonts w:eastAsia="Times New Roman"/>
        </w:rPr>
        <w:t xml:space="preserve">ederation of </w:t>
      </w:r>
      <w:r w:rsidR="00D73938" w:rsidRPr="004C70EC">
        <w:rPr>
          <w:rFonts w:eastAsia="Times New Roman"/>
        </w:rPr>
        <w:t>P</w:t>
      </w:r>
      <w:r w:rsidR="000264E1" w:rsidRPr="004C70EC">
        <w:rPr>
          <w:rFonts w:eastAsia="Times New Roman"/>
        </w:rPr>
        <w:t xml:space="preserve">harmaceutical </w:t>
      </w:r>
      <w:r w:rsidR="00D73938" w:rsidRPr="004C70EC">
        <w:rPr>
          <w:rFonts w:eastAsia="Times New Roman"/>
        </w:rPr>
        <w:t>I</w:t>
      </w:r>
      <w:r w:rsidR="000264E1" w:rsidRPr="004C70EC">
        <w:rPr>
          <w:rFonts w:eastAsia="Times New Roman"/>
        </w:rPr>
        <w:t xml:space="preserve">ndustries and </w:t>
      </w:r>
      <w:r w:rsidR="00D73938" w:rsidRPr="004C70EC">
        <w:rPr>
          <w:rFonts w:eastAsia="Times New Roman"/>
        </w:rPr>
        <w:t>A</w:t>
      </w:r>
      <w:r w:rsidR="000264E1" w:rsidRPr="004C70EC">
        <w:rPr>
          <w:rFonts w:eastAsia="Times New Roman"/>
        </w:rPr>
        <w:t>ssociation</w:t>
      </w:r>
      <w:r w:rsidR="00D73938" w:rsidRPr="004C70EC">
        <w:rPr>
          <w:rFonts w:eastAsia="Times New Roman"/>
        </w:rPr>
        <w:t>, Assessing the clinical</w:t>
      </w:r>
      <w:r w:rsidR="00AD73C3" w:rsidRPr="004C70EC">
        <w:rPr>
          <w:rFonts w:eastAsia="Times New Roman"/>
        </w:rPr>
        <w:t xml:space="preserve"> </w:t>
      </w:r>
      <w:r w:rsidR="00D73938" w:rsidRPr="004C70EC">
        <w:rPr>
          <w:rFonts w:eastAsia="Times New Roman"/>
        </w:rPr>
        <w:t xml:space="preserve">trial ecosystem in Europe (2024) </w:t>
      </w:r>
      <w:hyperlink r:id="rId2" w:history="1">
        <w:r w:rsidR="00D73938" w:rsidRPr="004C70EC">
          <w:rPr>
            <w:rStyle w:val="Hyperlink"/>
            <w:rFonts w:eastAsia="Times New Roman"/>
          </w:rPr>
          <w:t>assessing-the-clinical-trial-ecosystem-in-europe.pdf</w:t>
        </w:r>
      </w:hyperlink>
    </w:p>
  </w:footnote>
  <w:footnote w:id="7">
    <w:p w14:paraId="58A8F4BE" w14:textId="77777777" w:rsidR="22D5041C" w:rsidRPr="004C70EC" w:rsidRDefault="22D5041C" w:rsidP="0058181D">
      <w:pPr>
        <w:pStyle w:val="FootnoteText"/>
      </w:pPr>
      <w:r w:rsidRPr="004C70EC">
        <w:rPr>
          <w:rStyle w:val="FootnoteReference"/>
        </w:rPr>
        <w:footnoteRef/>
      </w:r>
      <w:r w:rsidR="00C43E5E" w:rsidRPr="004C70EC">
        <w:tab/>
      </w:r>
      <w:hyperlink r:id="rId3" w:history="1">
        <w:r w:rsidRPr="004C70EC">
          <w:rPr>
            <w:rStyle w:val="Hyperlink"/>
          </w:rPr>
          <w:t>Global Trends in R&amp;D 2025 - IQVIA</w:t>
        </w:r>
      </w:hyperlink>
    </w:p>
  </w:footnote>
  <w:footnote w:id="8">
    <w:p w14:paraId="64C1FDFB" w14:textId="77777777" w:rsidR="000219B2" w:rsidRPr="004C70EC" w:rsidRDefault="000219B2" w:rsidP="000219B2">
      <w:pPr>
        <w:pStyle w:val="FootnoteText"/>
      </w:pPr>
      <w:r w:rsidRPr="004C70EC">
        <w:rPr>
          <w:rStyle w:val="FootnoteReference"/>
        </w:rPr>
        <w:footnoteRef/>
      </w:r>
      <w:r w:rsidRPr="004C70EC">
        <w:tab/>
        <w:t xml:space="preserve">Draghi, Mario. </w:t>
      </w:r>
      <w:hyperlink r:id="rId4" w:history="1">
        <w:r w:rsidRPr="004C70EC">
          <w:rPr>
            <w:rStyle w:val="Hyperlink"/>
            <w:i/>
            <w:iCs/>
          </w:rPr>
          <w:t>The future of European competitiveness: A competitiveness strategy for Europe</w:t>
        </w:r>
      </w:hyperlink>
      <w:r w:rsidRPr="004C70EC">
        <w:t>, European Commission, 9 September 2024.</w:t>
      </w:r>
    </w:p>
  </w:footnote>
  <w:footnote w:id="9">
    <w:p w14:paraId="013961AD" w14:textId="77777777" w:rsidR="00E934F2" w:rsidRPr="004C70EC" w:rsidRDefault="00E934F2" w:rsidP="00E934F2">
      <w:pPr>
        <w:pStyle w:val="FootnoteText"/>
        <w:rPr>
          <w:lang w:val="en-US"/>
        </w:rPr>
      </w:pPr>
      <w:r w:rsidRPr="004C70EC">
        <w:rPr>
          <w:rStyle w:val="FootnoteReference"/>
          <w:rFonts w:eastAsia="Arial Narrow"/>
        </w:rPr>
        <w:footnoteRef/>
      </w:r>
      <w:r w:rsidR="00157D85" w:rsidRPr="004C70EC">
        <w:rPr>
          <w:rFonts w:eastAsia="Arial Narrow"/>
          <w:lang w:val="en-US"/>
        </w:rPr>
        <w:tab/>
      </w:r>
      <w:r w:rsidR="00A60186" w:rsidRPr="004C70EC">
        <w:rPr>
          <w:rFonts w:eastAsia="Arial Narrow"/>
          <w:lang w:val="en-US"/>
        </w:rPr>
        <w:t xml:space="preserve">European Commission (2024), Political Guidelines for the Next European Commission 2024-2029, </w:t>
      </w:r>
      <w:hyperlink r:id="rId5" w:history="1">
        <w:r w:rsidRPr="004C70EC">
          <w:rPr>
            <w:rStyle w:val="Hyperlink"/>
            <w:lang w:val="en-US"/>
          </w:rPr>
          <w:t>e6cd4328-673c-4e7a-8683-f63ffb2cf648_en</w:t>
        </w:r>
      </w:hyperlink>
    </w:p>
  </w:footnote>
  <w:footnote w:id="10">
    <w:p w14:paraId="1164D502" w14:textId="77777777" w:rsidR="00A60186" w:rsidRPr="004C70EC" w:rsidRDefault="00A60186" w:rsidP="00A60186">
      <w:pPr>
        <w:pStyle w:val="FootnoteText"/>
        <w:rPr>
          <w:lang w:val="en-US"/>
        </w:rPr>
      </w:pPr>
      <w:r w:rsidRPr="004C70EC">
        <w:rPr>
          <w:rStyle w:val="FootnoteReference"/>
        </w:rPr>
        <w:footnoteRef/>
      </w:r>
      <w:r w:rsidR="00157D85" w:rsidRPr="004C70EC">
        <w:tab/>
      </w:r>
      <w:r w:rsidRPr="004C70EC">
        <w:t>Enrico Letta (2024),</w:t>
      </w:r>
      <w:r w:rsidR="006845D0" w:rsidRPr="004C70EC">
        <w:t xml:space="preserve"> </w:t>
      </w:r>
      <w:r w:rsidRPr="004C70EC">
        <w:rPr>
          <w:i/>
          <w:iCs/>
        </w:rPr>
        <w:t>Much more than a Market</w:t>
      </w:r>
      <w:r w:rsidRPr="004C70EC">
        <w:t xml:space="preserve">. </w:t>
      </w:r>
      <w:hyperlink r:id="rId6" w:history="1">
        <w:r w:rsidRPr="004C70EC">
          <w:rPr>
            <w:rStyle w:val="Hyperlink"/>
          </w:rPr>
          <w:t>Enrico Letta - Much more than a market (April 2024)</w:t>
        </w:r>
      </w:hyperlink>
    </w:p>
  </w:footnote>
  <w:footnote w:id="11">
    <w:p w14:paraId="644C792E" w14:textId="77777777" w:rsidR="00A60186" w:rsidRPr="004C70EC" w:rsidRDefault="00A60186" w:rsidP="00A60186">
      <w:pPr>
        <w:pStyle w:val="FootnoteText"/>
      </w:pPr>
      <w:r w:rsidRPr="004C70EC">
        <w:rPr>
          <w:rStyle w:val="FootnoteReference"/>
        </w:rPr>
        <w:footnoteRef/>
      </w:r>
      <w:r w:rsidR="00157D85" w:rsidRPr="004C70EC">
        <w:tab/>
      </w:r>
      <w:r w:rsidR="00552483" w:rsidRPr="004C70EC">
        <w:t xml:space="preserve">Draghi, Mario. </w:t>
      </w:r>
      <w:hyperlink r:id="rId7" w:history="1">
        <w:r w:rsidR="00552483" w:rsidRPr="004C70EC">
          <w:rPr>
            <w:rStyle w:val="Hyperlink"/>
            <w:i/>
            <w:iCs/>
          </w:rPr>
          <w:t>The future of European competitiveness: A competitiveness strategy for Europe</w:t>
        </w:r>
      </w:hyperlink>
      <w:r w:rsidR="00552483" w:rsidRPr="004C70EC">
        <w:t>, European Commission, 9 September 2024.</w:t>
      </w:r>
    </w:p>
  </w:footnote>
  <w:footnote w:id="12">
    <w:p w14:paraId="64D1BBAE" w14:textId="77777777" w:rsidR="00A60186" w:rsidRPr="004C70EC" w:rsidRDefault="00A60186" w:rsidP="00A60186">
      <w:pPr>
        <w:pStyle w:val="FootnoteText"/>
        <w:rPr>
          <w:lang w:val="en-US"/>
        </w:rPr>
      </w:pPr>
      <w:r w:rsidRPr="004C70EC">
        <w:rPr>
          <w:rStyle w:val="FootnoteReference"/>
        </w:rPr>
        <w:footnoteRef/>
      </w:r>
      <w:r w:rsidR="00157D85" w:rsidRPr="004C70EC">
        <w:tab/>
      </w:r>
      <w:r w:rsidRPr="004C70EC">
        <w:t>European Parliament (2025)</w:t>
      </w:r>
      <w:r w:rsidR="00E77D60" w:rsidRPr="004C70EC">
        <w:t>.</w:t>
      </w:r>
      <w:r w:rsidRPr="004C70EC">
        <w:t xml:space="preserve"> Future of the EU biotechnology and biomanufacturing sector: leveraging research, boosting innovation and enhancing competitiveness. </w:t>
      </w:r>
      <w:hyperlink r:id="rId8" w:history="1">
        <w:r w:rsidRPr="004C70EC">
          <w:rPr>
            <w:rStyle w:val="Hyperlink"/>
          </w:rPr>
          <w:t>Texts adopted - Future of the EU biotechnology and biomanufacturing sector: leveraging research, boosting innovation and enhancing competitiveness - Thursday, 10 July 2025</w:t>
        </w:r>
      </w:hyperlink>
    </w:p>
  </w:footnote>
  <w:footnote w:id="13">
    <w:p w14:paraId="5D19DBD3" w14:textId="77777777" w:rsidR="005129F9" w:rsidRPr="004C70EC" w:rsidRDefault="005129F9">
      <w:pPr>
        <w:pStyle w:val="FootnoteText"/>
        <w:rPr>
          <w:lang w:val="en-IE"/>
        </w:rPr>
      </w:pPr>
      <w:r w:rsidRPr="004C70EC">
        <w:rPr>
          <w:rStyle w:val="FootnoteReference"/>
        </w:rPr>
        <w:footnoteRef/>
      </w:r>
      <w:r w:rsidR="00157D85" w:rsidRPr="004C70EC">
        <w:tab/>
      </w:r>
      <w:r w:rsidR="001F2356" w:rsidRPr="004C70EC">
        <w:t xml:space="preserve">European Parliament: </w:t>
      </w:r>
      <w:hyperlink r:id="rId9" w:history="1">
        <w:r w:rsidR="001F2356" w:rsidRPr="004C70EC">
          <w:rPr>
            <w:rStyle w:val="Hyperlink"/>
          </w:rPr>
          <w:t>2025/2087(INI)</w:t>
        </w:r>
      </w:hyperlink>
    </w:p>
  </w:footnote>
  <w:footnote w:id="14">
    <w:p w14:paraId="441310C8" w14:textId="77777777" w:rsidR="009B4E11" w:rsidRPr="004C70EC" w:rsidRDefault="009B4E11">
      <w:pPr>
        <w:pStyle w:val="FootnoteText"/>
        <w:rPr>
          <w:lang w:val="en-IE"/>
        </w:rPr>
      </w:pPr>
      <w:r w:rsidRPr="004C70EC">
        <w:rPr>
          <w:rStyle w:val="FootnoteReference"/>
        </w:rPr>
        <w:footnoteRef/>
      </w:r>
      <w:r w:rsidRPr="004C70EC">
        <w:tab/>
        <w:t xml:space="preserve">Council of the European Union, </w:t>
      </w:r>
      <w:hyperlink r:id="rId10" w:tgtFrame="_blank" w:history="1">
        <w:r w:rsidRPr="004C70EC">
          <w:rPr>
            <w:rStyle w:val="Hyperlink"/>
            <w:u w:val="none"/>
          </w:rPr>
          <w:t>A call for action on life sciences for the Union's competitiveness - Council conclusions</w:t>
        </w:r>
      </w:hyperlink>
      <w:r w:rsidRPr="004C70EC">
        <w:t> (approved on 30 September 2025) (13323/25). </w:t>
      </w:r>
    </w:p>
  </w:footnote>
  <w:footnote w:id="15">
    <w:p w14:paraId="2A77AE69" w14:textId="77777777" w:rsidR="005257E7" w:rsidRPr="004C70EC" w:rsidRDefault="005257E7" w:rsidP="005257E7">
      <w:pPr>
        <w:pStyle w:val="FootnoteText"/>
        <w:rPr>
          <w:lang w:val="en-US"/>
        </w:rPr>
      </w:pPr>
      <w:r w:rsidRPr="004C70EC">
        <w:rPr>
          <w:rStyle w:val="FootnoteReference"/>
          <w:rFonts w:eastAsia="Arial Narrow"/>
        </w:rPr>
        <w:footnoteRef/>
      </w:r>
      <w:r w:rsidR="00157D85" w:rsidRPr="004C70EC">
        <w:rPr>
          <w:rFonts w:eastAsia="Arial Narrow"/>
          <w:lang w:val="en-US"/>
        </w:rPr>
        <w:tab/>
      </w:r>
      <w:r w:rsidR="000B59CA" w:rsidRPr="004C70EC">
        <w:rPr>
          <w:rFonts w:eastAsia="Arial Narrow"/>
          <w:lang w:val="en-US"/>
        </w:rPr>
        <w:t>Regulation (EU) No 536/2014 of the European Parliament and of the Council of 16 April 2014 on clinical trials on medicinal products for human use, and repealing Directive 2001/20/EC Text with EEA relevance</w:t>
      </w:r>
      <w:r w:rsidR="0074557B" w:rsidRPr="004C70EC">
        <w:rPr>
          <w:rFonts w:eastAsia="Arial Narrow"/>
          <w:lang w:val="en-US"/>
        </w:rPr>
        <w:t>, OJ L 158, 27.5.2014, pp. 1–76</w:t>
      </w:r>
      <w:r w:rsidR="00D679A2" w:rsidRPr="004C70EC">
        <w:rPr>
          <w:rFonts w:eastAsia="Arial Narrow"/>
          <w:lang w:val="en-US"/>
        </w:rPr>
        <w:t xml:space="preserve">. </w:t>
      </w:r>
      <w:r w:rsidRPr="004C70EC">
        <w:rPr>
          <w:rFonts w:eastAsia="Arial Narrow"/>
          <w:lang w:val="en-US"/>
        </w:rPr>
        <w:t>ELI: </w:t>
      </w:r>
      <w:hyperlink r:id="rId11" w:tooltip="Gives access to this document through its ELI URI." w:history="1">
        <w:r w:rsidRPr="004C70EC">
          <w:rPr>
            <w:rStyle w:val="Hyperlink"/>
            <w:rFonts w:eastAsia="Arial Narrow"/>
            <w:lang w:val="en-US"/>
          </w:rPr>
          <w:t>http://data.europa.eu/eli/reg/2014/536/oj</w:t>
        </w:r>
      </w:hyperlink>
      <w:r w:rsidR="00DE73A6" w:rsidRPr="004C70EC">
        <w:t>.</w:t>
      </w:r>
    </w:p>
  </w:footnote>
  <w:footnote w:id="16">
    <w:p w14:paraId="4C6ABF3F" w14:textId="77777777" w:rsidR="005257E7" w:rsidRPr="004C70EC" w:rsidRDefault="005257E7" w:rsidP="005257E7">
      <w:pPr>
        <w:pStyle w:val="FootnoteText"/>
        <w:rPr>
          <w:lang w:val="en-US"/>
        </w:rPr>
      </w:pPr>
      <w:r w:rsidRPr="004C70EC">
        <w:rPr>
          <w:rStyle w:val="FootnoteReference"/>
          <w:rFonts w:eastAsia="Arial Narrow"/>
        </w:rPr>
        <w:footnoteRef/>
      </w:r>
      <w:r w:rsidR="00157D85" w:rsidRPr="004C70EC">
        <w:rPr>
          <w:rFonts w:eastAsia="Arial Narrow"/>
          <w:lang w:val="en-US"/>
        </w:rPr>
        <w:tab/>
      </w:r>
      <w:r w:rsidRPr="004C70EC">
        <w:rPr>
          <w:rFonts w:eastAsia="Arial Narrow"/>
          <w:lang w:val="en-US"/>
        </w:rPr>
        <w:t>Regulation (EC) No 1394/2007</w:t>
      </w:r>
      <w:r w:rsidR="00050F07" w:rsidRPr="004C70EC">
        <w:rPr>
          <w:rFonts w:eastAsia="Arial Narrow"/>
          <w:lang w:val="en-US"/>
        </w:rPr>
        <w:t xml:space="preserve"> of the European Parliament and of the Council of 13 November 2007 on advanced therapy medicinal products and amending Directive 2001/83/EC and Regulation (EC) No 726/2004 (Text with EEA relevance)</w:t>
      </w:r>
      <w:r w:rsidRPr="004C70EC">
        <w:rPr>
          <w:rFonts w:eastAsia="Arial Narrow"/>
          <w:lang w:val="en-US"/>
        </w:rPr>
        <w:t xml:space="preserve">, </w:t>
      </w:r>
      <w:r w:rsidR="00E7096E" w:rsidRPr="004C70EC">
        <w:rPr>
          <w:rFonts w:eastAsia="Arial Narrow"/>
          <w:lang w:val="en-US"/>
        </w:rPr>
        <w:t>OJ L 324, 10.12.2007, pp. 121–137.</w:t>
      </w:r>
      <w:r w:rsidRPr="004C70EC">
        <w:rPr>
          <w:rFonts w:eastAsia="Arial Narrow"/>
          <w:lang w:val="en-US"/>
        </w:rPr>
        <w:t xml:space="preserve"> ELI: </w:t>
      </w:r>
      <w:hyperlink r:id="rId12" w:tooltip="Gives access to this document through its ELI URI." w:history="1">
        <w:r w:rsidRPr="004C70EC">
          <w:rPr>
            <w:rStyle w:val="Hyperlink"/>
            <w:rFonts w:eastAsia="Arial Narrow"/>
            <w:lang w:val="en-US"/>
          </w:rPr>
          <w:t>http://data.europa.eu/eli/reg/2007/1394/oj</w:t>
        </w:r>
      </w:hyperlink>
      <w:r w:rsidR="00877AEE" w:rsidRPr="004C70EC">
        <w:t>.</w:t>
      </w:r>
    </w:p>
  </w:footnote>
  <w:footnote w:id="17">
    <w:p w14:paraId="3637AA34" w14:textId="77777777" w:rsidR="005257E7" w:rsidRPr="004C70EC" w:rsidRDefault="005257E7" w:rsidP="005257E7">
      <w:pPr>
        <w:pStyle w:val="FootnoteText"/>
        <w:rPr>
          <w:lang w:val="en-IE"/>
        </w:rPr>
      </w:pPr>
      <w:r w:rsidRPr="004C70EC">
        <w:rPr>
          <w:rStyle w:val="FootnoteReference"/>
          <w:rFonts w:eastAsia="Arial Narrow"/>
        </w:rPr>
        <w:footnoteRef/>
      </w:r>
      <w:r w:rsidR="00157D85" w:rsidRPr="004C70EC">
        <w:rPr>
          <w:rFonts w:eastAsia="Arial Narrow"/>
          <w:lang w:val="en-IE"/>
        </w:rPr>
        <w:tab/>
      </w:r>
      <w:r w:rsidRPr="004C70EC">
        <w:rPr>
          <w:rFonts w:eastAsia="Arial Narrow"/>
          <w:lang w:val="en-IE"/>
        </w:rPr>
        <w:t>Regulation (EU) 2024/1938</w:t>
      </w:r>
      <w:r w:rsidR="00807322" w:rsidRPr="004C70EC">
        <w:rPr>
          <w:rFonts w:eastAsia="Arial Narrow"/>
          <w:lang w:val="en-IE"/>
        </w:rPr>
        <w:t xml:space="preserve"> of the European Parliament and of the Council of 13 June 2024 on standards of quality and safety for substances of human origin intended for human application and repealing Directives 2002/98/EC and 2004/23/EC (Text with EEA relevance)</w:t>
      </w:r>
      <w:r w:rsidRPr="004C70EC">
        <w:rPr>
          <w:rFonts w:eastAsia="Arial Narrow"/>
          <w:lang w:val="en-IE"/>
        </w:rPr>
        <w:t xml:space="preserve">, </w:t>
      </w:r>
      <w:r w:rsidR="001277A6" w:rsidRPr="004C70EC">
        <w:rPr>
          <w:rFonts w:eastAsia="Arial Narrow"/>
          <w:lang w:val="en-IE"/>
        </w:rPr>
        <w:t>OJ L, 2024/1938, 17.7.2024.</w:t>
      </w:r>
      <w:r w:rsidRPr="004C70EC">
        <w:rPr>
          <w:rFonts w:eastAsia="Arial Narrow"/>
          <w:lang w:val="en-IE"/>
        </w:rPr>
        <w:t xml:space="preserve"> ELI: </w:t>
      </w:r>
      <w:hyperlink r:id="rId13" w:tooltip="Gives access to this document through its ELI URI." w:history="1">
        <w:r w:rsidRPr="004C70EC">
          <w:rPr>
            <w:rStyle w:val="Hyperlink"/>
            <w:lang w:val="en-IE"/>
          </w:rPr>
          <w:t>http://data.europa.eu/eli/reg/2024/1938/oj</w:t>
        </w:r>
      </w:hyperlink>
      <w:r w:rsidR="00030068" w:rsidRPr="004C70EC">
        <w:rPr>
          <w:lang w:val="en-IE"/>
        </w:rPr>
        <w:t>.</w:t>
      </w:r>
    </w:p>
  </w:footnote>
  <w:footnote w:id="18">
    <w:p w14:paraId="10897053" w14:textId="77777777" w:rsidR="005257E7" w:rsidRPr="002D7694" w:rsidRDefault="005257E7" w:rsidP="005257E7">
      <w:pPr>
        <w:pStyle w:val="FootnoteText"/>
        <w:rPr>
          <w:lang w:val="en-IE"/>
        </w:rPr>
      </w:pPr>
      <w:r w:rsidRPr="004C70EC">
        <w:rPr>
          <w:rStyle w:val="FootnoteReference"/>
          <w:rFonts w:eastAsia="Arial Narrow"/>
        </w:rPr>
        <w:footnoteRef/>
      </w:r>
      <w:r w:rsidR="00157D85" w:rsidRPr="004C70EC">
        <w:rPr>
          <w:rFonts w:eastAsia="Arial Narrow"/>
          <w:lang w:val="en-IE"/>
        </w:rPr>
        <w:tab/>
      </w:r>
      <w:r w:rsidRPr="004C70EC">
        <w:rPr>
          <w:rFonts w:eastAsia="Arial Narrow"/>
          <w:lang w:val="en-IE"/>
        </w:rPr>
        <w:t>Regulation (EU) 2019/6</w:t>
      </w:r>
      <w:r w:rsidR="00A1080C" w:rsidRPr="004C70EC">
        <w:rPr>
          <w:rFonts w:eastAsia="Arial Narrow"/>
          <w:lang w:val="en-IE"/>
        </w:rPr>
        <w:t xml:space="preserve"> of the European Parliament and of the Council of 11 December 2018 on veterinary medicinal products and repealing Directive 2001/82/EC (Text with EEA relevance)</w:t>
      </w:r>
      <w:r w:rsidRPr="004C70EC">
        <w:rPr>
          <w:rFonts w:eastAsia="Arial Narrow"/>
          <w:lang w:val="en-IE"/>
        </w:rPr>
        <w:t xml:space="preserve">, </w:t>
      </w:r>
      <w:r w:rsidR="00753BB6" w:rsidRPr="004C70EC">
        <w:rPr>
          <w:rFonts w:eastAsia="Arial Narrow"/>
          <w:lang w:val="en-IE"/>
        </w:rPr>
        <w:t>OJ L 4, 7.1.2019, pp. 43–167.</w:t>
      </w:r>
      <w:r w:rsidRPr="004C70EC">
        <w:rPr>
          <w:rFonts w:eastAsia="Arial Narrow"/>
          <w:lang w:val="en-IE"/>
        </w:rPr>
        <w:t xml:space="preserve"> ELI: </w:t>
      </w:r>
      <w:hyperlink r:id="rId14" w:tooltip="Gives access to this document through its ELI URI." w:history="1">
        <w:r w:rsidRPr="004C70EC">
          <w:rPr>
            <w:rStyle w:val="Hyperlink"/>
            <w:lang w:val="en-IE"/>
          </w:rPr>
          <w:t>http://data.europa.eu/eli/reg/2019/6/oj</w:t>
        </w:r>
      </w:hyperlink>
      <w:r w:rsidR="00030068" w:rsidRPr="004C70EC">
        <w:rPr>
          <w:lang w:val="en-IE"/>
        </w:rPr>
        <w:t>.</w:t>
      </w:r>
    </w:p>
  </w:footnote>
  <w:footnote w:id="19">
    <w:p w14:paraId="03A6D50E" w14:textId="77777777" w:rsidR="005257E7" w:rsidRPr="004C70EC" w:rsidRDefault="005257E7" w:rsidP="005257E7">
      <w:pPr>
        <w:pStyle w:val="FootnoteText"/>
        <w:rPr>
          <w:lang w:val="en-IE"/>
        </w:rPr>
      </w:pPr>
      <w:r w:rsidRPr="004C70EC">
        <w:rPr>
          <w:rStyle w:val="FootnoteReference"/>
          <w:rFonts w:eastAsia="Arial Narrow"/>
        </w:rPr>
        <w:footnoteRef/>
      </w:r>
      <w:r w:rsidR="00157D85" w:rsidRPr="004C70EC">
        <w:rPr>
          <w:rFonts w:eastAsia="Arial Narrow"/>
          <w:lang w:val="en-IE"/>
        </w:rPr>
        <w:tab/>
      </w:r>
      <w:r w:rsidRPr="004C70EC">
        <w:rPr>
          <w:rFonts w:eastAsia="Arial Narrow"/>
          <w:lang w:val="en-IE"/>
        </w:rPr>
        <w:t xml:space="preserve">Regulation (EC) No 178/2002, </w:t>
      </w:r>
      <w:r w:rsidR="005964F7" w:rsidRPr="004C70EC">
        <w:rPr>
          <w:rFonts w:eastAsia="Arial Narrow"/>
          <w:lang w:val="en-IE"/>
        </w:rPr>
        <w:t xml:space="preserve">of the European Parliament and of the Council of 28 January 2002 laying down the general principles and requirements of food law, establishing the European Food Safety Authority and laying down procedures in matters of food safety, </w:t>
      </w:r>
      <w:r w:rsidR="00A50DC4" w:rsidRPr="004C70EC">
        <w:rPr>
          <w:rFonts w:eastAsia="Arial Narrow"/>
          <w:lang w:val="en-IE"/>
        </w:rPr>
        <w:t xml:space="preserve">OJ L 31, 1.2.2002, pp. 1–24. </w:t>
      </w:r>
      <w:r w:rsidRPr="004C70EC">
        <w:rPr>
          <w:rFonts w:eastAsia="Arial Narrow"/>
          <w:lang w:val="en-IE"/>
        </w:rPr>
        <w:t>ELI: </w:t>
      </w:r>
      <w:hyperlink r:id="rId15" w:tooltip="Gives access to this document through its ELI URI." w:history="1">
        <w:r w:rsidRPr="004C70EC">
          <w:rPr>
            <w:rStyle w:val="Hyperlink"/>
            <w:lang w:val="en-IE"/>
          </w:rPr>
          <w:t>http://data.europa.eu/eli/reg/2002/178/oj</w:t>
        </w:r>
      </w:hyperlink>
      <w:r w:rsidR="00030068" w:rsidRPr="004C70EC">
        <w:t>.</w:t>
      </w:r>
    </w:p>
  </w:footnote>
  <w:footnote w:id="20">
    <w:p w14:paraId="324836B4" w14:textId="77777777" w:rsidR="005257E7" w:rsidRPr="004C70EC" w:rsidRDefault="005257E7" w:rsidP="005257E7">
      <w:pPr>
        <w:pStyle w:val="FootnoteText"/>
        <w:rPr>
          <w:lang w:val="en-IE"/>
        </w:rPr>
      </w:pPr>
      <w:r w:rsidRPr="004C70EC">
        <w:rPr>
          <w:rStyle w:val="FootnoteReference"/>
          <w:rFonts w:eastAsia="Arial Narrow"/>
        </w:rPr>
        <w:footnoteRef/>
      </w:r>
      <w:r w:rsidR="00157D85" w:rsidRPr="004C70EC">
        <w:rPr>
          <w:rFonts w:eastAsia="Arial Narrow"/>
          <w:lang w:val="en-IE"/>
        </w:rPr>
        <w:tab/>
      </w:r>
      <w:r w:rsidRPr="004C70EC">
        <w:rPr>
          <w:rFonts w:eastAsia="Arial Narrow"/>
          <w:lang w:val="en-IE"/>
        </w:rPr>
        <w:t>Directive 2001/18/EC</w:t>
      </w:r>
      <w:r w:rsidR="001177C8" w:rsidRPr="004C70EC">
        <w:rPr>
          <w:rFonts w:eastAsia="Arial Narrow"/>
          <w:lang w:val="en-IE"/>
        </w:rPr>
        <w:t xml:space="preserve"> of the European Parliament and of the Council of 12 March 2001 on the deliberate release into the environment of genetically modified organisms and repealing Council Directive 90/220/EEC - Commission Declaration</w:t>
      </w:r>
      <w:r w:rsidRPr="004C70EC">
        <w:rPr>
          <w:rFonts w:eastAsia="Arial Narrow"/>
          <w:lang w:val="en-IE"/>
        </w:rPr>
        <w:t xml:space="preserve">, </w:t>
      </w:r>
      <w:r w:rsidR="009B70F6" w:rsidRPr="004C70EC">
        <w:rPr>
          <w:rFonts w:eastAsia="Arial Narrow"/>
          <w:lang w:val="en-IE"/>
        </w:rPr>
        <w:t>OJ L 106, 17.4.2001, pp. 1–39.</w:t>
      </w:r>
      <w:r w:rsidRPr="004C70EC">
        <w:rPr>
          <w:rFonts w:eastAsia="Arial Narrow"/>
          <w:lang w:val="en-IE"/>
        </w:rPr>
        <w:t xml:space="preserve"> ELI: </w:t>
      </w:r>
      <w:hyperlink r:id="rId16" w:tooltip="Gives access to this document through its ELI URI." w:history="1">
        <w:r w:rsidRPr="004C70EC">
          <w:rPr>
            <w:rStyle w:val="Hyperlink"/>
            <w:lang w:val="en-IE"/>
          </w:rPr>
          <w:t>http://data.europa.eu/eli/dir/2001/18/oj</w:t>
        </w:r>
      </w:hyperlink>
      <w:r w:rsidR="00712D1C" w:rsidRPr="004C70EC">
        <w:rPr>
          <w:rFonts w:eastAsia="Arial Narrow"/>
          <w:lang w:val="en-IE"/>
        </w:rPr>
        <w:t>.</w:t>
      </w:r>
    </w:p>
  </w:footnote>
  <w:footnote w:id="21">
    <w:p w14:paraId="17676F36" w14:textId="77777777" w:rsidR="005257E7" w:rsidRPr="004C70EC" w:rsidRDefault="005257E7" w:rsidP="005257E7">
      <w:pPr>
        <w:pStyle w:val="FootnoteText"/>
        <w:rPr>
          <w:lang w:val="en-IE"/>
        </w:rPr>
      </w:pPr>
      <w:r w:rsidRPr="004C70EC">
        <w:rPr>
          <w:rStyle w:val="FootnoteReference"/>
          <w:rFonts w:eastAsia="Arial Narrow"/>
        </w:rPr>
        <w:footnoteRef/>
      </w:r>
      <w:r w:rsidR="00157D85" w:rsidRPr="004C70EC">
        <w:rPr>
          <w:rFonts w:eastAsia="Arial Narrow"/>
          <w:lang w:val="en-IE"/>
        </w:rPr>
        <w:tab/>
      </w:r>
      <w:r w:rsidRPr="004C70EC">
        <w:rPr>
          <w:rFonts w:eastAsia="Arial Narrow"/>
          <w:lang w:val="en-IE"/>
        </w:rPr>
        <w:t>Regulations (EU) 2017/745</w:t>
      </w:r>
      <w:r w:rsidR="00542B18" w:rsidRPr="004C70EC">
        <w:rPr>
          <w:rFonts w:eastAsia="Arial Narrow"/>
          <w:lang w:val="en-IE"/>
        </w:rPr>
        <w:t xml:space="preserve"> of the European Parliament and of the Council of 5 April 2017 on medical devices, amending Directive 2001/83/EC, Regulation (EC) No 178/2002 and Regulation (EC) No 1223/2009 and repealing Council Directives 90/385/EEC and 93/42/EEC (Text with EEA relevance)</w:t>
      </w:r>
      <w:r w:rsidRPr="004C70EC">
        <w:rPr>
          <w:rFonts w:eastAsia="Arial Narrow"/>
          <w:lang w:val="en-IE"/>
        </w:rPr>
        <w:t>,</w:t>
      </w:r>
      <w:r w:rsidR="00FC5CEE" w:rsidRPr="004C70EC">
        <w:rPr>
          <w:rFonts w:eastAsia="Arial Narrow"/>
          <w:lang w:val="en-IE"/>
        </w:rPr>
        <w:t xml:space="preserve"> OJ L 117, 5.5.2017, pp. 1–175.</w:t>
      </w:r>
      <w:r w:rsidRPr="004C70EC">
        <w:rPr>
          <w:rFonts w:eastAsia="Arial Narrow"/>
          <w:lang w:val="en-IE"/>
        </w:rPr>
        <w:t xml:space="preserve"> ELI: </w:t>
      </w:r>
      <w:hyperlink r:id="rId17" w:tooltip="Gives access to this document through its ELI URI." w:history="1">
        <w:r w:rsidRPr="004C70EC">
          <w:rPr>
            <w:rStyle w:val="Hyperlink"/>
            <w:lang w:val="en-IE"/>
          </w:rPr>
          <w:t>http://data.europa.eu/eli/reg/2017/745/oj</w:t>
        </w:r>
      </w:hyperlink>
      <w:r w:rsidRPr="004C70EC">
        <w:rPr>
          <w:rFonts w:eastAsia="Arial Narrow"/>
          <w:lang w:val="en-IE"/>
        </w:rPr>
        <w:t xml:space="preserve"> and (EU) 2017/746 </w:t>
      </w:r>
      <w:r w:rsidR="008C131B" w:rsidRPr="004C70EC">
        <w:rPr>
          <w:rFonts w:eastAsia="Arial Narrow"/>
          <w:lang w:val="en-IE"/>
        </w:rPr>
        <w:t>of the European Parliament and of the Council of 5 April 2017 on in vitro diagnostic medical devices and repealing Directive 98/79/EC and Commission Decision 2010/227/EU (Text with EEA relevance)</w:t>
      </w:r>
      <w:r w:rsidR="00E6024A" w:rsidRPr="004C70EC">
        <w:rPr>
          <w:rFonts w:eastAsia="Arial Narrow"/>
          <w:lang w:val="en-IE"/>
        </w:rPr>
        <w:t>,</w:t>
      </w:r>
      <w:r w:rsidR="00F5610F" w:rsidRPr="004C70EC">
        <w:rPr>
          <w:rFonts w:eastAsia="Arial Narrow"/>
          <w:lang w:val="en-IE"/>
        </w:rPr>
        <w:t xml:space="preserve"> OJ L 117, 5.5.2017, pp. 176–332.</w:t>
      </w:r>
      <w:r w:rsidRPr="004C70EC">
        <w:rPr>
          <w:rFonts w:eastAsia="Arial Narrow"/>
          <w:lang w:val="en-IE"/>
        </w:rPr>
        <w:t xml:space="preserve"> ELI: </w:t>
      </w:r>
      <w:hyperlink r:id="rId18" w:tooltip="Gives access to this document through its ELI URI." w:history="1">
        <w:r w:rsidRPr="004C70EC">
          <w:rPr>
            <w:rStyle w:val="Hyperlink"/>
            <w:lang w:val="en-IE"/>
          </w:rPr>
          <w:t>http://data.europa.eu/eli/reg/2017/746/oj</w:t>
        </w:r>
      </w:hyperlink>
      <w:r w:rsidR="00311555" w:rsidRPr="004C70EC">
        <w:t>.</w:t>
      </w:r>
    </w:p>
  </w:footnote>
  <w:footnote w:id="22">
    <w:p w14:paraId="76221998" w14:textId="77777777" w:rsidR="00E934F2" w:rsidRPr="004C70EC" w:rsidRDefault="00E934F2" w:rsidP="00E934F2">
      <w:pPr>
        <w:pStyle w:val="FootnoteText"/>
        <w:rPr>
          <w:lang w:val="en-IE"/>
        </w:rPr>
      </w:pPr>
      <w:r w:rsidRPr="004C70EC">
        <w:rPr>
          <w:rStyle w:val="FootnoteReference"/>
          <w:rFonts w:eastAsia="Arial Narrow"/>
        </w:rPr>
        <w:footnoteRef/>
      </w:r>
      <w:r w:rsidR="00157D85" w:rsidRPr="004C70EC">
        <w:rPr>
          <w:rFonts w:eastAsia="Arial Narrow"/>
          <w:lang w:val="en-IE"/>
        </w:rPr>
        <w:tab/>
      </w:r>
      <w:hyperlink r:id="rId19" w:history="1">
        <w:r w:rsidR="00B6586B" w:rsidRPr="004C70EC">
          <w:rPr>
            <w:rStyle w:val="Hyperlink"/>
            <w:rFonts w:eastAsia="Arial Narrow"/>
          </w:rPr>
          <w:t>Critical medicines Act - Public Health - European Commission</w:t>
        </w:r>
      </w:hyperlink>
      <w:r w:rsidR="00B6586B" w:rsidRPr="004C70EC" w:rsidDel="00923B66">
        <w:rPr>
          <w:rFonts w:eastAsia="Arial Narrow"/>
          <w:lang w:val="en-IE"/>
        </w:rPr>
        <w:t xml:space="preserve"> </w:t>
      </w:r>
    </w:p>
  </w:footnote>
  <w:footnote w:id="23">
    <w:p w14:paraId="153CD827" w14:textId="77777777" w:rsidR="00E934F2" w:rsidRPr="004C70EC" w:rsidRDefault="00E934F2" w:rsidP="00E934F2">
      <w:pPr>
        <w:pStyle w:val="FootnoteText"/>
      </w:pPr>
      <w:r w:rsidRPr="004C70EC">
        <w:rPr>
          <w:rStyle w:val="FootnoteReference"/>
          <w:rFonts w:eastAsia="Arial Narrow"/>
        </w:rPr>
        <w:footnoteRef/>
      </w:r>
      <w:r w:rsidR="00157D85" w:rsidRPr="004C70EC">
        <w:rPr>
          <w:rFonts w:eastAsia="Arial Narrow"/>
        </w:rPr>
        <w:tab/>
      </w:r>
      <w:r w:rsidR="00EB5248" w:rsidRPr="004C70EC">
        <w:t>C</w:t>
      </w:r>
      <w:r w:rsidR="00896E2E" w:rsidRPr="004C70EC">
        <w:t>ommunication</w:t>
      </w:r>
      <w:r w:rsidR="00EB5248" w:rsidRPr="004C70EC">
        <w:t xml:space="preserve"> </w:t>
      </w:r>
      <w:r w:rsidR="00806370" w:rsidRPr="004C70EC">
        <w:t>from</w:t>
      </w:r>
      <w:r w:rsidR="00EB5248" w:rsidRPr="004C70EC">
        <w:t xml:space="preserve"> </w:t>
      </w:r>
      <w:r w:rsidR="00806370" w:rsidRPr="004C70EC">
        <w:t>the Commission</w:t>
      </w:r>
      <w:r w:rsidR="00EB5248" w:rsidRPr="004C70EC">
        <w:t xml:space="preserve"> </w:t>
      </w:r>
      <w:r w:rsidR="00866F21" w:rsidRPr="004C70EC">
        <w:t>to</w:t>
      </w:r>
      <w:r w:rsidR="00EB5248" w:rsidRPr="004C70EC">
        <w:t xml:space="preserve"> </w:t>
      </w:r>
      <w:r w:rsidR="00866F21" w:rsidRPr="004C70EC">
        <w:t>the</w:t>
      </w:r>
      <w:r w:rsidR="00EB5248" w:rsidRPr="004C70EC">
        <w:t xml:space="preserve"> E</w:t>
      </w:r>
      <w:r w:rsidR="00866F21" w:rsidRPr="004C70EC">
        <w:t>uropean</w:t>
      </w:r>
      <w:r w:rsidR="00EB5248" w:rsidRPr="004C70EC">
        <w:t xml:space="preserve"> P</w:t>
      </w:r>
      <w:r w:rsidR="00866F21" w:rsidRPr="004C70EC">
        <w:t>arliament</w:t>
      </w:r>
      <w:r w:rsidR="00EB5248" w:rsidRPr="004C70EC">
        <w:t xml:space="preserve">, </w:t>
      </w:r>
      <w:r w:rsidR="00866F21" w:rsidRPr="004C70EC">
        <w:t>the</w:t>
      </w:r>
      <w:r w:rsidR="00EB5248" w:rsidRPr="004C70EC">
        <w:t xml:space="preserve"> C</w:t>
      </w:r>
      <w:r w:rsidR="00866F21" w:rsidRPr="004C70EC">
        <w:t>ouncil</w:t>
      </w:r>
      <w:r w:rsidR="00EB5248" w:rsidRPr="004C70EC">
        <w:t xml:space="preserve">, </w:t>
      </w:r>
      <w:r w:rsidR="00866F21" w:rsidRPr="004C70EC">
        <w:t>the</w:t>
      </w:r>
      <w:r w:rsidR="00EB5248" w:rsidRPr="004C70EC">
        <w:t xml:space="preserve"> E</w:t>
      </w:r>
      <w:r w:rsidR="00377539" w:rsidRPr="004C70EC">
        <w:t>uropean</w:t>
      </w:r>
      <w:r w:rsidR="00EB5248" w:rsidRPr="004C70EC">
        <w:t xml:space="preserve"> E</w:t>
      </w:r>
      <w:r w:rsidR="00377539" w:rsidRPr="004C70EC">
        <w:t>conomic</w:t>
      </w:r>
      <w:r w:rsidR="00EB5248" w:rsidRPr="004C70EC">
        <w:t xml:space="preserve"> </w:t>
      </w:r>
      <w:r w:rsidR="00377539" w:rsidRPr="004C70EC">
        <w:t>and</w:t>
      </w:r>
      <w:r w:rsidR="00EB5248" w:rsidRPr="004C70EC">
        <w:t xml:space="preserve"> </w:t>
      </w:r>
      <w:r w:rsidR="00377539" w:rsidRPr="004C70EC">
        <w:t>Social</w:t>
      </w:r>
      <w:r w:rsidR="00EB5248" w:rsidRPr="004C70EC">
        <w:t xml:space="preserve"> C</w:t>
      </w:r>
      <w:r w:rsidR="00377539" w:rsidRPr="004C70EC">
        <w:t>ommittee</w:t>
      </w:r>
      <w:r w:rsidR="00EB5248" w:rsidRPr="004C70EC">
        <w:t xml:space="preserve"> </w:t>
      </w:r>
      <w:r w:rsidR="00377539" w:rsidRPr="004C70EC">
        <w:t>and</w:t>
      </w:r>
      <w:r w:rsidR="00EB5248" w:rsidRPr="004C70EC">
        <w:t xml:space="preserve"> </w:t>
      </w:r>
      <w:r w:rsidR="00377539" w:rsidRPr="004C70EC">
        <w:t>the</w:t>
      </w:r>
      <w:r w:rsidR="00EB5248" w:rsidRPr="004C70EC">
        <w:t xml:space="preserve"> C</w:t>
      </w:r>
      <w:r w:rsidR="00377539" w:rsidRPr="004C70EC">
        <w:t>ommittee</w:t>
      </w:r>
      <w:r w:rsidR="00EB5248" w:rsidRPr="004C70EC">
        <w:t xml:space="preserve"> </w:t>
      </w:r>
      <w:r w:rsidR="00377539" w:rsidRPr="004C70EC">
        <w:t>of</w:t>
      </w:r>
      <w:r w:rsidR="00EB5248" w:rsidRPr="004C70EC">
        <w:t xml:space="preserve"> </w:t>
      </w:r>
      <w:r w:rsidR="00377539" w:rsidRPr="004C70EC">
        <w:t>the</w:t>
      </w:r>
      <w:r w:rsidR="00EB5248" w:rsidRPr="004C70EC">
        <w:t xml:space="preserve"> R</w:t>
      </w:r>
      <w:r w:rsidR="00377539" w:rsidRPr="004C70EC">
        <w:t>egions</w:t>
      </w:r>
      <w:r w:rsidR="00281CF1" w:rsidRPr="004C70EC">
        <w:t>,</w:t>
      </w:r>
      <w:r w:rsidR="00EB5248" w:rsidRPr="004C70EC">
        <w:t xml:space="preserve"> </w:t>
      </w:r>
      <w:r w:rsidR="00EB5248" w:rsidRPr="004C70EC">
        <w:rPr>
          <w:i/>
        </w:rPr>
        <w:t>Pharmaceutical Strategy for Europe</w:t>
      </w:r>
      <w:r w:rsidR="00DA3988" w:rsidRPr="004C70EC">
        <w:t xml:space="preserve">, </w:t>
      </w:r>
      <w:r w:rsidR="00D110FE" w:rsidRPr="004C70EC">
        <w:t>COM/2020/761 final</w:t>
      </w:r>
      <w:r w:rsidR="00D34CC3" w:rsidRPr="004C70EC">
        <w:t>.</w:t>
      </w:r>
    </w:p>
  </w:footnote>
  <w:footnote w:id="24">
    <w:p w14:paraId="5A3D146D" w14:textId="77777777" w:rsidR="00E934F2" w:rsidRPr="004C70EC" w:rsidRDefault="00E934F2" w:rsidP="00E934F2">
      <w:pPr>
        <w:pStyle w:val="FootnoteText"/>
      </w:pPr>
      <w:r w:rsidRPr="004C70EC">
        <w:rPr>
          <w:rStyle w:val="FootnoteReference"/>
          <w:rFonts w:eastAsia="Arial Narrow"/>
        </w:rPr>
        <w:footnoteRef/>
      </w:r>
      <w:r w:rsidR="00157D85" w:rsidRPr="004C70EC">
        <w:rPr>
          <w:rFonts w:eastAsia="Arial Narrow"/>
        </w:rPr>
        <w:tab/>
      </w:r>
      <w:r w:rsidRPr="004C70EC">
        <w:rPr>
          <w:rFonts w:eastAsia="Arial Narrow"/>
        </w:rPr>
        <w:t xml:space="preserve">European Commission website, </w:t>
      </w:r>
      <w:hyperlink r:id="rId20" w:history="1">
        <w:r w:rsidRPr="004C70EC">
          <w:rPr>
            <w:rStyle w:val="Hyperlink"/>
            <w:rFonts w:eastAsia="Arial Narrow"/>
          </w:rPr>
          <w:t>Reform of the EU pharmaceutical legislation</w:t>
        </w:r>
      </w:hyperlink>
    </w:p>
  </w:footnote>
  <w:footnote w:id="25">
    <w:p w14:paraId="744585A4" w14:textId="77777777" w:rsidR="00E934F2" w:rsidRPr="004C70EC" w:rsidRDefault="00E934F2" w:rsidP="00E934F2">
      <w:pPr>
        <w:pStyle w:val="FootnoteText"/>
      </w:pPr>
      <w:r w:rsidRPr="004C70EC">
        <w:rPr>
          <w:rStyle w:val="FootnoteReference"/>
        </w:rPr>
        <w:footnoteRef/>
      </w:r>
      <w:r w:rsidR="00157D85" w:rsidRPr="004C70EC">
        <w:rPr>
          <w:rFonts w:eastAsia="Arial Narrow"/>
        </w:rPr>
        <w:tab/>
      </w:r>
      <w:r w:rsidRPr="004C70EC">
        <w:rPr>
          <w:rFonts w:eastAsia="Arial Narrow"/>
        </w:rPr>
        <w:t xml:space="preserve">European Commission, European Competitiveness Outlook (Competitiveness Compass): </w:t>
      </w:r>
      <w:hyperlink r:id="rId21" w:history="1">
        <w:r w:rsidRPr="004C70EC">
          <w:rPr>
            <w:color w:val="0000FF"/>
            <w:u w:val="single"/>
          </w:rPr>
          <w:t>Competitiveness compass - European Commission</w:t>
        </w:r>
      </w:hyperlink>
    </w:p>
  </w:footnote>
  <w:footnote w:id="26">
    <w:p w14:paraId="2A24E1EF" w14:textId="77777777" w:rsidR="00E934F2" w:rsidRPr="004C70EC" w:rsidRDefault="00E934F2" w:rsidP="00E934F2">
      <w:pPr>
        <w:pStyle w:val="FootnoteText"/>
        <w:rPr>
          <w:lang w:val="en-IE"/>
        </w:rPr>
      </w:pPr>
      <w:r w:rsidRPr="004C70EC">
        <w:rPr>
          <w:rStyle w:val="FootnoteReference"/>
        </w:rPr>
        <w:footnoteRef/>
      </w:r>
      <w:r w:rsidR="00157D85" w:rsidRPr="004C70EC">
        <w:rPr>
          <w:rFonts w:eastAsia="Arial Narrow"/>
          <w:lang w:val="en-IE"/>
        </w:rPr>
        <w:tab/>
      </w:r>
      <w:r w:rsidR="00946EEA" w:rsidRPr="004C70EC">
        <w:rPr>
          <w:rFonts w:eastAsia="Arial Narrow"/>
          <w:color w:val="333333"/>
          <w:lang w:val="en-IE"/>
        </w:rPr>
        <w:t>Communication from the Commission to the European Parliament, the Council, the European Economic and Social Committee and the Committee of the Regions</w:t>
      </w:r>
      <w:r w:rsidR="000D3226" w:rsidRPr="004C70EC">
        <w:rPr>
          <w:rFonts w:eastAsia="Arial Narrow"/>
          <w:lang w:val="en-IE"/>
        </w:rPr>
        <w:t>,</w:t>
      </w:r>
      <w:r w:rsidR="00C053B6" w:rsidRPr="004C70EC">
        <w:rPr>
          <w:rFonts w:eastAsia="Arial Narrow"/>
          <w:i/>
          <w:lang w:val="en-IE"/>
        </w:rPr>
        <w:t xml:space="preserve"> Choose Europe for life sciences A strategy to position the EU as the world’s most attractive place for life sciences by 2030</w:t>
      </w:r>
      <w:r w:rsidR="00EB7D60" w:rsidRPr="004C70EC">
        <w:rPr>
          <w:rFonts w:eastAsia="Arial Narrow"/>
          <w:lang w:val="en-IE"/>
        </w:rPr>
        <w:t xml:space="preserve">, </w:t>
      </w:r>
      <w:r w:rsidR="00EB7D60" w:rsidRPr="004C70EC">
        <w:rPr>
          <w:rFonts w:eastAsia="Arial Narrow"/>
        </w:rPr>
        <w:t>COM/2025/525 final.</w:t>
      </w:r>
    </w:p>
  </w:footnote>
  <w:footnote w:id="27">
    <w:p w14:paraId="63FC6351" w14:textId="77777777" w:rsidR="00E934F2" w:rsidRPr="004C70EC" w:rsidRDefault="00E934F2" w:rsidP="00E934F2">
      <w:pPr>
        <w:pStyle w:val="FootnoteText"/>
        <w:rPr>
          <w:lang w:val="en-IE"/>
        </w:rPr>
      </w:pPr>
      <w:r w:rsidRPr="004C70EC">
        <w:rPr>
          <w:rStyle w:val="FootnoteReference"/>
        </w:rPr>
        <w:footnoteRef/>
      </w:r>
      <w:r w:rsidR="00157D85" w:rsidRPr="004C70EC">
        <w:rPr>
          <w:rFonts w:eastAsia="Arial Narrow"/>
          <w:lang w:val="en-IE"/>
        </w:rPr>
        <w:tab/>
      </w:r>
      <w:r w:rsidR="00946EEA" w:rsidRPr="004C70EC">
        <w:rPr>
          <w:rFonts w:eastAsia="Arial Narrow"/>
          <w:color w:val="333333"/>
          <w:lang w:val="en-IE"/>
        </w:rPr>
        <w:t>Communication from the Commission to the European Parliament, the Council, the European Economic and Social Committee and the Committee of the Regions</w:t>
      </w:r>
      <w:r w:rsidR="001B7D8F" w:rsidRPr="004C70EC">
        <w:t>,</w:t>
      </w:r>
      <w:r w:rsidR="00D42E9D" w:rsidRPr="004C70EC">
        <w:t xml:space="preserve"> </w:t>
      </w:r>
      <w:r w:rsidR="00D42E9D" w:rsidRPr="004C70EC">
        <w:rPr>
          <w:i/>
          <w:iCs/>
        </w:rPr>
        <w:t>The EU Startup and Scaleup Strategy Choose Europe to start and scale</w:t>
      </w:r>
      <w:r w:rsidR="00D42E9D" w:rsidRPr="004C70EC">
        <w:t xml:space="preserve">, </w:t>
      </w:r>
      <w:r w:rsidR="005910C8" w:rsidRPr="004C70EC">
        <w:t>COM/2025/270 final.</w:t>
      </w:r>
    </w:p>
  </w:footnote>
  <w:footnote w:id="28">
    <w:p w14:paraId="647AFDEE" w14:textId="77777777" w:rsidR="00E934F2" w:rsidRPr="004C70EC" w:rsidRDefault="00E934F2" w:rsidP="00E934F2">
      <w:pPr>
        <w:pStyle w:val="FootnoteText"/>
        <w:rPr>
          <w:lang w:val="en-IE"/>
        </w:rPr>
      </w:pPr>
      <w:r w:rsidRPr="004C70EC">
        <w:rPr>
          <w:rStyle w:val="FootnoteReference"/>
        </w:rPr>
        <w:footnoteRef/>
      </w:r>
      <w:r w:rsidR="00157D85" w:rsidRPr="004C70EC">
        <w:rPr>
          <w:rFonts w:eastAsia="Arial Narrow"/>
          <w:lang w:val="en-IE"/>
        </w:rPr>
        <w:tab/>
      </w:r>
      <w:r w:rsidR="00946EEA" w:rsidRPr="004C70EC">
        <w:rPr>
          <w:rFonts w:eastAsia="Arial Narrow"/>
          <w:color w:val="333333"/>
          <w:lang w:val="en-IE"/>
        </w:rPr>
        <w:t>Communication from the Commission to the European Parliament, the Council, the European Economic and Social Committee and the Committee of the Regions</w:t>
      </w:r>
      <w:r w:rsidR="007F3C18" w:rsidRPr="004C70EC">
        <w:t>,</w:t>
      </w:r>
      <w:r w:rsidR="00ED6F83" w:rsidRPr="004C70EC">
        <w:t xml:space="preserve"> </w:t>
      </w:r>
      <w:r w:rsidR="00ED6F83" w:rsidRPr="004C70EC">
        <w:rPr>
          <w:i/>
          <w:iCs/>
        </w:rPr>
        <w:t>Savings and Investments Union A Strategy to Foster Citizens’ Wealth and Economic Competitiveness in the EU</w:t>
      </w:r>
      <w:r w:rsidR="001F12F0" w:rsidRPr="004C70EC">
        <w:t>, COM/2025/124 final.</w:t>
      </w:r>
    </w:p>
  </w:footnote>
  <w:footnote w:id="29">
    <w:p w14:paraId="5D6C75B1" w14:textId="77777777" w:rsidR="00E934F2" w:rsidRPr="004C70EC" w:rsidRDefault="00E934F2" w:rsidP="00E934F2">
      <w:pPr>
        <w:pStyle w:val="FootnoteText"/>
        <w:rPr>
          <w:lang w:val="en-IE"/>
        </w:rPr>
      </w:pPr>
      <w:r w:rsidRPr="004C70EC">
        <w:rPr>
          <w:rStyle w:val="FootnoteReference"/>
        </w:rPr>
        <w:footnoteRef/>
      </w:r>
      <w:r w:rsidR="00157D85" w:rsidRPr="004C70EC">
        <w:rPr>
          <w:rFonts w:eastAsia="Arial Narrow"/>
          <w:lang w:val="en-IE"/>
        </w:rPr>
        <w:tab/>
      </w:r>
      <w:r w:rsidR="002C6FB3" w:rsidRPr="004C70EC">
        <w:rPr>
          <w:rFonts w:eastAsia="Arial Narrow"/>
          <w:color w:val="333333"/>
          <w:lang w:val="en-IE"/>
        </w:rPr>
        <w:t>Communication from the Commission to the European Parliament, the Council, the European Economic and Social Committee and the Committee of the Regions</w:t>
      </w:r>
      <w:r w:rsidR="00BF0FFA" w:rsidRPr="004C70EC">
        <w:t>,</w:t>
      </w:r>
      <w:r w:rsidR="00E056D2" w:rsidRPr="004C70EC">
        <w:t xml:space="preserve"> </w:t>
      </w:r>
      <w:r w:rsidR="00E056D2" w:rsidRPr="004C70EC">
        <w:rPr>
          <w:i/>
        </w:rPr>
        <w:t>The Union of Skills</w:t>
      </w:r>
      <w:r w:rsidR="00E056D2" w:rsidRPr="004C70EC">
        <w:t xml:space="preserve">, </w:t>
      </w:r>
      <w:r w:rsidR="003D6013" w:rsidRPr="004C70EC">
        <w:t>COM/2025/90 final</w:t>
      </w:r>
      <w:r w:rsidR="00D9110A" w:rsidRPr="004C70EC">
        <w:t>.</w:t>
      </w:r>
    </w:p>
  </w:footnote>
  <w:footnote w:id="30">
    <w:p w14:paraId="24EBE629" w14:textId="77777777" w:rsidR="005411FE" w:rsidRDefault="005411FE">
      <w:pPr>
        <w:pStyle w:val="FootnoteText"/>
        <w:rPr>
          <w:lang w:val="en-US"/>
        </w:rPr>
      </w:pPr>
      <w:r w:rsidRPr="004C70EC">
        <w:rPr>
          <w:rStyle w:val="FootnoteReference"/>
        </w:rPr>
        <w:footnoteRef/>
      </w:r>
      <w:r w:rsidR="00157D85" w:rsidRPr="004C70EC">
        <w:tab/>
      </w:r>
      <w:r w:rsidR="001F5A2E" w:rsidRPr="004C70EC">
        <w:t xml:space="preserve">Regulation (EU) 2022/2371 of the European Parliament and of the Council of 23 November 2022 on serious cross-border threats to health and repealing Decision No 1082/2013/EU (Text with EEA relevance), OJ L 314, 6.12.2022, pp. 26–63. </w:t>
      </w:r>
      <w:r w:rsidR="001F5A2E">
        <w:rPr>
          <w:lang w:val="en-US"/>
        </w:rPr>
        <w:t>ELI: </w:t>
      </w:r>
      <w:hyperlink r:id="rId22" w:tooltip="Gives access to this document through its ELI URI." w:history="1">
        <w:r w:rsidR="001F5A2E">
          <w:rPr>
            <w:rStyle w:val="Hyperlink"/>
            <w:lang w:val="en-US"/>
          </w:rPr>
          <w:t>http://data.europa.eu/eli/reg/2022/2371/oj</w:t>
        </w:r>
      </w:hyperlink>
      <w:r w:rsidR="001F5A2E">
        <w:rPr>
          <w:lang w:val="en-US"/>
        </w:rPr>
        <w:t>.</w:t>
      </w:r>
    </w:p>
  </w:footnote>
  <w:footnote w:id="31">
    <w:p w14:paraId="08E98B17" w14:textId="77777777" w:rsidR="00186F73" w:rsidRDefault="00186F73" w:rsidP="00186F73">
      <w:pPr>
        <w:pStyle w:val="FootnoteText"/>
        <w:rPr>
          <w:lang w:val="en-US"/>
        </w:rPr>
      </w:pPr>
      <w:r w:rsidRPr="004C70EC">
        <w:rPr>
          <w:rStyle w:val="FootnoteReference"/>
        </w:rPr>
        <w:footnoteRef/>
      </w:r>
      <w:r>
        <w:rPr>
          <w:rFonts w:eastAsia="Arial Narrow"/>
          <w:lang w:val="en-US"/>
        </w:rPr>
        <w:tab/>
      </w:r>
      <w:hyperlink r:id="rId23" w:history="1">
        <w:r>
          <w:rPr>
            <w:rStyle w:val="Hyperlink"/>
            <w:lang w:val="en-US"/>
          </w:rPr>
          <w:t>Strategic Technologies for Europe Platform</w:t>
        </w:r>
      </w:hyperlink>
    </w:p>
  </w:footnote>
  <w:footnote w:id="32">
    <w:p w14:paraId="02899CD1" w14:textId="77777777" w:rsidR="005257E7" w:rsidRPr="004C70EC" w:rsidRDefault="005257E7" w:rsidP="005257E7">
      <w:pPr>
        <w:pStyle w:val="FootnoteText"/>
        <w:rPr>
          <w:lang w:val="en-IE"/>
        </w:rPr>
      </w:pPr>
      <w:r w:rsidRPr="004C70EC">
        <w:rPr>
          <w:rStyle w:val="FootnoteReference"/>
          <w:rFonts w:eastAsia="Arial Narrow"/>
        </w:rPr>
        <w:footnoteRef/>
      </w:r>
      <w:r w:rsidR="00157D85" w:rsidRPr="004C70EC">
        <w:rPr>
          <w:rFonts w:eastAsia="Arial Narrow"/>
          <w:lang w:val="en-IE"/>
        </w:rPr>
        <w:tab/>
      </w:r>
      <w:r w:rsidR="00D73809" w:rsidRPr="004C70EC">
        <w:t>Communication from the Commission to the European Parliament and the Council</w:t>
      </w:r>
      <w:r w:rsidR="00BF0FFA" w:rsidRPr="004C70EC">
        <w:t>,</w:t>
      </w:r>
      <w:r w:rsidR="00530FA0" w:rsidRPr="004C70EC">
        <w:t xml:space="preserve"> </w:t>
      </w:r>
      <w:r w:rsidR="00530FA0" w:rsidRPr="004C70EC">
        <w:rPr>
          <w:i/>
          <w:iCs/>
        </w:rPr>
        <w:t>Apply AI Strategy</w:t>
      </w:r>
      <w:r w:rsidR="00530FA0" w:rsidRPr="004C70EC">
        <w:t xml:space="preserve">, </w:t>
      </w:r>
      <w:r w:rsidR="00B30BB9" w:rsidRPr="004C70EC">
        <w:t>COM/2025/723 final.</w:t>
      </w:r>
    </w:p>
  </w:footnote>
  <w:footnote w:id="33">
    <w:p w14:paraId="7451BEE3" w14:textId="77777777" w:rsidR="0022048A" w:rsidRPr="004C70EC" w:rsidRDefault="0022048A" w:rsidP="0022048A">
      <w:pPr>
        <w:pStyle w:val="FootnoteText"/>
        <w:rPr>
          <w:lang w:val="en-IE"/>
        </w:rPr>
      </w:pPr>
      <w:r w:rsidRPr="004C70EC">
        <w:rPr>
          <w:rStyle w:val="FootnoteReference"/>
        </w:rPr>
        <w:footnoteRef/>
      </w:r>
      <w:r w:rsidR="00157D85" w:rsidRPr="004C70EC">
        <w:rPr>
          <w:lang w:val="en-IE"/>
        </w:rPr>
        <w:tab/>
      </w:r>
      <w:hyperlink r:id="rId24" w:history="1">
        <w:r w:rsidR="00157D85" w:rsidRPr="004C70EC">
          <w:rPr>
            <w:rStyle w:val="Hyperlink"/>
            <w:lang w:val="en-IE"/>
          </w:rPr>
          <w:t>https://ec.europa.eu/newsroom/dae/redirection/document/114523</w:t>
        </w:r>
      </w:hyperlink>
      <w:r w:rsidRPr="004C70EC">
        <w:rPr>
          <w:lang w:val="en-IE"/>
        </w:rPr>
        <w:t xml:space="preserve"> </w:t>
      </w:r>
    </w:p>
  </w:footnote>
  <w:footnote w:id="34">
    <w:p w14:paraId="7F14F6CF" w14:textId="77777777" w:rsidR="005257E7" w:rsidRPr="004C70EC" w:rsidRDefault="005257E7" w:rsidP="005257E7">
      <w:pPr>
        <w:pStyle w:val="FootnoteText"/>
        <w:rPr>
          <w:lang w:val="en-IE"/>
        </w:rPr>
      </w:pPr>
      <w:r w:rsidRPr="004C70EC">
        <w:rPr>
          <w:rStyle w:val="FootnoteReference"/>
        </w:rPr>
        <w:footnoteRef/>
      </w:r>
      <w:r w:rsidR="00157D85" w:rsidRPr="004C70EC">
        <w:rPr>
          <w:lang w:val="en-IE"/>
        </w:rPr>
        <w:tab/>
      </w:r>
      <w:r w:rsidR="00691BDC" w:rsidRPr="004C70EC">
        <w:rPr>
          <w:lang w:val="en-IE"/>
        </w:rPr>
        <w:t>Regulation (EU) 2024/1689 of the European Parliament and of the Council of 13 June 2024 laying down harmonised rules on artificial intelligence and amending Regulations (EC) No 300/2008, (EU) No 167/2013, (EU) No 168/2013, (EU) 2018/858, (EU) 2018/1139 and (EU) 2019/2144 and Directives 2014/90/EU, (EU) 2016/797 and (EU) 2020/1828 (Artificial Intelligence Act)</w:t>
      </w:r>
      <w:r w:rsidR="00B83F38" w:rsidRPr="004C70EC">
        <w:rPr>
          <w:lang w:val="en-IE"/>
        </w:rPr>
        <w:t xml:space="preserve">, </w:t>
      </w:r>
      <w:r w:rsidR="00E03B77" w:rsidRPr="004C70EC">
        <w:rPr>
          <w:lang w:val="en-IE"/>
        </w:rPr>
        <w:t xml:space="preserve">OJ L, 2024/1689, 12.7.2024, ELI: </w:t>
      </w:r>
      <w:hyperlink r:id="rId25" w:history="1">
        <w:r w:rsidR="00203447" w:rsidRPr="004C70EC">
          <w:rPr>
            <w:rStyle w:val="Hyperlink"/>
            <w:lang w:val="en-IE"/>
          </w:rPr>
          <w:t>http://data.europa.eu/eli/reg/2024/1689/oj</w:t>
        </w:r>
      </w:hyperlink>
      <w:r w:rsidR="001276F3" w:rsidRPr="004C70EC">
        <w:rPr>
          <w:lang w:val="en-IE"/>
        </w:rPr>
        <w:t>.</w:t>
      </w:r>
    </w:p>
  </w:footnote>
  <w:footnote w:id="35">
    <w:p w14:paraId="624D6D24" w14:textId="77777777" w:rsidR="005257E7" w:rsidRPr="004C70EC" w:rsidRDefault="005257E7" w:rsidP="00157D85">
      <w:pPr>
        <w:pStyle w:val="FootnoteText"/>
        <w:rPr>
          <w:lang w:val="en-IE"/>
        </w:rPr>
      </w:pPr>
      <w:r w:rsidRPr="004C70EC">
        <w:rPr>
          <w:rStyle w:val="FootnoteReference"/>
        </w:rPr>
        <w:footnoteRef/>
      </w:r>
      <w:r w:rsidR="00157D85" w:rsidRPr="004C70EC">
        <w:rPr>
          <w:lang w:val="en-IE"/>
        </w:rPr>
        <w:tab/>
      </w:r>
      <w:r w:rsidR="00A8317C" w:rsidRPr="004C70EC">
        <w:rPr>
          <w:rFonts w:eastAsia="Arial Narrow"/>
          <w:color w:val="333333"/>
          <w:lang w:val="en-IE"/>
        </w:rPr>
        <w:t>Communication from the Commission to the European Parliament</w:t>
      </w:r>
      <w:r w:rsidR="00CE44F3" w:rsidRPr="004C70EC">
        <w:rPr>
          <w:rFonts w:eastAsia="Arial Narrow"/>
          <w:color w:val="333333"/>
          <w:lang w:val="en-IE"/>
        </w:rPr>
        <w:t xml:space="preserve"> </w:t>
      </w:r>
      <w:r w:rsidR="001864AC" w:rsidRPr="004C70EC">
        <w:rPr>
          <w:rFonts w:eastAsia="Arial Narrow"/>
          <w:color w:val="333333"/>
          <w:lang w:val="en-IE"/>
        </w:rPr>
        <w:t>and</w:t>
      </w:r>
      <w:r w:rsidR="00A8317C" w:rsidRPr="004C70EC">
        <w:rPr>
          <w:rFonts w:eastAsia="Arial Narrow"/>
          <w:color w:val="333333"/>
          <w:lang w:val="en-IE"/>
        </w:rPr>
        <w:t xml:space="preserve"> the Council, </w:t>
      </w:r>
      <w:r w:rsidR="00A8317C" w:rsidRPr="004C70EC">
        <w:rPr>
          <w:rFonts w:eastAsia="Arial Narrow"/>
          <w:i/>
          <w:color w:val="333333"/>
          <w:lang w:val="en-IE"/>
        </w:rPr>
        <w:t>Data Union Strategy Unlocking</w:t>
      </w:r>
      <w:r w:rsidR="00780526" w:rsidRPr="004C70EC" w:rsidDel="001A639D">
        <w:rPr>
          <w:rFonts w:eastAsia="Arial Narrow"/>
          <w:i/>
          <w:color w:val="333333"/>
          <w:lang w:val="en-IE"/>
        </w:rPr>
        <w:t xml:space="preserve"> </w:t>
      </w:r>
      <w:r w:rsidR="008C0ABC" w:rsidRPr="004C70EC">
        <w:rPr>
          <w:rFonts w:eastAsia="Arial Narrow"/>
          <w:i/>
          <w:iCs/>
          <w:color w:val="333333"/>
          <w:lang w:val="en-IE"/>
        </w:rPr>
        <w:t>Data for AI</w:t>
      </w:r>
      <w:r w:rsidR="008C0ABC" w:rsidRPr="004C70EC">
        <w:rPr>
          <w:rFonts w:eastAsia="Arial Narrow"/>
          <w:color w:val="333333"/>
          <w:lang w:val="en-IE"/>
        </w:rPr>
        <w:t xml:space="preserve">, </w:t>
      </w:r>
      <w:r w:rsidR="00A01508" w:rsidRPr="004C70EC">
        <w:rPr>
          <w:rFonts w:eastAsia="Arial Narrow"/>
          <w:color w:val="333333"/>
        </w:rPr>
        <w:t>COM(2025) 835 final</w:t>
      </w:r>
      <w:r w:rsidR="00B9271E" w:rsidRPr="004C70EC">
        <w:rPr>
          <w:rFonts w:eastAsia="Arial Narrow"/>
          <w:color w:val="333333"/>
        </w:rPr>
        <w:t>.</w:t>
      </w:r>
    </w:p>
  </w:footnote>
  <w:footnote w:id="36">
    <w:p w14:paraId="4F60E75A" w14:textId="77777777" w:rsidR="005257E7" w:rsidRPr="004C70EC" w:rsidRDefault="005257E7" w:rsidP="00157D85">
      <w:pPr>
        <w:pStyle w:val="FootnoteText"/>
        <w:rPr>
          <w:lang w:val="en-IE"/>
        </w:rPr>
      </w:pPr>
      <w:r w:rsidRPr="004C70EC">
        <w:rPr>
          <w:rStyle w:val="FootnoteReference"/>
        </w:rPr>
        <w:footnoteRef/>
      </w:r>
      <w:r w:rsidR="00157D85" w:rsidRPr="004C70EC">
        <w:rPr>
          <w:rFonts w:eastAsia="Arial Narrow"/>
          <w:lang w:val="en-IE"/>
        </w:rPr>
        <w:tab/>
      </w:r>
      <w:r w:rsidR="0043270D" w:rsidRPr="004C70EC">
        <w:rPr>
          <w:rFonts w:eastAsia="Arial Narrow"/>
          <w:color w:val="333333"/>
        </w:rPr>
        <w:t xml:space="preserve">Communication from the European Parliament, the Council, the European Economic and Social Committee and the Committee of the Regions, </w:t>
      </w:r>
      <w:r w:rsidR="0043270D" w:rsidRPr="004C70EC">
        <w:rPr>
          <w:rFonts w:eastAsia="Arial Narrow"/>
          <w:i/>
          <w:iCs/>
          <w:color w:val="333333"/>
        </w:rPr>
        <w:t>A Vision for Agriculture and Food Shaping together an attractive farming and agri-food sector for future generations</w:t>
      </w:r>
      <w:r w:rsidR="0043270D" w:rsidRPr="004C70EC">
        <w:rPr>
          <w:rFonts w:eastAsia="Arial Narrow"/>
          <w:color w:val="333333"/>
        </w:rPr>
        <w:t>, COM/2025/75 final</w:t>
      </w:r>
    </w:p>
  </w:footnote>
  <w:footnote w:id="37">
    <w:p w14:paraId="53984967" w14:textId="77777777" w:rsidR="00E934F2" w:rsidRPr="004C70EC" w:rsidRDefault="00E934F2" w:rsidP="00E934F2">
      <w:pPr>
        <w:pStyle w:val="FootnoteText"/>
      </w:pPr>
      <w:r w:rsidRPr="004C70EC">
        <w:rPr>
          <w:rStyle w:val="FootnoteReference"/>
          <w:rFonts w:eastAsia="Arial Narrow"/>
        </w:rPr>
        <w:footnoteRef/>
      </w:r>
      <w:r w:rsidR="00157D85" w:rsidRPr="004C70EC">
        <w:rPr>
          <w:rFonts w:eastAsia="Arial Narrow"/>
        </w:rPr>
        <w:tab/>
      </w:r>
      <w:r w:rsidRPr="004C70EC">
        <w:rPr>
          <w:rFonts w:eastAsia="Arial Narrow"/>
        </w:rPr>
        <w:t xml:space="preserve">European Commission </w:t>
      </w:r>
      <w:r w:rsidR="0070048C" w:rsidRPr="004C70EC">
        <w:rPr>
          <w:rFonts w:eastAsia="Arial Narrow"/>
        </w:rPr>
        <w:t>‘</w:t>
      </w:r>
      <w:r w:rsidRPr="004C70EC">
        <w:rPr>
          <w:rFonts w:eastAsia="Arial Narrow"/>
        </w:rPr>
        <w:t xml:space="preserve">Have </w:t>
      </w:r>
      <w:r w:rsidR="0070048C" w:rsidRPr="004C70EC">
        <w:rPr>
          <w:rFonts w:eastAsia="Arial Narrow"/>
        </w:rPr>
        <w:t>y</w:t>
      </w:r>
      <w:r w:rsidRPr="004C70EC">
        <w:rPr>
          <w:rFonts w:eastAsia="Arial Narrow"/>
        </w:rPr>
        <w:t xml:space="preserve">our </w:t>
      </w:r>
      <w:r w:rsidR="0070048C" w:rsidRPr="004C70EC">
        <w:rPr>
          <w:rFonts w:eastAsia="Arial Narrow"/>
        </w:rPr>
        <w:t>s</w:t>
      </w:r>
      <w:r w:rsidRPr="004C70EC">
        <w:rPr>
          <w:rFonts w:eastAsia="Arial Narrow"/>
        </w:rPr>
        <w:t>ay</w:t>
      </w:r>
      <w:r w:rsidR="0070048C" w:rsidRPr="004C70EC">
        <w:rPr>
          <w:rFonts w:eastAsia="Arial Narrow"/>
        </w:rPr>
        <w:t>’</w:t>
      </w:r>
      <w:r w:rsidRPr="004C70EC">
        <w:rPr>
          <w:rFonts w:eastAsia="Arial Narrow"/>
        </w:rPr>
        <w:t xml:space="preserve"> website: </w:t>
      </w:r>
      <w:hyperlink r:id="rId26" w:history="1">
        <w:r w:rsidRPr="004C70EC">
          <w:rPr>
            <w:rStyle w:val="Hyperlink"/>
            <w:rFonts w:eastAsia="Arial Narrow"/>
          </w:rPr>
          <w:t>https://ec.europa.eu/info/law/better-regulation/have-your-say/initiatives/14593-European-Innovation-Act_en</w:t>
        </w:r>
      </w:hyperlink>
      <w:r w:rsidRPr="004C70EC">
        <w:rPr>
          <w:rFonts w:eastAsia="Arial Narrow"/>
        </w:rPr>
        <w:t xml:space="preserve"> </w:t>
      </w:r>
    </w:p>
  </w:footnote>
  <w:footnote w:id="38">
    <w:p w14:paraId="1444C8DD" w14:textId="77777777" w:rsidR="00E934F2" w:rsidRPr="004C70EC" w:rsidRDefault="00E934F2" w:rsidP="00E934F2">
      <w:pPr>
        <w:pStyle w:val="FootnoteText"/>
      </w:pPr>
      <w:r w:rsidRPr="004C70EC">
        <w:rPr>
          <w:rStyle w:val="FootnoteReference"/>
          <w:rFonts w:eastAsia="Arial Narrow"/>
        </w:rPr>
        <w:footnoteRef/>
      </w:r>
      <w:r w:rsidR="00157D85" w:rsidRPr="004C70EC">
        <w:rPr>
          <w:rFonts w:eastAsia="Arial Narrow"/>
        </w:rPr>
        <w:tab/>
      </w:r>
      <w:r w:rsidRPr="004C70EC">
        <w:rPr>
          <w:rFonts w:eastAsia="Arial Narrow"/>
        </w:rPr>
        <w:t xml:space="preserve">European Commission </w:t>
      </w:r>
      <w:r w:rsidR="0070048C" w:rsidRPr="004C70EC">
        <w:rPr>
          <w:rFonts w:eastAsia="Arial Narrow"/>
        </w:rPr>
        <w:t>‘</w:t>
      </w:r>
      <w:r w:rsidRPr="004C70EC">
        <w:rPr>
          <w:rFonts w:eastAsia="Arial Narrow"/>
        </w:rPr>
        <w:t xml:space="preserve">Have </w:t>
      </w:r>
      <w:r w:rsidR="0070048C" w:rsidRPr="004C70EC">
        <w:rPr>
          <w:rFonts w:eastAsia="Arial Narrow"/>
        </w:rPr>
        <w:t>y</w:t>
      </w:r>
      <w:r w:rsidRPr="004C70EC">
        <w:rPr>
          <w:rFonts w:eastAsia="Arial Narrow"/>
        </w:rPr>
        <w:t xml:space="preserve">our </w:t>
      </w:r>
      <w:r w:rsidR="0070048C" w:rsidRPr="004C70EC">
        <w:rPr>
          <w:rFonts w:eastAsia="Arial Narrow"/>
        </w:rPr>
        <w:t>s</w:t>
      </w:r>
      <w:r w:rsidRPr="004C70EC">
        <w:rPr>
          <w:rFonts w:eastAsia="Arial Narrow"/>
        </w:rPr>
        <w:t>ay</w:t>
      </w:r>
      <w:r w:rsidR="0070048C" w:rsidRPr="004C70EC">
        <w:rPr>
          <w:rFonts w:eastAsia="Arial Narrow"/>
        </w:rPr>
        <w:t>’</w:t>
      </w:r>
      <w:r w:rsidRPr="004C70EC">
        <w:rPr>
          <w:rFonts w:eastAsia="Arial Narrow"/>
        </w:rPr>
        <w:t xml:space="preserve"> website: </w:t>
      </w:r>
      <w:hyperlink r:id="rId27" w:history="1">
        <w:r w:rsidRPr="004C70EC">
          <w:rPr>
            <w:rStyle w:val="Hyperlink"/>
            <w:rFonts w:eastAsia="Arial Narrow"/>
          </w:rPr>
          <w:t>https://ec.europa.eu/info/law/better-regulation/have-your-say/initiatives/14555-Towards-a-circular-regenerative-and-competitive-bioeconomy_en</w:t>
        </w:r>
      </w:hyperlink>
      <w:r w:rsidRPr="004C70EC">
        <w:rPr>
          <w:rFonts w:eastAsia="Arial Narrow"/>
        </w:rPr>
        <w:t xml:space="preserve"> </w:t>
      </w:r>
    </w:p>
  </w:footnote>
  <w:footnote w:id="39">
    <w:p w14:paraId="2DDA94F6" w14:textId="77777777" w:rsidR="008079CD" w:rsidRPr="004C70EC" w:rsidRDefault="008079CD">
      <w:pPr>
        <w:pStyle w:val="FootnoteText"/>
        <w:rPr>
          <w:lang w:val="en-US"/>
        </w:rPr>
      </w:pPr>
      <w:r w:rsidRPr="004C70EC">
        <w:rPr>
          <w:rStyle w:val="FootnoteReference"/>
        </w:rPr>
        <w:footnoteRef/>
      </w:r>
      <w:r w:rsidR="001122E0" w:rsidRPr="004C70EC">
        <w:tab/>
      </w:r>
      <w:r w:rsidR="00CF62C1" w:rsidRPr="004C70EC">
        <w:t xml:space="preserve">Communication from the Commission to the European Parliament, the Council, the European Economic and Social Committee and the Committee of the Regions, </w:t>
      </w:r>
      <w:r w:rsidR="00CF62C1" w:rsidRPr="004C70EC">
        <w:rPr>
          <w:i/>
          <w:iCs/>
        </w:rPr>
        <w:t>A Farm to Fork Strategy for a fair, healthy and environmentally-friendly food system</w:t>
      </w:r>
      <w:r w:rsidR="00CF62C1" w:rsidRPr="004C70EC">
        <w:t>, COM/2020/381 final</w:t>
      </w:r>
    </w:p>
  </w:footnote>
  <w:footnote w:id="40">
    <w:p w14:paraId="35917091" w14:textId="77777777" w:rsidR="008079CD" w:rsidRPr="004C70EC" w:rsidRDefault="008079CD">
      <w:pPr>
        <w:pStyle w:val="FootnoteText"/>
        <w:rPr>
          <w:lang w:val="en-US"/>
        </w:rPr>
      </w:pPr>
      <w:r w:rsidRPr="004C70EC">
        <w:rPr>
          <w:rStyle w:val="FootnoteReference"/>
        </w:rPr>
        <w:footnoteRef/>
      </w:r>
      <w:r w:rsidR="001122E0" w:rsidRPr="004C70EC">
        <w:tab/>
      </w:r>
      <w:r w:rsidR="001D421F" w:rsidRPr="004C70EC">
        <w:rPr>
          <w:rFonts w:eastAsia="Arial Narrow"/>
          <w:color w:val="333333"/>
          <w:lang w:val="en-IE"/>
        </w:rPr>
        <w:t xml:space="preserve">Communication from the Commission to the European Parliament, the Council, the European Economic and Social Committee and the Committee of the Regions, </w:t>
      </w:r>
      <w:r w:rsidR="001D421F" w:rsidRPr="004C70EC">
        <w:rPr>
          <w:rFonts w:eastAsia="Arial Narrow"/>
          <w:i/>
          <w:color w:val="333333"/>
          <w:lang w:val="en-IE"/>
        </w:rPr>
        <w:t>The European Green Deal</w:t>
      </w:r>
      <w:r w:rsidR="001D421F" w:rsidRPr="004C70EC">
        <w:rPr>
          <w:rFonts w:eastAsia="Arial Narrow"/>
          <w:color w:val="333333"/>
          <w:lang w:val="en-IE"/>
        </w:rPr>
        <w:t xml:space="preserve">, </w:t>
      </w:r>
      <w:r w:rsidR="001D421F" w:rsidRPr="004C70EC">
        <w:rPr>
          <w:rFonts w:eastAsia="Arial Narrow"/>
          <w:color w:val="333333"/>
        </w:rPr>
        <w:t>COM/2019/640 final.</w:t>
      </w:r>
    </w:p>
  </w:footnote>
  <w:footnote w:id="41">
    <w:p w14:paraId="2798444B" w14:textId="77777777" w:rsidR="008079CD" w:rsidRPr="004C70EC" w:rsidRDefault="008079CD" w:rsidP="008079CD">
      <w:pPr>
        <w:pStyle w:val="FootnoteText"/>
        <w:rPr>
          <w:lang w:val="en-IE"/>
        </w:rPr>
      </w:pPr>
      <w:r w:rsidRPr="004C70EC">
        <w:rPr>
          <w:rStyle w:val="FootnoteReference"/>
        </w:rPr>
        <w:footnoteRef/>
      </w:r>
      <w:r w:rsidR="001122E0" w:rsidRPr="004C70EC">
        <w:tab/>
      </w:r>
      <w:r w:rsidR="00DB4720" w:rsidRPr="004C70EC">
        <w:t>Regulation (EU) 2021/1119 of the European Parliament and of the Council of 30 June 2021 establishing the framework for achieving climate neutrality and amending Regulations (EC) No 401/2009 and (EU) 2018/1999 (‘European Climate Law’), OJ L 243, 9.7.2021, pp. 1–17</w:t>
      </w:r>
      <w:r w:rsidR="00413959" w:rsidRPr="004C70EC">
        <w:t>.</w:t>
      </w:r>
      <w:r w:rsidR="00DB4720" w:rsidRPr="004C70EC">
        <w:t xml:space="preserve"> </w:t>
      </w:r>
      <w:r w:rsidR="00DB4720" w:rsidRPr="004C70EC">
        <w:rPr>
          <w:lang w:val="en-IE"/>
        </w:rPr>
        <w:t xml:space="preserve">ELI: </w:t>
      </w:r>
      <w:hyperlink r:id="rId28" w:history="1">
        <w:r w:rsidR="00662487" w:rsidRPr="004C70EC">
          <w:rPr>
            <w:rStyle w:val="Hyperlink"/>
            <w:lang w:val="en-IE"/>
          </w:rPr>
          <w:t>http://data.europa.eu/eli/reg/2021/1119/oj</w:t>
        </w:r>
      </w:hyperlink>
      <w:r w:rsidR="00662487" w:rsidRPr="004C70EC">
        <w:rPr>
          <w:lang w:val="en-IE"/>
        </w:rPr>
        <w:t xml:space="preserve">. </w:t>
      </w:r>
    </w:p>
  </w:footnote>
  <w:footnote w:id="42">
    <w:p w14:paraId="1780AE04" w14:textId="77777777" w:rsidR="008079CD" w:rsidRPr="004C70EC" w:rsidRDefault="008079CD" w:rsidP="008079CD">
      <w:pPr>
        <w:pStyle w:val="FootnoteText"/>
        <w:rPr>
          <w:lang w:val="en-US"/>
        </w:rPr>
      </w:pPr>
      <w:r w:rsidRPr="004C70EC">
        <w:rPr>
          <w:rStyle w:val="FootnoteReference"/>
        </w:rPr>
        <w:footnoteRef/>
      </w:r>
      <w:r w:rsidR="001122E0" w:rsidRPr="004C70EC">
        <w:tab/>
      </w:r>
      <w:r w:rsidR="0077278D" w:rsidRPr="004C70EC">
        <w:t xml:space="preserve">Communication from the Commission to the European Parliament, the Council, the European Economic and Social Committee and the Committee of the Regions, </w:t>
      </w:r>
      <w:r w:rsidR="0077278D" w:rsidRPr="002D7694">
        <w:rPr>
          <w:i/>
        </w:rPr>
        <w:t>Forging a climate-resilient Europe - the new EU Strategy on Adaptation to Climate Change</w:t>
      </w:r>
      <w:r w:rsidR="0077278D" w:rsidRPr="004C70EC">
        <w:t>, COM/2021/82 final</w:t>
      </w:r>
    </w:p>
  </w:footnote>
  <w:footnote w:id="43">
    <w:p w14:paraId="3EA08ED8" w14:textId="77777777" w:rsidR="71F0A40A" w:rsidRPr="004C70EC" w:rsidRDefault="71F0A40A" w:rsidP="004A1163">
      <w:pPr>
        <w:pStyle w:val="FootnoteText"/>
        <w:rPr>
          <w:rFonts w:eastAsia="Times New Roman"/>
          <w:color w:val="333333"/>
        </w:rPr>
      </w:pPr>
      <w:r w:rsidRPr="004C70EC">
        <w:rPr>
          <w:rStyle w:val="FootnoteReference"/>
        </w:rPr>
        <w:footnoteRef/>
      </w:r>
      <w:r w:rsidR="005A39B3" w:rsidRPr="004C70EC">
        <w:tab/>
      </w:r>
      <w:r w:rsidR="24A05606" w:rsidRPr="004C70EC">
        <w:rPr>
          <w:rFonts w:eastAsia="Times New Roman"/>
          <w:color w:val="333333"/>
        </w:rPr>
        <w:t xml:space="preserve">Consolidated text: 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 (Text with EEA relevance). ELI: </w:t>
      </w:r>
      <w:hyperlink r:id="rId29" w:history="1">
        <w:r w:rsidR="24A05606" w:rsidRPr="004C70EC">
          <w:rPr>
            <w:rStyle w:val="Hyperlink"/>
            <w:rFonts w:eastAsia="Times New Roman"/>
            <w:color w:val="333333"/>
          </w:rPr>
          <w:t>http://data.europa.eu/eli/reg/2006/1907/2025-09-01</w:t>
        </w:r>
      </w:hyperlink>
    </w:p>
  </w:footnote>
  <w:footnote w:id="44">
    <w:p w14:paraId="3094C192" w14:textId="77777777" w:rsidR="2EBEC980" w:rsidRPr="004C70EC" w:rsidRDefault="2EBEC980" w:rsidP="004A1163">
      <w:pPr>
        <w:pStyle w:val="FootnoteText"/>
        <w:rPr>
          <w:rFonts w:eastAsia="Times New Roman"/>
          <w:color w:val="333333"/>
        </w:rPr>
      </w:pPr>
      <w:r w:rsidRPr="004C70EC">
        <w:rPr>
          <w:rStyle w:val="FootnoteReference"/>
        </w:rPr>
        <w:footnoteRef/>
      </w:r>
      <w:r w:rsidR="005A39B3" w:rsidRPr="004C70EC">
        <w:tab/>
      </w:r>
      <w:r w:rsidRPr="004C70EC">
        <w:rPr>
          <w:rFonts w:eastAsia="Times New Roman"/>
          <w:color w:val="333333"/>
        </w:rPr>
        <w:t xml:space="preserve">Consolidated text: Regulation (EU) 2024/1735 of the European Parliament and of the Council of 13 June 2024 on establishing a framework of measures for strengthening Europe’s net-zero technology manufacturing ecosystem and amending Regulation (EU) 2018/1724 (Text with EEA relevance). </w:t>
      </w:r>
      <w:r w:rsidR="6DEDC6FC" w:rsidRPr="004C70EC">
        <w:rPr>
          <w:rFonts w:eastAsia="Times New Roman"/>
          <w:color w:val="333333"/>
        </w:rPr>
        <w:t xml:space="preserve">ELI: </w:t>
      </w:r>
      <w:hyperlink r:id="rId30" w:history="1">
        <w:r w:rsidR="6DEDC6FC" w:rsidRPr="004C70EC">
          <w:rPr>
            <w:rStyle w:val="Hyperlink"/>
            <w:rFonts w:eastAsia="Times New Roman"/>
            <w:color w:val="333333"/>
          </w:rPr>
          <w:t>http://data.europa.eu/eli/reg/2024/1735/2025-08-17</w:t>
        </w:r>
      </w:hyperlink>
    </w:p>
  </w:footnote>
  <w:footnote w:id="45">
    <w:p w14:paraId="55D2D45B" w14:textId="77777777" w:rsidR="0015562D" w:rsidRPr="004C70EC" w:rsidRDefault="0015562D">
      <w:pPr>
        <w:pStyle w:val="FootnoteText"/>
        <w:rPr>
          <w:lang w:val="en-IE"/>
        </w:rPr>
      </w:pPr>
      <w:r w:rsidRPr="004C70EC">
        <w:rPr>
          <w:rStyle w:val="FootnoteReference"/>
        </w:rPr>
        <w:footnoteRef/>
      </w:r>
      <w:r w:rsidR="00E87574" w:rsidRPr="004C70EC">
        <w:tab/>
        <w:t>Regulation (EU) 2024/1689 of the European Parliament and of the Council of 13 June 2024 laying down harmonised rules on artificial intelligence and amending Regulations (EC) No 300/2008, (EU) No 167/2013, (EU) No 168/2013, (EU) 2018/858, (EU) 2018/1139 and (EU) 2019/2144 and Directives 2014/90/EU, (EU) 2016/797 and (EU) 2020/1828 (Artificial Intelligence Act) (Text with EEA relevance)</w:t>
      </w:r>
      <w:r w:rsidR="00514282" w:rsidRPr="004C70EC">
        <w:t xml:space="preserve">, </w:t>
      </w:r>
      <w:r w:rsidR="00514282" w:rsidRPr="004C70EC">
        <w:rPr>
          <w:i/>
          <w:iCs/>
        </w:rPr>
        <w:t>OJ L, 2024/1689, 12.7.2024</w:t>
      </w:r>
      <w:r w:rsidR="00276C11" w:rsidRPr="004C70EC">
        <w:rPr>
          <w:i/>
          <w:iCs/>
        </w:rPr>
        <w:t xml:space="preserve">. </w:t>
      </w:r>
      <w:r w:rsidR="00276C11" w:rsidRPr="004C70EC">
        <w:t>ELI: </w:t>
      </w:r>
      <w:hyperlink r:id="rId31" w:tgtFrame="_blank" w:tooltip="Gives access to this document through its ELI URI." w:history="1">
        <w:r w:rsidR="00276C11" w:rsidRPr="004C70EC">
          <w:rPr>
            <w:rStyle w:val="Hyperlink"/>
          </w:rPr>
          <w:t>http://data.europa.eu/eli/reg/2024/1689/oj</w:t>
        </w:r>
      </w:hyperlink>
      <w:r w:rsidR="00276C11" w:rsidRPr="004C70EC">
        <w:rPr>
          <w:i/>
          <w:iCs/>
        </w:rPr>
        <w:t> </w:t>
      </w:r>
    </w:p>
  </w:footnote>
  <w:footnote w:id="46">
    <w:p w14:paraId="14298A7E" w14:textId="77777777" w:rsidR="0015562D" w:rsidRPr="004C70EC" w:rsidRDefault="0015562D">
      <w:pPr>
        <w:pStyle w:val="FootnoteText"/>
        <w:rPr>
          <w:lang w:val="en-IE"/>
        </w:rPr>
      </w:pPr>
      <w:r w:rsidRPr="004C70EC">
        <w:rPr>
          <w:rStyle w:val="FootnoteReference"/>
        </w:rPr>
        <w:footnoteRef/>
      </w:r>
      <w:r w:rsidR="00C45C71" w:rsidRPr="004C70EC">
        <w:tab/>
        <w:t>Regulation (EU) 2019/881 of the European Parliament and of the Council of 17 April 2019 on ENISA (the European Union Agency for Cybersecurity) and on information and communications technology cybersecurity certification and repealing Regulation (EU) No 526/2013 (Cybersecurity Act) (Text with EEA relevance)</w:t>
      </w:r>
      <w:r w:rsidR="005808FC" w:rsidRPr="004C70EC">
        <w:t xml:space="preserve">, </w:t>
      </w:r>
      <w:r w:rsidR="005808FC" w:rsidRPr="004C70EC">
        <w:rPr>
          <w:i/>
          <w:iCs/>
        </w:rPr>
        <w:t>OJ L 151, 7.6.2019, pp. 15–69.</w:t>
      </w:r>
      <w:r w:rsidR="00F02DBA" w:rsidRPr="004C70EC">
        <w:rPr>
          <w:i/>
          <w:iCs/>
        </w:rPr>
        <w:t xml:space="preserve"> </w:t>
      </w:r>
      <w:r w:rsidR="00F02DBA" w:rsidRPr="004C70EC">
        <w:t>ELI: </w:t>
      </w:r>
      <w:hyperlink r:id="rId32" w:tooltip="Gives access to this document through its ELI URI." w:history="1">
        <w:r w:rsidR="00F02DBA" w:rsidRPr="004C70EC">
          <w:rPr>
            <w:rStyle w:val="Hyperlink"/>
          </w:rPr>
          <w:t>http://data.europa.eu/eli/reg/2019/881/oj</w:t>
        </w:r>
      </w:hyperlink>
    </w:p>
  </w:footnote>
  <w:footnote w:id="47">
    <w:p w14:paraId="18B2B8AD" w14:textId="77777777" w:rsidR="00E934F2" w:rsidRPr="004C70EC" w:rsidRDefault="00E934F2" w:rsidP="00E934F2">
      <w:pPr>
        <w:pStyle w:val="FootnoteText"/>
      </w:pPr>
      <w:r w:rsidRPr="004C70EC">
        <w:rPr>
          <w:rStyle w:val="FootnoteReference"/>
          <w:rFonts w:eastAsia="Arial Narrow"/>
        </w:rPr>
        <w:footnoteRef/>
      </w:r>
      <w:r w:rsidR="00DA6D02" w:rsidRPr="004C70EC">
        <w:rPr>
          <w:rFonts w:eastAsia="Arial Narrow"/>
        </w:rPr>
        <w:tab/>
      </w:r>
      <w:r w:rsidR="33CE1D06" w:rsidRPr="004C70EC">
        <w:rPr>
          <w:rFonts w:eastAsia="Arial Narrow"/>
        </w:rPr>
        <w:t xml:space="preserve">European Commission </w:t>
      </w:r>
      <w:r w:rsidR="008B33A5" w:rsidRPr="004C70EC">
        <w:rPr>
          <w:rFonts w:eastAsia="Arial Narrow"/>
        </w:rPr>
        <w:t>‘</w:t>
      </w:r>
      <w:r w:rsidR="33CE1D06" w:rsidRPr="004C70EC">
        <w:rPr>
          <w:rFonts w:eastAsia="Arial Narrow"/>
        </w:rPr>
        <w:t xml:space="preserve">Have </w:t>
      </w:r>
      <w:r w:rsidR="008B33A5" w:rsidRPr="004C70EC">
        <w:rPr>
          <w:rFonts w:eastAsia="Arial Narrow"/>
        </w:rPr>
        <w:t>y</w:t>
      </w:r>
      <w:r w:rsidR="33CE1D06" w:rsidRPr="004C70EC">
        <w:rPr>
          <w:rFonts w:eastAsia="Arial Narrow"/>
        </w:rPr>
        <w:t xml:space="preserve">our </w:t>
      </w:r>
      <w:r w:rsidR="008B33A5" w:rsidRPr="004C70EC">
        <w:rPr>
          <w:rFonts w:eastAsia="Arial Narrow"/>
        </w:rPr>
        <w:t>s</w:t>
      </w:r>
      <w:r w:rsidR="33CE1D06" w:rsidRPr="004C70EC">
        <w:rPr>
          <w:rFonts w:eastAsia="Arial Narrow"/>
        </w:rPr>
        <w:t>ay</w:t>
      </w:r>
      <w:r w:rsidR="008B33A5" w:rsidRPr="004C70EC">
        <w:rPr>
          <w:rFonts w:eastAsia="Arial Narrow"/>
        </w:rPr>
        <w:t>’</w:t>
      </w:r>
      <w:r w:rsidR="33CE1D06" w:rsidRPr="004C70EC">
        <w:rPr>
          <w:rFonts w:eastAsia="Arial Narrow"/>
        </w:rPr>
        <w:t xml:space="preserve"> website: </w:t>
      </w:r>
      <w:hyperlink r:id="rId33" w:history="1">
        <w:r w:rsidR="33CE1D06" w:rsidRPr="004C70EC">
          <w:rPr>
            <w:rStyle w:val="Hyperlink"/>
            <w:rFonts w:eastAsia="Arial Narrow"/>
          </w:rPr>
          <w:t>https://ec.europa.eu/info/law/better-regulation/have-your-say/initiatives/14627-Biotech-Act_en</w:t>
        </w:r>
      </w:hyperlink>
      <w:r w:rsidR="33CE1D06" w:rsidRPr="004C70EC">
        <w:rPr>
          <w:rFonts w:eastAsia="Arial Narrow"/>
        </w:rPr>
        <w:t xml:space="preserve"> </w:t>
      </w:r>
    </w:p>
  </w:footnote>
  <w:footnote w:id="48">
    <w:p w14:paraId="1B638178" w14:textId="77777777" w:rsidR="33CE1D06" w:rsidRPr="004C70EC" w:rsidRDefault="33CE1D06" w:rsidP="00157D85">
      <w:pPr>
        <w:pStyle w:val="FootnoteText"/>
      </w:pPr>
      <w:r w:rsidRPr="004C70EC">
        <w:rPr>
          <w:rStyle w:val="FootnoteReference"/>
        </w:rPr>
        <w:footnoteRef/>
      </w:r>
      <w:r w:rsidR="00157D85" w:rsidRPr="004C70EC">
        <w:tab/>
      </w:r>
      <w:r w:rsidRPr="004C70EC">
        <w:t>Three submissions were received from a single respondent and have been counted as one response. Two submissions were received from another respondent and have been counted as one response.</w:t>
      </w:r>
    </w:p>
  </w:footnote>
  <w:footnote w:id="49">
    <w:p w14:paraId="536A8A0C" w14:textId="77777777" w:rsidR="00E934F2" w:rsidRPr="004C70EC" w:rsidRDefault="00E934F2" w:rsidP="00E934F2">
      <w:pPr>
        <w:pStyle w:val="FootnoteText"/>
      </w:pPr>
      <w:r w:rsidRPr="004C70EC">
        <w:rPr>
          <w:rStyle w:val="FootnoteReference"/>
          <w:rFonts w:eastAsia="Arial Narrow"/>
        </w:rPr>
        <w:footnoteRef/>
      </w:r>
      <w:r w:rsidR="00DA6D02" w:rsidRPr="004C70EC">
        <w:rPr>
          <w:rFonts w:eastAsia="Arial Narrow"/>
        </w:rPr>
        <w:tab/>
      </w:r>
      <w:r w:rsidR="004A060B" w:rsidRPr="004C70EC">
        <w:rPr>
          <w:rFonts w:eastAsia="Arial Narrow"/>
        </w:rPr>
        <w:t>Three</w:t>
      </w:r>
      <w:r w:rsidR="33CE1D06" w:rsidRPr="004C70EC">
        <w:rPr>
          <w:rFonts w:eastAsia="Arial Narrow"/>
        </w:rPr>
        <w:t xml:space="preserve"> respondents that selected trade unions are analysed together with business associations as representing the industry.</w:t>
      </w:r>
    </w:p>
  </w:footnote>
  <w:footnote w:id="50">
    <w:p w14:paraId="393EC3B4" w14:textId="77777777" w:rsidR="00E934F2" w:rsidRPr="004C70EC" w:rsidRDefault="00E934F2" w:rsidP="00E934F2">
      <w:pPr>
        <w:pStyle w:val="FootnoteText"/>
      </w:pPr>
      <w:r w:rsidRPr="004C70EC">
        <w:rPr>
          <w:rStyle w:val="FootnoteReference"/>
          <w:rFonts w:eastAsia="Arial Narrow"/>
        </w:rPr>
        <w:footnoteRef/>
      </w:r>
      <w:r w:rsidR="00DA6D02" w:rsidRPr="004C70EC">
        <w:rPr>
          <w:rFonts w:eastAsia="Arial Narrow"/>
        </w:rPr>
        <w:tab/>
      </w:r>
      <w:r w:rsidR="33CE1D06" w:rsidRPr="004C70EC">
        <w:rPr>
          <w:rFonts w:eastAsia="Arial Narrow"/>
        </w:rPr>
        <w:t>In the analysis, they are grouped together with feedback from NGOs.</w:t>
      </w:r>
    </w:p>
  </w:footnote>
  <w:footnote w:id="51">
    <w:p w14:paraId="37E6A5F6" w14:textId="77777777" w:rsidR="00E934F2" w:rsidRPr="004C70EC" w:rsidRDefault="00E934F2" w:rsidP="00E934F2">
      <w:pPr>
        <w:pStyle w:val="FootnoteText"/>
      </w:pPr>
      <w:r w:rsidRPr="004C70EC">
        <w:rPr>
          <w:rStyle w:val="FootnoteReference"/>
          <w:rFonts w:eastAsia="Arial Narrow"/>
        </w:rPr>
        <w:footnoteRef/>
      </w:r>
      <w:r w:rsidR="00DA6D02" w:rsidRPr="004C70EC">
        <w:rPr>
          <w:rFonts w:eastAsia="Arial Narrow"/>
        </w:rPr>
        <w:tab/>
      </w:r>
      <w:r w:rsidR="33CE1D06" w:rsidRPr="004C70EC">
        <w:rPr>
          <w:rFonts w:eastAsia="Arial Narrow"/>
        </w:rPr>
        <w:t xml:space="preserve">European Commission </w:t>
      </w:r>
      <w:r w:rsidR="008B33A5" w:rsidRPr="004C70EC">
        <w:rPr>
          <w:rFonts w:eastAsia="Arial Narrow"/>
        </w:rPr>
        <w:t>‘</w:t>
      </w:r>
      <w:r w:rsidR="33CE1D06" w:rsidRPr="004C70EC">
        <w:rPr>
          <w:rFonts w:eastAsia="Arial Narrow"/>
        </w:rPr>
        <w:t xml:space="preserve">Have </w:t>
      </w:r>
      <w:r w:rsidR="008B33A5" w:rsidRPr="004C70EC">
        <w:rPr>
          <w:rFonts w:eastAsia="Arial Narrow"/>
        </w:rPr>
        <w:t>y</w:t>
      </w:r>
      <w:r w:rsidR="33CE1D06" w:rsidRPr="004C70EC">
        <w:rPr>
          <w:rFonts w:eastAsia="Arial Narrow"/>
        </w:rPr>
        <w:t xml:space="preserve">our </w:t>
      </w:r>
      <w:r w:rsidR="008B33A5" w:rsidRPr="004C70EC">
        <w:rPr>
          <w:rFonts w:eastAsia="Arial Narrow"/>
        </w:rPr>
        <w:t>s</w:t>
      </w:r>
      <w:r w:rsidR="33CE1D06" w:rsidRPr="004C70EC">
        <w:rPr>
          <w:rFonts w:eastAsia="Arial Narrow"/>
        </w:rPr>
        <w:t>ay</w:t>
      </w:r>
      <w:r w:rsidR="008B33A5" w:rsidRPr="004C70EC">
        <w:rPr>
          <w:rFonts w:eastAsia="Arial Narrow"/>
        </w:rPr>
        <w:t>’</w:t>
      </w:r>
      <w:r w:rsidR="33CE1D06" w:rsidRPr="004C70EC">
        <w:rPr>
          <w:rFonts w:eastAsia="Arial Narrow"/>
        </w:rPr>
        <w:t xml:space="preserve"> website: </w:t>
      </w:r>
      <w:hyperlink r:id="rId34" w:history="1">
        <w:r w:rsidR="33CE1D06" w:rsidRPr="004C70EC">
          <w:rPr>
            <w:rStyle w:val="Hyperlink"/>
            <w:rFonts w:eastAsia="Arial Narrow"/>
          </w:rPr>
          <w:t>https://ec.europa.eu/info/law/better-regulation/have-your-say/initiatives/14627-Biotech-Act/public-consultation_en</w:t>
        </w:r>
      </w:hyperlink>
      <w:r w:rsidR="33CE1D06" w:rsidRPr="004C70EC">
        <w:rPr>
          <w:rFonts w:eastAsia="Arial Narrow"/>
        </w:rPr>
        <w:t xml:space="preserve"> </w:t>
      </w:r>
    </w:p>
  </w:footnote>
  <w:footnote w:id="52">
    <w:p w14:paraId="2679927B" w14:textId="77777777" w:rsidR="00E934F2" w:rsidRPr="004C70EC" w:rsidRDefault="00487F7C" w:rsidP="00157D85">
      <w:pPr>
        <w:pStyle w:val="FootnoteText"/>
      </w:pPr>
      <w:r w:rsidRPr="004C70EC">
        <w:rPr>
          <w:rStyle w:val="FootnoteReference"/>
        </w:rPr>
        <w:footnoteRef/>
      </w:r>
      <w:r w:rsidRPr="004C70EC">
        <w:tab/>
      </w:r>
      <w:r w:rsidR="008B33A5" w:rsidRPr="004C70EC">
        <w:t>Four</w:t>
      </w:r>
      <w:r w:rsidR="00E12CB2" w:rsidRPr="004C70EC">
        <w:t xml:space="preserve"> trade unions were analysed under business associations.</w:t>
      </w:r>
    </w:p>
  </w:footnote>
  <w:footnote w:id="53">
    <w:p w14:paraId="20F5306F" w14:textId="77777777" w:rsidR="00E934F2" w:rsidRPr="004C70EC" w:rsidRDefault="00487F7C" w:rsidP="00157D85">
      <w:pPr>
        <w:pStyle w:val="FootnoteText"/>
      </w:pPr>
      <w:r w:rsidRPr="004C70EC">
        <w:rPr>
          <w:rStyle w:val="FootnoteReference"/>
        </w:rPr>
        <w:footnoteRef/>
      </w:r>
      <w:r w:rsidRPr="004C70EC">
        <w:tab/>
      </w:r>
      <w:r w:rsidR="00DB5B14" w:rsidRPr="004C70EC">
        <w:t>In the statistics, the 2 trade unions, 2 consumer organisations and the environmental organisation are reflected with the respondents who identified themselves as ‘other’.</w:t>
      </w:r>
    </w:p>
  </w:footnote>
  <w:footnote w:id="54">
    <w:p w14:paraId="794FCB31" w14:textId="77777777" w:rsidR="00A74563" w:rsidRPr="004C70EC" w:rsidRDefault="00A74563" w:rsidP="0058181D">
      <w:pPr>
        <w:pStyle w:val="FootnoteReferenceCharCarCharCharCarCharCarCharCarCharCarCharCharCarCarCharCharCharCharCharCarCharCarCharCharCarCharCar"/>
        <w:rPr>
          <w:lang w:val="en-IE"/>
        </w:rPr>
      </w:pPr>
      <w:r w:rsidRPr="004C70EC">
        <w:rPr>
          <w:rStyle w:val="FootnoteReference"/>
        </w:rPr>
        <w:footnoteRef/>
      </w:r>
      <w:r w:rsidR="00157D85" w:rsidRPr="004C70EC">
        <w:rPr>
          <w:lang w:val="en-IE"/>
        </w:rPr>
        <w:tab/>
      </w:r>
      <w:r w:rsidRPr="004C70EC">
        <w:rPr>
          <w:rFonts w:ascii="Times New Roman" w:hAnsi="Times New Roman" w:cs="Times New Roman"/>
          <w:sz w:val="20"/>
          <w:szCs w:val="20"/>
          <w:vertAlign w:val="baseline"/>
          <w:lang w:val="en-GB"/>
        </w:rPr>
        <w:t>Positive economic impact: 90</w:t>
      </w:r>
      <w:r w:rsidR="001A3CEA" w:rsidRPr="004C70EC">
        <w:rPr>
          <w:rFonts w:ascii="Times New Roman" w:hAnsi="Times New Roman" w:cs="Times New Roman"/>
          <w:sz w:val="20"/>
          <w:szCs w:val="20"/>
          <w:vertAlign w:val="baseline"/>
          <w:lang w:val="en-GB"/>
        </w:rPr>
        <w:t>.</w:t>
      </w:r>
      <w:r w:rsidRPr="004C70EC">
        <w:rPr>
          <w:rFonts w:ascii="Times New Roman" w:hAnsi="Times New Roman" w:cs="Times New Roman"/>
          <w:sz w:val="20"/>
          <w:szCs w:val="20"/>
          <w:vertAlign w:val="baseline"/>
          <w:lang w:val="en-GB"/>
        </w:rPr>
        <w:t>3% strongly agreed/agreed (324/359); Positive social impact: 89</w:t>
      </w:r>
      <w:r w:rsidR="001A3CEA" w:rsidRPr="004C70EC">
        <w:rPr>
          <w:rFonts w:ascii="Times New Roman" w:hAnsi="Times New Roman" w:cs="Times New Roman"/>
          <w:sz w:val="20"/>
          <w:szCs w:val="20"/>
          <w:vertAlign w:val="baseline"/>
          <w:lang w:val="en-GB"/>
        </w:rPr>
        <w:t>.</w:t>
      </w:r>
      <w:r w:rsidRPr="004C70EC">
        <w:rPr>
          <w:rFonts w:ascii="Times New Roman" w:hAnsi="Times New Roman" w:cs="Times New Roman"/>
          <w:sz w:val="20"/>
          <w:szCs w:val="20"/>
          <w:vertAlign w:val="baseline"/>
          <w:lang w:val="en-GB"/>
        </w:rPr>
        <w:t>7% strongly agreed/agreed (322/359); Positive environmental impact: 80</w:t>
      </w:r>
      <w:r w:rsidR="001A3CEA" w:rsidRPr="004C70EC">
        <w:rPr>
          <w:rFonts w:ascii="Times New Roman" w:hAnsi="Times New Roman" w:cs="Times New Roman"/>
          <w:sz w:val="20"/>
          <w:szCs w:val="20"/>
          <w:vertAlign w:val="baseline"/>
          <w:lang w:val="en-GB"/>
        </w:rPr>
        <w:t>.</w:t>
      </w:r>
      <w:r w:rsidRPr="004C70EC">
        <w:rPr>
          <w:rFonts w:ascii="Times New Roman" w:hAnsi="Times New Roman" w:cs="Times New Roman"/>
          <w:sz w:val="20"/>
          <w:szCs w:val="20"/>
          <w:vertAlign w:val="baseline"/>
          <w:lang w:val="en-GB"/>
        </w:rPr>
        <w:t>2% strong</w:t>
      </w:r>
      <w:r w:rsidR="00E13A59" w:rsidRPr="004C70EC">
        <w:rPr>
          <w:rFonts w:ascii="Times New Roman" w:hAnsi="Times New Roman" w:cs="Times New Roman"/>
          <w:sz w:val="20"/>
          <w:szCs w:val="20"/>
          <w:vertAlign w:val="baseline"/>
          <w:lang w:val="en-GB"/>
        </w:rPr>
        <w:t>ly</w:t>
      </w:r>
      <w:r w:rsidRPr="004C70EC">
        <w:rPr>
          <w:rFonts w:ascii="Times New Roman" w:hAnsi="Times New Roman" w:cs="Times New Roman"/>
          <w:sz w:val="20"/>
          <w:szCs w:val="20"/>
          <w:vertAlign w:val="baseline"/>
          <w:lang w:val="en-GB"/>
        </w:rPr>
        <w:t xml:space="preserve"> agreed/agreed (288/359)</w:t>
      </w:r>
    </w:p>
  </w:footnote>
  <w:footnote w:id="55">
    <w:p w14:paraId="053311D6" w14:textId="77777777" w:rsidR="00A74563" w:rsidRPr="004C70EC" w:rsidRDefault="00A74563" w:rsidP="00157D85">
      <w:pPr>
        <w:pStyle w:val="FootnoteText"/>
      </w:pPr>
      <w:r w:rsidRPr="004C70EC">
        <w:rPr>
          <w:rStyle w:val="FootnoteReference"/>
        </w:rPr>
        <w:footnoteRef/>
      </w:r>
      <w:r w:rsidR="00157D85" w:rsidRPr="004C70EC">
        <w:tab/>
      </w:r>
      <w:r w:rsidRPr="004C70EC">
        <w:t>76</w:t>
      </w:r>
      <w:r w:rsidR="001A3CEA" w:rsidRPr="004C70EC">
        <w:t>.</w:t>
      </w:r>
      <w:r w:rsidRPr="004C70EC">
        <w:t>3%: 175 strongly agreed, 99 agreed (out of 359).</w:t>
      </w:r>
    </w:p>
  </w:footnote>
  <w:footnote w:id="56">
    <w:p w14:paraId="133FFC1D" w14:textId="77777777" w:rsidR="00A74563" w:rsidRPr="004C70EC" w:rsidRDefault="00A74563" w:rsidP="00157D85">
      <w:pPr>
        <w:pStyle w:val="FootnoteText"/>
      </w:pPr>
      <w:r w:rsidRPr="004C70EC">
        <w:rPr>
          <w:rStyle w:val="FootnoteReference"/>
        </w:rPr>
        <w:footnoteRef/>
      </w:r>
      <w:r w:rsidR="00157D85" w:rsidRPr="004C70EC">
        <w:tab/>
      </w:r>
      <w:r w:rsidRPr="004C70EC">
        <w:t>28</w:t>
      </w:r>
      <w:r w:rsidR="001A3CEA" w:rsidRPr="004C70EC">
        <w:t>.</w:t>
      </w:r>
      <w:r w:rsidRPr="004C70EC">
        <w:t>1%: 30 strongly agreed, 71 agreed (out of 359).</w:t>
      </w:r>
    </w:p>
  </w:footnote>
  <w:footnote w:id="57">
    <w:p w14:paraId="18B78EF3" w14:textId="77777777" w:rsidR="00A74563" w:rsidRPr="004C70EC" w:rsidRDefault="00A74563" w:rsidP="00157D85">
      <w:pPr>
        <w:pStyle w:val="FootnoteText"/>
      </w:pPr>
      <w:r w:rsidRPr="004C70EC">
        <w:rPr>
          <w:rStyle w:val="FootnoteReference"/>
        </w:rPr>
        <w:footnoteRef/>
      </w:r>
      <w:r w:rsidR="00157D85" w:rsidRPr="004C70EC">
        <w:tab/>
      </w:r>
      <w:r w:rsidRPr="004C70EC">
        <w:t>15</w:t>
      </w:r>
      <w:r w:rsidR="001A3CEA" w:rsidRPr="004C70EC">
        <w:t>.</w:t>
      </w:r>
      <w:r w:rsidRPr="004C70EC">
        <w:t>6%: 13 strongly agreed, 43 agreed (out of 359).</w:t>
      </w:r>
    </w:p>
  </w:footnote>
  <w:footnote w:id="58">
    <w:p w14:paraId="54F3AC69" w14:textId="77777777" w:rsidR="00A74563" w:rsidRPr="004C70EC" w:rsidRDefault="00A74563" w:rsidP="00157D85">
      <w:pPr>
        <w:pStyle w:val="FootnoteText"/>
      </w:pPr>
      <w:r w:rsidRPr="004C70EC">
        <w:rPr>
          <w:rStyle w:val="FootnoteReference"/>
        </w:rPr>
        <w:footnoteRef/>
      </w:r>
      <w:r w:rsidR="00157D85" w:rsidRPr="004C70EC">
        <w:tab/>
      </w:r>
      <w:r w:rsidRPr="004C70EC">
        <w:t>Agreement/strong agreement on these barriers ranged from 6</w:t>
      </w:r>
      <w:r w:rsidR="00FE4BF1" w:rsidRPr="004C70EC">
        <w:t>3</w:t>
      </w:r>
      <w:r w:rsidRPr="004C70EC">
        <w:t>% to 76%.</w:t>
      </w:r>
    </w:p>
  </w:footnote>
  <w:footnote w:id="59">
    <w:p w14:paraId="232A1176" w14:textId="77777777" w:rsidR="00A74563" w:rsidRPr="004C70EC" w:rsidRDefault="00A74563" w:rsidP="00157D85">
      <w:pPr>
        <w:pStyle w:val="FootnoteText"/>
      </w:pPr>
      <w:r w:rsidRPr="004C70EC">
        <w:rPr>
          <w:rStyle w:val="FootnoteReference"/>
        </w:rPr>
        <w:footnoteRef/>
      </w:r>
      <w:r w:rsidR="00157D85" w:rsidRPr="004C70EC">
        <w:tab/>
      </w:r>
      <w:r w:rsidRPr="004C70EC">
        <w:t>More predictable: 40</w:t>
      </w:r>
      <w:r w:rsidR="001A3CEA" w:rsidRPr="004C70EC">
        <w:t>.</w:t>
      </w:r>
      <w:r w:rsidRPr="004C70EC">
        <w:t>8%: 45 strongly disagreed/92 disagreed (out of 336).</w:t>
      </w:r>
    </w:p>
  </w:footnote>
  <w:footnote w:id="60">
    <w:p w14:paraId="1FECA320" w14:textId="77777777" w:rsidR="00A74563" w:rsidRPr="004C70EC" w:rsidRDefault="00A74563" w:rsidP="00157D85">
      <w:pPr>
        <w:pStyle w:val="FootnoteText"/>
      </w:pPr>
      <w:r w:rsidRPr="004C70EC">
        <w:rPr>
          <w:rStyle w:val="FootnoteReference"/>
        </w:rPr>
        <w:footnoteRef/>
      </w:r>
      <w:r w:rsidR="00157D85" w:rsidRPr="004C70EC">
        <w:tab/>
      </w:r>
      <w:r w:rsidRPr="004C70EC">
        <w:t>Less complex and clearer: 64</w:t>
      </w:r>
      <w:r w:rsidR="001A3CEA" w:rsidRPr="004C70EC">
        <w:t>.</w:t>
      </w:r>
      <w:r w:rsidRPr="004C70EC">
        <w:t>6%: 99 strongly disagreed/116 disagreed (out of 333).</w:t>
      </w:r>
    </w:p>
  </w:footnote>
  <w:footnote w:id="61">
    <w:p w14:paraId="543AD27F" w14:textId="77777777" w:rsidR="00A74563" w:rsidRPr="004C70EC" w:rsidRDefault="00A74563" w:rsidP="00157D85">
      <w:pPr>
        <w:pStyle w:val="FootnoteText"/>
      </w:pPr>
      <w:r w:rsidRPr="004C70EC">
        <w:rPr>
          <w:rStyle w:val="FootnoteReference"/>
        </w:rPr>
        <w:footnoteRef/>
      </w:r>
      <w:r w:rsidR="00157D85" w:rsidRPr="004C70EC">
        <w:tab/>
      </w:r>
      <w:r w:rsidRPr="004C70EC">
        <w:t>Leads to lower costs for complying with the regulation: 6</w:t>
      </w:r>
      <w:r w:rsidR="00D035F9" w:rsidRPr="004C70EC">
        <w:t>2</w:t>
      </w:r>
      <w:r w:rsidRPr="004C70EC">
        <w:t>%: 98 strongly disagreed/109 disagreed (out of 3</w:t>
      </w:r>
      <w:r w:rsidR="00D035F9" w:rsidRPr="004C70EC">
        <w:t>34</w:t>
      </w:r>
      <w:r w:rsidRPr="004C70EC">
        <w:t>).</w:t>
      </w:r>
    </w:p>
  </w:footnote>
  <w:footnote w:id="62">
    <w:p w14:paraId="6FAA441A" w14:textId="77777777" w:rsidR="00A74563" w:rsidRPr="004C70EC" w:rsidRDefault="00A74563" w:rsidP="00157D85">
      <w:pPr>
        <w:pStyle w:val="FootnoteText"/>
      </w:pPr>
      <w:r w:rsidRPr="004C70EC">
        <w:rPr>
          <w:rStyle w:val="FootnoteReference"/>
        </w:rPr>
        <w:footnoteRef/>
      </w:r>
      <w:r w:rsidR="00157D85" w:rsidRPr="004C70EC">
        <w:tab/>
      </w:r>
      <w:r w:rsidRPr="004C70EC">
        <w:t>Enables biotechnology and biomanufacturing products to reach the market faster: 65</w:t>
      </w:r>
      <w:r w:rsidR="001A3CEA" w:rsidRPr="004C70EC">
        <w:t>.</w:t>
      </w:r>
      <w:r w:rsidRPr="004C70EC">
        <w:t>7%: 126 strongly disagreed/92 disagreed (out of 332)</w:t>
      </w:r>
    </w:p>
  </w:footnote>
  <w:footnote w:id="63">
    <w:p w14:paraId="72037DD9" w14:textId="77777777" w:rsidR="00A74563" w:rsidRPr="004C70EC" w:rsidRDefault="00A74563" w:rsidP="00157D85">
      <w:pPr>
        <w:pStyle w:val="FootnoteText"/>
      </w:pPr>
      <w:r w:rsidRPr="004C70EC">
        <w:rPr>
          <w:rStyle w:val="FootnoteReference"/>
        </w:rPr>
        <w:footnoteRef/>
      </w:r>
      <w:r w:rsidR="00157D85" w:rsidRPr="004C70EC">
        <w:tab/>
      </w:r>
      <w:r w:rsidRPr="004C70EC">
        <w:t>Ensures a higher level of safety and security: 21</w:t>
      </w:r>
      <w:r w:rsidR="001A3CEA" w:rsidRPr="004C70EC">
        <w:t>.</w:t>
      </w:r>
      <w:r w:rsidRPr="004C70EC">
        <w:t xml:space="preserve">4% disagreed/strongly disagreed. </w:t>
      </w:r>
      <w:r w:rsidR="00D035F9" w:rsidRPr="004C70EC">
        <w:t>(72/337)</w:t>
      </w:r>
      <w:r w:rsidRPr="004C70EC">
        <w:t xml:space="preserve"> 36</w:t>
      </w:r>
      <w:r w:rsidR="001A3CEA" w:rsidRPr="004C70EC">
        <w:t>.</w:t>
      </w:r>
      <w:r w:rsidR="00D035F9" w:rsidRPr="004C70EC">
        <w:t>8</w:t>
      </w:r>
      <w:r w:rsidRPr="004C70EC">
        <w:t>% agreed/strongly agreed</w:t>
      </w:r>
      <w:r w:rsidR="00D035F9" w:rsidRPr="004C70EC">
        <w:t xml:space="preserve"> (124/337)</w:t>
      </w:r>
      <w:r w:rsidRPr="004C70EC">
        <w:t xml:space="preserve">. </w:t>
      </w:r>
      <w:r w:rsidR="00D035F9" w:rsidRPr="004C70EC">
        <w:t>41.8</w:t>
      </w:r>
      <w:r w:rsidRPr="004C70EC">
        <w:t>% were neutral or Not applicable/I don’t know</w:t>
      </w:r>
      <w:r w:rsidR="00D035F9" w:rsidRPr="004C70EC">
        <w:t xml:space="preserve"> (141/337)</w:t>
      </w:r>
      <w:r w:rsidRPr="004C70EC">
        <w:t>.</w:t>
      </w:r>
    </w:p>
  </w:footnote>
  <w:footnote w:id="64">
    <w:p w14:paraId="0AFFD6F6" w14:textId="77777777" w:rsidR="00A74563" w:rsidRPr="004C70EC" w:rsidRDefault="00A74563" w:rsidP="00157D85">
      <w:pPr>
        <w:pStyle w:val="FootnoteText"/>
      </w:pPr>
      <w:r w:rsidRPr="004C70EC">
        <w:rPr>
          <w:rStyle w:val="FootnoteReference"/>
        </w:rPr>
        <w:footnoteRef/>
      </w:r>
      <w:r w:rsidR="00157D85" w:rsidRPr="004C70EC">
        <w:tab/>
      </w:r>
      <w:r w:rsidRPr="004C70EC">
        <w:t>Agreement/strong agreement that there is easy access to these options ranged from 3</w:t>
      </w:r>
      <w:r w:rsidR="001A3CEA" w:rsidRPr="004C70EC">
        <w:t>.</w:t>
      </w:r>
      <w:r w:rsidRPr="004C70EC">
        <w:t>9% to 6</w:t>
      </w:r>
      <w:r w:rsidR="001A3CEA" w:rsidRPr="004C70EC">
        <w:t>.</w:t>
      </w:r>
      <w:r w:rsidRPr="004C70EC">
        <w:t>7%.</w:t>
      </w:r>
    </w:p>
  </w:footnote>
  <w:footnote w:id="65">
    <w:p w14:paraId="13E648DA" w14:textId="77777777" w:rsidR="00A74563" w:rsidRPr="004C70EC" w:rsidRDefault="00A74563" w:rsidP="00157D85">
      <w:pPr>
        <w:pStyle w:val="FootnoteText"/>
      </w:pPr>
      <w:r w:rsidRPr="004C70EC">
        <w:rPr>
          <w:rStyle w:val="FootnoteReference"/>
        </w:rPr>
        <w:footnoteRef/>
      </w:r>
      <w:r w:rsidR="00157D85" w:rsidRPr="004C70EC">
        <w:tab/>
      </w:r>
      <w:r w:rsidRPr="004C70EC">
        <w:t>Agreement/strong agreement that there is easy access to these options ranged from 4</w:t>
      </w:r>
      <w:r w:rsidR="001A3CEA" w:rsidRPr="004C70EC">
        <w:t>.</w:t>
      </w:r>
      <w:r w:rsidRPr="004C70EC">
        <w:t>2% to 5</w:t>
      </w:r>
      <w:r w:rsidR="001A3CEA" w:rsidRPr="004C70EC">
        <w:t>.</w:t>
      </w:r>
      <w:r w:rsidRPr="004C70EC">
        <w:t>6%.</w:t>
      </w:r>
    </w:p>
  </w:footnote>
  <w:footnote w:id="66">
    <w:p w14:paraId="0485907E" w14:textId="77777777" w:rsidR="00A74563" w:rsidRPr="004C70EC" w:rsidRDefault="00A74563" w:rsidP="00A74563">
      <w:pPr>
        <w:pStyle w:val="FootnoteText"/>
      </w:pPr>
      <w:r w:rsidRPr="004C70EC">
        <w:rPr>
          <w:rStyle w:val="FootnoteReference"/>
        </w:rPr>
        <w:footnoteRef/>
      </w:r>
      <w:r w:rsidR="00157D85" w:rsidRPr="004C70EC">
        <w:tab/>
      </w:r>
      <w:r w:rsidRPr="004C70EC">
        <w:t>Agreement/strong agreement that there is easy access to these options ranged from 11</w:t>
      </w:r>
      <w:r w:rsidR="00E30543" w:rsidRPr="004C70EC">
        <w:t>.</w:t>
      </w:r>
      <w:r w:rsidRPr="004C70EC">
        <w:t>4% to 21</w:t>
      </w:r>
      <w:r w:rsidR="00E30543" w:rsidRPr="004C70EC">
        <w:t>.</w:t>
      </w:r>
      <w:r w:rsidRPr="004C70EC">
        <w:t>2%.</w:t>
      </w:r>
    </w:p>
  </w:footnote>
  <w:footnote w:id="67">
    <w:p w14:paraId="1304D538" w14:textId="77777777" w:rsidR="00A74563" w:rsidRPr="004C70EC" w:rsidRDefault="00A74563" w:rsidP="00A74563">
      <w:pPr>
        <w:pStyle w:val="FootnoteText"/>
      </w:pPr>
      <w:r w:rsidRPr="004C70EC">
        <w:rPr>
          <w:rStyle w:val="FootnoteReference"/>
        </w:rPr>
        <w:footnoteRef/>
      </w:r>
      <w:r w:rsidR="00157D85" w:rsidRPr="004C70EC">
        <w:tab/>
      </w:r>
      <w:r w:rsidRPr="004C70EC">
        <w:t>Agreement/strong agreement that there is easy access was 19</w:t>
      </w:r>
      <w:r w:rsidR="00E30543" w:rsidRPr="004C70EC">
        <w:t>.</w:t>
      </w:r>
      <w:r w:rsidRPr="004C70EC">
        <w:t>2%</w:t>
      </w:r>
      <w:r w:rsidR="00BD1917" w:rsidRPr="004C70EC">
        <w:t xml:space="preserve"> (69/359).</w:t>
      </w:r>
    </w:p>
  </w:footnote>
  <w:footnote w:id="68">
    <w:p w14:paraId="3B747599" w14:textId="77777777" w:rsidR="00A74563" w:rsidRPr="004C70EC" w:rsidRDefault="00A74563" w:rsidP="00A74563">
      <w:pPr>
        <w:pStyle w:val="FootnoteText"/>
      </w:pPr>
      <w:r w:rsidRPr="004C70EC">
        <w:rPr>
          <w:rStyle w:val="FootnoteReference"/>
        </w:rPr>
        <w:footnoteRef/>
      </w:r>
      <w:r w:rsidR="00157D85" w:rsidRPr="004C70EC">
        <w:tab/>
      </w:r>
      <w:r w:rsidRPr="004C70EC">
        <w:t xml:space="preserve">Agreement/strong agreement on these factors ranged from </w:t>
      </w:r>
      <w:r w:rsidR="001B5C95" w:rsidRPr="004C70EC">
        <w:t>72.4</w:t>
      </w:r>
      <w:r w:rsidRPr="004C70EC">
        <w:t>% to 79</w:t>
      </w:r>
      <w:r w:rsidR="00E30543" w:rsidRPr="004C70EC">
        <w:t>.</w:t>
      </w:r>
      <w:r w:rsidRPr="004C70EC">
        <w:t>9%.</w:t>
      </w:r>
    </w:p>
  </w:footnote>
  <w:footnote w:id="69">
    <w:p w14:paraId="7DD04785" w14:textId="77777777" w:rsidR="00A74563" w:rsidRPr="004C70EC" w:rsidRDefault="00A74563" w:rsidP="00A74563">
      <w:pPr>
        <w:pStyle w:val="FootnoteText"/>
      </w:pPr>
      <w:r w:rsidRPr="004C70EC">
        <w:rPr>
          <w:rStyle w:val="FootnoteReference"/>
        </w:rPr>
        <w:footnoteRef/>
      </w:r>
      <w:r w:rsidR="00157D85" w:rsidRPr="004C70EC">
        <w:tab/>
      </w:r>
      <w:r w:rsidRPr="004C70EC">
        <w:t>Agreement/strong agreement on these barriers ranged from 46</w:t>
      </w:r>
      <w:r w:rsidR="00E30543" w:rsidRPr="004C70EC">
        <w:t>.</w:t>
      </w:r>
      <w:r w:rsidRPr="004C70EC">
        <w:t>2% to 58</w:t>
      </w:r>
      <w:r w:rsidR="00E30543" w:rsidRPr="004C70EC">
        <w:t>.</w:t>
      </w:r>
      <w:r w:rsidRPr="004C70EC">
        <w:t>5%.</w:t>
      </w:r>
    </w:p>
  </w:footnote>
  <w:footnote w:id="70">
    <w:p w14:paraId="3A54AA75" w14:textId="77777777" w:rsidR="00A74563" w:rsidRPr="004C70EC" w:rsidRDefault="00A74563" w:rsidP="00A74563">
      <w:pPr>
        <w:pStyle w:val="FootnoteText"/>
      </w:pPr>
      <w:r w:rsidRPr="004C70EC">
        <w:rPr>
          <w:rStyle w:val="FootnoteReference"/>
        </w:rPr>
        <w:footnoteRef/>
      </w:r>
      <w:r w:rsidR="00157D85" w:rsidRPr="004C70EC">
        <w:tab/>
      </w:r>
      <w:r w:rsidRPr="004C70EC">
        <w:t>Agreement/strong agreement on these challenges ranged from 58</w:t>
      </w:r>
      <w:r w:rsidR="00E30543" w:rsidRPr="004C70EC">
        <w:t>.</w:t>
      </w:r>
      <w:r w:rsidR="00C403B6" w:rsidRPr="004C70EC">
        <w:t>2</w:t>
      </w:r>
      <w:r w:rsidRPr="004C70EC">
        <w:t>%% to 66</w:t>
      </w:r>
      <w:r w:rsidR="00E30543" w:rsidRPr="004C70EC">
        <w:t>.</w:t>
      </w:r>
      <w:r w:rsidRPr="004C70EC">
        <w:t>9%.</w:t>
      </w:r>
    </w:p>
  </w:footnote>
  <w:footnote w:id="71">
    <w:p w14:paraId="5D1C2F22" w14:textId="77777777" w:rsidR="00A74563" w:rsidRPr="004C70EC" w:rsidRDefault="00A74563" w:rsidP="00157D85">
      <w:pPr>
        <w:pStyle w:val="FootnoteText"/>
        <w:rPr>
          <w:lang w:val="en-IE"/>
        </w:rPr>
      </w:pPr>
      <w:r w:rsidRPr="004C70EC">
        <w:rPr>
          <w:rStyle w:val="FootnoteReference"/>
        </w:rPr>
        <w:footnoteRef/>
      </w:r>
      <w:r w:rsidR="00157D85" w:rsidRPr="004C70EC">
        <w:tab/>
      </w:r>
      <w:r w:rsidRPr="004C70EC">
        <w:t>Agreement/strong agreement on these challenges ranged from 50</w:t>
      </w:r>
      <w:r w:rsidR="00E30543" w:rsidRPr="004C70EC">
        <w:t>.</w:t>
      </w:r>
      <w:r w:rsidRPr="004C70EC">
        <w:t>1% to 51</w:t>
      </w:r>
      <w:r w:rsidR="00E30543" w:rsidRPr="004C70EC">
        <w:t>.</w:t>
      </w:r>
      <w:r w:rsidR="00C77085" w:rsidRPr="004C70EC">
        <w:t>5</w:t>
      </w:r>
      <w:r w:rsidRPr="004C70EC">
        <w:t>%.</w:t>
      </w:r>
    </w:p>
  </w:footnote>
  <w:footnote w:id="72">
    <w:p w14:paraId="1D490305" w14:textId="77777777" w:rsidR="00100CA8" w:rsidRPr="004C70EC" w:rsidRDefault="00100CA8" w:rsidP="007C19F0">
      <w:pPr>
        <w:pStyle w:val="FootnoteText"/>
        <w:rPr>
          <w:lang w:val="en-IE"/>
        </w:rPr>
      </w:pPr>
      <w:r w:rsidRPr="004C70EC">
        <w:rPr>
          <w:rStyle w:val="FootnoteReference"/>
        </w:rPr>
        <w:footnoteRef/>
      </w:r>
      <w:r w:rsidR="00157D85" w:rsidRPr="004C70EC">
        <w:tab/>
      </w:r>
      <w:r w:rsidR="007C19F0" w:rsidRPr="004C70EC">
        <w:t>Agreement/strong agreement on these challenges ranged from 51.8% to 58.5%.</w:t>
      </w:r>
    </w:p>
  </w:footnote>
  <w:footnote w:id="73">
    <w:p w14:paraId="15059E3A" w14:textId="77777777" w:rsidR="00A74563" w:rsidRPr="004C70EC" w:rsidRDefault="00A74563" w:rsidP="00157D85">
      <w:pPr>
        <w:pStyle w:val="FootnoteText"/>
      </w:pPr>
      <w:r w:rsidRPr="004C70EC">
        <w:rPr>
          <w:rStyle w:val="FootnoteReference"/>
        </w:rPr>
        <w:footnoteRef/>
      </w:r>
      <w:r w:rsidR="00157D85" w:rsidRPr="004C70EC">
        <w:tab/>
      </w:r>
      <w:r w:rsidR="0000135C" w:rsidRPr="004C70EC">
        <w:t>21</w:t>
      </w:r>
      <w:r w:rsidR="00E30543" w:rsidRPr="004C70EC">
        <w:t>.</w:t>
      </w:r>
      <w:r w:rsidR="0000135C" w:rsidRPr="004C70EC">
        <w:t>4%</w:t>
      </w:r>
      <w:r w:rsidRPr="004C70EC">
        <w:t xml:space="preserve"> replied partially</w:t>
      </w:r>
      <w:r w:rsidR="0000135C" w:rsidRPr="004C70EC">
        <w:t xml:space="preserve"> (77</w:t>
      </w:r>
      <w:r w:rsidR="008E731C" w:rsidRPr="004C70EC">
        <w:t>/</w:t>
      </w:r>
      <w:r w:rsidR="0000135C" w:rsidRPr="004C70EC">
        <w:t>359)</w:t>
      </w:r>
      <w:r w:rsidR="00923256" w:rsidRPr="004C70EC">
        <w:t xml:space="preserve"> and</w:t>
      </w:r>
      <w:r w:rsidRPr="004C70EC">
        <w:t xml:space="preserve"> </w:t>
      </w:r>
      <w:r w:rsidR="00923256" w:rsidRPr="004C70EC">
        <w:t>18</w:t>
      </w:r>
      <w:r w:rsidR="00E30543" w:rsidRPr="004C70EC">
        <w:t>.</w:t>
      </w:r>
      <w:r w:rsidR="00923256" w:rsidRPr="004C70EC">
        <w:t>4%</w:t>
      </w:r>
      <w:r w:rsidRPr="004C70EC">
        <w:t xml:space="preserve"> replied Yes</w:t>
      </w:r>
      <w:r w:rsidR="00923256" w:rsidRPr="004C70EC">
        <w:t xml:space="preserve"> (66</w:t>
      </w:r>
      <w:r w:rsidR="008E731C" w:rsidRPr="004C70EC">
        <w:t>/</w:t>
      </w:r>
      <w:r w:rsidR="00923256" w:rsidRPr="004C70EC">
        <w:t>359)</w:t>
      </w:r>
      <w:r w:rsidR="00E82C30" w:rsidRPr="004C70EC">
        <w:t xml:space="preserve"> totalling 39</w:t>
      </w:r>
      <w:r w:rsidR="00E30543" w:rsidRPr="004C70EC">
        <w:t>.</w:t>
      </w:r>
      <w:r w:rsidR="00E82C30" w:rsidRPr="004C70EC">
        <w:t>8%</w:t>
      </w:r>
      <w:r w:rsidR="00923256" w:rsidRPr="004C70EC">
        <w:t>. H</w:t>
      </w:r>
      <w:r w:rsidRPr="004C70EC">
        <w:t xml:space="preserve">owever </w:t>
      </w:r>
      <w:r w:rsidR="007B454F" w:rsidRPr="004C70EC">
        <w:t>44%</w:t>
      </w:r>
      <w:r w:rsidRPr="004C70EC">
        <w:t xml:space="preserve"> re</w:t>
      </w:r>
      <w:r w:rsidR="007B454F" w:rsidRPr="004C70EC">
        <w:t>plied</w:t>
      </w:r>
      <w:r w:rsidRPr="004C70EC">
        <w:t xml:space="preserve"> Not applicable/I don’t know</w:t>
      </w:r>
      <w:r w:rsidR="00CD1C6B" w:rsidRPr="004C70EC">
        <w:t xml:space="preserve"> (</w:t>
      </w:r>
      <w:r w:rsidR="00AC3A09" w:rsidRPr="004C70EC">
        <w:t>158</w:t>
      </w:r>
      <w:r w:rsidR="008E731C" w:rsidRPr="004C70EC">
        <w:t>/</w:t>
      </w:r>
      <w:r w:rsidR="00CD1C6B" w:rsidRPr="004C70EC">
        <w:t>359 answers)</w:t>
      </w:r>
      <w:r w:rsidR="00AC3A09" w:rsidRPr="004C70EC">
        <w:t xml:space="preserve"> and 16</w:t>
      </w:r>
      <w:r w:rsidR="00E30543" w:rsidRPr="004C70EC">
        <w:t>.</w:t>
      </w:r>
      <w:r w:rsidR="00AC3A09" w:rsidRPr="004C70EC">
        <w:t>2% replied No (58</w:t>
      </w:r>
      <w:r w:rsidR="008E731C" w:rsidRPr="004C70EC">
        <w:t>/</w:t>
      </w:r>
      <w:r w:rsidR="00AC3A09" w:rsidRPr="004C70EC">
        <w:t>359</w:t>
      </w:r>
      <w:r w:rsidR="00CD1C6B" w:rsidRPr="004C70EC">
        <w:t>)</w:t>
      </w:r>
      <w:r w:rsidRPr="004C70EC">
        <w:t>.</w:t>
      </w:r>
    </w:p>
  </w:footnote>
  <w:footnote w:id="74">
    <w:p w14:paraId="1393CE85" w14:textId="77777777" w:rsidR="00A74563" w:rsidRPr="004C70EC" w:rsidRDefault="00A74563" w:rsidP="00157D85">
      <w:pPr>
        <w:pStyle w:val="FootnoteText"/>
      </w:pPr>
      <w:r w:rsidRPr="004C70EC">
        <w:rPr>
          <w:rStyle w:val="FootnoteReference"/>
        </w:rPr>
        <w:footnoteRef/>
      </w:r>
      <w:r w:rsidR="00157D85" w:rsidRPr="004C70EC">
        <w:tab/>
      </w:r>
      <w:r w:rsidRPr="004C70EC">
        <w:rPr>
          <w:rFonts w:eastAsia="Arial Narrow"/>
        </w:rPr>
        <w:t>Technological challenges:61</w:t>
      </w:r>
      <w:r w:rsidR="00E30543" w:rsidRPr="004C70EC">
        <w:rPr>
          <w:rFonts w:eastAsia="Arial Narrow"/>
        </w:rPr>
        <w:t>.</w:t>
      </w:r>
      <w:r w:rsidRPr="004C70EC">
        <w:rPr>
          <w:rFonts w:eastAsia="Arial Narrow"/>
        </w:rPr>
        <w:t>3%%: 65 strongly agreed/155 agreed (out of 359); challenges in the implementation of regulatory frameworks: 59</w:t>
      </w:r>
      <w:r w:rsidR="00E30543" w:rsidRPr="004C70EC">
        <w:rPr>
          <w:rFonts w:eastAsia="Arial Narrow"/>
        </w:rPr>
        <w:t>.</w:t>
      </w:r>
      <w:r w:rsidRPr="004C70EC">
        <w:rPr>
          <w:rFonts w:eastAsia="Arial Narrow"/>
        </w:rPr>
        <w:t>1%: 81 strongly agreed/ 131 agreed (out of 359).</w:t>
      </w:r>
    </w:p>
  </w:footnote>
  <w:footnote w:id="75">
    <w:p w14:paraId="286687AE" w14:textId="77777777" w:rsidR="00FE080E" w:rsidRPr="004C70EC" w:rsidRDefault="00FE080E" w:rsidP="00FE080E">
      <w:pPr>
        <w:pStyle w:val="FootnoteText"/>
      </w:pPr>
      <w:r w:rsidRPr="004C70EC">
        <w:rPr>
          <w:rStyle w:val="FootnoteReference"/>
        </w:rPr>
        <w:footnoteRef/>
      </w:r>
      <w:r w:rsidRPr="004C70EC">
        <w:tab/>
      </w:r>
      <w:r w:rsidRPr="004C70EC">
        <w:rPr>
          <w:rFonts w:eastAsia="Arial Narrow"/>
        </w:rPr>
        <w:t>Technological challenges:51.5%: 63 strongly agreed/122 agreed (out of 359); challenges in the implementation of regulatory frameworks: 52.1%: 81 strongly agreed/106 agreed (out of 359).</w:t>
      </w:r>
    </w:p>
  </w:footnote>
  <w:footnote w:id="76">
    <w:p w14:paraId="006FDD01" w14:textId="77777777" w:rsidR="00A74563" w:rsidRPr="004C70EC" w:rsidRDefault="00A74563" w:rsidP="00157D85">
      <w:pPr>
        <w:pStyle w:val="FootnoteText"/>
        <w:rPr>
          <w:rFonts w:eastAsia="Arial Narrow"/>
        </w:rPr>
      </w:pPr>
      <w:r w:rsidRPr="004C70EC">
        <w:rPr>
          <w:rStyle w:val="FootnoteReference"/>
        </w:rPr>
        <w:footnoteRef/>
      </w:r>
      <w:r w:rsidR="00157D85" w:rsidRPr="004C70EC">
        <w:tab/>
      </w:r>
      <w:r w:rsidRPr="004C70EC">
        <w:rPr>
          <w:rFonts w:eastAsia="Arial Narrow"/>
        </w:rPr>
        <w:t>Agreement/strong agreement on the needed types of support ranged from 59</w:t>
      </w:r>
      <w:r w:rsidR="00E30543" w:rsidRPr="004C70EC">
        <w:rPr>
          <w:rFonts w:eastAsia="Arial Narrow"/>
        </w:rPr>
        <w:t>.</w:t>
      </w:r>
      <w:r w:rsidRPr="004C70EC">
        <w:rPr>
          <w:rFonts w:eastAsia="Arial Narrow"/>
        </w:rPr>
        <w:t>1% to 6</w:t>
      </w:r>
      <w:r w:rsidR="004468FE" w:rsidRPr="004C70EC">
        <w:rPr>
          <w:rFonts w:eastAsia="Arial Narrow"/>
        </w:rPr>
        <w:t>5.5</w:t>
      </w:r>
      <w:r w:rsidRPr="004C70EC">
        <w:rPr>
          <w:rFonts w:eastAsia="Arial Narrow"/>
        </w:rPr>
        <w:t>%</w:t>
      </w:r>
      <w:r w:rsidRPr="004C70EC">
        <w:rPr>
          <w:rFonts w:eastAsia="Times New Roman"/>
        </w:rPr>
        <w:t xml:space="preserve"> </w:t>
      </w:r>
    </w:p>
  </w:footnote>
  <w:footnote w:id="77">
    <w:p w14:paraId="5E7E2B14" w14:textId="77777777" w:rsidR="00A74563" w:rsidRPr="004C70EC" w:rsidRDefault="00A74563" w:rsidP="00157D85">
      <w:pPr>
        <w:pStyle w:val="FootnoteText"/>
        <w:rPr>
          <w:lang w:val="en-IE"/>
        </w:rPr>
      </w:pPr>
      <w:r w:rsidRPr="004C70EC">
        <w:rPr>
          <w:rStyle w:val="FootnoteReference"/>
        </w:rPr>
        <w:footnoteRef/>
      </w:r>
      <w:r w:rsidR="00157D85" w:rsidRPr="004C70EC">
        <w:tab/>
      </w:r>
      <w:r w:rsidRPr="004C70EC">
        <w:t>Agreement/strong agreement on the four main challenges ranged from 42</w:t>
      </w:r>
      <w:r w:rsidR="00E30543" w:rsidRPr="004C70EC">
        <w:t>.</w:t>
      </w:r>
      <w:r w:rsidRPr="004C70EC">
        <w:t>3% to 51</w:t>
      </w:r>
      <w:r w:rsidR="00E30543" w:rsidRPr="004C70EC">
        <w:t>.</w:t>
      </w:r>
      <w:r w:rsidRPr="004C70EC">
        <w:t>5%</w:t>
      </w:r>
    </w:p>
  </w:footnote>
  <w:footnote w:id="78">
    <w:p w14:paraId="2947958E" w14:textId="77777777" w:rsidR="00A74563" w:rsidRPr="004C70EC" w:rsidRDefault="00A74563" w:rsidP="00157D85">
      <w:pPr>
        <w:pStyle w:val="FootnoteText"/>
        <w:rPr>
          <w:lang w:val="en-IE"/>
        </w:rPr>
      </w:pPr>
      <w:r w:rsidRPr="004C70EC">
        <w:rPr>
          <w:rStyle w:val="FootnoteReference"/>
        </w:rPr>
        <w:footnoteRef/>
      </w:r>
      <w:r w:rsidR="00157D85" w:rsidRPr="004C70EC">
        <w:tab/>
      </w:r>
      <w:r w:rsidRPr="004C70EC">
        <w:t>Agreement/strong agreement on the three main opportunities ranged from 4</w:t>
      </w:r>
      <w:r w:rsidR="003A1A0F" w:rsidRPr="004C70EC">
        <w:t>3.7</w:t>
      </w:r>
      <w:r w:rsidRPr="004C70EC">
        <w:t>% 48</w:t>
      </w:r>
      <w:r w:rsidR="00E30543" w:rsidRPr="004C70EC">
        <w:t>.</w:t>
      </w:r>
      <w:r w:rsidRPr="004C70EC">
        <w:t>2%.</w:t>
      </w:r>
    </w:p>
  </w:footnote>
  <w:footnote w:id="79">
    <w:p w14:paraId="3A412E1F" w14:textId="77777777" w:rsidR="006F64EB" w:rsidRPr="004C70EC" w:rsidRDefault="006F64EB" w:rsidP="006F64EB">
      <w:pPr>
        <w:pStyle w:val="FootnoteText"/>
        <w:rPr>
          <w:lang w:val="en-IE"/>
        </w:rPr>
      </w:pPr>
      <w:r w:rsidRPr="004C70EC">
        <w:rPr>
          <w:rStyle w:val="FootnoteReference"/>
        </w:rPr>
        <w:footnoteRef/>
      </w:r>
      <w:r w:rsidR="00157D85" w:rsidRPr="004C70EC">
        <w:rPr>
          <w:lang w:val="en-IE"/>
        </w:rPr>
        <w:tab/>
      </w:r>
      <w:r w:rsidR="00A014D9" w:rsidRPr="004C70EC">
        <w:rPr>
          <w:rFonts w:eastAsia="Arial Narrow"/>
          <w:color w:val="333333"/>
          <w:lang w:val="en-IE"/>
        </w:rPr>
        <w:t xml:space="preserve">Communication </w:t>
      </w:r>
      <w:r w:rsidR="005553CF" w:rsidRPr="004C70EC">
        <w:rPr>
          <w:rFonts w:eastAsia="Arial Narrow"/>
          <w:color w:val="333333"/>
          <w:lang w:val="en-IE"/>
        </w:rPr>
        <w:t>from the Commission to the European Parliament, the Council, the European Economic and Social Committee and the Committee of the Regions,</w:t>
      </w:r>
      <w:r w:rsidR="005553CF" w:rsidRPr="004C70EC">
        <w:t xml:space="preserve"> </w:t>
      </w:r>
      <w:r w:rsidR="00A014D9" w:rsidRPr="004C70EC">
        <w:rPr>
          <w:i/>
        </w:rPr>
        <w:t xml:space="preserve">Building the future with nature: Boosting Biotechnology and Biomanufacturing in the </w:t>
      </w:r>
      <w:r w:rsidR="005553CF" w:rsidRPr="004C70EC">
        <w:rPr>
          <w:i/>
        </w:rPr>
        <w:t>EU</w:t>
      </w:r>
      <w:r w:rsidR="00A014D9" w:rsidRPr="004C70EC">
        <w:rPr>
          <w:rFonts w:eastAsia="Times New Roman"/>
        </w:rPr>
        <w:t xml:space="preserve">, </w:t>
      </w:r>
      <w:r w:rsidR="00F01561" w:rsidRPr="004C70EC">
        <w:t>COM(2024) 137 final</w:t>
      </w:r>
      <w:r w:rsidR="005553CF" w:rsidRPr="004C70EC">
        <w:t>.</w:t>
      </w:r>
    </w:p>
  </w:footnote>
  <w:footnote w:id="80">
    <w:p w14:paraId="71932450" w14:textId="77777777" w:rsidR="00E934F2" w:rsidRPr="004C70EC" w:rsidRDefault="00E934F2" w:rsidP="00E934F2">
      <w:pPr>
        <w:pStyle w:val="FootnoteText"/>
      </w:pPr>
      <w:r w:rsidRPr="004C70EC">
        <w:rPr>
          <w:rStyle w:val="FootnoteReference"/>
        </w:rPr>
        <w:footnoteRef/>
      </w:r>
      <w:r w:rsidR="00DA6D02" w:rsidRPr="004C70EC">
        <w:rPr>
          <w:rFonts w:eastAsia="Arial Narrow"/>
        </w:rPr>
        <w:tab/>
      </w:r>
      <w:r w:rsidR="33CE1D06" w:rsidRPr="004C70EC">
        <w:rPr>
          <w:rFonts w:eastAsia="Arial Narrow"/>
        </w:rPr>
        <w:t>CTAG: Clinical Trials Advisory Group; MedEthics-EU</w:t>
      </w:r>
      <w:r w:rsidR="002C56F7" w:rsidRPr="004C70EC">
        <w:rPr>
          <w:rFonts w:eastAsia="Arial Narrow"/>
        </w:rPr>
        <w:t xml:space="preserve">, </w:t>
      </w:r>
      <w:r w:rsidR="33CE1D06" w:rsidRPr="004C70EC">
        <w:rPr>
          <w:rFonts w:eastAsia="Arial Narrow"/>
        </w:rPr>
        <w:t xml:space="preserve">the Clinical Trials Coordination Group of </w:t>
      </w:r>
      <w:r w:rsidR="00931DF9" w:rsidRPr="004C70EC">
        <w:rPr>
          <w:rFonts w:eastAsia="Arial Narrow"/>
        </w:rPr>
        <w:t>the Heads of Medicines Agencies (</w:t>
      </w:r>
      <w:r w:rsidR="33CE1D06" w:rsidRPr="004C70EC">
        <w:rPr>
          <w:rFonts w:eastAsia="Arial Narrow"/>
        </w:rPr>
        <w:t>HMA</w:t>
      </w:r>
      <w:r w:rsidR="00931DF9" w:rsidRPr="004C70EC">
        <w:rPr>
          <w:rFonts w:eastAsia="Arial Narrow"/>
        </w:rPr>
        <w:t>) was also invited to the workshop</w:t>
      </w:r>
      <w:r w:rsidR="004D600C" w:rsidRPr="004C70EC">
        <w:rPr>
          <w:rFonts w:eastAsia="Arial Narrow"/>
        </w:rPr>
        <w:t>. The</w:t>
      </w:r>
      <w:r w:rsidR="33CE1D06" w:rsidRPr="004C70EC">
        <w:rPr>
          <w:rFonts w:eastAsia="Arial Narrow"/>
        </w:rPr>
        <w:t xml:space="preserve"> EMA is an observer </w:t>
      </w:r>
      <w:r w:rsidR="004D600C" w:rsidRPr="004C70EC">
        <w:rPr>
          <w:rFonts w:eastAsia="Arial Narrow"/>
        </w:rPr>
        <w:t>to the</w:t>
      </w:r>
      <w:r w:rsidR="33CE1D06" w:rsidRPr="004C70EC">
        <w:rPr>
          <w:rFonts w:eastAsia="Arial Narrow"/>
        </w:rPr>
        <w:t xml:space="preserve"> CTAG.</w:t>
      </w:r>
    </w:p>
  </w:footnote>
  <w:footnote w:id="81">
    <w:p w14:paraId="34E51516" w14:textId="77777777" w:rsidR="00E934F2" w:rsidRPr="004C70EC" w:rsidRDefault="00E934F2" w:rsidP="00E934F2">
      <w:pPr>
        <w:pStyle w:val="FootnoteText"/>
      </w:pPr>
      <w:r w:rsidRPr="004C70EC">
        <w:rPr>
          <w:rStyle w:val="FootnoteReference"/>
        </w:rPr>
        <w:footnoteRef/>
      </w:r>
      <w:r w:rsidR="00DA6D02" w:rsidRPr="004C70EC">
        <w:rPr>
          <w:rFonts w:eastAsia="Arial Narrow"/>
        </w:rPr>
        <w:tab/>
      </w:r>
      <w:r w:rsidR="33CE1D06" w:rsidRPr="004C70EC">
        <w:rPr>
          <w:rFonts w:eastAsia="Arial Narrow"/>
        </w:rPr>
        <w:t>32 from commercial sponsors, 6 from non-commercial sponsors, 3 from C</w:t>
      </w:r>
      <w:r w:rsidR="003A72AD" w:rsidRPr="004C70EC">
        <w:rPr>
          <w:rFonts w:eastAsia="Arial Narrow"/>
        </w:rPr>
        <w:t xml:space="preserve">linical </w:t>
      </w:r>
      <w:r w:rsidR="33CE1D06" w:rsidRPr="004C70EC">
        <w:rPr>
          <w:rFonts w:eastAsia="Arial Narrow"/>
        </w:rPr>
        <w:t>R</w:t>
      </w:r>
      <w:r w:rsidR="003A72AD" w:rsidRPr="004C70EC">
        <w:rPr>
          <w:rFonts w:eastAsia="Arial Narrow"/>
        </w:rPr>
        <w:t xml:space="preserve">research </w:t>
      </w:r>
      <w:r w:rsidR="33CE1D06" w:rsidRPr="004C70EC">
        <w:rPr>
          <w:rFonts w:eastAsia="Arial Narrow"/>
        </w:rPr>
        <w:t>O</w:t>
      </w:r>
      <w:r w:rsidR="003A72AD" w:rsidRPr="004C70EC">
        <w:rPr>
          <w:rFonts w:eastAsia="Arial Narrow"/>
        </w:rPr>
        <w:t>rganisation</w:t>
      </w:r>
      <w:r w:rsidR="33CE1D06" w:rsidRPr="004C70EC">
        <w:rPr>
          <w:rFonts w:eastAsia="Arial Narrow"/>
        </w:rPr>
        <w:t>s</w:t>
      </w:r>
      <w:r w:rsidR="003A72AD" w:rsidRPr="004C70EC">
        <w:rPr>
          <w:rFonts w:eastAsia="Arial Narrow"/>
        </w:rPr>
        <w:t xml:space="preserve"> (</w:t>
      </w:r>
      <w:r w:rsidR="33CE1D06" w:rsidRPr="004C70EC">
        <w:rPr>
          <w:rFonts w:eastAsia="Arial Narrow"/>
        </w:rPr>
        <w:t>CROs</w:t>
      </w:r>
      <w:r w:rsidR="003A72AD" w:rsidRPr="004C70EC">
        <w:rPr>
          <w:rFonts w:eastAsia="Arial Narrow"/>
        </w:rPr>
        <w:t>)</w:t>
      </w:r>
      <w:r w:rsidR="33CE1D06" w:rsidRPr="004C70EC">
        <w:rPr>
          <w:rFonts w:eastAsia="Arial Narrow"/>
        </w:rPr>
        <w:t>, and 7 from other stakeholders such as non-profits, hospital owners, advocacy groups, research infrastructures, trade associations and life sciences providers</w:t>
      </w:r>
    </w:p>
  </w:footnote>
  <w:footnote w:id="82">
    <w:p w14:paraId="5366C8EE" w14:textId="77777777" w:rsidR="00E934F2" w:rsidRPr="004C70EC" w:rsidRDefault="00E934F2" w:rsidP="00E934F2">
      <w:pPr>
        <w:pStyle w:val="FootnoteText"/>
      </w:pPr>
      <w:r w:rsidRPr="004C70EC">
        <w:rPr>
          <w:rStyle w:val="FootnoteReference"/>
        </w:rPr>
        <w:footnoteRef/>
      </w:r>
      <w:r w:rsidR="00DA6D02" w:rsidRPr="004C70EC">
        <w:rPr>
          <w:rFonts w:eastAsia="Arial Narrow"/>
        </w:rPr>
        <w:tab/>
      </w:r>
      <w:r w:rsidR="33CE1D06" w:rsidRPr="004C70EC">
        <w:rPr>
          <w:rFonts w:eastAsia="Arial Narrow"/>
        </w:rPr>
        <w:t xml:space="preserve">20 responses from ethics committees, 20 from national competent authorities, 3 from ministries or government bodies, and </w:t>
      </w:r>
      <w:r w:rsidR="004D600C" w:rsidRPr="004C70EC">
        <w:rPr>
          <w:rFonts w:eastAsia="Arial Narrow"/>
        </w:rPr>
        <w:t xml:space="preserve">1 </w:t>
      </w:r>
      <w:r w:rsidR="33CE1D06" w:rsidRPr="004C70EC">
        <w:rPr>
          <w:rFonts w:eastAsia="Arial Narrow"/>
        </w:rPr>
        <w:t>from a respondent identified as both a ministry and an ethics committee</w:t>
      </w:r>
    </w:p>
  </w:footnote>
  <w:footnote w:id="83">
    <w:p w14:paraId="2937276E" w14:textId="77777777" w:rsidR="00E934F2" w:rsidRPr="004C70EC" w:rsidRDefault="00E934F2" w:rsidP="00E934F2">
      <w:pPr>
        <w:pStyle w:val="FootnoteText"/>
      </w:pPr>
      <w:r w:rsidRPr="004C70EC">
        <w:rPr>
          <w:rStyle w:val="FootnoteReference"/>
          <w:rFonts w:eastAsia="Arial Narrow"/>
        </w:rPr>
        <w:footnoteRef/>
      </w:r>
      <w:r w:rsidR="00DA6D02" w:rsidRPr="004C70EC">
        <w:rPr>
          <w:rFonts w:eastAsia="Arial Narrow"/>
        </w:rPr>
        <w:tab/>
      </w:r>
      <w:r w:rsidR="33CE1D06" w:rsidRPr="004C70EC">
        <w:rPr>
          <w:rFonts w:eastAsia="Arial Narrow"/>
          <w:color w:val="333333"/>
          <w:lang w:val="en-IE"/>
        </w:rPr>
        <w:t xml:space="preserve"> Communication from the Commission to the European Parliament, the Council, the European Economic and Social Committee and the Committee of the Regions,</w:t>
      </w:r>
      <w:r w:rsidR="33CE1D06" w:rsidRPr="004C70EC">
        <w:t xml:space="preserve"> </w:t>
      </w:r>
      <w:r w:rsidR="33CE1D06" w:rsidRPr="004C70EC">
        <w:rPr>
          <w:i/>
          <w:iCs/>
        </w:rPr>
        <w:t>Building the future with nature: Boosting Biotechnology and Biomanufacturing in the EU</w:t>
      </w:r>
      <w:r w:rsidR="33CE1D06" w:rsidRPr="004C70EC">
        <w:t>, COM(2024) 137 final.</w:t>
      </w:r>
    </w:p>
  </w:footnote>
  <w:footnote w:id="84">
    <w:p w14:paraId="43F0800D" w14:textId="77777777" w:rsidR="00E934F2" w:rsidRPr="004C70EC" w:rsidRDefault="00E934F2" w:rsidP="00E934F2">
      <w:pPr>
        <w:pStyle w:val="FootnoteText"/>
      </w:pPr>
      <w:r w:rsidRPr="004C70EC">
        <w:rPr>
          <w:rStyle w:val="FootnoteReference"/>
          <w:rFonts w:eastAsia="Arial Narrow"/>
        </w:rPr>
        <w:footnoteRef/>
      </w:r>
      <w:r w:rsidR="00DA6D02" w:rsidRPr="004C70EC">
        <w:rPr>
          <w:rFonts w:eastAsia="Arial Narrow"/>
        </w:rPr>
        <w:tab/>
      </w:r>
      <w:r w:rsidR="33CE1D06" w:rsidRPr="004C70EC">
        <w:t xml:space="preserve">Draghi, Mario. </w:t>
      </w:r>
      <w:hyperlink r:id="rId35" w:history="1">
        <w:r w:rsidR="33CE1D06" w:rsidRPr="004C70EC">
          <w:rPr>
            <w:rStyle w:val="Hyperlink"/>
            <w:i/>
            <w:iCs/>
          </w:rPr>
          <w:t>The future of European competitiveness: A competitiveness strategy for Europe</w:t>
        </w:r>
      </w:hyperlink>
      <w:r w:rsidR="33CE1D06" w:rsidRPr="004C70EC">
        <w:t>, European Commission, 9 September 2024.</w:t>
      </w:r>
    </w:p>
  </w:footnote>
  <w:footnote w:id="85">
    <w:p w14:paraId="7C6D4B6F" w14:textId="77777777" w:rsidR="00E934F2" w:rsidRPr="004C70EC" w:rsidRDefault="00E934F2" w:rsidP="00E934F2">
      <w:pPr>
        <w:pStyle w:val="FootnoteText"/>
      </w:pPr>
      <w:r w:rsidRPr="004C70EC">
        <w:rPr>
          <w:rStyle w:val="FootnoteReference"/>
          <w:rFonts w:eastAsia="Arial Narrow"/>
        </w:rPr>
        <w:footnoteRef/>
      </w:r>
      <w:r w:rsidR="00DA6D02" w:rsidRPr="004C70EC">
        <w:rPr>
          <w:rFonts w:eastAsia="Arial Narrow"/>
        </w:rPr>
        <w:tab/>
      </w:r>
      <w:r w:rsidR="33CE1D06" w:rsidRPr="004C70EC">
        <w:t>Enrico</w:t>
      </w:r>
      <w:r w:rsidR="00CC0175" w:rsidRPr="004C70EC">
        <w:t xml:space="preserve"> </w:t>
      </w:r>
      <w:r w:rsidR="33CE1D06" w:rsidRPr="004C70EC">
        <w:t>Letta (2024),</w:t>
      </w:r>
      <w:r w:rsidR="00CC0175" w:rsidRPr="004C70EC">
        <w:t xml:space="preserve"> </w:t>
      </w:r>
      <w:r w:rsidR="33CE1D06" w:rsidRPr="004C70EC">
        <w:rPr>
          <w:i/>
          <w:iCs/>
        </w:rPr>
        <w:t>Much more than a Market</w:t>
      </w:r>
      <w:r w:rsidR="33CE1D06" w:rsidRPr="004C70EC">
        <w:t xml:space="preserve">. </w:t>
      </w:r>
      <w:hyperlink r:id="rId36" w:history="1">
        <w:r w:rsidR="33CE1D06" w:rsidRPr="004C70EC">
          <w:rPr>
            <w:rStyle w:val="Hyperlink"/>
          </w:rPr>
          <w:t>Enrico Letta - Much more than a market (April 2024)</w:t>
        </w:r>
      </w:hyperlink>
      <w:hyperlink r:id="rId37" w:history="1">
        <w:r w:rsidRPr="004C70EC">
          <w:rPr>
            <w:rStyle w:val="Hyperlink"/>
          </w:rPr>
          <w:t>https://www.consilium.europa.eu/media/ny3j24sm/much-more-than-a-market-report-by-enrico-letta.pdf</w:t>
        </w:r>
      </w:hyperlink>
      <w:r w:rsidR="33CE1D06" w:rsidRPr="004C70EC">
        <w:rPr>
          <w:rFonts w:eastAsia="Arial Narrow"/>
        </w:rPr>
        <w:t xml:space="preserve"> </w:t>
      </w:r>
    </w:p>
  </w:footnote>
  <w:footnote w:id="86">
    <w:p w14:paraId="07F3E3EE" w14:textId="77777777" w:rsidR="00E934F2" w:rsidRPr="004C70EC" w:rsidRDefault="00E934F2" w:rsidP="00E934F2">
      <w:pPr>
        <w:pStyle w:val="FootnoteText"/>
        <w:rPr>
          <w:lang w:val="en"/>
        </w:rPr>
      </w:pPr>
      <w:r w:rsidRPr="004C70EC">
        <w:rPr>
          <w:rStyle w:val="FootnoteReference"/>
          <w:rFonts w:eastAsia="Arial Narrow"/>
        </w:rPr>
        <w:footnoteRef/>
      </w:r>
      <w:r w:rsidR="00DA6D02" w:rsidRPr="004C70EC">
        <w:rPr>
          <w:rFonts w:eastAsia="Arial Narrow"/>
        </w:rPr>
        <w:tab/>
      </w:r>
      <w:r w:rsidR="33CE1D06" w:rsidRPr="004C70EC">
        <w:rPr>
          <w:rFonts w:eastAsia="Arial Narrow"/>
        </w:rPr>
        <w:t xml:space="preserve">Charter of Fundamental Rights of the European Union, </w:t>
      </w:r>
      <w:r w:rsidR="33CE1D06" w:rsidRPr="004C70EC">
        <w:rPr>
          <w:rFonts w:eastAsia="Arial Narrow"/>
          <w:lang w:val="en"/>
        </w:rPr>
        <w:t>ELI: </w:t>
      </w:r>
      <w:hyperlink r:id="rId38" w:tooltip="Gives access to this document through its ELI URI." w:history="1">
        <w:r w:rsidR="33CE1D06" w:rsidRPr="004C70EC">
          <w:rPr>
            <w:rStyle w:val="Hyperlink"/>
            <w:rFonts w:eastAsia="Arial Narrow"/>
            <w:lang w:val="en"/>
          </w:rPr>
          <w:t>http://data.europa.eu/eli/treaty/char_2012/oj</w:t>
        </w:r>
      </w:hyperlink>
    </w:p>
  </w:footnote>
  <w:footnote w:id="87">
    <w:p w14:paraId="327BC5A7" w14:textId="77777777" w:rsidR="158798DF" w:rsidRPr="004C70EC" w:rsidRDefault="158798DF" w:rsidP="004A1163">
      <w:pPr>
        <w:pStyle w:val="FootnoteText"/>
        <w:ind w:firstLine="0"/>
        <w:rPr>
          <w:rFonts w:eastAsia="Times New Roman"/>
          <w:color w:val="333333"/>
        </w:rPr>
      </w:pPr>
      <w:r w:rsidRPr="004C70EC">
        <w:rPr>
          <w:rStyle w:val="FootnoteReference"/>
        </w:rPr>
        <w:footnoteRef/>
      </w:r>
      <w:r w:rsidR="005A39B3" w:rsidRPr="004C70EC">
        <w:tab/>
      </w:r>
      <w:r w:rsidRPr="004C70EC">
        <w:rPr>
          <w:rFonts w:eastAsia="Times New Roman"/>
          <w:color w:val="333333"/>
        </w:rPr>
        <w:t>Regulation (EU) 2024/795 of the European Parliament and of the Council of 29 February 2024 establishing the Strategic Technologies for Europe Platform (STEP), and amending Directive 2003/87/EC and Regulations (EU) 2021/1058, (EU) 2021/1056, (EU) 2021/1057, (EU) No 1303/2013, (EU) No 223/2014, (EU) 2021/1060, (EU) 2021/523, (EU) 2021/695, (EU) 2021/697 and (EU) 2021/241</w:t>
      </w:r>
      <w:r w:rsidR="09564C4B" w:rsidRPr="004C70EC">
        <w:rPr>
          <w:rFonts w:eastAsia="Times New Roman"/>
          <w:color w:val="333333"/>
        </w:rPr>
        <w:t xml:space="preserve">, ELI: </w:t>
      </w:r>
      <w:hyperlink r:id="rId39" w:history="1">
        <w:r w:rsidR="09564C4B" w:rsidRPr="004C70EC">
          <w:rPr>
            <w:rStyle w:val="Hyperlink"/>
            <w:rFonts w:eastAsia="Times New Roman"/>
            <w:color w:val="333333"/>
          </w:rPr>
          <w:t>http://data.europa.eu/eli/reg/2024/795/oj</w:t>
        </w:r>
      </w:hyperlink>
    </w:p>
  </w:footnote>
  <w:footnote w:id="88">
    <w:p w14:paraId="515A673E" w14:textId="77777777" w:rsidR="706B6BEA" w:rsidRPr="004C70EC" w:rsidRDefault="706B6BEA" w:rsidP="004A1163">
      <w:pPr>
        <w:pStyle w:val="FootnoteText"/>
        <w:rPr>
          <w:rFonts w:eastAsia="Times New Roman"/>
          <w:color w:val="333333"/>
        </w:rPr>
      </w:pPr>
      <w:r w:rsidRPr="004C70EC">
        <w:rPr>
          <w:rStyle w:val="FootnoteReference"/>
        </w:rPr>
        <w:footnoteRef/>
      </w:r>
      <w:r w:rsidR="005A39B3" w:rsidRPr="004C70EC">
        <w:tab/>
      </w:r>
      <w:r w:rsidRPr="004C70EC">
        <w:rPr>
          <w:rFonts w:eastAsia="Times New Roman"/>
          <w:color w:val="333333"/>
        </w:rPr>
        <w:t xml:space="preserve">Regulation (EC) No 178/2002 of the European Parliament and of the Council of 28 January 2002 laying down the general principles and requirements of food law, establishing the European Food Safety Authority and laying down procedures in matters of food safety, OJ L 31, 1.2.2002, pp. 1–24. ELI: </w:t>
      </w:r>
      <w:hyperlink r:id="rId40" w:history="1">
        <w:r w:rsidRPr="004C70EC">
          <w:rPr>
            <w:rStyle w:val="Hyperlink"/>
            <w:rFonts w:eastAsia="Times New Roman"/>
            <w:color w:val="333333"/>
          </w:rPr>
          <w:t>http://data.europa.eu/eli/reg/2002/178/oj</w:t>
        </w:r>
      </w:hyperlink>
    </w:p>
  </w:footnote>
  <w:footnote w:id="89">
    <w:p w14:paraId="14378B9E" w14:textId="77777777" w:rsidR="02AEACFB" w:rsidRPr="004C70EC" w:rsidRDefault="02AEACFB" w:rsidP="004A1163">
      <w:pPr>
        <w:pStyle w:val="FootnoteText"/>
        <w:rPr>
          <w:rFonts w:eastAsia="Times New Roman"/>
          <w:color w:val="333333"/>
        </w:rPr>
      </w:pPr>
      <w:r w:rsidRPr="004C70EC">
        <w:rPr>
          <w:rStyle w:val="FootnoteReference"/>
        </w:rPr>
        <w:footnoteRef/>
      </w:r>
      <w:r w:rsidR="005A39B3" w:rsidRPr="004C70EC">
        <w:tab/>
      </w:r>
      <w:r w:rsidRPr="004C70EC">
        <w:rPr>
          <w:rFonts w:eastAsia="Times New Roman"/>
          <w:color w:val="333333"/>
        </w:rPr>
        <w:t xml:space="preserve">Regulation (EU) 2019/6 of the European Parliament and of the Council of 11 December 2018 on veterinary medicinal products and repealing Directive 2001/82/EC (Text with EEA relevance), OJ L 4, 7.1.2019, pp. 43–167. ELI: </w:t>
      </w:r>
      <w:hyperlink r:id="rId41" w:history="1">
        <w:r w:rsidRPr="004C70EC">
          <w:rPr>
            <w:rStyle w:val="Hyperlink"/>
            <w:rFonts w:eastAsia="Times New Roman"/>
            <w:color w:val="333333"/>
          </w:rPr>
          <w:t>http://data.europa.eu/eli/reg/2019/6/oj</w:t>
        </w:r>
      </w:hyperlink>
    </w:p>
  </w:footnote>
  <w:footnote w:id="90">
    <w:p w14:paraId="31F3FAED" w14:textId="77777777" w:rsidR="00F3724E" w:rsidRPr="004C70EC" w:rsidRDefault="00F3724E">
      <w:pPr>
        <w:pStyle w:val="FootnoteText"/>
        <w:rPr>
          <w:lang w:val="en-IE"/>
        </w:rPr>
      </w:pPr>
      <w:r w:rsidRPr="004C70EC">
        <w:rPr>
          <w:rStyle w:val="FootnoteReference"/>
        </w:rPr>
        <w:footnoteRef/>
      </w:r>
      <w:r w:rsidR="00DC3198" w:rsidRPr="004C70EC">
        <w:tab/>
      </w:r>
      <w:r w:rsidR="00070E9E" w:rsidRPr="004C70EC">
        <w:t xml:space="preserve">European Commission: Group of Chief Scientific Advisors and Directorate-General for Research and Innovation, One Health governance in the European Union, Publications Office of the European Union, 2024, </w:t>
      </w:r>
      <w:hyperlink r:id="rId42" w:history="1">
        <w:r w:rsidR="00070E9E" w:rsidRPr="004C70EC">
          <w:rPr>
            <w:rStyle w:val="Hyperlink"/>
          </w:rPr>
          <w:t>https://data.europa.eu/doi/10.2777/8697309</w:t>
        </w:r>
      </w:hyperlink>
      <w:r w:rsidR="00070E9E" w:rsidRPr="004C70EC">
        <w:t xml:space="preserve"> . </w:t>
      </w:r>
    </w:p>
  </w:footnote>
  <w:footnote w:id="91">
    <w:p w14:paraId="77EE175B" w14:textId="77777777" w:rsidR="00383708" w:rsidRPr="004C70EC" w:rsidRDefault="00383708" w:rsidP="00383708">
      <w:pPr>
        <w:pStyle w:val="FootnoteText"/>
        <w:rPr>
          <w:lang w:val="en-US"/>
        </w:rPr>
      </w:pPr>
      <w:r w:rsidRPr="004C70EC">
        <w:rPr>
          <w:rStyle w:val="FootnoteReference"/>
        </w:rPr>
        <w:footnoteRef/>
      </w:r>
      <w:r w:rsidRPr="004C70EC">
        <w:tab/>
      </w:r>
      <w:r w:rsidRPr="004C70EC">
        <w:rPr>
          <w:lang w:val="en-IE"/>
        </w:rPr>
        <w:t xml:space="preserve">Regulation (EC) No 178/2002 of the European Parliament and of the Council of 28 January 2002 laying down the general principles and requirements of food law, establishing the European Food Safety Authority and laying down procedures in matters of food safety, OJ L 31, 1.2.2002, p. 1. </w:t>
      </w:r>
      <w:r w:rsidRPr="004C70EC">
        <w:rPr>
          <w:lang w:val="en-US"/>
        </w:rPr>
        <w:t>ELI: </w:t>
      </w:r>
      <w:hyperlink r:id="rId43" w:tooltip="Gives access to this document through its ELI URI." w:history="1">
        <w:r w:rsidRPr="004C70EC">
          <w:rPr>
            <w:rStyle w:val="Hyperlink"/>
            <w:lang w:val="en-US"/>
          </w:rPr>
          <w:t>http://data.europa.eu/eli/reg/2002/178/oj</w:t>
        </w:r>
      </w:hyperlink>
      <w:r w:rsidRPr="004C70EC">
        <w:rPr>
          <w:lang w:val="en-US"/>
        </w:rPr>
        <w:t>.</w:t>
      </w:r>
    </w:p>
  </w:footnote>
  <w:footnote w:id="92">
    <w:p w14:paraId="04030648" w14:textId="77777777" w:rsidR="00C831FE" w:rsidRPr="004C70EC" w:rsidRDefault="00C831FE" w:rsidP="00C831FE">
      <w:pPr>
        <w:pStyle w:val="FootnoteText"/>
        <w:rPr>
          <w:lang w:val="en-IE"/>
        </w:rPr>
      </w:pPr>
      <w:r w:rsidRPr="004C70EC">
        <w:rPr>
          <w:rStyle w:val="FootnoteReference"/>
        </w:rPr>
        <w:footnoteRef/>
      </w:r>
      <w:r w:rsidRPr="004C70EC">
        <w:rPr>
          <w:lang w:val="en-IE"/>
        </w:rPr>
        <w:tab/>
        <w:t>Regulation (EU) 2024/1689 of the European Parliament and of the Council of 13 June 2024 laying down harmonised rules on artificial intelligence and amending Regulations (EC) No 300/2008, (EU) No 167/2013, (EU) No 168/2013, (EU) 2018/858, (EU) 2018/1139 and (EU) 2019/2144 and Directives 2014/90/EU, (EU) 2016/797 and (EU) 2020/1828 (Artificial Intelligence Act) (OJ L, 2024/1689, 12.7.2024, ELI: http://data.europa.eu/eli/reg/2024/1689/oj).</w:t>
      </w:r>
    </w:p>
  </w:footnote>
  <w:footnote w:id="93">
    <w:p w14:paraId="0314B454" w14:textId="77777777" w:rsidR="7A210851" w:rsidRPr="004C70EC" w:rsidRDefault="7A210851" w:rsidP="75D37C29">
      <w:pPr>
        <w:pStyle w:val="FootnoteText"/>
        <w:rPr>
          <w:rFonts w:eastAsia="Calibri"/>
          <w:lang w:val="en-IE"/>
        </w:rPr>
      </w:pPr>
      <w:r w:rsidRPr="004C70EC">
        <w:rPr>
          <w:rStyle w:val="FootnoteReference"/>
        </w:rPr>
        <w:footnoteRef/>
      </w:r>
      <w:r w:rsidR="00C43E5E" w:rsidRPr="004C70EC">
        <w:rPr>
          <w:lang w:val="en-IE"/>
        </w:rPr>
        <w:tab/>
      </w:r>
      <w:r w:rsidR="1E446809" w:rsidRPr="004C70EC">
        <w:rPr>
          <w:rFonts w:eastAsia="Calibri"/>
          <w:lang w:val="en-IE"/>
        </w:rPr>
        <w:t xml:space="preserve">Consolidated text: Directive 2010/63/EU of the European Parliament and of the Council of 22 September 2010 on the protection of animals used for scientific purposes (Text with EEA relevance). </w:t>
      </w:r>
      <w:r w:rsidR="71AF446E" w:rsidRPr="004C70EC">
        <w:rPr>
          <w:rFonts w:eastAsia="Calibri"/>
          <w:lang w:val="en-IE"/>
        </w:rPr>
        <w:t xml:space="preserve">ELI: </w:t>
      </w:r>
      <w:hyperlink r:id="rId44" w:history="1">
        <w:r w:rsidR="71AF446E" w:rsidRPr="004C70EC">
          <w:rPr>
            <w:rStyle w:val="Hyperlink"/>
            <w:rFonts w:eastAsia="Calibri"/>
            <w:lang w:val="en-IE"/>
          </w:rPr>
          <w:t>http://data.europa.eu/eli/dir/2010/63/2019-06-26</w:t>
        </w:r>
      </w:hyperlink>
    </w:p>
  </w:footnote>
  <w:footnote w:id="94">
    <w:p w14:paraId="4C56A885" w14:textId="77777777" w:rsidR="2E57C383" w:rsidRPr="004C70EC" w:rsidRDefault="2E57C383" w:rsidP="004A1163">
      <w:pPr>
        <w:pStyle w:val="FootnoteText"/>
        <w:rPr>
          <w:rFonts w:ascii="Roboto" w:eastAsia="Roboto" w:hAnsi="Roboto" w:cs="Roboto"/>
          <w:color w:val="0E47CB"/>
          <w:sz w:val="21"/>
          <w:szCs w:val="21"/>
          <w:u w:val="single"/>
        </w:rPr>
      </w:pPr>
      <w:r w:rsidRPr="004C70EC">
        <w:rPr>
          <w:rStyle w:val="FootnoteReference"/>
        </w:rPr>
        <w:footnoteRef/>
      </w:r>
      <w:r w:rsidR="004B281C" w:rsidRPr="004C70EC">
        <w:tab/>
      </w:r>
      <w:r w:rsidRPr="004C70EC">
        <w:rPr>
          <w:rFonts w:eastAsia="Times New Roman"/>
          <w:color w:val="333333"/>
        </w:rPr>
        <w:t xml:space="preserve">Consolidated text: 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 (Text with EEA relevance). ELI: </w:t>
      </w:r>
      <w:hyperlink r:id="rId45" w:history="1">
        <w:r w:rsidRPr="004C70EC">
          <w:rPr>
            <w:rStyle w:val="Hyperlink"/>
            <w:rFonts w:eastAsia="Times New Roman"/>
            <w:color w:val="333333"/>
            <w:u w:val="none"/>
          </w:rPr>
          <w:t>http://data.europa.eu/eli/reg/2006/1907/2025-09-01</w:t>
        </w:r>
      </w:hyperlink>
      <w:r w:rsidR="236AC6E5" w:rsidRPr="004C70EC">
        <w:rPr>
          <w:rFonts w:eastAsia="Times New Roman"/>
          <w:color w:val="0E47CB"/>
          <w:u w:val="single"/>
        </w:rPr>
        <w:t>.</w:t>
      </w:r>
    </w:p>
  </w:footnote>
  <w:footnote w:id="95">
    <w:p w14:paraId="338BE464" w14:textId="77777777" w:rsidR="00273F36" w:rsidRPr="004C70EC" w:rsidRDefault="00273F36" w:rsidP="00DA6D02">
      <w:pPr>
        <w:pStyle w:val="FootnoteText"/>
      </w:pPr>
      <w:r w:rsidRPr="004C70EC">
        <w:rPr>
          <w:rStyle w:val="FootnoteReference"/>
        </w:rPr>
        <w:footnoteRef/>
      </w:r>
      <w:r w:rsidR="00DA6D02" w:rsidRPr="004C70EC">
        <w:tab/>
      </w:r>
      <w:r w:rsidR="33CE1D06" w:rsidRPr="004C70EC">
        <w:t>Regulation (EU) 2024/1735 of the European Parliament and of the Council of 13 June 2024 on establishing a framework of measures for strengthening Europe’s net-zero technology manufacturing ecosystem and amending Regulation (EU) 2018/1724 (Text with EEA relevance), OJ L 1735 28.6.2024, p. 1. ELI: </w:t>
      </w:r>
      <w:hyperlink r:id="rId46" w:tooltip="Gives access to this document through its ELI URI." w:history="1">
        <w:r w:rsidR="33CE1D06" w:rsidRPr="004C70EC">
          <w:rPr>
            <w:rStyle w:val="Hyperlink"/>
          </w:rPr>
          <w:t>http://data.europa.eu/eli/reg/2024/1735/oj</w:t>
        </w:r>
      </w:hyperlink>
      <w:r w:rsidR="33CE1D06" w:rsidRPr="004C70EC">
        <w:t>.</w:t>
      </w:r>
    </w:p>
  </w:footnote>
  <w:footnote w:id="96">
    <w:p w14:paraId="18C5944A" w14:textId="77777777" w:rsidR="003D3E51" w:rsidRPr="004C70EC" w:rsidRDefault="003D3E51" w:rsidP="003D3E51">
      <w:pPr>
        <w:pStyle w:val="FootnoteText"/>
        <w:rPr>
          <w:lang w:val="en-IE"/>
        </w:rPr>
      </w:pPr>
      <w:r w:rsidRPr="004C70EC">
        <w:rPr>
          <w:rStyle w:val="FootnoteReference"/>
        </w:rPr>
        <w:footnoteRef/>
      </w:r>
      <w:r w:rsidRPr="004C70EC">
        <w:tab/>
        <w:t xml:space="preserve">Regulation (EU) 2024/795 of the European Parliament and of the Council of 29 February 2024 establishing the Strategic Technologies for Europe Platform (STEP), and amending Directive 2003/87/EC and Regulations (EU) 2021/1058, (EU) 2021/1056, (EU) 2021/1057, (EU) No 1303/2013, (EU) No 223/2014, (EU) 2021/1060, (EU) 2021/523, (EU) 2021/695, (EU) 2021/697 and (EU) 2021/241 (OJ L, 2024/795, 29.2.2024. </w:t>
      </w:r>
      <w:r w:rsidRPr="004C70EC">
        <w:rPr>
          <w:lang w:val="en-IE"/>
        </w:rPr>
        <w:t>ELI: </w:t>
      </w:r>
      <w:hyperlink r:id="rId47" w:tooltip="Gives access to this document through its ELI URI." w:history="1">
        <w:r w:rsidRPr="004C70EC">
          <w:rPr>
            <w:rStyle w:val="Hyperlink"/>
            <w:lang w:val="en-IE"/>
          </w:rPr>
          <w:t>http://data.europa.eu/eli/reg/2024/795/oj</w:t>
        </w:r>
      </w:hyperlink>
      <w:r w:rsidRPr="004C70EC">
        <w:t>)</w:t>
      </w:r>
      <w:r w:rsidRPr="004C70EC">
        <w:rPr>
          <w:lang w:val="en-IE"/>
        </w:rPr>
        <w:t>.</w:t>
      </w:r>
    </w:p>
  </w:footnote>
  <w:footnote w:id="97">
    <w:p w14:paraId="6ED6AB0E" w14:textId="77777777" w:rsidR="2F475511" w:rsidRPr="004C70EC" w:rsidRDefault="2F475511" w:rsidP="004A1163">
      <w:pPr>
        <w:pStyle w:val="FootnoteText"/>
        <w:rPr>
          <w:rFonts w:ascii="Roboto" w:eastAsia="Roboto" w:hAnsi="Roboto" w:cs="Roboto"/>
          <w:color w:val="0E47CB"/>
          <w:sz w:val="21"/>
          <w:szCs w:val="21"/>
          <w:u w:val="single"/>
        </w:rPr>
      </w:pPr>
      <w:r w:rsidRPr="004C70EC">
        <w:rPr>
          <w:rStyle w:val="FootnoteReference"/>
        </w:rPr>
        <w:footnoteRef/>
      </w:r>
      <w:r w:rsidR="004B281C" w:rsidRPr="004C70EC">
        <w:tab/>
      </w:r>
      <w:r w:rsidRPr="004C70EC">
        <w:rPr>
          <w:rFonts w:eastAsia="Times New Roman"/>
          <w:color w:val="333333"/>
        </w:rPr>
        <w:t>Regulation (EU) 2024/795 of the European Parliament and of the Council of 29 February 2024 establishing the Strategic Technologies for Europe Platform (STEP), and amending Directive 2003/87/EC and Regulations (EU) 2021/1058, (EU) 2021/1056, (EU) 2021/1057, (EU) No 1303/2013, (EU) No 223/2014, (EU) 2021/1060, (EU) 2021/523, (EU) 2021/695, (EU) 2021/697 and (EU) 2021/241</w:t>
      </w:r>
      <w:r w:rsidR="59318F44" w:rsidRPr="004C70EC">
        <w:rPr>
          <w:rFonts w:eastAsia="Times New Roman"/>
          <w:color w:val="333333"/>
        </w:rPr>
        <w:t xml:space="preserve">, ELI: </w:t>
      </w:r>
      <w:r w:rsidR="6C5BF6C6" w:rsidRPr="004C70EC">
        <w:rPr>
          <w:rFonts w:eastAsia="Times New Roman"/>
          <w:color w:val="0E47CB"/>
          <w:u w:val="single"/>
        </w:rPr>
        <w:t>.</w:t>
      </w:r>
    </w:p>
  </w:footnote>
  <w:footnote w:id="98">
    <w:p w14:paraId="3C6D1F90" w14:textId="77777777" w:rsidR="007B5EFC" w:rsidRPr="004C70EC" w:rsidRDefault="007B5EFC" w:rsidP="007B5EFC">
      <w:pPr>
        <w:pStyle w:val="FootnoteText"/>
        <w:rPr>
          <w:lang w:val="en-IE"/>
        </w:rPr>
      </w:pPr>
      <w:r w:rsidRPr="004C70EC">
        <w:rPr>
          <w:rStyle w:val="FootnoteReference"/>
        </w:rPr>
        <w:footnoteRef/>
      </w:r>
      <w:r w:rsidRPr="004C70EC">
        <w:rPr>
          <w:lang w:val="en-IE"/>
        </w:rPr>
        <w:tab/>
        <w:t>Regulation (EU) 2021/1056 of the European Parliament and of the Council of 24 June 2021 establishing the Just Transition Fund (OJ L 231, 30.6.2021, p. 1, ELI: http://data.europa.eu/eli/reg/2021/1056/oj).</w:t>
      </w:r>
    </w:p>
  </w:footnote>
  <w:footnote w:id="99">
    <w:p w14:paraId="4160AB4F" w14:textId="77777777" w:rsidR="00D63742" w:rsidRPr="004C70EC" w:rsidRDefault="00D63742" w:rsidP="00D63742">
      <w:pPr>
        <w:pStyle w:val="FootnoteText"/>
        <w:rPr>
          <w:lang w:val="en-IE"/>
        </w:rPr>
      </w:pPr>
      <w:r w:rsidRPr="004C70EC">
        <w:rPr>
          <w:rStyle w:val="FootnoteReference"/>
        </w:rPr>
        <w:footnoteRef/>
      </w:r>
      <w:r w:rsidRPr="004C70EC">
        <w:rPr>
          <w:lang w:val="en-IE"/>
        </w:rPr>
        <w:tab/>
        <w:t>Regulation (EU) 2021/1057 of the European Parliament and of the Council of 24 June 2021 establishing the European Social Fund Plus (ESF+) and repealing Regulation (EU) No 1296/2013 (OJ L 231, 30.6.2021, p. 21, ELI: http://data.europa.eu/eli/reg/2021/1057/oj).</w:t>
      </w:r>
    </w:p>
  </w:footnote>
  <w:footnote w:id="100">
    <w:p w14:paraId="3498C0EE" w14:textId="77777777" w:rsidR="001E62F0" w:rsidRPr="004C70EC" w:rsidRDefault="001E62F0" w:rsidP="001E62F0">
      <w:pPr>
        <w:pStyle w:val="FootnoteText"/>
        <w:rPr>
          <w:lang w:val="en-IE"/>
        </w:rPr>
      </w:pPr>
      <w:r w:rsidRPr="004C70EC">
        <w:rPr>
          <w:rStyle w:val="FootnoteReference"/>
        </w:rPr>
        <w:footnoteRef/>
      </w:r>
      <w:r w:rsidRPr="004C70EC">
        <w:rPr>
          <w:lang w:val="en-IE"/>
        </w:rPr>
        <w:tab/>
        <w:t>Regulation (EU) 2021/1058 of the European Parliament and of the Council of 24 June 2021 on the European Regional Development Fund and on the Cohesion Fund (OJ L 231, 30.6.2021, p. 60, ELI: http://data.europa.eu/eli/reg/2021/1058/oj).</w:t>
      </w:r>
    </w:p>
  </w:footnote>
  <w:footnote w:id="101">
    <w:p w14:paraId="632E2C05" w14:textId="77777777" w:rsidR="00273F36" w:rsidRPr="004C70EC" w:rsidRDefault="00273F36" w:rsidP="00DA6D02">
      <w:pPr>
        <w:pStyle w:val="FootnoteText"/>
      </w:pPr>
      <w:r w:rsidRPr="004C70EC">
        <w:rPr>
          <w:rStyle w:val="FootnoteReference"/>
        </w:rPr>
        <w:footnoteRef/>
      </w:r>
      <w:r w:rsidR="00DA6D02" w:rsidRPr="004C70EC">
        <w:rPr>
          <w:lang w:val="en-IE"/>
        </w:rPr>
        <w:tab/>
      </w:r>
      <w:r w:rsidR="4CF51068" w:rsidRPr="004C70EC">
        <w:rPr>
          <w:lang w:val="en-IE"/>
        </w:rPr>
        <w:t xml:space="preserve">Draghi, Mario. </w:t>
      </w:r>
      <w:hyperlink r:id="rId48" w:history="1">
        <w:r w:rsidR="4CF51068" w:rsidRPr="004C70EC">
          <w:rPr>
            <w:rStyle w:val="Hyperlink"/>
            <w:i/>
            <w:iCs/>
          </w:rPr>
          <w:t>The future of European competitiveness: A competitiveness strategy for Europe</w:t>
        </w:r>
      </w:hyperlink>
      <w:r w:rsidR="4CF51068" w:rsidRPr="004C70EC">
        <w:t>, European Commission, 9 September 2024.</w:t>
      </w:r>
    </w:p>
  </w:footnote>
  <w:footnote w:id="102">
    <w:p w14:paraId="7D5BB98B" w14:textId="77777777" w:rsidR="003C2A5C" w:rsidRPr="004C70EC" w:rsidRDefault="003C2A5C" w:rsidP="003C2A5C">
      <w:pPr>
        <w:pStyle w:val="FootnoteText"/>
        <w:rPr>
          <w:lang w:val="en"/>
        </w:rPr>
      </w:pPr>
      <w:r w:rsidRPr="004C70EC">
        <w:rPr>
          <w:rStyle w:val="FootnoteReference"/>
        </w:rPr>
        <w:footnoteRef/>
      </w:r>
      <w:r w:rsidRPr="004C70EC">
        <w:tab/>
        <w:t>Directive (EU) 2022/2555 of the European Parliament and of</w:t>
      </w:r>
      <w:r w:rsidR="00385677" w:rsidRPr="004C70EC">
        <w:t xml:space="preserve"> </w:t>
      </w:r>
      <w:r w:rsidRPr="004C70EC">
        <w:t xml:space="preserve">the Council of 14 December 2022 on measures for a high common level of cybersecurity across the Union, amending Regulation (EU) No 910/2014 and Directive (EU) 2018/1972, and repealing Directive (EU) 2016/1148 (NIS 2 Directive), OJ L 333, 27.12.2022, pp. 80. </w:t>
      </w:r>
      <w:r w:rsidRPr="004C70EC">
        <w:rPr>
          <w:lang w:val="en"/>
        </w:rPr>
        <w:t>ELI: </w:t>
      </w:r>
      <w:hyperlink r:id="rId49" w:tooltip="Gives access to this document through its ELI URI." w:history="1">
        <w:r w:rsidRPr="004C70EC">
          <w:rPr>
            <w:rStyle w:val="Hyperlink"/>
            <w:lang w:val="en"/>
          </w:rPr>
          <w:t>http://data.europa.eu/eli/dir/2022/2555/oj</w:t>
        </w:r>
      </w:hyperlink>
      <w:r w:rsidRPr="004C70EC">
        <w:rPr>
          <w:lang w:val="en"/>
        </w:rPr>
        <w:t>.</w:t>
      </w:r>
    </w:p>
  </w:footnote>
  <w:footnote w:id="103">
    <w:p w14:paraId="42EA01C2" w14:textId="77777777" w:rsidR="006F0C9D" w:rsidRPr="004C70EC" w:rsidRDefault="006F0C9D" w:rsidP="004B281C">
      <w:pPr>
        <w:pStyle w:val="FootnoteText"/>
      </w:pPr>
      <w:r w:rsidRPr="004C70EC">
        <w:rPr>
          <w:rStyle w:val="FootnoteReference"/>
        </w:rPr>
        <w:footnoteRef/>
      </w:r>
      <w:r w:rsidR="00C43E5E" w:rsidRPr="004C70EC">
        <w:tab/>
      </w:r>
      <w:r w:rsidR="0080632F" w:rsidRPr="004C70EC">
        <w:t xml:space="preserve">Regulation (EU) 2025/327 of the European Parliament and of the Council of 11 February 2025 on the European Health Data Space and amending Directive 2011/24/EU and Regulation (EU) 2024/2847 (OJ L, 2025/327, 5.3.2025, ELI: </w:t>
      </w:r>
      <w:hyperlink r:id="rId50" w:history="1">
        <w:r w:rsidR="0080632F" w:rsidRPr="004C70EC">
          <w:rPr>
            <w:rStyle w:val="Hyperlink"/>
          </w:rPr>
          <w:t>http://data.europa.eu/eli/reg/2025/327/oj</w:t>
        </w:r>
      </w:hyperlink>
      <w:r w:rsidR="0080632F" w:rsidRPr="004C70EC">
        <w:t>).</w:t>
      </w:r>
    </w:p>
  </w:footnote>
  <w:footnote w:id="104">
    <w:p w14:paraId="2652377C" w14:textId="77777777" w:rsidR="00C45EEE" w:rsidRPr="004C70EC" w:rsidRDefault="00C45EEE" w:rsidP="00C45EEE">
      <w:pPr>
        <w:pStyle w:val="FootnoteText"/>
      </w:pPr>
      <w:r w:rsidRPr="004C70EC">
        <w:rPr>
          <w:rStyle w:val="FootnoteReference"/>
        </w:rPr>
        <w:footnoteRef/>
      </w:r>
      <w:r w:rsidR="00157D85" w:rsidRPr="004C70EC">
        <w:tab/>
      </w:r>
      <w:r w:rsidRPr="004C70EC">
        <w:t xml:space="preserve">Communication from the Commission to the European Parliament, the Council, the European Economic and Social Committee and the Committee of the Regions: </w:t>
      </w:r>
      <w:r w:rsidRPr="004C70EC">
        <w:rPr>
          <w:i/>
          <w:iCs/>
        </w:rPr>
        <w:t>Apply AI Strategy</w:t>
      </w:r>
      <w:r w:rsidRPr="004C70EC">
        <w:t>, COM(2025)723 final of 8 October 2025.</w:t>
      </w:r>
    </w:p>
  </w:footnote>
  <w:footnote w:id="105">
    <w:p w14:paraId="3B2758E1" w14:textId="77777777" w:rsidR="00C45EEE" w:rsidRPr="004C70EC" w:rsidRDefault="00C45EEE" w:rsidP="00C45EEE">
      <w:pPr>
        <w:pStyle w:val="FootnoteText"/>
        <w:rPr>
          <w:lang w:val="en-IE"/>
        </w:rPr>
      </w:pPr>
      <w:r w:rsidRPr="004C70EC">
        <w:rPr>
          <w:rStyle w:val="FootnoteReference"/>
        </w:rPr>
        <w:footnoteRef/>
      </w:r>
      <w:r w:rsidRPr="004C70EC">
        <w:rPr>
          <w:lang w:val="en-IE"/>
        </w:rPr>
        <w:tab/>
      </w:r>
      <w:r w:rsidR="00BD46A5" w:rsidRPr="004C70EC">
        <w:rPr>
          <w:lang w:val="en-IE"/>
        </w:rPr>
        <w:t xml:space="preserve">Communication from the Commission to the European Parliament and the Council, Data Union Strategy, Unlocking Data For AI, COM(2025) 835 final, </w:t>
      </w:r>
      <w:r w:rsidR="00BD46A5" w:rsidRPr="004C70EC">
        <w:rPr>
          <w:color w:val="000000"/>
          <w:shd w:val="clear" w:color="auto" w:fill="FFFFFF"/>
        </w:rPr>
        <w:t>19 November 2025.</w:t>
      </w:r>
    </w:p>
  </w:footnote>
  <w:footnote w:id="106">
    <w:p w14:paraId="6F89787E" w14:textId="77777777" w:rsidR="00C45EEE" w:rsidRPr="004C70EC" w:rsidRDefault="00C45EEE" w:rsidP="00C45EEE">
      <w:pPr>
        <w:pStyle w:val="FootnoteText"/>
        <w:rPr>
          <w:lang w:val="en-IE"/>
        </w:rPr>
      </w:pPr>
      <w:r w:rsidRPr="004C70EC">
        <w:rPr>
          <w:rStyle w:val="FootnoteReference"/>
        </w:rPr>
        <w:footnoteRef/>
      </w:r>
      <w:r w:rsidR="00157D85" w:rsidRPr="004C70EC">
        <w:tab/>
      </w:r>
      <w:hyperlink r:id="rId51" w:history="1">
        <w:r w:rsidR="00157D85" w:rsidRPr="004C70EC">
          <w:rPr>
            <w:rStyle w:val="Hyperlink"/>
          </w:rPr>
          <w:t>https://ec.europa.eu/newsroom/dae/redirection/document/114523</w:t>
        </w:r>
      </w:hyperlink>
      <w:r w:rsidRPr="004C70EC">
        <w:t xml:space="preserve"> </w:t>
      </w:r>
    </w:p>
  </w:footnote>
  <w:footnote w:id="107">
    <w:p w14:paraId="07E061ED" w14:textId="77777777" w:rsidR="00273F36" w:rsidRPr="004C70EC" w:rsidRDefault="00273F36" w:rsidP="00DA6D02">
      <w:pPr>
        <w:pStyle w:val="FootnoteText"/>
      </w:pPr>
      <w:r w:rsidRPr="004C70EC">
        <w:rPr>
          <w:rStyle w:val="FootnoteReference"/>
        </w:rPr>
        <w:footnoteRef/>
      </w:r>
      <w:r w:rsidR="00DA6D02" w:rsidRPr="004C70EC">
        <w:tab/>
      </w:r>
      <w:r w:rsidR="33CE1D06" w:rsidRPr="004C70EC">
        <w:t xml:space="preserve">Communication from the Commission to the European Parliament, the Council, the European Economic and Social Committee and the Committee of the Regions: </w:t>
      </w:r>
      <w:r w:rsidR="33CE1D06" w:rsidRPr="004C70EC">
        <w:rPr>
          <w:i/>
          <w:iCs/>
        </w:rPr>
        <w:t>European Strategy for Artificial Intelligence in Science – Harnessing AI for research, innovation and excellence in the Union</w:t>
      </w:r>
      <w:r w:rsidR="33CE1D06" w:rsidRPr="004C70EC">
        <w:t>, COM(2025)724 final of, 8 October 2025.</w:t>
      </w:r>
    </w:p>
  </w:footnote>
  <w:footnote w:id="108">
    <w:p w14:paraId="46198728" w14:textId="77777777" w:rsidR="00273F36" w:rsidRPr="004C70EC" w:rsidRDefault="00273F36" w:rsidP="00DA6D02">
      <w:pPr>
        <w:pStyle w:val="FootnoteText"/>
      </w:pPr>
      <w:r w:rsidRPr="004C70EC">
        <w:rPr>
          <w:rStyle w:val="FootnoteReference"/>
        </w:rPr>
        <w:footnoteRef/>
      </w:r>
      <w:r w:rsidR="00DA6D02" w:rsidRPr="004C70EC">
        <w:tab/>
      </w:r>
      <w:r w:rsidR="33CE1D06" w:rsidRPr="004C70EC">
        <w:t xml:space="preserve">Communication from the Commission to the European Parliament, the Council, the European Economic and Social Committee and the Committee of the Regions, </w:t>
      </w:r>
      <w:r w:rsidR="33CE1D06" w:rsidRPr="004C70EC">
        <w:rPr>
          <w:i/>
          <w:iCs/>
        </w:rPr>
        <w:t>A strategy for European life sciences: Choose Europe for life sciences – A strategy to position the EU as the world’s most attractive place for life sciences by 2030</w:t>
      </w:r>
      <w:r w:rsidR="33CE1D06" w:rsidRPr="004C70EC">
        <w:t>, COM(2025) 525 final of 2 July 2025.</w:t>
      </w:r>
    </w:p>
  </w:footnote>
  <w:footnote w:id="109">
    <w:p w14:paraId="5C62DD00" w14:textId="77777777" w:rsidR="00FE4177" w:rsidRPr="004C70EC" w:rsidRDefault="00FE4177">
      <w:pPr>
        <w:pStyle w:val="FootnoteText"/>
        <w:rPr>
          <w:lang w:val="en-IE"/>
        </w:rPr>
      </w:pPr>
      <w:r w:rsidRPr="004C70EC">
        <w:rPr>
          <w:rStyle w:val="FootnoteReference"/>
        </w:rPr>
        <w:footnoteRef/>
      </w:r>
      <w:r w:rsidR="00157D85" w:rsidRPr="004C70EC">
        <w:tab/>
      </w:r>
      <w:r w:rsidR="000D65F6" w:rsidRPr="004C70EC">
        <w:t>Directive 2011/24/EU of the European Parliament and of the Council of 9 March 2011 on the application of patients’ rights in cross-border healthcare</w:t>
      </w:r>
      <w:r w:rsidR="00D20B00" w:rsidRPr="004C70EC">
        <w:t xml:space="preserve">, </w:t>
      </w:r>
      <w:r w:rsidR="005B217C" w:rsidRPr="004C70EC">
        <w:t>OJ L 88, 4.4.2011, pp. 45–65</w:t>
      </w:r>
      <w:r w:rsidR="00684D31" w:rsidRPr="004C70EC">
        <w:t xml:space="preserve">. </w:t>
      </w:r>
      <w:r w:rsidR="009B0432" w:rsidRPr="004C70EC">
        <w:t>ELI: </w:t>
      </w:r>
      <w:hyperlink r:id="rId52" w:tooltip="Gives access to this document through its ELI URI." w:history="1">
        <w:r w:rsidR="009B0432" w:rsidRPr="004C70EC">
          <w:rPr>
            <w:rStyle w:val="Hyperlink"/>
          </w:rPr>
          <w:t>http://data.europa.eu/eli/dir/2011/24/oj</w:t>
        </w:r>
      </w:hyperlink>
      <w:r w:rsidR="009B0432" w:rsidRPr="004C70EC">
        <w:t>.</w:t>
      </w:r>
    </w:p>
  </w:footnote>
  <w:footnote w:id="110">
    <w:p w14:paraId="57C5302D" w14:textId="77777777" w:rsidR="007615FB" w:rsidRPr="004C70EC" w:rsidRDefault="007615FB" w:rsidP="00157D85">
      <w:pPr>
        <w:pStyle w:val="FootnoteText"/>
      </w:pPr>
      <w:r w:rsidRPr="004C70EC">
        <w:rPr>
          <w:rStyle w:val="FootnoteReference"/>
        </w:rPr>
        <w:footnoteRef/>
      </w:r>
      <w:r w:rsidR="0084338F" w:rsidRPr="004C70EC">
        <w:tab/>
      </w:r>
      <w:r w:rsidR="00B92216" w:rsidRPr="004C70EC">
        <w:t>Communication from the Commission to the European Parliament and the Council</w:t>
      </w:r>
      <w:r w:rsidR="00A2659B" w:rsidRPr="004C70EC">
        <w:t>,</w:t>
      </w:r>
      <w:r w:rsidR="00B92216" w:rsidRPr="004C70EC">
        <w:t xml:space="preserve"> </w:t>
      </w:r>
      <w:r w:rsidR="00B92216" w:rsidRPr="004C70EC">
        <w:rPr>
          <w:i/>
          <w:iCs/>
        </w:rPr>
        <w:t>Europe's Beating Cancer Plan</w:t>
      </w:r>
      <w:r w:rsidR="00B92216" w:rsidRPr="004C70EC">
        <w:t>, COM/2021/44 final of 3 February 2021</w:t>
      </w:r>
      <w:r w:rsidR="00952C3F" w:rsidRPr="004C70EC">
        <w:t>.</w:t>
      </w:r>
    </w:p>
  </w:footnote>
  <w:footnote w:id="111">
    <w:p w14:paraId="42D60CC2" w14:textId="77777777" w:rsidR="006108C1" w:rsidRPr="004C70EC" w:rsidRDefault="00585683">
      <w:pPr>
        <w:pStyle w:val="FootnoteText"/>
      </w:pPr>
      <w:r w:rsidRPr="004C70EC">
        <w:rPr>
          <w:rStyle w:val="FootnoteReference"/>
        </w:rPr>
        <w:footnoteRef/>
      </w:r>
      <w:r w:rsidR="00157D85" w:rsidRPr="004C70EC">
        <w:tab/>
      </w:r>
      <w:r w:rsidRPr="004C70EC">
        <w:t xml:space="preserve">Directive 2000/60/EC of the European Parliament and of the Council of 23 October 2000 establishing a framework for Community action in the field of water policy, OJ L 327, 22.12.2000, p. 1. ELI: </w:t>
      </w:r>
      <w:hyperlink r:id="rId53" w:history="1">
        <w:r w:rsidR="006108C1" w:rsidRPr="004C70EC">
          <w:rPr>
            <w:rStyle w:val="Hyperlink"/>
          </w:rPr>
          <w:t>http://data.europa.eu/eli/dir/2000/60/oj</w:t>
        </w:r>
      </w:hyperlink>
      <w:r w:rsidR="0081084F" w:rsidRPr="004C70EC">
        <w:t>.</w:t>
      </w:r>
    </w:p>
  </w:footnote>
  <w:footnote w:id="112">
    <w:p w14:paraId="28B44339" w14:textId="77777777" w:rsidR="006108C1" w:rsidRPr="004C70EC" w:rsidRDefault="006108C1">
      <w:pPr>
        <w:pStyle w:val="FootnoteText"/>
        <w:rPr>
          <w:lang w:val="en-IE"/>
        </w:rPr>
      </w:pPr>
      <w:r w:rsidRPr="004C70EC">
        <w:rPr>
          <w:rStyle w:val="FootnoteReference"/>
        </w:rPr>
        <w:footnoteRef/>
      </w:r>
      <w:r w:rsidR="00157D85" w:rsidRPr="004C70EC">
        <w:tab/>
      </w:r>
      <w:r w:rsidRPr="004C70EC">
        <w:t>Directive 2009/147/EC of the European Parliament and of the Council of 30 November 2009 on the conservation of wild birds, OJ L 20, 26.1.2010, pp. 7-25. ELI: http://data.europa.eu/eli/dir/2009/147/oj</w:t>
      </w:r>
      <w:r w:rsidR="00F25060" w:rsidRPr="004C70EC">
        <w:t>.</w:t>
      </w:r>
    </w:p>
  </w:footnote>
  <w:footnote w:id="113">
    <w:p w14:paraId="2683A5E5" w14:textId="77777777" w:rsidR="006F1C12" w:rsidRPr="004C70EC" w:rsidRDefault="006F1C12">
      <w:pPr>
        <w:pStyle w:val="FootnoteText"/>
        <w:rPr>
          <w:lang w:val="en-IE"/>
        </w:rPr>
      </w:pPr>
      <w:r w:rsidRPr="004C70EC">
        <w:rPr>
          <w:rStyle w:val="FootnoteReference"/>
        </w:rPr>
        <w:footnoteRef/>
      </w:r>
      <w:r w:rsidR="00157D85" w:rsidRPr="004C70EC">
        <w:tab/>
      </w:r>
      <w:r w:rsidRPr="004C70EC">
        <w:t>Council Directive 92/43/EEC of 21 May 1992 on the conservation of natural habitats and of wild fauna and flora, OJ L 206, 22.7.1992, p. 7. ELI: http://data.europa.eu/eli/dir/1992/43/oj</w:t>
      </w:r>
    </w:p>
  </w:footnote>
  <w:footnote w:id="114">
    <w:p w14:paraId="238000E9" w14:textId="77777777" w:rsidR="00F1684A" w:rsidRPr="004C70EC" w:rsidRDefault="00F1684A">
      <w:pPr>
        <w:pStyle w:val="FootnoteText"/>
        <w:rPr>
          <w:lang w:val="en-IE"/>
        </w:rPr>
      </w:pPr>
      <w:r w:rsidRPr="004C70EC">
        <w:rPr>
          <w:rStyle w:val="FootnoteReference"/>
        </w:rPr>
        <w:footnoteRef/>
      </w:r>
      <w:r w:rsidR="00DC3198" w:rsidRPr="004C70EC">
        <w:tab/>
      </w:r>
      <w:r w:rsidRPr="004C70EC">
        <w:t>C(2025) 7231 final</w:t>
      </w:r>
    </w:p>
  </w:footnote>
  <w:footnote w:id="115">
    <w:p w14:paraId="00AF9F66" w14:textId="77777777" w:rsidR="672A6636" w:rsidRPr="004C70EC" w:rsidRDefault="672A6636" w:rsidP="0058181D">
      <w:pPr>
        <w:pStyle w:val="FootnoteText"/>
      </w:pPr>
      <w:r w:rsidRPr="004C70EC">
        <w:rPr>
          <w:rStyle w:val="FootnoteReference"/>
        </w:rPr>
        <w:footnoteRef/>
      </w:r>
      <w:r w:rsidR="00DC3198" w:rsidRPr="004C70EC">
        <w:tab/>
      </w:r>
      <w:r w:rsidR="4AE82AC7" w:rsidRPr="004C70EC">
        <w:t>Regulation (EU) 2021/523 of the European Parliament and of the Council of 24 March 2021 establishing the InvestEU Programme and amending Regulation (EU) 2015/1017, OJ L 107, 26.3.2021, pp. 30–89. ELI: http://data.europa.eu/eli/reg/2021/523/oj.</w:t>
      </w:r>
    </w:p>
  </w:footnote>
  <w:footnote w:id="116">
    <w:p w14:paraId="6C82BABC" w14:textId="77777777" w:rsidR="00273F36" w:rsidRPr="004C70EC" w:rsidRDefault="00273F36" w:rsidP="00DA6D02">
      <w:pPr>
        <w:pStyle w:val="FootnoteText"/>
      </w:pPr>
      <w:r w:rsidRPr="004C70EC">
        <w:rPr>
          <w:rStyle w:val="FootnoteReference"/>
        </w:rPr>
        <w:footnoteRef/>
      </w:r>
      <w:r w:rsidR="00DA6D02" w:rsidRPr="004C70EC">
        <w:tab/>
      </w:r>
      <w:r w:rsidR="33CE1D06" w:rsidRPr="004C70EC">
        <w:t>Regulation (EU) 2021/695 of the European Parliament and of the Council of 28 April 2021 establishing Horizon Europe – the Framework Programme for Research and Innovation, laying down its rules for participation and dissemination, and repealing Regulations (EU) No 1290/2013 and (EU) No 1291/2013, OJ L 170, 12.5.2021, pp. 1. ELI: </w:t>
      </w:r>
      <w:hyperlink r:id="rId54" w:tooltip="Gives access to this document through its ELI URI." w:history="1">
        <w:r w:rsidR="33CE1D06" w:rsidRPr="004C70EC">
          <w:rPr>
            <w:rStyle w:val="Hyperlink"/>
          </w:rPr>
          <w:t>http://data.europa.eu/eli/reg/2021/695/oj</w:t>
        </w:r>
      </w:hyperlink>
      <w:r w:rsidR="33CE1D06" w:rsidRPr="004C70EC">
        <w:t>.</w:t>
      </w:r>
    </w:p>
  </w:footnote>
  <w:footnote w:id="117">
    <w:p w14:paraId="6E429E5B" w14:textId="77777777" w:rsidR="00273F36" w:rsidRPr="004C70EC" w:rsidRDefault="00273F36" w:rsidP="00DA6D02">
      <w:pPr>
        <w:pStyle w:val="FootnoteText"/>
      </w:pPr>
      <w:r w:rsidRPr="004C70EC">
        <w:rPr>
          <w:rStyle w:val="FootnoteReference"/>
        </w:rPr>
        <w:footnoteRef/>
      </w:r>
      <w:r w:rsidR="00DA6D02" w:rsidRPr="004C70EC">
        <w:tab/>
      </w:r>
      <w:r w:rsidR="33CE1D06" w:rsidRPr="004C70EC">
        <w:t>As per Proposal for a REGULATION OF THE EUROPEAN PARLIAMENT AND OF THE COUNCIL on establishing the European Competitiveness Fund ('ECF’), including the specific programme for defence research and innovation activities, repealing Regulations (EU) 2021/522, (EU) 2021/694, (EU) 2021/697, (EU) 2021/783, repealing provisions of Regulations (EU) 2021/696, (EU) 2023/588, and amending Regulation (EU) [EDIP].</w:t>
      </w:r>
    </w:p>
  </w:footnote>
  <w:footnote w:id="118">
    <w:p w14:paraId="0CC1E932" w14:textId="77777777" w:rsidR="00A0348E" w:rsidRPr="004C70EC" w:rsidRDefault="00A0348E" w:rsidP="00A0348E">
      <w:pPr>
        <w:pStyle w:val="FootnoteText"/>
        <w:rPr>
          <w:lang w:val="en-IE"/>
        </w:rPr>
      </w:pPr>
      <w:r w:rsidRPr="004C70EC">
        <w:rPr>
          <w:rStyle w:val="FootnoteReference"/>
        </w:rPr>
        <w:footnoteRef/>
      </w:r>
      <w:r w:rsidRPr="004C70EC">
        <w:rPr>
          <w:lang w:val="en-IE"/>
        </w:rPr>
        <w:tab/>
        <w:t>Commission Staff Working Document, Impact Assessment Report on the European Competitiveness Fund</w:t>
      </w:r>
      <w:r w:rsidR="000304A1" w:rsidRPr="004C70EC">
        <w:rPr>
          <w:lang w:val="en-IE"/>
        </w:rPr>
        <w:t>,</w:t>
      </w:r>
      <w:r w:rsidR="000304A1" w:rsidRPr="004C70EC">
        <w:t xml:space="preserve"> </w:t>
      </w:r>
      <w:r w:rsidR="000304A1" w:rsidRPr="004C70EC">
        <w:rPr>
          <w:lang w:val="en-IE"/>
        </w:rPr>
        <w:t xml:space="preserve">SWD(2025) 555 final. </w:t>
      </w:r>
    </w:p>
  </w:footnote>
  <w:footnote w:id="119">
    <w:p w14:paraId="061BD871" w14:textId="77777777" w:rsidR="00273F36" w:rsidRPr="004C70EC" w:rsidRDefault="00273F36" w:rsidP="00DA6D02">
      <w:pPr>
        <w:pStyle w:val="FootnoteText"/>
      </w:pPr>
      <w:r w:rsidRPr="004C70EC">
        <w:rPr>
          <w:rStyle w:val="FootnoteReference"/>
        </w:rPr>
        <w:footnoteRef/>
      </w:r>
      <w:r w:rsidR="00DA6D02" w:rsidRPr="004C70EC">
        <w:tab/>
      </w:r>
      <w:r w:rsidR="33CE1D06" w:rsidRPr="004C70EC">
        <w:t xml:space="preserve">Communication from the Commission Criteria for the analysis of the compatibility with the internal market of State aid to promote the execution of important projects of common European interest 2021/C 528/02, C/2021/8481, OJ C 528, 30.12.2021, pp. 10. </w:t>
      </w:r>
    </w:p>
  </w:footnote>
  <w:footnote w:id="120">
    <w:p w14:paraId="754B2025" w14:textId="77777777" w:rsidR="00273F36" w:rsidRPr="004C70EC" w:rsidRDefault="00273F36" w:rsidP="00DA6D02">
      <w:pPr>
        <w:pStyle w:val="FootnoteText"/>
      </w:pPr>
      <w:r w:rsidRPr="004C70EC">
        <w:rPr>
          <w:rStyle w:val="FootnoteReference"/>
        </w:rPr>
        <w:footnoteRef/>
      </w:r>
      <w:r w:rsidR="00DA6D02" w:rsidRPr="004C70EC">
        <w:tab/>
      </w:r>
      <w:r w:rsidR="33CE1D06" w:rsidRPr="004C70EC">
        <w:t xml:space="preserve">Communication from the Commission Framework for State aid for research and development and innovation 2022/C 414/01, C/2022/7388, OJ C 414, 28.10.2022, pp. 1. </w:t>
      </w:r>
    </w:p>
  </w:footnote>
  <w:footnote w:id="121">
    <w:p w14:paraId="5E1D1504" w14:textId="77777777" w:rsidR="00273F36" w:rsidRPr="004C70EC" w:rsidRDefault="00273F36" w:rsidP="00DA6D02">
      <w:pPr>
        <w:pStyle w:val="FootnoteText"/>
      </w:pPr>
      <w:r w:rsidRPr="004C70EC">
        <w:rPr>
          <w:rStyle w:val="FootnoteReference"/>
        </w:rPr>
        <w:footnoteRef/>
      </w:r>
      <w:r w:rsidR="00DA6D02" w:rsidRPr="004C70EC">
        <w:tab/>
      </w:r>
      <w:r w:rsidR="33CE1D06" w:rsidRPr="004C70EC">
        <w:t>Commission Regulation (EU) No 651/2014 of 17 June 2014 declaring certain categories of aid compatible with the internal market in application of Articles 107 and 108 of the Treaty Text with EEA relevance, OJ L 187, 26.6.2014, pp. 1. ELI: </w:t>
      </w:r>
      <w:hyperlink r:id="rId55" w:tooltip="Gives access to this document through its ELI URI." w:history="1">
        <w:r w:rsidR="33CE1D06" w:rsidRPr="004C70EC">
          <w:rPr>
            <w:rStyle w:val="Hyperlink"/>
          </w:rPr>
          <w:t>http://data.europa.eu/eli/reg/2014/651/2023-07-01</w:t>
        </w:r>
      </w:hyperlink>
      <w:r w:rsidR="33CE1D06" w:rsidRPr="004C70EC">
        <w:t>.</w:t>
      </w:r>
    </w:p>
  </w:footnote>
  <w:footnote w:id="122">
    <w:p w14:paraId="1CBC11BF" w14:textId="77777777" w:rsidR="00273F36" w:rsidRPr="004C70EC" w:rsidRDefault="00273F36" w:rsidP="00DA6D02">
      <w:pPr>
        <w:pStyle w:val="FootnoteText"/>
      </w:pPr>
      <w:r w:rsidRPr="004C70EC">
        <w:rPr>
          <w:rStyle w:val="FootnoteReference"/>
        </w:rPr>
        <w:footnoteRef/>
      </w:r>
      <w:r w:rsidR="00DA6D02" w:rsidRPr="004C70EC">
        <w:tab/>
      </w:r>
      <w:r w:rsidR="33CE1D06" w:rsidRPr="004C70EC">
        <w:t>COMMUNICATION FROM THE COMMISSION – Framework for State Aid measures to support the Clean Industrial Deal (Clean Industrial Deal State Aid Framework), C/2025/7600, OJ C, C/2025/3602, 4.7.2025.</w:t>
      </w:r>
    </w:p>
  </w:footnote>
  <w:footnote w:id="123">
    <w:p w14:paraId="76019750" w14:textId="77777777" w:rsidR="00742441" w:rsidRPr="004C70EC" w:rsidRDefault="00742441">
      <w:pPr>
        <w:pStyle w:val="FootnoteText"/>
        <w:rPr>
          <w:lang w:val="en-IE"/>
        </w:rPr>
      </w:pPr>
      <w:r w:rsidRPr="004C70EC">
        <w:rPr>
          <w:rStyle w:val="FootnoteReference"/>
        </w:rPr>
        <w:footnoteRef/>
      </w:r>
      <w:r w:rsidR="003D7881" w:rsidRPr="004C70EC">
        <w:tab/>
      </w:r>
      <w:r w:rsidRPr="004C70EC">
        <w:t xml:space="preserve">EMA </w:t>
      </w:r>
      <w:hyperlink r:id="rId56" w:history="1">
        <w:r w:rsidRPr="004C70EC">
          <w:rPr>
            <w:rStyle w:val="Hyperlink"/>
          </w:rPr>
          <w:t>Reflection paper on a tailored clinical approach in biosimilar development</w:t>
        </w:r>
      </w:hyperlink>
      <w:r w:rsidR="003D7881" w:rsidRPr="004C70EC">
        <w:t>, 17 March 2025</w:t>
      </w:r>
      <w:r w:rsidR="004522C2" w:rsidRPr="004C70EC">
        <w:t>,</w:t>
      </w:r>
      <w:r w:rsidR="00453858" w:rsidRPr="004C70EC">
        <w:t xml:space="preserve"> draft accessible at: https://www.ema.europa.eu/en/documents/other/reflection-paper-tailored-clinical-approach-biosimilar-development_en.pdf</w:t>
      </w:r>
    </w:p>
  </w:footnote>
  <w:footnote w:id="124">
    <w:p w14:paraId="3616CA7B" w14:textId="77777777" w:rsidR="00273F36" w:rsidRPr="004C70EC" w:rsidRDefault="00273F36" w:rsidP="00DA6D02">
      <w:pPr>
        <w:pStyle w:val="FootnoteText"/>
        <w:rPr>
          <w:lang w:val="en-IE"/>
        </w:rPr>
      </w:pPr>
      <w:r w:rsidRPr="004C70EC">
        <w:rPr>
          <w:rStyle w:val="FootnoteReference"/>
        </w:rPr>
        <w:footnoteRef/>
      </w:r>
      <w:r w:rsidR="00DA6D02" w:rsidRPr="004C70EC">
        <w:tab/>
      </w:r>
      <w:r w:rsidR="33CE1D06" w:rsidRPr="004C70EC">
        <w:t>[Revised REGULATION OF THE EUROPEAN PARLIAMENT AND OF THE COUNCIL laying down Union procedures for the authorisation and supervision of medicinal products for human use and establishing rules governing the European Medicines Agency, amending Regulation (EC) No 1394/2007 and Regulation (EU) No 536/2014 and repealing Regulation (EC) No 726/2004, Regulation (EC) No 141/2000 and Regulation (EC) No 1901/2006]</w:t>
      </w:r>
    </w:p>
  </w:footnote>
  <w:footnote w:id="125">
    <w:p w14:paraId="2362923F" w14:textId="77777777" w:rsidR="00273F36" w:rsidRPr="004C70EC" w:rsidRDefault="00273F36" w:rsidP="00E934F2">
      <w:pPr>
        <w:pStyle w:val="FootnoteText"/>
      </w:pPr>
      <w:r w:rsidRPr="004C70EC">
        <w:rPr>
          <w:rStyle w:val="FootnoteReference"/>
        </w:rPr>
        <w:footnoteRef/>
      </w:r>
      <w:r w:rsidR="00DA6D02" w:rsidRPr="004C70EC">
        <w:tab/>
      </w:r>
      <w:r w:rsidR="33CE1D06" w:rsidRPr="004C70EC">
        <w:t xml:space="preserve">Communication from the Commission to the European Parliament and the Council, </w:t>
      </w:r>
      <w:r w:rsidR="33CE1D06" w:rsidRPr="004C70EC">
        <w:rPr>
          <w:i/>
          <w:iCs/>
        </w:rPr>
        <w:t>Apply AI Strategy</w:t>
      </w:r>
      <w:r w:rsidR="33CE1D06" w:rsidRPr="004C70EC">
        <w:t xml:space="preserve">, COM/2025/723 final. </w:t>
      </w:r>
    </w:p>
  </w:footnote>
  <w:footnote w:id="126">
    <w:p w14:paraId="17915242" w14:textId="77777777" w:rsidR="00273F36" w:rsidRPr="004C70EC" w:rsidRDefault="00273F36" w:rsidP="00DA6D02">
      <w:pPr>
        <w:pStyle w:val="FootnoteText"/>
      </w:pPr>
      <w:r w:rsidRPr="004C70EC">
        <w:rPr>
          <w:rStyle w:val="FootnoteReference"/>
        </w:rPr>
        <w:footnoteRef/>
      </w:r>
      <w:r w:rsidR="00DA6D02" w:rsidRPr="004C70EC">
        <w:tab/>
      </w:r>
      <w:r w:rsidR="33CE1D06" w:rsidRPr="004C70EC">
        <w:t>Proposed in the Communication from the Commission to the European Parliament, the Council, the European Economic and Social Committee and the Committee of the Regions,</w:t>
      </w:r>
      <w:r w:rsidR="33CE1D06" w:rsidRPr="004C70EC">
        <w:rPr>
          <w:i/>
          <w:iCs/>
        </w:rPr>
        <w:t xml:space="preserve"> A European Strategy for Artificial Intelligence in Science – Paving the way for the Resource for AI Science in Europe</w:t>
      </w:r>
      <w:r w:rsidR="33CE1D06" w:rsidRPr="004C70EC">
        <w:t xml:space="preserve"> (RAISE), COM(2025) 724 final of 8 October 2025.</w:t>
      </w:r>
    </w:p>
  </w:footnote>
  <w:footnote w:id="127">
    <w:p w14:paraId="3D0D5983" w14:textId="77777777" w:rsidR="00487262" w:rsidRPr="004C70EC" w:rsidRDefault="00487262" w:rsidP="002C5384">
      <w:pPr>
        <w:pStyle w:val="FootnoteText"/>
        <w:rPr>
          <w:lang w:val="en-IE"/>
        </w:rPr>
      </w:pPr>
      <w:r w:rsidRPr="004C70EC">
        <w:rPr>
          <w:rStyle w:val="FootnoteReference"/>
        </w:rPr>
        <w:footnoteRef/>
      </w:r>
      <w:r w:rsidR="005A39B3" w:rsidRPr="004C70EC">
        <w:tab/>
      </w:r>
      <w:r w:rsidR="002C5384" w:rsidRPr="004C70EC">
        <w:rPr>
          <w:lang w:val="en-IE"/>
        </w:rPr>
        <w:t xml:space="preserve">Regulation (EU) 2025/327 of the European Parliament and of the Council of 11 February 2025 on the European Health Data Space and amending Directive 2011/24/EU and Regulation (EU) 2024/2847, OJ L, 2025/327, 5.3.2025, ELI: </w:t>
      </w:r>
      <w:hyperlink r:id="rId57" w:history="1">
        <w:r w:rsidR="002C5384" w:rsidRPr="004C70EC">
          <w:rPr>
            <w:rStyle w:val="Hyperlink"/>
            <w:lang w:val="en-IE"/>
          </w:rPr>
          <w:t>http://data.europa.eu/eli/reg/2025/327/oj</w:t>
        </w:r>
      </w:hyperlink>
      <w:r w:rsidR="002C5384" w:rsidRPr="004C70EC">
        <w:rPr>
          <w:lang w:val="en-IE"/>
        </w:rPr>
        <w:t xml:space="preserve"> .</w:t>
      </w:r>
    </w:p>
  </w:footnote>
  <w:footnote w:id="128">
    <w:p w14:paraId="442FBE85" w14:textId="6781D0C2" w:rsidR="00DA430A" w:rsidRPr="004C70EC" w:rsidRDefault="00DA430A" w:rsidP="00DA430A">
      <w:pPr>
        <w:pStyle w:val="FootnoteText"/>
      </w:pPr>
      <w:r w:rsidRPr="006B79FA">
        <w:rPr>
          <w:rStyle w:val="FootnoteReference"/>
        </w:rPr>
        <w:footnoteRef/>
      </w:r>
      <w:r w:rsidR="006B79FA">
        <w:tab/>
      </w:r>
      <w:r w:rsidRPr="004C70EC">
        <w:t xml:space="preserve">Directive 2001/83/EC of the European Parliament and of the Council of 6 November 2001 on the Community code relating to medicinal products for human use, </w:t>
      </w:r>
      <w:r w:rsidRPr="002D7694">
        <w:rPr>
          <w:lang w:val="en-IE"/>
        </w:rPr>
        <w:t>OJ L 311, 28.11.2001, p. 67</w:t>
      </w:r>
      <w:r w:rsidRPr="004C70EC">
        <w:t xml:space="preserve">, ELI: </w:t>
      </w:r>
      <w:hyperlink r:id="rId58" w:history="1">
        <w:r w:rsidRPr="004C70EC">
          <w:rPr>
            <w:rStyle w:val="Hyperlink"/>
          </w:rPr>
          <w:t>http://data.europa.eu/eli/dir/2001/83/oj</w:t>
        </w:r>
      </w:hyperlink>
      <w:r w:rsidRPr="004C70EC">
        <w:t xml:space="preserve">. </w:t>
      </w:r>
    </w:p>
  </w:footnote>
  <w:footnote w:id="129">
    <w:p w14:paraId="76ACDC8A" w14:textId="77777777" w:rsidR="001A3284" w:rsidRPr="004C70EC" w:rsidRDefault="001A3284" w:rsidP="001A3284">
      <w:pPr>
        <w:pStyle w:val="FootnoteText"/>
        <w:rPr>
          <w:lang w:val="en-IE"/>
        </w:rPr>
      </w:pPr>
      <w:r w:rsidRPr="004C70EC">
        <w:rPr>
          <w:rStyle w:val="FootnoteReference"/>
        </w:rPr>
        <w:footnoteRef/>
      </w:r>
      <w:r w:rsidRPr="004C70EC">
        <w:rPr>
          <w:lang w:val="en-IE"/>
        </w:rPr>
        <w:tab/>
        <w:t>Regulation (EU) 2024/1938 of the European Parliament and of the Council of 13 June 2024 on standards of quality and safety for substances of human origin intended for human application and repealing Directives 2002/98/EC and 2004/23/EC (OJ L, 2024/1938, 17.07.2024, ELI: http://data.europa.eu/eli/reg/2024/1938/oj).</w:t>
      </w:r>
    </w:p>
  </w:footnote>
  <w:footnote w:id="130">
    <w:p w14:paraId="60958D5F" w14:textId="77777777" w:rsidR="00273F36" w:rsidRPr="004C70EC" w:rsidRDefault="00273F36" w:rsidP="00E934F2">
      <w:pPr>
        <w:pStyle w:val="FootnoteText"/>
      </w:pPr>
      <w:r w:rsidRPr="004C70EC">
        <w:rPr>
          <w:rStyle w:val="FootnoteReference"/>
        </w:rPr>
        <w:footnoteRef/>
      </w:r>
      <w:r w:rsidR="00DA6D02" w:rsidRPr="004C70EC">
        <w:tab/>
      </w:r>
      <w:r w:rsidR="33CE1D06" w:rsidRPr="004C70EC">
        <w:t>Regulation (EC) No 1394/2007 of the European Parliament and of the Council of 13 November 2007 on advanced therapy medicinal products and amending Directive 2001/83/EC and Regulation (EC) No 726/2004, OJ L 324, 10.12.2007</w:t>
      </w:r>
      <w:r w:rsidR="00922B88" w:rsidRPr="004C70EC">
        <w:t>, p. 121</w:t>
      </w:r>
      <w:r w:rsidR="33CE1D06" w:rsidRPr="004C70EC">
        <w:t>. ELI: </w:t>
      </w:r>
      <w:hyperlink r:id="rId59" w:tooltip="Gives access to this document through its ELI URI." w:history="1">
        <w:r w:rsidR="33CE1D06" w:rsidRPr="004C70EC">
          <w:rPr>
            <w:rStyle w:val="Hyperlink"/>
          </w:rPr>
          <w:t>http://data.europa.eu/eli/reg/2007/1394/oj</w:t>
        </w:r>
      </w:hyperlink>
      <w:r w:rsidR="33CE1D06" w:rsidRPr="004C70EC">
        <w:t>.</w:t>
      </w:r>
    </w:p>
  </w:footnote>
  <w:footnote w:id="131">
    <w:p w14:paraId="645D5D6F" w14:textId="77777777" w:rsidR="000A3D42" w:rsidRPr="004C70EC" w:rsidRDefault="000A3D42" w:rsidP="000A3D42">
      <w:pPr>
        <w:pStyle w:val="FootnoteText"/>
      </w:pPr>
      <w:r w:rsidRPr="004C70EC">
        <w:rPr>
          <w:rStyle w:val="FootnoteReference"/>
        </w:rPr>
        <w:footnoteRef/>
      </w:r>
      <w:r w:rsidRPr="004C70EC">
        <w:tab/>
        <w:t>Regulation (EU) 2022/2371 of the European Parliament and of the Council of 23 November 2022 on serious cross-border threats to health and repealing Decision No 1082/2013/, p. 26. ELI: </w:t>
      </w:r>
      <w:hyperlink r:id="rId60" w:tooltip="Gives access to this document through its ELI URI." w:history="1">
        <w:r w:rsidRPr="004C70EC">
          <w:rPr>
            <w:rStyle w:val="Hyperlink"/>
          </w:rPr>
          <w:t>http://data.europa.eu/eli/reg/2022/2371/oj</w:t>
        </w:r>
      </w:hyperlink>
      <w:r w:rsidRPr="004C70EC">
        <w:t xml:space="preserve">. </w:t>
      </w:r>
    </w:p>
  </w:footnote>
  <w:footnote w:id="132">
    <w:p w14:paraId="6CD6690D" w14:textId="77777777" w:rsidR="000A3D42" w:rsidRPr="004C70EC" w:rsidRDefault="000A3D42" w:rsidP="000A3D42">
      <w:pPr>
        <w:pStyle w:val="FootnoteText"/>
      </w:pPr>
      <w:r w:rsidRPr="004C70EC">
        <w:rPr>
          <w:rStyle w:val="FootnoteReference"/>
        </w:rPr>
        <w:footnoteRef/>
      </w:r>
      <w:r w:rsidRPr="004C70EC">
        <w:tab/>
        <w:t>Regulation (EU) 2021/821 of the European Parliament and of the Council of 20 May 2021 setting up a Union regime for the control of exports, brokering, technical assistance, transit and transfer of dual-use items , OJ L 206, 11.6.2021, pp. 1. ELI: </w:t>
      </w:r>
      <w:hyperlink r:id="rId61" w:tooltip="Gives access to this document through its ELI URI." w:history="1">
        <w:r w:rsidRPr="004C70EC">
          <w:rPr>
            <w:rStyle w:val="Hyperlink"/>
          </w:rPr>
          <w:t>http://data.europa.eu/eli/reg/2021/821/oj</w:t>
        </w:r>
      </w:hyperlink>
      <w:r w:rsidRPr="004C70EC">
        <w:t>.</w:t>
      </w:r>
    </w:p>
  </w:footnote>
  <w:footnote w:id="133">
    <w:p w14:paraId="78890FFB" w14:textId="77777777" w:rsidR="000A3D42" w:rsidRPr="004C70EC" w:rsidRDefault="000A3D42" w:rsidP="000A3D42">
      <w:pPr>
        <w:pStyle w:val="FootnoteText"/>
      </w:pPr>
      <w:r w:rsidRPr="004C70EC">
        <w:rPr>
          <w:rStyle w:val="FootnoteReference"/>
        </w:rPr>
        <w:footnoteRef/>
      </w:r>
      <w:r w:rsidRPr="004C70EC">
        <w:tab/>
        <w:t>Council Decision (CFSP) 2023/2636 of 20 November 2023 amending Decision (CFSP) 2021/2072 in support of building resilience in biosafety and biosecurity through the Biological and Toxin Weapons Convention, no longer in force. OJ L, 2023/2636, 22.11.2023, ELI: http://data.europa.eu/eli/dec/2023/2636/oj</w:t>
      </w:r>
    </w:p>
  </w:footnote>
  <w:footnote w:id="134">
    <w:p w14:paraId="3D36FE8E" w14:textId="77777777" w:rsidR="000A3D42" w:rsidRPr="004C70EC" w:rsidRDefault="000A3D42" w:rsidP="000A3D42">
      <w:pPr>
        <w:pStyle w:val="FootnoteText"/>
      </w:pPr>
      <w:r w:rsidRPr="004C70EC">
        <w:rPr>
          <w:rStyle w:val="FootnoteReference"/>
        </w:rPr>
        <w:footnoteRef/>
      </w:r>
      <w:r w:rsidRPr="004C70EC">
        <w:tab/>
        <w:t xml:space="preserve"> Directive 2009/41/EC of the European Parliament and of the Council of 6 May 2009 on the contained use of genetically modified micro-organisms (Recast) (Text with EEA relevance), OJ L 125, 21.5.2009, p. 75. ELI: </w:t>
      </w:r>
      <w:hyperlink r:id="rId62" w:tooltip="Gives access to this document through its ELI URI." w:history="1">
        <w:r w:rsidRPr="004C70EC">
          <w:rPr>
            <w:rStyle w:val="Hyperlink"/>
          </w:rPr>
          <w:t>http://data.europa.eu/eli/dir/2009/41/oj</w:t>
        </w:r>
      </w:hyperlink>
      <w:r w:rsidRPr="004C70EC">
        <w:t>.</w:t>
      </w:r>
    </w:p>
  </w:footnote>
  <w:footnote w:id="135">
    <w:p w14:paraId="01D0567F" w14:textId="77777777" w:rsidR="000A3D42" w:rsidRPr="002D7694" w:rsidRDefault="000A3D42" w:rsidP="000A3D42">
      <w:pPr>
        <w:pStyle w:val="FootnoteText"/>
        <w:rPr>
          <w:lang w:val="en-IE"/>
        </w:rPr>
      </w:pPr>
      <w:r w:rsidRPr="004C70EC">
        <w:rPr>
          <w:rStyle w:val="FootnoteReference"/>
        </w:rPr>
        <w:footnoteRef/>
      </w:r>
      <w:r w:rsidRPr="004C70EC">
        <w:tab/>
        <w:t xml:space="preserve">Directive 2000/54/EC of the European Parliament and of the Council of 18 September 2000 on the protection of workers from risks related to exposure to biological agents at work (seventh individual directive within the meaning of Article 16(1) of Directive 89/391/EEC), OJ L 262, 17.10.2000, p. 21. </w:t>
      </w:r>
      <w:r w:rsidRPr="002D7694">
        <w:rPr>
          <w:lang w:val="en-IE"/>
        </w:rPr>
        <w:t>ELI: </w:t>
      </w:r>
      <w:hyperlink r:id="rId63" w:tooltip="Gives access to this document through its ELI URI." w:history="1">
        <w:r w:rsidRPr="002D7694">
          <w:rPr>
            <w:rStyle w:val="Hyperlink"/>
            <w:lang w:val="en-IE"/>
          </w:rPr>
          <w:t>http://data.europa.eu/eli/dir/2000/54/oj</w:t>
        </w:r>
      </w:hyperlink>
      <w:r w:rsidRPr="002D7694">
        <w:rPr>
          <w:lang w:val="en-IE"/>
        </w:rPr>
        <w:t>.</w:t>
      </w:r>
    </w:p>
    <w:p w14:paraId="3092EF80" w14:textId="77777777" w:rsidR="000A3D42" w:rsidRPr="002D7694" w:rsidRDefault="000A3D42" w:rsidP="000A3D42">
      <w:pPr>
        <w:pStyle w:val="FootnoteText"/>
        <w:rPr>
          <w:lang w:val="en-IE"/>
        </w:rPr>
      </w:pPr>
    </w:p>
  </w:footnote>
  <w:footnote w:id="136">
    <w:p w14:paraId="0FFABF2C" w14:textId="77777777" w:rsidR="000A3D42" w:rsidRPr="004C70EC" w:rsidRDefault="000A3D42" w:rsidP="000A3D42">
      <w:pPr>
        <w:pStyle w:val="FootnoteText"/>
      </w:pPr>
      <w:r w:rsidRPr="004C70EC">
        <w:rPr>
          <w:rStyle w:val="FootnoteReference"/>
        </w:rPr>
        <w:footnoteRef/>
      </w:r>
      <w:r w:rsidRPr="004C70EC">
        <w:tab/>
        <w:t xml:space="preserve">Commission Decision of 24.1.2024 establishing the European Artificial Intelligence Office C(2024) 390. </w:t>
      </w:r>
    </w:p>
  </w:footnote>
  <w:footnote w:id="137">
    <w:p w14:paraId="2184B1E9" w14:textId="77777777" w:rsidR="007C035C" w:rsidRPr="004C70EC" w:rsidRDefault="007C035C" w:rsidP="007C035C">
      <w:pPr>
        <w:pStyle w:val="FootnoteText"/>
        <w:rPr>
          <w:lang w:val="en-IE"/>
        </w:rPr>
      </w:pPr>
      <w:r w:rsidRPr="004C70EC">
        <w:rPr>
          <w:rStyle w:val="FootnoteReference"/>
        </w:rPr>
        <w:footnoteRef/>
      </w:r>
      <w:r w:rsidRPr="004C70EC">
        <w:rPr>
          <w:lang w:val="en-IE"/>
        </w:rPr>
        <w:tab/>
        <w:t>Regulation (EU) 2015/2283 of the European Parliament and of the Council of 25 November 2015 on novel foods, amending Regulation (EU) No 1169/2011 of the European Parliament and of the Council and repealing Regulation (EC) No 258/97 of the European Parliament and of the Council and Commission Regulation (EC) No 1852/2001 (OJ L 327, 11.12.2015, p. 1, ELI: http://data.europa.eu/eli/reg/2015/2283/oj).</w:t>
      </w:r>
    </w:p>
  </w:footnote>
  <w:footnote w:id="138">
    <w:p w14:paraId="7AA9F096" w14:textId="77777777" w:rsidR="007C035C" w:rsidRPr="004C70EC" w:rsidRDefault="007C035C" w:rsidP="007C035C">
      <w:pPr>
        <w:pStyle w:val="FootnoteText"/>
        <w:rPr>
          <w:lang w:val="en-IE"/>
        </w:rPr>
      </w:pPr>
      <w:r w:rsidRPr="004C70EC">
        <w:rPr>
          <w:rStyle w:val="FootnoteReference"/>
        </w:rPr>
        <w:footnoteRef/>
      </w:r>
      <w:r w:rsidRPr="004C70EC">
        <w:rPr>
          <w:lang w:val="en-IE"/>
        </w:rPr>
        <w:tab/>
        <w:t>Commission Regulation (EU) 2022/1616 of 15 September 2022 on recycled plastic materials and articles intended to come into contact with foods, and repealing Regulation (EC) No 282/2008 (OJ L 243, 20.9.2022, p. 3, ELI: http://data.europa.eu/eli/reg/2022/1616/oj).</w:t>
      </w:r>
    </w:p>
  </w:footnote>
  <w:footnote w:id="139">
    <w:p w14:paraId="647FAC7E" w14:textId="77777777" w:rsidR="007C035C" w:rsidRPr="004C70EC" w:rsidRDefault="007C035C" w:rsidP="007C035C">
      <w:pPr>
        <w:pStyle w:val="FootnoteText"/>
        <w:rPr>
          <w:lang w:val="en-IE"/>
        </w:rPr>
      </w:pPr>
      <w:r w:rsidRPr="004C70EC">
        <w:rPr>
          <w:rStyle w:val="FootnoteReference"/>
        </w:rPr>
        <w:footnoteRef/>
      </w:r>
      <w:r w:rsidRPr="004C70EC">
        <w:rPr>
          <w:lang w:val="en-IE"/>
        </w:rPr>
        <w:tab/>
        <w:t>Regulation (EU) No 182/2011 of the European Parliament and of the Council of 16 February 2011 laying down the rules and general principles concerning mechanisms for control by Member States of the Commission’s exercise of implementing powers (OJ L 55, 28.2.2011, p. 13, ELI: http://data.europa.eu/eli/reg/2011/182/oj).</w:t>
      </w:r>
    </w:p>
  </w:footnote>
  <w:footnote w:id="140">
    <w:p w14:paraId="0261147F" w14:textId="77777777" w:rsidR="0066444B" w:rsidRPr="00327420" w:rsidRDefault="0066444B" w:rsidP="0066444B">
      <w:pPr>
        <w:pStyle w:val="FootnoteText"/>
        <w:rPr>
          <w:rFonts w:cstheme="minorHAnsi"/>
          <w:lang w:val="en-IE"/>
        </w:rPr>
      </w:pPr>
      <w:r>
        <w:rPr>
          <w:rStyle w:val="FootnoteReference"/>
          <w:rFonts w:cstheme="minorHAnsi"/>
        </w:rPr>
        <w:footnoteRef/>
      </w:r>
      <w:r>
        <w:rPr>
          <w:rFonts w:cstheme="minorHAnsi"/>
        </w:rPr>
        <w:t xml:space="preserve"> Directive 2001/18/EC of the European Parliament and of the Council of 12 March 2001 on the deliberate release into the environment of genetically modified organisms and repealing Council Directive 90/220/EEC, </w:t>
      </w:r>
      <w:r>
        <w:rPr>
          <w:rFonts w:cstheme="minorHAnsi"/>
          <w:lang w:val="en-IE"/>
        </w:rPr>
        <w:t xml:space="preserve">OJ L 106, 17.4.2001, p. 1, </w:t>
      </w:r>
      <w:r>
        <w:rPr>
          <w:rFonts w:cstheme="minorHAnsi"/>
        </w:rPr>
        <w:t xml:space="preserve">ELI: </w:t>
      </w:r>
      <w:hyperlink r:id="rId64" w:history="1">
        <w:r>
          <w:rPr>
            <w:rStyle w:val="Hyperlink"/>
            <w:rFonts w:cstheme="minorHAnsi"/>
          </w:rPr>
          <w:t>http://data.europa.eu/eli/dir/2001/18/oj</w:t>
        </w:r>
      </w:hyperlink>
      <w:r>
        <w:rPr>
          <w:rFonts w:cstheme="minorHAnsi"/>
        </w:rPr>
        <w:t xml:space="preserve"> . </w:t>
      </w:r>
    </w:p>
  </w:footnote>
  <w:footnote w:id="141">
    <w:p w14:paraId="11093D4F" w14:textId="77777777" w:rsidR="004B507B" w:rsidRPr="004C70EC" w:rsidRDefault="004B507B" w:rsidP="004B507B">
      <w:pPr>
        <w:pStyle w:val="FootnoteText"/>
        <w:rPr>
          <w:lang w:val="en-IE"/>
        </w:rPr>
      </w:pPr>
      <w:r w:rsidRPr="004C70EC">
        <w:rPr>
          <w:rStyle w:val="FootnoteReference"/>
        </w:rPr>
        <w:footnoteRef/>
      </w:r>
      <w:r w:rsidRPr="004C70EC">
        <w:rPr>
          <w:lang w:val="en-IE"/>
        </w:rPr>
        <w:tab/>
        <w:t>Regulation (EU) No 536/2014 of the European Parliament and of the Council of 16 April 2014 on clinical trials on medicinal products for human use, and repealing Directive 2001/20/EC (OJ L 158, 27.5.2014, p. 1, ELI: http://data.europa.eu/eli/reg/2014/536/oj).</w:t>
      </w:r>
    </w:p>
  </w:footnote>
  <w:footnote w:id="142">
    <w:p w14:paraId="2A81C9E1" w14:textId="77777777" w:rsidR="007C23F1" w:rsidRPr="004C70EC" w:rsidRDefault="007C23F1" w:rsidP="00DC3198">
      <w:pPr>
        <w:pStyle w:val="FootnoteText"/>
      </w:pPr>
      <w:r w:rsidRPr="004C70EC">
        <w:rPr>
          <w:rStyle w:val="FootnoteReference"/>
        </w:rPr>
        <w:footnoteRef/>
      </w:r>
      <w:r w:rsidR="00DC3198" w:rsidRPr="004C70EC">
        <w:tab/>
      </w:r>
      <w:r w:rsidRPr="004C70EC">
        <w:t xml:space="preserve">See figure 2, EU spending growth at list price levels by segment and leading therapy area, in Annex to this document. </w:t>
      </w:r>
    </w:p>
  </w:footnote>
  <w:footnote w:id="143">
    <w:p w14:paraId="502A8FD5" w14:textId="77777777" w:rsidR="00BC6D88" w:rsidRPr="004C70EC" w:rsidRDefault="00BC6D88">
      <w:pPr>
        <w:pStyle w:val="FootnoteText"/>
        <w:rPr>
          <w:lang w:val="en-IE"/>
        </w:rPr>
      </w:pPr>
      <w:r w:rsidRPr="004C70EC">
        <w:rPr>
          <w:rStyle w:val="FootnoteReference"/>
        </w:rPr>
        <w:footnoteRef/>
      </w:r>
      <w:r w:rsidR="00E4557E" w:rsidRPr="004C70EC">
        <w:tab/>
      </w:r>
      <w:r w:rsidR="00E4557E" w:rsidRPr="004C70EC">
        <w:rPr>
          <w:color w:val="333333"/>
          <w:shd w:val="clear" w:color="auto" w:fill="FFFFFF"/>
        </w:rPr>
        <w:t>Regulation (EU) 2022/2371 of the European Parliament and of the Council of 23 November 2022 on serious cross-border threats to health and repealing Decision No 1082/2013/EU</w:t>
      </w:r>
      <w:r w:rsidR="000F06AE" w:rsidRPr="004C70EC">
        <w:rPr>
          <w:lang w:val="en-IE"/>
        </w:rPr>
        <w:t xml:space="preserve"> </w:t>
      </w:r>
      <w:r w:rsidR="00E4557E" w:rsidRPr="004C70EC">
        <w:rPr>
          <w:lang w:val="en-IE"/>
        </w:rPr>
        <w:t> </w:t>
      </w:r>
      <w:r w:rsidR="000F06AE" w:rsidRPr="004C70EC">
        <w:rPr>
          <w:lang w:val="en-IE"/>
        </w:rPr>
        <w:t>(</w:t>
      </w:r>
      <w:r w:rsidR="000F06AE" w:rsidRPr="004C70EC">
        <w:rPr>
          <w:rStyle w:val="Emphasis"/>
          <w:color w:val="333333"/>
          <w:shd w:val="clear" w:color="auto" w:fill="FFFFFF"/>
        </w:rPr>
        <w:t>OJ L 314, 6.12.2022,</w:t>
      </w:r>
      <w:r w:rsidR="005B7F8D" w:rsidRPr="004C70EC">
        <w:rPr>
          <w:rStyle w:val="Emphasis"/>
          <w:color w:val="333333"/>
          <w:shd w:val="clear" w:color="auto" w:fill="FFFFFF"/>
        </w:rPr>
        <w:t xml:space="preserve"> </w:t>
      </w:r>
      <w:r w:rsidR="005B7F8D" w:rsidRPr="004C70EC">
        <w:rPr>
          <w:color w:val="333333"/>
          <w:shd w:val="clear" w:color="auto" w:fill="FFFFFF"/>
        </w:rPr>
        <w:t>ELI: </w:t>
      </w:r>
      <w:hyperlink r:id="rId65" w:tooltip="Gives access to this document through its ELI URI." w:history="1">
        <w:r w:rsidR="005B7F8D" w:rsidRPr="004C70EC">
          <w:rPr>
            <w:color w:val="0E47CB"/>
            <w:u w:val="single"/>
            <w:shd w:val="clear" w:color="auto" w:fill="FFFFFF"/>
          </w:rPr>
          <w:t>http://data.europa.eu/eli/reg/2022/2371/oj</w:t>
        </w:r>
      </w:hyperlink>
      <w:r w:rsidR="005B7F8D" w:rsidRPr="004C70EC">
        <w:t>)</w:t>
      </w:r>
    </w:p>
  </w:footnote>
  <w:footnote w:id="144">
    <w:p w14:paraId="0BDCC915" w14:textId="00F73427" w:rsidR="00280055" w:rsidRPr="004C70EC" w:rsidRDefault="00280055" w:rsidP="00280055">
      <w:pPr>
        <w:pStyle w:val="FootnoteText"/>
      </w:pPr>
      <w:r w:rsidRPr="006B79FA">
        <w:rPr>
          <w:rStyle w:val="FootnoteReference"/>
        </w:rPr>
        <w:footnoteRef/>
      </w:r>
      <w:r w:rsidR="006B79FA">
        <w:tab/>
      </w:r>
      <w:r w:rsidRPr="004C70EC">
        <w:t>Council Regulation (EU) 2022/2372 of 24 October 2022 on a framework of measures for ensuring the supply of crisis-relevant medical countermeasures in the event of a public health emergency at Union level.</w:t>
      </w:r>
    </w:p>
  </w:footnote>
  <w:footnote w:id="145">
    <w:p w14:paraId="301AD0EB" w14:textId="77777777" w:rsidR="00D73F34" w:rsidRPr="004C70EC" w:rsidRDefault="00D73F34" w:rsidP="00D73F34">
      <w:pPr>
        <w:pStyle w:val="FootnoteText"/>
        <w:rPr>
          <w:lang w:val="en-IE"/>
        </w:rPr>
      </w:pPr>
      <w:r w:rsidRPr="004C70EC">
        <w:rPr>
          <w:rStyle w:val="FootnoteReference"/>
        </w:rPr>
        <w:footnoteRef/>
      </w:r>
      <w:r w:rsidRPr="004C70EC">
        <w:rPr>
          <w:lang w:val="en-IE"/>
        </w:rPr>
        <w:tab/>
      </w:r>
      <w:r w:rsidR="4CF51068" w:rsidRPr="004C70EC">
        <w:rPr>
          <w:lang w:val="en-IE"/>
        </w:rPr>
        <w:t>Regulation (EU) 2016/679 of the European Parliament and of the Council of 27 April 2016 on the protection of natural persons with regard to the processing of personal data and on the free movement of such data, and repealing Directive 95/46/EC (General Data Protection Regulation) (OJ L 119, 4.5.2016, p. 1, ELI: http://data.europa.eu/eli/reg/2016/679/oj).</w:t>
      </w:r>
    </w:p>
  </w:footnote>
  <w:footnote w:id="146">
    <w:p w14:paraId="0FCD9A3F" w14:textId="77777777" w:rsidR="00E66B80" w:rsidRPr="004C70EC" w:rsidRDefault="00E66B80" w:rsidP="00E66B80">
      <w:pPr>
        <w:pStyle w:val="FootnoteText"/>
        <w:rPr>
          <w:lang w:val="en-IE"/>
        </w:rPr>
      </w:pPr>
      <w:r w:rsidRPr="004C70EC">
        <w:rPr>
          <w:rStyle w:val="FootnoteReference"/>
        </w:rPr>
        <w:footnoteRef/>
      </w:r>
      <w:r w:rsidRPr="004C70EC">
        <w:rPr>
          <w:lang w:val="en-IE"/>
        </w:rPr>
        <w:tab/>
      </w:r>
      <w:r w:rsidR="4CF51068" w:rsidRPr="004C70EC">
        <w:rPr>
          <w:lang w:val="en-IE"/>
        </w:rPr>
        <w:t>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(OJ L 295, 21.11.2018, p. 39, ELI: http://data.europa.eu/eli/reg/2018/1725/oj).</w:t>
      </w:r>
    </w:p>
  </w:footnote>
  <w:footnote w:id="147">
    <w:p w14:paraId="5DA31251" w14:textId="77777777" w:rsidR="006355EA" w:rsidRPr="004C70EC" w:rsidRDefault="006355EA" w:rsidP="006355EA">
      <w:pPr>
        <w:pStyle w:val="FootnoteText"/>
        <w:rPr>
          <w:lang w:val="en-IE"/>
        </w:rPr>
      </w:pPr>
      <w:r w:rsidRPr="004C70EC">
        <w:rPr>
          <w:rStyle w:val="FootnoteReference"/>
        </w:rPr>
        <w:footnoteRef/>
      </w:r>
      <w:r w:rsidRPr="004C70EC">
        <w:tab/>
        <w:t xml:space="preserve">Regulation (EU) 2019/6 of the European Parliament and of the Council of 11 December 2018 on veterinary medicinal products and repealing Directive 2001/82/EC (OJ L 4, 7.1.2019, p. </w:t>
      </w:r>
      <w:r w:rsidR="00845B88" w:rsidRPr="004C70EC">
        <w:t>2</w:t>
      </w:r>
      <w:r w:rsidRPr="004C70EC">
        <w:t>, ELI: http://data.europa.eu/eli/reg/2019/6/oj).</w:t>
      </w:r>
    </w:p>
  </w:footnote>
  <w:footnote w:id="148">
    <w:p w14:paraId="54028671" w14:textId="77777777" w:rsidR="00A648BB" w:rsidRPr="004C70EC" w:rsidRDefault="00A648BB">
      <w:pPr>
        <w:pStyle w:val="FootnoteText"/>
        <w:rPr>
          <w:lang w:val="en-IE"/>
        </w:rPr>
      </w:pPr>
      <w:r w:rsidRPr="004C70EC">
        <w:rPr>
          <w:rStyle w:val="FootnoteReference"/>
        </w:rPr>
        <w:footnoteRef/>
      </w:r>
      <w:r w:rsidR="00157D85" w:rsidRPr="004C70EC">
        <w:tab/>
      </w:r>
      <w:r w:rsidRPr="004C70EC">
        <w:t>Directive 2001/18/EC of the European Parliament and of the Council of 12 March 2001 on the deliberate release into the environment of genetically modified organisms and repealing Council Directive 90/220/EEC (OJ L 106, 17.4.2001, p. 1).</w:t>
      </w:r>
    </w:p>
  </w:footnote>
  <w:footnote w:id="149">
    <w:p w14:paraId="7FEC6ECB" w14:textId="77777777" w:rsidR="00A648BB" w:rsidRPr="004C70EC" w:rsidRDefault="00A648BB">
      <w:pPr>
        <w:pStyle w:val="FootnoteText"/>
        <w:rPr>
          <w:lang w:val="en-IE"/>
        </w:rPr>
      </w:pPr>
      <w:r w:rsidRPr="004C70EC">
        <w:rPr>
          <w:rStyle w:val="FootnoteReference"/>
        </w:rPr>
        <w:footnoteRef/>
      </w:r>
      <w:r w:rsidR="00157D85" w:rsidRPr="004C70EC">
        <w:tab/>
      </w:r>
      <w:r w:rsidRPr="004C70EC">
        <w:t>Directive 2009/41/EC of the European Parliament and of the Council of 6 May 2009 on the contained use of genetically modified micro-organisms (OJ L 125, 21.5.2009, p. 75,).</w:t>
      </w:r>
    </w:p>
  </w:footnote>
  <w:footnote w:id="150">
    <w:p w14:paraId="2C636878" w14:textId="77777777" w:rsidR="00A648BB" w:rsidRPr="004C70EC" w:rsidRDefault="00A648BB">
      <w:pPr>
        <w:pStyle w:val="FootnoteText"/>
        <w:rPr>
          <w:lang w:val="en-IE"/>
        </w:rPr>
      </w:pPr>
      <w:r w:rsidRPr="004C70EC">
        <w:rPr>
          <w:rStyle w:val="FootnoteReference"/>
        </w:rPr>
        <w:footnoteRef/>
      </w:r>
      <w:r w:rsidR="00157D85" w:rsidRPr="004C70EC">
        <w:tab/>
      </w:r>
      <w:r w:rsidRPr="004C70EC">
        <w:t>Regulation (EC) No 1829/2003 of the European Parliament and of the Council of 22 September 2003</w:t>
      </w:r>
      <w:r w:rsidR="00157D85" w:rsidRPr="004C70EC">
        <w:t xml:space="preserve"> </w:t>
      </w:r>
      <w:r w:rsidRPr="004C70EC">
        <w:t>on genetically modified food and feed (OJ L 268, 18.10.2003, p. 1).</w:t>
      </w:r>
    </w:p>
  </w:footnote>
  <w:footnote w:id="151">
    <w:p w14:paraId="7CAB8DD8" w14:textId="77777777" w:rsidR="00A648BB" w:rsidRPr="004C70EC" w:rsidRDefault="00A648BB">
      <w:pPr>
        <w:pStyle w:val="FootnoteText"/>
        <w:rPr>
          <w:lang w:val="en-IE"/>
        </w:rPr>
      </w:pPr>
      <w:r w:rsidRPr="004C70EC">
        <w:rPr>
          <w:rStyle w:val="FootnoteReference"/>
        </w:rPr>
        <w:footnoteRef/>
      </w:r>
      <w:r w:rsidR="00157D85" w:rsidRPr="004C70EC">
        <w:tab/>
      </w:r>
      <w:r w:rsidRPr="004C70EC">
        <w:t>[Regulation (EC) No 1829/2003 of the European Parliament and of the Council of 22 September 2003on genetically modified food and feed (OJ L 268, 18.10.2003, p. 1).</w:t>
      </w:r>
    </w:p>
  </w:footnote>
  <w:footnote w:id="152">
    <w:p w14:paraId="5C6D97E5" w14:textId="77777777" w:rsidR="00DB6533" w:rsidRPr="004C70EC" w:rsidRDefault="00A648BB" w:rsidP="00157D85">
      <w:pPr>
        <w:pStyle w:val="FootnoteText"/>
      </w:pPr>
      <w:r w:rsidRPr="004C70EC">
        <w:rPr>
          <w:rStyle w:val="FootnoteReference"/>
        </w:rPr>
        <w:footnoteRef/>
      </w:r>
      <w:r w:rsidR="00157D85" w:rsidRPr="004C70EC">
        <w:tab/>
      </w:r>
      <w:r w:rsidR="00DB6533" w:rsidRPr="004C70EC">
        <w:t>Regulation (EC) No 1946/2003 of the European Parliament and of the Council of 15 July 2003 on transboundary movements of genetically modified organisms (OJ L 287, 5.11.2003, p.1).</w:t>
      </w:r>
    </w:p>
    <w:p w14:paraId="736912EA" w14:textId="77777777" w:rsidR="00A648BB" w:rsidRPr="004C70EC" w:rsidRDefault="00A648BB">
      <w:pPr>
        <w:pStyle w:val="FootnoteText"/>
        <w:rPr>
          <w:lang w:val="en-IE"/>
        </w:rPr>
      </w:pPr>
    </w:p>
  </w:footnote>
  <w:footnote w:id="153">
    <w:p w14:paraId="21079C56" w14:textId="77777777" w:rsidR="007C3C85" w:rsidRPr="004C70EC" w:rsidRDefault="007C3C85">
      <w:pPr>
        <w:pStyle w:val="FootnoteText"/>
        <w:rPr>
          <w:lang w:val="en-IE"/>
        </w:rPr>
      </w:pPr>
      <w:r w:rsidRPr="004C70EC">
        <w:rPr>
          <w:rStyle w:val="FootnoteReference"/>
        </w:rPr>
        <w:footnoteRef/>
      </w:r>
      <w:r w:rsidRPr="004C70EC">
        <w:tab/>
      </w:r>
      <w:r w:rsidR="33CE1D06" w:rsidRPr="004C70EC">
        <w:rPr>
          <w:color w:val="333333"/>
        </w:rPr>
        <w:t xml:space="preserve">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w:t>
      </w:r>
      <w:r w:rsidR="33CE1D06" w:rsidRPr="004C70EC">
        <w:rPr>
          <w:rStyle w:val="Emphasis"/>
          <w:i w:val="0"/>
          <w:iCs w:val="0"/>
          <w:color w:val="333333"/>
        </w:rPr>
        <w:t>OJ L 295, 21.11.2018, pp. 39–98, </w:t>
      </w:r>
      <w:r w:rsidR="33CE1D06" w:rsidRPr="004C70EC">
        <w:rPr>
          <w:color w:val="333333"/>
        </w:rPr>
        <w:t>ELI: </w:t>
      </w:r>
      <w:hyperlink r:id="rId66" w:tooltip="Gives access to this document through its ELI URI." w:history="1">
        <w:r w:rsidR="33CE1D06" w:rsidRPr="004C70EC">
          <w:rPr>
            <w:color w:val="0E47CB"/>
            <w:u w:val="single"/>
          </w:rPr>
          <w:t>http://data.europa.eu/eli/reg/2018/1725/oj</w:t>
        </w:r>
      </w:hyperlink>
      <w:r w:rsidR="33CE1D06" w:rsidRPr="004C70EC">
        <w:t>)</w:t>
      </w:r>
    </w:p>
  </w:footnote>
  <w:footnote w:id="154">
    <w:p w14:paraId="3C055680" w14:textId="77777777" w:rsidR="00001718" w:rsidRPr="00052C09" w:rsidRDefault="00001718" w:rsidP="33CE1D06">
      <w:pPr>
        <w:pStyle w:val="FootnoteText"/>
        <w:rPr>
          <w:lang w:val="en-IE"/>
        </w:rPr>
      </w:pPr>
      <w:r w:rsidRPr="004C70EC">
        <w:rPr>
          <w:rStyle w:val="FootnoteReference"/>
        </w:rPr>
        <w:footnoteRef/>
      </w:r>
      <w:r w:rsidR="00157D85" w:rsidRPr="004C70EC">
        <w:tab/>
      </w:r>
      <w:r w:rsidR="33CE1D06" w:rsidRPr="00052C09">
        <w:rPr>
          <w:rFonts w:eastAsia="Calibri"/>
          <w:vertAlign w:val="superscript"/>
        </w:rPr>
        <w:t xml:space="preserve">Commission Recommendation of 6 May 2003 concerning the definition of micro, small and medium-sized enterprises (Text with EEA relevance) (notified under document number C(2003) 1422), OJ L 124, 20.5.2003, pp. 36–41. ELI: </w:t>
      </w:r>
      <w:hyperlink r:id="rId67" w:history="1">
        <w:r w:rsidR="33CE1D06" w:rsidRPr="00052C09">
          <w:rPr>
            <w:rStyle w:val="Hyperlink"/>
            <w:rFonts w:eastAsia="Calibri"/>
            <w:b/>
            <w:bCs/>
            <w:i/>
            <w:iCs/>
            <w:u w:val="none"/>
            <w:vertAlign w:val="superscript"/>
          </w:rPr>
          <w:t>http://data.europa.eu/eli/reco/2003/361/oj</w:t>
        </w:r>
      </w:hyperlink>
      <w:r w:rsidR="33CE1D06" w:rsidRPr="00052C09">
        <w:t>.</w:t>
      </w:r>
    </w:p>
  </w:footnote>
  <w:footnote w:id="155">
    <w:p w14:paraId="33D43C60" w14:textId="77777777" w:rsidR="00D72479" w:rsidRPr="00052C09" w:rsidRDefault="00C43E5E" w:rsidP="004B281C">
      <w:pPr>
        <w:pStyle w:val="FootnoteText"/>
        <w:rPr>
          <w:rFonts w:eastAsia="Calibri"/>
          <w:u w:val="single"/>
        </w:rPr>
      </w:pPr>
      <w:r w:rsidRPr="00052C09">
        <w:rPr>
          <w:rStyle w:val="FootnoteReference"/>
        </w:rPr>
        <w:footnoteRef/>
      </w:r>
      <w:r w:rsidRPr="00052C09">
        <w:rPr>
          <w:rFonts w:eastAsia="Calibri"/>
          <w:vertAlign w:val="superscript"/>
        </w:rPr>
        <w:tab/>
      </w:r>
      <w:r w:rsidR="33CE1D06" w:rsidRPr="00052C09">
        <w:rPr>
          <w:rFonts w:eastAsia="Calibri"/>
          <w:vertAlign w:val="superscript"/>
        </w:rPr>
        <w:t>Regulation (EU) 2021/523 of the European Parliament and of the Council of 24 March 2021 establishing the InvestEU Programme and amending Regulation (EU) 2015/1017, O</w:t>
      </w:r>
      <w:r w:rsidR="33CE1D06" w:rsidRPr="00052C09">
        <w:rPr>
          <w:rFonts w:eastAsia="Calibri"/>
        </w:rPr>
        <w:t xml:space="preserve">J L 107, 26.3.2021, pp. 30–89. ELI: </w:t>
      </w:r>
      <w:hyperlink r:id="rId68" w:history="1">
        <w:r w:rsidR="33CE1D06" w:rsidRPr="00052C09">
          <w:rPr>
            <w:rStyle w:val="Hyperlink"/>
            <w:rFonts w:eastAsia="Calibri"/>
            <w:i/>
            <w:iCs/>
          </w:rPr>
          <w:t>http://data.europa.eu/eli/reg/2021/523/oj</w:t>
        </w:r>
      </w:hyperlink>
      <w:r w:rsidR="33CE1D06" w:rsidRPr="00052C09">
        <w:rPr>
          <w:rFonts w:eastAsia="Calibri"/>
          <w:i/>
          <w:iCs/>
          <w:u w:val="single"/>
        </w:rPr>
        <w:t>.</w:t>
      </w:r>
    </w:p>
  </w:footnote>
  <w:footnote w:id="156">
    <w:p w14:paraId="701CFA7A" w14:textId="77777777" w:rsidR="00504BAB" w:rsidRPr="004C70EC" w:rsidRDefault="00504BAB" w:rsidP="00431990">
      <w:pPr>
        <w:pStyle w:val="FootnoteText"/>
        <w:contextualSpacing/>
        <w:rPr>
          <w:rFonts w:eastAsia="Times New Roman"/>
          <w:lang w:val="en-IE"/>
        </w:rPr>
      </w:pPr>
      <w:r w:rsidRPr="004C70EC">
        <w:rPr>
          <w:rStyle w:val="FootnoteReference"/>
        </w:rPr>
        <w:footnoteRef/>
      </w:r>
      <w:r w:rsidR="00157D85" w:rsidRPr="004C70EC">
        <w:rPr>
          <w:rFonts w:eastAsia="Times New Roman"/>
        </w:rPr>
        <w:tab/>
      </w:r>
      <w:r w:rsidR="33CE1D06" w:rsidRPr="004C70EC">
        <w:rPr>
          <w:rFonts w:eastAsia="Times New Roman"/>
        </w:rPr>
        <w:t xml:space="preserve">Directive (EU) 2022/2555 of the European Parliament and of the Council of 14 December 2022 on measures for a high common level of cybersecurity across the Union, amending Regulation (EU) No 910/2014 and Directive (EU) 2018/1972, and repealing Directive (EU) 2016/1148 (NIS 2 Directive) (Text with EEA relevance), OJ L 333, 27.12.2022, pp. 80–152. ELI: </w:t>
      </w:r>
      <w:hyperlink r:id="rId69" w:history="1">
        <w:r w:rsidR="33CE1D06" w:rsidRPr="004C70EC">
          <w:rPr>
            <w:rStyle w:val="Hyperlink"/>
            <w:rFonts w:eastAsia="Calibri"/>
            <w:i/>
            <w:iCs/>
          </w:rPr>
          <w:t>http://data.europa.eu/eli/dir/2022/2555/oj</w:t>
        </w:r>
      </w:hyperlink>
    </w:p>
  </w:footnote>
  <w:footnote w:id="157">
    <w:p w14:paraId="22C1FEBA" w14:textId="77777777" w:rsidR="000E1D93" w:rsidRPr="004C70EC" w:rsidRDefault="000E1D93">
      <w:pPr>
        <w:pStyle w:val="FootnoteText"/>
        <w:rPr>
          <w:lang w:val="en-IE"/>
        </w:rPr>
      </w:pPr>
      <w:r w:rsidRPr="004C70EC">
        <w:rPr>
          <w:rStyle w:val="FootnoteReference"/>
        </w:rPr>
        <w:footnoteRef/>
      </w:r>
      <w:r w:rsidR="004D0C6D" w:rsidRPr="004C70EC">
        <w:tab/>
        <w:t>The E</w:t>
      </w:r>
      <w:r w:rsidR="007412BF" w:rsidRPr="004C70EC">
        <w:t>uropean Innovation Council (EIC)</w:t>
      </w:r>
      <w:r w:rsidR="004D0C6D" w:rsidRPr="004C70EC">
        <w:t xml:space="preserve"> Trusted Investor Network brings</w:t>
      </w:r>
      <w:r w:rsidR="00C95A26" w:rsidRPr="004C70EC">
        <w:t xml:space="preserve"> together</w:t>
      </w:r>
      <w:r w:rsidR="004D0C6D" w:rsidRPr="004C70EC">
        <w:t xml:space="preserve"> </w:t>
      </w:r>
      <w:r w:rsidR="00C95A26" w:rsidRPr="004C70EC">
        <w:t>investors from across Europe, including venture capital funds, public investment banks, foundations, and corporate venture arms</w:t>
      </w:r>
      <w:r w:rsidR="004D0C6D" w:rsidRPr="004C70EC">
        <w:t xml:space="preserve"> with experience and commitment to co-invest </w:t>
      </w:r>
      <w:r w:rsidR="00317ACF" w:rsidRPr="004C70EC">
        <w:t>in promising</w:t>
      </w:r>
      <w:r w:rsidR="004D0C6D" w:rsidRPr="004C70EC">
        <w:t xml:space="preserve"> deep tech start-ups</w:t>
      </w:r>
      <w:r w:rsidR="006F7D9F" w:rsidRPr="004C70EC">
        <w:t xml:space="preserve"> in Europe</w:t>
      </w:r>
      <w:r w:rsidR="004D0C6D" w:rsidRPr="004C70EC">
        <w:t>, alongside the E</w:t>
      </w:r>
      <w:r w:rsidR="00D54CB1" w:rsidRPr="004C70EC">
        <w:t xml:space="preserve">uropean </w:t>
      </w:r>
      <w:r w:rsidR="004D0C6D" w:rsidRPr="004C70EC">
        <w:t>I</w:t>
      </w:r>
      <w:r w:rsidR="00D54CB1" w:rsidRPr="004C70EC">
        <w:t xml:space="preserve">nnovation </w:t>
      </w:r>
      <w:r w:rsidR="004D0C6D" w:rsidRPr="004C70EC">
        <w:t>C</w:t>
      </w:r>
      <w:r w:rsidR="00D54CB1" w:rsidRPr="004C70EC">
        <w:t>ouncil</w:t>
      </w:r>
      <w:r w:rsidR="004D0C6D" w:rsidRPr="004C70EC">
        <w:t xml:space="preserve"> Fund.</w:t>
      </w:r>
      <w:r w:rsidR="006F7D9F" w:rsidRPr="004C70EC">
        <w:t xml:space="preserve"> </w:t>
      </w:r>
      <w:r w:rsidR="006732AA" w:rsidRPr="004C70EC">
        <w:t>List of members accessible at:</w:t>
      </w:r>
      <w:r w:rsidR="006A7103" w:rsidRPr="004C70EC">
        <w:t xml:space="preserve"> https://eic.ec.europa.eu/eic-fund/trusted-investor-network_en</w:t>
      </w:r>
    </w:p>
  </w:footnote>
  <w:footnote w:id="158">
    <w:p w14:paraId="0755E856" w14:textId="77777777" w:rsidR="004F7E58" w:rsidRPr="004C70EC" w:rsidRDefault="004F7E58" w:rsidP="004F7E58">
      <w:pPr>
        <w:pStyle w:val="FootnoteText"/>
      </w:pPr>
      <w:r w:rsidRPr="004C70EC">
        <w:rPr>
          <w:rStyle w:val="FootnoteReference"/>
        </w:rPr>
        <w:footnoteRef/>
      </w:r>
      <w:r w:rsidR="00487F7C" w:rsidRPr="004C70EC">
        <w:tab/>
      </w:r>
      <w:r w:rsidRPr="004C70EC">
        <w:t>Regulation (EC) No 469/2009 of the European Parliament and of the Council of 6 May 2009 concerning the supplementary protection certificate for medicinal products, OJ L 152, 16.6.2009, pp. 1</w:t>
      </w:r>
      <w:r w:rsidR="00DD1A47" w:rsidRPr="004C70EC">
        <w:t>.</w:t>
      </w:r>
    </w:p>
  </w:footnote>
  <w:footnote w:id="159">
    <w:p w14:paraId="05BED8A7" w14:textId="77777777" w:rsidR="00D16DBA" w:rsidRPr="004C70EC" w:rsidRDefault="00D16DBA" w:rsidP="00D16DBA">
      <w:pPr>
        <w:rPr>
          <w:sz w:val="20"/>
          <w:szCs w:val="20"/>
          <w:lang w:val="sv-SE"/>
        </w:rPr>
      </w:pPr>
      <w:r w:rsidRPr="004C70EC">
        <w:rPr>
          <w:rStyle w:val="FootnoteReference"/>
        </w:rPr>
        <w:footnoteRef/>
      </w:r>
      <w:r w:rsidRPr="004C70EC">
        <w:rPr>
          <w:sz w:val="20"/>
          <w:szCs w:val="20"/>
          <w:lang w:val="sv-SE"/>
        </w:rPr>
        <w:tab/>
        <w:t>ENA, https://www.ebi.ac.uk/ena.</w:t>
      </w:r>
    </w:p>
  </w:footnote>
  <w:footnote w:id="160">
    <w:p w14:paraId="058A34FF" w14:textId="77777777" w:rsidR="00D16DBA" w:rsidRPr="004C70EC" w:rsidRDefault="00D16DBA" w:rsidP="00D16DBA">
      <w:pPr>
        <w:pStyle w:val="FootnoteText"/>
      </w:pPr>
      <w:r w:rsidRPr="004C70EC">
        <w:rPr>
          <w:rStyle w:val="FootnoteReference"/>
        </w:rPr>
        <w:footnoteRef/>
      </w:r>
      <w:r w:rsidRPr="004C70EC">
        <w:tab/>
        <w:t>Regulation (EU) 2021/821 of the European Parliament and of the Council of 20 May 2021 setting up a Union regime for the control of exports, brokering, technical assistance, transit and transfer of dual-use items, OJ L 206, 11.6.2021, pp. 1–461. ELI: </w:t>
      </w:r>
      <w:hyperlink r:id="rId70" w:tooltip="Gives access to this document through its ELI URI." w:history="1">
        <w:r w:rsidRPr="004C70EC">
          <w:rPr>
            <w:rStyle w:val="Hyperlink"/>
          </w:rPr>
          <w:t>http://data.europa.eu/eli/reg/2021/821/oj</w:t>
        </w:r>
      </w:hyperlink>
      <w:r w:rsidRPr="004C70EC">
        <w:t>.</w:t>
      </w:r>
    </w:p>
  </w:footnote>
  <w:footnote w:id="161">
    <w:p w14:paraId="221FC233" w14:textId="77777777" w:rsidR="00D16DBA" w:rsidRPr="004C70EC" w:rsidRDefault="00D16DBA" w:rsidP="00D16DBA">
      <w:pPr>
        <w:pStyle w:val="FootnoteText"/>
      </w:pPr>
      <w:r w:rsidRPr="004C70EC">
        <w:rPr>
          <w:rStyle w:val="FootnoteReference"/>
        </w:rPr>
        <w:footnoteRef/>
      </w:r>
      <w:r w:rsidRPr="004C70EC">
        <w:tab/>
        <w:t>Regulation (EU) 2019/1148 of the European Parliament and of the Council of 20 June 2019 on the marketing and use of explosives precursors, amending Regulation (EC) No 1907/2006 and repealing Regulation (EU) No 98/2013 (Text with EEA relevance), OJ L 186, 11.7.2019, pp. 1–20. ELI: </w:t>
      </w:r>
      <w:hyperlink r:id="rId71" w:tooltip="Gives access to this document through its ELI URI." w:history="1">
        <w:r w:rsidRPr="004C70EC">
          <w:rPr>
            <w:rStyle w:val="Hyperlink"/>
          </w:rPr>
          <w:t>http://data.europa.eu/eli/reg/2019/1148/oj</w:t>
        </w:r>
      </w:hyperlink>
      <w:r w:rsidRPr="004C70EC">
        <w:t>.</w:t>
      </w:r>
    </w:p>
  </w:footnote>
  <w:footnote w:id="162">
    <w:p w14:paraId="3769F4C5" w14:textId="77777777" w:rsidR="00D16DBA" w:rsidRPr="004C70EC" w:rsidRDefault="00D16DBA" w:rsidP="00D16DBA">
      <w:pPr>
        <w:pStyle w:val="FootnoteText"/>
        <w:jc w:val="left"/>
      </w:pPr>
      <w:r w:rsidRPr="004C70EC">
        <w:rPr>
          <w:rStyle w:val="FootnoteReference"/>
        </w:rPr>
        <w:footnoteRef/>
      </w:r>
      <w:r w:rsidR="00C43E5E" w:rsidRPr="004C70EC">
        <w:tab/>
      </w:r>
      <w:r w:rsidRPr="004C70EC">
        <w:t>Commission Decision establishing horizontal rules on the creation and operation of Commission expert</w:t>
      </w:r>
    </w:p>
    <w:p w14:paraId="76E00606" w14:textId="77777777" w:rsidR="00D16DBA" w:rsidRPr="004C70EC" w:rsidRDefault="00D16DBA" w:rsidP="00D16DBA">
      <w:pPr>
        <w:pStyle w:val="FootnoteText"/>
        <w:jc w:val="left"/>
        <w:rPr>
          <w:lang w:val="en-IE"/>
        </w:rPr>
      </w:pPr>
      <w:r w:rsidRPr="004C70EC">
        <w:t>groups, C(2016)3301.</w:t>
      </w:r>
    </w:p>
  </w:footnote>
  <w:footnote w:id="163">
    <w:p w14:paraId="0B5419EE" w14:textId="77777777" w:rsidR="00E54565" w:rsidRPr="004C70EC" w:rsidRDefault="00E54565" w:rsidP="00E54565">
      <w:pPr>
        <w:pStyle w:val="FootnoteText"/>
      </w:pPr>
      <w:r w:rsidRPr="004C70EC">
        <w:rPr>
          <w:rStyle w:val="FootnoteReference"/>
        </w:rPr>
        <w:footnoteRef/>
      </w:r>
      <w:r w:rsidR="00C43E5E" w:rsidRPr="004C70EC">
        <w:tab/>
      </w:r>
      <w:r w:rsidRPr="004C70EC">
        <w:t>Regulation (EC) No 469/2009 of the European Parliament and of the Council of 6 May 2009 concerning the supplementary protection certificate for medicinal products, OJ L 152, 16.6.2009, pp. 1</w:t>
      </w:r>
    </w:p>
  </w:footnote>
  <w:footnote w:id="164">
    <w:p w14:paraId="34737BC7" w14:textId="77777777" w:rsidR="00E54565" w:rsidRPr="004C70EC" w:rsidRDefault="00E54565" w:rsidP="00E54565">
      <w:pPr>
        <w:pStyle w:val="FootnoteText"/>
        <w:rPr>
          <w:lang w:val="en-IE"/>
        </w:rPr>
      </w:pPr>
      <w:r w:rsidRPr="004C70EC">
        <w:rPr>
          <w:rStyle w:val="FootnoteReference"/>
        </w:rPr>
        <w:footnoteRef/>
      </w:r>
      <w:r w:rsidRPr="004C70EC">
        <w:tab/>
        <w:t>Regulation (EU) 2024/568 of the European Parliament and of the Council of 7 February 2024 on fees and charges payable to the European Medicines Agency, amending Regulations (EU) 2017/745 and (EU) 2022/123 of the European Parliament and of the Council and repealing Regulation (EU) No 658/2014 of the European Parliament and of the Council and Council Regulation (EC) No 297/95 (OJ L OJ L 568, 14.2.2024)</w:t>
      </w:r>
    </w:p>
  </w:footnote>
  <w:footnote w:id="165">
    <w:p w14:paraId="4D606399" w14:textId="77777777" w:rsidR="007966CD" w:rsidRPr="004C70EC" w:rsidRDefault="007966CD" w:rsidP="00E934F2">
      <w:pPr>
        <w:pStyle w:val="FootnoteText"/>
      </w:pPr>
      <w:r w:rsidRPr="004C70EC">
        <w:rPr>
          <w:rStyle w:val="FootnoteReference"/>
        </w:rPr>
        <w:footnoteRef/>
      </w:r>
      <w:r w:rsidRPr="004C70EC">
        <w:tab/>
        <w:t>As referred to in Article 58(2), point (a) or (b) of the Financial Regulation.</w:t>
      </w:r>
    </w:p>
  </w:footnote>
  <w:footnote w:id="166">
    <w:p w14:paraId="05D9CA6A" w14:textId="77777777" w:rsidR="007966CD" w:rsidRPr="004C70EC" w:rsidRDefault="007966CD" w:rsidP="00E934F2">
      <w:pPr>
        <w:pStyle w:val="FootnoteText"/>
      </w:pPr>
      <w:r w:rsidRPr="004C70EC">
        <w:rPr>
          <w:rStyle w:val="FootnoteReference"/>
        </w:rPr>
        <w:footnoteRef/>
      </w:r>
      <w:r w:rsidRPr="004C70EC">
        <w:tab/>
        <w:t xml:space="preserve">Details of budget implementation methods and references to the Financial Regulation may be found on the BUDGpedia site: </w:t>
      </w:r>
      <w:hyperlink r:id="rId72" w:history="1">
        <w:r w:rsidRPr="004C70EC">
          <w:rPr>
            <w:rStyle w:val="Hyperlink"/>
          </w:rPr>
          <w:t>https://myintracomm.ec.europa.eu/corp/budget/financial-rules/budget-implementation/Pages/implementation-methods.aspx</w:t>
        </w:r>
      </w:hyperlink>
      <w:r w:rsidRPr="004C70EC">
        <w:rPr>
          <w:rStyle w:val="Hyperlink"/>
        </w:rPr>
        <w:t>.</w:t>
      </w:r>
    </w:p>
  </w:footnote>
  <w:footnote w:id="167">
    <w:p w14:paraId="0F36F238" w14:textId="77777777" w:rsidR="007966CD" w:rsidRPr="004C70EC" w:rsidRDefault="007966CD" w:rsidP="00E934F2">
      <w:pPr>
        <w:pStyle w:val="FootnoteText"/>
      </w:pPr>
      <w:r w:rsidRPr="004C70EC">
        <w:rPr>
          <w:rStyle w:val="FootnoteReference"/>
        </w:rPr>
        <w:footnoteRef/>
      </w:r>
      <w:r w:rsidRPr="004C70EC">
        <w:tab/>
        <w:t>Diff. = Differentiated appropriations / Non-diff. = Non-differentiated appropriations.</w:t>
      </w:r>
    </w:p>
  </w:footnote>
  <w:footnote w:id="168">
    <w:p w14:paraId="49F6FA2D" w14:textId="77777777" w:rsidR="007966CD" w:rsidRPr="004C70EC" w:rsidRDefault="007966CD" w:rsidP="00E934F2">
      <w:pPr>
        <w:pStyle w:val="FootnoteText"/>
      </w:pPr>
      <w:r w:rsidRPr="004C70EC">
        <w:rPr>
          <w:rStyle w:val="FootnoteReference"/>
        </w:rPr>
        <w:footnoteRef/>
      </w:r>
      <w:r w:rsidRPr="004C70EC">
        <w:tab/>
        <w:t xml:space="preserve">EFTA: European Free Trade Association. </w:t>
      </w:r>
    </w:p>
  </w:footnote>
  <w:footnote w:id="169">
    <w:p w14:paraId="22E87427" w14:textId="77777777" w:rsidR="007966CD" w:rsidRPr="004C70EC" w:rsidRDefault="007966CD" w:rsidP="00E934F2">
      <w:pPr>
        <w:pStyle w:val="FootnoteText"/>
      </w:pPr>
      <w:r w:rsidRPr="004C70EC">
        <w:rPr>
          <w:rStyle w:val="FootnoteReference"/>
        </w:rPr>
        <w:footnoteRef/>
      </w:r>
      <w:r w:rsidRPr="004C70EC">
        <w:tab/>
        <w:t>Candidate countries and, where applicable, potential candidates from the Western Balkans.</w:t>
      </w:r>
    </w:p>
  </w:footnote>
  <w:footnote w:id="170">
    <w:p w14:paraId="4ABCD3E9" w14:textId="77777777" w:rsidR="007966CD" w:rsidRPr="004C70EC" w:rsidRDefault="007966CD" w:rsidP="00E934F2">
      <w:pPr>
        <w:pStyle w:val="FootnoteText"/>
        <w:rPr>
          <w:lang w:val="en-IE"/>
        </w:rPr>
      </w:pPr>
      <w:r w:rsidRPr="004C70EC">
        <w:rPr>
          <w:rStyle w:val="FootnoteReference"/>
        </w:rPr>
        <w:footnoteRef/>
      </w:r>
      <w:r w:rsidRPr="004C70EC">
        <w:tab/>
      </w:r>
      <w:r w:rsidRPr="004C70EC">
        <w:rPr>
          <w:lang w:val="en-IE"/>
        </w:rPr>
        <w:t>Please specify below the table how many FTEs within the number indicated are already assigned to the management of the action and/or can be redeployed within your DG and what are your net needs.</w:t>
      </w:r>
    </w:p>
  </w:footnote>
  <w:footnote w:id="171">
    <w:p w14:paraId="491A6005" w14:textId="77777777" w:rsidR="007966CD" w:rsidRPr="00804A1A" w:rsidRDefault="007966CD" w:rsidP="00E934F2">
      <w:pPr>
        <w:pStyle w:val="FootnoteText"/>
      </w:pPr>
      <w:r w:rsidRPr="004C70EC">
        <w:rPr>
          <w:rStyle w:val="FootnoteReference"/>
        </w:rPr>
        <w:footnoteRef/>
      </w:r>
      <w:r w:rsidRPr="004C70EC">
        <w:tab/>
        <w:t>As regards traditional own resources (customs duties, sugar levies), the amounts indicated must be net amounts, i.e. gross amounts after deduction of 20% for collection costs.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DA4C9" w14:textId="77777777" w:rsidR="007A289E" w:rsidRDefault="007A28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8EFE7" w14:textId="77777777" w:rsidR="007A289E" w:rsidRDefault="007A289E" w:rsidP="007A28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A54D9" w14:textId="77777777" w:rsidR="007A289E" w:rsidRPr="007A289E" w:rsidRDefault="007A289E" w:rsidP="007A289E">
    <w:pPr>
      <w:pStyle w:val="HeaderLandscap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A8DD7" w14:textId="77777777" w:rsidR="007A289E" w:rsidRPr="007A289E" w:rsidRDefault="007A289E" w:rsidP="007A28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C6A95"/>
    <w:multiLevelType w:val="singleLevel"/>
    <w:tmpl w:val="02BAFA82"/>
    <w:name w:val="List Bullet 1"/>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 w15:restartNumberingAfterBreak="0">
    <w:nsid w:val="06485B52"/>
    <w:multiLevelType w:val="hybridMultilevel"/>
    <w:tmpl w:val="FFFFFFFF"/>
    <w:lvl w:ilvl="0" w:tplc="3C501F7C">
      <w:start w:val="1"/>
      <w:numFmt w:val="bullet"/>
      <w:lvlText w:val=""/>
      <w:lvlJc w:val="left"/>
      <w:pPr>
        <w:ind w:left="720" w:hanging="360"/>
      </w:pPr>
      <w:rPr>
        <w:rFonts w:ascii="Symbol" w:hAnsi="Symbol" w:hint="default"/>
      </w:rPr>
    </w:lvl>
    <w:lvl w:ilvl="1" w:tplc="3AD09388">
      <w:start w:val="1"/>
      <w:numFmt w:val="bullet"/>
      <w:lvlText w:val="o"/>
      <w:lvlJc w:val="left"/>
      <w:pPr>
        <w:ind w:left="1440" w:hanging="360"/>
      </w:pPr>
      <w:rPr>
        <w:rFonts w:ascii="Courier New" w:hAnsi="Courier New" w:hint="default"/>
      </w:rPr>
    </w:lvl>
    <w:lvl w:ilvl="2" w:tplc="5ED6C312">
      <w:start w:val="1"/>
      <w:numFmt w:val="bullet"/>
      <w:lvlText w:val=""/>
      <w:lvlJc w:val="left"/>
      <w:pPr>
        <w:ind w:left="2160" w:hanging="360"/>
      </w:pPr>
      <w:rPr>
        <w:rFonts w:ascii="Wingdings" w:hAnsi="Wingdings" w:hint="default"/>
      </w:rPr>
    </w:lvl>
    <w:lvl w:ilvl="3" w:tplc="FCE2F4C2">
      <w:start w:val="1"/>
      <w:numFmt w:val="bullet"/>
      <w:lvlText w:val=""/>
      <w:lvlJc w:val="left"/>
      <w:pPr>
        <w:ind w:left="2880" w:hanging="360"/>
      </w:pPr>
      <w:rPr>
        <w:rFonts w:ascii="Symbol" w:hAnsi="Symbol" w:hint="default"/>
      </w:rPr>
    </w:lvl>
    <w:lvl w:ilvl="4" w:tplc="39F0294C">
      <w:start w:val="1"/>
      <w:numFmt w:val="bullet"/>
      <w:lvlText w:val="o"/>
      <w:lvlJc w:val="left"/>
      <w:pPr>
        <w:ind w:left="3600" w:hanging="360"/>
      </w:pPr>
      <w:rPr>
        <w:rFonts w:ascii="Courier New" w:hAnsi="Courier New" w:hint="default"/>
      </w:rPr>
    </w:lvl>
    <w:lvl w:ilvl="5" w:tplc="8ED4EB8C">
      <w:start w:val="1"/>
      <w:numFmt w:val="bullet"/>
      <w:lvlText w:val=""/>
      <w:lvlJc w:val="left"/>
      <w:pPr>
        <w:ind w:left="4320" w:hanging="360"/>
      </w:pPr>
      <w:rPr>
        <w:rFonts w:ascii="Wingdings" w:hAnsi="Wingdings" w:hint="default"/>
      </w:rPr>
    </w:lvl>
    <w:lvl w:ilvl="6" w:tplc="DAC4502E">
      <w:start w:val="1"/>
      <w:numFmt w:val="bullet"/>
      <w:lvlText w:val=""/>
      <w:lvlJc w:val="left"/>
      <w:pPr>
        <w:ind w:left="5040" w:hanging="360"/>
      </w:pPr>
      <w:rPr>
        <w:rFonts w:ascii="Symbol" w:hAnsi="Symbol" w:hint="default"/>
      </w:rPr>
    </w:lvl>
    <w:lvl w:ilvl="7" w:tplc="77CC71F0">
      <w:start w:val="1"/>
      <w:numFmt w:val="bullet"/>
      <w:lvlText w:val="o"/>
      <w:lvlJc w:val="left"/>
      <w:pPr>
        <w:ind w:left="5760" w:hanging="360"/>
      </w:pPr>
      <w:rPr>
        <w:rFonts w:ascii="Courier New" w:hAnsi="Courier New" w:hint="default"/>
      </w:rPr>
    </w:lvl>
    <w:lvl w:ilvl="8" w:tplc="6D3C1E3A">
      <w:start w:val="1"/>
      <w:numFmt w:val="bullet"/>
      <w:lvlText w:val=""/>
      <w:lvlJc w:val="left"/>
      <w:pPr>
        <w:ind w:left="6480" w:hanging="360"/>
      </w:pPr>
      <w:rPr>
        <w:rFonts w:ascii="Wingdings" w:hAnsi="Wingdings" w:hint="default"/>
      </w:rPr>
    </w:lvl>
  </w:abstractNum>
  <w:abstractNum w:abstractNumId="2" w15:restartNumberingAfterBreak="0">
    <w:nsid w:val="08781C57"/>
    <w:multiLevelType w:val="hybridMultilevel"/>
    <w:tmpl w:val="DB840A14"/>
    <w:lvl w:ilvl="0" w:tplc="C8366C8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FA43B73"/>
    <w:multiLevelType w:val="multilevel"/>
    <w:tmpl w:val="DA36CD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8364B0"/>
    <w:multiLevelType w:val="singleLevel"/>
    <w:tmpl w:val="D084FB54"/>
    <w:lvl w:ilvl="0">
      <w:start w:val="1"/>
      <w:numFmt w:val="bullet"/>
      <w:pStyle w:val="ListDash3"/>
      <w:lvlText w:val="–"/>
      <w:lvlJc w:val="left"/>
      <w:pPr>
        <w:tabs>
          <w:tab w:val="num" w:pos="1134"/>
        </w:tabs>
        <w:ind w:left="1134" w:hanging="283"/>
      </w:pPr>
      <w:rPr>
        <w:rFonts w:ascii="Times New Roman" w:hAnsi="Times New Roman"/>
      </w:rPr>
    </w:lvl>
  </w:abstractNum>
  <w:abstractNum w:abstractNumId="5" w15:restartNumberingAfterBreak="0">
    <w:nsid w:val="134F6A5F"/>
    <w:multiLevelType w:val="multilevel"/>
    <w:tmpl w:val="389E59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E4330B"/>
    <w:multiLevelType w:val="multilevel"/>
    <w:tmpl w:val="875C4416"/>
    <w:name w:val="List Dash 3"/>
    <w:lvl w:ilvl="0">
      <w:start w:val="1"/>
      <w:numFmt w:val="decimal"/>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15:restartNumberingAfterBreak="0">
    <w:nsid w:val="13EA390A"/>
    <w:multiLevelType w:val="multilevel"/>
    <w:tmpl w:val="E6ACD0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9" w15:restartNumberingAfterBreak="0">
    <w:nsid w:val="1DA6295E"/>
    <w:multiLevelType w:val="hybridMultilevel"/>
    <w:tmpl w:val="EF8427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1171CB8"/>
    <w:multiLevelType w:val="hybridMultilevel"/>
    <w:tmpl w:val="4A0C475A"/>
    <w:lvl w:ilvl="0" w:tplc="D25E17A4">
      <w:start w:val="1"/>
      <w:numFmt w:val="decimal"/>
      <w:lvlText w:val="%1."/>
      <w:lvlJc w:val="left"/>
      <w:pPr>
        <w:ind w:left="360" w:hanging="360"/>
      </w:pPr>
      <w:rPr>
        <w:rFonts w:ascii="Times New Roman" w:eastAsiaTheme="minorHAnsi" w:hAnsi="Times New Roman" w:cs="Times New Roman" w:hint="default"/>
      </w:rPr>
    </w:lvl>
    <w:lvl w:ilvl="1" w:tplc="6A04A100">
      <w:start w:val="1"/>
      <w:numFmt w:val="low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1B30149"/>
    <w:multiLevelType w:val="hybridMultilevel"/>
    <w:tmpl w:val="15D4A856"/>
    <w:lvl w:ilvl="0" w:tplc="963E64D6">
      <w:start w:val="1"/>
      <w:numFmt w:val="bullet"/>
      <w:lvlText w:val=""/>
      <w:lvlJc w:val="left"/>
      <w:pPr>
        <w:ind w:left="360" w:hanging="360"/>
      </w:pPr>
      <w:rPr>
        <w:rFonts w:ascii="Symbol" w:hAnsi="Symbol" w:hint="default"/>
      </w:rPr>
    </w:lvl>
    <w:lvl w:ilvl="1" w:tplc="BEA68682" w:tentative="1">
      <w:start w:val="1"/>
      <w:numFmt w:val="bullet"/>
      <w:lvlText w:val="o"/>
      <w:lvlJc w:val="left"/>
      <w:pPr>
        <w:ind w:left="1080" w:hanging="360"/>
      </w:pPr>
      <w:rPr>
        <w:rFonts w:ascii="Courier New" w:hAnsi="Courier New" w:hint="default"/>
      </w:rPr>
    </w:lvl>
    <w:lvl w:ilvl="2" w:tplc="C26E839A" w:tentative="1">
      <w:start w:val="1"/>
      <w:numFmt w:val="bullet"/>
      <w:lvlText w:val=""/>
      <w:lvlJc w:val="left"/>
      <w:pPr>
        <w:ind w:left="1800" w:hanging="360"/>
      </w:pPr>
      <w:rPr>
        <w:rFonts w:ascii="Wingdings" w:hAnsi="Wingdings" w:hint="default"/>
      </w:rPr>
    </w:lvl>
    <w:lvl w:ilvl="3" w:tplc="08CA7228" w:tentative="1">
      <w:start w:val="1"/>
      <w:numFmt w:val="bullet"/>
      <w:lvlText w:val=""/>
      <w:lvlJc w:val="left"/>
      <w:pPr>
        <w:ind w:left="2520" w:hanging="360"/>
      </w:pPr>
      <w:rPr>
        <w:rFonts w:ascii="Symbol" w:hAnsi="Symbol" w:hint="default"/>
      </w:rPr>
    </w:lvl>
    <w:lvl w:ilvl="4" w:tplc="ECD8BE98" w:tentative="1">
      <w:start w:val="1"/>
      <w:numFmt w:val="bullet"/>
      <w:lvlText w:val="o"/>
      <w:lvlJc w:val="left"/>
      <w:pPr>
        <w:ind w:left="3240" w:hanging="360"/>
      </w:pPr>
      <w:rPr>
        <w:rFonts w:ascii="Courier New" w:hAnsi="Courier New" w:hint="default"/>
      </w:rPr>
    </w:lvl>
    <w:lvl w:ilvl="5" w:tplc="4282E4D4" w:tentative="1">
      <w:start w:val="1"/>
      <w:numFmt w:val="bullet"/>
      <w:lvlText w:val=""/>
      <w:lvlJc w:val="left"/>
      <w:pPr>
        <w:ind w:left="3960" w:hanging="360"/>
      </w:pPr>
      <w:rPr>
        <w:rFonts w:ascii="Wingdings" w:hAnsi="Wingdings" w:hint="default"/>
      </w:rPr>
    </w:lvl>
    <w:lvl w:ilvl="6" w:tplc="5300B8D0" w:tentative="1">
      <w:start w:val="1"/>
      <w:numFmt w:val="bullet"/>
      <w:lvlText w:val=""/>
      <w:lvlJc w:val="left"/>
      <w:pPr>
        <w:ind w:left="4680" w:hanging="360"/>
      </w:pPr>
      <w:rPr>
        <w:rFonts w:ascii="Symbol" w:hAnsi="Symbol" w:hint="default"/>
      </w:rPr>
    </w:lvl>
    <w:lvl w:ilvl="7" w:tplc="8826940C" w:tentative="1">
      <w:start w:val="1"/>
      <w:numFmt w:val="bullet"/>
      <w:lvlText w:val="o"/>
      <w:lvlJc w:val="left"/>
      <w:pPr>
        <w:ind w:left="5400" w:hanging="360"/>
      </w:pPr>
      <w:rPr>
        <w:rFonts w:ascii="Courier New" w:hAnsi="Courier New" w:hint="default"/>
      </w:rPr>
    </w:lvl>
    <w:lvl w:ilvl="8" w:tplc="082249F8" w:tentative="1">
      <w:start w:val="1"/>
      <w:numFmt w:val="bullet"/>
      <w:lvlText w:val=""/>
      <w:lvlJc w:val="left"/>
      <w:pPr>
        <w:ind w:left="6120" w:hanging="360"/>
      </w:pPr>
      <w:rPr>
        <w:rFonts w:ascii="Wingdings" w:hAnsi="Wingdings" w:hint="default"/>
      </w:rPr>
    </w:lvl>
  </w:abstractNum>
  <w:abstractNum w:abstractNumId="12"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decimal"/>
      <w:pStyle w:val="NumPar5"/>
      <w:lvlText w:val="%1.%2.%3.%4.%5."/>
      <w:lvlJc w:val="left"/>
      <w:pPr>
        <w:tabs>
          <w:tab w:val="num" w:pos="1417"/>
        </w:tabs>
        <w:ind w:left="1417" w:hanging="1417"/>
      </w:pPr>
    </w:lvl>
    <w:lvl w:ilvl="5">
      <w:start w:val="1"/>
      <w:numFmt w:val="decimal"/>
      <w:pStyle w:val="NumPar6"/>
      <w:lvlText w:val="%1.%2.%3.%4.%5.%6."/>
      <w:lvlJc w:val="left"/>
      <w:pPr>
        <w:tabs>
          <w:tab w:val="num" w:pos="1417"/>
        </w:tabs>
        <w:ind w:left="1417" w:hanging="1417"/>
      </w:pPr>
    </w:lvl>
    <w:lvl w:ilvl="6">
      <w:start w:val="1"/>
      <w:numFmt w:val="decimal"/>
      <w:pStyle w:val="NumPar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4964583"/>
    <w:multiLevelType w:val="multilevel"/>
    <w:tmpl w:val="D4CAD1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A1521B"/>
    <w:multiLevelType w:val="hybridMultilevel"/>
    <w:tmpl w:val="EE9C8232"/>
    <w:lvl w:ilvl="0" w:tplc="18EA0DCE">
      <w:start w:val="1"/>
      <w:numFmt w:val="decimal"/>
      <w:pStyle w:val="Para"/>
      <w:lvlText w:val="%1."/>
      <w:lvlJc w:val="left"/>
      <w:pPr>
        <w:tabs>
          <w:tab w:val="num" w:pos="720"/>
        </w:tabs>
        <w:ind w:left="0" w:firstLine="0"/>
      </w:pPr>
      <w:rPr>
        <w:rFonts w:hint="default"/>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5" w15:restartNumberingAfterBreak="0">
    <w:nsid w:val="270118AE"/>
    <w:multiLevelType w:val="hybridMultilevel"/>
    <w:tmpl w:val="081A3CC8"/>
    <w:lvl w:ilvl="0" w:tplc="95CA1618">
      <w:start w:val="1"/>
      <w:numFmt w:val="bullet"/>
      <w:lvlText w:val=""/>
      <w:lvlJc w:val="left"/>
      <w:pPr>
        <w:ind w:left="720" w:hanging="360"/>
      </w:pPr>
      <w:rPr>
        <w:rFonts w:ascii="Symbol" w:hAnsi="Symbol" w:hint="default"/>
      </w:rPr>
    </w:lvl>
    <w:lvl w:ilvl="1" w:tplc="09F09094">
      <w:start w:val="1"/>
      <w:numFmt w:val="bullet"/>
      <w:lvlText w:val="o"/>
      <w:lvlJc w:val="left"/>
      <w:pPr>
        <w:ind w:left="1440" w:hanging="360"/>
      </w:pPr>
      <w:rPr>
        <w:rFonts w:ascii="Courier New" w:hAnsi="Courier New" w:hint="default"/>
      </w:rPr>
    </w:lvl>
    <w:lvl w:ilvl="2" w:tplc="07E08F04" w:tentative="1">
      <w:start w:val="1"/>
      <w:numFmt w:val="bullet"/>
      <w:lvlText w:val=""/>
      <w:lvlJc w:val="left"/>
      <w:pPr>
        <w:ind w:left="2160" w:hanging="360"/>
      </w:pPr>
      <w:rPr>
        <w:rFonts w:ascii="Wingdings" w:hAnsi="Wingdings" w:hint="default"/>
      </w:rPr>
    </w:lvl>
    <w:lvl w:ilvl="3" w:tplc="0F244038" w:tentative="1">
      <w:start w:val="1"/>
      <w:numFmt w:val="bullet"/>
      <w:lvlText w:val=""/>
      <w:lvlJc w:val="left"/>
      <w:pPr>
        <w:ind w:left="2880" w:hanging="360"/>
      </w:pPr>
      <w:rPr>
        <w:rFonts w:ascii="Symbol" w:hAnsi="Symbol" w:hint="default"/>
      </w:rPr>
    </w:lvl>
    <w:lvl w:ilvl="4" w:tplc="0E9E2E5E" w:tentative="1">
      <w:start w:val="1"/>
      <w:numFmt w:val="bullet"/>
      <w:lvlText w:val="o"/>
      <w:lvlJc w:val="left"/>
      <w:pPr>
        <w:ind w:left="3600" w:hanging="360"/>
      </w:pPr>
      <w:rPr>
        <w:rFonts w:ascii="Courier New" w:hAnsi="Courier New" w:hint="default"/>
      </w:rPr>
    </w:lvl>
    <w:lvl w:ilvl="5" w:tplc="56C66528" w:tentative="1">
      <w:start w:val="1"/>
      <w:numFmt w:val="bullet"/>
      <w:lvlText w:val=""/>
      <w:lvlJc w:val="left"/>
      <w:pPr>
        <w:ind w:left="4320" w:hanging="360"/>
      </w:pPr>
      <w:rPr>
        <w:rFonts w:ascii="Wingdings" w:hAnsi="Wingdings" w:hint="default"/>
      </w:rPr>
    </w:lvl>
    <w:lvl w:ilvl="6" w:tplc="3D0C680E" w:tentative="1">
      <w:start w:val="1"/>
      <w:numFmt w:val="bullet"/>
      <w:lvlText w:val=""/>
      <w:lvlJc w:val="left"/>
      <w:pPr>
        <w:ind w:left="5040" w:hanging="360"/>
      </w:pPr>
      <w:rPr>
        <w:rFonts w:ascii="Symbol" w:hAnsi="Symbol" w:hint="default"/>
      </w:rPr>
    </w:lvl>
    <w:lvl w:ilvl="7" w:tplc="3AB800D6" w:tentative="1">
      <w:start w:val="1"/>
      <w:numFmt w:val="bullet"/>
      <w:lvlText w:val="o"/>
      <w:lvlJc w:val="left"/>
      <w:pPr>
        <w:ind w:left="5760" w:hanging="360"/>
      </w:pPr>
      <w:rPr>
        <w:rFonts w:ascii="Courier New" w:hAnsi="Courier New" w:hint="default"/>
      </w:rPr>
    </w:lvl>
    <w:lvl w:ilvl="8" w:tplc="4C5A8346" w:tentative="1">
      <w:start w:val="1"/>
      <w:numFmt w:val="bullet"/>
      <w:lvlText w:val=""/>
      <w:lvlJc w:val="left"/>
      <w:pPr>
        <w:ind w:left="6480" w:hanging="360"/>
      </w:pPr>
      <w:rPr>
        <w:rFonts w:ascii="Wingdings" w:hAnsi="Wingdings" w:hint="default"/>
      </w:rPr>
    </w:lvl>
  </w:abstractNum>
  <w:abstractNum w:abstractNumId="16"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7"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8"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D820C1F"/>
    <w:multiLevelType w:val="singleLevel"/>
    <w:tmpl w:val="7896AADE"/>
    <w:name w:val="List Dash"/>
    <w:lvl w:ilvl="0">
      <w:start w:val="1"/>
      <w:numFmt w:val="bullet"/>
      <w:lvlRestart w:val="0"/>
      <w:pStyle w:val="ListDash"/>
      <w:lvlText w:val="–"/>
      <w:lvlJc w:val="left"/>
      <w:pPr>
        <w:tabs>
          <w:tab w:val="num" w:pos="283"/>
        </w:tabs>
        <w:ind w:left="283" w:hanging="283"/>
      </w:pPr>
      <w:rPr>
        <w:rFonts w:ascii="Times New Roman" w:hAnsi="Times New Roman" w:cs="Times New Roman"/>
      </w:rPr>
    </w:lvl>
  </w:abstractNum>
  <w:abstractNum w:abstractNumId="20" w15:restartNumberingAfterBreak="0">
    <w:nsid w:val="2F191641"/>
    <w:multiLevelType w:val="multilevel"/>
    <w:tmpl w:val="B67C4E92"/>
    <w:lvl w:ilvl="0">
      <w:start w:val="1"/>
      <w:numFmt w:val="decimal"/>
      <w:pStyle w:val="ListNumber3"/>
      <w:lvlText w:val="(%1)"/>
      <w:lvlJc w:val="left"/>
      <w:pPr>
        <w:tabs>
          <w:tab w:val="num" w:pos="1560"/>
        </w:tabs>
        <w:ind w:left="1560" w:hanging="709"/>
      </w:pPr>
      <w:rPr>
        <w:rFonts w:cs="Times New Roman"/>
      </w:rPr>
    </w:lvl>
    <w:lvl w:ilvl="1">
      <w:start w:val="1"/>
      <w:numFmt w:val="lowerLetter"/>
      <w:pStyle w:val="ListNumber3Level2"/>
      <w:lvlText w:val="(%2)"/>
      <w:lvlJc w:val="left"/>
      <w:pPr>
        <w:tabs>
          <w:tab w:val="num" w:pos="2268"/>
        </w:tabs>
        <w:ind w:left="2268" w:hanging="708"/>
      </w:pPr>
      <w:rPr>
        <w:rFonts w:cs="Times New Roman"/>
      </w:rPr>
    </w:lvl>
    <w:lvl w:ilvl="2">
      <w:start w:val="1"/>
      <w:numFmt w:val="bullet"/>
      <w:pStyle w:val="ListNumber3Level3"/>
      <w:lvlText w:val="–"/>
      <w:lvlJc w:val="left"/>
      <w:pPr>
        <w:tabs>
          <w:tab w:val="num" w:pos="2977"/>
        </w:tabs>
        <w:ind w:left="2977" w:hanging="709"/>
      </w:pPr>
      <w:rPr>
        <w:rFonts w:ascii="Times New Roman" w:hAnsi="Times New Roman"/>
      </w:rPr>
    </w:lvl>
    <w:lvl w:ilvl="3">
      <w:start w:val="1"/>
      <w:numFmt w:val="bullet"/>
      <w:pStyle w:val="ListNumber3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15:restartNumberingAfterBreak="0">
    <w:nsid w:val="315F5388"/>
    <w:multiLevelType w:val="hybridMultilevel"/>
    <w:tmpl w:val="A254ED52"/>
    <w:lvl w:ilvl="0" w:tplc="723E1BE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31CD398A"/>
    <w:multiLevelType w:val="singleLevel"/>
    <w:tmpl w:val="0276BF00"/>
    <w:lvl w:ilvl="0">
      <w:start w:val="1"/>
      <w:numFmt w:val="bullet"/>
      <w:pStyle w:val="ListDash4"/>
      <w:lvlText w:val="–"/>
      <w:lvlJc w:val="left"/>
      <w:pPr>
        <w:tabs>
          <w:tab w:val="num" w:pos="1134"/>
        </w:tabs>
        <w:ind w:left="1134" w:hanging="283"/>
      </w:pPr>
      <w:rPr>
        <w:rFonts w:ascii="Times New Roman" w:hAnsi="Times New Roman"/>
      </w:rPr>
    </w:lvl>
  </w:abstractNum>
  <w:abstractNum w:abstractNumId="23" w15:restartNumberingAfterBreak="0">
    <w:nsid w:val="398C015E"/>
    <w:multiLevelType w:val="multilevel"/>
    <w:tmpl w:val="027A66BA"/>
    <w:name w:val="List Dash 4"/>
    <w:lvl w:ilvl="0">
      <w:start w:val="1"/>
      <w:numFmt w:val="decimal"/>
      <w:pStyle w:val="ListNumber2"/>
      <w:lvlText w:val="(%1)"/>
      <w:lvlJc w:val="left"/>
      <w:pPr>
        <w:tabs>
          <w:tab w:val="num" w:pos="1560"/>
        </w:tabs>
        <w:ind w:left="1560" w:hanging="709"/>
      </w:pPr>
      <w:rPr>
        <w:rFonts w:cs="Times New Roman"/>
      </w:rPr>
    </w:lvl>
    <w:lvl w:ilvl="1">
      <w:start w:val="1"/>
      <w:numFmt w:val="lowerLetter"/>
      <w:pStyle w:val="ListNumber2Level2"/>
      <w:lvlText w:val="(%2)"/>
      <w:lvlJc w:val="left"/>
      <w:pPr>
        <w:tabs>
          <w:tab w:val="num" w:pos="2268"/>
        </w:tabs>
        <w:ind w:left="2268" w:hanging="708"/>
      </w:pPr>
      <w:rPr>
        <w:rFonts w:cs="Times New Roman"/>
      </w:rPr>
    </w:lvl>
    <w:lvl w:ilvl="2">
      <w:start w:val="1"/>
      <w:numFmt w:val="bullet"/>
      <w:pStyle w:val="ListNumber2Level3"/>
      <w:lvlText w:val="–"/>
      <w:lvlJc w:val="left"/>
      <w:pPr>
        <w:tabs>
          <w:tab w:val="num" w:pos="2977"/>
        </w:tabs>
        <w:ind w:left="2977" w:hanging="709"/>
      </w:pPr>
      <w:rPr>
        <w:rFonts w:ascii="Times New Roman" w:hAnsi="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15:restartNumberingAfterBreak="0">
    <w:nsid w:val="3BE178C8"/>
    <w:multiLevelType w:val="hybridMultilevel"/>
    <w:tmpl w:val="E4589A62"/>
    <w:lvl w:ilvl="0" w:tplc="527CC738">
      <w:start w:val="1"/>
      <w:numFmt w:val="bullet"/>
      <w:lvlText w:val=""/>
      <w:lvlJc w:val="left"/>
      <w:pPr>
        <w:ind w:left="720" w:hanging="360"/>
      </w:pPr>
      <w:rPr>
        <w:rFonts w:ascii="Symbol" w:hAnsi="Symbol" w:hint="default"/>
      </w:rPr>
    </w:lvl>
    <w:lvl w:ilvl="1" w:tplc="391E8CA4" w:tentative="1">
      <w:start w:val="1"/>
      <w:numFmt w:val="bullet"/>
      <w:lvlText w:val="o"/>
      <w:lvlJc w:val="left"/>
      <w:pPr>
        <w:ind w:left="1440" w:hanging="360"/>
      </w:pPr>
      <w:rPr>
        <w:rFonts w:ascii="Courier New" w:hAnsi="Courier New" w:hint="default"/>
      </w:rPr>
    </w:lvl>
    <w:lvl w:ilvl="2" w:tplc="FFB6B0EA" w:tentative="1">
      <w:start w:val="1"/>
      <w:numFmt w:val="bullet"/>
      <w:lvlText w:val=""/>
      <w:lvlJc w:val="left"/>
      <w:pPr>
        <w:ind w:left="2160" w:hanging="360"/>
      </w:pPr>
      <w:rPr>
        <w:rFonts w:ascii="Wingdings" w:hAnsi="Wingdings" w:hint="default"/>
      </w:rPr>
    </w:lvl>
    <w:lvl w:ilvl="3" w:tplc="A784FF36" w:tentative="1">
      <w:start w:val="1"/>
      <w:numFmt w:val="bullet"/>
      <w:lvlText w:val=""/>
      <w:lvlJc w:val="left"/>
      <w:pPr>
        <w:ind w:left="2880" w:hanging="360"/>
      </w:pPr>
      <w:rPr>
        <w:rFonts w:ascii="Symbol" w:hAnsi="Symbol" w:hint="default"/>
      </w:rPr>
    </w:lvl>
    <w:lvl w:ilvl="4" w:tplc="41945882" w:tentative="1">
      <w:start w:val="1"/>
      <w:numFmt w:val="bullet"/>
      <w:lvlText w:val="o"/>
      <w:lvlJc w:val="left"/>
      <w:pPr>
        <w:ind w:left="3600" w:hanging="360"/>
      </w:pPr>
      <w:rPr>
        <w:rFonts w:ascii="Courier New" w:hAnsi="Courier New" w:hint="default"/>
      </w:rPr>
    </w:lvl>
    <w:lvl w:ilvl="5" w:tplc="10223822" w:tentative="1">
      <w:start w:val="1"/>
      <w:numFmt w:val="bullet"/>
      <w:lvlText w:val=""/>
      <w:lvlJc w:val="left"/>
      <w:pPr>
        <w:ind w:left="4320" w:hanging="360"/>
      </w:pPr>
      <w:rPr>
        <w:rFonts w:ascii="Wingdings" w:hAnsi="Wingdings" w:hint="default"/>
      </w:rPr>
    </w:lvl>
    <w:lvl w:ilvl="6" w:tplc="CFB4C926" w:tentative="1">
      <w:start w:val="1"/>
      <w:numFmt w:val="bullet"/>
      <w:lvlText w:val=""/>
      <w:lvlJc w:val="left"/>
      <w:pPr>
        <w:ind w:left="5040" w:hanging="360"/>
      </w:pPr>
      <w:rPr>
        <w:rFonts w:ascii="Symbol" w:hAnsi="Symbol" w:hint="default"/>
      </w:rPr>
    </w:lvl>
    <w:lvl w:ilvl="7" w:tplc="6D44449C" w:tentative="1">
      <w:start w:val="1"/>
      <w:numFmt w:val="bullet"/>
      <w:lvlText w:val="o"/>
      <w:lvlJc w:val="left"/>
      <w:pPr>
        <w:ind w:left="5760" w:hanging="360"/>
      </w:pPr>
      <w:rPr>
        <w:rFonts w:ascii="Courier New" w:hAnsi="Courier New" w:hint="default"/>
      </w:rPr>
    </w:lvl>
    <w:lvl w:ilvl="8" w:tplc="64A0B932" w:tentative="1">
      <w:start w:val="1"/>
      <w:numFmt w:val="bullet"/>
      <w:lvlText w:val=""/>
      <w:lvlJc w:val="left"/>
      <w:pPr>
        <w:ind w:left="6480" w:hanging="360"/>
      </w:pPr>
      <w:rPr>
        <w:rFonts w:ascii="Wingdings" w:hAnsi="Wingdings" w:hint="default"/>
      </w:rPr>
    </w:lvl>
  </w:abstractNum>
  <w:abstractNum w:abstractNumId="25" w15:restartNumberingAfterBreak="0">
    <w:nsid w:val="3E7E3208"/>
    <w:multiLevelType w:val="multilevel"/>
    <w:tmpl w:val="1F4874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7" w15:restartNumberingAfterBreak="0">
    <w:nsid w:val="42882288"/>
    <w:multiLevelType w:val="multilevel"/>
    <w:tmpl w:val="D7C07F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29" w15:restartNumberingAfterBreak="0">
    <w:nsid w:val="42FC077D"/>
    <w:multiLevelType w:val="singleLevel"/>
    <w:tmpl w:val="4128FD03"/>
    <w:name w:val="Tiret 5"/>
    <w:lvl w:ilvl="0">
      <w:start w:val="1"/>
      <w:numFmt w:val="bullet"/>
      <w:lvlRestart w:val="0"/>
      <w:pStyle w:val="Tiret5"/>
      <w:lvlText w:val="–"/>
      <w:lvlJc w:val="left"/>
      <w:pPr>
        <w:tabs>
          <w:tab w:val="num" w:pos="3685"/>
        </w:tabs>
        <w:ind w:left="3685" w:hanging="567"/>
      </w:pPr>
    </w:lvl>
  </w:abstractNum>
  <w:abstractNum w:abstractNumId="30"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1" w15:restartNumberingAfterBreak="0">
    <w:nsid w:val="460B64AB"/>
    <w:multiLevelType w:val="hybridMultilevel"/>
    <w:tmpl w:val="937A23F4"/>
    <w:lvl w:ilvl="0" w:tplc="D38A126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489D74ED"/>
    <w:multiLevelType w:val="singleLevel"/>
    <w:tmpl w:val="C2E2F936"/>
    <w:name w:val="List Dash 2"/>
    <w:lvl w:ilvl="0">
      <w:start w:val="1"/>
      <w:numFmt w:val="bullet"/>
      <w:lvlRestart w:val="0"/>
      <w:pStyle w:val="ListDash2"/>
      <w:lvlText w:val="–"/>
      <w:lvlJc w:val="left"/>
      <w:pPr>
        <w:tabs>
          <w:tab w:val="num" w:pos="1134"/>
        </w:tabs>
        <w:ind w:left="1134" w:hanging="283"/>
      </w:pPr>
      <w:rPr>
        <w:rFonts w:ascii="Times New Roman" w:hAnsi="Times New Roman" w:cs="Times New Roman"/>
      </w:rPr>
    </w:lvl>
  </w:abstractNum>
  <w:abstractNum w:abstractNumId="33" w15:restartNumberingAfterBreak="0">
    <w:nsid w:val="4D0C058A"/>
    <w:multiLevelType w:val="singleLevel"/>
    <w:tmpl w:val="BAE8D90E"/>
    <w:name w:val="List Dash 1"/>
    <w:lvl w:ilvl="0">
      <w:start w:val="1"/>
      <w:numFmt w:val="bullet"/>
      <w:lvlRestart w:val="0"/>
      <w:pStyle w:val="ListDash1"/>
      <w:lvlText w:val="–"/>
      <w:lvlJc w:val="left"/>
      <w:pPr>
        <w:tabs>
          <w:tab w:val="num" w:pos="1134"/>
        </w:tabs>
        <w:ind w:left="1134" w:hanging="283"/>
      </w:pPr>
      <w:rPr>
        <w:rFonts w:ascii="Times New Roman" w:hAnsi="Times New Roman" w:cs="Times New Roman"/>
      </w:rPr>
    </w:lvl>
  </w:abstractNum>
  <w:abstractNum w:abstractNumId="34" w15:restartNumberingAfterBreak="0">
    <w:nsid w:val="53147F98"/>
    <w:multiLevelType w:val="hybridMultilevel"/>
    <w:tmpl w:val="91E68F26"/>
    <w:lvl w:ilvl="0" w:tplc="16F642A8">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535C4A63"/>
    <w:multiLevelType w:val="multilevel"/>
    <w:tmpl w:val="E8D827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42A1204"/>
    <w:multiLevelType w:val="multilevel"/>
    <w:tmpl w:val="BC1E8404"/>
    <w:lvl w:ilvl="0">
      <w:start w:val="1"/>
      <w:numFmt w:val="decimal"/>
      <w:pStyle w:val="ListNumber4"/>
      <w:lvlText w:val="(%1)"/>
      <w:lvlJc w:val="left"/>
      <w:pPr>
        <w:tabs>
          <w:tab w:val="num" w:pos="1560"/>
        </w:tabs>
        <w:ind w:left="1560" w:hanging="709"/>
      </w:pPr>
      <w:rPr>
        <w:rFonts w:cs="Times New Roman"/>
      </w:rPr>
    </w:lvl>
    <w:lvl w:ilvl="1">
      <w:start w:val="1"/>
      <w:numFmt w:val="lowerLetter"/>
      <w:pStyle w:val="ListNumber4Level2"/>
      <w:lvlText w:val="(%2)"/>
      <w:lvlJc w:val="left"/>
      <w:pPr>
        <w:tabs>
          <w:tab w:val="num" w:pos="2268"/>
        </w:tabs>
        <w:ind w:left="2268" w:hanging="708"/>
      </w:pPr>
      <w:rPr>
        <w:rFonts w:cs="Times New Roman"/>
      </w:rPr>
    </w:lvl>
    <w:lvl w:ilvl="2">
      <w:start w:val="1"/>
      <w:numFmt w:val="bullet"/>
      <w:pStyle w:val="ListNumber4Level3"/>
      <w:lvlText w:val="–"/>
      <w:lvlJc w:val="left"/>
      <w:pPr>
        <w:tabs>
          <w:tab w:val="num" w:pos="2977"/>
        </w:tabs>
        <w:ind w:left="2977" w:hanging="709"/>
      </w:pPr>
      <w:rPr>
        <w:rFonts w:ascii="Times New Roman" w:hAnsi="Times New Roman"/>
      </w:rPr>
    </w:lvl>
    <w:lvl w:ilvl="3">
      <w:start w:val="1"/>
      <w:numFmt w:val="bullet"/>
      <w:pStyle w:val="ListNumber4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8" w15:restartNumberingAfterBreak="0">
    <w:nsid w:val="565B278C"/>
    <w:multiLevelType w:val="hybridMultilevel"/>
    <w:tmpl w:val="4524ED8C"/>
    <w:lvl w:ilvl="0" w:tplc="EDFC8AFE">
      <w:start w:val="1"/>
      <w:numFmt w:val="bullet"/>
      <w:lvlText w:val="-"/>
      <w:lvlJc w:val="left"/>
      <w:pPr>
        <w:ind w:left="720" w:hanging="360"/>
      </w:pPr>
      <w:rPr>
        <w:rFonts w:ascii="Times New Roman" w:hAnsi="Times New Roman" w:hint="default"/>
      </w:rPr>
    </w:lvl>
    <w:lvl w:ilvl="1" w:tplc="94A05E8A">
      <w:start w:val="1"/>
      <w:numFmt w:val="bullet"/>
      <w:lvlText w:val="o"/>
      <w:lvlJc w:val="left"/>
      <w:pPr>
        <w:ind w:left="1440" w:hanging="360"/>
      </w:pPr>
      <w:rPr>
        <w:rFonts w:ascii="Courier New" w:hAnsi="Courier New" w:hint="default"/>
      </w:rPr>
    </w:lvl>
    <w:lvl w:ilvl="2" w:tplc="3EB07922">
      <w:start w:val="1"/>
      <w:numFmt w:val="bullet"/>
      <w:lvlText w:val=""/>
      <w:lvlJc w:val="left"/>
      <w:pPr>
        <w:ind w:left="2160" w:hanging="360"/>
      </w:pPr>
      <w:rPr>
        <w:rFonts w:ascii="Wingdings" w:hAnsi="Wingdings" w:hint="default"/>
      </w:rPr>
    </w:lvl>
    <w:lvl w:ilvl="3" w:tplc="B19E8102" w:tentative="1">
      <w:start w:val="1"/>
      <w:numFmt w:val="bullet"/>
      <w:lvlText w:val=""/>
      <w:lvlJc w:val="left"/>
      <w:pPr>
        <w:ind w:left="2880" w:hanging="360"/>
      </w:pPr>
      <w:rPr>
        <w:rFonts w:ascii="Symbol" w:hAnsi="Symbol" w:hint="default"/>
      </w:rPr>
    </w:lvl>
    <w:lvl w:ilvl="4" w:tplc="89643E18" w:tentative="1">
      <w:start w:val="1"/>
      <w:numFmt w:val="bullet"/>
      <w:lvlText w:val="o"/>
      <w:lvlJc w:val="left"/>
      <w:pPr>
        <w:ind w:left="3600" w:hanging="360"/>
      </w:pPr>
      <w:rPr>
        <w:rFonts w:ascii="Courier New" w:hAnsi="Courier New" w:hint="default"/>
      </w:rPr>
    </w:lvl>
    <w:lvl w:ilvl="5" w:tplc="798082A6" w:tentative="1">
      <w:start w:val="1"/>
      <w:numFmt w:val="bullet"/>
      <w:lvlText w:val=""/>
      <w:lvlJc w:val="left"/>
      <w:pPr>
        <w:ind w:left="4320" w:hanging="360"/>
      </w:pPr>
      <w:rPr>
        <w:rFonts w:ascii="Wingdings" w:hAnsi="Wingdings" w:hint="default"/>
      </w:rPr>
    </w:lvl>
    <w:lvl w:ilvl="6" w:tplc="819CD3C8" w:tentative="1">
      <w:start w:val="1"/>
      <w:numFmt w:val="bullet"/>
      <w:lvlText w:val=""/>
      <w:lvlJc w:val="left"/>
      <w:pPr>
        <w:ind w:left="5040" w:hanging="360"/>
      </w:pPr>
      <w:rPr>
        <w:rFonts w:ascii="Symbol" w:hAnsi="Symbol" w:hint="default"/>
      </w:rPr>
    </w:lvl>
    <w:lvl w:ilvl="7" w:tplc="3FFAAA26" w:tentative="1">
      <w:start w:val="1"/>
      <w:numFmt w:val="bullet"/>
      <w:lvlText w:val="o"/>
      <w:lvlJc w:val="left"/>
      <w:pPr>
        <w:ind w:left="5760" w:hanging="360"/>
      </w:pPr>
      <w:rPr>
        <w:rFonts w:ascii="Courier New" w:hAnsi="Courier New" w:hint="default"/>
      </w:rPr>
    </w:lvl>
    <w:lvl w:ilvl="8" w:tplc="1494DB68" w:tentative="1">
      <w:start w:val="1"/>
      <w:numFmt w:val="bullet"/>
      <w:lvlText w:val=""/>
      <w:lvlJc w:val="left"/>
      <w:pPr>
        <w:ind w:left="6480" w:hanging="360"/>
      </w:pPr>
      <w:rPr>
        <w:rFonts w:ascii="Wingdings" w:hAnsi="Wingdings" w:hint="default"/>
      </w:rPr>
    </w:lvl>
  </w:abstractNum>
  <w:abstractNum w:abstractNumId="39" w15:restartNumberingAfterBreak="0">
    <w:nsid w:val="59D16352"/>
    <w:multiLevelType w:val="multilevel"/>
    <w:tmpl w:val="322899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B0B0635"/>
    <w:multiLevelType w:val="singleLevel"/>
    <w:tmpl w:val="017E7CEE"/>
    <w:lvl w:ilvl="0">
      <w:start w:val="1"/>
      <w:numFmt w:val="bullet"/>
      <w:lvlRestart w:val="0"/>
      <w:pStyle w:val="ListBullet4"/>
      <w:lvlText w:val=""/>
      <w:lvlJc w:val="left"/>
      <w:pPr>
        <w:tabs>
          <w:tab w:val="num" w:pos="1134"/>
        </w:tabs>
        <w:ind w:left="1134" w:hanging="283"/>
      </w:pPr>
      <w:rPr>
        <w:rFonts w:ascii="Symbol" w:hAnsi="Symbol" w:hint="default"/>
      </w:rPr>
    </w:lvl>
  </w:abstractNum>
  <w:abstractNum w:abstractNumId="41"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42"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43"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4" w15:restartNumberingAfterBreak="0">
    <w:nsid w:val="5DF84969"/>
    <w:multiLevelType w:val="singleLevel"/>
    <w:tmpl w:val="1E12021A"/>
    <w:lvl w:ilvl="0">
      <w:start w:val="1"/>
      <w:numFmt w:val="bullet"/>
      <w:pStyle w:val="ListBullet"/>
      <w:lvlText w:val=""/>
      <w:lvlJc w:val="left"/>
      <w:pPr>
        <w:tabs>
          <w:tab w:val="num" w:pos="283"/>
        </w:tabs>
        <w:ind w:left="283" w:hanging="283"/>
      </w:pPr>
      <w:rPr>
        <w:rFonts w:ascii="Symbol" w:hAnsi="Symbol" w:hint="default"/>
      </w:rPr>
    </w:lvl>
  </w:abstractNum>
  <w:abstractNum w:abstractNumId="45" w15:restartNumberingAfterBreak="0">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decimal"/>
      <w:pStyle w:val="Heading5"/>
      <w:lvlText w:val="%1.%2.%3.%4.%5."/>
      <w:lvlJc w:val="left"/>
      <w:pPr>
        <w:tabs>
          <w:tab w:val="num" w:pos="1417"/>
        </w:tabs>
        <w:ind w:left="1417" w:hanging="1417"/>
      </w:pPr>
    </w:lvl>
    <w:lvl w:ilvl="5">
      <w:start w:val="1"/>
      <w:numFmt w:val="decimal"/>
      <w:pStyle w:val="Heading6"/>
      <w:lvlText w:val="%1.%2.%3.%4.%5.%6."/>
      <w:lvlJc w:val="left"/>
      <w:pPr>
        <w:tabs>
          <w:tab w:val="num" w:pos="1417"/>
        </w:tabs>
        <w:ind w:left="1417" w:hanging="1417"/>
      </w:pPr>
    </w:lvl>
    <w:lvl w:ilvl="6">
      <w:start w:val="1"/>
      <w:numFmt w:val="decimal"/>
      <w:pStyle w:val="Heading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47" w15:restartNumberingAfterBreak="0">
    <w:nsid w:val="71F06166"/>
    <w:multiLevelType w:val="multilevel"/>
    <w:tmpl w:val="C08066D2"/>
    <w:name w:val="0.6719891"/>
    <w:lvl w:ilvl="0">
      <w:start w:val="1"/>
      <w:numFmt w:val="decimal"/>
      <w:lvlRestart w:val="0"/>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cs="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73D73F7A"/>
    <w:multiLevelType w:val="singleLevel"/>
    <w:tmpl w:val="26365734"/>
    <w:lvl w:ilvl="0">
      <w:start w:val="1"/>
      <w:numFmt w:val="bullet"/>
      <w:pStyle w:val="ListBullet2"/>
      <w:lvlText w:val=""/>
      <w:lvlJc w:val="left"/>
      <w:pPr>
        <w:tabs>
          <w:tab w:val="num" w:pos="1134"/>
        </w:tabs>
        <w:ind w:left="1134" w:hanging="283"/>
      </w:pPr>
      <w:rPr>
        <w:rFonts w:ascii="Symbol" w:hAnsi="Symbol" w:hint="default"/>
      </w:rPr>
    </w:lvl>
  </w:abstractNum>
  <w:abstractNum w:abstractNumId="49" w15:restartNumberingAfterBreak="0">
    <w:nsid w:val="76BC5C11"/>
    <w:multiLevelType w:val="singleLevel"/>
    <w:tmpl w:val="E44CE82E"/>
    <w:lvl w:ilvl="0">
      <w:start w:val="1"/>
      <w:numFmt w:val="bullet"/>
      <w:pStyle w:val="ListBullet3"/>
      <w:lvlText w:val=""/>
      <w:lvlJc w:val="left"/>
      <w:pPr>
        <w:tabs>
          <w:tab w:val="num" w:pos="1134"/>
        </w:tabs>
        <w:ind w:left="1134" w:hanging="283"/>
      </w:pPr>
      <w:rPr>
        <w:rFonts w:ascii="Symbol" w:hAnsi="Symbol" w:hint="default"/>
      </w:rPr>
    </w:lvl>
  </w:abstractNum>
  <w:abstractNum w:abstractNumId="50"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0"/>
  </w:num>
  <w:num w:numId="2">
    <w:abstractNumId w:val="40"/>
  </w:num>
  <w:num w:numId="3">
    <w:abstractNumId w:val="19"/>
  </w:num>
  <w:num w:numId="4">
    <w:abstractNumId w:val="33"/>
  </w:num>
  <w:num w:numId="5">
    <w:abstractNumId w:val="32"/>
  </w:num>
  <w:num w:numId="6">
    <w:abstractNumId w:val="47"/>
  </w:num>
  <w:num w:numId="7">
    <w:abstractNumId w:val="44"/>
  </w:num>
  <w:num w:numId="8">
    <w:abstractNumId w:val="48"/>
  </w:num>
  <w:num w:numId="9">
    <w:abstractNumId w:val="49"/>
  </w:num>
  <w:num w:numId="10">
    <w:abstractNumId w:val="4"/>
  </w:num>
  <w:num w:numId="11">
    <w:abstractNumId w:val="22"/>
  </w:num>
  <w:num w:numId="12">
    <w:abstractNumId w:val="6"/>
  </w:num>
  <w:num w:numId="13">
    <w:abstractNumId w:val="23"/>
  </w:num>
  <w:num w:numId="14">
    <w:abstractNumId w:val="20"/>
  </w:num>
  <w:num w:numId="15">
    <w:abstractNumId w:val="36"/>
  </w:num>
  <w:num w:numId="16">
    <w:abstractNumId w:val="18"/>
  </w:num>
  <w:num w:numId="17">
    <w:abstractNumId w:val="25"/>
  </w:num>
  <w:num w:numId="18">
    <w:abstractNumId w:val="35"/>
  </w:num>
  <w:num w:numId="19">
    <w:abstractNumId w:val="39"/>
  </w:num>
  <w:num w:numId="20">
    <w:abstractNumId w:val="3"/>
  </w:num>
  <w:num w:numId="21">
    <w:abstractNumId w:val="13"/>
  </w:num>
  <w:num w:numId="22">
    <w:abstractNumId w:val="5"/>
  </w:num>
  <w:num w:numId="23">
    <w:abstractNumId w:val="7"/>
  </w:num>
  <w:num w:numId="24">
    <w:abstractNumId w:val="27"/>
  </w:num>
  <w:num w:numId="25">
    <w:abstractNumId w:val="24"/>
  </w:num>
  <w:num w:numId="26">
    <w:abstractNumId w:val="15"/>
  </w:num>
  <w:num w:numId="27">
    <w:abstractNumId w:val="14"/>
  </w:num>
  <w:num w:numId="28">
    <w:abstractNumId w:val="17"/>
    <w:lvlOverride w:ilvl="0">
      <w:startOverride w:val="1"/>
    </w:lvlOverride>
  </w:num>
  <w:num w:numId="29">
    <w:abstractNumId w:val="26"/>
    <w:lvlOverride w:ilvl="0">
      <w:startOverride w:val="1"/>
    </w:lvlOverride>
  </w:num>
  <w:num w:numId="30">
    <w:abstractNumId w:val="28"/>
    <w:lvlOverride w:ilvl="0">
      <w:startOverride w:val="1"/>
    </w:lvlOverride>
  </w:num>
  <w:num w:numId="31">
    <w:abstractNumId w:val="43"/>
    <w:lvlOverride w:ilvl="0">
      <w:startOverride w:val="1"/>
    </w:lvlOverride>
  </w:num>
  <w:num w:numId="32">
    <w:abstractNumId w:val="50"/>
    <w:lvlOverride w:ilvl="0">
      <w:startOverride w:val="1"/>
    </w:lvlOverride>
  </w:num>
  <w:num w:numId="33">
    <w:abstractNumId w:val="1"/>
  </w:num>
  <w:num w:numId="34">
    <w:abstractNumId w:val="38"/>
  </w:num>
  <w:num w:numId="35">
    <w:abstractNumId w:val="11"/>
  </w:num>
  <w:num w:numId="36">
    <w:abstractNumId w:val="43"/>
  </w:num>
  <w:num w:numId="37">
    <w:abstractNumId w:val="26"/>
  </w:num>
  <w:num w:numId="38">
    <w:abstractNumId w:val="46"/>
  </w:num>
  <w:num w:numId="39">
    <w:abstractNumId w:val="17"/>
  </w:num>
  <w:num w:numId="40">
    <w:abstractNumId w:val="28"/>
  </w:num>
  <w:num w:numId="41">
    <w:abstractNumId w:val="29"/>
  </w:num>
  <w:num w:numId="42">
    <w:abstractNumId w:val="12"/>
  </w:num>
  <w:num w:numId="43">
    <w:abstractNumId w:val="45"/>
  </w:num>
  <w:num w:numId="44">
    <w:abstractNumId w:val="8"/>
  </w:num>
  <w:num w:numId="45">
    <w:abstractNumId w:val="30"/>
  </w:num>
  <w:num w:numId="46">
    <w:abstractNumId w:val="41"/>
  </w:num>
  <w:num w:numId="47">
    <w:abstractNumId w:val="42"/>
  </w:num>
  <w:num w:numId="48">
    <w:abstractNumId w:val="16"/>
  </w:num>
  <w:num w:numId="49">
    <w:abstractNumId w:val="37"/>
  </w:num>
  <w:num w:numId="50">
    <w:abstractNumId w:val="50"/>
  </w:num>
  <w:num w:numId="51">
    <w:abstractNumId w:val="21"/>
  </w:num>
  <w:num w:numId="52">
    <w:abstractNumId w:val="31"/>
  </w:num>
  <w:num w:numId="53">
    <w:abstractNumId w:val="10"/>
  </w:num>
  <w:num w:numId="54">
    <w:abstractNumId w:val="2"/>
  </w:num>
  <w:num w:numId="55">
    <w:abstractNumId w:val="34"/>
  </w:num>
  <w:num w:numId="56">
    <w:abstractNumId w:val="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attachedTemplate r:id="rId1"/>
  <w:revisionView w:markup="0"/>
  <w:defaultTabStop w:val="720"/>
  <w:hyphenationZone w:val="425"/>
  <w:characterSpacingControl w:val="doNotCompress"/>
  <w:hdrShapeDefaults>
    <o:shapedefaults v:ext="edit" spidmax="2051"/>
  </w:hdrShapeDefaults>
  <w:footnotePr>
    <w:numRestart w:val="eachSec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R_RefLast" w:val="0"/>
    <w:docVar w:name="DQCDateTime" w:val="2025-12-14 21:33:27"/>
    <w:docVar w:name="DQCResult_Distribution" w:val="0;0"/>
    <w:docVar w:name="DQCResult_DocumentContent" w:val="0;0"/>
    <w:docVar w:name="DQCResult_DocumentSize" w:val="0;0"/>
    <w:docVar w:name="DQCResult_InvalidFootnotes" w:val="0;0"/>
    <w:docVar w:name="DQCResult_ModifiedMarkers" w:val="0;0"/>
    <w:docVar w:name="DQCResult_ModifiedNumbering" w:val="0;0"/>
    <w:docVar w:name="DQCResult_Objects" w:val="0;0"/>
    <w:docVar w:name="DQCResult_StructureCheck" w:val="0;0"/>
    <w:docVar w:name="DQCStatus" w:val="Yellow"/>
    <w:docVar w:name="DQCVersion" w:val="3"/>
    <w:docVar w:name="DQCWithWarnings" w:val="0"/>
    <w:docVar w:name="LW_CORRIGENDUM" w:val="&lt;UNUSED&gt;"/>
    <w:docVar w:name="LW_COVERPAGE_EXISTS" w:val="True"/>
    <w:docVar w:name="LW_COVERPAGE_GUID" w:val="1AB029CE-FFD4-4CAB-9845-F38D4213939D"/>
    <w:docVar w:name="LW_COVERPAGE_TYPE" w:val="1"/>
    <w:docVar w:name="LW_CreatedUtc" w:val="2025-11-19T07:30:21.1666865Z"/>
    <w:docVar w:name="LW_CROSSREFERENCE" w:val="{SWD(2025) 1055 final}"/>
    <w:docVar w:name="LW_DocType" w:val="COM"/>
    <w:docVar w:name="LW_EMISSION" w:val="16.12.2025"/>
    <w:docVar w:name="LW_EMISSION_ISODATE" w:val="2025-12-16"/>
    <w:docVar w:name="LW_EMISSION_LOCATION" w:val="STR"/>
    <w:docVar w:name="LW_EMISSION_PREFIX" w:val="Strasbourg, "/>
    <w:docVar w:name="LW_EMISSION_SUFFIX" w:val=" "/>
    <w:docVar w:name="LW_ID_DOCMODEL" w:val="SJ-023"/>
    <w:docVar w:name="LW_ID_DOCSIGNATURE" w:val="SJ-023"/>
    <w:docVar w:name="LW_ID_DOCSTRUCTURE" w:val="COM/PL/ORG"/>
    <w:docVar w:name="LW_ID_DOCTYPE" w:val="SJ-023"/>
    <w:docVar w:name="LW_ID_EXP.MOTIFS.NEW" w:val="EM_PL_"/>
    <w:docVar w:name="LW_ID_STATUT" w:val="SJ-023"/>
    <w:docVar w:name="LW_INTERETEEE.CP" w:val="(Text with EEA relevance)"/>
    <w:docVar w:name="LW_LANGUE" w:val="EN"/>
    <w:docVar w:name="LW_LEVEL_OF_SENSITIVITY" w:val="Standard treatment"/>
    <w:docVar w:name="LW_NOM.INST" w:val="EUROPEAN COMMISSION"/>
    <w:docVar w:name="LW_NOM.INST_JOINTDOC" w:val="&lt;EMPTY&gt;"/>
    <w:docVar w:name="LW_PART_NBR" w:val="1"/>
    <w:docVar w:name="LW_PART_NBR_TOTAL" w:val="1"/>
    <w:docVar w:name="LW_REF.II.NEW.CP" w:val="COD"/>
    <w:docVar w:name="LW_REF.II.NEW.CP_NUMBER" w:val="0406"/>
    <w:docVar w:name="LW_REF.II.NEW.CP_YEAR" w:val="2025"/>
    <w:docVar w:name="LW_REF.INST.NEW" w:val="COM"/>
    <w:docVar w:name="LW_REF.INST.NEW_ADOPTED" w:val="final"/>
    <w:docVar w:name="LW_REF.INST.NEW_TEXT" w:val="(2025) 102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TATUT.CP" w:val="Proposal for a"/>
    <w:docVar w:name="LW_SUPERTITRE" w:val="&lt;UNUSED&gt;"/>
    <w:docVar w:name="LW_TITRE.OBJ.CP" w:val="on establishing a framework of measures for strengthening Union\u8217?s biotechnology and biomanufacturing sectors particularly in the area of health and amending Regulations (EC) No 178/2002, (EC) No 1394/2007, (EU) No 536/2014, (EU) 2019/6, (EU) 2024/795 and (EU) 2024/1938 (European Biotech Act)"/>
    <w:docVar w:name="LW_TYPE.DOC.CP" w:val="REGULATION OF THE EUROPEAN PARLIAMENT AND OF THE COUNCIL"/>
    <w:docVar w:name="LwApiVersions" w:val="LW4CoDe 1.24.5.0; LW 9.2, Build 20251112"/>
  </w:docVars>
  <w:rsids>
    <w:rsidRoot w:val="002A2DB6"/>
    <w:rsid w:val="000000D0"/>
    <w:rsid w:val="000000ED"/>
    <w:rsid w:val="000001F0"/>
    <w:rsid w:val="000002E6"/>
    <w:rsid w:val="00000386"/>
    <w:rsid w:val="000003AE"/>
    <w:rsid w:val="00000416"/>
    <w:rsid w:val="000004F5"/>
    <w:rsid w:val="0000060E"/>
    <w:rsid w:val="00000771"/>
    <w:rsid w:val="000007C4"/>
    <w:rsid w:val="000008A4"/>
    <w:rsid w:val="00000989"/>
    <w:rsid w:val="00000B0C"/>
    <w:rsid w:val="00000B3E"/>
    <w:rsid w:val="00000BCD"/>
    <w:rsid w:val="0000114F"/>
    <w:rsid w:val="0000129D"/>
    <w:rsid w:val="000012C2"/>
    <w:rsid w:val="00001300"/>
    <w:rsid w:val="0000135C"/>
    <w:rsid w:val="0000138D"/>
    <w:rsid w:val="0000148E"/>
    <w:rsid w:val="00001490"/>
    <w:rsid w:val="000015DE"/>
    <w:rsid w:val="0000166F"/>
    <w:rsid w:val="000016D8"/>
    <w:rsid w:val="00001709"/>
    <w:rsid w:val="00001718"/>
    <w:rsid w:val="0000195A"/>
    <w:rsid w:val="00001B88"/>
    <w:rsid w:val="00001C81"/>
    <w:rsid w:val="00001C9D"/>
    <w:rsid w:val="00001D37"/>
    <w:rsid w:val="00001F7E"/>
    <w:rsid w:val="00001FCB"/>
    <w:rsid w:val="00002057"/>
    <w:rsid w:val="00002185"/>
    <w:rsid w:val="00002289"/>
    <w:rsid w:val="000023AC"/>
    <w:rsid w:val="00002531"/>
    <w:rsid w:val="0000253E"/>
    <w:rsid w:val="00002562"/>
    <w:rsid w:val="0000257C"/>
    <w:rsid w:val="0000279B"/>
    <w:rsid w:val="000027DD"/>
    <w:rsid w:val="0000281A"/>
    <w:rsid w:val="00002902"/>
    <w:rsid w:val="00002927"/>
    <w:rsid w:val="00002ABD"/>
    <w:rsid w:val="00002AE6"/>
    <w:rsid w:val="00002B17"/>
    <w:rsid w:val="00002B6D"/>
    <w:rsid w:val="00002C03"/>
    <w:rsid w:val="00002C32"/>
    <w:rsid w:val="00002DA2"/>
    <w:rsid w:val="00002DC8"/>
    <w:rsid w:val="00002E26"/>
    <w:rsid w:val="00002E5F"/>
    <w:rsid w:val="000030B7"/>
    <w:rsid w:val="00003123"/>
    <w:rsid w:val="000031E1"/>
    <w:rsid w:val="0000349C"/>
    <w:rsid w:val="000034F1"/>
    <w:rsid w:val="00003AA8"/>
    <w:rsid w:val="00003B1F"/>
    <w:rsid w:val="00003CBA"/>
    <w:rsid w:val="00003E34"/>
    <w:rsid w:val="00003E77"/>
    <w:rsid w:val="00003E97"/>
    <w:rsid w:val="00003F80"/>
    <w:rsid w:val="00003FCD"/>
    <w:rsid w:val="000041BD"/>
    <w:rsid w:val="000043CB"/>
    <w:rsid w:val="00004472"/>
    <w:rsid w:val="00004793"/>
    <w:rsid w:val="000049A8"/>
    <w:rsid w:val="00004A6F"/>
    <w:rsid w:val="00004C60"/>
    <w:rsid w:val="00004CE7"/>
    <w:rsid w:val="00004EB7"/>
    <w:rsid w:val="00004EB9"/>
    <w:rsid w:val="0000507E"/>
    <w:rsid w:val="00005104"/>
    <w:rsid w:val="00005170"/>
    <w:rsid w:val="000051B9"/>
    <w:rsid w:val="00005237"/>
    <w:rsid w:val="000053AF"/>
    <w:rsid w:val="00005491"/>
    <w:rsid w:val="000054A9"/>
    <w:rsid w:val="00005636"/>
    <w:rsid w:val="0000567C"/>
    <w:rsid w:val="000056CC"/>
    <w:rsid w:val="00005749"/>
    <w:rsid w:val="000058C8"/>
    <w:rsid w:val="00005912"/>
    <w:rsid w:val="00005948"/>
    <w:rsid w:val="00005A5D"/>
    <w:rsid w:val="00005B2F"/>
    <w:rsid w:val="00005C94"/>
    <w:rsid w:val="00005DEB"/>
    <w:rsid w:val="00005F16"/>
    <w:rsid w:val="000060A8"/>
    <w:rsid w:val="0000618C"/>
    <w:rsid w:val="00006213"/>
    <w:rsid w:val="0000622A"/>
    <w:rsid w:val="000063A3"/>
    <w:rsid w:val="000063D1"/>
    <w:rsid w:val="0000640E"/>
    <w:rsid w:val="00006468"/>
    <w:rsid w:val="000064F0"/>
    <w:rsid w:val="00006545"/>
    <w:rsid w:val="00006611"/>
    <w:rsid w:val="00006634"/>
    <w:rsid w:val="0000664B"/>
    <w:rsid w:val="0000672A"/>
    <w:rsid w:val="00006839"/>
    <w:rsid w:val="00006845"/>
    <w:rsid w:val="00006852"/>
    <w:rsid w:val="00006986"/>
    <w:rsid w:val="000069AC"/>
    <w:rsid w:val="00006D6E"/>
    <w:rsid w:val="00006E1B"/>
    <w:rsid w:val="00006E9C"/>
    <w:rsid w:val="00006EE5"/>
    <w:rsid w:val="00006FD7"/>
    <w:rsid w:val="0000701B"/>
    <w:rsid w:val="000070F6"/>
    <w:rsid w:val="00007277"/>
    <w:rsid w:val="000073CF"/>
    <w:rsid w:val="0000749F"/>
    <w:rsid w:val="0000756D"/>
    <w:rsid w:val="0000758D"/>
    <w:rsid w:val="000078D5"/>
    <w:rsid w:val="000079F1"/>
    <w:rsid w:val="00007AA8"/>
    <w:rsid w:val="00007BC9"/>
    <w:rsid w:val="00007BFD"/>
    <w:rsid w:val="00007C9D"/>
    <w:rsid w:val="00007CD6"/>
    <w:rsid w:val="00007DAF"/>
    <w:rsid w:val="00007E1D"/>
    <w:rsid w:val="00007FD8"/>
    <w:rsid w:val="000100B3"/>
    <w:rsid w:val="000102F4"/>
    <w:rsid w:val="00010358"/>
    <w:rsid w:val="0001055C"/>
    <w:rsid w:val="00010566"/>
    <w:rsid w:val="000106D6"/>
    <w:rsid w:val="0001080F"/>
    <w:rsid w:val="0001081A"/>
    <w:rsid w:val="0001086F"/>
    <w:rsid w:val="0001088E"/>
    <w:rsid w:val="000108F7"/>
    <w:rsid w:val="00010973"/>
    <w:rsid w:val="000109A4"/>
    <w:rsid w:val="00010A51"/>
    <w:rsid w:val="00010B8F"/>
    <w:rsid w:val="00010BD5"/>
    <w:rsid w:val="00010BE6"/>
    <w:rsid w:val="00010C99"/>
    <w:rsid w:val="00010E1E"/>
    <w:rsid w:val="00010E31"/>
    <w:rsid w:val="00010E4E"/>
    <w:rsid w:val="00010E95"/>
    <w:rsid w:val="00010F3E"/>
    <w:rsid w:val="00010F64"/>
    <w:rsid w:val="00010F6E"/>
    <w:rsid w:val="00010FFD"/>
    <w:rsid w:val="00011016"/>
    <w:rsid w:val="0001108A"/>
    <w:rsid w:val="00011159"/>
    <w:rsid w:val="000111DD"/>
    <w:rsid w:val="0001129B"/>
    <w:rsid w:val="000114DC"/>
    <w:rsid w:val="0001151E"/>
    <w:rsid w:val="000115E2"/>
    <w:rsid w:val="0001160D"/>
    <w:rsid w:val="00011653"/>
    <w:rsid w:val="00011737"/>
    <w:rsid w:val="000117ED"/>
    <w:rsid w:val="0001182E"/>
    <w:rsid w:val="00011AC5"/>
    <w:rsid w:val="00011B06"/>
    <w:rsid w:val="00011B0A"/>
    <w:rsid w:val="00011C5B"/>
    <w:rsid w:val="00011D5D"/>
    <w:rsid w:val="00011D84"/>
    <w:rsid w:val="00011F2B"/>
    <w:rsid w:val="00011FD2"/>
    <w:rsid w:val="00011FFD"/>
    <w:rsid w:val="0001202E"/>
    <w:rsid w:val="00012161"/>
    <w:rsid w:val="0001221A"/>
    <w:rsid w:val="00012230"/>
    <w:rsid w:val="000122F7"/>
    <w:rsid w:val="00012368"/>
    <w:rsid w:val="0001236F"/>
    <w:rsid w:val="00012488"/>
    <w:rsid w:val="0001254B"/>
    <w:rsid w:val="00012771"/>
    <w:rsid w:val="000129A4"/>
    <w:rsid w:val="00012B13"/>
    <w:rsid w:val="00012BA3"/>
    <w:rsid w:val="00012BA7"/>
    <w:rsid w:val="00012BC7"/>
    <w:rsid w:val="00012CD5"/>
    <w:rsid w:val="00012E54"/>
    <w:rsid w:val="00012E82"/>
    <w:rsid w:val="00012EDD"/>
    <w:rsid w:val="00013107"/>
    <w:rsid w:val="00013193"/>
    <w:rsid w:val="00013244"/>
    <w:rsid w:val="00013400"/>
    <w:rsid w:val="0001346A"/>
    <w:rsid w:val="00013506"/>
    <w:rsid w:val="00013708"/>
    <w:rsid w:val="0001382B"/>
    <w:rsid w:val="000138CD"/>
    <w:rsid w:val="00013933"/>
    <w:rsid w:val="000139D0"/>
    <w:rsid w:val="00013AA8"/>
    <w:rsid w:val="00013B38"/>
    <w:rsid w:val="00013BF5"/>
    <w:rsid w:val="00013C07"/>
    <w:rsid w:val="00013C54"/>
    <w:rsid w:val="00013CDE"/>
    <w:rsid w:val="00013E1B"/>
    <w:rsid w:val="00013F08"/>
    <w:rsid w:val="00013F24"/>
    <w:rsid w:val="00013FF0"/>
    <w:rsid w:val="0001405B"/>
    <w:rsid w:val="000140E4"/>
    <w:rsid w:val="000142BF"/>
    <w:rsid w:val="00014454"/>
    <w:rsid w:val="0001445B"/>
    <w:rsid w:val="00014565"/>
    <w:rsid w:val="0001457C"/>
    <w:rsid w:val="000146C4"/>
    <w:rsid w:val="00014755"/>
    <w:rsid w:val="000147EE"/>
    <w:rsid w:val="000147FD"/>
    <w:rsid w:val="000149E5"/>
    <w:rsid w:val="00014B94"/>
    <w:rsid w:val="00014C37"/>
    <w:rsid w:val="00014CAC"/>
    <w:rsid w:val="00014CCE"/>
    <w:rsid w:val="00014D65"/>
    <w:rsid w:val="00014DC8"/>
    <w:rsid w:val="00014F0E"/>
    <w:rsid w:val="00014FA0"/>
    <w:rsid w:val="00014FF4"/>
    <w:rsid w:val="00014FFB"/>
    <w:rsid w:val="0001509B"/>
    <w:rsid w:val="0001526A"/>
    <w:rsid w:val="00015349"/>
    <w:rsid w:val="0001536B"/>
    <w:rsid w:val="00015468"/>
    <w:rsid w:val="00015481"/>
    <w:rsid w:val="00015590"/>
    <w:rsid w:val="00015730"/>
    <w:rsid w:val="000157F3"/>
    <w:rsid w:val="00015AA5"/>
    <w:rsid w:val="00015AE5"/>
    <w:rsid w:val="00015AED"/>
    <w:rsid w:val="00015B22"/>
    <w:rsid w:val="00015E31"/>
    <w:rsid w:val="00015EB6"/>
    <w:rsid w:val="00015EC7"/>
    <w:rsid w:val="00015F83"/>
    <w:rsid w:val="00016344"/>
    <w:rsid w:val="00016504"/>
    <w:rsid w:val="00016585"/>
    <w:rsid w:val="0001660E"/>
    <w:rsid w:val="0001664A"/>
    <w:rsid w:val="00016806"/>
    <w:rsid w:val="0001683B"/>
    <w:rsid w:val="0001686F"/>
    <w:rsid w:val="000169C7"/>
    <w:rsid w:val="00016AEC"/>
    <w:rsid w:val="00016BB6"/>
    <w:rsid w:val="00016E50"/>
    <w:rsid w:val="00016E9A"/>
    <w:rsid w:val="00016FF9"/>
    <w:rsid w:val="00017038"/>
    <w:rsid w:val="000171C5"/>
    <w:rsid w:val="0001721F"/>
    <w:rsid w:val="00017313"/>
    <w:rsid w:val="00017377"/>
    <w:rsid w:val="00017489"/>
    <w:rsid w:val="0001763A"/>
    <w:rsid w:val="00017658"/>
    <w:rsid w:val="00017729"/>
    <w:rsid w:val="000177B9"/>
    <w:rsid w:val="0001782C"/>
    <w:rsid w:val="00017875"/>
    <w:rsid w:val="000179FB"/>
    <w:rsid w:val="00017ACD"/>
    <w:rsid w:val="00017B1E"/>
    <w:rsid w:val="00017CE5"/>
    <w:rsid w:val="00017DA4"/>
    <w:rsid w:val="00017E43"/>
    <w:rsid w:val="00017F40"/>
    <w:rsid w:val="000200F6"/>
    <w:rsid w:val="0002020D"/>
    <w:rsid w:val="00020244"/>
    <w:rsid w:val="0002059C"/>
    <w:rsid w:val="0002078E"/>
    <w:rsid w:val="000207CF"/>
    <w:rsid w:val="000207ED"/>
    <w:rsid w:val="00020961"/>
    <w:rsid w:val="00020A80"/>
    <w:rsid w:val="00020D81"/>
    <w:rsid w:val="00020FD7"/>
    <w:rsid w:val="0002106C"/>
    <w:rsid w:val="000210E0"/>
    <w:rsid w:val="00021136"/>
    <w:rsid w:val="0002131A"/>
    <w:rsid w:val="000214A5"/>
    <w:rsid w:val="000214C4"/>
    <w:rsid w:val="00021630"/>
    <w:rsid w:val="0002163A"/>
    <w:rsid w:val="00021716"/>
    <w:rsid w:val="000219B2"/>
    <w:rsid w:val="00021DAB"/>
    <w:rsid w:val="00021DD5"/>
    <w:rsid w:val="0002220B"/>
    <w:rsid w:val="0002232F"/>
    <w:rsid w:val="00022353"/>
    <w:rsid w:val="000223CD"/>
    <w:rsid w:val="000223FF"/>
    <w:rsid w:val="00022635"/>
    <w:rsid w:val="0002269E"/>
    <w:rsid w:val="0002270C"/>
    <w:rsid w:val="00022821"/>
    <w:rsid w:val="000228A4"/>
    <w:rsid w:val="000228AC"/>
    <w:rsid w:val="000228E9"/>
    <w:rsid w:val="00022B41"/>
    <w:rsid w:val="00022C01"/>
    <w:rsid w:val="00022C58"/>
    <w:rsid w:val="00022C7D"/>
    <w:rsid w:val="00022C8A"/>
    <w:rsid w:val="00022CC5"/>
    <w:rsid w:val="00022D55"/>
    <w:rsid w:val="00022DE7"/>
    <w:rsid w:val="00022EB7"/>
    <w:rsid w:val="00022EF5"/>
    <w:rsid w:val="00022FA2"/>
    <w:rsid w:val="00023061"/>
    <w:rsid w:val="0002309A"/>
    <w:rsid w:val="00023190"/>
    <w:rsid w:val="000231A1"/>
    <w:rsid w:val="000231DA"/>
    <w:rsid w:val="00023276"/>
    <w:rsid w:val="000232B1"/>
    <w:rsid w:val="000232F7"/>
    <w:rsid w:val="000233CD"/>
    <w:rsid w:val="000233EF"/>
    <w:rsid w:val="00023489"/>
    <w:rsid w:val="00023502"/>
    <w:rsid w:val="000235BF"/>
    <w:rsid w:val="0002370E"/>
    <w:rsid w:val="0002379D"/>
    <w:rsid w:val="00023814"/>
    <w:rsid w:val="0002392C"/>
    <w:rsid w:val="00023ACD"/>
    <w:rsid w:val="00023B0F"/>
    <w:rsid w:val="00023BE3"/>
    <w:rsid w:val="00023D63"/>
    <w:rsid w:val="00023E80"/>
    <w:rsid w:val="00023E97"/>
    <w:rsid w:val="00023F60"/>
    <w:rsid w:val="0002416D"/>
    <w:rsid w:val="00024316"/>
    <w:rsid w:val="00024386"/>
    <w:rsid w:val="000243FC"/>
    <w:rsid w:val="000244B9"/>
    <w:rsid w:val="00024667"/>
    <w:rsid w:val="0002473F"/>
    <w:rsid w:val="000247F8"/>
    <w:rsid w:val="00024885"/>
    <w:rsid w:val="0002494E"/>
    <w:rsid w:val="00024A98"/>
    <w:rsid w:val="00024B6D"/>
    <w:rsid w:val="00024BC1"/>
    <w:rsid w:val="00024C3B"/>
    <w:rsid w:val="00024C58"/>
    <w:rsid w:val="00024FD2"/>
    <w:rsid w:val="00025105"/>
    <w:rsid w:val="00025190"/>
    <w:rsid w:val="00025423"/>
    <w:rsid w:val="00025453"/>
    <w:rsid w:val="0002558A"/>
    <w:rsid w:val="0002559D"/>
    <w:rsid w:val="000255FC"/>
    <w:rsid w:val="00025620"/>
    <w:rsid w:val="00025664"/>
    <w:rsid w:val="000256D3"/>
    <w:rsid w:val="00025755"/>
    <w:rsid w:val="000257C3"/>
    <w:rsid w:val="000257DC"/>
    <w:rsid w:val="00025831"/>
    <w:rsid w:val="00025A30"/>
    <w:rsid w:val="00025A42"/>
    <w:rsid w:val="00025A8F"/>
    <w:rsid w:val="00025A96"/>
    <w:rsid w:val="00025E3A"/>
    <w:rsid w:val="00025E5C"/>
    <w:rsid w:val="00025F8A"/>
    <w:rsid w:val="00025FA7"/>
    <w:rsid w:val="000260E3"/>
    <w:rsid w:val="0002619E"/>
    <w:rsid w:val="00026263"/>
    <w:rsid w:val="0002630F"/>
    <w:rsid w:val="00026336"/>
    <w:rsid w:val="000263EA"/>
    <w:rsid w:val="000264E1"/>
    <w:rsid w:val="000264E3"/>
    <w:rsid w:val="000264EA"/>
    <w:rsid w:val="000265EC"/>
    <w:rsid w:val="0002669B"/>
    <w:rsid w:val="000266FD"/>
    <w:rsid w:val="0002673B"/>
    <w:rsid w:val="000268ED"/>
    <w:rsid w:val="000269F1"/>
    <w:rsid w:val="00026A0A"/>
    <w:rsid w:val="00026C03"/>
    <w:rsid w:val="00026C7E"/>
    <w:rsid w:val="00026D92"/>
    <w:rsid w:val="00026DAC"/>
    <w:rsid w:val="00026E8E"/>
    <w:rsid w:val="00026EB2"/>
    <w:rsid w:val="00026F48"/>
    <w:rsid w:val="00026F75"/>
    <w:rsid w:val="00026FDF"/>
    <w:rsid w:val="00027042"/>
    <w:rsid w:val="0002704A"/>
    <w:rsid w:val="0002712E"/>
    <w:rsid w:val="0002718C"/>
    <w:rsid w:val="0002734F"/>
    <w:rsid w:val="00027366"/>
    <w:rsid w:val="0002752E"/>
    <w:rsid w:val="00027649"/>
    <w:rsid w:val="00027749"/>
    <w:rsid w:val="000277EA"/>
    <w:rsid w:val="00027848"/>
    <w:rsid w:val="0002784B"/>
    <w:rsid w:val="00027891"/>
    <w:rsid w:val="000278BE"/>
    <w:rsid w:val="00027AB5"/>
    <w:rsid w:val="00027B20"/>
    <w:rsid w:val="00027D0B"/>
    <w:rsid w:val="00027EC5"/>
    <w:rsid w:val="00027EFD"/>
    <w:rsid w:val="0002F946"/>
    <w:rsid w:val="00030019"/>
    <w:rsid w:val="00030068"/>
    <w:rsid w:val="000301D1"/>
    <w:rsid w:val="000301EC"/>
    <w:rsid w:val="00030287"/>
    <w:rsid w:val="00030359"/>
    <w:rsid w:val="0003036E"/>
    <w:rsid w:val="000304A1"/>
    <w:rsid w:val="0003056F"/>
    <w:rsid w:val="000305AA"/>
    <w:rsid w:val="000305C4"/>
    <w:rsid w:val="000307A8"/>
    <w:rsid w:val="000309C1"/>
    <w:rsid w:val="000309D5"/>
    <w:rsid w:val="00030A70"/>
    <w:rsid w:val="00030A79"/>
    <w:rsid w:val="00030D17"/>
    <w:rsid w:val="00030D52"/>
    <w:rsid w:val="00030E58"/>
    <w:rsid w:val="00030ED6"/>
    <w:rsid w:val="00030F1E"/>
    <w:rsid w:val="00030FE3"/>
    <w:rsid w:val="00030FFE"/>
    <w:rsid w:val="00031015"/>
    <w:rsid w:val="0003108E"/>
    <w:rsid w:val="000310A7"/>
    <w:rsid w:val="0003111B"/>
    <w:rsid w:val="000311EE"/>
    <w:rsid w:val="000312BD"/>
    <w:rsid w:val="00031524"/>
    <w:rsid w:val="00031562"/>
    <w:rsid w:val="000315D9"/>
    <w:rsid w:val="0003176B"/>
    <w:rsid w:val="000317B0"/>
    <w:rsid w:val="00031827"/>
    <w:rsid w:val="00031829"/>
    <w:rsid w:val="00031859"/>
    <w:rsid w:val="0003194F"/>
    <w:rsid w:val="00031977"/>
    <w:rsid w:val="000319C0"/>
    <w:rsid w:val="00031B09"/>
    <w:rsid w:val="00031B12"/>
    <w:rsid w:val="00031C9F"/>
    <w:rsid w:val="00031D89"/>
    <w:rsid w:val="00031DFD"/>
    <w:rsid w:val="00031F4C"/>
    <w:rsid w:val="00031FD5"/>
    <w:rsid w:val="00032014"/>
    <w:rsid w:val="0003208C"/>
    <w:rsid w:val="0003212A"/>
    <w:rsid w:val="0003215D"/>
    <w:rsid w:val="000321EF"/>
    <w:rsid w:val="0003227E"/>
    <w:rsid w:val="00032290"/>
    <w:rsid w:val="000322DA"/>
    <w:rsid w:val="0003246A"/>
    <w:rsid w:val="00032477"/>
    <w:rsid w:val="000324E1"/>
    <w:rsid w:val="00032512"/>
    <w:rsid w:val="0003267A"/>
    <w:rsid w:val="00032686"/>
    <w:rsid w:val="000326AB"/>
    <w:rsid w:val="0003287A"/>
    <w:rsid w:val="00032A1F"/>
    <w:rsid w:val="00032A26"/>
    <w:rsid w:val="00032BFF"/>
    <w:rsid w:val="00032CEA"/>
    <w:rsid w:val="00032D07"/>
    <w:rsid w:val="00032E50"/>
    <w:rsid w:val="00033148"/>
    <w:rsid w:val="0003324C"/>
    <w:rsid w:val="00033366"/>
    <w:rsid w:val="00033591"/>
    <w:rsid w:val="000336EF"/>
    <w:rsid w:val="0003372D"/>
    <w:rsid w:val="00033795"/>
    <w:rsid w:val="000337BF"/>
    <w:rsid w:val="00033837"/>
    <w:rsid w:val="0003390B"/>
    <w:rsid w:val="00033980"/>
    <w:rsid w:val="000339C4"/>
    <w:rsid w:val="00033A58"/>
    <w:rsid w:val="00033ACF"/>
    <w:rsid w:val="00033C1D"/>
    <w:rsid w:val="00033CE0"/>
    <w:rsid w:val="00033D50"/>
    <w:rsid w:val="00033D61"/>
    <w:rsid w:val="00033D96"/>
    <w:rsid w:val="00033DB8"/>
    <w:rsid w:val="00033E1C"/>
    <w:rsid w:val="00033EB2"/>
    <w:rsid w:val="00033F8E"/>
    <w:rsid w:val="00033F92"/>
    <w:rsid w:val="00033F9A"/>
    <w:rsid w:val="0003418E"/>
    <w:rsid w:val="0003420D"/>
    <w:rsid w:val="00034217"/>
    <w:rsid w:val="00034396"/>
    <w:rsid w:val="0003439B"/>
    <w:rsid w:val="000343D1"/>
    <w:rsid w:val="000344EA"/>
    <w:rsid w:val="00034531"/>
    <w:rsid w:val="0003462D"/>
    <w:rsid w:val="000348B4"/>
    <w:rsid w:val="000348C2"/>
    <w:rsid w:val="000348C3"/>
    <w:rsid w:val="0003493E"/>
    <w:rsid w:val="00034B25"/>
    <w:rsid w:val="00034C33"/>
    <w:rsid w:val="00034D9B"/>
    <w:rsid w:val="00034DA0"/>
    <w:rsid w:val="00034FE1"/>
    <w:rsid w:val="000352C3"/>
    <w:rsid w:val="00035413"/>
    <w:rsid w:val="000354BA"/>
    <w:rsid w:val="00035736"/>
    <w:rsid w:val="000357BC"/>
    <w:rsid w:val="000357DA"/>
    <w:rsid w:val="00035801"/>
    <w:rsid w:val="000359B3"/>
    <w:rsid w:val="00035A37"/>
    <w:rsid w:val="00035A41"/>
    <w:rsid w:val="00035B6F"/>
    <w:rsid w:val="00035C15"/>
    <w:rsid w:val="00035D81"/>
    <w:rsid w:val="00036043"/>
    <w:rsid w:val="0003613F"/>
    <w:rsid w:val="0003617F"/>
    <w:rsid w:val="000361EE"/>
    <w:rsid w:val="0003624E"/>
    <w:rsid w:val="000362D2"/>
    <w:rsid w:val="000362E4"/>
    <w:rsid w:val="0003638B"/>
    <w:rsid w:val="000363C4"/>
    <w:rsid w:val="00036522"/>
    <w:rsid w:val="00036523"/>
    <w:rsid w:val="0003655A"/>
    <w:rsid w:val="0003656B"/>
    <w:rsid w:val="000369BB"/>
    <w:rsid w:val="000369BE"/>
    <w:rsid w:val="00036AFA"/>
    <w:rsid w:val="00036B5D"/>
    <w:rsid w:val="00036B8B"/>
    <w:rsid w:val="00036C52"/>
    <w:rsid w:val="00036CB8"/>
    <w:rsid w:val="00036D53"/>
    <w:rsid w:val="00036EFF"/>
    <w:rsid w:val="00036F1E"/>
    <w:rsid w:val="00036FE6"/>
    <w:rsid w:val="0003707F"/>
    <w:rsid w:val="00037382"/>
    <w:rsid w:val="000373E7"/>
    <w:rsid w:val="000374A3"/>
    <w:rsid w:val="0003755E"/>
    <w:rsid w:val="000376DA"/>
    <w:rsid w:val="000377C2"/>
    <w:rsid w:val="000377C3"/>
    <w:rsid w:val="000378B5"/>
    <w:rsid w:val="00037AFC"/>
    <w:rsid w:val="00037BB0"/>
    <w:rsid w:val="00037CA2"/>
    <w:rsid w:val="00037CEE"/>
    <w:rsid w:val="00037DAD"/>
    <w:rsid w:val="00037F29"/>
    <w:rsid w:val="00037F68"/>
    <w:rsid w:val="00037F78"/>
    <w:rsid w:val="00037FD7"/>
    <w:rsid w:val="0004002E"/>
    <w:rsid w:val="00040031"/>
    <w:rsid w:val="000400A1"/>
    <w:rsid w:val="000400D1"/>
    <w:rsid w:val="00040117"/>
    <w:rsid w:val="000401AE"/>
    <w:rsid w:val="000401E9"/>
    <w:rsid w:val="00040387"/>
    <w:rsid w:val="0004047B"/>
    <w:rsid w:val="00040682"/>
    <w:rsid w:val="0004068A"/>
    <w:rsid w:val="000406C7"/>
    <w:rsid w:val="000407AE"/>
    <w:rsid w:val="000407B5"/>
    <w:rsid w:val="0004080A"/>
    <w:rsid w:val="0004088B"/>
    <w:rsid w:val="00040B0B"/>
    <w:rsid w:val="00040B89"/>
    <w:rsid w:val="00040BAE"/>
    <w:rsid w:val="00040C41"/>
    <w:rsid w:val="00040D02"/>
    <w:rsid w:val="00040D17"/>
    <w:rsid w:val="00040D94"/>
    <w:rsid w:val="0004110B"/>
    <w:rsid w:val="000411F3"/>
    <w:rsid w:val="0004121D"/>
    <w:rsid w:val="00041351"/>
    <w:rsid w:val="00041394"/>
    <w:rsid w:val="00041518"/>
    <w:rsid w:val="00041841"/>
    <w:rsid w:val="0004187B"/>
    <w:rsid w:val="000418B1"/>
    <w:rsid w:val="0004194B"/>
    <w:rsid w:val="0004196E"/>
    <w:rsid w:val="000419CF"/>
    <w:rsid w:val="000419D0"/>
    <w:rsid w:val="00041C40"/>
    <w:rsid w:val="00041C89"/>
    <w:rsid w:val="00041C8A"/>
    <w:rsid w:val="00041E48"/>
    <w:rsid w:val="00041EF0"/>
    <w:rsid w:val="00041F47"/>
    <w:rsid w:val="000420CC"/>
    <w:rsid w:val="000421D2"/>
    <w:rsid w:val="00042207"/>
    <w:rsid w:val="0004222D"/>
    <w:rsid w:val="00042467"/>
    <w:rsid w:val="00042592"/>
    <w:rsid w:val="00042B62"/>
    <w:rsid w:val="00042C00"/>
    <w:rsid w:val="00042CCE"/>
    <w:rsid w:val="00042E84"/>
    <w:rsid w:val="00042EC5"/>
    <w:rsid w:val="00042F6A"/>
    <w:rsid w:val="00043077"/>
    <w:rsid w:val="0004310C"/>
    <w:rsid w:val="0004339D"/>
    <w:rsid w:val="0004341E"/>
    <w:rsid w:val="00043459"/>
    <w:rsid w:val="00043490"/>
    <w:rsid w:val="0004382E"/>
    <w:rsid w:val="0004383B"/>
    <w:rsid w:val="0004386C"/>
    <w:rsid w:val="000438BF"/>
    <w:rsid w:val="000438E0"/>
    <w:rsid w:val="00043921"/>
    <w:rsid w:val="00043A60"/>
    <w:rsid w:val="00043D6E"/>
    <w:rsid w:val="00043E00"/>
    <w:rsid w:val="00043E75"/>
    <w:rsid w:val="00043F3C"/>
    <w:rsid w:val="00044044"/>
    <w:rsid w:val="0004410D"/>
    <w:rsid w:val="000441C1"/>
    <w:rsid w:val="000442C5"/>
    <w:rsid w:val="00044362"/>
    <w:rsid w:val="0004444C"/>
    <w:rsid w:val="00044577"/>
    <w:rsid w:val="00044597"/>
    <w:rsid w:val="0004462F"/>
    <w:rsid w:val="000446A0"/>
    <w:rsid w:val="00044700"/>
    <w:rsid w:val="00044747"/>
    <w:rsid w:val="0004480C"/>
    <w:rsid w:val="000449FD"/>
    <w:rsid w:val="00044B46"/>
    <w:rsid w:val="00044B50"/>
    <w:rsid w:val="00044C09"/>
    <w:rsid w:val="00044C47"/>
    <w:rsid w:val="00044C7A"/>
    <w:rsid w:val="00044D4D"/>
    <w:rsid w:val="00044F80"/>
    <w:rsid w:val="00044FC0"/>
    <w:rsid w:val="00044FD1"/>
    <w:rsid w:val="00045008"/>
    <w:rsid w:val="0004515C"/>
    <w:rsid w:val="0004539D"/>
    <w:rsid w:val="000453F2"/>
    <w:rsid w:val="0004556A"/>
    <w:rsid w:val="00045666"/>
    <w:rsid w:val="0004569B"/>
    <w:rsid w:val="00045772"/>
    <w:rsid w:val="000457F9"/>
    <w:rsid w:val="000458AC"/>
    <w:rsid w:val="0004592C"/>
    <w:rsid w:val="000459A6"/>
    <w:rsid w:val="000459B8"/>
    <w:rsid w:val="000459BD"/>
    <w:rsid w:val="00045AD7"/>
    <w:rsid w:val="00045BA3"/>
    <w:rsid w:val="00045E0D"/>
    <w:rsid w:val="00045E4D"/>
    <w:rsid w:val="00045E75"/>
    <w:rsid w:val="00045EB3"/>
    <w:rsid w:val="00045EE4"/>
    <w:rsid w:val="00045F11"/>
    <w:rsid w:val="00045FC1"/>
    <w:rsid w:val="00045FCF"/>
    <w:rsid w:val="00046055"/>
    <w:rsid w:val="00046069"/>
    <w:rsid w:val="000460D8"/>
    <w:rsid w:val="0004622C"/>
    <w:rsid w:val="00046232"/>
    <w:rsid w:val="0004627B"/>
    <w:rsid w:val="00046392"/>
    <w:rsid w:val="0004644D"/>
    <w:rsid w:val="000464F9"/>
    <w:rsid w:val="000465B1"/>
    <w:rsid w:val="0004660A"/>
    <w:rsid w:val="00046639"/>
    <w:rsid w:val="00046886"/>
    <w:rsid w:val="0004693C"/>
    <w:rsid w:val="00046A8D"/>
    <w:rsid w:val="00046B04"/>
    <w:rsid w:val="00046B56"/>
    <w:rsid w:val="00046C6A"/>
    <w:rsid w:val="00046CE5"/>
    <w:rsid w:val="00046DA5"/>
    <w:rsid w:val="00046F60"/>
    <w:rsid w:val="00046FAE"/>
    <w:rsid w:val="00047035"/>
    <w:rsid w:val="00047167"/>
    <w:rsid w:val="0004719B"/>
    <w:rsid w:val="0004722D"/>
    <w:rsid w:val="000472A8"/>
    <w:rsid w:val="00047365"/>
    <w:rsid w:val="00047422"/>
    <w:rsid w:val="00047641"/>
    <w:rsid w:val="00047768"/>
    <w:rsid w:val="000477E5"/>
    <w:rsid w:val="00047A2D"/>
    <w:rsid w:val="00047AA5"/>
    <w:rsid w:val="00047C02"/>
    <w:rsid w:val="00047C44"/>
    <w:rsid w:val="00047C9E"/>
    <w:rsid w:val="00047D91"/>
    <w:rsid w:val="00047DAB"/>
    <w:rsid w:val="00047E18"/>
    <w:rsid w:val="00047FD1"/>
    <w:rsid w:val="0005000F"/>
    <w:rsid w:val="000501BE"/>
    <w:rsid w:val="000503AE"/>
    <w:rsid w:val="000503B6"/>
    <w:rsid w:val="00050433"/>
    <w:rsid w:val="000505B5"/>
    <w:rsid w:val="00050679"/>
    <w:rsid w:val="00050716"/>
    <w:rsid w:val="00050905"/>
    <w:rsid w:val="00050A96"/>
    <w:rsid w:val="00050B82"/>
    <w:rsid w:val="00050CD2"/>
    <w:rsid w:val="00050D5B"/>
    <w:rsid w:val="00050DFB"/>
    <w:rsid w:val="00050E0F"/>
    <w:rsid w:val="00050F07"/>
    <w:rsid w:val="0005133C"/>
    <w:rsid w:val="000513A4"/>
    <w:rsid w:val="0005142E"/>
    <w:rsid w:val="000514A0"/>
    <w:rsid w:val="0005159F"/>
    <w:rsid w:val="0005166E"/>
    <w:rsid w:val="00051684"/>
    <w:rsid w:val="000516A1"/>
    <w:rsid w:val="000516E3"/>
    <w:rsid w:val="00051720"/>
    <w:rsid w:val="0005180A"/>
    <w:rsid w:val="0005189B"/>
    <w:rsid w:val="0005194F"/>
    <w:rsid w:val="00051974"/>
    <w:rsid w:val="00051A15"/>
    <w:rsid w:val="00051A8B"/>
    <w:rsid w:val="00051AD1"/>
    <w:rsid w:val="00051B54"/>
    <w:rsid w:val="00051B97"/>
    <w:rsid w:val="00051C5C"/>
    <w:rsid w:val="00051C7A"/>
    <w:rsid w:val="00051D0D"/>
    <w:rsid w:val="00051D15"/>
    <w:rsid w:val="00051D76"/>
    <w:rsid w:val="00051D8C"/>
    <w:rsid w:val="00051ED4"/>
    <w:rsid w:val="00051EED"/>
    <w:rsid w:val="00052017"/>
    <w:rsid w:val="0005208E"/>
    <w:rsid w:val="00052228"/>
    <w:rsid w:val="000522E2"/>
    <w:rsid w:val="00052327"/>
    <w:rsid w:val="000523BE"/>
    <w:rsid w:val="000523F7"/>
    <w:rsid w:val="000524A2"/>
    <w:rsid w:val="000525B0"/>
    <w:rsid w:val="000526C2"/>
    <w:rsid w:val="000526FE"/>
    <w:rsid w:val="00052752"/>
    <w:rsid w:val="00052A55"/>
    <w:rsid w:val="00052C09"/>
    <w:rsid w:val="00052D85"/>
    <w:rsid w:val="00052D93"/>
    <w:rsid w:val="00052EFE"/>
    <w:rsid w:val="00052F79"/>
    <w:rsid w:val="00052FB3"/>
    <w:rsid w:val="00052FD9"/>
    <w:rsid w:val="00053070"/>
    <w:rsid w:val="00053262"/>
    <w:rsid w:val="0005330C"/>
    <w:rsid w:val="00053354"/>
    <w:rsid w:val="0005345D"/>
    <w:rsid w:val="000534C5"/>
    <w:rsid w:val="000534C9"/>
    <w:rsid w:val="000534CE"/>
    <w:rsid w:val="000535AF"/>
    <w:rsid w:val="000536B9"/>
    <w:rsid w:val="0005385C"/>
    <w:rsid w:val="0005386C"/>
    <w:rsid w:val="000538AF"/>
    <w:rsid w:val="000539B8"/>
    <w:rsid w:val="000539EA"/>
    <w:rsid w:val="00053A28"/>
    <w:rsid w:val="00053BDB"/>
    <w:rsid w:val="00053C7D"/>
    <w:rsid w:val="00053CCA"/>
    <w:rsid w:val="00053CDF"/>
    <w:rsid w:val="00053D79"/>
    <w:rsid w:val="00053D89"/>
    <w:rsid w:val="00053E2B"/>
    <w:rsid w:val="00053EEC"/>
    <w:rsid w:val="00053F0A"/>
    <w:rsid w:val="00053F5E"/>
    <w:rsid w:val="00053F74"/>
    <w:rsid w:val="00053FE4"/>
    <w:rsid w:val="00054081"/>
    <w:rsid w:val="00054189"/>
    <w:rsid w:val="000543D9"/>
    <w:rsid w:val="00054534"/>
    <w:rsid w:val="0005460F"/>
    <w:rsid w:val="00054661"/>
    <w:rsid w:val="00054681"/>
    <w:rsid w:val="000546DA"/>
    <w:rsid w:val="00054774"/>
    <w:rsid w:val="00054884"/>
    <w:rsid w:val="000548B8"/>
    <w:rsid w:val="0005490E"/>
    <w:rsid w:val="00054A86"/>
    <w:rsid w:val="00054B15"/>
    <w:rsid w:val="00054B9D"/>
    <w:rsid w:val="00054C39"/>
    <w:rsid w:val="00054C3D"/>
    <w:rsid w:val="00054D14"/>
    <w:rsid w:val="00054D42"/>
    <w:rsid w:val="00054E05"/>
    <w:rsid w:val="00054E38"/>
    <w:rsid w:val="00055112"/>
    <w:rsid w:val="00055176"/>
    <w:rsid w:val="00055197"/>
    <w:rsid w:val="000551EF"/>
    <w:rsid w:val="00055310"/>
    <w:rsid w:val="0005540C"/>
    <w:rsid w:val="000554DE"/>
    <w:rsid w:val="00055535"/>
    <w:rsid w:val="000556B7"/>
    <w:rsid w:val="00055884"/>
    <w:rsid w:val="00055903"/>
    <w:rsid w:val="0005597C"/>
    <w:rsid w:val="00055AF0"/>
    <w:rsid w:val="00055C36"/>
    <w:rsid w:val="00055C49"/>
    <w:rsid w:val="00055C8E"/>
    <w:rsid w:val="00055F1A"/>
    <w:rsid w:val="00055F36"/>
    <w:rsid w:val="00055FF2"/>
    <w:rsid w:val="0005632C"/>
    <w:rsid w:val="0005634A"/>
    <w:rsid w:val="00056415"/>
    <w:rsid w:val="0005641A"/>
    <w:rsid w:val="00056423"/>
    <w:rsid w:val="000565D9"/>
    <w:rsid w:val="00056610"/>
    <w:rsid w:val="000567BD"/>
    <w:rsid w:val="00056877"/>
    <w:rsid w:val="00056891"/>
    <w:rsid w:val="000569CD"/>
    <w:rsid w:val="00056AD7"/>
    <w:rsid w:val="00056B83"/>
    <w:rsid w:val="00056D38"/>
    <w:rsid w:val="00056F6A"/>
    <w:rsid w:val="00056F88"/>
    <w:rsid w:val="00057019"/>
    <w:rsid w:val="0005704F"/>
    <w:rsid w:val="00057145"/>
    <w:rsid w:val="00057153"/>
    <w:rsid w:val="00057250"/>
    <w:rsid w:val="000572B8"/>
    <w:rsid w:val="00057398"/>
    <w:rsid w:val="00057421"/>
    <w:rsid w:val="0005743B"/>
    <w:rsid w:val="000576E6"/>
    <w:rsid w:val="00057774"/>
    <w:rsid w:val="000578CA"/>
    <w:rsid w:val="000579DF"/>
    <w:rsid w:val="00057AB7"/>
    <w:rsid w:val="00057AC1"/>
    <w:rsid w:val="00057C16"/>
    <w:rsid w:val="00057E58"/>
    <w:rsid w:val="00060075"/>
    <w:rsid w:val="00060190"/>
    <w:rsid w:val="000601A6"/>
    <w:rsid w:val="000603CD"/>
    <w:rsid w:val="000603F5"/>
    <w:rsid w:val="00060495"/>
    <w:rsid w:val="0006050F"/>
    <w:rsid w:val="0006058D"/>
    <w:rsid w:val="000605EE"/>
    <w:rsid w:val="00060865"/>
    <w:rsid w:val="000608D3"/>
    <w:rsid w:val="00060A1C"/>
    <w:rsid w:val="00060A80"/>
    <w:rsid w:val="00060B4D"/>
    <w:rsid w:val="00060B6E"/>
    <w:rsid w:val="00060BC1"/>
    <w:rsid w:val="00060CBF"/>
    <w:rsid w:val="00060D04"/>
    <w:rsid w:val="00060D16"/>
    <w:rsid w:val="00060DDC"/>
    <w:rsid w:val="0006112F"/>
    <w:rsid w:val="000611C2"/>
    <w:rsid w:val="00061213"/>
    <w:rsid w:val="00061227"/>
    <w:rsid w:val="0006122C"/>
    <w:rsid w:val="000612D1"/>
    <w:rsid w:val="000613F2"/>
    <w:rsid w:val="000614C0"/>
    <w:rsid w:val="000616F3"/>
    <w:rsid w:val="00061703"/>
    <w:rsid w:val="0006170B"/>
    <w:rsid w:val="000618F3"/>
    <w:rsid w:val="00061978"/>
    <w:rsid w:val="000619B1"/>
    <w:rsid w:val="00061A06"/>
    <w:rsid w:val="00061C0E"/>
    <w:rsid w:val="00061D11"/>
    <w:rsid w:val="00061D15"/>
    <w:rsid w:val="00061D49"/>
    <w:rsid w:val="00061D90"/>
    <w:rsid w:val="00061F86"/>
    <w:rsid w:val="00062070"/>
    <w:rsid w:val="0006220A"/>
    <w:rsid w:val="00062242"/>
    <w:rsid w:val="00062342"/>
    <w:rsid w:val="00062679"/>
    <w:rsid w:val="000627A6"/>
    <w:rsid w:val="00062944"/>
    <w:rsid w:val="00062A06"/>
    <w:rsid w:val="00062AB2"/>
    <w:rsid w:val="00062BA6"/>
    <w:rsid w:val="00062C36"/>
    <w:rsid w:val="00062C3F"/>
    <w:rsid w:val="00062CBF"/>
    <w:rsid w:val="00062D11"/>
    <w:rsid w:val="00062D79"/>
    <w:rsid w:val="00062FA0"/>
    <w:rsid w:val="00063075"/>
    <w:rsid w:val="00063244"/>
    <w:rsid w:val="000632BC"/>
    <w:rsid w:val="000632F3"/>
    <w:rsid w:val="000633E5"/>
    <w:rsid w:val="00063430"/>
    <w:rsid w:val="000634C7"/>
    <w:rsid w:val="000634CC"/>
    <w:rsid w:val="000634DA"/>
    <w:rsid w:val="000634F4"/>
    <w:rsid w:val="0006357E"/>
    <w:rsid w:val="000635FF"/>
    <w:rsid w:val="0006371A"/>
    <w:rsid w:val="00063771"/>
    <w:rsid w:val="000637CF"/>
    <w:rsid w:val="00063895"/>
    <w:rsid w:val="00063A29"/>
    <w:rsid w:val="00063CC1"/>
    <w:rsid w:val="00063D47"/>
    <w:rsid w:val="00063DE9"/>
    <w:rsid w:val="00063F61"/>
    <w:rsid w:val="00064039"/>
    <w:rsid w:val="000640BE"/>
    <w:rsid w:val="000640E6"/>
    <w:rsid w:val="0006414D"/>
    <w:rsid w:val="0006417F"/>
    <w:rsid w:val="0006433B"/>
    <w:rsid w:val="000643E4"/>
    <w:rsid w:val="000643FF"/>
    <w:rsid w:val="00064542"/>
    <w:rsid w:val="000645F4"/>
    <w:rsid w:val="00064707"/>
    <w:rsid w:val="00064754"/>
    <w:rsid w:val="00064830"/>
    <w:rsid w:val="0006492E"/>
    <w:rsid w:val="00064950"/>
    <w:rsid w:val="00064989"/>
    <w:rsid w:val="00064A98"/>
    <w:rsid w:val="00064B39"/>
    <w:rsid w:val="00064BE4"/>
    <w:rsid w:val="00064D8E"/>
    <w:rsid w:val="00064E3A"/>
    <w:rsid w:val="00064F98"/>
    <w:rsid w:val="00064FBC"/>
    <w:rsid w:val="00065069"/>
    <w:rsid w:val="0006507E"/>
    <w:rsid w:val="000650EC"/>
    <w:rsid w:val="00065159"/>
    <w:rsid w:val="00065244"/>
    <w:rsid w:val="0006524B"/>
    <w:rsid w:val="000652C0"/>
    <w:rsid w:val="000652D3"/>
    <w:rsid w:val="0006530E"/>
    <w:rsid w:val="000654E2"/>
    <w:rsid w:val="00065691"/>
    <w:rsid w:val="0006574B"/>
    <w:rsid w:val="000658FC"/>
    <w:rsid w:val="000659D8"/>
    <w:rsid w:val="000659EB"/>
    <w:rsid w:val="00065BE3"/>
    <w:rsid w:val="00065CD5"/>
    <w:rsid w:val="00066472"/>
    <w:rsid w:val="00066602"/>
    <w:rsid w:val="00066827"/>
    <w:rsid w:val="00066A82"/>
    <w:rsid w:val="00066B15"/>
    <w:rsid w:val="00066BD0"/>
    <w:rsid w:val="00066C0D"/>
    <w:rsid w:val="00066DD0"/>
    <w:rsid w:val="00066E20"/>
    <w:rsid w:val="00066F13"/>
    <w:rsid w:val="00066F37"/>
    <w:rsid w:val="00067054"/>
    <w:rsid w:val="00067077"/>
    <w:rsid w:val="00067374"/>
    <w:rsid w:val="0006744C"/>
    <w:rsid w:val="00067454"/>
    <w:rsid w:val="00067463"/>
    <w:rsid w:val="00067664"/>
    <w:rsid w:val="0006766E"/>
    <w:rsid w:val="00067687"/>
    <w:rsid w:val="00067713"/>
    <w:rsid w:val="00067823"/>
    <w:rsid w:val="000678AA"/>
    <w:rsid w:val="00067901"/>
    <w:rsid w:val="00067931"/>
    <w:rsid w:val="00067996"/>
    <w:rsid w:val="00067A1B"/>
    <w:rsid w:val="00067A23"/>
    <w:rsid w:val="00067AC1"/>
    <w:rsid w:val="00067AF5"/>
    <w:rsid w:val="00067BEF"/>
    <w:rsid w:val="00067BF5"/>
    <w:rsid w:val="00067C35"/>
    <w:rsid w:val="00067D49"/>
    <w:rsid w:val="00067DF1"/>
    <w:rsid w:val="00067EA8"/>
    <w:rsid w:val="0007002C"/>
    <w:rsid w:val="000700BA"/>
    <w:rsid w:val="00070431"/>
    <w:rsid w:val="0007071E"/>
    <w:rsid w:val="00070782"/>
    <w:rsid w:val="000707E9"/>
    <w:rsid w:val="00070938"/>
    <w:rsid w:val="0007095D"/>
    <w:rsid w:val="000709AA"/>
    <w:rsid w:val="000709B3"/>
    <w:rsid w:val="00070A63"/>
    <w:rsid w:val="00070A73"/>
    <w:rsid w:val="00070ADB"/>
    <w:rsid w:val="00070C9A"/>
    <w:rsid w:val="00070CBF"/>
    <w:rsid w:val="00070DF2"/>
    <w:rsid w:val="00070E40"/>
    <w:rsid w:val="00070E93"/>
    <w:rsid w:val="00070E9E"/>
    <w:rsid w:val="00070FD7"/>
    <w:rsid w:val="00071052"/>
    <w:rsid w:val="000710D8"/>
    <w:rsid w:val="00071198"/>
    <w:rsid w:val="00071217"/>
    <w:rsid w:val="00071375"/>
    <w:rsid w:val="00071492"/>
    <w:rsid w:val="00071519"/>
    <w:rsid w:val="000715B9"/>
    <w:rsid w:val="00071765"/>
    <w:rsid w:val="0007188A"/>
    <w:rsid w:val="00071906"/>
    <w:rsid w:val="00071967"/>
    <w:rsid w:val="0007198F"/>
    <w:rsid w:val="00071A16"/>
    <w:rsid w:val="00071AC2"/>
    <w:rsid w:val="00071BBD"/>
    <w:rsid w:val="00071C07"/>
    <w:rsid w:val="00071D20"/>
    <w:rsid w:val="00071D71"/>
    <w:rsid w:val="00072045"/>
    <w:rsid w:val="0007208D"/>
    <w:rsid w:val="00072195"/>
    <w:rsid w:val="000723C3"/>
    <w:rsid w:val="0007247B"/>
    <w:rsid w:val="000724CD"/>
    <w:rsid w:val="000726B7"/>
    <w:rsid w:val="00072802"/>
    <w:rsid w:val="0007294B"/>
    <w:rsid w:val="000729A8"/>
    <w:rsid w:val="00072A64"/>
    <w:rsid w:val="00072C0A"/>
    <w:rsid w:val="00072F79"/>
    <w:rsid w:val="00072FDB"/>
    <w:rsid w:val="0007300B"/>
    <w:rsid w:val="00073042"/>
    <w:rsid w:val="000730B0"/>
    <w:rsid w:val="00073199"/>
    <w:rsid w:val="0007319D"/>
    <w:rsid w:val="000731C0"/>
    <w:rsid w:val="00073330"/>
    <w:rsid w:val="000733D4"/>
    <w:rsid w:val="000733DB"/>
    <w:rsid w:val="000735B3"/>
    <w:rsid w:val="00073733"/>
    <w:rsid w:val="000737C6"/>
    <w:rsid w:val="000737F8"/>
    <w:rsid w:val="0007384A"/>
    <w:rsid w:val="0007392A"/>
    <w:rsid w:val="00073B32"/>
    <w:rsid w:val="00073B6A"/>
    <w:rsid w:val="00073BED"/>
    <w:rsid w:val="00073C22"/>
    <w:rsid w:val="00073C74"/>
    <w:rsid w:val="00073D03"/>
    <w:rsid w:val="00073D09"/>
    <w:rsid w:val="00073DB0"/>
    <w:rsid w:val="00073EA3"/>
    <w:rsid w:val="00073F21"/>
    <w:rsid w:val="00073FAE"/>
    <w:rsid w:val="00074096"/>
    <w:rsid w:val="0007416C"/>
    <w:rsid w:val="00074693"/>
    <w:rsid w:val="00074696"/>
    <w:rsid w:val="000749B5"/>
    <w:rsid w:val="000749C4"/>
    <w:rsid w:val="00074A07"/>
    <w:rsid w:val="00074A92"/>
    <w:rsid w:val="00074BAF"/>
    <w:rsid w:val="00074BC5"/>
    <w:rsid w:val="00074C04"/>
    <w:rsid w:val="00074DD7"/>
    <w:rsid w:val="00074F82"/>
    <w:rsid w:val="00074F84"/>
    <w:rsid w:val="00075267"/>
    <w:rsid w:val="00075309"/>
    <w:rsid w:val="00075340"/>
    <w:rsid w:val="00075341"/>
    <w:rsid w:val="00075360"/>
    <w:rsid w:val="000753FE"/>
    <w:rsid w:val="0007545B"/>
    <w:rsid w:val="000754E4"/>
    <w:rsid w:val="00075547"/>
    <w:rsid w:val="00075610"/>
    <w:rsid w:val="000757A6"/>
    <w:rsid w:val="000757A7"/>
    <w:rsid w:val="000757E6"/>
    <w:rsid w:val="00075898"/>
    <w:rsid w:val="000758AE"/>
    <w:rsid w:val="000758BE"/>
    <w:rsid w:val="00075A66"/>
    <w:rsid w:val="00075A78"/>
    <w:rsid w:val="00075AD9"/>
    <w:rsid w:val="00075ADB"/>
    <w:rsid w:val="00075BF0"/>
    <w:rsid w:val="00075D11"/>
    <w:rsid w:val="00075E63"/>
    <w:rsid w:val="00076029"/>
    <w:rsid w:val="00076101"/>
    <w:rsid w:val="0007612C"/>
    <w:rsid w:val="000763FE"/>
    <w:rsid w:val="0007649B"/>
    <w:rsid w:val="000764E4"/>
    <w:rsid w:val="00076694"/>
    <w:rsid w:val="000766A8"/>
    <w:rsid w:val="00076715"/>
    <w:rsid w:val="00076723"/>
    <w:rsid w:val="000767D0"/>
    <w:rsid w:val="00076809"/>
    <w:rsid w:val="00076A19"/>
    <w:rsid w:val="00076B3B"/>
    <w:rsid w:val="00076B93"/>
    <w:rsid w:val="00076BA8"/>
    <w:rsid w:val="00076DA0"/>
    <w:rsid w:val="00076DEC"/>
    <w:rsid w:val="00076EAD"/>
    <w:rsid w:val="00076EF9"/>
    <w:rsid w:val="00076EFA"/>
    <w:rsid w:val="00076F66"/>
    <w:rsid w:val="0007710B"/>
    <w:rsid w:val="00077224"/>
    <w:rsid w:val="000773A2"/>
    <w:rsid w:val="00077465"/>
    <w:rsid w:val="000775BD"/>
    <w:rsid w:val="000775DA"/>
    <w:rsid w:val="00077696"/>
    <w:rsid w:val="000776B0"/>
    <w:rsid w:val="00077726"/>
    <w:rsid w:val="000778CF"/>
    <w:rsid w:val="000779A8"/>
    <w:rsid w:val="00077A6B"/>
    <w:rsid w:val="00077A6D"/>
    <w:rsid w:val="00077A92"/>
    <w:rsid w:val="00077A99"/>
    <w:rsid w:val="00077BC5"/>
    <w:rsid w:val="00077C8C"/>
    <w:rsid w:val="00077CC7"/>
    <w:rsid w:val="00077D40"/>
    <w:rsid w:val="00077D8E"/>
    <w:rsid w:val="00077F6D"/>
    <w:rsid w:val="00077F9B"/>
    <w:rsid w:val="000800BF"/>
    <w:rsid w:val="000801DA"/>
    <w:rsid w:val="000801FA"/>
    <w:rsid w:val="0008027C"/>
    <w:rsid w:val="00080321"/>
    <w:rsid w:val="00080355"/>
    <w:rsid w:val="00080362"/>
    <w:rsid w:val="000803F7"/>
    <w:rsid w:val="000805E7"/>
    <w:rsid w:val="00080610"/>
    <w:rsid w:val="000806FC"/>
    <w:rsid w:val="000807EA"/>
    <w:rsid w:val="000808AC"/>
    <w:rsid w:val="00080959"/>
    <w:rsid w:val="00080981"/>
    <w:rsid w:val="0008098E"/>
    <w:rsid w:val="00080B74"/>
    <w:rsid w:val="00080C44"/>
    <w:rsid w:val="00080CF2"/>
    <w:rsid w:val="00080EA5"/>
    <w:rsid w:val="00080F3F"/>
    <w:rsid w:val="00080F6E"/>
    <w:rsid w:val="00080FF4"/>
    <w:rsid w:val="00081061"/>
    <w:rsid w:val="00081237"/>
    <w:rsid w:val="00081451"/>
    <w:rsid w:val="0008158C"/>
    <w:rsid w:val="00081687"/>
    <w:rsid w:val="000818AF"/>
    <w:rsid w:val="000819CA"/>
    <w:rsid w:val="000819D7"/>
    <w:rsid w:val="00081AE4"/>
    <w:rsid w:val="00081BDA"/>
    <w:rsid w:val="00081C36"/>
    <w:rsid w:val="00081C4A"/>
    <w:rsid w:val="00081C5D"/>
    <w:rsid w:val="00082125"/>
    <w:rsid w:val="00082356"/>
    <w:rsid w:val="00082361"/>
    <w:rsid w:val="000823A3"/>
    <w:rsid w:val="00082431"/>
    <w:rsid w:val="0008252D"/>
    <w:rsid w:val="00082538"/>
    <w:rsid w:val="000825D7"/>
    <w:rsid w:val="000826F4"/>
    <w:rsid w:val="000827F2"/>
    <w:rsid w:val="00082A36"/>
    <w:rsid w:val="00082A5C"/>
    <w:rsid w:val="00082CAF"/>
    <w:rsid w:val="00082D2E"/>
    <w:rsid w:val="00082D53"/>
    <w:rsid w:val="00082E4A"/>
    <w:rsid w:val="00082EDE"/>
    <w:rsid w:val="00083050"/>
    <w:rsid w:val="00083069"/>
    <w:rsid w:val="00083079"/>
    <w:rsid w:val="0008316D"/>
    <w:rsid w:val="000831BF"/>
    <w:rsid w:val="000831FD"/>
    <w:rsid w:val="00083363"/>
    <w:rsid w:val="00083386"/>
    <w:rsid w:val="00083393"/>
    <w:rsid w:val="00083495"/>
    <w:rsid w:val="0008358D"/>
    <w:rsid w:val="000835D1"/>
    <w:rsid w:val="000835FC"/>
    <w:rsid w:val="0008369F"/>
    <w:rsid w:val="0008374F"/>
    <w:rsid w:val="00083842"/>
    <w:rsid w:val="00083B17"/>
    <w:rsid w:val="00083C3B"/>
    <w:rsid w:val="00083C4A"/>
    <w:rsid w:val="00083C93"/>
    <w:rsid w:val="00083CDC"/>
    <w:rsid w:val="00083D33"/>
    <w:rsid w:val="00083FFE"/>
    <w:rsid w:val="00084018"/>
    <w:rsid w:val="000840DF"/>
    <w:rsid w:val="00084150"/>
    <w:rsid w:val="00084161"/>
    <w:rsid w:val="00084180"/>
    <w:rsid w:val="000841CC"/>
    <w:rsid w:val="000844A4"/>
    <w:rsid w:val="000844A6"/>
    <w:rsid w:val="000844FC"/>
    <w:rsid w:val="00084680"/>
    <w:rsid w:val="000846AE"/>
    <w:rsid w:val="000846D9"/>
    <w:rsid w:val="00084917"/>
    <w:rsid w:val="00084A62"/>
    <w:rsid w:val="00084AC2"/>
    <w:rsid w:val="00084B25"/>
    <w:rsid w:val="00084D1E"/>
    <w:rsid w:val="00084E00"/>
    <w:rsid w:val="00084F35"/>
    <w:rsid w:val="00084F85"/>
    <w:rsid w:val="0008500A"/>
    <w:rsid w:val="00085076"/>
    <w:rsid w:val="00085115"/>
    <w:rsid w:val="00085358"/>
    <w:rsid w:val="0008541F"/>
    <w:rsid w:val="00085510"/>
    <w:rsid w:val="000855B9"/>
    <w:rsid w:val="00085B98"/>
    <w:rsid w:val="00085BF9"/>
    <w:rsid w:val="00085C07"/>
    <w:rsid w:val="00085C25"/>
    <w:rsid w:val="00085DFE"/>
    <w:rsid w:val="00086094"/>
    <w:rsid w:val="000862AC"/>
    <w:rsid w:val="0008642D"/>
    <w:rsid w:val="0008644B"/>
    <w:rsid w:val="0008646B"/>
    <w:rsid w:val="000865A6"/>
    <w:rsid w:val="000865C1"/>
    <w:rsid w:val="0008660E"/>
    <w:rsid w:val="00086645"/>
    <w:rsid w:val="0008664F"/>
    <w:rsid w:val="00086768"/>
    <w:rsid w:val="00086773"/>
    <w:rsid w:val="000867B3"/>
    <w:rsid w:val="0008699C"/>
    <w:rsid w:val="000869C3"/>
    <w:rsid w:val="000869CD"/>
    <w:rsid w:val="00086AB4"/>
    <w:rsid w:val="00086B63"/>
    <w:rsid w:val="00086B83"/>
    <w:rsid w:val="00086BB4"/>
    <w:rsid w:val="00086CC4"/>
    <w:rsid w:val="00086D15"/>
    <w:rsid w:val="00086DC3"/>
    <w:rsid w:val="00086EEB"/>
    <w:rsid w:val="00086F78"/>
    <w:rsid w:val="0008703B"/>
    <w:rsid w:val="00087183"/>
    <w:rsid w:val="000872BA"/>
    <w:rsid w:val="000873DD"/>
    <w:rsid w:val="000874E3"/>
    <w:rsid w:val="00087663"/>
    <w:rsid w:val="0008769E"/>
    <w:rsid w:val="000876F3"/>
    <w:rsid w:val="0008774E"/>
    <w:rsid w:val="0008775E"/>
    <w:rsid w:val="000877D3"/>
    <w:rsid w:val="000878E2"/>
    <w:rsid w:val="00087910"/>
    <w:rsid w:val="000879D0"/>
    <w:rsid w:val="00087A2B"/>
    <w:rsid w:val="00087A2C"/>
    <w:rsid w:val="00087A6E"/>
    <w:rsid w:val="00087AF2"/>
    <w:rsid w:val="00087C1B"/>
    <w:rsid w:val="00087E41"/>
    <w:rsid w:val="00087E56"/>
    <w:rsid w:val="00087FF0"/>
    <w:rsid w:val="00090023"/>
    <w:rsid w:val="0009005F"/>
    <w:rsid w:val="0009032B"/>
    <w:rsid w:val="000903E8"/>
    <w:rsid w:val="000905A1"/>
    <w:rsid w:val="000905ED"/>
    <w:rsid w:val="000905F4"/>
    <w:rsid w:val="000909B1"/>
    <w:rsid w:val="00090B16"/>
    <w:rsid w:val="00090B52"/>
    <w:rsid w:val="00090B98"/>
    <w:rsid w:val="00090CC4"/>
    <w:rsid w:val="00090D12"/>
    <w:rsid w:val="00090D2C"/>
    <w:rsid w:val="00090F59"/>
    <w:rsid w:val="00090F69"/>
    <w:rsid w:val="000910FB"/>
    <w:rsid w:val="000911D7"/>
    <w:rsid w:val="000911EF"/>
    <w:rsid w:val="0009126F"/>
    <w:rsid w:val="00091279"/>
    <w:rsid w:val="00091306"/>
    <w:rsid w:val="00091390"/>
    <w:rsid w:val="0009142E"/>
    <w:rsid w:val="0009149D"/>
    <w:rsid w:val="00091632"/>
    <w:rsid w:val="00091691"/>
    <w:rsid w:val="00091849"/>
    <w:rsid w:val="00091900"/>
    <w:rsid w:val="00091967"/>
    <w:rsid w:val="0009198F"/>
    <w:rsid w:val="00091A8A"/>
    <w:rsid w:val="00091DD0"/>
    <w:rsid w:val="00091EB8"/>
    <w:rsid w:val="00092001"/>
    <w:rsid w:val="00092122"/>
    <w:rsid w:val="00092124"/>
    <w:rsid w:val="00092382"/>
    <w:rsid w:val="000923BE"/>
    <w:rsid w:val="000924B8"/>
    <w:rsid w:val="000926D4"/>
    <w:rsid w:val="00092808"/>
    <w:rsid w:val="0009283F"/>
    <w:rsid w:val="000928D5"/>
    <w:rsid w:val="00092914"/>
    <w:rsid w:val="0009291A"/>
    <w:rsid w:val="00092A27"/>
    <w:rsid w:val="00092B8A"/>
    <w:rsid w:val="00092CB9"/>
    <w:rsid w:val="00092D45"/>
    <w:rsid w:val="00092D80"/>
    <w:rsid w:val="00092DFE"/>
    <w:rsid w:val="00092E1B"/>
    <w:rsid w:val="00092EB1"/>
    <w:rsid w:val="00092FFD"/>
    <w:rsid w:val="0009313C"/>
    <w:rsid w:val="00093162"/>
    <w:rsid w:val="000931A9"/>
    <w:rsid w:val="000931AD"/>
    <w:rsid w:val="00093347"/>
    <w:rsid w:val="000933CA"/>
    <w:rsid w:val="000933E5"/>
    <w:rsid w:val="000936F2"/>
    <w:rsid w:val="00093783"/>
    <w:rsid w:val="00093814"/>
    <w:rsid w:val="00093A89"/>
    <w:rsid w:val="00093B19"/>
    <w:rsid w:val="00093B1E"/>
    <w:rsid w:val="00093C3C"/>
    <w:rsid w:val="00093C53"/>
    <w:rsid w:val="00093CB0"/>
    <w:rsid w:val="00093CF4"/>
    <w:rsid w:val="00093CFA"/>
    <w:rsid w:val="00093D03"/>
    <w:rsid w:val="00093D2A"/>
    <w:rsid w:val="00093E06"/>
    <w:rsid w:val="00094325"/>
    <w:rsid w:val="00094350"/>
    <w:rsid w:val="000944DC"/>
    <w:rsid w:val="000945AA"/>
    <w:rsid w:val="00094727"/>
    <w:rsid w:val="0009478F"/>
    <w:rsid w:val="000947D9"/>
    <w:rsid w:val="000948F3"/>
    <w:rsid w:val="00094B9D"/>
    <w:rsid w:val="00094C0C"/>
    <w:rsid w:val="00094C2A"/>
    <w:rsid w:val="00094DCF"/>
    <w:rsid w:val="00094DFB"/>
    <w:rsid w:val="00094E18"/>
    <w:rsid w:val="00094ECB"/>
    <w:rsid w:val="00094ED7"/>
    <w:rsid w:val="00094EE6"/>
    <w:rsid w:val="00094F0D"/>
    <w:rsid w:val="0009512B"/>
    <w:rsid w:val="0009516F"/>
    <w:rsid w:val="00095199"/>
    <w:rsid w:val="000951DA"/>
    <w:rsid w:val="000952A5"/>
    <w:rsid w:val="000952C8"/>
    <w:rsid w:val="0009536A"/>
    <w:rsid w:val="00095467"/>
    <w:rsid w:val="000954DC"/>
    <w:rsid w:val="00095693"/>
    <w:rsid w:val="00095846"/>
    <w:rsid w:val="00095867"/>
    <w:rsid w:val="00095886"/>
    <w:rsid w:val="0009591E"/>
    <w:rsid w:val="000959D2"/>
    <w:rsid w:val="00095C0A"/>
    <w:rsid w:val="00095C51"/>
    <w:rsid w:val="00095D0B"/>
    <w:rsid w:val="00095D9E"/>
    <w:rsid w:val="00096111"/>
    <w:rsid w:val="00096113"/>
    <w:rsid w:val="000961D5"/>
    <w:rsid w:val="0009620D"/>
    <w:rsid w:val="0009637D"/>
    <w:rsid w:val="000965A6"/>
    <w:rsid w:val="0009663D"/>
    <w:rsid w:val="00096664"/>
    <w:rsid w:val="00096B0D"/>
    <w:rsid w:val="00096B31"/>
    <w:rsid w:val="00096BC4"/>
    <w:rsid w:val="00096D26"/>
    <w:rsid w:val="00096F6E"/>
    <w:rsid w:val="00097042"/>
    <w:rsid w:val="000970AB"/>
    <w:rsid w:val="00097284"/>
    <w:rsid w:val="00097348"/>
    <w:rsid w:val="000973A4"/>
    <w:rsid w:val="00097488"/>
    <w:rsid w:val="0009748C"/>
    <w:rsid w:val="000974D9"/>
    <w:rsid w:val="000975AA"/>
    <w:rsid w:val="00097663"/>
    <w:rsid w:val="0009787A"/>
    <w:rsid w:val="0009788A"/>
    <w:rsid w:val="000978E4"/>
    <w:rsid w:val="00097953"/>
    <w:rsid w:val="00097A61"/>
    <w:rsid w:val="00097A7F"/>
    <w:rsid w:val="00097B9E"/>
    <w:rsid w:val="00097BA1"/>
    <w:rsid w:val="00097BFF"/>
    <w:rsid w:val="00097D83"/>
    <w:rsid w:val="00097DC4"/>
    <w:rsid w:val="00097E30"/>
    <w:rsid w:val="00097E38"/>
    <w:rsid w:val="00097EF4"/>
    <w:rsid w:val="00097F1D"/>
    <w:rsid w:val="00097F81"/>
    <w:rsid w:val="000A00C1"/>
    <w:rsid w:val="000A00D7"/>
    <w:rsid w:val="000A00DB"/>
    <w:rsid w:val="000A0145"/>
    <w:rsid w:val="000A0227"/>
    <w:rsid w:val="000A026C"/>
    <w:rsid w:val="000A0475"/>
    <w:rsid w:val="000A04CE"/>
    <w:rsid w:val="000A063A"/>
    <w:rsid w:val="000A06F2"/>
    <w:rsid w:val="000A07F0"/>
    <w:rsid w:val="000A0853"/>
    <w:rsid w:val="000A0B11"/>
    <w:rsid w:val="000A0BB0"/>
    <w:rsid w:val="000A0C20"/>
    <w:rsid w:val="000A0D36"/>
    <w:rsid w:val="000A0DCB"/>
    <w:rsid w:val="000A10C0"/>
    <w:rsid w:val="000A1496"/>
    <w:rsid w:val="000A1639"/>
    <w:rsid w:val="000A16FD"/>
    <w:rsid w:val="000A17C0"/>
    <w:rsid w:val="000A1895"/>
    <w:rsid w:val="000A1940"/>
    <w:rsid w:val="000A196C"/>
    <w:rsid w:val="000A19B6"/>
    <w:rsid w:val="000A1B8F"/>
    <w:rsid w:val="000A1E2E"/>
    <w:rsid w:val="000A1E49"/>
    <w:rsid w:val="000A1E8E"/>
    <w:rsid w:val="000A1FBB"/>
    <w:rsid w:val="000A202E"/>
    <w:rsid w:val="000A205A"/>
    <w:rsid w:val="000A2072"/>
    <w:rsid w:val="000A2084"/>
    <w:rsid w:val="000A20C9"/>
    <w:rsid w:val="000A21D7"/>
    <w:rsid w:val="000A22FC"/>
    <w:rsid w:val="000A23C1"/>
    <w:rsid w:val="000A24AD"/>
    <w:rsid w:val="000A24CF"/>
    <w:rsid w:val="000A256C"/>
    <w:rsid w:val="000A25F5"/>
    <w:rsid w:val="000A265B"/>
    <w:rsid w:val="000A26C5"/>
    <w:rsid w:val="000A27F9"/>
    <w:rsid w:val="000A2939"/>
    <w:rsid w:val="000A2A0E"/>
    <w:rsid w:val="000A2AC0"/>
    <w:rsid w:val="000A2C42"/>
    <w:rsid w:val="000A2DA1"/>
    <w:rsid w:val="000A2DE2"/>
    <w:rsid w:val="000A2E57"/>
    <w:rsid w:val="000A2E9D"/>
    <w:rsid w:val="000A2F7F"/>
    <w:rsid w:val="000A2FA7"/>
    <w:rsid w:val="000A2FFA"/>
    <w:rsid w:val="000A3031"/>
    <w:rsid w:val="000A3200"/>
    <w:rsid w:val="000A3224"/>
    <w:rsid w:val="000A3278"/>
    <w:rsid w:val="000A32CE"/>
    <w:rsid w:val="000A32FE"/>
    <w:rsid w:val="000A3382"/>
    <w:rsid w:val="000A348C"/>
    <w:rsid w:val="000A34FA"/>
    <w:rsid w:val="000A35E5"/>
    <w:rsid w:val="000A361A"/>
    <w:rsid w:val="000A36AD"/>
    <w:rsid w:val="000A376B"/>
    <w:rsid w:val="000A37BF"/>
    <w:rsid w:val="000A399C"/>
    <w:rsid w:val="000A399F"/>
    <w:rsid w:val="000A3A1F"/>
    <w:rsid w:val="000A3B95"/>
    <w:rsid w:val="000A3D42"/>
    <w:rsid w:val="000A3E94"/>
    <w:rsid w:val="000A3EE2"/>
    <w:rsid w:val="000A3FA5"/>
    <w:rsid w:val="000A3FB5"/>
    <w:rsid w:val="000A4097"/>
    <w:rsid w:val="000A40B3"/>
    <w:rsid w:val="000A417C"/>
    <w:rsid w:val="000A449A"/>
    <w:rsid w:val="000A44BE"/>
    <w:rsid w:val="000A44F1"/>
    <w:rsid w:val="000A4737"/>
    <w:rsid w:val="000A483C"/>
    <w:rsid w:val="000A48D4"/>
    <w:rsid w:val="000A4A2C"/>
    <w:rsid w:val="000A4BCE"/>
    <w:rsid w:val="000A4C7A"/>
    <w:rsid w:val="000A4C9A"/>
    <w:rsid w:val="000A4E52"/>
    <w:rsid w:val="000A5180"/>
    <w:rsid w:val="000A5265"/>
    <w:rsid w:val="000A526B"/>
    <w:rsid w:val="000A5463"/>
    <w:rsid w:val="000A54E5"/>
    <w:rsid w:val="000A58D7"/>
    <w:rsid w:val="000A5992"/>
    <w:rsid w:val="000A5A9A"/>
    <w:rsid w:val="000A5AB1"/>
    <w:rsid w:val="000A5AFB"/>
    <w:rsid w:val="000A5BB0"/>
    <w:rsid w:val="000A5D8E"/>
    <w:rsid w:val="000A5E48"/>
    <w:rsid w:val="000A5EBE"/>
    <w:rsid w:val="000A5FDB"/>
    <w:rsid w:val="000A60BB"/>
    <w:rsid w:val="000A6261"/>
    <w:rsid w:val="000A63F6"/>
    <w:rsid w:val="000A6404"/>
    <w:rsid w:val="000A6445"/>
    <w:rsid w:val="000A6549"/>
    <w:rsid w:val="000A676A"/>
    <w:rsid w:val="000A687A"/>
    <w:rsid w:val="000A68C7"/>
    <w:rsid w:val="000A6E0A"/>
    <w:rsid w:val="000A6E42"/>
    <w:rsid w:val="000A6E48"/>
    <w:rsid w:val="000A6F1B"/>
    <w:rsid w:val="000A6FEE"/>
    <w:rsid w:val="000A6FF6"/>
    <w:rsid w:val="000A7008"/>
    <w:rsid w:val="000A7027"/>
    <w:rsid w:val="000A7029"/>
    <w:rsid w:val="000A7034"/>
    <w:rsid w:val="000A70DB"/>
    <w:rsid w:val="000A7241"/>
    <w:rsid w:val="000A73DB"/>
    <w:rsid w:val="000A7624"/>
    <w:rsid w:val="000A775E"/>
    <w:rsid w:val="000A776B"/>
    <w:rsid w:val="000A797E"/>
    <w:rsid w:val="000A79A1"/>
    <w:rsid w:val="000A79FD"/>
    <w:rsid w:val="000A7AA0"/>
    <w:rsid w:val="000A7AF8"/>
    <w:rsid w:val="000A7B33"/>
    <w:rsid w:val="000A7BC0"/>
    <w:rsid w:val="000A7C19"/>
    <w:rsid w:val="000A7CC6"/>
    <w:rsid w:val="000A7CFB"/>
    <w:rsid w:val="000B0054"/>
    <w:rsid w:val="000B007B"/>
    <w:rsid w:val="000B00A5"/>
    <w:rsid w:val="000B010B"/>
    <w:rsid w:val="000B011D"/>
    <w:rsid w:val="000B0312"/>
    <w:rsid w:val="000B03E2"/>
    <w:rsid w:val="000B042E"/>
    <w:rsid w:val="000B04A7"/>
    <w:rsid w:val="000B0508"/>
    <w:rsid w:val="000B0545"/>
    <w:rsid w:val="000B075D"/>
    <w:rsid w:val="000B0823"/>
    <w:rsid w:val="000B0A4B"/>
    <w:rsid w:val="000B0B0C"/>
    <w:rsid w:val="000B0B80"/>
    <w:rsid w:val="000B0E5C"/>
    <w:rsid w:val="000B0E9C"/>
    <w:rsid w:val="000B106A"/>
    <w:rsid w:val="000B10A2"/>
    <w:rsid w:val="000B10B5"/>
    <w:rsid w:val="000B11EE"/>
    <w:rsid w:val="000B12A5"/>
    <w:rsid w:val="000B12EA"/>
    <w:rsid w:val="000B12EE"/>
    <w:rsid w:val="000B13D3"/>
    <w:rsid w:val="000B13E9"/>
    <w:rsid w:val="000B1566"/>
    <w:rsid w:val="000B183C"/>
    <w:rsid w:val="000B1850"/>
    <w:rsid w:val="000B1853"/>
    <w:rsid w:val="000B1AE9"/>
    <w:rsid w:val="000B1B56"/>
    <w:rsid w:val="000B1BA4"/>
    <w:rsid w:val="000B1CE2"/>
    <w:rsid w:val="000B1D14"/>
    <w:rsid w:val="000B1D96"/>
    <w:rsid w:val="000B1ECB"/>
    <w:rsid w:val="000B2072"/>
    <w:rsid w:val="000B20A0"/>
    <w:rsid w:val="000B2172"/>
    <w:rsid w:val="000B2265"/>
    <w:rsid w:val="000B226E"/>
    <w:rsid w:val="000B22AC"/>
    <w:rsid w:val="000B2360"/>
    <w:rsid w:val="000B23E5"/>
    <w:rsid w:val="000B23FB"/>
    <w:rsid w:val="000B243A"/>
    <w:rsid w:val="000B2587"/>
    <w:rsid w:val="000B25C2"/>
    <w:rsid w:val="000B25C6"/>
    <w:rsid w:val="000B2814"/>
    <w:rsid w:val="000B2884"/>
    <w:rsid w:val="000B2923"/>
    <w:rsid w:val="000B29C6"/>
    <w:rsid w:val="000B29F1"/>
    <w:rsid w:val="000B2AE9"/>
    <w:rsid w:val="000B2ED7"/>
    <w:rsid w:val="000B2F39"/>
    <w:rsid w:val="000B2FDD"/>
    <w:rsid w:val="000B2FE4"/>
    <w:rsid w:val="000B30F6"/>
    <w:rsid w:val="000B3116"/>
    <w:rsid w:val="000B319C"/>
    <w:rsid w:val="000B333D"/>
    <w:rsid w:val="000B343F"/>
    <w:rsid w:val="000B3447"/>
    <w:rsid w:val="000B3594"/>
    <w:rsid w:val="000B35E9"/>
    <w:rsid w:val="000B3613"/>
    <w:rsid w:val="000B3770"/>
    <w:rsid w:val="000B38F0"/>
    <w:rsid w:val="000B3B9A"/>
    <w:rsid w:val="000B3BF3"/>
    <w:rsid w:val="000B3C98"/>
    <w:rsid w:val="000B3E5F"/>
    <w:rsid w:val="000B3EC7"/>
    <w:rsid w:val="000B3ECE"/>
    <w:rsid w:val="000B3F7B"/>
    <w:rsid w:val="000B402E"/>
    <w:rsid w:val="000B40BF"/>
    <w:rsid w:val="000B4193"/>
    <w:rsid w:val="000B4237"/>
    <w:rsid w:val="000B42BC"/>
    <w:rsid w:val="000B433E"/>
    <w:rsid w:val="000B44EB"/>
    <w:rsid w:val="000B46B3"/>
    <w:rsid w:val="000B47D0"/>
    <w:rsid w:val="000B4811"/>
    <w:rsid w:val="000B48A9"/>
    <w:rsid w:val="000B48CA"/>
    <w:rsid w:val="000B4A7D"/>
    <w:rsid w:val="000B4B4C"/>
    <w:rsid w:val="000B4F47"/>
    <w:rsid w:val="000B4FFE"/>
    <w:rsid w:val="000B53BC"/>
    <w:rsid w:val="000B54B2"/>
    <w:rsid w:val="000B5529"/>
    <w:rsid w:val="000B5557"/>
    <w:rsid w:val="000B5559"/>
    <w:rsid w:val="000B559B"/>
    <w:rsid w:val="000B56D8"/>
    <w:rsid w:val="000B56E0"/>
    <w:rsid w:val="000B57AD"/>
    <w:rsid w:val="000B59CA"/>
    <w:rsid w:val="000B5AEC"/>
    <w:rsid w:val="000B5AED"/>
    <w:rsid w:val="000B5B7B"/>
    <w:rsid w:val="000B5B96"/>
    <w:rsid w:val="000B5C66"/>
    <w:rsid w:val="000B5C6F"/>
    <w:rsid w:val="000B5CCD"/>
    <w:rsid w:val="000B5E48"/>
    <w:rsid w:val="000B5E85"/>
    <w:rsid w:val="000B5E8A"/>
    <w:rsid w:val="000B5F13"/>
    <w:rsid w:val="000B5FBD"/>
    <w:rsid w:val="000B6013"/>
    <w:rsid w:val="000B6135"/>
    <w:rsid w:val="000B63F2"/>
    <w:rsid w:val="000B63F4"/>
    <w:rsid w:val="000B65C2"/>
    <w:rsid w:val="000B65DB"/>
    <w:rsid w:val="000B6623"/>
    <w:rsid w:val="000B6690"/>
    <w:rsid w:val="000B66CF"/>
    <w:rsid w:val="000B66E1"/>
    <w:rsid w:val="000B6733"/>
    <w:rsid w:val="000B67AE"/>
    <w:rsid w:val="000B696C"/>
    <w:rsid w:val="000B6AF5"/>
    <w:rsid w:val="000B6B89"/>
    <w:rsid w:val="000B6D91"/>
    <w:rsid w:val="000B6DD2"/>
    <w:rsid w:val="000B6F8E"/>
    <w:rsid w:val="000B70B6"/>
    <w:rsid w:val="000B7105"/>
    <w:rsid w:val="000B7121"/>
    <w:rsid w:val="000B71B5"/>
    <w:rsid w:val="000B7222"/>
    <w:rsid w:val="000B73AB"/>
    <w:rsid w:val="000B753D"/>
    <w:rsid w:val="000B759C"/>
    <w:rsid w:val="000B75CB"/>
    <w:rsid w:val="000B7658"/>
    <w:rsid w:val="000B7823"/>
    <w:rsid w:val="000B7893"/>
    <w:rsid w:val="000B7913"/>
    <w:rsid w:val="000B792E"/>
    <w:rsid w:val="000B798A"/>
    <w:rsid w:val="000B7A48"/>
    <w:rsid w:val="000B7B5E"/>
    <w:rsid w:val="000B7BD1"/>
    <w:rsid w:val="000B7EA7"/>
    <w:rsid w:val="000B7ECE"/>
    <w:rsid w:val="000B7F81"/>
    <w:rsid w:val="000BACAE"/>
    <w:rsid w:val="000C004B"/>
    <w:rsid w:val="000C0084"/>
    <w:rsid w:val="000C00A5"/>
    <w:rsid w:val="000C00E2"/>
    <w:rsid w:val="000C05AE"/>
    <w:rsid w:val="000C0615"/>
    <w:rsid w:val="000C06BF"/>
    <w:rsid w:val="000C07A7"/>
    <w:rsid w:val="000C0831"/>
    <w:rsid w:val="000C0A90"/>
    <w:rsid w:val="000C0B6E"/>
    <w:rsid w:val="000C1029"/>
    <w:rsid w:val="000C1126"/>
    <w:rsid w:val="000C1350"/>
    <w:rsid w:val="000C1401"/>
    <w:rsid w:val="000C1416"/>
    <w:rsid w:val="000C1459"/>
    <w:rsid w:val="000C148D"/>
    <w:rsid w:val="000C14DE"/>
    <w:rsid w:val="000C15E4"/>
    <w:rsid w:val="000C15E8"/>
    <w:rsid w:val="000C171F"/>
    <w:rsid w:val="000C179F"/>
    <w:rsid w:val="000C1800"/>
    <w:rsid w:val="000C194A"/>
    <w:rsid w:val="000C19F7"/>
    <w:rsid w:val="000C1AFC"/>
    <w:rsid w:val="000C1D96"/>
    <w:rsid w:val="000C1DC3"/>
    <w:rsid w:val="000C1E9E"/>
    <w:rsid w:val="000C1F17"/>
    <w:rsid w:val="000C1F9D"/>
    <w:rsid w:val="000C1FAE"/>
    <w:rsid w:val="000C21C8"/>
    <w:rsid w:val="000C23D3"/>
    <w:rsid w:val="000C23E2"/>
    <w:rsid w:val="000C25B1"/>
    <w:rsid w:val="000C2656"/>
    <w:rsid w:val="000C272E"/>
    <w:rsid w:val="000C29BC"/>
    <w:rsid w:val="000C2BA3"/>
    <w:rsid w:val="000C2C3C"/>
    <w:rsid w:val="000C2E49"/>
    <w:rsid w:val="000C2EC9"/>
    <w:rsid w:val="000C30CC"/>
    <w:rsid w:val="000C31AD"/>
    <w:rsid w:val="000C32B3"/>
    <w:rsid w:val="000C3399"/>
    <w:rsid w:val="000C33DE"/>
    <w:rsid w:val="000C350B"/>
    <w:rsid w:val="000C359F"/>
    <w:rsid w:val="000C37D3"/>
    <w:rsid w:val="000C385A"/>
    <w:rsid w:val="000C3948"/>
    <w:rsid w:val="000C3A6A"/>
    <w:rsid w:val="000C3BB4"/>
    <w:rsid w:val="000C3BD0"/>
    <w:rsid w:val="000C3BD2"/>
    <w:rsid w:val="000C3C7D"/>
    <w:rsid w:val="000C3DCE"/>
    <w:rsid w:val="000C3E44"/>
    <w:rsid w:val="000C403A"/>
    <w:rsid w:val="000C40BD"/>
    <w:rsid w:val="000C40D5"/>
    <w:rsid w:val="000C42BB"/>
    <w:rsid w:val="000C459B"/>
    <w:rsid w:val="000C4600"/>
    <w:rsid w:val="000C47F5"/>
    <w:rsid w:val="000C487C"/>
    <w:rsid w:val="000C4A8C"/>
    <w:rsid w:val="000C4B4F"/>
    <w:rsid w:val="000C4B62"/>
    <w:rsid w:val="000C5044"/>
    <w:rsid w:val="000C5090"/>
    <w:rsid w:val="000C50D2"/>
    <w:rsid w:val="000C51D6"/>
    <w:rsid w:val="000C5259"/>
    <w:rsid w:val="000C52A7"/>
    <w:rsid w:val="000C5378"/>
    <w:rsid w:val="000C548E"/>
    <w:rsid w:val="000C56A7"/>
    <w:rsid w:val="000C5960"/>
    <w:rsid w:val="000C5A62"/>
    <w:rsid w:val="000C5C1E"/>
    <w:rsid w:val="000C5CA4"/>
    <w:rsid w:val="000C5D33"/>
    <w:rsid w:val="000C5DEF"/>
    <w:rsid w:val="000C5ED8"/>
    <w:rsid w:val="000C5F89"/>
    <w:rsid w:val="000C609A"/>
    <w:rsid w:val="000C6252"/>
    <w:rsid w:val="000C62BB"/>
    <w:rsid w:val="000C62D1"/>
    <w:rsid w:val="000C6325"/>
    <w:rsid w:val="000C6377"/>
    <w:rsid w:val="000C6407"/>
    <w:rsid w:val="000C6520"/>
    <w:rsid w:val="000C6541"/>
    <w:rsid w:val="000C6564"/>
    <w:rsid w:val="000C6675"/>
    <w:rsid w:val="000C6887"/>
    <w:rsid w:val="000C6953"/>
    <w:rsid w:val="000C69B6"/>
    <w:rsid w:val="000C6A37"/>
    <w:rsid w:val="000C6A94"/>
    <w:rsid w:val="000C6BE6"/>
    <w:rsid w:val="000C6CA4"/>
    <w:rsid w:val="000C6D33"/>
    <w:rsid w:val="000C6D48"/>
    <w:rsid w:val="000C6FC1"/>
    <w:rsid w:val="000C7057"/>
    <w:rsid w:val="000C71C5"/>
    <w:rsid w:val="000C7219"/>
    <w:rsid w:val="000C721A"/>
    <w:rsid w:val="000C726F"/>
    <w:rsid w:val="000C7298"/>
    <w:rsid w:val="000C72E8"/>
    <w:rsid w:val="000C75BD"/>
    <w:rsid w:val="000C7656"/>
    <w:rsid w:val="000C76F2"/>
    <w:rsid w:val="000C774C"/>
    <w:rsid w:val="000C7752"/>
    <w:rsid w:val="000C7824"/>
    <w:rsid w:val="000C7865"/>
    <w:rsid w:val="000C793E"/>
    <w:rsid w:val="000C79CD"/>
    <w:rsid w:val="000C79EB"/>
    <w:rsid w:val="000C7B55"/>
    <w:rsid w:val="000C7BB1"/>
    <w:rsid w:val="000C7BDA"/>
    <w:rsid w:val="000C7BDC"/>
    <w:rsid w:val="000C7C2C"/>
    <w:rsid w:val="000C7D8F"/>
    <w:rsid w:val="000C7EE9"/>
    <w:rsid w:val="000C7FD4"/>
    <w:rsid w:val="000D004C"/>
    <w:rsid w:val="000D00D7"/>
    <w:rsid w:val="000D0244"/>
    <w:rsid w:val="000D032D"/>
    <w:rsid w:val="000D046E"/>
    <w:rsid w:val="000D0478"/>
    <w:rsid w:val="000D04CA"/>
    <w:rsid w:val="000D04D0"/>
    <w:rsid w:val="000D0551"/>
    <w:rsid w:val="000D0585"/>
    <w:rsid w:val="000D05B1"/>
    <w:rsid w:val="000D06E4"/>
    <w:rsid w:val="000D0C08"/>
    <w:rsid w:val="000D0E03"/>
    <w:rsid w:val="000D0E88"/>
    <w:rsid w:val="000D10F5"/>
    <w:rsid w:val="000D1107"/>
    <w:rsid w:val="000D11D1"/>
    <w:rsid w:val="000D127A"/>
    <w:rsid w:val="000D129C"/>
    <w:rsid w:val="000D131B"/>
    <w:rsid w:val="000D13C9"/>
    <w:rsid w:val="000D13E1"/>
    <w:rsid w:val="000D154E"/>
    <w:rsid w:val="000D17BA"/>
    <w:rsid w:val="000D17DB"/>
    <w:rsid w:val="000D18B0"/>
    <w:rsid w:val="000D19F8"/>
    <w:rsid w:val="000D1A8F"/>
    <w:rsid w:val="000D1B0F"/>
    <w:rsid w:val="000D1D6E"/>
    <w:rsid w:val="000D1E74"/>
    <w:rsid w:val="000D1EFC"/>
    <w:rsid w:val="000D2092"/>
    <w:rsid w:val="000D2142"/>
    <w:rsid w:val="000D247C"/>
    <w:rsid w:val="000D25E2"/>
    <w:rsid w:val="000D272E"/>
    <w:rsid w:val="000D2A39"/>
    <w:rsid w:val="000D2A78"/>
    <w:rsid w:val="000D2BF7"/>
    <w:rsid w:val="000D2CD9"/>
    <w:rsid w:val="000D2E59"/>
    <w:rsid w:val="000D3026"/>
    <w:rsid w:val="000D30C3"/>
    <w:rsid w:val="000D30D1"/>
    <w:rsid w:val="000D31E2"/>
    <w:rsid w:val="000D3226"/>
    <w:rsid w:val="000D34B8"/>
    <w:rsid w:val="000D3667"/>
    <w:rsid w:val="000D36ED"/>
    <w:rsid w:val="000D374D"/>
    <w:rsid w:val="000D37FF"/>
    <w:rsid w:val="000D389C"/>
    <w:rsid w:val="000D391C"/>
    <w:rsid w:val="000D3A4C"/>
    <w:rsid w:val="000D3AEC"/>
    <w:rsid w:val="000D3AF3"/>
    <w:rsid w:val="000D3D0C"/>
    <w:rsid w:val="000D3D8E"/>
    <w:rsid w:val="000D3D9B"/>
    <w:rsid w:val="000D3E4A"/>
    <w:rsid w:val="000D3EAF"/>
    <w:rsid w:val="000D3F77"/>
    <w:rsid w:val="000D4324"/>
    <w:rsid w:val="000D438A"/>
    <w:rsid w:val="000D43D1"/>
    <w:rsid w:val="000D4436"/>
    <w:rsid w:val="000D44B2"/>
    <w:rsid w:val="000D455C"/>
    <w:rsid w:val="000D457F"/>
    <w:rsid w:val="000D45A1"/>
    <w:rsid w:val="000D45D2"/>
    <w:rsid w:val="000D4613"/>
    <w:rsid w:val="000D49F0"/>
    <w:rsid w:val="000D4A76"/>
    <w:rsid w:val="000D4B4B"/>
    <w:rsid w:val="000D4CCE"/>
    <w:rsid w:val="000D4E18"/>
    <w:rsid w:val="000D50BA"/>
    <w:rsid w:val="000D50F7"/>
    <w:rsid w:val="000D5134"/>
    <w:rsid w:val="000D530F"/>
    <w:rsid w:val="000D5330"/>
    <w:rsid w:val="000D5448"/>
    <w:rsid w:val="000D547E"/>
    <w:rsid w:val="000D54FF"/>
    <w:rsid w:val="000D55A4"/>
    <w:rsid w:val="000D55AF"/>
    <w:rsid w:val="000D55D0"/>
    <w:rsid w:val="000D5670"/>
    <w:rsid w:val="000D568B"/>
    <w:rsid w:val="000D56C6"/>
    <w:rsid w:val="000D58AF"/>
    <w:rsid w:val="000D58B8"/>
    <w:rsid w:val="000D5939"/>
    <w:rsid w:val="000D597F"/>
    <w:rsid w:val="000D5A14"/>
    <w:rsid w:val="000D5A4A"/>
    <w:rsid w:val="000D5A84"/>
    <w:rsid w:val="000D5B06"/>
    <w:rsid w:val="000D5D45"/>
    <w:rsid w:val="000D5D8C"/>
    <w:rsid w:val="000D5FD3"/>
    <w:rsid w:val="000D6027"/>
    <w:rsid w:val="000D602C"/>
    <w:rsid w:val="000D624E"/>
    <w:rsid w:val="000D6397"/>
    <w:rsid w:val="000D63CA"/>
    <w:rsid w:val="000D64D5"/>
    <w:rsid w:val="000D651D"/>
    <w:rsid w:val="000D6591"/>
    <w:rsid w:val="000D65D4"/>
    <w:rsid w:val="000D65F6"/>
    <w:rsid w:val="000D6670"/>
    <w:rsid w:val="000D6733"/>
    <w:rsid w:val="000D6807"/>
    <w:rsid w:val="000D6883"/>
    <w:rsid w:val="000D6933"/>
    <w:rsid w:val="000D699E"/>
    <w:rsid w:val="000D69EE"/>
    <w:rsid w:val="000D6AA2"/>
    <w:rsid w:val="000D6B32"/>
    <w:rsid w:val="000D6C9D"/>
    <w:rsid w:val="000D6CC0"/>
    <w:rsid w:val="000D6CE8"/>
    <w:rsid w:val="000D6D78"/>
    <w:rsid w:val="000D6DC6"/>
    <w:rsid w:val="000D727D"/>
    <w:rsid w:val="000D73C1"/>
    <w:rsid w:val="000D73FC"/>
    <w:rsid w:val="000D7431"/>
    <w:rsid w:val="000D765B"/>
    <w:rsid w:val="000D7816"/>
    <w:rsid w:val="000D785A"/>
    <w:rsid w:val="000D791E"/>
    <w:rsid w:val="000D7A9F"/>
    <w:rsid w:val="000D7AF7"/>
    <w:rsid w:val="000D7B73"/>
    <w:rsid w:val="000D7BAB"/>
    <w:rsid w:val="000D7BCA"/>
    <w:rsid w:val="000D7BF4"/>
    <w:rsid w:val="000D7ECE"/>
    <w:rsid w:val="000D7EF0"/>
    <w:rsid w:val="000D7FB6"/>
    <w:rsid w:val="000E00A1"/>
    <w:rsid w:val="000E0104"/>
    <w:rsid w:val="000E02B6"/>
    <w:rsid w:val="000E02EE"/>
    <w:rsid w:val="000E0383"/>
    <w:rsid w:val="000E03B0"/>
    <w:rsid w:val="000E061F"/>
    <w:rsid w:val="000E0689"/>
    <w:rsid w:val="000E06C0"/>
    <w:rsid w:val="000E0776"/>
    <w:rsid w:val="000E079C"/>
    <w:rsid w:val="000E0984"/>
    <w:rsid w:val="000E0A5B"/>
    <w:rsid w:val="000E0C22"/>
    <w:rsid w:val="000E0C25"/>
    <w:rsid w:val="000E110E"/>
    <w:rsid w:val="000E11B7"/>
    <w:rsid w:val="000E12B4"/>
    <w:rsid w:val="000E14C6"/>
    <w:rsid w:val="000E15BE"/>
    <w:rsid w:val="000E162F"/>
    <w:rsid w:val="000E1645"/>
    <w:rsid w:val="000E1670"/>
    <w:rsid w:val="000E16E8"/>
    <w:rsid w:val="000E1739"/>
    <w:rsid w:val="000E1750"/>
    <w:rsid w:val="000E17F4"/>
    <w:rsid w:val="000E18FC"/>
    <w:rsid w:val="000E191C"/>
    <w:rsid w:val="000E1A89"/>
    <w:rsid w:val="000E1AC5"/>
    <w:rsid w:val="000E1BBD"/>
    <w:rsid w:val="000E1BC1"/>
    <w:rsid w:val="000E1BFA"/>
    <w:rsid w:val="000E1C18"/>
    <w:rsid w:val="000E1C54"/>
    <w:rsid w:val="000E1D7D"/>
    <w:rsid w:val="000E1D93"/>
    <w:rsid w:val="000E1DDF"/>
    <w:rsid w:val="000E1F00"/>
    <w:rsid w:val="000E1F4C"/>
    <w:rsid w:val="000E1F92"/>
    <w:rsid w:val="000E2050"/>
    <w:rsid w:val="000E218F"/>
    <w:rsid w:val="000E21ED"/>
    <w:rsid w:val="000E2452"/>
    <w:rsid w:val="000E2538"/>
    <w:rsid w:val="000E253A"/>
    <w:rsid w:val="000E2561"/>
    <w:rsid w:val="000E25DB"/>
    <w:rsid w:val="000E2615"/>
    <w:rsid w:val="000E272D"/>
    <w:rsid w:val="000E2748"/>
    <w:rsid w:val="000E2752"/>
    <w:rsid w:val="000E27F4"/>
    <w:rsid w:val="000E290E"/>
    <w:rsid w:val="000E2A79"/>
    <w:rsid w:val="000E2AF0"/>
    <w:rsid w:val="000E2B3D"/>
    <w:rsid w:val="000E2C50"/>
    <w:rsid w:val="000E2D04"/>
    <w:rsid w:val="000E2D58"/>
    <w:rsid w:val="000E2DA8"/>
    <w:rsid w:val="000E2EF6"/>
    <w:rsid w:val="000E2F65"/>
    <w:rsid w:val="000E2FFA"/>
    <w:rsid w:val="000E3005"/>
    <w:rsid w:val="000E312E"/>
    <w:rsid w:val="000E31A3"/>
    <w:rsid w:val="000E3200"/>
    <w:rsid w:val="000E3220"/>
    <w:rsid w:val="000E3256"/>
    <w:rsid w:val="000E326E"/>
    <w:rsid w:val="000E33BD"/>
    <w:rsid w:val="000E33BF"/>
    <w:rsid w:val="000E347B"/>
    <w:rsid w:val="000E351D"/>
    <w:rsid w:val="000E3554"/>
    <w:rsid w:val="000E35EE"/>
    <w:rsid w:val="000E37A6"/>
    <w:rsid w:val="000E380B"/>
    <w:rsid w:val="000E3B63"/>
    <w:rsid w:val="000E3B65"/>
    <w:rsid w:val="000E3CE1"/>
    <w:rsid w:val="000E3E53"/>
    <w:rsid w:val="000E4077"/>
    <w:rsid w:val="000E42F5"/>
    <w:rsid w:val="000E434B"/>
    <w:rsid w:val="000E43B5"/>
    <w:rsid w:val="000E4659"/>
    <w:rsid w:val="000E48BB"/>
    <w:rsid w:val="000E4A03"/>
    <w:rsid w:val="000E4C26"/>
    <w:rsid w:val="000E4C61"/>
    <w:rsid w:val="000E4D04"/>
    <w:rsid w:val="000E4D40"/>
    <w:rsid w:val="000E4DBB"/>
    <w:rsid w:val="000E4EC4"/>
    <w:rsid w:val="000E4ED6"/>
    <w:rsid w:val="000E4EEE"/>
    <w:rsid w:val="000E4F83"/>
    <w:rsid w:val="000E51BD"/>
    <w:rsid w:val="000E521E"/>
    <w:rsid w:val="000E5299"/>
    <w:rsid w:val="000E52BD"/>
    <w:rsid w:val="000E53BD"/>
    <w:rsid w:val="000E5412"/>
    <w:rsid w:val="000E5653"/>
    <w:rsid w:val="000E56B5"/>
    <w:rsid w:val="000E585C"/>
    <w:rsid w:val="000E5864"/>
    <w:rsid w:val="000E58AC"/>
    <w:rsid w:val="000E58E0"/>
    <w:rsid w:val="000E5A11"/>
    <w:rsid w:val="000E5A25"/>
    <w:rsid w:val="000E5B3E"/>
    <w:rsid w:val="000E5E2A"/>
    <w:rsid w:val="000E5E8A"/>
    <w:rsid w:val="000E5F3A"/>
    <w:rsid w:val="000E5FA2"/>
    <w:rsid w:val="000E60F3"/>
    <w:rsid w:val="000E6122"/>
    <w:rsid w:val="000E61CB"/>
    <w:rsid w:val="000E6290"/>
    <w:rsid w:val="000E6309"/>
    <w:rsid w:val="000E642F"/>
    <w:rsid w:val="000E64B7"/>
    <w:rsid w:val="000E65E3"/>
    <w:rsid w:val="000E6622"/>
    <w:rsid w:val="000E675F"/>
    <w:rsid w:val="000E6878"/>
    <w:rsid w:val="000E6957"/>
    <w:rsid w:val="000E697E"/>
    <w:rsid w:val="000E6A06"/>
    <w:rsid w:val="000E6A20"/>
    <w:rsid w:val="000E6C08"/>
    <w:rsid w:val="000E6DF3"/>
    <w:rsid w:val="000E6ED2"/>
    <w:rsid w:val="000E6F3D"/>
    <w:rsid w:val="000E712E"/>
    <w:rsid w:val="000E7319"/>
    <w:rsid w:val="000E767A"/>
    <w:rsid w:val="000E78D8"/>
    <w:rsid w:val="000E79E5"/>
    <w:rsid w:val="000E7A06"/>
    <w:rsid w:val="000E7CB4"/>
    <w:rsid w:val="000E7F1C"/>
    <w:rsid w:val="000E7FB4"/>
    <w:rsid w:val="000F004A"/>
    <w:rsid w:val="000F011A"/>
    <w:rsid w:val="000F0232"/>
    <w:rsid w:val="000F03AB"/>
    <w:rsid w:val="000F03C7"/>
    <w:rsid w:val="000F0468"/>
    <w:rsid w:val="000F047F"/>
    <w:rsid w:val="000F054E"/>
    <w:rsid w:val="000F06AE"/>
    <w:rsid w:val="000F0791"/>
    <w:rsid w:val="000F0961"/>
    <w:rsid w:val="000F0B32"/>
    <w:rsid w:val="000F0B8A"/>
    <w:rsid w:val="000F0C02"/>
    <w:rsid w:val="000F0D09"/>
    <w:rsid w:val="000F0D0B"/>
    <w:rsid w:val="000F0D40"/>
    <w:rsid w:val="000F0D51"/>
    <w:rsid w:val="000F1046"/>
    <w:rsid w:val="000F1088"/>
    <w:rsid w:val="000F10A9"/>
    <w:rsid w:val="000F10BB"/>
    <w:rsid w:val="000F12E1"/>
    <w:rsid w:val="000F14DA"/>
    <w:rsid w:val="000F15D4"/>
    <w:rsid w:val="000F15E2"/>
    <w:rsid w:val="000F15FD"/>
    <w:rsid w:val="000F1639"/>
    <w:rsid w:val="000F16FD"/>
    <w:rsid w:val="000F1754"/>
    <w:rsid w:val="000F192C"/>
    <w:rsid w:val="000F1958"/>
    <w:rsid w:val="000F19A4"/>
    <w:rsid w:val="000F1BE2"/>
    <w:rsid w:val="000F1E11"/>
    <w:rsid w:val="000F1EAE"/>
    <w:rsid w:val="000F1EF4"/>
    <w:rsid w:val="000F1F30"/>
    <w:rsid w:val="000F2221"/>
    <w:rsid w:val="000F2222"/>
    <w:rsid w:val="000F2442"/>
    <w:rsid w:val="000F253E"/>
    <w:rsid w:val="000F2582"/>
    <w:rsid w:val="000F260B"/>
    <w:rsid w:val="000F272D"/>
    <w:rsid w:val="000F289F"/>
    <w:rsid w:val="000F2B6E"/>
    <w:rsid w:val="000F2BBF"/>
    <w:rsid w:val="000F2C0F"/>
    <w:rsid w:val="000F2CE2"/>
    <w:rsid w:val="000F2D48"/>
    <w:rsid w:val="000F2D50"/>
    <w:rsid w:val="000F2D5E"/>
    <w:rsid w:val="000F2DEC"/>
    <w:rsid w:val="000F2E01"/>
    <w:rsid w:val="000F2E14"/>
    <w:rsid w:val="000F2EDD"/>
    <w:rsid w:val="000F2EEB"/>
    <w:rsid w:val="000F2EF3"/>
    <w:rsid w:val="000F2F79"/>
    <w:rsid w:val="000F3155"/>
    <w:rsid w:val="000F31ED"/>
    <w:rsid w:val="000F3319"/>
    <w:rsid w:val="000F331E"/>
    <w:rsid w:val="000F3397"/>
    <w:rsid w:val="000F33B2"/>
    <w:rsid w:val="000F343E"/>
    <w:rsid w:val="000F353A"/>
    <w:rsid w:val="000F3594"/>
    <w:rsid w:val="000F35F7"/>
    <w:rsid w:val="000F3673"/>
    <w:rsid w:val="000F36CD"/>
    <w:rsid w:val="000F37F8"/>
    <w:rsid w:val="000F39A8"/>
    <w:rsid w:val="000F3D4D"/>
    <w:rsid w:val="000F3D52"/>
    <w:rsid w:val="000F3EC2"/>
    <w:rsid w:val="000F3ECE"/>
    <w:rsid w:val="000F42C5"/>
    <w:rsid w:val="000F4362"/>
    <w:rsid w:val="000F438C"/>
    <w:rsid w:val="000F4425"/>
    <w:rsid w:val="000F4486"/>
    <w:rsid w:val="000F44D1"/>
    <w:rsid w:val="000F44F5"/>
    <w:rsid w:val="000F4551"/>
    <w:rsid w:val="000F45F6"/>
    <w:rsid w:val="000F462D"/>
    <w:rsid w:val="000F46C4"/>
    <w:rsid w:val="000F4786"/>
    <w:rsid w:val="000F4793"/>
    <w:rsid w:val="000F47F6"/>
    <w:rsid w:val="000F4993"/>
    <w:rsid w:val="000F4A2A"/>
    <w:rsid w:val="000F4C8E"/>
    <w:rsid w:val="000F4D99"/>
    <w:rsid w:val="000F4DAD"/>
    <w:rsid w:val="000F4DBD"/>
    <w:rsid w:val="000F4E71"/>
    <w:rsid w:val="000F4EC1"/>
    <w:rsid w:val="000F504E"/>
    <w:rsid w:val="000F50A7"/>
    <w:rsid w:val="000F51DF"/>
    <w:rsid w:val="000F5229"/>
    <w:rsid w:val="000F5282"/>
    <w:rsid w:val="000F5359"/>
    <w:rsid w:val="000F5364"/>
    <w:rsid w:val="000F53C5"/>
    <w:rsid w:val="000F53EB"/>
    <w:rsid w:val="000F5478"/>
    <w:rsid w:val="000F5509"/>
    <w:rsid w:val="000F553F"/>
    <w:rsid w:val="000F563F"/>
    <w:rsid w:val="000F5645"/>
    <w:rsid w:val="000F577E"/>
    <w:rsid w:val="000F5904"/>
    <w:rsid w:val="000F5AD5"/>
    <w:rsid w:val="000F5F3B"/>
    <w:rsid w:val="000F5F98"/>
    <w:rsid w:val="000F617F"/>
    <w:rsid w:val="000F61D3"/>
    <w:rsid w:val="000F62F0"/>
    <w:rsid w:val="000F6316"/>
    <w:rsid w:val="000F6321"/>
    <w:rsid w:val="000F6348"/>
    <w:rsid w:val="000F63CB"/>
    <w:rsid w:val="000F64CB"/>
    <w:rsid w:val="000F64E6"/>
    <w:rsid w:val="000F667D"/>
    <w:rsid w:val="000F66DB"/>
    <w:rsid w:val="000F678C"/>
    <w:rsid w:val="000F680C"/>
    <w:rsid w:val="000F6841"/>
    <w:rsid w:val="000F688D"/>
    <w:rsid w:val="000F6962"/>
    <w:rsid w:val="000F69DE"/>
    <w:rsid w:val="000F69E2"/>
    <w:rsid w:val="000F6AD3"/>
    <w:rsid w:val="000F6AE4"/>
    <w:rsid w:val="000F6AE5"/>
    <w:rsid w:val="000F6B78"/>
    <w:rsid w:val="000F6C2B"/>
    <w:rsid w:val="000F6D97"/>
    <w:rsid w:val="000F6F83"/>
    <w:rsid w:val="000F71F8"/>
    <w:rsid w:val="000F7247"/>
    <w:rsid w:val="000F7444"/>
    <w:rsid w:val="000F7458"/>
    <w:rsid w:val="000F74DA"/>
    <w:rsid w:val="000F76AE"/>
    <w:rsid w:val="000F76BC"/>
    <w:rsid w:val="000F7772"/>
    <w:rsid w:val="000F7780"/>
    <w:rsid w:val="000F77B5"/>
    <w:rsid w:val="000F78B5"/>
    <w:rsid w:val="000F7AF6"/>
    <w:rsid w:val="000F7BCE"/>
    <w:rsid w:val="000F7CEF"/>
    <w:rsid w:val="000F7D69"/>
    <w:rsid w:val="000F7E47"/>
    <w:rsid w:val="00100072"/>
    <w:rsid w:val="00100189"/>
    <w:rsid w:val="00100257"/>
    <w:rsid w:val="00100284"/>
    <w:rsid w:val="00100288"/>
    <w:rsid w:val="001005C7"/>
    <w:rsid w:val="001009E0"/>
    <w:rsid w:val="00100A79"/>
    <w:rsid w:val="00100AEF"/>
    <w:rsid w:val="00100BCE"/>
    <w:rsid w:val="00100C06"/>
    <w:rsid w:val="00100C3A"/>
    <w:rsid w:val="00100CA8"/>
    <w:rsid w:val="00100CF3"/>
    <w:rsid w:val="00100D8A"/>
    <w:rsid w:val="0010100D"/>
    <w:rsid w:val="001011E3"/>
    <w:rsid w:val="001014B1"/>
    <w:rsid w:val="00101688"/>
    <w:rsid w:val="001016A5"/>
    <w:rsid w:val="0010178C"/>
    <w:rsid w:val="00101865"/>
    <w:rsid w:val="0010187A"/>
    <w:rsid w:val="00101B0B"/>
    <w:rsid w:val="00101D3D"/>
    <w:rsid w:val="00101DEB"/>
    <w:rsid w:val="00101E08"/>
    <w:rsid w:val="00101FA1"/>
    <w:rsid w:val="00101FBA"/>
    <w:rsid w:val="00101FCD"/>
    <w:rsid w:val="00102009"/>
    <w:rsid w:val="0010205A"/>
    <w:rsid w:val="001020F7"/>
    <w:rsid w:val="00102103"/>
    <w:rsid w:val="0010218B"/>
    <w:rsid w:val="001021C5"/>
    <w:rsid w:val="00102251"/>
    <w:rsid w:val="001022BD"/>
    <w:rsid w:val="00102385"/>
    <w:rsid w:val="001023AC"/>
    <w:rsid w:val="001023BF"/>
    <w:rsid w:val="00102443"/>
    <w:rsid w:val="0010244F"/>
    <w:rsid w:val="00102477"/>
    <w:rsid w:val="001024FE"/>
    <w:rsid w:val="00102575"/>
    <w:rsid w:val="00102675"/>
    <w:rsid w:val="001026E2"/>
    <w:rsid w:val="00102723"/>
    <w:rsid w:val="001027B5"/>
    <w:rsid w:val="00102897"/>
    <w:rsid w:val="00102A20"/>
    <w:rsid w:val="00102AC4"/>
    <w:rsid w:val="00102D94"/>
    <w:rsid w:val="00102F8E"/>
    <w:rsid w:val="0010301B"/>
    <w:rsid w:val="001030F8"/>
    <w:rsid w:val="001032C8"/>
    <w:rsid w:val="001033AF"/>
    <w:rsid w:val="001034AC"/>
    <w:rsid w:val="0010357C"/>
    <w:rsid w:val="0010366C"/>
    <w:rsid w:val="0010367E"/>
    <w:rsid w:val="00103680"/>
    <w:rsid w:val="00103712"/>
    <w:rsid w:val="001037B6"/>
    <w:rsid w:val="001037E6"/>
    <w:rsid w:val="001038C5"/>
    <w:rsid w:val="0010391A"/>
    <w:rsid w:val="001039E4"/>
    <w:rsid w:val="00103AD6"/>
    <w:rsid w:val="00103CE5"/>
    <w:rsid w:val="00103DBB"/>
    <w:rsid w:val="00103DD8"/>
    <w:rsid w:val="00103E14"/>
    <w:rsid w:val="00103EE0"/>
    <w:rsid w:val="00103F6F"/>
    <w:rsid w:val="00103F84"/>
    <w:rsid w:val="00103FB7"/>
    <w:rsid w:val="00104071"/>
    <w:rsid w:val="001040BA"/>
    <w:rsid w:val="0010419F"/>
    <w:rsid w:val="0010444D"/>
    <w:rsid w:val="001045FF"/>
    <w:rsid w:val="0010463D"/>
    <w:rsid w:val="0010463E"/>
    <w:rsid w:val="00104748"/>
    <w:rsid w:val="00104769"/>
    <w:rsid w:val="00104797"/>
    <w:rsid w:val="0010481E"/>
    <w:rsid w:val="00104993"/>
    <w:rsid w:val="0010499E"/>
    <w:rsid w:val="00104B5E"/>
    <w:rsid w:val="00104B8E"/>
    <w:rsid w:val="00104C86"/>
    <w:rsid w:val="00104ED8"/>
    <w:rsid w:val="001050B2"/>
    <w:rsid w:val="00105121"/>
    <w:rsid w:val="0010512C"/>
    <w:rsid w:val="00105185"/>
    <w:rsid w:val="001052A4"/>
    <w:rsid w:val="001052E5"/>
    <w:rsid w:val="00105423"/>
    <w:rsid w:val="0010545C"/>
    <w:rsid w:val="00105476"/>
    <w:rsid w:val="00105483"/>
    <w:rsid w:val="001054C6"/>
    <w:rsid w:val="0010557A"/>
    <w:rsid w:val="0010573D"/>
    <w:rsid w:val="001057D5"/>
    <w:rsid w:val="0010593B"/>
    <w:rsid w:val="00105948"/>
    <w:rsid w:val="0010596D"/>
    <w:rsid w:val="00105A64"/>
    <w:rsid w:val="00105A6F"/>
    <w:rsid w:val="00105ABE"/>
    <w:rsid w:val="00105B76"/>
    <w:rsid w:val="00105BE6"/>
    <w:rsid w:val="00105D71"/>
    <w:rsid w:val="00105F62"/>
    <w:rsid w:val="001060DA"/>
    <w:rsid w:val="001062BD"/>
    <w:rsid w:val="00106350"/>
    <w:rsid w:val="001063DD"/>
    <w:rsid w:val="001065C3"/>
    <w:rsid w:val="001065F5"/>
    <w:rsid w:val="00106693"/>
    <w:rsid w:val="00106774"/>
    <w:rsid w:val="00106944"/>
    <w:rsid w:val="0010696C"/>
    <w:rsid w:val="001069F6"/>
    <w:rsid w:val="00106A8C"/>
    <w:rsid w:val="00106A9B"/>
    <w:rsid w:val="00106AA0"/>
    <w:rsid w:val="00106AAE"/>
    <w:rsid w:val="00106C39"/>
    <w:rsid w:val="00106C3B"/>
    <w:rsid w:val="00106C76"/>
    <w:rsid w:val="00106CEE"/>
    <w:rsid w:val="00106DDA"/>
    <w:rsid w:val="00106DFC"/>
    <w:rsid w:val="00106E8B"/>
    <w:rsid w:val="00106EDC"/>
    <w:rsid w:val="0010703B"/>
    <w:rsid w:val="001071A9"/>
    <w:rsid w:val="001071D7"/>
    <w:rsid w:val="001071F2"/>
    <w:rsid w:val="00107223"/>
    <w:rsid w:val="0010735C"/>
    <w:rsid w:val="001073A1"/>
    <w:rsid w:val="00107452"/>
    <w:rsid w:val="001074D0"/>
    <w:rsid w:val="0010751C"/>
    <w:rsid w:val="0010762D"/>
    <w:rsid w:val="001076F4"/>
    <w:rsid w:val="0010780F"/>
    <w:rsid w:val="00107812"/>
    <w:rsid w:val="00107C94"/>
    <w:rsid w:val="00107CCF"/>
    <w:rsid w:val="00107D5B"/>
    <w:rsid w:val="00107D81"/>
    <w:rsid w:val="00107E1C"/>
    <w:rsid w:val="00107ED0"/>
    <w:rsid w:val="00107FC2"/>
    <w:rsid w:val="0011012F"/>
    <w:rsid w:val="00110145"/>
    <w:rsid w:val="00110164"/>
    <w:rsid w:val="00110273"/>
    <w:rsid w:val="0011032C"/>
    <w:rsid w:val="0011035D"/>
    <w:rsid w:val="001103A3"/>
    <w:rsid w:val="001104C6"/>
    <w:rsid w:val="00110550"/>
    <w:rsid w:val="0011079D"/>
    <w:rsid w:val="001107E1"/>
    <w:rsid w:val="00110810"/>
    <w:rsid w:val="00110A05"/>
    <w:rsid w:val="00110A8A"/>
    <w:rsid w:val="00110A90"/>
    <w:rsid w:val="00110AEE"/>
    <w:rsid w:val="00110AFA"/>
    <w:rsid w:val="00110B39"/>
    <w:rsid w:val="00110C74"/>
    <w:rsid w:val="00110D1E"/>
    <w:rsid w:val="00110E1B"/>
    <w:rsid w:val="00110E37"/>
    <w:rsid w:val="00110EE9"/>
    <w:rsid w:val="00110F0D"/>
    <w:rsid w:val="001110B2"/>
    <w:rsid w:val="0011115F"/>
    <w:rsid w:val="00111164"/>
    <w:rsid w:val="001111B0"/>
    <w:rsid w:val="00111408"/>
    <w:rsid w:val="00111446"/>
    <w:rsid w:val="0011159C"/>
    <w:rsid w:val="0011165A"/>
    <w:rsid w:val="001116BA"/>
    <w:rsid w:val="00111716"/>
    <w:rsid w:val="001117AC"/>
    <w:rsid w:val="001117FB"/>
    <w:rsid w:val="00111810"/>
    <w:rsid w:val="00111838"/>
    <w:rsid w:val="00111870"/>
    <w:rsid w:val="001119EC"/>
    <w:rsid w:val="00111BDC"/>
    <w:rsid w:val="00111E7F"/>
    <w:rsid w:val="00111EA9"/>
    <w:rsid w:val="00111F6C"/>
    <w:rsid w:val="00111FCC"/>
    <w:rsid w:val="001121A3"/>
    <w:rsid w:val="001122E0"/>
    <w:rsid w:val="001123EE"/>
    <w:rsid w:val="001124BA"/>
    <w:rsid w:val="0011251F"/>
    <w:rsid w:val="00112560"/>
    <w:rsid w:val="001125EF"/>
    <w:rsid w:val="00112751"/>
    <w:rsid w:val="00112901"/>
    <w:rsid w:val="00112926"/>
    <w:rsid w:val="00112A52"/>
    <w:rsid w:val="00112ACD"/>
    <w:rsid w:val="00112C12"/>
    <w:rsid w:val="00112CB5"/>
    <w:rsid w:val="00112CD5"/>
    <w:rsid w:val="00112D92"/>
    <w:rsid w:val="00112E11"/>
    <w:rsid w:val="00113077"/>
    <w:rsid w:val="00113185"/>
    <w:rsid w:val="00113249"/>
    <w:rsid w:val="00113260"/>
    <w:rsid w:val="00113349"/>
    <w:rsid w:val="00113431"/>
    <w:rsid w:val="00113442"/>
    <w:rsid w:val="001134C5"/>
    <w:rsid w:val="0011355E"/>
    <w:rsid w:val="001136A5"/>
    <w:rsid w:val="00113800"/>
    <w:rsid w:val="00113918"/>
    <w:rsid w:val="00113A20"/>
    <w:rsid w:val="00113B45"/>
    <w:rsid w:val="00113D4B"/>
    <w:rsid w:val="00113D94"/>
    <w:rsid w:val="00113F27"/>
    <w:rsid w:val="00113F3A"/>
    <w:rsid w:val="0011401A"/>
    <w:rsid w:val="001140CC"/>
    <w:rsid w:val="00114139"/>
    <w:rsid w:val="00114295"/>
    <w:rsid w:val="001142EE"/>
    <w:rsid w:val="00114304"/>
    <w:rsid w:val="001143FD"/>
    <w:rsid w:val="00114597"/>
    <w:rsid w:val="00114646"/>
    <w:rsid w:val="00114825"/>
    <w:rsid w:val="0011491D"/>
    <w:rsid w:val="001149CA"/>
    <w:rsid w:val="00114AB4"/>
    <w:rsid w:val="00114AEF"/>
    <w:rsid w:val="00114D2F"/>
    <w:rsid w:val="00114E5E"/>
    <w:rsid w:val="00114E9B"/>
    <w:rsid w:val="00114EE5"/>
    <w:rsid w:val="001150C8"/>
    <w:rsid w:val="001150D5"/>
    <w:rsid w:val="00115123"/>
    <w:rsid w:val="00115195"/>
    <w:rsid w:val="001152C5"/>
    <w:rsid w:val="001153F0"/>
    <w:rsid w:val="0011549F"/>
    <w:rsid w:val="00115570"/>
    <w:rsid w:val="00115591"/>
    <w:rsid w:val="0011560A"/>
    <w:rsid w:val="00115773"/>
    <w:rsid w:val="00115806"/>
    <w:rsid w:val="001159B1"/>
    <w:rsid w:val="00115A73"/>
    <w:rsid w:val="00115A99"/>
    <w:rsid w:val="00115B38"/>
    <w:rsid w:val="00115B61"/>
    <w:rsid w:val="00115BC8"/>
    <w:rsid w:val="00115CD2"/>
    <w:rsid w:val="00115EF1"/>
    <w:rsid w:val="00116333"/>
    <w:rsid w:val="00116412"/>
    <w:rsid w:val="00116546"/>
    <w:rsid w:val="001168E3"/>
    <w:rsid w:val="001169CF"/>
    <w:rsid w:val="00116BA5"/>
    <w:rsid w:val="00116C68"/>
    <w:rsid w:val="00116CE4"/>
    <w:rsid w:val="00116D4C"/>
    <w:rsid w:val="00116D96"/>
    <w:rsid w:val="00116DAB"/>
    <w:rsid w:val="00116E3A"/>
    <w:rsid w:val="00116E96"/>
    <w:rsid w:val="00116EA6"/>
    <w:rsid w:val="00116FA9"/>
    <w:rsid w:val="00117029"/>
    <w:rsid w:val="001171A4"/>
    <w:rsid w:val="0011738C"/>
    <w:rsid w:val="00117781"/>
    <w:rsid w:val="0011778E"/>
    <w:rsid w:val="001177C8"/>
    <w:rsid w:val="001177FE"/>
    <w:rsid w:val="00117927"/>
    <w:rsid w:val="0011792B"/>
    <w:rsid w:val="00117B0F"/>
    <w:rsid w:val="00117B41"/>
    <w:rsid w:val="00117D7F"/>
    <w:rsid w:val="00117E3F"/>
    <w:rsid w:val="00117EAE"/>
    <w:rsid w:val="00117F28"/>
    <w:rsid w:val="0011949C"/>
    <w:rsid w:val="0012004A"/>
    <w:rsid w:val="001200A8"/>
    <w:rsid w:val="00120183"/>
    <w:rsid w:val="00120550"/>
    <w:rsid w:val="001205E3"/>
    <w:rsid w:val="00120684"/>
    <w:rsid w:val="001206F4"/>
    <w:rsid w:val="001207F5"/>
    <w:rsid w:val="001209B7"/>
    <w:rsid w:val="00120B91"/>
    <w:rsid w:val="00120C4C"/>
    <w:rsid w:val="00120CF0"/>
    <w:rsid w:val="00120D66"/>
    <w:rsid w:val="00120F35"/>
    <w:rsid w:val="00120FA3"/>
    <w:rsid w:val="0012107A"/>
    <w:rsid w:val="001212C1"/>
    <w:rsid w:val="0012155C"/>
    <w:rsid w:val="001215EB"/>
    <w:rsid w:val="001216BC"/>
    <w:rsid w:val="0012173D"/>
    <w:rsid w:val="00121928"/>
    <w:rsid w:val="00121977"/>
    <w:rsid w:val="001219B1"/>
    <w:rsid w:val="00121A0F"/>
    <w:rsid w:val="00121BF8"/>
    <w:rsid w:val="00121CAB"/>
    <w:rsid w:val="00121D60"/>
    <w:rsid w:val="00121D80"/>
    <w:rsid w:val="00121DD1"/>
    <w:rsid w:val="00121EA9"/>
    <w:rsid w:val="00121ECB"/>
    <w:rsid w:val="00121ECC"/>
    <w:rsid w:val="0012202B"/>
    <w:rsid w:val="00122070"/>
    <w:rsid w:val="001220B2"/>
    <w:rsid w:val="001220B3"/>
    <w:rsid w:val="001220B7"/>
    <w:rsid w:val="00122101"/>
    <w:rsid w:val="001223E5"/>
    <w:rsid w:val="00122443"/>
    <w:rsid w:val="001225D3"/>
    <w:rsid w:val="00122A72"/>
    <w:rsid w:val="00122B8F"/>
    <w:rsid w:val="00122BF8"/>
    <w:rsid w:val="00122C55"/>
    <w:rsid w:val="00122D7C"/>
    <w:rsid w:val="00122ED1"/>
    <w:rsid w:val="00122F54"/>
    <w:rsid w:val="00123082"/>
    <w:rsid w:val="00123094"/>
    <w:rsid w:val="001230EC"/>
    <w:rsid w:val="0012316D"/>
    <w:rsid w:val="00123291"/>
    <w:rsid w:val="001233A7"/>
    <w:rsid w:val="001233CC"/>
    <w:rsid w:val="0012342D"/>
    <w:rsid w:val="00123559"/>
    <w:rsid w:val="00123637"/>
    <w:rsid w:val="0012363D"/>
    <w:rsid w:val="001236C6"/>
    <w:rsid w:val="00123764"/>
    <w:rsid w:val="001238EF"/>
    <w:rsid w:val="001239D8"/>
    <w:rsid w:val="00123A17"/>
    <w:rsid w:val="00123A1A"/>
    <w:rsid w:val="00123ABB"/>
    <w:rsid w:val="00123AE0"/>
    <w:rsid w:val="00123C70"/>
    <w:rsid w:val="00123CC3"/>
    <w:rsid w:val="00123CFD"/>
    <w:rsid w:val="00123E75"/>
    <w:rsid w:val="00123E76"/>
    <w:rsid w:val="00124017"/>
    <w:rsid w:val="00124037"/>
    <w:rsid w:val="001242EC"/>
    <w:rsid w:val="0012440D"/>
    <w:rsid w:val="001245AA"/>
    <w:rsid w:val="001245DF"/>
    <w:rsid w:val="0012466E"/>
    <w:rsid w:val="001246F9"/>
    <w:rsid w:val="00124713"/>
    <w:rsid w:val="001247A9"/>
    <w:rsid w:val="00124878"/>
    <w:rsid w:val="001249E4"/>
    <w:rsid w:val="00124A1A"/>
    <w:rsid w:val="00124A2C"/>
    <w:rsid w:val="00124B22"/>
    <w:rsid w:val="00124B8F"/>
    <w:rsid w:val="00124CB8"/>
    <w:rsid w:val="00124D95"/>
    <w:rsid w:val="00124DE7"/>
    <w:rsid w:val="00124EED"/>
    <w:rsid w:val="00124F96"/>
    <w:rsid w:val="00124FBB"/>
    <w:rsid w:val="00124FD5"/>
    <w:rsid w:val="00125005"/>
    <w:rsid w:val="001250E9"/>
    <w:rsid w:val="00125134"/>
    <w:rsid w:val="001252E7"/>
    <w:rsid w:val="00125335"/>
    <w:rsid w:val="00125354"/>
    <w:rsid w:val="001253D5"/>
    <w:rsid w:val="0012550A"/>
    <w:rsid w:val="00125605"/>
    <w:rsid w:val="00125640"/>
    <w:rsid w:val="001258BF"/>
    <w:rsid w:val="001258D5"/>
    <w:rsid w:val="001259B6"/>
    <w:rsid w:val="00125AF6"/>
    <w:rsid w:val="00125C6F"/>
    <w:rsid w:val="00125C82"/>
    <w:rsid w:val="00125D46"/>
    <w:rsid w:val="00125E07"/>
    <w:rsid w:val="00125F07"/>
    <w:rsid w:val="0012600D"/>
    <w:rsid w:val="0012607D"/>
    <w:rsid w:val="00126144"/>
    <w:rsid w:val="00126170"/>
    <w:rsid w:val="00126258"/>
    <w:rsid w:val="001262E9"/>
    <w:rsid w:val="001262EC"/>
    <w:rsid w:val="00126510"/>
    <w:rsid w:val="00126592"/>
    <w:rsid w:val="00126701"/>
    <w:rsid w:val="00126705"/>
    <w:rsid w:val="001267A8"/>
    <w:rsid w:val="00126886"/>
    <w:rsid w:val="001268C6"/>
    <w:rsid w:val="0012693F"/>
    <w:rsid w:val="001269BD"/>
    <w:rsid w:val="001269E6"/>
    <w:rsid w:val="00126A5C"/>
    <w:rsid w:val="00126AFA"/>
    <w:rsid w:val="00126B99"/>
    <w:rsid w:val="00126C7B"/>
    <w:rsid w:val="00126CBE"/>
    <w:rsid w:val="00126D22"/>
    <w:rsid w:val="00126E4A"/>
    <w:rsid w:val="00126F16"/>
    <w:rsid w:val="00127041"/>
    <w:rsid w:val="0012706F"/>
    <w:rsid w:val="0012715B"/>
    <w:rsid w:val="00127457"/>
    <w:rsid w:val="001274F5"/>
    <w:rsid w:val="001275B9"/>
    <w:rsid w:val="001275CE"/>
    <w:rsid w:val="001276EC"/>
    <w:rsid w:val="001276F3"/>
    <w:rsid w:val="001277A6"/>
    <w:rsid w:val="001277C9"/>
    <w:rsid w:val="00127818"/>
    <w:rsid w:val="0012783B"/>
    <w:rsid w:val="0012787B"/>
    <w:rsid w:val="001278E4"/>
    <w:rsid w:val="0012796C"/>
    <w:rsid w:val="00127B6F"/>
    <w:rsid w:val="00127B71"/>
    <w:rsid w:val="00127CDB"/>
    <w:rsid w:val="00127D9F"/>
    <w:rsid w:val="00127DE9"/>
    <w:rsid w:val="00127E41"/>
    <w:rsid w:val="00127E6B"/>
    <w:rsid w:val="00127EC1"/>
    <w:rsid w:val="00127FC7"/>
    <w:rsid w:val="00130174"/>
    <w:rsid w:val="001303F9"/>
    <w:rsid w:val="00130665"/>
    <w:rsid w:val="001308A5"/>
    <w:rsid w:val="001308E8"/>
    <w:rsid w:val="00130911"/>
    <w:rsid w:val="00130922"/>
    <w:rsid w:val="00130929"/>
    <w:rsid w:val="00130955"/>
    <w:rsid w:val="0013095D"/>
    <w:rsid w:val="001309A7"/>
    <w:rsid w:val="00130A23"/>
    <w:rsid w:val="00130A79"/>
    <w:rsid w:val="00130B6F"/>
    <w:rsid w:val="00130BC7"/>
    <w:rsid w:val="00130C14"/>
    <w:rsid w:val="00130D71"/>
    <w:rsid w:val="00130DA7"/>
    <w:rsid w:val="00130DBB"/>
    <w:rsid w:val="00130DFA"/>
    <w:rsid w:val="00130E1A"/>
    <w:rsid w:val="00130EB6"/>
    <w:rsid w:val="00130EDE"/>
    <w:rsid w:val="00130F02"/>
    <w:rsid w:val="00130F8A"/>
    <w:rsid w:val="00130F8C"/>
    <w:rsid w:val="0013111A"/>
    <w:rsid w:val="0013112E"/>
    <w:rsid w:val="00131143"/>
    <w:rsid w:val="001312A6"/>
    <w:rsid w:val="001313F2"/>
    <w:rsid w:val="00131490"/>
    <w:rsid w:val="0013156D"/>
    <w:rsid w:val="001315BC"/>
    <w:rsid w:val="00131603"/>
    <w:rsid w:val="001316A6"/>
    <w:rsid w:val="001316BF"/>
    <w:rsid w:val="0013181F"/>
    <w:rsid w:val="00131880"/>
    <w:rsid w:val="00131B33"/>
    <w:rsid w:val="00131C84"/>
    <w:rsid w:val="00131CCA"/>
    <w:rsid w:val="00131CE5"/>
    <w:rsid w:val="00131E9B"/>
    <w:rsid w:val="00131EBA"/>
    <w:rsid w:val="00131F62"/>
    <w:rsid w:val="001320AC"/>
    <w:rsid w:val="0013224D"/>
    <w:rsid w:val="001323A9"/>
    <w:rsid w:val="0013245E"/>
    <w:rsid w:val="001324E0"/>
    <w:rsid w:val="001325CD"/>
    <w:rsid w:val="001325ED"/>
    <w:rsid w:val="00132624"/>
    <w:rsid w:val="0013263B"/>
    <w:rsid w:val="001326D6"/>
    <w:rsid w:val="001327F5"/>
    <w:rsid w:val="00132B0A"/>
    <w:rsid w:val="00132CA8"/>
    <w:rsid w:val="00132E02"/>
    <w:rsid w:val="00132F2E"/>
    <w:rsid w:val="00132F70"/>
    <w:rsid w:val="00132FFC"/>
    <w:rsid w:val="0013329B"/>
    <w:rsid w:val="001332AB"/>
    <w:rsid w:val="0013339E"/>
    <w:rsid w:val="0013339F"/>
    <w:rsid w:val="001333D6"/>
    <w:rsid w:val="001335F6"/>
    <w:rsid w:val="0013375D"/>
    <w:rsid w:val="0013380E"/>
    <w:rsid w:val="0013390A"/>
    <w:rsid w:val="00133A91"/>
    <w:rsid w:val="00133BAF"/>
    <w:rsid w:val="00133BB9"/>
    <w:rsid w:val="00133BFA"/>
    <w:rsid w:val="00133D26"/>
    <w:rsid w:val="001340AF"/>
    <w:rsid w:val="0013419B"/>
    <w:rsid w:val="0013419D"/>
    <w:rsid w:val="0013421C"/>
    <w:rsid w:val="00134227"/>
    <w:rsid w:val="001342B1"/>
    <w:rsid w:val="0013445F"/>
    <w:rsid w:val="0013446F"/>
    <w:rsid w:val="00134482"/>
    <w:rsid w:val="001344DC"/>
    <w:rsid w:val="001344E2"/>
    <w:rsid w:val="00134940"/>
    <w:rsid w:val="00134A5C"/>
    <w:rsid w:val="00134B36"/>
    <w:rsid w:val="00134DD2"/>
    <w:rsid w:val="00134F0E"/>
    <w:rsid w:val="00134F45"/>
    <w:rsid w:val="00134FD6"/>
    <w:rsid w:val="001351CE"/>
    <w:rsid w:val="001351EB"/>
    <w:rsid w:val="00135220"/>
    <w:rsid w:val="0013529B"/>
    <w:rsid w:val="001352AD"/>
    <w:rsid w:val="001352D9"/>
    <w:rsid w:val="001352FE"/>
    <w:rsid w:val="001353AE"/>
    <w:rsid w:val="001353E6"/>
    <w:rsid w:val="00135550"/>
    <w:rsid w:val="0013555A"/>
    <w:rsid w:val="00135639"/>
    <w:rsid w:val="0013568F"/>
    <w:rsid w:val="00135758"/>
    <w:rsid w:val="0013576F"/>
    <w:rsid w:val="0013579F"/>
    <w:rsid w:val="001358A3"/>
    <w:rsid w:val="001358C4"/>
    <w:rsid w:val="00135911"/>
    <w:rsid w:val="00135A3A"/>
    <w:rsid w:val="00135C37"/>
    <w:rsid w:val="00135DBE"/>
    <w:rsid w:val="00135DD9"/>
    <w:rsid w:val="00135DE8"/>
    <w:rsid w:val="00135E0B"/>
    <w:rsid w:val="00135E61"/>
    <w:rsid w:val="00135E8E"/>
    <w:rsid w:val="001360E8"/>
    <w:rsid w:val="00136188"/>
    <w:rsid w:val="00136270"/>
    <w:rsid w:val="00136350"/>
    <w:rsid w:val="001363FC"/>
    <w:rsid w:val="00136437"/>
    <w:rsid w:val="001365FF"/>
    <w:rsid w:val="00136747"/>
    <w:rsid w:val="001367B4"/>
    <w:rsid w:val="001367B9"/>
    <w:rsid w:val="0013685B"/>
    <w:rsid w:val="001368B5"/>
    <w:rsid w:val="0013698B"/>
    <w:rsid w:val="00136BE7"/>
    <w:rsid w:val="00136C1F"/>
    <w:rsid w:val="00136C39"/>
    <w:rsid w:val="00136DA8"/>
    <w:rsid w:val="00136E92"/>
    <w:rsid w:val="00136ED8"/>
    <w:rsid w:val="00136EF7"/>
    <w:rsid w:val="00137080"/>
    <w:rsid w:val="00137181"/>
    <w:rsid w:val="0013718F"/>
    <w:rsid w:val="00137229"/>
    <w:rsid w:val="0013722A"/>
    <w:rsid w:val="0013726F"/>
    <w:rsid w:val="00137407"/>
    <w:rsid w:val="00137444"/>
    <w:rsid w:val="001374C8"/>
    <w:rsid w:val="0013752D"/>
    <w:rsid w:val="00137636"/>
    <w:rsid w:val="0013767A"/>
    <w:rsid w:val="001378F5"/>
    <w:rsid w:val="00137A34"/>
    <w:rsid w:val="00137AE7"/>
    <w:rsid w:val="00137BD8"/>
    <w:rsid w:val="00137D7D"/>
    <w:rsid w:val="00137DC5"/>
    <w:rsid w:val="00137EFA"/>
    <w:rsid w:val="00137F05"/>
    <w:rsid w:val="00137F99"/>
    <w:rsid w:val="00137FD5"/>
    <w:rsid w:val="0014006D"/>
    <w:rsid w:val="001401CB"/>
    <w:rsid w:val="001405C1"/>
    <w:rsid w:val="001405E3"/>
    <w:rsid w:val="00140630"/>
    <w:rsid w:val="001406FD"/>
    <w:rsid w:val="00140917"/>
    <w:rsid w:val="0014094F"/>
    <w:rsid w:val="00140B34"/>
    <w:rsid w:val="00140B9C"/>
    <w:rsid w:val="00140C27"/>
    <w:rsid w:val="00140C76"/>
    <w:rsid w:val="00140D3D"/>
    <w:rsid w:val="00140DE0"/>
    <w:rsid w:val="00140EB0"/>
    <w:rsid w:val="00140EDA"/>
    <w:rsid w:val="00140FF1"/>
    <w:rsid w:val="00141032"/>
    <w:rsid w:val="00141128"/>
    <w:rsid w:val="001411E2"/>
    <w:rsid w:val="0014121D"/>
    <w:rsid w:val="00141290"/>
    <w:rsid w:val="00141310"/>
    <w:rsid w:val="00141362"/>
    <w:rsid w:val="001413B4"/>
    <w:rsid w:val="0014140E"/>
    <w:rsid w:val="001414B9"/>
    <w:rsid w:val="00141558"/>
    <w:rsid w:val="0014175B"/>
    <w:rsid w:val="001417BF"/>
    <w:rsid w:val="001419AC"/>
    <w:rsid w:val="00141A06"/>
    <w:rsid w:val="00141A0E"/>
    <w:rsid w:val="00141A2E"/>
    <w:rsid w:val="00141A91"/>
    <w:rsid w:val="001420FE"/>
    <w:rsid w:val="001421F1"/>
    <w:rsid w:val="0014224A"/>
    <w:rsid w:val="00142302"/>
    <w:rsid w:val="0014234E"/>
    <w:rsid w:val="00142463"/>
    <w:rsid w:val="001425CE"/>
    <w:rsid w:val="001425FF"/>
    <w:rsid w:val="00142604"/>
    <w:rsid w:val="0014276C"/>
    <w:rsid w:val="001427C3"/>
    <w:rsid w:val="001428D3"/>
    <w:rsid w:val="00142904"/>
    <w:rsid w:val="0014296B"/>
    <w:rsid w:val="00142AA0"/>
    <w:rsid w:val="00142B0C"/>
    <w:rsid w:val="00142BAE"/>
    <w:rsid w:val="00142C86"/>
    <w:rsid w:val="00142E61"/>
    <w:rsid w:val="00143116"/>
    <w:rsid w:val="0014311E"/>
    <w:rsid w:val="00143167"/>
    <w:rsid w:val="001431E4"/>
    <w:rsid w:val="001431F2"/>
    <w:rsid w:val="0014327F"/>
    <w:rsid w:val="001432DA"/>
    <w:rsid w:val="00143388"/>
    <w:rsid w:val="00143459"/>
    <w:rsid w:val="0014345E"/>
    <w:rsid w:val="00143484"/>
    <w:rsid w:val="00143746"/>
    <w:rsid w:val="00143858"/>
    <w:rsid w:val="00143955"/>
    <w:rsid w:val="00143A44"/>
    <w:rsid w:val="00143AAA"/>
    <w:rsid w:val="00143B49"/>
    <w:rsid w:val="00143BEA"/>
    <w:rsid w:val="00143CF3"/>
    <w:rsid w:val="00143E16"/>
    <w:rsid w:val="00143EA3"/>
    <w:rsid w:val="0014403E"/>
    <w:rsid w:val="0014405C"/>
    <w:rsid w:val="00144060"/>
    <w:rsid w:val="0014406B"/>
    <w:rsid w:val="001441E0"/>
    <w:rsid w:val="00144419"/>
    <w:rsid w:val="001444B9"/>
    <w:rsid w:val="001445C0"/>
    <w:rsid w:val="001446F2"/>
    <w:rsid w:val="001446F7"/>
    <w:rsid w:val="001447F3"/>
    <w:rsid w:val="00144811"/>
    <w:rsid w:val="00144829"/>
    <w:rsid w:val="00144CA7"/>
    <w:rsid w:val="00144ED7"/>
    <w:rsid w:val="00145023"/>
    <w:rsid w:val="0014514D"/>
    <w:rsid w:val="001451A7"/>
    <w:rsid w:val="00145233"/>
    <w:rsid w:val="00145253"/>
    <w:rsid w:val="001452E3"/>
    <w:rsid w:val="00145326"/>
    <w:rsid w:val="00145370"/>
    <w:rsid w:val="00145444"/>
    <w:rsid w:val="00145497"/>
    <w:rsid w:val="00145823"/>
    <w:rsid w:val="001459F7"/>
    <w:rsid w:val="00145A27"/>
    <w:rsid w:val="00145B1E"/>
    <w:rsid w:val="00145BD5"/>
    <w:rsid w:val="00145C86"/>
    <w:rsid w:val="00145F3B"/>
    <w:rsid w:val="00145FA7"/>
    <w:rsid w:val="00145FD3"/>
    <w:rsid w:val="0014607E"/>
    <w:rsid w:val="00146390"/>
    <w:rsid w:val="001463D3"/>
    <w:rsid w:val="001463F9"/>
    <w:rsid w:val="00146577"/>
    <w:rsid w:val="00146660"/>
    <w:rsid w:val="001466A0"/>
    <w:rsid w:val="00146837"/>
    <w:rsid w:val="00146890"/>
    <w:rsid w:val="0014699B"/>
    <w:rsid w:val="001469C0"/>
    <w:rsid w:val="001469F4"/>
    <w:rsid w:val="00146A05"/>
    <w:rsid w:val="00146B50"/>
    <w:rsid w:val="00146E0C"/>
    <w:rsid w:val="00146E50"/>
    <w:rsid w:val="00146E87"/>
    <w:rsid w:val="00146EBD"/>
    <w:rsid w:val="00146F0D"/>
    <w:rsid w:val="00146F17"/>
    <w:rsid w:val="00146FE0"/>
    <w:rsid w:val="001472CF"/>
    <w:rsid w:val="001473DB"/>
    <w:rsid w:val="001475FF"/>
    <w:rsid w:val="0014766F"/>
    <w:rsid w:val="00147692"/>
    <w:rsid w:val="0014779F"/>
    <w:rsid w:val="001477AA"/>
    <w:rsid w:val="001477E9"/>
    <w:rsid w:val="0014782F"/>
    <w:rsid w:val="001478B0"/>
    <w:rsid w:val="00147A22"/>
    <w:rsid w:val="00147B40"/>
    <w:rsid w:val="00147B5C"/>
    <w:rsid w:val="00147B91"/>
    <w:rsid w:val="00147C37"/>
    <w:rsid w:val="00147D59"/>
    <w:rsid w:val="00147D7C"/>
    <w:rsid w:val="00147DA2"/>
    <w:rsid w:val="00147DB7"/>
    <w:rsid w:val="00147DE3"/>
    <w:rsid w:val="00147E9F"/>
    <w:rsid w:val="00147EAF"/>
    <w:rsid w:val="00147F9B"/>
    <w:rsid w:val="001503CD"/>
    <w:rsid w:val="001503D4"/>
    <w:rsid w:val="001505C7"/>
    <w:rsid w:val="00150613"/>
    <w:rsid w:val="0015076E"/>
    <w:rsid w:val="00150773"/>
    <w:rsid w:val="001508CC"/>
    <w:rsid w:val="00150B08"/>
    <w:rsid w:val="00150B5C"/>
    <w:rsid w:val="00150C1B"/>
    <w:rsid w:val="00150C62"/>
    <w:rsid w:val="00150CA8"/>
    <w:rsid w:val="00150D37"/>
    <w:rsid w:val="00150D4B"/>
    <w:rsid w:val="00150DF2"/>
    <w:rsid w:val="00150E45"/>
    <w:rsid w:val="00150E9A"/>
    <w:rsid w:val="00150F8D"/>
    <w:rsid w:val="00150F91"/>
    <w:rsid w:val="00150FC0"/>
    <w:rsid w:val="0015106B"/>
    <w:rsid w:val="00151241"/>
    <w:rsid w:val="00151308"/>
    <w:rsid w:val="00151354"/>
    <w:rsid w:val="00151373"/>
    <w:rsid w:val="0015146E"/>
    <w:rsid w:val="00151598"/>
    <w:rsid w:val="00151765"/>
    <w:rsid w:val="001517D7"/>
    <w:rsid w:val="00151820"/>
    <w:rsid w:val="001518D4"/>
    <w:rsid w:val="001518E9"/>
    <w:rsid w:val="00151A16"/>
    <w:rsid w:val="00151BF6"/>
    <w:rsid w:val="00151C04"/>
    <w:rsid w:val="00151DAB"/>
    <w:rsid w:val="00151E61"/>
    <w:rsid w:val="00151FD9"/>
    <w:rsid w:val="00152002"/>
    <w:rsid w:val="001521B4"/>
    <w:rsid w:val="001521F0"/>
    <w:rsid w:val="001525F8"/>
    <w:rsid w:val="00152615"/>
    <w:rsid w:val="00152749"/>
    <w:rsid w:val="0015274E"/>
    <w:rsid w:val="00152876"/>
    <w:rsid w:val="001528C4"/>
    <w:rsid w:val="00152A7B"/>
    <w:rsid w:val="00152AAA"/>
    <w:rsid w:val="00152B9F"/>
    <w:rsid w:val="00152C7F"/>
    <w:rsid w:val="00152D13"/>
    <w:rsid w:val="00152E9B"/>
    <w:rsid w:val="00152F21"/>
    <w:rsid w:val="00152FF4"/>
    <w:rsid w:val="0015307A"/>
    <w:rsid w:val="00153122"/>
    <w:rsid w:val="00153134"/>
    <w:rsid w:val="0015326E"/>
    <w:rsid w:val="0015329C"/>
    <w:rsid w:val="0015336C"/>
    <w:rsid w:val="00153478"/>
    <w:rsid w:val="001534D8"/>
    <w:rsid w:val="001534E8"/>
    <w:rsid w:val="001534EA"/>
    <w:rsid w:val="0015358A"/>
    <w:rsid w:val="00153839"/>
    <w:rsid w:val="001539C7"/>
    <w:rsid w:val="00153A1F"/>
    <w:rsid w:val="00153A52"/>
    <w:rsid w:val="00153B8A"/>
    <w:rsid w:val="00153C48"/>
    <w:rsid w:val="00153CC8"/>
    <w:rsid w:val="00153D80"/>
    <w:rsid w:val="00153D97"/>
    <w:rsid w:val="00153E2D"/>
    <w:rsid w:val="00153FE5"/>
    <w:rsid w:val="00154159"/>
    <w:rsid w:val="001541C8"/>
    <w:rsid w:val="0015427D"/>
    <w:rsid w:val="00154295"/>
    <w:rsid w:val="001542A0"/>
    <w:rsid w:val="00154398"/>
    <w:rsid w:val="001544F6"/>
    <w:rsid w:val="0015451C"/>
    <w:rsid w:val="00154547"/>
    <w:rsid w:val="0015457E"/>
    <w:rsid w:val="001545A0"/>
    <w:rsid w:val="001545AC"/>
    <w:rsid w:val="00154693"/>
    <w:rsid w:val="00154764"/>
    <w:rsid w:val="0015485B"/>
    <w:rsid w:val="00154B8E"/>
    <w:rsid w:val="00154BFD"/>
    <w:rsid w:val="00155039"/>
    <w:rsid w:val="0015512C"/>
    <w:rsid w:val="001551C4"/>
    <w:rsid w:val="001551CD"/>
    <w:rsid w:val="00155232"/>
    <w:rsid w:val="001553A0"/>
    <w:rsid w:val="0015541A"/>
    <w:rsid w:val="0015562D"/>
    <w:rsid w:val="0015564D"/>
    <w:rsid w:val="00155720"/>
    <w:rsid w:val="00155753"/>
    <w:rsid w:val="00155762"/>
    <w:rsid w:val="001558B0"/>
    <w:rsid w:val="00155925"/>
    <w:rsid w:val="001559E0"/>
    <w:rsid w:val="00155A15"/>
    <w:rsid w:val="00155B2C"/>
    <w:rsid w:val="00155B52"/>
    <w:rsid w:val="00155BD4"/>
    <w:rsid w:val="00155C11"/>
    <w:rsid w:val="00155C36"/>
    <w:rsid w:val="00155C72"/>
    <w:rsid w:val="00155DE3"/>
    <w:rsid w:val="00155F2E"/>
    <w:rsid w:val="00155F79"/>
    <w:rsid w:val="00155F7E"/>
    <w:rsid w:val="00155F98"/>
    <w:rsid w:val="0015605A"/>
    <w:rsid w:val="001560BA"/>
    <w:rsid w:val="00156165"/>
    <w:rsid w:val="00156218"/>
    <w:rsid w:val="0015625A"/>
    <w:rsid w:val="00156314"/>
    <w:rsid w:val="00156351"/>
    <w:rsid w:val="001563BF"/>
    <w:rsid w:val="00156525"/>
    <w:rsid w:val="00156664"/>
    <w:rsid w:val="001567A3"/>
    <w:rsid w:val="001567CC"/>
    <w:rsid w:val="00156892"/>
    <w:rsid w:val="00156923"/>
    <w:rsid w:val="00156A0C"/>
    <w:rsid w:val="00156A13"/>
    <w:rsid w:val="00156AE1"/>
    <w:rsid w:val="00156B1C"/>
    <w:rsid w:val="00156C56"/>
    <w:rsid w:val="00156C6A"/>
    <w:rsid w:val="00156C8F"/>
    <w:rsid w:val="00156CB1"/>
    <w:rsid w:val="00156DE4"/>
    <w:rsid w:val="00156DE8"/>
    <w:rsid w:val="00156E25"/>
    <w:rsid w:val="00156EFD"/>
    <w:rsid w:val="00156F01"/>
    <w:rsid w:val="00156F9F"/>
    <w:rsid w:val="00157057"/>
    <w:rsid w:val="00157141"/>
    <w:rsid w:val="00157185"/>
    <w:rsid w:val="0015756E"/>
    <w:rsid w:val="00157845"/>
    <w:rsid w:val="00157890"/>
    <w:rsid w:val="001578FF"/>
    <w:rsid w:val="00157CEB"/>
    <w:rsid w:val="00157D13"/>
    <w:rsid w:val="00157D85"/>
    <w:rsid w:val="00157DE0"/>
    <w:rsid w:val="00157E77"/>
    <w:rsid w:val="00160003"/>
    <w:rsid w:val="00160049"/>
    <w:rsid w:val="00160176"/>
    <w:rsid w:val="0016031B"/>
    <w:rsid w:val="0016051A"/>
    <w:rsid w:val="0016054E"/>
    <w:rsid w:val="0016060A"/>
    <w:rsid w:val="0016064D"/>
    <w:rsid w:val="001606FE"/>
    <w:rsid w:val="0016071A"/>
    <w:rsid w:val="0016085B"/>
    <w:rsid w:val="001608A9"/>
    <w:rsid w:val="001608D2"/>
    <w:rsid w:val="00160911"/>
    <w:rsid w:val="00160972"/>
    <w:rsid w:val="001609A9"/>
    <w:rsid w:val="00160A83"/>
    <w:rsid w:val="00160B89"/>
    <w:rsid w:val="00160BEE"/>
    <w:rsid w:val="00160C63"/>
    <w:rsid w:val="00160D0D"/>
    <w:rsid w:val="00160D46"/>
    <w:rsid w:val="00160D9A"/>
    <w:rsid w:val="00160DD8"/>
    <w:rsid w:val="00160ED4"/>
    <w:rsid w:val="0016103B"/>
    <w:rsid w:val="00161204"/>
    <w:rsid w:val="001612A2"/>
    <w:rsid w:val="001612BF"/>
    <w:rsid w:val="001612E6"/>
    <w:rsid w:val="00161366"/>
    <w:rsid w:val="001613C0"/>
    <w:rsid w:val="001613CC"/>
    <w:rsid w:val="00161406"/>
    <w:rsid w:val="00161422"/>
    <w:rsid w:val="00161494"/>
    <w:rsid w:val="00161627"/>
    <w:rsid w:val="0016169A"/>
    <w:rsid w:val="001616E3"/>
    <w:rsid w:val="0016170A"/>
    <w:rsid w:val="0016170E"/>
    <w:rsid w:val="001617AF"/>
    <w:rsid w:val="001618CA"/>
    <w:rsid w:val="0016195D"/>
    <w:rsid w:val="00161BAF"/>
    <w:rsid w:val="00161BDF"/>
    <w:rsid w:val="00161C1D"/>
    <w:rsid w:val="00161C29"/>
    <w:rsid w:val="00161EF4"/>
    <w:rsid w:val="00161FBB"/>
    <w:rsid w:val="00161FCB"/>
    <w:rsid w:val="00162066"/>
    <w:rsid w:val="00162156"/>
    <w:rsid w:val="001621D2"/>
    <w:rsid w:val="001621D7"/>
    <w:rsid w:val="0016225E"/>
    <w:rsid w:val="001623D0"/>
    <w:rsid w:val="0016276D"/>
    <w:rsid w:val="00162827"/>
    <w:rsid w:val="001628E8"/>
    <w:rsid w:val="00162C34"/>
    <w:rsid w:val="00162D8D"/>
    <w:rsid w:val="0016334C"/>
    <w:rsid w:val="00163461"/>
    <w:rsid w:val="00163476"/>
    <w:rsid w:val="001634B0"/>
    <w:rsid w:val="00163557"/>
    <w:rsid w:val="001635CD"/>
    <w:rsid w:val="001635E2"/>
    <w:rsid w:val="00163691"/>
    <w:rsid w:val="00163717"/>
    <w:rsid w:val="00163718"/>
    <w:rsid w:val="0016372E"/>
    <w:rsid w:val="0016372F"/>
    <w:rsid w:val="001637B3"/>
    <w:rsid w:val="001637D3"/>
    <w:rsid w:val="00163A13"/>
    <w:rsid w:val="00163C45"/>
    <w:rsid w:val="00163CD5"/>
    <w:rsid w:val="00163D5B"/>
    <w:rsid w:val="00163E3E"/>
    <w:rsid w:val="00163E97"/>
    <w:rsid w:val="00163EC0"/>
    <w:rsid w:val="00163F26"/>
    <w:rsid w:val="001640B6"/>
    <w:rsid w:val="001640C9"/>
    <w:rsid w:val="00164231"/>
    <w:rsid w:val="00164386"/>
    <w:rsid w:val="001645B5"/>
    <w:rsid w:val="0016466C"/>
    <w:rsid w:val="00164698"/>
    <w:rsid w:val="001646DB"/>
    <w:rsid w:val="001647B2"/>
    <w:rsid w:val="001648ED"/>
    <w:rsid w:val="00164916"/>
    <w:rsid w:val="00164B7E"/>
    <w:rsid w:val="00164BCF"/>
    <w:rsid w:val="00164D33"/>
    <w:rsid w:val="00164D8F"/>
    <w:rsid w:val="00164F3F"/>
    <w:rsid w:val="00164F8E"/>
    <w:rsid w:val="0016500D"/>
    <w:rsid w:val="00165100"/>
    <w:rsid w:val="0016511F"/>
    <w:rsid w:val="001651FD"/>
    <w:rsid w:val="00165282"/>
    <w:rsid w:val="001655C4"/>
    <w:rsid w:val="0016560C"/>
    <w:rsid w:val="00165A26"/>
    <w:rsid w:val="00165D35"/>
    <w:rsid w:val="00165D60"/>
    <w:rsid w:val="00165EDC"/>
    <w:rsid w:val="00165EDE"/>
    <w:rsid w:val="00165FB9"/>
    <w:rsid w:val="0016600C"/>
    <w:rsid w:val="00166055"/>
    <w:rsid w:val="00166147"/>
    <w:rsid w:val="001661B3"/>
    <w:rsid w:val="00166294"/>
    <w:rsid w:val="00166370"/>
    <w:rsid w:val="00166382"/>
    <w:rsid w:val="001663B0"/>
    <w:rsid w:val="0016666A"/>
    <w:rsid w:val="0016672A"/>
    <w:rsid w:val="00166859"/>
    <w:rsid w:val="0016696A"/>
    <w:rsid w:val="00166A51"/>
    <w:rsid w:val="00166A8D"/>
    <w:rsid w:val="00166ACC"/>
    <w:rsid w:val="00166AE2"/>
    <w:rsid w:val="00166B81"/>
    <w:rsid w:val="00166BDF"/>
    <w:rsid w:val="00166BFE"/>
    <w:rsid w:val="00166C6A"/>
    <w:rsid w:val="00166C72"/>
    <w:rsid w:val="00166CC4"/>
    <w:rsid w:val="00166CCF"/>
    <w:rsid w:val="00166D4E"/>
    <w:rsid w:val="00166E67"/>
    <w:rsid w:val="00166F88"/>
    <w:rsid w:val="001670CD"/>
    <w:rsid w:val="0016720E"/>
    <w:rsid w:val="0016729F"/>
    <w:rsid w:val="001672BB"/>
    <w:rsid w:val="001673AE"/>
    <w:rsid w:val="001673F5"/>
    <w:rsid w:val="0016743D"/>
    <w:rsid w:val="001674C0"/>
    <w:rsid w:val="00167602"/>
    <w:rsid w:val="001676C7"/>
    <w:rsid w:val="00167816"/>
    <w:rsid w:val="00167C31"/>
    <w:rsid w:val="00167CE2"/>
    <w:rsid w:val="00167DF1"/>
    <w:rsid w:val="00167F05"/>
    <w:rsid w:val="00167FA6"/>
    <w:rsid w:val="0017002C"/>
    <w:rsid w:val="001703AE"/>
    <w:rsid w:val="00170400"/>
    <w:rsid w:val="0017055E"/>
    <w:rsid w:val="001705FB"/>
    <w:rsid w:val="00170622"/>
    <w:rsid w:val="00170630"/>
    <w:rsid w:val="0017075F"/>
    <w:rsid w:val="00170793"/>
    <w:rsid w:val="001708F8"/>
    <w:rsid w:val="0017095F"/>
    <w:rsid w:val="0017097E"/>
    <w:rsid w:val="00170B4E"/>
    <w:rsid w:val="00170BBE"/>
    <w:rsid w:val="00170BF1"/>
    <w:rsid w:val="00170C20"/>
    <w:rsid w:val="00170C50"/>
    <w:rsid w:val="00170C7A"/>
    <w:rsid w:val="00170C80"/>
    <w:rsid w:val="00170D27"/>
    <w:rsid w:val="00170DD0"/>
    <w:rsid w:val="00170E0C"/>
    <w:rsid w:val="00170E79"/>
    <w:rsid w:val="00170F42"/>
    <w:rsid w:val="00171028"/>
    <w:rsid w:val="0017110D"/>
    <w:rsid w:val="00171112"/>
    <w:rsid w:val="0017119C"/>
    <w:rsid w:val="0017126B"/>
    <w:rsid w:val="00171295"/>
    <w:rsid w:val="00171347"/>
    <w:rsid w:val="00171428"/>
    <w:rsid w:val="00171496"/>
    <w:rsid w:val="001714FE"/>
    <w:rsid w:val="0017152A"/>
    <w:rsid w:val="00171559"/>
    <w:rsid w:val="00171705"/>
    <w:rsid w:val="0017175B"/>
    <w:rsid w:val="0017177B"/>
    <w:rsid w:val="0017185A"/>
    <w:rsid w:val="00171899"/>
    <w:rsid w:val="00171C1B"/>
    <w:rsid w:val="00171CFD"/>
    <w:rsid w:val="00171DCC"/>
    <w:rsid w:val="00171F82"/>
    <w:rsid w:val="00172073"/>
    <w:rsid w:val="00172127"/>
    <w:rsid w:val="00172148"/>
    <w:rsid w:val="001721A6"/>
    <w:rsid w:val="00172294"/>
    <w:rsid w:val="001722A3"/>
    <w:rsid w:val="0017256F"/>
    <w:rsid w:val="00172662"/>
    <w:rsid w:val="0017271A"/>
    <w:rsid w:val="001727D1"/>
    <w:rsid w:val="001727FF"/>
    <w:rsid w:val="0017286B"/>
    <w:rsid w:val="00172AA4"/>
    <w:rsid w:val="00172B02"/>
    <w:rsid w:val="00172BD9"/>
    <w:rsid w:val="00172C3D"/>
    <w:rsid w:val="00172C60"/>
    <w:rsid w:val="00172D46"/>
    <w:rsid w:val="00172DD4"/>
    <w:rsid w:val="00172EFB"/>
    <w:rsid w:val="0017307F"/>
    <w:rsid w:val="001731E4"/>
    <w:rsid w:val="001732D6"/>
    <w:rsid w:val="001735AD"/>
    <w:rsid w:val="00173662"/>
    <w:rsid w:val="0017375E"/>
    <w:rsid w:val="0017380C"/>
    <w:rsid w:val="00173813"/>
    <w:rsid w:val="0017382A"/>
    <w:rsid w:val="00173889"/>
    <w:rsid w:val="001739EA"/>
    <w:rsid w:val="00173A6B"/>
    <w:rsid w:val="00173A7B"/>
    <w:rsid w:val="00173B01"/>
    <w:rsid w:val="00173BDC"/>
    <w:rsid w:val="00173BE7"/>
    <w:rsid w:val="00173CA4"/>
    <w:rsid w:val="00173CA9"/>
    <w:rsid w:val="00173E72"/>
    <w:rsid w:val="00173EC8"/>
    <w:rsid w:val="00173FE5"/>
    <w:rsid w:val="001741B9"/>
    <w:rsid w:val="00174276"/>
    <w:rsid w:val="0017436E"/>
    <w:rsid w:val="00174449"/>
    <w:rsid w:val="0017456B"/>
    <w:rsid w:val="00174654"/>
    <w:rsid w:val="001748CB"/>
    <w:rsid w:val="0017492A"/>
    <w:rsid w:val="001749F5"/>
    <w:rsid w:val="00174AB5"/>
    <w:rsid w:val="00174B06"/>
    <w:rsid w:val="00174BCA"/>
    <w:rsid w:val="00174E3E"/>
    <w:rsid w:val="00174F61"/>
    <w:rsid w:val="00175050"/>
    <w:rsid w:val="00175121"/>
    <w:rsid w:val="00175145"/>
    <w:rsid w:val="0017516A"/>
    <w:rsid w:val="00175279"/>
    <w:rsid w:val="00175430"/>
    <w:rsid w:val="00175476"/>
    <w:rsid w:val="00175590"/>
    <w:rsid w:val="001755E5"/>
    <w:rsid w:val="001755EF"/>
    <w:rsid w:val="00175671"/>
    <w:rsid w:val="001757C9"/>
    <w:rsid w:val="001757E4"/>
    <w:rsid w:val="00175847"/>
    <w:rsid w:val="001758E9"/>
    <w:rsid w:val="00175907"/>
    <w:rsid w:val="00175BE0"/>
    <w:rsid w:val="00175C13"/>
    <w:rsid w:val="00175D92"/>
    <w:rsid w:val="00175E81"/>
    <w:rsid w:val="00175E90"/>
    <w:rsid w:val="00175F56"/>
    <w:rsid w:val="00175F8D"/>
    <w:rsid w:val="00175FBF"/>
    <w:rsid w:val="0017602B"/>
    <w:rsid w:val="001760A9"/>
    <w:rsid w:val="001762ED"/>
    <w:rsid w:val="00176365"/>
    <w:rsid w:val="00176415"/>
    <w:rsid w:val="00176581"/>
    <w:rsid w:val="001765BC"/>
    <w:rsid w:val="0017661C"/>
    <w:rsid w:val="00176627"/>
    <w:rsid w:val="00176686"/>
    <w:rsid w:val="0017671B"/>
    <w:rsid w:val="001768B8"/>
    <w:rsid w:val="00176965"/>
    <w:rsid w:val="00176A6F"/>
    <w:rsid w:val="00176AA5"/>
    <w:rsid w:val="00176B3F"/>
    <w:rsid w:val="00176C1B"/>
    <w:rsid w:val="00176C42"/>
    <w:rsid w:val="00176D13"/>
    <w:rsid w:val="00176F68"/>
    <w:rsid w:val="00176F79"/>
    <w:rsid w:val="001770F4"/>
    <w:rsid w:val="0017715A"/>
    <w:rsid w:val="0017733E"/>
    <w:rsid w:val="00177356"/>
    <w:rsid w:val="001773AD"/>
    <w:rsid w:val="001774EE"/>
    <w:rsid w:val="0017753F"/>
    <w:rsid w:val="00177702"/>
    <w:rsid w:val="0017771A"/>
    <w:rsid w:val="00177907"/>
    <w:rsid w:val="001779F0"/>
    <w:rsid w:val="00177A5F"/>
    <w:rsid w:val="00177A88"/>
    <w:rsid w:val="00177AD9"/>
    <w:rsid w:val="00177BEC"/>
    <w:rsid w:val="00177C0A"/>
    <w:rsid w:val="00177D83"/>
    <w:rsid w:val="00177F83"/>
    <w:rsid w:val="00177FA7"/>
    <w:rsid w:val="00180021"/>
    <w:rsid w:val="001800C7"/>
    <w:rsid w:val="001802BB"/>
    <w:rsid w:val="001802ED"/>
    <w:rsid w:val="00180322"/>
    <w:rsid w:val="00180438"/>
    <w:rsid w:val="0018054C"/>
    <w:rsid w:val="0018058B"/>
    <w:rsid w:val="00180597"/>
    <w:rsid w:val="001805A0"/>
    <w:rsid w:val="00180764"/>
    <w:rsid w:val="001807CA"/>
    <w:rsid w:val="001809BC"/>
    <w:rsid w:val="00180B6F"/>
    <w:rsid w:val="00180C17"/>
    <w:rsid w:val="00180CF1"/>
    <w:rsid w:val="00180CFC"/>
    <w:rsid w:val="00180D43"/>
    <w:rsid w:val="00180E05"/>
    <w:rsid w:val="00180F70"/>
    <w:rsid w:val="00180FC9"/>
    <w:rsid w:val="00181093"/>
    <w:rsid w:val="001810E2"/>
    <w:rsid w:val="00181150"/>
    <w:rsid w:val="00181263"/>
    <w:rsid w:val="001813C9"/>
    <w:rsid w:val="0018162A"/>
    <w:rsid w:val="001816D1"/>
    <w:rsid w:val="001817B7"/>
    <w:rsid w:val="0018183E"/>
    <w:rsid w:val="00181874"/>
    <w:rsid w:val="001818E7"/>
    <w:rsid w:val="0018198B"/>
    <w:rsid w:val="001819D2"/>
    <w:rsid w:val="00181A23"/>
    <w:rsid w:val="00181D50"/>
    <w:rsid w:val="00181D7C"/>
    <w:rsid w:val="00181F10"/>
    <w:rsid w:val="00181FA6"/>
    <w:rsid w:val="00182255"/>
    <w:rsid w:val="0018238D"/>
    <w:rsid w:val="001823C2"/>
    <w:rsid w:val="0018243B"/>
    <w:rsid w:val="001825FC"/>
    <w:rsid w:val="0018268F"/>
    <w:rsid w:val="00182726"/>
    <w:rsid w:val="00182728"/>
    <w:rsid w:val="00182969"/>
    <w:rsid w:val="001829B3"/>
    <w:rsid w:val="00182AFF"/>
    <w:rsid w:val="00182D6A"/>
    <w:rsid w:val="00182DD0"/>
    <w:rsid w:val="00182F46"/>
    <w:rsid w:val="00183039"/>
    <w:rsid w:val="00183156"/>
    <w:rsid w:val="0018316A"/>
    <w:rsid w:val="0018322F"/>
    <w:rsid w:val="001832D7"/>
    <w:rsid w:val="001832EF"/>
    <w:rsid w:val="0018338C"/>
    <w:rsid w:val="001833FA"/>
    <w:rsid w:val="00183536"/>
    <w:rsid w:val="001836C1"/>
    <w:rsid w:val="001837B2"/>
    <w:rsid w:val="00183876"/>
    <w:rsid w:val="001838BE"/>
    <w:rsid w:val="00183A40"/>
    <w:rsid w:val="00183AE1"/>
    <w:rsid w:val="00183AF8"/>
    <w:rsid w:val="00183C92"/>
    <w:rsid w:val="00183CFE"/>
    <w:rsid w:val="00183D4D"/>
    <w:rsid w:val="00183D53"/>
    <w:rsid w:val="00183E2B"/>
    <w:rsid w:val="00183E2F"/>
    <w:rsid w:val="00183EA9"/>
    <w:rsid w:val="00183ED1"/>
    <w:rsid w:val="00183F41"/>
    <w:rsid w:val="0018404A"/>
    <w:rsid w:val="001840B2"/>
    <w:rsid w:val="001841EA"/>
    <w:rsid w:val="00184212"/>
    <w:rsid w:val="001842BD"/>
    <w:rsid w:val="001844F8"/>
    <w:rsid w:val="001845B2"/>
    <w:rsid w:val="001845D7"/>
    <w:rsid w:val="001845DE"/>
    <w:rsid w:val="001845E7"/>
    <w:rsid w:val="001847BB"/>
    <w:rsid w:val="0018488E"/>
    <w:rsid w:val="001848EE"/>
    <w:rsid w:val="00184AC9"/>
    <w:rsid w:val="00184BD1"/>
    <w:rsid w:val="00184D75"/>
    <w:rsid w:val="00184E72"/>
    <w:rsid w:val="00184E7F"/>
    <w:rsid w:val="00185012"/>
    <w:rsid w:val="001851FB"/>
    <w:rsid w:val="00185213"/>
    <w:rsid w:val="00185262"/>
    <w:rsid w:val="0018531E"/>
    <w:rsid w:val="0018532E"/>
    <w:rsid w:val="0018539C"/>
    <w:rsid w:val="00185486"/>
    <w:rsid w:val="001855AE"/>
    <w:rsid w:val="001856D4"/>
    <w:rsid w:val="0018586F"/>
    <w:rsid w:val="001858E7"/>
    <w:rsid w:val="001859DB"/>
    <w:rsid w:val="00185B75"/>
    <w:rsid w:val="00185C17"/>
    <w:rsid w:val="00185C86"/>
    <w:rsid w:val="00185D4D"/>
    <w:rsid w:val="00185D53"/>
    <w:rsid w:val="00185E87"/>
    <w:rsid w:val="00185E93"/>
    <w:rsid w:val="001860B4"/>
    <w:rsid w:val="00186107"/>
    <w:rsid w:val="0018615B"/>
    <w:rsid w:val="0018632F"/>
    <w:rsid w:val="0018637B"/>
    <w:rsid w:val="0018642B"/>
    <w:rsid w:val="001864AC"/>
    <w:rsid w:val="001864CB"/>
    <w:rsid w:val="00186517"/>
    <w:rsid w:val="00186590"/>
    <w:rsid w:val="00186810"/>
    <w:rsid w:val="00186874"/>
    <w:rsid w:val="00186892"/>
    <w:rsid w:val="00186A0E"/>
    <w:rsid w:val="00186A67"/>
    <w:rsid w:val="00186AC3"/>
    <w:rsid w:val="00186D5E"/>
    <w:rsid w:val="00186D67"/>
    <w:rsid w:val="00186D87"/>
    <w:rsid w:val="00186E22"/>
    <w:rsid w:val="00186E31"/>
    <w:rsid w:val="00186F73"/>
    <w:rsid w:val="0018709D"/>
    <w:rsid w:val="00187324"/>
    <w:rsid w:val="00187402"/>
    <w:rsid w:val="0018748F"/>
    <w:rsid w:val="0018754C"/>
    <w:rsid w:val="00187592"/>
    <w:rsid w:val="001878B8"/>
    <w:rsid w:val="00187904"/>
    <w:rsid w:val="00187948"/>
    <w:rsid w:val="0018798C"/>
    <w:rsid w:val="0018799C"/>
    <w:rsid w:val="00187BD9"/>
    <w:rsid w:val="00187C23"/>
    <w:rsid w:val="00187C84"/>
    <w:rsid w:val="00187C9F"/>
    <w:rsid w:val="00187CCC"/>
    <w:rsid w:val="00187DFF"/>
    <w:rsid w:val="00187E30"/>
    <w:rsid w:val="00187E9A"/>
    <w:rsid w:val="00187E9E"/>
    <w:rsid w:val="00187EA9"/>
    <w:rsid w:val="00187EE3"/>
    <w:rsid w:val="00187F12"/>
    <w:rsid w:val="00190028"/>
    <w:rsid w:val="001900B9"/>
    <w:rsid w:val="00190112"/>
    <w:rsid w:val="00190119"/>
    <w:rsid w:val="0019012E"/>
    <w:rsid w:val="001901B1"/>
    <w:rsid w:val="001901BE"/>
    <w:rsid w:val="001902D2"/>
    <w:rsid w:val="001902E2"/>
    <w:rsid w:val="001904B3"/>
    <w:rsid w:val="00190535"/>
    <w:rsid w:val="00190598"/>
    <w:rsid w:val="001906C4"/>
    <w:rsid w:val="00190871"/>
    <w:rsid w:val="0019087C"/>
    <w:rsid w:val="00190988"/>
    <w:rsid w:val="001909A9"/>
    <w:rsid w:val="00190A8C"/>
    <w:rsid w:val="00190C77"/>
    <w:rsid w:val="00190EC7"/>
    <w:rsid w:val="001910C4"/>
    <w:rsid w:val="00191108"/>
    <w:rsid w:val="00191160"/>
    <w:rsid w:val="00191330"/>
    <w:rsid w:val="0019145C"/>
    <w:rsid w:val="0019157B"/>
    <w:rsid w:val="00191650"/>
    <w:rsid w:val="00191679"/>
    <w:rsid w:val="001918B0"/>
    <w:rsid w:val="00191922"/>
    <w:rsid w:val="00191935"/>
    <w:rsid w:val="00191964"/>
    <w:rsid w:val="0019197F"/>
    <w:rsid w:val="001919CF"/>
    <w:rsid w:val="00191A13"/>
    <w:rsid w:val="00191A75"/>
    <w:rsid w:val="00191CDE"/>
    <w:rsid w:val="00191DD4"/>
    <w:rsid w:val="00191E13"/>
    <w:rsid w:val="00191E15"/>
    <w:rsid w:val="00191F40"/>
    <w:rsid w:val="001921D8"/>
    <w:rsid w:val="001921E9"/>
    <w:rsid w:val="0019221B"/>
    <w:rsid w:val="00192234"/>
    <w:rsid w:val="001922FF"/>
    <w:rsid w:val="00192382"/>
    <w:rsid w:val="00192402"/>
    <w:rsid w:val="0019258B"/>
    <w:rsid w:val="0019259F"/>
    <w:rsid w:val="0019274E"/>
    <w:rsid w:val="00192785"/>
    <w:rsid w:val="00192787"/>
    <w:rsid w:val="00192985"/>
    <w:rsid w:val="00192AD7"/>
    <w:rsid w:val="00192B00"/>
    <w:rsid w:val="00192C0D"/>
    <w:rsid w:val="00192E61"/>
    <w:rsid w:val="00192E7E"/>
    <w:rsid w:val="00193038"/>
    <w:rsid w:val="00193074"/>
    <w:rsid w:val="001930AD"/>
    <w:rsid w:val="001930EE"/>
    <w:rsid w:val="0019315F"/>
    <w:rsid w:val="001931A1"/>
    <w:rsid w:val="00193242"/>
    <w:rsid w:val="00193358"/>
    <w:rsid w:val="001933AD"/>
    <w:rsid w:val="0019341D"/>
    <w:rsid w:val="00193509"/>
    <w:rsid w:val="001936E6"/>
    <w:rsid w:val="00193711"/>
    <w:rsid w:val="00193794"/>
    <w:rsid w:val="001937AF"/>
    <w:rsid w:val="0019382F"/>
    <w:rsid w:val="00193899"/>
    <w:rsid w:val="00193958"/>
    <w:rsid w:val="001939A2"/>
    <w:rsid w:val="001939D8"/>
    <w:rsid w:val="00193B01"/>
    <w:rsid w:val="00193B25"/>
    <w:rsid w:val="00193CF8"/>
    <w:rsid w:val="00193DA7"/>
    <w:rsid w:val="00193DB2"/>
    <w:rsid w:val="00193F6E"/>
    <w:rsid w:val="0019423E"/>
    <w:rsid w:val="00194273"/>
    <w:rsid w:val="00194360"/>
    <w:rsid w:val="001945BA"/>
    <w:rsid w:val="001945D0"/>
    <w:rsid w:val="001945DF"/>
    <w:rsid w:val="001945F9"/>
    <w:rsid w:val="00194664"/>
    <w:rsid w:val="0019466E"/>
    <w:rsid w:val="00194756"/>
    <w:rsid w:val="001947A0"/>
    <w:rsid w:val="00194821"/>
    <w:rsid w:val="00194971"/>
    <w:rsid w:val="00194AC7"/>
    <w:rsid w:val="00194ADB"/>
    <w:rsid w:val="00194AF1"/>
    <w:rsid w:val="00194B19"/>
    <w:rsid w:val="00194B2D"/>
    <w:rsid w:val="00194B5A"/>
    <w:rsid w:val="00194B6C"/>
    <w:rsid w:val="00194BBA"/>
    <w:rsid w:val="00194C19"/>
    <w:rsid w:val="00194CE4"/>
    <w:rsid w:val="00194D0B"/>
    <w:rsid w:val="00194FDD"/>
    <w:rsid w:val="00195190"/>
    <w:rsid w:val="001952BE"/>
    <w:rsid w:val="0019533C"/>
    <w:rsid w:val="001955C1"/>
    <w:rsid w:val="001955DA"/>
    <w:rsid w:val="0019585D"/>
    <w:rsid w:val="00195A6D"/>
    <w:rsid w:val="00195AB0"/>
    <w:rsid w:val="00195AF8"/>
    <w:rsid w:val="00195CF6"/>
    <w:rsid w:val="00195EE6"/>
    <w:rsid w:val="00196001"/>
    <w:rsid w:val="00196031"/>
    <w:rsid w:val="001960A9"/>
    <w:rsid w:val="001960AE"/>
    <w:rsid w:val="00196160"/>
    <w:rsid w:val="00196255"/>
    <w:rsid w:val="001962CF"/>
    <w:rsid w:val="001965DB"/>
    <w:rsid w:val="00196830"/>
    <w:rsid w:val="0019694E"/>
    <w:rsid w:val="001969AF"/>
    <w:rsid w:val="001969C7"/>
    <w:rsid w:val="001969F9"/>
    <w:rsid w:val="00196A7A"/>
    <w:rsid w:val="00196AA3"/>
    <w:rsid w:val="00196AD5"/>
    <w:rsid w:val="00196AD9"/>
    <w:rsid w:val="00196B39"/>
    <w:rsid w:val="00196B3E"/>
    <w:rsid w:val="00196BA9"/>
    <w:rsid w:val="00196D09"/>
    <w:rsid w:val="00196D41"/>
    <w:rsid w:val="00196D59"/>
    <w:rsid w:val="00196E9F"/>
    <w:rsid w:val="00196F75"/>
    <w:rsid w:val="00196FC6"/>
    <w:rsid w:val="00197066"/>
    <w:rsid w:val="00197175"/>
    <w:rsid w:val="001971DC"/>
    <w:rsid w:val="001973F4"/>
    <w:rsid w:val="001975C8"/>
    <w:rsid w:val="00197613"/>
    <w:rsid w:val="001976E2"/>
    <w:rsid w:val="0019779A"/>
    <w:rsid w:val="001978D9"/>
    <w:rsid w:val="001978E7"/>
    <w:rsid w:val="00197949"/>
    <w:rsid w:val="00197B36"/>
    <w:rsid w:val="00197B7D"/>
    <w:rsid w:val="00197C76"/>
    <w:rsid w:val="00197CEA"/>
    <w:rsid w:val="00197D86"/>
    <w:rsid w:val="00197D99"/>
    <w:rsid w:val="00197DA0"/>
    <w:rsid w:val="00197E9F"/>
    <w:rsid w:val="00197EEF"/>
    <w:rsid w:val="00197FF4"/>
    <w:rsid w:val="001A00C0"/>
    <w:rsid w:val="001A00F9"/>
    <w:rsid w:val="001A01AB"/>
    <w:rsid w:val="001A02BC"/>
    <w:rsid w:val="001A0329"/>
    <w:rsid w:val="001A036D"/>
    <w:rsid w:val="001A0408"/>
    <w:rsid w:val="001A0490"/>
    <w:rsid w:val="001A0510"/>
    <w:rsid w:val="001A063F"/>
    <w:rsid w:val="001A06DB"/>
    <w:rsid w:val="001A084A"/>
    <w:rsid w:val="001A0870"/>
    <w:rsid w:val="001A0A85"/>
    <w:rsid w:val="001A0AF8"/>
    <w:rsid w:val="001A0B5F"/>
    <w:rsid w:val="001A0BBE"/>
    <w:rsid w:val="001A0BE2"/>
    <w:rsid w:val="001A0CCE"/>
    <w:rsid w:val="001A0DAD"/>
    <w:rsid w:val="001A0E90"/>
    <w:rsid w:val="001A0FD2"/>
    <w:rsid w:val="001A10B1"/>
    <w:rsid w:val="001A115B"/>
    <w:rsid w:val="001A12D1"/>
    <w:rsid w:val="001A13B1"/>
    <w:rsid w:val="001A141B"/>
    <w:rsid w:val="001A149B"/>
    <w:rsid w:val="001A1511"/>
    <w:rsid w:val="001A15A3"/>
    <w:rsid w:val="001A15E7"/>
    <w:rsid w:val="001A1881"/>
    <w:rsid w:val="001A18D2"/>
    <w:rsid w:val="001A1910"/>
    <w:rsid w:val="001A19C1"/>
    <w:rsid w:val="001A1A0F"/>
    <w:rsid w:val="001A1AB1"/>
    <w:rsid w:val="001A1B7E"/>
    <w:rsid w:val="001A1BA4"/>
    <w:rsid w:val="001A1C8C"/>
    <w:rsid w:val="001A1DAA"/>
    <w:rsid w:val="001A1E86"/>
    <w:rsid w:val="001A1E98"/>
    <w:rsid w:val="001A210C"/>
    <w:rsid w:val="001A2155"/>
    <w:rsid w:val="001A2481"/>
    <w:rsid w:val="001A2526"/>
    <w:rsid w:val="001A2585"/>
    <w:rsid w:val="001A2788"/>
    <w:rsid w:val="001A27A5"/>
    <w:rsid w:val="001A27D4"/>
    <w:rsid w:val="001A2898"/>
    <w:rsid w:val="001A2956"/>
    <w:rsid w:val="001A29CA"/>
    <w:rsid w:val="001A29E4"/>
    <w:rsid w:val="001A2D21"/>
    <w:rsid w:val="001A2D32"/>
    <w:rsid w:val="001A2D84"/>
    <w:rsid w:val="001A2E00"/>
    <w:rsid w:val="001A2E3F"/>
    <w:rsid w:val="001A2FAC"/>
    <w:rsid w:val="001A30FD"/>
    <w:rsid w:val="001A31A8"/>
    <w:rsid w:val="001A3224"/>
    <w:rsid w:val="001A3228"/>
    <w:rsid w:val="001A3231"/>
    <w:rsid w:val="001A3284"/>
    <w:rsid w:val="001A3325"/>
    <w:rsid w:val="001A33FA"/>
    <w:rsid w:val="001A353F"/>
    <w:rsid w:val="001A3648"/>
    <w:rsid w:val="001A3727"/>
    <w:rsid w:val="001A3762"/>
    <w:rsid w:val="001A3960"/>
    <w:rsid w:val="001A39BE"/>
    <w:rsid w:val="001A3B1D"/>
    <w:rsid w:val="001A3BEE"/>
    <w:rsid w:val="001A3C5E"/>
    <w:rsid w:val="001A3CB5"/>
    <w:rsid w:val="001A3CEA"/>
    <w:rsid w:val="001A3CEE"/>
    <w:rsid w:val="001A3F5A"/>
    <w:rsid w:val="001A40D9"/>
    <w:rsid w:val="001A418B"/>
    <w:rsid w:val="001A425D"/>
    <w:rsid w:val="001A42D3"/>
    <w:rsid w:val="001A469D"/>
    <w:rsid w:val="001A46F1"/>
    <w:rsid w:val="001A4790"/>
    <w:rsid w:val="001A4924"/>
    <w:rsid w:val="001A4B4C"/>
    <w:rsid w:val="001A4F97"/>
    <w:rsid w:val="001A4FA9"/>
    <w:rsid w:val="001A5004"/>
    <w:rsid w:val="001A5162"/>
    <w:rsid w:val="001A51A9"/>
    <w:rsid w:val="001A5291"/>
    <w:rsid w:val="001A5292"/>
    <w:rsid w:val="001A52E6"/>
    <w:rsid w:val="001A54B0"/>
    <w:rsid w:val="001A568E"/>
    <w:rsid w:val="001A573F"/>
    <w:rsid w:val="001A5842"/>
    <w:rsid w:val="001A5895"/>
    <w:rsid w:val="001A58E1"/>
    <w:rsid w:val="001A5967"/>
    <w:rsid w:val="001A599B"/>
    <w:rsid w:val="001A5A33"/>
    <w:rsid w:val="001A5A7E"/>
    <w:rsid w:val="001A5ABB"/>
    <w:rsid w:val="001A5ABE"/>
    <w:rsid w:val="001A5B02"/>
    <w:rsid w:val="001A5B2E"/>
    <w:rsid w:val="001A5BDB"/>
    <w:rsid w:val="001A5DCA"/>
    <w:rsid w:val="001A5E14"/>
    <w:rsid w:val="001A6187"/>
    <w:rsid w:val="001A624C"/>
    <w:rsid w:val="001A639D"/>
    <w:rsid w:val="001A645D"/>
    <w:rsid w:val="001A6554"/>
    <w:rsid w:val="001A668F"/>
    <w:rsid w:val="001A6A65"/>
    <w:rsid w:val="001A6AD1"/>
    <w:rsid w:val="001A6AE0"/>
    <w:rsid w:val="001A6D78"/>
    <w:rsid w:val="001A6DB8"/>
    <w:rsid w:val="001A6E22"/>
    <w:rsid w:val="001A6E6D"/>
    <w:rsid w:val="001A7035"/>
    <w:rsid w:val="001A7218"/>
    <w:rsid w:val="001A72E1"/>
    <w:rsid w:val="001A7341"/>
    <w:rsid w:val="001A735D"/>
    <w:rsid w:val="001A73EE"/>
    <w:rsid w:val="001A74FF"/>
    <w:rsid w:val="001A75B6"/>
    <w:rsid w:val="001A75DB"/>
    <w:rsid w:val="001A7775"/>
    <w:rsid w:val="001A777B"/>
    <w:rsid w:val="001A77C6"/>
    <w:rsid w:val="001A7867"/>
    <w:rsid w:val="001A78F2"/>
    <w:rsid w:val="001A7925"/>
    <w:rsid w:val="001A796E"/>
    <w:rsid w:val="001A7A60"/>
    <w:rsid w:val="001A7A82"/>
    <w:rsid w:val="001A7B11"/>
    <w:rsid w:val="001A7C1D"/>
    <w:rsid w:val="001A7CE8"/>
    <w:rsid w:val="001A7D21"/>
    <w:rsid w:val="001A7D9E"/>
    <w:rsid w:val="001A7F25"/>
    <w:rsid w:val="001B0305"/>
    <w:rsid w:val="001B0379"/>
    <w:rsid w:val="001B03E0"/>
    <w:rsid w:val="001B03F9"/>
    <w:rsid w:val="001B041B"/>
    <w:rsid w:val="001B04ED"/>
    <w:rsid w:val="001B0561"/>
    <w:rsid w:val="001B05AA"/>
    <w:rsid w:val="001B08D0"/>
    <w:rsid w:val="001B0963"/>
    <w:rsid w:val="001B0973"/>
    <w:rsid w:val="001B0A55"/>
    <w:rsid w:val="001B0A5D"/>
    <w:rsid w:val="001B0B1D"/>
    <w:rsid w:val="001B0D3D"/>
    <w:rsid w:val="001B0F0B"/>
    <w:rsid w:val="001B0F0E"/>
    <w:rsid w:val="001B0FA4"/>
    <w:rsid w:val="001B1151"/>
    <w:rsid w:val="001B11EA"/>
    <w:rsid w:val="001B1236"/>
    <w:rsid w:val="001B123C"/>
    <w:rsid w:val="001B1290"/>
    <w:rsid w:val="001B1499"/>
    <w:rsid w:val="001B1598"/>
    <w:rsid w:val="001B175C"/>
    <w:rsid w:val="001B1801"/>
    <w:rsid w:val="001B1815"/>
    <w:rsid w:val="001B19D6"/>
    <w:rsid w:val="001B1E6E"/>
    <w:rsid w:val="001B1ED3"/>
    <w:rsid w:val="001B1EE0"/>
    <w:rsid w:val="001B1F3D"/>
    <w:rsid w:val="001B1F96"/>
    <w:rsid w:val="001B2093"/>
    <w:rsid w:val="001B2181"/>
    <w:rsid w:val="001B220B"/>
    <w:rsid w:val="001B22DF"/>
    <w:rsid w:val="001B242C"/>
    <w:rsid w:val="001B25F1"/>
    <w:rsid w:val="001B262E"/>
    <w:rsid w:val="001B2648"/>
    <w:rsid w:val="001B26AE"/>
    <w:rsid w:val="001B272D"/>
    <w:rsid w:val="001B2783"/>
    <w:rsid w:val="001B27BF"/>
    <w:rsid w:val="001B28A1"/>
    <w:rsid w:val="001B28B8"/>
    <w:rsid w:val="001B2930"/>
    <w:rsid w:val="001B29D8"/>
    <w:rsid w:val="001B29DD"/>
    <w:rsid w:val="001B2A2E"/>
    <w:rsid w:val="001B2A74"/>
    <w:rsid w:val="001B2A90"/>
    <w:rsid w:val="001B2AB0"/>
    <w:rsid w:val="001B2AD0"/>
    <w:rsid w:val="001B2B6B"/>
    <w:rsid w:val="001B2BE2"/>
    <w:rsid w:val="001B2C01"/>
    <w:rsid w:val="001B2C11"/>
    <w:rsid w:val="001B2E0D"/>
    <w:rsid w:val="001B2F0C"/>
    <w:rsid w:val="001B2FA1"/>
    <w:rsid w:val="001B3034"/>
    <w:rsid w:val="001B310E"/>
    <w:rsid w:val="001B31DC"/>
    <w:rsid w:val="001B320B"/>
    <w:rsid w:val="001B3337"/>
    <w:rsid w:val="001B335A"/>
    <w:rsid w:val="001B3368"/>
    <w:rsid w:val="001B344A"/>
    <w:rsid w:val="001B3609"/>
    <w:rsid w:val="001B3628"/>
    <w:rsid w:val="001B36EA"/>
    <w:rsid w:val="001B36F3"/>
    <w:rsid w:val="001B36FF"/>
    <w:rsid w:val="001B378A"/>
    <w:rsid w:val="001B3800"/>
    <w:rsid w:val="001B3828"/>
    <w:rsid w:val="001B385F"/>
    <w:rsid w:val="001B38A5"/>
    <w:rsid w:val="001B3921"/>
    <w:rsid w:val="001B3A37"/>
    <w:rsid w:val="001B3AE3"/>
    <w:rsid w:val="001B3BFA"/>
    <w:rsid w:val="001B3C3A"/>
    <w:rsid w:val="001B41DE"/>
    <w:rsid w:val="001B4443"/>
    <w:rsid w:val="001B44BD"/>
    <w:rsid w:val="001B4568"/>
    <w:rsid w:val="001B4573"/>
    <w:rsid w:val="001B466D"/>
    <w:rsid w:val="001B4747"/>
    <w:rsid w:val="001B47A1"/>
    <w:rsid w:val="001B48B7"/>
    <w:rsid w:val="001B48ED"/>
    <w:rsid w:val="001B491F"/>
    <w:rsid w:val="001B4982"/>
    <w:rsid w:val="001B4A7C"/>
    <w:rsid w:val="001B4B23"/>
    <w:rsid w:val="001B4BFA"/>
    <w:rsid w:val="001B4D39"/>
    <w:rsid w:val="001B4F48"/>
    <w:rsid w:val="001B5106"/>
    <w:rsid w:val="001B51ED"/>
    <w:rsid w:val="001B52A8"/>
    <w:rsid w:val="001B5499"/>
    <w:rsid w:val="001B54D9"/>
    <w:rsid w:val="001B5612"/>
    <w:rsid w:val="001B57B1"/>
    <w:rsid w:val="001B5AAD"/>
    <w:rsid w:val="001B5C95"/>
    <w:rsid w:val="001B5D18"/>
    <w:rsid w:val="001B600A"/>
    <w:rsid w:val="001B60ED"/>
    <w:rsid w:val="001B61CE"/>
    <w:rsid w:val="001B6271"/>
    <w:rsid w:val="001B629E"/>
    <w:rsid w:val="001B63DD"/>
    <w:rsid w:val="001B65D8"/>
    <w:rsid w:val="001B6673"/>
    <w:rsid w:val="001B6730"/>
    <w:rsid w:val="001B6751"/>
    <w:rsid w:val="001B6846"/>
    <w:rsid w:val="001B685E"/>
    <w:rsid w:val="001B6992"/>
    <w:rsid w:val="001B69A9"/>
    <w:rsid w:val="001B6A7E"/>
    <w:rsid w:val="001B6A8A"/>
    <w:rsid w:val="001B6C74"/>
    <w:rsid w:val="001B6CB5"/>
    <w:rsid w:val="001B6CBE"/>
    <w:rsid w:val="001B6D59"/>
    <w:rsid w:val="001B6F8F"/>
    <w:rsid w:val="001B702F"/>
    <w:rsid w:val="001B7187"/>
    <w:rsid w:val="001B732F"/>
    <w:rsid w:val="001B742B"/>
    <w:rsid w:val="001B74DC"/>
    <w:rsid w:val="001B7608"/>
    <w:rsid w:val="001B786A"/>
    <w:rsid w:val="001B791F"/>
    <w:rsid w:val="001B7A59"/>
    <w:rsid w:val="001B7AE6"/>
    <w:rsid w:val="001B7BE6"/>
    <w:rsid w:val="001B7CF3"/>
    <w:rsid w:val="001B7D8F"/>
    <w:rsid w:val="001B7DB9"/>
    <w:rsid w:val="001B7E86"/>
    <w:rsid w:val="001B7E93"/>
    <w:rsid w:val="001B7EFB"/>
    <w:rsid w:val="001B9110"/>
    <w:rsid w:val="001C0008"/>
    <w:rsid w:val="001C00F3"/>
    <w:rsid w:val="001C0105"/>
    <w:rsid w:val="001C0114"/>
    <w:rsid w:val="001C01E6"/>
    <w:rsid w:val="001C0477"/>
    <w:rsid w:val="001C0558"/>
    <w:rsid w:val="001C05B7"/>
    <w:rsid w:val="001C0B4A"/>
    <w:rsid w:val="001C0C36"/>
    <w:rsid w:val="001C0D3D"/>
    <w:rsid w:val="001C0E75"/>
    <w:rsid w:val="001C0ECC"/>
    <w:rsid w:val="001C10EF"/>
    <w:rsid w:val="001C110B"/>
    <w:rsid w:val="001C1334"/>
    <w:rsid w:val="001C1341"/>
    <w:rsid w:val="001C1676"/>
    <w:rsid w:val="001C176C"/>
    <w:rsid w:val="001C1794"/>
    <w:rsid w:val="001C19D5"/>
    <w:rsid w:val="001C1B9D"/>
    <w:rsid w:val="001C1D22"/>
    <w:rsid w:val="001C1DC8"/>
    <w:rsid w:val="001C1F2F"/>
    <w:rsid w:val="001C1FBA"/>
    <w:rsid w:val="001C1FC1"/>
    <w:rsid w:val="001C1FFE"/>
    <w:rsid w:val="001C20D6"/>
    <w:rsid w:val="001C20E4"/>
    <w:rsid w:val="001C2225"/>
    <w:rsid w:val="001C2279"/>
    <w:rsid w:val="001C227D"/>
    <w:rsid w:val="001C228C"/>
    <w:rsid w:val="001C2352"/>
    <w:rsid w:val="001C23D8"/>
    <w:rsid w:val="001C2418"/>
    <w:rsid w:val="001C2420"/>
    <w:rsid w:val="001C24CD"/>
    <w:rsid w:val="001C24ED"/>
    <w:rsid w:val="001C256A"/>
    <w:rsid w:val="001C25FC"/>
    <w:rsid w:val="001C2785"/>
    <w:rsid w:val="001C27F3"/>
    <w:rsid w:val="001C2806"/>
    <w:rsid w:val="001C2A61"/>
    <w:rsid w:val="001C2AE8"/>
    <w:rsid w:val="001C2B4E"/>
    <w:rsid w:val="001C2C03"/>
    <w:rsid w:val="001C2C12"/>
    <w:rsid w:val="001C2C78"/>
    <w:rsid w:val="001C2C7A"/>
    <w:rsid w:val="001C2CCA"/>
    <w:rsid w:val="001C2DB7"/>
    <w:rsid w:val="001C2DC9"/>
    <w:rsid w:val="001C2DDD"/>
    <w:rsid w:val="001C2E0C"/>
    <w:rsid w:val="001C2EDF"/>
    <w:rsid w:val="001C3045"/>
    <w:rsid w:val="001C3057"/>
    <w:rsid w:val="001C307D"/>
    <w:rsid w:val="001C328F"/>
    <w:rsid w:val="001C3331"/>
    <w:rsid w:val="001C3376"/>
    <w:rsid w:val="001C3466"/>
    <w:rsid w:val="001C3586"/>
    <w:rsid w:val="001C361F"/>
    <w:rsid w:val="001C370A"/>
    <w:rsid w:val="001C3724"/>
    <w:rsid w:val="001C3787"/>
    <w:rsid w:val="001C37AF"/>
    <w:rsid w:val="001C3858"/>
    <w:rsid w:val="001C3896"/>
    <w:rsid w:val="001C389E"/>
    <w:rsid w:val="001C3932"/>
    <w:rsid w:val="001C393A"/>
    <w:rsid w:val="001C3A0C"/>
    <w:rsid w:val="001C3A6A"/>
    <w:rsid w:val="001C3A97"/>
    <w:rsid w:val="001C3B2B"/>
    <w:rsid w:val="001C3B8D"/>
    <w:rsid w:val="001C3EC2"/>
    <w:rsid w:val="001C4064"/>
    <w:rsid w:val="001C409D"/>
    <w:rsid w:val="001C40D7"/>
    <w:rsid w:val="001C4576"/>
    <w:rsid w:val="001C4835"/>
    <w:rsid w:val="001C48B9"/>
    <w:rsid w:val="001C49AA"/>
    <w:rsid w:val="001C49E0"/>
    <w:rsid w:val="001C49E7"/>
    <w:rsid w:val="001C4A16"/>
    <w:rsid w:val="001C4A67"/>
    <w:rsid w:val="001C4AD0"/>
    <w:rsid w:val="001C4BBC"/>
    <w:rsid w:val="001C4BE3"/>
    <w:rsid w:val="001C4C91"/>
    <w:rsid w:val="001C4D6B"/>
    <w:rsid w:val="001C4DFD"/>
    <w:rsid w:val="001C51D4"/>
    <w:rsid w:val="001C548C"/>
    <w:rsid w:val="001C5628"/>
    <w:rsid w:val="001C5641"/>
    <w:rsid w:val="001C566E"/>
    <w:rsid w:val="001C570F"/>
    <w:rsid w:val="001C5745"/>
    <w:rsid w:val="001C582D"/>
    <w:rsid w:val="001C5AC9"/>
    <w:rsid w:val="001C5B19"/>
    <w:rsid w:val="001C5B46"/>
    <w:rsid w:val="001C5B63"/>
    <w:rsid w:val="001C5CD3"/>
    <w:rsid w:val="001C5D0F"/>
    <w:rsid w:val="001C5DB4"/>
    <w:rsid w:val="001C5E00"/>
    <w:rsid w:val="001C5E9D"/>
    <w:rsid w:val="001C5FD9"/>
    <w:rsid w:val="001C6207"/>
    <w:rsid w:val="001C6373"/>
    <w:rsid w:val="001C64D7"/>
    <w:rsid w:val="001C64EC"/>
    <w:rsid w:val="001C66F5"/>
    <w:rsid w:val="001C6908"/>
    <w:rsid w:val="001C69E7"/>
    <w:rsid w:val="001C6A62"/>
    <w:rsid w:val="001C6A9B"/>
    <w:rsid w:val="001C6AB8"/>
    <w:rsid w:val="001C6B00"/>
    <w:rsid w:val="001C6B5C"/>
    <w:rsid w:val="001C6BC1"/>
    <w:rsid w:val="001C6CD7"/>
    <w:rsid w:val="001C6CED"/>
    <w:rsid w:val="001C6D1C"/>
    <w:rsid w:val="001C6D48"/>
    <w:rsid w:val="001C6E76"/>
    <w:rsid w:val="001C6E7D"/>
    <w:rsid w:val="001C6E96"/>
    <w:rsid w:val="001C6F50"/>
    <w:rsid w:val="001C71F4"/>
    <w:rsid w:val="001C72A4"/>
    <w:rsid w:val="001C732C"/>
    <w:rsid w:val="001C7371"/>
    <w:rsid w:val="001C752A"/>
    <w:rsid w:val="001C7536"/>
    <w:rsid w:val="001C75CC"/>
    <w:rsid w:val="001C7632"/>
    <w:rsid w:val="001C781D"/>
    <w:rsid w:val="001C79EF"/>
    <w:rsid w:val="001C79F4"/>
    <w:rsid w:val="001C7A45"/>
    <w:rsid w:val="001C7A8F"/>
    <w:rsid w:val="001C7AD5"/>
    <w:rsid w:val="001C7B63"/>
    <w:rsid w:val="001C7B69"/>
    <w:rsid w:val="001C7C75"/>
    <w:rsid w:val="001C7C83"/>
    <w:rsid w:val="001C7D28"/>
    <w:rsid w:val="001C7F30"/>
    <w:rsid w:val="001D013D"/>
    <w:rsid w:val="001D0181"/>
    <w:rsid w:val="001D01B3"/>
    <w:rsid w:val="001D02E3"/>
    <w:rsid w:val="001D037F"/>
    <w:rsid w:val="001D04DF"/>
    <w:rsid w:val="001D06B2"/>
    <w:rsid w:val="001D0734"/>
    <w:rsid w:val="001D079C"/>
    <w:rsid w:val="001D086D"/>
    <w:rsid w:val="001D0943"/>
    <w:rsid w:val="001D09A6"/>
    <w:rsid w:val="001D09AF"/>
    <w:rsid w:val="001D0AAB"/>
    <w:rsid w:val="001D0B4D"/>
    <w:rsid w:val="001D0B85"/>
    <w:rsid w:val="001D0BF9"/>
    <w:rsid w:val="001D0D6B"/>
    <w:rsid w:val="001D0DAE"/>
    <w:rsid w:val="001D0E12"/>
    <w:rsid w:val="001D0EDE"/>
    <w:rsid w:val="001D1119"/>
    <w:rsid w:val="001D125A"/>
    <w:rsid w:val="001D12BC"/>
    <w:rsid w:val="001D12EA"/>
    <w:rsid w:val="001D13AA"/>
    <w:rsid w:val="001D1496"/>
    <w:rsid w:val="001D150C"/>
    <w:rsid w:val="001D1568"/>
    <w:rsid w:val="001D158C"/>
    <w:rsid w:val="001D16CB"/>
    <w:rsid w:val="001D18B0"/>
    <w:rsid w:val="001D1968"/>
    <w:rsid w:val="001D1972"/>
    <w:rsid w:val="001D1A15"/>
    <w:rsid w:val="001D1BAF"/>
    <w:rsid w:val="001D1BFA"/>
    <w:rsid w:val="001D1C47"/>
    <w:rsid w:val="001D1E51"/>
    <w:rsid w:val="001D1ED9"/>
    <w:rsid w:val="001D1F31"/>
    <w:rsid w:val="001D2030"/>
    <w:rsid w:val="001D209E"/>
    <w:rsid w:val="001D20F5"/>
    <w:rsid w:val="001D20F6"/>
    <w:rsid w:val="001D2279"/>
    <w:rsid w:val="001D2284"/>
    <w:rsid w:val="001D23BC"/>
    <w:rsid w:val="001D23F7"/>
    <w:rsid w:val="001D2490"/>
    <w:rsid w:val="001D268B"/>
    <w:rsid w:val="001D26BE"/>
    <w:rsid w:val="001D2751"/>
    <w:rsid w:val="001D2806"/>
    <w:rsid w:val="001D28A3"/>
    <w:rsid w:val="001D29B2"/>
    <w:rsid w:val="001D2A80"/>
    <w:rsid w:val="001D2A94"/>
    <w:rsid w:val="001D2BD5"/>
    <w:rsid w:val="001D2C06"/>
    <w:rsid w:val="001D2C4A"/>
    <w:rsid w:val="001D2E8F"/>
    <w:rsid w:val="001D2F1C"/>
    <w:rsid w:val="001D2F53"/>
    <w:rsid w:val="001D2F80"/>
    <w:rsid w:val="001D3203"/>
    <w:rsid w:val="001D346E"/>
    <w:rsid w:val="001D36A1"/>
    <w:rsid w:val="001D3A64"/>
    <w:rsid w:val="001D3B13"/>
    <w:rsid w:val="001D3C28"/>
    <w:rsid w:val="001D3D2C"/>
    <w:rsid w:val="001D3D39"/>
    <w:rsid w:val="001D3D4A"/>
    <w:rsid w:val="001D3DD3"/>
    <w:rsid w:val="001D3DEB"/>
    <w:rsid w:val="001D3F05"/>
    <w:rsid w:val="001D4011"/>
    <w:rsid w:val="001D410F"/>
    <w:rsid w:val="001D4160"/>
    <w:rsid w:val="001D41A2"/>
    <w:rsid w:val="001D421F"/>
    <w:rsid w:val="001D43F7"/>
    <w:rsid w:val="001D43FD"/>
    <w:rsid w:val="001D4495"/>
    <w:rsid w:val="001D45A8"/>
    <w:rsid w:val="001D45BB"/>
    <w:rsid w:val="001D4605"/>
    <w:rsid w:val="001D460D"/>
    <w:rsid w:val="001D46B8"/>
    <w:rsid w:val="001D46D8"/>
    <w:rsid w:val="001D4711"/>
    <w:rsid w:val="001D47A2"/>
    <w:rsid w:val="001D4A36"/>
    <w:rsid w:val="001D4B2C"/>
    <w:rsid w:val="001D4B45"/>
    <w:rsid w:val="001D4E5D"/>
    <w:rsid w:val="001D4E86"/>
    <w:rsid w:val="001D4EA6"/>
    <w:rsid w:val="001D5034"/>
    <w:rsid w:val="001D5360"/>
    <w:rsid w:val="001D5374"/>
    <w:rsid w:val="001D55FB"/>
    <w:rsid w:val="001D561B"/>
    <w:rsid w:val="001D567F"/>
    <w:rsid w:val="001D5751"/>
    <w:rsid w:val="001D5778"/>
    <w:rsid w:val="001D589A"/>
    <w:rsid w:val="001D599E"/>
    <w:rsid w:val="001D5A6C"/>
    <w:rsid w:val="001D5AD9"/>
    <w:rsid w:val="001D5CB2"/>
    <w:rsid w:val="001D5EC0"/>
    <w:rsid w:val="001D5FDC"/>
    <w:rsid w:val="001D5FFD"/>
    <w:rsid w:val="001D602C"/>
    <w:rsid w:val="001D6098"/>
    <w:rsid w:val="001D62AB"/>
    <w:rsid w:val="001D62B8"/>
    <w:rsid w:val="001D6317"/>
    <w:rsid w:val="001D635D"/>
    <w:rsid w:val="001D641E"/>
    <w:rsid w:val="001D64A0"/>
    <w:rsid w:val="001D64D8"/>
    <w:rsid w:val="001D650C"/>
    <w:rsid w:val="001D65DE"/>
    <w:rsid w:val="001D6650"/>
    <w:rsid w:val="001D66C3"/>
    <w:rsid w:val="001D66E6"/>
    <w:rsid w:val="001D6748"/>
    <w:rsid w:val="001D6781"/>
    <w:rsid w:val="001D6788"/>
    <w:rsid w:val="001D6860"/>
    <w:rsid w:val="001D69EB"/>
    <w:rsid w:val="001D6D7F"/>
    <w:rsid w:val="001D704E"/>
    <w:rsid w:val="001D707B"/>
    <w:rsid w:val="001D7184"/>
    <w:rsid w:val="001D7236"/>
    <w:rsid w:val="001D724D"/>
    <w:rsid w:val="001D729A"/>
    <w:rsid w:val="001D72AB"/>
    <w:rsid w:val="001D72C7"/>
    <w:rsid w:val="001D72CC"/>
    <w:rsid w:val="001D72E8"/>
    <w:rsid w:val="001D731A"/>
    <w:rsid w:val="001D75E0"/>
    <w:rsid w:val="001D762C"/>
    <w:rsid w:val="001D770A"/>
    <w:rsid w:val="001D7999"/>
    <w:rsid w:val="001D799F"/>
    <w:rsid w:val="001D7A88"/>
    <w:rsid w:val="001D7C3B"/>
    <w:rsid w:val="001D7C6E"/>
    <w:rsid w:val="001D7CD3"/>
    <w:rsid w:val="001D7D57"/>
    <w:rsid w:val="001D7DA5"/>
    <w:rsid w:val="001D7DF4"/>
    <w:rsid w:val="001D7F66"/>
    <w:rsid w:val="001D7FBB"/>
    <w:rsid w:val="001E00EF"/>
    <w:rsid w:val="001E01DE"/>
    <w:rsid w:val="001E02C2"/>
    <w:rsid w:val="001E037F"/>
    <w:rsid w:val="001E0398"/>
    <w:rsid w:val="001E060F"/>
    <w:rsid w:val="001E0676"/>
    <w:rsid w:val="001E06F3"/>
    <w:rsid w:val="001E0733"/>
    <w:rsid w:val="001E0764"/>
    <w:rsid w:val="001E090F"/>
    <w:rsid w:val="001E093B"/>
    <w:rsid w:val="001E094C"/>
    <w:rsid w:val="001E09DA"/>
    <w:rsid w:val="001E0A1D"/>
    <w:rsid w:val="001E0AB0"/>
    <w:rsid w:val="001E0BDE"/>
    <w:rsid w:val="001E0C0A"/>
    <w:rsid w:val="001E0CDA"/>
    <w:rsid w:val="001E0D52"/>
    <w:rsid w:val="001E0DF4"/>
    <w:rsid w:val="001E0E3A"/>
    <w:rsid w:val="001E0E64"/>
    <w:rsid w:val="001E0F59"/>
    <w:rsid w:val="001E0F91"/>
    <w:rsid w:val="001E10CB"/>
    <w:rsid w:val="001E11FD"/>
    <w:rsid w:val="001E13E0"/>
    <w:rsid w:val="001E13FE"/>
    <w:rsid w:val="001E144C"/>
    <w:rsid w:val="001E1573"/>
    <w:rsid w:val="001E1966"/>
    <w:rsid w:val="001E197B"/>
    <w:rsid w:val="001E1A4F"/>
    <w:rsid w:val="001E1B8C"/>
    <w:rsid w:val="001E1B97"/>
    <w:rsid w:val="001E1C22"/>
    <w:rsid w:val="001E1C5D"/>
    <w:rsid w:val="001E1C74"/>
    <w:rsid w:val="001E1D23"/>
    <w:rsid w:val="001E1D4F"/>
    <w:rsid w:val="001E1EEF"/>
    <w:rsid w:val="001E1F6B"/>
    <w:rsid w:val="001E1F7F"/>
    <w:rsid w:val="001E2148"/>
    <w:rsid w:val="001E2307"/>
    <w:rsid w:val="001E2410"/>
    <w:rsid w:val="001E2442"/>
    <w:rsid w:val="001E24EA"/>
    <w:rsid w:val="001E25A9"/>
    <w:rsid w:val="001E26E9"/>
    <w:rsid w:val="001E28D3"/>
    <w:rsid w:val="001E2935"/>
    <w:rsid w:val="001E2A37"/>
    <w:rsid w:val="001E2B17"/>
    <w:rsid w:val="001E2D87"/>
    <w:rsid w:val="001E2E09"/>
    <w:rsid w:val="001E2ED4"/>
    <w:rsid w:val="001E2EF2"/>
    <w:rsid w:val="001E2F2A"/>
    <w:rsid w:val="001E2FB9"/>
    <w:rsid w:val="001E2FFC"/>
    <w:rsid w:val="001E3000"/>
    <w:rsid w:val="001E3025"/>
    <w:rsid w:val="001E3029"/>
    <w:rsid w:val="001E30B8"/>
    <w:rsid w:val="001E30CA"/>
    <w:rsid w:val="001E31E5"/>
    <w:rsid w:val="001E324F"/>
    <w:rsid w:val="001E327C"/>
    <w:rsid w:val="001E3285"/>
    <w:rsid w:val="001E33DB"/>
    <w:rsid w:val="001E33FB"/>
    <w:rsid w:val="001E3472"/>
    <w:rsid w:val="001E35AA"/>
    <w:rsid w:val="001E35E1"/>
    <w:rsid w:val="001E36BB"/>
    <w:rsid w:val="001E37AF"/>
    <w:rsid w:val="001E383A"/>
    <w:rsid w:val="001E38BE"/>
    <w:rsid w:val="001E39FF"/>
    <w:rsid w:val="001E3A2A"/>
    <w:rsid w:val="001E3B07"/>
    <w:rsid w:val="001E3B4F"/>
    <w:rsid w:val="001E3BB6"/>
    <w:rsid w:val="001E3BC2"/>
    <w:rsid w:val="001E3D6F"/>
    <w:rsid w:val="001E3D75"/>
    <w:rsid w:val="001E3D92"/>
    <w:rsid w:val="001E3DAA"/>
    <w:rsid w:val="001E3E5F"/>
    <w:rsid w:val="001E3E88"/>
    <w:rsid w:val="001E3EFE"/>
    <w:rsid w:val="001E3F04"/>
    <w:rsid w:val="001E3FD6"/>
    <w:rsid w:val="001E4040"/>
    <w:rsid w:val="001E406A"/>
    <w:rsid w:val="001E4091"/>
    <w:rsid w:val="001E4213"/>
    <w:rsid w:val="001E4247"/>
    <w:rsid w:val="001E43EC"/>
    <w:rsid w:val="001E43FC"/>
    <w:rsid w:val="001E44F7"/>
    <w:rsid w:val="001E456D"/>
    <w:rsid w:val="001E471C"/>
    <w:rsid w:val="001E4751"/>
    <w:rsid w:val="001E478C"/>
    <w:rsid w:val="001E4873"/>
    <w:rsid w:val="001E495D"/>
    <w:rsid w:val="001E4993"/>
    <w:rsid w:val="001E49DF"/>
    <w:rsid w:val="001E4A69"/>
    <w:rsid w:val="001E4A83"/>
    <w:rsid w:val="001E4A94"/>
    <w:rsid w:val="001E4BC3"/>
    <w:rsid w:val="001E4C24"/>
    <w:rsid w:val="001E4C74"/>
    <w:rsid w:val="001E4FE0"/>
    <w:rsid w:val="001E5126"/>
    <w:rsid w:val="001E51DA"/>
    <w:rsid w:val="001E520D"/>
    <w:rsid w:val="001E5225"/>
    <w:rsid w:val="001E5238"/>
    <w:rsid w:val="001E52C7"/>
    <w:rsid w:val="001E5350"/>
    <w:rsid w:val="001E53EB"/>
    <w:rsid w:val="001E53F6"/>
    <w:rsid w:val="001E541C"/>
    <w:rsid w:val="001E54B1"/>
    <w:rsid w:val="001E5520"/>
    <w:rsid w:val="001E55A6"/>
    <w:rsid w:val="001E56B3"/>
    <w:rsid w:val="001E580A"/>
    <w:rsid w:val="001E5955"/>
    <w:rsid w:val="001E59E8"/>
    <w:rsid w:val="001E5AF8"/>
    <w:rsid w:val="001E5B99"/>
    <w:rsid w:val="001E5C11"/>
    <w:rsid w:val="001E5C55"/>
    <w:rsid w:val="001E5CA1"/>
    <w:rsid w:val="001E5CCD"/>
    <w:rsid w:val="001E5E68"/>
    <w:rsid w:val="001E5EA7"/>
    <w:rsid w:val="001E5FD6"/>
    <w:rsid w:val="001E60AD"/>
    <w:rsid w:val="001E61AB"/>
    <w:rsid w:val="001E61C4"/>
    <w:rsid w:val="001E61EB"/>
    <w:rsid w:val="001E6218"/>
    <w:rsid w:val="001E6239"/>
    <w:rsid w:val="001E627B"/>
    <w:rsid w:val="001E62F0"/>
    <w:rsid w:val="001E63E8"/>
    <w:rsid w:val="001E6530"/>
    <w:rsid w:val="001E653C"/>
    <w:rsid w:val="001E6567"/>
    <w:rsid w:val="001E6584"/>
    <w:rsid w:val="001E6782"/>
    <w:rsid w:val="001E67E6"/>
    <w:rsid w:val="001E6834"/>
    <w:rsid w:val="001E6896"/>
    <w:rsid w:val="001E689A"/>
    <w:rsid w:val="001E6928"/>
    <w:rsid w:val="001E6ADE"/>
    <w:rsid w:val="001E6B53"/>
    <w:rsid w:val="001E6D2B"/>
    <w:rsid w:val="001E706D"/>
    <w:rsid w:val="001E707A"/>
    <w:rsid w:val="001E741D"/>
    <w:rsid w:val="001E759E"/>
    <w:rsid w:val="001E763C"/>
    <w:rsid w:val="001E76A6"/>
    <w:rsid w:val="001E77EF"/>
    <w:rsid w:val="001E7869"/>
    <w:rsid w:val="001E78CB"/>
    <w:rsid w:val="001E7944"/>
    <w:rsid w:val="001E7A7F"/>
    <w:rsid w:val="001E7C4C"/>
    <w:rsid w:val="001E7C55"/>
    <w:rsid w:val="001E7D1C"/>
    <w:rsid w:val="001E7DCB"/>
    <w:rsid w:val="001E7E87"/>
    <w:rsid w:val="001E7F95"/>
    <w:rsid w:val="001F02A8"/>
    <w:rsid w:val="001F02BB"/>
    <w:rsid w:val="001F030A"/>
    <w:rsid w:val="001F0313"/>
    <w:rsid w:val="001F0435"/>
    <w:rsid w:val="001F04FE"/>
    <w:rsid w:val="001F0593"/>
    <w:rsid w:val="001F0649"/>
    <w:rsid w:val="001F07A9"/>
    <w:rsid w:val="001F0869"/>
    <w:rsid w:val="001F08A4"/>
    <w:rsid w:val="001F0A6B"/>
    <w:rsid w:val="001F0DFD"/>
    <w:rsid w:val="001F0E07"/>
    <w:rsid w:val="001F0F65"/>
    <w:rsid w:val="001F1004"/>
    <w:rsid w:val="001F1086"/>
    <w:rsid w:val="001F10A6"/>
    <w:rsid w:val="001F10F8"/>
    <w:rsid w:val="001F12F0"/>
    <w:rsid w:val="001F1647"/>
    <w:rsid w:val="001F1669"/>
    <w:rsid w:val="001F16B4"/>
    <w:rsid w:val="001F18BF"/>
    <w:rsid w:val="001F191F"/>
    <w:rsid w:val="001F1960"/>
    <w:rsid w:val="001F1B95"/>
    <w:rsid w:val="001F1C27"/>
    <w:rsid w:val="001F1CBF"/>
    <w:rsid w:val="001F1DD0"/>
    <w:rsid w:val="001F1EBD"/>
    <w:rsid w:val="001F1EE1"/>
    <w:rsid w:val="001F201A"/>
    <w:rsid w:val="001F217B"/>
    <w:rsid w:val="001F232E"/>
    <w:rsid w:val="001F2356"/>
    <w:rsid w:val="001F23D5"/>
    <w:rsid w:val="001F26AA"/>
    <w:rsid w:val="001F26C1"/>
    <w:rsid w:val="001F26CD"/>
    <w:rsid w:val="001F272B"/>
    <w:rsid w:val="001F2751"/>
    <w:rsid w:val="001F2789"/>
    <w:rsid w:val="001F27B4"/>
    <w:rsid w:val="001F2B7D"/>
    <w:rsid w:val="001F2C4C"/>
    <w:rsid w:val="001F2C6C"/>
    <w:rsid w:val="001F2CC1"/>
    <w:rsid w:val="001F2CD7"/>
    <w:rsid w:val="001F2DA3"/>
    <w:rsid w:val="001F2DC3"/>
    <w:rsid w:val="001F2E20"/>
    <w:rsid w:val="001F2E88"/>
    <w:rsid w:val="001F2F2B"/>
    <w:rsid w:val="001F2F94"/>
    <w:rsid w:val="001F30A6"/>
    <w:rsid w:val="001F30A8"/>
    <w:rsid w:val="001F319B"/>
    <w:rsid w:val="001F322E"/>
    <w:rsid w:val="001F3264"/>
    <w:rsid w:val="001F32D0"/>
    <w:rsid w:val="001F32DA"/>
    <w:rsid w:val="001F332B"/>
    <w:rsid w:val="001F3386"/>
    <w:rsid w:val="001F33FD"/>
    <w:rsid w:val="001F3501"/>
    <w:rsid w:val="001F3524"/>
    <w:rsid w:val="001F35DF"/>
    <w:rsid w:val="001F3634"/>
    <w:rsid w:val="001F3711"/>
    <w:rsid w:val="001F3777"/>
    <w:rsid w:val="001F37AF"/>
    <w:rsid w:val="001F37D1"/>
    <w:rsid w:val="001F38A2"/>
    <w:rsid w:val="001F38C6"/>
    <w:rsid w:val="001F38E7"/>
    <w:rsid w:val="001F3AC5"/>
    <w:rsid w:val="001F3B3B"/>
    <w:rsid w:val="001F3C87"/>
    <w:rsid w:val="001F3D09"/>
    <w:rsid w:val="001F3E4A"/>
    <w:rsid w:val="001F3E92"/>
    <w:rsid w:val="001F3F2C"/>
    <w:rsid w:val="001F3F30"/>
    <w:rsid w:val="001F3F9B"/>
    <w:rsid w:val="001F3FDE"/>
    <w:rsid w:val="001F40AB"/>
    <w:rsid w:val="001F40EC"/>
    <w:rsid w:val="001F4355"/>
    <w:rsid w:val="001F43AB"/>
    <w:rsid w:val="001F43F2"/>
    <w:rsid w:val="001F44AE"/>
    <w:rsid w:val="001F462C"/>
    <w:rsid w:val="001F46D6"/>
    <w:rsid w:val="001F4802"/>
    <w:rsid w:val="001F4833"/>
    <w:rsid w:val="001F4844"/>
    <w:rsid w:val="001F48A0"/>
    <w:rsid w:val="001F48E4"/>
    <w:rsid w:val="001F4916"/>
    <w:rsid w:val="001F4AAA"/>
    <w:rsid w:val="001F4D6B"/>
    <w:rsid w:val="001F4D7C"/>
    <w:rsid w:val="001F4DD0"/>
    <w:rsid w:val="001F4E73"/>
    <w:rsid w:val="001F4F68"/>
    <w:rsid w:val="001F4FDD"/>
    <w:rsid w:val="001F4FE6"/>
    <w:rsid w:val="001F5081"/>
    <w:rsid w:val="001F50A9"/>
    <w:rsid w:val="001F5246"/>
    <w:rsid w:val="001F52CB"/>
    <w:rsid w:val="001F5300"/>
    <w:rsid w:val="001F5347"/>
    <w:rsid w:val="001F53F2"/>
    <w:rsid w:val="001F568B"/>
    <w:rsid w:val="001F5774"/>
    <w:rsid w:val="001F5A2E"/>
    <w:rsid w:val="001F5BD3"/>
    <w:rsid w:val="001F5E0F"/>
    <w:rsid w:val="001F5E58"/>
    <w:rsid w:val="001F5E73"/>
    <w:rsid w:val="001F5F7B"/>
    <w:rsid w:val="001F5FB2"/>
    <w:rsid w:val="001F6126"/>
    <w:rsid w:val="001F618F"/>
    <w:rsid w:val="001F62DA"/>
    <w:rsid w:val="001F6302"/>
    <w:rsid w:val="001F632A"/>
    <w:rsid w:val="001F6541"/>
    <w:rsid w:val="001F6787"/>
    <w:rsid w:val="001F67E0"/>
    <w:rsid w:val="001F683D"/>
    <w:rsid w:val="001F683E"/>
    <w:rsid w:val="001F69ED"/>
    <w:rsid w:val="001F6ADA"/>
    <w:rsid w:val="001F6BCC"/>
    <w:rsid w:val="001F6C7D"/>
    <w:rsid w:val="001F6D5F"/>
    <w:rsid w:val="001F6E52"/>
    <w:rsid w:val="001F6EC1"/>
    <w:rsid w:val="001F6F3A"/>
    <w:rsid w:val="001F6F86"/>
    <w:rsid w:val="001F7054"/>
    <w:rsid w:val="001F70BF"/>
    <w:rsid w:val="001F7176"/>
    <w:rsid w:val="001F7184"/>
    <w:rsid w:val="001F738C"/>
    <w:rsid w:val="001F73AD"/>
    <w:rsid w:val="001F742B"/>
    <w:rsid w:val="001F753E"/>
    <w:rsid w:val="001F781E"/>
    <w:rsid w:val="001F786D"/>
    <w:rsid w:val="001F794C"/>
    <w:rsid w:val="001F7966"/>
    <w:rsid w:val="001F79C9"/>
    <w:rsid w:val="001F7A63"/>
    <w:rsid w:val="001F7C5D"/>
    <w:rsid w:val="001F7D05"/>
    <w:rsid w:val="001F7D0D"/>
    <w:rsid w:val="001F7D80"/>
    <w:rsid w:val="001F7DAA"/>
    <w:rsid w:val="001F7DF1"/>
    <w:rsid w:val="001F7E6F"/>
    <w:rsid w:val="001F7EB0"/>
    <w:rsid w:val="0020009F"/>
    <w:rsid w:val="002000E7"/>
    <w:rsid w:val="0020014C"/>
    <w:rsid w:val="0020015E"/>
    <w:rsid w:val="0020022E"/>
    <w:rsid w:val="002002CE"/>
    <w:rsid w:val="0020045A"/>
    <w:rsid w:val="002006FC"/>
    <w:rsid w:val="00200770"/>
    <w:rsid w:val="002007FD"/>
    <w:rsid w:val="0020083D"/>
    <w:rsid w:val="0020084E"/>
    <w:rsid w:val="0020088F"/>
    <w:rsid w:val="00200A9F"/>
    <w:rsid w:val="00200BF0"/>
    <w:rsid w:val="00200D65"/>
    <w:rsid w:val="00200DE8"/>
    <w:rsid w:val="00200ECB"/>
    <w:rsid w:val="00200EF8"/>
    <w:rsid w:val="00200F48"/>
    <w:rsid w:val="0020104C"/>
    <w:rsid w:val="002010FC"/>
    <w:rsid w:val="00201267"/>
    <w:rsid w:val="0020129C"/>
    <w:rsid w:val="002012BD"/>
    <w:rsid w:val="002012D9"/>
    <w:rsid w:val="0020134A"/>
    <w:rsid w:val="002013B9"/>
    <w:rsid w:val="002014E4"/>
    <w:rsid w:val="002014EE"/>
    <w:rsid w:val="0020164A"/>
    <w:rsid w:val="002016D7"/>
    <w:rsid w:val="00201756"/>
    <w:rsid w:val="00201817"/>
    <w:rsid w:val="00201862"/>
    <w:rsid w:val="002019AD"/>
    <w:rsid w:val="002019B2"/>
    <w:rsid w:val="00201AEE"/>
    <w:rsid w:val="00201B45"/>
    <w:rsid w:val="00201D27"/>
    <w:rsid w:val="00201D68"/>
    <w:rsid w:val="00201E11"/>
    <w:rsid w:val="00201E29"/>
    <w:rsid w:val="00201EC4"/>
    <w:rsid w:val="00201F3B"/>
    <w:rsid w:val="00201F9C"/>
    <w:rsid w:val="00201FDE"/>
    <w:rsid w:val="00202024"/>
    <w:rsid w:val="00202046"/>
    <w:rsid w:val="0020227D"/>
    <w:rsid w:val="002022A8"/>
    <w:rsid w:val="00202337"/>
    <w:rsid w:val="00202395"/>
    <w:rsid w:val="00202466"/>
    <w:rsid w:val="00202468"/>
    <w:rsid w:val="002024B9"/>
    <w:rsid w:val="0020254D"/>
    <w:rsid w:val="00202803"/>
    <w:rsid w:val="00202A27"/>
    <w:rsid w:val="00202CEF"/>
    <w:rsid w:val="00202E03"/>
    <w:rsid w:val="00202E23"/>
    <w:rsid w:val="00202F5F"/>
    <w:rsid w:val="00202FB7"/>
    <w:rsid w:val="00202FD0"/>
    <w:rsid w:val="00202FD7"/>
    <w:rsid w:val="00203001"/>
    <w:rsid w:val="002030EA"/>
    <w:rsid w:val="0020310B"/>
    <w:rsid w:val="00203152"/>
    <w:rsid w:val="0020318F"/>
    <w:rsid w:val="0020320F"/>
    <w:rsid w:val="002032C7"/>
    <w:rsid w:val="0020342B"/>
    <w:rsid w:val="00203447"/>
    <w:rsid w:val="002034E9"/>
    <w:rsid w:val="00203632"/>
    <w:rsid w:val="0020367E"/>
    <w:rsid w:val="002036C1"/>
    <w:rsid w:val="00203996"/>
    <w:rsid w:val="002039C5"/>
    <w:rsid w:val="002039E8"/>
    <w:rsid w:val="00203BE3"/>
    <w:rsid w:val="00203C61"/>
    <w:rsid w:val="00203C6E"/>
    <w:rsid w:val="00203C81"/>
    <w:rsid w:val="00203DDA"/>
    <w:rsid w:val="00203E67"/>
    <w:rsid w:val="00203EED"/>
    <w:rsid w:val="00204216"/>
    <w:rsid w:val="00204288"/>
    <w:rsid w:val="002042A8"/>
    <w:rsid w:val="002042CA"/>
    <w:rsid w:val="00204336"/>
    <w:rsid w:val="0020436C"/>
    <w:rsid w:val="00204416"/>
    <w:rsid w:val="002044E0"/>
    <w:rsid w:val="00204509"/>
    <w:rsid w:val="0020451B"/>
    <w:rsid w:val="002045DB"/>
    <w:rsid w:val="00204650"/>
    <w:rsid w:val="00204665"/>
    <w:rsid w:val="00204810"/>
    <w:rsid w:val="00204D82"/>
    <w:rsid w:val="00204E7C"/>
    <w:rsid w:val="00205164"/>
    <w:rsid w:val="00205286"/>
    <w:rsid w:val="00205371"/>
    <w:rsid w:val="002053A7"/>
    <w:rsid w:val="002054C8"/>
    <w:rsid w:val="00205610"/>
    <w:rsid w:val="0020567A"/>
    <w:rsid w:val="0020582B"/>
    <w:rsid w:val="002058CA"/>
    <w:rsid w:val="0020593A"/>
    <w:rsid w:val="002059B4"/>
    <w:rsid w:val="00205B02"/>
    <w:rsid w:val="00205E4F"/>
    <w:rsid w:val="00205EAC"/>
    <w:rsid w:val="00205ED0"/>
    <w:rsid w:val="00205F6F"/>
    <w:rsid w:val="00205FCB"/>
    <w:rsid w:val="0020631C"/>
    <w:rsid w:val="0020647C"/>
    <w:rsid w:val="00206582"/>
    <w:rsid w:val="00206589"/>
    <w:rsid w:val="00206608"/>
    <w:rsid w:val="00206689"/>
    <w:rsid w:val="002066B2"/>
    <w:rsid w:val="002067E4"/>
    <w:rsid w:val="002068A0"/>
    <w:rsid w:val="00206989"/>
    <w:rsid w:val="00206A07"/>
    <w:rsid w:val="00206AEB"/>
    <w:rsid w:val="00206AF2"/>
    <w:rsid w:val="00206C9A"/>
    <w:rsid w:val="00206D99"/>
    <w:rsid w:val="00206DD6"/>
    <w:rsid w:val="00206E34"/>
    <w:rsid w:val="00206F98"/>
    <w:rsid w:val="00207169"/>
    <w:rsid w:val="002071F1"/>
    <w:rsid w:val="002074CE"/>
    <w:rsid w:val="002074CF"/>
    <w:rsid w:val="00207576"/>
    <w:rsid w:val="00207629"/>
    <w:rsid w:val="0020770A"/>
    <w:rsid w:val="00207716"/>
    <w:rsid w:val="002078C5"/>
    <w:rsid w:val="0020793F"/>
    <w:rsid w:val="0020797B"/>
    <w:rsid w:val="002079A4"/>
    <w:rsid w:val="00207C09"/>
    <w:rsid w:val="00207CA6"/>
    <w:rsid w:val="00207D0C"/>
    <w:rsid w:val="00207FAE"/>
    <w:rsid w:val="00207FBF"/>
    <w:rsid w:val="00210028"/>
    <w:rsid w:val="002100DD"/>
    <w:rsid w:val="002102B5"/>
    <w:rsid w:val="002105FD"/>
    <w:rsid w:val="0021082F"/>
    <w:rsid w:val="00210884"/>
    <w:rsid w:val="00210AD4"/>
    <w:rsid w:val="00210AF8"/>
    <w:rsid w:val="00210B0D"/>
    <w:rsid w:val="00210B7D"/>
    <w:rsid w:val="00210D54"/>
    <w:rsid w:val="00210F6A"/>
    <w:rsid w:val="00210F8B"/>
    <w:rsid w:val="002111F0"/>
    <w:rsid w:val="00211426"/>
    <w:rsid w:val="0021150B"/>
    <w:rsid w:val="00211553"/>
    <w:rsid w:val="002115ED"/>
    <w:rsid w:val="0021174D"/>
    <w:rsid w:val="002117FD"/>
    <w:rsid w:val="0021184E"/>
    <w:rsid w:val="00211890"/>
    <w:rsid w:val="002118E4"/>
    <w:rsid w:val="002119C5"/>
    <w:rsid w:val="00211A65"/>
    <w:rsid w:val="00211B1B"/>
    <w:rsid w:val="00211BEC"/>
    <w:rsid w:val="00211C08"/>
    <w:rsid w:val="00211C45"/>
    <w:rsid w:val="00211C58"/>
    <w:rsid w:val="00211C6B"/>
    <w:rsid w:val="00211C6D"/>
    <w:rsid w:val="00211D42"/>
    <w:rsid w:val="00211F42"/>
    <w:rsid w:val="00211FE1"/>
    <w:rsid w:val="002121E4"/>
    <w:rsid w:val="00212206"/>
    <w:rsid w:val="0021221F"/>
    <w:rsid w:val="002122A6"/>
    <w:rsid w:val="002122EF"/>
    <w:rsid w:val="00212394"/>
    <w:rsid w:val="002123A9"/>
    <w:rsid w:val="002123CB"/>
    <w:rsid w:val="00212432"/>
    <w:rsid w:val="002124EF"/>
    <w:rsid w:val="0021270A"/>
    <w:rsid w:val="0021272A"/>
    <w:rsid w:val="002127D3"/>
    <w:rsid w:val="00212811"/>
    <w:rsid w:val="0021284B"/>
    <w:rsid w:val="00212935"/>
    <w:rsid w:val="0021297E"/>
    <w:rsid w:val="00212981"/>
    <w:rsid w:val="002129CD"/>
    <w:rsid w:val="00212BD3"/>
    <w:rsid w:val="00212BD7"/>
    <w:rsid w:val="00212C83"/>
    <w:rsid w:val="00212C8D"/>
    <w:rsid w:val="00212D07"/>
    <w:rsid w:val="00212E4F"/>
    <w:rsid w:val="002130FF"/>
    <w:rsid w:val="002131C8"/>
    <w:rsid w:val="00213460"/>
    <w:rsid w:val="0021369D"/>
    <w:rsid w:val="002136D6"/>
    <w:rsid w:val="0021375A"/>
    <w:rsid w:val="00213855"/>
    <w:rsid w:val="002139B6"/>
    <w:rsid w:val="00213A05"/>
    <w:rsid w:val="00213AC2"/>
    <w:rsid w:val="00213C18"/>
    <w:rsid w:val="00213C3B"/>
    <w:rsid w:val="00213C5E"/>
    <w:rsid w:val="00213D24"/>
    <w:rsid w:val="00213DE1"/>
    <w:rsid w:val="00213F1D"/>
    <w:rsid w:val="00213F9B"/>
    <w:rsid w:val="00213FEC"/>
    <w:rsid w:val="00214058"/>
    <w:rsid w:val="002141A0"/>
    <w:rsid w:val="002142D6"/>
    <w:rsid w:val="0021441B"/>
    <w:rsid w:val="002144C9"/>
    <w:rsid w:val="002145C6"/>
    <w:rsid w:val="002146D8"/>
    <w:rsid w:val="0021480D"/>
    <w:rsid w:val="002148D8"/>
    <w:rsid w:val="00214A5A"/>
    <w:rsid w:val="00214AC5"/>
    <w:rsid w:val="00214AEC"/>
    <w:rsid w:val="00214B91"/>
    <w:rsid w:val="00214E6E"/>
    <w:rsid w:val="00214EEF"/>
    <w:rsid w:val="00214F14"/>
    <w:rsid w:val="00214FCC"/>
    <w:rsid w:val="00215045"/>
    <w:rsid w:val="002150F6"/>
    <w:rsid w:val="00215102"/>
    <w:rsid w:val="00215159"/>
    <w:rsid w:val="00215222"/>
    <w:rsid w:val="002152F6"/>
    <w:rsid w:val="002154D7"/>
    <w:rsid w:val="0021552D"/>
    <w:rsid w:val="002155DD"/>
    <w:rsid w:val="002156AD"/>
    <w:rsid w:val="002156B6"/>
    <w:rsid w:val="002156C7"/>
    <w:rsid w:val="0021574F"/>
    <w:rsid w:val="002157E1"/>
    <w:rsid w:val="0021586A"/>
    <w:rsid w:val="002158C0"/>
    <w:rsid w:val="00215A6C"/>
    <w:rsid w:val="00215B03"/>
    <w:rsid w:val="00215B76"/>
    <w:rsid w:val="00215B94"/>
    <w:rsid w:val="00215C62"/>
    <w:rsid w:val="00215D0A"/>
    <w:rsid w:val="00215D7F"/>
    <w:rsid w:val="00215E6D"/>
    <w:rsid w:val="00215E9C"/>
    <w:rsid w:val="00215EF2"/>
    <w:rsid w:val="00216025"/>
    <w:rsid w:val="002160AC"/>
    <w:rsid w:val="00216293"/>
    <w:rsid w:val="00216309"/>
    <w:rsid w:val="002164BF"/>
    <w:rsid w:val="002164EB"/>
    <w:rsid w:val="002165D4"/>
    <w:rsid w:val="00216A1F"/>
    <w:rsid w:val="00216A28"/>
    <w:rsid w:val="00216A3F"/>
    <w:rsid w:val="00216ADA"/>
    <w:rsid w:val="00216B3A"/>
    <w:rsid w:val="00216B82"/>
    <w:rsid w:val="00216CA5"/>
    <w:rsid w:val="00216D32"/>
    <w:rsid w:val="00216E2B"/>
    <w:rsid w:val="00216EEB"/>
    <w:rsid w:val="00217004"/>
    <w:rsid w:val="00217040"/>
    <w:rsid w:val="0021707F"/>
    <w:rsid w:val="002170F8"/>
    <w:rsid w:val="00217169"/>
    <w:rsid w:val="00217238"/>
    <w:rsid w:val="00217280"/>
    <w:rsid w:val="002173FE"/>
    <w:rsid w:val="002175D5"/>
    <w:rsid w:val="002175E9"/>
    <w:rsid w:val="00217883"/>
    <w:rsid w:val="002178AD"/>
    <w:rsid w:val="002178FB"/>
    <w:rsid w:val="00217B04"/>
    <w:rsid w:val="00217BE5"/>
    <w:rsid w:val="00217C1E"/>
    <w:rsid w:val="00217D8C"/>
    <w:rsid w:val="00217DBC"/>
    <w:rsid w:val="00217E27"/>
    <w:rsid w:val="00217EF5"/>
    <w:rsid w:val="0022006F"/>
    <w:rsid w:val="0022013E"/>
    <w:rsid w:val="00220171"/>
    <w:rsid w:val="00220202"/>
    <w:rsid w:val="002203A1"/>
    <w:rsid w:val="00220427"/>
    <w:rsid w:val="0022048A"/>
    <w:rsid w:val="00220513"/>
    <w:rsid w:val="00220772"/>
    <w:rsid w:val="00220849"/>
    <w:rsid w:val="00220909"/>
    <w:rsid w:val="0022092B"/>
    <w:rsid w:val="0022093E"/>
    <w:rsid w:val="00220B9F"/>
    <w:rsid w:val="00220CF9"/>
    <w:rsid w:val="00220E5C"/>
    <w:rsid w:val="00220F58"/>
    <w:rsid w:val="00221019"/>
    <w:rsid w:val="002210C2"/>
    <w:rsid w:val="00221131"/>
    <w:rsid w:val="00221362"/>
    <w:rsid w:val="0022138F"/>
    <w:rsid w:val="00221540"/>
    <w:rsid w:val="002215D7"/>
    <w:rsid w:val="00221909"/>
    <w:rsid w:val="00221A82"/>
    <w:rsid w:val="00221B83"/>
    <w:rsid w:val="00221D3E"/>
    <w:rsid w:val="00221D86"/>
    <w:rsid w:val="00221DE9"/>
    <w:rsid w:val="00221E6C"/>
    <w:rsid w:val="00221F11"/>
    <w:rsid w:val="00221FB8"/>
    <w:rsid w:val="00222001"/>
    <w:rsid w:val="002220DE"/>
    <w:rsid w:val="00222152"/>
    <w:rsid w:val="0022226F"/>
    <w:rsid w:val="002224AE"/>
    <w:rsid w:val="00222525"/>
    <w:rsid w:val="0022258F"/>
    <w:rsid w:val="002225BF"/>
    <w:rsid w:val="00222655"/>
    <w:rsid w:val="00222744"/>
    <w:rsid w:val="002227C3"/>
    <w:rsid w:val="002227F4"/>
    <w:rsid w:val="0022289A"/>
    <w:rsid w:val="00222980"/>
    <w:rsid w:val="002229C5"/>
    <w:rsid w:val="00222BE8"/>
    <w:rsid w:val="00222C2A"/>
    <w:rsid w:val="00222D4C"/>
    <w:rsid w:val="00222D80"/>
    <w:rsid w:val="00222E73"/>
    <w:rsid w:val="00222EB6"/>
    <w:rsid w:val="00222F09"/>
    <w:rsid w:val="00222F0E"/>
    <w:rsid w:val="00222F3A"/>
    <w:rsid w:val="00222FAC"/>
    <w:rsid w:val="00223014"/>
    <w:rsid w:val="0022301C"/>
    <w:rsid w:val="00223219"/>
    <w:rsid w:val="0022323E"/>
    <w:rsid w:val="002232BE"/>
    <w:rsid w:val="00223490"/>
    <w:rsid w:val="002234E1"/>
    <w:rsid w:val="0022352F"/>
    <w:rsid w:val="00223613"/>
    <w:rsid w:val="002236BE"/>
    <w:rsid w:val="00223701"/>
    <w:rsid w:val="00223769"/>
    <w:rsid w:val="00223828"/>
    <w:rsid w:val="00223834"/>
    <w:rsid w:val="00223904"/>
    <w:rsid w:val="002239F2"/>
    <w:rsid w:val="00223B38"/>
    <w:rsid w:val="00223B39"/>
    <w:rsid w:val="00223C10"/>
    <w:rsid w:val="00223C49"/>
    <w:rsid w:val="00223C66"/>
    <w:rsid w:val="00223ECD"/>
    <w:rsid w:val="0022402E"/>
    <w:rsid w:val="00224318"/>
    <w:rsid w:val="00224370"/>
    <w:rsid w:val="002244F7"/>
    <w:rsid w:val="00224522"/>
    <w:rsid w:val="00224686"/>
    <w:rsid w:val="002246E4"/>
    <w:rsid w:val="00224743"/>
    <w:rsid w:val="0022475E"/>
    <w:rsid w:val="002248BD"/>
    <w:rsid w:val="00224900"/>
    <w:rsid w:val="00224911"/>
    <w:rsid w:val="00224930"/>
    <w:rsid w:val="002249BA"/>
    <w:rsid w:val="00224AF0"/>
    <w:rsid w:val="00224AFD"/>
    <w:rsid w:val="00224DD1"/>
    <w:rsid w:val="00224E57"/>
    <w:rsid w:val="00224ED0"/>
    <w:rsid w:val="00224F3C"/>
    <w:rsid w:val="00225057"/>
    <w:rsid w:val="002250F2"/>
    <w:rsid w:val="002251ED"/>
    <w:rsid w:val="00225200"/>
    <w:rsid w:val="00225344"/>
    <w:rsid w:val="002253AE"/>
    <w:rsid w:val="0022541F"/>
    <w:rsid w:val="0022543A"/>
    <w:rsid w:val="002254FE"/>
    <w:rsid w:val="0022552A"/>
    <w:rsid w:val="0022565E"/>
    <w:rsid w:val="00225660"/>
    <w:rsid w:val="002256F5"/>
    <w:rsid w:val="0022575D"/>
    <w:rsid w:val="00225792"/>
    <w:rsid w:val="00225843"/>
    <w:rsid w:val="00225860"/>
    <w:rsid w:val="002259E4"/>
    <w:rsid w:val="00225C8F"/>
    <w:rsid w:val="00225CB7"/>
    <w:rsid w:val="00225D14"/>
    <w:rsid w:val="00225D34"/>
    <w:rsid w:val="00225D76"/>
    <w:rsid w:val="00225E0B"/>
    <w:rsid w:val="00225E19"/>
    <w:rsid w:val="00225E21"/>
    <w:rsid w:val="00225E98"/>
    <w:rsid w:val="00225F94"/>
    <w:rsid w:val="0022622A"/>
    <w:rsid w:val="002263E6"/>
    <w:rsid w:val="00226622"/>
    <w:rsid w:val="0022664B"/>
    <w:rsid w:val="0022665E"/>
    <w:rsid w:val="002268FA"/>
    <w:rsid w:val="00226950"/>
    <w:rsid w:val="00226962"/>
    <w:rsid w:val="00226985"/>
    <w:rsid w:val="00226A7F"/>
    <w:rsid w:val="00226B80"/>
    <w:rsid w:val="00226B99"/>
    <w:rsid w:val="00226C36"/>
    <w:rsid w:val="00226D8C"/>
    <w:rsid w:val="00226DD3"/>
    <w:rsid w:val="00226F0E"/>
    <w:rsid w:val="00226F9A"/>
    <w:rsid w:val="00226FB9"/>
    <w:rsid w:val="0022710B"/>
    <w:rsid w:val="0022712E"/>
    <w:rsid w:val="002272F5"/>
    <w:rsid w:val="0022734E"/>
    <w:rsid w:val="00227364"/>
    <w:rsid w:val="002274D4"/>
    <w:rsid w:val="002276D5"/>
    <w:rsid w:val="00227732"/>
    <w:rsid w:val="002278A1"/>
    <w:rsid w:val="002278D6"/>
    <w:rsid w:val="002279F0"/>
    <w:rsid w:val="00227A24"/>
    <w:rsid w:val="00227A65"/>
    <w:rsid w:val="00227B18"/>
    <w:rsid w:val="00227DD7"/>
    <w:rsid w:val="00227E81"/>
    <w:rsid w:val="00227EC5"/>
    <w:rsid w:val="00227F32"/>
    <w:rsid w:val="00227F47"/>
    <w:rsid w:val="00227FDA"/>
    <w:rsid w:val="00230382"/>
    <w:rsid w:val="00230454"/>
    <w:rsid w:val="0023059F"/>
    <w:rsid w:val="00230600"/>
    <w:rsid w:val="002306B0"/>
    <w:rsid w:val="002308D5"/>
    <w:rsid w:val="002309F3"/>
    <w:rsid w:val="00230A14"/>
    <w:rsid w:val="00230AF0"/>
    <w:rsid w:val="00230B18"/>
    <w:rsid w:val="00230C01"/>
    <w:rsid w:val="00230D4B"/>
    <w:rsid w:val="00230DA8"/>
    <w:rsid w:val="00230E55"/>
    <w:rsid w:val="00230F85"/>
    <w:rsid w:val="00230FBB"/>
    <w:rsid w:val="00231035"/>
    <w:rsid w:val="002311D7"/>
    <w:rsid w:val="00231211"/>
    <w:rsid w:val="002312BE"/>
    <w:rsid w:val="002312FC"/>
    <w:rsid w:val="00231353"/>
    <w:rsid w:val="00231460"/>
    <w:rsid w:val="00231489"/>
    <w:rsid w:val="00231502"/>
    <w:rsid w:val="002315D2"/>
    <w:rsid w:val="00231836"/>
    <w:rsid w:val="002318C6"/>
    <w:rsid w:val="00231932"/>
    <w:rsid w:val="002319AB"/>
    <w:rsid w:val="002319FF"/>
    <w:rsid w:val="00231D2E"/>
    <w:rsid w:val="002320F8"/>
    <w:rsid w:val="00232312"/>
    <w:rsid w:val="0023249A"/>
    <w:rsid w:val="0023266A"/>
    <w:rsid w:val="00232740"/>
    <w:rsid w:val="0023290B"/>
    <w:rsid w:val="00232A1E"/>
    <w:rsid w:val="00232A2D"/>
    <w:rsid w:val="00232A4C"/>
    <w:rsid w:val="00232C0E"/>
    <w:rsid w:val="00232C10"/>
    <w:rsid w:val="00232C1D"/>
    <w:rsid w:val="00232D65"/>
    <w:rsid w:val="00232F18"/>
    <w:rsid w:val="00232FED"/>
    <w:rsid w:val="0023311E"/>
    <w:rsid w:val="0023312C"/>
    <w:rsid w:val="002332B7"/>
    <w:rsid w:val="002333DA"/>
    <w:rsid w:val="002333F2"/>
    <w:rsid w:val="0023350F"/>
    <w:rsid w:val="002335B7"/>
    <w:rsid w:val="00233747"/>
    <w:rsid w:val="00233833"/>
    <w:rsid w:val="0023389D"/>
    <w:rsid w:val="00233B17"/>
    <w:rsid w:val="00233B67"/>
    <w:rsid w:val="00233B88"/>
    <w:rsid w:val="00233B95"/>
    <w:rsid w:val="00233BAE"/>
    <w:rsid w:val="00233BB0"/>
    <w:rsid w:val="00233D1F"/>
    <w:rsid w:val="00233DA5"/>
    <w:rsid w:val="00233DC7"/>
    <w:rsid w:val="00233DD3"/>
    <w:rsid w:val="00233DE0"/>
    <w:rsid w:val="00233DE3"/>
    <w:rsid w:val="00233F36"/>
    <w:rsid w:val="00234003"/>
    <w:rsid w:val="0023401B"/>
    <w:rsid w:val="00234096"/>
    <w:rsid w:val="002344F6"/>
    <w:rsid w:val="00234522"/>
    <w:rsid w:val="00234579"/>
    <w:rsid w:val="0023471F"/>
    <w:rsid w:val="00234806"/>
    <w:rsid w:val="0023488C"/>
    <w:rsid w:val="00234891"/>
    <w:rsid w:val="00234A0F"/>
    <w:rsid w:val="00234B1C"/>
    <w:rsid w:val="00234B71"/>
    <w:rsid w:val="00234C5B"/>
    <w:rsid w:val="00234C89"/>
    <w:rsid w:val="00234E0E"/>
    <w:rsid w:val="00234E66"/>
    <w:rsid w:val="00234E7A"/>
    <w:rsid w:val="00234EBA"/>
    <w:rsid w:val="00234F31"/>
    <w:rsid w:val="00234F3E"/>
    <w:rsid w:val="00234F4F"/>
    <w:rsid w:val="00234F57"/>
    <w:rsid w:val="00235071"/>
    <w:rsid w:val="0023525D"/>
    <w:rsid w:val="002352BA"/>
    <w:rsid w:val="002353EA"/>
    <w:rsid w:val="00235476"/>
    <w:rsid w:val="0023547A"/>
    <w:rsid w:val="002355A7"/>
    <w:rsid w:val="00235659"/>
    <w:rsid w:val="00235684"/>
    <w:rsid w:val="002359AE"/>
    <w:rsid w:val="00235D09"/>
    <w:rsid w:val="00235DBA"/>
    <w:rsid w:val="00235F59"/>
    <w:rsid w:val="00235FC9"/>
    <w:rsid w:val="00235FD6"/>
    <w:rsid w:val="00235FEC"/>
    <w:rsid w:val="0023614A"/>
    <w:rsid w:val="0023618F"/>
    <w:rsid w:val="00236347"/>
    <w:rsid w:val="0023639E"/>
    <w:rsid w:val="00236421"/>
    <w:rsid w:val="0023646D"/>
    <w:rsid w:val="002364AE"/>
    <w:rsid w:val="002364D4"/>
    <w:rsid w:val="002365D4"/>
    <w:rsid w:val="002365F3"/>
    <w:rsid w:val="00236614"/>
    <w:rsid w:val="00236646"/>
    <w:rsid w:val="00236757"/>
    <w:rsid w:val="002367F8"/>
    <w:rsid w:val="0023686D"/>
    <w:rsid w:val="002368C6"/>
    <w:rsid w:val="002369B4"/>
    <w:rsid w:val="00236A4B"/>
    <w:rsid w:val="00236B3C"/>
    <w:rsid w:val="00236BBC"/>
    <w:rsid w:val="00236C1F"/>
    <w:rsid w:val="00236D53"/>
    <w:rsid w:val="00236DAF"/>
    <w:rsid w:val="00236E2E"/>
    <w:rsid w:val="00236E76"/>
    <w:rsid w:val="00236FCA"/>
    <w:rsid w:val="0023706B"/>
    <w:rsid w:val="00237121"/>
    <w:rsid w:val="00237201"/>
    <w:rsid w:val="00237294"/>
    <w:rsid w:val="00237300"/>
    <w:rsid w:val="00237475"/>
    <w:rsid w:val="002374AD"/>
    <w:rsid w:val="002375C0"/>
    <w:rsid w:val="0023762C"/>
    <w:rsid w:val="002376AE"/>
    <w:rsid w:val="00237977"/>
    <w:rsid w:val="00237D6E"/>
    <w:rsid w:val="00237DEF"/>
    <w:rsid w:val="00237E07"/>
    <w:rsid w:val="00237E11"/>
    <w:rsid w:val="00237E39"/>
    <w:rsid w:val="00237EDD"/>
    <w:rsid w:val="00237F21"/>
    <w:rsid w:val="00240092"/>
    <w:rsid w:val="0024032F"/>
    <w:rsid w:val="00240343"/>
    <w:rsid w:val="002403D2"/>
    <w:rsid w:val="0024060E"/>
    <w:rsid w:val="00240674"/>
    <w:rsid w:val="0024069D"/>
    <w:rsid w:val="002408C1"/>
    <w:rsid w:val="002408F7"/>
    <w:rsid w:val="0024098D"/>
    <w:rsid w:val="00240ABD"/>
    <w:rsid w:val="00240AEA"/>
    <w:rsid w:val="00240B43"/>
    <w:rsid w:val="00240C0A"/>
    <w:rsid w:val="00240C22"/>
    <w:rsid w:val="00240C59"/>
    <w:rsid w:val="00240CF2"/>
    <w:rsid w:val="00240D0B"/>
    <w:rsid w:val="00240E69"/>
    <w:rsid w:val="00240F1C"/>
    <w:rsid w:val="00240FE8"/>
    <w:rsid w:val="00240FF6"/>
    <w:rsid w:val="00241053"/>
    <w:rsid w:val="002410DE"/>
    <w:rsid w:val="002411A6"/>
    <w:rsid w:val="002413F0"/>
    <w:rsid w:val="0024144F"/>
    <w:rsid w:val="002414FE"/>
    <w:rsid w:val="0024150E"/>
    <w:rsid w:val="00241611"/>
    <w:rsid w:val="00241659"/>
    <w:rsid w:val="00241702"/>
    <w:rsid w:val="00241778"/>
    <w:rsid w:val="0024181A"/>
    <w:rsid w:val="00241924"/>
    <w:rsid w:val="00241B43"/>
    <w:rsid w:val="00241B72"/>
    <w:rsid w:val="00241C61"/>
    <w:rsid w:val="00241D39"/>
    <w:rsid w:val="00241E70"/>
    <w:rsid w:val="00241E71"/>
    <w:rsid w:val="00241F38"/>
    <w:rsid w:val="00241F3C"/>
    <w:rsid w:val="00242033"/>
    <w:rsid w:val="00242161"/>
    <w:rsid w:val="0024236F"/>
    <w:rsid w:val="002424AA"/>
    <w:rsid w:val="002424D0"/>
    <w:rsid w:val="00242562"/>
    <w:rsid w:val="0024256E"/>
    <w:rsid w:val="002427D8"/>
    <w:rsid w:val="0024282B"/>
    <w:rsid w:val="00242867"/>
    <w:rsid w:val="002429B8"/>
    <w:rsid w:val="00242D19"/>
    <w:rsid w:val="00242D5F"/>
    <w:rsid w:val="00242DC8"/>
    <w:rsid w:val="00242EF1"/>
    <w:rsid w:val="002430DB"/>
    <w:rsid w:val="00243164"/>
    <w:rsid w:val="00243176"/>
    <w:rsid w:val="00243272"/>
    <w:rsid w:val="002432DE"/>
    <w:rsid w:val="002433AD"/>
    <w:rsid w:val="002435A1"/>
    <w:rsid w:val="002435AF"/>
    <w:rsid w:val="0024378B"/>
    <w:rsid w:val="00243873"/>
    <w:rsid w:val="0024389B"/>
    <w:rsid w:val="00243A4A"/>
    <w:rsid w:val="00243AD3"/>
    <w:rsid w:val="00243AF0"/>
    <w:rsid w:val="00243AFE"/>
    <w:rsid w:val="00243B70"/>
    <w:rsid w:val="00243C0B"/>
    <w:rsid w:val="00243D58"/>
    <w:rsid w:val="00243D93"/>
    <w:rsid w:val="00243DE3"/>
    <w:rsid w:val="00243E51"/>
    <w:rsid w:val="00243E82"/>
    <w:rsid w:val="00243E9D"/>
    <w:rsid w:val="00243EA4"/>
    <w:rsid w:val="00243EED"/>
    <w:rsid w:val="00244024"/>
    <w:rsid w:val="0024409C"/>
    <w:rsid w:val="0024413A"/>
    <w:rsid w:val="00244180"/>
    <w:rsid w:val="00244526"/>
    <w:rsid w:val="00244824"/>
    <w:rsid w:val="002448F9"/>
    <w:rsid w:val="00244C63"/>
    <w:rsid w:val="00244DAA"/>
    <w:rsid w:val="00244DB7"/>
    <w:rsid w:val="00244F6A"/>
    <w:rsid w:val="00245224"/>
    <w:rsid w:val="00245251"/>
    <w:rsid w:val="00245269"/>
    <w:rsid w:val="0024529D"/>
    <w:rsid w:val="0024547A"/>
    <w:rsid w:val="002454AB"/>
    <w:rsid w:val="002454BF"/>
    <w:rsid w:val="002454E2"/>
    <w:rsid w:val="0024552F"/>
    <w:rsid w:val="00245549"/>
    <w:rsid w:val="002455C3"/>
    <w:rsid w:val="002455F6"/>
    <w:rsid w:val="002455FA"/>
    <w:rsid w:val="002455FD"/>
    <w:rsid w:val="00245617"/>
    <w:rsid w:val="00245758"/>
    <w:rsid w:val="0024577F"/>
    <w:rsid w:val="0024589E"/>
    <w:rsid w:val="002458E2"/>
    <w:rsid w:val="0024596D"/>
    <w:rsid w:val="00245B45"/>
    <w:rsid w:val="00245B5F"/>
    <w:rsid w:val="00245BDA"/>
    <w:rsid w:val="00245C8D"/>
    <w:rsid w:val="00245CAD"/>
    <w:rsid w:val="00245EFF"/>
    <w:rsid w:val="00245F60"/>
    <w:rsid w:val="00245F73"/>
    <w:rsid w:val="0024614C"/>
    <w:rsid w:val="0024617C"/>
    <w:rsid w:val="00246274"/>
    <w:rsid w:val="0024630E"/>
    <w:rsid w:val="002465FF"/>
    <w:rsid w:val="00246628"/>
    <w:rsid w:val="0024662A"/>
    <w:rsid w:val="00246648"/>
    <w:rsid w:val="0024673D"/>
    <w:rsid w:val="00246848"/>
    <w:rsid w:val="00246B00"/>
    <w:rsid w:val="00246C31"/>
    <w:rsid w:val="00246CAC"/>
    <w:rsid w:val="00246D12"/>
    <w:rsid w:val="00246D16"/>
    <w:rsid w:val="00246DB3"/>
    <w:rsid w:val="00246E45"/>
    <w:rsid w:val="00246E89"/>
    <w:rsid w:val="00246F13"/>
    <w:rsid w:val="00246F3C"/>
    <w:rsid w:val="0024705D"/>
    <w:rsid w:val="00247064"/>
    <w:rsid w:val="0024728F"/>
    <w:rsid w:val="0024734D"/>
    <w:rsid w:val="00247452"/>
    <w:rsid w:val="0024750B"/>
    <w:rsid w:val="0024764B"/>
    <w:rsid w:val="0024765D"/>
    <w:rsid w:val="00247779"/>
    <w:rsid w:val="002477A1"/>
    <w:rsid w:val="002477BE"/>
    <w:rsid w:val="00247A42"/>
    <w:rsid w:val="00247B12"/>
    <w:rsid w:val="00247B1A"/>
    <w:rsid w:val="00247CAD"/>
    <w:rsid w:val="00247CE3"/>
    <w:rsid w:val="00247D83"/>
    <w:rsid w:val="00247E41"/>
    <w:rsid w:val="00247E53"/>
    <w:rsid w:val="00247E80"/>
    <w:rsid w:val="0025000C"/>
    <w:rsid w:val="0025020D"/>
    <w:rsid w:val="002505A9"/>
    <w:rsid w:val="00250663"/>
    <w:rsid w:val="0025075B"/>
    <w:rsid w:val="00250769"/>
    <w:rsid w:val="00250A17"/>
    <w:rsid w:val="00250A3D"/>
    <w:rsid w:val="00250B9A"/>
    <w:rsid w:val="00250C28"/>
    <w:rsid w:val="00250D67"/>
    <w:rsid w:val="002510DC"/>
    <w:rsid w:val="002511E0"/>
    <w:rsid w:val="00251217"/>
    <w:rsid w:val="002512E7"/>
    <w:rsid w:val="00251491"/>
    <w:rsid w:val="002514A4"/>
    <w:rsid w:val="00251525"/>
    <w:rsid w:val="002515D5"/>
    <w:rsid w:val="0025177B"/>
    <w:rsid w:val="00251978"/>
    <w:rsid w:val="0025198E"/>
    <w:rsid w:val="00251A34"/>
    <w:rsid w:val="00251A5A"/>
    <w:rsid w:val="00251B67"/>
    <w:rsid w:val="00251BBF"/>
    <w:rsid w:val="00251C14"/>
    <w:rsid w:val="00251C7F"/>
    <w:rsid w:val="00251C82"/>
    <w:rsid w:val="00251EA0"/>
    <w:rsid w:val="00251ED2"/>
    <w:rsid w:val="00251F86"/>
    <w:rsid w:val="00251FD1"/>
    <w:rsid w:val="00252021"/>
    <w:rsid w:val="002520BE"/>
    <w:rsid w:val="002521FC"/>
    <w:rsid w:val="002522EE"/>
    <w:rsid w:val="00252323"/>
    <w:rsid w:val="002523B6"/>
    <w:rsid w:val="002525BF"/>
    <w:rsid w:val="002528DC"/>
    <w:rsid w:val="00252C42"/>
    <w:rsid w:val="00252C76"/>
    <w:rsid w:val="00252CF7"/>
    <w:rsid w:val="00252D0C"/>
    <w:rsid w:val="00252D94"/>
    <w:rsid w:val="00252E8C"/>
    <w:rsid w:val="00252E90"/>
    <w:rsid w:val="00252FE6"/>
    <w:rsid w:val="00252FFD"/>
    <w:rsid w:val="0025306E"/>
    <w:rsid w:val="002530F5"/>
    <w:rsid w:val="002531D0"/>
    <w:rsid w:val="002533DA"/>
    <w:rsid w:val="00253413"/>
    <w:rsid w:val="00253533"/>
    <w:rsid w:val="00253561"/>
    <w:rsid w:val="002535D1"/>
    <w:rsid w:val="00253635"/>
    <w:rsid w:val="00253729"/>
    <w:rsid w:val="00253AFA"/>
    <w:rsid w:val="00253B67"/>
    <w:rsid w:val="00253B84"/>
    <w:rsid w:val="00253C99"/>
    <w:rsid w:val="00253E4F"/>
    <w:rsid w:val="00253E63"/>
    <w:rsid w:val="00253E7C"/>
    <w:rsid w:val="00253FC0"/>
    <w:rsid w:val="00254066"/>
    <w:rsid w:val="0025421F"/>
    <w:rsid w:val="0025423C"/>
    <w:rsid w:val="002542D4"/>
    <w:rsid w:val="0025443A"/>
    <w:rsid w:val="002544E7"/>
    <w:rsid w:val="00254560"/>
    <w:rsid w:val="002545C0"/>
    <w:rsid w:val="002545F0"/>
    <w:rsid w:val="00254673"/>
    <w:rsid w:val="002547BB"/>
    <w:rsid w:val="002547E7"/>
    <w:rsid w:val="0025480A"/>
    <w:rsid w:val="00254898"/>
    <w:rsid w:val="002549CE"/>
    <w:rsid w:val="002549FB"/>
    <w:rsid w:val="00254A49"/>
    <w:rsid w:val="00254B45"/>
    <w:rsid w:val="00254B95"/>
    <w:rsid w:val="00254C92"/>
    <w:rsid w:val="00254EA3"/>
    <w:rsid w:val="00254EC2"/>
    <w:rsid w:val="00254F8C"/>
    <w:rsid w:val="00255068"/>
    <w:rsid w:val="00255156"/>
    <w:rsid w:val="0025516D"/>
    <w:rsid w:val="00255231"/>
    <w:rsid w:val="00255295"/>
    <w:rsid w:val="002552FE"/>
    <w:rsid w:val="00255309"/>
    <w:rsid w:val="0025530A"/>
    <w:rsid w:val="0025530F"/>
    <w:rsid w:val="002553E6"/>
    <w:rsid w:val="0025550B"/>
    <w:rsid w:val="00255599"/>
    <w:rsid w:val="002555EA"/>
    <w:rsid w:val="0025582E"/>
    <w:rsid w:val="0025591F"/>
    <w:rsid w:val="00255943"/>
    <w:rsid w:val="00255A31"/>
    <w:rsid w:val="00255A4F"/>
    <w:rsid w:val="00255A94"/>
    <w:rsid w:val="00255B5D"/>
    <w:rsid w:val="00255BB6"/>
    <w:rsid w:val="00255BCB"/>
    <w:rsid w:val="00255C39"/>
    <w:rsid w:val="00255D35"/>
    <w:rsid w:val="00255E62"/>
    <w:rsid w:val="00255E8E"/>
    <w:rsid w:val="00255F55"/>
    <w:rsid w:val="00255F65"/>
    <w:rsid w:val="00255FB3"/>
    <w:rsid w:val="00256054"/>
    <w:rsid w:val="00256099"/>
    <w:rsid w:val="002560AB"/>
    <w:rsid w:val="00256163"/>
    <w:rsid w:val="002561A9"/>
    <w:rsid w:val="0025679C"/>
    <w:rsid w:val="0025682F"/>
    <w:rsid w:val="0025683E"/>
    <w:rsid w:val="00256851"/>
    <w:rsid w:val="00256918"/>
    <w:rsid w:val="002569FB"/>
    <w:rsid w:val="00256A32"/>
    <w:rsid w:val="00256A60"/>
    <w:rsid w:val="00256AC0"/>
    <w:rsid w:val="00256B14"/>
    <w:rsid w:val="00256B2B"/>
    <w:rsid w:val="00256BED"/>
    <w:rsid w:val="00256C77"/>
    <w:rsid w:val="00256D53"/>
    <w:rsid w:val="00256D92"/>
    <w:rsid w:val="00256D94"/>
    <w:rsid w:val="00256F48"/>
    <w:rsid w:val="0025700E"/>
    <w:rsid w:val="00257068"/>
    <w:rsid w:val="00257117"/>
    <w:rsid w:val="002571B9"/>
    <w:rsid w:val="00257209"/>
    <w:rsid w:val="00257266"/>
    <w:rsid w:val="00257399"/>
    <w:rsid w:val="00257409"/>
    <w:rsid w:val="002574BC"/>
    <w:rsid w:val="00257525"/>
    <w:rsid w:val="00257592"/>
    <w:rsid w:val="00257689"/>
    <w:rsid w:val="00257775"/>
    <w:rsid w:val="0025784E"/>
    <w:rsid w:val="002579F5"/>
    <w:rsid w:val="00257C64"/>
    <w:rsid w:val="00257CD5"/>
    <w:rsid w:val="00257D60"/>
    <w:rsid w:val="00257DB4"/>
    <w:rsid w:val="00257F4F"/>
    <w:rsid w:val="00260109"/>
    <w:rsid w:val="0026020C"/>
    <w:rsid w:val="00260275"/>
    <w:rsid w:val="00260457"/>
    <w:rsid w:val="0026047C"/>
    <w:rsid w:val="00260486"/>
    <w:rsid w:val="002604CD"/>
    <w:rsid w:val="0026076B"/>
    <w:rsid w:val="00260A92"/>
    <w:rsid w:val="00260B65"/>
    <w:rsid w:val="00260C65"/>
    <w:rsid w:val="00260D33"/>
    <w:rsid w:val="00260F12"/>
    <w:rsid w:val="00260F37"/>
    <w:rsid w:val="002610C3"/>
    <w:rsid w:val="0026115A"/>
    <w:rsid w:val="0026118B"/>
    <w:rsid w:val="002611D9"/>
    <w:rsid w:val="00261223"/>
    <w:rsid w:val="00261228"/>
    <w:rsid w:val="002612F6"/>
    <w:rsid w:val="0026131F"/>
    <w:rsid w:val="00261480"/>
    <w:rsid w:val="002615DE"/>
    <w:rsid w:val="00261692"/>
    <w:rsid w:val="002618DC"/>
    <w:rsid w:val="0026197E"/>
    <w:rsid w:val="00261A50"/>
    <w:rsid w:val="00261CC8"/>
    <w:rsid w:val="00261EA9"/>
    <w:rsid w:val="00261F02"/>
    <w:rsid w:val="00261FAD"/>
    <w:rsid w:val="00262085"/>
    <w:rsid w:val="002620BB"/>
    <w:rsid w:val="00262186"/>
    <w:rsid w:val="0026225D"/>
    <w:rsid w:val="0026234D"/>
    <w:rsid w:val="00262522"/>
    <w:rsid w:val="00262628"/>
    <w:rsid w:val="0026262E"/>
    <w:rsid w:val="0026281C"/>
    <w:rsid w:val="00262A56"/>
    <w:rsid w:val="00262A6F"/>
    <w:rsid w:val="00262AFB"/>
    <w:rsid w:val="00262BEA"/>
    <w:rsid w:val="00262C53"/>
    <w:rsid w:val="00262C9F"/>
    <w:rsid w:val="00262CC0"/>
    <w:rsid w:val="00262DF9"/>
    <w:rsid w:val="00262E25"/>
    <w:rsid w:val="00262E2E"/>
    <w:rsid w:val="00263043"/>
    <w:rsid w:val="00263197"/>
    <w:rsid w:val="002631F0"/>
    <w:rsid w:val="00263203"/>
    <w:rsid w:val="0026320D"/>
    <w:rsid w:val="00263384"/>
    <w:rsid w:val="002633B7"/>
    <w:rsid w:val="002633B9"/>
    <w:rsid w:val="002636EC"/>
    <w:rsid w:val="002637F0"/>
    <w:rsid w:val="0026390B"/>
    <w:rsid w:val="00263A45"/>
    <w:rsid w:val="00263B4F"/>
    <w:rsid w:val="00263BB3"/>
    <w:rsid w:val="00263C1E"/>
    <w:rsid w:val="00263CB6"/>
    <w:rsid w:val="00263D06"/>
    <w:rsid w:val="00263E3E"/>
    <w:rsid w:val="00263E96"/>
    <w:rsid w:val="00263F07"/>
    <w:rsid w:val="00264064"/>
    <w:rsid w:val="00264311"/>
    <w:rsid w:val="00264314"/>
    <w:rsid w:val="00264380"/>
    <w:rsid w:val="00264408"/>
    <w:rsid w:val="0026448C"/>
    <w:rsid w:val="00264544"/>
    <w:rsid w:val="0026458B"/>
    <w:rsid w:val="002645A9"/>
    <w:rsid w:val="002645C2"/>
    <w:rsid w:val="002645D7"/>
    <w:rsid w:val="002646CA"/>
    <w:rsid w:val="00264887"/>
    <w:rsid w:val="0026495F"/>
    <w:rsid w:val="00264968"/>
    <w:rsid w:val="00264A45"/>
    <w:rsid w:val="00264A99"/>
    <w:rsid w:val="00264B5B"/>
    <w:rsid w:val="00264C05"/>
    <w:rsid w:val="00264F4F"/>
    <w:rsid w:val="002650AD"/>
    <w:rsid w:val="0026526E"/>
    <w:rsid w:val="0026526F"/>
    <w:rsid w:val="00265339"/>
    <w:rsid w:val="00265374"/>
    <w:rsid w:val="00265380"/>
    <w:rsid w:val="002653D2"/>
    <w:rsid w:val="0026542D"/>
    <w:rsid w:val="0026551C"/>
    <w:rsid w:val="00265588"/>
    <w:rsid w:val="00265675"/>
    <w:rsid w:val="0026567C"/>
    <w:rsid w:val="00265709"/>
    <w:rsid w:val="0026570A"/>
    <w:rsid w:val="002659E7"/>
    <w:rsid w:val="00265A16"/>
    <w:rsid w:val="00265AA4"/>
    <w:rsid w:val="00265B06"/>
    <w:rsid w:val="00265C4D"/>
    <w:rsid w:val="00265EAC"/>
    <w:rsid w:val="00265F5E"/>
    <w:rsid w:val="00265F8F"/>
    <w:rsid w:val="00265FC5"/>
    <w:rsid w:val="002661A4"/>
    <w:rsid w:val="002661C7"/>
    <w:rsid w:val="002661FE"/>
    <w:rsid w:val="0026623C"/>
    <w:rsid w:val="00266349"/>
    <w:rsid w:val="00266369"/>
    <w:rsid w:val="00266621"/>
    <w:rsid w:val="00266638"/>
    <w:rsid w:val="00266672"/>
    <w:rsid w:val="002667AE"/>
    <w:rsid w:val="00266911"/>
    <w:rsid w:val="00266959"/>
    <w:rsid w:val="00266B7A"/>
    <w:rsid w:val="00266B89"/>
    <w:rsid w:val="00266D2F"/>
    <w:rsid w:val="00266D60"/>
    <w:rsid w:val="00266E15"/>
    <w:rsid w:val="00266EDA"/>
    <w:rsid w:val="00266F89"/>
    <w:rsid w:val="00266FA2"/>
    <w:rsid w:val="00267072"/>
    <w:rsid w:val="0026729E"/>
    <w:rsid w:val="002672C7"/>
    <w:rsid w:val="00267369"/>
    <w:rsid w:val="002675CA"/>
    <w:rsid w:val="002676D0"/>
    <w:rsid w:val="002676EB"/>
    <w:rsid w:val="00267792"/>
    <w:rsid w:val="0026787E"/>
    <w:rsid w:val="0026788C"/>
    <w:rsid w:val="00267A66"/>
    <w:rsid w:val="00267AAE"/>
    <w:rsid w:val="00267AF7"/>
    <w:rsid w:val="00267B8B"/>
    <w:rsid w:val="00267C1C"/>
    <w:rsid w:val="00267DD7"/>
    <w:rsid w:val="00267DF4"/>
    <w:rsid w:val="00267ED9"/>
    <w:rsid w:val="00267F4B"/>
    <w:rsid w:val="00267F58"/>
    <w:rsid w:val="00270006"/>
    <w:rsid w:val="00270175"/>
    <w:rsid w:val="00270184"/>
    <w:rsid w:val="002702A0"/>
    <w:rsid w:val="002702C3"/>
    <w:rsid w:val="002702D3"/>
    <w:rsid w:val="00270361"/>
    <w:rsid w:val="002704CF"/>
    <w:rsid w:val="00270752"/>
    <w:rsid w:val="00270779"/>
    <w:rsid w:val="0027079A"/>
    <w:rsid w:val="002707C2"/>
    <w:rsid w:val="002707FD"/>
    <w:rsid w:val="00270A36"/>
    <w:rsid w:val="00270AC2"/>
    <w:rsid w:val="00270BA3"/>
    <w:rsid w:val="00270BD1"/>
    <w:rsid w:val="00270C63"/>
    <w:rsid w:val="00270D71"/>
    <w:rsid w:val="00270F30"/>
    <w:rsid w:val="00270F59"/>
    <w:rsid w:val="00270F9D"/>
    <w:rsid w:val="0027107A"/>
    <w:rsid w:val="00271357"/>
    <w:rsid w:val="002713C9"/>
    <w:rsid w:val="0027146E"/>
    <w:rsid w:val="002715DE"/>
    <w:rsid w:val="00271623"/>
    <w:rsid w:val="00271639"/>
    <w:rsid w:val="002716CA"/>
    <w:rsid w:val="0027195C"/>
    <w:rsid w:val="00271A12"/>
    <w:rsid w:val="00271B96"/>
    <w:rsid w:val="00271BA6"/>
    <w:rsid w:val="00271CD5"/>
    <w:rsid w:val="00271FE3"/>
    <w:rsid w:val="00272092"/>
    <w:rsid w:val="00272144"/>
    <w:rsid w:val="00272187"/>
    <w:rsid w:val="00272412"/>
    <w:rsid w:val="0027242A"/>
    <w:rsid w:val="002724E7"/>
    <w:rsid w:val="0027251E"/>
    <w:rsid w:val="0027269D"/>
    <w:rsid w:val="002726B7"/>
    <w:rsid w:val="002726DD"/>
    <w:rsid w:val="002727B2"/>
    <w:rsid w:val="0027292C"/>
    <w:rsid w:val="00272AB9"/>
    <w:rsid w:val="00272B23"/>
    <w:rsid w:val="00272B3A"/>
    <w:rsid w:val="00272D8C"/>
    <w:rsid w:val="00272E3E"/>
    <w:rsid w:val="00272EBA"/>
    <w:rsid w:val="00272F39"/>
    <w:rsid w:val="00273261"/>
    <w:rsid w:val="00273350"/>
    <w:rsid w:val="00273356"/>
    <w:rsid w:val="0027336D"/>
    <w:rsid w:val="002735C8"/>
    <w:rsid w:val="002736D9"/>
    <w:rsid w:val="002736EA"/>
    <w:rsid w:val="00273892"/>
    <w:rsid w:val="0027395A"/>
    <w:rsid w:val="00273B62"/>
    <w:rsid w:val="00273D16"/>
    <w:rsid w:val="00273D2B"/>
    <w:rsid w:val="00273D4D"/>
    <w:rsid w:val="00273D6D"/>
    <w:rsid w:val="00273DF0"/>
    <w:rsid w:val="00273EC2"/>
    <w:rsid w:val="00273ECD"/>
    <w:rsid w:val="00273F03"/>
    <w:rsid w:val="00273F36"/>
    <w:rsid w:val="00273F8E"/>
    <w:rsid w:val="00274090"/>
    <w:rsid w:val="002740B8"/>
    <w:rsid w:val="002742DE"/>
    <w:rsid w:val="002742EA"/>
    <w:rsid w:val="00274329"/>
    <w:rsid w:val="0027432C"/>
    <w:rsid w:val="00274342"/>
    <w:rsid w:val="0027434D"/>
    <w:rsid w:val="002743F1"/>
    <w:rsid w:val="00274431"/>
    <w:rsid w:val="00274466"/>
    <w:rsid w:val="00274469"/>
    <w:rsid w:val="002744D8"/>
    <w:rsid w:val="00274575"/>
    <w:rsid w:val="002745E7"/>
    <w:rsid w:val="00274693"/>
    <w:rsid w:val="00274803"/>
    <w:rsid w:val="00274A28"/>
    <w:rsid w:val="00274AB3"/>
    <w:rsid w:val="00274B94"/>
    <w:rsid w:val="00274BC7"/>
    <w:rsid w:val="00274C2A"/>
    <w:rsid w:val="00274CAE"/>
    <w:rsid w:val="00274E34"/>
    <w:rsid w:val="00274E5A"/>
    <w:rsid w:val="00275016"/>
    <w:rsid w:val="0027501B"/>
    <w:rsid w:val="002752F6"/>
    <w:rsid w:val="00275389"/>
    <w:rsid w:val="0027548E"/>
    <w:rsid w:val="002756E1"/>
    <w:rsid w:val="0027583D"/>
    <w:rsid w:val="002758C5"/>
    <w:rsid w:val="002759D6"/>
    <w:rsid w:val="00275A98"/>
    <w:rsid w:val="00275AF3"/>
    <w:rsid w:val="00275BBC"/>
    <w:rsid w:val="00275DE5"/>
    <w:rsid w:val="00275E7B"/>
    <w:rsid w:val="00275E90"/>
    <w:rsid w:val="00275F61"/>
    <w:rsid w:val="0027628E"/>
    <w:rsid w:val="0027637A"/>
    <w:rsid w:val="002763E0"/>
    <w:rsid w:val="002763F7"/>
    <w:rsid w:val="0027656B"/>
    <w:rsid w:val="002765C8"/>
    <w:rsid w:val="002767C1"/>
    <w:rsid w:val="0027685D"/>
    <w:rsid w:val="00276889"/>
    <w:rsid w:val="00276905"/>
    <w:rsid w:val="002769A4"/>
    <w:rsid w:val="00276A81"/>
    <w:rsid w:val="00276B56"/>
    <w:rsid w:val="00276B80"/>
    <w:rsid w:val="00276C11"/>
    <w:rsid w:val="00276CE5"/>
    <w:rsid w:val="00276D35"/>
    <w:rsid w:val="00276EF3"/>
    <w:rsid w:val="002770CD"/>
    <w:rsid w:val="0027731E"/>
    <w:rsid w:val="00277322"/>
    <w:rsid w:val="0027744A"/>
    <w:rsid w:val="0027745F"/>
    <w:rsid w:val="00277466"/>
    <w:rsid w:val="00277519"/>
    <w:rsid w:val="002775AD"/>
    <w:rsid w:val="0027762B"/>
    <w:rsid w:val="0027764D"/>
    <w:rsid w:val="0027771A"/>
    <w:rsid w:val="00277800"/>
    <w:rsid w:val="0027798A"/>
    <w:rsid w:val="00277C45"/>
    <w:rsid w:val="00277D71"/>
    <w:rsid w:val="00277F07"/>
    <w:rsid w:val="00277F60"/>
    <w:rsid w:val="0028004B"/>
    <w:rsid w:val="00280055"/>
    <w:rsid w:val="00280073"/>
    <w:rsid w:val="002801A9"/>
    <w:rsid w:val="002801C5"/>
    <w:rsid w:val="002801F8"/>
    <w:rsid w:val="00280303"/>
    <w:rsid w:val="00280335"/>
    <w:rsid w:val="002804B4"/>
    <w:rsid w:val="002804F9"/>
    <w:rsid w:val="0028052D"/>
    <w:rsid w:val="0028060A"/>
    <w:rsid w:val="0028063E"/>
    <w:rsid w:val="00280695"/>
    <w:rsid w:val="00280697"/>
    <w:rsid w:val="0028070E"/>
    <w:rsid w:val="002807AA"/>
    <w:rsid w:val="00280940"/>
    <w:rsid w:val="002809C1"/>
    <w:rsid w:val="00280B63"/>
    <w:rsid w:val="00280B8A"/>
    <w:rsid w:val="00280C08"/>
    <w:rsid w:val="00280C39"/>
    <w:rsid w:val="00280C67"/>
    <w:rsid w:val="00280D03"/>
    <w:rsid w:val="00280D17"/>
    <w:rsid w:val="00280D1B"/>
    <w:rsid w:val="00280E10"/>
    <w:rsid w:val="00280E82"/>
    <w:rsid w:val="00280EB1"/>
    <w:rsid w:val="00280F8B"/>
    <w:rsid w:val="00280FBF"/>
    <w:rsid w:val="002812A6"/>
    <w:rsid w:val="00281382"/>
    <w:rsid w:val="002814EE"/>
    <w:rsid w:val="00281552"/>
    <w:rsid w:val="00281562"/>
    <w:rsid w:val="0028175B"/>
    <w:rsid w:val="002817B7"/>
    <w:rsid w:val="002817FE"/>
    <w:rsid w:val="002818C7"/>
    <w:rsid w:val="00281911"/>
    <w:rsid w:val="00281939"/>
    <w:rsid w:val="002819E0"/>
    <w:rsid w:val="00281A9A"/>
    <w:rsid w:val="00281BB4"/>
    <w:rsid w:val="00281CF1"/>
    <w:rsid w:val="00281EA8"/>
    <w:rsid w:val="00281EDF"/>
    <w:rsid w:val="00281F5E"/>
    <w:rsid w:val="00281FD5"/>
    <w:rsid w:val="002820AE"/>
    <w:rsid w:val="00282167"/>
    <w:rsid w:val="002821F4"/>
    <w:rsid w:val="00282261"/>
    <w:rsid w:val="00282363"/>
    <w:rsid w:val="00282370"/>
    <w:rsid w:val="002825E1"/>
    <w:rsid w:val="0028270C"/>
    <w:rsid w:val="00282789"/>
    <w:rsid w:val="00282A1C"/>
    <w:rsid w:val="00282AF9"/>
    <w:rsid w:val="00282B39"/>
    <w:rsid w:val="00282D49"/>
    <w:rsid w:val="00282D5D"/>
    <w:rsid w:val="00282D9A"/>
    <w:rsid w:val="00282E25"/>
    <w:rsid w:val="00282EA2"/>
    <w:rsid w:val="00282EAC"/>
    <w:rsid w:val="002830E0"/>
    <w:rsid w:val="00283120"/>
    <w:rsid w:val="00283235"/>
    <w:rsid w:val="00283518"/>
    <w:rsid w:val="0028354C"/>
    <w:rsid w:val="00283598"/>
    <w:rsid w:val="002837A5"/>
    <w:rsid w:val="002838E7"/>
    <w:rsid w:val="00283915"/>
    <w:rsid w:val="00283960"/>
    <w:rsid w:val="00283A02"/>
    <w:rsid w:val="00283B2F"/>
    <w:rsid w:val="00283B7F"/>
    <w:rsid w:val="00283BC3"/>
    <w:rsid w:val="00283CFA"/>
    <w:rsid w:val="00283CFF"/>
    <w:rsid w:val="00283D66"/>
    <w:rsid w:val="00283E38"/>
    <w:rsid w:val="00283EC3"/>
    <w:rsid w:val="00284091"/>
    <w:rsid w:val="0028418E"/>
    <w:rsid w:val="0028420A"/>
    <w:rsid w:val="0028425D"/>
    <w:rsid w:val="0028442C"/>
    <w:rsid w:val="002844D7"/>
    <w:rsid w:val="00284735"/>
    <w:rsid w:val="00284749"/>
    <w:rsid w:val="00284838"/>
    <w:rsid w:val="00284949"/>
    <w:rsid w:val="0028494C"/>
    <w:rsid w:val="0028495A"/>
    <w:rsid w:val="00284980"/>
    <w:rsid w:val="00284CA8"/>
    <w:rsid w:val="00284D39"/>
    <w:rsid w:val="00284F81"/>
    <w:rsid w:val="00284F9E"/>
    <w:rsid w:val="00285278"/>
    <w:rsid w:val="00285356"/>
    <w:rsid w:val="00285407"/>
    <w:rsid w:val="00285415"/>
    <w:rsid w:val="0028545C"/>
    <w:rsid w:val="00285533"/>
    <w:rsid w:val="002855E8"/>
    <w:rsid w:val="0028570C"/>
    <w:rsid w:val="00285750"/>
    <w:rsid w:val="0028575E"/>
    <w:rsid w:val="0028582A"/>
    <w:rsid w:val="00285847"/>
    <w:rsid w:val="00285865"/>
    <w:rsid w:val="00285B15"/>
    <w:rsid w:val="00285B37"/>
    <w:rsid w:val="00285BE3"/>
    <w:rsid w:val="00285BEE"/>
    <w:rsid w:val="00285C02"/>
    <w:rsid w:val="00285C95"/>
    <w:rsid w:val="00285D0A"/>
    <w:rsid w:val="00285D40"/>
    <w:rsid w:val="00285D7F"/>
    <w:rsid w:val="00285D8C"/>
    <w:rsid w:val="00285EC9"/>
    <w:rsid w:val="0028600E"/>
    <w:rsid w:val="002860B5"/>
    <w:rsid w:val="002861D4"/>
    <w:rsid w:val="00286206"/>
    <w:rsid w:val="00286218"/>
    <w:rsid w:val="0028626E"/>
    <w:rsid w:val="002863BB"/>
    <w:rsid w:val="00286438"/>
    <w:rsid w:val="0028650B"/>
    <w:rsid w:val="00286528"/>
    <w:rsid w:val="002865E4"/>
    <w:rsid w:val="002866B9"/>
    <w:rsid w:val="002867DC"/>
    <w:rsid w:val="0028686C"/>
    <w:rsid w:val="002868AD"/>
    <w:rsid w:val="002869C8"/>
    <w:rsid w:val="00286A2C"/>
    <w:rsid w:val="00286B06"/>
    <w:rsid w:val="00286B18"/>
    <w:rsid w:val="00286C2A"/>
    <w:rsid w:val="00286E59"/>
    <w:rsid w:val="00286EEB"/>
    <w:rsid w:val="00286F2B"/>
    <w:rsid w:val="00286F3F"/>
    <w:rsid w:val="0028704D"/>
    <w:rsid w:val="00287188"/>
    <w:rsid w:val="002872EA"/>
    <w:rsid w:val="00287364"/>
    <w:rsid w:val="002874FC"/>
    <w:rsid w:val="00287563"/>
    <w:rsid w:val="0028764E"/>
    <w:rsid w:val="002876B6"/>
    <w:rsid w:val="002876C8"/>
    <w:rsid w:val="00287764"/>
    <w:rsid w:val="00287944"/>
    <w:rsid w:val="0028797B"/>
    <w:rsid w:val="00287B53"/>
    <w:rsid w:val="00287BB4"/>
    <w:rsid w:val="00287C50"/>
    <w:rsid w:val="00287CC2"/>
    <w:rsid w:val="00287D98"/>
    <w:rsid w:val="00287E0C"/>
    <w:rsid w:val="00287EAF"/>
    <w:rsid w:val="00287EEA"/>
    <w:rsid w:val="002900FF"/>
    <w:rsid w:val="00290114"/>
    <w:rsid w:val="0029013E"/>
    <w:rsid w:val="0029015D"/>
    <w:rsid w:val="002903AA"/>
    <w:rsid w:val="002903C7"/>
    <w:rsid w:val="002903F1"/>
    <w:rsid w:val="00290513"/>
    <w:rsid w:val="002905BB"/>
    <w:rsid w:val="002905C7"/>
    <w:rsid w:val="002905FE"/>
    <w:rsid w:val="00290620"/>
    <w:rsid w:val="00290666"/>
    <w:rsid w:val="002907C8"/>
    <w:rsid w:val="00290849"/>
    <w:rsid w:val="00290A03"/>
    <w:rsid w:val="00290B3E"/>
    <w:rsid w:val="00290B7B"/>
    <w:rsid w:val="00290C08"/>
    <w:rsid w:val="00290DC6"/>
    <w:rsid w:val="00290EB6"/>
    <w:rsid w:val="00290F56"/>
    <w:rsid w:val="00291166"/>
    <w:rsid w:val="0029119A"/>
    <w:rsid w:val="002911CC"/>
    <w:rsid w:val="002913D1"/>
    <w:rsid w:val="00291623"/>
    <w:rsid w:val="00291632"/>
    <w:rsid w:val="00291718"/>
    <w:rsid w:val="002917B8"/>
    <w:rsid w:val="002918EE"/>
    <w:rsid w:val="0029194A"/>
    <w:rsid w:val="00291964"/>
    <w:rsid w:val="0029198E"/>
    <w:rsid w:val="002919CB"/>
    <w:rsid w:val="00291A10"/>
    <w:rsid w:val="00291AB0"/>
    <w:rsid w:val="00291E3E"/>
    <w:rsid w:val="00291EDB"/>
    <w:rsid w:val="00291F58"/>
    <w:rsid w:val="00292046"/>
    <w:rsid w:val="00292066"/>
    <w:rsid w:val="00292067"/>
    <w:rsid w:val="0029206B"/>
    <w:rsid w:val="0029219A"/>
    <w:rsid w:val="0029220B"/>
    <w:rsid w:val="00292232"/>
    <w:rsid w:val="00292396"/>
    <w:rsid w:val="00292429"/>
    <w:rsid w:val="00292454"/>
    <w:rsid w:val="002926AA"/>
    <w:rsid w:val="00292778"/>
    <w:rsid w:val="00292843"/>
    <w:rsid w:val="002929A4"/>
    <w:rsid w:val="00292A09"/>
    <w:rsid w:val="00292D58"/>
    <w:rsid w:val="00292E45"/>
    <w:rsid w:val="00292F44"/>
    <w:rsid w:val="00292FC4"/>
    <w:rsid w:val="0029304E"/>
    <w:rsid w:val="00293194"/>
    <w:rsid w:val="002931B0"/>
    <w:rsid w:val="002931E3"/>
    <w:rsid w:val="002933CB"/>
    <w:rsid w:val="00293516"/>
    <w:rsid w:val="00293557"/>
    <w:rsid w:val="002935DF"/>
    <w:rsid w:val="0029368C"/>
    <w:rsid w:val="002937B4"/>
    <w:rsid w:val="002937C9"/>
    <w:rsid w:val="0029389C"/>
    <w:rsid w:val="00293908"/>
    <w:rsid w:val="00293D1D"/>
    <w:rsid w:val="00293D6F"/>
    <w:rsid w:val="00293E18"/>
    <w:rsid w:val="002940F9"/>
    <w:rsid w:val="00294147"/>
    <w:rsid w:val="002941D6"/>
    <w:rsid w:val="002942B2"/>
    <w:rsid w:val="002942E6"/>
    <w:rsid w:val="002943F5"/>
    <w:rsid w:val="0029449D"/>
    <w:rsid w:val="002944F2"/>
    <w:rsid w:val="002945D0"/>
    <w:rsid w:val="002945EF"/>
    <w:rsid w:val="002945F3"/>
    <w:rsid w:val="002945FC"/>
    <w:rsid w:val="00294702"/>
    <w:rsid w:val="002948FB"/>
    <w:rsid w:val="00294999"/>
    <w:rsid w:val="00294A37"/>
    <w:rsid w:val="00294CC8"/>
    <w:rsid w:val="00294D5E"/>
    <w:rsid w:val="00294D66"/>
    <w:rsid w:val="00294DA5"/>
    <w:rsid w:val="00294DED"/>
    <w:rsid w:val="00294E8A"/>
    <w:rsid w:val="0029533F"/>
    <w:rsid w:val="002953A5"/>
    <w:rsid w:val="00295445"/>
    <w:rsid w:val="002954B0"/>
    <w:rsid w:val="002954B4"/>
    <w:rsid w:val="0029559B"/>
    <w:rsid w:val="002955AB"/>
    <w:rsid w:val="002955B2"/>
    <w:rsid w:val="0029562E"/>
    <w:rsid w:val="00295806"/>
    <w:rsid w:val="0029583C"/>
    <w:rsid w:val="002959AC"/>
    <w:rsid w:val="002959CC"/>
    <w:rsid w:val="00295C59"/>
    <w:rsid w:val="00295D93"/>
    <w:rsid w:val="00295DBC"/>
    <w:rsid w:val="00295DE4"/>
    <w:rsid w:val="00295E01"/>
    <w:rsid w:val="00295E1C"/>
    <w:rsid w:val="00295E64"/>
    <w:rsid w:val="00295F3C"/>
    <w:rsid w:val="00295F50"/>
    <w:rsid w:val="00295FB1"/>
    <w:rsid w:val="00296054"/>
    <w:rsid w:val="0029605F"/>
    <w:rsid w:val="002960E5"/>
    <w:rsid w:val="00296134"/>
    <w:rsid w:val="002961B5"/>
    <w:rsid w:val="00296257"/>
    <w:rsid w:val="0029626E"/>
    <w:rsid w:val="002962A0"/>
    <w:rsid w:val="002963D7"/>
    <w:rsid w:val="002963F2"/>
    <w:rsid w:val="002963F5"/>
    <w:rsid w:val="00296433"/>
    <w:rsid w:val="00296473"/>
    <w:rsid w:val="002964C5"/>
    <w:rsid w:val="00296577"/>
    <w:rsid w:val="00296628"/>
    <w:rsid w:val="0029664B"/>
    <w:rsid w:val="00296667"/>
    <w:rsid w:val="00296696"/>
    <w:rsid w:val="002966F3"/>
    <w:rsid w:val="002969E7"/>
    <w:rsid w:val="00296A5E"/>
    <w:rsid w:val="00296B8B"/>
    <w:rsid w:val="00296CDE"/>
    <w:rsid w:val="00296EBB"/>
    <w:rsid w:val="00296FDF"/>
    <w:rsid w:val="00297011"/>
    <w:rsid w:val="00297081"/>
    <w:rsid w:val="00297171"/>
    <w:rsid w:val="002972D3"/>
    <w:rsid w:val="00297384"/>
    <w:rsid w:val="002973ED"/>
    <w:rsid w:val="00297565"/>
    <w:rsid w:val="0029756E"/>
    <w:rsid w:val="00297572"/>
    <w:rsid w:val="002977DC"/>
    <w:rsid w:val="002977E4"/>
    <w:rsid w:val="0029785B"/>
    <w:rsid w:val="002978BD"/>
    <w:rsid w:val="0029795A"/>
    <w:rsid w:val="00297980"/>
    <w:rsid w:val="00297B21"/>
    <w:rsid w:val="00297DC8"/>
    <w:rsid w:val="00297F59"/>
    <w:rsid w:val="002A004F"/>
    <w:rsid w:val="002A0223"/>
    <w:rsid w:val="002A0227"/>
    <w:rsid w:val="002A0256"/>
    <w:rsid w:val="002A0266"/>
    <w:rsid w:val="002A029A"/>
    <w:rsid w:val="002A0376"/>
    <w:rsid w:val="002A0468"/>
    <w:rsid w:val="002A04A1"/>
    <w:rsid w:val="002A05A3"/>
    <w:rsid w:val="002A07BC"/>
    <w:rsid w:val="002A08E3"/>
    <w:rsid w:val="002A092A"/>
    <w:rsid w:val="002A093F"/>
    <w:rsid w:val="002A0973"/>
    <w:rsid w:val="002A09A8"/>
    <w:rsid w:val="002A0B6F"/>
    <w:rsid w:val="002A0BA6"/>
    <w:rsid w:val="002A0BF2"/>
    <w:rsid w:val="002A0D13"/>
    <w:rsid w:val="002A0FE0"/>
    <w:rsid w:val="002A1016"/>
    <w:rsid w:val="002A1081"/>
    <w:rsid w:val="002A10B7"/>
    <w:rsid w:val="002A1174"/>
    <w:rsid w:val="002A1200"/>
    <w:rsid w:val="002A128D"/>
    <w:rsid w:val="002A13C3"/>
    <w:rsid w:val="002A1450"/>
    <w:rsid w:val="002A146D"/>
    <w:rsid w:val="002A1508"/>
    <w:rsid w:val="002A17DB"/>
    <w:rsid w:val="002A17DF"/>
    <w:rsid w:val="002A1844"/>
    <w:rsid w:val="002A1960"/>
    <w:rsid w:val="002A1A0D"/>
    <w:rsid w:val="002A1A18"/>
    <w:rsid w:val="002A1A9C"/>
    <w:rsid w:val="002A1AD3"/>
    <w:rsid w:val="002A1C09"/>
    <w:rsid w:val="002A1CDF"/>
    <w:rsid w:val="002A1D58"/>
    <w:rsid w:val="002A1E79"/>
    <w:rsid w:val="002A2034"/>
    <w:rsid w:val="002A20AF"/>
    <w:rsid w:val="002A21B8"/>
    <w:rsid w:val="002A2202"/>
    <w:rsid w:val="002A22A4"/>
    <w:rsid w:val="002A22E8"/>
    <w:rsid w:val="002A2332"/>
    <w:rsid w:val="002A2524"/>
    <w:rsid w:val="002A2657"/>
    <w:rsid w:val="002A2700"/>
    <w:rsid w:val="002A2746"/>
    <w:rsid w:val="002A27B2"/>
    <w:rsid w:val="002A2849"/>
    <w:rsid w:val="002A2A92"/>
    <w:rsid w:val="002A2B1B"/>
    <w:rsid w:val="002A2BF7"/>
    <w:rsid w:val="002A2C36"/>
    <w:rsid w:val="002A2CDB"/>
    <w:rsid w:val="002A2D5A"/>
    <w:rsid w:val="002A2DB6"/>
    <w:rsid w:val="002A2E3F"/>
    <w:rsid w:val="002A2FB9"/>
    <w:rsid w:val="002A2FEF"/>
    <w:rsid w:val="002A30A7"/>
    <w:rsid w:val="002A31AB"/>
    <w:rsid w:val="002A323A"/>
    <w:rsid w:val="002A324E"/>
    <w:rsid w:val="002A33FD"/>
    <w:rsid w:val="002A3482"/>
    <w:rsid w:val="002A3547"/>
    <w:rsid w:val="002A354B"/>
    <w:rsid w:val="002A365F"/>
    <w:rsid w:val="002A366C"/>
    <w:rsid w:val="002A376B"/>
    <w:rsid w:val="002A399F"/>
    <w:rsid w:val="002A3B0E"/>
    <w:rsid w:val="002A3B62"/>
    <w:rsid w:val="002A3B7F"/>
    <w:rsid w:val="002A3BA4"/>
    <w:rsid w:val="002A3C47"/>
    <w:rsid w:val="002A3E93"/>
    <w:rsid w:val="002A3ECF"/>
    <w:rsid w:val="002A3EF1"/>
    <w:rsid w:val="002A3FDD"/>
    <w:rsid w:val="002A4065"/>
    <w:rsid w:val="002A40BD"/>
    <w:rsid w:val="002A4164"/>
    <w:rsid w:val="002A432B"/>
    <w:rsid w:val="002A439E"/>
    <w:rsid w:val="002A44A8"/>
    <w:rsid w:val="002A453D"/>
    <w:rsid w:val="002A45E7"/>
    <w:rsid w:val="002A46D5"/>
    <w:rsid w:val="002A488B"/>
    <w:rsid w:val="002A4AF0"/>
    <w:rsid w:val="002A4B56"/>
    <w:rsid w:val="002A4CA0"/>
    <w:rsid w:val="002A4CE2"/>
    <w:rsid w:val="002A4D31"/>
    <w:rsid w:val="002A4DD1"/>
    <w:rsid w:val="002A4E77"/>
    <w:rsid w:val="002A4FF1"/>
    <w:rsid w:val="002A5004"/>
    <w:rsid w:val="002A5044"/>
    <w:rsid w:val="002A50B3"/>
    <w:rsid w:val="002A50FC"/>
    <w:rsid w:val="002A51EF"/>
    <w:rsid w:val="002A5264"/>
    <w:rsid w:val="002A5282"/>
    <w:rsid w:val="002A53FF"/>
    <w:rsid w:val="002A5886"/>
    <w:rsid w:val="002A5925"/>
    <w:rsid w:val="002A5A5D"/>
    <w:rsid w:val="002A5BB7"/>
    <w:rsid w:val="002A5C0B"/>
    <w:rsid w:val="002A5D08"/>
    <w:rsid w:val="002A5E90"/>
    <w:rsid w:val="002A5F96"/>
    <w:rsid w:val="002A6109"/>
    <w:rsid w:val="002A61C6"/>
    <w:rsid w:val="002A61CA"/>
    <w:rsid w:val="002A61FF"/>
    <w:rsid w:val="002A633A"/>
    <w:rsid w:val="002A6378"/>
    <w:rsid w:val="002A661C"/>
    <w:rsid w:val="002A679B"/>
    <w:rsid w:val="002A67B7"/>
    <w:rsid w:val="002A67BA"/>
    <w:rsid w:val="002A684E"/>
    <w:rsid w:val="002A68C2"/>
    <w:rsid w:val="002A68F1"/>
    <w:rsid w:val="002A68F3"/>
    <w:rsid w:val="002A69F0"/>
    <w:rsid w:val="002A6A85"/>
    <w:rsid w:val="002A6A9B"/>
    <w:rsid w:val="002A6C27"/>
    <w:rsid w:val="002A6C5C"/>
    <w:rsid w:val="002A6D8F"/>
    <w:rsid w:val="002A6E45"/>
    <w:rsid w:val="002A6FDC"/>
    <w:rsid w:val="002A720C"/>
    <w:rsid w:val="002A730F"/>
    <w:rsid w:val="002A735B"/>
    <w:rsid w:val="002A73A0"/>
    <w:rsid w:val="002A73C1"/>
    <w:rsid w:val="002A7457"/>
    <w:rsid w:val="002A74C9"/>
    <w:rsid w:val="002A74E8"/>
    <w:rsid w:val="002A75AC"/>
    <w:rsid w:val="002A75C4"/>
    <w:rsid w:val="002A77A3"/>
    <w:rsid w:val="002A785F"/>
    <w:rsid w:val="002A78A4"/>
    <w:rsid w:val="002A78BA"/>
    <w:rsid w:val="002A78BB"/>
    <w:rsid w:val="002A79BD"/>
    <w:rsid w:val="002A7A78"/>
    <w:rsid w:val="002A7A88"/>
    <w:rsid w:val="002A7BD0"/>
    <w:rsid w:val="002A7C73"/>
    <w:rsid w:val="002A7D81"/>
    <w:rsid w:val="002A7E61"/>
    <w:rsid w:val="002A7E9F"/>
    <w:rsid w:val="002A7F3D"/>
    <w:rsid w:val="002A7F9B"/>
    <w:rsid w:val="002A7FD0"/>
    <w:rsid w:val="002B00E2"/>
    <w:rsid w:val="002B0152"/>
    <w:rsid w:val="002B01B5"/>
    <w:rsid w:val="002B02C7"/>
    <w:rsid w:val="002B03E5"/>
    <w:rsid w:val="002B04E3"/>
    <w:rsid w:val="002B0595"/>
    <w:rsid w:val="002B067B"/>
    <w:rsid w:val="002B0789"/>
    <w:rsid w:val="002B08C1"/>
    <w:rsid w:val="002B0991"/>
    <w:rsid w:val="002B0A0E"/>
    <w:rsid w:val="002B0AE4"/>
    <w:rsid w:val="002B0B13"/>
    <w:rsid w:val="002B0B27"/>
    <w:rsid w:val="002B0C09"/>
    <w:rsid w:val="002B0D20"/>
    <w:rsid w:val="002B0E58"/>
    <w:rsid w:val="002B0EC7"/>
    <w:rsid w:val="002B11A0"/>
    <w:rsid w:val="002B11E7"/>
    <w:rsid w:val="002B1471"/>
    <w:rsid w:val="002B183B"/>
    <w:rsid w:val="002B1851"/>
    <w:rsid w:val="002B1992"/>
    <w:rsid w:val="002B1A82"/>
    <w:rsid w:val="002B1ACD"/>
    <w:rsid w:val="002B1ADF"/>
    <w:rsid w:val="002B1B29"/>
    <w:rsid w:val="002B1B59"/>
    <w:rsid w:val="002B1CCD"/>
    <w:rsid w:val="002B1F05"/>
    <w:rsid w:val="002B1F98"/>
    <w:rsid w:val="002B1FAF"/>
    <w:rsid w:val="002B213B"/>
    <w:rsid w:val="002B219C"/>
    <w:rsid w:val="002B2295"/>
    <w:rsid w:val="002B2343"/>
    <w:rsid w:val="002B23EE"/>
    <w:rsid w:val="002B2443"/>
    <w:rsid w:val="002B244E"/>
    <w:rsid w:val="002B245F"/>
    <w:rsid w:val="002B2470"/>
    <w:rsid w:val="002B25BE"/>
    <w:rsid w:val="002B272C"/>
    <w:rsid w:val="002B2746"/>
    <w:rsid w:val="002B275E"/>
    <w:rsid w:val="002B2776"/>
    <w:rsid w:val="002B27A9"/>
    <w:rsid w:val="002B28B9"/>
    <w:rsid w:val="002B2975"/>
    <w:rsid w:val="002B2AD5"/>
    <w:rsid w:val="002B2B96"/>
    <w:rsid w:val="002B2BEC"/>
    <w:rsid w:val="002B2C1A"/>
    <w:rsid w:val="002B2CF8"/>
    <w:rsid w:val="002B2D4B"/>
    <w:rsid w:val="002B2E45"/>
    <w:rsid w:val="002B2E92"/>
    <w:rsid w:val="002B2F29"/>
    <w:rsid w:val="002B3050"/>
    <w:rsid w:val="002B3071"/>
    <w:rsid w:val="002B30AF"/>
    <w:rsid w:val="002B30D0"/>
    <w:rsid w:val="002B30D2"/>
    <w:rsid w:val="002B31D6"/>
    <w:rsid w:val="002B31E1"/>
    <w:rsid w:val="002B325B"/>
    <w:rsid w:val="002B3290"/>
    <w:rsid w:val="002B3294"/>
    <w:rsid w:val="002B32A1"/>
    <w:rsid w:val="002B33A2"/>
    <w:rsid w:val="002B3426"/>
    <w:rsid w:val="002B358A"/>
    <w:rsid w:val="002B3693"/>
    <w:rsid w:val="002B3699"/>
    <w:rsid w:val="002B36F5"/>
    <w:rsid w:val="002B3788"/>
    <w:rsid w:val="002B38D6"/>
    <w:rsid w:val="002B39BD"/>
    <w:rsid w:val="002B39F7"/>
    <w:rsid w:val="002B3ACA"/>
    <w:rsid w:val="002B3B34"/>
    <w:rsid w:val="002B3D89"/>
    <w:rsid w:val="002B3DFE"/>
    <w:rsid w:val="002B3E97"/>
    <w:rsid w:val="002B3ECB"/>
    <w:rsid w:val="002B3FCE"/>
    <w:rsid w:val="002B3FD0"/>
    <w:rsid w:val="002B3FE8"/>
    <w:rsid w:val="002B407E"/>
    <w:rsid w:val="002B4082"/>
    <w:rsid w:val="002B419D"/>
    <w:rsid w:val="002B422E"/>
    <w:rsid w:val="002B427E"/>
    <w:rsid w:val="002B4288"/>
    <w:rsid w:val="002B4297"/>
    <w:rsid w:val="002B4303"/>
    <w:rsid w:val="002B446A"/>
    <w:rsid w:val="002B44CA"/>
    <w:rsid w:val="002B4607"/>
    <w:rsid w:val="002B4683"/>
    <w:rsid w:val="002B4A14"/>
    <w:rsid w:val="002B4C9E"/>
    <w:rsid w:val="002B4F80"/>
    <w:rsid w:val="002B517C"/>
    <w:rsid w:val="002B5281"/>
    <w:rsid w:val="002B5385"/>
    <w:rsid w:val="002B5394"/>
    <w:rsid w:val="002B53B1"/>
    <w:rsid w:val="002B54DF"/>
    <w:rsid w:val="002B5549"/>
    <w:rsid w:val="002B57B6"/>
    <w:rsid w:val="002B5819"/>
    <w:rsid w:val="002B5860"/>
    <w:rsid w:val="002B5924"/>
    <w:rsid w:val="002B5AD1"/>
    <w:rsid w:val="002B5B4F"/>
    <w:rsid w:val="002B5BCF"/>
    <w:rsid w:val="002B5BFF"/>
    <w:rsid w:val="002B5DC0"/>
    <w:rsid w:val="002B5DF5"/>
    <w:rsid w:val="002B5E7D"/>
    <w:rsid w:val="002B5F28"/>
    <w:rsid w:val="002B6133"/>
    <w:rsid w:val="002B61E4"/>
    <w:rsid w:val="002B6406"/>
    <w:rsid w:val="002B640A"/>
    <w:rsid w:val="002B6512"/>
    <w:rsid w:val="002B662C"/>
    <w:rsid w:val="002B676E"/>
    <w:rsid w:val="002B686A"/>
    <w:rsid w:val="002B6A33"/>
    <w:rsid w:val="002B6B3F"/>
    <w:rsid w:val="002B6BD3"/>
    <w:rsid w:val="002B6CCF"/>
    <w:rsid w:val="002B6CE0"/>
    <w:rsid w:val="002B6D7C"/>
    <w:rsid w:val="002B6DE0"/>
    <w:rsid w:val="002B6E2E"/>
    <w:rsid w:val="002B6EBE"/>
    <w:rsid w:val="002B6F8B"/>
    <w:rsid w:val="002B6FE2"/>
    <w:rsid w:val="002B718A"/>
    <w:rsid w:val="002B7196"/>
    <w:rsid w:val="002B7206"/>
    <w:rsid w:val="002B7340"/>
    <w:rsid w:val="002B7455"/>
    <w:rsid w:val="002B7539"/>
    <w:rsid w:val="002B7601"/>
    <w:rsid w:val="002B78CF"/>
    <w:rsid w:val="002B795A"/>
    <w:rsid w:val="002B796F"/>
    <w:rsid w:val="002B7AE0"/>
    <w:rsid w:val="002B7B6B"/>
    <w:rsid w:val="002B7B9B"/>
    <w:rsid w:val="002B7C3B"/>
    <w:rsid w:val="002B7DE5"/>
    <w:rsid w:val="002C00CA"/>
    <w:rsid w:val="002C0130"/>
    <w:rsid w:val="002C0163"/>
    <w:rsid w:val="002C01B6"/>
    <w:rsid w:val="002C01B7"/>
    <w:rsid w:val="002C023A"/>
    <w:rsid w:val="002C02AC"/>
    <w:rsid w:val="002C02BF"/>
    <w:rsid w:val="002C0355"/>
    <w:rsid w:val="002C048A"/>
    <w:rsid w:val="002C049E"/>
    <w:rsid w:val="002C050F"/>
    <w:rsid w:val="002C0510"/>
    <w:rsid w:val="002C0656"/>
    <w:rsid w:val="002C06B2"/>
    <w:rsid w:val="002C06B5"/>
    <w:rsid w:val="002C06C7"/>
    <w:rsid w:val="002C096D"/>
    <w:rsid w:val="002C0C85"/>
    <w:rsid w:val="002C0DEE"/>
    <w:rsid w:val="002C10EB"/>
    <w:rsid w:val="002C1133"/>
    <w:rsid w:val="002C115E"/>
    <w:rsid w:val="002C116F"/>
    <w:rsid w:val="002C124C"/>
    <w:rsid w:val="002C1293"/>
    <w:rsid w:val="002C1347"/>
    <w:rsid w:val="002C1478"/>
    <w:rsid w:val="002C1494"/>
    <w:rsid w:val="002C157A"/>
    <w:rsid w:val="002C157E"/>
    <w:rsid w:val="002C15D1"/>
    <w:rsid w:val="002C176E"/>
    <w:rsid w:val="002C17DF"/>
    <w:rsid w:val="002C1812"/>
    <w:rsid w:val="002C1814"/>
    <w:rsid w:val="002C19DE"/>
    <w:rsid w:val="002C1A38"/>
    <w:rsid w:val="002C1C2E"/>
    <w:rsid w:val="002C1E04"/>
    <w:rsid w:val="002C1E78"/>
    <w:rsid w:val="002C1EAC"/>
    <w:rsid w:val="002C1EE7"/>
    <w:rsid w:val="002C1F8D"/>
    <w:rsid w:val="002C2015"/>
    <w:rsid w:val="002C2085"/>
    <w:rsid w:val="002C2092"/>
    <w:rsid w:val="002C218B"/>
    <w:rsid w:val="002C2341"/>
    <w:rsid w:val="002C235C"/>
    <w:rsid w:val="002C2457"/>
    <w:rsid w:val="002C245F"/>
    <w:rsid w:val="002C248C"/>
    <w:rsid w:val="002C2AE5"/>
    <w:rsid w:val="002C2B0D"/>
    <w:rsid w:val="002C2BB4"/>
    <w:rsid w:val="002C2C9D"/>
    <w:rsid w:val="002C2CED"/>
    <w:rsid w:val="002C2D48"/>
    <w:rsid w:val="002C2EBF"/>
    <w:rsid w:val="002C30A5"/>
    <w:rsid w:val="002C30B9"/>
    <w:rsid w:val="002C3115"/>
    <w:rsid w:val="002C3177"/>
    <w:rsid w:val="002C31D3"/>
    <w:rsid w:val="002C329D"/>
    <w:rsid w:val="002C32AC"/>
    <w:rsid w:val="002C32C4"/>
    <w:rsid w:val="002C32E7"/>
    <w:rsid w:val="002C332E"/>
    <w:rsid w:val="002C339A"/>
    <w:rsid w:val="002C3404"/>
    <w:rsid w:val="002C3730"/>
    <w:rsid w:val="002C3750"/>
    <w:rsid w:val="002C380B"/>
    <w:rsid w:val="002C381E"/>
    <w:rsid w:val="002C3830"/>
    <w:rsid w:val="002C3846"/>
    <w:rsid w:val="002C38E8"/>
    <w:rsid w:val="002C396C"/>
    <w:rsid w:val="002C39EE"/>
    <w:rsid w:val="002C3A4F"/>
    <w:rsid w:val="002C3ABD"/>
    <w:rsid w:val="002C3B17"/>
    <w:rsid w:val="002C3B6F"/>
    <w:rsid w:val="002C3E62"/>
    <w:rsid w:val="002C3E9C"/>
    <w:rsid w:val="002C3ECE"/>
    <w:rsid w:val="002C3F73"/>
    <w:rsid w:val="002C42DD"/>
    <w:rsid w:val="002C439D"/>
    <w:rsid w:val="002C43D3"/>
    <w:rsid w:val="002C445C"/>
    <w:rsid w:val="002C44A1"/>
    <w:rsid w:val="002C4557"/>
    <w:rsid w:val="002C478F"/>
    <w:rsid w:val="002C492A"/>
    <w:rsid w:val="002C495F"/>
    <w:rsid w:val="002C49B8"/>
    <w:rsid w:val="002C4AE3"/>
    <w:rsid w:val="002C4D59"/>
    <w:rsid w:val="002C4E29"/>
    <w:rsid w:val="002C4F32"/>
    <w:rsid w:val="002C5001"/>
    <w:rsid w:val="002C50FD"/>
    <w:rsid w:val="002C5132"/>
    <w:rsid w:val="002C51E2"/>
    <w:rsid w:val="002C5296"/>
    <w:rsid w:val="002C5384"/>
    <w:rsid w:val="002C53A4"/>
    <w:rsid w:val="002C5425"/>
    <w:rsid w:val="002C54A3"/>
    <w:rsid w:val="002C54C4"/>
    <w:rsid w:val="002C55E3"/>
    <w:rsid w:val="002C55F6"/>
    <w:rsid w:val="002C56F7"/>
    <w:rsid w:val="002C572A"/>
    <w:rsid w:val="002C58BC"/>
    <w:rsid w:val="002C597E"/>
    <w:rsid w:val="002C59BF"/>
    <w:rsid w:val="002C5AA5"/>
    <w:rsid w:val="002C5BAE"/>
    <w:rsid w:val="002C5BE2"/>
    <w:rsid w:val="002C5CE9"/>
    <w:rsid w:val="002C5DAC"/>
    <w:rsid w:val="002C5E9A"/>
    <w:rsid w:val="002C5EB0"/>
    <w:rsid w:val="002C5EEC"/>
    <w:rsid w:val="002C604A"/>
    <w:rsid w:val="002C606C"/>
    <w:rsid w:val="002C61AC"/>
    <w:rsid w:val="002C6351"/>
    <w:rsid w:val="002C651A"/>
    <w:rsid w:val="002C65B5"/>
    <w:rsid w:val="002C6655"/>
    <w:rsid w:val="002C669F"/>
    <w:rsid w:val="002C66B9"/>
    <w:rsid w:val="002C67B4"/>
    <w:rsid w:val="002C6907"/>
    <w:rsid w:val="002C69DC"/>
    <w:rsid w:val="002C6C25"/>
    <w:rsid w:val="002C6D8B"/>
    <w:rsid w:val="002C6E65"/>
    <w:rsid w:val="002C6E71"/>
    <w:rsid w:val="002C6EC3"/>
    <w:rsid w:val="002C6F6E"/>
    <w:rsid w:val="002C6FB3"/>
    <w:rsid w:val="002C6FFC"/>
    <w:rsid w:val="002C7096"/>
    <w:rsid w:val="002C7227"/>
    <w:rsid w:val="002C72A9"/>
    <w:rsid w:val="002C743A"/>
    <w:rsid w:val="002C7820"/>
    <w:rsid w:val="002C7C38"/>
    <w:rsid w:val="002C7D80"/>
    <w:rsid w:val="002C7E0B"/>
    <w:rsid w:val="002C7FA2"/>
    <w:rsid w:val="002C7FF0"/>
    <w:rsid w:val="002C8A00"/>
    <w:rsid w:val="002D002D"/>
    <w:rsid w:val="002D0089"/>
    <w:rsid w:val="002D00D4"/>
    <w:rsid w:val="002D012F"/>
    <w:rsid w:val="002D026D"/>
    <w:rsid w:val="002D033D"/>
    <w:rsid w:val="002D038D"/>
    <w:rsid w:val="002D0409"/>
    <w:rsid w:val="002D04A8"/>
    <w:rsid w:val="002D05DC"/>
    <w:rsid w:val="002D05EC"/>
    <w:rsid w:val="002D0601"/>
    <w:rsid w:val="002D09C9"/>
    <w:rsid w:val="002D0A9A"/>
    <w:rsid w:val="002D0B39"/>
    <w:rsid w:val="002D0B73"/>
    <w:rsid w:val="002D0C71"/>
    <w:rsid w:val="002D0EE4"/>
    <w:rsid w:val="002D0F85"/>
    <w:rsid w:val="002D0FF6"/>
    <w:rsid w:val="002D10CF"/>
    <w:rsid w:val="002D1110"/>
    <w:rsid w:val="002D117C"/>
    <w:rsid w:val="002D11AF"/>
    <w:rsid w:val="002D129E"/>
    <w:rsid w:val="002D14B0"/>
    <w:rsid w:val="002D1502"/>
    <w:rsid w:val="002D1694"/>
    <w:rsid w:val="002D16E2"/>
    <w:rsid w:val="002D173E"/>
    <w:rsid w:val="002D18F6"/>
    <w:rsid w:val="002D18FB"/>
    <w:rsid w:val="002D19C6"/>
    <w:rsid w:val="002D19E9"/>
    <w:rsid w:val="002D1A2B"/>
    <w:rsid w:val="002D1A39"/>
    <w:rsid w:val="002D1A50"/>
    <w:rsid w:val="002D1A58"/>
    <w:rsid w:val="002D1B38"/>
    <w:rsid w:val="002D1BE9"/>
    <w:rsid w:val="002D1C35"/>
    <w:rsid w:val="002D1D25"/>
    <w:rsid w:val="002D1D7A"/>
    <w:rsid w:val="002D1F08"/>
    <w:rsid w:val="002D1F3E"/>
    <w:rsid w:val="002D20A3"/>
    <w:rsid w:val="002D212D"/>
    <w:rsid w:val="002D217C"/>
    <w:rsid w:val="002D21DB"/>
    <w:rsid w:val="002D22E9"/>
    <w:rsid w:val="002D235E"/>
    <w:rsid w:val="002D23AA"/>
    <w:rsid w:val="002D2432"/>
    <w:rsid w:val="002D25EF"/>
    <w:rsid w:val="002D260E"/>
    <w:rsid w:val="002D2701"/>
    <w:rsid w:val="002D2878"/>
    <w:rsid w:val="002D294D"/>
    <w:rsid w:val="002D29D7"/>
    <w:rsid w:val="002D2DE5"/>
    <w:rsid w:val="002D2F3D"/>
    <w:rsid w:val="002D2F6F"/>
    <w:rsid w:val="002D3091"/>
    <w:rsid w:val="002D30F6"/>
    <w:rsid w:val="002D3401"/>
    <w:rsid w:val="002D3535"/>
    <w:rsid w:val="002D3640"/>
    <w:rsid w:val="002D3684"/>
    <w:rsid w:val="002D3791"/>
    <w:rsid w:val="002D381C"/>
    <w:rsid w:val="002D3904"/>
    <w:rsid w:val="002D3941"/>
    <w:rsid w:val="002D3A3D"/>
    <w:rsid w:val="002D3B80"/>
    <w:rsid w:val="002D3C45"/>
    <w:rsid w:val="002D3D53"/>
    <w:rsid w:val="002D3DAE"/>
    <w:rsid w:val="002D3E83"/>
    <w:rsid w:val="002D3F10"/>
    <w:rsid w:val="002D400C"/>
    <w:rsid w:val="002D40B8"/>
    <w:rsid w:val="002D4174"/>
    <w:rsid w:val="002D42A2"/>
    <w:rsid w:val="002D43BE"/>
    <w:rsid w:val="002D4467"/>
    <w:rsid w:val="002D4469"/>
    <w:rsid w:val="002D4565"/>
    <w:rsid w:val="002D4665"/>
    <w:rsid w:val="002D467E"/>
    <w:rsid w:val="002D47B9"/>
    <w:rsid w:val="002D47C9"/>
    <w:rsid w:val="002D47F8"/>
    <w:rsid w:val="002D4836"/>
    <w:rsid w:val="002D4C3F"/>
    <w:rsid w:val="002D4D68"/>
    <w:rsid w:val="002D4DA6"/>
    <w:rsid w:val="002D4E03"/>
    <w:rsid w:val="002D4EE6"/>
    <w:rsid w:val="002D4FB2"/>
    <w:rsid w:val="002D5028"/>
    <w:rsid w:val="002D5049"/>
    <w:rsid w:val="002D50FA"/>
    <w:rsid w:val="002D53B7"/>
    <w:rsid w:val="002D53BE"/>
    <w:rsid w:val="002D53C0"/>
    <w:rsid w:val="002D53F4"/>
    <w:rsid w:val="002D5452"/>
    <w:rsid w:val="002D5455"/>
    <w:rsid w:val="002D54A3"/>
    <w:rsid w:val="002D54B2"/>
    <w:rsid w:val="002D54C4"/>
    <w:rsid w:val="002D54EC"/>
    <w:rsid w:val="002D5574"/>
    <w:rsid w:val="002D55E0"/>
    <w:rsid w:val="002D565E"/>
    <w:rsid w:val="002D569C"/>
    <w:rsid w:val="002D56E1"/>
    <w:rsid w:val="002D571A"/>
    <w:rsid w:val="002D57B3"/>
    <w:rsid w:val="002D581B"/>
    <w:rsid w:val="002D596C"/>
    <w:rsid w:val="002D5973"/>
    <w:rsid w:val="002D59FE"/>
    <w:rsid w:val="002D5A08"/>
    <w:rsid w:val="002D5A73"/>
    <w:rsid w:val="002D5A96"/>
    <w:rsid w:val="002D5AA2"/>
    <w:rsid w:val="002D5AA8"/>
    <w:rsid w:val="002D5ACA"/>
    <w:rsid w:val="002D5C06"/>
    <w:rsid w:val="002D5DE1"/>
    <w:rsid w:val="002D5F61"/>
    <w:rsid w:val="002D5F6B"/>
    <w:rsid w:val="002D5FD8"/>
    <w:rsid w:val="002D6037"/>
    <w:rsid w:val="002D6216"/>
    <w:rsid w:val="002D63CA"/>
    <w:rsid w:val="002D63E7"/>
    <w:rsid w:val="002D6406"/>
    <w:rsid w:val="002D6407"/>
    <w:rsid w:val="002D648A"/>
    <w:rsid w:val="002D6799"/>
    <w:rsid w:val="002D67D8"/>
    <w:rsid w:val="002D67E3"/>
    <w:rsid w:val="002D6828"/>
    <w:rsid w:val="002D692F"/>
    <w:rsid w:val="002D695D"/>
    <w:rsid w:val="002D69BF"/>
    <w:rsid w:val="002D6A31"/>
    <w:rsid w:val="002D6D25"/>
    <w:rsid w:val="002D6D3B"/>
    <w:rsid w:val="002D6D7A"/>
    <w:rsid w:val="002D710E"/>
    <w:rsid w:val="002D719E"/>
    <w:rsid w:val="002D724B"/>
    <w:rsid w:val="002D73B6"/>
    <w:rsid w:val="002D73E4"/>
    <w:rsid w:val="002D7515"/>
    <w:rsid w:val="002D753A"/>
    <w:rsid w:val="002D7694"/>
    <w:rsid w:val="002D7719"/>
    <w:rsid w:val="002D7736"/>
    <w:rsid w:val="002D78C0"/>
    <w:rsid w:val="002D79AC"/>
    <w:rsid w:val="002D7A21"/>
    <w:rsid w:val="002D7B55"/>
    <w:rsid w:val="002D7C29"/>
    <w:rsid w:val="002D7CA4"/>
    <w:rsid w:val="002D7CC2"/>
    <w:rsid w:val="002D7D12"/>
    <w:rsid w:val="002D7D74"/>
    <w:rsid w:val="002D7DFC"/>
    <w:rsid w:val="002E015E"/>
    <w:rsid w:val="002E02DF"/>
    <w:rsid w:val="002E02FB"/>
    <w:rsid w:val="002E0383"/>
    <w:rsid w:val="002E03B9"/>
    <w:rsid w:val="002E053A"/>
    <w:rsid w:val="002E0597"/>
    <w:rsid w:val="002E05E1"/>
    <w:rsid w:val="002E06B5"/>
    <w:rsid w:val="002E07FA"/>
    <w:rsid w:val="002E0855"/>
    <w:rsid w:val="002E08FD"/>
    <w:rsid w:val="002E0A33"/>
    <w:rsid w:val="002E0A4E"/>
    <w:rsid w:val="002E0BAF"/>
    <w:rsid w:val="002E0CDD"/>
    <w:rsid w:val="002E0DDA"/>
    <w:rsid w:val="002E107D"/>
    <w:rsid w:val="002E1090"/>
    <w:rsid w:val="002E1172"/>
    <w:rsid w:val="002E133B"/>
    <w:rsid w:val="002E134F"/>
    <w:rsid w:val="002E1606"/>
    <w:rsid w:val="002E1642"/>
    <w:rsid w:val="002E165F"/>
    <w:rsid w:val="002E184D"/>
    <w:rsid w:val="002E18E4"/>
    <w:rsid w:val="002E18E6"/>
    <w:rsid w:val="002E18F7"/>
    <w:rsid w:val="002E19E7"/>
    <w:rsid w:val="002E1A56"/>
    <w:rsid w:val="002E1AF4"/>
    <w:rsid w:val="002E1C12"/>
    <w:rsid w:val="002E1D17"/>
    <w:rsid w:val="002E1E2E"/>
    <w:rsid w:val="002E1F50"/>
    <w:rsid w:val="002E1FBD"/>
    <w:rsid w:val="002E1FE8"/>
    <w:rsid w:val="002E20E4"/>
    <w:rsid w:val="002E2102"/>
    <w:rsid w:val="002E21C3"/>
    <w:rsid w:val="002E21FC"/>
    <w:rsid w:val="002E23F6"/>
    <w:rsid w:val="002E2419"/>
    <w:rsid w:val="002E245C"/>
    <w:rsid w:val="002E2536"/>
    <w:rsid w:val="002E253A"/>
    <w:rsid w:val="002E2605"/>
    <w:rsid w:val="002E260F"/>
    <w:rsid w:val="002E26E3"/>
    <w:rsid w:val="002E28DC"/>
    <w:rsid w:val="002E29A4"/>
    <w:rsid w:val="002E29DB"/>
    <w:rsid w:val="002E2AC2"/>
    <w:rsid w:val="002E2AF5"/>
    <w:rsid w:val="002E2E32"/>
    <w:rsid w:val="002E2E3D"/>
    <w:rsid w:val="002E2F8C"/>
    <w:rsid w:val="002E309F"/>
    <w:rsid w:val="002E3131"/>
    <w:rsid w:val="002E3158"/>
    <w:rsid w:val="002E31CD"/>
    <w:rsid w:val="002E336E"/>
    <w:rsid w:val="002E3507"/>
    <w:rsid w:val="002E35DB"/>
    <w:rsid w:val="002E380C"/>
    <w:rsid w:val="002E38B4"/>
    <w:rsid w:val="002E3A33"/>
    <w:rsid w:val="002E3BF1"/>
    <w:rsid w:val="002E3D3B"/>
    <w:rsid w:val="002E3D64"/>
    <w:rsid w:val="002E3F60"/>
    <w:rsid w:val="002E4131"/>
    <w:rsid w:val="002E42E5"/>
    <w:rsid w:val="002E4335"/>
    <w:rsid w:val="002E43FB"/>
    <w:rsid w:val="002E44A2"/>
    <w:rsid w:val="002E44CF"/>
    <w:rsid w:val="002E44FE"/>
    <w:rsid w:val="002E45A6"/>
    <w:rsid w:val="002E478B"/>
    <w:rsid w:val="002E487E"/>
    <w:rsid w:val="002E492F"/>
    <w:rsid w:val="002E4934"/>
    <w:rsid w:val="002E4A4E"/>
    <w:rsid w:val="002E4AC7"/>
    <w:rsid w:val="002E4B93"/>
    <w:rsid w:val="002E4CCF"/>
    <w:rsid w:val="002E4DBC"/>
    <w:rsid w:val="002E4E5C"/>
    <w:rsid w:val="002E4FEB"/>
    <w:rsid w:val="002E507A"/>
    <w:rsid w:val="002E50FB"/>
    <w:rsid w:val="002E5218"/>
    <w:rsid w:val="002E523A"/>
    <w:rsid w:val="002E523F"/>
    <w:rsid w:val="002E5255"/>
    <w:rsid w:val="002E5296"/>
    <w:rsid w:val="002E53B4"/>
    <w:rsid w:val="002E53F3"/>
    <w:rsid w:val="002E5434"/>
    <w:rsid w:val="002E548F"/>
    <w:rsid w:val="002E56F0"/>
    <w:rsid w:val="002E5729"/>
    <w:rsid w:val="002E5790"/>
    <w:rsid w:val="002E57AF"/>
    <w:rsid w:val="002E58E8"/>
    <w:rsid w:val="002E599D"/>
    <w:rsid w:val="002E5A27"/>
    <w:rsid w:val="002E5AC1"/>
    <w:rsid w:val="002E5C5B"/>
    <w:rsid w:val="002E5CC7"/>
    <w:rsid w:val="002E5D70"/>
    <w:rsid w:val="002E5E17"/>
    <w:rsid w:val="002E5E34"/>
    <w:rsid w:val="002E5EAC"/>
    <w:rsid w:val="002E61E9"/>
    <w:rsid w:val="002E64B3"/>
    <w:rsid w:val="002E66B9"/>
    <w:rsid w:val="002E67BC"/>
    <w:rsid w:val="002E684F"/>
    <w:rsid w:val="002E68F3"/>
    <w:rsid w:val="002E6D70"/>
    <w:rsid w:val="002E6F5B"/>
    <w:rsid w:val="002E6F8B"/>
    <w:rsid w:val="002E6FD8"/>
    <w:rsid w:val="002E7132"/>
    <w:rsid w:val="002E713C"/>
    <w:rsid w:val="002E71F9"/>
    <w:rsid w:val="002E72D9"/>
    <w:rsid w:val="002E7335"/>
    <w:rsid w:val="002E740E"/>
    <w:rsid w:val="002E7676"/>
    <w:rsid w:val="002E769F"/>
    <w:rsid w:val="002E76BC"/>
    <w:rsid w:val="002E7700"/>
    <w:rsid w:val="002E77ED"/>
    <w:rsid w:val="002E7912"/>
    <w:rsid w:val="002E7A44"/>
    <w:rsid w:val="002E7A58"/>
    <w:rsid w:val="002E7A65"/>
    <w:rsid w:val="002E7AC6"/>
    <w:rsid w:val="002E7AC8"/>
    <w:rsid w:val="002E7AD0"/>
    <w:rsid w:val="002E7B6C"/>
    <w:rsid w:val="002E7B9F"/>
    <w:rsid w:val="002E7CFE"/>
    <w:rsid w:val="002E7CFF"/>
    <w:rsid w:val="002E7D43"/>
    <w:rsid w:val="002E7E9A"/>
    <w:rsid w:val="002E7EA2"/>
    <w:rsid w:val="002F0079"/>
    <w:rsid w:val="002F00F8"/>
    <w:rsid w:val="002F02B3"/>
    <w:rsid w:val="002F043A"/>
    <w:rsid w:val="002F0445"/>
    <w:rsid w:val="002F0497"/>
    <w:rsid w:val="002F054A"/>
    <w:rsid w:val="002F0693"/>
    <w:rsid w:val="002F07ED"/>
    <w:rsid w:val="002F08CB"/>
    <w:rsid w:val="002F0935"/>
    <w:rsid w:val="002F0C8F"/>
    <w:rsid w:val="002F0C90"/>
    <w:rsid w:val="002F0CAB"/>
    <w:rsid w:val="002F0D64"/>
    <w:rsid w:val="002F0E94"/>
    <w:rsid w:val="002F0EEF"/>
    <w:rsid w:val="002F0F5E"/>
    <w:rsid w:val="002F11B3"/>
    <w:rsid w:val="002F1287"/>
    <w:rsid w:val="002F129A"/>
    <w:rsid w:val="002F12F2"/>
    <w:rsid w:val="002F1397"/>
    <w:rsid w:val="002F1588"/>
    <w:rsid w:val="002F167D"/>
    <w:rsid w:val="002F16CC"/>
    <w:rsid w:val="002F16EF"/>
    <w:rsid w:val="002F18A1"/>
    <w:rsid w:val="002F18DC"/>
    <w:rsid w:val="002F1912"/>
    <w:rsid w:val="002F1A0D"/>
    <w:rsid w:val="002F1E51"/>
    <w:rsid w:val="002F1E57"/>
    <w:rsid w:val="002F1EE4"/>
    <w:rsid w:val="002F1F17"/>
    <w:rsid w:val="002F1FE7"/>
    <w:rsid w:val="002F2012"/>
    <w:rsid w:val="002F2126"/>
    <w:rsid w:val="002F21C2"/>
    <w:rsid w:val="002F2230"/>
    <w:rsid w:val="002F22DC"/>
    <w:rsid w:val="002F2448"/>
    <w:rsid w:val="002F2479"/>
    <w:rsid w:val="002F24E0"/>
    <w:rsid w:val="002F254A"/>
    <w:rsid w:val="002F2619"/>
    <w:rsid w:val="002F2693"/>
    <w:rsid w:val="002F26F1"/>
    <w:rsid w:val="002F2926"/>
    <w:rsid w:val="002F2960"/>
    <w:rsid w:val="002F2981"/>
    <w:rsid w:val="002F29C7"/>
    <w:rsid w:val="002F2A74"/>
    <w:rsid w:val="002F2DE2"/>
    <w:rsid w:val="002F2E04"/>
    <w:rsid w:val="002F2E0D"/>
    <w:rsid w:val="002F2E14"/>
    <w:rsid w:val="002F2F4D"/>
    <w:rsid w:val="002F31F7"/>
    <w:rsid w:val="002F322C"/>
    <w:rsid w:val="002F3289"/>
    <w:rsid w:val="002F32BB"/>
    <w:rsid w:val="002F34F5"/>
    <w:rsid w:val="002F35FE"/>
    <w:rsid w:val="002F364A"/>
    <w:rsid w:val="002F3836"/>
    <w:rsid w:val="002F38A2"/>
    <w:rsid w:val="002F3BD1"/>
    <w:rsid w:val="002F3BE4"/>
    <w:rsid w:val="002F3D42"/>
    <w:rsid w:val="002F3E82"/>
    <w:rsid w:val="002F3E84"/>
    <w:rsid w:val="002F3F84"/>
    <w:rsid w:val="002F3FB4"/>
    <w:rsid w:val="002F4057"/>
    <w:rsid w:val="002F40F2"/>
    <w:rsid w:val="002F413D"/>
    <w:rsid w:val="002F4161"/>
    <w:rsid w:val="002F41B9"/>
    <w:rsid w:val="002F4326"/>
    <w:rsid w:val="002F4381"/>
    <w:rsid w:val="002F45CB"/>
    <w:rsid w:val="002F46B5"/>
    <w:rsid w:val="002F46BD"/>
    <w:rsid w:val="002F4820"/>
    <w:rsid w:val="002F4913"/>
    <w:rsid w:val="002F4938"/>
    <w:rsid w:val="002F4B0E"/>
    <w:rsid w:val="002F4BE0"/>
    <w:rsid w:val="002F4DC8"/>
    <w:rsid w:val="002F4E8A"/>
    <w:rsid w:val="002F4EB0"/>
    <w:rsid w:val="002F4EC6"/>
    <w:rsid w:val="002F4F79"/>
    <w:rsid w:val="002F4F88"/>
    <w:rsid w:val="002F4FF2"/>
    <w:rsid w:val="002F50F3"/>
    <w:rsid w:val="002F5216"/>
    <w:rsid w:val="002F5339"/>
    <w:rsid w:val="002F5397"/>
    <w:rsid w:val="002F53AD"/>
    <w:rsid w:val="002F53B5"/>
    <w:rsid w:val="002F53D3"/>
    <w:rsid w:val="002F54C7"/>
    <w:rsid w:val="002F5561"/>
    <w:rsid w:val="002F567A"/>
    <w:rsid w:val="002F5717"/>
    <w:rsid w:val="002F5731"/>
    <w:rsid w:val="002F57E1"/>
    <w:rsid w:val="002F587A"/>
    <w:rsid w:val="002F588B"/>
    <w:rsid w:val="002F5914"/>
    <w:rsid w:val="002F5AC9"/>
    <w:rsid w:val="002F5B48"/>
    <w:rsid w:val="002F5CE6"/>
    <w:rsid w:val="002F5D83"/>
    <w:rsid w:val="002F5D9A"/>
    <w:rsid w:val="002F5DBD"/>
    <w:rsid w:val="002F5EA9"/>
    <w:rsid w:val="002F5ECC"/>
    <w:rsid w:val="002F5F24"/>
    <w:rsid w:val="002F5F74"/>
    <w:rsid w:val="002F6008"/>
    <w:rsid w:val="002F6134"/>
    <w:rsid w:val="002F6176"/>
    <w:rsid w:val="002F6228"/>
    <w:rsid w:val="002F6307"/>
    <w:rsid w:val="002F6419"/>
    <w:rsid w:val="002F6440"/>
    <w:rsid w:val="002F644B"/>
    <w:rsid w:val="002F6452"/>
    <w:rsid w:val="002F666D"/>
    <w:rsid w:val="002F6682"/>
    <w:rsid w:val="002F66C5"/>
    <w:rsid w:val="002F678F"/>
    <w:rsid w:val="002F67A7"/>
    <w:rsid w:val="002F6836"/>
    <w:rsid w:val="002F68AF"/>
    <w:rsid w:val="002F6905"/>
    <w:rsid w:val="002F6918"/>
    <w:rsid w:val="002F69B6"/>
    <w:rsid w:val="002F6A0A"/>
    <w:rsid w:val="002F6AAA"/>
    <w:rsid w:val="002F6AAB"/>
    <w:rsid w:val="002F6B0E"/>
    <w:rsid w:val="002F6B9E"/>
    <w:rsid w:val="002F6CAE"/>
    <w:rsid w:val="002F6D9F"/>
    <w:rsid w:val="002F6E12"/>
    <w:rsid w:val="002F6E9E"/>
    <w:rsid w:val="002F6F01"/>
    <w:rsid w:val="002F6F26"/>
    <w:rsid w:val="002F7064"/>
    <w:rsid w:val="002F7158"/>
    <w:rsid w:val="002F71FB"/>
    <w:rsid w:val="002F739D"/>
    <w:rsid w:val="002F7470"/>
    <w:rsid w:val="002F74ED"/>
    <w:rsid w:val="002F75CE"/>
    <w:rsid w:val="002F783B"/>
    <w:rsid w:val="002F7B37"/>
    <w:rsid w:val="002F7BA1"/>
    <w:rsid w:val="002F7BFE"/>
    <w:rsid w:val="002F7C86"/>
    <w:rsid w:val="002F7ED6"/>
    <w:rsid w:val="002F7F42"/>
    <w:rsid w:val="003001BE"/>
    <w:rsid w:val="003001D6"/>
    <w:rsid w:val="00300214"/>
    <w:rsid w:val="003002F7"/>
    <w:rsid w:val="00300389"/>
    <w:rsid w:val="0030073C"/>
    <w:rsid w:val="00300787"/>
    <w:rsid w:val="00300ABB"/>
    <w:rsid w:val="00300B91"/>
    <w:rsid w:val="00300D5A"/>
    <w:rsid w:val="00300D71"/>
    <w:rsid w:val="00300E99"/>
    <w:rsid w:val="00300F7E"/>
    <w:rsid w:val="0030108B"/>
    <w:rsid w:val="00301128"/>
    <w:rsid w:val="00301226"/>
    <w:rsid w:val="003012C8"/>
    <w:rsid w:val="003012FC"/>
    <w:rsid w:val="00301347"/>
    <w:rsid w:val="00301519"/>
    <w:rsid w:val="00301553"/>
    <w:rsid w:val="00301597"/>
    <w:rsid w:val="0030166F"/>
    <w:rsid w:val="00301754"/>
    <w:rsid w:val="00301880"/>
    <w:rsid w:val="00301A6F"/>
    <w:rsid w:val="00301A93"/>
    <w:rsid w:val="00301ADB"/>
    <w:rsid w:val="00301CBA"/>
    <w:rsid w:val="00301DEA"/>
    <w:rsid w:val="00301E76"/>
    <w:rsid w:val="00301F1C"/>
    <w:rsid w:val="00301FCD"/>
    <w:rsid w:val="003020CE"/>
    <w:rsid w:val="0030211C"/>
    <w:rsid w:val="00302158"/>
    <w:rsid w:val="003021CA"/>
    <w:rsid w:val="00302270"/>
    <w:rsid w:val="00302302"/>
    <w:rsid w:val="0030239C"/>
    <w:rsid w:val="0030244E"/>
    <w:rsid w:val="003025AA"/>
    <w:rsid w:val="00302606"/>
    <w:rsid w:val="003026BA"/>
    <w:rsid w:val="003026C5"/>
    <w:rsid w:val="0030272A"/>
    <w:rsid w:val="003027C4"/>
    <w:rsid w:val="00302836"/>
    <w:rsid w:val="0030285E"/>
    <w:rsid w:val="0030292B"/>
    <w:rsid w:val="00302993"/>
    <w:rsid w:val="003029D5"/>
    <w:rsid w:val="003029E7"/>
    <w:rsid w:val="00302A05"/>
    <w:rsid w:val="00302B05"/>
    <w:rsid w:val="00302B1D"/>
    <w:rsid w:val="00302D20"/>
    <w:rsid w:val="00302FA4"/>
    <w:rsid w:val="00303111"/>
    <w:rsid w:val="00303245"/>
    <w:rsid w:val="003032AF"/>
    <w:rsid w:val="00303357"/>
    <w:rsid w:val="0030336A"/>
    <w:rsid w:val="00303428"/>
    <w:rsid w:val="00303493"/>
    <w:rsid w:val="00303568"/>
    <w:rsid w:val="003035CA"/>
    <w:rsid w:val="00303683"/>
    <w:rsid w:val="003036ED"/>
    <w:rsid w:val="00303822"/>
    <w:rsid w:val="0030388A"/>
    <w:rsid w:val="003038C6"/>
    <w:rsid w:val="003038E7"/>
    <w:rsid w:val="00303992"/>
    <w:rsid w:val="00303A79"/>
    <w:rsid w:val="00303BD7"/>
    <w:rsid w:val="00303E1F"/>
    <w:rsid w:val="00303FE2"/>
    <w:rsid w:val="0030403F"/>
    <w:rsid w:val="003040B2"/>
    <w:rsid w:val="00304171"/>
    <w:rsid w:val="0030420F"/>
    <w:rsid w:val="0030433F"/>
    <w:rsid w:val="003044B0"/>
    <w:rsid w:val="00304573"/>
    <w:rsid w:val="003045ED"/>
    <w:rsid w:val="00304627"/>
    <w:rsid w:val="0030465A"/>
    <w:rsid w:val="003046B5"/>
    <w:rsid w:val="003047E8"/>
    <w:rsid w:val="003047F7"/>
    <w:rsid w:val="00304ADE"/>
    <w:rsid w:val="00304B92"/>
    <w:rsid w:val="00304C30"/>
    <w:rsid w:val="00304D39"/>
    <w:rsid w:val="00304E05"/>
    <w:rsid w:val="00304E9F"/>
    <w:rsid w:val="00304EDB"/>
    <w:rsid w:val="00304EFD"/>
    <w:rsid w:val="00304FC4"/>
    <w:rsid w:val="003053FD"/>
    <w:rsid w:val="003055FB"/>
    <w:rsid w:val="00305631"/>
    <w:rsid w:val="00305802"/>
    <w:rsid w:val="00305965"/>
    <w:rsid w:val="0030598E"/>
    <w:rsid w:val="003059B6"/>
    <w:rsid w:val="00305A0C"/>
    <w:rsid w:val="00305AB8"/>
    <w:rsid w:val="00305CDD"/>
    <w:rsid w:val="00305D3E"/>
    <w:rsid w:val="0030601B"/>
    <w:rsid w:val="003060D7"/>
    <w:rsid w:val="003060EC"/>
    <w:rsid w:val="00306145"/>
    <w:rsid w:val="003061D7"/>
    <w:rsid w:val="0030621E"/>
    <w:rsid w:val="0030622D"/>
    <w:rsid w:val="00306286"/>
    <w:rsid w:val="003062BE"/>
    <w:rsid w:val="003063E9"/>
    <w:rsid w:val="003064CB"/>
    <w:rsid w:val="003065AE"/>
    <w:rsid w:val="00306703"/>
    <w:rsid w:val="00306727"/>
    <w:rsid w:val="00306910"/>
    <w:rsid w:val="0030693A"/>
    <w:rsid w:val="003069C9"/>
    <w:rsid w:val="00306A51"/>
    <w:rsid w:val="00306AD7"/>
    <w:rsid w:val="00306C10"/>
    <w:rsid w:val="00306CA0"/>
    <w:rsid w:val="00306D08"/>
    <w:rsid w:val="00306E3B"/>
    <w:rsid w:val="00306E8E"/>
    <w:rsid w:val="00306ECB"/>
    <w:rsid w:val="00306F3F"/>
    <w:rsid w:val="00306FB1"/>
    <w:rsid w:val="00307022"/>
    <w:rsid w:val="0030724B"/>
    <w:rsid w:val="0030724F"/>
    <w:rsid w:val="00307313"/>
    <w:rsid w:val="00307455"/>
    <w:rsid w:val="003074D5"/>
    <w:rsid w:val="0030754C"/>
    <w:rsid w:val="003077E9"/>
    <w:rsid w:val="0030782E"/>
    <w:rsid w:val="00307856"/>
    <w:rsid w:val="00307885"/>
    <w:rsid w:val="00307950"/>
    <w:rsid w:val="00307990"/>
    <w:rsid w:val="00307A78"/>
    <w:rsid w:val="00307A99"/>
    <w:rsid w:val="00307D82"/>
    <w:rsid w:val="00307DD8"/>
    <w:rsid w:val="00307E22"/>
    <w:rsid w:val="00307E60"/>
    <w:rsid w:val="003100F1"/>
    <w:rsid w:val="0031017E"/>
    <w:rsid w:val="00310227"/>
    <w:rsid w:val="00310337"/>
    <w:rsid w:val="00310363"/>
    <w:rsid w:val="003103B2"/>
    <w:rsid w:val="00310668"/>
    <w:rsid w:val="00310738"/>
    <w:rsid w:val="003107DC"/>
    <w:rsid w:val="00310969"/>
    <w:rsid w:val="00310C97"/>
    <w:rsid w:val="00310CC6"/>
    <w:rsid w:val="00310D7B"/>
    <w:rsid w:val="00310E5B"/>
    <w:rsid w:val="00310EBA"/>
    <w:rsid w:val="00310F11"/>
    <w:rsid w:val="00310F85"/>
    <w:rsid w:val="00311029"/>
    <w:rsid w:val="003110EC"/>
    <w:rsid w:val="003110F9"/>
    <w:rsid w:val="00311261"/>
    <w:rsid w:val="003112A7"/>
    <w:rsid w:val="003113C1"/>
    <w:rsid w:val="0031142E"/>
    <w:rsid w:val="00311478"/>
    <w:rsid w:val="003114FA"/>
    <w:rsid w:val="00311555"/>
    <w:rsid w:val="003115B7"/>
    <w:rsid w:val="00311650"/>
    <w:rsid w:val="00311796"/>
    <w:rsid w:val="003117B8"/>
    <w:rsid w:val="00311A39"/>
    <w:rsid w:val="00311A77"/>
    <w:rsid w:val="00311C7D"/>
    <w:rsid w:val="00311CBA"/>
    <w:rsid w:val="00311CF7"/>
    <w:rsid w:val="00311DCC"/>
    <w:rsid w:val="00311E36"/>
    <w:rsid w:val="00312096"/>
    <w:rsid w:val="003120C9"/>
    <w:rsid w:val="00312115"/>
    <w:rsid w:val="00312225"/>
    <w:rsid w:val="003122DE"/>
    <w:rsid w:val="0031245D"/>
    <w:rsid w:val="003125A5"/>
    <w:rsid w:val="003126A2"/>
    <w:rsid w:val="0031275A"/>
    <w:rsid w:val="00312789"/>
    <w:rsid w:val="003127D5"/>
    <w:rsid w:val="003128DD"/>
    <w:rsid w:val="00312A81"/>
    <w:rsid w:val="00312AA6"/>
    <w:rsid w:val="00312B45"/>
    <w:rsid w:val="00312B77"/>
    <w:rsid w:val="00312F8C"/>
    <w:rsid w:val="00312FA1"/>
    <w:rsid w:val="00313009"/>
    <w:rsid w:val="0031313D"/>
    <w:rsid w:val="00313294"/>
    <w:rsid w:val="003132CB"/>
    <w:rsid w:val="00313526"/>
    <w:rsid w:val="0031356E"/>
    <w:rsid w:val="00313695"/>
    <w:rsid w:val="00313739"/>
    <w:rsid w:val="0031397D"/>
    <w:rsid w:val="00313A34"/>
    <w:rsid w:val="00313AF0"/>
    <w:rsid w:val="00313B4F"/>
    <w:rsid w:val="00313BBF"/>
    <w:rsid w:val="00313C91"/>
    <w:rsid w:val="00313D93"/>
    <w:rsid w:val="00313FEA"/>
    <w:rsid w:val="00314094"/>
    <w:rsid w:val="00314111"/>
    <w:rsid w:val="00314142"/>
    <w:rsid w:val="003141F7"/>
    <w:rsid w:val="00314226"/>
    <w:rsid w:val="00314276"/>
    <w:rsid w:val="00314308"/>
    <w:rsid w:val="0031460B"/>
    <w:rsid w:val="00314634"/>
    <w:rsid w:val="00314669"/>
    <w:rsid w:val="0031479E"/>
    <w:rsid w:val="003147FE"/>
    <w:rsid w:val="00314825"/>
    <w:rsid w:val="00314A14"/>
    <w:rsid w:val="00314B33"/>
    <w:rsid w:val="00314BC2"/>
    <w:rsid w:val="00314CE3"/>
    <w:rsid w:val="00314EFA"/>
    <w:rsid w:val="003151C6"/>
    <w:rsid w:val="003154CD"/>
    <w:rsid w:val="003154FD"/>
    <w:rsid w:val="003157F6"/>
    <w:rsid w:val="003157FD"/>
    <w:rsid w:val="00315925"/>
    <w:rsid w:val="00315963"/>
    <w:rsid w:val="003159C3"/>
    <w:rsid w:val="00315A6D"/>
    <w:rsid w:val="00315AEC"/>
    <w:rsid w:val="00315B1D"/>
    <w:rsid w:val="00315BEF"/>
    <w:rsid w:val="00315C95"/>
    <w:rsid w:val="00315D4A"/>
    <w:rsid w:val="00315ECB"/>
    <w:rsid w:val="0031606D"/>
    <w:rsid w:val="00316099"/>
    <w:rsid w:val="003160F2"/>
    <w:rsid w:val="00316234"/>
    <w:rsid w:val="0031632D"/>
    <w:rsid w:val="003163BD"/>
    <w:rsid w:val="003163FB"/>
    <w:rsid w:val="003164EC"/>
    <w:rsid w:val="00316634"/>
    <w:rsid w:val="0031678A"/>
    <w:rsid w:val="0031697F"/>
    <w:rsid w:val="00316A65"/>
    <w:rsid w:val="00316A66"/>
    <w:rsid w:val="00316AA0"/>
    <w:rsid w:val="00316B5C"/>
    <w:rsid w:val="00316B9D"/>
    <w:rsid w:val="00316CD7"/>
    <w:rsid w:val="00316D08"/>
    <w:rsid w:val="00316DF2"/>
    <w:rsid w:val="00316EB1"/>
    <w:rsid w:val="00316F84"/>
    <w:rsid w:val="00317256"/>
    <w:rsid w:val="0031725B"/>
    <w:rsid w:val="0031726A"/>
    <w:rsid w:val="003172AA"/>
    <w:rsid w:val="003172B0"/>
    <w:rsid w:val="0031740B"/>
    <w:rsid w:val="00317446"/>
    <w:rsid w:val="00317477"/>
    <w:rsid w:val="00317479"/>
    <w:rsid w:val="00317541"/>
    <w:rsid w:val="0031759E"/>
    <w:rsid w:val="003175EE"/>
    <w:rsid w:val="00317623"/>
    <w:rsid w:val="003176A0"/>
    <w:rsid w:val="003176E2"/>
    <w:rsid w:val="003177FC"/>
    <w:rsid w:val="00317896"/>
    <w:rsid w:val="003178E7"/>
    <w:rsid w:val="003179E4"/>
    <w:rsid w:val="003179F7"/>
    <w:rsid w:val="00317ACF"/>
    <w:rsid w:val="00317B89"/>
    <w:rsid w:val="00317BA2"/>
    <w:rsid w:val="00317BE9"/>
    <w:rsid w:val="00317C9E"/>
    <w:rsid w:val="00317EB6"/>
    <w:rsid w:val="00317F89"/>
    <w:rsid w:val="00317FA4"/>
    <w:rsid w:val="00317FF9"/>
    <w:rsid w:val="00320023"/>
    <w:rsid w:val="00320045"/>
    <w:rsid w:val="003200CF"/>
    <w:rsid w:val="003200F2"/>
    <w:rsid w:val="003202A4"/>
    <w:rsid w:val="003202E5"/>
    <w:rsid w:val="00320362"/>
    <w:rsid w:val="00320383"/>
    <w:rsid w:val="0032038A"/>
    <w:rsid w:val="003204D8"/>
    <w:rsid w:val="0032072A"/>
    <w:rsid w:val="0032086B"/>
    <w:rsid w:val="00320883"/>
    <w:rsid w:val="00320AB4"/>
    <w:rsid w:val="00320B04"/>
    <w:rsid w:val="00320B37"/>
    <w:rsid w:val="00320B64"/>
    <w:rsid w:val="00320BB3"/>
    <w:rsid w:val="00320C2E"/>
    <w:rsid w:val="00320E2B"/>
    <w:rsid w:val="00320EB9"/>
    <w:rsid w:val="00320FB8"/>
    <w:rsid w:val="00321020"/>
    <w:rsid w:val="003210DD"/>
    <w:rsid w:val="00321223"/>
    <w:rsid w:val="003212DA"/>
    <w:rsid w:val="0032138D"/>
    <w:rsid w:val="003213C5"/>
    <w:rsid w:val="00321440"/>
    <w:rsid w:val="0032145F"/>
    <w:rsid w:val="0032153E"/>
    <w:rsid w:val="003215F2"/>
    <w:rsid w:val="003216A3"/>
    <w:rsid w:val="003217A7"/>
    <w:rsid w:val="003217D5"/>
    <w:rsid w:val="00321A13"/>
    <w:rsid w:val="00321A1B"/>
    <w:rsid w:val="00321A6C"/>
    <w:rsid w:val="00321A86"/>
    <w:rsid w:val="00321B01"/>
    <w:rsid w:val="00321B30"/>
    <w:rsid w:val="00321B5C"/>
    <w:rsid w:val="00321CB7"/>
    <w:rsid w:val="00321D14"/>
    <w:rsid w:val="00321D2B"/>
    <w:rsid w:val="00321D5D"/>
    <w:rsid w:val="00321E77"/>
    <w:rsid w:val="00321F1E"/>
    <w:rsid w:val="00322021"/>
    <w:rsid w:val="0032205F"/>
    <w:rsid w:val="0032218A"/>
    <w:rsid w:val="003221BA"/>
    <w:rsid w:val="003221C8"/>
    <w:rsid w:val="003223D2"/>
    <w:rsid w:val="003224BF"/>
    <w:rsid w:val="0032257D"/>
    <w:rsid w:val="003225D4"/>
    <w:rsid w:val="00322764"/>
    <w:rsid w:val="003227A2"/>
    <w:rsid w:val="00322A91"/>
    <w:rsid w:val="00322ABE"/>
    <w:rsid w:val="00322B59"/>
    <w:rsid w:val="00322C38"/>
    <w:rsid w:val="00322E3F"/>
    <w:rsid w:val="00322E55"/>
    <w:rsid w:val="00322E8B"/>
    <w:rsid w:val="00322FD5"/>
    <w:rsid w:val="00323013"/>
    <w:rsid w:val="00323111"/>
    <w:rsid w:val="00323163"/>
    <w:rsid w:val="00323182"/>
    <w:rsid w:val="00323216"/>
    <w:rsid w:val="00323237"/>
    <w:rsid w:val="0032343B"/>
    <w:rsid w:val="0032350A"/>
    <w:rsid w:val="00323524"/>
    <w:rsid w:val="003237B9"/>
    <w:rsid w:val="0032385F"/>
    <w:rsid w:val="003238A8"/>
    <w:rsid w:val="00323A1A"/>
    <w:rsid w:val="00323B19"/>
    <w:rsid w:val="00323B5B"/>
    <w:rsid w:val="00323BA7"/>
    <w:rsid w:val="00323BCF"/>
    <w:rsid w:val="00323C03"/>
    <w:rsid w:val="00323C1E"/>
    <w:rsid w:val="00323C8D"/>
    <w:rsid w:val="00323CB4"/>
    <w:rsid w:val="00323D57"/>
    <w:rsid w:val="00323D72"/>
    <w:rsid w:val="00323E61"/>
    <w:rsid w:val="00323F64"/>
    <w:rsid w:val="00323FAC"/>
    <w:rsid w:val="00324003"/>
    <w:rsid w:val="00324076"/>
    <w:rsid w:val="0032416A"/>
    <w:rsid w:val="003241A3"/>
    <w:rsid w:val="003241F8"/>
    <w:rsid w:val="0032423F"/>
    <w:rsid w:val="0032441C"/>
    <w:rsid w:val="0032455B"/>
    <w:rsid w:val="003245FE"/>
    <w:rsid w:val="00324677"/>
    <w:rsid w:val="00324686"/>
    <w:rsid w:val="0032478F"/>
    <w:rsid w:val="00324791"/>
    <w:rsid w:val="0032485C"/>
    <w:rsid w:val="0032496B"/>
    <w:rsid w:val="00324A74"/>
    <w:rsid w:val="00324ADE"/>
    <w:rsid w:val="00324B77"/>
    <w:rsid w:val="00324C13"/>
    <w:rsid w:val="00324C4A"/>
    <w:rsid w:val="00324C72"/>
    <w:rsid w:val="00324D63"/>
    <w:rsid w:val="00324E0E"/>
    <w:rsid w:val="00324EAD"/>
    <w:rsid w:val="00324FC4"/>
    <w:rsid w:val="00325000"/>
    <w:rsid w:val="0032516E"/>
    <w:rsid w:val="0032519F"/>
    <w:rsid w:val="0032532A"/>
    <w:rsid w:val="0032564B"/>
    <w:rsid w:val="003256ED"/>
    <w:rsid w:val="003257B3"/>
    <w:rsid w:val="00325909"/>
    <w:rsid w:val="00325A6E"/>
    <w:rsid w:val="00325B87"/>
    <w:rsid w:val="00325C42"/>
    <w:rsid w:val="00325C61"/>
    <w:rsid w:val="00325CD5"/>
    <w:rsid w:val="00325DA2"/>
    <w:rsid w:val="00325FBF"/>
    <w:rsid w:val="00325FDA"/>
    <w:rsid w:val="00326003"/>
    <w:rsid w:val="003260DC"/>
    <w:rsid w:val="00326219"/>
    <w:rsid w:val="003262DF"/>
    <w:rsid w:val="003263DA"/>
    <w:rsid w:val="003263FF"/>
    <w:rsid w:val="00326440"/>
    <w:rsid w:val="00326493"/>
    <w:rsid w:val="003265A6"/>
    <w:rsid w:val="003265C2"/>
    <w:rsid w:val="00326644"/>
    <w:rsid w:val="0032672C"/>
    <w:rsid w:val="0032674E"/>
    <w:rsid w:val="003267FC"/>
    <w:rsid w:val="00326B66"/>
    <w:rsid w:val="00326BAE"/>
    <w:rsid w:val="00326E26"/>
    <w:rsid w:val="00326F75"/>
    <w:rsid w:val="00327051"/>
    <w:rsid w:val="00327189"/>
    <w:rsid w:val="0032729F"/>
    <w:rsid w:val="003272F5"/>
    <w:rsid w:val="003277B0"/>
    <w:rsid w:val="003277C5"/>
    <w:rsid w:val="0032788A"/>
    <w:rsid w:val="00327940"/>
    <w:rsid w:val="00327B1C"/>
    <w:rsid w:val="00327BB0"/>
    <w:rsid w:val="00327C2C"/>
    <w:rsid w:val="00327D09"/>
    <w:rsid w:val="00327D87"/>
    <w:rsid w:val="00327E59"/>
    <w:rsid w:val="00327EB0"/>
    <w:rsid w:val="00327FA7"/>
    <w:rsid w:val="00330111"/>
    <w:rsid w:val="003301DD"/>
    <w:rsid w:val="00330591"/>
    <w:rsid w:val="003305E7"/>
    <w:rsid w:val="0033062D"/>
    <w:rsid w:val="0033063C"/>
    <w:rsid w:val="00330737"/>
    <w:rsid w:val="00330741"/>
    <w:rsid w:val="00330755"/>
    <w:rsid w:val="00330826"/>
    <w:rsid w:val="00330842"/>
    <w:rsid w:val="00330965"/>
    <w:rsid w:val="00330B35"/>
    <w:rsid w:val="00330C23"/>
    <w:rsid w:val="00330E3D"/>
    <w:rsid w:val="00330EDA"/>
    <w:rsid w:val="00330F07"/>
    <w:rsid w:val="00330F3C"/>
    <w:rsid w:val="00330FAD"/>
    <w:rsid w:val="00331002"/>
    <w:rsid w:val="0033104E"/>
    <w:rsid w:val="003310A0"/>
    <w:rsid w:val="00331101"/>
    <w:rsid w:val="00331134"/>
    <w:rsid w:val="003311C6"/>
    <w:rsid w:val="00331391"/>
    <w:rsid w:val="003315D8"/>
    <w:rsid w:val="00331608"/>
    <w:rsid w:val="00331959"/>
    <w:rsid w:val="0033197D"/>
    <w:rsid w:val="00331A60"/>
    <w:rsid w:val="00331C11"/>
    <w:rsid w:val="00331CFC"/>
    <w:rsid w:val="00331F43"/>
    <w:rsid w:val="00331F61"/>
    <w:rsid w:val="00331FB6"/>
    <w:rsid w:val="003320EE"/>
    <w:rsid w:val="003321AA"/>
    <w:rsid w:val="00332230"/>
    <w:rsid w:val="00332251"/>
    <w:rsid w:val="00332365"/>
    <w:rsid w:val="00332512"/>
    <w:rsid w:val="00332573"/>
    <w:rsid w:val="00332894"/>
    <w:rsid w:val="00332977"/>
    <w:rsid w:val="00332AB6"/>
    <w:rsid w:val="00332AC4"/>
    <w:rsid w:val="00332BC8"/>
    <w:rsid w:val="00332C5B"/>
    <w:rsid w:val="00332DE8"/>
    <w:rsid w:val="00333110"/>
    <w:rsid w:val="00333416"/>
    <w:rsid w:val="0033344A"/>
    <w:rsid w:val="00333486"/>
    <w:rsid w:val="003334F0"/>
    <w:rsid w:val="003334FD"/>
    <w:rsid w:val="00333524"/>
    <w:rsid w:val="0033353E"/>
    <w:rsid w:val="003335B1"/>
    <w:rsid w:val="0033362D"/>
    <w:rsid w:val="003338B9"/>
    <w:rsid w:val="00333902"/>
    <w:rsid w:val="0033390D"/>
    <w:rsid w:val="003339D7"/>
    <w:rsid w:val="00333A76"/>
    <w:rsid w:val="00333AA4"/>
    <w:rsid w:val="00333AF0"/>
    <w:rsid w:val="00333C02"/>
    <w:rsid w:val="00333D11"/>
    <w:rsid w:val="00333F34"/>
    <w:rsid w:val="003340AE"/>
    <w:rsid w:val="003341D5"/>
    <w:rsid w:val="003342CD"/>
    <w:rsid w:val="00334479"/>
    <w:rsid w:val="00334554"/>
    <w:rsid w:val="00334643"/>
    <w:rsid w:val="00334732"/>
    <w:rsid w:val="00334858"/>
    <w:rsid w:val="00334904"/>
    <w:rsid w:val="00334A4F"/>
    <w:rsid w:val="00334AD5"/>
    <w:rsid w:val="00334C92"/>
    <w:rsid w:val="00334D19"/>
    <w:rsid w:val="00334F10"/>
    <w:rsid w:val="0033501C"/>
    <w:rsid w:val="00335373"/>
    <w:rsid w:val="003353B2"/>
    <w:rsid w:val="00335407"/>
    <w:rsid w:val="003354F0"/>
    <w:rsid w:val="0033554E"/>
    <w:rsid w:val="00335674"/>
    <w:rsid w:val="00335727"/>
    <w:rsid w:val="00335792"/>
    <w:rsid w:val="003357B8"/>
    <w:rsid w:val="00335885"/>
    <w:rsid w:val="00335922"/>
    <w:rsid w:val="0033592E"/>
    <w:rsid w:val="00335B69"/>
    <w:rsid w:val="00335B81"/>
    <w:rsid w:val="00335C9E"/>
    <w:rsid w:val="00335D2F"/>
    <w:rsid w:val="00335D4C"/>
    <w:rsid w:val="00335E5A"/>
    <w:rsid w:val="00335E69"/>
    <w:rsid w:val="0033607E"/>
    <w:rsid w:val="0033614B"/>
    <w:rsid w:val="0033617D"/>
    <w:rsid w:val="00336226"/>
    <w:rsid w:val="0033629D"/>
    <w:rsid w:val="00336368"/>
    <w:rsid w:val="003364D5"/>
    <w:rsid w:val="003365B5"/>
    <w:rsid w:val="00336674"/>
    <w:rsid w:val="003366E2"/>
    <w:rsid w:val="00336849"/>
    <w:rsid w:val="00336858"/>
    <w:rsid w:val="00336868"/>
    <w:rsid w:val="00336A1C"/>
    <w:rsid w:val="00336E3D"/>
    <w:rsid w:val="00336E9D"/>
    <w:rsid w:val="0033728D"/>
    <w:rsid w:val="00337384"/>
    <w:rsid w:val="0033746D"/>
    <w:rsid w:val="003374F9"/>
    <w:rsid w:val="003375F3"/>
    <w:rsid w:val="00337661"/>
    <w:rsid w:val="0033766A"/>
    <w:rsid w:val="003376E9"/>
    <w:rsid w:val="00337706"/>
    <w:rsid w:val="003377BA"/>
    <w:rsid w:val="00337984"/>
    <w:rsid w:val="003379C1"/>
    <w:rsid w:val="003379E1"/>
    <w:rsid w:val="003379F2"/>
    <w:rsid w:val="00337B86"/>
    <w:rsid w:val="00337BFE"/>
    <w:rsid w:val="00337D52"/>
    <w:rsid w:val="00337D6D"/>
    <w:rsid w:val="00337E96"/>
    <w:rsid w:val="003400B0"/>
    <w:rsid w:val="00340230"/>
    <w:rsid w:val="003402D8"/>
    <w:rsid w:val="0034052C"/>
    <w:rsid w:val="003405F7"/>
    <w:rsid w:val="0034063A"/>
    <w:rsid w:val="003406E2"/>
    <w:rsid w:val="00340771"/>
    <w:rsid w:val="00340857"/>
    <w:rsid w:val="0034087A"/>
    <w:rsid w:val="00340891"/>
    <w:rsid w:val="00340948"/>
    <w:rsid w:val="00340A1B"/>
    <w:rsid w:val="00340A57"/>
    <w:rsid w:val="00340BAD"/>
    <w:rsid w:val="00340BF1"/>
    <w:rsid w:val="00340CC3"/>
    <w:rsid w:val="00340D8E"/>
    <w:rsid w:val="00340DAE"/>
    <w:rsid w:val="00340DFE"/>
    <w:rsid w:val="00340E53"/>
    <w:rsid w:val="0034111B"/>
    <w:rsid w:val="003413AA"/>
    <w:rsid w:val="003413CF"/>
    <w:rsid w:val="00341639"/>
    <w:rsid w:val="003416E2"/>
    <w:rsid w:val="0034170A"/>
    <w:rsid w:val="0034175F"/>
    <w:rsid w:val="003417FE"/>
    <w:rsid w:val="003418A6"/>
    <w:rsid w:val="003418AF"/>
    <w:rsid w:val="0034191A"/>
    <w:rsid w:val="00341987"/>
    <w:rsid w:val="003419B2"/>
    <w:rsid w:val="00341B08"/>
    <w:rsid w:val="00341C52"/>
    <w:rsid w:val="00341C87"/>
    <w:rsid w:val="00341C91"/>
    <w:rsid w:val="00341CBE"/>
    <w:rsid w:val="00341D4D"/>
    <w:rsid w:val="00341EAB"/>
    <w:rsid w:val="00341F10"/>
    <w:rsid w:val="00341FE6"/>
    <w:rsid w:val="00341FEB"/>
    <w:rsid w:val="00342012"/>
    <w:rsid w:val="00342089"/>
    <w:rsid w:val="003420E5"/>
    <w:rsid w:val="0034218E"/>
    <w:rsid w:val="0034220C"/>
    <w:rsid w:val="0034228F"/>
    <w:rsid w:val="0034236A"/>
    <w:rsid w:val="003423BC"/>
    <w:rsid w:val="003423E6"/>
    <w:rsid w:val="00342404"/>
    <w:rsid w:val="00342637"/>
    <w:rsid w:val="00342B5C"/>
    <w:rsid w:val="00342B6F"/>
    <w:rsid w:val="00342F5A"/>
    <w:rsid w:val="00342F9E"/>
    <w:rsid w:val="00343061"/>
    <w:rsid w:val="0034315D"/>
    <w:rsid w:val="0034343B"/>
    <w:rsid w:val="003434AB"/>
    <w:rsid w:val="0034371E"/>
    <w:rsid w:val="00343A22"/>
    <w:rsid w:val="00343A82"/>
    <w:rsid w:val="00343AFF"/>
    <w:rsid w:val="00343BA7"/>
    <w:rsid w:val="00343C42"/>
    <w:rsid w:val="00343DC8"/>
    <w:rsid w:val="00343F64"/>
    <w:rsid w:val="00343F82"/>
    <w:rsid w:val="003440E0"/>
    <w:rsid w:val="00344182"/>
    <w:rsid w:val="003441CB"/>
    <w:rsid w:val="0034428E"/>
    <w:rsid w:val="003442B0"/>
    <w:rsid w:val="003442BA"/>
    <w:rsid w:val="003443EF"/>
    <w:rsid w:val="00344435"/>
    <w:rsid w:val="0034447E"/>
    <w:rsid w:val="0034456A"/>
    <w:rsid w:val="003445D3"/>
    <w:rsid w:val="003445D9"/>
    <w:rsid w:val="003445F6"/>
    <w:rsid w:val="00344674"/>
    <w:rsid w:val="0034474B"/>
    <w:rsid w:val="00344885"/>
    <w:rsid w:val="00344890"/>
    <w:rsid w:val="003448D0"/>
    <w:rsid w:val="003448EC"/>
    <w:rsid w:val="00344A4F"/>
    <w:rsid w:val="00344BCB"/>
    <w:rsid w:val="00344C98"/>
    <w:rsid w:val="00344DB4"/>
    <w:rsid w:val="00344EBF"/>
    <w:rsid w:val="00344FA6"/>
    <w:rsid w:val="00345063"/>
    <w:rsid w:val="00345082"/>
    <w:rsid w:val="00345138"/>
    <w:rsid w:val="00345169"/>
    <w:rsid w:val="0034539C"/>
    <w:rsid w:val="003456CC"/>
    <w:rsid w:val="0034576A"/>
    <w:rsid w:val="003457C8"/>
    <w:rsid w:val="00345901"/>
    <w:rsid w:val="00345946"/>
    <w:rsid w:val="00345958"/>
    <w:rsid w:val="00345A79"/>
    <w:rsid w:val="00345A7B"/>
    <w:rsid w:val="00345B38"/>
    <w:rsid w:val="00345C4D"/>
    <w:rsid w:val="00345CAD"/>
    <w:rsid w:val="00345CCD"/>
    <w:rsid w:val="00345D83"/>
    <w:rsid w:val="00345DC4"/>
    <w:rsid w:val="00345E35"/>
    <w:rsid w:val="00345EAC"/>
    <w:rsid w:val="00346048"/>
    <w:rsid w:val="003461A5"/>
    <w:rsid w:val="00346258"/>
    <w:rsid w:val="003463AA"/>
    <w:rsid w:val="00346411"/>
    <w:rsid w:val="003464E9"/>
    <w:rsid w:val="00346504"/>
    <w:rsid w:val="003465A2"/>
    <w:rsid w:val="00346802"/>
    <w:rsid w:val="00346861"/>
    <w:rsid w:val="00346877"/>
    <w:rsid w:val="00346960"/>
    <w:rsid w:val="00346974"/>
    <w:rsid w:val="003469FD"/>
    <w:rsid w:val="00346A0B"/>
    <w:rsid w:val="00346B00"/>
    <w:rsid w:val="00346B35"/>
    <w:rsid w:val="00346BF8"/>
    <w:rsid w:val="00346D40"/>
    <w:rsid w:val="00346E8E"/>
    <w:rsid w:val="00346F83"/>
    <w:rsid w:val="00346FCB"/>
    <w:rsid w:val="00346FCF"/>
    <w:rsid w:val="00347121"/>
    <w:rsid w:val="00347219"/>
    <w:rsid w:val="003474BC"/>
    <w:rsid w:val="003474CB"/>
    <w:rsid w:val="00347661"/>
    <w:rsid w:val="003476EF"/>
    <w:rsid w:val="00347711"/>
    <w:rsid w:val="00347777"/>
    <w:rsid w:val="003477D2"/>
    <w:rsid w:val="003478BD"/>
    <w:rsid w:val="00347985"/>
    <w:rsid w:val="00347B75"/>
    <w:rsid w:val="00347CED"/>
    <w:rsid w:val="00347D3C"/>
    <w:rsid w:val="00347E46"/>
    <w:rsid w:val="00347F26"/>
    <w:rsid w:val="00347FD5"/>
    <w:rsid w:val="00350020"/>
    <w:rsid w:val="003503D4"/>
    <w:rsid w:val="00350404"/>
    <w:rsid w:val="00350465"/>
    <w:rsid w:val="00350650"/>
    <w:rsid w:val="003506C9"/>
    <w:rsid w:val="00350716"/>
    <w:rsid w:val="003507F3"/>
    <w:rsid w:val="0035081E"/>
    <w:rsid w:val="00350924"/>
    <w:rsid w:val="003509A9"/>
    <w:rsid w:val="00350A57"/>
    <w:rsid w:val="00350AC1"/>
    <w:rsid w:val="00350AE3"/>
    <w:rsid w:val="00350B41"/>
    <w:rsid w:val="00350C90"/>
    <w:rsid w:val="00350CE7"/>
    <w:rsid w:val="00350CFF"/>
    <w:rsid w:val="00350D3C"/>
    <w:rsid w:val="00350EFA"/>
    <w:rsid w:val="00350F25"/>
    <w:rsid w:val="00350F5E"/>
    <w:rsid w:val="00350F9E"/>
    <w:rsid w:val="003510C2"/>
    <w:rsid w:val="00351244"/>
    <w:rsid w:val="0035134A"/>
    <w:rsid w:val="00351467"/>
    <w:rsid w:val="003514A2"/>
    <w:rsid w:val="003514B4"/>
    <w:rsid w:val="003514E7"/>
    <w:rsid w:val="00351559"/>
    <w:rsid w:val="00351637"/>
    <w:rsid w:val="003516C9"/>
    <w:rsid w:val="0035174D"/>
    <w:rsid w:val="003517AD"/>
    <w:rsid w:val="003517C5"/>
    <w:rsid w:val="003518D2"/>
    <w:rsid w:val="00351A18"/>
    <w:rsid w:val="00351A30"/>
    <w:rsid w:val="00351CA9"/>
    <w:rsid w:val="00351D53"/>
    <w:rsid w:val="00351DAE"/>
    <w:rsid w:val="00351E68"/>
    <w:rsid w:val="00351EEB"/>
    <w:rsid w:val="00351FF9"/>
    <w:rsid w:val="00352049"/>
    <w:rsid w:val="00352151"/>
    <w:rsid w:val="0035219B"/>
    <w:rsid w:val="003521AE"/>
    <w:rsid w:val="003522B1"/>
    <w:rsid w:val="003522E3"/>
    <w:rsid w:val="00352453"/>
    <w:rsid w:val="00352518"/>
    <w:rsid w:val="0035264F"/>
    <w:rsid w:val="00352673"/>
    <w:rsid w:val="00352819"/>
    <w:rsid w:val="003528AC"/>
    <w:rsid w:val="0035292D"/>
    <w:rsid w:val="0035293D"/>
    <w:rsid w:val="0035298B"/>
    <w:rsid w:val="00352A2B"/>
    <w:rsid w:val="00352AB7"/>
    <w:rsid w:val="00352C55"/>
    <w:rsid w:val="00352CFE"/>
    <w:rsid w:val="00352DC5"/>
    <w:rsid w:val="00352E6C"/>
    <w:rsid w:val="00352EB6"/>
    <w:rsid w:val="00352F35"/>
    <w:rsid w:val="00352F60"/>
    <w:rsid w:val="00352F84"/>
    <w:rsid w:val="003530A7"/>
    <w:rsid w:val="00353607"/>
    <w:rsid w:val="0035360A"/>
    <w:rsid w:val="00353737"/>
    <w:rsid w:val="003537CA"/>
    <w:rsid w:val="003538D8"/>
    <w:rsid w:val="003538E9"/>
    <w:rsid w:val="003539C8"/>
    <w:rsid w:val="00353CF3"/>
    <w:rsid w:val="00353D6E"/>
    <w:rsid w:val="00354026"/>
    <w:rsid w:val="00354214"/>
    <w:rsid w:val="003542BA"/>
    <w:rsid w:val="003543A5"/>
    <w:rsid w:val="00354414"/>
    <w:rsid w:val="003545A2"/>
    <w:rsid w:val="0035472C"/>
    <w:rsid w:val="003547BC"/>
    <w:rsid w:val="003547DB"/>
    <w:rsid w:val="00354861"/>
    <w:rsid w:val="00354907"/>
    <w:rsid w:val="0035490C"/>
    <w:rsid w:val="00354A1F"/>
    <w:rsid w:val="00354ABE"/>
    <w:rsid w:val="00354C5A"/>
    <w:rsid w:val="00354C5E"/>
    <w:rsid w:val="00354D33"/>
    <w:rsid w:val="00354F06"/>
    <w:rsid w:val="00354F66"/>
    <w:rsid w:val="00355033"/>
    <w:rsid w:val="003550AF"/>
    <w:rsid w:val="003551D8"/>
    <w:rsid w:val="0035521B"/>
    <w:rsid w:val="003556F1"/>
    <w:rsid w:val="003558FE"/>
    <w:rsid w:val="00355929"/>
    <w:rsid w:val="00355951"/>
    <w:rsid w:val="0035598D"/>
    <w:rsid w:val="00355AE0"/>
    <w:rsid w:val="00355B0F"/>
    <w:rsid w:val="00355B90"/>
    <w:rsid w:val="00355BDF"/>
    <w:rsid w:val="00355C00"/>
    <w:rsid w:val="00355C78"/>
    <w:rsid w:val="00355D76"/>
    <w:rsid w:val="00355E38"/>
    <w:rsid w:val="00355EBC"/>
    <w:rsid w:val="00355F91"/>
    <w:rsid w:val="00355FE1"/>
    <w:rsid w:val="00355FE5"/>
    <w:rsid w:val="00356044"/>
    <w:rsid w:val="00356068"/>
    <w:rsid w:val="003560C0"/>
    <w:rsid w:val="00356243"/>
    <w:rsid w:val="003562A4"/>
    <w:rsid w:val="00356326"/>
    <w:rsid w:val="00356338"/>
    <w:rsid w:val="00356406"/>
    <w:rsid w:val="003565DE"/>
    <w:rsid w:val="00356639"/>
    <w:rsid w:val="003566C8"/>
    <w:rsid w:val="00356795"/>
    <w:rsid w:val="003567B9"/>
    <w:rsid w:val="0035688E"/>
    <w:rsid w:val="00356930"/>
    <w:rsid w:val="003569FC"/>
    <w:rsid w:val="00356AD1"/>
    <w:rsid w:val="00356AD4"/>
    <w:rsid w:val="00356BD7"/>
    <w:rsid w:val="00356C7F"/>
    <w:rsid w:val="00356D07"/>
    <w:rsid w:val="00356D08"/>
    <w:rsid w:val="00356D19"/>
    <w:rsid w:val="00356D53"/>
    <w:rsid w:val="00356FD1"/>
    <w:rsid w:val="00357077"/>
    <w:rsid w:val="00357153"/>
    <w:rsid w:val="00357259"/>
    <w:rsid w:val="00357269"/>
    <w:rsid w:val="003572B8"/>
    <w:rsid w:val="00357399"/>
    <w:rsid w:val="003573A1"/>
    <w:rsid w:val="003575AC"/>
    <w:rsid w:val="003577C6"/>
    <w:rsid w:val="0035794D"/>
    <w:rsid w:val="00357995"/>
    <w:rsid w:val="003579F0"/>
    <w:rsid w:val="00357A0E"/>
    <w:rsid w:val="00357BA1"/>
    <w:rsid w:val="00357C4D"/>
    <w:rsid w:val="00357D01"/>
    <w:rsid w:val="00357D19"/>
    <w:rsid w:val="00357D3C"/>
    <w:rsid w:val="00357D55"/>
    <w:rsid w:val="00357E4A"/>
    <w:rsid w:val="00357F4E"/>
    <w:rsid w:val="003601EE"/>
    <w:rsid w:val="0036021B"/>
    <w:rsid w:val="003602EB"/>
    <w:rsid w:val="0036037E"/>
    <w:rsid w:val="0036047A"/>
    <w:rsid w:val="003604B8"/>
    <w:rsid w:val="00360568"/>
    <w:rsid w:val="0036063A"/>
    <w:rsid w:val="0036069D"/>
    <w:rsid w:val="003606EB"/>
    <w:rsid w:val="003608A6"/>
    <w:rsid w:val="003608C0"/>
    <w:rsid w:val="003608D3"/>
    <w:rsid w:val="00360D80"/>
    <w:rsid w:val="00360F48"/>
    <w:rsid w:val="00360FAD"/>
    <w:rsid w:val="00360FFC"/>
    <w:rsid w:val="003611EA"/>
    <w:rsid w:val="00361220"/>
    <w:rsid w:val="0036130D"/>
    <w:rsid w:val="0036134E"/>
    <w:rsid w:val="003613A5"/>
    <w:rsid w:val="003613A9"/>
    <w:rsid w:val="003613D9"/>
    <w:rsid w:val="003614F4"/>
    <w:rsid w:val="00361510"/>
    <w:rsid w:val="00361652"/>
    <w:rsid w:val="003619F8"/>
    <w:rsid w:val="00361A04"/>
    <w:rsid w:val="00361A10"/>
    <w:rsid w:val="00361A2F"/>
    <w:rsid w:val="00361C60"/>
    <w:rsid w:val="00361CD4"/>
    <w:rsid w:val="00361E77"/>
    <w:rsid w:val="00362127"/>
    <w:rsid w:val="003621B6"/>
    <w:rsid w:val="003622D6"/>
    <w:rsid w:val="0036232B"/>
    <w:rsid w:val="00362471"/>
    <w:rsid w:val="003624DA"/>
    <w:rsid w:val="00362526"/>
    <w:rsid w:val="00362546"/>
    <w:rsid w:val="00362558"/>
    <w:rsid w:val="0036256C"/>
    <w:rsid w:val="0036257E"/>
    <w:rsid w:val="0036267F"/>
    <w:rsid w:val="003627C2"/>
    <w:rsid w:val="0036285E"/>
    <w:rsid w:val="003629DA"/>
    <w:rsid w:val="00362AF1"/>
    <w:rsid w:val="00362B39"/>
    <w:rsid w:val="00362B61"/>
    <w:rsid w:val="00362B6B"/>
    <w:rsid w:val="00362BF2"/>
    <w:rsid w:val="00362C08"/>
    <w:rsid w:val="00362E6D"/>
    <w:rsid w:val="00362FE7"/>
    <w:rsid w:val="00362FE9"/>
    <w:rsid w:val="0036309C"/>
    <w:rsid w:val="003630EB"/>
    <w:rsid w:val="0036318E"/>
    <w:rsid w:val="00363193"/>
    <w:rsid w:val="0036327E"/>
    <w:rsid w:val="00363583"/>
    <w:rsid w:val="00363600"/>
    <w:rsid w:val="003637C8"/>
    <w:rsid w:val="00363865"/>
    <w:rsid w:val="00363946"/>
    <w:rsid w:val="00363A15"/>
    <w:rsid w:val="00363A2F"/>
    <w:rsid w:val="00363A60"/>
    <w:rsid w:val="00363AA9"/>
    <w:rsid w:val="00363B84"/>
    <w:rsid w:val="00363BF6"/>
    <w:rsid w:val="00363D03"/>
    <w:rsid w:val="00363DDF"/>
    <w:rsid w:val="00363F70"/>
    <w:rsid w:val="00364018"/>
    <w:rsid w:val="0036402B"/>
    <w:rsid w:val="00364185"/>
    <w:rsid w:val="00364339"/>
    <w:rsid w:val="00364526"/>
    <w:rsid w:val="003645CB"/>
    <w:rsid w:val="0036488D"/>
    <w:rsid w:val="00364898"/>
    <w:rsid w:val="003648ED"/>
    <w:rsid w:val="00364941"/>
    <w:rsid w:val="00364959"/>
    <w:rsid w:val="0036497D"/>
    <w:rsid w:val="00364A0C"/>
    <w:rsid w:val="00364A1B"/>
    <w:rsid w:val="00364ACA"/>
    <w:rsid w:val="00364AF8"/>
    <w:rsid w:val="00364E12"/>
    <w:rsid w:val="00364E2B"/>
    <w:rsid w:val="00364E73"/>
    <w:rsid w:val="00364EF9"/>
    <w:rsid w:val="0036502A"/>
    <w:rsid w:val="00365229"/>
    <w:rsid w:val="0036536D"/>
    <w:rsid w:val="00365370"/>
    <w:rsid w:val="0036538F"/>
    <w:rsid w:val="003653C9"/>
    <w:rsid w:val="003653EC"/>
    <w:rsid w:val="0036546C"/>
    <w:rsid w:val="003654AC"/>
    <w:rsid w:val="00365540"/>
    <w:rsid w:val="00365578"/>
    <w:rsid w:val="00365613"/>
    <w:rsid w:val="003656C5"/>
    <w:rsid w:val="00365778"/>
    <w:rsid w:val="0036595B"/>
    <w:rsid w:val="00365A04"/>
    <w:rsid w:val="00365B3C"/>
    <w:rsid w:val="00365B4D"/>
    <w:rsid w:val="00365B9A"/>
    <w:rsid w:val="00365F53"/>
    <w:rsid w:val="0036602D"/>
    <w:rsid w:val="003660F8"/>
    <w:rsid w:val="0036628F"/>
    <w:rsid w:val="00366394"/>
    <w:rsid w:val="003664D3"/>
    <w:rsid w:val="003664FF"/>
    <w:rsid w:val="00366550"/>
    <w:rsid w:val="00366575"/>
    <w:rsid w:val="00366647"/>
    <w:rsid w:val="003666CC"/>
    <w:rsid w:val="003668A5"/>
    <w:rsid w:val="003668E7"/>
    <w:rsid w:val="003669E5"/>
    <w:rsid w:val="00366AF0"/>
    <w:rsid w:val="00366C6A"/>
    <w:rsid w:val="00366CC9"/>
    <w:rsid w:val="00366CD8"/>
    <w:rsid w:val="00366D5D"/>
    <w:rsid w:val="00366FD7"/>
    <w:rsid w:val="0036703B"/>
    <w:rsid w:val="00367042"/>
    <w:rsid w:val="0036706F"/>
    <w:rsid w:val="0036720A"/>
    <w:rsid w:val="003672EA"/>
    <w:rsid w:val="0036747A"/>
    <w:rsid w:val="0036749D"/>
    <w:rsid w:val="00367624"/>
    <w:rsid w:val="00367698"/>
    <w:rsid w:val="00367704"/>
    <w:rsid w:val="0036770A"/>
    <w:rsid w:val="00367719"/>
    <w:rsid w:val="003677D5"/>
    <w:rsid w:val="003677DC"/>
    <w:rsid w:val="00367806"/>
    <w:rsid w:val="003678F7"/>
    <w:rsid w:val="0036794D"/>
    <w:rsid w:val="0036796A"/>
    <w:rsid w:val="003679AA"/>
    <w:rsid w:val="003679CA"/>
    <w:rsid w:val="00367A86"/>
    <w:rsid w:val="00367AE7"/>
    <w:rsid w:val="00367B9F"/>
    <w:rsid w:val="00367CFD"/>
    <w:rsid w:val="00367E11"/>
    <w:rsid w:val="00367F36"/>
    <w:rsid w:val="00370060"/>
    <w:rsid w:val="003700A9"/>
    <w:rsid w:val="0037013A"/>
    <w:rsid w:val="00370520"/>
    <w:rsid w:val="003705A4"/>
    <w:rsid w:val="00370642"/>
    <w:rsid w:val="003706FB"/>
    <w:rsid w:val="00370883"/>
    <w:rsid w:val="003708BC"/>
    <w:rsid w:val="003708FA"/>
    <w:rsid w:val="00370A3D"/>
    <w:rsid w:val="00370AAE"/>
    <w:rsid w:val="00370C75"/>
    <w:rsid w:val="00370C7F"/>
    <w:rsid w:val="00370D1B"/>
    <w:rsid w:val="00370DFA"/>
    <w:rsid w:val="00370F3A"/>
    <w:rsid w:val="0037109C"/>
    <w:rsid w:val="003710F6"/>
    <w:rsid w:val="0037110B"/>
    <w:rsid w:val="00371125"/>
    <w:rsid w:val="00371253"/>
    <w:rsid w:val="003713D5"/>
    <w:rsid w:val="0037176C"/>
    <w:rsid w:val="0037184F"/>
    <w:rsid w:val="003718BE"/>
    <w:rsid w:val="003718E2"/>
    <w:rsid w:val="00371BAE"/>
    <w:rsid w:val="00371BF0"/>
    <w:rsid w:val="00371CAF"/>
    <w:rsid w:val="00371E52"/>
    <w:rsid w:val="00371F97"/>
    <w:rsid w:val="003721D0"/>
    <w:rsid w:val="003722D8"/>
    <w:rsid w:val="00372333"/>
    <w:rsid w:val="003724A2"/>
    <w:rsid w:val="00372543"/>
    <w:rsid w:val="00372593"/>
    <w:rsid w:val="00372632"/>
    <w:rsid w:val="00372722"/>
    <w:rsid w:val="00372931"/>
    <w:rsid w:val="0037295E"/>
    <w:rsid w:val="00372B18"/>
    <w:rsid w:val="00372BC2"/>
    <w:rsid w:val="00372C5F"/>
    <w:rsid w:val="00372D07"/>
    <w:rsid w:val="00372DA2"/>
    <w:rsid w:val="00372DAA"/>
    <w:rsid w:val="00372DB9"/>
    <w:rsid w:val="00372DD3"/>
    <w:rsid w:val="00372E1C"/>
    <w:rsid w:val="00372E23"/>
    <w:rsid w:val="00372ED7"/>
    <w:rsid w:val="00372FBB"/>
    <w:rsid w:val="00373105"/>
    <w:rsid w:val="003732B2"/>
    <w:rsid w:val="003732FD"/>
    <w:rsid w:val="0037332D"/>
    <w:rsid w:val="0037336F"/>
    <w:rsid w:val="003733DC"/>
    <w:rsid w:val="003738A0"/>
    <w:rsid w:val="003738B2"/>
    <w:rsid w:val="0037396C"/>
    <w:rsid w:val="00373A22"/>
    <w:rsid w:val="00373A68"/>
    <w:rsid w:val="00373B56"/>
    <w:rsid w:val="00373B79"/>
    <w:rsid w:val="00373D49"/>
    <w:rsid w:val="0037402E"/>
    <w:rsid w:val="00374071"/>
    <w:rsid w:val="0037420C"/>
    <w:rsid w:val="0037427C"/>
    <w:rsid w:val="003742A3"/>
    <w:rsid w:val="00374323"/>
    <w:rsid w:val="00374577"/>
    <w:rsid w:val="003745E5"/>
    <w:rsid w:val="00374777"/>
    <w:rsid w:val="00374AD0"/>
    <w:rsid w:val="00374B02"/>
    <w:rsid w:val="00374D4C"/>
    <w:rsid w:val="00374DD7"/>
    <w:rsid w:val="00374EE8"/>
    <w:rsid w:val="00375001"/>
    <w:rsid w:val="00375048"/>
    <w:rsid w:val="003750F6"/>
    <w:rsid w:val="0037510D"/>
    <w:rsid w:val="003752F0"/>
    <w:rsid w:val="00375343"/>
    <w:rsid w:val="00375361"/>
    <w:rsid w:val="003753F7"/>
    <w:rsid w:val="003755DA"/>
    <w:rsid w:val="003756C3"/>
    <w:rsid w:val="003757F5"/>
    <w:rsid w:val="0037581F"/>
    <w:rsid w:val="00375849"/>
    <w:rsid w:val="003758A5"/>
    <w:rsid w:val="003758E0"/>
    <w:rsid w:val="003758F6"/>
    <w:rsid w:val="00375A0B"/>
    <w:rsid w:val="00375A32"/>
    <w:rsid w:val="00375A37"/>
    <w:rsid w:val="00375ADB"/>
    <w:rsid w:val="00375B4F"/>
    <w:rsid w:val="00375B6C"/>
    <w:rsid w:val="00375B7F"/>
    <w:rsid w:val="00375C44"/>
    <w:rsid w:val="00375C6C"/>
    <w:rsid w:val="00375FCC"/>
    <w:rsid w:val="0037614E"/>
    <w:rsid w:val="00376352"/>
    <w:rsid w:val="00376418"/>
    <w:rsid w:val="003764D8"/>
    <w:rsid w:val="00376555"/>
    <w:rsid w:val="003766B1"/>
    <w:rsid w:val="003766DC"/>
    <w:rsid w:val="0037670D"/>
    <w:rsid w:val="0037673D"/>
    <w:rsid w:val="00376789"/>
    <w:rsid w:val="00376833"/>
    <w:rsid w:val="00376869"/>
    <w:rsid w:val="0037699C"/>
    <w:rsid w:val="003769DC"/>
    <w:rsid w:val="00376A53"/>
    <w:rsid w:val="00376A76"/>
    <w:rsid w:val="00376A84"/>
    <w:rsid w:val="00376BC8"/>
    <w:rsid w:val="00376C6F"/>
    <w:rsid w:val="00376CAB"/>
    <w:rsid w:val="00376D24"/>
    <w:rsid w:val="00376E2D"/>
    <w:rsid w:val="00376F1F"/>
    <w:rsid w:val="00376F62"/>
    <w:rsid w:val="00376F7F"/>
    <w:rsid w:val="00376FA3"/>
    <w:rsid w:val="0037701D"/>
    <w:rsid w:val="00377057"/>
    <w:rsid w:val="00377085"/>
    <w:rsid w:val="00377257"/>
    <w:rsid w:val="00377265"/>
    <w:rsid w:val="003773AF"/>
    <w:rsid w:val="003774D4"/>
    <w:rsid w:val="00377539"/>
    <w:rsid w:val="00377626"/>
    <w:rsid w:val="003776CF"/>
    <w:rsid w:val="00377734"/>
    <w:rsid w:val="003779CF"/>
    <w:rsid w:val="00377AFC"/>
    <w:rsid w:val="00377C4D"/>
    <w:rsid w:val="00377D44"/>
    <w:rsid w:val="00377EE7"/>
    <w:rsid w:val="00377F07"/>
    <w:rsid w:val="00377F35"/>
    <w:rsid w:val="00380113"/>
    <w:rsid w:val="00380198"/>
    <w:rsid w:val="003801DB"/>
    <w:rsid w:val="0038022A"/>
    <w:rsid w:val="00380275"/>
    <w:rsid w:val="00380335"/>
    <w:rsid w:val="00380371"/>
    <w:rsid w:val="003803F6"/>
    <w:rsid w:val="00380544"/>
    <w:rsid w:val="0038057C"/>
    <w:rsid w:val="00380731"/>
    <w:rsid w:val="00380852"/>
    <w:rsid w:val="00380885"/>
    <w:rsid w:val="003808BC"/>
    <w:rsid w:val="003808D1"/>
    <w:rsid w:val="00380963"/>
    <w:rsid w:val="00380A7B"/>
    <w:rsid w:val="00380A7C"/>
    <w:rsid w:val="00380A8D"/>
    <w:rsid w:val="00380A95"/>
    <w:rsid w:val="00380C4B"/>
    <w:rsid w:val="00380CF9"/>
    <w:rsid w:val="00380E3B"/>
    <w:rsid w:val="00380F2B"/>
    <w:rsid w:val="00380F34"/>
    <w:rsid w:val="00380FB1"/>
    <w:rsid w:val="0038109D"/>
    <w:rsid w:val="0038116F"/>
    <w:rsid w:val="00381232"/>
    <w:rsid w:val="0038124B"/>
    <w:rsid w:val="00381342"/>
    <w:rsid w:val="0038136D"/>
    <w:rsid w:val="0038138B"/>
    <w:rsid w:val="00381456"/>
    <w:rsid w:val="00381492"/>
    <w:rsid w:val="003814BC"/>
    <w:rsid w:val="00381563"/>
    <w:rsid w:val="00381660"/>
    <w:rsid w:val="0038178C"/>
    <w:rsid w:val="003819C4"/>
    <w:rsid w:val="00381BB2"/>
    <w:rsid w:val="00381C3B"/>
    <w:rsid w:val="00381D65"/>
    <w:rsid w:val="00381E11"/>
    <w:rsid w:val="00381F0F"/>
    <w:rsid w:val="00381F11"/>
    <w:rsid w:val="00381FD2"/>
    <w:rsid w:val="00381FE0"/>
    <w:rsid w:val="00382025"/>
    <w:rsid w:val="003821B2"/>
    <w:rsid w:val="003821DE"/>
    <w:rsid w:val="00382203"/>
    <w:rsid w:val="0038223D"/>
    <w:rsid w:val="00382352"/>
    <w:rsid w:val="00382474"/>
    <w:rsid w:val="00382668"/>
    <w:rsid w:val="00382799"/>
    <w:rsid w:val="0038291E"/>
    <w:rsid w:val="00382B76"/>
    <w:rsid w:val="00382C7D"/>
    <w:rsid w:val="00382DD4"/>
    <w:rsid w:val="003830DC"/>
    <w:rsid w:val="0038313F"/>
    <w:rsid w:val="00383249"/>
    <w:rsid w:val="00383273"/>
    <w:rsid w:val="00383338"/>
    <w:rsid w:val="00383409"/>
    <w:rsid w:val="0038342F"/>
    <w:rsid w:val="003834AB"/>
    <w:rsid w:val="003834E2"/>
    <w:rsid w:val="00383603"/>
    <w:rsid w:val="003836BA"/>
    <w:rsid w:val="003836C8"/>
    <w:rsid w:val="00383708"/>
    <w:rsid w:val="00383778"/>
    <w:rsid w:val="003838E3"/>
    <w:rsid w:val="00383A21"/>
    <w:rsid w:val="00383ADE"/>
    <w:rsid w:val="00383C1E"/>
    <w:rsid w:val="00383CC3"/>
    <w:rsid w:val="00383D1B"/>
    <w:rsid w:val="00383E2A"/>
    <w:rsid w:val="00383E51"/>
    <w:rsid w:val="00383E7D"/>
    <w:rsid w:val="00383F75"/>
    <w:rsid w:val="00383FD8"/>
    <w:rsid w:val="003840D6"/>
    <w:rsid w:val="00384207"/>
    <w:rsid w:val="00384242"/>
    <w:rsid w:val="00384267"/>
    <w:rsid w:val="00384295"/>
    <w:rsid w:val="003843E7"/>
    <w:rsid w:val="00384453"/>
    <w:rsid w:val="003844A1"/>
    <w:rsid w:val="00384512"/>
    <w:rsid w:val="0038457C"/>
    <w:rsid w:val="003845B6"/>
    <w:rsid w:val="003845F4"/>
    <w:rsid w:val="00384674"/>
    <w:rsid w:val="00384686"/>
    <w:rsid w:val="003846AF"/>
    <w:rsid w:val="003847A6"/>
    <w:rsid w:val="00384937"/>
    <w:rsid w:val="00384AFB"/>
    <w:rsid w:val="00384B87"/>
    <w:rsid w:val="00384C66"/>
    <w:rsid w:val="00384CB6"/>
    <w:rsid w:val="00384CCF"/>
    <w:rsid w:val="00384D2B"/>
    <w:rsid w:val="00384D47"/>
    <w:rsid w:val="00384DA0"/>
    <w:rsid w:val="00384EEB"/>
    <w:rsid w:val="00384F39"/>
    <w:rsid w:val="00384F76"/>
    <w:rsid w:val="00384FFF"/>
    <w:rsid w:val="0038500A"/>
    <w:rsid w:val="003850E5"/>
    <w:rsid w:val="003850F6"/>
    <w:rsid w:val="003851A9"/>
    <w:rsid w:val="00385242"/>
    <w:rsid w:val="003852A7"/>
    <w:rsid w:val="00385374"/>
    <w:rsid w:val="00385387"/>
    <w:rsid w:val="003853CC"/>
    <w:rsid w:val="003853F1"/>
    <w:rsid w:val="00385513"/>
    <w:rsid w:val="00385545"/>
    <w:rsid w:val="00385617"/>
    <w:rsid w:val="00385649"/>
    <w:rsid w:val="00385677"/>
    <w:rsid w:val="003856AF"/>
    <w:rsid w:val="003857DE"/>
    <w:rsid w:val="003857E6"/>
    <w:rsid w:val="00385866"/>
    <w:rsid w:val="00385A1B"/>
    <w:rsid w:val="00385A61"/>
    <w:rsid w:val="00385AD7"/>
    <w:rsid w:val="00385B21"/>
    <w:rsid w:val="00385C71"/>
    <w:rsid w:val="00385E5D"/>
    <w:rsid w:val="00385FA9"/>
    <w:rsid w:val="00386005"/>
    <w:rsid w:val="00386052"/>
    <w:rsid w:val="0038612E"/>
    <w:rsid w:val="00386175"/>
    <w:rsid w:val="0038625E"/>
    <w:rsid w:val="003862BB"/>
    <w:rsid w:val="00386311"/>
    <w:rsid w:val="00386393"/>
    <w:rsid w:val="003863F7"/>
    <w:rsid w:val="003864DE"/>
    <w:rsid w:val="0038667A"/>
    <w:rsid w:val="00386685"/>
    <w:rsid w:val="003866C8"/>
    <w:rsid w:val="0038674F"/>
    <w:rsid w:val="00386940"/>
    <w:rsid w:val="00386A90"/>
    <w:rsid w:val="00386A9C"/>
    <w:rsid w:val="00386D6E"/>
    <w:rsid w:val="00386DC6"/>
    <w:rsid w:val="00387129"/>
    <w:rsid w:val="0038720C"/>
    <w:rsid w:val="0038723D"/>
    <w:rsid w:val="00387259"/>
    <w:rsid w:val="003872E2"/>
    <w:rsid w:val="00387674"/>
    <w:rsid w:val="0038767D"/>
    <w:rsid w:val="00387792"/>
    <w:rsid w:val="003877F6"/>
    <w:rsid w:val="0038784D"/>
    <w:rsid w:val="00387871"/>
    <w:rsid w:val="00387979"/>
    <w:rsid w:val="003879F8"/>
    <w:rsid w:val="00387A95"/>
    <w:rsid w:val="00387BB9"/>
    <w:rsid w:val="00387C18"/>
    <w:rsid w:val="00387D06"/>
    <w:rsid w:val="00387D3B"/>
    <w:rsid w:val="00390030"/>
    <w:rsid w:val="00390049"/>
    <w:rsid w:val="0039007A"/>
    <w:rsid w:val="00390177"/>
    <w:rsid w:val="00390225"/>
    <w:rsid w:val="00390235"/>
    <w:rsid w:val="00390250"/>
    <w:rsid w:val="00390278"/>
    <w:rsid w:val="003902BA"/>
    <w:rsid w:val="003902DC"/>
    <w:rsid w:val="003904E8"/>
    <w:rsid w:val="003906F9"/>
    <w:rsid w:val="0039072A"/>
    <w:rsid w:val="0039078D"/>
    <w:rsid w:val="003907C6"/>
    <w:rsid w:val="003907D7"/>
    <w:rsid w:val="0039080C"/>
    <w:rsid w:val="00390DB8"/>
    <w:rsid w:val="00390E22"/>
    <w:rsid w:val="00390E3C"/>
    <w:rsid w:val="00390FD6"/>
    <w:rsid w:val="0039106A"/>
    <w:rsid w:val="003910A7"/>
    <w:rsid w:val="00391169"/>
    <w:rsid w:val="00391175"/>
    <w:rsid w:val="003911AA"/>
    <w:rsid w:val="00391201"/>
    <w:rsid w:val="003912E7"/>
    <w:rsid w:val="0039137C"/>
    <w:rsid w:val="003914B2"/>
    <w:rsid w:val="003914B3"/>
    <w:rsid w:val="003914B8"/>
    <w:rsid w:val="003915E4"/>
    <w:rsid w:val="0039171A"/>
    <w:rsid w:val="00391804"/>
    <w:rsid w:val="00391825"/>
    <w:rsid w:val="00391875"/>
    <w:rsid w:val="003918B4"/>
    <w:rsid w:val="003918FF"/>
    <w:rsid w:val="00391944"/>
    <w:rsid w:val="00391A57"/>
    <w:rsid w:val="00391A7B"/>
    <w:rsid w:val="00391B2D"/>
    <w:rsid w:val="00391B61"/>
    <w:rsid w:val="00391BBD"/>
    <w:rsid w:val="00391BE9"/>
    <w:rsid w:val="00391C49"/>
    <w:rsid w:val="00391C65"/>
    <w:rsid w:val="00391D75"/>
    <w:rsid w:val="00391DFF"/>
    <w:rsid w:val="00392190"/>
    <w:rsid w:val="0039221D"/>
    <w:rsid w:val="00392269"/>
    <w:rsid w:val="003923E5"/>
    <w:rsid w:val="003924E2"/>
    <w:rsid w:val="00392566"/>
    <w:rsid w:val="0039271E"/>
    <w:rsid w:val="0039287B"/>
    <w:rsid w:val="00392904"/>
    <w:rsid w:val="0039292B"/>
    <w:rsid w:val="003929F5"/>
    <w:rsid w:val="00392C5D"/>
    <w:rsid w:val="00392C7C"/>
    <w:rsid w:val="00392E65"/>
    <w:rsid w:val="00393014"/>
    <w:rsid w:val="003930D3"/>
    <w:rsid w:val="00393247"/>
    <w:rsid w:val="003934B7"/>
    <w:rsid w:val="00393696"/>
    <w:rsid w:val="003936E8"/>
    <w:rsid w:val="003936F6"/>
    <w:rsid w:val="00393857"/>
    <w:rsid w:val="00393863"/>
    <w:rsid w:val="0039396C"/>
    <w:rsid w:val="003939A8"/>
    <w:rsid w:val="003939F5"/>
    <w:rsid w:val="00393A51"/>
    <w:rsid w:val="00393AA8"/>
    <w:rsid w:val="00393B3D"/>
    <w:rsid w:val="00393CC9"/>
    <w:rsid w:val="00393D70"/>
    <w:rsid w:val="00393E28"/>
    <w:rsid w:val="00393F37"/>
    <w:rsid w:val="00393FBD"/>
    <w:rsid w:val="00393FE3"/>
    <w:rsid w:val="003940B0"/>
    <w:rsid w:val="003941CF"/>
    <w:rsid w:val="00394288"/>
    <w:rsid w:val="003944B0"/>
    <w:rsid w:val="00394744"/>
    <w:rsid w:val="003948B7"/>
    <w:rsid w:val="00394932"/>
    <w:rsid w:val="003949E8"/>
    <w:rsid w:val="00394A24"/>
    <w:rsid w:val="00394ABD"/>
    <w:rsid w:val="00394B34"/>
    <w:rsid w:val="00394CAB"/>
    <w:rsid w:val="00394CD3"/>
    <w:rsid w:val="00394D28"/>
    <w:rsid w:val="00394D6B"/>
    <w:rsid w:val="00394D73"/>
    <w:rsid w:val="00394DB0"/>
    <w:rsid w:val="00394E68"/>
    <w:rsid w:val="00395006"/>
    <w:rsid w:val="0039500E"/>
    <w:rsid w:val="003950A9"/>
    <w:rsid w:val="003950B0"/>
    <w:rsid w:val="003951C5"/>
    <w:rsid w:val="0039548F"/>
    <w:rsid w:val="003955BC"/>
    <w:rsid w:val="003955BD"/>
    <w:rsid w:val="0039561D"/>
    <w:rsid w:val="00395764"/>
    <w:rsid w:val="003957E9"/>
    <w:rsid w:val="003957F9"/>
    <w:rsid w:val="0039588D"/>
    <w:rsid w:val="003958F9"/>
    <w:rsid w:val="00395AE5"/>
    <w:rsid w:val="00395B10"/>
    <w:rsid w:val="00395B5A"/>
    <w:rsid w:val="00395BA1"/>
    <w:rsid w:val="00395BB2"/>
    <w:rsid w:val="00395C53"/>
    <w:rsid w:val="00395C76"/>
    <w:rsid w:val="00395CDC"/>
    <w:rsid w:val="00395D38"/>
    <w:rsid w:val="00395EC1"/>
    <w:rsid w:val="00395F89"/>
    <w:rsid w:val="00395FF7"/>
    <w:rsid w:val="003960B8"/>
    <w:rsid w:val="00396121"/>
    <w:rsid w:val="0039614B"/>
    <w:rsid w:val="00396284"/>
    <w:rsid w:val="003966BF"/>
    <w:rsid w:val="003967BA"/>
    <w:rsid w:val="0039681A"/>
    <w:rsid w:val="003968AB"/>
    <w:rsid w:val="00396934"/>
    <w:rsid w:val="0039695D"/>
    <w:rsid w:val="00396970"/>
    <w:rsid w:val="003969E5"/>
    <w:rsid w:val="00396B61"/>
    <w:rsid w:val="00396D4A"/>
    <w:rsid w:val="00396E3E"/>
    <w:rsid w:val="00396E74"/>
    <w:rsid w:val="00396F57"/>
    <w:rsid w:val="00396F6D"/>
    <w:rsid w:val="003970B2"/>
    <w:rsid w:val="00397287"/>
    <w:rsid w:val="00397421"/>
    <w:rsid w:val="003975CA"/>
    <w:rsid w:val="003975F0"/>
    <w:rsid w:val="00397681"/>
    <w:rsid w:val="00397690"/>
    <w:rsid w:val="003976FB"/>
    <w:rsid w:val="00397761"/>
    <w:rsid w:val="00397886"/>
    <w:rsid w:val="003978B4"/>
    <w:rsid w:val="003978C9"/>
    <w:rsid w:val="0039792C"/>
    <w:rsid w:val="00397A1E"/>
    <w:rsid w:val="00397BA7"/>
    <w:rsid w:val="00397C0D"/>
    <w:rsid w:val="00397C2E"/>
    <w:rsid w:val="00397C53"/>
    <w:rsid w:val="00397CE2"/>
    <w:rsid w:val="00397EC9"/>
    <w:rsid w:val="0039E48D"/>
    <w:rsid w:val="003A0098"/>
    <w:rsid w:val="003A011A"/>
    <w:rsid w:val="003A011E"/>
    <w:rsid w:val="003A0178"/>
    <w:rsid w:val="003A0191"/>
    <w:rsid w:val="003A01A7"/>
    <w:rsid w:val="003A01AD"/>
    <w:rsid w:val="003A0315"/>
    <w:rsid w:val="003A038A"/>
    <w:rsid w:val="003A039F"/>
    <w:rsid w:val="003A0407"/>
    <w:rsid w:val="003A0680"/>
    <w:rsid w:val="003A06C8"/>
    <w:rsid w:val="003A0869"/>
    <w:rsid w:val="003A0953"/>
    <w:rsid w:val="003A0A08"/>
    <w:rsid w:val="003A0AA5"/>
    <w:rsid w:val="003A0CE3"/>
    <w:rsid w:val="003A0CEE"/>
    <w:rsid w:val="003A0D92"/>
    <w:rsid w:val="003A0EA4"/>
    <w:rsid w:val="003A0FE8"/>
    <w:rsid w:val="003A1009"/>
    <w:rsid w:val="003A1060"/>
    <w:rsid w:val="003A1128"/>
    <w:rsid w:val="003A11B8"/>
    <w:rsid w:val="003A128C"/>
    <w:rsid w:val="003A1438"/>
    <w:rsid w:val="003A143B"/>
    <w:rsid w:val="003A14CF"/>
    <w:rsid w:val="003A1589"/>
    <w:rsid w:val="003A15C7"/>
    <w:rsid w:val="003A1603"/>
    <w:rsid w:val="003A16C9"/>
    <w:rsid w:val="003A171A"/>
    <w:rsid w:val="003A1792"/>
    <w:rsid w:val="003A1A0F"/>
    <w:rsid w:val="003A1AE1"/>
    <w:rsid w:val="003A1BA2"/>
    <w:rsid w:val="003A1C94"/>
    <w:rsid w:val="003A1D3F"/>
    <w:rsid w:val="003A1D47"/>
    <w:rsid w:val="003A1D67"/>
    <w:rsid w:val="003A1DA8"/>
    <w:rsid w:val="003A1F46"/>
    <w:rsid w:val="003A213C"/>
    <w:rsid w:val="003A21D9"/>
    <w:rsid w:val="003A25AB"/>
    <w:rsid w:val="003A26F6"/>
    <w:rsid w:val="003A26FF"/>
    <w:rsid w:val="003A27E0"/>
    <w:rsid w:val="003A282A"/>
    <w:rsid w:val="003A2899"/>
    <w:rsid w:val="003A28E6"/>
    <w:rsid w:val="003A290C"/>
    <w:rsid w:val="003A2973"/>
    <w:rsid w:val="003A2982"/>
    <w:rsid w:val="003A2991"/>
    <w:rsid w:val="003A29C4"/>
    <w:rsid w:val="003A2B24"/>
    <w:rsid w:val="003A2D46"/>
    <w:rsid w:val="003A2E2C"/>
    <w:rsid w:val="003A2F1E"/>
    <w:rsid w:val="003A2FFD"/>
    <w:rsid w:val="003A319E"/>
    <w:rsid w:val="003A324D"/>
    <w:rsid w:val="003A3335"/>
    <w:rsid w:val="003A33EC"/>
    <w:rsid w:val="003A358C"/>
    <w:rsid w:val="003A35BB"/>
    <w:rsid w:val="003A35DE"/>
    <w:rsid w:val="003A3641"/>
    <w:rsid w:val="003A37CE"/>
    <w:rsid w:val="003A3B04"/>
    <w:rsid w:val="003A3B8C"/>
    <w:rsid w:val="003A3C90"/>
    <w:rsid w:val="003A3DDB"/>
    <w:rsid w:val="003A3E35"/>
    <w:rsid w:val="003A3F65"/>
    <w:rsid w:val="003A3FA4"/>
    <w:rsid w:val="003A3FA5"/>
    <w:rsid w:val="003A3FE2"/>
    <w:rsid w:val="003A406A"/>
    <w:rsid w:val="003A4088"/>
    <w:rsid w:val="003A4152"/>
    <w:rsid w:val="003A45A5"/>
    <w:rsid w:val="003A4717"/>
    <w:rsid w:val="003A47B8"/>
    <w:rsid w:val="003A481C"/>
    <w:rsid w:val="003A49C7"/>
    <w:rsid w:val="003A4A9A"/>
    <w:rsid w:val="003A4C2B"/>
    <w:rsid w:val="003A4C2E"/>
    <w:rsid w:val="003A4C48"/>
    <w:rsid w:val="003A4C70"/>
    <w:rsid w:val="003A4C84"/>
    <w:rsid w:val="003A4D26"/>
    <w:rsid w:val="003A4DD3"/>
    <w:rsid w:val="003A4FBE"/>
    <w:rsid w:val="003A505A"/>
    <w:rsid w:val="003A513C"/>
    <w:rsid w:val="003A51AE"/>
    <w:rsid w:val="003A51C3"/>
    <w:rsid w:val="003A5295"/>
    <w:rsid w:val="003A534C"/>
    <w:rsid w:val="003A5627"/>
    <w:rsid w:val="003A563F"/>
    <w:rsid w:val="003A56EB"/>
    <w:rsid w:val="003A5852"/>
    <w:rsid w:val="003A5868"/>
    <w:rsid w:val="003A5A08"/>
    <w:rsid w:val="003A5A36"/>
    <w:rsid w:val="003A5AC9"/>
    <w:rsid w:val="003A5AD2"/>
    <w:rsid w:val="003A5B2F"/>
    <w:rsid w:val="003A5E21"/>
    <w:rsid w:val="003A5E57"/>
    <w:rsid w:val="003A61BE"/>
    <w:rsid w:val="003A6355"/>
    <w:rsid w:val="003A656C"/>
    <w:rsid w:val="003A65F8"/>
    <w:rsid w:val="003A6790"/>
    <w:rsid w:val="003A67A7"/>
    <w:rsid w:val="003A6801"/>
    <w:rsid w:val="003A6869"/>
    <w:rsid w:val="003A6A00"/>
    <w:rsid w:val="003A6AE9"/>
    <w:rsid w:val="003A6B0D"/>
    <w:rsid w:val="003A6B41"/>
    <w:rsid w:val="003A6C53"/>
    <w:rsid w:val="003A6C81"/>
    <w:rsid w:val="003A6E9D"/>
    <w:rsid w:val="003A6EA7"/>
    <w:rsid w:val="003A6EAD"/>
    <w:rsid w:val="003A6EC5"/>
    <w:rsid w:val="003A7128"/>
    <w:rsid w:val="003A72AD"/>
    <w:rsid w:val="003A747A"/>
    <w:rsid w:val="003A7521"/>
    <w:rsid w:val="003A76F0"/>
    <w:rsid w:val="003A7705"/>
    <w:rsid w:val="003A771D"/>
    <w:rsid w:val="003A77CF"/>
    <w:rsid w:val="003A787C"/>
    <w:rsid w:val="003A78C6"/>
    <w:rsid w:val="003A78CD"/>
    <w:rsid w:val="003A794A"/>
    <w:rsid w:val="003A7A05"/>
    <w:rsid w:val="003A7A20"/>
    <w:rsid w:val="003A7A84"/>
    <w:rsid w:val="003A7FB4"/>
    <w:rsid w:val="003A7FF8"/>
    <w:rsid w:val="003AC14F"/>
    <w:rsid w:val="003B0001"/>
    <w:rsid w:val="003B00E6"/>
    <w:rsid w:val="003B01D1"/>
    <w:rsid w:val="003B01E0"/>
    <w:rsid w:val="003B0255"/>
    <w:rsid w:val="003B028A"/>
    <w:rsid w:val="003B02FD"/>
    <w:rsid w:val="003B035F"/>
    <w:rsid w:val="003B03A9"/>
    <w:rsid w:val="003B03DB"/>
    <w:rsid w:val="003B049C"/>
    <w:rsid w:val="003B05F1"/>
    <w:rsid w:val="003B0746"/>
    <w:rsid w:val="003B0A46"/>
    <w:rsid w:val="003B0AB2"/>
    <w:rsid w:val="003B0ABC"/>
    <w:rsid w:val="003B0C1B"/>
    <w:rsid w:val="003B0C58"/>
    <w:rsid w:val="003B0F41"/>
    <w:rsid w:val="003B1014"/>
    <w:rsid w:val="003B10D0"/>
    <w:rsid w:val="003B1325"/>
    <w:rsid w:val="003B139A"/>
    <w:rsid w:val="003B150F"/>
    <w:rsid w:val="003B156F"/>
    <w:rsid w:val="003B160B"/>
    <w:rsid w:val="003B17FC"/>
    <w:rsid w:val="003B184B"/>
    <w:rsid w:val="003B1A62"/>
    <w:rsid w:val="003B1A8F"/>
    <w:rsid w:val="003B1B2A"/>
    <w:rsid w:val="003B1C48"/>
    <w:rsid w:val="003B1CBE"/>
    <w:rsid w:val="003B1DA8"/>
    <w:rsid w:val="003B2083"/>
    <w:rsid w:val="003B2091"/>
    <w:rsid w:val="003B20C2"/>
    <w:rsid w:val="003B2152"/>
    <w:rsid w:val="003B22A6"/>
    <w:rsid w:val="003B2305"/>
    <w:rsid w:val="003B2572"/>
    <w:rsid w:val="003B25BB"/>
    <w:rsid w:val="003B2692"/>
    <w:rsid w:val="003B288A"/>
    <w:rsid w:val="003B2937"/>
    <w:rsid w:val="003B2A0F"/>
    <w:rsid w:val="003B2B44"/>
    <w:rsid w:val="003B2CA5"/>
    <w:rsid w:val="003B2ED3"/>
    <w:rsid w:val="003B2F93"/>
    <w:rsid w:val="003B30CB"/>
    <w:rsid w:val="003B3339"/>
    <w:rsid w:val="003B3351"/>
    <w:rsid w:val="003B34A1"/>
    <w:rsid w:val="003B38A6"/>
    <w:rsid w:val="003B38D6"/>
    <w:rsid w:val="003B38FF"/>
    <w:rsid w:val="003B3B0A"/>
    <w:rsid w:val="003B3B0B"/>
    <w:rsid w:val="003B3CF1"/>
    <w:rsid w:val="003B3CF9"/>
    <w:rsid w:val="003B3D55"/>
    <w:rsid w:val="003B3D62"/>
    <w:rsid w:val="003B3E55"/>
    <w:rsid w:val="003B3E60"/>
    <w:rsid w:val="003B3F03"/>
    <w:rsid w:val="003B3F10"/>
    <w:rsid w:val="003B3F33"/>
    <w:rsid w:val="003B4035"/>
    <w:rsid w:val="003B415E"/>
    <w:rsid w:val="003B4306"/>
    <w:rsid w:val="003B4422"/>
    <w:rsid w:val="003B44E0"/>
    <w:rsid w:val="003B44E8"/>
    <w:rsid w:val="003B4559"/>
    <w:rsid w:val="003B45B6"/>
    <w:rsid w:val="003B45FC"/>
    <w:rsid w:val="003B46C9"/>
    <w:rsid w:val="003B483C"/>
    <w:rsid w:val="003B4B96"/>
    <w:rsid w:val="003B4D0A"/>
    <w:rsid w:val="003B4D10"/>
    <w:rsid w:val="003B4D3D"/>
    <w:rsid w:val="003B4E1A"/>
    <w:rsid w:val="003B4F2B"/>
    <w:rsid w:val="003B5022"/>
    <w:rsid w:val="003B5094"/>
    <w:rsid w:val="003B51D0"/>
    <w:rsid w:val="003B5254"/>
    <w:rsid w:val="003B534E"/>
    <w:rsid w:val="003B538A"/>
    <w:rsid w:val="003B53CF"/>
    <w:rsid w:val="003B53D8"/>
    <w:rsid w:val="003B5479"/>
    <w:rsid w:val="003B54A3"/>
    <w:rsid w:val="003B553D"/>
    <w:rsid w:val="003B5592"/>
    <w:rsid w:val="003B55DE"/>
    <w:rsid w:val="003B5839"/>
    <w:rsid w:val="003B5869"/>
    <w:rsid w:val="003B597E"/>
    <w:rsid w:val="003B5AD6"/>
    <w:rsid w:val="003B5AEC"/>
    <w:rsid w:val="003B5AFC"/>
    <w:rsid w:val="003B5B66"/>
    <w:rsid w:val="003B5BCA"/>
    <w:rsid w:val="003B5C64"/>
    <w:rsid w:val="003B5CA2"/>
    <w:rsid w:val="003B5D01"/>
    <w:rsid w:val="003B5D7D"/>
    <w:rsid w:val="003B5EB3"/>
    <w:rsid w:val="003B5EC3"/>
    <w:rsid w:val="003B5FB3"/>
    <w:rsid w:val="003B5FD8"/>
    <w:rsid w:val="003B610D"/>
    <w:rsid w:val="003B62ED"/>
    <w:rsid w:val="003B6427"/>
    <w:rsid w:val="003B6520"/>
    <w:rsid w:val="003B6525"/>
    <w:rsid w:val="003B6624"/>
    <w:rsid w:val="003B6886"/>
    <w:rsid w:val="003B688E"/>
    <w:rsid w:val="003B6907"/>
    <w:rsid w:val="003B693F"/>
    <w:rsid w:val="003B69A9"/>
    <w:rsid w:val="003B69D5"/>
    <w:rsid w:val="003B6B44"/>
    <w:rsid w:val="003B6D1F"/>
    <w:rsid w:val="003B6D49"/>
    <w:rsid w:val="003B6E0B"/>
    <w:rsid w:val="003B6F62"/>
    <w:rsid w:val="003B6FF8"/>
    <w:rsid w:val="003B7058"/>
    <w:rsid w:val="003B715C"/>
    <w:rsid w:val="003B7284"/>
    <w:rsid w:val="003B7610"/>
    <w:rsid w:val="003B77C9"/>
    <w:rsid w:val="003B77DA"/>
    <w:rsid w:val="003B7823"/>
    <w:rsid w:val="003B7B37"/>
    <w:rsid w:val="003B7BA6"/>
    <w:rsid w:val="003B7E64"/>
    <w:rsid w:val="003B7F7D"/>
    <w:rsid w:val="003BA969"/>
    <w:rsid w:val="003C0097"/>
    <w:rsid w:val="003C0173"/>
    <w:rsid w:val="003C0188"/>
    <w:rsid w:val="003C02AC"/>
    <w:rsid w:val="003C0406"/>
    <w:rsid w:val="003C04E8"/>
    <w:rsid w:val="003C061C"/>
    <w:rsid w:val="003C06E9"/>
    <w:rsid w:val="003C0862"/>
    <w:rsid w:val="003C08CD"/>
    <w:rsid w:val="003C0960"/>
    <w:rsid w:val="003C09EA"/>
    <w:rsid w:val="003C0B24"/>
    <w:rsid w:val="003C0C80"/>
    <w:rsid w:val="003C0CBD"/>
    <w:rsid w:val="003C0DAA"/>
    <w:rsid w:val="003C0DD7"/>
    <w:rsid w:val="003C0E67"/>
    <w:rsid w:val="003C0F30"/>
    <w:rsid w:val="003C0FDC"/>
    <w:rsid w:val="003C1023"/>
    <w:rsid w:val="003C105A"/>
    <w:rsid w:val="003C1079"/>
    <w:rsid w:val="003C136F"/>
    <w:rsid w:val="003C1397"/>
    <w:rsid w:val="003C1436"/>
    <w:rsid w:val="003C1441"/>
    <w:rsid w:val="003C144C"/>
    <w:rsid w:val="003C158B"/>
    <w:rsid w:val="003C163E"/>
    <w:rsid w:val="003C1819"/>
    <w:rsid w:val="003C1853"/>
    <w:rsid w:val="003C1929"/>
    <w:rsid w:val="003C192F"/>
    <w:rsid w:val="003C1D09"/>
    <w:rsid w:val="003C1D3A"/>
    <w:rsid w:val="003C2145"/>
    <w:rsid w:val="003C21A7"/>
    <w:rsid w:val="003C2200"/>
    <w:rsid w:val="003C22ED"/>
    <w:rsid w:val="003C2507"/>
    <w:rsid w:val="003C254A"/>
    <w:rsid w:val="003C2586"/>
    <w:rsid w:val="003C25B0"/>
    <w:rsid w:val="003C25E8"/>
    <w:rsid w:val="003C25F9"/>
    <w:rsid w:val="003C27B4"/>
    <w:rsid w:val="003C2A5C"/>
    <w:rsid w:val="003C2A94"/>
    <w:rsid w:val="003C2BC8"/>
    <w:rsid w:val="003C2BF1"/>
    <w:rsid w:val="003C2C55"/>
    <w:rsid w:val="003C2D18"/>
    <w:rsid w:val="003C2D36"/>
    <w:rsid w:val="003C2D53"/>
    <w:rsid w:val="003C2DC1"/>
    <w:rsid w:val="003C2E13"/>
    <w:rsid w:val="003C3216"/>
    <w:rsid w:val="003C3434"/>
    <w:rsid w:val="003C34E6"/>
    <w:rsid w:val="003C36C0"/>
    <w:rsid w:val="003C38B1"/>
    <w:rsid w:val="003C3984"/>
    <w:rsid w:val="003C39E4"/>
    <w:rsid w:val="003C3A41"/>
    <w:rsid w:val="003C3BB8"/>
    <w:rsid w:val="003C3BD9"/>
    <w:rsid w:val="003C3E42"/>
    <w:rsid w:val="003C3FE6"/>
    <w:rsid w:val="003C4065"/>
    <w:rsid w:val="003C4092"/>
    <w:rsid w:val="003C4140"/>
    <w:rsid w:val="003C4220"/>
    <w:rsid w:val="003C428A"/>
    <w:rsid w:val="003C429F"/>
    <w:rsid w:val="003C4385"/>
    <w:rsid w:val="003C4398"/>
    <w:rsid w:val="003C43CC"/>
    <w:rsid w:val="003C4454"/>
    <w:rsid w:val="003C46ED"/>
    <w:rsid w:val="003C4788"/>
    <w:rsid w:val="003C47A2"/>
    <w:rsid w:val="003C4810"/>
    <w:rsid w:val="003C4833"/>
    <w:rsid w:val="003C497A"/>
    <w:rsid w:val="003C4AF8"/>
    <w:rsid w:val="003C4C0E"/>
    <w:rsid w:val="003C4C3C"/>
    <w:rsid w:val="003C4C5B"/>
    <w:rsid w:val="003C4C60"/>
    <w:rsid w:val="003C4CD3"/>
    <w:rsid w:val="003C4DB2"/>
    <w:rsid w:val="003C4DB4"/>
    <w:rsid w:val="003C4E04"/>
    <w:rsid w:val="003C4F5E"/>
    <w:rsid w:val="003C4F74"/>
    <w:rsid w:val="003C4F84"/>
    <w:rsid w:val="003C4FF0"/>
    <w:rsid w:val="003C51D4"/>
    <w:rsid w:val="003C51EE"/>
    <w:rsid w:val="003C5307"/>
    <w:rsid w:val="003C530F"/>
    <w:rsid w:val="003C552D"/>
    <w:rsid w:val="003C55DF"/>
    <w:rsid w:val="003C567A"/>
    <w:rsid w:val="003C577B"/>
    <w:rsid w:val="003C58AB"/>
    <w:rsid w:val="003C5A00"/>
    <w:rsid w:val="003C5A91"/>
    <w:rsid w:val="003C5AE2"/>
    <w:rsid w:val="003C5B2C"/>
    <w:rsid w:val="003C5B95"/>
    <w:rsid w:val="003C5B98"/>
    <w:rsid w:val="003C5D0B"/>
    <w:rsid w:val="003C5D8B"/>
    <w:rsid w:val="003C5EBE"/>
    <w:rsid w:val="003C5ECF"/>
    <w:rsid w:val="003C5FDE"/>
    <w:rsid w:val="003C6124"/>
    <w:rsid w:val="003C619A"/>
    <w:rsid w:val="003C632F"/>
    <w:rsid w:val="003C6374"/>
    <w:rsid w:val="003C64F2"/>
    <w:rsid w:val="003C6597"/>
    <w:rsid w:val="003C65A7"/>
    <w:rsid w:val="003C65FD"/>
    <w:rsid w:val="003C662E"/>
    <w:rsid w:val="003C66BB"/>
    <w:rsid w:val="003C66D8"/>
    <w:rsid w:val="003C674E"/>
    <w:rsid w:val="003C685B"/>
    <w:rsid w:val="003C68D1"/>
    <w:rsid w:val="003C68D6"/>
    <w:rsid w:val="003C68F3"/>
    <w:rsid w:val="003C6B38"/>
    <w:rsid w:val="003C6CBF"/>
    <w:rsid w:val="003C6CFF"/>
    <w:rsid w:val="003C6D44"/>
    <w:rsid w:val="003C6E73"/>
    <w:rsid w:val="003C6ED2"/>
    <w:rsid w:val="003C6F46"/>
    <w:rsid w:val="003C7013"/>
    <w:rsid w:val="003C7168"/>
    <w:rsid w:val="003C7176"/>
    <w:rsid w:val="003C71AE"/>
    <w:rsid w:val="003C7375"/>
    <w:rsid w:val="003C74A7"/>
    <w:rsid w:val="003C74C3"/>
    <w:rsid w:val="003C7522"/>
    <w:rsid w:val="003C7548"/>
    <w:rsid w:val="003C7647"/>
    <w:rsid w:val="003C7722"/>
    <w:rsid w:val="003C77AC"/>
    <w:rsid w:val="003C7811"/>
    <w:rsid w:val="003C78A8"/>
    <w:rsid w:val="003C796E"/>
    <w:rsid w:val="003C7A9A"/>
    <w:rsid w:val="003C7ADE"/>
    <w:rsid w:val="003C7BF1"/>
    <w:rsid w:val="003C7E09"/>
    <w:rsid w:val="003C7EDD"/>
    <w:rsid w:val="003D001A"/>
    <w:rsid w:val="003D01AC"/>
    <w:rsid w:val="003D0279"/>
    <w:rsid w:val="003D030B"/>
    <w:rsid w:val="003D037F"/>
    <w:rsid w:val="003D038D"/>
    <w:rsid w:val="003D042C"/>
    <w:rsid w:val="003D0502"/>
    <w:rsid w:val="003D0532"/>
    <w:rsid w:val="003D0549"/>
    <w:rsid w:val="003D05C9"/>
    <w:rsid w:val="003D0654"/>
    <w:rsid w:val="003D0702"/>
    <w:rsid w:val="003D075F"/>
    <w:rsid w:val="003D076A"/>
    <w:rsid w:val="003D07EA"/>
    <w:rsid w:val="003D08A4"/>
    <w:rsid w:val="003D08D2"/>
    <w:rsid w:val="003D0A3F"/>
    <w:rsid w:val="003D0A49"/>
    <w:rsid w:val="003D0D5F"/>
    <w:rsid w:val="003D0D7C"/>
    <w:rsid w:val="003D0DA7"/>
    <w:rsid w:val="003D0EA9"/>
    <w:rsid w:val="003D11AE"/>
    <w:rsid w:val="003D1335"/>
    <w:rsid w:val="003D1357"/>
    <w:rsid w:val="003D13DE"/>
    <w:rsid w:val="003D15CF"/>
    <w:rsid w:val="003D176F"/>
    <w:rsid w:val="003D18DD"/>
    <w:rsid w:val="003D1903"/>
    <w:rsid w:val="003D1A44"/>
    <w:rsid w:val="003D1A7A"/>
    <w:rsid w:val="003D1ADD"/>
    <w:rsid w:val="003D1B52"/>
    <w:rsid w:val="003D1C1C"/>
    <w:rsid w:val="003D1D62"/>
    <w:rsid w:val="003D1D96"/>
    <w:rsid w:val="003D1DD6"/>
    <w:rsid w:val="003D1E4F"/>
    <w:rsid w:val="003D2080"/>
    <w:rsid w:val="003D21F2"/>
    <w:rsid w:val="003D224F"/>
    <w:rsid w:val="003D238E"/>
    <w:rsid w:val="003D24A9"/>
    <w:rsid w:val="003D25B1"/>
    <w:rsid w:val="003D25E4"/>
    <w:rsid w:val="003D2625"/>
    <w:rsid w:val="003D2674"/>
    <w:rsid w:val="003D2690"/>
    <w:rsid w:val="003D26A9"/>
    <w:rsid w:val="003D2895"/>
    <w:rsid w:val="003D2963"/>
    <w:rsid w:val="003D29CB"/>
    <w:rsid w:val="003D2A1C"/>
    <w:rsid w:val="003D2AF4"/>
    <w:rsid w:val="003D2B01"/>
    <w:rsid w:val="003D2CF4"/>
    <w:rsid w:val="003D2DC0"/>
    <w:rsid w:val="003D3167"/>
    <w:rsid w:val="003D3242"/>
    <w:rsid w:val="003D32FD"/>
    <w:rsid w:val="003D3433"/>
    <w:rsid w:val="003D36A9"/>
    <w:rsid w:val="003D372F"/>
    <w:rsid w:val="003D3807"/>
    <w:rsid w:val="003D3A73"/>
    <w:rsid w:val="003D3BD9"/>
    <w:rsid w:val="003D3CE2"/>
    <w:rsid w:val="003D3E51"/>
    <w:rsid w:val="003D3E89"/>
    <w:rsid w:val="003D3F7D"/>
    <w:rsid w:val="003D40E3"/>
    <w:rsid w:val="003D41F8"/>
    <w:rsid w:val="003D42D5"/>
    <w:rsid w:val="003D434B"/>
    <w:rsid w:val="003D441A"/>
    <w:rsid w:val="003D443E"/>
    <w:rsid w:val="003D4559"/>
    <w:rsid w:val="003D4663"/>
    <w:rsid w:val="003D4676"/>
    <w:rsid w:val="003D46AB"/>
    <w:rsid w:val="003D46CC"/>
    <w:rsid w:val="003D46E1"/>
    <w:rsid w:val="003D4B52"/>
    <w:rsid w:val="003D4B7C"/>
    <w:rsid w:val="003D4C0B"/>
    <w:rsid w:val="003D4D78"/>
    <w:rsid w:val="003D4D83"/>
    <w:rsid w:val="003D4E31"/>
    <w:rsid w:val="003D4E39"/>
    <w:rsid w:val="003D4FDC"/>
    <w:rsid w:val="003D502F"/>
    <w:rsid w:val="003D51A0"/>
    <w:rsid w:val="003D5203"/>
    <w:rsid w:val="003D5285"/>
    <w:rsid w:val="003D531D"/>
    <w:rsid w:val="003D5385"/>
    <w:rsid w:val="003D53B9"/>
    <w:rsid w:val="003D5425"/>
    <w:rsid w:val="003D5473"/>
    <w:rsid w:val="003D57D9"/>
    <w:rsid w:val="003D58D5"/>
    <w:rsid w:val="003D593D"/>
    <w:rsid w:val="003D5AAD"/>
    <w:rsid w:val="003D5B35"/>
    <w:rsid w:val="003D5B4A"/>
    <w:rsid w:val="003D5C4D"/>
    <w:rsid w:val="003D5C8C"/>
    <w:rsid w:val="003D5CD5"/>
    <w:rsid w:val="003D5D90"/>
    <w:rsid w:val="003D5DB3"/>
    <w:rsid w:val="003D5DC0"/>
    <w:rsid w:val="003D5EA0"/>
    <w:rsid w:val="003D5F1C"/>
    <w:rsid w:val="003D6013"/>
    <w:rsid w:val="003D609E"/>
    <w:rsid w:val="003D6173"/>
    <w:rsid w:val="003D6234"/>
    <w:rsid w:val="003D62C8"/>
    <w:rsid w:val="003D6308"/>
    <w:rsid w:val="003D6323"/>
    <w:rsid w:val="003D6344"/>
    <w:rsid w:val="003D63D4"/>
    <w:rsid w:val="003D6856"/>
    <w:rsid w:val="003D695A"/>
    <w:rsid w:val="003D6A3E"/>
    <w:rsid w:val="003D6A75"/>
    <w:rsid w:val="003D6A8A"/>
    <w:rsid w:val="003D6B3B"/>
    <w:rsid w:val="003D6E3B"/>
    <w:rsid w:val="003D6EEC"/>
    <w:rsid w:val="003D73F5"/>
    <w:rsid w:val="003D7540"/>
    <w:rsid w:val="003D774F"/>
    <w:rsid w:val="003D7756"/>
    <w:rsid w:val="003D7802"/>
    <w:rsid w:val="003D7881"/>
    <w:rsid w:val="003D79E4"/>
    <w:rsid w:val="003D7A1C"/>
    <w:rsid w:val="003D7AB3"/>
    <w:rsid w:val="003D7C06"/>
    <w:rsid w:val="003D7D28"/>
    <w:rsid w:val="003D7EA6"/>
    <w:rsid w:val="003D7F9E"/>
    <w:rsid w:val="003D7FCF"/>
    <w:rsid w:val="003E00ED"/>
    <w:rsid w:val="003E015D"/>
    <w:rsid w:val="003E01D7"/>
    <w:rsid w:val="003E01FE"/>
    <w:rsid w:val="003E04F7"/>
    <w:rsid w:val="003E0520"/>
    <w:rsid w:val="003E06D7"/>
    <w:rsid w:val="003E0780"/>
    <w:rsid w:val="003E0787"/>
    <w:rsid w:val="003E07AA"/>
    <w:rsid w:val="003E08FB"/>
    <w:rsid w:val="003E09CE"/>
    <w:rsid w:val="003E0A20"/>
    <w:rsid w:val="003E0A5D"/>
    <w:rsid w:val="003E0B41"/>
    <w:rsid w:val="003E0BA6"/>
    <w:rsid w:val="003E0C17"/>
    <w:rsid w:val="003E0CFB"/>
    <w:rsid w:val="003E0D6C"/>
    <w:rsid w:val="003E0E22"/>
    <w:rsid w:val="003E0E34"/>
    <w:rsid w:val="003E10E3"/>
    <w:rsid w:val="003E119B"/>
    <w:rsid w:val="003E11DA"/>
    <w:rsid w:val="003E1288"/>
    <w:rsid w:val="003E1328"/>
    <w:rsid w:val="003E1353"/>
    <w:rsid w:val="003E1412"/>
    <w:rsid w:val="003E1615"/>
    <w:rsid w:val="003E1790"/>
    <w:rsid w:val="003E1876"/>
    <w:rsid w:val="003E198D"/>
    <w:rsid w:val="003E19A4"/>
    <w:rsid w:val="003E1B6A"/>
    <w:rsid w:val="003E1C03"/>
    <w:rsid w:val="003E1C99"/>
    <w:rsid w:val="003E1D06"/>
    <w:rsid w:val="003E1D4E"/>
    <w:rsid w:val="003E1D50"/>
    <w:rsid w:val="003E1EBF"/>
    <w:rsid w:val="003E1F59"/>
    <w:rsid w:val="003E2081"/>
    <w:rsid w:val="003E20BA"/>
    <w:rsid w:val="003E20D8"/>
    <w:rsid w:val="003E2209"/>
    <w:rsid w:val="003E22C7"/>
    <w:rsid w:val="003E2310"/>
    <w:rsid w:val="003E240D"/>
    <w:rsid w:val="003E24D2"/>
    <w:rsid w:val="003E25CF"/>
    <w:rsid w:val="003E26F8"/>
    <w:rsid w:val="003E284A"/>
    <w:rsid w:val="003E295A"/>
    <w:rsid w:val="003E2C8D"/>
    <w:rsid w:val="003E2CA1"/>
    <w:rsid w:val="003E2DB0"/>
    <w:rsid w:val="003E3020"/>
    <w:rsid w:val="003E30BB"/>
    <w:rsid w:val="003E30D3"/>
    <w:rsid w:val="003E32DB"/>
    <w:rsid w:val="003E3421"/>
    <w:rsid w:val="003E344F"/>
    <w:rsid w:val="003E345A"/>
    <w:rsid w:val="003E3507"/>
    <w:rsid w:val="003E3595"/>
    <w:rsid w:val="003E362D"/>
    <w:rsid w:val="003E3753"/>
    <w:rsid w:val="003E37F7"/>
    <w:rsid w:val="003E38D2"/>
    <w:rsid w:val="003E398B"/>
    <w:rsid w:val="003E39A4"/>
    <w:rsid w:val="003E3D04"/>
    <w:rsid w:val="003E3F18"/>
    <w:rsid w:val="003E3F39"/>
    <w:rsid w:val="003E3F63"/>
    <w:rsid w:val="003E3F94"/>
    <w:rsid w:val="003E405C"/>
    <w:rsid w:val="003E40CB"/>
    <w:rsid w:val="003E416A"/>
    <w:rsid w:val="003E426E"/>
    <w:rsid w:val="003E428C"/>
    <w:rsid w:val="003E42C5"/>
    <w:rsid w:val="003E4302"/>
    <w:rsid w:val="003E4305"/>
    <w:rsid w:val="003E4513"/>
    <w:rsid w:val="003E4555"/>
    <w:rsid w:val="003E4564"/>
    <w:rsid w:val="003E4567"/>
    <w:rsid w:val="003E4579"/>
    <w:rsid w:val="003E45CF"/>
    <w:rsid w:val="003E4694"/>
    <w:rsid w:val="003E4847"/>
    <w:rsid w:val="003E484C"/>
    <w:rsid w:val="003E4874"/>
    <w:rsid w:val="003E488A"/>
    <w:rsid w:val="003E498A"/>
    <w:rsid w:val="003E4A78"/>
    <w:rsid w:val="003E4A89"/>
    <w:rsid w:val="003E4E9D"/>
    <w:rsid w:val="003E4EC2"/>
    <w:rsid w:val="003E4F13"/>
    <w:rsid w:val="003E501D"/>
    <w:rsid w:val="003E5096"/>
    <w:rsid w:val="003E52B0"/>
    <w:rsid w:val="003E52C6"/>
    <w:rsid w:val="003E52C7"/>
    <w:rsid w:val="003E53F1"/>
    <w:rsid w:val="003E542E"/>
    <w:rsid w:val="003E5452"/>
    <w:rsid w:val="003E54C9"/>
    <w:rsid w:val="003E5577"/>
    <w:rsid w:val="003E57B6"/>
    <w:rsid w:val="003E5A03"/>
    <w:rsid w:val="003E5A57"/>
    <w:rsid w:val="003E5AB0"/>
    <w:rsid w:val="003E5AE1"/>
    <w:rsid w:val="003E5E64"/>
    <w:rsid w:val="003E5E79"/>
    <w:rsid w:val="003E5F6B"/>
    <w:rsid w:val="003E6042"/>
    <w:rsid w:val="003E617C"/>
    <w:rsid w:val="003E6201"/>
    <w:rsid w:val="003E647B"/>
    <w:rsid w:val="003E64EA"/>
    <w:rsid w:val="003E6525"/>
    <w:rsid w:val="003E6653"/>
    <w:rsid w:val="003E667E"/>
    <w:rsid w:val="003E6744"/>
    <w:rsid w:val="003E6762"/>
    <w:rsid w:val="003E68D4"/>
    <w:rsid w:val="003E6982"/>
    <w:rsid w:val="003E6A15"/>
    <w:rsid w:val="003E6B92"/>
    <w:rsid w:val="003E6C49"/>
    <w:rsid w:val="003E6CA9"/>
    <w:rsid w:val="003E6DEA"/>
    <w:rsid w:val="003E7190"/>
    <w:rsid w:val="003E71F3"/>
    <w:rsid w:val="003E7207"/>
    <w:rsid w:val="003E7243"/>
    <w:rsid w:val="003E72A0"/>
    <w:rsid w:val="003E7324"/>
    <w:rsid w:val="003E74F8"/>
    <w:rsid w:val="003E752C"/>
    <w:rsid w:val="003E752F"/>
    <w:rsid w:val="003E7607"/>
    <w:rsid w:val="003E76A9"/>
    <w:rsid w:val="003E76E6"/>
    <w:rsid w:val="003E77D5"/>
    <w:rsid w:val="003E786D"/>
    <w:rsid w:val="003E797A"/>
    <w:rsid w:val="003E7AE2"/>
    <w:rsid w:val="003E7D62"/>
    <w:rsid w:val="003E7F4B"/>
    <w:rsid w:val="003F001E"/>
    <w:rsid w:val="003F002B"/>
    <w:rsid w:val="003F0048"/>
    <w:rsid w:val="003F007A"/>
    <w:rsid w:val="003F00AB"/>
    <w:rsid w:val="003F030D"/>
    <w:rsid w:val="003F032E"/>
    <w:rsid w:val="003F061E"/>
    <w:rsid w:val="003F06AD"/>
    <w:rsid w:val="003F06C5"/>
    <w:rsid w:val="003F0760"/>
    <w:rsid w:val="003F07C6"/>
    <w:rsid w:val="003F0822"/>
    <w:rsid w:val="003F086D"/>
    <w:rsid w:val="003F08EF"/>
    <w:rsid w:val="003F093E"/>
    <w:rsid w:val="003F0ABA"/>
    <w:rsid w:val="003F0AF6"/>
    <w:rsid w:val="003F0BBD"/>
    <w:rsid w:val="003F0BCA"/>
    <w:rsid w:val="003F0F55"/>
    <w:rsid w:val="003F0F56"/>
    <w:rsid w:val="003F0F8C"/>
    <w:rsid w:val="003F0FCB"/>
    <w:rsid w:val="003F104F"/>
    <w:rsid w:val="003F10AB"/>
    <w:rsid w:val="003F114D"/>
    <w:rsid w:val="003F11A4"/>
    <w:rsid w:val="003F11E3"/>
    <w:rsid w:val="003F1263"/>
    <w:rsid w:val="003F139C"/>
    <w:rsid w:val="003F14E4"/>
    <w:rsid w:val="003F1526"/>
    <w:rsid w:val="003F1BE8"/>
    <w:rsid w:val="003F1BFC"/>
    <w:rsid w:val="003F1CC6"/>
    <w:rsid w:val="003F1D15"/>
    <w:rsid w:val="003F1D42"/>
    <w:rsid w:val="003F1DE6"/>
    <w:rsid w:val="003F202A"/>
    <w:rsid w:val="003F210D"/>
    <w:rsid w:val="003F2225"/>
    <w:rsid w:val="003F2374"/>
    <w:rsid w:val="003F23FE"/>
    <w:rsid w:val="003F253D"/>
    <w:rsid w:val="003F254F"/>
    <w:rsid w:val="003F2557"/>
    <w:rsid w:val="003F2679"/>
    <w:rsid w:val="003F2738"/>
    <w:rsid w:val="003F27C8"/>
    <w:rsid w:val="003F28A3"/>
    <w:rsid w:val="003F2A44"/>
    <w:rsid w:val="003F2A7B"/>
    <w:rsid w:val="003F2AEA"/>
    <w:rsid w:val="003F2B75"/>
    <w:rsid w:val="003F2C9E"/>
    <w:rsid w:val="003F2E29"/>
    <w:rsid w:val="003F2E5F"/>
    <w:rsid w:val="003F2F79"/>
    <w:rsid w:val="003F3025"/>
    <w:rsid w:val="003F3256"/>
    <w:rsid w:val="003F35EA"/>
    <w:rsid w:val="003F35EF"/>
    <w:rsid w:val="003F3799"/>
    <w:rsid w:val="003F37CC"/>
    <w:rsid w:val="003F38CF"/>
    <w:rsid w:val="003F3B70"/>
    <w:rsid w:val="003F41D4"/>
    <w:rsid w:val="003F41E7"/>
    <w:rsid w:val="003F4289"/>
    <w:rsid w:val="003F4300"/>
    <w:rsid w:val="003F436D"/>
    <w:rsid w:val="003F43BD"/>
    <w:rsid w:val="003F4416"/>
    <w:rsid w:val="003F443B"/>
    <w:rsid w:val="003F4474"/>
    <w:rsid w:val="003F4480"/>
    <w:rsid w:val="003F4610"/>
    <w:rsid w:val="003F461E"/>
    <w:rsid w:val="003F46DF"/>
    <w:rsid w:val="003F4883"/>
    <w:rsid w:val="003F48F1"/>
    <w:rsid w:val="003F497B"/>
    <w:rsid w:val="003F4A6D"/>
    <w:rsid w:val="003F4B12"/>
    <w:rsid w:val="003F4C36"/>
    <w:rsid w:val="003F4DA0"/>
    <w:rsid w:val="003F4F37"/>
    <w:rsid w:val="003F50E4"/>
    <w:rsid w:val="003F5123"/>
    <w:rsid w:val="003F5182"/>
    <w:rsid w:val="003F52CA"/>
    <w:rsid w:val="003F544A"/>
    <w:rsid w:val="003F5514"/>
    <w:rsid w:val="003F5568"/>
    <w:rsid w:val="003F5577"/>
    <w:rsid w:val="003F567E"/>
    <w:rsid w:val="003F58AF"/>
    <w:rsid w:val="003F5A14"/>
    <w:rsid w:val="003F5D4B"/>
    <w:rsid w:val="003F5DE0"/>
    <w:rsid w:val="003F5E5F"/>
    <w:rsid w:val="003F5EA7"/>
    <w:rsid w:val="003F5F83"/>
    <w:rsid w:val="003F6056"/>
    <w:rsid w:val="003F60DF"/>
    <w:rsid w:val="003F629A"/>
    <w:rsid w:val="003F6370"/>
    <w:rsid w:val="003F6463"/>
    <w:rsid w:val="003F6489"/>
    <w:rsid w:val="003F653F"/>
    <w:rsid w:val="003F654E"/>
    <w:rsid w:val="003F659F"/>
    <w:rsid w:val="003F6658"/>
    <w:rsid w:val="003F66DB"/>
    <w:rsid w:val="003F6956"/>
    <w:rsid w:val="003F6A12"/>
    <w:rsid w:val="003F6B06"/>
    <w:rsid w:val="003F6BCD"/>
    <w:rsid w:val="003F6C69"/>
    <w:rsid w:val="003F6C7A"/>
    <w:rsid w:val="003F6DB0"/>
    <w:rsid w:val="003F6DCE"/>
    <w:rsid w:val="003F6E16"/>
    <w:rsid w:val="003F6F3F"/>
    <w:rsid w:val="003F7095"/>
    <w:rsid w:val="003F7176"/>
    <w:rsid w:val="003F71C7"/>
    <w:rsid w:val="003F7268"/>
    <w:rsid w:val="003F7349"/>
    <w:rsid w:val="003F736C"/>
    <w:rsid w:val="003F73C6"/>
    <w:rsid w:val="003F73FC"/>
    <w:rsid w:val="003F740D"/>
    <w:rsid w:val="003F7457"/>
    <w:rsid w:val="003F75BB"/>
    <w:rsid w:val="003F7782"/>
    <w:rsid w:val="003F7824"/>
    <w:rsid w:val="003F782B"/>
    <w:rsid w:val="003F7832"/>
    <w:rsid w:val="003F7849"/>
    <w:rsid w:val="003F79E3"/>
    <w:rsid w:val="003F79ED"/>
    <w:rsid w:val="003F7A77"/>
    <w:rsid w:val="003F7AC1"/>
    <w:rsid w:val="003F7D9C"/>
    <w:rsid w:val="003F7EA8"/>
    <w:rsid w:val="00400161"/>
    <w:rsid w:val="00400186"/>
    <w:rsid w:val="0040025B"/>
    <w:rsid w:val="00400289"/>
    <w:rsid w:val="004003B0"/>
    <w:rsid w:val="004003F4"/>
    <w:rsid w:val="004003FB"/>
    <w:rsid w:val="0040047B"/>
    <w:rsid w:val="00400605"/>
    <w:rsid w:val="0040069E"/>
    <w:rsid w:val="004007C0"/>
    <w:rsid w:val="004007FA"/>
    <w:rsid w:val="00400810"/>
    <w:rsid w:val="0040081B"/>
    <w:rsid w:val="004009AB"/>
    <w:rsid w:val="004009ED"/>
    <w:rsid w:val="00400A33"/>
    <w:rsid w:val="00400C0D"/>
    <w:rsid w:val="00400C6F"/>
    <w:rsid w:val="00400C8E"/>
    <w:rsid w:val="00400D3E"/>
    <w:rsid w:val="0040103D"/>
    <w:rsid w:val="004012A0"/>
    <w:rsid w:val="004012CA"/>
    <w:rsid w:val="00401356"/>
    <w:rsid w:val="00401378"/>
    <w:rsid w:val="00401428"/>
    <w:rsid w:val="00401444"/>
    <w:rsid w:val="0040170E"/>
    <w:rsid w:val="00401843"/>
    <w:rsid w:val="0040186E"/>
    <w:rsid w:val="00401958"/>
    <w:rsid w:val="00401991"/>
    <w:rsid w:val="00401A03"/>
    <w:rsid w:val="00401A34"/>
    <w:rsid w:val="00401B5B"/>
    <w:rsid w:val="00401B71"/>
    <w:rsid w:val="00401C6B"/>
    <w:rsid w:val="00401D40"/>
    <w:rsid w:val="00401E0E"/>
    <w:rsid w:val="00401E98"/>
    <w:rsid w:val="00401FB6"/>
    <w:rsid w:val="00401FBB"/>
    <w:rsid w:val="0040201A"/>
    <w:rsid w:val="0040216A"/>
    <w:rsid w:val="0040222B"/>
    <w:rsid w:val="00402299"/>
    <w:rsid w:val="004022F4"/>
    <w:rsid w:val="00402352"/>
    <w:rsid w:val="00402440"/>
    <w:rsid w:val="00402531"/>
    <w:rsid w:val="0040253F"/>
    <w:rsid w:val="0040254A"/>
    <w:rsid w:val="004025A2"/>
    <w:rsid w:val="0040262F"/>
    <w:rsid w:val="00402724"/>
    <w:rsid w:val="00402953"/>
    <w:rsid w:val="00402962"/>
    <w:rsid w:val="00402986"/>
    <w:rsid w:val="004029DD"/>
    <w:rsid w:val="004029E9"/>
    <w:rsid w:val="00402A6E"/>
    <w:rsid w:val="00402AD1"/>
    <w:rsid w:val="00402B55"/>
    <w:rsid w:val="00402BF2"/>
    <w:rsid w:val="00402BF4"/>
    <w:rsid w:val="00402F67"/>
    <w:rsid w:val="00402F8B"/>
    <w:rsid w:val="00403127"/>
    <w:rsid w:val="00403201"/>
    <w:rsid w:val="00403339"/>
    <w:rsid w:val="00403380"/>
    <w:rsid w:val="004033FC"/>
    <w:rsid w:val="004034C0"/>
    <w:rsid w:val="0040351B"/>
    <w:rsid w:val="0040351D"/>
    <w:rsid w:val="00403544"/>
    <w:rsid w:val="004036C1"/>
    <w:rsid w:val="004038BB"/>
    <w:rsid w:val="004038E2"/>
    <w:rsid w:val="0040397B"/>
    <w:rsid w:val="00403AF3"/>
    <w:rsid w:val="00403B27"/>
    <w:rsid w:val="00403BC6"/>
    <w:rsid w:val="00403E89"/>
    <w:rsid w:val="00403F53"/>
    <w:rsid w:val="00403F5E"/>
    <w:rsid w:val="00403F67"/>
    <w:rsid w:val="004040DA"/>
    <w:rsid w:val="0040426E"/>
    <w:rsid w:val="0040426F"/>
    <w:rsid w:val="00404326"/>
    <w:rsid w:val="004044AF"/>
    <w:rsid w:val="0040452A"/>
    <w:rsid w:val="004045C9"/>
    <w:rsid w:val="0040477D"/>
    <w:rsid w:val="004047B8"/>
    <w:rsid w:val="00404830"/>
    <w:rsid w:val="00404896"/>
    <w:rsid w:val="004048E6"/>
    <w:rsid w:val="0040496E"/>
    <w:rsid w:val="004049CD"/>
    <w:rsid w:val="00404A17"/>
    <w:rsid w:val="00404A33"/>
    <w:rsid w:val="00404E28"/>
    <w:rsid w:val="00404E48"/>
    <w:rsid w:val="00404F83"/>
    <w:rsid w:val="004050D0"/>
    <w:rsid w:val="0040515F"/>
    <w:rsid w:val="00405519"/>
    <w:rsid w:val="00405539"/>
    <w:rsid w:val="004055B1"/>
    <w:rsid w:val="004055E2"/>
    <w:rsid w:val="004055FC"/>
    <w:rsid w:val="0040564E"/>
    <w:rsid w:val="00405796"/>
    <w:rsid w:val="00405806"/>
    <w:rsid w:val="004058BC"/>
    <w:rsid w:val="00405A1E"/>
    <w:rsid w:val="00405F63"/>
    <w:rsid w:val="004060A6"/>
    <w:rsid w:val="004060AE"/>
    <w:rsid w:val="00406148"/>
    <w:rsid w:val="00406297"/>
    <w:rsid w:val="004063B0"/>
    <w:rsid w:val="00406486"/>
    <w:rsid w:val="0040658C"/>
    <w:rsid w:val="004065B6"/>
    <w:rsid w:val="004065F1"/>
    <w:rsid w:val="00406788"/>
    <w:rsid w:val="004067BD"/>
    <w:rsid w:val="00406876"/>
    <w:rsid w:val="00406AD6"/>
    <w:rsid w:val="00406BAA"/>
    <w:rsid w:val="00406BBA"/>
    <w:rsid w:val="00406DF6"/>
    <w:rsid w:val="00406E68"/>
    <w:rsid w:val="00406FAC"/>
    <w:rsid w:val="00406FF2"/>
    <w:rsid w:val="0040738E"/>
    <w:rsid w:val="00407403"/>
    <w:rsid w:val="00407460"/>
    <w:rsid w:val="004074A2"/>
    <w:rsid w:val="004074B7"/>
    <w:rsid w:val="004074E1"/>
    <w:rsid w:val="0040759F"/>
    <w:rsid w:val="0040769F"/>
    <w:rsid w:val="004076B7"/>
    <w:rsid w:val="004076C0"/>
    <w:rsid w:val="004077C7"/>
    <w:rsid w:val="004077D3"/>
    <w:rsid w:val="004078C1"/>
    <w:rsid w:val="004078FD"/>
    <w:rsid w:val="00407953"/>
    <w:rsid w:val="004079A3"/>
    <w:rsid w:val="00407AAA"/>
    <w:rsid w:val="00407C10"/>
    <w:rsid w:val="00407C16"/>
    <w:rsid w:val="00407DC9"/>
    <w:rsid w:val="00407E1F"/>
    <w:rsid w:val="00407E2A"/>
    <w:rsid w:val="00407FA8"/>
    <w:rsid w:val="00407FC5"/>
    <w:rsid w:val="0041009C"/>
    <w:rsid w:val="004100D7"/>
    <w:rsid w:val="0041015D"/>
    <w:rsid w:val="004101FE"/>
    <w:rsid w:val="004102D2"/>
    <w:rsid w:val="0041038F"/>
    <w:rsid w:val="0041040A"/>
    <w:rsid w:val="0041041B"/>
    <w:rsid w:val="00410495"/>
    <w:rsid w:val="004104D0"/>
    <w:rsid w:val="0041058C"/>
    <w:rsid w:val="004106EE"/>
    <w:rsid w:val="0041084C"/>
    <w:rsid w:val="004108FF"/>
    <w:rsid w:val="00410924"/>
    <w:rsid w:val="00410AE1"/>
    <w:rsid w:val="00410CCD"/>
    <w:rsid w:val="00410CF5"/>
    <w:rsid w:val="00410D4E"/>
    <w:rsid w:val="00410D95"/>
    <w:rsid w:val="00410E87"/>
    <w:rsid w:val="00410F59"/>
    <w:rsid w:val="00410FBD"/>
    <w:rsid w:val="00411083"/>
    <w:rsid w:val="00411391"/>
    <w:rsid w:val="004115F7"/>
    <w:rsid w:val="00411667"/>
    <w:rsid w:val="00411780"/>
    <w:rsid w:val="00411827"/>
    <w:rsid w:val="0041189C"/>
    <w:rsid w:val="00411908"/>
    <w:rsid w:val="00411940"/>
    <w:rsid w:val="00411942"/>
    <w:rsid w:val="0041196F"/>
    <w:rsid w:val="004119C6"/>
    <w:rsid w:val="00411B99"/>
    <w:rsid w:val="00411BCA"/>
    <w:rsid w:val="00411BDF"/>
    <w:rsid w:val="00411ED8"/>
    <w:rsid w:val="0041206D"/>
    <w:rsid w:val="004120AE"/>
    <w:rsid w:val="00412108"/>
    <w:rsid w:val="004121CD"/>
    <w:rsid w:val="0041225A"/>
    <w:rsid w:val="00412314"/>
    <w:rsid w:val="004124B1"/>
    <w:rsid w:val="004125A3"/>
    <w:rsid w:val="004126C9"/>
    <w:rsid w:val="004126FB"/>
    <w:rsid w:val="00412724"/>
    <w:rsid w:val="004129FD"/>
    <w:rsid w:val="00412ABB"/>
    <w:rsid w:val="00412B5F"/>
    <w:rsid w:val="00412BC8"/>
    <w:rsid w:val="0041305B"/>
    <w:rsid w:val="00413095"/>
    <w:rsid w:val="004131BA"/>
    <w:rsid w:val="00413215"/>
    <w:rsid w:val="004132E6"/>
    <w:rsid w:val="004133AD"/>
    <w:rsid w:val="00413568"/>
    <w:rsid w:val="00413598"/>
    <w:rsid w:val="00413602"/>
    <w:rsid w:val="004136BF"/>
    <w:rsid w:val="004136C5"/>
    <w:rsid w:val="004136C9"/>
    <w:rsid w:val="00413855"/>
    <w:rsid w:val="0041389E"/>
    <w:rsid w:val="004138A7"/>
    <w:rsid w:val="00413935"/>
    <w:rsid w:val="00413959"/>
    <w:rsid w:val="004139A3"/>
    <w:rsid w:val="004139CB"/>
    <w:rsid w:val="00413D0B"/>
    <w:rsid w:val="00413D3F"/>
    <w:rsid w:val="00413E3C"/>
    <w:rsid w:val="00413ECA"/>
    <w:rsid w:val="00414191"/>
    <w:rsid w:val="0041428A"/>
    <w:rsid w:val="004144A8"/>
    <w:rsid w:val="00414572"/>
    <w:rsid w:val="004145AD"/>
    <w:rsid w:val="00414888"/>
    <w:rsid w:val="004148EE"/>
    <w:rsid w:val="0041498D"/>
    <w:rsid w:val="00414A90"/>
    <w:rsid w:val="00414B0A"/>
    <w:rsid w:val="00414BA2"/>
    <w:rsid w:val="00414C1C"/>
    <w:rsid w:val="00414C6E"/>
    <w:rsid w:val="00414E4B"/>
    <w:rsid w:val="00414FC5"/>
    <w:rsid w:val="0041507D"/>
    <w:rsid w:val="0041510C"/>
    <w:rsid w:val="0041521D"/>
    <w:rsid w:val="00415282"/>
    <w:rsid w:val="00415346"/>
    <w:rsid w:val="004154B7"/>
    <w:rsid w:val="0041578F"/>
    <w:rsid w:val="00415803"/>
    <w:rsid w:val="00415808"/>
    <w:rsid w:val="0041580A"/>
    <w:rsid w:val="00415A14"/>
    <w:rsid w:val="00415A3C"/>
    <w:rsid w:val="00415A46"/>
    <w:rsid w:val="00415AF2"/>
    <w:rsid w:val="00415C25"/>
    <w:rsid w:val="00415C95"/>
    <w:rsid w:val="00415CC0"/>
    <w:rsid w:val="00415D70"/>
    <w:rsid w:val="00415E0A"/>
    <w:rsid w:val="00415EB2"/>
    <w:rsid w:val="00415EC3"/>
    <w:rsid w:val="00415F65"/>
    <w:rsid w:val="00415F7D"/>
    <w:rsid w:val="00416167"/>
    <w:rsid w:val="004161B1"/>
    <w:rsid w:val="004162F9"/>
    <w:rsid w:val="00416601"/>
    <w:rsid w:val="004166F3"/>
    <w:rsid w:val="004167FB"/>
    <w:rsid w:val="0041688E"/>
    <w:rsid w:val="004169E3"/>
    <w:rsid w:val="00416A61"/>
    <w:rsid w:val="00416B08"/>
    <w:rsid w:val="00416D67"/>
    <w:rsid w:val="00416DB6"/>
    <w:rsid w:val="00416E4A"/>
    <w:rsid w:val="00416E6E"/>
    <w:rsid w:val="00416F6A"/>
    <w:rsid w:val="004170AC"/>
    <w:rsid w:val="004174E7"/>
    <w:rsid w:val="0041758E"/>
    <w:rsid w:val="004175DF"/>
    <w:rsid w:val="0041767F"/>
    <w:rsid w:val="004176AE"/>
    <w:rsid w:val="004176F7"/>
    <w:rsid w:val="00417790"/>
    <w:rsid w:val="00417890"/>
    <w:rsid w:val="00417B1F"/>
    <w:rsid w:val="00417B2B"/>
    <w:rsid w:val="00417B95"/>
    <w:rsid w:val="00417CB1"/>
    <w:rsid w:val="00417DA0"/>
    <w:rsid w:val="00417FD9"/>
    <w:rsid w:val="004201C0"/>
    <w:rsid w:val="00420280"/>
    <w:rsid w:val="00420353"/>
    <w:rsid w:val="004203A6"/>
    <w:rsid w:val="00420431"/>
    <w:rsid w:val="0042052B"/>
    <w:rsid w:val="004205B9"/>
    <w:rsid w:val="0042077D"/>
    <w:rsid w:val="004207C6"/>
    <w:rsid w:val="004207E9"/>
    <w:rsid w:val="00420843"/>
    <w:rsid w:val="0042088D"/>
    <w:rsid w:val="00420891"/>
    <w:rsid w:val="004208B5"/>
    <w:rsid w:val="004208E5"/>
    <w:rsid w:val="00420AAD"/>
    <w:rsid w:val="00420AC9"/>
    <w:rsid w:val="0042101C"/>
    <w:rsid w:val="004211E5"/>
    <w:rsid w:val="00421302"/>
    <w:rsid w:val="004215AC"/>
    <w:rsid w:val="004215D0"/>
    <w:rsid w:val="004217A5"/>
    <w:rsid w:val="004217C2"/>
    <w:rsid w:val="0042180F"/>
    <w:rsid w:val="00421850"/>
    <w:rsid w:val="004218D2"/>
    <w:rsid w:val="00421948"/>
    <w:rsid w:val="004219F0"/>
    <w:rsid w:val="004219F1"/>
    <w:rsid w:val="00421ADC"/>
    <w:rsid w:val="00421ADF"/>
    <w:rsid w:val="00421AE0"/>
    <w:rsid w:val="00421AF4"/>
    <w:rsid w:val="00421B53"/>
    <w:rsid w:val="00421B8F"/>
    <w:rsid w:val="00421B9C"/>
    <w:rsid w:val="00421C1B"/>
    <w:rsid w:val="00421C39"/>
    <w:rsid w:val="00421D6A"/>
    <w:rsid w:val="00421DE7"/>
    <w:rsid w:val="00421F4F"/>
    <w:rsid w:val="00422098"/>
    <w:rsid w:val="004220D3"/>
    <w:rsid w:val="0042213E"/>
    <w:rsid w:val="00422179"/>
    <w:rsid w:val="0042249D"/>
    <w:rsid w:val="00422572"/>
    <w:rsid w:val="004227B1"/>
    <w:rsid w:val="00422936"/>
    <w:rsid w:val="004229DB"/>
    <w:rsid w:val="004229F8"/>
    <w:rsid w:val="00422A09"/>
    <w:rsid w:val="00422A11"/>
    <w:rsid w:val="00422A5B"/>
    <w:rsid w:val="00422B97"/>
    <w:rsid w:val="00422BC1"/>
    <w:rsid w:val="00422C35"/>
    <w:rsid w:val="00422CC5"/>
    <w:rsid w:val="00422D1D"/>
    <w:rsid w:val="00422DC5"/>
    <w:rsid w:val="00422DF6"/>
    <w:rsid w:val="00422E1B"/>
    <w:rsid w:val="00422E8C"/>
    <w:rsid w:val="00422E8F"/>
    <w:rsid w:val="00422FAA"/>
    <w:rsid w:val="004232EA"/>
    <w:rsid w:val="00423528"/>
    <w:rsid w:val="00423778"/>
    <w:rsid w:val="004237CF"/>
    <w:rsid w:val="004237D5"/>
    <w:rsid w:val="0042387B"/>
    <w:rsid w:val="004238CA"/>
    <w:rsid w:val="004238CD"/>
    <w:rsid w:val="0042397D"/>
    <w:rsid w:val="004239EE"/>
    <w:rsid w:val="00423A53"/>
    <w:rsid w:val="00423A8F"/>
    <w:rsid w:val="00423B01"/>
    <w:rsid w:val="00423D2D"/>
    <w:rsid w:val="00423D39"/>
    <w:rsid w:val="00423E59"/>
    <w:rsid w:val="00423E6F"/>
    <w:rsid w:val="0042404F"/>
    <w:rsid w:val="004240DF"/>
    <w:rsid w:val="004240F9"/>
    <w:rsid w:val="004242DF"/>
    <w:rsid w:val="004243AB"/>
    <w:rsid w:val="00424451"/>
    <w:rsid w:val="0042448F"/>
    <w:rsid w:val="004244B2"/>
    <w:rsid w:val="00424574"/>
    <w:rsid w:val="00424785"/>
    <w:rsid w:val="004247A8"/>
    <w:rsid w:val="004247BF"/>
    <w:rsid w:val="004247E3"/>
    <w:rsid w:val="004247EB"/>
    <w:rsid w:val="00424810"/>
    <w:rsid w:val="0042490C"/>
    <w:rsid w:val="004249E7"/>
    <w:rsid w:val="00424A5F"/>
    <w:rsid w:val="00424A92"/>
    <w:rsid w:val="00424ACF"/>
    <w:rsid w:val="00424BEB"/>
    <w:rsid w:val="00424C0B"/>
    <w:rsid w:val="00424C56"/>
    <w:rsid w:val="00424DAA"/>
    <w:rsid w:val="00424E77"/>
    <w:rsid w:val="00424ECC"/>
    <w:rsid w:val="00424EFF"/>
    <w:rsid w:val="00424F3F"/>
    <w:rsid w:val="00424F9C"/>
    <w:rsid w:val="00425073"/>
    <w:rsid w:val="00425099"/>
    <w:rsid w:val="0042514D"/>
    <w:rsid w:val="0042516D"/>
    <w:rsid w:val="004252EB"/>
    <w:rsid w:val="0042536A"/>
    <w:rsid w:val="0042538A"/>
    <w:rsid w:val="0042543E"/>
    <w:rsid w:val="00425586"/>
    <w:rsid w:val="00425697"/>
    <w:rsid w:val="004256EA"/>
    <w:rsid w:val="00425724"/>
    <w:rsid w:val="004258A3"/>
    <w:rsid w:val="004258E8"/>
    <w:rsid w:val="00425907"/>
    <w:rsid w:val="0042594F"/>
    <w:rsid w:val="00425990"/>
    <w:rsid w:val="00425A2B"/>
    <w:rsid w:val="00425B54"/>
    <w:rsid w:val="00425B8E"/>
    <w:rsid w:val="00425DAD"/>
    <w:rsid w:val="00425DE2"/>
    <w:rsid w:val="00425F77"/>
    <w:rsid w:val="00425FD5"/>
    <w:rsid w:val="00426052"/>
    <w:rsid w:val="00426146"/>
    <w:rsid w:val="004261B9"/>
    <w:rsid w:val="00426403"/>
    <w:rsid w:val="00426474"/>
    <w:rsid w:val="0042648E"/>
    <w:rsid w:val="0042653D"/>
    <w:rsid w:val="00426572"/>
    <w:rsid w:val="0042674A"/>
    <w:rsid w:val="00426764"/>
    <w:rsid w:val="00426799"/>
    <w:rsid w:val="00426812"/>
    <w:rsid w:val="00426908"/>
    <w:rsid w:val="00426ABE"/>
    <w:rsid w:val="00426B05"/>
    <w:rsid w:val="00426D08"/>
    <w:rsid w:val="00426D62"/>
    <w:rsid w:val="00426DB5"/>
    <w:rsid w:val="00426FEB"/>
    <w:rsid w:val="00427153"/>
    <w:rsid w:val="0042719B"/>
    <w:rsid w:val="00427326"/>
    <w:rsid w:val="00427438"/>
    <w:rsid w:val="00427463"/>
    <w:rsid w:val="00427478"/>
    <w:rsid w:val="004274A5"/>
    <w:rsid w:val="0042754B"/>
    <w:rsid w:val="004275B5"/>
    <w:rsid w:val="0042776F"/>
    <w:rsid w:val="00427777"/>
    <w:rsid w:val="004277D0"/>
    <w:rsid w:val="0042780B"/>
    <w:rsid w:val="00427830"/>
    <w:rsid w:val="00427863"/>
    <w:rsid w:val="00427972"/>
    <w:rsid w:val="00427B10"/>
    <w:rsid w:val="00427C31"/>
    <w:rsid w:val="00427C83"/>
    <w:rsid w:val="00427CCC"/>
    <w:rsid w:val="00427D80"/>
    <w:rsid w:val="00427E4E"/>
    <w:rsid w:val="00427E4F"/>
    <w:rsid w:val="00427E64"/>
    <w:rsid w:val="00427F16"/>
    <w:rsid w:val="00430352"/>
    <w:rsid w:val="004304F1"/>
    <w:rsid w:val="00430547"/>
    <w:rsid w:val="00430557"/>
    <w:rsid w:val="004305F8"/>
    <w:rsid w:val="004309D4"/>
    <w:rsid w:val="00430A0D"/>
    <w:rsid w:val="00430A62"/>
    <w:rsid w:val="00430A89"/>
    <w:rsid w:val="00430AB3"/>
    <w:rsid w:val="00430B00"/>
    <w:rsid w:val="00430C56"/>
    <w:rsid w:val="00430C6E"/>
    <w:rsid w:val="00430D8C"/>
    <w:rsid w:val="00430E29"/>
    <w:rsid w:val="00430E92"/>
    <w:rsid w:val="00430E99"/>
    <w:rsid w:val="00430EB6"/>
    <w:rsid w:val="00430FF7"/>
    <w:rsid w:val="00431019"/>
    <w:rsid w:val="0043103A"/>
    <w:rsid w:val="0043138D"/>
    <w:rsid w:val="0043143E"/>
    <w:rsid w:val="0043149B"/>
    <w:rsid w:val="004316CD"/>
    <w:rsid w:val="004318E7"/>
    <w:rsid w:val="004318EE"/>
    <w:rsid w:val="00431990"/>
    <w:rsid w:val="004319E6"/>
    <w:rsid w:val="00431A1E"/>
    <w:rsid w:val="00431A2B"/>
    <w:rsid w:val="00431AEF"/>
    <w:rsid w:val="00431B23"/>
    <w:rsid w:val="00431E27"/>
    <w:rsid w:val="00431E41"/>
    <w:rsid w:val="00431E89"/>
    <w:rsid w:val="004321B4"/>
    <w:rsid w:val="004322DC"/>
    <w:rsid w:val="0043232C"/>
    <w:rsid w:val="0043232D"/>
    <w:rsid w:val="00432341"/>
    <w:rsid w:val="00432520"/>
    <w:rsid w:val="00432578"/>
    <w:rsid w:val="0043263F"/>
    <w:rsid w:val="00432664"/>
    <w:rsid w:val="0043270D"/>
    <w:rsid w:val="00432B34"/>
    <w:rsid w:val="00432DEB"/>
    <w:rsid w:val="00432E06"/>
    <w:rsid w:val="00432E58"/>
    <w:rsid w:val="00432ED7"/>
    <w:rsid w:val="00432FCE"/>
    <w:rsid w:val="00433009"/>
    <w:rsid w:val="0043305B"/>
    <w:rsid w:val="004330A7"/>
    <w:rsid w:val="00433167"/>
    <w:rsid w:val="004331F0"/>
    <w:rsid w:val="00433232"/>
    <w:rsid w:val="004332AC"/>
    <w:rsid w:val="004332EF"/>
    <w:rsid w:val="004334CA"/>
    <w:rsid w:val="004336B7"/>
    <w:rsid w:val="004336C8"/>
    <w:rsid w:val="00433730"/>
    <w:rsid w:val="00433852"/>
    <w:rsid w:val="004338B4"/>
    <w:rsid w:val="004338FC"/>
    <w:rsid w:val="00433971"/>
    <w:rsid w:val="00433AA1"/>
    <w:rsid w:val="00433AD8"/>
    <w:rsid w:val="00433AE1"/>
    <w:rsid w:val="00433B97"/>
    <w:rsid w:val="00433BF8"/>
    <w:rsid w:val="00433EB4"/>
    <w:rsid w:val="00433EF9"/>
    <w:rsid w:val="004340CA"/>
    <w:rsid w:val="004340DF"/>
    <w:rsid w:val="004340EF"/>
    <w:rsid w:val="00434242"/>
    <w:rsid w:val="00434304"/>
    <w:rsid w:val="004343FD"/>
    <w:rsid w:val="00434464"/>
    <w:rsid w:val="0043470B"/>
    <w:rsid w:val="004347C1"/>
    <w:rsid w:val="00434839"/>
    <w:rsid w:val="0043497D"/>
    <w:rsid w:val="004349B4"/>
    <w:rsid w:val="00434A41"/>
    <w:rsid w:val="00434A6D"/>
    <w:rsid w:val="00434A7D"/>
    <w:rsid w:val="00434C38"/>
    <w:rsid w:val="00434C5B"/>
    <w:rsid w:val="00434CEC"/>
    <w:rsid w:val="00434CF0"/>
    <w:rsid w:val="00434D43"/>
    <w:rsid w:val="00434E8E"/>
    <w:rsid w:val="00434FD0"/>
    <w:rsid w:val="00435001"/>
    <w:rsid w:val="0043506B"/>
    <w:rsid w:val="00435375"/>
    <w:rsid w:val="004353DC"/>
    <w:rsid w:val="0043554F"/>
    <w:rsid w:val="004355B5"/>
    <w:rsid w:val="0043585E"/>
    <w:rsid w:val="00435A05"/>
    <w:rsid w:val="00435BB8"/>
    <w:rsid w:val="00435D0D"/>
    <w:rsid w:val="00435D50"/>
    <w:rsid w:val="00435D64"/>
    <w:rsid w:val="00436025"/>
    <w:rsid w:val="00436049"/>
    <w:rsid w:val="00436135"/>
    <w:rsid w:val="004364B9"/>
    <w:rsid w:val="00436530"/>
    <w:rsid w:val="004366CE"/>
    <w:rsid w:val="00436764"/>
    <w:rsid w:val="00436778"/>
    <w:rsid w:val="00436781"/>
    <w:rsid w:val="004367ED"/>
    <w:rsid w:val="00436802"/>
    <w:rsid w:val="0043697A"/>
    <w:rsid w:val="004369A9"/>
    <w:rsid w:val="00436A4A"/>
    <w:rsid w:val="00436AD1"/>
    <w:rsid w:val="00436B1D"/>
    <w:rsid w:val="00436B7B"/>
    <w:rsid w:val="00436D22"/>
    <w:rsid w:val="00436E27"/>
    <w:rsid w:val="00436EF8"/>
    <w:rsid w:val="0043707C"/>
    <w:rsid w:val="00437106"/>
    <w:rsid w:val="00437182"/>
    <w:rsid w:val="004371F9"/>
    <w:rsid w:val="0043735D"/>
    <w:rsid w:val="004373F7"/>
    <w:rsid w:val="004374A0"/>
    <w:rsid w:val="00437567"/>
    <w:rsid w:val="004375C7"/>
    <w:rsid w:val="0043773A"/>
    <w:rsid w:val="00437799"/>
    <w:rsid w:val="004377A2"/>
    <w:rsid w:val="0043785A"/>
    <w:rsid w:val="0043789E"/>
    <w:rsid w:val="00437943"/>
    <w:rsid w:val="0043794B"/>
    <w:rsid w:val="00437A45"/>
    <w:rsid w:val="00437CB5"/>
    <w:rsid w:val="00437D35"/>
    <w:rsid w:val="00437D44"/>
    <w:rsid w:val="00437FC8"/>
    <w:rsid w:val="00440024"/>
    <w:rsid w:val="0044004E"/>
    <w:rsid w:val="0044021E"/>
    <w:rsid w:val="00440232"/>
    <w:rsid w:val="004402C4"/>
    <w:rsid w:val="004402E8"/>
    <w:rsid w:val="004403F7"/>
    <w:rsid w:val="00440631"/>
    <w:rsid w:val="00440665"/>
    <w:rsid w:val="004406E7"/>
    <w:rsid w:val="00440727"/>
    <w:rsid w:val="004408ED"/>
    <w:rsid w:val="00440940"/>
    <w:rsid w:val="00440995"/>
    <w:rsid w:val="004409A9"/>
    <w:rsid w:val="00440A8B"/>
    <w:rsid w:val="00440AC7"/>
    <w:rsid w:val="00440B58"/>
    <w:rsid w:val="00440FC8"/>
    <w:rsid w:val="00441033"/>
    <w:rsid w:val="00441092"/>
    <w:rsid w:val="0044109D"/>
    <w:rsid w:val="004410E7"/>
    <w:rsid w:val="00441100"/>
    <w:rsid w:val="00441191"/>
    <w:rsid w:val="00441387"/>
    <w:rsid w:val="004413D4"/>
    <w:rsid w:val="00441547"/>
    <w:rsid w:val="0044162D"/>
    <w:rsid w:val="004416AE"/>
    <w:rsid w:val="0044176E"/>
    <w:rsid w:val="00441802"/>
    <w:rsid w:val="004418F4"/>
    <w:rsid w:val="0044199F"/>
    <w:rsid w:val="004419FB"/>
    <w:rsid w:val="00441A5D"/>
    <w:rsid w:val="00441ACB"/>
    <w:rsid w:val="00441ACE"/>
    <w:rsid w:val="00441B3D"/>
    <w:rsid w:val="00441B96"/>
    <w:rsid w:val="00441C2B"/>
    <w:rsid w:val="00441CC4"/>
    <w:rsid w:val="00441E7D"/>
    <w:rsid w:val="00441F52"/>
    <w:rsid w:val="00441F55"/>
    <w:rsid w:val="00441F98"/>
    <w:rsid w:val="00442110"/>
    <w:rsid w:val="0044215C"/>
    <w:rsid w:val="00442162"/>
    <w:rsid w:val="0044225D"/>
    <w:rsid w:val="00442299"/>
    <w:rsid w:val="00442341"/>
    <w:rsid w:val="004423EC"/>
    <w:rsid w:val="00442441"/>
    <w:rsid w:val="004424E2"/>
    <w:rsid w:val="004427FC"/>
    <w:rsid w:val="004429F4"/>
    <w:rsid w:val="00442AC2"/>
    <w:rsid w:val="00442BA1"/>
    <w:rsid w:val="00442BB0"/>
    <w:rsid w:val="00442C3D"/>
    <w:rsid w:val="00442C56"/>
    <w:rsid w:val="00442CE9"/>
    <w:rsid w:val="00442DD3"/>
    <w:rsid w:val="00442ECA"/>
    <w:rsid w:val="00442F18"/>
    <w:rsid w:val="00442F92"/>
    <w:rsid w:val="00442FCE"/>
    <w:rsid w:val="00443149"/>
    <w:rsid w:val="0044314C"/>
    <w:rsid w:val="0044325C"/>
    <w:rsid w:val="00443286"/>
    <w:rsid w:val="004432E7"/>
    <w:rsid w:val="0044349C"/>
    <w:rsid w:val="00443501"/>
    <w:rsid w:val="00443647"/>
    <w:rsid w:val="00443649"/>
    <w:rsid w:val="00443686"/>
    <w:rsid w:val="00443760"/>
    <w:rsid w:val="00443870"/>
    <w:rsid w:val="00443960"/>
    <w:rsid w:val="00443982"/>
    <w:rsid w:val="004439BF"/>
    <w:rsid w:val="00443A26"/>
    <w:rsid w:val="00443B51"/>
    <w:rsid w:val="00443B89"/>
    <w:rsid w:val="00443D52"/>
    <w:rsid w:val="00443EB6"/>
    <w:rsid w:val="00443F3D"/>
    <w:rsid w:val="00444047"/>
    <w:rsid w:val="0044413A"/>
    <w:rsid w:val="004443DD"/>
    <w:rsid w:val="0044441F"/>
    <w:rsid w:val="0044449C"/>
    <w:rsid w:val="00444516"/>
    <w:rsid w:val="00444561"/>
    <w:rsid w:val="004445D9"/>
    <w:rsid w:val="004445F3"/>
    <w:rsid w:val="004446CB"/>
    <w:rsid w:val="004446D1"/>
    <w:rsid w:val="004446F8"/>
    <w:rsid w:val="00444774"/>
    <w:rsid w:val="004447E8"/>
    <w:rsid w:val="00444852"/>
    <w:rsid w:val="0044489E"/>
    <w:rsid w:val="0044492A"/>
    <w:rsid w:val="004449A7"/>
    <w:rsid w:val="00444A4D"/>
    <w:rsid w:val="00444C32"/>
    <w:rsid w:val="00444CA5"/>
    <w:rsid w:val="00444D4C"/>
    <w:rsid w:val="00444E74"/>
    <w:rsid w:val="00444F06"/>
    <w:rsid w:val="00444F4A"/>
    <w:rsid w:val="00444FC3"/>
    <w:rsid w:val="00445077"/>
    <w:rsid w:val="004451F1"/>
    <w:rsid w:val="0044537D"/>
    <w:rsid w:val="00445395"/>
    <w:rsid w:val="0044540C"/>
    <w:rsid w:val="0044548F"/>
    <w:rsid w:val="00445548"/>
    <w:rsid w:val="00445587"/>
    <w:rsid w:val="00445641"/>
    <w:rsid w:val="004457DA"/>
    <w:rsid w:val="00445ABC"/>
    <w:rsid w:val="00445B3B"/>
    <w:rsid w:val="00445C1D"/>
    <w:rsid w:val="00445C35"/>
    <w:rsid w:val="00445E0E"/>
    <w:rsid w:val="00445E6A"/>
    <w:rsid w:val="00445EAC"/>
    <w:rsid w:val="00445F20"/>
    <w:rsid w:val="0044600D"/>
    <w:rsid w:val="0044608C"/>
    <w:rsid w:val="0044626D"/>
    <w:rsid w:val="004462BE"/>
    <w:rsid w:val="00446319"/>
    <w:rsid w:val="0044646F"/>
    <w:rsid w:val="00446498"/>
    <w:rsid w:val="004464D7"/>
    <w:rsid w:val="0044650C"/>
    <w:rsid w:val="004465A1"/>
    <w:rsid w:val="00446623"/>
    <w:rsid w:val="00446663"/>
    <w:rsid w:val="004466C8"/>
    <w:rsid w:val="00446752"/>
    <w:rsid w:val="00446772"/>
    <w:rsid w:val="00446786"/>
    <w:rsid w:val="0044683F"/>
    <w:rsid w:val="00446850"/>
    <w:rsid w:val="004468E9"/>
    <w:rsid w:val="004468FE"/>
    <w:rsid w:val="0044694E"/>
    <w:rsid w:val="00446C09"/>
    <w:rsid w:val="00446C6D"/>
    <w:rsid w:val="00446EFA"/>
    <w:rsid w:val="00446F12"/>
    <w:rsid w:val="00446F64"/>
    <w:rsid w:val="00446F8E"/>
    <w:rsid w:val="00446FD5"/>
    <w:rsid w:val="004470CA"/>
    <w:rsid w:val="004472C3"/>
    <w:rsid w:val="004472C7"/>
    <w:rsid w:val="004472D3"/>
    <w:rsid w:val="0044739C"/>
    <w:rsid w:val="004473FB"/>
    <w:rsid w:val="004473FC"/>
    <w:rsid w:val="004477A0"/>
    <w:rsid w:val="00447A4D"/>
    <w:rsid w:val="00447CCE"/>
    <w:rsid w:val="00447D2A"/>
    <w:rsid w:val="00447D39"/>
    <w:rsid w:val="00447E6D"/>
    <w:rsid w:val="0045009A"/>
    <w:rsid w:val="00450174"/>
    <w:rsid w:val="004502B1"/>
    <w:rsid w:val="00450400"/>
    <w:rsid w:val="00450458"/>
    <w:rsid w:val="0045049F"/>
    <w:rsid w:val="004504A6"/>
    <w:rsid w:val="00450658"/>
    <w:rsid w:val="004506CE"/>
    <w:rsid w:val="00450751"/>
    <w:rsid w:val="0045086D"/>
    <w:rsid w:val="00450874"/>
    <w:rsid w:val="004509EC"/>
    <w:rsid w:val="00450A93"/>
    <w:rsid w:val="00450AC1"/>
    <w:rsid w:val="00450CF9"/>
    <w:rsid w:val="00450DB2"/>
    <w:rsid w:val="00450FE1"/>
    <w:rsid w:val="00451142"/>
    <w:rsid w:val="0045118C"/>
    <w:rsid w:val="0045119C"/>
    <w:rsid w:val="0045120E"/>
    <w:rsid w:val="00451212"/>
    <w:rsid w:val="004512AC"/>
    <w:rsid w:val="00451313"/>
    <w:rsid w:val="00451405"/>
    <w:rsid w:val="00451438"/>
    <w:rsid w:val="004515F5"/>
    <w:rsid w:val="0045165C"/>
    <w:rsid w:val="00451734"/>
    <w:rsid w:val="00451767"/>
    <w:rsid w:val="004517BD"/>
    <w:rsid w:val="004518B9"/>
    <w:rsid w:val="00451912"/>
    <w:rsid w:val="00451955"/>
    <w:rsid w:val="00451962"/>
    <w:rsid w:val="004519CD"/>
    <w:rsid w:val="00451A67"/>
    <w:rsid w:val="00451A72"/>
    <w:rsid w:val="00451BEA"/>
    <w:rsid w:val="00451C29"/>
    <w:rsid w:val="00451E9E"/>
    <w:rsid w:val="00451EE8"/>
    <w:rsid w:val="00451EEC"/>
    <w:rsid w:val="00451F55"/>
    <w:rsid w:val="00451FD6"/>
    <w:rsid w:val="0045222B"/>
    <w:rsid w:val="0045224E"/>
    <w:rsid w:val="00452284"/>
    <w:rsid w:val="004522C2"/>
    <w:rsid w:val="00452419"/>
    <w:rsid w:val="00452442"/>
    <w:rsid w:val="004526B3"/>
    <w:rsid w:val="00452793"/>
    <w:rsid w:val="0045282F"/>
    <w:rsid w:val="004529AF"/>
    <w:rsid w:val="00452A86"/>
    <w:rsid w:val="00452A95"/>
    <w:rsid w:val="00452B11"/>
    <w:rsid w:val="00452C66"/>
    <w:rsid w:val="00452D07"/>
    <w:rsid w:val="00452DF0"/>
    <w:rsid w:val="00452EC2"/>
    <w:rsid w:val="00452F20"/>
    <w:rsid w:val="00452F60"/>
    <w:rsid w:val="00452F6E"/>
    <w:rsid w:val="00452F92"/>
    <w:rsid w:val="00453094"/>
    <w:rsid w:val="004530A2"/>
    <w:rsid w:val="004531E5"/>
    <w:rsid w:val="00453385"/>
    <w:rsid w:val="00453650"/>
    <w:rsid w:val="004536E6"/>
    <w:rsid w:val="00453759"/>
    <w:rsid w:val="00453790"/>
    <w:rsid w:val="00453858"/>
    <w:rsid w:val="0045392D"/>
    <w:rsid w:val="00453949"/>
    <w:rsid w:val="00453966"/>
    <w:rsid w:val="004539D4"/>
    <w:rsid w:val="004539FD"/>
    <w:rsid w:val="00453ADC"/>
    <w:rsid w:val="00453B28"/>
    <w:rsid w:val="00453CC2"/>
    <w:rsid w:val="00453E02"/>
    <w:rsid w:val="0045408F"/>
    <w:rsid w:val="0045410E"/>
    <w:rsid w:val="004541AA"/>
    <w:rsid w:val="00454206"/>
    <w:rsid w:val="00454228"/>
    <w:rsid w:val="00454317"/>
    <w:rsid w:val="0045431A"/>
    <w:rsid w:val="004544DA"/>
    <w:rsid w:val="004544ED"/>
    <w:rsid w:val="0045470A"/>
    <w:rsid w:val="004547CB"/>
    <w:rsid w:val="004547F2"/>
    <w:rsid w:val="00454869"/>
    <w:rsid w:val="004549B8"/>
    <w:rsid w:val="00454A25"/>
    <w:rsid w:val="00454AD5"/>
    <w:rsid w:val="00454AE8"/>
    <w:rsid w:val="00454B7A"/>
    <w:rsid w:val="00454DAD"/>
    <w:rsid w:val="00454EA2"/>
    <w:rsid w:val="00454F91"/>
    <w:rsid w:val="00455041"/>
    <w:rsid w:val="0045506C"/>
    <w:rsid w:val="004552BB"/>
    <w:rsid w:val="004552C2"/>
    <w:rsid w:val="0045532A"/>
    <w:rsid w:val="004553FF"/>
    <w:rsid w:val="0045545F"/>
    <w:rsid w:val="004554AF"/>
    <w:rsid w:val="004554F8"/>
    <w:rsid w:val="00455515"/>
    <w:rsid w:val="00455788"/>
    <w:rsid w:val="004558DA"/>
    <w:rsid w:val="00455B03"/>
    <w:rsid w:val="00455B72"/>
    <w:rsid w:val="00455BD1"/>
    <w:rsid w:val="00455C67"/>
    <w:rsid w:val="00455E2C"/>
    <w:rsid w:val="00455E6F"/>
    <w:rsid w:val="00455EC8"/>
    <w:rsid w:val="00455F01"/>
    <w:rsid w:val="00455F0B"/>
    <w:rsid w:val="00455F52"/>
    <w:rsid w:val="00455F58"/>
    <w:rsid w:val="00455F6E"/>
    <w:rsid w:val="00456039"/>
    <w:rsid w:val="004562D5"/>
    <w:rsid w:val="0045632D"/>
    <w:rsid w:val="0045638D"/>
    <w:rsid w:val="004563C6"/>
    <w:rsid w:val="0045649E"/>
    <w:rsid w:val="004565E3"/>
    <w:rsid w:val="004565EA"/>
    <w:rsid w:val="004565ED"/>
    <w:rsid w:val="0045671C"/>
    <w:rsid w:val="004567AA"/>
    <w:rsid w:val="004568AD"/>
    <w:rsid w:val="00456951"/>
    <w:rsid w:val="00456A59"/>
    <w:rsid w:val="00456A78"/>
    <w:rsid w:val="00456B12"/>
    <w:rsid w:val="00456B25"/>
    <w:rsid w:val="00456B7C"/>
    <w:rsid w:val="00456BCD"/>
    <w:rsid w:val="00456D2F"/>
    <w:rsid w:val="00456DE9"/>
    <w:rsid w:val="00456E3A"/>
    <w:rsid w:val="00456E72"/>
    <w:rsid w:val="00456F9F"/>
    <w:rsid w:val="0045712A"/>
    <w:rsid w:val="0045722C"/>
    <w:rsid w:val="0045734E"/>
    <w:rsid w:val="00457380"/>
    <w:rsid w:val="00457521"/>
    <w:rsid w:val="00457530"/>
    <w:rsid w:val="0045774D"/>
    <w:rsid w:val="004577E3"/>
    <w:rsid w:val="004579D5"/>
    <w:rsid w:val="00457B37"/>
    <w:rsid w:val="00457B3E"/>
    <w:rsid w:val="00457BE9"/>
    <w:rsid w:val="00457E5D"/>
    <w:rsid w:val="00457ED9"/>
    <w:rsid w:val="00460082"/>
    <w:rsid w:val="004600C8"/>
    <w:rsid w:val="004600E2"/>
    <w:rsid w:val="00460147"/>
    <w:rsid w:val="00460190"/>
    <w:rsid w:val="0046026B"/>
    <w:rsid w:val="004602B2"/>
    <w:rsid w:val="004603A5"/>
    <w:rsid w:val="0046044D"/>
    <w:rsid w:val="00460668"/>
    <w:rsid w:val="00460679"/>
    <w:rsid w:val="00460699"/>
    <w:rsid w:val="004606CE"/>
    <w:rsid w:val="0046074A"/>
    <w:rsid w:val="004607E0"/>
    <w:rsid w:val="004608BD"/>
    <w:rsid w:val="00460950"/>
    <w:rsid w:val="0046095C"/>
    <w:rsid w:val="00460A8A"/>
    <w:rsid w:val="00460AE0"/>
    <w:rsid w:val="00460C7A"/>
    <w:rsid w:val="00460CEF"/>
    <w:rsid w:val="00460D34"/>
    <w:rsid w:val="00460DE2"/>
    <w:rsid w:val="00460FFC"/>
    <w:rsid w:val="0046102B"/>
    <w:rsid w:val="00461089"/>
    <w:rsid w:val="004610C6"/>
    <w:rsid w:val="004610DB"/>
    <w:rsid w:val="004613B2"/>
    <w:rsid w:val="004613E9"/>
    <w:rsid w:val="00461503"/>
    <w:rsid w:val="0046152C"/>
    <w:rsid w:val="00461633"/>
    <w:rsid w:val="004616FC"/>
    <w:rsid w:val="00461747"/>
    <w:rsid w:val="004618E7"/>
    <w:rsid w:val="00461C55"/>
    <w:rsid w:val="00461E6C"/>
    <w:rsid w:val="00461E9B"/>
    <w:rsid w:val="00461F19"/>
    <w:rsid w:val="00461F3D"/>
    <w:rsid w:val="004620F7"/>
    <w:rsid w:val="00462247"/>
    <w:rsid w:val="00462311"/>
    <w:rsid w:val="00462447"/>
    <w:rsid w:val="0046245F"/>
    <w:rsid w:val="00462469"/>
    <w:rsid w:val="00462471"/>
    <w:rsid w:val="0046248C"/>
    <w:rsid w:val="00462493"/>
    <w:rsid w:val="00462652"/>
    <w:rsid w:val="0046266A"/>
    <w:rsid w:val="00462691"/>
    <w:rsid w:val="0046298B"/>
    <w:rsid w:val="00462B47"/>
    <w:rsid w:val="00462BE1"/>
    <w:rsid w:val="00462E7B"/>
    <w:rsid w:val="00462F49"/>
    <w:rsid w:val="004630F7"/>
    <w:rsid w:val="004632FF"/>
    <w:rsid w:val="0046355B"/>
    <w:rsid w:val="00463686"/>
    <w:rsid w:val="004636E4"/>
    <w:rsid w:val="0046388A"/>
    <w:rsid w:val="00463A5D"/>
    <w:rsid w:val="00463B70"/>
    <w:rsid w:val="00463EB1"/>
    <w:rsid w:val="004641CE"/>
    <w:rsid w:val="004641F3"/>
    <w:rsid w:val="0046434F"/>
    <w:rsid w:val="00464365"/>
    <w:rsid w:val="00464556"/>
    <w:rsid w:val="00464592"/>
    <w:rsid w:val="004647ED"/>
    <w:rsid w:val="00464904"/>
    <w:rsid w:val="00464967"/>
    <w:rsid w:val="00464A77"/>
    <w:rsid w:val="00464B4C"/>
    <w:rsid w:val="00464B7D"/>
    <w:rsid w:val="00464CA7"/>
    <w:rsid w:val="00464CE3"/>
    <w:rsid w:val="00464DAC"/>
    <w:rsid w:val="00464F6D"/>
    <w:rsid w:val="00464FD4"/>
    <w:rsid w:val="00465014"/>
    <w:rsid w:val="0046508B"/>
    <w:rsid w:val="004650CD"/>
    <w:rsid w:val="0046521C"/>
    <w:rsid w:val="004652E3"/>
    <w:rsid w:val="004653E5"/>
    <w:rsid w:val="00465547"/>
    <w:rsid w:val="0046555F"/>
    <w:rsid w:val="00465643"/>
    <w:rsid w:val="004656F2"/>
    <w:rsid w:val="0046578B"/>
    <w:rsid w:val="004657C0"/>
    <w:rsid w:val="0046589D"/>
    <w:rsid w:val="00465932"/>
    <w:rsid w:val="00465AB7"/>
    <w:rsid w:val="00465BF5"/>
    <w:rsid w:val="00465C71"/>
    <w:rsid w:val="00465CAC"/>
    <w:rsid w:val="00465DE3"/>
    <w:rsid w:val="00465EAE"/>
    <w:rsid w:val="004660A0"/>
    <w:rsid w:val="00466136"/>
    <w:rsid w:val="00466141"/>
    <w:rsid w:val="0046614E"/>
    <w:rsid w:val="00466156"/>
    <w:rsid w:val="004661D4"/>
    <w:rsid w:val="0046622C"/>
    <w:rsid w:val="004662C2"/>
    <w:rsid w:val="004663E4"/>
    <w:rsid w:val="004665DB"/>
    <w:rsid w:val="004666E6"/>
    <w:rsid w:val="004666F5"/>
    <w:rsid w:val="004666F7"/>
    <w:rsid w:val="0046685D"/>
    <w:rsid w:val="00466877"/>
    <w:rsid w:val="00466A23"/>
    <w:rsid w:val="00466BF1"/>
    <w:rsid w:val="0046711E"/>
    <w:rsid w:val="0046717D"/>
    <w:rsid w:val="004671A3"/>
    <w:rsid w:val="0046735B"/>
    <w:rsid w:val="004675FA"/>
    <w:rsid w:val="0046762D"/>
    <w:rsid w:val="0046776D"/>
    <w:rsid w:val="00467A03"/>
    <w:rsid w:val="00467BAD"/>
    <w:rsid w:val="00467DD9"/>
    <w:rsid w:val="00467DDB"/>
    <w:rsid w:val="00467EB1"/>
    <w:rsid w:val="00467F17"/>
    <w:rsid w:val="00467F3A"/>
    <w:rsid w:val="00467F95"/>
    <w:rsid w:val="00467FC7"/>
    <w:rsid w:val="0047016C"/>
    <w:rsid w:val="00470178"/>
    <w:rsid w:val="00470250"/>
    <w:rsid w:val="00470263"/>
    <w:rsid w:val="004702DD"/>
    <w:rsid w:val="004702FF"/>
    <w:rsid w:val="00470480"/>
    <w:rsid w:val="00470484"/>
    <w:rsid w:val="004707B1"/>
    <w:rsid w:val="004707DE"/>
    <w:rsid w:val="00470808"/>
    <w:rsid w:val="004708E7"/>
    <w:rsid w:val="00470ADD"/>
    <w:rsid w:val="00470B81"/>
    <w:rsid w:val="0047113B"/>
    <w:rsid w:val="00471155"/>
    <w:rsid w:val="00471176"/>
    <w:rsid w:val="004711AA"/>
    <w:rsid w:val="00471225"/>
    <w:rsid w:val="004712F3"/>
    <w:rsid w:val="004712F8"/>
    <w:rsid w:val="00471458"/>
    <w:rsid w:val="0047146E"/>
    <w:rsid w:val="00471484"/>
    <w:rsid w:val="004714DC"/>
    <w:rsid w:val="004716F6"/>
    <w:rsid w:val="0047170E"/>
    <w:rsid w:val="004717EA"/>
    <w:rsid w:val="00471871"/>
    <w:rsid w:val="0047188B"/>
    <w:rsid w:val="00471A52"/>
    <w:rsid w:val="00471A6C"/>
    <w:rsid w:val="00471BBB"/>
    <w:rsid w:val="00471C58"/>
    <w:rsid w:val="00471CF1"/>
    <w:rsid w:val="00471DC0"/>
    <w:rsid w:val="00471F24"/>
    <w:rsid w:val="00471F55"/>
    <w:rsid w:val="00471F97"/>
    <w:rsid w:val="00472199"/>
    <w:rsid w:val="004721B0"/>
    <w:rsid w:val="00472201"/>
    <w:rsid w:val="0047226A"/>
    <w:rsid w:val="0047233A"/>
    <w:rsid w:val="004723A1"/>
    <w:rsid w:val="00472621"/>
    <w:rsid w:val="00472780"/>
    <w:rsid w:val="004728B5"/>
    <w:rsid w:val="004728E8"/>
    <w:rsid w:val="0047298F"/>
    <w:rsid w:val="004729C9"/>
    <w:rsid w:val="00472A39"/>
    <w:rsid w:val="00472AE2"/>
    <w:rsid w:val="00472AFB"/>
    <w:rsid w:val="00472B73"/>
    <w:rsid w:val="00472BA5"/>
    <w:rsid w:val="00472CC8"/>
    <w:rsid w:val="00472CF1"/>
    <w:rsid w:val="00472D6E"/>
    <w:rsid w:val="00472E42"/>
    <w:rsid w:val="00472F1B"/>
    <w:rsid w:val="004730E3"/>
    <w:rsid w:val="00473159"/>
    <w:rsid w:val="00473167"/>
    <w:rsid w:val="0047319E"/>
    <w:rsid w:val="004731AB"/>
    <w:rsid w:val="0047326B"/>
    <w:rsid w:val="004732F4"/>
    <w:rsid w:val="004733A7"/>
    <w:rsid w:val="004733B2"/>
    <w:rsid w:val="004733C6"/>
    <w:rsid w:val="0047344C"/>
    <w:rsid w:val="0047347D"/>
    <w:rsid w:val="00473486"/>
    <w:rsid w:val="0047353B"/>
    <w:rsid w:val="00473557"/>
    <w:rsid w:val="00473571"/>
    <w:rsid w:val="004736BE"/>
    <w:rsid w:val="004736CF"/>
    <w:rsid w:val="0047375C"/>
    <w:rsid w:val="0047375D"/>
    <w:rsid w:val="00473801"/>
    <w:rsid w:val="00473814"/>
    <w:rsid w:val="00473A16"/>
    <w:rsid w:val="00473AB7"/>
    <w:rsid w:val="00473B37"/>
    <w:rsid w:val="00473B3A"/>
    <w:rsid w:val="00473BCD"/>
    <w:rsid w:val="00473C14"/>
    <w:rsid w:val="00473C82"/>
    <w:rsid w:val="00473D55"/>
    <w:rsid w:val="00473D6D"/>
    <w:rsid w:val="00473F14"/>
    <w:rsid w:val="00474027"/>
    <w:rsid w:val="004740D4"/>
    <w:rsid w:val="0047410F"/>
    <w:rsid w:val="00474345"/>
    <w:rsid w:val="0047434A"/>
    <w:rsid w:val="0047470F"/>
    <w:rsid w:val="00474765"/>
    <w:rsid w:val="0047479A"/>
    <w:rsid w:val="004747D4"/>
    <w:rsid w:val="00474857"/>
    <w:rsid w:val="00474938"/>
    <w:rsid w:val="0047496E"/>
    <w:rsid w:val="00474A48"/>
    <w:rsid w:val="00474B65"/>
    <w:rsid w:val="00474D24"/>
    <w:rsid w:val="00474D5E"/>
    <w:rsid w:val="00474F6F"/>
    <w:rsid w:val="00475039"/>
    <w:rsid w:val="0047517A"/>
    <w:rsid w:val="0047522A"/>
    <w:rsid w:val="00475264"/>
    <w:rsid w:val="00475271"/>
    <w:rsid w:val="004752B2"/>
    <w:rsid w:val="004752BD"/>
    <w:rsid w:val="004752D3"/>
    <w:rsid w:val="0047531B"/>
    <w:rsid w:val="00475518"/>
    <w:rsid w:val="0047560A"/>
    <w:rsid w:val="00475722"/>
    <w:rsid w:val="0047582A"/>
    <w:rsid w:val="004759EC"/>
    <w:rsid w:val="00475A5E"/>
    <w:rsid w:val="00475B1A"/>
    <w:rsid w:val="00475B78"/>
    <w:rsid w:val="00475B88"/>
    <w:rsid w:val="00475CEA"/>
    <w:rsid w:val="00475D67"/>
    <w:rsid w:val="00475E01"/>
    <w:rsid w:val="00475FD6"/>
    <w:rsid w:val="00476005"/>
    <w:rsid w:val="00476266"/>
    <w:rsid w:val="0047637E"/>
    <w:rsid w:val="0047643B"/>
    <w:rsid w:val="0047651E"/>
    <w:rsid w:val="00476521"/>
    <w:rsid w:val="004765FC"/>
    <w:rsid w:val="00476609"/>
    <w:rsid w:val="0047688A"/>
    <w:rsid w:val="004768C8"/>
    <w:rsid w:val="00476999"/>
    <w:rsid w:val="0047699C"/>
    <w:rsid w:val="00476AAA"/>
    <w:rsid w:val="00476B7B"/>
    <w:rsid w:val="00476BD3"/>
    <w:rsid w:val="00476D9B"/>
    <w:rsid w:val="00476E4B"/>
    <w:rsid w:val="00476E63"/>
    <w:rsid w:val="00476EAE"/>
    <w:rsid w:val="00476F2F"/>
    <w:rsid w:val="00476FA6"/>
    <w:rsid w:val="00476FAA"/>
    <w:rsid w:val="00476FE0"/>
    <w:rsid w:val="00477010"/>
    <w:rsid w:val="00477141"/>
    <w:rsid w:val="004771B3"/>
    <w:rsid w:val="004772B9"/>
    <w:rsid w:val="004773EB"/>
    <w:rsid w:val="00477466"/>
    <w:rsid w:val="00477499"/>
    <w:rsid w:val="004774D9"/>
    <w:rsid w:val="0047764E"/>
    <w:rsid w:val="0047769F"/>
    <w:rsid w:val="00477730"/>
    <w:rsid w:val="004777FD"/>
    <w:rsid w:val="00477825"/>
    <w:rsid w:val="0047783B"/>
    <w:rsid w:val="00477952"/>
    <w:rsid w:val="0047795F"/>
    <w:rsid w:val="00477F4C"/>
    <w:rsid w:val="00480209"/>
    <w:rsid w:val="00480253"/>
    <w:rsid w:val="00480292"/>
    <w:rsid w:val="00480297"/>
    <w:rsid w:val="004802F7"/>
    <w:rsid w:val="00480319"/>
    <w:rsid w:val="0048038B"/>
    <w:rsid w:val="0048050D"/>
    <w:rsid w:val="00480655"/>
    <w:rsid w:val="00480836"/>
    <w:rsid w:val="004809DD"/>
    <w:rsid w:val="00480AAE"/>
    <w:rsid w:val="00480B0C"/>
    <w:rsid w:val="00480B15"/>
    <w:rsid w:val="00480B1D"/>
    <w:rsid w:val="00480CA7"/>
    <w:rsid w:val="00480D5D"/>
    <w:rsid w:val="00480F54"/>
    <w:rsid w:val="00480F6A"/>
    <w:rsid w:val="00481227"/>
    <w:rsid w:val="004812B2"/>
    <w:rsid w:val="0048135A"/>
    <w:rsid w:val="00481376"/>
    <w:rsid w:val="0048137D"/>
    <w:rsid w:val="00481438"/>
    <w:rsid w:val="00481459"/>
    <w:rsid w:val="004814DF"/>
    <w:rsid w:val="00481538"/>
    <w:rsid w:val="004816E9"/>
    <w:rsid w:val="00481739"/>
    <w:rsid w:val="00481766"/>
    <w:rsid w:val="004817CA"/>
    <w:rsid w:val="00481BC6"/>
    <w:rsid w:val="00481C2D"/>
    <w:rsid w:val="00481D1C"/>
    <w:rsid w:val="00481D2E"/>
    <w:rsid w:val="00481D76"/>
    <w:rsid w:val="00481DBB"/>
    <w:rsid w:val="00481E93"/>
    <w:rsid w:val="00481E98"/>
    <w:rsid w:val="00481F07"/>
    <w:rsid w:val="0048203A"/>
    <w:rsid w:val="004821B8"/>
    <w:rsid w:val="00482245"/>
    <w:rsid w:val="00482270"/>
    <w:rsid w:val="004822B3"/>
    <w:rsid w:val="0048231D"/>
    <w:rsid w:val="004823D5"/>
    <w:rsid w:val="004824A7"/>
    <w:rsid w:val="004824C4"/>
    <w:rsid w:val="004825B3"/>
    <w:rsid w:val="00482787"/>
    <w:rsid w:val="004827BB"/>
    <w:rsid w:val="00482938"/>
    <w:rsid w:val="00482993"/>
    <w:rsid w:val="004829A6"/>
    <w:rsid w:val="00482A6F"/>
    <w:rsid w:val="00482B22"/>
    <w:rsid w:val="00482B74"/>
    <w:rsid w:val="00482CB2"/>
    <w:rsid w:val="00482DAF"/>
    <w:rsid w:val="00482E0E"/>
    <w:rsid w:val="00482EC2"/>
    <w:rsid w:val="00482FB1"/>
    <w:rsid w:val="00483060"/>
    <w:rsid w:val="00483106"/>
    <w:rsid w:val="00483133"/>
    <w:rsid w:val="004831E3"/>
    <w:rsid w:val="00483305"/>
    <w:rsid w:val="00483329"/>
    <w:rsid w:val="0048344D"/>
    <w:rsid w:val="004834B1"/>
    <w:rsid w:val="004834F7"/>
    <w:rsid w:val="0048368A"/>
    <w:rsid w:val="004836F9"/>
    <w:rsid w:val="00483768"/>
    <w:rsid w:val="004837A0"/>
    <w:rsid w:val="0048381C"/>
    <w:rsid w:val="00483878"/>
    <w:rsid w:val="00483879"/>
    <w:rsid w:val="004839BD"/>
    <w:rsid w:val="00483EB9"/>
    <w:rsid w:val="00483ECC"/>
    <w:rsid w:val="00483EF1"/>
    <w:rsid w:val="0048421E"/>
    <w:rsid w:val="0048432C"/>
    <w:rsid w:val="004843B4"/>
    <w:rsid w:val="004843EB"/>
    <w:rsid w:val="0048441B"/>
    <w:rsid w:val="0048444C"/>
    <w:rsid w:val="00484510"/>
    <w:rsid w:val="00484518"/>
    <w:rsid w:val="004845C1"/>
    <w:rsid w:val="004845EE"/>
    <w:rsid w:val="00484624"/>
    <w:rsid w:val="0048462B"/>
    <w:rsid w:val="00484659"/>
    <w:rsid w:val="00484662"/>
    <w:rsid w:val="00484AB9"/>
    <w:rsid w:val="00484B0E"/>
    <w:rsid w:val="00484B8E"/>
    <w:rsid w:val="00484CFF"/>
    <w:rsid w:val="00484DF0"/>
    <w:rsid w:val="00484EB7"/>
    <w:rsid w:val="00484F4F"/>
    <w:rsid w:val="00485013"/>
    <w:rsid w:val="004850F5"/>
    <w:rsid w:val="00485223"/>
    <w:rsid w:val="00485315"/>
    <w:rsid w:val="00485510"/>
    <w:rsid w:val="004855DC"/>
    <w:rsid w:val="004857A8"/>
    <w:rsid w:val="004857A9"/>
    <w:rsid w:val="00485816"/>
    <w:rsid w:val="004859FE"/>
    <w:rsid w:val="00485A2C"/>
    <w:rsid w:val="00485ADB"/>
    <w:rsid w:val="00485B9C"/>
    <w:rsid w:val="00485CE9"/>
    <w:rsid w:val="00485D8B"/>
    <w:rsid w:val="00485E31"/>
    <w:rsid w:val="00485F8B"/>
    <w:rsid w:val="004860FD"/>
    <w:rsid w:val="004861E5"/>
    <w:rsid w:val="00486248"/>
    <w:rsid w:val="004863AC"/>
    <w:rsid w:val="004863B8"/>
    <w:rsid w:val="0048645B"/>
    <w:rsid w:val="0048656B"/>
    <w:rsid w:val="00486572"/>
    <w:rsid w:val="004866F9"/>
    <w:rsid w:val="00486779"/>
    <w:rsid w:val="004867E2"/>
    <w:rsid w:val="00486820"/>
    <w:rsid w:val="004868A7"/>
    <w:rsid w:val="00486AFA"/>
    <w:rsid w:val="00486CAE"/>
    <w:rsid w:val="00486D5A"/>
    <w:rsid w:val="00486E07"/>
    <w:rsid w:val="00486E5A"/>
    <w:rsid w:val="00486E95"/>
    <w:rsid w:val="00486F3B"/>
    <w:rsid w:val="00486F9F"/>
    <w:rsid w:val="004870B6"/>
    <w:rsid w:val="004870BF"/>
    <w:rsid w:val="004871B0"/>
    <w:rsid w:val="00487262"/>
    <w:rsid w:val="00487350"/>
    <w:rsid w:val="00487392"/>
    <w:rsid w:val="004873A9"/>
    <w:rsid w:val="00487557"/>
    <w:rsid w:val="00487664"/>
    <w:rsid w:val="00487688"/>
    <w:rsid w:val="0048770A"/>
    <w:rsid w:val="00487797"/>
    <w:rsid w:val="0048786C"/>
    <w:rsid w:val="004878E0"/>
    <w:rsid w:val="00487971"/>
    <w:rsid w:val="004879AA"/>
    <w:rsid w:val="00487A4C"/>
    <w:rsid w:val="00487AF7"/>
    <w:rsid w:val="00487B10"/>
    <w:rsid w:val="00487BBB"/>
    <w:rsid w:val="00487CA2"/>
    <w:rsid w:val="00487D28"/>
    <w:rsid w:val="00487DA8"/>
    <w:rsid w:val="00487E73"/>
    <w:rsid w:val="00487F7C"/>
    <w:rsid w:val="00487FF8"/>
    <w:rsid w:val="004900A8"/>
    <w:rsid w:val="00490135"/>
    <w:rsid w:val="00490225"/>
    <w:rsid w:val="00490353"/>
    <w:rsid w:val="0049046A"/>
    <w:rsid w:val="00490748"/>
    <w:rsid w:val="004908C1"/>
    <w:rsid w:val="0049090B"/>
    <w:rsid w:val="00490914"/>
    <w:rsid w:val="0049091A"/>
    <w:rsid w:val="004909A2"/>
    <w:rsid w:val="004909E6"/>
    <w:rsid w:val="00490A40"/>
    <w:rsid w:val="00490A6F"/>
    <w:rsid w:val="00490AE8"/>
    <w:rsid w:val="00490DB9"/>
    <w:rsid w:val="00490DFF"/>
    <w:rsid w:val="00490E19"/>
    <w:rsid w:val="00490ECC"/>
    <w:rsid w:val="00490F61"/>
    <w:rsid w:val="00490FF5"/>
    <w:rsid w:val="00491070"/>
    <w:rsid w:val="004910CC"/>
    <w:rsid w:val="0049110D"/>
    <w:rsid w:val="004911A8"/>
    <w:rsid w:val="004912C8"/>
    <w:rsid w:val="0049144E"/>
    <w:rsid w:val="00491482"/>
    <w:rsid w:val="004914BF"/>
    <w:rsid w:val="00491516"/>
    <w:rsid w:val="0049153A"/>
    <w:rsid w:val="00491613"/>
    <w:rsid w:val="00491808"/>
    <w:rsid w:val="00491897"/>
    <w:rsid w:val="004918A8"/>
    <w:rsid w:val="0049197E"/>
    <w:rsid w:val="004919E0"/>
    <w:rsid w:val="00491A58"/>
    <w:rsid w:val="00491B22"/>
    <w:rsid w:val="00491B49"/>
    <w:rsid w:val="00491B63"/>
    <w:rsid w:val="00491BEB"/>
    <w:rsid w:val="00491C4D"/>
    <w:rsid w:val="00491C7E"/>
    <w:rsid w:val="00491CCC"/>
    <w:rsid w:val="00491D03"/>
    <w:rsid w:val="00491E15"/>
    <w:rsid w:val="00492012"/>
    <w:rsid w:val="00492054"/>
    <w:rsid w:val="00492081"/>
    <w:rsid w:val="0049215F"/>
    <w:rsid w:val="004921A5"/>
    <w:rsid w:val="004921E7"/>
    <w:rsid w:val="00492362"/>
    <w:rsid w:val="00492386"/>
    <w:rsid w:val="0049254E"/>
    <w:rsid w:val="00492578"/>
    <w:rsid w:val="004925DE"/>
    <w:rsid w:val="0049265B"/>
    <w:rsid w:val="004926EA"/>
    <w:rsid w:val="004926EF"/>
    <w:rsid w:val="00492894"/>
    <w:rsid w:val="00492937"/>
    <w:rsid w:val="00492A44"/>
    <w:rsid w:val="00492B42"/>
    <w:rsid w:val="00492BB1"/>
    <w:rsid w:val="00492C10"/>
    <w:rsid w:val="00492EC4"/>
    <w:rsid w:val="0049327D"/>
    <w:rsid w:val="004932F2"/>
    <w:rsid w:val="004935A5"/>
    <w:rsid w:val="00493617"/>
    <w:rsid w:val="00493696"/>
    <w:rsid w:val="004936D2"/>
    <w:rsid w:val="0049377E"/>
    <w:rsid w:val="004937B1"/>
    <w:rsid w:val="004937E9"/>
    <w:rsid w:val="00493833"/>
    <w:rsid w:val="004938D0"/>
    <w:rsid w:val="00493AF9"/>
    <w:rsid w:val="00493B23"/>
    <w:rsid w:val="00493B4F"/>
    <w:rsid w:val="00493B96"/>
    <w:rsid w:val="00493BB3"/>
    <w:rsid w:val="00493E84"/>
    <w:rsid w:val="00493F74"/>
    <w:rsid w:val="00494068"/>
    <w:rsid w:val="00494093"/>
    <w:rsid w:val="004940A4"/>
    <w:rsid w:val="00494139"/>
    <w:rsid w:val="00494214"/>
    <w:rsid w:val="004942B5"/>
    <w:rsid w:val="00494383"/>
    <w:rsid w:val="00494397"/>
    <w:rsid w:val="004943A5"/>
    <w:rsid w:val="00494536"/>
    <w:rsid w:val="00494655"/>
    <w:rsid w:val="00494712"/>
    <w:rsid w:val="004947A5"/>
    <w:rsid w:val="0049487B"/>
    <w:rsid w:val="0049489B"/>
    <w:rsid w:val="004949D7"/>
    <w:rsid w:val="004949EE"/>
    <w:rsid w:val="00494A47"/>
    <w:rsid w:val="00494AE5"/>
    <w:rsid w:val="00494C65"/>
    <w:rsid w:val="00494D21"/>
    <w:rsid w:val="00494E21"/>
    <w:rsid w:val="00494F67"/>
    <w:rsid w:val="00494FF8"/>
    <w:rsid w:val="0049500E"/>
    <w:rsid w:val="00495106"/>
    <w:rsid w:val="00495196"/>
    <w:rsid w:val="00495291"/>
    <w:rsid w:val="004953FD"/>
    <w:rsid w:val="0049540C"/>
    <w:rsid w:val="004954EA"/>
    <w:rsid w:val="0049577B"/>
    <w:rsid w:val="0049581B"/>
    <w:rsid w:val="004958F3"/>
    <w:rsid w:val="00495908"/>
    <w:rsid w:val="00495951"/>
    <w:rsid w:val="0049599C"/>
    <w:rsid w:val="00495B1D"/>
    <w:rsid w:val="00495B3D"/>
    <w:rsid w:val="00495B8D"/>
    <w:rsid w:val="00495C67"/>
    <w:rsid w:val="00495CE3"/>
    <w:rsid w:val="00495DAF"/>
    <w:rsid w:val="00495EF4"/>
    <w:rsid w:val="00495EF8"/>
    <w:rsid w:val="0049610D"/>
    <w:rsid w:val="00496303"/>
    <w:rsid w:val="00496377"/>
    <w:rsid w:val="004963D0"/>
    <w:rsid w:val="00496504"/>
    <w:rsid w:val="00496578"/>
    <w:rsid w:val="004965FB"/>
    <w:rsid w:val="004966C5"/>
    <w:rsid w:val="004967FA"/>
    <w:rsid w:val="0049698E"/>
    <w:rsid w:val="00496A24"/>
    <w:rsid w:val="00496B1F"/>
    <w:rsid w:val="00496BA4"/>
    <w:rsid w:val="00496BC0"/>
    <w:rsid w:val="00496DAC"/>
    <w:rsid w:val="00496DAD"/>
    <w:rsid w:val="00496E20"/>
    <w:rsid w:val="00496E2D"/>
    <w:rsid w:val="00496E3C"/>
    <w:rsid w:val="00496E90"/>
    <w:rsid w:val="00496F41"/>
    <w:rsid w:val="00496FCA"/>
    <w:rsid w:val="0049701E"/>
    <w:rsid w:val="00497095"/>
    <w:rsid w:val="004970B7"/>
    <w:rsid w:val="004970F3"/>
    <w:rsid w:val="004972E2"/>
    <w:rsid w:val="00497330"/>
    <w:rsid w:val="00497384"/>
    <w:rsid w:val="004973C8"/>
    <w:rsid w:val="0049741D"/>
    <w:rsid w:val="00497445"/>
    <w:rsid w:val="0049745A"/>
    <w:rsid w:val="004974AC"/>
    <w:rsid w:val="004974EB"/>
    <w:rsid w:val="00497503"/>
    <w:rsid w:val="00497635"/>
    <w:rsid w:val="004979CC"/>
    <w:rsid w:val="00497A20"/>
    <w:rsid w:val="00497A73"/>
    <w:rsid w:val="00497ABB"/>
    <w:rsid w:val="00497B9F"/>
    <w:rsid w:val="00497CF2"/>
    <w:rsid w:val="00497D4C"/>
    <w:rsid w:val="00497D93"/>
    <w:rsid w:val="00497DBA"/>
    <w:rsid w:val="004A009A"/>
    <w:rsid w:val="004A0109"/>
    <w:rsid w:val="004A011B"/>
    <w:rsid w:val="004A0123"/>
    <w:rsid w:val="004A01FE"/>
    <w:rsid w:val="004A02F7"/>
    <w:rsid w:val="004A0380"/>
    <w:rsid w:val="004A03C3"/>
    <w:rsid w:val="004A0420"/>
    <w:rsid w:val="004A04E8"/>
    <w:rsid w:val="004A04F2"/>
    <w:rsid w:val="004A060B"/>
    <w:rsid w:val="004A0709"/>
    <w:rsid w:val="004A0822"/>
    <w:rsid w:val="004A0827"/>
    <w:rsid w:val="004A086E"/>
    <w:rsid w:val="004A0871"/>
    <w:rsid w:val="004A0938"/>
    <w:rsid w:val="004A09CF"/>
    <w:rsid w:val="004A0BC6"/>
    <w:rsid w:val="004A0C13"/>
    <w:rsid w:val="004A0DDE"/>
    <w:rsid w:val="004A0E0E"/>
    <w:rsid w:val="004A0F31"/>
    <w:rsid w:val="004A0F35"/>
    <w:rsid w:val="004A0F41"/>
    <w:rsid w:val="004A0F80"/>
    <w:rsid w:val="004A0F9A"/>
    <w:rsid w:val="004A1061"/>
    <w:rsid w:val="004A10B1"/>
    <w:rsid w:val="004A10BA"/>
    <w:rsid w:val="004A10F2"/>
    <w:rsid w:val="004A1163"/>
    <w:rsid w:val="004A11CA"/>
    <w:rsid w:val="004A12C2"/>
    <w:rsid w:val="004A12DA"/>
    <w:rsid w:val="004A1309"/>
    <w:rsid w:val="004A1332"/>
    <w:rsid w:val="004A1438"/>
    <w:rsid w:val="004A1542"/>
    <w:rsid w:val="004A15E9"/>
    <w:rsid w:val="004A16FE"/>
    <w:rsid w:val="004A17D3"/>
    <w:rsid w:val="004A180B"/>
    <w:rsid w:val="004A186C"/>
    <w:rsid w:val="004A18A2"/>
    <w:rsid w:val="004A18F5"/>
    <w:rsid w:val="004A1928"/>
    <w:rsid w:val="004A1972"/>
    <w:rsid w:val="004A1A32"/>
    <w:rsid w:val="004A1ABD"/>
    <w:rsid w:val="004A1D0C"/>
    <w:rsid w:val="004A1DB0"/>
    <w:rsid w:val="004A1F26"/>
    <w:rsid w:val="004A1FEC"/>
    <w:rsid w:val="004A2106"/>
    <w:rsid w:val="004A21BD"/>
    <w:rsid w:val="004A21C6"/>
    <w:rsid w:val="004A220E"/>
    <w:rsid w:val="004A230A"/>
    <w:rsid w:val="004A2333"/>
    <w:rsid w:val="004A238D"/>
    <w:rsid w:val="004A242D"/>
    <w:rsid w:val="004A24B8"/>
    <w:rsid w:val="004A24E1"/>
    <w:rsid w:val="004A2503"/>
    <w:rsid w:val="004A2562"/>
    <w:rsid w:val="004A25D2"/>
    <w:rsid w:val="004A25E9"/>
    <w:rsid w:val="004A27E3"/>
    <w:rsid w:val="004A289F"/>
    <w:rsid w:val="004A29DB"/>
    <w:rsid w:val="004A2ABF"/>
    <w:rsid w:val="004A2B14"/>
    <w:rsid w:val="004A2B99"/>
    <w:rsid w:val="004A2BE1"/>
    <w:rsid w:val="004A2D55"/>
    <w:rsid w:val="004A2E75"/>
    <w:rsid w:val="004A2E90"/>
    <w:rsid w:val="004A2F77"/>
    <w:rsid w:val="004A306C"/>
    <w:rsid w:val="004A3190"/>
    <w:rsid w:val="004A3252"/>
    <w:rsid w:val="004A3358"/>
    <w:rsid w:val="004A34DA"/>
    <w:rsid w:val="004A34E5"/>
    <w:rsid w:val="004A360B"/>
    <w:rsid w:val="004A3615"/>
    <w:rsid w:val="004A3680"/>
    <w:rsid w:val="004A37F1"/>
    <w:rsid w:val="004A39F0"/>
    <w:rsid w:val="004A3AB2"/>
    <w:rsid w:val="004A3BE9"/>
    <w:rsid w:val="004A3DBE"/>
    <w:rsid w:val="004A3E33"/>
    <w:rsid w:val="004A3F27"/>
    <w:rsid w:val="004A3FD8"/>
    <w:rsid w:val="004A40A6"/>
    <w:rsid w:val="004A413C"/>
    <w:rsid w:val="004A42F9"/>
    <w:rsid w:val="004A4393"/>
    <w:rsid w:val="004A446E"/>
    <w:rsid w:val="004A4573"/>
    <w:rsid w:val="004A45FB"/>
    <w:rsid w:val="004A47BA"/>
    <w:rsid w:val="004A48C9"/>
    <w:rsid w:val="004A4971"/>
    <w:rsid w:val="004A4A3D"/>
    <w:rsid w:val="004A4AF0"/>
    <w:rsid w:val="004A4BBA"/>
    <w:rsid w:val="004A4C11"/>
    <w:rsid w:val="004A4C94"/>
    <w:rsid w:val="004A4CFC"/>
    <w:rsid w:val="004A4DD2"/>
    <w:rsid w:val="004A4E16"/>
    <w:rsid w:val="004A520A"/>
    <w:rsid w:val="004A5234"/>
    <w:rsid w:val="004A5273"/>
    <w:rsid w:val="004A53C2"/>
    <w:rsid w:val="004A5519"/>
    <w:rsid w:val="004A561A"/>
    <w:rsid w:val="004A56CD"/>
    <w:rsid w:val="004A577D"/>
    <w:rsid w:val="004A580F"/>
    <w:rsid w:val="004A5A20"/>
    <w:rsid w:val="004A5ADC"/>
    <w:rsid w:val="004A5B4A"/>
    <w:rsid w:val="004A5BD0"/>
    <w:rsid w:val="004A5CDE"/>
    <w:rsid w:val="004A5D2E"/>
    <w:rsid w:val="004A5DF2"/>
    <w:rsid w:val="004A5E17"/>
    <w:rsid w:val="004A5F23"/>
    <w:rsid w:val="004A5F8D"/>
    <w:rsid w:val="004A5FA4"/>
    <w:rsid w:val="004A602B"/>
    <w:rsid w:val="004A6089"/>
    <w:rsid w:val="004A6237"/>
    <w:rsid w:val="004A625F"/>
    <w:rsid w:val="004A629D"/>
    <w:rsid w:val="004A62C1"/>
    <w:rsid w:val="004A62C8"/>
    <w:rsid w:val="004A636D"/>
    <w:rsid w:val="004A63F9"/>
    <w:rsid w:val="004A6415"/>
    <w:rsid w:val="004A6579"/>
    <w:rsid w:val="004A6798"/>
    <w:rsid w:val="004A67AB"/>
    <w:rsid w:val="004A67FC"/>
    <w:rsid w:val="004A6843"/>
    <w:rsid w:val="004A6CC5"/>
    <w:rsid w:val="004A6E54"/>
    <w:rsid w:val="004A6EBB"/>
    <w:rsid w:val="004A6F50"/>
    <w:rsid w:val="004A6FCE"/>
    <w:rsid w:val="004A70BE"/>
    <w:rsid w:val="004A7165"/>
    <w:rsid w:val="004A7284"/>
    <w:rsid w:val="004A72B0"/>
    <w:rsid w:val="004A7444"/>
    <w:rsid w:val="004A7486"/>
    <w:rsid w:val="004A75F3"/>
    <w:rsid w:val="004A7710"/>
    <w:rsid w:val="004A7727"/>
    <w:rsid w:val="004A774A"/>
    <w:rsid w:val="004A77B8"/>
    <w:rsid w:val="004A77C1"/>
    <w:rsid w:val="004A77DF"/>
    <w:rsid w:val="004A7808"/>
    <w:rsid w:val="004A7978"/>
    <w:rsid w:val="004A7C73"/>
    <w:rsid w:val="004A7CC3"/>
    <w:rsid w:val="004A7D6E"/>
    <w:rsid w:val="004A7E16"/>
    <w:rsid w:val="004A7F3E"/>
    <w:rsid w:val="004AF5DB"/>
    <w:rsid w:val="004B0052"/>
    <w:rsid w:val="004B0132"/>
    <w:rsid w:val="004B0149"/>
    <w:rsid w:val="004B01A7"/>
    <w:rsid w:val="004B021C"/>
    <w:rsid w:val="004B0354"/>
    <w:rsid w:val="004B04DC"/>
    <w:rsid w:val="004B05E5"/>
    <w:rsid w:val="004B06DE"/>
    <w:rsid w:val="004B06DF"/>
    <w:rsid w:val="004B06E4"/>
    <w:rsid w:val="004B085D"/>
    <w:rsid w:val="004B090A"/>
    <w:rsid w:val="004B0994"/>
    <w:rsid w:val="004B0ADA"/>
    <w:rsid w:val="004B0AE1"/>
    <w:rsid w:val="004B0B39"/>
    <w:rsid w:val="004B0C02"/>
    <w:rsid w:val="004B0C7D"/>
    <w:rsid w:val="004B0D20"/>
    <w:rsid w:val="004B0D25"/>
    <w:rsid w:val="004B0D45"/>
    <w:rsid w:val="004B0D91"/>
    <w:rsid w:val="004B0E1A"/>
    <w:rsid w:val="004B0E8E"/>
    <w:rsid w:val="004B0FEF"/>
    <w:rsid w:val="004B1145"/>
    <w:rsid w:val="004B11C2"/>
    <w:rsid w:val="004B11E6"/>
    <w:rsid w:val="004B1284"/>
    <w:rsid w:val="004B12F8"/>
    <w:rsid w:val="004B131A"/>
    <w:rsid w:val="004B14D5"/>
    <w:rsid w:val="004B16FE"/>
    <w:rsid w:val="004B17DB"/>
    <w:rsid w:val="004B17F5"/>
    <w:rsid w:val="004B1832"/>
    <w:rsid w:val="004B1944"/>
    <w:rsid w:val="004B1AF8"/>
    <w:rsid w:val="004B1D76"/>
    <w:rsid w:val="004B1F3A"/>
    <w:rsid w:val="004B2008"/>
    <w:rsid w:val="004B2045"/>
    <w:rsid w:val="004B2073"/>
    <w:rsid w:val="004B2085"/>
    <w:rsid w:val="004B2321"/>
    <w:rsid w:val="004B24C5"/>
    <w:rsid w:val="004B250E"/>
    <w:rsid w:val="004B2593"/>
    <w:rsid w:val="004B281C"/>
    <w:rsid w:val="004B2960"/>
    <w:rsid w:val="004B2A1B"/>
    <w:rsid w:val="004B2A56"/>
    <w:rsid w:val="004B2ADE"/>
    <w:rsid w:val="004B2B9C"/>
    <w:rsid w:val="004B2C0B"/>
    <w:rsid w:val="004B2C5E"/>
    <w:rsid w:val="004B2D43"/>
    <w:rsid w:val="004B2D7B"/>
    <w:rsid w:val="004B2E1B"/>
    <w:rsid w:val="004B2E31"/>
    <w:rsid w:val="004B2E4A"/>
    <w:rsid w:val="004B2E7B"/>
    <w:rsid w:val="004B3004"/>
    <w:rsid w:val="004B3028"/>
    <w:rsid w:val="004B30BB"/>
    <w:rsid w:val="004B30F9"/>
    <w:rsid w:val="004B320B"/>
    <w:rsid w:val="004B33E3"/>
    <w:rsid w:val="004B34BE"/>
    <w:rsid w:val="004B36B0"/>
    <w:rsid w:val="004B3704"/>
    <w:rsid w:val="004B374B"/>
    <w:rsid w:val="004B3760"/>
    <w:rsid w:val="004B3866"/>
    <w:rsid w:val="004B396D"/>
    <w:rsid w:val="004B3982"/>
    <w:rsid w:val="004B3983"/>
    <w:rsid w:val="004B3B2B"/>
    <w:rsid w:val="004B3EE9"/>
    <w:rsid w:val="004B3F3B"/>
    <w:rsid w:val="004B3FE4"/>
    <w:rsid w:val="004B40A8"/>
    <w:rsid w:val="004B4184"/>
    <w:rsid w:val="004B4274"/>
    <w:rsid w:val="004B4310"/>
    <w:rsid w:val="004B4461"/>
    <w:rsid w:val="004B44F4"/>
    <w:rsid w:val="004B460F"/>
    <w:rsid w:val="004B477A"/>
    <w:rsid w:val="004B479B"/>
    <w:rsid w:val="004B4825"/>
    <w:rsid w:val="004B4A90"/>
    <w:rsid w:val="004B4ABB"/>
    <w:rsid w:val="004B4D79"/>
    <w:rsid w:val="004B4DCD"/>
    <w:rsid w:val="004B4E84"/>
    <w:rsid w:val="004B507B"/>
    <w:rsid w:val="004B508B"/>
    <w:rsid w:val="004B51D1"/>
    <w:rsid w:val="004B5478"/>
    <w:rsid w:val="004B5500"/>
    <w:rsid w:val="004B5524"/>
    <w:rsid w:val="004B5641"/>
    <w:rsid w:val="004B56F9"/>
    <w:rsid w:val="004B5736"/>
    <w:rsid w:val="004B59CD"/>
    <w:rsid w:val="004B5A09"/>
    <w:rsid w:val="004B5A47"/>
    <w:rsid w:val="004B5BC1"/>
    <w:rsid w:val="004B5C4F"/>
    <w:rsid w:val="004B5CD3"/>
    <w:rsid w:val="004B5D62"/>
    <w:rsid w:val="004B5F6D"/>
    <w:rsid w:val="004B6030"/>
    <w:rsid w:val="004B60C9"/>
    <w:rsid w:val="004B61C3"/>
    <w:rsid w:val="004B624A"/>
    <w:rsid w:val="004B63A3"/>
    <w:rsid w:val="004B6534"/>
    <w:rsid w:val="004B659C"/>
    <w:rsid w:val="004B6645"/>
    <w:rsid w:val="004B6770"/>
    <w:rsid w:val="004B699A"/>
    <w:rsid w:val="004B6A8A"/>
    <w:rsid w:val="004B6B19"/>
    <w:rsid w:val="004B6B22"/>
    <w:rsid w:val="004B6E03"/>
    <w:rsid w:val="004B6E83"/>
    <w:rsid w:val="004B6ED4"/>
    <w:rsid w:val="004B6FB0"/>
    <w:rsid w:val="004B7173"/>
    <w:rsid w:val="004B718C"/>
    <w:rsid w:val="004B7358"/>
    <w:rsid w:val="004B7476"/>
    <w:rsid w:val="004B765E"/>
    <w:rsid w:val="004B7687"/>
    <w:rsid w:val="004B76F3"/>
    <w:rsid w:val="004B783E"/>
    <w:rsid w:val="004B78EE"/>
    <w:rsid w:val="004B7A3F"/>
    <w:rsid w:val="004B7A5F"/>
    <w:rsid w:val="004B7A64"/>
    <w:rsid w:val="004B7BE5"/>
    <w:rsid w:val="004B7C5C"/>
    <w:rsid w:val="004B7D4B"/>
    <w:rsid w:val="004B7E2F"/>
    <w:rsid w:val="004B7F64"/>
    <w:rsid w:val="004B7F96"/>
    <w:rsid w:val="004B7FD2"/>
    <w:rsid w:val="004BC5E2"/>
    <w:rsid w:val="004C045E"/>
    <w:rsid w:val="004C04CC"/>
    <w:rsid w:val="004C0617"/>
    <w:rsid w:val="004C0634"/>
    <w:rsid w:val="004C065D"/>
    <w:rsid w:val="004C072A"/>
    <w:rsid w:val="004C08A9"/>
    <w:rsid w:val="004C08B8"/>
    <w:rsid w:val="004C09BB"/>
    <w:rsid w:val="004C09C6"/>
    <w:rsid w:val="004C0F24"/>
    <w:rsid w:val="004C0F40"/>
    <w:rsid w:val="004C1114"/>
    <w:rsid w:val="004C1121"/>
    <w:rsid w:val="004C15D0"/>
    <w:rsid w:val="004C15D5"/>
    <w:rsid w:val="004C16BD"/>
    <w:rsid w:val="004C16DD"/>
    <w:rsid w:val="004C171B"/>
    <w:rsid w:val="004C1982"/>
    <w:rsid w:val="004C1B18"/>
    <w:rsid w:val="004C1B2F"/>
    <w:rsid w:val="004C1B46"/>
    <w:rsid w:val="004C1C29"/>
    <w:rsid w:val="004C1D83"/>
    <w:rsid w:val="004C1E2D"/>
    <w:rsid w:val="004C1EA4"/>
    <w:rsid w:val="004C1F6E"/>
    <w:rsid w:val="004C1FC8"/>
    <w:rsid w:val="004C2053"/>
    <w:rsid w:val="004C2057"/>
    <w:rsid w:val="004C21AF"/>
    <w:rsid w:val="004C221E"/>
    <w:rsid w:val="004C22B1"/>
    <w:rsid w:val="004C232D"/>
    <w:rsid w:val="004C238C"/>
    <w:rsid w:val="004C24FD"/>
    <w:rsid w:val="004C26CA"/>
    <w:rsid w:val="004C2774"/>
    <w:rsid w:val="004C27B3"/>
    <w:rsid w:val="004C286D"/>
    <w:rsid w:val="004C28AA"/>
    <w:rsid w:val="004C28F9"/>
    <w:rsid w:val="004C28FE"/>
    <w:rsid w:val="004C298F"/>
    <w:rsid w:val="004C2B3B"/>
    <w:rsid w:val="004C2BE1"/>
    <w:rsid w:val="004C2C30"/>
    <w:rsid w:val="004C2C38"/>
    <w:rsid w:val="004C2C5A"/>
    <w:rsid w:val="004C2D53"/>
    <w:rsid w:val="004C2D93"/>
    <w:rsid w:val="004C2FFF"/>
    <w:rsid w:val="004C3066"/>
    <w:rsid w:val="004C3171"/>
    <w:rsid w:val="004C3288"/>
    <w:rsid w:val="004C36DB"/>
    <w:rsid w:val="004C37AC"/>
    <w:rsid w:val="004C381E"/>
    <w:rsid w:val="004C3996"/>
    <w:rsid w:val="004C39A5"/>
    <w:rsid w:val="004C3D2B"/>
    <w:rsid w:val="004C3DD5"/>
    <w:rsid w:val="004C3DFC"/>
    <w:rsid w:val="004C4027"/>
    <w:rsid w:val="004C40A1"/>
    <w:rsid w:val="004C4138"/>
    <w:rsid w:val="004C4154"/>
    <w:rsid w:val="004C416A"/>
    <w:rsid w:val="004C41AC"/>
    <w:rsid w:val="004C423D"/>
    <w:rsid w:val="004C4255"/>
    <w:rsid w:val="004C4317"/>
    <w:rsid w:val="004C43AE"/>
    <w:rsid w:val="004C440C"/>
    <w:rsid w:val="004C458B"/>
    <w:rsid w:val="004C4676"/>
    <w:rsid w:val="004C473B"/>
    <w:rsid w:val="004C4741"/>
    <w:rsid w:val="004C47BE"/>
    <w:rsid w:val="004C47FE"/>
    <w:rsid w:val="004C485B"/>
    <w:rsid w:val="004C48C6"/>
    <w:rsid w:val="004C48D8"/>
    <w:rsid w:val="004C49E0"/>
    <w:rsid w:val="004C4A66"/>
    <w:rsid w:val="004C4B34"/>
    <w:rsid w:val="004C4B4E"/>
    <w:rsid w:val="004C4BB5"/>
    <w:rsid w:val="004C4C9A"/>
    <w:rsid w:val="004C4CCD"/>
    <w:rsid w:val="004C4D52"/>
    <w:rsid w:val="004C4D71"/>
    <w:rsid w:val="004C4EB1"/>
    <w:rsid w:val="004C4F56"/>
    <w:rsid w:val="004C4F81"/>
    <w:rsid w:val="004C51BD"/>
    <w:rsid w:val="004C5235"/>
    <w:rsid w:val="004C53D0"/>
    <w:rsid w:val="004C53DE"/>
    <w:rsid w:val="004C55C7"/>
    <w:rsid w:val="004C5726"/>
    <w:rsid w:val="004C5745"/>
    <w:rsid w:val="004C5783"/>
    <w:rsid w:val="004C57AE"/>
    <w:rsid w:val="004C57E8"/>
    <w:rsid w:val="004C58D2"/>
    <w:rsid w:val="004C5983"/>
    <w:rsid w:val="004C598F"/>
    <w:rsid w:val="004C5C13"/>
    <w:rsid w:val="004C5E23"/>
    <w:rsid w:val="004C5E7A"/>
    <w:rsid w:val="004C5F5A"/>
    <w:rsid w:val="004C5F62"/>
    <w:rsid w:val="004C6029"/>
    <w:rsid w:val="004C60A5"/>
    <w:rsid w:val="004C60F5"/>
    <w:rsid w:val="004C60FA"/>
    <w:rsid w:val="004C6106"/>
    <w:rsid w:val="004C62D6"/>
    <w:rsid w:val="004C632F"/>
    <w:rsid w:val="004C6360"/>
    <w:rsid w:val="004C63BA"/>
    <w:rsid w:val="004C6691"/>
    <w:rsid w:val="004C66FA"/>
    <w:rsid w:val="004C6739"/>
    <w:rsid w:val="004C6898"/>
    <w:rsid w:val="004C6968"/>
    <w:rsid w:val="004C69AA"/>
    <w:rsid w:val="004C69B7"/>
    <w:rsid w:val="004C69C4"/>
    <w:rsid w:val="004C6A38"/>
    <w:rsid w:val="004C6B27"/>
    <w:rsid w:val="004C6B70"/>
    <w:rsid w:val="004C6D4B"/>
    <w:rsid w:val="004C6D94"/>
    <w:rsid w:val="004C6E28"/>
    <w:rsid w:val="004C6E8B"/>
    <w:rsid w:val="004C6F02"/>
    <w:rsid w:val="004C6F17"/>
    <w:rsid w:val="004C7090"/>
    <w:rsid w:val="004C70EC"/>
    <w:rsid w:val="004C71A0"/>
    <w:rsid w:val="004C71C0"/>
    <w:rsid w:val="004C7248"/>
    <w:rsid w:val="004C7314"/>
    <w:rsid w:val="004C73FB"/>
    <w:rsid w:val="004C74B2"/>
    <w:rsid w:val="004C74C8"/>
    <w:rsid w:val="004C752F"/>
    <w:rsid w:val="004C757C"/>
    <w:rsid w:val="004C76E5"/>
    <w:rsid w:val="004C77D0"/>
    <w:rsid w:val="004C77D1"/>
    <w:rsid w:val="004C7882"/>
    <w:rsid w:val="004C7A15"/>
    <w:rsid w:val="004C7B5D"/>
    <w:rsid w:val="004C7C03"/>
    <w:rsid w:val="004C7DD6"/>
    <w:rsid w:val="004C7EC0"/>
    <w:rsid w:val="004C7F72"/>
    <w:rsid w:val="004C7FBB"/>
    <w:rsid w:val="004C7FC6"/>
    <w:rsid w:val="004D0262"/>
    <w:rsid w:val="004D0271"/>
    <w:rsid w:val="004D0343"/>
    <w:rsid w:val="004D04E0"/>
    <w:rsid w:val="004D0526"/>
    <w:rsid w:val="004D05F7"/>
    <w:rsid w:val="004D0615"/>
    <w:rsid w:val="004D07C6"/>
    <w:rsid w:val="004D0957"/>
    <w:rsid w:val="004D0A65"/>
    <w:rsid w:val="004D0AA5"/>
    <w:rsid w:val="004D0BBE"/>
    <w:rsid w:val="004D0C2B"/>
    <w:rsid w:val="004D0C4B"/>
    <w:rsid w:val="004D0C6D"/>
    <w:rsid w:val="004D0CFB"/>
    <w:rsid w:val="004D0E21"/>
    <w:rsid w:val="004D0F3A"/>
    <w:rsid w:val="004D0FED"/>
    <w:rsid w:val="004D102F"/>
    <w:rsid w:val="004D11D2"/>
    <w:rsid w:val="004D122B"/>
    <w:rsid w:val="004D1365"/>
    <w:rsid w:val="004D1386"/>
    <w:rsid w:val="004D13D2"/>
    <w:rsid w:val="004D1470"/>
    <w:rsid w:val="004D15F8"/>
    <w:rsid w:val="004D16D5"/>
    <w:rsid w:val="004D1727"/>
    <w:rsid w:val="004D1788"/>
    <w:rsid w:val="004D1804"/>
    <w:rsid w:val="004D192D"/>
    <w:rsid w:val="004D1959"/>
    <w:rsid w:val="004D195B"/>
    <w:rsid w:val="004D1963"/>
    <w:rsid w:val="004D19D6"/>
    <w:rsid w:val="004D1A45"/>
    <w:rsid w:val="004D1B04"/>
    <w:rsid w:val="004D1B9D"/>
    <w:rsid w:val="004D1C4C"/>
    <w:rsid w:val="004D1C67"/>
    <w:rsid w:val="004D2036"/>
    <w:rsid w:val="004D2245"/>
    <w:rsid w:val="004D228A"/>
    <w:rsid w:val="004D228D"/>
    <w:rsid w:val="004D22F2"/>
    <w:rsid w:val="004D233D"/>
    <w:rsid w:val="004D2514"/>
    <w:rsid w:val="004D252D"/>
    <w:rsid w:val="004D2586"/>
    <w:rsid w:val="004D25F2"/>
    <w:rsid w:val="004D2643"/>
    <w:rsid w:val="004D28B0"/>
    <w:rsid w:val="004D28D1"/>
    <w:rsid w:val="004D2910"/>
    <w:rsid w:val="004D298B"/>
    <w:rsid w:val="004D2C84"/>
    <w:rsid w:val="004D2D90"/>
    <w:rsid w:val="004D2E6B"/>
    <w:rsid w:val="004D2EE4"/>
    <w:rsid w:val="004D3026"/>
    <w:rsid w:val="004D30F9"/>
    <w:rsid w:val="004D3165"/>
    <w:rsid w:val="004D3167"/>
    <w:rsid w:val="004D3286"/>
    <w:rsid w:val="004D332C"/>
    <w:rsid w:val="004D3391"/>
    <w:rsid w:val="004D33A8"/>
    <w:rsid w:val="004D3544"/>
    <w:rsid w:val="004D3583"/>
    <w:rsid w:val="004D35D1"/>
    <w:rsid w:val="004D35F6"/>
    <w:rsid w:val="004D362A"/>
    <w:rsid w:val="004D3680"/>
    <w:rsid w:val="004D36E2"/>
    <w:rsid w:val="004D3784"/>
    <w:rsid w:val="004D3816"/>
    <w:rsid w:val="004D3864"/>
    <w:rsid w:val="004D399F"/>
    <w:rsid w:val="004D39F4"/>
    <w:rsid w:val="004D39F7"/>
    <w:rsid w:val="004D3AF1"/>
    <w:rsid w:val="004D3BEF"/>
    <w:rsid w:val="004D3F64"/>
    <w:rsid w:val="004D4094"/>
    <w:rsid w:val="004D40EA"/>
    <w:rsid w:val="004D4146"/>
    <w:rsid w:val="004D43BE"/>
    <w:rsid w:val="004D4462"/>
    <w:rsid w:val="004D44B1"/>
    <w:rsid w:val="004D45CA"/>
    <w:rsid w:val="004D4744"/>
    <w:rsid w:val="004D4824"/>
    <w:rsid w:val="004D4851"/>
    <w:rsid w:val="004D48BA"/>
    <w:rsid w:val="004D48DB"/>
    <w:rsid w:val="004D49AC"/>
    <w:rsid w:val="004D49DB"/>
    <w:rsid w:val="004D4B17"/>
    <w:rsid w:val="004D4B6C"/>
    <w:rsid w:val="004D4BA8"/>
    <w:rsid w:val="004D4D53"/>
    <w:rsid w:val="004D4D73"/>
    <w:rsid w:val="004D4DDA"/>
    <w:rsid w:val="004D4E7E"/>
    <w:rsid w:val="004D4F5B"/>
    <w:rsid w:val="004D4F9D"/>
    <w:rsid w:val="004D4FEB"/>
    <w:rsid w:val="004D4FF4"/>
    <w:rsid w:val="004D5128"/>
    <w:rsid w:val="004D53B7"/>
    <w:rsid w:val="004D5419"/>
    <w:rsid w:val="004D580C"/>
    <w:rsid w:val="004D5818"/>
    <w:rsid w:val="004D58A7"/>
    <w:rsid w:val="004D58F0"/>
    <w:rsid w:val="004D5C12"/>
    <w:rsid w:val="004D5C13"/>
    <w:rsid w:val="004D5C54"/>
    <w:rsid w:val="004D5DA2"/>
    <w:rsid w:val="004D5DA3"/>
    <w:rsid w:val="004D5EF6"/>
    <w:rsid w:val="004D5F14"/>
    <w:rsid w:val="004D5FC9"/>
    <w:rsid w:val="004D600C"/>
    <w:rsid w:val="004D6096"/>
    <w:rsid w:val="004D6242"/>
    <w:rsid w:val="004D6253"/>
    <w:rsid w:val="004D6260"/>
    <w:rsid w:val="004D634B"/>
    <w:rsid w:val="004D636B"/>
    <w:rsid w:val="004D63B0"/>
    <w:rsid w:val="004D6470"/>
    <w:rsid w:val="004D647C"/>
    <w:rsid w:val="004D64ED"/>
    <w:rsid w:val="004D6506"/>
    <w:rsid w:val="004D6511"/>
    <w:rsid w:val="004D6560"/>
    <w:rsid w:val="004D66F0"/>
    <w:rsid w:val="004D680B"/>
    <w:rsid w:val="004D6B10"/>
    <w:rsid w:val="004D6B20"/>
    <w:rsid w:val="004D6BA5"/>
    <w:rsid w:val="004D6D32"/>
    <w:rsid w:val="004D6E23"/>
    <w:rsid w:val="004D6E40"/>
    <w:rsid w:val="004D6E48"/>
    <w:rsid w:val="004D6E88"/>
    <w:rsid w:val="004D6EC3"/>
    <w:rsid w:val="004D6F5A"/>
    <w:rsid w:val="004D7055"/>
    <w:rsid w:val="004D7068"/>
    <w:rsid w:val="004D70A8"/>
    <w:rsid w:val="004D713E"/>
    <w:rsid w:val="004D7180"/>
    <w:rsid w:val="004D725F"/>
    <w:rsid w:val="004D7406"/>
    <w:rsid w:val="004D7729"/>
    <w:rsid w:val="004D77BD"/>
    <w:rsid w:val="004D77C4"/>
    <w:rsid w:val="004D7911"/>
    <w:rsid w:val="004D7939"/>
    <w:rsid w:val="004D7976"/>
    <w:rsid w:val="004D79F1"/>
    <w:rsid w:val="004D7A0F"/>
    <w:rsid w:val="004D7A58"/>
    <w:rsid w:val="004D7AAF"/>
    <w:rsid w:val="004D7ACF"/>
    <w:rsid w:val="004D7C80"/>
    <w:rsid w:val="004D7D4C"/>
    <w:rsid w:val="004D7D5A"/>
    <w:rsid w:val="004D7EB4"/>
    <w:rsid w:val="004D7FB9"/>
    <w:rsid w:val="004E015A"/>
    <w:rsid w:val="004E01AD"/>
    <w:rsid w:val="004E024A"/>
    <w:rsid w:val="004E02FA"/>
    <w:rsid w:val="004E0322"/>
    <w:rsid w:val="004E03A8"/>
    <w:rsid w:val="004E04B4"/>
    <w:rsid w:val="004E0534"/>
    <w:rsid w:val="004E06C1"/>
    <w:rsid w:val="004E081C"/>
    <w:rsid w:val="004E08A6"/>
    <w:rsid w:val="004E0A6C"/>
    <w:rsid w:val="004E0ACF"/>
    <w:rsid w:val="004E0B1B"/>
    <w:rsid w:val="004E0B43"/>
    <w:rsid w:val="004E0C38"/>
    <w:rsid w:val="004E0C5B"/>
    <w:rsid w:val="004E0D17"/>
    <w:rsid w:val="004E0E74"/>
    <w:rsid w:val="004E105D"/>
    <w:rsid w:val="004E10BA"/>
    <w:rsid w:val="004E1136"/>
    <w:rsid w:val="004E11B1"/>
    <w:rsid w:val="004E1317"/>
    <w:rsid w:val="004E1338"/>
    <w:rsid w:val="004E1384"/>
    <w:rsid w:val="004E1385"/>
    <w:rsid w:val="004E148D"/>
    <w:rsid w:val="004E1542"/>
    <w:rsid w:val="004E158C"/>
    <w:rsid w:val="004E1686"/>
    <w:rsid w:val="004E1720"/>
    <w:rsid w:val="004E18C1"/>
    <w:rsid w:val="004E192D"/>
    <w:rsid w:val="004E19F1"/>
    <w:rsid w:val="004E1AFB"/>
    <w:rsid w:val="004E1BF6"/>
    <w:rsid w:val="004E1CE1"/>
    <w:rsid w:val="004E1D43"/>
    <w:rsid w:val="004E1E59"/>
    <w:rsid w:val="004E1EA6"/>
    <w:rsid w:val="004E1F11"/>
    <w:rsid w:val="004E1F1A"/>
    <w:rsid w:val="004E1FBF"/>
    <w:rsid w:val="004E1FF9"/>
    <w:rsid w:val="004E2054"/>
    <w:rsid w:val="004E22A1"/>
    <w:rsid w:val="004E22F2"/>
    <w:rsid w:val="004E2593"/>
    <w:rsid w:val="004E2661"/>
    <w:rsid w:val="004E28B6"/>
    <w:rsid w:val="004E29ED"/>
    <w:rsid w:val="004E2B54"/>
    <w:rsid w:val="004E2BAC"/>
    <w:rsid w:val="004E2C20"/>
    <w:rsid w:val="004E2D68"/>
    <w:rsid w:val="004E2DEB"/>
    <w:rsid w:val="004E2ED1"/>
    <w:rsid w:val="004E2F4E"/>
    <w:rsid w:val="004E2F8A"/>
    <w:rsid w:val="004E3167"/>
    <w:rsid w:val="004E3202"/>
    <w:rsid w:val="004E3221"/>
    <w:rsid w:val="004E33EA"/>
    <w:rsid w:val="004E34A4"/>
    <w:rsid w:val="004E34DB"/>
    <w:rsid w:val="004E3662"/>
    <w:rsid w:val="004E36A4"/>
    <w:rsid w:val="004E37CC"/>
    <w:rsid w:val="004E398D"/>
    <w:rsid w:val="004E39FB"/>
    <w:rsid w:val="004E3B72"/>
    <w:rsid w:val="004E3C4B"/>
    <w:rsid w:val="004E3C64"/>
    <w:rsid w:val="004E3D23"/>
    <w:rsid w:val="004E3D3F"/>
    <w:rsid w:val="004E3E39"/>
    <w:rsid w:val="004E3EF2"/>
    <w:rsid w:val="004E3FD7"/>
    <w:rsid w:val="004E4024"/>
    <w:rsid w:val="004E4085"/>
    <w:rsid w:val="004E4137"/>
    <w:rsid w:val="004E41E6"/>
    <w:rsid w:val="004E41F8"/>
    <w:rsid w:val="004E42EF"/>
    <w:rsid w:val="004E42F0"/>
    <w:rsid w:val="004E43A9"/>
    <w:rsid w:val="004E449B"/>
    <w:rsid w:val="004E4513"/>
    <w:rsid w:val="004E4566"/>
    <w:rsid w:val="004E45EC"/>
    <w:rsid w:val="004E47CE"/>
    <w:rsid w:val="004E48B6"/>
    <w:rsid w:val="004E4A42"/>
    <w:rsid w:val="004E4B11"/>
    <w:rsid w:val="004E4CA4"/>
    <w:rsid w:val="004E4CB7"/>
    <w:rsid w:val="004E4E72"/>
    <w:rsid w:val="004E4F48"/>
    <w:rsid w:val="004E4F54"/>
    <w:rsid w:val="004E4F9F"/>
    <w:rsid w:val="004E511F"/>
    <w:rsid w:val="004E517E"/>
    <w:rsid w:val="004E5223"/>
    <w:rsid w:val="004E527A"/>
    <w:rsid w:val="004E5675"/>
    <w:rsid w:val="004E575B"/>
    <w:rsid w:val="004E5920"/>
    <w:rsid w:val="004E5942"/>
    <w:rsid w:val="004E5A11"/>
    <w:rsid w:val="004E5ABD"/>
    <w:rsid w:val="004E5B5F"/>
    <w:rsid w:val="004E5B83"/>
    <w:rsid w:val="004E5BEE"/>
    <w:rsid w:val="004E5CB6"/>
    <w:rsid w:val="004E5CD0"/>
    <w:rsid w:val="004E5D4E"/>
    <w:rsid w:val="004E6114"/>
    <w:rsid w:val="004E6205"/>
    <w:rsid w:val="004E6222"/>
    <w:rsid w:val="004E633B"/>
    <w:rsid w:val="004E63DC"/>
    <w:rsid w:val="004E6612"/>
    <w:rsid w:val="004E662E"/>
    <w:rsid w:val="004E664C"/>
    <w:rsid w:val="004E66C5"/>
    <w:rsid w:val="004E6711"/>
    <w:rsid w:val="004E68FD"/>
    <w:rsid w:val="004E692E"/>
    <w:rsid w:val="004E6A26"/>
    <w:rsid w:val="004E6A3F"/>
    <w:rsid w:val="004E6CE0"/>
    <w:rsid w:val="004E6D22"/>
    <w:rsid w:val="004E6D6F"/>
    <w:rsid w:val="004E700F"/>
    <w:rsid w:val="004E7062"/>
    <w:rsid w:val="004E708F"/>
    <w:rsid w:val="004E70BC"/>
    <w:rsid w:val="004E70C9"/>
    <w:rsid w:val="004E72F9"/>
    <w:rsid w:val="004E731D"/>
    <w:rsid w:val="004E73A3"/>
    <w:rsid w:val="004E73C3"/>
    <w:rsid w:val="004E745B"/>
    <w:rsid w:val="004E7702"/>
    <w:rsid w:val="004E77C8"/>
    <w:rsid w:val="004E77DA"/>
    <w:rsid w:val="004E7829"/>
    <w:rsid w:val="004E7B5B"/>
    <w:rsid w:val="004F0113"/>
    <w:rsid w:val="004F02DC"/>
    <w:rsid w:val="004F0300"/>
    <w:rsid w:val="004F033B"/>
    <w:rsid w:val="004F036E"/>
    <w:rsid w:val="004F03AA"/>
    <w:rsid w:val="004F03D1"/>
    <w:rsid w:val="004F0401"/>
    <w:rsid w:val="004F046B"/>
    <w:rsid w:val="004F0800"/>
    <w:rsid w:val="004F08A2"/>
    <w:rsid w:val="004F09FE"/>
    <w:rsid w:val="004F0A37"/>
    <w:rsid w:val="004F0B4C"/>
    <w:rsid w:val="004F0BA7"/>
    <w:rsid w:val="004F0BE4"/>
    <w:rsid w:val="004F0C58"/>
    <w:rsid w:val="004F0D5A"/>
    <w:rsid w:val="004F0DAA"/>
    <w:rsid w:val="004F0E39"/>
    <w:rsid w:val="004F0E71"/>
    <w:rsid w:val="004F0F5F"/>
    <w:rsid w:val="004F113D"/>
    <w:rsid w:val="004F1168"/>
    <w:rsid w:val="004F1373"/>
    <w:rsid w:val="004F1439"/>
    <w:rsid w:val="004F1480"/>
    <w:rsid w:val="004F14E5"/>
    <w:rsid w:val="004F1501"/>
    <w:rsid w:val="004F15F6"/>
    <w:rsid w:val="004F185C"/>
    <w:rsid w:val="004F18D0"/>
    <w:rsid w:val="004F196B"/>
    <w:rsid w:val="004F1995"/>
    <w:rsid w:val="004F1E8D"/>
    <w:rsid w:val="004F2032"/>
    <w:rsid w:val="004F203A"/>
    <w:rsid w:val="004F2050"/>
    <w:rsid w:val="004F2096"/>
    <w:rsid w:val="004F2234"/>
    <w:rsid w:val="004F224A"/>
    <w:rsid w:val="004F2310"/>
    <w:rsid w:val="004F239D"/>
    <w:rsid w:val="004F23DF"/>
    <w:rsid w:val="004F2687"/>
    <w:rsid w:val="004F26FE"/>
    <w:rsid w:val="004F27CB"/>
    <w:rsid w:val="004F29B3"/>
    <w:rsid w:val="004F2A03"/>
    <w:rsid w:val="004F2A8B"/>
    <w:rsid w:val="004F2AB8"/>
    <w:rsid w:val="004F2C8E"/>
    <w:rsid w:val="004F2D2D"/>
    <w:rsid w:val="004F2D66"/>
    <w:rsid w:val="004F2D81"/>
    <w:rsid w:val="004F2E31"/>
    <w:rsid w:val="004F2EE4"/>
    <w:rsid w:val="004F2F55"/>
    <w:rsid w:val="004F2F9E"/>
    <w:rsid w:val="004F31C5"/>
    <w:rsid w:val="004F32C7"/>
    <w:rsid w:val="004F3390"/>
    <w:rsid w:val="004F33C1"/>
    <w:rsid w:val="004F3405"/>
    <w:rsid w:val="004F34DA"/>
    <w:rsid w:val="004F3536"/>
    <w:rsid w:val="004F355E"/>
    <w:rsid w:val="004F357E"/>
    <w:rsid w:val="004F3586"/>
    <w:rsid w:val="004F35B5"/>
    <w:rsid w:val="004F3687"/>
    <w:rsid w:val="004F369C"/>
    <w:rsid w:val="004F37E7"/>
    <w:rsid w:val="004F386D"/>
    <w:rsid w:val="004F38A7"/>
    <w:rsid w:val="004F38B9"/>
    <w:rsid w:val="004F3928"/>
    <w:rsid w:val="004F3983"/>
    <w:rsid w:val="004F3AB5"/>
    <w:rsid w:val="004F3B1A"/>
    <w:rsid w:val="004F3BB9"/>
    <w:rsid w:val="004F3C7D"/>
    <w:rsid w:val="004F3CBE"/>
    <w:rsid w:val="004F3E0E"/>
    <w:rsid w:val="004F3E38"/>
    <w:rsid w:val="004F3F14"/>
    <w:rsid w:val="004F3F28"/>
    <w:rsid w:val="004F4077"/>
    <w:rsid w:val="004F418D"/>
    <w:rsid w:val="004F41B3"/>
    <w:rsid w:val="004F41BE"/>
    <w:rsid w:val="004F41C4"/>
    <w:rsid w:val="004F424D"/>
    <w:rsid w:val="004F4357"/>
    <w:rsid w:val="004F43DB"/>
    <w:rsid w:val="004F4436"/>
    <w:rsid w:val="004F4473"/>
    <w:rsid w:val="004F44A9"/>
    <w:rsid w:val="004F451D"/>
    <w:rsid w:val="004F4632"/>
    <w:rsid w:val="004F487A"/>
    <w:rsid w:val="004F4880"/>
    <w:rsid w:val="004F48AD"/>
    <w:rsid w:val="004F4903"/>
    <w:rsid w:val="004F493B"/>
    <w:rsid w:val="004F4965"/>
    <w:rsid w:val="004F49F3"/>
    <w:rsid w:val="004F4A56"/>
    <w:rsid w:val="004F4B29"/>
    <w:rsid w:val="004F4BFB"/>
    <w:rsid w:val="004F4C35"/>
    <w:rsid w:val="004F4C5C"/>
    <w:rsid w:val="004F4CB4"/>
    <w:rsid w:val="004F4D8E"/>
    <w:rsid w:val="004F4E12"/>
    <w:rsid w:val="004F4E15"/>
    <w:rsid w:val="004F5236"/>
    <w:rsid w:val="004F52A2"/>
    <w:rsid w:val="004F5497"/>
    <w:rsid w:val="004F5569"/>
    <w:rsid w:val="004F55A8"/>
    <w:rsid w:val="004F5869"/>
    <w:rsid w:val="004F58A9"/>
    <w:rsid w:val="004F59F3"/>
    <w:rsid w:val="004F5A04"/>
    <w:rsid w:val="004F5A8E"/>
    <w:rsid w:val="004F5AB4"/>
    <w:rsid w:val="004F5B4C"/>
    <w:rsid w:val="004F5BA4"/>
    <w:rsid w:val="004F5C37"/>
    <w:rsid w:val="004F5D50"/>
    <w:rsid w:val="004F5FB6"/>
    <w:rsid w:val="004F6083"/>
    <w:rsid w:val="004F6099"/>
    <w:rsid w:val="004F609C"/>
    <w:rsid w:val="004F61F9"/>
    <w:rsid w:val="004F61FE"/>
    <w:rsid w:val="004F62A9"/>
    <w:rsid w:val="004F6511"/>
    <w:rsid w:val="004F664A"/>
    <w:rsid w:val="004F6841"/>
    <w:rsid w:val="004F6943"/>
    <w:rsid w:val="004F6A6F"/>
    <w:rsid w:val="004F6AE2"/>
    <w:rsid w:val="004F6CEE"/>
    <w:rsid w:val="004F6D12"/>
    <w:rsid w:val="004F6E44"/>
    <w:rsid w:val="004F6EFA"/>
    <w:rsid w:val="004F708A"/>
    <w:rsid w:val="004F728A"/>
    <w:rsid w:val="004F72BC"/>
    <w:rsid w:val="004F72DD"/>
    <w:rsid w:val="004F7344"/>
    <w:rsid w:val="004F7410"/>
    <w:rsid w:val="004F7455"/>
    <w:rsid w:val="004F746D"/>
    <w:rsid w:val="004F75BC"/>
    <w:rsid w:val="004F75FE"/>
    <w:rsid w:val="004F7664"/>
    <w:rsid w:val="004F76D6"/>
    <w:rsid w:val="004F7709"/>
    <w:rsid w:val="004F7723"/>
    <w:rsid w:val="004F77A7"/>
    <w:rsid w:val="004F78B7"/>
    <w:rsid w:val="004F792E"/>
    <w:rsid w:val="004F79A8"/>
    <w:rsid w:val="004F79E3"/>
    <w:rsid w:val="004F7C60"/>
    <w:rsid w:val="004F7D9F"/>
    <w:rsid w:val="004F7DAB"/>
    <w:rsid w:val="004F7E58"/>
    <w:rsid w:val="004F7E8A"/>
    <w:rsid w:val="004F7F04"/>
    <w:rsid w:val="004F7FE0"/>
    <w:rsid w:val="0050010C"/>
    <w:rsid w:val="005001F8"/>
    <w:rsid w:val="0050022E"/>
    <w:rsid w:val="00500294"/>
    <w:rsid w:val="00500334"/>
    <w:rsid w:val="00500364"/>
    <w:rsid w:val="00500435"/>
    <w:rsid w:val="0050048F"/>
    <w:rsid w:val="00500562"/>
    <w:rsid w:val="005005C4"/>
    <w:rsid w:val="005005CE"/>
    <w:rsid w:val="0050074E"/>
    <w:rsid w:val="0050075B"/>
    <w:rsid w:val="00500792"/>
    <w:rsid w:val="005007BE"/>
    <w:rsid w:val="0050082E"/>
    <w:rsid w:val="0050084C"/>
    <w:rsid w:val="00500851"/>
    <w:rsid w:val="00500950"/>
    <w:rsid w:val="005009F1"/>
    <w:rsid w:val="00500B00"/>
    <w:rsid w:val="00500B08"/>
    <w:rsid w:val="005010F5"/>
    <w:rsid w:val="005011B9"/>
    <w:rsid w:val="00501366"/>
    <w:rsid w:val="005015C2"/>
    <w:rsid w:val="005015F8"/>
    <w:rsid w:val="00501624"/>
    <w:rsid w:val="0050178F"/>
    <w:rsid w:val="00501936"/>
    <w:rsid w:val="0050193A"/>
    <w:rsid w:val="005019B5"/>
    <w:rsid w:val="00501ABC"/>
    <w:rsid w:val="00501AEB"/>
    <w:rsid w:val="00501D2A"/>
    <w:rsid w:val="00501DEC"/>
    <w:rsid w:val="00502199"/>
    <w:rsid w:val="005021A7"/>
    <w:rsid w:val="00502400"/>
    <w:rsid w:val="00502414"/>
    <w:rsid w:val="0050241E"/>
    <w:rsid w:val="005024B1"/>
    <w:rsid w:val="00502519"/>
    <w:rsid w:val="005025BC"/>
    <w:rsid w:val="00502696"/>
    <w:rsid w:val="00502697"/>
    <w:rsid w:val="005027B4"/>
    <w:rsid w:val="005027E2"/>
    <w:rsid w:val="005028F3"/>
    <w:rsid w:val="00502902"/>
    <w:rsid w:val="005029DD"/>
    <w:rsid w:val="00502CCB"/>
    <w:rsid w:val="00502CEE"/>
    <w:rsid w:val="00502D94"/>
    <w:rsid w:val="00502DD5"/>
    <w:rsid w:val="00502DE6"/>
    <w:rsid w:val="00502F07"/>
    <w:rsid w:val="00502F5C"/>
    <w:rsid w:val="00502FAD"/>
    <w:rsid w:val="00502FC6"/>
    <w:rsid w:val="00503056"/>
    <w:rsid w:val="0050314F"/>
    <w:rsid w:val="0050315E"/>
    <w:rsid w:val="005033B3"/>
    <w:rsid w:val="00503585"/>
    <w:rsid w:val="005036A8"/>
    <w:rsid w:val="00503732"/>
    <w:rsid w:val="00503805"/>
    <w:rsid w:val="0050388B"/>
    <w:rsid w:val="0050392F"/>
    <w:rsid w:val="0050398D"/>
    <w:rsid w:val="005039E3"/>
    <w:rsid w:val="00503AAA"/>
    <w:rsid w:val="00503AF5"/>
    <w:rsid w:val="00503B34"/>
    <w:rsid w:val="00503B3A"/>
    <w:rsid w:val="00503B9B"/>
    <w:rsid w:val="00503BE5"/>
    <w:rsid w:val="00503D09"/>
    <w:rsid w:val="00503EEF"/>
    <w:rsid w:val="00503F4C"/>
    <w:rsid w:val="005040D0"/>
    <w:rsid w:val="0050419B"/>
    <w:rsid w:val="005041D2"/>
    <w:rsid w:val="00504271"/>
    <w:rsid w:val="005043AE"/>
    <w:rsid w:val="00504492"/>
    <w:rsid w:val="005044F7"/>
    <w:rsid w:val="00504545"/>
    <w:rsid w:val="005045FC"/>
    <w:rsid w:val="00504639"/>
    <w:rsid w:val="0050463C"/>
    <w:rsid w:val="00504682"/>
    <w:rsid w:val="005046A5"/>
    <w:rsid w:val="005046C9"/>
    <w:rsid w:val="00504727"/>
    <w:rsid w:val="00504780"/>
    <w:rsid w:val="00504792"/>
    <w:rsid w:val="005047A1"/>
    <w:rsid w:val="005047AA"/>
    <w:rsid w:val="00504976"/>
    <w:rsid w:val="00504992"/>
    <w:rsid w:val="00504A99"/>
    <w:rsid w:val="00504A9B"/>
    <w:rsid w:val="00504B97"/>
    <w:rsid w:val="00504B9F"/>
    <w:rsid w:val="00504BAB"/>
    <w:rsid w:val="00504C93"/>
    <w:rsid w:val="00504CD5"/>
    <w:rsid w:val="00504D8D"/>
    <w:rsid w:val="00504DC9"/>
    <w:rsid w:val="00504E3E"/>
    <w:rsid w:val="00504E59"/>
    <w:rsid w:val="00504F6C"/>
    <w:rsid w:val="005050AA"/>
    <w:rsid w:val="00505121"/>
    <w:rsid w:val="00505135"/>
    <w:rsid w:val="0050527D"/>
    <w:rsid w:val="005052DB"/>
    <w:rsid w:val="0050536B"/>
    <w:rsid w:val="0050546F"/>
    <w:rsid w:val="005055AD"/>
    <w:rsid w:val="0050571E"/>
    <w:rsid w:val="00505917"/>
    <w:rsid w:val="00505963"/>
    <w:rsid w:val="00505A13"/>
    <w:rsid w:val="00505A44"/>
    <w:rsid w:val="00505A7B"/>
    <w:rsid w:val="00505C04"/>
    <w:rsid w:val="00505D31"/>
    <w:rsid w:val="00505F41"/>
    <w:rsid w:val="00506029"/>
    <w:rsid w:val="005061CF"/>
    <w:rsid w:val="005062E8"/>
    <w:rsid w:val="00506322"/>
    <w:rsid w:val="00506367"/>
    <w:rsid w:val="00506374"/>
    <w:rsid w:val="005063EF"/>
    <w:rsid w:val="0050642B"/>
    <w:rsid w:val="005064EF"/>
    <w:rsid w:val="0050652A"/>
    <w:rsid w:val="00506546"/>
    <w:rsid w:val="005067C0"/>
    <w:rsid w:val="005067EE"/>
    <w:rsid w:val="005068BA"/>
    <w:rsid w:val="00506AB7"/>
    <w:rsid w:val="00506B3A"/>
    <w:rsid w:val="00506B7F"/>
    <w:rsid w:val="00506BC2"/>
    <w:rsid w:val="00506C6E"/>
    <w:rsid w:val="00506DA0"/>
    <w:rsid w:val="00506DFE"/>
    <w:rsid w:val="00506E36"/>
    <w:rsid w:val="00506E54"/>
    <w:rsid w:val="00506FB7"/>
    <w:rsid w:val="00506FC0"/>
    <w:rsid w:val="00507077"/>
    <w:rsid w:val="0050711B"/>
    <w:rsid w:val="00507193"/>
    <w:rsid w:val="005074AA"/>
    <w:rsid w:val="00507512"/>
    <w:rsid w:val="005075D3"/>
    <w:rsid w:val="0050762C"/>
    <w:rsid w:val="0050764D"/>
    <w:rsid w:val="00507724"/>
    <w:rsid w:val="005077C1"/>
    <w:rsid w:val="0050788B"/>
    <w:rsid w:val="005079FB"/>
    <w:rsid w:val="00507BF9"/>
    <w:rsid w:val="00507CF0"/>
    <w:rsid w:val="00507D3A"/>
    <w:rsid w:val="00507E00"/>
    <w:rsid w:val="00507E04"/>
    <w:rsid w:val="00507E77"/>
    <w:rsid w:val="00507F7D"/>
    <w:rsid w:val="00507FEA"/>
    <w:rsid w:val="005100AF"/>
    <w:rsid w:val="005101AF"/>
    <w:rsid w:val="00510232"/>
    <w:rsid w:val="00510332"/>
    <w:rsid w:val="00510399"/>
    <w:rsid w:val="0051049A"/>
    <w:rsid w:val="00510532"/>
    <w:rsid w:val="00510556"/>
    <w:rsid w:val="0051064E"/>
    <w:rsid w:val="00510819"/>
    <w:rsid w:val="00510938"/>
    <w:rsid w:val="00510A1B"/>
    <w:rsid w:val="00510A23"/>
    <w:rsid w:val="00510A4D"/>
    <w:rsid w:val="00510BD9"/>
    <w:rsid w:val="00510C1D"/>
    <w:rsid w:val="00510C76"/>
    <w:rsid w:val="00510E2A"/>
    <w:rsid w:val="00510E31"/>
    <w:rsid w:val="00510EA0"/>
    <w:rsid w:val="00510EB9"/>
    <w:rsid w:val="00510F77"/>
    <w:rsid w:val="00510F7E"/>
    <w:rsid w:val="00510FDD"/>
    <w:rsid w:val="005110CE"/>
    <w:rsid w:val="005111A5"/>
    <w:rsid w:val="0051145E"/>
    <w:rsid w:val="0051150F"/>
    <w:rsid w:val="005115C1"/>
    <w:rsid w:val="005115D1"/>
    <w:rsid w:val="005115D5"/>
    <w:rsid w:val="00511693"/>
    <w:rsid w:val="005116D6"/>
    <w:rsid w:val="0051186A"/>
    <w:rsid w:val="00511880"/>
    <w:rsid w:val="00511937"/>
    <w:rsid w:val="005119B2"/>
    <w:rsid w:val="00511A2F"/>
    <w:rsid w:val="00511B0C"/>
    <w:rsid w:val="00511CFB"/>
    <w:rsid w:val="00511F84"/>
    <w:rsid w:val="005123C5"/>
    <w:rsid w:val="0051240D"/>
    <w:rsid w:val="005125A0"/>
    <w:rsid w:val="005125D4"/>
    <w:rsid w:val="005127C8"/>
    <w:rsid w:val="005127CA"/>
    <w:rsid w:val="00512838"/>
    <w:rsid w:val="00512876"/>
    <w:rsid w:val="005128EA"/>
    <w:rsid w:val="005129F9"/>
    <w:rsid w:val="00512A1A"/>
    <w:rsid w:val="00512AAF"/>
    <w:rsid w:val="00512ABF"/>
    <w:rsid w:val="00512ACC"/>
    <w:rsid w:val="00512ACF"/>
    <w:rsid w:val="00512C9A"/>
    <w:rsid w:val="00512DAA"/>
    <w:rsid w:val="00512F81"/>
    <w:rsid w:val="00512FD4"/>
    <w:rsid w:val="00513176"/>
    <w:rsid w:val="0051319F"/>
    <w:rsid w:val="00513247"/>
    <w:rsid w:val="00513388"/>
    <w:rsid w:val="0051339B"/>
    <w:rsid w:val="005133B2"/>
    <w:rsid w:val="005133D8"/>
    <w:rsid w:val="005133F1"/>
    <w:rsid w:val="00513475"/>
    <w:rsid w:val="00513478"/>
    <w:rsid w:val="00513487"/>
    <w:rsid w:val="005134DD"/>
    <w:rsid w:val="0051352B"/>
    <w:rsid w:val="00513581"/>
    <w:rsid w:val="00513799"/>
    <w:rsid w:val="005137AF"/>
    <w:rsid w:val="0051385D"/>
    <w:rsid w:val="00513A1A"/>
    <w:rsid w:val="00513AD0"/>
    <w:rsid w:val="00513B6C"/>
    <w:rsid w:val="00513B84"/>
    <w:rsid w:val="00513C5B"/>
    <w:rsid w:val="00513D14"/>
    <w:rsid w:val="00513D5A"/>
    <w:rsid w:val="00513E2F"/>
    <w:rsid w:val="00513E53"/>
    <w:rsid w:val="00513EE2"/>
    <w:rsid w:val="0051407E"/>
    <w:rsid w:val="00514250"/>
    <w:rsid w:val="00514282"/>
    <w:rsid w:val="00514302"/>
    <w:rsid w:val="0051455D"/>
    <w:rsid w:val="00514560"/>
    <w:rsid w:val="0051460D"/>
    <w:rsid w:val="005146EB"/>
    <w:rsid w:val="005146FE"/>
    <w:rsid w:val="00514744"/>
    <w:rsid w:val="0051487D"/>
    <w:rsid w:val="00514A3A"/>
    <w:rsid w:val="00514A81"/>
    <w:rsid w:val="00514AC2"/>
    <w:rsid w:val="00514B71"/>
    <w:rsid w:val="00514C1F"/>
    <w:rsid w:val="00514CF5"/>
    <w:rsid w:val="00514E02"/>
    <w:rsid w:val="00514E32"/>
    <w:rsid w:val="00514F3D"/>
    <w:rsid w:val="00514FA4"/>
    <w:rsid w:val="00514FA7"/>
    <w:rsid w:val="0051502D"/>
    <w:rsid w:val="00515206"/>
    <w:rsid w:val="005152A2"/>
    <w:rsid w:val="00515384"/>
    <w:rsid w:val="005153B4"/>
    <w:rsid w:val="005153F6"/>
    <w:rsid w:val="00515502"/>
    <w:rsid w:val="00515546"/>
    <w:rsid w:val="005155EE"/>
    <w:rsid w:val="005156AE"/>
    <w:rsid w:val="0051578C"/>
    <w:rsid w:val="005157D5"/>
    <w:rsid w:val="00515822"/>
    <w:rsid w:val="00515ACB"/>
    <w:rsid w:val="00515C61"/>
    <w:rsid w:val="00515CEC"/>
    <w:rsid w:val="00515D02"/>
    <w:rsid w:val="00515E75"/>
    <w:rsid w:val="00515E8A"/>
    <w:rsid w:val="00515EF3"/>
    <w:rsid w:val="00516052"/>
    <w:rsid w:val="00516123"/>
    <w:rsid w:val="0051617F"/>
    <w:rsid w:val="005166AB"/>
    <w:rsid w:val="00516753"/>
    <w:rsid w:val="0051684B"/>
    <w:rsid w:val="00516932"/>
    <w:rsid w:val="0051697E"/>
    <w:rsid w:val="005169A5"/>
    <w:rsid w:val="005169D9"/>
    <w:rsid w:val="00516BB6"/>
    <w:rsid w:val="00516CBD"/>
    <w:rsid w:val="00516DD2"/>
    <w:rsid w:val="00516EE3"/>
    <w:rsid w:val="0051702C"/>
    <w:rsid w:val="0051707A"/>
    <w:rsid w:val="0051710D"/>
    <w:rsid w:val="005172B1"/>
    <w:rsid w:val="00517332"/>
    <w:rsid w:val="00517345"/>
    <w:rsid w:val="005173B9"/>
    <w:rsid w:val="00517447"/>
    <w:rsid w:val="00517531"/>
    <w:rsid w:val="0051757B"/>
    <w:rsid w:val="00517604"/>
    <w:rsid w:val="0051762B"/>
    <w:rsid w:val="0051776A"/>
    <w:rsid w:val="00517879"/>
    <w:rsid w:val="005178EA"/>
    <w:rsid w:val="005178F3"/>
    <w:rsid w:val="00517920"/>
    <w:rsid w:val="005179D2"/>
    <w:rsid w:val="00517A71"/>
    <w:rsid w:val="00517AF5"/>
    <w:rsid w:val="00517B16"/>
    <w:rsid w:val="00517B27"/>
    <w:rsid w:val="00517B50"/>
    <w:rsid w:val="00517BCF"/>
    <w:rsid w:val="00517D0F"/>
    <w:rsid w:val="00517D51"/>
    <w:rsid w:val="00517D78"/>
    <w:rsid w:val="00517EA0"/>
    <w:rsid w:val="00517EE7"/>
    <w:rsid w:val="00517FBD"/>
    <w:rsid w:val="005200C4"/>
    <w:rsid w:val="00520300"/>
    <w:rsid w:val="00520308"/>
    <w:rsid w:val="005203AD"/>
    <w:rsid w:val="005203BE"/>
    <w:rsid w:val="0052046F"/>
    <w:rsid w:val="0052063B"/>
    <w:rsid w:val="00520754"/>
    <w:rsid w:val="0052082C"/>
    <w:rsid w:val="005208B7"/>
    <w:rsid w:val="0052090C"/>
    <w:rsid w:val="0052092E"/>
    <w:rsid w:val="00520AA1"/>
    <w:rsid w:val="00520B0D"/>
    <w:rsid w:val="00520B82"/>
    <w:rsid w:val="00520D48"/>
    <w:rsid w:val="00520D4C"/>
    <w:rsid w:val="00520E98"/>
    <w:rsid w:val="00520F3A"/>
    <w:rsid w:val="00520F76"/>
    <w:rsid w:val="00520F7C"/>
    <w:rsid w:val="0052106E"/>
    <w:rsid w:val="00521118"/>
    <w:rsid w:val="005214DA"/>
    <w:rsid w:val="00521533"/>
    <w:rsid w:val="00521745"/>
    <w:rsid w:val="00521766"/>
    <w:rsid w:val="005217E6"/>
    <w:rsid w:val="00521808"/>
    <w:rsid w:val="005219FF"/>
    <w:rsid w:val="00521A18"/>
    <w:rsid w:val="00521A9B"/>
    <w:rsid w:val="00521ADC"/>
    <w:rsid w:val="00521ADF"/>
    <w:rsid w:val="00521B41"/>
    <w:rsid w:val="00521BD0"/>
    <w:rsid w:val="00521C5A"/>
    <w:rsid w:val="00521CF9"/>
    <w:rsid w:val="00521F74"/>
    <w:rsid w:val="00522074"/>
    <w:rsid w:val="00522175"/>
    <w:rsid w:val="0052241E"/>
    <w:rsid w:val="0052249D"/>
    <w:rsid w:val="005224B7"/>
    <w:rsid w:val="005224F7"/>
    <w:rsid w:val="00522602"/>
    <w:rsid w:val="0052277E"/>
    <w:rsid w:val="00522A22"/>
    <w:rsid w:val="00522ABB"/>
    <w:rsid w:val="00522D5C"/>
    <w:rsid w:val="00522DB9"/>
    <w:rsid w:val="00523100"/>
    <w:rsid w:val="005231F7"/>
    <w:rsid w:val="00523283"/>
    <w:rsid w:val="005233BF"/>
    <w:rsid w:val="005233C5"/>
    <w:rsid w:val="005234E7"/>
    <w:rsid w:val="005236E0"/>
    <w:rsid w:val="0052377A"/>
    <w:rsid w:val="005237DC"/>
    <w:rsid w:val="00523A2C"/>
    <w:rsid w:val="00523AEB"/>
    <w:rsid w:val="00523B12"/>
    <w:rsid w:val="00523C12"/>
    <w:rsid w:val="00523C44"/>
    <w:rsid w:val="00523DFB"/>
    <w:rsid w:val="00523E7A"/>
    <w:rsid w:val="00523E80"/>
    <w:rsid w:val="00523F1F"/>
    <w:rsid w:val="00523F47"/>
    <w:rsid w:val="00523F86"/>
    <w:rsid w:val="00523FE1"/>
    <w:rsid w:val="00524040"/>
    <w:rsid w:val="00524230"/>
    <w:rsid w:val="00524254"/>
    <w:rsid w:val="005245B2"/>
    <w:rsid w:val="005246FB"/>
    <w:rsid w:val="00524731"/>
    <w:rsid w:val="0052476C"/>
    <w:rsid w:val="0052479B"/>
    <w:rsid w:val="005249B6"/>
    <w:rsid w:val="00524ACA"/>
    <w:rsid w:val="00524B01"/>
    <w:rsid w:val="00524DD8"/>
    <w:rsid w:val="00524E08"/>
    <w:rsid w:val="00524E17"/>
    <w:rsid w:val="00524E1B"/>
    <w:rsid w:val="00524F44"/>
    <w:rsid w:val="005250AF"/>
    <w:rsid w:val="00525213"/>
    <w:rsid w:val="00525421"/>
    <w:rsid w:val="005254AB"/>
    <w:rsid w:val="005255E6"/>
    <w:rsid w:val="005257E7"/>
    <w:rsid w:val="005258D8"/>
    <w:rsid w:val="005258E4"/>
    <w:rsid w:val="005258F7"/>
    <w:rsid w:val="00525975"/>
    <w:rsid w:val="0052598C"/>
    <w:rsid w:val="005259C2"/>
    <w:rsid w:val="00525A45"/>
    <w:rsid w:val="00525AC4"/>
    <w:rsid w:val="00525B2E"/>
    <w:rsid w:val="00525BA0"/>
    <w:rsid w:val="00525BBE"/>
    <w:rsid w:val="00525CE9"/>
    <w:rsid w:val="00525FA3"/>
    <w:rsid w:val="005260F2"/>
    <w:rsid w:val="00526276"/>
    <w:rsid w:val="00526300"/>
    <w:rsid w:val="0052630A"/>
    <w:rsid w:val="00526319"/>
    <w:rsid w:val="00526481"/>
    <w:rsid w:val="0052652F"/>
    <w:rsid w:val="0052666E"/>
    <w:rsid w:val="005266C6"/>
    <w:rsid w:val="00526779"/>
    <w:rsid w:val="00526880"/>
    <w:rsid w:val="005268D1"/>
    <w:rsid w:val="00526998"/>
    <w:rsid w:val="00526A8D"/>
    <w:rsid w:val="00526BEE"/>
    <w:rsid w:val="00526C38"/>
    <w:rsid w:val="00526C98"/>
    <w:rsid w:val="00526CDC"/>
    <w:rsid w:val="00526D05"/>
    <w:rsid w:val="00526D6B"/>
    <w:rsid w:val="00526F58"/>
    <w:rsid w:val="00526FAB"/>
    <w:rsid w:val="005271CA"/>
    <w:rsid w:val="005274E3"/>
    <w:rsid w:val="00527537"/>
    <w:rsid w:val="00527685"/>
    <w:rsid w:val="00527690"/>
    <w:rsid w:val="00527698"/>
    <w:rsid w:val="005276F4"/>
    <w:rsid w:val="00527712"/>
    <w:rsid w:val="00527767"/>
    <w:rsid w:val="005277C4"/>
    <w:rsid w:val="00527918"/>
    <w:rsid w:val="005279B9"/>
    <w:rsid w:val="00527AF3"/>
    <w:rsid w:val="00527B20"/>
    <w:rsid w:val="00527CC8"/>
    <w:rsid w:val="00527D34"/>
    <w:rsid w:val="00527E43"/>
    <w:rsid w:val="00527ECB"/>
    <w:rsid w:val="005301E6"/>
    <w:rsid w:val="00530247"/>
    <w:rsid w:val="005302EE"/>
    <w:rsid w:val="00530340"/>
    <w:rsid w:val="00530380"/>
    <w:rsid w:val="00530476"/>
    <w:rsid w:val="005304E4"/>
    <w:rsid w:val="005305C7"/>
    <w:rsid w:val="005305E4"/>
    <w:rsid w:val="005305FB"/>
    <w:rsid w:val="00530642"/>
    <w:rsid w:val="005306BC"/>
    <w:rsid w:val="005307E6"/>
    <w:rsid w:val="00530868"/>
    <w:rsid w:val="00530869"/>
    <w:rsid w:val="005309ED"/>
    <w:rsid w:val="00530A27"/>
    <w:rsid w:val="00530A52"/>
    <w:rsid w:val="00530B7B"/>
    <w:rsid w:val="00530CCF"/>
    <w:rsid w:val="00530D34"/>
    <w:rsid w:val="00530D35"/>
    <w:rsid w:val="00530E4A"/>
    <w:rsid w:val="00530E80"/>
    <w:rsid w:val="00530E85"/>
    <w:rsid w:val="00530F82"/>
    <w:rsid w:val="00530F95"/>
    <w:rsid w:val="00530FA0"/>
    <w:rsid w:val="00530FE7"/>
    <w:rsid w:val="0053105A"/>
    <w:rsid w:val="005310A3"/>
    <w:rsid w:val="005310AB"/>
    <w:rsid w:val="005310F8"/>
    <w:rsid w:val="005311F7"/>
    <w:rsid w:val="00531488"/>
    <w:rsid w:val="005316A9"/>
    <w:rsid w:val="005316F6"/>
    <w:rsid w:val="00531976"/>
    <w:rsid w:val="0053198B"/>
    <w:rsid w:val="0053199B"/>
    <w:rsid w:val="005319C6"/>
    <w:rsid w:val="00531A81"/>
    <w:rsid w:val="00531B19"/>
    <w:rsid w:val="00531C8E"/>
    <w:rsid w:val="00531CF7"/>
    <w:rsid w:val="00531D7D"/>
    <w:rsid w:val="00531DB9"/>
    <w:rsid w:val="00531E13"/>
    <w:rsid w:val="00531E73"/>
    <w:rsid w:val="00531F31"/>
    <w:rsid w:val="00531F65"/>
    <w:rsid w:val="00531F88"/>
    <w:rsid w:val="005320CB"/>
    <w:rsid w:val="00532108"/>
    <w:rsid w:val="00532165"/>
    <w:rsid w:val="005322CF"/>
    <w:rsid w:val="005322F5"/>
    <w:rsid w:val="005324BB"/>
    <w:rsid w:val="00532719"/>
    <w:rsid w:val="00532779"/>
    <w:rsid w:val="00532858"/>
    <w:rsid w:val="00532AB7"/>
    <w:rsid w:val="00532C06"/>
    <w:rsid w:val="00532C64"/>
    <w:rsid w:val="00532D68"/>
    <w:rsid w:val="00532F7D"/>
    <w:rsid w:val="00532FFC"/>
    <w:rsid w:val="0053300F"/>
    <w:rsid w:val="005330E9"/>
    <w:rsid w:val="005330EB"/>
    <w:rsid w:val="005330ED"/>
    <w:rsid w:val="0053313B"/>
    <w:rsid w:val="005333D7"/>
    <w:rsid w:val="0053340A"/>
    <w:rsid w:val="00533426"/>
    <w:rsid w:val="0053353B"/>
    <w:rsid w:val="005335E1"/>
    <w:rsid w:val="0053361F"/>
    <w:rsid w:val="0053380C"/>
    <w:rsid w:val="005339C0"/>
    <w:rsid w:val="00533A3B"/>
    <w:rsid w:val="00533B46"/>
    <w:rsid w:val="00533C30"/>
    <w:rsid w:val="00533C41"/>
    <w:rsid w:val="00533C76"/>
    <w:rsid w:val="00533EF6"/>
    <w:rsid w:val="00533F3B"/>
    <w:rsid w:val="00533F56"/>
    <w:rsid w:val="00533FB0"/>
    <w:rsid w:val="00534018"/>
    <w:rsid w:val="005340A3"/>
    <w:rsid w:val="0053415F"/>
    <w:rsid w:val="0053428A"/>
    <w:rsid w:val="00534796"/>
    <w:rsid w:val="00534A22"/>
    <w:rsid w:val="00534B29"/>
    <w:rsid w:val="00534BB9"/>
    <w:rsid w:val="00534BE7"/>
    <w:rsid w:val="00535198"/>
    <w:rsid w:val="00535381"/>
    <w:rsid w:val="00535480"/>
    <w:rsid w:val="005354F0"/>
    <w:rsid w:val="0053562D"/>
    <w:rsid w:val="005358B7"/>
    <w:rsid w:val="00535A7D"/>
    <w:rsid w:val="00535AE5"/>
    <w:rsid w:val="00535C9C"/>
    <w:rsid w:val="00535D20"/>
    <w:rsid w:val="00535DD5"/>
    <w:rsid w:val="00535E67"/>
    <w:rsid w:val="00535F75"/>
    <w:rsid w:val="00535FD1"/>
    <w:rsid w:val="00536116"/>
    <w:rsid w:val="0053637B"/>
    <w:rsid w:val="0053644E"/>
    <w:rsid w:val="005364F1"/>
    <w:rsid w:val="005365AE"/>
    <w:rsid w:val="005367C0"/>
    <w:rsid w:val="00536851"/>
    <w:rsid w:val="00536891"/>
    <w:rsid w:val="005368D1"/>
    <w:rsid w:val="00536AED"/>
    <w:rsid w:val="00536B1E"/>
    <w:rsid w:val="00536B9B"/>
    <w:rsid w:val="00536C23"/>
    <w:rsid w:val="00536F84"/>
    <w:rsid w:val="005371F8"/>
    <w:rsid w:val="00537235"/>
    <w:rsid w:val="0053725E"/>
    <w:rsid w:val="005373BC"/>
    <w:rsid w:val="005373D0"/>
    <w:rsid w:val="00537426"/>
    <w:rsid w:val="00537428"/>
    <w:rsid w:val="00537476"/>
    <w:rsid w:val="00537590"/>
    <w:rsid w:val="005375B6"/>
    <w:rsid w:val="005376C8"/>
    <w:rsid w:val="00537782"/>
    <w:rsid w:val="0053785C"/>
    <w:rsid w:val="005378A9"/>
    <w:rsid w:val="00537B70"/>
    <w:rsid w:val="00537BF3"/>
    <w:rsid w:val="00537E28"/>
    <w:rsid w:val="00537FEA"/>
    <w:rsid w:val="00540285"/>
    <w:rsid w:val="00540378"/>
    <w:rsid w:val="005404D7"/>
    <w:rsid w:val="00540507"/>
    <w:rsid w:val="00540570"/>
    <w:rsid w:val="00540629"/>
    <w:rsid w:val="0054099C"/>
    <w:rsid w:val="005409B6"/>
    <w:rsid w:val="00540D5A"/>
    <w:rsid w:val="00540D9F"/>
    <w:rsid w:val="00540EC9"/>
    <w:rsid w:val="00540EE8"/>
    <w:rsid w:val="00540FD4"/>
    <w:rsid w:val="00541066"/>
    <w:rsid w:val="005411FE"/>
    <w:rsid w:val="00541261"/>
    <w:rsid w:val="0054147C"/>
    <w:rsid w:val="005414A8"/>
    <w:rsid w:val="00541514"/>
    <w:rsid w:val="0054159F"/>
    <w:rsid w:val="00541605"/>
    <w:rsid w:val="00541721"/>
    <w:rsid w:val="005417BA"/>
    <w:rsid w:val="0054180A"/>
    <w:rsid w:val="00541BCE"/>
    <w:rsid w:val="00541BF6"/>
    <w:rsid w:val="00541D0C"/>
    <w:rsid w:val="00541D4B"/>
    <w:rsid w:val="00541DD8"/>
    <w:rsid w:val="00541DE3"/>
    <w:rsid w:val="00541E6A"/>
    <w:rsid w:val="00541F98"/>
    <w:rsid w:val="00541FD4"/>
    <w:rsid w:val="00541FE0"/>
    <w:rsid w:val="005420F1"/>
    <w:rsid w:val="0054216C"/>
    <w:rsid w:val="00542187"/>
    <w:rsid w:val="005421E6"/>
    <w:rsid w:val="00542204"/>
    <w:rsid w:val="0054226F"/>
    <w:rsid w:val="0054233F"/>
    <w:rsid w:val="00542539"/>
    <w:rsid w:val="00542556"/>
    <w:rsid w:val="00542666"/>
    <w:rsid w:val="005427B5"/>
    <w:rsid w:val="005427E6"/>
    <w:rsid w:val="0054280B"/>
    <w:rsid w:val="00542852"/>
    <w:rsid w:val="0054286E"/>
    <w:rsid w:val="005428B2"/>
    <w:rsid w:val="005429EE"/>
    <w:rsid w:val="00542A82"/>
    <w:rsid w:val="00542B17"/>
    <w:rsid w:val="00542B18"/>
    <w:rsid w:val="00542BFD"/>
    <w:rsid w:val="00542D24"/>
    <w:rsid w:val="00542DF3"/>
    <w:rsid w:val="00542E32"/>
    <w:rsid w:val="00542EDD"/>
    <w:rsid w:val="00542EFF"/>
    <w:rsid w:val="00543018"/>
    <w:rsid w:val="00543063"/>
    <w:rsid w:val="0054307B"/>
    <w:rsid w:val="005430DA"/>
    <w:rsid w:val="00543124"/>
    <w:rsid w:val="0054322D"/>
    <w:rsid w:val="0054322E"/>
    <w:rsid w:val="00543403"/>
    <w:rsid w:val="00543506"/>
    <w:rsid w:val="0054358F"/>
    <w:rsid w:val="005435E4"/>
    <w:rsid w:val="005436F4"/>
    <w:rsid w:val="00543824"/>
    <w:rsid w:val="00543841"/>
    <w:rsid w:val="00543976"/>
    <w:rsid w:val="0054399B"/>
    <w:rsid w:val="00543A3B"/>
    <w:rsid w:val="00543A6E"/>
    <w:rsid w:val="00543AD0"/>
    <w:rsid w:val="00543AD1"/>
    <w:rsid w:val="00543B58"/>
    <w:rsid w:val="00543BF1"/>
    <w:rsid w:val="00543D0C"/>
    <w:rsid w:val="00543D57"/>
    <w:rsid w:val="00543D99"/>
    <w:rsid w:val="00543DA1"/>
    <w:rsid w:val="00543FF9"/>
    <w:rsid w:val="00544000"/>
    <w:rsid w:val="0054402E"/>
    <w:rsid w:val="00544034"/>
    <w:rsid w:val="00544255"/>
    <w:rsid w:val="0054429B"/>
    <w:rsid w:val="00544380"/>
    <w:rsid w:val="005443B9"/>
    <w:rsid w:val="00544634"/>
    <w:rsid w:val="00544669"/>
    <w:rsid w:val="00544694"/>
    <w:rsid w:val="0054478D"/>
    <w:rsid w:val="005447B8"/>
    <w:rsid w:val="00544A61"/>
    <w:rsid w:val="00544B46"/>
    <w:rsid w:val="00544D29"/>
    <w:rsid w:val="00544D34"/>
    <w:rsid w:val="00544D44"/>
    <w:rsid w:val="00544D97"/>
    <w:rsid w:val="00544E29"/>
    <w:rsid w:val="00544E4C"/>
    <w:rsid w:val="00544E75"/>
    <w:rsid w:val="00544EE7"/>
    <w:rsid w:val="0054503F"/>
    <w:rsid w:val="005450CA"/>
    <w:rsid w:val="005452F5"/>
    <w:rsid w:val="00545374"/>
    <w:rsid w:val="005453B7"/>
    <w:rsid w:val="00545402"/>
    <w:rsid w:val="00545564"/>
    <w:rsid w:val="00545623"/>
    <w:rsid w:val="005456A6"/>
    <w:rsid w:val="005456C5"/>
    <w:rsid w:val="005456D6"/>
    <w:rsid w:val="005457E0"/>
    <w:rsid w:val="00545849"/>
    <w:rsid w:val="00545992"/>
    <w:rsid w:val="00545993"/>
    <w:rsid w:val="00545BF4"/>
    <w:rsid w:val="00545CA3"/>
    <w:rsid w:val="00545E1B"/>
    <w:rsid w:val="00545E4E"/>
    <w:rsid w:val="00545E6E"/>
    <w:rsid w:val="00545E7F"/>
    <w:rsid w:val="00546027"/>
    <w:rsid w:val="0054607F"/>
    <w:rsid w:val="0054625B"/>
    <w:rsid w:val="00546270"/>
    <w:rsid w:val="0054656A"/>
    <w:rsid w:val="005465AD"/>
    <w:rsid w:val="0054668B"/>
    <w:rsid w:val="00546752"/>
    <w:rsid w:val="00546781"/>
    <w:rsid w:val="0054679F"/>
    <w:rsid w:val="0054689A"/>
    <w:rsid w:val="005469A1"/>
    <w:rsid w:val="005469BF"/>
    <w:rsid w:val="005469E3"/>
    <w:rsid w:val="00546B5D"/>
    <w:rsid w:val="00546B7D"/>
    <w:rsid w:val="00546D16"/>
    <w:rsid w:val="00546D17"/>
    <w:rsid w:val="00546E1A"/>
    <w:rsid w:val="00546E3F"/>
    <w:rsid w:val="00546E87"/>
    <w:rsid w:val="00546FF0"/>
    <w:rsid w:val="00547180"/>
    <w:rsid w:val="00547363"/>
    <w:rsid w:val="0054755D"/>
    <w:rsid w:val="00547A00"/>
    <w:rsid w:val="00547A14"/>
    <w:rsid w:val="00547A35"/>
    <w:rsid w:val="00547A59"/>
    <w:rsid w:val="00547B77"/>
    <w:rsid w:val="00547C2A"/>
    <w:rsid w:val="00547E88"/>
    <w:rsid w:val="0055002B"/>
    <w:rsid w:val="0055009F"/>
    <w:rsid w:val="0055014B"/>
    <w:rsid w:val="00550161"/>
    <w:rsid w:val="0055020F"/>
    <w:rsid w:val="0055033B"/>
    <w:rsid w:val="0055033E"/>
    <w:rsid w:val="00550537"/>
    <w:rsid w:val="0055056C"/>
    <w:rsid w:val="0055058D"/>
    <w:rsid w:val="005506F0"/>
    <w:rsid w:val="00550785"/>
    <w:rsid w:val="005508B5"/>
    <w:rsid w:val="00550AF3"/>
    <w:rsid w:val="00550D26"/>
    <w:rsid w:val="00550D6E"/>
    <w:rsid w:val="00550E40"/>
    <w:rsid w:val="00550F47"/>
    <w:rsid w:val="005510B1"/>
    <w:rsid w:val="005511AB"/>
    <w:rsid w:val="005512C5"/>
    <w:rsid w:val="005514FC"/>
    <w:rsid w:val="00551540"/>
    <w:rsid w:val="005515C4"/>
    <w:rsid w:val="00551712"/>
    <w:rsid w:val="0055172B"/>
    <w:rsid w:val="005517E1"/>
    <w:rsid w:val="00551903"/>
    <w:rsid w:val="00551978"/>
    <w:rsid w:val="00551990"/>
    <w:rsid w:val="00551B00"/>
    <w:rsid w:val="00551B54"/>
    <w:rsid w:val="00551C1E"/>
    <w:rsid w:val="00551D13"/>
    <w:rsid w:val="00551DBA"/>
    <w:rsid w:val="00551F2D"/>
    <w:rsid w:val="00551F66"/>
    <w:rsid w:val="00552053"/>
    <w:rsid w:val="0055211F"/>
    <w:rsid w:val="0055214D"/>
    <w:rsid w:val="0055218D"/>
    <w:rsid w:val="00552379"/>
    <w:rsid w:val="00552483"/>
    <w:rsid w:val="005524DB"/>
    <w:rsid w:val="00552578"/>
    <w:rsid w:val="00552582"/>
    <w:rsid w:val="005525DB"/>
    <w:rsid w:val="0055267F"/>
    <w:rsid w:val="005526A1"/>
    <w:rsid w:val="005526AF"/>
    <w:rsid w:val="00552741"/>
    <w:rsid w:val="00552840"/>
    <w:rsid w:val="005528DD"/>
    <w:rsid w:val="00552A0C"/>
    <w:rsid w:val="00552A6A"/>
    <w:rsid w:val="00552BEC"/>
    <w:rsid w:val="00552D1C"/>
    <w:rsid w:val="00552DF7"/>
    <w:rsid w:val="00552DFD"/>
    <w:rsid w:val="00552E0F"/>
    <w:rsid w:val="00552EA4"/>
    <w:rsid w:val="00552F3F"/>
    <w:rsid w:val="00553050"/>
    <w:rsid w:val="0055325E"/>
    <w:rsid w:val="005533EF"/>
    <w:rsid w:val="005534DD"/>
    <w:rsid w:val="005536B9"/>
    <w:rsid w:val="00553887"/>
    <w:rsid w:val="0055399B"/>
    <w:rsid w:val="00553C13"/>
    <w:rsid w:val="00553CAE"/>
    <w:rsid w:val="00553CF1"/>
    <w:rsid w:val="00553DAC"/>
    <w:rsid w:val="00553DEF"/>
    <w:rsid w:val="00553E3C"/>
    <w:rsid w:val="00553E6A"/>
    <w:rsid w:val="00554108"/>
    <w:rsid w:val="0055411A"/>
    <w:rsid w:val="0055411B"/>
    <w:rsid w:val="005541A6"/>
    <w:rsid w:val="0055421E"/>
    <w:rsid w:val="00554285"/>
    <w:rsid w:val="00554291"/>
    <w:rsid w:val="005542B7"/>
    <w:rsid w:val="005542FE"/>
    <w:rsid w:val="005543C1"/>
    <w:rsid w:val="00554403"/>
    <w:rsid w:val="00554426"/>
    <w:rsid w:val="005544D8"/>
    <w:rsid w:val="0055459A"/>
    <w:rsid w:val="0055468B"/>
    <w:rsid w:val="005546B5"/>
    <w:rsid w:val="005546C1"/>
    <w:rsid w:val="00554980"/>
    <w:rsid w:val="005549BA"/>
    <w:rsid w:val="00554B21"/>
    <w:rsid w:val="00554B81"/>
    <w:rsid w:val="00554BAF"/>
    <w:rsid w:val="00554C18"/>
    <w:rsid w:val="00554C9D"/>
    <w:rsid w:val="00554CC1"/>
    <w:rsid w:val="00554D45"/>
    <w:rsid w:val="00554D52"/>
    <w:rsid w:val="00554E05"/>
    <w:rsid w:val="00554E4A"/>
    <w:rsid w:val="00554F61"/>
    <w:rsid w:val="00554FEE"/>
    <w:rsid w:val="005551AC"/>
    <w:rsid w:val="005553CF"/>
    <w:rsid w:val="00555463"/>
    <w:rsid w:val="005554B6"/>
    <w:rsid w:val="005555E2"/>
    <w:rsid w:val="005557B3"/>
    <w:rsid w:val="0055585F"/>
    <w:rsid w:val="005558D0"/>
    <w:rsid w:val="00555979"/>
    <w:rsid w:val="00555A19"/>
    <w:rsid w:val="00555A4B"/>
    <w:rsid w:val="00555B04"/>
    <w:rsid w:val="00555BA1"/>
    <w:rsid w:val="00555D83"/>
    <w:rsid w:val="00555DD5"/>
    <w:rsid w:val="00555E79"/>
    <w:rsid w:val="0055600C"/>
    <w:rsid w:val="0055612B"/>
    <w:rsid w:val="00556165"/>
    <w:rsid w:val="0055652B"/>
    <w:rsid w:val="00556569"/>
    <w:rsid w:val="00556594"/>
    <w:rsid w:val="00556597"/>
    <w:rsid w:val="0055663F"/>
    <w:rsid w:val="00556675"/>
    <w:rsid w:val="00556731"/>
    <w:rsid w:val="005568B8"/>
    <w:rsid w:val="00556931"/>
    <w:rsid w:val="005569A9"/>
    <w:rsid w:val="00556A5D"/>
    <w:rsid w:val="00556A8E"/>
    <w:rsid w:val="00556B41"/>
    <w:rsid w:val="00556BBE"/>
    <w:rsid w:val="00556C2E"/>
    <w:rsid w:val="00556CB1"/>
    <w:rsid w:val="00556CF5"/>
    <w:rsid w:val="00556D0C"/>
    <w:rsid w:val="00556DB9"/>
    <w:rsid w:val="00556E9B"/>
    <w:rsid w:val="0055712E"/>
    <w:rsid w:val="005571AB"/>
    <w:rsid w:val="005571E0"/>
    <w:rsid w:val="0055729D"/>
    <w:rsid w:val="00557324"/>
    <w:rsid w:val="005574E9"/>
    <w:rsid w:val="0055766A"/>
    <w:rsid w:val="00557674"/>
    <w:rsid w:val="005576E6"/>
    <w:rsid w:val="005577B3"/>
    <w:rsid w:val="00557802"/>
    <w:rsid w:val="00557823"/>
    <w:rsid w:val="0055787A"/>
    <w:rsid w:val="00557892"/>
    <w:rsid w:val="005578D4"/>
    <w:rsid w:val="00557994"/>
    <w:rsid w:val="00557A4E"/>
    <w:rsid w:val="00557AC1"/>
    <w:rsid w:val="00557CEA"/>
    <w:rsid w:val="00557EA6"/>
    <w:rsid w:val="00557EE2"/>
    <w:rsid w:val="00557EFF"/>
    <w:rsid w:val="00557F49"/>
    <w:rsid w:val="00560057"/>
    <w:rsid w:val="005600A6"/>
    <w:rsid w:val="005600F2"/>
    <w:rsid w:val="005601CB"/>
    <w:rsid w:val="00560215"/>
    <w:rsid w:val="0056027F"/>
    <w:rsid w:val="005603DA"/>
    <w:rsid w:val="00560434"/>
    <w:rsid w:val="00560442"/>
    <w:rsid w:val="005604F9"/>
    <w:rsid w:val="00560630"/>
    <w:rsid w:val="0056066B"/>
    <w:rsid w:val="005608E4"/>
    <w:rsid w:val="00560969"/>
    <w:rsid w:val="00560A27"/>
    <w:rsid w:val="00560B00"/>
    <w:rsid w:val="00560BC9"/>
    <w:rsid w:val="00560BDC"/>
    <w:rsid w:val="00560C64"/>
    <w:rsid w:val="00560DC8"/>
    <w:rsid w:val="00560F51"/>
    <w:rsid w:val="00560FA3"/>
    <w:rsid w:val="0056100A"/>
    <w:rsid w:val="005610D9"/>
    <w:rsid w:val="005610F6"/>
    <w:rsid w:val="00561197"/>
    <w:rsid w:val="005612AC"/>
    <w:rsid w:val="00561358"/>
    <w:rsid w:val="0056137A"/>
    <w:rsid w:val="005613FF"/>
    <w:rsid w:val="005614F0"/>
    <w:rsid w:val="005616A6"/>
    <w:rsid w:val="00561701"/>
    <w:rsid w:val="00561A7D"/>
    <w:rsid w:val="00561AAB"/>
    <w:rsid w:val="00561B14"/>
    <w:rsid w:val="00561C4B"/>
    <w:rsid w:val="00561D07"/>
    <w:rsid w:val="00561DC5"/>
    <w:rsid w:val="00561FA3"/>
    <w:rsid w:val="00562002"/>
    <w:rsid w:val="0056209D"/>
    <w:rsid w:val="00562105"/>
    <w:rsid w:val="005621F3"/>
    <w:rsid w:val="00562221"/>
    <w:rsid w:val="00562247"/>
    <w:rsid w:val="00562713"/>
    <w:rsid w:val="00562813"/>
    <w:rsid w:val="00562873"/>
    <w:rsid w:val="005628E5"/>
    <w:rsid w:val="00562913"/>
    <w:rsid w:val="00562ABF"/>
    <w:rsid w:val="00562D5F"/>
    <w:rsid w:val="00562E3D"/>
    <w:rsid w:val="00562F90"/>
    <w:rsid w:val="00562FC8"/>
    <w:rsid w:val="0056317D"/>
    <w:rsid w:val="005633A4"/>
    <w:rsid w:val="00563520"/>
    <w:rsid w:val="0056353E"/>
    <w:rsid w:val="00563640"/>
    <w:rsid w:val="00563655"/>
    <w:rsid w:val="005636FF"/>
    <w:rsid w:val="00563825"/>
    <w:rsid w:val="00563C0F"/>
    <w:rsid w:val="00563C2A"/>
    <w:rsid w:val="00563C48"/>
    <w:rsid w:val="00563C7B"/>
    <w:rsid w:val="00563CEA"/>
    <w:rsid w:val="00563D33"/>
    <w:rsid w:val="00563D3C"/>
    <w:rsid w:val="00563F72"/>
    <w:rsid w:val="0056409A"/>
    <w:rsid w:val="005642A8"/>
    <w:rsid w:val="005642BD"/>
    <w:rsid w:val="0056439C"/>
    <w:rsid w:val="00564493"/>
    <w:rsid w:val="005645C2"/>
    <w:rsid w:val="005646B2"/>
    <w:rsid w:val="005647DF"/>
    <w:rsid w:val="0056482C"/>
    <w:rsid w:val="00564954"/>
    <w:rsid w:val="005649DB"/>
    <w:rsid w:val="00564B38"/>
    <w:rsid w:val="00564B6B"/>
    <w:rsid w:val="00564D58"/>
    <w:rsid w:val="00564E96"/>
    <w:rsid w:val="00564F19"/>
    <w:rsid w:val="00565196"/>
    <w:rsid w:val="005655B0"/>
    <w:rsid w:val="00565644"/>
    <w:rsid w:val="00565689"/>
    <w:rsid w:val="00565754"/>
    <w:rsid w:val="005657F2"/>
    <w:rsid w:val="00565818"/>
    <w:rsid w:val="005658E0"/>
    <w:rsid w:val="00565982"/>
    <w:rsid w:val="005659D5"/>
    <w:rsid w:val="005659F7"/>
    <w:rsid w:val="00565ACE"/>
    <w:rsid w:val="00565BCE"/>
    <w:rsid w:val="00565BFF"/>
    <w:rsid w:val="00565CEE"/>
    <w:rsid w:val="00565D0A"/>
    <w:rsid w:val="00565D32"/>
    <w:rsid w:val="00565D38"/>
    <w:rsid w:val="00565DDF"/>
    <w:rsid w:val="00565E52"/>
    <w:rsid w:val="00565EB0"/>
    <w:rsid w:val="00565FCA"/>
    <w:rsid w:val="00565FFA"/>
    <w:rsid w:val="0056603D"/>
    <w:rsid w:val="005660CE"/>
    <w:rsid w:val="005664AA"/>
    <w:rsid w:val="005664C1"/>
    <w:rsid w:val="00566541"/>
    <w:rsid w:val="005665CD"/>
    <w:rsid w:val="0056662E"/>
    <w:rsid w:val="0056673C"/>
    <w:rsid w:val="0056696E"/>
    <w:rsid w:val="00566A89"/>
    <w:rsid w:val="00566B4B"/>
    <w:rsid w:val="00566B76"/>
    <w:rsid w:val="00566C61"/>
    <w:rsid w:val="00566C6B"/>
    <w:rsid w:val="00566D35"/>
    <w:rsid w:val="00566D4A"/>
    <w:rsid w:val="00566DED"/>
    <w:rsid w:val="00566E75"/>
    <w:rsid w:val="00566EBC"/>
    <w:rsid w:val="00566F09"/>
    <w:rsid w:val="00566FF4"/>
    <w:rsid w:val="00567189"/>
    <w:rsid w:val="0056736C"/>
    <w:rsid w:val="00567404"/>
    <w:rsid w:val="00567796"/>
    <w:rsid w:val="005677E5"/>
    <w:rsid w:val="005677FB"/>
    <w:rsid w:val="00567800"/>
    <w:rsid w:val="00567895"/>
    <w:rsid w:val="00567934"/>
    <w:rsid w:val="005679B5"/>
    <w:rsid w:val="005679F7"/>
    <w:rsid w:val="00567A51"/>
    <w:rsid w:val="00567A55"/>
    <w:rsid w:val="00567B21"/>
    <w:rsid w:val="00567B97"/>
    <w:rsid w:val="00567BAD"/>
    <w:rsid w:val="00567C19"/>
    <w:rsid w:val="00567C56"/>
    <w:rsid w:val="00567C5E"/>
    <w:rsid w:val="00567C9A"/>
    <w:rsid w:val="00567D03"/>
    <w:rsid w:val="00567D28"/>
    <w:rsid w:val="00567D36"/>
    <w:rsid w:val="00567D37"/>
    <w:rsid w:val="00567F3A"/>
    <w:rsid w:val="00567FA2"/>
    <w:rsid w:val="00567FD0"/>
    <w:rsid w:val="00570025"/>
    <w:rsid w:val="00570042"/>
    <w:rsid w:val="0057012D"/>
    <w:rsid w:val="0057014A"/>
    <w:rsid w:val="005701E0"/>
    <w:rsid w:val="0057024A"/>
    <w:rsid w:val="0057032D"/>
    <w:rsid w:val="00570343"/>
    <w:rsid w:val="00570462"/>
    <w:rsid w:val="00570472"/>
    <w:rsid w:val="0057049A"/>
    <w:rsid w:val="005704B8"/>
    <w:rsid w:val="0057050B"/>
    <w:rsid w:val="00570754"/>
    <w:rsid w:val="00570931"/>
    <w:rsid w:val="00570A8E"/>
    <w:rsid w:val="00570AB1"/>
    <w:rsid w:val="00570B77"/>
    <w:rsid w:val="00570C95"/>
    <w:rsid w:val="00570CDD"/>
    <w:rsid w:val="00570E9F"/>
    <w:rsid w:val="005711B8"/>
    <w:rsid w:val="005711EA"/>
    <w:rsid w:val="005711EF"/>
    <w:rsid w:val="00571319"/>
    <w:rsid w:val="005713D7"/>
    <w:rsid w:val="0057141C"/>
    <w:rsid w:val="005714C2"/>
    <w:rsid w:val="005714D4"/>
    <w:rsid w:val="0057156C"/>
    <w:rsid w:val="00571581"/>
    <w:rsid w:val="005715D9"/>
    <w:rsid w:val="00571766"/>
    <w:rsid w:val="00571972"/>
    <w:rsid w:val="00571987"/>
    <w:rsid w:val="00571B96"/>
    <w:rsid w:val="00571D03"/>
    <w:rsid w:val="00571D51"/>
    <w:rsid w:val="00571DD3"/>
    <w:rsid w:val="00571E07"/>
    <w:rsid w:val="00571F92"/>
    <w:rsid w:val="00572090"/>
    <w:rsid w:val="00572092"/>
    <w:rsid w:val="005720D7"/>
    <w:rsid w:val="0057214D"/>
    <w:rsid w:val="00572153"/>
    <w:rsid w:val="00572241"/>
    <w:rsid w:val="00572381"/>
    <w:rsid w:val="00572606"/>
    <w:rsid w:val="00572653"/>
    <w:rsid w:val="00572673"/>
    <w:rsid w:val="00572747"/>
    <w:rsid w:val="005727A6"/>
    <w:rsid w:val="00572886"/>
    <w:rsid w:val="005728E8"/>
    <w:rsid w:val="005729B9"/>
    <w:rsid w:val="00572C24"/>
    <w:rsid w:val="00572DB8"/>
    <w:rsid w:val="00572E9D"/>
    <w:rsid w:val="00572FB0"/>
    <w:rsid w:val="005730D6"/>
    <w:rsid w:val="00573117"/>
    <w:rsid w:val="005733B4"/>
    <w:rsid w:val="005734EE"/>
    <w:rsid w:val="005735E6"/>
    <w:rsid w:val="00573659"/>
    <w:rsid w:val="005736B9"/>
    <w:rsid w:val="005736CF"/>
    <w:rsid w:val="00573738"/>
    <w:rsid w:val="0057374B"/>
    <w:rsid w:val="00573963"/>
    <w:rsid w:val="00573A02"/>
    <w:rsid w:val="00573A41"/>
    <w:rsid w:val="00573A80"/>
    <w:rsid w:val="00573B4A"/>
    <w:rsid w:val="00573C13"/>
    <w:rsid w:val="00573C22"/>
    <w:rsid w:val="00573E0C"/>
    <w:rsid w:val="00573E6D"/>
    <w:rsid w:val="00573E88"/>
    <w:rsid w:val="00573FAE"/>
    <w:rsid w:val="0057404E"/>
    <w:rsid w:val="00574171"/>
    <w:rsid w:val="005741E7"/>
    <w:rsid w:val="0057421D"/>
    <w:rsid w:val="0057428A"/>
    <w:rsid w:val="005742BD"/>
    <w:rsid w:val="00574349"/>
    <w:rsid w:val="005745C6"/>
    <w:rsid w:val="005745ED"/>
    <w:rsid w:val="00574631"/>
    <w:rsid w:val="00574766"/>
    <w:rsid w:val="00574783"/>
    <w:rsid w:val="00574798"/>
    <w:rsid w:val="005747C2"/>
    <w:rsid w:val="00574872"/>
    <w:rsid w:val="0057490A"/>
    <w:rsid w:val="00574AF8"/>
    <w:rsid w:val="00574B8B"/>
    <w:rsid w:val="00574BF8"/>
    <w:rsid w:val="00574C49"/>
    <w:rsid w:val="00574ED3"/>
    <w:rsid w:val="00575080"/>
    <w:rsid w:val="005751CB"/>
    <w:rsid w:val="00575221"/>
    <w:rsid w:val="0057523C"/>
    <w:rsid w:val="00575308"/>
    <w:rsid w:val="00575318"/>
    <w:rsid w:val="0057540D"/>
    <w:rsid w:val="0057545D"/>
    <w:rsid w:val="0057546A"/>
    <w:rsid w:val="005755A5"/>
    <w:rsid w:val="00575664"/>
    <w:rsid w:val="00575750"/>
    <w:rsid w:val="00575789"/>
    <w:rsid w:val="00575874"/>
    <w:rsid w:val="005758AD"/>
    <w:rsid w:val="00575BF2"/>
    <w:rsid w:val="00575C98"/>
    <w:rsid w:val="00575CCB"/>
    <w:rsid w:val="00575D60"/>
    <w:rsid w:val="00575D9B"/>
    <w:rsid w:val="00575F66"/>
    <w:rsid w:val="00575FD0"/>
    <w:rsid w:val="005760B3"/>
    <w:rsid w:val="00576241"/>
    <w:rsid w:val="00576469"/>
    <w:rsid w:val="0057650E"/>
    <w:rsid w:val="0057660B"/>
    <w:rsid w:val="00576617"/>
    <w:rsid w:val="005768F2"/>
    <w:rsid w:val="00576A56"/>
    <w:rsid w:val="00576AF8"/>
    <w:rsid w:val="00576C0E"/>
    <w:rsid w:val="00576C34"/>
    <w:rsid w:val="00576D2A"/>
    <w:rsid w:val="00576D8F"/>
    <w:rsid w:val="00576DBF"/>
    <w:rsid w:val="00576E5F"/>
    <w:rsid w:val="00576EDD"/>
    <w:rsid w:val="00577072"/>
    <w:rsid w:val="00577108"/>
    <w:rsid w:val="00577121"/>
    <w:rsid w:val="0057716E"/>
    <w:rsid w:val="0057717F"/>
    <w:rsid w:val="0057736E"/>
    <w:rsid w:val="00577536"/>
    <w:rsid w:val="0057762D"/>
    <w:rsid w:val="00577644"/>
    <w:rsid w:val="00577648"/>
    <w:rsid w:val="00577682"/>
    <w:rsid w:val="0057771B"/>
    <w:rsid w:val="00577732"/>
    <w:rsid w:val="00577929"/>
    <w:rsid w:val="00577A91"/>
    <w:rsid w:val="00577BBD"/>
    <w:rsid w:val="00577BD9"/>
    <w:rsid w:val="00577BFB"/>
    <w:rsid w:val="00577C6E"/>
    <w:rsid w:val="00577ECD"/>
    <w:rsid w:val="00577EFB"/>
    <w:rsid w:val="00577F40"/>
    <w:rsid w:val="00577F62"/>
    <w:rsid w:val="00577FA5"/>
    <w:rsid w:val="00577FFA"/>
    <w:rsid w:val="005800EF"/>
    <w:rsid w:val="0058014D"/>
    <w:rsid w:val="005801CF"/>
    <w:rsid w:val="0058034C"/>
    <w:rsid w:val="00580592"/>
    <w:rsid w:val="005805AB"/>
    <w:rsid w:val="005805F3"/>
    <w:rsid w:val="00580643"/>
    <w:rsid w:val="005806EB"/>
    <w:rsid w:val="005807A2"/>
    <w:rsid w:val="00580805"/>
    <w:rsid w:val="005808F9"/>
    <w:rsid w:val="005808FC"/>
    <w:rsid w:val="00580A7B"/>
    <w:rsid w:val="00580A91"/>
    <w:rsid w:val="00580B21"/>
    <w:rsid w:val="00580B2D"/>
    <w:rsid w:val="00580C98"/>
    <w:rsid w:val="00580D49"/>
    <w:rsid w:val="00580F54"/>
    <w:rsid w:val="00580FDE"/>
    <w:rsid w:val="005812EA"/>
    <w:rsid w:val="0058132F"/>
    <w:rsid w:val="00581334"/>
    <w:rsid w:val="0058141E"/>
    <w:rsid w:val="00581525"/>
    <w:rsid w:val="00581558"/>
    <w:rsid w:val="00581597"/>
    <w:rsid w:val="005815BB"/>
    <w:rsid w:val="0058165C"/>
    <w:rsid w:val="00581675"/>
    <w:rsid w:val="005816C3"/>
    <w:rsid w:val="0058181D"/>
    <w:rsid w:val="00581875"/>
    <w:rsid w:val="00581908"/>
    <w:rsid w:val="0058196C"/>
    <w:rsid w:val="00581B29"/>
    <w:rsid w:val="00581D5F"/>
    <w:rsid w:val="00581D7A"/>
    <w:rsid w:val="00581DFD"/>
    <w:rsid w:val="00581E02"/>
    <w:rsid w:val="00581EF5"/>
    <w:rsid w:val="0058203B"/>
    <w:rsid w:val="00582040"/>
    <w:rsid w:val="005820EB"/>
    <w:rsid w:val="00582197"/>
    <w:rsid w:val="005821CB"/>
    <w:rsid w:val="005821F4"/>
    <w:rsid w:val="005821F7"/>
    <w:rsid w:val="00582381"/>
    <w:rsid w:val="005823AC"/>
    <w:rsid w:val="005823FB"/>
    <w:rsid w:val="005824F4"/>
    <w:rsid w:val="005825FB"/>
    <w:rsid w:val="005826E8"/>
    <w:rsid w:val="005827D5"/>
    <w:rsid w:val="00582956"/>
    <w:rsid w:val="00582ACD"/>
    <w:rsid w:val="00582B9F"/>
    <w:rsid w:val="00582C07"/>
    <w:rsid w:val="00582C58"/>
    <w:rsid w:val="00582C5D"/>
    <w:rsid w:val="00582C79"/>
    <w:rsid w:val="00582E1E"/>
    <w:rsid w:val="00583161"/>
    <w:rsid w:val="00583164"/>
    <w:rsid w:val="00583186"/>
    <w:rsid w:val="005832AC"/>
    <w:rsid w:val="0058345D"/>
    <w:rsid w:val="0058357F"/>
    <w:rsid w:val="0058373F"/>
    <w:rsid w:val="00583790"/>
    <w:rsid w:val="0058387B"/>
    <w:rsid w:val="00583891"/>
    <w:rsid w:val="005839B5"/>
    <w:rsid w:val="005839C6"/>
    <w:rsid w:val="005839CB"/>
    <w:rsid w:val="00583A46"/>
    <w:rsid w:val="00583B46"/>
    <w:rsid w:val="00583C22"/>
    <w:rsid w:val="00583C8C"/>
    <w:rsid w:val="00583D35"/>
    <w:rsid w:val="00583D46"/>
    <w:rsid w:val="00583E2C"/>
    <w:rsid w:val="00583EA7"/>
    <w:rsid w:val="00583F60"/>
    <w:rsid w:val="0058408E"/>
    <w:rsid w:val="00584167"/>
    <w:rsid w:val="0058419F"/>
    <w:rsid w:val="005841B4"/>
    <w:rsid w:val="00584224"/>
    <w:rsid w:val="00584274"/>
    <w:rsid w:val="005842F4"/>
    <w:rsid w:val="00584368"/>
    <w:rsid w:val="005843EF"/>
    <w:rsid w:val="00584420"/>
    <w:rsid w:val="005844FE"/>
    <w:rsid w:val="00584565"/>
    <w:rsid w:val="00584567"/>
    <w:rsid w:val="00584591"/>
    <w:rsid w:val="005845C2"/>
    <w:rsid w:val="005845C4"/>
    <w:rsid w:val="005846EE"/>
    <w:rsid w:val="005846FB"/>
    <w:rsid w:val="00584783"/>
    <w:rsid w:val="00584B49"/>
    <w:rsid w:val="00584B87"/>
    <w:rsid w:val="00584D00"/>
    <w:rsid w:val="00584D60"/>
    <w:rsid w:val="00584E73"/>
    <w:rsid w:val="00584ED2"/>
    <w:rsid w:val="00585048"/>
    <w:rsid w:val="00585073"/>
    <w:rsid w:val="00585079"/>
    <w:rsid w:val="005850B5"/>
    <w:rsid w:val="005850C9"/>
    <w:rsid w:val="00585171"/>
    <w:rsid w:val="00585194"/>
    <w:rsid w:val="005853F7"/>
    <w:rsid w:val="005854F5"/>
    <w:rsid w:val="005855A9"/>
    <w:rsid w:val="0058564C"/>
    <w:rsid w:val="00585683"/>
    <w:rsid w:val="00585743"/>
    <w:rsid w:val="00585779"/>
    <w:rsid w:val="00585855"/>
    <w:rsid w:val="00585859"/>
    <w:rsid w:val="00585870"/>
    <w:rsid w:val="005859A4"/>
    <w:rsid w:val="005859AA"/>
    <w:rsid w:val="005859FD"/>
    <w:rsid w:val="00585A73"/>
    <w:rsid w:val="00585C8D"/>
    <w:rsid w:val="00585CF9"/>
    <w:rsid w:val="00585D22"/>
    <w:rsid w:val="00585DD6"/>
    <w:rsid w:val="00585E64"/>
    <w:rsid w:val="00585EB2"/>
    <w:rsid w:val="00585F30"/>
    <w:rsid w:val="00585F40"/>
    <w:rsid w:val="005860F5"/>
    <w:rsid w:val="00586196"/>
    <w:rsid w:val="00586221"/>
    <w:rsid w:val="00586443"/>
    <w:rsid w:val="00586493"/>
    <w:rsid w:val="005865E2"/>
    <w:rsid w:val="0058677A"/>
    <w:rsid w:val="0058684D"/>
    <w:rsid w:val="0058689B"/>
    <w:rsid w:val="005868A9"/>
    <w:rsid w:val="0058694A"/>
    <w:rsid w:val="0058698B"/>
    <w:rsid w:val="00586BBA"/>
    <w:rsid w:val="00586C57"/>
    <w:rsid w:val="00586C7B"/>
    <w:rsid w:val="00586CF9"/>
    <w:rsid w:val="00586E16"/>
    <w:rsid w:val="00586E17"/>
    <w:rsid w:val="00586E36"/>
    <w:rsid w:val="00586E3B"/>
    <w:rsid w:val="00586E59"/>
    <w:rsid w:val="00586FBC"/>
    <w:rsid w:val="0058708B"/>
    <w:rsid w:val="0058714D"/>
    <w:rsid w:val="00587430"/>
    <w:rsid w:val="00587482"/>
    <w:rsid w:val="00587610"/>
    <w:rsid w:val="0058775E"/>
    <w:rsid w:val="005878A7"/>
    <w:rsid w:val="005878F9"/>
    <w:rsid w:val="00587AB4"/>
    <w:rsid w:val="00587B63"/>
    <w:rsid w:val="00587C0E"/>
    <w:rsid w:val="00587C9C"/>
    <w:rsid w:val="00587CCA"/>
    <w:rsid w:val="00587CD5"/>
    <w:rsid w:val="00587DEE"/>
    <w:rsid w:val="00587E87"/>
    <w:rsid w:val="00587EF8"/>
    <w:rsid w:val="00587FF3"/>
    <w:rsid w:val="00590062"/>
    <w:rsid w:val="00590065"/>
    <w:rsid w:val="00590186"/>
    <w:rsid w:val="005901A8"/>
    <w:rsid w:val="005901D1"/>
    <w:rsid w:val="00590304"/>
    <w:rsid w:val="00590360"/>
    <w:rsid w:val="005904A1"/>
    <w:rsid w:val="00590608"/>
    <w:rsid w:val="00590778"/>
    <w:rsid w:val="0059077C"/>
    <w:rsid w:val="005908C7"/>
    <w:rsid w:val="0059097D"/>
    <w:rsid w:val="00590AA2"/>
    <w:rsid w:val="00590B4A"/>
    <w:rsid w:val="00590CB4"/>
    <w:rsid w:val="00590D7B"/>
    <w:rsid w:val="00590DCB"/>
    <w:rsid w:val="00590EFD"/>
    <w:rsid w:val="00590F78"/>
    <w:rsid w:val="005910C8"/>
    <w:rsid w:val="00591366"/>
    <w:rsid w:val="0059139E"/>
    <w:rsid w:val="005914C1"/>
    <w:rsid w:val="00591687"/>
    <w:rsid w:val="005916BE"/>
    <w:rsid w:val="00591743"/>
    <w:rsid w:val="005917BF"/>
    <w:rsid w:val="00591822"/>
    <w:rsid w:val="00591931"/>
    <w:rsid w:val="00591995"/>
    <w:rsid w:val="005919D2"/>
    <w:rsid w:val="00591A20"/>
    <w:rsid w:val="00591A6F"/>
    <w:rsid w:val="00591C45"/>
    <w:rsid w:val="00591C67"/>
    <w:rsid w:val="00591CC4"/>
    <w:rsid w:val="00591D37"/>
    <w:rsid w:val="00591D7F"/>
    <w:rsid w:val="005920CD"/>
    <w:rsid w:val="0059220E"/>
    <w:rsid w:val="00592441"/>
    <w:rsid w:val="00592461"/>
    <w:rsid w:val="005925AA"/>
    <w:rsid w:val="0059268B"/>
    <w:rsid w:val="005926C7"/>
    <w:rsid w:val="00592B89"/>
    <w:rsid w:val="00592DCF"/>
    <w:rsid w:val="00592E46"/>
    <w:rsid w:val="00592E6D"/>
    <w:rsid w:val="00592F94"/>
    <w:rsid w:val="0059301C"/>
    <w:rsid w:val="005930AF"/>
    <w:rsid w:val="005930D1"/>
    <w:rsid w:val="005931FE"/>
    <w:rsid w:val="00593200"/>
    <w:rsid w:val="00593224"/>
    <w:rsid w:val="00593382"/>
    <w:rsid w:val="005933CA"/>
    <w:rsid w:val="005933DE"/>
    <w:rsid w:val="005934C7"/>
    <w:rsid w:val="0059350C"/>
    <w:rsid w:val="0059358A"/>
    <w:rsid w:val="00593659"/>
    <w:rsid w:val="00593671"/>
    <w:rsid w:val="00593706"/>
    <w:rsid w:val="0059379B"/>
    <w:rsid w:val="005938AA"/>
    <w:rsid w:val="005938B4"/>
    <w:rsid w:val="005939B8"/>
    <w:rsid w:val="00593A4E"/>
    <w:rsid w:val="00593A5E"/>
    <w:rsid w:val="00593AAA"/>
    <w:rsid w:val="00593B65"/>
    <w:rsid w:val="00593BEA"/>
    <w:rsid w:val="00593CA1"/>
    <w:rsid w:val="00593D75"/>
    <w:rsid w:val="00593D9A"/>
    <w:rsid w:val="00593DDC"/>
    <w:rsid w:val="00593DF0"/>
    <w:rsid w:val="00594090"/>
    <w:rsid w:val="005940F5"/>
    <w:rsid w:val="005941AB"/>
    <w:rsid w:val="005942FE"/>
    <w:rsid w:val="005943CA"/>
    <w:rsid w:val="005944DA"/>
    <w:rsid w:val="00594638"/>
    <w:rsid w:val="00594656"/>
    <w:rsid w:val="005946E6"/>
    <w:rsid w:val="005946F6"/>
    <w:rsid w:val="00594860"/>
    <w:rsid w:val="005949B5"/>
    <w:rsid w:val="00594A1F"/>
    <w:rsid w:val="00594A34"/>
    <w:rsid w:val="00594A84"/>
    <w:rsid w:val="00594AD6"/>
    <w:rsid w:val="00594EF7"/>
    <w:rsid w:val="0059502A"/>
    <w:rsid w:val="00595104"/>
    <w:rsid w:val="0059531B"/>
    <w:rsid w:val="0059531F"/>
    <w:rsid w:val="0059550F"/>
    <w:rsid w:val="00595531"/>
    <w:rsid w:val="0059553F"/>
    <w:rsid w:val="005955BC"/>
    <w:rsid w:val="00595685"/>
    <w:rsid w:val="005956CA"/>
    <w:rsid w:val="00595714"/>
    <w:rsid w:val="00595735"/>
    <w:rsid w:val="00595956"/>
    <w:rsid w:val="00595A17"/>
    <w:rsid w:val="00595C14"/>
    <w:rsid w:val="00595C89"/>
    <w:rsid w:val="00595EE4"/>
    <w:rsid w:val="00596027"/>
    <w:rsid w:val="005964F7"/>
    <w:rsid w:val="00596583"/>
    <w:rsid w:val="005965AA"/>
    <w:rsid w:val="005965C7"/>
    <w:rsid w:val="005966AA"/>
    <w:rsid w:val="00596850"/>
    <w:rsid w:val="005968EF"/>
    <w:rsid w:val="00596962"/>
    <w:rsid w:val="0059698D"/>
    <w:rsid w:val="00596A39"/>
    <w:rsid w:val="00596A64"/>
    <w:rsid w:val="00596ABB"/>
    <w:rsid w:val="00596B1F"/>
    <w:rsid w:val="00596B49"/>
    <w:rsid w:val="00596BF5"/>
    <w:rsid w:val="00596E6C"/>
    <w:rsid w:val="00596EE1"/>
    <w:rsid w:val="00596F89"/>
    <w:rsid w:val="005970E9"/>
    <w:rsid w:val="005974C6"/>
    <w:rsid w:val="0059750C"/>
    <w:rsid w:val="0059761C"/>
    <w:rsid w:val="0059772F"/>
    <w:rsid w:val="0059773B"/>
    <w:rsid w:val="005978C0"/>
    <w:rsid w:val="005978C4"/>
    <w:rsid w:val="005979ED"/>
    <w:rsid w:val="00597AEF"/>
    <w:rsid w:val="00597C42"/>
    <w:rsid w:val="00597C6A"/>
    <w:rsid w:val="00597DDD"/>
    <w:rsid w:val="00597FF7"/>
    <w:rsid w:val="005A00B7"/>
    <w:rsid w:val="005A0114"/>
    <w:rsid w:val="005A0147"/>
    <w:rsid w:val="005A0239"/>
    <w:rsid w:val="005A0243"/>
    <w:rsid w:val="005A024F"/>
    <w:rsid w:val="005A0349"/>
    <w:rsid w:val="005A03B8"/>
    <w:rsid w:val="005A0419"/>
    <w:rsid w:val="005A0427"/>
    <w:rsid w:val="005A04E6"/>
    <w:rsid w:val="005A0564"/>
    <w:rsid w:val="005A056D"/>
    <w:rsid w:val="005A05CB"/>
    <w:rsid w:val="005A0646"/>
    <w:rsid w:val="005A06CE"/>
    <w:rsid w:val="005A070B"/>
    <w:rsid w:val="005A0721"/>
    <w:rsid w:val="005A0747"/>
    <w:rsid w:val="005A0753"/>
    <w:rsid w:val="005A0998"/>
    <w:rsid w:val="005A0B74"/>
    <w:rsid w:val="005A0C57"/>
    <w:rsid w:val="005A0CF6"/>
    <w:rsid w:val="005A0F29"/>
    <w:rsid w:val="005A1243"/>
    <w:rsid w:val="005A12BA"/>
    <w:rsid w:val="005A131A"/>
    <w:rsid w:val="005A1399"/>
    <w:rsid w:val="005A13CE"/>
    <w:rsid w:val="005A1539"/>
    <w:rsid w:val="005A15D6"/>
    <w:rsid w:val="005A16C4"/>
    <w:rsid w:val="005A1732"/>
    <w:rsid w:val="005A17D8"/>
    <w:rsid w:val="005A180C"/>
    <w:rsid w:val="005A18C7"/>
    <w:rsid w:val="005A1911"/>
    <w:rsid w:val="005A191D"/>
    <w:rsid w:val="005A1A7B"/>
    <w:rsid w:val="005A1AB1"/>
    <w:rsid w:val="005A1C9F"/>
    <w:rsid w:val="005A1E45"/>
    <w:rsid w:val="005A1E52"/>
    <w:rsid w:val="005A20DA"/>
    <w:rsid w:val="005A2134"/>
    <w:rsid w:val="005A21D3"/>
    <w:rsid w:val="005A22B2"/>
    <w:rsid w:val="005A2370"/>
    <w:rsid w:val="005A2375"/>
    <w:rsid w:val="005A23D5"/>
    <w:rsid w:val="005A2424"/>
    <w:rsid w:val="005A24F6"/>
    <w:rsid w:val="005A2569"/>
    <w:rsid w:val="005A25F7"/>
    <w:rsid w:val="005A26FE"/>
    <w:rsid w:val="005A2728"/>
    <w:rsid w:val="005A275D"/>
    <w:rsid w:val="005A28B2"/>
    <w:rsid w:val="005A29E9"/>
    <w:rsid w:val="005A2B07"/>
    <w:rsid w:val="005A2B30"/>
    <w:rsid w:val="005A2D23"/>
    <w:rsid w:val="005A2D28"/>
    <w:rsid w:val="005A2D85"/>
    <w:rsid w:val="005A2E8C"/>
    <w:rsid w:val="005A30F7"/>
    <w:rsid w:val="005A3249"/>
    <w:rsid w:val="005A3298"/>
    <w:rsid w:val="005A356B"/>
    <w:rsid w:val="005A35F1"/>
    <w:rsid w:val="005A36B5"/>
    <w:rsid w:val="005A37C2"/>
    <w:rsid w:val="005A395E"/>
    <w:rsid w:val="005A39A3"/>
    <w:rsid w:val="005A39B3"/>
    <w:rsid w:val="005A3B3D"/>
    <w:rsid w:val="005A3BE9"/>
    <w:rsid w:val="005A3BF5"/>
    <w:rsid w:val="005A3CCE"/>
    <w:rsid w:val="005A3EBA"/>
    <w:rsid w:val="005A3F0A"/>
    <w:rsid w:val="005A3F2F"/>
    <w:rsid w:val="005A3F8C"/>
    <w:rsid w:val="005A406E"/>
    <w:rsid w:val="005A43FB"/>
    <w:rsid w:val="005A4503"/>
    <w:rsid w:val="005A46F6"/>
    <w:rsid w:val="005A4716"/>
    <w:rsid w:val="005A473E"/>
    <w:rsid w:val="005A47CF"/>
    <w:rsid w:val="005A4CA9"/>
    <w:rsid w:val="005A4CC1"/>
    <w:rsid w:val="005A4D81"/>
    <w:rsid w:val="005A5096"/>
    <w:rsid w:val="005A50B2"/>
    <w:rsid w:val="005A5104"/>
    <w:rsid w:val="005A520D"/>
    <w:rsid w:val="005A52BF"/>
    <w:rsid w:val="005A5322"/>
    <w:rsid w:val="005A546D"/>
    <w:rsid w:val="005A5562"/>
    <w:rsid w:val="005A55F6"/>
    <w:rsid w:val="005A55FC"/>
    <w:rsid w:val="005A5778"/>
    <w:rsid w:val="005A579D"/>
    <w:rsid w:val="005A57F2"/>
    <w:rsid w:val="005A5875"/>
    <w:rsid w:val="005A5AA9"/>
    <w:rsid w:val="005A5B49"/>
    <w:rsid w:val="005A5C20"/>
    <w:rsid w:val="005A5DD1"/>
    <w:rsid w:val="005A5FFF"/>
    <w:rsid w:val="005A6118"/>
    <w:rsid w:val="005A6197"/>
    <w:rsid w:val="005A629A"/>
    <w:rsid w:val="005A62AC"/>
    <w:rsid w:val="005A6387"/>
    <w:rsid w:val="005A6705"/>
    <w:rsid w:val="005A67C2"/>
    <w:rsid w:val="005A680E"/>
    <w:rsid w:val="005A6884"/>
    <w:rsid w:val="005A6909"/>
    <w:rsid w:val="005A69A4"/>
    <w:rsid w:val="005A6A54"/>
    <w:rsid w:val="005A6BCF"/>
    <w:rsid w:val="005A6D5F"/>
    <w:rsid w:val="005A6DA7"/>
    <w:rsid w:val="005A6F51"/>
    <w:rsid w:val="005A7178"/>
    <w:rsid w:val="005A742F"/>
    <w:rsid w:val="005A74B9"/>
    <w:rsid w:val="005A74C6"/>
    <w:rsid w:val="005A75FD"/>
    <w:rsid w:val="005A760A"/>
    <w:rsid w:val="005A7799"/>
    <w:rsid w:val="005A7861"/>
    <w:rsid w:val="005A79C0"/>
    <w:rsid w:val="005A7AD3"/>
    <w:rsid w:val="005A7C47"/>
    <w:rsid w:val="005A7C7D"/>
    <w:rsid w:val="005A7C94"/>
    <w:rsid w:val="005A7CDE"/>
    <w:rsid w:val="005A7E29"/>
    <w:rsid w:val="005A7ED1"/>
    <w:rsid w:val="005A7F27"/>
    <w:rsid w:val="005A7FFC"/>
    <w:rsid w:val="005B0080"/>
    <w:rsid w:val="005B0104"/>
    <w:rsid w:val="005B0145"/>
    <w:rsid w:val="005B0220"/>
    <w:rsid w:val="005B02F2"/>
    <w:rsid w:val="005B0413"/>
    <w:rsid w:val="005B0479"/>
    <w:rsid w:val="005B0801"/>
    <w:rsid w:val="005B0962"/>
    <w:rsid w:val="005B0983"/>
    <w:rsid w:val="005B0A2B"/>
    <w:rsid w:val="005B0AAC"/>
    <w:rsid w:val="005B0B58"/>
    <w:rsid w:val="005B0B60"/>
    <w:rsid w:val="005B0C13"/>
    <w:rsid w:val="005B0C70"/>
    <w:rsid w:val="005B0E71"/>
    <w:rsid w:val="005B0F06"/>
    <w:rsid w:val="005B0F29"/>
    <w:rsid w:val="005B0F9F"/>
    <w:rsid w:val="005B10FD"/>
    <w:rsid w:val="005B1291"/>
    <w:rsid w:val="005B12D4"/>
    <w:rsid w:val="005B1320"/>
    <w:rsid w:val="005B1440"/>
    <w:rsid w:val="005B14A2"/>
    <w:rsid w:val="005B14D1"/>
    <w:rsid w:val="005B15EC"/>
    <w:rsid w:val="005B16F2"/>
    <w:rsid w:val="005B17C4"/>
    <w:rsid w:val="005B1821"/>
    <w:rsid w:val="005B18DE"/>
    <w:rsid w:val="005B195D"/>
    <w:rsid w:val="005B1969"/>
    <w:rsid w:val="005B19BA"/>
    <w:rsid w:val="005B1AB5"/>
    <w:rsid w:val="005B1BD8"/>
    <w:rsid w:val="005B1CAB"/>
    <w:rsid w:val="005B1CD6"/>
    <w:rsid w:val="005B1DFB"/>
    <w:rsid w:val="005B1E02"/>
    <w:rsid w:val="005B1E35"/>
    <w:rsid w:val="005B1E51"/>
    <w:rsid w:val="005B1EB3"/>
    <w:rsid w:val="005B1EB6"/>
    <w:rsid w:val="005B1FF7"/>
    <w:rsid w:val="005B2130"/>
    <w:rsid w:val="005B217C"/>
    <w:rsid w:val="005B21A8"/>
    <w:rsid w:val="005B2239"/>
    <w:rsid w:val="005B22D0"/>
    <w:rsid w:val="005B2512"/>
    <w:rsid w:val="005B262F"/>
    <w:rsid w:val="005B26B0"/>
    <w:rsid w:val="005B27D0"/>
    <w:rsid w:val="005B2839"/>
    <w:rsid w:val="005B290C"/>
    <w:rsid w:val="005B2941"/>
    <w:rsid w:val="005B2B1D"/>
    <w:rsid w:val="005B2DCE"/>
    <w:rsid w:val="005B30DC"/>
    <w:rsid w:val="005B31D6"/>
    <w:rsid w:val="005B3216"/>
    <w:rsid w:val="005B3324"/>
    <w:rsid w:val="005B3425"/>
    <w:rsid w:val="005B346F"/>
    <w:rsid w:val="005B34F3"/>
    <w:rsid w:val="005B35B0"/>
    <w:rsid w:val="005B3808"/>
    <w:rsid w:val="005B3934"/>
    <w:rsid w:val="005B3999"/>
    <w:rsid w:val="005B3A60"/>
    <w:rsid w:val="005B3B33"/>
    <w:rsid w:val="005B3C10"/>
    <w:rsid w:val="005B3C6C"/>
    <w:rsid w:val="005B3DBD"/>
    <w:rsid w:val="005B3DCE"/>
    <w:rsid w:val="005B3FAA"/>
    <w:rsid w:val="005B4041"/>
    <w:rsid w:val="005B4155"/>
    <w:rsid w:val="005B4181"/>
    <w:rsid w:val="005B41FB"/>
    <w:rsid w:val="005B41FC"/>
    <w:rsid w:val="005B4240"/>
    <w:rsid w:val="005B4286"/>
    <w:rsid w:val="005B4395"/>
    <w:rsid w:val="005B43D5"/>
    <w:rsid w:val="005B43FC"/>
    <w:rsid w:val="005B44B0"/>
    <w:rsid w:val="005B4636"/>
    <w:rsid w:val="005B4655"/>
    <w:rsid w:val="005B4682"/>
    <w:rsid w:val="005B46E5"/>
    <w:rsid w:val="005B4719"/>
    <w:rsid w:val="005B47F2"/>
    <w:rsid w:val="005B4862"/>
    <w:rsid w:val="005B48B4"/>
    <w:rsid w:val="005B48F9"/>
    <w:rsid w:val="005B4946"/>
    <w:rsid w:val="005B49D7"/>
    <w:rsid w:val="005B4ADB"/>
    <w:rsid w:val="005B4BA9"/>
    <w:rsid w:val="005B4BE3"/>
    <w:rsid w:val="005B4BEC"/>
    <w:rsid w:val="005B4C1E"/>
    <w:rsid w:val="005B4CB8"/>
    <w:rsid w:val="005B4CDA"/>
    <w:rsid w:val="005B4D53"/>
    <w:rsid w:val="005B4EB5"/>
    <w:rsid w:val="005B4F0B"/>
    <w:rsid w:val="005B5099"/>
    <w:rsid w:val="005B50D7"/>
    <w:rsid w:val="005B50E9"/>
    <w:rsid w:val="005B52C1"/>
    <w:rsid w:val="005B531E"/>
    <w:rsid w:val="005B5364"/>
    <w:rsid w:val="005B5367"/>
    <w:rsid w:val="005B53A0"/>
    <w:rsid w:val="005B53AD"/>
    <w:rsid w:val="005B58D0"/>
    <w:rsid w:val="005B5ACD"/>
    <w:rsid w:val="005B5ADA"/>
    <w:rsid w:val="005B5AFB"/>
    <w:rsid w:val="005B5B81"/>
    <w:rsid w:val="005B5E97"/>
    <w:rsid w:val="005B5ECE"/>
    <w:rsid w:val="005B5F3E"/>
    <w:rsid w:val="005B5F4D"/>
    <w:rsid w:val="005B60F0"/>
    <w:rsid w:val="005B61F3"/>
    <w:rsid w:val="005B64FA"/>
    <w:rsid w:val="005B6544"/>
    <w:rsid w:val="005B654E"/>
    <w:rsid w:val="005B6551"/>
    <w:rsid w:val="005B6781"/>
    <w:rsid w:val="005B6799"/>
    <w:rsid w:val="005B67CA"/>
    <w:rsid w:val="005B69B3"/>
    <w:rsid w:val="005B6A4D"/>
    <w:rsid w:val="005B6AE6"/>
    <w:rsid w:val="005B6BEB"/>
    <w:rsid w:val="005B6C05"/>
    <w:rsid w:val="005B6C0A"/>
    <w:rsid w:val="005B6CCD"/>
    <w:rsid w:val="005B6CDC"/>
    <w:rsid w:val="005B6D0A"/>
    <w:rsid w:val="005B6D2E"/>
    <w:rsid w:val="005B6D75"/>
    <w:rsid w:val="005B6D91"/>
    <w:rsid w:val="005B6E19"/>
    <w:rsid w:val="005B7027"/>
    <w:rsid w:val="005B70CF"/>
    <w:rsid w:val="005B70E8"/>
    <w:rsid w:val="005B7196"/>
    <w:rsid w:val="005B7217"/>
    <w:rsid w:val="005B72CF"/>
    <w:rsid w:val="005B7310"/>
    <w:rsid w:val="005B73E3"/>
    <w:rsid w:val="005B7402"/>
    <w:rsid w:val="005B74A2"/>
    <w:rsid w:val="005B75A1"/>
    <w:rsid w:val="005B7652"/>
    <w:rsid w:val="005B7731"/>
    <w:rsid w:val="005B7840"/>
    <w:rsid w:val="005B78C6"/>
    <w:rsid w:val="005B7932"/>
    <w:rsid w:val="005B79E6"/>
    <w:rsid w:val="005B79ED"/>
    <w:rsid w:val="005B7A1F"/>
    <w:rsid w:val="005B7BA0"/>
    <w:rsid w:val="005B7C10"/>
    <w:rsid w:val="005B7D3F"/>
    <w:rsid w:val="005B7D62"/>
    <w:rsid w:val="005B7DC9"/>
    <w:rsid w:val="005B7E33"/>
    <w:rsid w:val="005B7EA4"/>
    <w:rsid w:val="005B7F8D"/>
    <w:rsid w:val="005C0068"/>
    <w:rsid w:val="005C00E8"/>
    <w:rsid w:val="005C039B"/>
    <w:rsid w:val="005C0441"/>
    <w:rsid w:val="005C053F"/>
    <w:rsid w:val="005C082C"/>
    <w:rsid w:val="005C0882"/>
    <w:rsid w:val="005C08B9"/>
    <w:rsid w:val="005C08D2"/>
    <w:rsid w:val="005C09FE"/>
    <w:rsid w:val="005C0B26"/>
    <w:rsid w:val="005C0C42"/>
    <w:rsid w:val="005C0D53"/>
    <w:rsid w:val="005C0DC2"/>
    <w:rsid w:val="005C0E43"/>
    <w:rsid w:val="005C0E5A"/>
    <w:rsid w:val="005C0F4F"/>
    <w:rsid w:val="005C1105"/>
    <w:rsid w:val="005C1152"/>
    <w:rsid w:val="005C1187"/>
    <w:rsid w:val="005C1276"/>
    <w:rsid w:val="005C12AA"/>
    <w:rsid w:val="005C15B2"/>
    <w:rsid w:val="005C160F"/>
    <w:rsid w:val="005C1624"/>
    <w:rsid w:val="005C16B4"/>
    <w:rsid w:val="005C1777"/>
    <w:rsid w:val="005C1785"/>
    <w:rsid w:val="005C1919"/>
    <w:rsid w:val="005C1AC6"/>
    <w:rsid w:val="005C1C40"/>
    <w:rsid w:val="005C1CB4"/>
    <w:rsid w:val="005C1CF4"/>
    <w:rsid w:val="005C1E07"/>
    <w:rsid w:val="005C1E42"/>
    <w:rsid w:val="005C1F95"/>
    <w:rsid w:val="005C1FEE"/>
    <w:rsid w:val="005C2112"/>
    <w:rsid w:val="005C22B0"/>
    <w:rsid w:val="005C238B"/>
    <w:rsid w:val="005C241B"/>
    <w:rsid w:val="005C24F7"/>
    <w:rsid w:val="005C2558"/>
    <w:rsid w:val="005C27FD"/>
    <w:rsid w:val="005C284C"/>
    <w:rsid w:val="005C2858"/>
    <w:rsid w:val="005C28D4"/>
    <w:rsid w:val="005C2934"/>
    <w:rsid w:val="005C2997"/>
    <w:rsid w:val="005C2A96"/>
    <w:rsid w:val="005C2B04"/>
    <w:rsid w:val="005C2B5E"/>
    <w:rsid w:val="005C2B83"/>
    <w:rsid w:val="005C2E25"/>
    <w:rsid w:val="005C2ED4"/>
    <w:rsid w:val="005C2EFF"/>
    <w:rsid w:val="005C2F30"/>
    <w:rsid w:val="005C2FB2"/>
    <w:rsid w:val="005C3077"/>
    <w:rsid w:val="005C3085"/>
    <w:rsid w:val="005C3097"/>
    <w:rsid w:val="005C315B"/>
    <w:rsid w:val="005C3209"/>
    <w:rsid w:val="005C356F"/>
    <w:rsid w:val="005C363F"/>
    <w:rsid w:val="005C3640"/>
    <w:rsid w:val="005C366B"/>
    <w:rsid w:val="005C379F"/>
    <w:rsid w:val="005C38BF"/>
    <w:rsid w:val="005C38D2"/>
    <w:rsid w:val="005C38F5"/>
    <w:rsid w:val="005C39A8"/>
    <w:rsid w:val="005C3A53"/>
    <w:rsid w:val="005C3B9E"/>
    <w:rsid w:val="005C3C88"/>
    <w:rsid w:val="005C3D9E"/>
    <w:rsid w:val="005C3DC1"/>
    <w:rsid w:val="005C3E8C"/>
    <w:rsid w:val="005C3E9F"/>
    <w:rsid w:val="005C3EE1"/>
    <w:rsid w:val="005C3F49"/>
    <w:rsid w:val="005C4250"/>
    <w:rsid w:val="005C425E"/>
    <w:rsid w:val="005C4262"/>
    <w:rsid w:val="005C427B"/>
    <w:rsid w:val="005C42F7"/>
    <w:rsid w:val="005C4305"/>
    <w:rsid w:val="005C4319"/>
    <w:rsid w:val="005C4349"/>
    <w:rsid w:val="005C45C9"/>
    <w:rsid w:val="005C4725"/>
    <w:rsid w:val="005C47AE"/>
    <w:rsid w:val="005C4939"/>
    <w:rsid w:val="005C493C"/>
    <w:rsid w:val="005C49B4"/>
    <w:rsid w:val="005C49C7"/>
    <w:rsid w:val="005C4B05"/>
    <w:rsid w:val="005C4B3D"/>
    <w:rsid w:val="005C4D5B"/>
    <w:rsid w:val="005C4D6F"/>
    <w:rsid w:val="005C4D9E"/>
    <w:rsid w:val="005C4DE7"/>
    <w:rsid w:val="005C4DFE"/>
    <w:rsid w:val="005C50F5"/>
    <w:rsid w:val="005C51BF"/>
    <w:rsid w:val="005C51D6"/>
    <w:rsid w:val="005C5211"/>
    <w:rsid w:val="005C5292"/>
    <w:rsid w:val="005C52C7"/>
    <w:rsid w:val="005C5371"/>
    <w:rsid w:val="005C53E4"/>
    <w:rsid w:val="005C53FD"/>
    <w:rsid w:val="005C5490"/>
    <w:rsid w:val="005C5499"/>
    <w:rsid w:val="005C54E9"/>
    <w:rsid w:val="005C551E"/>
    <w:rsid w:val="005C5574"/>
    <w:rsid w:val="005C55AA"/>
    <w:rsid w:val="005C5673"/>
    <w:rsid w:val="005C56E5"/>
    <w:rsid w:val="005C5721"/>
    <w:rsid w:val="005C5796"/>
    <w:rsid w:val="005C587B"/>
    <w:rsid w:val="005C5989"/>
    <w:rsid w:val="005C59FD"/>
    <w:rsid w:val="005C5AEE"/>
    <w:rsid w:val="005C5B20"/>
    <w:rsid w:val="005C5BA9"/>
    <w:rsid w:val="005C5BB0"/>
    <w:rsid w:val="005C5D9A"/>
    <w:rsid w:val="005C5E18"/>
    <w:rsid w:val="005C5EC7"/>
    <w:rsid w:val="005C5FFB"/>
    <w:rsid w:val="005C602C"/>
    <w:rsid w:val="005C6055"/>
    <w:rsid w:val="005C6235"/>
    <w:rsid w:val="005C624A"/>
    <w:rsid w:val="005C6353"/>
    <w:rsid w:val="005C6374"/>
    <w:rsid w:val="005C63A0"/>
    <w:rsid w:val="005C665F"/>
    <w:rsid w:val="005C668D"/>
    <w:rsid w:val="005C675D"/>
    <w:rsid w:val="005C6927"/>
    <w:rsid w:val="005C6A44"/>
    <w:rsid w:val="005C6B4A"/>
    <w:rsid w:val="005C6BFB"/>
    <w:rsid w:val="005C6C8B"/>
    <w:rsid w:val="005C6CE5"/>
    <w:rsid w:val="005C6DE1"/>
    <w:rsid w:val="005C6F38"/>
    <w:rsid w:val="005C6FCF"/>
    <w:rsid w:val="005C7103"/>
    <w:rsid w:val="005C7129"/>
    <w:rsid w:val="005C738C"/>
    <w:rsid w:val="005C73D5"/>
    <w:rsid w:val="005C757D"/>
    <w:rsid w:val="005C75A1"/>
    <w:rsid w:val="005C76D4"/>
    <w:rsid w:val="005C774A"/>
    <w:rsid w:val="005C7788"/>
    <w:rsid w:val="005C77A9"/>
    <w:rsid w:val="005C7A27"/>
    <w:rsid w:val="005C7BD9"/>
    <w:rsid w:val="005C7C2A"/>
    <w:rsid w:val="005C7C4B"/>
    <w:rsid w:val="005C7CBD"/>
    <w:rsid w:val="005C7D1B"/>
    <w:rsid w:val="005C7E5F"/>
    <w:rsid w:val="005C7EBB"/>
    <w:rsid w:val="005C7FC3"/>
    <w:rsid w:val="005C7FEA"/>
    <w:rsid w:val="005D00A1"/>
    <w:rsid w:val="005D01BC"/>
    <w:rsid w:val="005D01E9"/>
    <w:rsid w:val="005D0266"/>
    <w:rsid w:val="005D02B2"/>
    <w:rsid w:val="005D02C2"/>
    <w:rsid w:val="005D02E2"/>
    <w:rsid w:val="005D0321"/>
    <w:rsid w:val="005D032D"/>
    <w:rsid w:val="005D054F"/>
    <w:rsid w:val="005D0587"/>
    <w:rsid w:val="005D05BE"/>
    <w:rsid w:val="005D0860"/>
    <w:rsid w:val="005D0919"/>
    <w:rsid w:val="005D0966"/>
    <w:rsid w:val="005D0A4E"/>
    <w:rsid w:val="005D0A55"/>
    <w:rsid w:val="005D0B5A"/>
    <w:rsid w:val="005D0BE0"/>
    <w:rsid w:val="005D0E2C"/>
    <w:rsid w:val="005D0FE6"/>
    <w:rsid w:val="005D1021"/>
    <w:rsid w:val="005D11FE"/>
    <w:rsid w:val="005D13F2"/>
    <w:rsid w:val="005D13FE"/>
    <w:rsid w:val="005D1482"/>
    <w:rsid w:val="005D198B"/>
    <w:rsid w:val="005D19A7"/>
    <w:rsid w:val="005D19BB"/>
    <w:rsid w:val="005D1ABB"/>
    <w:rsid w:val="005D1AE1"/>
    <w:rsid w:val="005D1C43"/>
    <w:rsid w:val="005D1C51"/>
    <w:rsid w:val="005D1CF2"/>
    <w:rsid w:val="005D1D3B"/>
    <w:rsid w:val="005D1D49"/>
    <w:rsid w:val="005D1E30"/>
    <w:rsid w:val="005D1F90"/>
    <w:rsid w:val="005D1F98"/>
    <w:rsid w:val="005D211E"/>
    <w:rsid w:val="005D2146"/>
    <w:rsid w:val="005D21A3"/>
    <w:rsid w:val="005D24DF"/>
    <w:rsid w:val="005D27AF"/>
    <w:rsid w:val="005D29C8"/>
    <w:rsid w:val="005D2B2C"/>
    <w:rsid w:val="005D2C60"/>
    <w:rsid w:val="005D2CD3"/>
    <w:rsid w:val="005D2D18"/>
    <w:rsid w:val="005D2DAC"/>
    <w:rsid w:val="005D2E18"/>
    <w:rsid w:val="005D2E5C"/>
    <w:rsid w:val="005D2F13"/>
    <w:rsid w:val="005D2F44"/>
    <w:rsid w:val="005D2F46"/>
    <w:rsid w:val="005D2FE2"/>
    <w:rsid w:val="005D3109"/>
    <w:rsid w:val="005D3208"/>
    <w:rsid w:val="005D324F"/>
    <w:rsid w:val="005D330D"/>
    <w:rsid w:val="005D330E"/>
    <w:rsid w:val="005D3419"/>
    <w:rsid w:val="005D3432"/>
    <w:rsid w:val="005D3765"/>
    <w:rsid w:val="005D377D"/>
    <w:rsid w:val="005D3805"/>
    <w:rsid w:val="005D39D0"/>
    <w:rsid w:val="005D3A55"/>
    <w:rsid w:val="005D3C16"/>
    <w:rsid w:val="005D3C1C"/>
    <w:rsid w:val="005D3C1D"/>
    <w:rsid w:val="005D3C2A"/>
    <w:rsid w:val="005D3C61"/>
    <w:rsid w:val="005D3D95"/>
    <w:rsid w:val="005D3DB2"/>
    <w:rsid w:val="005D3E04"/>
    <w:rsid w:val="005D3E12"/>
    <w:rsid w:val="005D3E9F"/>
    <w:rsid w:val="005D3EFB"/>
    <w:rsid w:val="005D4235"/>
    <w:rsid w:val="005D46D5"/>
    <w:rsid w:val="005D4730"/>
    <w:rsid w:val="005D478C"/>
    <w:rsid w:val="005D4795"/>
    <w:rsid w:val="005D4829"/>
    <w:rsid w:val="005D49D4"/>
    <w:rsid w:val="005D4A4F"/>
    <w:rsid w:val="005D4AB9"/>
    <w:rsid w:val="005D4C43"/>
    <w:rsid w:val="005D4CD0"/>
    <w:rsid w:val="005D4D79"/>
    <w:rsid w:val="005D4E6A"/>
    <w:rsid w:val="005D5035"/>
    <w:rsid w:val="005D5037"/>
    <w:rsid w:val="005D51AC"/>
    <w:rsid w:val="005D53DC"/>
    <w:rsid w:val="005D5412"/>
    <w:rsid w:val="005D5420"/>
    <w:rsid w:val="005D546D"/>
    <w:rsid w:val="005D54D8"/>
    <w:rsid w:val="005D5540"/>
    <w:rsid w:val="005D5601"/>
    <w:rsid w:val="005D5651"/>
    <w:rsid w:val="005D5713"/>
    <w:rsid w:val="005D5916"/>
    <w:rsid w:val="005D5A6B"/>
    <w:rsid w:val="005D5B1A"/>
    <w:rsid w:val="005D5B62"/>
    <w:rsid w:val="005D5C83"/>
    <w:rsid w:val="005D5E09"/>
    <w:rsid w:val="005D60A3"/>
    <w:rsid w:val="005D6160"/>
    <w:rsid w:val="005D634A"/>
    <w:rsid w:val="005D64A1"/>
    <w:rsid w:val="005D6600"/>
    <w:rsid w:val="005D6845"/>
    <w:rsid w:val="005D6B62"/>
    <w:rsid w:val="005D6C18"/>
    <w:rsid w:val="005D6D18"/>
    <w:rsid w:val="005D6D20"/>
    <w:rsid w:val="005D7080"/>
    <w:rsid w:val="005D7292"/>
    <w:rsid w:val="005D73A0"/>
    <w:rsid w:val="005D73FC"/>
    <w:rsid w:val="005D7446"/>
    <w:rsid w:val="005D74DC"/>
    <w:rsid w:val="005D74EC"/>
    <w:rsid w:val="005D750B"/>
    <w:rsid w:val="005D7510"/>
    <w:rsid w:val="005D7519"/>
    <w:rsid w:val="005D751C"/>
    <w:rsid w:val="005D75AF"/>
    <w:rsid w:val="005D773B"/>
    <w:rsid w:val="005D77DE"/>
    <w:rsid w:val="005D7822"/>
    <w:rsid w:val="005D78EB"/>
    <w:rsid w:val="005D7946"/>
    <w:rsid w:val="005D7AC5"/>
    <w:rsid w:val="005D7B8B"/>
    <w:rsid w:val="005D7BF2"/>
    <w:rsid w:val="005D7C6F"/>
    <w:rsid w:val="005D7CB2"/>
    <w:rsid w:val="005D7D52"/>
    <w:rsid w:val="005D7D62"/>
    <w:rsid w:val="005D7D73"/>
    <w:rsid w:val="005D7DF2"/>
    <w:rsid w:val="005D7E12"/>
    <w:rsid w:val="005D7E1C"/>
    <w:rsid w:val="005D7ECA"/>
    <w:rsid w:val="005D7EEC"/>
    <w:rsid w:val="005E004F"/>
    <w:rsid w:val="005E00BD"/>
    <w:rsid w:val="005E0122"/>
    <w:rsid w:val="005E0154"/>
    <w:rsid w:val="005E025A"/>
    <w:rsid w:val="005E049E"/>
    <w:rsid w:val="005E067D"/>
    <w:rsid w:val="005E069B"/>
    <w:rsid w:val="005E0776"/>
    <w:rsid w:val="005E07DA"/>
    <w:rsid w:val="005E0843"/>
    <w:rsid w:val="005E092E"/>
    <w:rsid w:val="005E0995"/>
    <w:rsid w:val="005E099B"/>
    <w:rsid w:val="005E0AB9"/>
    <w:rsid w:val="005E0AE4"/>
    <w:rsid w:val="005E0AEA"/>
    <w:rsid w:val="005E0BBB"/>
    <w:rsid w:val="005E0BD1"/>
    <w:rsid w:val="005E0C8E"/>
    <w:rsid w:val="005E0CA9"/>
    <w:rsid w:val="005E0E58"/>
    <w:rsid w:val="005E0F23"/>
    <w:rsid w:val="005E0F89"/>
    <w:rsid w:val="005E1119"/>
    <w:rsid w:val="005E11B1"/>
    <w:rsid w:val="005E1260"/>
    <w:rsid w:val="005E1263"/>
    <w:rsid w:val="005E1266"/>
    <w:rsid w:val="005E129F"/>
    <w:rsid w:val="005E13C3"/>
    <w:rsid w:val="005E16F8"/>
    <w:rsid w:val="005E1793"/>
    <w:rsid w:val="005E1A0A"/>
    <w:rsid w:val="005E1A76"/>
    <w:rsid w:val="005E1B5E"/>
    <w:rsid w:val="005E1C1C"/>
    <w:rsid w:val="005E1CCD"/>
    <w:rsid w:val="005E1D06"/>
    <w:rsid w:val="005E20D8"/>
    <w:rsid w:val="005E21F0"/>
    <w:rsid w:val="005E21FE"/>
    <w:rsid w:val="005E22C6"/>
    <w:rsid w:val="005E2359"/>
    <w:rsid w:val="005E2373"/>
    <w:rsid w:val="005E23D5"/>
    <w:rsid w:val="005E24BE"/>
    <w:rsid w:val="005E24E5"/>
    <w:rsid w:val="005E25B9"/>
    <w:rsid w:val="005E2650"/>
    <w:rsid w:val="005E2681"/>
    <w:rsid w:val="005E277E"/>
    <w:rsid w:val="005E2783"/>
    <w:rsid w:val="005E293E"/>
    <w:rsid w:val="005E2A1D"/>
    <w:rsid w:val="005E2A1F"/>
    <w:rsid w:val="005E2B14"/>
    <w:rsid w:val="005E2BE5"/>
    <w:rsid w:val="005E2C1D"/>
    <w:rsid w:val="005E2C78"/>
    <w:rsid w:val="005E2CAC"/>
    <w:rsid w:val="005E2D85"/>
    <w:rsid w:val="005E2F90"/>
    <w:rsid w:val="005E3007"/>
    <w:rsid w:val="005E302D"/>
    <w:rsid w:val="005E303C"/>
    <w:rsid w:val="005E30CC"/>
    <w:rsid w:val="005E30E0"/>
    <w:rsid w:val="005E31AB"/>
    <w:rsid w:val="005E31DB"/>
    <w:rsid w:val="005E32CC"/>
    <w:rsid w:val="005E33C5"/>
    <w:rsid w:val="005E345E"/>
    <w:rsid w:val="005E34D4"/>
    <w:rsid w:val="005E34E4"/>
    <w:rsid w:val="005E3597"/>
    <w:rsid w:val="005E3607"/>
    <w:rsid w:val="005E368F"/>
    <w:rsid w:val="005E3862"/>
    <w:rsid w:val="005E3874"/>
    <w:rsid w:val="005E38BD"/>
    <w:rsid w:val="005E3935"/>
    <w:rsid w:val="005E39EE"/>
    <w:rsid w:val="005E3B52"/>
    <w:rsid w:val="005E3BE2"/>
    <w:rsid w:val="005E3CF2"/>
    <w:rsid w:val="005E3DDF"/>
    <w:rsid w:val="005E3EB8"/>
    <w:rsid w:val="005E3F96"/>
    <w:rsid w:val="005E3FFA"/>
    <w:rsid w:val="005E402B"/>
    <w:rsid w:val="005E412F"/>
    <w:rsid w:val="005E41D9"/>
    <w:rsid w:val="005E42ED"/>
    <w:rsid w:val="005E43C1"/>
    <w:rsid w:val="005E445B"/>
    <w:rsid w:val="005E45B7"/>
    <w:rsid w:val="005E45E5"/>
    <w:rsid w:val="005E48CB"/>
    <w:rsid w:val="005E49E9"/>
    <w:rsid w:val="005E49F9"/>
    <w:rsid w:val="005E4B80"/>
    <w:rsid w:val="005E4C13"/>
    <w:rsid w:val="005E4C61"/>
    <w:rsid w:val="005E4DF7"/>
    <w:rsid w:val="005E4EA0"/>
    <w:rsid w:val="005E4F94"/>
    <w:rsid w:val="005E5113"/>
    <w:rsid w:val="005E5197"/>
    <w:rsid w:val="005E51F7"/>
    <w:rsid w:val="005E5222"/>
    <w:rsid w:val="005E524D"/>
    <w:rsid w:val="005E5364"/>
    <w:rsid w:val="005E553E"/>
    <w:rsid w:val="005E5684"/>
    <w:rsid w:val="005E56E3"/>
    <w:rsid w:val="005E5780"/>
    <w:rsid w:val="005E58EC"/>
    <w:rsid w:val="005E5935"/>
    <w:rsid w:val="005E5951"/>
    <w:rsid w:val="005E5A23"/>
    <w:rsid w:val="005E5B4F"/>
    <w:rsid w:val="005E5FD4"/>
    <w:rsid w:val="005E6007"/>
    <w:rsid w:val="005E6039"/>
    <w:rsid w:val="005E60F5"/>
    <w:rsid w:val="005E626C"/>
    <w:rsid w:val="005E6282"/>
    <w:rsid w:val="005E633A"/>
    <w:rsid w:val="005E63B0"/>
    <w:rsid w:val="005E63B1"/>
    <w:rsid w:val="005E657B"/>
    <w:rsid w:val="005E65BA"/>
    <w:rsid w:val="005E65C1"/>
    <w:rsid w:val="005E662F"/>
    <w:rsid w:val="005E66B7"/>
    <w:rsid w:val="005E6710"/>
    <w:rsid w:val="005E6718"/>
    <w:rsid w:val="005E6832"/>
    <w:rsid w:val="005E684E"/>
    <w:rsid w:val="005E6959"/>
    <w:rsid w:val="005E6B68"/>
    <w:rsid w:val="005E6BD9"/>
    <w:rsid w:val="005E6C02"/>
    <w:rsid w:val="005E6DE6"/>
    <w:rsid w:val="005E6EED"/>
    <w:rsid w:val="005E6F2D"/>
    <w:rsid w:val="005E7078"/>
    <w:rsid w:val="005E7094"/>
    <w:rsid w:val="005E7145"/>
    <w:rsid w:val="005E71B3"/>
    <w:rsid w:val="005E7236"/>
    <w:rsid w:val="005E7269"/>
    <w:rsid w:val="005E73CE"/>
    <w:rsid w:val="005E7406"/>
    <w:rsid w:val="005E7448"/>
    <w:rsid w:val="005E74B9"/>
    <w:rsid w:val="005E74CF"/>
    <w:rsid w:val="005E750F"/>
    <w:rsid w:val="005E7880"/>
    <w:rsid w:val="005E7A04"/>
    <w:rsid w:val="005E7A37"/>
    <w:rsid w:val="005E7A40"/>
    <w:rsid w:val="005E7A91"/>
    <w:rsid w:val="005E7B78"/>
    <w:rsid w:val="005E7CFE"/>
    <w:rsid w:val="005E7D08"/>
    <w:rsid w:val="005E7E79"/>
    <w:rsid w:val="005EEF3B"/>
    <w:rsid w:val="005F0053"/>
    <w:rsid w:val="005F020B"/>
    <w:rsid w:val="005F03E0"/>
    <w:rsid w:val="005F04B0"/>
    <w:rsid w:val="005F04DE"/>
    <w:rsid w:val="005F0555"/>
    <w:rsid w:val="005F05EC"/>
    <w:rsid w:val="005F065C"/>
    <w:rsid w:val="005F06A2"/>
    <w:rsid w:val="005F0788"/>
    <w:rsid w:val="005F09A6"/>
    <w:rsid w:val="005F0A3B"/>
    <w:rsid w:val="005F0A50"/>
    <w:rsid w:val="005F0AFB"/>
    <w:rsid w:val="005F0B6A"/>
    <w:rsid w:val="005F0D3C"/>
    <w:rsid w:val="005F0E27"/>
    <w:rsid w:val="005F0E89"/>
    <w:rsid w:val="005F0EFF"/>
    <w:rsid w:val="005F0FEB"/>
    <w:rsid w:val="005F1556"/>
    <w:rsid w:val="005F1600"/>
    <w:rsid w:val="005F16B3"/>
    <w:rsid w:val="005F171A"/>
    <w:rsid w:val="005F1A7D"/>
    <w:rsid w:val="005F1BE6"/>
    <w:rsid w:val="005F1E81"/>
    <w:rsid w:val="005F1E90"/>
    <w:rsid w:val="005F1EA6"/>
    <w:rsid w:val="005F1EC0"/>
    <w:rsid w:val="005F22E3"/>
    <w:rsid w:val="005F231C"/>
    <w:rsid w:val="005F2336"/>
    <w:rsid w:val="005F23E0"/>
    <w:rsid w:val="005F270C"/>
    <w:rsid w:val="005F2776"/>
    <w:rsid w:val="005F277D"/>
    <w:rsid w:val="005F28BC"/>
    <w:rsid w:val="005F297F"/>
    <w:rsid w:val="005F2E79"/>
    <w:rsid w:val="005F2E93"/>
    <w:rsid w:val="005F3058"/>
    <w:rsid w:val="005F3177"/>
    <w:rsid w:val="005F320F"/>
    <w:rsid w:val="005F3224"/>
    <w:rsid w:val="005F332E"/>
    <w:rsid w:val="005F33A8"/>
    <w:rsid w:val="005F33B0"/>
    <w:rsid w:val="005F34BA"/>
    <w:rsid w:val="005F3525"/>
    <w:rsid w:val="005F36F8"/>
    <w:rsid w:val="005F37F6"/>
    <w:rsid w:val="005F39A1"/>
    <w:rsid w:val="005F39B5"/>
    <w:rsid w:val="005F39CF"/>
    <w:rsid w:val="005F3AB3"/>
    <w:rsid w:val="005F3CE6"/>
    <w:rsid w:val="005F3D0C"/>
    <w:rsid w:val="005F3D2A"/>
    <w:rsid w:val="005F3DA0"/>
    <w:rsid w:val="005F3DA3"/>
    <w:rsid w:val="005F3DBD"/>
    <w:rsid w:val="005F3F1A"/>
    <w:rsid w:val="005F3F2A"/>
    <w:rsid w:val="005F3FF3"/>
    <w:rsid w:val="005F4028"/>
    <w:rsid w:val="005F4070"/>
    <w:rsid w:val="005F40BD"/>
    <w:rsid w:val="005F40C0"/>
    <w:rsid w:val="005F421E"/>
    <w:rsid w:val="005F4250"/>
    <w:rsid w:val="005F42DD"/>
    <w:rsid w:val="005F42E3"/>
    <w:rsid w:val="005F4475"/>
    <w:rsid w:val="005F45E7"/>
    <w:rsid w:val="005F4616"/>
    <w:rsid w:val="005F477F"/>
    <w:rsid w:val="005F4930"/>
    <w:rsid w:val="005F494C"/>
    <w:rsid w:val="005F496F"/>
    <w:rsid w:val="005F49A7"/>
    <w:rsid w:val="005F4A64"/>
    <w:rsid w:val="005F4A82"/>
    <w:rsid w:val="005F4C5A"/>
    <w:rsid w:val="005F4E25"/>
    <w:rsid w:val="005F4E3D"/>
    <w:rsid w:val="005F4EBB"/>
    <w:rsid w:val="005F4F9F"/>
    <w:rsid w:val="005F50DE"/>
    <w:rsid w:val="005F50EE"/>
    <w:rsid w:val="005F5109"/>
    <w:rsid w:val="005F517B"/>
    <w:rsid w:val="005F519C"/>
    <w:rsid w:val="005F526A"/>
    <w:rsid w:val="005F52CD"/>
    <w:rsid w:val="005F5443"/>
    <w:rsid w:val="005F54D5"/>
    <w:rsid w:val="005F555F"/>
    <w:rsid w:val="005F55B4"/>
    <w:rsid w:val="005F55B7"/>
    <w:rsid w:val="005F564C"/>
    <w:rsid w:val="005F56EE"/>
    <w:rsid w:val="005F573E"/>
    <w:rsid w:val="005F57EA"/>
    <w:rsid w:val="005F5A3C"/>
    <w:rsid w:val="005F5B9C"/>
    <w:rsid w:val="005F5BC6"/>
    <w:rsid w:val="005F5C40"/>
    <w:rsid w:val="005F5D21"/>
    <w:rsid w:val="005F5DD2"/>
    <w:rsid w:val="005F6196"/>
    <w:rsid w:val="005F6284"/>
    <w:rsid w:val="005F6297"/>
    <w:rsid w:val="005F6311"/>
    <w:rsid w:val="005F6377"/>
    <w:rsid w:val="005F6512"/>
    <w:rsid w:val="005F6564"/>
    <w:rsid w:val="005F65EE"/>
    <w:rsid w:val="005F663F"/>
    <w:rsid w:val="005F66BE"/>
    <w:rsid w:val="005F6740"/>
    <w:rsid w:val="005F6C19"/>
    <w:rsid w:val="005F6DFB"/>
    <w:rsid w:val="005F6FC2"/>
    <w:rsid w:val="005F6FEB"/>
    <w:rsid w:val="005F7018"/>
    <w:rsid w:val="005F706D"/>
    <w:rsid w:val="005F707D"/>
    <w:rsid w:val="005F72C3"/>
    <w:rsid w:val="005F72F6"/>
    <w:rsid w:val="005F7352"/>
    <w:rsid w:val="005F7389"/>
    <w:rsid w:val="005F747D"/>
    <w:rsid w:val="005F7550"/>
    <w:rsid w:val="005F7591"/>
    <w:rsid w:val="005F75C0"/>
    <w:rsid w:val="005F7630"/>
    <w:rsid w:val="005F7681"/>
    <w:rsid w:val="005F793A"/>
    <w:rsid w:val="005F7ADA"/>
    <w:rsid w:val="005F7BB0"/>
    <w:rsid w:val="005F7C64"/>
    <w:rsid w:val="005F7E6A"/>
    <w:rsid w:val="005F7FFE"/>
    <w:rsid w:val="00600039"/>
    <w:rsid w:val="0060005B"/>
    <w:rsid w:val="00600065"/>
    <w:rsid w:val="0060008D"/>
    <w:rsid w:val="00600357"/>
    <w:rsid w:val="006003AD"/>
    <w:rsid w:val="0060046A"/>
    <w:rsid w:val="006004ED"/>
    <w:rsid w:val="00600579"/>
    <w:rsid w:val="006005B3"/>
    <w:rsid w:val="00600637"/>
    <w:rsid w:val="006006B7"/>
    <w:rsid w:val="0060077A"/>
    <w:rsid w:val="006007D6"/>
    <w:rsid w:val="00600916"/>
    <w:rsid w:val="0060094C"/>
    <w:rsid w:val="00600A8D"/>
    <w:rsid w:val="00600BA6"/>
    <w:rsid w:val="00600C43"/>
    <w:rsid w:val="00600D43"/>
    <w:rsid w:val="00600D9A"/>
    <w:rsid w:val="00600E08"/>
    <w:rsid w:val="00600E46"/>
    <w:rsid w:val="00600F0C"/>
    <w:rsid w:val="00600F9A"/>
    <w:rsid w:val="00601767"/>
    <w:rsid w:val="00601A27"/>
    <w:rsid w:val="00601A42"/>
    <w:rsid w:val="00601AE7"/>
    <w:rsid w:val="00601C5E"/>
    <w:rsid w:val="00601EFD"/>
    <w:rsid w:val="00602066"/>
    <w:rsid w:val="00602074"/>
    <w:rsid w:val="006020AE"/>
    <w:rsid w:val="0060211B"/>
    <w:rsid w:val="00602176"/>
    <w:rsid w:val="006021BD"/>
    <w:rsid w:val="0060231D"/>
    <w:rsid w:val="0060232F"/>
    <w:rsid w:val="00602376"/>
    <w:rsid w:val="0060266A"/>
    <w:rsid w:val="00602A02"/>
    <w:rsid w:val="00602AF1"/>
    <w:rsid w:val="00602B70"/>
    <w:rsid w:val="00602C30"/>
    <w:rsid w:val="00602D77"/>
    <w:rsid w:val="00602FB1"/>
    <w:rsid w:val="00603040"/>
    <w:rsid w:val="006030B1"/>
    <w:rsid w:val="006030DC"/>
    <w:rsid w:val="0060320B"/>
    <w:rsid w:val="006034A7"/>
    <w:rsid w:val="006035D6"/>
    <w:rsid w:val="006037A3"/>
    <w:rsid w:val="006037EE"/>
    <w:rsid w:val="00603985"/>
    <w:rsid w:val="00603A36"/>
    <w:rsid w:val="00603A57"/>
    <w:rsid w:val="00603B11"/>
    <w:rsid w:val="00603B9D"/>
    <w:rsid w:val="00603BAA"/>
    <w:rsid w:val="00603BBB"/>
    <w:rsid w:val="00603BE5"/>
    <w:rsid w:val="00603C08"/>
    <w:rsid w:val="00603CAF"/>
    <w:rsid w:val="00603CF2"/>
    <w:rsid w:val="00604011"/>
    <w:rsid w:val="00604040"/>
    <w:rsid w:val="0060406F"/>
    <w:rsid w:val="0060434F"/>
    <w:rsid w:val="00604354"/>
    <w:rsid w:val="006043E0"/>
    <w:rsid w:val="006044B2"/>
    <w:rsid w:val="0060453F"/>
    <w:rsid w:val="00604886"/>
    <w:rsid w:val="00604998"/>
    <w:rsid w:val="00604A7C"/>
    <w:rsid w:val="00604AD4"/>
    <w:rsid w:val="00604AF3"/>
    <w:rsid w:val="00604C0A"/>
    <w:rsid w:val="00604CDF"/>
    <w:rsid w:val="00604CFC"/>
    <w:rsid w:val="00604DC4"/>
    <w:rsid w:val="00604E33"/>
    <w:rsid w:val="00604E98"/>
    <w:rsid w:val="00605010"/>
    <w:rsid w:val="006051B2"/>
    <w:rsid w:val="00605205"/>
    <w:rsid w:val="00605255"/>
    <w:rsid w:val="00605256"/>
    <w:rsid w:val="00605279"/>
    <w:rsid w:val="006052A3"/>
    <w:rsid w:val="00605301"/>
    <w:rsid w:val="00605303"/>
    <w:rsid w:val="006053C4"/>
    <w:rsid w:val="00605460"/>
    <w:rsid w:val="006055F7"/>
    <w:rsid w:val="00605636"/>
    <w:rsid w:val="00605710"/>
    <w:rsid w:val="00605767"/>
    <w:rsid w:val="00605776"/>
    <w:rsid w:val="006057CB"/>
    <w:rsid w:val="006057FD"/>
    <w:rsid w:val="00605904"/>
    <w:rsid w:val="00605ABE"/>
    <w:rsid w:val="00605B39"/>
    <w:rsid w:val="00605B49"/>
    <w:rsid w:val="00605B9E"/>
    <w:rsid w:val="00605BC6"/>
    <w:rsid w:val="00605C23"/>
    <w:rsid w:val="00605CCE"/>
    <w:rsid w:val="00605D9A"/>
    <w:rsid w:val="00605E06"/>
    <w:rsid w:val="00605E61"/>
    <w:rsid w:val="00605ECF"/>
    <w:rsid w:val="00605F92"/>
    <w:rsid w:val="00605FD2"/>
    <w:rsid w:val="006060BC"/>
    <w:rsid w:val="006060F5"/>
    <w:rsid w:val="00606108"/>
    <w:rsid w:val="00606173"/>
    <w:rsid w:val="00606273"/>
    <w:rsid w:val="00606395"/>
    <w:rsid w:val="00606559"/>
    <w:rsid w:val="0060656D"/>
    <w:rsid w:val="00606661"/>
    <w:rsid w:val="00606719"/>
    <w:rsid w:val="006067BD"/>
    <w:rsid w:val="00606911"/>
    <w:rsid w:val="00606944"/>
    <w:rsid w:val="00606A28"/>
    <w:rsid w:val="00606C71"/>
    <w:rsid w:val="00606CF6"/>
    <w:rsid w:val="00606D29"/>
    <w:rsid w:val="00606F53"/>
    <w:rsid w:val="00606F72"/>
    <w:rsid w:val="0060709B"/>
    <w:rsid w:val="00607166"/>
    <w:rsid w:val="00607181"/>
    <w:rsid w:val="006071E4"/>
    <w:rsid w:val="006072ED"/>
    <w:rsid w:val="006074BE"/>
    <w:rsid w:val="0060760F"/>
    <w:rsid w:val="00607657"/>
    <w:rsid w:val="006076E1"/>
    <w:rsid w:val="00607727"/>
    <w:rsid w:val="00607741"/>
    <w:rsid w:val="00607857"/>
    <w:rsid w:val="00607979"/>
    <w:rsid w:val="006079BD"/>
    <w:rsid w:val="00607A4B"/>
    <w:rsid w:val="00607AD3"/>
    <w:rsid w:val="00607B20"/>
    <w:rsid w:val="00607B92"/>
    <w:rsid w:val="00607CB1"/>
    <w:rsid w:val="00607D23"/>
    <w:rsid w:val="00607D48"/>
    <w:rsid w:val="00607E0B"/>
    <w:rsid w:val="00607E63"/>
    <w:rsid w:val="0061019E"/>
    <w:rsid w:val="00610330"/>
    <w:rsid w:val="0061034E"/>
    <w:rsid w:val="006103A0"/>
    <w:rsid w:val="00610418"/>
    <w:rsid w:val="0061050F"/>
    <w:rsid w:val="006105D1"/>
    <w:rsid w:val="006105F7"/>
    <w:rsid w:val="006106F8"/>
    <w:rsid w:val="006107E7"/>
    <w:rsid w:val="00610864"/>
    <w:rsid w:val="006108C1"/>
    <w:rsid w:val="006109E8"/>
    <w:rsid w:val="00610A80"/>
    <w:rsid w:val="00610BB5"/>
    <w:rsid w:val="00610DAD"/>
    <w:rsid w:val="00610E0E"/>
    <w:rsid w:val="00610F30"/>
    <w:rsid w:val="00611093"/>
    <w:rsid w:val="00611135"/>
    <w:rsid w:val="006111B1"/>
    <w:rsid w:val="00611256"/>
    <w:rsid w:val="00611469"/>
    <w:rsid w:val="00611510"/>
    <w:rsid w:val="00611665"/>
    <w:rsid w:val="0061166B"/>
    <w:rsid w:val="006116D3"/>
    <w:rsid w:val="00611A98"/>
    <w:rsid w:val="00611AA5"/>
    <w:rsid w:val="00611B0B"/>
    <w:rsid w:val="00611B82"/>
    <w:rsid w:val="00611C99"/>
    <w:rsid w:val="00611D30"/>
    <w:rsid w:val="00611D68"/>
    <w:rsid w:val="00611DD8"/>
    <w:rsid w:val="00611DEC"/>
    <w:rsid w:val="00611E23"/>
    <w:rsid w:val="00611EB1"/>
    <w:rsid w:val="00611ED2"/>
    <w:rsid w:val="00611F05"/>
    <w:rsid w:val="00611F66"/>
    <w:rsid w:val="00611F88"/>
    <w:rsid w:val="00611FAA"/>
    <w:rsid w:val="00611FD3"/>
    <w:rsid w:val="00612005"/>
    <w:rsid w:val="006120C4"/>
    <w:rsid w:val="0061213B"/>
    <w:rsid w:val="00612158"/>
    <w:rsid w:val="00612165"/>
    <w:rsid w:val="006121A1"/>
    <w:rsid w:val="0061234E"/>
    <w:rsid w:val="00612630"/>
    <w:rsid w:val="006126FA"/>
    <w:rsid w:val="0061275E"/>
    <w:rsid w:val="00612825"/>
    <w:rsid w:val="00612836"/>
    <w:rsid w:val="0061298D"/>
    <w:rsid w:val="00612A09"/>
    <w:rsid w:val="00612A47"/>
    <w:rsid w:val="00612A8C"/>
    <w:rsid w:val="00612B81"/>
    <w:rsid w:val="00612B96"/>
    <w:rsid w:val="00612E3F"/>
    <w:rsid w:val="00612EEA"/>
    <w:rsid w:val="00613173"/>
    <w:rsid w:val="00613198"/>
    <w:rsid w:val="006132E4"/>
    <w:rsid w:val="006133C7"/>
    <w:rsid w:val="006133DA"/>
    <w:rsid w:val="006133E3"/>
    <w:rsid w:val="0061348D"/>
    <w:rsid w:val="006134A6"/>
    <w:rsid w:val="0061374A"/>
    <w:rsid w:val="00613793"/>
    <w:rsid w:val="00613844"/>
    <w:rsid w:val="006138C3"/>
    <w:rsid w:val="00613908"/>
    <w:rsid w:val="006139C4"/>
    <w:rsid w:val="00613AD8"/>
    <w:rsid w:val="00613B84"/>
    <w:rsid w:val="00614084"/>
    <w:rsid w:val="006140AF"/>
    <w:rsid w:val="00614203"/>
    <w:rsid w:val="0061434F"/>
    <w:rsid w:val="006143D2"/>
    <w:rsid w:val="0061443D"/>
    <w:rsid w:val="006144A3"/>
    <w:rsid w:val="006144EE"/>
    <w:rsid w:val="006145BA"/>
    <w:rsid w:val="006146A6"/>
    <w:rsid w:val="00614723"/>
    <w:rsid w:val="006147A2"/>
    <w:rsid w:val="006147F9"/>
    <w:rsid w:val="00614860"/>
    <w:rsid w:val="00614900"/>
    <w:rsid w:val="00614B1E"/>
    <w:rsid w:val="00614B38"/>
    <w:rsid w:val="00614CA9"/>
    <w:rsid w:val="00614EC2"/>
    <w:rsid w:val="006151D5"/>
    <w:rsid w:val="00615302"/>
    <w:rsid w:val="00615363"/>
    <w:rsid w:val="006154AC"/>
    <w:rsid w:val="006154EB"/>
    <w:rsid w:val="006157B2"/>
    <w:rsid w:val="0061585C"/>
    <w:rsid w:val="006158D1"/>
    <w:rsid w:val="00615938"/>
    <w:rsid w:val="0061593D"/>
    <w:rsid w:val="00615968"/>
    <w:rsid w:val="00615A04"/>
    <w:rsid w:val="00615A3D"/>
    <w:rsid w:val="00615A50"/>
    <w:rsid w:val="00615AE7"/>
    <w:rsid w:val="00615D4C"/>
    <w:rsid w:val="00615EB1"/>
    <w:rsid w:val="00615F46"/>
    <w:rsid w:val="00615F94"/>
    <w:rsid w:val="00616052"/>
    <w:rsid w:val="006160FC"/>
    <w:rsid w:val="0061612F"/>
    <w:rsid w:val="00616199"/>
    <w:rsid w:val="0061623C"/>
    <w:rsid w:val="00616287"/>
    <w:rsid w:val="006163AE"/>
    <w:rsid w:val="006164A9"/>
    <w:rsid w:val="00616616"/>
    <w:rsid w:val="0061691B"/>
    <w:rsid w:val="00616A71"/>
    <w:rsid w:val="00616B76"/>
    <w:rsid w:val="00616BAF"/>
    <w:rsid w:val="00616CC7"/>
    <w:rsid w:val="00616D50"/>
    <w:rsid w:val="00616D7F"/>
    <w:rsid w:val="00616E8F"/>
    <w:rsid w:val="00616F43"/>
    <w:rsid w:val="0061725F"/>
    <w:rsid w:val="006173BE"/>
    <w:rsid w:val="006174AF"/>
    <w:rsid w:val="00617510"/>
    <w:rsid w:val="006176F2"/>
    <w:rsid w:val="0061776F"/>
    <w:rsid w:val="006177F2"/>
    <w:rsid w:val="00617894"/>
    <w:rsid w:val="00617A10"/>
    <w:rsid w:val="00617A76"/>
    <w:rsid w:val="00617A96"/>
    <w:rsid w:val="00617B20"/>
    <w:rsid w:val="00617B92"/>
    <w:rsid w:val="00617BA4"/>
    <w:rsid w:val="00617CB4"/>
    <w:rsid w:val="00617D98"/>
    <w:rsid w:val="00617E1D"/>
    <w:rsid w:val="00617E2B"/>
    <w:rsid w:val="00617F4C"/>
    <w:rsid w:val="00620052"/>
    <w:rsid w:val="006202E6"/>
    <w:rsid w:val="00620304"/>
    <w:rsid w:val="00620394"/>
    <w:rsid w:val="00620427"/>
    <w:rsid w:val="00620592"/>
    <w:rsid w:val="00620600"/>
    <w:rsid w:val="00620704"/>
    <w:rsid w:val="00620863"/>
    <w:rsid w:val="006208E9"/>
    <w:rsid w:val="00620A95"/>
    <w:rsid w:val="00620B31"/>
    <w:rsid w:val="00620B6E"/>
    <w:rsid w:val="00620C29"/>
    <w:rsid w:val="00620CA6"/>
    <w:rsid w:val="00620CD1"/>
    <w:rsid w:val="00620CD6"/>
    <w:rsid w:val="00620D30"/>
    <w:rsid w:val="00620D3F"/>
    <w:rsid w:val="00620D80"/>
    <w:rsid w:val="00620D8F"/>
    <w:rsid w:val="00620EAF"/>
    <w:rsid w:val="006210B0"/>
    <w:rsid w:val="006210E1"/>
    <w:rsid w:val="0062113E"/>
    <w:rsid w:val="00621172"/>
    <w:rsid w:val="0062126C"/>
    <w:rsid w:val="006212BE"/>
    <w:rsid w:val="006212C9"/>
    <w:rsid w:val="006213D1"/>
    <w:rsid w:val="006213E4"/>
    <w:rsid w:val="0062158B"/>
    <w:rsid w:val="006217FB"/>
    <w:rsid w:val="00621841"/>
    <w:rsid w:val="00621843"/>
    <w:rsid w:val="00621937"/>
    <w:rsid w:val="00621A8A"/>
    <w:rsid w:val="00621ADE"/>
    <w:rsid w:val="00621B2F"/>
    <w:rsid w:val="00621BCE"/>
    <w:rsid w:val="00621D17"/>
    <w:rsid w:val="00621DB3"/>
    <w:rsid w:val="00621EDE"/>
    <w:rsid w:val="00621F28"/>
    <w:rsid w:val="00621F4C"/>
    <w:rsid w:val="00621FCB"/>
    <w:rsid w:val="00622052"/>
    <w:rsid w:val="006221D0"/>
    <w:rsid w:val="00622249"/>
    <w:rsid w:val="006223E3"/>
    <w:rsid w:val="006224AF"/>
    <w:rsid w:val="00622634"/>
    <w:rsid w:val="00622649"/>
    <w:rsid w:val="00622679"/>
    <w:rsid w:val="006228A6"/>
    <w:rsid w:val="00622921"/>
    <w:rsid w:val="00622946"/>
    <w:rsid w:val="00622978"/>
    <w:rsid w:val="00622991"/>
    <w:rsid w:val="00622A1C"/>
    <w:rsid w:val="00622A38"/>
    <w:rsid w:val="00622A67"/>
    <w:rsid w:val="00622C97"/>
    <w:rsid w:val="00622C99"/>
    <w:rsid w:val="00622DDE"/>
    <w:rsid w:val="00622DF5"/>
    <w:rsid w:val="00622E03"/>
    <w:rsid w:val="00622F13"/>
    <w:rsid w:val="00622F74"/>
    <w:rsid w:val="00622FD0"/>
    <w:rsid w:val="006231D3"/>
    <w:rsid w:val="00623281"/>
    <w:rsid w:val="006232FB"/>
    <w:rsid w:val="006233FB"/>
    <w:rsid w:val="006236A0"/>
    <w:rsid w:val="006236A9"/>
    <w:rsid w:val="00623769"/>
    <w:rsid w:val="00623962"/>
    <w:rsid w:val="00623B0F"/>
    <w:rsid w:val="00623BFA"/>
    <w:rsid w:val="00623C48"/>
    <w:rsid w:val="00623C67"/>
    <w:rsid w:val="00623F0A"/>
    <w:rsid w:val="00623F41"/>
    <w:rsid w:val="00623F9D"/>
    <w:rsid w:val="00624003"/>
    <w:rsid w:val="00624040"/>
    <w:rsid w:val="006240B8"/>
    <w:rsid w:val="0062411B"/>
    <w:rsid w:val="00624180"/>
    <w:rsid w:val="006241C9"/>
    <w:rsid w:val="006241E9"/>
    <w:rsid w:val="00624329"/>
    <w:rsid w:val="0062439E"/>
    <w:rsid w:val="0062457D"/>
    <w:rsid w:val="0062458F"/>
    <w:rsid w:val="006245CA"/>
    <w:rsid w:val="00624600"/>
    <w:rsid w:val="006246CB"/>
    <w:rsid w:val="00624775"/>
    <w:rsid w:val="00624839"/>
    <w:rsid w:val="006248BA"/>
    <w:rsid w:val="006248F7"/>
    <w:rsid w:val="006249C0"/>
    <w:rsid w:val="006249DA"/>
    <w:rsid w:val="00624A29"/>
    <w:rsid w:val="00624B27"/>
    <w:rsid w:val="00624C34"/>
    <w:rsid w:val="00624D13"/>
    <w:rsid w:val="00624D68"/>
    <w:rsid w:val="00624D69"/>
    <w:rsid w:val="00624D89"/>
    <w:rsid w:val="00624E0D"/>
    <w:rsid w:val="00624F9B"/>
    <w:rsid w:val="0062503E"/>
    <w:rsid w:val="006250B2"/>
    <w:rsid w:val="00625341"/>
    <w:rsid w:val="0062539A"/>
    <w:rsid w:val="006253B9"/>
    <w:rsid w:val="0062545C"/>
    <w:rsid w:val="0062548E"/>
    <w:rsid w:val="0062549D"/>
    <w:rsid w:val="0062555F"/>
    <w:rsid w:val="006255F7"/>
    <w:rsid w:val="006255F8"/>
    <w:rsid w:val="00625711"/>
    <w:rsid w:val="00625774"/>
    <w:rsid w:val="006257AA"/>
    <w:rsid w:val="006257BE"/>
    <w:rsid w:val="00625819"/>
    <w:rsid w:val="00625905"/>
    <w:rsid w:val="00625914"/>
    <w:rsid w:val="00625A8C"/>
    <w:rsid w:val="00625AAD"/>
    <w:rsid w:val="00625ACF"/>
    <w:rsid w:val="00625B52"/>
    <w:rsid w:val="0062605A"/>
    <w:rsid w:val="006260F5"/>
    <w:rsid w:val="006261C3"/>
    <w:rsid w:val="0062622D"/>
    <w:rsid w:val="00626378"/>
    <w:rsid w:val="00626426"/>
    <w:rsid w:val="006264B7"/>
    <w:rsid w:val="006264EB"/>
    <w:rsid w:val="0062663D"/>
    <w:rsid w:val="006268FC"/>
    <w:rsid w:val="0062691C"/>
    <w:rsid w:val="00626940"/>
    <w:rsid w:val="00626952"/>
    <w:rsid w:val="00626987"/>
    <w:rsid w:val="006269A3"/>
    <w:rsid w:val="00626B82"/>
    <w:rsid w:val="00626BD8"/>
    <w:rsid w:val="00626C28"/>
    <w:rsid w:val="00626CDD"/>
    <w:rsid w:val="00626E28"/>
    <w:rsid w:val="00626E2C"/>
    <w:rsid w:val="00626E34"/>
    <w:rsid w:val="00626E71"/>
    <w:rsid w:val="00626EF4"/>
    <w:rsid w:val="00626FBC"/>
    <w:rsid w:val="006272CC"/>
    <w:rsid w:val="006272F7"/>
    <w:rsid w:val="00627330"/>
    <w:rsid w:val="0062736C"/>
    <w:rsid w:val="00627395"/>
    <w:rsid w:val="0062747E"/>
    <w:rsid w:val="00627498"/>
    <w:rsid w:val="006274CB"/>
    <w:rsid w:val="006275CD"/>
    <w:rsid w:val="006277D3"/>
    <w:rsid w:val="00627918"/>
    <w:rsid w:val="0062797F"/>
    <w:rsid w:val="00627A10"/>
    <w:rsid w:val="00627A90"/>
    <w:rsid w:val="00627AF5"/>
    <w:rsid w:val="00627CCE"/>
    <w:rsid w:val="00627D08"/>
    <w:rsid w:val="00627DD3"/>
    <w:rsid w:val="00627E16"/>
    <w:rsid w:val="00627F91"/>
    <w:rsid w:val="0063000A"/>
    <w:rsid w:val="0063018F"/>
    <w:rsid w:val="0063027C"/>
    <w:rsid w:val="006302D1"/>
    <w:rsid w:val="006302F9"/>
    <w:rsid w:val="00630328"/>
    <w:rsid w:val="00630329"/>
    <w:rsid w:val="006303EE"/>
    <w:rsid w:val="0063053E"/>
    <w:rsid w:val="0063058F"/>
    <w:rsid w:val="0063066D"/>
    <w:rsid w:val="006306F3"/>
    <w:rsid w:val="00630919"/>
    <w:rsid w:val="00630AEE"/>
    <w:rsid w:val="00630C42"/>
    <w:rsid w:val="00630D06"/>
    <w:rsid w:val="00630F75"/>
    <w:rsid w:val="00630F77"/>
    <w:rsid w:val="00631165"/>
    <w:rsid w:val="006312A6"/>
    <w:rsid w:val="006313C0"/>
    <w:rsid w:val="006313CC"/>
    <w:rsid w:val="006314D9"/>
    <w:rsid w:val="00631586"/>
    <w:rsid w:val="006315A5"/>
    <w:rsid w:val="006316C2"/>
    <w:rsid w:val="00631813"/>
    <w:rsid w:val="0063186F"/>
    <w:rsid w:val="0063187F"/>
    <w:rsid w:val="006319C4"/>
    <w:rsid w:val="00631C41"/>
    <w:rsid w:val="00631D76"/>
    <w:rsid w:val="00631E0E"/>
    <w:rsid w:val="00631FD1"/>
    <w:rsid w:val="00631FDF"/>
    <w:rsid w:val="006320D2"/>
    <w:rsid w:val="0063218B"/>
    <w:rsid w:val="006321CE"/>
    <w:rsid w:val="006321E1"/>
    <w:rsid w:val="0063225B"/>
    <w:rsid w:val="00632270"/>
    <w:rsid w:val="0063235A"/>
    <w:rsid w:val="0063237F"/>
    <w:rsid w:val="006324A3"/>
    <w:rsid w:val="006325E0"/>
    <w:rsid w:val="006325E9"/>
    <w:rsid w:val="006326AB"/>
    <w:rsid w:val="006326FC"/>
    <w:rsid w:val="006327F3"/>
    <w:rsid w:val="006328F3"/>
    <w:rsid w:val="0063290F"/>
    <w:rsid w:val="00632A4F"/>
    <w:rsid w:val="00632C1D"/>
    <w:rsid w:val="00632CC4"/>
    <w:rsid w:val="00632D3C"/>
    <w:rsid w:val="00632E40"/>
    <w:rsid w:val="00632EF3"/>
    <w:rsid w:val="00632F7F"/>
    <w:rsid w:val="0063307A"/>
    <w:rsid w:val="006332A4"/>
    <w:rsid w:val="006333AF"/>
    <w:rsid w:val="006333EC"/>
    <w:rsid w:val="006334B1"/>
    <w:rsid w:val="0063350A"/>
    <w:rsid w:val="006335BC"/>
    <w:rsid w:val="006335EB"/>
    <w:rsid w:val="006335EF"/>
    <w:rsid w:val="00633712"/>
    <w:rsid w:val="00633772"/>
    <w:rsid w:val="00633826"/>
    <w:rsid w:val="00633857"/>
    <w:rsid w:val="0063393D"/>
    <w:rsid w:val="0063394F"/>
    <w:rsid w:val="0063398B"/>
    <w:rsid w:val="006339F3"/>
    <w:rsid w:val="00633A69"/>
    <w:rsid w:val="00633AFC"/>
    <w:rsid w:val="00633B09"/>
    <w:rsid w:val="00633C3A"/>
    <w:rsid w:val="00633C3C"/>
    <w:rsid w:val="00633C7B"/>
    <w:rsid w:val="00633D04"/>
    <w:rsid w:val="00633D0B"/>
    <w:rsid w:val="00633E22"/>
    <w:rsid w:val="006341FB"/>
    <w:rsid w:val="00634377"/>
    <w:rsid w:val="00634398"/>
    <w:rsid w:val="006343B8"/>
    <w:rsid w:val="006344DF"/>
    <w:rsid w:val="00634509"/>
    <w:rsid w:val="0063450E"/>
    <w:rsid w:val="00634562"/>
    <w:rsid w:val="00634640"/>
    <w:rsid w:val="00634771"/>
    <w:rsid w:val="0063478F"/>
    <w:rsid w:val="0063489B"/>
    <w:rsid w:val="00634961"/>
    <w:rsid w:val="006349F2"/>
    <w:rsid w:val="00634A34"/>
    <w:rsid w:val="00634BED"/>
    <w:rsid w:val="00634D3C"/>
    <w:rsid w:val="00634F5B"/>
    <w:rsid w:val="0063500F"/>
    <w:rsid w:val="0063519C"/>
    <w:rsid w:val="006351F2"/>
    <w:rsid w:val="006352C7"/>
    <w:rsid w:val="00635326"/>
    <w:rsid w:val="00635387"/>
    <w:rsid w:val="0063546B"/>
    <w:rsid w:val="0063549F"/>
    <w:rsid w:val="00635510"/>
    <w:rsid w:val="00635545"/>
    <w:rsid w:val="006355EA"/>
    <w:rsid w:val="00635624"/>
    <w:rsid w:val="0063588E"/>
    <w:rsid w:val="0063590D"/>
    <w:rsid w:val="0063590F"/>
    <w:rsid w:val="00635AF7"/>
    <w:rsid w:val="00635B6C"/>
    <w:rsid w:val="00635EFD"/>
    <w:rsid w:val="00636222"/>
    <w:rsid w:val="0063649A"/>
    <w:rsid w:val="006364DE"/>
    <w:rsid w:val="00636526"/>
    <w:rsid w:val="006365AC"/>
    <w:rsid w:val="00636699"/>
    <w:rsid w:val="006366A3"/>
    <w:rsid w:val="006368D1"/>
    <w:rsid w:val="006368E8"/>
    <w:rsid w:val="00636A28"/>
    <w:rsid w:val="00636BD3"/>
    <w:rsid w:val="00636C15"/>
    <w:rsid w:val="00636C59"/>
    <w:rsid w:val="00636C6B"/>
    <w:rsid w:val="00636EBD"/>
    <w:rsid w:val="00637227"/>
    <w:rsid w:val="00637263"/>
    <w:rsid w:val="00637338"/>
    <w:rsid w:val="006377B7"/>
    <w:rsid w:val="006378A6"/>
    <w:rsid w:val="00637918"/>
    <w:rsid w:val="00637975"/>
    <w:rsid w:val="00637D2C"/>
    <w:rsid w:val="006400D5"/>
    <w:rsid w:val="006401A3"/>
    <w:rsid w:val="00640208"/>
    <w:rsid w:val="00640355"/>
    <w:rsid w:val="006403AE"/>
    <w:rsid w:val="006403FF"/>
    <w:rsid w:val="00640432"/>
    <w:rsid w:val="0064083C"/>
    <w:rsid w:val="00640871"/>
    <w:rsid w:val="006408EE"/>
    <w:rsid w:val="00640959"/>
    <w:rsid w:val="0064095D"/>
    <w:rsid w:val="00640A05"/>
    <w:rsid w:val="00640A4C"/>
    <w:rsid w:val="00640C06"/>
    <w:rsid w:val="00640E82"/>
    <w:rsid w:val="00640F54"/>
    <w:rsid w:val="0064121E"/>
    <w:rsid w:val="0064126B"/>
    <w:rsid w:val="00641298"/>
    <w:rsid w:val="006412E4"/>
    <w:rsid w:val="00641329"/>
    <w:rsid w:val="00641359"/>
    <w:rsid w:val="00641416"/>
    <w:rsid w:val="00641438"/>
    <w:rsid w:val="00641444"/>
    <w:rsid w:val="00641636"/>
    <w:rsid w:val="006416BB"/>
    <w:rsid w:val="00641803"/>
    <w:rsid w:val="00641A17"/>
    <w:rsid w:val="00641A23"/>
    <w:rsid w:val="00641A3E"/>
    <w:rsid w:val="00641AF9"/>
    <w:rsid w:val="00641AFD"/>
    <w:rsid w:val="00641B46"/>
    <w:rsid w:val="00641CD9"/>
    <w:rsid w:val="00641D8E"/>
    <w:rsid w:val="00641DE4"/>
    <w:rsid w:val="00641F61"/>
    <w:rsid w:val="00642206"/>
    <w:rsid w:val="00642215"/>
    <w:rsid w:val="0064222F"/>
    <w:rsid w:val="006423D5"/>
    <w:rsid w:val="006424CE"/>
    <w:rsid w:val="0064250D"/>
    <w:rsid w:val="00642522"/>
    <w:rsid w:val="00642737"/>
    <w:rsid w:val="00642750"/>
    <w:rsid w:val="00642A07"/>
    <w:rsid w:val="00642A9F"/>
    <w:rsid w:val="00642D2E"/>
    <w:rsid w:val="006430B7"/>
    <w:rsid w:val="006430F0"/>
    <w:rsid w:val="00643176"/>
    <w:rsid w:val="00643270"/>
    <w:rsid w:val="006433E2"/>
    <w:rsid w:val="0064340F"/>
    <w:rsid w:val="00643455"/>
    <w:rsid w:val="0064346A"/>
    <w:rsid w:val="006435EF"/>
    <w:rsid w:val="00643611"/>
    <w:rsid w:val="006437A1"/>
    <w:rsid w:val="006437E4"/>
    <w:rsid w:val="00643850"/>
    <w:rsid w:val="00643879"/>
    <w:rsid w:val="00643AEF"/>
    <w:rsid w:val="00643DA3"/>
    <w:rsid w:val="00643DC4"/>
    <w:rsid w:val="00643E71"/>
    <w:rsid w:val="0064402F"/>
    <w:rsid w:val="0064407B"/>
    <w:rsid w:val="00644110"/>
    <w:rsid w:val="006441C0"/>
    <w:rsid w:val="0064440A"/>
    <w:rsid w:val="00644471"/>
    <w:rsid w:val="006444A6"/>
    <w:rsid w:val="006445B1"/>
    <w:rsid w:val="006445B3"/>
    <w:rsid w:val="006445DE"/>
    <w:rsid w:val="00644624"/>
    <w:rsid w:val="00644639"/>
    <w:rsid w:val="006446AF"/>
    <w:rsid w:val="006446CF"/>
    <w:rsid w:val="006446D2"/>
    <w:rsid w:val="006446E8"/>
    <w:rsid w:val="0064486E"/>
    <w:rsid w:val="006448DD"/>
    <w:rsid w:val="00644926"/>
    <w:rsid w:val="00644963"/>
    <w:rsid w:val="006449BA"/>
    <w:rsid w:val="00644A2F"/>
    <w:rsid w:val="00644B31"/>
    <w:rsid w:val="00644B41"/>
    <w:rsid w:val="00644BCB"/>
    <w:rsid w:val="00644C85"/>
    <w:rsid w:val="00644CF6"/>
    <w:rsid w:val="00644D0E"/>
    <w:rsid w:val="00644D36"/>
    <w:rsid w:val="00644DDE"/>
    <w:rsid w:val="00644FAE"/>
    <w:rsid w:val="006450C7"/>
    <w:rsid w:val="0064520F"/>
    <w:rsid w:val="00645225"/>
    <w:rsid w:val="006454E6"/>
    <w:rsid w:val="006454F6"/>
    <w:rsid w:val="00645577"/>
    <w:rsid w:val="0064564C"/>
    <w:rsid w:val="00645668"/>
    <w:rsid w:val="00645704"/>
    <w:rsid w:val="00645876"/>
    <w:rsid w:val="00645AFA"/>
    <w:rsid w:val="00645BC0"/>
    <w:rsid w:val="00645C5C"/>
    <w:rsid w:val="00645CBB"/>
    <w:rsid w:val="00645DAC"/>
    <w:rsid w:val="00645E8C"/>
    <w:rsid w:val="0064622B"/>
    <w:rsid w:val="006462F6"/>
    <w:rsid w:val="006463EE"/>
    <w:rsid w:val="006463FA"/>
    <w:rsid w:val="0064645B"/>
    <w:rsid w:val="00646495"/>
    <w:rsid w:val="0064652E"/>
    <w:rsid w:val="00646637"/>
    <w:rsid w:val="006466BB"/>
    <w:rsid w:val="00646717"/>
    <w:rsid w:val="00646779"/>
    <w:rsid w:val="00646822"/>
    <w:rsid w:val="00646832"/>
    <w:rsid w:val="00646913"/>
    <w:rsid w:val="006469E5"/>
    <w:rsid w:val="00646A0C"/>
    <w:rsid w:val="00646A46"/>
    <w:rsid w:val="00646CEC"/>
    <w:rsid w:val="00646D83"/>
    <w:rsid w:val="00647066"/>
    <w:rsid w:val="006471F9"/>
    <w:rsid w:val="0064729D"/>
    <w:rsid w:val="006473AF"/>
    <w:rsid w:val="00647436"/>
    <w:rsid w:val="00647453"/>
    <w:rsid w:val="006474CC"/>
    <w:rsid w:val="00647625"/>
    <w:rsid w:val="00647632"/>
    <w:rsid w:val="006476AF"/>
    <w:rsid w:val="0064773F"/>
    <w:rsid w:val="00647756"/>
    <w:rsid w:val="006477FE"/>
    <w:rsid w:val="006479DF"/>
    <w:rsid w:val="00647B6A"/>
    <w:rsid w:val="00647BAA"/>
    <w:rsid w:val="00647D62"/>
    <w:rsid w:val="00647EAA"/>
    <w:rsid w:val="00647FBA"/>
    <w:rsid w:val="00647FD7"/>
    <w:rsid w:val="0065013E"/>
    <w:rsid w:val="006501E1"/>
    <w:rsid w:val="006502D5"/>
    <w:rsid w:val="006503DD"/>
    <w:rsid w:val="00650413"/>
    <w:rsid w:val="00650415"/>
    <w:rsid w:val="0065046F"/>
    <w:rsid w:val="00650475"/>
    <w:rsid w:val="006504F4"/>
    <w:rsid w:val="006505C4"/>
    <w:rsid w:val="006505C9"/>
    <w:rsid w:val="0065065B"/>
    <w:rsid w:val="006506F7"/>
    <w:rsid w:val="00650866"/>
    <w:rsid w:val="006508AD"/>
    <w:rsid w:val="00650995"/>
    <w:rsid w:val="00650BE2"/>
    <w:rsid w:val="00650C36"/>
    <w:rsid w:val="00650CD5"/>
    <w:rsid w:val="00651051"/>
    <w:rsid w:val="006510F5"/>
    <w:rsid w:val="0065113E"/>
    <w:rsid w:val="00651192"/>
    <w:rsid w:val="006511B9"/>
    <w:rsid w:val="006514EF"/>
    <w:rsid w:val="006515A6"/>
    <w:rsid w:val="006515BF"/>
    <w:rsid w:val="0065164E"/>
    <w:rsid w:val="00651814"/>
    <w:rsid w:val="00651986"/>
    <w:rsid w:val="00651A67"/>
    <w:rsid w:val="00651A8F"/>
    <w:rsid w:val="00651B7D"/>
    <w:rsid w:val="00651C50"/>
    <w:rsid w:val="00651DF1"/>
    <w:rsid w:val="00651E17"/>
    <w:rsid w:val="00651E6D"/>
    <w:rsid w:val="006523D7"/>
    <w:rsid w:val="00652431"/>
    <w:rsid w:val="006524F1"/>
    <w:rsid w:val="0065257F"/>
    <w:rsid w:val="00652617"/>
    <w:rsid w:val="00652645"/>
    <w:rsid w:val="006527CC"/>
    <w:rsid w:val="00652A8A"/>
    <w:rsid w:val="00652B62"/>
    <w:rsid w:val="00652BA1"/>
    <w:rsid w:val="00652CB4"/>
    <w:rsid w:val="00652FA8"/>
    <w:rsid w:val="00652FC6"/>
    <w:rsid w:val="00652FF7"/>
    <w:rsid w:val="00653090"/>
    <w:rsid w:val="006530BF"/>
    <w:rsid w:val="0065312E"/>
    <w:rsid w:val="006531C0"/>
    <w:rsid w:val="0065320E"/>
    <w:rsid w:val="0065329C"/>
    <w:rsid w:val="006533E8"/>
    <w:rsid w:val="006533F2"/>
    <w:rsid w:val="0065341D"/>
    <w:rsid w:val="0065343B"/>
    <w:rsid w:val="0065347D"/>
    <w:rsid w:val="0065357E"/>
    <w:rsid w:val="006536E0"/>
    <w:rsid w:val="00653723"/>
    <w:rsid w:val="0065383D"/>
    <w:rsid w:val="0065384C"/>
    <w:rsid w:val="006538BE"/>
    <w:rsid w:val="006538EA"/>
    <w:rsid w:val="00653BF6"/>
    <w:rsid w:val="00653C0A"/>
    <w:rsid w:val="00653D05"/>
    <w:rsid w:val="00653DC7"/>
    <w:rsid w:val="00653DFF"/>
    <w:rsid w:val="00653EB5"/>
    <w:rsid w:val="00653F1A"/>
    <w:rsid w:val="00653F82"/>
    <w:rsid w:val="00653FEA"/>
    <w:rsid w:val="0065409F"/>
    <w:rsid w:val="006540A4"/>
    <w:rsid w:val="00654116"/>
    <w:rsid w:val="00654194"/>
    <w:rsid w:val="00654529"/>
    <w:rsid w:val="00654976"/>
    <w:rsid w:val="006549B8"/>
    <w:rsid w:val="00654A05"/>
    <w:rsid w:val="00654B10"/>
    <w:rsid w:val="00654CC5"/>
    <w:rsid w:val="00654CDC"/>
    <w:rsid w:val="00654D33"/>
    <w:rsid w:val="00654E84"/>
    <w:rsid w:val="00654E9F"/>
    <w:rsid w:val="00654ECB"/>
    <w:rsid w:val="00654EFE"/>
    <w:rsid w:val="00654F02"/>
    <w:rsid w:val="00654F1E"/>
    <w:rsid w:val="00654F86"/>
    <w:rsid w:val="006550BB"/>
    <w:rsid w:val="006550E3"/>
    <w:rsid w:val="006553E2"/>
    <w:rsid w:val="00655422"/>
    <w:rsid w:val="00655456"/>
    <w:rsid w:val="0065546D"/>
    <w:rsid w:val="00655491"/>
    <w:rsid w:val="006554AF"/>
    <w:rsid w:val="006557A7"/>
    <w:rsid w:val="006557BD"/>
    <w:rsid w:val="0065583F"/>
    <w:rsid w:val="006558F5"/>
    <w:rsid w:val="00655924"/>
    <w:rsid w:val="00655AE6"/>
    <w:rsid w:val="00655AE7"/>
    <w:rsid w:val="00655C2D"/>
    <w:rsid w:val="00655EEC"/>
    <w:rsid w:val="00655F06"/>
    <w:rsid w:val="006560C4"/>
    <w:rsid w:val="006560C8"/>
    <w:rsid w:val="00656422"/>
    <w:rsid w:val="0065658A"/>
    <w:rsid w:val="00656597"/>
    <w:rsid w:val="006565B1"/>
    <w:rsid w:val="0065661C"/>
    <w:rsid w:val="006567FB"/>
    <w:rsid w:val="006568A7"/>
    <w:rsid w:val="0065694B"/>
    <w:rsid w:val="00656A9D"/>
    <w:rsid w:val="00656ACF"/>
    <w:rsid w:val="00656B4F"/>
    <w:rsid w:val="00656C2D"/>
    <w:rsid w:val="00656DB5"/>
    <w:rsid w:val="00656E20"/>
    <w:rsid w:val="00656EB2"/>
    <w:rsid w:val="00656EF0"/>
    <w:rsid w:val="006570A4"/>
    <w:rsid w:val="0065716C"/>
    <w:rsid w:val="0065732F"/>
    <w:rsid w:val="00657344"/>
    <w:rsid w:val="00657436"/>
    <w:rsid w:val="00657438"/>
    <w:rsid w:val="0065746F"/>
    <w:rsid w:val="00657546"/>
    <w:rsid w:val="0065757B"/>
    <w:rsid w:val="0065757E"/>
    <w:rsid w:val="006575C7"/>
    <w:rsid w:val="006576B4"/>
    <w:rsid w:val="00657768"/>
    <w:rsid w:val="006577BC"/>
    <w:rsid w:val="00657901"/>
    <w:rsid w:val="00657958"/>
    <w:rsid w:val="0065798E"/>
    <w:rsid w:val="00657A03"/>
    <w:rsid w:val="00657BFA"/>
    <w:rsid w:val="00657C64"/>
    <w:rsid w:val="00657CF9"/>
    <w:rsid w:val="00657D60"/>
    <w:rsid w:val="00657E43"/>
    <w:rsid w:val="00657F85"/>
    <w:rsid w:val="006600BC"/>
    <w:rsid w:val="006600F6"/>
    <w:rsid w:val="006601F8"/>
    <w:rsid w:val="0066031D"/>
    <w:rsid w:val="00660375"/>
    <w:rsid w:val="006603F6"/>
    <w:rsid w:val="00660618"/>
    <w:rsid w:val="00660911"/>
    <w:rsid w:val="00660B66"/>
    <w:rsid w:val="00660BE3"/>
    <w:rsid w:val="00660C85"/>
    <w:rsid w:val="00660DC7"/>
    <w:rsid w:val="006610C1"/>
    <w:rsid w:val="006610F4"/>
    <w:rsid w:val="0066118B"/>
    <w:rsid w:val="00661218"/>
    <w:rsid w:val="00661525"/>
    <w:rsid w:val="00661537"/>
    <w:rsid w:val="00661915"/>
    <w:rsid w:val="00661AAF"/>
    <w:rsid w:val="00661BF4"/>
    <w:rsid w:val="00661C1C"/>
    <w:rsid w:val="00661C3C"/>
    <w:rsid w:val="00661C6B"/>
    <w:rsid w:val="00661ED6"/>
    <w:rsid w:val="00661F8F"/>
    <w:rsid w:val="00661FE8"/>
    <w:rsid w:val="00662027"/>
    <w:rsid w:val="0066205E"/>
    <w:rsid w:val="0066215C"/>
    <w:rsid w:val="006621C8"/>
    <w:rsid w:val="00662241"/>
    <w:rsid w:val="00662266"/>
    <w:rsid w:val="006623AE"/>
    <w:rsid w:val="00662487"/>
    <w:rsid w:val="00662682"/>
    <w:rsid w:val="006627D1"/>
    <w:rsid w:val="006627D2"/>
    <w:rsid w:val="006627DD"/>
    <w:rsid w:val="00662996"/>
    <w:rsid w:val="00662ACF"/>
    <w:rsid w:val="00662B0D"/>
    <w:rsid w:val="00662B1E"/>
    <w:rsid w:val="00662D8D"/>
    <w:rsid w:val="00662F0C"/>
    <w:rsid w:val="0066310F"/>
    <w:rsid w:val="0066315C"/>
    <w:rsid w:val="00663175"/>
    <w:rsid w:val="0066326F"/>
    <w:rsid w:val="0066348F"/>
    <w:rsid w:val="00663674"/>
    <w:rsid w:val="006637A8"/>
    <w:rsid w:val="0066382A"/>
    <w:rsid w:val="00663864"/>
    <w:rsid w:val="00663B52"/>
    <w:rsid w:val="00663CC2"/>
    <w:rsid w:val="00663D6C"/>
    <w:rsid w:val="00663DF9"/>
    <w:rsid w:val="00663EC0"/>
    <w:rsid w:val="00663F2F"/>
    <w:rsid w:val="006640D2"/>
    <w:rsid w:val="006641CF"/>
    <w:rsid w:val="0066439D"/>
    <w:rsid w:val="006643A0"/>
    <w:rsid w:val="0066444B"/>
    <w:rsid w:val="00664516"/>
    <w:rsid w:val="00664575"/>
    <w:rsid w:val="00664609"/>
    <w:rsid w:val="00664781"/>
    <w:rsid w:val="006648B6"/>
    <w:rsid w:val="00664BDF"/>
    <w:rsid w:val="00664C2A"/>
    <w:rsid w:val="00664CA8"/>
    <w:rsid w:val="00664CB8"/>
    <w:rsid w:val="00664DB2"/>
    <w:rsid w:val="00664DD3"/>
    <w:rsid w:val="00664DF6"/>
    <w:rsid w:val="00664FAC"/>
    <w:rsid w:val="00664FC1"/>
    <w:rsid w:val="0066501E"/>
    <w:rsid w:val="0066510E"/>
    <w:rsid w:val="00665183"/>
    <w:rsid w:val="006651CA"/>
    <w:rsid w:val="00665286"/>
    <w:rsid w:val="0066529A"/>
    <w:rsid w:val="006653E4"/>
    <w:rsid w:val="00665420"/>
    <w:rsid w:val="006654DB"/>
    <w:rsid w:val="00665566"/>
    <w:rsid w:val="0066564A"/>
    <w:rsid w:val="00665899"/>
    <w:rsid w:val="00665967"/>
    <w:rsid w:val="00665A55"/>
    <w:rsid w:val="00665AAD"/>
    <w:rsid w:val="00665C72"/>
    <w:rsid w:val="00665D40"/>
    <w:rsid w:val="00665D5C"/>
    <w:rsid w:val="00665EE3"/>
    <w:rsid w:val="00665F22"/>
    <w:rsid w:val="00665F31"/>
    <w:rsid w:val="006661DF"/>
    <w:rsid w:val="00666235"/>
    <w:rsid w:val="00666253"/>
    <w:rsid w:val="006662F0"/>
    <w:rsid w:val="006664BC"/>
    <w:rsid w:val="00666573"/>
    <w:rsid w:val="0066657D"/>
    <w:rsid w:val="006665C7"/>
    <w:rsid w:val="00666620"/>
    <w:rsid w:val="006666EE"/>
    <w:rsid w:val="00666972"/>
    <w:rsid w:val="006669C8"/>
    <w:rsid w:val="00666A11"/>
    <w:rsid w:val="00666B6A"/>
    <w:rsid w:val="00666BA8"/>
    <w:rsid w:val="00666E37"/>
    <w:rsid w:val="00666E40"/>
    <w:rsid w:val="00666F9E"/>
    <w:rsid w:val="00666FBF"/>
    <w:rsid w:val="00667059"/>
    <w:rsid w:val="006670CD"/>
    <w:rsid w:val="006670EE"/>
    <w:rsid w:val="0066718B"/>
    <w:rsid w:val="00667303"/>
    <w:rsid w:val="006673CE"/>
    <w:rsid w:val="00667519"/>
    <w:rsid w:val="00667523"/>
    <w:rsid w:val="00667532"/>
    <w:rsid w:val="00667715"/>
    <w:rsid w:val="00667916"/>
    <w:rsid w:val="00667A84"/>
    <w:rsid w:val="00667AEC"/>
    <w:rsid w:val="00667BA5"/>
    <w:rsid w:val="00667D12"/>
    <w:rsid w:val="00667D5D"/>
    <w:rsid w:val="00667D6A"/>
    <w:rsid w:val="006700F4"/>
    <w:rsid w:val="006701E5"/>
    <w:rsid w:val="0067020C"/>
    <w:rsid w:val="00670270"/>
    <w:rsid w:val="00670345"/>
    <w:rsid w:val="0067035D"/>
    <w:rsid w:val="0067047C"/>
    <w:rsid w:val="00670739"/>
    <w:rsid w:val="006709D0"/>
    <w:rsid w:val="00670A28"/>
    <w:rsid w:val="00670E19"/>
    <w:rsid w:val="00670F3A"/>
    <w:rsid w:val="006710C4"/>
    <w:rsid w:val="00671246"/>
    <w:rsid w:val="006712C9"/>
    <w:rsid w:val="00671365"/>
    <w:rsid w:val="00671366"/>
    <w:rsid w:val="00671547"/>
    <w:rsid w:val="006716C8"/>
    <w:rsid w:val="00671725"/>
    <w:rsid w:val="00671818"/>
    <w:rsid w:val="0067181D"/>
    <w:rsid w:val="0067190A"/>
    <w:rsid w:val="00671945"/>
    <w:rsid w:val="006719CA"/>
    <w:rsid w:val="00671A26"/>
    <w:rsid w:val="00671A67"/>
    <w:rsid w:val="00671A9B"/>
    <w:rsid w:val="00671BC2"/>
    <w:rsid w:val="00671BD7"/>
    <w:rsid w:val="00671C4A"/>
    <w:rsid w:val="00671C6A"/>
    <w:rsid w:val="00671DBD"/>
    <w:rsid w:val="00671E28"/>
    <w:rsid w:val="00671EC7"/>
    <w:rsid w:val="00672067"/>
    <w:rsid w:val="0067214C"/>
    <w:rsid w:val="006722BF"/>
    <w:rsid w:val="006722C5"/>
    <w:rsid w:val="0067242A"/>
    <w:rsid w:val="006725A6"/>
    <w:rsid w:val="00672705"/>
    <w:rsid w:val="00672812"/>
    <w:rsid w:val="006729D0"/>
    <w:rsid w:val="00672AEE"/>
    <w:rsid w:val="00672AF3"/>
    <w:rsid w:val="00672BA9"/>
    <w:rsid w:val="00672BAB"/>
    <w:rsid w:val="00673177"/>
    <w:rsid w:val="00673248"/>
    <w:rsid w:val="0067327E"/>
    <w:rsid w:val="006732AA"/>
    <w:rsid w:val="0067346C"/>
    <w:rsid w:val="00673532"/>
    <w:rsid w:val="006737D5"/>
    <w:rsid w:val="00673838"/>
    <w:rsid w:val="00673918"/>
    <w:rsid w:val="00673D0E"/>
    <w:rsid w:val="00673D15"/>
    <w:rsid w:val="00673D67"/>
    <w:rsid w:val="00673DC2"/>
    <w:rsid w:val="00673EA5"/>
    <w:rsid w:val="00673F0B"/>
    <w:rsid w:val="00673F66"/>
    <w:rsid w:val="00673F8A"/>
    <w:rsid w:val="006740DE"/>
    <w:rsid w:val="0067413C"/>
    <w:rsid w:val="006741B3"/>
    <w:rsid w:val="006741D8"/>
    <w:rsid w:val="0067420A"/>
    <w:rsid w:val="00674237"/>
    <w:rsid w:val="00674282"/>
    <w:rsid w:val="0067433F"/>
    <w:rsid w:val="0067434A"/>
    <w:rsid w:val="0067435E"/>
    <w:rsid w:val="006744CE"/>
    <w:rsid w:val="006744D0"/>
    <w:rsid w:val="0067458F"/>
    <w:rsid w:val="006745B2"/>
    <w:rsid w:val="006745F7"/>
    <w:rsid w:val="006747BC"/>
    <w:rsid w:val="006747C1"/>
    <w:rsid w:val="00674869"/>
    <w:rsid w:val="006749AF"/>
    <w:rsid w:val="006749D4"/>
    <w:rsid w:val="00674AC4"/>
    <w:rsid w:val="00674B11"/>
    <w:rsid w:val="00674CE3"/>
    <w:rsid w:val="006750B4"/>
    <w:rsid w:val="006750C8"/>
    <w:rsid w:val="00675135"/>
    <w:rsid w:val="00675185"/>
    <w:rsid w:val="00675258"/>
    <w:rsid w:val="0067528D"/>
    <w:rsid w:val="00675348"/>
    <w:rsid w:val="0067534E"/>
    <w:rsid w:val="00675369"/>
    <w:rsid w:val="00675684"/>
    <w:rsid w:val="006756ED"/>
    <w:rsid w:val="0067577E"/>
    <w:rsid w:val="006757FD"/>
    <w:rsid w:val="006758B7"/>
    <w:rsid w:val="006759F1"/>
    <w:rsid w:val="00675BB1"/>
    <w:rsid w:val="00675D60"/>
    <w:rsid w:val="00675DEA"/>
    <w:rsid w:val="00675E3C"/>
    <w:rsid w:val="00675EC0"/>
    <w:rsid w:val="00675ED0"/>
    <w:rsid w:val="00675FBA"/>
    <w:rsid w:val="006761E3"/>
    <w:rsid w:val="00676213"/>
    <w:rsid w:val="00676288"/>
    <w:rsid w:val="00676404"/>
    <w:rsid w:val="00676451"/>
    <w:rsid w:val="0067646E"/>
    <w:rsid w:val="006764A1"/>
    <w:rsid w:val="006764BE"/>
    <w:rsid w:val="00676500"/>
    <w:rsid w:val="0067650A"/>
    <w:rsid w:val="006766F1"/>
    <w:rsid w:val="006767AB"/>
    <w:rsid w:val="006767FA"/>
    <w:rsid w:val="00676825"/>
    <w:rsid w:val="00676A19"/>
    <w:rsid w:val="00676A62"/>
    <w:rsid w:val="00676B1C"/>
    <w:rsid w:val="00676C68"/>
    <w:rsid w:val="00676D32"/>
    <w:rsid w:val="00676E11"/>
    <w:rsid w:val="00676F06"/>
    <w:rsid w:val="00677005"/>
    <w:rsid w:val="00677035"/>
    <w:rsid w:val="00677226"/>
    <w:rsid w:val="006772F1"/>
    <w:rsid w:val="0067730F"/>
    <w:rsid w:val="006773CA"/>
    <w:rsid w:val="006774D6"/>
    <w:rsid w:val="006774DE"/>
    <w:rsid w:val="00677525"/>
    <w:rsid w:val="00677563"/>
    <w:rsid w:val="00677574"/>
    <w:rsid w:val="006777B0"/>
    <w:rsid w:val="00677894"/>
    <w:rsid w:val="00677A90"/>
    <w:rsid w:val="00677AF5"/>
    <w:rsid w:val="00677C09"/>
    <w:rsid w:val="00677E4D"/>
    <w:rsid w:val="00677F72"/>
    <w:rsid w:val="00680018"/>
    <w:rsid w:val="0068002F"/>
    <w:rsid w:val="00680046"/>
    <w:rsid w:val="00680054"/>
    <w:rsid w:val="00680145"/>
    <w:rsid w:val="00680234"/>
    <w:rsid w:val="00680262"/>
    <w:rsid w:val="0068035B"/>
    <w:rsid w:val="006806BF"/>
    <w:rsid w:val="006806C6"/>
    <w:rsid w:val="00680751"/>
    <w:rsid w:val="006809E3"/>
    <w:rsid w:val="00680C18"/>
    <w:rsid w:val="00680CAF"/>
    <w:rsid w:val="00680EC1"/>
    <w:rsid w:val="00680EF6"/>
    <w:rsid w:val="006810B3"/>
    <w:rsid w:val="006810EF"/>
    <w:rsid w:val="00681125"/>
    <w:rsid w:val="00681283"/>
    <w:rsid w:val="006814D2"/>
    <w:rsid w:val="006814D7"/>
    <w:rsid w:val="00681526"/>
    <w:rsid w:val="006818F9"/>
    <w:rsid w:val="0068194B"/>
    <w:rsid w:val="00681999"/>
    <w:rsid w:val="006819E3"/>
    <w:rsid w:val="00681A6A"/>
    <w:rsid w:val="00681B26"/>
    <w:rsid w:val="00681B66"/>
    <w:rsid w:val="00681BEC"/>
    <w:rsid w:val="00681D45"/>
    <w:rsid w:val="00681DC1"/>
    <w:rsid w:val="00681E93"/>
    <w:rsid w:val="00681F2C"/>
    <w:rsid w:val="00681FE7"/>
    <w:rsid w:val="00682135"/>
    <w:rsid w:val="006821D8"/>
    <w:rsid w:val="00682219"/>
    <w:rsid w:val="00682367"/>
    <w:rsid w:val="00682599"/>
    <w:rsid w:val="006828D6"/>
    <w:rsid w:val="006829B1"/>
    <w:rsid w:val="00682C2D"/>
    <w:rsid w:val="00682DD6"/>
    <w:rsid w:val="00682ED6"/>
    <w:rsid w:val="00682F1E"/>
    <w:rsid w:val="006830CF"/>
    <w:rsid w:val="006831E6"/>
    <w:rsid w:val="00683223"/>
    <w:rsid w:val="00683293"/>
    <w:rsid w:val="00683356"/>
    <w:rsid w:val="006833D1"/>
    <w:rsid w:val="006833DD"/>
    <w:rsid w:val="0068347C"/>
    <w:rsid w:val="00683567"/>
    <w:rsid w:val="0068368F"/>
    <w:rsid w:val="006837B2"/>
    <w:rsid w:val="006838C8"/>
    <w:rsid w:val="00683905"/>
    <w:rsid w:val="00683953"/>
    <w:rsid w:val="00683A0D"/>
    <w:rsid w:val="00683A84"/>
    <w:rsid w:val="00683B44"/>
    <w:rsid w:val="00683B56"/>
    <w:rsid w:val="00683C0E"/>
    <w:rsid w:val="00683C30"/>
    <w:rsid w:val="00683C36"/>
    <w:rsid w:val="00683F13"/>
    <w:rsid w:val="00683F58"/>
    <w:rsid w:val="00683FC9"/>
    <w:rsid w:val="0068405E"/>
    <w:rsid w:val="0068413C"/>
    <w:rsid w:val="0068416D"/>
    <w:rsid w:val="00684311"/>
    <w:rsid w:val="0068437E"/>
    <w:rsid w:val="0068438A"/>
    <w:rsid w:val="00684476"/>
    <w:rsid w:val="0068454C"/>
    <w:rsid w:val="006845D0"/>
    <w:rsid w:val="00684610"/>
    <w:rsid w:val="0068470A"/>
    <w:rsid w:val="00684764"/>
    <w:rsid w:val="00684779"/>
    <w:rsid w:val="006847B3"/>
    <w:rsid w:val="006847BD"/>
    <w:rsid w:val="006848A4"/>
    <w:rsid w:val="00684A73"/>
    <w:rsid w:val="00684AD4"/>
    <w:rsid w:val="00684B15"/>
    <w:rsid w:val="00684B6A"/>
    <w:rsid w:val="00684BA4"/>
    <w:rsid w:val="00684D17"/>
    <w:rsid w:val="00684D31"/>
    <w:rsid w:val="00684D51"/>
    <w:rsid w:val="00684E07"/>
    <w:rsid w:val="00684E08"/>
    <w:rsid w:val="00685207"/>
    <w:rsid w:val="0068526B"/>
    <w:rsid w:val="006852A2"/>
    <w:rsid w:val="006852AD"/>
    <w:rsid w:val="00685488"/>
    <w:rsid w:val="00685490"/>
    <w:rsid w:val="00685509"/>
    <w:rsid w:val="006855FA"/>
    <w:rsid w:val="006856AF"/>
    <w:rsid w:val="00685776"/>
    <w:rsid w:val="006857E6"/>
    <w:rsid w:val="006858B9"/>
    <w:rsid w:val="00685AAF"/>
    <w:rsid w:val="00685AFA"/>
    <w:rsid w:val="00685D3C"/>
    <w:rsid w:val="00685E51"/>
    <w:rsid w:val="00685EA3"/>
    <w:rsid w:val="00685EC8"/>
    <w:rsid w:val="00685F28"/>
    <w:rsid w:val="006860E2"/>
    <w:rsid w:val="00686152"/>
    <w:rsid w:val="006861DE"/>
    <w:rsid w:val="00686581"/>
    <w:rsid w:val="006865A8"/>
    <w:rsid w:val="00686607"/>
    <w:rsid w:val="0068677C"/>
    <w:rsid w:val="0068677D"/>
    <w:rsid w:val="006867CC"/>
    <w:rsid w:val="00686831"/>
    <w:rsid w:val="00686899"/>
    <w:rsid w:val="0068695B"/>
    <w:rsid w:val="00686B2A"/>
    <w:rsid w:val="00686BAF"/>
    <w:rsid w:val="00686E39"/>
    <w:rsid w:val="00686E54"/>
    <w:rsid w:val="00686ED3"/>
    <w:rsid w:val="00686FF3"/>
    <w:rsid w:val="00687073"/>
    <w:rsid w:val="00687096"/>
    <w:rsid w:val="006870E4"/>
    <w:rsid w:val="0068710E"/>
    <w:rsid w:val="00687275"/>
    <w:rsid w:val="006872D8"/>
    <w:rsid w:val="00687340"/>
    <w:rsid w:val="006873E4"/>
    <w:rsid w:val="0068746C"/>
    <w:rsid w:val="00687510"/>
    <w:rsid w:val="006875BC"/>
    <w:rsid w:val="006876B8"/>
    <w:rsid w:val="006878C4"/>
    <w:rsid w:val="00687A0F"/>
    <w:rsid w:val="00687AA3"/>
    <w:rsid w:val="00687AA9"/>
    <w:rsid w:val="00687B50"/>
    <w:rsid w:val="00687C01"/>
    <w:rsid w:val="00687CBC"/>
    <w:rsid w:val="00687E0F"/>
    <w:rsid w:val="00687E18"/>
    <w:rsid w:val="00687E52"/>
    <w:rsid w:val="00687FC7"/>
    <w:rsid w:val="0069008B"/>
    <w:rsid w:val="006900A6"/>
    <w:rsid w:val="00690156"/>
    <w:rsid w:val="00690200"/>
    <w:rsid w:val="0069024E"/>
    <w:rsid w:val="0069027F"/>
    <w:rsid w:val="006904AA"/>
    <w:rsid w:val="006904C3"/>
    <w:rsid w:val="0069050F"/>
    <w:rsid w:val="00690588"/>
    <w:rsid w:val="0069061A"/>
    <w:rsid w:val="0069064A"/>
    <w:rsid w:val="0069069C"/>
    <w:rsid w:val="00690A88"/>
    <w:rsid w:val="00690A98"/>
    <w:rsid w:val="00690C24"/>
    <w:rsid w:val="00690D36"/>
    <w:rsid w:val="00690F37"/>
    <w:rsid w:val="00690F6D"/>
    <w:rsid w:val="00691094"/>
    <w:rsid w:val="006910FA"/>
    <w:rsid w:val="006910FF"/>
    <w:rsid w:val="006911BE"/>
    <w:rsid w:val="00691354"/>
    <w:rsid w:val="006913D1"/>
    <w:rsid w:val="006913F7"/>
    <w:rsid w:val="006914D3"/>
    <w:rsid w:val="00691691"/>
    <w:rsid w:val="006916AE"/>
    <w:rsid w:val="00691795"/>
    <w:rsid w:val="006917C3"/>
    <w:rsid w:val="006917F7"/>
    <w:rsid w:val="0069195E"/>
    <w:rsid w:val="006919EC"/>
    <w:rsid w:val="006919F6"/>
    <w:rsid w:val="006919FF"/>
    <w:rsid w:val="00691A84"/>
    <w:rsid w:val="00691A9D"/>
    <w:rsid w:val="00691B40"/>
    <w:rsid w:val="00691BDC"/>
    <w:rsid w:val="00691CF9"/>
    <w:rsid w:val="00691D56"/>
    <w:rsid w:val="00691D66"/>
    <w:rsid w:val="00691E4F"/>
    <w:rsid w:val="00691F3D"/>
    <w:rsid w:val="00691F4E"/>
    <w:rsid w:val="00691FBA"/>
    <w:rsid w:val="006920C6"/>
    <w:rsid w:val="00692131"/>
    <w:rsid w:val="0069219E"/>
    <w:rsid w:val="006923D7"/>
    <w:rsid w:val="00692430"/>
    <w:rsid w:val="006924F6"/>
    <w:rsid w:val="0069252C"/>
    <w:rsid w:val="00692626"/>
    <w:rsid w:val="006926CC"/>
    <w:rsid w:val="00692768"/>
    <w:rsid w:val="0069279F"/>
    <w:rsid w:val="006927BD"/>
    <w:rsid w:val="006927FB"/>
    <w:rsid w:val="00692958"/>
    <w:rsid w:val="006929BC"/>
    <w:rsid w:val="006929CE"/>
    <w:rsid w:val="00692A19"/>
    <w:rsid w:val="00692B18"/>
    <w:rsid w:val="00692BAD"/>
    <w:rsid w:val="00692BF2"/>
    <w:rsid w:val="006930E5"/>
    <w:rsid w:val="006931A5"/>
    <w:rsid w:val="006931CF"/>
    <w:rsid w:val="006931EC"/>
    <w:rsid w:val="0069327F"/>
    <w:rsid w:val="00693369"/>
    <w:rsid w:val="00693391"/>
    <w:rsid w:val="006933A8"/>
    <w:rsid w:val="006933FE"/>
    <w:rsid w:val="00693438"/>
    <w:rsid w:val="0069344E"/>
    <w:rsid w:val="006934C5"/>
    <w:rsid w:val="00693576"/>
    <w:rsid w:val="0069366E"/>
    <w:rsid w:val="0069389F"/>
    <w:rsid w:val="0069391B"/>
    <w:rsid w:val="006939C7"/>
    <w:rsid w:val="00693B64"/>
    <w:rsid w:val="00693B9C"/>
    <w:rsid w:val="00693BA9"/>
    <w:rsid w:val="00693C12"/>
    <w:rsid w:val="00693EF4"/>
    <w:rsid w:val="006941C2"/>
    <w:rsid w:val="006941D1"/>
    <w:rsid w:val="00694244"/>
    <w:rsid w:val="00694400"/>
    <w:rsid w:val="00694414"/>
    <w:rsid w:val="0069443A"/>
    <w:rsid w:val="006944AC"/>
    <w:rsid w:val="006944C5"/>
    <w:rsid w:val="006944E1"/>
    <w:rsid w:val="00694586"/>
    <w:rsid w:val="0069460B"/>
    <w:rsid w:val="0069462E"/>
    <w:rsid w:val="00694804"/>
    <w:rsid w:val="0069498A"/>
    <w:rsid w:val="00694AB8"/>
    <w:rsid w:val="00694AC7"/>
    <w:rsid w:val="00694B37"/>
    <w:rsid w:val="00694C52"/>
    <w:rsid w:val="00694CAA"/>
    <w:rsid w:val="00694D49"/>
    <w:rsid w:val="00694D9B"/>
    <w:rsid w:val="00694DC8"/>
    <w:rsid w:val="00694DE3"/>
    <w:rsid w:val="00694F10"/>
    <w:rsid w:val="006951B0"/>
    <w:rsid w:val="00695307"/>
    <w:rsid w:val="006954A9"/>
    <w:rsid w:val="006955B5"/>
    <w:rsid w:val="00695703"/>
    <w:rsid w:val="00695753"/>
    <w:rsid w:val="00695768"/>
    <w:rsid w:val="006957A5"/>
    <w:rsid w:val="006957AE"/>
    <w:rsid w:val="00695862"/>
    <w:rsid w:val="00695891"/>
    <w:rsid w:val="00695939"/>
    <w:rsid w:val="00695962"/>
    <w:rsid w:val="00695B3A"/>
    <w:rsid w:val="00695B90"/>
    <w:rsid w:val="00695C23"/>
    <w:rsid w:val="00695D54"/>
    <w:rsid w:val="00695E02"/>
    <w:rsid w:val="00695FC4"/>
    <w:rsid w:val="00696087"/>
    <w:rsid w:val="006960CA"/>
    <w:rsid w:val="006960F9"/>
    <w:rsid w:val="00696171"/>
    <w:rsid w:val="006962B3"/>
    <w:rsid w:val="00696333"/>
    <w:rsid w:val="00696439"/>
    <w:rsid w:val="006964D9"/>
    <w:rsid w:val="006965CF"/>
    <w:rsid w:val="00696608"/>
    <w:rsid w:val="006966C6"/>
    <w:rsid w:val="006968A1"/>
    <w:rsid w:val="0069696B"/>
    <w:rsid w:val="0069697F"/>
    <w:rsid w:val="00696A76"/>
    <w:rsid w:val="00696AEA"/>
    <w:rsid w:val="00696B72"/>
    <w:rsid w:val="00696D2B"/>
    <w:rsid w:val="00696D3C"/>
    <w:rsid w:val="00696E92"/>
    <w:rsid w:val="00696EC9"/>
    <w:rsid w:val="00696F3E"/>
    <w:rsid w:val="0069709D"/>
    <w:rsid w:val="006970F5"/>
    <w:rsid w:val="00697137"/>
    <w:rsid w:val="006972E6"/>
    <w:rsid w:val="00697411"/>
    <w:rsid w:val="00697505"/>
    <w:rsid w:val="006975DF"/>
    <w:rsid w:val="006975E2"/>
    <w:rsid w:val="0069766F"/>
    <w:rsid w:val="006976B0"/>
    <w:rsid w:val="00697843"/>
    <w:rsid w:val="00697989"/>
    <w:rsid w:val="00697A19"/>
    <w:rsid w:val="00697A37"/>
    <w:rsid w:val="00697AD6"/>
    <w:rsid w:val="00697C72"/>
    <w:rsid w:val="00697C9E"/>
    <w:rsid w:val="00697CA6"/>
    <w:rsid w:val="00697CBB"/>
    <w:rsid w:val="00697CBE"/>
    <w:rsid w:val="00697D84"/>
    <w:rsid w:val="00697E0B"/>
    <w:rsid w:val="00697F60"/>
    <w:rsid w:val="00697F7E"/>
    <w:rsid w:val="006A01A9"/>
    <w:rsid w:val="006A0294"/>
    <w:rsid w:val="006A0567"/>
    <w:rsid w:val="006A05DF"/>
    <w:rsid w:val="006A06C7"/>
    <w:rsid w:val="006A07F7"/>
    <w:rsid w:val="006A08C6"/>
    <w:rsid w:val="006A09A3"/>
    <w:rsid w:val="006A0C94"/>
    <w:rsid w:val="006A0C9E"/>
    <w:rsid w:val="006A1001"/>
    <w:rsid w:val="006A12AF"/>
    <w:rsid w:val="006A12C0"/>
    <w:rsid w:val="006A12D3"/>
    <w:rsid w:val="006A1429"/>
    <w:rsid w:val="006A14F6"/>
    <w:rsid w:val="006A157F"/>
    <w:rsid w:val="006A158B"/>
    <w:rsid w:val="006A160C"/>
    <w:rsid w:val="006A167C"/>
    <w:rsid w:val="006A16F6"/>
    <w:rsid w:val="006A1745"/>
    <w:rsid w:val="006A18A2"/>
    <w:rsid w:val="006A1984"/>
    <w:rsid w:val="006A19F6"/>
    <w:rsid w:val="006A1A3A"/>
    <w:rsid w:val="006A1B2F"/>
    <w:rsid w:val="006A1B41"/>
    <w:rsid w:val="006A1B4E"/>
    <w:rsid w:val="006A1C91"/>
    <w:rsid w:val="006A1D25"/>
    <w:rsid w:val="006A1DB1"/>
    <w:rsid w:val="006A1DB7"/>
    <w:rsid w:val="006A1ECF"/>
    <w:rsid w:val="006A1F80"/>
    <w:rsid w:val="006A2011"/>
    <w:rsid w:val="006A2016"/>
    <w:rsid w:val="006A20F2"/>
    <w:rsid w:val="006A2277"/>
    <w:rsid w:val="006A245C"/>
    <w:rsid w:val="006A2514"/>
    <w:rsid w:val="006A2545"/>
    <w:rsid w:val="006A25C3"/>
    <w:rsid w:val="006A288B"/>
    <w:rsid w:val="006A2B85"/>
    <w:rsid w:val="006A2EA2"/>
    <w:rsid w:val="006A3219"/>
    <w:rsid w:val="006A322A"/>
    <w:rsid w:val="006A3645"/>
    <w:rsid w:val="006A3661"/>
    <w:rsid w:val="006A37FE"/>
    <w:rsid w:val="006A386C"/>
    <w:rsid w:val="006A3AE1"/>
    <w:rsid w:val="006A3B40"/>
    <w:rsid w:val="006A3B71"/>
    <w:rsid w:val="006A3B7E"/>
    <w:rsid w:val="006A3BF2"/>
    <w:rsid w:val="006A3C0D"/>
    <w:rsid w:val="006A3C61"/>
    <w:rsid w:val="006A3DA4"/>
    <w:rsid w:val="006A3EB3"/>
    <w:rsid w:val="006A3EC8"/>
    <w:rsid w:val="006A3EDE"/>
    <w:rsid w:val="006A3FE6"/>
    <w:rsid w:val="006A4066"/>
    <w:rsid w:val="006A408A"/>
    <w:rsid w:val="006A4141"/>
    <w:rsid w:val="006A41A7"/>
    <w:rsid w:val="006A42EF"/>
    <w:rsid w:val="006A42F9"/>
    <w:rsid w:val="006A438D"/>
    <w:rsid w:val="006A4448"/>
    <w:rsid w:val="006A4497"/>
    <w:rsid w:val="006A457A"/>
    <w:rsid w:val="006A46BC"/>
    <w:rsid w:val="006A483E"/>
    <w:rsid w:val="006A49D1"/>
    <w:rsid w:val="006A4A5F"/>
    <w:rsid w:val="006A4AAC"/>
    <w:rsid w:val="006A4AEF"/>
    <w:rsid w:val="006A4BC7"/>
    <w:rsid w:val="006A4BCA"/>
    <w:rsid w:val="006A4D1B"/>
    <w:rsid w:val="006A4E79"/>
    <w:rsid w:val="006A4EDA"/>
    <w:rsid w:val="006A5016"/>
    <w:rsid w:val="006A501F"/>
    <w:rsid w:val="006A50AF"/>
    <w:rsid w:val="006A5131"/>
    <w:rsid w:val="006A52F7"/>
    <w:rsid w:val="006A53D9"/>
    <w:rsid w:val="006A5482"/>
    <w:rsid w:val="006A559D"/>
    <w:rsid w:val="006A567F"/>
    <w:rsid w:val="006A569B"/>
    <w:rsid w:val="006A56B5"/>
    <w:rsid w:val="006A56D4"/>
    <w:rsid w:val="006A57EA"/>
    <w:rsid w:val="006A5859"/>
    <w:rsid w:val="006A58F7"/>
    <w:rsid w:val="006A5A5C"/>
    <w:rsid w:val="006A5ADD"/>
    <w:rsid w:val="006A5AF7"/>
    <w:rsid w:val="006A5BFE"/>
    <w:rsid w:val="006A5D3C"/>
    <w:rsid w:val="006A5D53"/>
    <w:rsid w:val="006A5D9F"/>
    <w:rsid w:val="006A5F67"/>
    <w:rsid w:val="006A5F95"/>
    <w:rsid w:val="006A6004"/>
    <w:rsid w:val="006A602F"/>
    <w:rsid w:val="006A6071"/>
    <w:rsid w:val="006A60BF"/>
    <w:rsid w:val="006A6247"/>
    <w:rsid w:val="006A62EE"/>
    <w:rsid w:val="006A6557"/>
    <w:rsid w:val="006A656B"/>
    <w:rsid w:val="006A6754"/>
    <w:rsid w:val="006A6859"/>
    <w:rsid w:val="006A691E"/>
    <w:rsid w:val="006A6ABF"/>
    <w:rsid w:val="006A6CD6"/>
    <w:rsid w:val="006A6D2F"/>
    <w:rsid w:val="006A6D9B"/>
    <w:rsid w:val="006A7103"/>
    <w:rsid w:val="006A7148"/>
    <w:rsid w:val="006A71B7"/>
    <w:rsid w:val="006A71B8"/>
    <w:rsid w:val="006A71C8"/>
    <w:rsid w:val="006A7241"/>
    <w:rsid w:val="006A7266"/>
    <w:rsid w:val="006A7292"/>
    <w:rsid w:val="006A731B"/>
    <w:rsid w:val="006A7531"/>
    <w:rsid w:val="006A77E0"/>
    <w:rsid w:val="006A7857"/>
    <w:rsid w:val="006A7953"/>
    <w:rsid w:val="006A7AA8"/>
    <w:rsid w:val="006A7AC8"/>
    <w:rsid w:val="006A7C40"/>
    <w:rsid w:val="006A7C8D"/>
    <w:rsid w:val="006A7D0A"/>
    <w:rsid w:val="006A7D4B"/>
    <w:rsid w:val="006A7D7B"/>
    <w:rsid w:val="006A7DF7"/>
    <w:rsid w:val="006A7DFE"/>
    <w:rsid w:val="006A7EA4"/>
    <w:rsid w:val="006A7FBE"/>
    <w:rsid w:val="006B0035"/>
    <w:rsid w:val="006B007D"/>
    <w:rsid w:val="006B0081"/>
    <w:rsid w:val="006B034F"/>
    <w:rsid w:val="006B039B"/>
    <w:rsid w:val="006B047F"/>
    <w:rsid w:val="006B0557"/>
    <w:rsid w:val="006B05B3"/>
    <w:rsid w:val="006B05EF"/>
    <w:rsid w:val="006B06B2"/>
    <w:rsid w:val="006B06E0"/>
    <w:rsid w:val="006B0766"/>
    <w:rsid w:val="006B0C57"/>
    <w:rsid w:val="006B0C8F"/>
    <w:rsid w:val="006B0E0E"/>
    <w:rsid w:val="006B0ED3"/>
    <w:rsid w:val="006B0F19"/>
    <w:rsid w:val="006B0FD0"/>
    <w:rsid w:val="006B0FD3"/>
    <w:rsid w:val="006B1156"/>
    <w:rsid w:val="006B11C7"/>
    <w:rsid w:val="006B12AE"/>
    <w:rsid w:val="006B144E"/>
    <w:rsid w:val="006B158F"/>
    <w:rsid w:val="006B173B"/>
    <w:rsid w:val="006B180D"/>
    <w:rsid w:val="006B1924"/>
    <w:rsid w:val="006B1A52"/>
    <w:rsid w:val="006B1B0D"/>
    <w:rsid w:val="006B1B3A"/>
    <w:rsid w:val="006B1C4F"/>
    <w:rsid w:val="006B1C52"/>
    <w:rsid w:val="006B1C60"/>
    <w:rsid w:val="006B1CEA"/>
    <w:rsid w:val="006B1CFA"/>
    <w:rsid w:val="006B1DC4"/>
    <w:rsid w:val="006B1FD7"/>
    <w:rsid w:val="006B1FE2"/>
    <w:rsid w:val="006B21B4"/>
    <w:rsid w:val="006B231C"/>
    <w:rsid w:val="006B233D"/>
    <w:rsid w:val="006B23CC"/>
    <w:rsid w:val="006B253F"/>
    <w:rsid w:val="006B2586"/>
    <w:rsid w:val="006B26C5"/>
    <w:rsid w:val="006B2758"/>
    <w:rsid w:val="006B289C"/>
    <w:rsid w:val="006B2906"/>
    <w:rsid w:val="006B29B5"/>
    <w:rsid w:val="006B2AA4"/>
    <w:rsid w:val="006B2B12"/>
    <w:rsid w:val="006B2BA1"/>
    <w:rsid w:val="006B2DD3"/>
    <w:rsid w:val="006B2E09"/>
    <w:rsid w:val="006B2E19"/>
    <w:rsid w:val="006B2E22"/>
    <w:rsid w:val="006B2E35"/>
    <w:rsid w:val="006B2E53"/>
    <w:rsid w:val="006B2EA3"/>
    <w:rsid w:val="006B3076"/>
    <w:rsid w:val="006B3149"/>
    <w:rsid w:val="006B314D"/>
    <w:rsid w:val="006B31B6"/>
    <w:rsid w:val="006B31D4"/>
    <w:rsid w:val="006B32A6"/>
    <w:rsid w:val="006B356B"/>
    <w:rsid w:val="006B361F"/>
    <w:rsid w:val="006B3787"/>
    <w:rsid w:val="006B38AB"/>
    <w:rsid w:val="006B3945"/>
    <w:rsid w:val="006B39D9"/>
    <w:rsid w:val="006B3AAB"/>
    <w:rsid w:val="006B3B06"/>
    <w:rsid w:val="006B3C12"/>
    <w:rsid w:val="006B3EB7"/>
    <w:rsid w:val="006B3FB1"/>
    <w:rsid w:val="006B4059"/>
    <w:rsid w:val="006B4154"/>
    <w:rsid w:val="006B4192"/>
    <w:rsid w:val="006B419D"/>
    <w:rsid w:val="006B42E7"/>
    <w:rsid w:val="006B4333"/>
    <w:rsid w:val="006B439D"/>
    <w:rsid w:val="006B44E7"/>
    <w:rsid w:val="006B4549"/>
    <w:rsid w:val="006B472B"/>
    <w:rsid w:val="006B4A5B"/>
    <w:rsid w:val="006B4C6F"/>
    <w:rsid w:val="006B4CC9"/>
    <w:rsid w:val="006B4E81"/>
    <w:rsid w:val="006B4F4C"/>
    <w:rsid w:val="006B4F96"/>
    <w:rsid w:val="006B53FA"/>
    <w:rsid w:val="006B5402"/>
    <w:rsid w:val="006B544F"/>
    <w:rsid w:val="006B5560"/>
    <w:rsid w:val="006B5579"/>
    <w:rsid w:val="006B55D4"/>
    <w:rsid w:val="006B56E0"/>
    <w:rsid w:val="006B577A"/>
    <w:rsid w:val="006B5910"/>
    <w:rsid w:val="006B5930"/>
    <w:rsid w:val="006B5AE7"/>
    <w:rsid w:val="006B5E28"/>
    <w:rsid w:val="006B5E7A"/>
    <w:rsid w:val="006B5EA7"/>
    <w:rsid w:val="006B5F09"/>
    <w:rsid w:val="006B606E"/>
    <w:rsid w:val="006B610E"/>
    <w:rsid w:val="006B61A8"/>
    <w:rsid w:val="006B6293"/>
    <w:rsid w:val="006B62D6"/>
    <w:rsid w:val="006B63C2"/>
    <w:rsid w:val="006B64B7"/>
    <w:rsid w:val="006B64D3"/>
    <w:rsid w:val="006B64DC"/>
    <w:rsid w:val="006B651D"/>
    <w:rsid w:val="006B6647"/>
    <w:rsid w:val="006B6656"/>
    <w:rsid w:val="006B66BA"/>
    <w:rsid w:val="006B6737"/>
    <w:rsid w:val="006B6741"/>
    <w:rsid w:val="006B67B7"/>
    <w:rsid w:val="006B67BA"/>
    <w:rsid w:val="006B68BF"/>
    <w:rsid w:val="006B69C0"/>
    <w:rsid w:val="006B6A0E"/>
    <w:rsid w:val="006B6B21"/>
    <w:rsid w:val="006B6D6B"/>
    <w:rsid w:val="006B6E2F"/>
    <w:rsid w:val="006B710E"/>
    <w:rsid w:val="006B7125"/>
    <w:rsid w:val="006B7128"/>
    <w:rsid w:val="006B714A"/>
    <w:rsid w:val="006B7294"/>
    <w:rsid w:val="006B73A5"/>
    <w:rsid w:val="006B7409"/>
    <w:rsid w:val="006B7454"/>
    <w:rsid w:val="006B7617"/>
    <w:rsid w:val="006B7627"/>
    <w:rsid w:val="006B7666"/>
    <w:rsid w:val="006B772B"/>
    <w:rsid w:val="006B7779"/>
    <w:rsid w:val="006B7877"/>
    <w:rsid w:val="006B796E"/>
    <w:rsid w:val="006B79FA"/>
    <w:rsid w:val="006B7A5C"/>
    <w:rsid w:val="006B7A7F"/>
    <w:rsid w:val="006B7AC5"/>
    <w:rsid w:val="006B7C3E"/>
    <w:rsid w:val="006B7DB3"/>
    <w:rsid w:val="006B7EB6"/>
    <w:rsid w:val="006B7F16"/>
    <w:rsid w:val="006B7FD7"/>
    <w:rsid w:val="006C00A8"/>
    <w:rsid w:val="006C0100"/>
    <w:rsid w:val="006C01A9"/>
    <w:rsid w:val="006C0248"/>
    <w:rsid w:val="006C0255"/>
    <w:rsid w:val="006C0270"/>
    <w:rsid w:val="006C0311"/>
    <w:rsid w:val="006C040E"/>
    <w:rsid w:val="006C0673"/>
    <w:rsid w:val="006C068B"/>
    <w:rsid w:val="006C06C5"/>
    <w:rsid w:val="006C06D3"/>
    <w:rsid w:val="006C078E"/>
    <w:rsid w:val="006C078F"/>
    <w:rsid w:val="006C0AF4"/>
    <w:rsid w:val="006C0B02"/>
    <w:rsid w:val="006C0B3E"/>
    <w:rsid w:val="006C0BF4"/>
    <w:rsid w:val="006C0C00"/>
    <w:rsid w:val="006C0E76"/>
    <w:rsid w:val="006C0EDB"/>
    <w:rsid w:val="006C11F4"/>
    <w:rsid w:val="006C1420"/>
    <w:rsid w:val="006C158F"/>
    <w:rsid w:val="006C15B0"/>
    <w:rsid w:val="006C1678"/>
    <w:rsid w:val="006C172D"/>
    <w:rsid w:val="006C173E"/>
    <w:rsid w:val="006C1748"/>
    <w:rsid w:val="006C1750"/>
    <w:rsid w:val="006C17AB"/>
    <w:rsid w:val="006C17F8"/>
    <w:rsid w:val="006C17FF"/>
    <w:rsid w:val="006C196A"/>
    <w:rsid w:val="006C19B5"/>
    <w:rsid w:val="006C1A59"/>
    <w:rsid w:val="006C1BC0"/>
    <w:rsid w:val="006C1C37"/>
    <w:rsid w:val="006C1CB4"/>
    <w:rsid w:val="006C1D89"/>
    <w:rsid w:val="006C1E60"/>
    <w:rsid w:val="006C1EFA"/>
    <w:rsid w:val="006C1F3A"/>
    <w:rsid w:val="006C211C"/>
    <w:rsid w:val="006C2138"/>
    <w:rsid w:val="006C216E"/>
    <w:rsid w:val="006C21CE"/>
    <w:rsid w:val="006C227C"/>
    <w:rsid w:val="006C239C"/>
    <w:rsid w:val="006C244B"/>
    <w:rsid w:val="006C2480"/>
    <w:rsid w:val="006C2777"/>
    <w:rsid w:val="006C27B3"/>
    <w:rsid w:val="006C2823"/>
    <w:rsid w:val="006C2836"/>
    <w:rsid w:val="006C289C"/>
    <w:rsid w:val="006C2906"/>
    <w:rsid w:val="006C2A71"/>
    <w:rsid w:val="006C2BB7"/>
    <w:rsid w:val="006C2C0A"/>
    <w:rsid w:val="006C2C13"/>
    <w:rsid w:val="006C2C46"/>
    <w:rsid w:val="006C2C7F"/>
    <w:rsid w:val="006C2C9F"/>
    <w:rsid w:val="006C2E74"/>
    <w:rsid w:val="006C2F67"/>
    <w:rsid w:val="006C2FD0"/>
    <w:rsid w:val="006C2FD5"/>
    <w:rsid w:val="006C30D8"/>
    <w:rsid w:val="006C3156"/>
    <w:rsid w:val="006C31CC"/>
    <w:rsid w:val="006C3285"/>
    <w:rsid w:val="006C328E"/>
    <w:rsid w:val="006C3579"/>
    <w:rsid w:val="006C3627"/>
    <w:rsid w:val="006C36C5"/>
    <w:rsid w:val="006C36DD"/>
    <w:rsid w:val="006C36FF"/>
    <w:rsid w:val="006C382C"/>
    <w:rsid w:val="006C3893"/>
    <w:rsid w:val="006C38BE"/>
    <w:rsid w:val="006C3966"/>
    <w:rsid w:val="006C3974"/>
    <w:rsid w:val="006C39EE"/>
    <w:rsid w:val="006C3B39"/>
    <w:rsid w:val="006C3C5F"/>
    <w:rsid w:val="006C3DBC"/>
    <w:rsid w:val="006C3F45"/>
    <w:rsid w:val="006C3F4F"/>
    <w:rsid w:val="006C3F79"/>
    <w:rsid w:val="006C4034"/>
    <w:rsid w:val="006C4080"/>
    <w:rsid w:val="006C4096"/>
    <w:rsid w:val="006C40E4"/>
    <w:rsid w:val="006C4155"/>
    <w:rsid w:val="006C415F"/>
    <w:rsid w:val="006C4199"/>
    <w:rsid w:val="006C41D1"/>
    <w:rsid w:val="006C425F"/>
    <w:rsid w:val="006C42F6"/>
    <w:rsid w:val="006C43E3"/>
    <w:rsid w:val="006C44FD"/>
    <w:rsid w:val="006C4528"/>
    <w:rsid w:val="006C45B6"/>
    <w:rsid w:val="006C4621"/>
    <w:rsid w:val="006C4663"/>
    <w:rsid w:val="006C47CB"/>
    <w:rsid w:val="006C4842"/>
    <w:rsid w:val="006C4AE3"/>
    <w:rsid w:val="006C4B31"/>
    <w:rsid w:val="006C4B79"/>
    <w:rsid w:val="006C4DA6"/>
    <w:rsid w:val="006C4E2E"/>
    <w:rsid w:val="006C4E7A"/>
    <w:rsid w:val="006C4EDB"/>
    <w:rsid w:val="006C4F10"/>
    <w:rsid w:val="006C50C3"/>
    <w:rsid w:val="006C50DF"/>
    <w:rsid w:val="006C5223"/>
    <w:rsid w:val="006C52C7"/>
    <w:rsid w:val="006C5327"/>
    <w:rsid w:val="006C5389"/>
    <w:rsid w:val="006C53BE"/>
    <w:rsid w:val="006C53E2"/>
    <w:rsid w:val="006C5492"/>
    <w:rsid w:val="006C55C2"/>
    <w:rsid w:val="006C5629"/>
    <w:rsid w:val="006C5634"/>
    <w:rsid w:val="006C5A76"/>
    <w:rsid w:val="006C5B82"/>
    <w:rsid w:val="006C5BDD"/>
    <w:rsid w:val="006C5C5D"/>
    <w:rsid w:val="006C5D81"/>
    <w:rsid w:val="006C5EC9"/>
    <w:rsid w:val="006C5F31"/>
    <w:rsid w:val="006C5FEA"/>
    <w:rsid w:val="006C6142"/>
    <w:rsid w:val="006C61B6"/>
    <w:rsid w:val="006C6207"/>
    <w:rsid w:val="006C6278"/>
    <w:rsid w:val="006C6386"/>
    <w:rsid w:val="006C63F7"/>
    <w:rsid w:val="006C6423"/>
    <w:rsid w:val="006C64BE"/>
    <w:rsid w:val="006C6501"/>
    <w:rsid w:val="006C65BE"/>
    <w:rsid w:val="006C68A9"/>
    <w:rsid w:val="006C6900"/>
    <w:rsid w:val="006C6979"/>
    <w:rsid w:val="006C6A68"/>
    <w:rsid w:val="006C6AC0"/>
    <w:rsid w:val="006C6E75"/>
    <w:rsid w:val="006C6EA5"/>
    <w:rsid w:val="006C6F6A"/>
    <w:rsid w:val="006C6F7D"/>
    <w:rsid w:val="006C7002"/>
    <w:rsid w:val="006C703A"/>
    <w:rsid w:val="006C7059"/>
    <w:rsid w:val="006C7089"/>
    <w:rsid w:val="006C70B2"/>
    <w:rsid w:val="006C70B5"/>
    <w:rsid w:val="006C7117"/>
    <w:rsid w:val="006C71F7"/>
    <w:rsid w:val="006C7282"/>
    <w:rsid w:val="006C72BE"/>
    <w:rsid w:val="006C7355"/>
    <w:rsid w:val="006C7397"/>
    <w:rsid w:val="006C73C0"/>
    <w:rsid w:val="006C7611"/>
    <w:rsid w:val="006C761B"/>
    <w:rsid w:val="006C76FF"/>
    <w:rsid w:val="006C77A9"/>
    <w:rsid w:val="006C77C1"/>
    <w:rsid w:val="006C78B4"/>
    <w:rsid w:val="006C7991"/>
    <w:rsid w:val="006C79B6"/>
    <w:rsid w:val="006C79FF"/>
    <w:rsid w:val="006C7BE2"/>
    <w:rsid w:val="006C7D05"/>
    <w:rsid w:val="006C7D15"/>
    <w:rsid w:val="006C7D6D"/>
    <w:rsid w:val="006C7E08"/>
    <w:rsid w:val="006C7E15"/>
    <w:rsid w:val="006C7E83"/>
    <w:rsid w:val="006D001D"/>
    <w:rsid w:val="006D0090"/>
    <w:rsid w:val="006D0141"/>
    <w:rsid w:val="006D0197"/>
    <w:rsid w:val="006D022E"/>
    <w:rsid w:val="006D0370"/>
    <w:rsid w:val="006D03B5"/>
    <w:rsid w:val="006D040F"/>
    <w:rsid w:val="006D0455"/>
    <w:rsid w:val="006D0477"/>
    <w:rsid w:val="006D0495"/>
    <w:rsid w:val="006D054D"/>
    <w:rsid w:val="006D0632"/>
    <w:rsid w:val="006D074A"/>
    <w:rsid w:val="006D0945"/>
    <w:rsid w:val="006D09E9"/>
    <w:rsid w:val="006D0A72"/>
    <w:rsid w:val="006D0ABE"/>
    <w:rsid w:val="006D0DA1"/>
    <w:rsid w:val="006D0DBD"/>
    <w:rsid w:val="006D0DC2"/>
    <w:rsid w:val="006D0F63"/>
    <w:rsid w:val="006D117D"/>
    <w:rsid w:val="006D12ED"/>
    <w:rsid w:val="006D13B8"/>
    <w:rsid w:val="006D1547"/>
    <w:rsid w:val="006D17C2"/>
    <w:rsid w:val="006D1A4B"/>
    <w:rsid w:val="006D1ACB"/>
    <w:rsid w:val="006D1B31"/>
    <w:rsid w:val="006D1DC0"/>
    <w:rsid w:val="006D1E50"/>
    <w:rsid w:val="006D1F9B"/>
    <w:rsid w:val="006D2094"/>
    <w:rsid w:val="006D209E"/>
    <w:rsid w:val="006D20CC"/>
    <w:rsid w:val="006D238C"/>
    <w:rsid w:val="006D2617"/>
    <w:rsid w:val="006D26B1"/>
    <w:rsid w:val="006D26E5"/>
    <w:rsid w:val="006D2827"/>
    <w:rsid w:val="006D285C"/>
    <w:rsid w:val="006D28F2"/>
    <w:rsid w:val="006D2B44"/>
    <w:rsid w:val="006D2BF7"/>
    <w:rsid w:val="006D2C4F"/>
    <w:rsid w:val="006D2D08"/>
    <w:rsid w:val="006D2FE5"/>
    <w:rsid w:val="006D3171"/>
    <w:rsid w:val="006D3223"/>
    <w:rsid w:val="006D32E0"/>
    <w:rsid w:val="006D3350"/>
    <w:rsid w:val="006D33C0"/>
    <w:rsid w:val="006D3426"/>
    <w:rsid w:val="006D35CD"/>
    <w:rsid w:val="006D3652"/>
    <w:rsid w:val="006D3734"/>
    <w:rsid w:val="006D3757"/>
    <w:rsid w:val="006D37D1"/>
    <w:rsid w:val="006D394B"/>
    <w:rsid w:val="006D3960"/>
    <w:rsid w:val="006D396B"/>
    <w:rsid w:val="006D3A37"/>
    <w:rsid w:val="006D3B2D"/>
    <w:rsid w:val="006D3C60"/>
    <w:rsid w:val="006D3F12"/>
    <w:rsid w:val="006D3F4F"/>
    <w:rsid w:val="006D3FB9"/>
    <w:rsid w:val="006D4036"/>
    <w:rsid w:val="006D41DD"/>
    <w:rsid w:val="006D42C8"/>
    <w:rsid w:val="006D4474"/>
    <w:rsid w:val="006D4539"/>
    <w:rsid w:val="006D45A2"/>
    <w:rsid w:val="006D4692"/>
    <w:rsid w:val="006D46A7"/>
    <w:rsid w:val="006D4707"/>
    <w:rsid w:val="006D47E6"/>
    <w:rsid w:val="006D48F5"/>
    <w:rsid w:val="006D4943"/>
    <w:rsid w:val="006D4B71"/>
    <w:rsid w:val="006D4B9A"/>
    <w:rsid w:val="006D4BBF"/>
    <w:rsid w:val="006D4DB7"/>
    <w:rsid w:val="006D4E87"/>
    <w:rsid w:val="006D4E90"/>
    <w:rsid w:val="006D4F0F"/>
    <w:rsid w:val="006D516E"/>
    <w:rsid w:val="006D51D2"/>
    <w:rsid w:val="006D53C9"/>
    <w:rsid w:val="006D542F"/>
    <w:rsid w:val="006D5436"/>
    <w:rsid w:val="006D54D1"/>
    <w:rsid w:val="006D5522"/>
    <w:rsid w:val="006D560C"/>
    <w:rsid w:val="006D5613"/>
    <w:rsid w:val="006D563B"/>
    <w:rsid w:val="006D563F"/>
    <w:rsid w:val="006D56A7"/>
    <w:rsid w:val="006D57A5"/>
    <w:rsid w:val="006D5946"/>
    <w:rsid w:val="006D5A1D"/>
    <w:rsid w:val="006D5BD2"/>
    <w:rsid w:val="006D5CD0"/>
    <w:rsid w:val="006D5D7F"/>
    <w:rsid w:val="006D5DD0"/>
    <w:rsid w:val="006D611C"/>
    <w:rsid w:val="006D6237"/>
    <w:rsid w:val="006D626D"/>
    <w:rsid w:val="006D6555"/>
    <w:rsid w:val="006D679B"/>
    <w:rsid w:val="006D6821"/>
    <w:rsid w:val="006D684F"/>
    <w:rsid w:val="006D699A"/>
    <w:rsid w:val="006D6AD2"/>
    <w:rsid w:val="006D6D33"/>
    <w:rsid w:val="006D6E8C"/>
    <w:rsid w:val="006D702C"/>
    <w:rsid w:val="006D70F5"/>
    <w:rsid w:val="006D72DE"/>
    <w:rsid w:val="006D72F4"/>
    <w:rsid w:val="006D738C"/>
    <w:rsid w:val="006D743E"/>
    <w:rsid w:val="006D7488"/>
    <w:rsid w:val="006D74D7"/>
    <w:rsid w:val="006D75F5"/>
    <w:rsid w:val="006D777C"/>
    <w:rsid w:val="006D7821"/>
    <w:rsid w:val="006D7956"/>
    <w:rsid w:val="006D795C"/>
    <w:rsid w:val="006D7990"/>
    <w:rsid w:val="006D7A00"/>
    <w:rsid w:val="006D7C49"/>
    <w:rsid w:val="006D7C95"/>
    <w:rsid w:val="006D7CDD"/>
    <w:rsid w:val="006D7E35"/>
    <w:rsid w:val="006D7F25"/>
    <w:rsid w:val="006D7FCA"/>
    <w:rsid w:val="006DA83C"/>
    <w:rsid w:val="006DE227"/>
    <w:rsid w:val="006E00B1"/>
    <w:rsid w:val="006E00EA"/>
    <w:rsid w:val="006E032B"/>
    <w:rsid w:val="006E034C"/>
    <w:rsid w:val="006E03B0"/>
    <w:rsid w:val="006E03B7"/>
    <w:rsid w:val="006E050E"/>
    <w:rsid w:val="006E06E9"/>
    <w:rsid w:val="006E089C"/>
    <w:rsid w:val="006E08BD"/>
    <w:rsid w:val="006E09D4"/>
    <w:rsid w:val="006E0B6F"/>
    <w:rsid w:val="006E0CC9"/>
    <w:rsid w:val="006E0D9A"/>
    <w:rsid w:val="006E1020"/>
    <w:rsid w:val="006E1079"/>
    <w:rsid w:val="006E1438"/>
    <w:rsid w:val="006E1804"/>
    <w:rsid w:val="006E1833"/>
    <w:rsid w:val="006E1885"/>
    <w:rsid w:val="006E1981"/>
    <w:rsid w:val="006E1B6D"/>
    <w:rsid w:val="006E1C42"/>
    <w:rsid w:val="006E1CF8"/>
    <w:rsid w:val="006E1D39"/>
    <w:rsid w:val="006E1E7F"/>
    <w:rsid w:val="006E1EAE"/>
    <w:rsid w:val="006E2282"/>
    <w:rsid w:val="006E242A"/>
    <w:rsid w:val="006E2478"/>
    <w:rsid w:val="006E248F"/>
    <w:rsid w:val="006E24D8"/>
    <w:rsid w:val="006E25CE"/>
    <w:rsid w:val="006E26C7"/>
    <w:rsid w:val="006E26EB"/>
    <w:rsid w:val="006E2759"/>
    <w:rsid w:val="006E2845"/>
    <w:rsid w:val="006E28B8"/>
    <w:rsid w:val="006E28FF"/>
    <w:rsid w:val="006E2988"/>
    <w:rsid w:val="006E29C7"/>
    <w:rsid w:val="006E2BE1"/>
    <w:rsid w:val="006E2DA5"/>
    <w:rsid w:val="006E2DBE"/>
    <w:rsid w:val="006E2E29"/>
    <w:rsid w:val="006E2E83"/>
    <w:rsid w:val="006E2FFA"/>
    <w:rsid w:val="006E321C"/>
    <w:rsid w:val="006E3226"/>
    <w:rsid w:val="006E35DD"/>
    <w:rsid w:val="006E37DB"/>
    <w:rsid w:val="006E38D2"/>
    <w:rsid w:val="006E39DC"/>
    <w:rsid w:val="006E3ACA"/>
    <w:rsid w:val="006E3C1F"/>
    <w:rsid w:val="006E3D15"/>
    <w:rsid w:val="006E3D40"/>
    <w:rsid w:val="006E3D8B"/>
    <w:rsid w:val="006E3DB0"/>
    <w:rsid w:val="006E3E3D"/>
    <w:rsid w:val="006E3FFE"/>
    <w:rsid w:val="006E4277"/>
    <w:rsid w:val="006E42E7"/>
    <w:rsid w:val="006E44BC"/>
    <w:rsid w:val="006E450F"/>
    <w:rsid w:val="006E463F"/>
    <w:rsid w:val="006E4740"/>
    <w:rsid w:val="006E485C"/>
    <w:rsid w:val="006E4864"/>
    <w:rsid w:val="006E4977"/>
    <w:rsid w:val="006E49F4"/>
    <w:rsid w:val="006E4B58"/>
    <w:rsid w:val="006E4BBA"/>
    <w:rsid w:val="006E4BE9"/>
    <w:rsid w:val="006E4BFA"/>
    <w:rsid w:val="006E4C79"/>
    <w:rsid w:val="006E4EC6"/>
    <w:rsid w:val="006E4FA7"/>
    <w:rsid w:val="006E5100"/>
    <w:rsid w:val="006E5178"/>
    <w:rsid w:val="006E52AA"/>
    <w:rsid w:val="006E543F"/>
    <w:rsid w:val="006E56A9"/>
    <w:rsid w:val="006E5711"/>
    <w:rsid w:val="006E57AA"/>
    <w:rsid w:val="006E5822"/>
    <w:rsid w:val="006E58B8"/>
    <w:rsid w:val="006E59AC"/>
    <w:rsid w:val="006E59E3"/>
    <w:rsid w:val="006E5A1D"/>
    <w:rsid w:val="006E5BD3"/>
    <w:rsid w:val="006E5ECF"/>
    <w:rsid w:val="006E5FDB"/>
    <w:rsid w:val="006E6018"/>
    <w:rsid w:val="006E604D"/>
    <w:rsid w:val="006E60CA"/>
    <w:rsid w:val="006E60DF"/>
    <w:rsid w:val="006E61AE"/>
    <w:rsid w:val="006E62A0"/>
    <w:rsid w:val="006E639F"/>
    <w:rsid w:val="006E63FD"/>
    <w:rsid w:val="006E6443"/>
    <w:rsid w:val="006E6550"/>
    <w:rsid w:val="006E6663"/>
    <w:rsid w:val="006E66B0"/>
    <w:rsid w:val="006E66EB"/>
    <w:rsid w:val="006E6793"/>
    <w:rsid w:val="006E6800"/>
    <w:rsid w:val="006E68B0"/>
    <w:rsid w:val="006E68D8"/>
    <w:rsid w:val="006E6915"/>
    <w:rsid w:val="006E6976"/>
    <w:rsid w:val="006E6981"/>
    <w:rsid w:val="006E6A02"/>
    <w:rsid w:val="006E6A1B"/>
    <w:rsid w:val="006E6A59"/>
    <w:rsid w:val="006E6AA3"/>
    <w:rsid w:val="006E6AF3"/>
    <w:rsid w:val="006E6B00"/>
    <w:rsid w:val="006E6D0C"/>
    <w:rsid w:val="006E6D40"/>
    <w:rsid w:val="006E6E1F"/>
    <w:rsid w:val="006E6EC5"/>
    <w:rsid w:val="006E70C1"/>
    <w:rsid w:val="006E72B7"/>
    <w:rsid w:val="006E72E6"/>
    <w:rsid w:val="006E7479"/>
    <w:rsid w:val="006E74C1"/>
    <w:rsid w:val="006E761C"/>
    <w:rsid w:val="006E769F"/>
    <w:rsid w:val="006E76DA"/>
    <w:rsid w:val="006E7769"/>
    <w:rsid w:val="006E7865"/>
    <w:rsid w:val="006E788A"/>
    <w:rsid w:val="006E7892"/>
    <w:rsid w:val="006E7894"/>
    <w:rsid w:val="006E7946"/>
    <w:rsid w:val="006E79BB"/>
    <w:rsid w:val="006E7CA2"/>
    <w:rsid w:val="006E7CBC"/>
    <w:rsid w:val="006E7D63"/>
    <w:rsid w:val="006E7D91"/>
    <w:rsid w:val="006E7DF5"/>
    <w:rsid w:val="006E7FD6"/>
    <w:rsid w:val="006F0236"/>
    <w:rsid w:val="006F02FD"/>
    <w:rsid w:val="006F0303"/>
    <w:rsid w:val="006F0338"/>
    <w:rsid w:val="006F0439"/>
    <w:rsid w:val="006F04A6"/>
    <w:rsid w:val="006F052F"/>
    <w:rsid w:val="006F067B"/>
    <w:rsid w:val="006F0702"/>
    <w:rsid w:val="006F075C"/>
    <w:rsid w:val="006F077A"/>
    <w:rsid w:val="006F0A29"/>
    <w:rsid w:val="006F0C2F"/>
    <w:rsid w:val="006F0C9D"/>
    <w:rsid w:val="006F0DAD"/>
    <w:rsid w:val="006F0DE8"/>
    <w:rsid w:val="006F0E06"/>
    <w:rsid w:val="006F0FA1"/>
    <w:rsid w:val="006F0FB5"/>
    <w:rsid w:val="006F0FC7"/>
    <w:rsid w:val="006F0FE5"/>
    <w:rsid w:val="006F10B5"/>
    <w:rsid w:val="006F1216"/>
    <w:rsid w:val="006F12B5"/>
    <w:rsid w:val="006F13C9"/>
    <w:rsid w:val="006F142B"/>
    <w:rsid w:val="006F1504"/>
    <w:rsid w:val="006F15E2"/>
    <w:rsid w:val="006F1771"/>
    <w:rsid w:val="006F1A72"/>
    <w:rsid w:val="006F1C12"/>
    <w:rsid w:val="006F1C2E"/>
    <w:rsid w:val="006F1CF5"/>
    <w:rsid w:val="006F1D12"/>
    <w:rsid w:val="006F1DE8"/>
    <w:rsid w:val="006F1F9C"/>
    <w:rsid w:val="006F204D"/>
    <w:rsid w:val="006F2274"/>
    <w:rsid w:val="006F2277"/>
    <w:rsid w:val="006F23B7"/>
    <w:rsid w:val="006F258E"/>
    <w:rsid w:val="006F2744"/>
    <w:rsid w:val="006F27C0"/>
    <w:rsid w:val="006F2B00"/>
    <w:rsid w:val="006F3029"/>
    <w:rsid w:val="006F30D9"/>
    <w:rsid w:val="006F31C9"/>
    <w:rsid w:val="006F320D"/>
    <w:rsid w:val="006F3289"/>
    <w:rsid w:val="006F33A4"/>
    <w:rsid w:val="006F3483"/>
    <w:rsid w:val="006F34B8"/>
    <w:rsid w:val="006F3527"/>
    <w:rsid w:val="006F3709"/>
    <w:rsid w:val="006F38AD"/>
    <w:rsid w:val="006F392B"/>
    <w:rsid w:val="006F3A2B"/>
    <w:rsid w:val="006F3A54"/>
    <w:rsid w:val="006F3C4B"/>
    <w:rsid w:val="006F3C6A"/>
    <w:rsid w:val="006F3CEF"/>
    <w:rsid w:val="006F3D6D"/>
    <w:rsid w:val="006F3DE8"/>
    <w:rsid w:val="006F3E61"/>
    <w:rsid w:val="006F3E78"/>
    <w:rsid w:val="006F3F63"/>
    <w:rsid w:val="006F415B"/>
    <w:rsid w:val="006F41DC"/>
    <w:rsid w:val="006F4282"/>
    <w:rsid w:val="006F4286"/>
    <w:rsid w:val="006F430D"/>
    <w:rsid w:val="006F453D"/>
    <w:rsid w:val="006F45AD"/>
    <w:rsid w:val="006F4651"/>
    <w:rsid w:val="006F4660"/>
    <w:rsid w:val="006F4705"/>
    <w:rsid w:val="006F4708"/>
    <w:rsid w:val="006F480D"/>
    <w:rsid w:val="006F481D"/>
    <w:rsid w:val="006F4873"/>
    <w:rsid w:val="006F488E"/>
    <w:rsid w:val="006F48E0"/>
    <w:rsid w:val="006F48FC"/>
    <w:rsid w:val="006F4924"/>
    <w:rsid w:val="006F4A8D"/>
    <w:rsid w:val="006F4AA8"/>
    <w:rsid w:val="006F4ACA"/>
    <w:rsid w:val="006F4AD3"/>
    <w:rsid w:val="006F4BBE"/>
    <w:rsid w:val="006F4DF7"/>
    <w:rsid w:val="006F4E0C"/>
    <w:rsid w:val="006F4F83"/>
    <w:rsid w:val="006F5078"/>
    <w:rsid w:val="006F5204"/>
    <w:rsid w:val="006F53B9"/>
    <w:rsid w:val="006F541F"/>
    <w:rsid w:val="006F54A1"/>
    <w:rsid w:val="006F552A"/>
    <w:rsid w:val="006F55DC"/>
    <w:rsid w:val="006F56E0"/>
    <w:rsid w:val="006F575E"/>
    <w:rsid w:val="006F5810"/>
    <w:rsid w:val="006F5865"/>
    <w:rsid w:val="006F58E4"/>
    <w:rsid w:val="006F5A0D"/>
    <w:rsid w:val="006F5AB1"/>
    <w:rsid w:val="006F5BDF"/>
    <w:rsid w:val="006F5DD3"/>
    <w:rsid w:val="006F5E21"/>
    <w:rsid w:val="006F5E81"/>
    <w:rsid w:val="006F5F21"/>
    <w:rsid w:val="006F5FB7"/>
    <w:rsid w:val="006F606B"/>
    <w:rsid w:val="006F6149"/>
    <w:rsid w:val="006F61C9"/>
    <w:rsid w:val="006F6287"/>
    <w:rsid w:val="006F6294"/>
    <w:rsid w:val="006F6355"/>
    <w:rsid w:val="006F63A1"/>
    <w:rsid w:val="006F64EB"/>
    <w:rsid w:val="006F651E"/>
    <w:rsid w:val="006F6594"/>
    <w:rsid w:val="006F65B3"/>
    <w:rsid w:val="006F6862"/>
    <w:rsid w:val="006F68AF"/>
    <w:rsid w:val="006F6AAC"/>
    <w:rsid w:val="006F6BA0"/>
    <w:rsid w:val="006F6D2F"/>
    <w:rsid w:val="006F6D65"/>
    <w:rsid w:val="006F6D6E"/>
    <w:rsid w:val="006F6D8B"/>
    <w:rsid w:val="006F6DFC"/>
    <w:rsid w:val="006F6F23"/>
    <w:rsid w:val="006F7018"/>
    <w:rsid w:val="006F70CE"/>
    <w:rsid w:val="006F71E2"/>
    <w:rsid w:val="006F7242"/>
    <w:rsid w:val="006F7358"/>
    <w:rsid w:val="006F735A"/>
    <w:rsid w:val="006F7370"/>
    <w:rsid w:val="006F744F"/>
    <w:rsid w:val="006F74F7"/>
    <w:rsid w:val="006F75AB"/>
    <w:rsid w:val="006F75B9"/>
    <w:rsid w:val="006F7781"/>
    <w:rsid w:val="006F78A0"/>
    <w:rsid w:val="006F7937"/>
    <w:rsid w:val="006F793B"/>
    <w:rsid w:val="006F7995"/>
    <w:rsid w:val="006F79AA"/>
    <w:rsid w:val="006F7B39"/>
    <w:rsid w:val="006F7B56"/>
    <w:rsid w:val="006F7B8D"/>
    <w:rsid w:val="006F7C0D"/>
    <w:rsid w:val="006F7D55"/>
    <w:rsid w:val="006F7D68"/>
    <w:rsid w:val="006F7D9F"/>
    <w:rsid w:val="006F7E45"/>
    <w:rsid w:val="006F7F6D"/>
    <w:rsid w:val="006FBD7A"/>
    <w:rsid w:val="0070001B"/>
    <w:rsid w:val="00700134"/>
    <w:rsid w:val="007002DB"/>
    <w:rsid w:val="00700324"/>
    <w:rsid w:val="00700392"/>
    <w:rsid w:val="0070048C"/>
    <w:rsid w:val="00700680"/>
    <w:rsid w:val="0070069F"/>
    <w:rsid w:val="0070078D"/>
    <w:rsid w:val="00700830"/>
    <w:rsid w:val="00700860"/>
    <w:rsid w:val="0070094B"/>
    <w:rsid w:val="00700959"/>
    <w:rsid w:val="007009F4"/>
    <w:rsid w:val="00700B19"/>
    <w:rsid w:val="00700D3D"/>
    <w:rsid w:val="00700D4D"/>
    <w:rsid w:val="00700D8A"/>
    <w:rsid w:val="00700DEF"/>
    <w:rsid w:val="00700EBD"/>
    <w:rsid w:val="00700F8F"/>
    <w:rsid w:val="00700FCF"/>
    <w:rsid w:val="00701066"/>
    <w:rsid w:val="007010E3"/>
    <w:rsid w:val="007011FD"/>
    <w:rsid w:val="007012EE"/>
    <w:rsid w:val="0070132F"/>
    <w:rsid w:val="00701353"/>
    <w:rsid w:val="0070138F"/>
    <w:rsid w:val="0070139B"/>
    <w:rsid w:val="007015C9"/>
    <w:rsid w:val="0070180B"/>
    <w:rsid w:val="00701941"/>
    <w:rsid w:val="0070198E"/>
    <w:rsid w:val="00701A28"/>
    <w:rsid w:val="00701AAB"/>
    <w:rsid w:val="00701B0A"/>
    <w:rsid w:val="00701B7C"/>
    <w:rsid w:val="00701C14"/>
    <w:rsid w:val="00701C16"/>
    <w:rsid w:val="00701CDA"/>
    <w:rsid w:val="00701D19"/>
    <w:rsid w:val="00701D1A"/>
    <w:rsid w:val="00701D76"/>
    <w:rsid w:val="00701DA5"/>
    <w:rsid w:val="00701EE2"/>
    <w:rsid w:val="00701F81"/>
    <w:rsid w:val="007020DC"/>
    <w:rsid w:val="0070213F"/>
    <w:rsid w:val="00702160"/>
    <w:rsid w:val="007022A9"/>
    <w:rsid w:val="007023B0"/>
    <w:rsid w:val="007023B6"/>
    <w:rsid w:val="0070273C"/>
    <w:rsid w:val="0070284B"/>
    <w:rsid w:val="0070285C"/>
    <w:rsid w:val="00702970"/>
    <w:rsid w:val="00702A37"/>
    <w:rsid w:val="00702AA2"/>
    <w:rsid w:val="00702EBE"/>
    <w:rsid w:val="00702F40"/>
    <w:rsid w:val="00703054"/>
    <w:rsid w:val="007030F7"/>
    <w:rsid w:val="0070311A"/>
    <w:rsid w:val="00703125"/>
    <w:rsid w:val="007032DF"/>
    <w:rsid w:val="007033A2"/>
    <w:rsid w:val="007033F0"/>
    <w:rsid w:val="00703404"/>
    <w:rsid w:val="00703567"/>
    <w:rsid w:val="0070397D"/>
    <w:rsid w:val="0070398E"/>
    <w:rsid w:val="007039E7"/>
    <w:rsid w:val="00703AD5"/>
    <w:rsid w:val="00703AEF"/>
    <w:rsid w:val="00703B48"/>
    <w:rsid w:val="00703B8A"/>
    <w:rsid w:val="00703C74"/>
    <w:rsid w:val="00703DCA"/>
    <w:rsid w:val="00703E2E"/>
    <w:rsid w:val="00703F39"/>
    <w:rsid w:val="0070407C"/>
    <w:rsid w:val="00704086"/>
    <w:rsid w:val="007041FF"/>
    <w:rsid w:val="007043B6"/>
    <w:rsid w:val="007043EF"/>
    <w:rsid w:val="00704566"/>
    <w:rsid w:val="00704614"/>
    <w:rsid w:val="0070463C"/>
    <w:rsid w:val="00704777"/>
    <w:rsid w:val="007047D3"/>
    <w:rsid w:val="00704921"/>
    <w:rsid w:val="00704A04"/>
    <w:rsid w:val="00704AD6"/>
    <w:rsid w:val="00704B43"/>
    <w:rsid w:val="00704B46"/>
    <w:rsid w:val="00704B9E"/>
    <w:rsid w:val="00704BCB"/>
    <w:rsid w:val="00704C05"/>
    <w:rsid w:val="00704C1D"/>
    <w:rsid w:val="00704C50"/>
    <w:rsid w:val="00704CFF"/>
    <w:rsid w:val="00704ED2"/>
    <w:rsid w:val="0070515D"/>
    <w:rsid w:val="007051A0"/>
    <w:rsid w:val="0070524D"/>
    <w:rsid w:val="00705503"/>
    <w:rsid w:val="0070568A"/>
    <w:rsid w:val="007057AF"/>
    <w:rsid w:val="007057C8"/>
    <w:rsid w:val="00705962"/>
    <w:rsid w:val="0070599B"/>
    <w:rsid w:val="00705A09"/>
    <w:rsid w:val="00705CEC"/>
    <w:rsid w:val="00705D2A"/>
    <w:rsid w:val="00705D53"/>
    <w:rsid w:val="00705E76"/>
    <w:rsid w:val="00705EA6"/>
    <w:rsid w:val="00705F23"/>
    <w:rsid w:val="00705F75"/>
    <w:rsid w:val="0070602E"/>
    <w:rsid w:val="007060DB"/>
    <w:rsid w:val="00706144"/>
    <w:rsid w:val="0070624D"/>
    <w:rsid w:val="007062B0"/>
    <w:rsid w:val="0070634E"/>
    <w:rsid w:val="0070637E"/>
    <w:rsid w:val="00706445"/>
    <w:rsid w:val="0070644C"/>
    <w:rsid w:val="007064A7"/>
    <w:rsid w:val="007065A5"/>
    <w:rsid w:val="00706621"/>
    <w:rsid w:val="00706649"/>
    <w:rsid w:val="007067B4"/>
    <w:rsid w:val="00706804"/>
    <w:rsid w:val="0070682A"/>
    <w:rsid w:val="00706932"/>
    <w:rsid w:val="00706949"/>
    <w:rsid w:val="00706B0A"/>
    <w:rsid w:val="00706C3E"/>
    <w:rsid w:val="00706C58"/>
    <w:rsid w:val="00706CCE"/>
    <w:rsid w:val="00706D26"/>
    <w:rsid w:val="00706D5F"/>
    <w:rsid w:val="00706E35"/>
    <w:rsid w:val="00706F47"/>
    <w:rsid w:val="00706FD1"/>
    <w:rsid w:val="00707000"/>
    <w:rsid w:val="00707011"/>
    <w:rsid w:val="007071EB"/>
    <w:rsid w:val="007072AD"/>
    <w:rsid w:val="007072C5"/>
    <w:rsid w:val="007073D6"/>
    <w:rsid w:val="007073FC"/>
    <w:rsid w:val="00707457"/>
    <w:rsid w:val="007074DC"/>
    <w:rsid w:val="007075B8"/>
    <w:rsid w:val="007076DB"/>
    <w:rsid w:val="007076E0"/>
    <w:rsid w:val="007076E3"/>
    <w:rsid w:val="00707968"/>
    <w:rsid w:val="007079E5"/>
    <w:rsid w:val="007079E7"/>
    <w:rsid w:val="007079F8"/>
    <w:rsid w:val="00707BF2"/>
    <w:rsid w:val="00707D8E"/>
    <w:rsid w:val="00707DCA"/>
    <w:rsid w:val="00707EE7"/>
    <w:rsid w:val="00707F09"/>
    <w:rsid w:val="00710079"/>
    <w:rsid w:val="007100DF"/>
    <w:rsid w:val="00710179"/>
    <w:rsid w:val="00710355"/>
    <w:rsid w:val="007104B1"/>
    <w:rsid w:val="007105B5"/>
    <w:rsid w:val="00710654"/>
    <w:rsid w:val="007107C0"/>
    <w:rsid w:val="007107DD"/>
    <w:rsid w:val="007109D6"/>
    <w:rsid w:val="007109FF"/>
    <w:rsid w:val="00710A2E"/>
    <w:rsid w:val="00710AC5"/>
    <w:rsid w:val="00710B32"/>
    <w:rsid w:val="00710BB9"/>
    <w:rsid w:val="00710C10"/>
    <w:rsid w:val="00710CF0"/>
    <w:rsid w:val="00710D06"/>
    <w:rsid w:val="00710E83"/>
    <w:rsid w:val="00710EB5"/>
    <w:rsid w:val="007111EB"/>
    <w:rsid w:val="00711223"/>
    <w:rsid w:val="007112B2"/>
    <w:rsid w:val="0071133F"/>
    <w:rsid w:val="00711421"/>
    <w:rsid w:val="0071146B"/>
    <w:rsid w:val="0071147A"/>
    <w:rsid w:val="0071147F"/>
    <w:rsid w:val="007114B9"/>
    <w:rsid w:val="0071154E"/>
    <w:rsid w:val="00711593"/>
    <w:rsid w:val="0071168B"/>
    <w:rsid w:val="007116B4"/>
    <w:rsid w:val="007116D8"/>
    <w:rsid w:val="007116E4"/>
    <w:rsid w:val="007116F6"/>
    <w:rsid w:val="00711A20"/>
    <w:rsid w:val="00711A3A"/>
    <w:rsid w:val="00711AB6"/>
    <w:rsid w:val="00711AB9"/>
    <w:rsid w:val="00711C3F"/>
    <w:rsid w:val="00711CBA"/>
    <w:rsid w:val="00711F17"/>
    <w:rsid w:val="00711F21"/>
    <w:rsid w:val="00711F4B"/>
    <w:rsid w:val="00711F50"/>
    <w:rsid w:val="00711FBE"/>
    <w:rsid w:val="00711FE8"/>
    <w:rsid w:val="0071225D"/>
    <w:rsid w:val="007122B9"/>
    <w:rsid w:val="007122C1"/>
    <w:rsid w:val="007122EA"/>
    <w:rsid w:val="00712313"/>
    <w:rsid w:val="00712375"/>
    <w:rsid w:val="0071237E"/>
    <w:rsid w:val="0071239F"/>
    <w:rsid w:val="007123AC"/>
    <w:rsid w:val="007124A9"/>
    <w:rsid w:val="007124BB"/>
    <w:rsid w:val="00712634"/>
    <w:rsid w:val="00712669"/>
    <w:rsid w:val="0071271F"/>
    <w:rsid w:val="0071275A"/>
    <w:rsid w:val="007128A5"/>
    <w:rsid w:val="00712923"/>
    <w:rsid w:val="007129A7"/>
    <w:rsid w:val="007129DE"/>
    <w:rsid w:val="00712C84"/>
    <w:rsid w:val="00712D1C"/>
    <w:rsid w:val="00712D74"/>
    <w:rsid w:val="00712E61"/>
    <w:rsid w:val="00712EAF"/>
    <w:rsid w:val="00712EDA"/>
    <w:rsid w:val="0071312F"/>
    <w:rsid w:val="00713202"/>
    <w:rsid w:val="00713380"/>
    <w:rsid w:val="007133F3"/>
    <w:rsid w:val="00713576"/>
    <w:rsid w:val="0071393E"/>
    <w:rsid w:val="00713AFB"/>
    <w:rsid w:val="00713C01"/>
    <w:rsid w:val="00713C20"/>
    <w:rsid w:val="00713CBF"/>
    <w:rsid w:val="00713E8C"/>
    <w:rsid w:val="00713E9E"/>
    <w:rsid w:val="007143F8"/>
    <w:rsid w:val="007144DA"/>
    <w:rsid w:val="00714629"/>
    <w:rsid w:val="00714775"/>
    <w:rsid w:val="00714821"/>
    <w:rsid w:val="00714865"/>
    <w:rsid w:val="007148BB"/>
    <w:rsid w:val="007148CB"/>
    <w:rsid w:val="007148F7"/>
    <w:rsid w:val="00714935"/>
    <w:rsid w:val="00714979"/>
    <w:rsid w:val="0071498B"/>
    <w:rsid w:val="00714A77"/>
    <w:rsid w:val="00714AD9"/>
    <w:rsid w:val="00714B5B"/>
    <w:rsid w:val="00714B7C"/>
    <w:rsid w:val="00714B99"/>
    <w:rsid w:val="00714D0F"/>
    <w:rsid w:val="00714E74"/>
    <w:rsid w:val="00714F07"/>
    <w:rsid w:val="00714F8C"/>
    <w:rsid w:val="007151B8"/>
    <w:rsid w:val="007151C4"/>
    <w:rsid w:val="0071523C"/>
    <w:rsid w:val="007154D0"/>
    <w:rsid w:val="00715504"/>
    <w:rsid w:val="00715569"/>
    <w:rsid w:val="007156E3"/>
    <w:rsid w:val="0071575C"/>
    <w:rsid w:val="0071586E"/>
    <w:rsid w:val="00715981"/>
    <w:rsid w:val="00715BE7"/>
    <w:rsid w:val="00715C61"/>
    <w:rsid w:val="00715DD6"/>
    <w:rsid w:val="00715E58"/>
    <w:rsid w:val="00715ECB"/>
    <w:rsid w:val="00715F31"/>
    <w:rsid w:val="00715FCA"/>
    <w:rsid w:val="00715FCE"/>
    <w:rsid w:val="00716060"/>
    <w:rsid w:val="0071607B"/>
    <w:rsid w:val="007160B5"/>
    <w:rsid w:val="00716287"/>
    <w:rsid w:val="007163FB"/>
    <w:rsid w:val="00716467"/>
    <w:rsid w:val="007164A6"/>
    <w:rsid w:val="007164D1"/>
    <w:rsid w:val="00716543"/>
    <w:rsid w:val="00716560"/>
    <w:rsid w:val="0071660C"/>
    <w:rsid w:val="0071666E"/>
    <w:rsid w:val="00716797"/>
    <w:rsid w:val="007168EF"/>
    <w:rsid w:val="00716945"/>
    <w:rsid w:val="007169E8"/>
    <w:rsid w:val="00716DBF"/>
    <w:rsid w:val="00717122"/>
    <w:rsid w:val="007172AA"/>
    <w:rsid w:val="00717367"/>
    <w:rsid w:val="007173D8"/>
    <w:rsid w:val="0071746D"/>
    <w:rsid w:val="007174A1"/>
    <w:rsid w:val="00717534"/>
    <w:rsid w:val="00717690"/>
    <w:rsid w:val="00717809"/>
    <w:rsid w:val="0071786E"/>
    <w:rsid w:val="00717895"/>
    <w:rsid w:val="00717B49"/>
    <w:rsid w:val="00717BA5"/>
    <w:rsid w:val="00717C9C"/>
    <w:rsid w:val="00720017"/>
    <w:rsid w:val="007202A5"/>
    <w:rsid w:val="007206AD"/>
    <w:rsid w:val="00720750"/>
    <w:rsid w:val="007207BB"/>
    <w:rsid w:val="0072091B"/>
    <w:rsid w:val="00720BA0"/>
    <w:rsid w:val="00720C91"/>
    <w:rsid w:val="00720CA1"/>
    <w:rsid w:val="00720CD7"/>
    <w:rsid w:val="00720DB9"/>
    <w:rsid w:val="00720DF1"/>
    <w:rsid w:val="00720F69"/>
    <w:rsid w:val="00721067"/>
    <w:rsid w:val="007211D1"/>
    <w:rsid w:val="007211EA"/>
    <w:rsid w:val="00721354"/>
    <w:rsid w:val="007213D0"/>
    <w:rsid w:val="00721440"/>
    <w:rsid w:val="007214DB"/>
    <w:rsid w:val="00721600"/>
    <w:rsid w:val="0072188A"/>
    <w:rsid w:val="0072195C"/>
    <w:rsid w:val="007219B2"/>
    <w:rsid w:val="00721A02"/>
    <w:rsid w:val="00721A98"/>
    <w:rsid w:val="00721BB9"/>
    <w:rsid w:val="00721BFF"/>
    <w:rsid w:val="00721D3B"/>
    <w:rsid w:val="00721E35"/>
    <w:rsid w:val="00721E86"/>
    <w:rsid w:val="00721E91"/>
    <w:rsid w:val="00721F0B"/>
    <w:rsid w:val="00721F1B"/>
    <w:rsid w:val="00721F91"/>
    <w:rsid w:val="007220A1"/>
    <w:rsid w:val="007220B5"/>
    <w:rsid w:val="0072215D"/>
    <w:rsid w:val="007223BE"/>
    <w:rsid w:val="00722418"/>
    <w:rsid w:val="007225FF"/>
    <w:rsid w:val="0072262F"/>
    <w:rsid w:val="0072296B"/>
    <w:rsid w:val="0072299F"/>
    <w:rsid w:val="007229E4"/>
    <w:rsid w:val="00722A24"/>
    <w:rsid w:val="00722B55"/>
    <w:rsid w:val="00722B73"/>
    <w:rsid w:val="00722C22"/>
    <w:rsid w:val="00722C6A"/>
    <w:rsid w:val="00722CEF"/>
    <w:rsid w:val="00722D35"/>
    <w:rsid w:val="007230A6"/>
    <w:rsid w:val="0072310A"/>
    <w:rsid w:val="007233DF"/>
    <w:rsid w:val="00723407"/>
    <w:rsid w:val="00723437"/>
    <w:rsid w:val="007235B3"/>
    <w:rsid w:val="007236E4"/>
    <w:rsid w:val="00723704"/>
    <w:rsid w:val="0072376B"/>
    <w:rsid w:val="00723885"/>
    <w:rsid w:val="007238B3"/>
    <w:rsid w:val="00723B29"/>
    <w:rsid w:val="00723C2F"/>
    <w:rsid w:val="00723C7A"/>
    <w:rsid w:val="00723C8B"/>
    <w:rsid w:val="00723DAD"/>
    <w:rsid w:val="00723E94"/>
    <w:rsid w:val="00723EC5"/>
    <w:rsid w:val="007241C7"/>
    <w:rsid w:val="00724208"/>
    <w:rsid w:val="0072425B"/>
    <w:rsid w:val="0072432A"/>
    <w:rsid w:val="007245BB"/>
    <w:rsid w:val="007245FD"/>
    <w:rsid w:val="00724603"/>
    <w:rsid w:val="0072476E"/>
    <w:rsid w:val="00724786"/>
    <w:rsid w:val="007247C8"/>
    <w:rsid w:val="007248DF"/>
    <w:rsid w:val="0072491A"/>
    <w:rsid w:val="00724AA0"/>
    <w:rsid w:val="00724BDE"/>
    <w:rsid w:val="00724DAD"/>
    <w:rsid w:val="00725033"/>
    <w:rsid w:val="00725095"/>
    <w:rsid w:val="007250EA"/>
    <w:rsid w:val="00725125"/>
    <w:rsid w:val="00725158"/>
    <w:rsid w:val="00725265"/>
    <w:rsid w:val="007253A3"/>
    <w:rsid w:val="00725595"/>
    <w:rsid w:val="00725682"/>
    <w:rsid w:val="0072573F"/>
    <w:rsid w:val="007257B9"/>
    <w:rsid w:val="00725852"/>
    <w:rsid w:val="00725A92"/>
    <w:rsid w:val="00725B5E"/>
    <w:rsid w:val="00725C17"/>
    <w:rsid w:val="00725C32"/>
    <w:rsid w:val="00725C47"/>
    <w:rsid w:val="00725C69"/>
    <w:rsid w:val="00725CA2"/>
    <w:rsid w:val="00725D0F"/>
    <w:rsid w:val="00725E4F"/>
    <w:rsid w:val="00725FF1"/>
    <w:rsid w:val="00726096"/>
    <w:rsid w:val="007260D8"/>
    <w:rsid w:val="007262A4"/>
    <w:rsid w:val="007263D8"/>
    <w:rsid w:val="00726462"/>
    <w:rsid w:val="00726526"/>
    <w:rsid w:val="007265C2"/>
    <w:rsid w:val="00726B23"/>
    <w:rsid w:val="00726BD5"/>
    <w:rsid w:val="00726C49"/>
    <w:rsid w:val="00726CA5"/>
    <w:rsid w:val="00726CE8"/>
    <w:rsid w:val="00726D2F"/>
    <w:rsid w:val="00726EE5"/>
    <w:rsid w:val="00726F06"/>
    <w:rsid w:val="00726F51"/>
    <w:rsid w:val="00726FCC"/>
    <w:rsid w:val="0072714C"/>
    <w:rsid w:val="007272B4"/>
    <w:rsid w:val="007272B6"/>
    <w:rsid w:val="007274D2"/>
    <w:rsid w:val="00727633"/>
    <w:rsid w:val="007276EF"/>
    <w:rsid w:val="0072773A"/>
    <w:rsid w:val="00727743"/>
    <w:rsid w:val="007278D1"/>
    <w:rsid w:val="00727935"/>
    <w:rsid w:val="0072793A"/>
    <w:rsid w:val="00727A82"/>
    <w:rsid w:val="00727BCF"/>
    <w:rsid w:val="00727CA6"/>
    <w:rsid w:val="00727D61"/>
    <w:rsid w:val="00727E38"/>
    <w:rsid w:val="00730014"/>
    <w:rsid w:val="0073016E"/>
    <w:rsid w:val="00730308"/>
    <w:rsid w:val="007303E1"/>
    <w:rsid w:val="00730446"/>
    <w:rsid w:val="00730498"/>
    <w:rsid w:val="007304D4"/>
    <w:rsid w:val="00730504"/>
    <w:rsid w:val="00730528"/>
    <w:rsid w:val="00730656"/>
    <w:rsid w:val="0073091E"/>
    <w:rsid w:val="00730967"/>
    <w:rsid w:val="0073098E"/>
    <w:rsid w:val="00730A5B"/>
    <w:rsid w:val="00730A62"/>
    <w:rsid w:val="00730A94"/>
    <w:rsid w:val="00730AA6"/>
    <w:rsid w:val="00730AFD"/>
    <w:rsid w:val="00730B1F"/>
    <w:rsid w:val="00730BAE"/>
    <w:rsid w:val="00730DFE"/>
    <w:rsid w:val="00730E2E"/>
    <w:rsid w:val="00730E4A"/>
    <w:rsid w:val="00730EC0"/>
    <w:rsid w:val="00730F53"/>
    <w:rsid w:val="00730FDA"/>
    <w:rsid w:val="007310DF"/>
    <w:rsid w:val="0073115D"/>
    <w:rsid w:val="007311E1"/>
    <w:rsid w:val="0073130D"/>
    <w:rsid w:val="0073133A"/>
    <w:rsid w:val="0073134E"/>
    <w:rsid w:val="007313B6"/>
    <w:rsid w:val="007313BE"/>
    <w:rsid w:val="007313C1"/>
    <w:rsid w:val="007313DE"/>
    <w:rsid w:val="007313F9"/>
    <w:rsid w:val="007314D1"/>
    <w:rsid w:val="007314D8"/>
    <w:rsid w:val="007314DD"/>
    <w:rsid w:val="00731661"/>
    <w:rsid w:val="00731690"/>
    <w:rsid w:val="007316B3"/>
    <w:rsid w:val="007318A9"/>
    <w:rsid w:val="00731B89"/>
    <w:rsid w:val="00731D56"/>
    <w:rsid w:val="00731D7D"/>
    <w:rsid w:val="00731E6F"/>
    <w:rsid w:val="007321DC"/>
    <w:rsid w:val="0073221B"/>
    <w:rsid w:val="00732231"/>
    <w:rsid w:val="00732316"/>
    <w:rsid w:val="007323FA"/>
    <w:rsid w:val="00732494"/>
    <w:rsid w:val="007326F4"/>
    <w:rsid w:val="007329CA"/>
    <w:rsid w:val="007329F6"/>
    <w:rsid w:val="00732AB0"/>
    <w:rsid w:val="00732C3D"/>
    <w:rsid w:val="00732CD4"/>
    <w:rsid w:val="00732E12"/>
    <w:rsid w:val="00732EDD"/>
    <w:rsid w:val="00732FC2"/>
    <w:rsid w:val="00732FDB"/>
    <w:rsid w:val="00733121"/>
    <w:rsid w:val="00733393"/>
    <w:rsid w:val="007333BF"/>
    <w:rsid w:val="0073342A"/>
    <w:rsid w:val="007334C8"/>
    <w:rsid w:val="007335DB"/>
    <w:rsid w:val="00733691"/>
    <w:rsid w:val="0073369E"/>
    <w:rsid w:val="007336C4"/>
    <w:rsid w:val="00733744"/>
    <w:rsid w:val="0073380A"/>
    <w:rsid w:val="007338CD"/>
    <w:rsid w:val="00733927"/>
    <w:rsid w:val="00733940"/>
    <w:rsid w:val="00733A13"/>
    <w:rsid w:val="00733A47"/>
    <w:rsid w:val="00733A8F"/>
    <w:rsid w:val="00733AC3"/>
    <w:rsid w:val="00733B2B"/>
    <w:rsid w:val="00733BC1"/>
    <w:rsid w:val="00733BE4"/>
    <w:rsid w:val="00733BF1"/>
    <w:rsid w:val="00733CE9"/>
    <w:rsid w:val="00733D11"/>
    <w:rsid w:val="00733D5F"/>
    <w:rsid w:val="00733DA1"/>
    <w:rsid w:val="00733DED"/>
    <w:rsid w:val="0073409A"/>
    <w:rsid w:val="007340D0"/>
    <w:rsid w:val="007341A8"/>
    <w:rsid w:val="007341BA"/>
    <w:rsid w:val="007341F9"/>
    <w:rsid w:val="00734222"/>
    <w:rsid w:val="007343B6"/>
    <w:rsid w:val="0073447B"/>
    <w:rsid w:val="00734500"/>
    <w:rsid w:val="0073450A"/>
    <w:rsid w:val="00734616"/>
    <w:rsid w:val="0073461B"/>
    <w:rsid w:val="0073483F"/>
    <w:rsid w:val="00734ABA"/>
    <w:rsid w:val="00734ADB"/>
    <w:rsid w:val="00734B48"/>
    <w:rsid w:val="00734B65"/>
    <w:rsid w:val="00734C54"/>
    <w:rsid w:val="00734DD9"/>
    <w:rsid w:val="00734EBF"/>
    <w:rsid w:val="00734EF6"/>
    <w:rsid w:val="00734F98"/>
    <w:rsid w:val="00735038"/>
    <w:rsid w:val="007354BD"/>
    <w:rsid w:val="007354C5"/>
    <w:rsid w:val="0073559A"/>
    <w:rsid w:val="007355C9"/>
    <w:rsid w:val="007355F9"/>
    <w:rsid w:val="00735820"/>
    <w:rsid w:val="00735922"/>
    <w:rsid w:val="00735A06"/>
    <w:rsid w:val="00735A32"/>
    <w:rsid w:val="00735B11"/>
    <w:rsid w:val="00735B1D"/>
    <w:rsid w:val="00735BCC"/>
    <w:rsid w:val="00735C49"/>
    <w:rsid w:val="00735E10"/>
    <w:rsid w:val="00735E1E"/>
    <w:rsid w:val="00735E36"/>
    <w:rsid w:val="00735EC2"/>
    <w:rsid w:val="00735F44"/>
    <w:rsid w:val="00736067"/>
    <w:rsid w:val="007360DD"/>
    <w:rsid w:val="00736151"/>
    <w:rsid w:val="00736245"/>
    <w:rsid w:val="00736246"/>
    <w:rsid w:val="00736295"/>
    <w:rsid w:val="0073644F"/>
    <w:rsid w:val="00736496"/>
    <w:rsid w:val="007365F6"/>
    <w:rsid w:val="00736623"/>
    <w:rsid w:val="007366F3"/>
    <w:rsid w:val="0073695A"/>
    <w:rsid w:val="007369BA"/>
    <w:rsid w:val="007369BC"/>
    <w:rsid w:val="00736A24"/>
    <w:rsid w:val="00736BE8"/>
    <w:rsid w:val="00736BF8"/>
    <w:rsid w:val="00736D07"/>
    <w:rsid w:val="00736D31"/>
    <w:rsid w:val="00736DDF"/>
    <w:rsid w:val="00736E75"/>
    <w:rsid w:val="00736F1A"/>
    <w:rsid w:val="00737097"/>
    <w:rsid w:val="00737280"/>
    <w:rsid w:val="0073734E"/>
    <w:rsid w:val="00737424"/>
    <w:rsid w:val="00737429"/>
    <w:rsid w:val="0073753C"/>
    <w:rsid w:val="00737657"/>
    <w:rsid w:val="00737696"/>
    <w:rsid w:val="007378BB"/>
    <w:rsid w:val="00737906"/>
    <w:rsid w:val="007379C9"/>
    <w:rsid w:val="00737AFE"/>
    <w:rsid w:val="00737C05"/>
    <w:rsid w:val="00737D3D"/>
    <w:rsid w:val="00737D5D"/>
    <w:rsid w:val="00737DE4"/>
    <w:rsid w:val="00737E15"/>
    <w:rsid w:val="00737FB1"/>
    <w:rsid w:val="0073AE15"/>
    <w:rsid w:val="00740033"/>
    <w:rsid w:val="007400D3"/>
    <w:rsid w:val="00740196"/>
    <w:rsid w:val="00740226"/>
    <w:rsid w:val="00740298"/>
    <w:rsid w:val="007402CA"/>
    <w:rsid w:val="007402DE"/>
    <w:rsid w:val="00740336"/>
    <w:rsid w:val="007403B5"/>
    <w:rsid w:val="00740489"/>
    <w:rsid w:val="0074049B"/>
    <w:rsid w:val="0074052D"/>
    <w:rsid w:val="00740723"/>
    <w:rsid w:val="007409FE"/>
    <w:rsid w:val="00740A5C"/>
    <w:rsid w:val="00740CA6"/>
    <w:rsid w:val="00740E4D"/>
    <w:rsid w:val="00740E6F"/>
    <w:rsid w:val="00740E83"/>
    <w:rsid w:val="00740F76"/>
    <w:rsid w:val="00741011"/>
    <w:rsid w:val="00741089"/>
    <w:rsid w:val="00741100"/>
    <w:rsid w:val="00741119"/>
    <w:rsid w:val="007411BE"/>
    <w:rsid w:val="0074121F"/>
    <w:rsid w:val="007412BF"/>
    <w:rsid w:val="00741351"/>
    <w:rsid w:val="007413CE"/>
    <w:rsid w:val="0074140C"/>
    <w:rsid w:val="007414AD"/>
    <w:rsid w:val="007414BD"/>
    <w:rsid w:val="00741526"/>
    <w:rsid w:val="00741616"/>
    <w:rsid w:val="0074162A"/>
    <w:rsid w:val="0074163E"/>
    <w:rsid w:val="00741722"/>
    <w:rsid w:val="0074173D"/>
    <w:rsid w:val="0074174F"/>
    <w:rsid w:val="007418B6"/>
    <w:rsid w:val="00741ADB"/>
    <w:rsid w:val="00741C00"/>
    <w:rsid w:val="00741C5E"/>
    <w:rsid w:val="00741D11"/>
    <w:rsid w:val="00741D92"/>
    <w:rsid w:val="00741DCB"/>
    <w:rsid w:val="00741E52"/>
    <w:rsid w:val="00741EA2"/>
    <w:rsid w:val="00741FBC"/>
    <w:rsid w:val="00742019"/>
    <w:rsid w:val="00742060"/>
    <w:rsid w:val="00742203"/>
    <w:rsid w:val="00742222"/>
    <w:rsid w:val="007422CD"/>
    <w:rsid w:val="007422F5"/>
    <w:rsid w:val="007422F8"/>
    <w:rsid w:val="00742307"/>
    <w:rsid w:val="00742323"/>
    <w:rsid w:val="00742337"/>
    <w:rsid w:val="00742359"/>
    <w:rsid w:val="007423BD"/>
    <w:rsid w:val="007423F4"/>
    <w:rsid w:val="0074241C"/>
    <w:rsid w:val="0074242D"/>
    <w:rsid w:val="00742437"/>
    <w:rsid w:val="00742441"/>
    <w:rsid w:val="00742459"/>
    <w:rsid w:val="00742487"/>
    <w:rsid w:val="00742805"/>
    <w:rsid w:val="00742AF3"/>
    <w:rsid w:val="00742AFA"/>
    <w:rsid w:val="00742B2B"/>
    <w:rsid w:val="00742B99"/>
    <w:rsid w:val="00742CE3"/>
    <w:rsid w:val="00742CFA"/>
    <w:rsid w:val="00742DB5"/>
    <w:rsid w:val="00742EDB"/>
    <w:rsid w:val="00742EF1"/>
    <w:rsid w:val="00742F02"/>
    <w:rsid w:val="007430F8"/>
    <w:rsid w:val="0074314A"/>
    <w:rsid w:val="0074318C"/>
    <w:rsid w:val="007432B0"/>
    <w:rsid w:val="0074330F"/>
    <w:rsid w:val="00743362"/>
    <w:rsid w:val="00743383"/>
    <w:rsid w:val="0074341E"/>
    <w:rsid w:val="007437B3"/>
    <w:rsid w:val="007437FA"/>
    <w:rsid w:val="007438BF"/>
    <w:rsid w:val="00743A03"/>
    <w:rsid w:val="00743ACF"/>
    <w:rsid w:val="00743B4B"/>
    <w:rsid w:val="00743B90"/>
    <w:rsid w:val="00743BC1"/>
    <w:rsid w:val="00743BE1"/>
    <w:rsid w:val="00743BEF"/>
    <w:rsid w:val="00743CAC"/>
    <w:rsid w:val="00743CD4"/>
    <w:rsid w:val="00743D35"/>
    <w:rsid w:val="00743D74"/>
    <w:rsid w:val="00743DD9"/>
    <w:rsid w:val="00743FD5"/>
    <w:rsid w:val="00744330"/>
    <w:rsid w:val="007443FB"/>
    <w:rsid w:val="0074449E"/>
    <w:rsid w:val="007444B7"/>
    <w:rsid w:val="0074459E"/>
    <w:rsid w:val="007445F2"/>
    <w:rsid w:val="00744690"/>
    <w:rsid w:val="0074469D"/>
    <w:rsid w:val="007446D9"/>
    <w:rsid w:val="007447A7"/>
    <w:rsid w:val="00744805"/>
    <w:rsid w:val="00744895"/>
    <w:rsid w:val="007449CE"/>
    <w:rsid w:val="00744A68"/>
    <w:rsid w:val="00744BFE"/>
    <w:rsid w:val="00744C44"/>
    <w:rsid w:val="00744CB7"/>
    <w:rsid w:val="00744E4F"/>
    <w:rsid w:val="00745038"/>
    <w:rsid w:val="007450CD"/>
    <w:rsid w:val="0074535E"/>
    <w:rsid w:val="0074557B"/>
    <w:rsid w:val="00745585"/>
    <w:rsid w:val="0074562A"/>
    <w:rsid w:val="0074578C"/>
    <w:rsid w:val="0074590F"/>
    <w:rsid w:val="007459C9"/>
    <w:rsid w:val="00745B81"/>
    <w:rsid w:val="00745B9A"/>
    <w:rsid w:val="00745BD0"/>
    <w:rsid w:val="00746068"/>
    <w:rsid w:val="00746075"/>
    <w:rsid w:val="00746092"/>
    <w:rsid w:val="007460AD"/>
    <w:rsid w:val="00746141"/>
    <w:rsid w:val="0074614A"/>
    <w:rsid w:val="00746229"/>
    <w:rsid w:val="00746232"/>
    <w:rsid w:val="00746314"/>
    <w:rsid w:val="007463BE"/>
    <w:rsid w:val="00746450"/>
    <w:rsid w:val="0074648F"/>
    <w:rsid w:val="007464C3"/>
    <w:rsid w:val="0074652B"/>
    <w:rsid w:val="00746678"/>
    <w:rsid w:val="007468B6"/>
    <w:rsid w:val="007468FA"/>
    <w:rsid w:val="00746923"/>
    <w:rsid w:val="00746947"/>
    <w:rsid w:val="00746983"/>
    <w:rsid w:val="00746A2B"/>
    <w:rsid w:val="00746B59"/>
    <w:rsid w:val="00746B75"/>
    <w:rsid w:val="00746BA6"/>
    <w:rsid w:val="00746BB5"/>
    <w:rsid w:val="00746E9D"/>
    <w:rsid w:val="00746EFE"/>
    <w:rsid w:val="00746F5F"/>
    <w:rsid w:val="0074700C"/>
    <w:rsid w:val="0074704B"/>
    <w:rsid w:val="00747114"/>
    <w:rsid w:val="00747135"/>
    <w:rsid w:val="007471CD"/>
    <w:rsid w:val="00747267"/>
    <w:rsid w:val="0074750D"/>
    <w:rsid w:val="007475A8"/>
    <w:rsid w:val="0074767C"/>
    <w:rsid w:val="007477FF"/>
    <w:rsid w:val="00747958"/>
    <w:rsid w:val="00747AB4"/>
    <w:rsid w:val="00747AB7"/>
    <w:rsid w:val="00747C6C"/>
    <w:rsid w:val="00747CA0"/>
    <w:rsid w:val="00747D19"/>
    <w:rsid w:val="00747E00"/>
    <w:rsid w:val="00747E6D"/>
    <w:rsid w:val="00747E91"/>
    <w:rsid w:val="00747F5E"/>
    <w:rsid w:val="00747FAD"/>
    <w:rsid w:val="007500F0"/>
    <w:rsid w:val="0075019A"/>
    <w:rsid w:val="00750229"/>
    <w:rsid w:val="00750277"/>
    <w:rsid w:val="007502F4"/>
    <w:rsid w:val="00750320"/>
    <w:rsid w:val="007505A0"/>
    <w:rsid w:val="007505DE"/>
    <w:rsid w:val="007506CF"/>
    <w:rsid w:val="007506EF"/>
    <w:rsid w:val="007506F8"/>
    <w:rsid w:val="007506FF"/>
    <w:rsid w:val="00750718"/>
    <w:rsid w:val="007507A3"/>
    <w:rsid w:val="0075093F"/>
    <w:rsid w:val="00750B47"/>
    <w:rsid w:val="00750CB8"/>
    <w:rsid w:val="00750DB2"/>
    <w:rsid w:val="00750E40"/>
    <w:rsid w:val="00750ED4"/>
    <w:rsid w:val="00750FD2"/>
    <w:rsid w:val="00751086"/>
    <w:rsid w:val="00751089"/>
    <w:rsid w:val="0075110A"/>
    <w:rsid w:val="0075116C"/>
    <w:rsid w:val="007511C9"/>
    <w:rsid w:val="00751228"/>
    <w:rsid w:val="007512E3"/>
    <w:rsid w:val="00751445"/>
    <w:rsid w:val="007514A1"/>
    <w:rsid w:val="0075168E"/>
    <w:rsid w:val="0075184F"/>
    <w:rsid w:val="00751882"/>
    <w:rsid w:val="00751886"/>
    <w:rsid w:val="007519D4"/>
    <w:rsid w:val="007519D8"/>
    <w:rsid w:val="00751ADD"/>
    <w:rsid w:val="00751B67"/>
    <w:rsid w:val="00751B81"/>
    <w:rsid w:val="00751C38"/>
    <w:rsid w:val="00751C68"/>
    <w:rsid w:val="00751D61"/>
    <w:rsid w:val="00751EAB"/>
    <w:rsid w:val="007521C8"/>
    <w:rsid w:val="007523A4"/>
    <w:rsid w:val="007523DC"/>
    <w:rsid w:val="0075253C"/>
    <w:rsid w:val="0075276C"/>
    <w:rsid w:val="007528E6"/>
    <w:rsid w:val="007528F0"/>
    <w:rsid w:val="007529B3"/>
    <w:rsid w:val="00752CEA"/>
    <w:rsid w:val="00752D48"/>
    <w:rsid w:val="00752D8F"/>
    <w:rsid w:val="00752DEA"/>
    <w:rsid w:val="00752DFF"/>
    <w:rsid w:val="00752E89"/>
    <w:rsid w:val="00752EA5"/>
    <w:rsid w:val="00752F23"/>
    <w:rsid w:val="00752FF6"/>
    <w:rsid w:val="00753257"/>
    <w:rsid w:val="00753320"/>
    <w:rsid w:val="00753405"/>
    <w:rsid w:val="00753445"/>
    <w:rsid w:val="00753472"/>
    <w:rsid w:val="00753501"/>
    <w:rsid w:val="0075354C"/>
    <w:rsid w:val="007537B1"/>
    <w:rsid w:val="007538F3"/>
    <w:rsid w:val="00753A94"/>
    <w:rsid w:val="00753BB6"/>
    <w:rsid w:val="00753C24"/>
    <w:rsid w:val="00753C4F"/>
    <w:rsid w:val="00753C58"/>
    <w:rsid w:val="00753C9B"/>
    <w:rsid w:val="00753D66"/>
    <w:rsid w:val="00753DEC"/>
    <w:rsid w:val="00753DFD"/>
    <w:rsid w:val="00754032"/>
    <w:rsid w:val="007540B9"/>
    <w:rsid w:val="00754126"/>
    <w:rsid w:val="00754293"/>
    <w:rsid w:val="007544DA"/>
    <w:rsid w:val="0075452D"/>
    <w:rsid w:val="007545C6"/>
    <w:rsid w:val="00754636"/>
    <w:rsid w:val="00754823"/>
    <w:rsid w:val="00754896"/>
    <w:rsid w:val="0075490E"/>
    <w:rsid w:val="00754993"/>
    <w:rsid w:val="00754A20"/>
    <w:rsid w:val="00754A44"/>
    <w:rsid w:val="00754B83"/>
    <w:rsid w:val="00754BA0"/>
    <w:rsid w:val="00754CDB"/>
    <w:rsid w:val="00754F66"/>
    <w:rsid w:val="00754F79"/>
    <w:rsid w:val="00755008"/>
    <w:rsid w:val="007550BB"/>
    <w:rsid w:val="007550C8"/>
    <w:rsid w:val="00755186"/>
    <w:rsid w:val="00755453"/>
    <w:rsid w:val="0075551F"/>
    <w:rsid w:val="0075556B"/>
    <w:rsid w:val="00755713"/>
    <w:rsid w:val="00755791"/>
    <w:rsid w:val="007557BF"/>
    <w:rsid w:val="00755870"/>
    <w:rsid w:val="0075591F"/>
    <w:rsid w:val="007559F0"/>
    <w:rsid w:val="00755A54"/>
    <w:rsid w:val="00755B60"/>
    <w:rsid w:val="00755B67"/>
    <w:rsid w:val="00755BCC"/>
    <w:rsid w:val="00755C85"/>
    <w:rsid w:val="00755CEB"/>
    <w:rsid w:val="00755F21"/>
    <w:rsid w:val="007560FE"/>
    <w:rsid w:val="007561B8"/>
    <w:rsid w:val="007562FE"/>
    <w:rsid w:val="007564DC"/>
    <w:rsid w:val="00756531"/>
    <w:rsid w:val="00756699"/>
    <w:rsid w:val="00756723"/>
    <w:rsid w:val="00756795"/>
    <w:rsid w:val="007567B8"/>
    <w:rsid w:val="007567E8"/>
    <w:rsid w:val="00756809"/>
    <w:rsid w:val="00756988"/>
    <w:rsid w:val="007569A1"/>
    <w:rsid w:val="007569AB"/>
    <w:rsid w:val="007569C9"/>
    <w:rsid w:val="00756AA0"/>
    <w:rsid w:val="00756B13"/>
    <w:rsid w:val="00756B8B"/>
    <w:rsid w:val="00756D75"/>
    <w:rsid w:val="00756DF9"/>
    <w:rsid w:val="00756F51"/>
    <w:rsid w:val="00757155"/>
    <w:rsid w:val="007571E8"/>
    <w:rsid w:val="00757240"/>
    <w:rsid w:val="007572D0"/>
    <w:rsid w:val="00757422"/>
    <w:rsid w:val="007575EE"/>
    <w:rsid w:val="007576C8"/>
    <w:rsid w:val="007577FF"/>
    <w:rsid w:val="00757A48"/>
    <w:rsid w:val="00757AE4"/>
    <w:rsid w:val="00757B55"/>
    <w:rsid w:val="00757C05"/>
    <w:rsid w:val="00757CDF"/>
    <w:rsid w:val="00757D7A"/>
    <w:rsid w:val="00757D82"/>
    <w:rsid w:val="00757DC9"/>
    <w:rsid w:val="00757E05"/>
    <w:rsid w:val="00757F62"/>
    <w:rsid w:val="0076007F"/>
    <w:rsid w:val="007600A6"/>
    <w:rsid w:val="00760117"/>
    <w:rsid w:val="00760777"/>
    <w:rsid w:val="00760799"/>
    <w:rsid w:val="00760872"/>
    <w:rsid w:val="007609C1"/>
    <w:rsid w:val="007609D2"/>
    <w:rsid w:val="00760ACC"/>
    <w:rsid w:val="00760D00"/>
    <w:rsid w:val="00760D50"/>
    <w:rsid w:val="00760D9A"/>
    <w:rsid w:val="00760E4E"/>
    <w:rsid w:val="00760E64"/>
    <w:rsid w:val="00760F4A"/>
    <w:rsid w:val="00760FEE"/>
    <w:rsid w:val="00761093"/>
    <w:rsid w:val="007610D5"/>
    <w:rsid w:val="00761146"/>
    <w:rsid w:val="007611CF"/>
    <w:rsid w:val="00761300"/>
    <w:rsid w:val="00761325"/>
    <w:rsid w:val="0076132A"/>
    <w:rsid w:val="00761340"/>
    <w:rsid w:val="00761436"/>
    <w:rsid w:val="007614DB"/>
    <w:rsid w:val="00761529"/>
    <w:rsid w:val="00761570"/>
    <w:rsid w:val="007615FB"/>
    <w:rsid w:val="00761607"/>
    <w:rsid w:val="00761665"/>
    <w:rsid w:val="007616E1"/>
    <w:rsid w:val="00761840"/>
    <w:rsid w:val="00761907"/>
    <w:rsid w:val="00761948"/>
    <w:rsid w:val="00761A76"/>
    <w:rsid w:val="00761A8B"/>
    <w:rsid w:val="00761BC6"/>
    <w:rsid w:val="00761C43"/>
    <w:rsid w:val="00761D91"/>
    <w:rsid w:val="00761DB4"/>
    <w:rsid w:val="00761EBF"/>
    <w:rsid w:val="00761EDA"/>
    <w:rsid w:val="00761F3E"/>
    <w:rsid w:val="00761FA8"/>
    <w:rsid w:val="00761FE3"/>
    <w:rsid w:val="007621EF"/>
    <w:rsid w:val="007622FA"/>
    <w:rsid w:val="0076233A"/>
    <w:rsid w:val="00762357"/>
    <w:rsid w:val="0076239F"/>
    <w:rsid w:val="00762417"/>
    <w:rsid w:val="007624C3"/>
    <w:rsid w:val="007625FF"/>
    <w:rsid w:val="0076267C"/>
    <w:rsid w:val="007626BC"/>
    <w:rsid w:val="0076271E"/>
    <w:rsid w:val="007629AD"/>
    <w:rsid w:val="007629E4"/>
    <w:rsid w:val="00762AC0"/>
    <w:rsid w:val="00762BA0"/>
    <w:rsid w:val="00762C26"/>
    <w:rsid w:val="00762C3E"/>
    <w:rsid w:val="00762CE4"/>
    <w:rsid w:val="00762D38"/>
    <w:rsid w:val="00762DF4"/>
    <w:rsid w:val="00762EFA"/>
    <w:rsid w:val="00763110"/>
    <w:rsid w:val="007631C4"/>
    <w:rsid w:val="00763206"/>
    <w:rsid w:val="0076336E"/>
    <w:rsid w:val="00763385"/>
    <w:rsid w:val="0076339E"/>
    <w:rsid w:val="007633FE"/>
    <w:rsid w:val="0076353A"/>
    <w:rsid w:val="0076355A"/>
    <w:rsid w:val="007635B4"/>
    <w:rsid w:val="00763620"/>
    <w:rsid w:val="00763666"/>
    <w:rsid w:val="00763AF4"/>
    <w:rsid w:val="00763B8F"/>
    <w:rsid w:val="00763BC3"/>
    <w:rsid w:val="00763BE4"/>
    <w:rsid w:val="00763CA5"/>
    <w:rsid w:val="00763ED2"/>
    <w:rsid w:val="00763FBA"/>
    <w:rsid w:val="0076400E"/>
    <w:rsid w:val="0076402D"/>
    <w:rsid w:val="007640A2"/>
    <w:rsid w:val="007641FF"/>
    <w:rsid w:val="00764225"/>
    <w:rsid w:val="00764258"/>
    <w:rsid w:val="007642F2"/>
    <w:rsid w:val="00764343"/>
    <w:rsid w:val="0076436A"/>
    <w:rsid w:val="007643CE"/>
    <w:rsid w:val="00764400"/>
    <w:rsid w:val="00764685"/>
    <w:rsid w:val="007646A9"/>
    <w:rsid w:val="007646C1"/>
    <w:rsid w:val="007646E7"/>
    <w:rsid w:val="007646FC"/>
    <w:rsid w:val="007647EB"/>
    <w:rsid w:val="00764A79"/>
    <w:rsid w:val="00764B53"/>
    <w:rsid w:val="00764B6D"/>
    <w:rsid w:val="00764BF6"/>
    <w:rsid w:val="00764DC4"/>
    <w:rsid w:val="00765146"/>
    <w:rsid w:val="007651FE"/>
    <w:rsid w:val="00765337"/>
    <w:rsid w:val="0076547A"/>
    <w:rsid w:val="007654C8"/>
    <w:rsid w:val="00765507"/>
    <w:rsid w:val="0076558B"/>
    <w:rsid w:val="0076568E"/>
    <w:rsid w:val="007656A4"/>
    <w:rsid w:val="0076593A"/>
    <w:rsid w:val="0076596D"/>
    <w:rsid w:val="007659F8"/>
    <w:rsid w:val="00765A25"/>
    <w:rsid w:val="00765B35"/>
    <w:rsid w:val="00765B9C"/>
    <w:rsid w:val="00765BCC"/>
    <w:rsid w:val="00765BE7"/>
    <w:rsid w:val="00765BFE"/>
    <w:rsid w:val="00765C74"/>
    <w:rsid w:val="00765D91"/>
    <w:rsid w:val="00765E66"/>
    <w:rsid w:val="00765F28"/>
    <w:rsid w:val="00765F5D"/>
    <w:rsid w:val="00765F64"/>
    <w:rsid w:val="00765FA4"/>
    <w:rsid w:val="0076602F"/>
    <w:rsid w:val="0076609E"/>
    <w:rsid w:val="00766235"/>
    <w:rsid w:val="00766253"/>
    <w:rsid w:val="0076632A"/>
    <w:rsid w:val="007663A0"/>
    <w:rsid w:val="007663F5"/>
    <w:rsid w:val="00766410"/>
    <w:rsid w:val="00766420"/>
    <w:rsid w:val="007664C6"/>
    <w:rsid w:val="007664FB"/>
    <w:rsid w:val="00766574"/>
    <w:rsid w:val="007666CE"/>
    <w:rsid w:val="00766728"/>
    <w:rsid w:val="00766898"/>
    <w:rsid w:val="00766B14"/>
    <w:rsid w:val="00766D1E"/>
    <w:rsid w:val="00766EC7"/>
    <w:rsid w:val="00766F57"/>
    <w:rsid w:val="0076704B"/>
    <w:rsid w:val="007670F6"/>
    <w:rsid w:val="0076715A"/>
    <w:rsid w:val="007673FC"/>
    <w:rsid w:val="00767460"/>
    <w:rsid w:val="00767463"/>
    <w:rsid w:val="0076750A"/>
    <w:rsid w:val="007678D1"/>
    <w:rsid w:val="00767B74"/>
    <w:rsid w:val="00767C3D"/>
    <w:rsid w:val="00767CD1"/>
    <w:rsid w:val="00767D2F"/>
    <w:rsid w:val="00767D38"/>
    <w:rsid w:val="00767F3F"/>
    <w:rsid w:val="007700C1"/>
    <w:rsid w:val="007700C6"/>
    <w:rsid w:val="007701B9"/>
    <w:rsid w:val="0077030F"/>
    <w:rsid w:val="00770393"/>
    <w:rsid w:val="00770396"/>
    <w:rsid w:val="007703E4"/>
    <w:rsid w:val="00770543"/>
    <w:rsid w:val="007706A9"/>
    <w:rsid w:val="007706DF"/>
    <w:rsid w:val="0077080B"/>
    <w:rsid w:val="00770835"/>
    <w:rsid w:val="00770895"/>
    <w:rsid w:val="007708A5"/>
    <w:rsid w:val="007709C6"/>
    <w:rsid w:val="00770C0F"/>
    <w:rsid w:val="00770CC9"/>
    <w:rsid w:val="00771077"/>
    <w:rsid w:val="00771153"/>
    <w:rsid w:val="00771192"/>
    <w:rsid w:val="00771262"/>
    <w:rsid w:val="007712BB"/>
    <w:rsid w:val="007712C2"/>
    <w:rsid w:val="00771307"/>
    <w:rsid w:val="0077134A"/>
    <w:rsid w:val="00771399"/>
    <w:rsid w:val="00771452"/>
    <w:rsid w:val="00771459"/>
    <w:rsid w:val="007714B3"/>
    <w:rsid w:val="007714C4"/>
    <w:rsid w:val="0077151E"/>
    <w:rsid w:val="0077163C"/>
    <w:rsid w:val="00771758"/>
    <w:rsid w:val="00771905"/>
    <w:rsid w:val="00771985"/>
    <w:rsid w:val="00771B97"/>
    <w:rsid w:val="00771C46"/>
    <w:rsid w:val="00771C6C"/>
    <w:rsid w:val="00771CFD"/>
    <w:rsid w:val="00771D85"/>
    <w:rsid w:val="00771DAB"/>
    <w:rsid w:val="00771E9C"/>
    <w:rsid w:val="00771F95"/>
    <w:rsid w:val="007721E0"/>
    <w:rsid w:val="00772277"/>
    <w:rsid w:val="007722DB"/>
    <w:rsid w:val="00772316"/>
    <w:rsid w:val="0077235E"/>
    <w:rsid w:val="0077239C"/>
    <w:rsid w:val="007723A4"/>
    <w:rsid w:val="00772419"/>
    <w:rsid w:val="0077245F"/>
    <w:rsid w:val="007724F6"/>
    <w:rsid w:val="00772544"/>
    <w:rsid w:val="00772765"/>
    <w:rsid w:val="0077278D"/>
    <w:rsid w:val="0077296F"/>
    <w:rsid w:val="007729A2"/>
    <w:rsid w:val="00772C8B"/>
    <w:rsid w:val="00772CCF"/>
    <w:rsid w:val="00772EAB"/>
    <w:rsid w:val="0077315D"/>
    <w:rsid w:val="007731B5"/>
    <w:rsid w:val="007731BA"/>
    <w:rsid w:val="007732A8"/>
    <w:rsid w:val="007732C4"/>
    <w:rsid w:val="00773331"/>
    <w:rsid w:val="007733A3"/>
    <w:rsid w:val="00773599"/>
    <w:rsid w:val="007735B3"/>
    <w:rsid w:val="0077367C"/>
    <w:rsid w:val="0077386B"/>
    <w:rsid w:val="007739AF"/>
    <w:rsid w:val="00773A3A"/>
    <w:rsid w:val="00773A98"/>
    <w:rsid w:val="00773F68"/>
    <w:rsid w:val="007741AA"/>
    <w:rsid w:val="00774708"/>
    <w:rsid w:val="00774778"/>
    <w:rsid w:val="007747D7"/>
    <w:rsid w:val="0077482C"/>
    <w:rsid w:val="0077487D"/>
    <w:rsid w:val="007748E0"/>
    <w:rsid w:val="00774940"/>
    <w:rsid w:val="00774A4C"/>
    <w:rsid w:val="00774B0A"/>
    <w:rsid w:val="00774B20"/>
    <w:rsid w:val="00774BC8"/>
    <w:rsid w:val="00774CC8"/>
    <w:rsid w:val="0077518B"/>
    <w:rsid w:val="0077520C"/>
    <w:rsid w:val="00775216"/>
    <w:rsid w:val="00775257"/>
    <w:rsid w:val="007752EE"/>
    <w:rsid w:val="00775369"/>
    <w:rsid w:val="00775412"/>
    <w:rsid w:val="00775461"/>
    <w:rsid w:val="007754B2"/>
    <w:rsid w:val="007754E5"/>
    <w:rsid w:val="00775864"/>
    <w:rsid w:val="007758D9"/>
    <w:rsid w:val="00775A7E"/>
    <w:rsid w:val="00775C0E"/>
    <w:rsid w:val="00775D62"/>
    <w:rsid w:val="0077610C"/>
    <w:rsid w:val="007761F2"/>
    <w:rsid w:val="00776470"/>
    <w:rsid w:val="007764C6"/>
    <w:rsid w:val="007765E1"/>
    <w:rsid w:val="0077668B"/>
    <w:rsid w:val="00776696"/>
    <w:rsid w:val="0077679B"/>
    <w:rsid w:val="007767EF"/>
    <w:rsid w:val="00776AE3"/>
    <w:rsid w:val="00776AF6"/>
    <w:rsid w:val="00776B8C"/>
    <w:rsid w:val="00776BB3"/>
    <w:rsid w:val="00776C7E"/>
    <w:rsid w:val="00776D36"/>
    <w:rsid w:val="00776DC5"/>
    <w:rsid w:val="00776DCD"/>
    <w:rsid w:val="00776EC5"/>
    <w:rsid w:val="00776F0E"/>
    <w:rsid w:val="00776F77"/>
    <w:rsid w:val="0077706E"/>
    <w:rsid w:val="007770FC"/>
    <w:rsid w:val="00777124"/>
    <w:rsid w:val="00777296"/>
    <w:rsid w:val="007772CC"/>
    <w:rsid w:val="00777342"/>
    <w:rsid w:val="00777361"/>
    <w:rsid w:val="007773F9"/>
    <w:rsid w:val="0077740F"/>
    <w:rsid w:val="00777422"/>
    <w:rsid w:val="00777452"/>
    <w:rsid w:val="00777524"/>
    <w:rsid w:val="007778B9"/>
    <w:rsid w:val="007779A6"/>
    <w:rsid w:val="00777A3B"/>
    <w:rsid w:val="00777C07"/>
    <w:rsid w:val="00777C8D"/>
    <w:rsid w:val="00777D3C"/>
    <w:rsid w:val="00777EAE"/>
    <w:rsid w:val="00777EBA"/>
    <w:rsid w:val="00777EDC"/>
    <w:rsid w:val="00777EFB"/>
    <w:rsid w:val="00777F43"/>
    <w:rsid w:val="0078008F"/>
    <w:rsid w:val="00780150"/>
    <w:rsid w:val="007802B6"/>
    <w:rsid w:val="00780325"/>
    <w:rsid w:val="00780471"/>
    <w:rsid w:val="00780474"/>
    <w:rsid w:val="00780484"/>
    <w:rsid w:val="00780526"/>
    <w:rsid w:val="00780550"/>
    <w:rsid w:val="0078064A"/>
    <w:rsid w:val="007807D4"/>
    <w:rsid w:val="00780A38"/>
    <w:rsid w:val="00780B1F"/>
    <w:rsid w:val="00780DDD"/>
    <w:rsid w:val="00780E37"/>
    <w:rsid w:val="00780E8C"/>
    <w:rsid w:val="00780E9B"/>
    <w:rsid w:val="00780EC0"/>
    <w:rsid w:val="00780F9C"/>
    <w:rsid w:val="00781060"/>
    <w:rsid w:val="007813A6"/>
    <w:rsid w:val="00781456"/>
    <w:rsid w:val="0078158D"/>
    <w:rsid w:val="00781671"/>
    <w:rsid w:val="007816E2"/>
    <w:rsid w:val="00781766"/>
    <w:rsid w:val="00781802"/>
    <w:rsid w:val="007818AE"/>
    <w:rsid w:val="00781AFA"/>
    <w:rsid w:val="00781B0D"/>
    <w:rsid w:val="00781C2D"/>
    <w:rsid w:val="00781C7F"/>
    <w:rsid w:val="00781DEF"/>
    <w:rsid w:val="00781F71"/>
    <w:rsid w:val="00782030"/>
    <w:rsid w:val="0078218F"/>
    <w:rsid w:val="007821F8"/>
    <w:rsid w:val="0078225D"/>
    <w:rsid w:val="007823A7"/>
    <w:rsid w:val="00782498"/>
    <w:rsid w:val="00782595"/>
    <w:rsid w:val="00782675"/>
    <w:rsid w:val="00782693"/>
    <w:rsid w:val="0078279B"/>
    <w:rsid w:val="007827D5"/>
    <w:rsid w:val="00782838"/>
    <w:rsid w:val="00782892"/>
    <w:rsid w:val="007828BD"/>
    <w:rsid w:val="00782A3E"/>
    <w:rsid w:val="00782BD0"/>
    <w:rsid w:val="00782E9F"/>
    <w:rsid w:val="00782F13"/>
    <w:rsid w:val="00783108"/>
    <w:rsid w:val="00783222"/>
    <w:rsid w:val="0078326A"/>
    <w:rsid w:val="007832EE"/>
    <w:rsid w:val="00783461"/>
    <w:rsid w:val="00783514"/>
    <w:rsid w:val="00783540"/>
    <w:rsid w:val="007836B8"/>
    <w:rsid w:val="00783815"/>
    <w:rsid w:val="00783828"/>
    <w:rsid w:val="0078389A"/>
    <w:rsid w:val="00783A29"/>
    <w:rsid w:val="00783A63"/>
    <w:rsid w:val="00783DA0"/>
    <w:rsid w:val="00783E32"/>
    <w:rsid w:val="00783E43"/>
    <w:rsid w:val="00783E70"/>
    <w:rsid w:val="0078405F"/>
    <w:rsid w:val="007840CD"/>
    <w:rsid w:val="007841D1"/>
    <w:rsid w:val="007841E0"/>
    <w:rsid w:val="00784204"/>
    <w:rsid w:val="0078435C"/>
    <w:rsid w:val="0078439A"/>
    <w:rsid w:val="007843AC"/>
    <w:rsid w:val="007843ED"/>
    <w:rsid w:val="00784646"/>
    <w:rsid w:val="007846C8"/>
    <w:rsid w:val="0078477E"/>
    <w:rsid w:val="00784BF0"/>
    <w:rsid w:val="00784C2B"/>
    <w:rsid w:val="00784C39"/>
    <w:rsid w:val="00784C8F"/>
    <w:rsid w:val="00784E3D"/>
    <w:rsid w:val="00784FA0"/>
    <w:rsid w:val="0078509E"/>
    <w:rsid w:val="0078513A"/>
    <w:rsid w:val="00785273"/>
    <w:rsid w:val="007852AC"/>
    <w:rsid w:val="00785329"/>
    <w:rsid w:val="00785332"/>
    <w:rsid w:val="007853B1"/>
    <w:rsid w:val="00785449"/>
    <w:rsid w:val="0078553A"/>
    <w:rsid w:val="00785619"/>
    <w:rsid w:val="0078563D"/>
    <w:rsid w:val="00785842"/>
    <w:rsid w:val="00785909"/>
    <w:rsid w:val="00785938"/>
    <w:rsid w:val="00785978"/>
    <w:rsid w:val="00785A65"/>
    <w:rsid w:val="00785A74"/>
    <w:rsid w:val="00785AF8"/>
    <w:rsid w:val="00785B0D"/>
    <w:rsid w:val="00785BD8"/>
    <w:rsid w:val="00785C76"/>
    <w:rsid w:val="00785CF2"/>
    <w:rsid w:val="00785D3F"/>
    <w:rsid w:val="00785EC9"/>
    <w:rsid w:val="0078629B"/>
    <w:rsid w:val="00786347"/>
    <w:rsid w:val="0078636A"/>
    <w:rsid w:val="0078638E"/>
    <w:rsid w:val="007863C4"/>
    <w:rsid w:val="007864D9"/>
    <w:rsid w:val="00786651"/>
    <w:rsid w:val="0078668D"/>
    <w:rsid w:val="007866BD"/>
    <w:rsid w:val="00786713"/>
    <w:rsid w:val="007869BC"/>
    <w:rsid w:val="00786A1B"/>
    <w:rsid w:val="00786A20"/>
    <w:rsid w:val="00786CBD"/>
    <w:rsid w:val="00786D15"/>
    <w:rsid w:val="00786D82"/>
    <w:rsid w:val="00786E60"/>
    <w:rsid w:val="00786E65"/>
    <w:rsid w:val="00786EC3"/>
    <w:rsid w:val="00786F10"/>
    <w:rsid w:val="00787145"/>
    <w:rsid w:val="0078716B"/>
    <w:rsid w:val="00787190"/>
    <w:rsid w:val="007871B7"/>
    <w:rsid w:val="007874B4"/>
    <w:rsid w:val="007874B5"/>
    <w:rsid w:val="007874CE"/>
    <w:rsid w:val="00787509"/>
    <w:rsid w:val="0078761D"/>
    <w:rsid w:val="007876F3"/>
    <w:rsid w:val="007877FF"/>
    <w:rsid w:val="0078784C"/>
    <w:rsid w:val="007878CB"/>
    <w:rsid w:val="0078792D"/>
    <w:rsid w:val="00787A92"/>
    <w:rsid w:val="00787AA9"/>
    <w:rsid w:val="00787C70"/>
    <w:rsid w:val="00787D7E"/>
    <w:rsid w:val="00787D86"/>
    <w:rsid w:val="00787E0C"/>
    <w:rsid w:val="00787F65"/>
    <w:rsid w:val="00787FD0"/>
    <w:rsid w:val="00790080"/>
    <w:rsid w:val="0079008A"/>
    <w:rsid w:val="007901D3"/>
    <w:rsid w:val="007901F8"/>
    <w:rsid w:val="00790215"/>
    <w:rsid w:val="00790260"/>
    <w:rsid w:val="007902F3"/>
    <w:rsid w:val="007904A7"/>
    <w:rsid w:val="007906B0"/>
    <w:rsid w:val="00790867"/>
    <w:rsid w:val="0079089D"/>
    <w:rsid w:val="0079092F"/>
    <w:rsid w:val="00790A98"/>
    <w:rsid w:val="00790B30"/>
    <w:rsid w:val="00790B82"/>
    <w:rsid w:val="00790BC1"/>
    <w:rsid w:val="00790D19"/>
    <w:rsid w:val="00790D7B"/>
    <w:rsid w:val="00790DCD"/>
    <w:rsid w:val="00790EAA"/>
    <w:rsid w:val="00790EAC"/>
    <w:rsid w:val="00790EE0"/>
    <w:rsid w:val="00790F43"/>
    <w:rsid w:val="00790F58"/>
    <w:rsid w:val="0079102E"/>
    <w:rsid w:val="00791107"/>
    <w:rsid w:val="00791248"/>
    <w:rsid w:val="007913A1"/>
    <w:rsid w:val="007913CE"/>
    <w:rsid w:val="00791480"/>
    <w:rsid w:val="0079158E"/>
    <w:rsid w:val="00791596"/>
    <w:rsid w:val="007915FE"/>
    <w:rsid w:val="007916BD"/>
    <w:rsid w:val="007916C5"/>
    <w:rsid w:val="0079177A"/>
    <w:rsid w:val="00791860"/>
    <w:rsid w:val="0079191E"/>
    <w:rsid w:val="00791964"/>
    <w:rsid w:val="007919A8"/>
    <w:rsid w:val="00791A06"/>
    <w:rsid w:val="00791B17"/>
    <w:rsid w:val="00791BDC"/>
    <w:rsid w:val="00791C18"/>
    <w:rsid w:val="00791C1C"/>
    <w:rsid w:val="00791CD1"/>
    <w:rsid w:val="00791E18"/>
    <w:rsid w:val="00791F34"/>
    <w:rsid w:val="00791F3F"/>
    <w:rsid w:val="00791FCF"/>
    <w:rsid w:val="00792045"/>
    <w:rsid w:val="007921D7"/>
    <w:rsid w:val="0079223F"/>
    <w:rsid w:val="007922D3"/>
    <w:rsid w:val="00792351"/>
    <w:rsid w:val="0079239A"/>
    <w:rsid w:val="007924E0"/>
    <w:rsid w:val="007924F4"/>
    <w:rsid w:val="0079255E"/>
    <w:rsid w:val="0079258C"/>
    <w:rsid w:val="0079262D"/>
    <w:rsid w:val="00792883"/>
    <w:rsid w:val="00792951"/>
    <w:rsid w:val="00792960"/>
    <w:rsid w:val="00792A7A"/>
    <w:rsid w:val="00792B28"/>
    <w:rsid w:val="00792D3C"/>
    <w:rsid w:val="00792F9B"/>
    <w:rsid w:val="00793000"/>
    <w:rsid w:val="0079301A"/>
    <w:rsid w:val="00793061"/>
    <w:rsid w:val="00793078"/>
    <w:rsid w:val="0079316E"/>
    <w:rsid w:val="007932AC"/>
    <w:rsid w:val="007932C3"/>
    <w:rsid w:val="007932DD"/>
    <w:rsid w:val="007932EF"/>
    <w:rsid w:val="0079338E"/>
    <w:rsid w:val="0079364B"/>
    <w:rsid w:val="00793668"/>
    <w:rsid w:val="0079384D"/>
    <w:rsid w:val="00793854"/>
    <w:rsid w:val="00793925"/>
    <w:rsid w:val="0079393B"/>
    <w:rsid w:val="007939A3"/>
    <w:rsid w:val="00793B10"/>
    <w:rsid w:val="00793B26"/>
    <w:rsid w:val="00793B5E"/>
    <w:rsid w:val="00793B90"/>
    <w:rsid w:val="00793BD1"/>
    <w:rsid w:val="00793C88"/>
    <w:rsid w:val="00793DA4"/>
    <w:rsid w:val="00793E03"/>
    <w:rsid w:val="00793F42"/>
    <w:rsid w:val="00793FCD"/>
    <w:rsid w:val="007940A7"/>
    <w:rsid w:val="007940F4"/>
    <w:rsid w:val="00794117"/>
    <w:rsid w:val="007941AD"/>
    <w:rsid w:val="007942D2"/>
    <w:rsid w:val="00794449"/>
    <w:rsid w:val="007944D2"/>
    <w:rsid w:val="007945ED"/>
    <w:rsid w:val="007947D1"/>
    <w:rsid w:val="007948D5"/>
    <w:rsid w:val="007949E2"/>
    <w:rsid w:val="00794A9C"/>
    <w:rsid w:val="00794B63"/>
    <w:rsid w:val="00794C7A"/>
    <w:rsid w:val="00794C7D"/>
    <w:rsid w:val="00794D20"/>
    <w:rsid w:val="00794DAF"/>
    <w:rsid w:val="00794FD3"/>
    <w:rsid w:val="00795068"/>
    <w:rsid w:val="00795246"/>
    <w:rsid w:val="0079527A"/>
    <w:rsid w:val="007953B0"/>
    <w:rsid w:val="00795430"/>
    <w:rsid w:val="00795486"/>
    <w:rsid w:val="00795565"/>
    <w:rsid w:val="00795702"/>
    <w:rsid w:val="00795769"/>
    <w:rsid w:val="007957B7"/>
    <w:rsid w:val="00795895"/>
    <w:rsid w:val="00795AE0"/>
    <w:rsid w:val="00795B04"/>
    <w:rsid w:val="00795B1B"/>
    <w:rsid w:val="00795B27"/>
    <w:rsid w:val="00795C83"/>
    <w:rsid w:val="00795CA9"/>
    <w:rsid w:val="00795CD0"/>
    <w:rsid w:val="00795D37"/>
    <w:rsid w:val="00795D6C"/>
    <w:rsid w:val="00795DE1"/>
    <w:rsid w:val="00795F65"/>
    <w:rsid w:val="00795F96"/>
    <w:rsid w:val="00796190"/>
    <w:rsid w:val="00796230"/>
    <w:rsid w:val="00796239"/>
    <w:rsid w:val="007962F7"/>
    <w:rsid w:val="007966CD"/>
    <w:rsid w:val="007966D3"/>
    <w:rsid w:val="00796720"/>
    <w:rsid w:val="0079675A"/>
    <w:rsid w:val="007967C3"/>
    <w:rsid w:val="0079683C"/>
    <w:rsid w:val="0079687A"/>
    <w:rsid w:val="007968CF"/>
    <w:rsid w:val="007968DD"/>
    <w:rsid w:val="00796916"/>
    <w:rsid w:val="00796A73"/>
    <w:rsid w:val="00796AED"/>
    <w:rsid w:val="00796B50"/>
    <w:rsid w:val="00796B75"/>
    <w:rsid w:val="00796B8F"/>
    <w:rsid w:val="00796C3A"/>
    <w:rsid w:val="00796CB4"/>
    <w:rsid w:val="00796E85"/>
    <w:rsid w:val="00797013"/>
    <w:rsid w:val="0079722A"/>
    <w:rsid w:val="00797242"/>
    <w:rsid w:val="007972C6"/>
    <w:rsid w:val="007972EC"/>
    <w:rsid w:val="007973C7"/>
    <w:rsid w:val="00797418"/>
    <w:rsid w:val="00797421"/>
    <w:rsid w:val="007974C6"/>
    <w:rsid w:val="007974EA"/>
    <w:rsid w:val="007976BA"/>
    <w:rsid w:val="0079770E"/>
    <w:rsid w:val="0079778E"/>
    <w:rsid w:val="007978C9"/>
    <w:rsid w:val="007978FF"/>
    <w:rsid w:val="00797AF7"/>
    <w:rsid w:val="00797B6B"/>
    <w:rsid w:val="00797B9A"/>
    <w:rsid w:val="00797C5C"/>
    <w:rsid w:val="00797D43"/>
    <w:rsid w:val="00797E26"/>
    <w:rsid w:val="00797EF0"/>
    <w:rsid w:val="00797F0A"/>
    <w:rsid w:val="00797F8F"/>
    <w:rsid w:val="00797FB2"/>
    <w:rsid w:val="00797FE3"/>
    <w:rsid w:val="0079B742"/>
    <w:rsid w:val="007A0026"/>
    <w:rsid w:val="007A0085"/>
    <w:rsid w:val="007A0106"/>
    <w:rsid w:val="007A02C7"/>
    <w:rsid w:val="007A0377"/>
    <w:rsid w:val="007A04ED"/>
    <w:rsid w:val="007A054F"/>
    <w:rsid w:val="007A071F"/>
    <w:rsid w:val="007A0735"/>
    <w:rsid w:val="007A0741"/>
    <w:rsid w:val="007A078B"/>
    <w:rsid w:val="007A07C0"/>
    <w:rsid w:val="007A07E2"/>
    <w:rsid w:val="007A07EA"/>
    <w:rsid w:val="007A0833"/>
    <w:rsid w:val="007A08B1"/>
    <w:rsid w:val="007A08BF"/>
    <w:rsid w:val="007A09CC"/>
    <w:rsid w:val="007A0B4F"/>
    <w:rsid w:val="007A0C06"/>
    <w:rsid w:val="007A0C45"/>
    <w:rsid w:val="007A106D"/>
    <w:rsid w:val="007A1218"/>
    <w:rsid w:val="007A12DA"/>
    <w:rsid w:val="007A1352"/>
    <w:rsid w:val="007A140B"/>
    <w:rsid w:val="007A1466"/>
    <w:rsid w:val="007A14EE"/>
    <w:rsid w:val="007A16FD"/>
    <w:rsid w:val="007A1733"/>
    <w:rsid w:val="007A1893"/>
    <w:rsid w:val="007A1B70"/>
    <w:rsid w:val="007A1D8F"/>
    <w:rsid w:val="007A1DE4"/>
    <w:rsid w:val="007A1DEF"/>
    <w:rsid w:val="007A1E74"/>
    <w:rsid w:val="007A1FC6"/>
    <w:rsid w:val="007A2476"/>
    <w:rsid w:val="007A247D"/>
    <w:rsid w:val="007A2526"/>
    <w:rsid w:val="007A267C"/>
    <w:rsid w:val="007A2690"/>
    <w:rsid w:val="007A26D3"/>
    <w:rsid w:val="007A27B8"/>
    <w:rsid w:val="007A27F5"/>
    <w:rsid w:val="007A289E"/>
    <w:rsid w:val="007A29F3"/>
    <w:rsid w:val="007A2A22"/>
    <w:rsid w:val="007A2AF8"/>
    <w:rsid w:val="007A2B1B"/>
    <w:rsid w:val="007A2C4A"/>
    <w:rsid w:val="007A2C4E"/>
    <w:rsid w:val="007A2F82"/>
    <w:rsid w:val="007A31F1"/>
    <w:rsid w:val="007A33C7"/>
    <w:rsid w:val="007A3443"/>
    <w:rsid w:val="007A3517"/>
    <w:rsid w:val="007A35C6"/>
    <w:rsid w:val="007A35F0"/>
    <w:rsid w:val="007A367B"/>
    <w:rsid w:val="007A37E9"/>
    <w:rsid w:val="007A382A"/>
    <w:rsid w:val="007A3834"/>
    <w:rsid w:val="007A3837"/>
    <w:rsid w:val="007A3854"/>
    <w:rsid w:val="007A3857"/>
    <w:rsid w:val="007A38CE"/>
    <w:rsid w:val="007A3984"/>
    <w:rsid w:val="007A3CAD"/>
    <w:rsid w:val="007A3D48"/>
    <w:rsid w:val="007A3E0A"/>
    <w:rsid w:val="007A3E40"/>
    <w:rsid w:val="007A3F26"/>
    <w:rsid w:val="007A3FE0"/>
    <w:rsid w:val="007A405A"/>
    <w:rsid w:val="007A40D6"/>
    <w:rsid w:val="007A40F5"/>
    <w:rsid w:val="007A4128"/>
    <w:rsid w:val="007A4234"/>
    <w:rsid w:val="007A439D"/>
    <w:rsid w:val="007A453D"/>
    <w:rsid w:val="007A46A5"/>
    <w:rsid w:val="007A4B34"/>
    <w:rsid w:val="007A4B99"/>
    <w:rsid w:val="007A4BC3"/>
    <w:rsid w:val="007A4C8E"/>
    <w:rsid w:val="007A4CC1"/>
    <w:rsid w:val="007A4D19"/>
    <w:rsid w:val="007A4DCA"/>
    <w:rsid w:val="007A4E48"/>
    <w:rsid w:val="007A4E58"/>
    <w:rsid w:val="007A4E9F"/>
    <w:rsid w:val="007A4F6A"/>
    <w:rsid w:val="007A4FA1"/>
    <w:rsid w:val="007A5248"/>
    <w:rsid w:val="007A535C"/>
    <w:rsid w:val="007A53A7"/>
    <w:rsid w:val="007A5515"/>
    <w:rsid w:val="007A5656"/>
    <w:rsid w:val="007A56DA"/>
    <w:rsid w:val="007A579C"/>
    <w:rsid w:val="007A587D"/>
    <w:rsid w:val="007A58A2"/>
    <w:rsid w:val="007A58DB"/>
    <w:rsid w:val="007A58E3"/>
    <w:rsid w:val="007A5A2F"/>
    <w:rsid w:val="007A5A47"/>
    <w:rsid w:val="007A5B48"/>
    <w:rsid w:val="007A5B70"/>
    <w:rsid w:val="007A5BC7"/>
    <w:rsid w:val="007A5C60"/>
    <w:rsid w:val="007A5D1A"/>
    <w:rsid w:val="007A5DDB"/>
    <w:rsid w:val="007A5E1E"/>
    <w:rsid w:val="007A5F7A"/>
    <w:rsid w:val="007A5FCF"/>
    <w:rsid w:val="007A6046"/>
    <w:rsid w:val="007A6167"/>
    <w:rsid w:val="007A61B1"/>
    <w:rsid w:val="007A61DF"/>
    <w:rsid w:val="007A62AC"/>
    <w:rsid w:val="007A6333"/>
    <w:rsid w:val="007A63F5"/>
    <w:rsid w:val="007A64E6"/>
    <w:rsid w:val="007A6620"/>
    <w:rsid w:val="007A6649"/>
    <w:rsid w:val="007A68EA"/>
    <w:rsid w:val="007A6969"/>
    <w:rsid w:val="007A69C4"/>
    <w:rsid w:val="007A6A00"/>
    <w:rsid w:val="007A6D20"/>
    <w:rsid w:val="007A6D4B"/>
    <w:rsid w:val="007A6D7D"/>
    <w:rsid w:val="007A6E1B"/>
    <w:rsid w:val="007A6E32"/>
    <w:rsid w:val="007A6E52"/>
    <w:rsid w:val="007A6E5C"/>
    <w:rsid w:val="007A6EF6"/>
    <w:rsid w:val="007A703A"/>
    <w:rsid w:val="007A705D"/>
    <w:rsid w:val="007A7115"/>
    <w:rsid w:val="007A7122"/>
    <w:rsid w:val="007A7306"/>
    <w:rsid w:val="007A734E"/>
    <w:rsid w:val="007A7437"/>
    <w:rsid w:val="007A749A"/>
    <w:rsid w:val="007A75EB"/>
    <w:rsid w:val="007A765C"/>
    <w:rsid w:val="007A7719"/>
    <w:rsid w:val="007A7724"/>
    <w:rsid w:val="007A775F"/>
    <w:rsid w:val="007A7799"/>
    <w:rsid w:val="007A7865"/>
    <w:rsid w:val="007A794D"/>
    <w:rsid w:val="007A7A8A"/>
    <w:rsid w:val="007A7C2E"/>
    <w:rsid w:val="007A7C5B"/>
    <w:rsid w:val="007A7C78"/>
    <w:rsid w:val="007A7E6C"/>
    <w:rsid w:val="007A7F88"/>
    <w:rsid w:val="007A7F9F"/>
    <w:rsid w:val="007AF5A8"/>
    <w:rsid w:val="007B00E0"/>
    <w:rsid w:val="007B015B"/>
    <w:rsid w:val="007B0303"/>
    <w:rsid w:val="007B059F"/>
    <w:rsid w:val="007B05D9"/>
    <w:rsid w:val="007B0688"/>
    <w:rsid w:val="007B0716"/>
    <w:rsid w:val="007B078A"/>
    <w:rsid w:val="007B07C3"/>
    <w:rsid w:val="007B07E1"/>
    <w:rsid w:val="007B07FB"/>
    <w:rsid w:val="007B08F4"/>
    <w:rsid w:val="007B0A9B"/>
    <w:rsid w:val="007B0B97"/>
    <w:rsid w:val="007B0BB7"/>
    <w:rsid w:val="007B0D2C"/>
    <w:rsid w:val="007B0D49"/>
    <w:rsid w:val="007B0DF9"/>
    <w:rsid w:val="007B0ED2"/>
    <w:rsid w:val="007B0F7F"/>
    <w:rsid w:val="007B0FE6"/>
    <w:rsid w:val="007B1032"/>
    <w:rsid w:val="007B106D"/>
    <w:rsid w:val="007B110A"/>
    <w:rsid w:val="007B1174"/>
    <w:rsid w:val="007B11E9"/>
    <w:rsid w:val="007B1262"/>
    <w:rsid w:val="007B126E"/>
    <w:rsid w:val="007B1296"/>
    <w:rsid w:val="007B1472"/>
    <w:rsid w:val="007B1591"/>
    <w:rsid w:val="007B161A"/>
    <w:rsid w:val="007B18A5"/>
    <w:rsid w:val="007B1963"/>
    <w:rsid w:val="007B197D"/>
    <w:rsid w:val="007B1BC5"/>
    <w:rsid w:val="007B206F"/>
    <w:rsid w:val="007B210F"/>
    <w:rsid w:val="007B2121"/>
    <w:rsid w:val="007B2198"/>
    <w:rsid w:val="007B21F4"/>
    <w:rsid w:val="007B2280"/>
    <w:rsid w:val="007B2467"/>
    <w:rsid w:val="007B24CE"/>
    <w:rsid w:val="007B2740"/>
    <w:rsid w:val="007B285F"/>
    <w:rsid w:val="007B296D"/>
    <w:rsid w:val="007B2EA6"/>
    <w:rsid w:val="007B301A"/>
    <w:rsid w:val="007B310D"/>
    <w:rsid w:val="007B31B9"/>
    <w:rsid w:val="007B3426"/>
    <w:rsid w:val="007B348A"/>
    <w:rsid w:val="007B3501"/>
    <w:rsid w:val="007B36C7"/>
    <w:rsid w:val="007B3717"/>
    <w:rsid w:val="007B3733"/>
    <w:rsid w:val="007B375E"/>
    <w:rsid w:val="007B37E5"/>
    <w:rsid w:val="007B3889"/>
    <w:rsid w:val="007B38E3"/>
    <w:rsid w:val="007B393E"/>
    <w:rsid w:val="007B3A08"/>
    <w:rsid w:val="007B3A19"/>
    <w:rsid w:val="007B3B5D"/>
    <w:rsid w:val="007B3D3F"/>
    <w:rsid w:val="007B3DAC"/>
    <w:rsid w:val="007B3DD0"/>
    <w:rsid w:val="007B405E"/>
    <w:rsid w:val="007B40FB"/>
    <w:rsid w:val="007B4211"/>
    <w:rsid w:val="007B4302"/>
    <w:rsid w:val="007B4303"/>
    <w:rsid w:val="007B435B"/>
    <w:rsid w:val="007B4363"/>
    <w:rsid w:val="007B454F"/>
    <w:rsid w:val="007B477D"/>
    <w:rsid w:val="007B478A"/>
    <w:rsid w:val="007B48B5"/>
    <w:rsid w:val="007B49A8"/>
    <w:rsid w:val="007B49BB"/>
    <w:rsid w:val="007B49E1"/>
    <w:rsid w:val="007B4A40"/>
    <w:rsid w:val="007B4BA5"/>
    <w:rsid w:val="007B4BF3"/>
    <w:rsid w:val="007B4C3B"/>
    <w:rsid w:val="007B4D15"/>
    <w:rsid w:val="007B4D95"/>
    <w:rsid w:val="007B4E4D"/>
    <w:rsid w:val="007B50D4"/>
    <w:rsid w:val="007B516B"/>
    <w:rsid w:val="007B51C4"/>
    <w:rsid w:val="007B526A"/>
    <w:rsid w:val="007B52D5"/>
    <w:rsid w:val="007B5364"/>
    <w:rsid w:val="007B53D9"/>
    <w:rsid w:val="007B5413"/>
    <w:rsid w:val="007B5561"/>
    <w:rsid w:val="007B58B1"/>
    <w:rsid w:val="007B58BD"/>
    <w:rsid w:val="007B5942"/>
    <w:rsid w:val="007B5958"/>
    <w:rsid w:val="007B5A86"/>
    <w:rsid w:val="007B5B03"/>
    <w:rsid w:val="007B5D33"/>
    <w:rsid w:val="007B5E14"/>
    <w:rsid w:val="007B5E83"/>
    <w:rsid w:val="007B5EC0"/>
    <w:rsid w:val="007B5EFC"/>
    <w:rsid w:val="007B5EFD"/>
    <w:rsid w:val="007B5FDF"/>
    <w:rsid w:val="007B605F"/>
    <w:rsid w:val="007B607D"/>
    <w:rsid w:val="007B609B"/>
    <w:rsid w:val="007B60DA"/>
    <w:rsid w:val="007B60ED"/>
    <w:rsid w:val="007B6106"/>
    <w:rsid w:val="007B61D0"/>
    <w:rsid w:val="007B6397"/>
    <w:rsid w:val="007B6523"/>
    <w:rsid w:val="007B656B"/>
    <w:rsid w:val="007B65EA"/>
    <w:rsid w:val="007B694B"/>
    <w:rsid w:val="007B6A9A"/>
    <w:rsid w:val="007B6B40"/>
    <w:rsid w:val="007B6B5C"/>
    <w:rsid w:val="007B6C72"/>
    <w:rsid w:val="007B6C7F"/>
    <w:rsid w:val="007B6E0F"/>
    <w:rsid w:val="007B702C"/>
    <w:rsid w:val="007B7053"/>
    <w:rsid w:val="007B70BE"/>
    <w:rsid w:val="007B716F"/>
    <w:rsid w:val="007B727B"/>
    <w:rsid w:val="007B7308"/>
    <w:rsid w:val="007B7336"/>
    <w:rsid w:val="007B745B"/>
    <w:rsid w:val="007B7582"/>
    <w:rsid w:val="007B764C"/>
    <w:rsid w:val="007B76DC"/>
    <w:rsid w:val="007B78F7"/>
    <w:rsid w:val="007B7AE6"/>
    <w:rsid w:val="007B7C3C"/>
    <w:rsid w:val="007B7CA7"/>
    <w:rsid w:val="007B7CFB"/>
    <w:rsid w:val="007B7EB2"/>
    <w:rsid w:val="007B7EF0"/>
    <w:rsid w:val="007B7EFC"/>
    <w:rsid w:val="007B7F1B"/>
    <w:rsid w:val="007C0211"/>
    <w:rsid w:val="007C024A"/>
    <w:rsid w:val="007C030C"/>
    <w:rsid w:val="007C035C"/>
    <w:rsid w:val="007C03FF"/>
    <w:rsid w:val="007C058E"/>
    <w:rsid w:val="007C05EE"/>
    <w:rsid w:val="007C0714"/>
    <w:rsid w:val="007C08BC"/>
    <w:rsid w:val="007C0921"/>
    <w:rsid w:val="007C093D"/>
    <w:rsid w:val="007C09BE"/>
    <w:rsid w:val="007C0ABE"/>
    <w:rsid w:val="007C0B15"/>
    <w:rsid w:val="007C0B6D"/>
    <w:rsid w:val="007C0D36"/>
    <w:rsid w:val="007C1049"/>
    <w:rsid w:val="007C1097"/>
    <w:rsid w:val="007C14E6"/>
    <w:rsid w:val="007C159D"/>
    <w:rsid w:val="007C15A8"/>
    <w:rsid w:val="007C174B"/>
    <w:rsid w:val="007C1788"/>
    <w:rsid w:val="007C19F0"/>
    <w:rsid w:val="007C1A2D"/>
    <w:rsid w:val="007C1ADA"/>
    <w:rsid w:val="007C1B50"/>
    <w:rsid w:val="007C1C88"/>
    <w:rsid w:val="007C1D44"/>
    <w:rsid w:val="007C1DB8"/>
    <w:rsid w:val="007C1ED0"/>
    <w:rsid w:val="007C1FE1"/>
    <w:rsid w:val="007C1FEA"/>
    <w:rsid w:val="007C21D9"/>
    <w:rsid w:val="007C21EA"/>
    <w:rsid w:val="007C220B"/>
    <w:rsid w:val="007C22AE"/>
    <w:rsid w:val="007C23AA"/>
    <w:rsid w:val="007C23AD"/>
    <w:rsid w:val="007C23F1"/>
    <w:rsid w:val="007C249C"/>
    <w:rsid w:val="007C257B"/>
    <w:rsid w:val="007C2633"/>
    <w:rsid w:val="007C266C"/>
    <w:rsid w:val="007C26E7"/>
    <w:rsid w:val="007C2815"/>
    <w:rsid w:val="007C2B19"/>
    <w:rsid w:val="007C2D61"/>
    <w:rsid w:val="007C2D87"/>
    <w:rsid w:val="007C2DE6"/>
    <w:rsid w:val="007C2E2D"/>
    <w:rsid w:val="007C2E3F"/>
    <w:rsid w:val="007C2FC8"/>
    <w:rsid w:val="007C300A"/>
    <w:rsid w:val="007C30AF"/>
    <w:rsid w:val="007C313E"/>
    <w:rsid w:val="007C316D"/>
    <w:rsid w:val="007C3190"/>
    <w:rsid w:val="007C31C8"/>
    <w:rsid w:val="007C3215"/>
    <w:rsid w:val="007C32CA"/>
    <w:rsid w:val="007C32E8"/>
    <w:rsid w:val="007C3305"/>
    <w:rsid w:val="007C33B4"/>
    <w:rsid w:val="007C3472"/>
    <w:rsid w:val="007C3480"/>
    <w:rsid w:val="007C352E"/>
    <w:rsid w:val="007C35CD"/>
    <w:rsid w:val="007C36DB"/>
    <w:rsid w:val="007C370B"/>
    <w:rsid w:val="007C3720"/>
    <w:rsid w:val="007C3812"/>
    <w:rsid w:val="007C381A"/>
    <w:rsid w:val="007C3829"/>
    <w:rsid w:val="007C3A65"/>
    <w:rsid w:val="007C3AF1"/>
    <w:rsid w:val="007C3C12"/>
    <w:rsid w:val="007C3C85"/>
    <w:rsid w:val="007C3D47"/>
    <w:rsid w:val="007C3E92"/>
    <w:rsid w:val="007C3FFD"/>
    <w:rsid w:val="007C4068"/>
    <w:rsid w:val="007C40A9"/>
    <w:rsid w:val="007C40AC"/>
    <w:rsid w:val="007C4482"/>
    <w:rsid w:val="007C44C5"/>
    <w:rsid w:val="007C450A"/>
    <w:rsid w:val="007C45C6"/>
    <w:rsid w:val="007C463F"/>
    <w:rsid w:val="007C4646"/>
    <w:rsid w:val="007C46FD"/>
    <w:rsid w:val="007C4818"/>
    <w:rsid w:val="007C485C"/>
    <w:rsid w:val="007C4887"/>
    <w:rsid w:val="007C4895"/>
    <w:rsid w:val="007C49EC"/>
    <w:rsid w:val="007C4A2E"/>
    <w:rsid w:val="007C4A77"/>
    <w:rsid w:val="007C4B9F"/>
    <w:rsid w:val="007C4C20"/>
    <w:rsid w:val="007C4CBC"/>
    <w:rsid w:val="007C4DF2"/>
    <w:rsid w:val="007C4FBB"/>
    <w:rsid w:val="007C5172"/>
    <w:rsid w:val="007C51C8"/>
    <w:rsid w:val="007C525B"/>
    <w:rsid w:val="007C528C"/>
    <w:rsid w:val="007C530C"/>
    <w:rsid w:val="007C5512"/>
    <w:rsid w:val="007C556A"/>
    <w:rsid w:val="007C55B5"/>
    <w:rsid w:val="007C56E1"/>
    <w:rsid w:val="007C5732"/>
    <w:rsid w:val="007C590D"/>
    <w:rsid w:val="007C5A0B"/>
    <w:rsid w:val="007C5ACD"/>
    <w:rsid w:val="007C5D9E"/>
    <w:rsid w:val="007C5EAC"/>
    <w:rsid w:val="007C600C"/>
    <w:rsid w:val="007C6062"/>
    <w:rsid w:val="007C6170"/>
    <w:rsid w:val="007C6184"/>
    <w:rsid w:val="007C64FB"/>
    <w:rsid w:val="007C66AA"/>
    <w:rsid w:val="007C6826"/>
    <w:rsid w:val="007C6901"/>
    <w:rsid w:val="007C6931"/>
    <w:rsid w:val="007C6A22"/>
    <w:rsid w:val="007C6B1E"/>
    <w:rsid w:val="007C6B90"/>
    <w:rsid w:val="007C6D75"/>
    <w:rsid w:val="007C6FC7"/>
    <w:rsid w:val="007C70CB"/>
    <w:rsid w:val="007C74AA"/>
    <w:rsid w:val="007C756A"/>
    <w:rsid w:val="007C7773"/>
    <w:rsid w:val="007C77F3"/>
    <w:rsid w:val="007C7824"/>
    <w:rsid w:val="007C7940"/>
    <w:rsid w:val="007C7988"/>
    <w:rsid w:val="007C79B8"/>
    <w:rsid w:val="007C7B93"/>
    <w:rsid w:val="007C7BC4"/>
    <w:rsid w:val="007C7C16"/>
    <w:rsid w:val="007C7C1B"/>
    <w:rsid w:val="007C7CAC"/>
    <w:rsid w:val="007C7DFA"/>
    <w:rsid w:val="007C7E25"/>
    <w:rsid w:val="007C7E30"/>
    <w:rsid w:val="007C7EF2"/>
    <w:rsid w:val="007C7F3D"/>
    <w:rsid w:val="007C7FE1"/>
    <w:rsid w:val="007D0169"/>
    <w:rsid w:val="007D018A"/>
    <w:rsid w:val="007D01B5"/>
    <w:rsid w:val="007D0379"/>
    <w:rsid w:val="007D03CF"/>
    <w:rsid w:val="007D03F8"/>
    <w:rsid w:val="007D04A1"/>
    <w:rsid w:val="007D05AD"/>
    <w:rsid w:val="007D06E9"/>
    <w:rsid w:val="007D0867"/>
    <w:rsid w:val="007D0A93"/>
    <w:rsid w:val="007D0C16"/>
    <w:rsid w:val="007D0D02"/>
    <w:rsid w:val="007D0D2F"/>
    <w:rsid w:val="007D0DB8"/>
    <w:rsid w:val="007D0F0E"/>
    <w:rsid w:val="007D0FF6"/>
    <w:rsid w:val="007D1066"/>
    <w:rsid w:val="007D1074"/>
    <w:rsid w:val="007D10EE"/>
    <w:rsid w:val="007D12EF"/>
    <w:rsid w:val="007D1472"/>
    <w:rsid w:val="007D14BC"/>
    <w:rsid w:val="007D1581"/>
    <w:rsid w:val="007D16AA"/>
    <w:rsid w:val="007D17A1"/>
    <w:rsid w:val="007D18A9"/>
    <w:rsid w:val="007D192D"/>
    <w:rsid w:val="007D1980"/>
    <w:rsid w:val="007D19DC"/>
    <w:rsid w:val="007D19F4"/>
    <w:rsid w:val="007D1B93"/>
    <w:rsid w:val="007D1E06"/>
    <w:rsid w:val="007D1E59"/>
    <w:rsid w:val="007D1E90"/>
    <w:rsid w:val="007D2048"/>
    <w:rsid w:val="007D20C0"/>
    <w:rsid w:val="007D22DA"/>
    <w:rsid w:val="007D2388"/>
    <w:rsid w:val="007D24B0"/>
    <w:rsid w:val="007D24C4"/>
    <w:rsid w:val="007D25D2"/>
    <w:rsid w:val="007D276D"/>
    <w:rsid w:val="007D27A1"/>
    <w:rsid w:val="007D2800"/>
    <w:rsid w:val="007D2866"/>
    <w:rsid w:val="007D288F"/>
    <w:rsid w:val="007D2937"/>
    <w:rsid w:val="007D29D8"/>
    <w:rsid w:val="007D2A07"/>
    <w:rsid w:val="007D2A23"/>
    <w:rsid w:val="007D2AA1"/>
    <w:rsid w:val="007D2B8F"/>
    <w:rsid w:val="007D2E05"/>
    <w:rsid w:val="007D314D"/>
    <w:rsid w:val="007D31A1"/>
    <w:rsid w:val="007D32DA"/>
    <w:rsid w:val="007D3352"/>
    <w:rsid w:val="007D3438"/>
    <w:rsid w:val="007D3451"/>
    <w:rsid w:val="007D346A"/>
    <w:rsid w:val="007D34D4"/>
    <w:rsid w:val="007D3502"/>
    <w:rsid w:val="007D3570"/>
    <w:rsid w:val="007D3764"/>
    <w:rsid w:val="007D376D"/>
    <w:rsid w:val="007D3828"/>
    <w:rsid w:val="007D388E"/>
    <w:rsid w:val="007D38A4"/>
    <w:rsid w:val="007D39E0"/>
    <w:rsid w:val="007D3A68"/>
    <w:rsid w:val="007D3AFD"/>
    <w:rsid w:val="007D3B34"/>
    <w:rsid w:val="007D3B96"/>
    <w:rsid w:val="007D3BB3"/>
    <w:rsid w:val="007D3C23"/>
    <w:rsid w:val="007D3E5C"/>
    <w:rsid w:val="007D41B5"/>
    <w:rsid w:val="007D42C1"/>
    <w:rsid w:val="007D439B"/>
    <w:rsid w:val="007D445F"/>
    <w:rsid w:val="007D4475"/>
    <w:rsid w:val="007D44D7"/>
    <w:rsid w:val="007D4543"/>
    <w:rsid w:val="007D465B"/>
    <w:rsid w:val="007D46D0"/>
    <w:rsid w:val="007D488F"/>
    <w:rsid w:val="007D499F"/>
    <w:rsid w:val="007D49C3"/>
    <w:rsid w:val="007D4B27"/>
    <w:rsid w:val="007D4B4E"/>
    <w:rsid w:val="007D4D86"/>
    <w:rsid w:val="007D4D9C"/>
    <w:rsid w:val="007D4E90"/>
    <w:rsid w:val="007D4EBE"/>
    <w:rsid w:val="007D4EC9"/>
    <w:rsid w:val="007D4F1E"/>
    <w:rsid w:val="007D5120"/>
    <w:rsid w:val="007D5126"/>
    <w:rsid w:val="007D54DF"/>
    <w:rsid w:val="007D557C"/>
    <w:rsid w:val="007D56AB"/>
    <w:rsid w:val="007D56D5"/>
    <w:rsid w:val="007D5732"/>
    <w:rsid w:val="007D5753"/>
    <w:rsid w:val="007D576A"/>
    <w:rsid w:val="007D57F9"/>
    <w:rsid w:val="007D5906"/>
    <w:rsid w:val="007D5926"/>
    <w:rsid w:val="007D59D8"/>
    <w:rsid w:val="007D5B1D"/>
    <w:rsid w:val="007D5B50"/>
    <w:rsid w:val="007D5B94"/>
    <w:rsid w:val="007D5D95"/>
    <w:rsid w:val="007D5F06"/>
    <w:rsid w:val="007D6247"/>
    <w:rsid w:val="007D65BA"/>
    <w:rsid w:val="007D674B"/>
    <w:rsid w:val="007D680D"/>
    <w:rsid w:val="007D6853"/>
    <w:rsid w:val="007D6952"/>
    <w:rsid w:val="007D6A70"/>
    <w:rsid w:val="007D6BF0"/>
    <w:rsid w:val="007D6CF6"/>
    <w:rsid w:val="007D6FCA"/>
    <w:rsid w:val="007D72BC"/>
    <w:rsid w:val="007D738A"/>
    <w:rsid w:val="007D739D"/>
    <w:rsid w:val="007D73D0"/>
    <w:rsid w:val="007D7400"/>
    <w:rsid w:val="007D747B"/>
    <w:rsid w:val="007D7542"/>
    <w:rsid w:val="007D7559"/>
    <w:rsid w:val="007D7633"/>
    <w:rsid w:val="007D7639"/>
    <w:rsid w:val="007D77AA"/>
    <w:rsid w:val="007D785D"/>
    <w:rsid w:val="007D7ADA"/>
    <w:rsid w:val="007D7C64"/>
    <w:rsid w:val="007D7D79"/>
    <w:rsid w:val="007D7F23"/>
    <w:rsid w:val="007D7F9D"/>
    <w:rsid w:val="007E001D"/>
    <w:rsid w:val="007E02A2"/>
    <w:rsid w:val="007E03AD"/>
    <w:rsid w:val="007E0492"/>
    <w:rsid w:val="007E04C5"/>
    <w:rsid w:val="007E04F9"/>
    <w:rsid w:val="007E0532"/>
    <w:rsid w:val="007E0599"/>
    <w:rsid w:val="007E05B0"/>
    <w:rsid w:val="007E071E"/>
    <w:rsid w:val="007E0823"/>
    <w:rsid w:val="007E0A8B"/>
    <w:rsid w:val="007E0ADD"/>
    <w:rsid w:val="007E0BC7"/>
    <w:rsid w:val="007E0CED"/>
    <w:rsid w:val="007E0D21"/>
    <w:rsid w:val="007E0DA8"/>
    <w:rsid w:val="007E0F06"/>
    <w:rsid w:val="007E0F39"/>
    <w:rsid w:val="007E1010"/>
    <w:rsid w:val="007E101A"/>
    <w:rsid w:val="007E1080"/>
    <w:rsid w:val="007E10E8"/>
    <w:rsid w:val="007E1107"/>
    <w:rsid w:val="007E1144"/>
    <w:rsid w:val="007E120A"/>
    <w:rsid w:val="007E127A"/>
    <w:rsid w:val="007E139D"/>
    <w:rsid w:val="007E13FF"/>
    <w:rsid w:val="007E1423"/>
    <w:rsid w:val="007E1547"/>
    <w:rsid w:val="007E15D3"/>
    <w:rsid w:val="007E16DA"/>
    <w:rsid w:val="007E16F3"/>
    <w:rsid w:val="007E17F4"/>
    <w:rsid w:val="007E182F"/>
    <w:rsid w:val="007E18C6"/>
    <w:rsid w:val="007E1A0B"/>
    <w:rsid w:val="007E1A75"/>
    <w:rsid w:val="007E1BCF"/>
    <w:rsid w:val="007E1BEA"/>
    <w:rsid w:val="007E1DF7"/>
    <w:rsid w:val="007E1E9A"/>
    <w:rsid w:val="007E1EC9"/>
    <w:rsid w:val="007E1F53"/>
    <w:rsid w:val="007E1FA8"/>
    <w:rsid w:val="007E21B7"/>
    <w:rsid w:val="007E21F8"/>
    <w:rsid w:val="007E2275"/>
    <w:rsid w:val="007E239E"/>
    <w:rsid w:val="007E2417"/>
    <w:rsid w:val="007E2492"/>
    <w:rsid w:val="007E24F9"/>
    <w:rsid w:val="007E254A"/>
    <w:rsid w:val="007E254D"/>
    <w:rsid w:val="007E25AB"/>
    <w:rsid w:val="007E2626"/>
    <w:rsid w:val="007E26E8"/>
    <w:rsid w:val="007E28C8"/>
    <w:rsid w:val="007E2B3C"/>
    <w:rsid w:val="007E2CAE"/>
    <w:rsid w:val="007E2DFB"/>
    <w:rsid w:val="007E3319"/>
    <w:rsid w:val="007E331D"/>
    <w:rsid w:val="007E3365"/>
    <w:rsid w:val="007E33C8"/>
    <w:rsid w:val="007E3435"/>
    <w:rsid w:val="007E3598"/>
    <w:rsid w:val="007E35AA"/>
    <w:rsid w:val="007E3641"/>
    <w:rsid w:val="007E3744"/>
    <w:rsid w:val="007E37B6"/>
    <w:rsid w:val="007E39F0"/>
    <w:rsid w:val="007E3A03"/>
    <w:rsid w:val="007E3A18"/>
    <w:rsid w:val="007E3A69"/>
    <w:rsid w:val="007E3B07"/>
    <w:rsid w:val="007E3CB4"/>
    <w:rsid w:val="007E3D63"/>
    <w:rsid w:val="007E3E26"/>
    <w:rsid w:val="007E4080"/>
    <w:rsid w:val="007E4105"/>
    <w:rsid w:val="007E42D1"/>
    <w:rsid w:val="007E42FC"/>
    <w:rsid w:val="007E4352"/>
    <w:rsid w:val="007E43CC"/>
    <w:rsid w:val="007E4567"/>
    <w:rsid w:val="007E45B1"/>
    <w:rsid w:val="007E45FA"/>
    <w:rsid w:val="007E4632"/>
    <w:rsid w:val="007E4647"/>
    <w:rsid w:val="007E4AEF"/>
    <w:rsid w:val="007E4B9C"/>
    <w:rsid w:val="007E4C0C"/>
    <w:rsid w:val="007E4CD9"/>
    <w:rsid w:val="007E4D66"/>
    <w:rsid w:val="007E4F74"/>
    <w:rsid w:val="007E4F76"/>
    <w:rsid w:val="007E5080"/>
    <w:rsid w:val="007E5139"/>
    <w:rsid w:val="007E521E"/>
    <w:rsid w:val="007E52EC"/>
    <w:rsid w:val="007E536C"/>
    <w:rsid w:val="007E5457"/>
    <w:rsid w:val="007E56DF"/>
    <w:rsid w:val="007E5744"/>
    <w:rsid w:val="007E57FB"/>
    <w:rsid w:val="007E5865"/>
    <w:rsid w:val="007E5919"/>
    <w:rsid w:val="007E5B1C"/>
    <w:rsid w:val="007E5C4B"/>
    <w:rsid w:val="007E5D69"/>
    <w:rsid w:val="007E5ECD"/>
    <w:rsid w:val="007E5F09"/>
    <w:rsid w:val="007E5FBE"/>
    <w:rsid w:val="007E608D"/>
    <w:rsid w:val="007E610B"/>
    <w:rsid w:val="007E612F"/>
    <w:rsid w:val="007E6492"/>
    <w:rsid w:val="007E6541"/>
    <w:rsid w:val="007E65A1"/>
    <w:rsid w:val="007E6701"/>
    <w:rsid w:val="007E676E"/>
    <w:rsid w:val="007E682A"/>
    <w:rsid w:val="007E68BB"/>
    <w:rsid w:val="007E6B65"/>
    <w:rsid w:val="007E6BF3"/>
    <w:rsid w:val="007E6E99"/>
    <w:rsid w:val="007E6EF9"/>
    <w:rsid w:val="007E6F7B"/>
    <w:rsid w:val="007E6F7E"/>
    <w:rsid w:val="007E6F7F"/>
    <w:rsid w:val="007E6FFA"/>
    <w:rsid w:val="007E70E8"/>
    <w:rsid w:val="007E725C"/>
    <w:rsid w:val="007E730B"/>
    <w:rsid w:val="007E73BE"/>
    <w:rsid w:val="007E7709"/>
    <w:rsid w:val="007E7746"/>
    <w:rsid w:val="007E7798"/>
    <w:rsid w:val="007E7884"/>
    <w:rsid w:val="007E7936"/>
    <w:rsid w:val="007E7A56"/>
    <w:rsid w:val="007E7BE0"/>
    <w:rsid w:val="007E7C17"/>
    <w:rsid w:val="007F0020"/>
    <w:rsid w:val="007F0138"/>
    <w:rsid w:val="007F01DD"/>
    <w:rsid w:val="007F02D3"/>
    <w:rsid w:val="007F02DC"/>
    <w:rsid w:val="007F038B"/>
    <w:rsid w:val="007F0400"/>
    <w:rsid w:val="007F0476"/>
    <w:rsid w:val="007F064C"/>
    <w:rsid w:val="007F0659"/>
    <w:rsid w:val="007F06AB"/>
    <w:rsid w:val="007F071C"/>
    <w:rsid w:val="007F0951"/>
    <w:rsid w:val="007F0973"/>
    <w:rsid w:val="007F09BF"/>
    <w:rsid w:val="007F0A2B"/>
    <w:rsid w:val="007F0A9D"/>
    <w:rsid w:val="007F0B7D"/>
    <w:rsid w:val="007F0BE2"/>
    <w:rsid w:val="007F0D83"/>
    <w:rsid w:val="007F0E7E"/>
    <w:rsid w:val="007F111D"/>
    <w:rsid w:val="007F1410"/>
    <w:rsid w:val="007F144F"/>
    <w:rsid w:val="007F1455"/>
    <w:rsid w:val="007F14B2"/>
    <w:rsid w:val="007F1520"/>
    <w:rsid w:val="007F153C"/>
    <w:rsid w:val="007F165C"/>
    <w:rsid w:val="007F1906"/>
    <w:rsid w:val="007F1C21"/>
    <w:rsid w:val="007F1D32"/>
    <w:rsid w:val="007F1E2D"/>
    <w:rsid w:val="007F1E7E"/>
    <w:rsid w:val="007F1ED3"/>
    <w:rsid w:val="007F1EED"/>
    <w:rsid w:val="007F1F19"/>
    <w:rsid w:val="007F1F6B"/>
    <w:rsid w:val="007F1FAE"/>
    <w:rsid w:val="007F24B6"/>
    <w:rsid w:val="007F24ED"/>
    <w:rsid w:val="007F2567"/>
    <w:rsid w:val="007F2578"/>
    <w:rsid w:val="007F2813"/>
    <w:rsid w:val="007F2907"/>
    <w:rsid w:val="007F290D"/>
    <w:rsid w:val="007F2922"/>
    <w:rsid w:val="007F292F"/>
    <w:rsid w:val="007F2C32"/>
    <w:rsid w:val="007F2C4E"/>
    <w:rsid w:val="007F2C9D"/>
    <w:rsid w:val="007F2E85"/>
    <w:rsid w:val="007F3273"/>
    <w:rsid w:val="007F32B1"/>
    <w:rsid w:val="007F3300"/>
    <w:rsid w:val="007F3364"/>
    <w:rsid w:val="007F3437"/>
    <w:rsid w:val="007F34DC"/>
    <w:rsid w:val="007F3524"/>
    <w:rsid w:val="007F3526"/>
    <w:rsid w:val="007F35C9"/>
    <w:rsid w:val="007F38AC"/>
    <w:rsid w:val="007F3AEE"/>
    <w:rsid w:val="007F3BB8"/>
    <w:rsid w:val="007F3C18"/>
    <w:rsid w:val="007F3D35"/>
    <w:rsid w:val="007F3EA1"/>
    <w:rsid w:val="007F3F5D"/>
    <w:rsid w:val="007F4087"/>
    <w:rsid w:val="007F428A"/>
    <w:rsid w:val="007F431D"/>
    <w:rsid w:val="007F4358"/>
    <w:rsid w:val="007F437C"/>
    <w:rsid w:val="007F43D5"/>
    <w:rsid w:val="007F44C6"/>
    <w:rsid w:val="007F45D4"/>
    <w:rsid w:val="007F4665"/>
    <w:rsid w:val="007F4667"/>
    <w:rsid w:val="007F4757"/>
    <w:rsid w:val="007F484E"/>
    <w:rsid w:val="007F4883"/>
    <w:rsid w:val="007F48E6"/>
    <w:rsid w:val="007F4964"/>
    <w:rsid w:val="007F497D"/>
    <w:rsid w:val="007F49DD"/>
    <w:rsid w:val="007F4A5D"/>
    <w:rsid w:val="007F4C98"/>
    <w:rsid w:val="007F4D28"/>
    <w:rsid w:val="007F4E0D"/>
    <w:rsid w:val="007F4E3E"/>
    <w:rsid w:val="007F4E81"/>
    <w:rsid w:val="007F4F05"/>
    <w:rsid w:val="007F4F33"/>
    <w:rsid w:val="007F4FCD"/>
    <w:rsid w:val="007F515C"/>
    <w:rsid w:val="007F5319"/>
    <w:rsid w:val="007F5358"/>
    <w:rsid w:val="007F53A0"/>
    <w:rsid w:val="007F5401"/>
    <w:rsid w:val="007F549D"/>
    <w:rsid w:val="007F54A1"/>
    <w:rsid w:val="007F55F2"/>
    <w:rsid w:val="007F5670"/>
    <w:rsid w:val="007F5687"/>
    <w:rsid w:val="007F568C"/>
    <w:rsid w:val="007F573F"/>
    <w:rsid w:val="007F5961"/>
    <w:rsid w:val="007F597F"/>
    <w:rsid w:val="007F5A71"/>
    <w:rsid w:val="007F5AB3"/>
    <w:rsid w:val="007F5BCA"/>
    <w:rsid w:val="007F5CEF"/>
    <w:rsid w:val="007F5D8D"/>
    <w:rsid w:val="007F5EAD"/>
    <w:rsid w:val="007F5FC0"/>
    <w:rsid w:val="007F5FC1"/>
    <w:rsid w:val="007F5FF8"/>
    <w:rsid w:val="007F5FFF"/>
    <w:rsid w:val="007F60BD"/>
    <w:rsid w:val="007F62F9"/>
    <w:rsid w:val="007F630B"/>
    <w:rsid w:val="007F658E"/>
    <w:rsid w:val="007F65A6"/>
    <w:rsid w:val="007F681A"/>
    <w:rsid w:val="007F6CCC"/>
    <w:rsid w:val="007F6EF3"/>
    <w:rsid w:val="007F6F6D"/>
    <w:rsid w:val="007F6FD4"/>
    <w:rsid w:val="007F7168"/>
    <w:rsid w:val="007F71C0"/>
    <w:rsid w:val="007F7264"/>
    <w:rsid w:val="007F72D0"/>
    <w:rsid w:val="007F730B"/>
    <w:rsid w:val="007F7389"/>
    <w:rsid w:val="007F740C"/>
    <w:rsid w:val="007F7757"/>
    <w:rsid w:val="007F77A5"/>
    <w:rsid w:val="007F7882"/>
    <w:rsid w:val="007F7A42"/>
    <w:rsid w:val="007F7A71"/>
    <w:rsid w:val="007F7B68"/>
    <w:rsid w:val="007F7E2A"/>
    <w:rsid w:val="007F7EF8"/>
    <w:rsid w:val="007FD4B8"/>
    <w:rsid w:val="00800047"/>
    <w:rsid w:val="0080006E"/>
    <w:rsid w:val="00800349"/>
    <w:rsid w:val="00800370"/>
    <w:rsid w:val="0080038F"/>
    <w:rsid w:val="00800495"/>
    <w:rsid w:val="00800559"/>
    <w:rsid w:val="0080056F"/>
    <w:rsid w:val="00800673"/>
    <w:rsid w:val="008006C1"/>
    <w:rsid w:val="0080072E"/>
    <w:rsid w:val="0080079B"/>
    <w:rsid w:val="0080083F"/>
    <w:rsid w:val="0080090F"/>
    <w:rsid w:val="00800922"/>
    <w:rsid w:val="00800949"/>
    <w:rsid w:val="00800BA9"/>
    <w:rsid w:val="00800CB3"/>
    <w:rsid w:val="00800CF0"/>
    <w:rsid w:val="0080101B"/>
    <w:rsid w:val="00801038"/>
    <w:rsid w:val="00801085"/>
    <w:rsid w:val="008010D2"/>
    <w:rsid w:val="008013D3"/>
    <w:rsid w:val="008013EA"/>
    <w:rsid w:val="0080144F"/>
    <w:rsid w:val="0080145B"/>
    <w:rsid w:val="0080147C"/>
    <w:rsid w:val="00801489"/>
    <w:rsid w:val="0080155C"/>
    <w:rsid w:val="0080170A"/>
    <w:rsid w:val="00801842"/>
    <w:rsid w:val="008018E4"/>
    <w:rsid w:val="0080194E"/>
    <w:rsid w:val="008019AB"/>
    <w:rsid w:val="00801A31"/>
    <w:rsid w:val="00801AC0"/>
    <w:rsid w:val="00801B3E"/>
    <w:rsid w:val="00801E2D"/>
    <w:rsid w:val="00801F2F"/>
    <w:rsid w:val="00801F3D"/>
    <w:rsid w:val="00801F65"/>
    <w:rsid w:val="00801F9B"/>
    <w:rsid w:val="008020A4"/>
    <w:rsid w:val="008020E3"/>
    <w:rsid w:val="0080214A"/>
    <w:rsid w:val="0080216E"/>
    <w:rsid w:val="008021C3"/>
    <w:rsid w:val="008021D1"/>
    <w:rsid w:val="00802232"/>
    <w:rsid w:val="0080227F"/>
    <w:rsid w:val="008024B0"/>
    <w:rsid w:val="00802531"/>
    <w:rsid w:val="008025BB"/>
    <w:rsid w:val="008025CD"/>
    <w:rsid w:val="00802603"/>
    <w:rsid w:val="00802728"/>
    <w:rsid w:val="00802733"/>
    <w:rsid w:val="0080275A"/>
    <w:rsid w:val="00802821"/>
    <w:rsid w:val="0080286C"/>
    <w:rsid w:val="0080293F"/>
    <w:rsid w:val="0080295C"/>
    <w:rsid w:val="00802B59"/>
    <w:rsid w:val="00802B6F"/>
    <w:rsid w:val="00802D44"/>
    <w:rsid w:val="00802D90"/>
    <w:rsid w:val="0080306B"/>
    <w:rsid w:val="008030D0"/>
    <w:rsid w:val="008030EE"/>
    <w:rsid w:val="008031EC"/>
    <w:rsid w:val="00803331"/>
    <w:rsid w:val="008034A6"/>
    <w:rsid w:val="0080373A"/>
    <w:rsid w:val="00803743"/>
    <w:rsid w:val="0080381A"/>
    <w:rsid w:val="0080386A"/>
    <w:rsid w:val="008039D7"/>
    <w:rsid w:val="008039DE"/>
    <w:rsid w:val="00803B77"/>
    <w:rsid w:val="00803C2A"/>
    <w:rsid w:val="00803CDE"/>
    <w:rsid w:val="00803E45"/>
    <w:rsid w:val="00803F61"/>
    <w:rsid w:val="00803F85"/>
    <w:rsid w:val="00804020"/>
    <w:rsid w:val="0080409B"/>
    <w:rsid w:val="0080413B"/>
    <w:rsid w:val="008041C4"/>
    <w:rsid w:val="00804231"/>
    <w:rsid w:val="008042BB"/>
    <w:rsid w:val="008042BC"/>
    <w:rsid w:val="0080452F"/>
    <w:rsid w:val="00804767"/>
    <w:rsid w:val="00804791"/>
    <w:rsid w:val="008047A3"/>
    <w:rsid w:val="00804A1A"/>
    <w:rsid w:val="00804A93"/>
    <w:rsid w:val="00804AD4"/>
    <w:rsid w:val="00804AE9"/>
    <w:rsid w:val="00804D72"/>
    <w:rsid w:val="00804F87"/>
    <w:rsid w:val="00804FD2"/>
    <w:rsid w:val="008050EC"/>
    <w:rsid w:val="00805193"/>
    <w:rsid w:val="008051ED"/>
    <w:rsid w:val="00805286"/>
    <w:rsid w:val="0080528A"/>
    <w:rsid w:val="00805339"/>
    <w:rsid w:val="0080541F"/>
    <w:rsid w:val="008054E3"/>
    <w:rsid w:val="00805590"/>
    <w:rsid w:val="0080569F"/>
    <w:rsid w:val="008056DF"/>
    <w:rsid w:val="0080581F"/>
    <w:rsid w:val="00805908"/>
    <w:rsid w:val="00805947"/>
    <w:rsid w:val="00805AF6"/>
    <w:rsid w:val="00805B14"/>
    <w:rsid w:val="00805BF5"/>
    <w:rsid w:val="00805EAB"/>
    <w:rsid w:val="00805F57"/>
    <w:rsid w:val="00805F84"/>
    <w:rsid w:val="008060F1"/>
    <w:rsid w:val="00806328"/>
    <w:rsid w:val="0080632F"/>
    <w:rsid w:val="00806370"/>
    <w:rsid w:val="00806437"/>
    <w:rsid w:val="0080649A"/>
    <w:rsid w:val="008064AE"/>
    <w:rsid w:val="008064EE"/>
    <w:rsid w:val="00806518"/>
    <w:rsid w:val="008065D2"/>
    <w:rsid w:val="0080673F"/>
    <w:rsid w:val="008068D6"/>
    <w:rsid w:val="0080691F"/>
    <w:rsid w:val="008069EF"/>
    <w:rsid w:val="00806A8D"/>
    <w:rsid w:val="00806B0D"/>
    <w:rsid w:val="00806BA5"/>
    <w:rsid w:val="00806C00"/>
    <w:rsid w:val="00806C15"/>
    <w:rsid w:val="00806D98"/>
    <w:rsid w:val="00806DA7"/>
    <w:rsid w:val="00806DB0"/>
    <w:rsid w:val="00806E47"/>
    <w:rsid w:val="00806E95"/>
    <w:rsid w:val="00806FD6"/>
    <w:rsid w:val="00807021"/>
    <w:rsid w:val="00807027"/>
    <w:rsid w:val="008070AB"/>
    <w:rsid w:val="008070CC"/>
    <w:rsid w:val="008070FE"/>
    <w:rsid w:val="008071FC"/>
    <w:rsid w:val="00807322"/>
    <w:rsid w:val="008074D1"/>
    <w:rsid w:val="0080760D"/>
    <w:rsid w:val="008076E3"/>
    <w:rsid w:val="0080770B"/>
    <w:rsid w:val="0080772D"/>
    <w:rsid w:val="00807749"/>
    <w:rsid w:val="0080781D"/>
    <w:rsid w:val="008078D1"/>
    <w:rsid w:val="008079CD"/>
    <w:rsid w:val="008079F8"/>
    <w:rsid w:val="00807A41"/>
    <w:rsid w:val="00807AC6"/>
    <w:rsid w:val="00807B99"/>
    <w:rsid w:val="00807C0E"/>
    <w:rsid w:val="00807C8D"/>
    <w:rsid w:val="00807DAF"/>
    <w:rsid w:val="00807E29"/>
    <w:rsid w:val="00807EB2"/>
    <w:rsid w:val="00807EEF"/>
    <w:rsid w:val="00807EF6"/>
    <w:rsid w:val="00807F62"/>
    <w:rsid w:val="00810144"/>
    <w:rsid w:val="00810211"/>
    <w:rsid w:val="0081022D"/>
    <w:rsid w:val="00810231"/>
    <w:rsid w:val="00810276"/>
    <w:rsid w:val="00810379"/>
    <w:rsid w:val="0081039B"/>
    <w:rsid w:val="00810474"/>
    <w:rsid w:val="00810658"/>
    <w:rsid w:val="008107F3"/>
    <w:rsid w:val="00810829"/>
    <w:rsid w:val="0081084F"/>
    <w:rsid w:val="00810877"/>
    <w:rsid w:val="00810889"/>
    <w:rsid w:val="008108C0"/>
    <w:rsid w:val="00810924"/>
    <w:rsid w:val="00810A1E"/>
    <w:rsid w:val="00810B4D"/>
    <w:rsid w:val="00810B88"/>
    <w:rsid w:val="00810C86"/>
    <w:rsid w:val="00810CAA"/>
    <w:rsid w:val="00810D70"/>
    <w:rsid w:val="00810D90"/>
    <w:rsid w:val="00810DD1"/>
    <w:rsid w:val="00810DDF"/>
    <w:rsid w:val="00810DFC"/>
    <w:rsid w:val="00810F49"/>
    <w:rsid w:val="00810FE8"/>
    <w:rsid w:val="008110C4"/>
    <w:rsid w:val="00811220"/>
    <w:rsid w:val="008112CD"/>
    <w:rsid w:val="00811327"/>
    <w:rsid w:val="00811337"/>
    <w:rsid w:val="0081134A"/>
    <w:rsid w:val="008114A9"/>
    <w:rsid w:val="0081152E"/>
    <w:rsid w:val="0081156D"/>
    <w:rsid w:val="008115C6"/>
    <w:rsid w:val="008115CD"/>
    <w:rsid w:val="0081164D"/>
    <w:rsid w:val="00811741"/>
    <w:rsid w:val="008118C6"/>
    <w:rsid w:val="00811964"/>
    <w:rsid w:val="00811A76"/>
    <w:rsid w:val="00811B51"/>
    <w:rsid w:val="00811B64"/>
    <w:rsid w:val="00811BE8"/>
    <w:rsid w:val="00811C1A"/>
    <w:rsid w:val="00811D8F"/>
    <w:rsid w:val="00811DFE"/>
    <w:rsid w:val="00811F66"/>
    <w:rsid w:val="00811FCC"/>
    <w:rsid w:val="00811FD6"/>
    <w:rsid w:val="00811FF3"/>
    <w:rsid w:val="00812038"/>
    <w:rsid w:val="00812103"/>
    <w:rsid w:val="008121C7"/>
    <w:rsid w:val="0081231C"/>
    <w:rsid w:val="00812327"/>
    <w:rsid w:val="0081235E"/>
    <w:rsid w:val="008123EF"/>
    <w:rsid w:val="0081246A"/>
    <w:rsid w:val="00812564"/>
    <w:rsid w:val="00812579"/>
    <w:rsid w:val="0081259C"/>
    <w:rsid w:val="00812642"/>
    <w:rsid w:val="0081271B"/>
    <w:rsid w:val="00812789"/>
    <w:rsid w:val="00812935"/>
    <w:rsid w:val="00812ACE"/>
    <w:rsid w:val="00812BF2"/>
    <w:rsid w:val="00812C32"/>
    <w:rsid w:val="00812D7F"/>
    <w:rsid w:val="00812FA4"/>
    <w:rsid w:val="00812FB9"/>
    <w:rsid w:val="00813096"/>
    <w:rsid w:val="0081309F"/>
    <w:rsid w:val="008130AF"/>
    <w:rsid w:val="008130E5"/>
    <w:rsid w:val="00813117"/>
    <w:rsid w:val="008131E0"/>
    <w:rsid w:val="008131EF"/>
    <w:rsid w:val="0081335E"/>
    <w:rsid w:val="00813373"/>
    <w:rsid w:val="00813388"/>
    <w:rsid w:val="0081352C"/>
    <w:rsid w:val="0081357C"/>
    <w:rsid w:val="008135B0"/>
    <w:rsid w:val="0081367C"/>
    <w:rsid w:val="008136D8"/>
    <w:rsid w:val="00813833"/>
    <w:rsid w:val="00813A31"/>
    <w:rsid w:val="00813AD4"/>
    <w:rsid w:val="00813B9F"/>
    <w:rsid w:val="00813BAF"/>
    <w:rsid w:val="00813C4D"/>
    <w:rsid w:val="00813C72"/>
    <w:rsid w:val="00813D8C"/>
    <w:rsid w:val="00813DC1"/>
    <w:rsid w:val="00813E9F"/>
    <w:rsid w:val="00813EB9"/>
    <w:rsid w:val="00813F75"/>
    <w:rsid w:val="008140A0"/>
    <w:rsid w:val="008140E6"/>
    <w:rsid w:val="0081416E"/>
    <w:rsid w:val="0081417B"/>
    <w:rsid w:val="00814193"/>
    <w:rsid w:val="008141E2"/>
    <w:rsid w:val="008142A9"/>
    <w:rsid w:val="008142D1"/>
    <w:rsid w:val="008143BE"/>
    <w:rsid w:val="0081452B"/>
    <w:rsid w:val="008145C2"/>
    <w:rsid w:val="008145E7"/>
    <w:rsid w:val="00814751"/>
    <w:rsid w:val="008147E0"/>
    <w:rsid w:val="008147ED"/>
    <w:rsid w:val="00814922"/>
    <w:rsid w:val="00814A5A"/>
    <w:rsid w:val="00814B07"/>
    <w:rsid w:val="00814BB0"/>
    <w:rsid w:val="00814BE4"/>
    <w:rsid w:val="00814D37"/>
    <w:rsid w:val="00814D91"/>
    <w:rsid w:val="00814F32"/>
    <w:rsid w:val="00814F33"/>
    <w:rsid w:val="00814F55"/>
    <w:rsid w:val="0081503F"/>
    <w:rsid w:val="00815067"/>
    <w:rsid w:val="00815087"/>
    <w:rsid w:val="0081529C"/>
    <w:rsid w:val="00815360"/>
    <w:rsid w:val="008156D4"/>
    <w:rsid w:val="008156D9"/>
    <w:rsid w:val="008158A8"/>
    <w:rsid w:val="0081599E"/>
    <w:rsid w:val="008159D3"/>
    <w:rsid w:val="00815C03"/>
    <w:rsid w:val="00815C3C"/>
    <w:rsid w:val="00815CAD"/>
    <w:rsid w:val="00815CB4"/>
    <w:rsid w:val="00815D83"/>
    <w:rsid w:val="00815E99"/>
    <w:rsid w:val="00816110"/>
    <w:rsid w:val="00816211"/>
    <w:rsid w:val="008162D8"/>
    <w:rsid w:val="00816338"/>
    <w:rsid w:val="0081637E"/>
    <w:rsid w:val="00816454"/>
    <w:rsid w:val="0081651F"/>
    <w:rsid w:val="0081661A"/>
    <w:rsid w:val="00816668"/>
    <w:rsid w:val="008168C9"/>
    <w:rsid w:val="008169F9"/>
    <w:rsid w:val="00816A13"/>
    <w:rsid w:val="00816A65"/>
    <w:rsid w:val="00816A71"/>
    <w:rsid w:val="00816AFC"/>
    <w:rsid w:val="00816C51"/>
    <w:rsid w:val="00816CF9"/>
    <w:rsid w:val="00816EA9"/>
    <w:rsid w:val="00816F2B"/>
    <w:rsid w:val="008170A4"/>
    <w:rsid w:val="008172A9"/>
    <w:rsid w:val="0081737A"/>
    <w:rsid w:val="0081738F"/>
    <w:rsid w:val="008173B0"/>
    <w:rsid w:val="00817462"/>
    <w:rsid w:val="008174F2"/>
    <w:rsid w:val="008175A3"/>
    <w:rsid w:val="008175E0"/>
    <w:rsid w:val="008177CB"/>
    <w:rsid w:val="00817827"/>
    <w:rsid w:val="008178D5"/>
    <w:rsid w:val="00817990"/>
    <w:rsid w:val="00817B3C"/>
    <w:rsid w:val="00817BA3"/>
    <w:rsid w:val="00817C6D"/>
    <w:rsid w:val="00817C78"/>
    <w:rsid w:val="00817DF1"/>
    <w:rsid w:val="00817F70"/>
    <w:rsid w:val="00817F7F"/>
    <w:rsid w:val="00817F80"/>
    <w:rsid w:val="00817FEE"/>
    <w:rsid w:val="0082002C"/>
    <w:rsid w:val="00820263"/>
    <w:rsid w:val="0082027F"/>
    <w:rsid w:val="0082030D"/>
    <w:rsid w:val="00820437"/>
    <w:rsid w:val="008205F1"/>
    <w:rsid w:val="008206A4"/>
    <w:rsid w:val="008206C6"/>
    <w:rsid w:val="00820704"/>
    <w:rsid w:val="00820767"/>
    <w:rsid w:val="0082080F"/>
    <w:rsid w:val="008208C0"/>
    <w:rsid w:val="008208EE"/>
    <w:rsid w:val="008208F5"/>
    <w:rsid w:val="00820934"/>
    <w:rsid w:val="00820947"/>
    <w:rsid w:val="00820957"/>
    <w:rsid w:val="00820A03"/>
    <w:rsid w:val="00820B12"/>
    <w:rsid w:val="00820C00"/>
    <w:rsid w:val="00820C2D"/>
    <w:rsid w:val="00820CC5"/>
    <w:rsid w:val="00820CF5"/>
    <w:rsid w:val="00820D2A"/>
    <w:rsid w:val="00820DE4"/>
    <w:rsid w:val="00820E34"/>
    <w:rsid w:val="00821080"/>
    <w:rsid w:val="00821091"/>
    <w:rsid w:val="0082120B"/>
    <w:rsid w:val="008212DA"/>
    <w:rsid w:val="008213EB"/>
    <w:rsid w:val="0082156D"/>
    <w:rsid w:val="008215B9"/>
    <w:rsid w:val="00821661"/>
    <w:rsid w:val="00821671"/>
    <w:rsid w:val="00821684"/>
    <w:rsid w:val="00821A09"/>
    <w:rsid w:val="00821A1D"/>
    <w:rsid w:val="00821AE8"/>
    <w:rsid w:val="00821C45"/>
    <w:rsid w:val="00821C6E"/>
    <w:rsid w:val="00821C7B"/>
    <w:rsid w:val="00821CBC"/>
    <w:rsid w:val="00821D70"/>
    <w:rsid w:val="00821DED"/>
    <w:rsid w:val="00821E30"/>
    <w:rsid w:val="00821F13"/>
    <w:rsid w:val="00821F63"/>
    <w:rsid w:val="00822021"/>
    <w:rsid w:val="00822534"/>
    <w:rsid w:val="008225DF"/>
    <w:rsid w:val="00822608"/>
    <w:rsid w:val="00822662"/>
    <w:rsid w:val="0082275C"/>
    <w:rsid w:val="008228E9"/>
    <w:rsid w:val="0082296E"/>
    <w:rsid w:val="008229AC"/>
    <w:rsid w:val="008229F7"/>
    <w:rsid w:val="00822A77"/>
    <w:rsid w:val="00822B25"/>
    <w:rsid w:val="00822C6D"/>
    <w:rsid w:val="00822D12"/>
    <w:rsid w:val="00822DF4"/>
    <w:rsid w:val="00822E38"/>
    <w:rsid w:val="00822E7B"/>
    <w:rsid w:val="00823001"/>
    <w:rsid w:val="00823152"/>
    <w:rsid w:val="0082323C"/>
    <w:rsid w:val="0082341B"/>
    <w:rsid w:val="00823484"/>
    <w:rsid w:val="0082348C"/>
    <w:rsid w:val="00823535"/>
    <w:rsid w:val="00823591"/>
    <w:rsid w:val="008235B6"/>
    <w:rsid w:val="0082363B"/>
    <w:rsid w:val="0082366A"/>
    <w:rsid w:val="00823727"/>
    <w:rsid w:val="00823755"/>
    <w:rsid w:val="0082376A"/>
    <w:rsid w:val="00823E10"/>
    <w:rsid w:val="00823E7D"/>
    <w:rsid w:val="00823EDB"/>
    <w:rsid w:val="00823EF9"/>
    <w:rsid w:val="00823F3C"/>
    <w:rsid w:val="00824444"/>
    <w:rsid w:val="0082451F"/>
    <w:rsid w:val="00824548"/>
    <w:rsid w:val="00824601"/>
    <w:rsid w:val="00824628"/>
    <w:rsid w:val="008247AD"/>
    <w:rsid w:val="00824964"/>
    <w:rsid w:val="008249C9"/>
    <w:rsid w:val="008249E3"/>
    <w:rsid w:val="00824B31"/>
    <w:rsid w:val="00824B60"/>
    <w:rsid w:val="00824D23"/>
    <w:rsid w:val="00824DD3"/>
    <w:rsid w:val="00824FF1"/>
    <w:rsid w:val="00825278"/>
    <w:rsid w:val="008253F5"/>
    <w:rsid w:val="00825427"/>
    <w:rsid w:val="00825766"/>
    <w:rsid w:val="008258D6"/>
    <w:rsid w:val="0082595C"/>
    <w:rsid w:val="008259F7"/>
    <w:rsid w:val="00825A95"/>
    <w:rsid w:val="00825B6C"/>
    <w:rsid w:val="00825CE4"/>
    <w:rsid w:val="00825D2C"/>
    <w:rsid w:val="00825D82"/>
    <w:rsid w:val="00825DD2"/>
    <w:rsid w:val="00825ED4"/>
    <w:rsid w:val="00825F1F"/>
    <w:rsid w:val="00825F4C"/>
    <w:rsid w:val="00825F6F"/>
    <w:rsid w:val="00825F91"/>
    <w:rsid w:val="00826158"/>
    <w:rsid w:val="00826197"/>
    <w:rsid w:val="008261E9"/>
    <w:rsid w:val="008261EB"/>
    <w:rsid w:val="00826245"/>
    <w:rsid w:val="00826248"/>
    <w:rsid w:val="0082643D"/>
    <w:rsid w:val="008264C3"/>
    <w:rsid w:val="0082652D"/>
    <w:rsid w:val="0082672B"/>
    <w:rsid w:val="00826753"/>
    <w:rsid w:val="008267F4"/>
    <w:rsid w:val="008268CA"/>
    <w:rsid w:val="00826C54"/>
    <w:rsid w:val="008270A0"/>
    <w:rsid w:val="008270AD"/>
    <w:rsid w:val="0082712A"/>
    <w:rsid w:val="00827359"/>
    <w:rsid w:val="008273A0"/>
    <w:rsid w:val="0082740F"/>
    <w:rsid w:val="00827455"/>
    <w:rsid w:val="00827544"/>
    <w:rsid w:val="00827578"/>
    <w:rsid w:val="008275EA"/>
    <w:rsid w:val="008276E2"/>
    <w:rsid w:val="0082775A"/>
    <w:rsid w:val="008278FB"/>
    <w:rsid w:val="00827AEE"/>
    <w:rsid w:val="00827B30"/>
    <w:rsid w:val="00827B43"/>
    <w:rsid w:val="00827B70"/>
    <w:rsid w:val="00827B98"/>
    <w:rsid w:val="00827D0F"/>
    <w:rsid w:val="00827DE6"/>
    <w:rsid w:val="00827F1C"/>
    <w:rsid w:val="00827FB2"/>
    <w:rsid w:val="0083019F"/>
    <w:rsid w:val="008302D3"/>
    <w:rsid w:val="0083032D"/>
    <w:rsid w:val="0083045B"/>
    <w:rsid w:val="0083052C"/>
    <w:rsid w:val="00830750"/>
    <w:rsid w:val="00830797"/>
    <w:rsid w:val="00830868"/>
    <w:rsid w:val="0083097F"/>
    <w:rsid w:val="00830A2E"/>
    <w:rsid w:val="00830AF9"/>
    <w:rsid w:val="00830B40"/>
    <w:rsid w:val="00830B6E"/>
    <w:rsid w:val="00830D8F"/>
    <w:rsid w:val="00830DC6"/>
    <w:rsid w:val="00830E27"/>
    <w:rsid w:val="00831053"/>
    <w:rsid w:val="0083105C"/>
    <w:rsid w:val="0083134E"/>
    <w:rsid w:val="008313E7"/>
    <w:rsid w:val="00831468"/>
    <w:rsid w:val="0083149A"/>
    <w:rsid w:val="0083158D"/>
    <w:rsid w:val="008315D8"/>
    <w:rsid w:val="00831622"/>
    <w:rsid w:val="0083164C"/>
    <w:rsid w:val="008316A6"/>
    <w:rsid w:val="008316B9"/>
    <w:rsid w:val="008316EB"/>
    <w:rsid w:val="0083172B"/>
    <w:rsid w:val="00831798"/>
    <w:rsid w:val="008317B8"/>
    <w:rsid w:val="00831842"/>
    <w:rsid w:val="00831860"/>
    <w:rsid w:val="00831964"/>
    <w:rsid w:val="00831977"/>
    <w:rsid w:val="008319BD"/>
    <w:rsid w:val="00831A4E"/>
    <w:rsid w:val="00831AD1"/>
    <w:rsid w:val="00831C73"/>
    <w:rsid w:val="00831F7F"/>
    <w:rsid w:val="00831FE9"/>
    <w:rsid w:val="008320E6"/>
    <w:rsid w:val="0083228D"/>
    <w:rsid w:val="0083229A"/>
    <w:rsid w:val="008323CB"/>
    <w:rsid w:val="00832439"/>
    <w:rsid w:val="00832539"/>
    <w:rsid w:val="008325A8"/>
    <w:rsid w:val="008325D0"/>
    <w:rsid w:val="00832732"/>
    <w:rsid w:val="0083280A"/>
    <w:rsid w:val="008328EF"/>
    <w:rsid w:val="0083293E"/>
    <w:rsid w:val="008329E5"/>
    <w:rsid w:val="00832A68"/>
    <w:rsid w:val="00832C12"/>
    <w:rsid w:val="00832C1C"/>
    <w:rsid w:val="00832E28"/>
    <w:rsid w:val="00832E2F"/>
    <w:rsid w:val="00832EEB"/>
    <w:rsid w:val="00833026"/>
    <w:rsid w:val="008330F3"/>
    <w:rsid w:val="0083312E"/>
    <w:rsid w:val="008333F5"/>
    <w:rsid w:val="0083370C"/>
    <w:rsid w:val="00833865"/>
    <w:rsid w:val="00833978"/>
    <w:rsid w:val="008339F5"/>
    <w:rsid w:val="00833A28"/>
    <w:rsid w:val="00833A68"/>
    <w:rsid w:val="00833A6C"/>
    <w:rsid w:val="00833B45"/>
    <w:rsid w:val="00833B98"/>
    <w:rsid w:val="00833C84"/>
    <w:rsid w:val="00833CBF"/>
    <w:rsid w:val="00833D44"/>
    <w:rsid w:val="00833DAD"/>
    <w:rsid w:val="00833DDB"/>
    <w:rsid w:val="00833E2E"/>
    <w:rsid w:val="00833EAB"/>
    <w:rsid w:val="00833EE8"/>
    <w:rsid w:val="0083413F"/>
    <w:rsid w:val="0083434F"/>
    <w:rsid w:val="00834559"/>
    <w:rsid w:val="00834584"/>
    <w:rsid w:val="00834604"/>
    <w:rsid w:val="0083469F"/>
    <w:rsid w:val="008346D6"/>
    <w:rsid w:val="0083470C"/>
    <w:rsid w:val="0083481C"/>
    <w:rsid w:val="00834887"/>
    <w:rsid w:val="008348C2"/>
    <w:rsid w:val="00834983"/>
    <w:rsid w:val="00834A80"/>
    <w:rsid w:val="00834A97"/>
    <w:rsid w:val="00834A9A"/>
    <w:rsid w:val="00834AB1"/>
    <w:rsid w:val="00834B85"/>
    <w:rsid w:val="00834B8E"/>
    <w:rsid w:val="00834C40"/>
    <w:rsid w:val="00834C53"/>
    <w:rsid w:val="00834C58"/>
    <w:rsid w:val="00834E16"/>
    <w:rsid w:val="00834EF0"/>
    <w:rsid w:val="00834FCB"/>
    <w:rsid w:val="008350A7"/>
    <w:rsid w:val="008350B7"/>
    <w:rsid w:val="00835133"/>
    <w:rsid w:val="00835304"/>
    <w:rsid w:val="0083532D"/>
    <w:rsid w:val="00835364"/>
    <w:rsid w:val="008353AA"/>
    <w:rsid w:val="00835464"/>
    <w:rsid w:val="008354B2"/>
    <w:rsid w:val="008354F7"/>
    <w:rsid w:val="008355DB"/>
    <w:rsid w:val="00835633"/>
    <w:rsid w:val="0083565D"/>
    <w:rsid w:val="008356F9"/>
    <w:rsid w:val="0083577B"/>
    <w:rsid w:val="008357C4"/>
    <w:rsid w:val="00835808"/>
    <w:rsid w:val="00835830"/>
    <w:rsid w:val="00835A2E"/>
    <w:rsid w:val="00835C3E"/>
    <w:rsid w:val="00835C40"/>
    <w:rsid w:val="00835CA3"/>
    <w:rsid w:val="00835D07"/>
    <w:rsid w:val="00835E1F"/>
    <w:rsid w:val="00835F6C"/>
    <w:rsid w:val="00835F83"/>
    <w:rsid w:val="00836003"/>
    <w:rsid w:val="0083621F"/>
    <w:rsid w:val="00836261"/>
    <w:rsid w:val="0083626C"/>
    <w:rsid w:val="00836299"/>
    <w:rsid w:val="0083639A"/>
    <w:rsid w:val="00836549"/>
    <w:rsid w:val="00836679"/>
    <w:rsid w:val="00836790"/>
    <w:rsid w:val="00836863"/>
    <w:rsid w:val="008368F8"/>
    <w:rsid w:val="0083693C"/>
    <w:rsid w:val="0083695D"/>
    <w:rsid w:val="00836982"/>
    <w:rsid w:val="008369DD"/>
    <w:rsid w:val="00836A09"/>
    <w:rsid w:val="00836B44"/>
    <w:rsid w:val="00836B56"/>
    <w:rsid w:val="00836BE3"/>
    <w:rsid w:val="00836C2C"/>
    <w:rsid w:val="00836C75"/>
    <w:rsid w:val="00836D20"/>
    <w:rsid w:val="00836EFF"/>
    <w:rsid w:val="0083703F"/>
    <w:rsid w:val="008373CF"/>
    <w:rsid w:val="00837432"/>
    <w:rsid w:val="008374B1"/>
    <w:rsid w:val="008374E7"/>
    <w:rsid w:val="00837875"/>
    <w:rsid w:val="0083787E"/>
    <w:rsid w:val="008378CF"/>
    <w:rsid w:val="00837C4D"/>
    <w:rsid w:val="00837CBF"/>
    <w:rsid w:val="00837E19"/>
    <w:rsid w:val="00837EB4"/>
    <w:rsid w:val="00837FCA"/>
    <w:rsid w:val="00840032"/>
    <w:rsid w:val="00840265"/>
    <w:rsid w:val="0084026B"/>
    <w:rsid w:val="008403B8"/>
    <w:rsid w:val="00840494"/>
    <w:rsid w:val="0084060F"/>
    <w:rsid w:val="00840724"/>
    <w:rsid w:val="00840822"/>
    <w:rsid w:val="00840884"/>
    <w:rsid w:val="008408FD"/>
    <w:rsid w:val="00840969"/>
    <w:rsid w:val="00840B1C"/>
    <w:rsid w:val="00840BBB"/>
    <w:rsid w:val="00840BD0"/>
    <w:rsid w:val="00840CD9"/>
    <w:rsid w:val="00840D7B"/>
    <w:rsid w:val="00840E60"/>
    <w:rsid w:val="00840F3E"/>
    <w:rsid w:val="00840F7A"/>
    <w:rsid w:val="00841171"/>
    <w:rsid w:val="008411A8"/>
    <w:rsid w:val="008411D2"/>
    <w:rsid w:val="008411D6"/>
    <w:rsid w:val="00841447"/>
    <w:rsid w:val="00841516"/>
    <w:rsid w:val="00841787"/>
    <w:rsid w:val="0084185F"/>
    <w:rsid w:val="0084194A"/>
    <w:rsid w:val="0084198F"/>
    <w:rsid w:val="008419DE"/>
    <w:rsid w:val="008419FA"/>
    <w:rsid w:val="00841B9C"/>
    <w:rsid w:val="00841CB0"/>
    <w:rsid w:val="00841E1F"/>
    <w:rsid w:val="00841FF0"/>
    <w:rsid w:val="0084207B"/>
    <w:rsid w:val="0084207E"/>
    <w:rsid w:val="00842205"/>
    <w:rsid w:val="00842240"/>
    <w:rsid w:val="00842628"/>
    <w:rsid w:val="0084273F"/>
    <w:rsid w:val="00842805"/>
    <w:rsid w:val="0084280C"/>
    <w:rsid w:val="0084298D"/>
    <w:rsid w:val="00842A05"/>
    <w:rsid w:val="00842B15"/>
    <w:rsid w:val="00842B88"/>
    <w:rsid w:val="00842BB3"/>
    <w:rsid w:val="00842C63"/>
    <w:rsid w:val="00842CEE"/>
    <w:rsid w:val="00842DC5"/>
    <w:rsid w:val="00842DEB"/>
    <w:rsid w:val="00842EBF"/>
    <w:rsid w:val="00843105"/>
    <w:rsid w:val="00843157"/>
    <w:rsid w:val="008431C7"/>
    <w:rsid w:val="0084321E"/>
    <w:rsid w:val="0084338F"/>
    <w:rsid w:val="0084352D"/>
    <w:rsid w:val="0084357F"/>
    <w:rsid w:val="00843781"/>
    <w:rsid w:val="008437B8"/>
    <w:rsid w:val="00843841"/>
    <w:rsid w:val="008438A5"/>
    <w:rsid w:val="00843997"/>
    <w:rsid w:val="00843A19"/>
    <w:rsid w:val="00843C0C"/>
    <w:rsid w:val="00843C41"/>
    <w:rsid w:val="00843D5F"/>
    <w:rsid w:val="00843D7E"/>
    <w:rsid w:val="008441DB"/>
    <w:rsid w:val="008442D8"/>
    <w:rsid w:val="00844303"/>
    <w:rsid w:val="008443F6"/>
    <w:rsid w:val="00844449"/>
    <w:rsid w:val="008446B4"/>
    <w:rsid w:val="00844842"/>
    <w:rsid w:val="008448E3"/>
    <w:rsid w:val="00844A8A"/>
    <w:rsid w:val="00844C03"/>
    <w:rsid w:val="00844C64"/>
    <w:rsid w:val="00844C7C"/>
    <w:rsid w:val="00844CC4"/>
    <w:rsid w:val="00844D00"/>
    <w:rsid w:val="00844D02"/>
    <w:rsid w:val="00844EC3"/>
    <w:rsid w:val="00844F9B"/>
    <w:rsid w:val="00844FBE"/>
    <w:rsid w:val="0084505B"/>
    <w:rsid w:val="008451F3"/>
    <w:rsid w:val="008451FD"/>
    <w:rsid w:val="0084521E"/>
    <w:rsid w:val="008452E3"/>
    <w:rsid w:val="008453C2"/>
    <w:rsid w:val="0084540D"/>
    <w:rsid w:val="00845594"/>
    <w:rsid w:val="00845614"/>
    <w:rsid w:val="008456EA"/>
    <w:rsid w:val="0084578D"/>
    <w:rsid w:val="008457A7"/>
    <w:rsid w:val="008457F1"/>
    <w:rsid w:val="008457F9"/>
    <w:rsid w:val="00845854"/>
    <w:rsid w:val="008458D1"/>
    <w:rsid w:val="0084599C"/>
    <w:rsid w:val="008459A7"/>
    <w:rsid w:val="00845AC7"/>
    <w:rsid w:val="00845B3B"/>
    <w:rsid w:val="00845B88"/>
    <w:rsid w:val="00845BF4"/>
    <w:rsid w:val="00845D2B"/>
    <w:rsid w:val="00845D79"/>
    <w:rsid w:val="00845EFD"/>
    <w:rsid w:val="00845F1C"/>
    <w:rsid w:val="008460A4"/>
    <w:rsid w:val="008460A6"/>
    <w:rsid w:val="00846100"/>
    <w:rsid w:val="00846165"/>
    <w:rsid w:val="008461DA"/>
    <w:rsid w:val="00846207"/>
    <w:rsid w:val="00846336"/>
    <w:rsid w:val="008463C8"/>
    <w:rsid w:val="008463E2"/>
    <w:rsid w:val="0084655A"/>
    <w:rsid w:val="00846589"/>
    <w:rsid w:val="008465CA"/>
    <w:rsid w:val="008466FD"/>
    <w:rsid w:val="00846701"/>
    <w:rsid w:val="00846823"/>
    <w:rsid w:val="008469C2"/>
    <w:rsid w:val="00846A26"/>
    <w:rsid w:val="00846B6D"/>
    <w:rsid w:val="00846BE3"/>
    <w:rsid w:val="00846C08"/>
    <w:rsid w:val="00846C4A"/>
    <w:rsid w:val="00846D1D"/>
    <w:rsid w:val="00846DD6"/>
    <w:rsid w:val="00847000"/>
    <w:rsid w:val="00847011"/>
    <w:rsid w:val="008470A9"/>
    <w:rsid w:val="00847132"/>
    <w:rsid w:val="008471AD"/>
    <w:rsid w:val="00847213"/>
    <w:rsid w:val="0084741F"/>
    <w:rsid w:val="008474CE"/>
    <w:rsid w:val="008474DC"/>
    <w:rsid w:val="008475C7"/>
    <w:rsid w:val="0084773D"/>
    <w:rsid w:val="0084774F"/>
    <w:rsid w:val="008477F9"/>
    <w:rsid w:val="00847A31"/>
    <w:rsid w:val="00847B0B"/>
    <w:rsid w:val="00847C56"/>
    <w:rsid w:val="00847CEA"/>
    <w:rsid w:val="00847EBB"/>
    <w:rsid w:val="00847FDD"/>
    <w:rsid w:val="00850051"/>
    <w:rsid w:val="0085005C"/>
    <w:rsid w:val="00850199"/>
    <w:rsid w:val="00850312"/>
    <w:rsid w:val="00850389"/>
    <w:rsid w:val="0085066C"/>
    <w:rsid w:val="0085084F"/>
    <w:rsid w:val="0085099F"/>
    <w:rsid w:val="008509C8"/>
    <w:rsid w:val="008509E1"/>
    <w:rsid w:val="00850A5C"/>
    <w:rsid w:val="00850ABC"/>
    <w:rsid w:val="00850DCC"/>
    <w:rsid w:val="00850E32"/>
    <w:rsid w:val="00850F44"/>
    <w:rsid w:val="00850F94"/>
    <w:rsid w:val="00850FD2"/>
    <w:rsid w:val="00851000"/>
    <w:rsid w:val="008510B7"/>
    <w:rsid w:val="008513E5"/>
    <w:rsid w:val="0085140D"/>
    <w:rsid w:val="00851431"/>
    <w:rsid w:val="00851478"/>
    <w:rsid w:val="0085148D"/>
    <w:rsid w:val="008518AD"/>
    <w:rsid w:val="00851B24"/>
    <w:rsid w:val="00851C87"/>
    <w:rsid w:val="00851CCE"/>
    <w:rsid w:val="00851D1E"/>
    <w:rsid w:val="00851DD1"/>
    <w:rsid w:val="00851E50"/>
    <w:rsid w:val="00851E70"/>
    <w:rsid w:val="00851EEA"/>
    <w:rsid w:val="00851F13"/>
    <w:rsid w:val="00851F3E"/>
    <w:rsid w:val="0085225C"/>
    <w:rsid w:val="00852273"/>
    <w:rsid w:val="008522F4"/>
    <w:rsid w:val="00852344"/>
    <w:rsid w:val="008523E3"/>
    <w:rsid w:val="0085245E"/>
    <w:rsid w:val="0085250E"/>
    <w:rsid w:val="0085256B"/>
    <w:rsid w:val="00852865"/>
    <w:rsid w:val="00852923"/>
    <w:rsid w:val="0085298A"/>
    <w:rsid w:val="008529CB"/>
    <w:rsid w:val="00852A7D"/>
    <w:rsid w:val="00852BCC"/>
    <w:rsid w:val="00852C70"/>
    <w:rsid w:val="00852CB7"/>
    <w:rsid w:val="00852CCD"/>
    <w:rsid w:val="00852EA2"/>
    <w:rsid w:val="00852EDD"/>
    <w:rsid w:val="00852EE2"/>
    <w:rsid w:val="00852F94"/>
    <w:rsid w:val="0085303A"/>
    <w:rsid w:val="008530E4"/>
    <w:rsid w:val="008531CF"/>
    <w:rsid w:val="008532A2"/>
    <w:rsid w:val="008532B7"/>
    <w:rsid w:val="008532CA"/>
    <w:rsid w:val="008532F7"/>
    <w:rsid w:val="008535E5"/>
    <w:rsid w:val="00853655"/>
    <w:rsid w:val="00853761"/>
    <w:rsid w:val="00853BA0"/>
    <w:rsid w:val="00853C37"/>
    <w:rsid w:val="00853D87"/>
    <w:rsid w:val="00853EAF"/>
    <w:rsid w:val="00854199"/>
    <w:rsid w:val="008541D0"/>
    <w:rsid w:val="008541D1"/>
    <w:rsid w:val="00854347"/>
    <w:rsid w:val="00854512"/>
    <w:rsid w:val="00854532"/>
    <w:rsid w:val="0085455E"/>
    <w:rsid w:val="008545DA"/>
    <w:rsid w:val="008545F6"/>
    <w:rsid w:val="008548C6"/>
    <w:rsid w:val="0085494C"/>
    <w:rsid w:val="00854AC8"/>
    <w:rsid w:val="00854B9F"/>
    <w:rsid w:val="00854C40"/>
    <w:rsid w:val="008550F5"/>
    <w:rsid w:val="008554CF"/>
    <w:rsid w:val="00855515"/>
    <w:rsid w:val="0085559A"/>
    <w:rsid w:val="0085565F"/>
    <w:rsid w:val="008556B5"/>
    <w:rsid w:val="00855713"/>
    <w:rsid w:val="00855724"/>
    <w:rsid w:val="0085576E"/>
    <w:rsid w:val="008557F6"/>
    <w:rsid w:val="00855909"/>
    <w:rsid w:val="00855A24"/>
    <w:rsid w:val="00855A6E"/>
    <w:rsid w:val="00855AA9"/>
    <w:rsid w:val="00855B2C"/>
    <w:rsid w:val="00855CD3"/>
    <w:rsid w:val="00855D0C"/>
    <w:rsid w:val="00855DA6"/>
    <w:rsid w:val="008562C6"/>
    <w:rsid w:val="00856341"/>
    <w:rsid w:val="008564B9"/>
    <w:rsid w:val="0085651E"/>
    <w:rsid w:val="0085655D"/>
    <w:rsid w:val="00856637"/>
    <w:rsid w:val="00856744"/>
    <w:rsid w:val="0085692B"/>
    <w:rsid w:val="0085698E"/>
    <w:rsid w:val="008569DF"/>
    <w:rsid w:val="00856A91"/>
    <w:rsid w:val="00856AB5"/>
    <w:rsid w:val="00856C76"/>
    <w:rsid w:val="00856D64"/>
    <w:rsid w:val="00856D67"/>
    <w:rsid w:val="00856E40"/>
    <w:rsid w:val="00856EF9"/>
    <w:rsid w:val="008571C3"/>
    <w:rsid w:val="00857273"/>
    <w:rsid w:val="008572A7"/>
    <w:rsid w:val="00857362"/>
    <w:rsid w:val="00857390"/>
    <w:rsid w:val="008573D9"/>
    <w:rsid w:val="0085748B"/>
    <w:rsid w:val="00857588"/>
    <w:rsid w:val="0085768D"/>
    <w:rsid w:val="0085770E"/>
    <w:rsid w:val="00857842"/>
    <w:rsid w:val="0085785C"/>
    <w:rsid w:val="00857886"/>
    <w:rsid w:val="00857979"/>
    <w:rsid w:val="008579B1"/>
    <w:rsid w:val="00857B53"/>
    <w:rsid w:val="00857BAA"/>
    <w:rsid w:val="00857C82"/>
    <w:rsid w:val="00857D20"/>
    <w:rsid w:val="00857D3A"/>
    <w:rsid w:val="00857D52"/>
    <w:rsid w:val="00857DBD"/>
    <w:rsid w:val="00857FE4"/>
    <w:rsid w:val="00860160"/>
    <w:rsid w:val="0086029D"/>
    <w:rsid w:val="008604EB"/>
    <w:rsid w:val="0086052C"/>
    <w:rsid w:val="008608FA"/>
    <w:rsid w:val="00860A9C"/>
    <w:rsid w:val="00860C72"/>
    <w:rsid w:val="00860D24"/>
    <w:rsid w:val="00860E97"/>
    <w:rsid w:val="00860E9A"/>
    <w:rsid w:val="00860F6A"/>
    <w:rsid w:val="00860F8F"/>
    <w:rsid w:val="00860FB4"/>
    <w:rsid w:val="0086138D"/>
    <w:rsid w:val="00861565"/>
    <w:rsid w:val="00861697"/>
    <w:rsid w:val="008616AD"/>
    <w:rsid w:val="008616EA"/>
    <w:rsid w:val="00861787"/>
    <w:rsid w:val="008617E9"/>
    <w:rsid w:val="0086184D"/>
    <w:rsid w:val="00861A35"/>
    <w:rsid w:val="00861A59"/>
    <w:rsid w:val="00861CEA"/>
    <w:rsid w:val="00861CFE"/>
    <w:rsid w:val="00861D29"/>
    <w:rsid w:val="00861D41"/>
    <w:rsid w:val="00861D46"/>
    <w:rsid w:val="00861DCC"/>
    <w:rsid w:val="00861DD9"/>
    <w:rsid w:val="00861DE3"/>
    <w:rsid w:val="00861FEC"/>
    <w:rsid w:val="00862135"/>
    <w:rsid w:val="008621A6"/>
    <w:rsid w:val="00862401"/>
    <w:rsid w:val="0086247A"/>
    <w:rsid w:val="00862641"/>
    <w:rsid w:val="008626E7"/>
    <w:rsid w:val="008627E2"/>
    <w:rsid w:val="008627FF"/>
    <w:rsid w:val="0086283C"/>
    <w:rsid w:val="00862E37"/>
    <w:rsid w:val="00862E4F"/>
    <w:rsid w:val="00862F1F"/>
    <w:rsid w:val="00862FA7"/>
    <w:rsid w:val="00862FAA"/>
    <w:rsid w:val="00862FFF"/>
    <w:rsid w:val="0086309C"/>
    <w:rsid w:val="008630E8"/>
    <w:rsid w:val="008631A6"/>
    <w:rsid w:val="0086320F"/>
    <w:rsid w:val="00863225"/>
    <w:rsid w:val="0086336F"/>
    <w:rsid w:val="00863383"/>
    <w:rsid w:val="0086341B"/>
    <w:rsid w:val="00863427"/>
    <w:rsid w:val="00863536"/>
    <w:rsid w:val="008635B7"/>
    <w:rsid w:val="00863618"/>
    <w:rsid w:val="00863869"/>
    <w:rsid w:val="0086399B"/>
    <w:rsid w:val="00863A53"/>
    <w:rsid w:val="00863A8A"/>
    <w:rsid w:val="00863B19"/>
    <w:rsid w:val="00863B2D"/>
    <w:rsid w:val="00863BA7"/>
    <w:rsid w:val="00863BF8"/>
    <w:rsid w:val="00863E69"/>
    <w:rsid w:val="00863ECF"/>
    <w:rsid w:val="00863ED5"/>
    <w:rsid w:val="00863F23"/>
    <w:rsid w:val="00864004"/>
    <w:rsid w:val="0086417A"/>
    <w:rsid w:val="008641EE"/>
    <w:rsid w:val="008641FC"/>
    <w:rsid w:val="00864307"/>
    <w:rsid w:val="0086442D"/>
    <w:rsid w:val="00864455"/>
    <w:rsid w:val="00864462"/>
    <w:rsid w:val="008644B9"/>
    <w:rsid w:val="0086455C"/>
    <w:rsid w:val="00864611"/>
    <w:rsid w:val="008647F1"/>
    <w:rsid w:val="00864880"/>
    <w:rsid w:val="00864A05"/>
    <w:rsid w:val="00864BFD"/>
    <w:rsid w:val="00864C05"/>
    <w:rsid w:val="00864C20"/>
    <w:rsid w:val="00864CCA"/>
    <w:rsid w:val="00864DCD"/>
    <w:rsid w:val="00864EC6"/>
    <w:rsid w:val="00864F0F"/>
    <w:rsid w:val="00865066"/>
    <w:rsid w:val="008651AB"/>
    <w:rsid w:val="008651B3"/>
    <w:rsid w:val="008651F8"/>
    <w:rsid w:val="00865273"/>
    <w:rsid w:val="0086546D"/>
    <w:rsid w:val="0086560B"/>
    <w:rsid w:val="00865631"/>
    <w:rsid w:val="008658A1"/>
    <w:rsid w:val="008659A5"/>
    <w:rsid w:val="00865BAB"/>
    <w:rsid w:val="00865C17"/>
    <w:rsid w:val="00865C42"/>
    <w:rsid w:val="00865C74"/>
    <w:rsid w:val="00865E89"/>
    <w:rsid w:val="00865F97"/>
    <w:rsid w:val="00865FAF"/>
    <w:rsid w:val="00866147"/>
    <w:rsid w:val="008662C6"/>
    <w:rsid w:val="0086631C"/>
    <w:rsid w:val="008663B9"/>
    <w:rsid w:val="008664CF"/>
    <w:rsid w:val="008664F5"/>
    <w:rsid w:val="0086654B"/>
    <w:rsid w:val="008665C6"/>
    <w:rsid w:val="0086666D"/>
    <w:rsid w:val="008666A7"/>
    <w:rsid w:val="008667EA"/>
    <w:rsid w:val="008668D4"/>
    <w:rsid w:val="008668E1"/>
    <w:rsid w:val="0086694F"/>
    <w:rsid w:val="00866AB2"/>
    <w:rsid w:val="00866AF7"/>
    <w:rsid w:val="00866AFB"/>
    <w:rsid w:val="00866B93"/>
    <w:rsid w:val="00866E95"/>
    <w:rsid w:val="00866ED4"/>
    <w:rsid w:val="00866F21"/>
    <w:rsid w:val="00866FA4"/>
    <w:rsid w:val="00866FD1"/>
    <w:rsid w:val="00867046"/>
    <w:rsid w:val="00867197"/>
    <w:rsid w:val="008671F8"/>
    <w:rsid w:val="00867396"/>
    <w:rsid w:val="0086739D"/>
    <w:rsid w:val="00867572"/>
    <w:rsid w:val="00867596"/>
    <w:rsid w:val="00867680"/>
    <w:rsid w:val="00867736"/>
    <w:rsid w:val="0086778C"/>
    <w:rsid w:val="0086791C"/>
    <w:rsid w:val="00867B66"/>
    <w:rsid w:val="00867D2E"/>
    <w:rsid w:val="00867DA8"/>
    <w:rsid w:val="00867E80"/>
    <w:rsid w:val="00867EDE"/>
    <w:rsid w:val="00867EEE"/>
    <w:rsid w:val="00867F9F"/>
    <w:rsid w:val="00870062"/>
    <w:rsid w:val="008700F2"/>
    <w:rsid w:val="0087018A"/>
    <w:rsid w:val="008701C0"/>
    <w:rsid w:val="00870382"/>
    <w:rsid w:val="008703D8"/>
    <w:rsid w:val="00870414"/>
    <w:rsid w:val="0087057E"/>
    <w:rsid w:val="0087066C"/>
    <w:rsid w:val="008706BA"/>
    <w:rsid w:val="00870783"/>
    <w:rsid w:val="008707B4"/>
    <w:rsid w:val="008707BD"/>
    <w:rsid w:val="00870890"/>
    <w:rsid w:val="00870927"/>
    <w:rsid w:val="00870A57"/>
    <w:rsid w:val="00870AC5"/>
    <w:rsid w:val="00870B3A"/>
    <w:rsid w:val="00870BC9"/>
    <w:rsid w:val="00870C07"/>
    <w:rsid w:val="00870CB3"/>
    <w:rsid w:val="00870CE3"/>
    <w:rsid w:val="00870DD3"/>
    <w:rsid w:val="00870E8E"/>
    <w:rsid w:val="00870F7F"/>
    <w:rsid w:val="0087103A"/>
    <w:rsid w:val="008710A8"/>
    <w:rsid w:val="00871256"/>
    <w:rsid w:val="008712A8"/>
    <w:rsid w:val="008712D4"/>
    <w:rsid w:val="008712EE"/>
    <w:rsid w:val="008713DB"/>
    <w:rsid w:val="00871513"/>
    <w:rsid w:val="00871609"/>
    <w:rsid w:val="0087165B"/>
    <w:rsid w:val="0087168E"/>
    <w:rsid w:val="00871758"/>
    <w:rsid w:val="00871793"/>
    <w:rsid w:val="008717FE"/>
    <w:rsid w:val="00871847"/>
    <w:rsid w:val="008718D7"/>
    <w:rsid w:val="008719D5"/>
    <w:rsid w:val="00871A74"/>
    <w:rsid w:val="00871B15"/>
    <w:rsid w:val="00871BA6"/>
    <w:rsid w:val="00871CFA"/>
    <w:rsid w:val="00871DE1"/>
    <w:rsid w:val="00871FB5"/>
    <w:rsid w:val="0087201C"/>
    <w:rsid w:val="008721A2"/>
    <w:rsid w:val="008721AA"/>
    <w:rsid w:val="008721D9"/>
    <w:rsid w:val="008721DA"/>
    <w:rsid w:val="00872289"/>
    <w:rsid w:val="0087239D"/>
    <w:rsid w:val="008725DC"/>
    <w:rsid w:val="0087270F"/>
    <w:rsid w:val="008727CB"/>
    <w:rsid w:val="008727E1"/>
    <w:rsid w:val="008728DD"/>
    <w:rsid w:val="0087293E"/>
    <w:rsid w:val="00872A06"/>
    <w:rsid w:val="00872AC8"/>
    <w:rsid w:val="00872ADE"/>
    <w:rsid w:val="00872AEB"/>
    <w:rsid w:val="00872C10"/>
    <w:rsid w:val="00872D01"/>
    <w:rsid w:val="00872E4A"/>
    <w:rsid w:val="00872E98"/>
    <w:rsid w:val="008730F5"/>
    <w:rsid w:val="0087326E"/>
    <w:rsid w:val="008732B7"/>
    <w:rsid w:val="008732C4"/>
    <w:rsid w:val="008733DA"/>
    <w:rsid w:val="0087348D"/>
    <w:rsid w:val="008734BD"/>
    <w:rsid w:val="008735AE"/>
    <w:rsid w:val="008735E5"/>
    <w:rsid w:val="008735F2"/>
    <w:rsid w:val="0087363F"/>
    <w:rsid w:val="00873658"/>
    <w:rsid w:val="0087365C"/>
    <w:rsid w:val="008736BC"/>
    <w:rsid w:val="008736D3"/>
    <w:rsid w:val="0087375C"/>
    <w:rsid w:val="0087392D"/>
    <w:rsid w:val="00873962"/>
    <w:rsid w:val="00873BA6"/>
    <w:rsid w:val="00873BCA"/>
    <w:rsid w:val="00873BFE"/>
    <w:rsid w:val="00873D7A"/>
    <w:rsid w:val="00873D88"/>
    <w:rsid w:val="00873F70"/>
    <w:rsid w:val="00873FEB"/>
    <w:rsid w:val="00874018"/>
    <w:rsid w:val="0087408D"/>
    <w:rsid w:val="00874148"/>
    <w:rsid w:val="0087424C"/>
    <w:rsid w:val="008742C6"/>
    <w:rsid w:val="00874341"/>
    <w:rsid w:val="0087438F"/>
    <w:rsid w:val="00874478"/>
    <w:rsid w:val="00874509"/>
    <w:rsid w:val="008745D9"/>
    <w:rsid w:val="008746CB"/>
    <w:rsid w:val="00874AEF"/>
    <w:rsid w:val="00874B1B"/>
    <w:rsid w:val="00874BDF"/>
    <w:rsid w:val="00874D22"/>
    <w:rsid w:val="00874EBB"/>
    <w:rsid w:val="00874F17"/>
    <w:rsid w:val="00874F1A"/>
    <w:rsid w:val="00874F46"/>
    <w:rsid w:val="0087509E"/>
    <w:rsid w:val="0087510D"/>
    <w:rsid w:val="00875115"/>
    <w:rsid w:val="0087525C"/>
    <w:rsid w:val="008752D5"/>
    <w:rsid w:val="0087531C"/>
    <w:rsid w:val="00875376"/>
    <w:rsid w:val="008753EA"/>
    <w:rsid w:val="00875581"/>
    <w:rsid w:val="0087559D"/>
    <w:rsid w:val="00875694"/>
    <w:rsid w:val="00875751"/>
    <w:rsid w:val="00875831"/>
    <w:rsid w:val="0087587D"/>
    <w:rsid w:val="008758D4"/>
    <w:rsid w:val="00875929"/>
    <w:rsid w:val="00875AED"/>
    <w:rsid w:val="00875E91"/>
    <w:rsid w:val="00875EC0"/>
    <w:rsid w:val="00875EC5"/>
    <w:rsid w:val="00875FD6"/>
    <w:rsid w:val="008762D4"/>
    <w:rsid w:val="008762FD"/>
    <w:rsid w:val="0087637A"/>
    <w:rsid w:val="008764A7"/>
    <w:rsid w:val="0087663F"/>
    <w:rsid w:val="008767BD"/>
    <w:rsid w:val="00876931"/>
    <w:rsid w:val="00876A35"/>
    <w:rsid w:val="00876ABD"/>
    <w:rsid w:val="00876BA9"/>
    <w:rsid w:val="00876D49"/>
    <w:rsid w:val="00877387"/>
    <w:rsid w:val="00877439"/>
    <w:rsid w:val="0087744A"/>
    <w:rsid w:val="00877450"/>
    <w:rsid w:val="0087754D"/>
    <w:rsid w:val="0087755D"/>
    <w:rsid w:val="00877685"/>
    <w:rsid w:val="0087769F"/>
    <w:rsid w:val="00877766"/>
    <w:rsid w:val="008778D4"/>
    <w:rsid w:val="008779BB"/>
    <w:rsid w:val="00877ABC"/>
    <w:rsid w:val="00877AEE"/>
    <w:rsid w:val="00877BE4"/>
    <w:rsid w:val="00877C76"/>
    <w:rsid w:val="00877D7E"/>
    <w:rsid w:val="00877EC2"/>
    <w:rsid w:val="00877EEA"/>
    <w:rsid w:val="00877EF3"/>
    <w:rsid w:val="00877F95"/>
    <w:rsid w:val="0088004E"/>
    <w:rsid w:val="00880052"/>
    <w:rsid w:val="0088011F"/>
    <w:rsid w:val="00880132"/>
    <w:rsid w:val="008801FC"/>
    <w:rsid w:val="00880231"/>
    <w:rsid w:val="0088086B"/>
    <w:rsid w:val="008808C9"/>
    <w:rsid w:val="00880AF8"/>
    <w:rsid w:val="00880B57"/>
    <w:rsid w:val="00880CA4"/>
    <w:rsid w:val="00880D28"/>
    <w:rsid w:val="00880D74"/>
    <w:rsid w:val="00880EEC"/>
    <w:rsid w:val="00880FE2"/>
    <w:rsid w:val="0088104C"/>
    <w:rsid w:val="00881148"/>
    <w:rsid w:val="008811BF"/>
    <w:rsid w:val="0088135E"/>
    <w:rsid w:val="00881709"/>
    <w:rsid w:val="00881828"/>
    <w:rsid w:val="008818E9"/>
    <w:rsid w:val="00881909"/>
    <w:rsid w:val="00881A60"/>
    <w:rsid w:val="00881AE6"/>
    <w:rsid w:val="00881B7C"/>
    <w:rsid w:val="00881B8E"/>
    <w:rsid w:val="00881B94"/>
    <w:rsid w:val="00881CBA"/>
    <w:rsid w:val="00881CFA"/>
    <w:rsid w:val="00881E03"/>
    <w:rsid w:val="00881FB9"/>
    <w:rsid w:val="00882036"/>
    <w:rsid w:val="00882069"/>
    <w:rsid w:val="008820DC"/>
    <w:rsid w:val="00882457"/>
    <w:rsid w:val="008824F0"/>
    <w:rsid w:val="008825DB"/>
    <w:rsid w:val="00882621"/>
    <w:rsid w:val="0088273A"/>
    <w:rsid w:val="0088274D"/>
    <w:rsid w:val="0088285B"/>
    <w:rsid w:val="00882BE5"/>
    <w:rsid w:val="00882C2D"/>
    <w:rsid w:val="00882E80"/>
    <w:rsid w:val="00882FE3"/>
    <w:rsid w:val="00883080"/>
    <w:rsid w:val="008830D5"/>
    <w:rsid w:val="00883268"/>
    <w:rsid w:val="0088326A"/>
    <w:rsid w:val="00883356"/>
    <w:rsid w:val="00883418"/>
    <w:rsid w:val="00883569"/>
    <w:rsid w:val="0088362A"/>
    <w:rsid w:val="00883660"/>
    <w:rsid w:val="00883690"/>
    <w:rsid w:val="008836EC"/>
    <w:rsid w:val="00883795"/>
    <w:rsid w:val="008838D5"/>
    <w:rsid w:val="00883979"/>
    <w:rsid w:val="008839F8"/>
    <w:rsid w:val="008839FA"/>
    <w:rsid w:val="00883AF3"/>
    <w:rsid w:val="00883B2A"/>
    <w:rsid w:val="00883B34"/>
    <w:rsid w:val="00883B4E"/>
    <w:rsid w:val="00883BB9"/>
    <w:rsid w:val="00883BD4"/>
    <w:rsid w:val="00883C81"/>
    <w:rsid w:val="00883CF5"/>
    <w:rsid w:val="00883E2B"/>
    <w:rsid w:val="00883F58"/>
    <w:rsid w:val="00883FFD"/>
    <w:rsid w:val="008841E1"/>
    <w:rsid w:val="008842C7"/>
    <w:rsid w:val="008842DD"/>
    <w:rsid w:val="00884484"/>
    <w:rsid w:val="008845E2"/>
    <w:rsid w:val="008847BD"/>
    <w:rsid w:val="008847C4"/>
    <w:rsid w:val="00884AAB"/>
    <w:rsid w:val="00884AF2"/>
    <w:rsid w:val="00884B49"/>
    <w:rsid w:val="00884B62"/>
    <w:rsid w:val="00884CE1"/>
    <w:rsid w:val="00884FF8"/>
    <w:rsid w:val="0088518C"/>
    <w:rsid w:val="0088528E"/>
    <w:rsid w:val="0088538E"/>
    <w:rsid w:val="0088545E"/>
    <w:rsid w:val="00885464"/>
    <w:rsid w:val="0088561A"/>
    <w:rsid w:val="00885792"/>
    <w:rsid w:val="0088583D"/>
    <w:rsid w:val="0088589E"/>
    <w:rsid w:val="008858C5"/>
    <w:rsid w:val="00885986"/>
    <w:rsid w:val="00885A90"/>
    <w:rsid w:val="00885B20"/>
    <w:rsid w:val="00885BF3"/>
    <w:rsid w:val="00885C01"/>
    <w:rsid w:val="00885D5E"/>
    <w:rsid w:val="0088600B"/>
    <w:rsid w:val="00886290"/>
    <w:rsid w:val="008862C5"/>
    <w:rsid w:val="008862DD"/>
    <w:rsid w:val="0088633D"/>
    <w:rsid w:val="0088636B"/>
    <w:rsid w:val="00886399"/>
    <w:rsid w:val="008865F5"/>
    <w:rsid w:val="00886627"/>
    <w:rsid w:val="00886700"/>
    <w:rsid w:val="00886750"/>
    <w:rsid w:val="008867B1"/>
    <w:rsid w:val="0088689A"/>
    <w:rsid w:val="0088699C"/>
    <w:rsid w:val="00886A02"/>
    <w:rsid w:val="00886AFF"/>
    <w:rsid w:val="00886B87"/>
    <w:rsid w:val="00886BD3"/>
    <w:rsid w:val="00886BE5"/>
    <w:rsid w:val="00886C0B"/>
    <w:rsid w:val="00886C5E"/>
    <w:rsid w:val="00886C8D"/>
    <w:rsid w:val="00886CA0"/>
    <w:rsid w:val="00886D5A"/>
    <w:rsid w:val="00886FA0"/>
    <w:rsid w:val="00886FCE"/>
    <w:rsid w:val="00886FF9"/>
    <w:rsid w:val="008871E4"/>
    <w:rsid w:val="0088728F"/>
    <w:rsid w:val="00887332"/>
    <w:rsid w:val="00887483"/>
    <w:rsid w:val="008875C0"/>
    <w:rsid w:val="0088771D"/>
    <w:rsid w:val="0088797E"/>
    <w:rsid w:val="00887B15"/>
    <w:rsid w:val="00887CC8"/>
    <w:rsid w:val="00887E50"/>
    <w:rsid w:val="00887ED1"/>
    <w:rsid w:val="00887EFE"/>
    <w:rsid w:val="0089013E"/>
    <w:rsid w:val="00890164"/>
    <w:rsid w:val="0089022B"/>
    <w:rsid w:val="0089030D"/>
    <w:rsid w:val="0089046E"/>
    <w:rsid w:val="00890592"/>
    <w:rsid w:val="008905A9"/>
    <w:rsid w:val="00890797"/>
    <w:rsid w:val="008907C3"/>
    <w:rsid w:val="008907D3"/>
    <w:rsid w:val="008908D2"/>
    <w:rsid w:val="00890A13"/>
    <w:rsid w:val="00890AC8"/>
    <w:rsid w:val="00890AE2"/>
    <w:rsid w:val="00890E16"/>
    <w:rsid w:val="00890E1A"/>
    <w:rsid w:val="00890E23"/>
    <w:rsid w:val="008910B6"/>
    <w:rsid w:val="008910EF"/>
    <w:rsid w:val="00891110"/>
    <w:rsid w:val="008911C4"/>
    <w:rsid w:val="008911CD"/>
    <w:rsid w:val="00891207"/>
    <w:rsid w:val="00891252"/>
    <w:rsid w:val="0089138D"/>
    <w:rsid w:val="00891395"/>
    <w:rsid w:val="0089147F"/>
    <w:rsid w:val="0089169B"/>
    <w:rsid w:val="008917CD"/>
    <w:rsid w:val="0089184E"/>
    <w:rsid w:val="00891860"/>
    <w:rsid w:val="00891A6B"/>
    <w:rsid w:val="00891B30"/>
    <w:rsid w:val="00891B40"/>
    <w:rsid w:val="00891BBE"/>
    <w:rsid w:val="00891D54"/>
    <w:rsid w:val="00891DD0"/>
    <w:rsid w:val="00891EA8"/>
    <w:rsid w:val="00892095"/>
    <w:rsid w:val="00892112"/>
    <w:rsid w:val="00892198"/>
    <w:rsid w:val="008922BA"/>
    <w:rsid w:val="00892331"/>
    <w:rsid w:val="008923CD"/>
    <w:rsid w:val="00892571"/>
    <w:rsid w:val="00892572"/>
    <w:rsid w:val="008925B3"/>
    <w:rsid w:val="008927BC"/>
    <w:rsid w:val="00892826"/>
    <w:rsid w:val="0089282E"/>
    <w:rsid w:val="00892867"/>
    <w:rsid w:val="00892A01"/>
    <w:rsid w:val="00892A12"/>
    <w:rsid w:val="00892AC2"/>
    <w:rsid w:val="00892AFA"/>
    <w:rsid w:val="0089319D"/>
    <w:rsid w:val="0089324F"/>
    <w:rsid w:val="00893301"/>
    <w:rsid w:val="0089331E"/>
    <w:rsid w:val="00893363"/>
    <w:rsid w:val="0089341E"/>
    <w:rsid w:val="00893429"/>
    <w:rsid w:val="00893455"/>
    <w:rsid w:val="0089355C"/>
    <w:rsid w:val="0089355F"/>
    <w:rsid w:val="00893662"/>
    <w:rsid w:val="008936DF"/>
    <w:rsid w:val="0089376D"/>
    <w:rsid w:val="00893935"/>
    <w:rsid w:val="00893A70"/>
    <w:rsid w:val="00893C02"/>
    <w:rsid w:val="00893C5B"/>
    <w:rsid w:val="00893D9C"/>
    <w:rsid w:val="00893DB9"/>
    <w:rsid w:val="00894002"/>
    <w:rsid w:val="008943B7"/>
    <w:rsid w:val="008944F8"/>
    <w:rsid w:val="0089452C"/>
    <w:rsid w:val="008945D5"/>
    <w:rsid w:val="008949FE"/>
    <w:rsid w:val="00894A5C"/>
    <w:rsid w:val="00894A72"/>
    <w:rsid w:val="00894D49"/>
    <w:rsid w:val="00894E26"/>
    <w:rsid w:val="00894F7D"/>
    <w:rsid w:val="00895154"/>
    <w:rsid w:val="0089515B"/>
    <w:rsid w:val="008951BD"/>
    <w:rsid w:val="00895243"/>
    <w:rsid w:val="00895402"/>
    <w:rsid w:val="00895584"/>
    <w:rsid w:val="008955A0"/>
    <w:rsid w:val="008956FE"/>
    <w:rsid w:val="00895840"/>
    <w:rsid w:val="0089585C"/>
    <w:rsid w:val="00895879"/>
    <w:rsid w:val="00895884"/>
    <w:rsid w:val="008958D5"/>
    <w:rsid w:val="0089599F"/>
    <w:rsid w:val="00895A95"/>
    <w:rsid w:val="00895A96"/>
    <w:rsid w:val="00895A9B"/>
    <w:rsid w:val="00895C19"/>
    <w:rsid w:val="00895C7F"/>
    <w:rsid w:val="00895D81"/>
    <w:rsid w:val="00895F47"/>
    <w:rsid w:val="00895F63"/>
    <w:rsid w:val="00896001"/>
    <w:rsid w:val="0089616C"/>
    <w:rsid w:val="00896210"/>
    <w:rsid w:val="008963A6"/>
    <w:rsid w:val="0089646D"/>
    <w:rsid w:val="00896579"/>
    <w:rsid w:val="00896592"/>
    <w:rsid w:val="0089659F"/>
    <w:rsid w:val="0089663B"/>
    <w:rsid w:val="00896740"/>
    <w:rsid w:val="00896798"/>
    <w:rsid w:val="0089679D"/>
    <w:rsid w:val="008968AB"/>
    <w:rsid w:val="008968FA"/>
    <w:rsid w:val="008969C1"/>
    <w:rsid w:val="008969D9"/>
    <w:rsid w:val="00896A06"/>
    <w:rsid w:val="00896A36"/>
    <w:rsid w:val="00896C82"/>
    <w:rsid w:val="00896D45"/>
    <w:rsid w:val="00896D97"/>
    <w:rsid w:val="00896DB8"/>
    <w:rsid w:val="00896DC5"/>
    <w:rsid w:val="00896E2E"/>
    <w:rsid w:val="00896E7A"/>
    <w:rsid w:val="00896E7C"/>
    <w:rsid w:val="00896E83"/>
    <w:rsid w:val="00896F3D"/>
    <w:rsid w:val="00896F41"/>
    <w:rsid w:val="00896F85"/>
    <w:rsid w:val="008971E0"/>
    <w:rsid w:val="0089728C"/>
    <w:rsid w:val="0089731F"/>
    <w:rsid w:val="0089737C"/>
    <w:rsid w:val="00897488"/>
    <w:rsid w:val="0089752B"/>
    <w:rsid w:val="0089753C"/>
    <w:rsid w:val="00897547"/>
    <w:rsid w:val="008975AA"/>
    <w:rsid w:val="008977AC"/>
    <w:rsid w:val="00897834"/>
    <w:rsid w:val="008978D2"/>
    <w:rsid w:val="008979A7"/>
    <w:rsid w:val="00897A87"/>
    <w:rsid w:val="00897A89"/>
    <w:rsid w:val="00897B1F"/>
    <w:rsid w:val="00897D12"/>
    <w:rsid w:val="00897EE7"/>
    <w:rsid w:val="00897EEE"/>
    <w:rsid w:val="00897F8D"/>
    <w:rsid w:val="00897F92"/>
    <w:rsid w:val="00897FE4"/>
    <w:rsid w:val="008A0023"/>
    <w:rsid w:val="008A0046"/>
    <w:rsid w:val="008A0067"/>
    <w:rsid w:val="008A0132"/>
    <w:rsid w:val="008A02CA"/>
    <w:rsid w:val="008A0413"/>
    <w:rsid w:val="008A0418"/>
    <w:rsid w:val="008A05E8"/>
    <w:rsid w:val="008A061A"/>
    <w:rsid w:val="008A074F"/>
    <w:rsid w:val="008A07E1"/>
    <w:rsid w:val="008A09C6"/>
    <w:rsid w:val="008A0B84"/>
    <w:rsid w:val="008A0BD0"/>
    <w:rsid w:val="008A125E"/>
    <w:rsid w:val="008A1575"/>
    <w:rsid w:val="008A15E2"/>
    <w:rsid w:val="008A15E6"/>
    <w:rsid w:val="008A162C"/>
    <w:rsid w:val="008A17B5"/>
    <w:rsid w:val="008A17EB"/>
    <w:rsid w:val="008A1866"/>
    <w:rsid w:val="008A1988"/>
    <w:rsid w:val="008A19A5"/>
    <w:rsid w:val="008A1AE7"/>
    <w:rsid w:val="008A1B19"/>
    <w:rsid w:val="008A1BE1"/>
    <w:rsid w:val="008A1CDE"/>
    <w:rsid w:val="008A1E64"/>
    <w:rsid w:val="008A1EDE"/>
    <w:rsid w:val="008A20D2"/>
    <w:rsid w:val="008A2104"/>
    <w:rsid w:val="008A2149"/>
    <w:rsid w:val="008A22C0"/>
    <w:rsid w:val="008A23DB"/>
    <w:rsid w:val="008A241F"/>
    <w:rsid w:val="008A244B"/>
    <w:rsid w:val="008A2593"/>
    <w:rsid w:val="008A2704"/>
    <w:rsid w:val="008A2914"/>
    <w:rsid w:val="008A2964"/>
    <w:rsid w:val="008A2B0C"/>
    <w:rsid w:val="008A2B63"/>
    <w:rsid w:val="008A2BA2"/>
    <w:rsid w:val="008A2C45"/>
    <w:rsid w:val="008A2C85"/>
    <w:rsid w:val="008A2C86"/>
    <w:rsid w:val="008A2D1A"/>
    <w:rsid w:val="008A2E23"/>
    <w:rsid w:val="008A303B"/>
    <w:rsid w:val="008A30A6"/>
    <w:rsid w:val="008A30E9"/>
    <w:rsid w:val="008A30FD"/>
    <w:rsid w:val="008A3191"/>
    <w:rsid w:val="008A31C5"/>
    <w:rsid w:val="008A31EC"/>
    <w:rsid w:val="008A3399"/>
    <w:rsid w:val="008A3432"/>
    <w:rsid w:val="008A3434"/>
    <w:rsid w:val="008A356D"/>
    <w:rsid w:val="008A35F1"/>
    <w:rsid w:val="008A3646"/>
    <w:rsid w:val="008A370A"/>
    <w:rsid w:val="008A37A9"/>
    <w:rsid w:val="008A37D9"/>
    <w:rsid w:val="008A386E"/>
    <w:rsid w:val="008A3884"/>
    <w:rsid w:val="008A38BD"/>
    <w:rsid w:val="008A3900"/>
    <w:rsid w:val="008A3915"/>
    <w:rsid w:val="008A3936"/>
    <w:rsid w:val="008A3BD4"/>
    <w:rsid w:val="008A3C26"/>
    <w:rsid w:val="008A3C67"/>
    <w:rsid w:val="008A3CE3"/>
    <w:rsid w:val="008A3CEC"/>
    <w:rsid w:val="008A3D40"/>
    <w:rsid w:val="008A3D6D"/>
    <w:rsid w:val="008A3E69"/>
    <w:rsid w:val="008A4003"/>
    <w:rsid w:val="008A4081"/>
    <w:rsid w:val="008A41ED"/>
    <w:rsid w:val="008A4222"/>
    <w:rsid w:val="008A427A"/>
    <w:rsid w:val="008A42C4"/>
    <w:rsid w:val="008A432C"/>
    <w:rsid w:val="008A4379"/>
    <w:rsid w:val="008A4488"/>
    <w:rsid w:val="008A45E9"/>
    <w:rsid w:val="008A4669"/>
    <w:rsid w:val="008A4928"/>
    <w:rsid w:val="008A4934"/>
    <w:rsid w:val="008A49E4"/>
    <w:rsid w:val="008A4B9B"/>
    <w:rsid w:val="008A4BD8"/>
    <w:rsid w:val="008A4D9A"/>
    <w:rsid w:val="008A4DB7"/>
    <w:rsid w:val="008A4DD9"/>
    <w:rsid w:val="008A4E99"/>
    <w:rsid w:val="008A4FE8"/>
    <w:rsid w:val="008A500F"/>
    <w:rsid w:val="008A54B3"/>
    <w:rsid w:val="008A54B4"/>
    <w:rsid w:val="008A54DB"/>
    <w:rsid w:val="008A55D1"/>
    <w:rsid w:val="008A56D9"/>
    <w:rsid w:val="008A5758"/>
    <w:rsid w:val="008A587D"/>
    <w:rsid w:val="008A58E4"/>
    <w:rsid w:val="008A59F0"/>
    <w:rsid w:val="008A5B18"/>
    <w:rsid w:val="008A5BA6"/>
    <w:rsid w:val="008A5CCE"/>
    <w:rsid w:val="008A5D74"/>
    <w:rsid w:val="008A5E59"/>
    <w:rsid w:val="008A5FF9"/>
    <w:rsid w:val="008A6017"/>
    <w:rsid w:val="008A6089"/>
    <w:rsid w:val="008A60BC"/>
    <w:rsid w:val="008A60BE"/>
    <w:rsid w:val="008A6191"/>
    <w:rsid w:val="008A6219"/>
    <w:rsid w:val="008A6370"/>
    <w:rsid w:val="008A639A"/>
    <w:rsid w:val="008A6449"/>
    <w:rsid w:val="008A6673"/>
    <w:rsid w:val="008A66E3"/>
    <w:rsid w:val="008A68D7"/>
    <w:rsid w:val="008A69E6"/>
    <w:rsid w:val="008A6A5E"/>
    <w:rsid w:val="008A6A9C"/>
    <w:rsid w:val="008A6B93"/>
    <w:rsid w:val="008A6C75"/>
    <w:rsid w:val="008A6D9E"/>
    <w:rsid w:val="008A6DB5"/>
    <w:rsid w:val="008A6E18"/>
    <w:rsid w:val="008A6E41"/>
    <w:rsid w:val="008A7181"/>
    <w:rsid w:val="008A7220"/>
    <w:rsid w:val="008A7371"/>
    <w:rsid w:val="008A74B4"/>
    <w:rsid w:val="008A7796"/>
    <w:rsid w:val="008A77E3"/>
    <w:rsid w:val="008A7881"/>
    <w:rsid w:val="008A789F"/>
    <w:rsid w:val="008A795E"/>
    <w:rsid w:val="008A7B7A"/>
    <w:rsid w:val="008A7C40"/>
    <w:rsid w:val="008A7C44"/>
    <w:rsid w:val="008A7C6E"/>
    <w:rsid w:val="008A7D1E"/>
    <w:rsid w:val="008A7F44"/>
    <w:rsid w:val="008A7F67"/>
    <w:rsid w:val="008A7F8E"/>
    <w:rsid w:val="008AF2B4"/>
    <w:rsid w:val="008B0063"/>
    <w:rsid w:val="008B009F"/>
    <w:rsid w:val="008B00DF"/>
    <w:rsid w:val="008B010D"/>
    <w:rsid w:val="008B01CC"/>
    <w:rsid w:val="008B025C"/>
    <w:rsid w:val="008B0551"/>
    <w:rsid w:val="008B0708"/>
    <w:rsid w:val="008B07A6"/>
    <w:rsid w:val="008B0832"/>
    <w:rsid w:val="008B0833"/>
    <w:rsid w:val="008B0927"/>
    <w:rsid w:val="008B0944"/>
    <w:rsid w:val="008B0C0B"/>
    <w:rsid w:val="008B0D37"/>
    <w:rsid w:val="008B0EE6"/>
    <w:rsid w:val="008B1005"/>
    <w:rsid w:val="008B1054"/>
    <w:rsid w:val="008B1558"/>
    <w:rsid w:val="008B1641"/>
    <w:rsid w:val="008B178C"/>
    <w:rsid w:val="008B1A02"/>
    <w:rsid w:val="008B1E53"/>
    <w:rsid w:val="008B1E7A"/>
    <w:rsid w:val="008B205F"/>
    <w:rsid w:val="008B20E5"/>
    <w:rsid w:val="008B2166"/>
    <w:rsid w:val="008B2279"/>
    <w:rsid w:val="008B227F"/>
    <w:rsid w:val="008B277E"/>
    <w:rsid w:val="008B2836"/>
    <w:rsid w:val="008B298C"/>
    <w:rsid w:val="008B29F6"/>
    <w:rsid w:val="008B29FF"/>
    <w:rsid w:val="008B2AD1"/>
    <w:rsid w:val="008B2B32"/>
    <w:rsid w:val="008B2C30"/>
    <w:rsid w:val="008B2C4F"/>
    <w:rsid w:val="008B2E50"/>
    <w:rsid w:val="008B2FB1"/>
    <w:rsid w:val="008B3009"/>
    <w:rsid w:val="008B30B6"/>
    <w:rsid w:val="008B3117"/>
    <w:rsid w:val="008B314E"/>
    <w:rsid w:val="008B31BD"/>
    <w:rsid w:val="008B31E3"/>
    <w:rsid w:val="008B3372"/>
    <w:rsid w:val="008B33A5"/>
    <w:rsid w:val="008B37EF"/>
    <w:rsid w:val="008B37F0"/>
    <w:rsid w:val="008B3800"/>
    <w:rsid w:val="008B3876"/>
    <w:rsid w:val="008B38A9"/>
    <w:rsid w:val="008B395B"/>
    <w:rsid w:val="008B3B10"/>
    <w:rsid w:val="008B3BB9"/>
    <w:rsid w:val="008B3D5B"/>
    <w:rsid w:val="008B3DB8"/>
    <w:rsid w:val="008B3F35"/>
    <w:rsid w:val="008B3F43"/>
    <w:rsid w:val="008B4032"/>
    <w:rsid w:val="008B4065"/>
    <w:rsid w:val="008B40C5"/>
    <w:rsid w:val="008B41EE"/>
    <w:rsid w:val="008B4257"/>
    <w:rsid w:val="008B4382"/>
    <w:rsid w:val="008B43AB"/>
    <w:rsid w:val="008B446C"/>
    <w:rsid w:val="008B4611"/>
    <w:rsid w:val="008B4685"/>
    <w:rsid w:val="008B4700"/>
    <w:rsid w:val="008B4708"/>
    <w:rsid w:val="008B470E"/>
    <w:rsid w:val="008B473A"/>
    <w:rsid w:val="008B4747"/>
    <w:rsid w:val="008B4883"/>
    <w:rsid w:val="008B4A8C"/>
    <w:rsid w:val="008B4C23"/>
    <w:rsid w:val="008B4C65"/>
    <w:rsid w:val="008B4CA8"/>
    <w:rsid w:val="008B4F1B"/>
    <w:rsid w:val="008B4F23"/>
    <w:rsid w:val="008B4F82"/>
    <w:rsid w:val="008B4FE0"/>
    <w:rsid w:val="008B4FF4"/>
    <w:rsid w:val="008B509F"/>
    <w:rsid w:val="008B518A"/>
    <w:rsid w:val="008B53EE"/>
    <w:rsid w:val="008B54C0"/>
    <w:rsid w:val="008B54EC"/>
    <w:rsid w:val="008B55A1"/>
    <w:rsid w:val="008B5633"/>
    <w:rsid w:val="008B5651"/>
    <w:rsid w:val="008B56C5"/>
    <w:rsid w:val="008B5832"/>
    <w:rsid w:val="008B58B5"/>
    <w:rsid w:val="008B5A18"/>
    <w:rsid w:val="008B5A78"/>
    <w:rsid w:val="008B5AAD"/>
    <w:rsid w:val="008B5B34"/>
    <w:rsid w:val="008B5BAD"/>
    <w:rsid w:val="008B5C92"/>
    <w:rsid w:val="008B5DC5"/>
    <w:rsid w:val="008B5E84"/>
    <w:rsid w:val="008B5FC0"/>
    <w:rsid w:val="008B617A"/>
    <w:rsid w:val="008B6202"/>
    <w:rsid w:val="008B6343"/>
    <w:rsid w:val="008B64E0"/>
    <w:rsid w:val="008B6576"/>
    <w:rsid w:val="008B659A"/>
    <w:rsid w:val="008B66F2"/>
    <w:rsid w:val="008B67B3"/>
    <w:rsid w:val="008B67FF"/>
    <w:rsid w:val="008B6883"/>
    <w:rsid w:val="008B688F"/>
    <w:rsid w:val="008B68A2"/>
    <w:rsid w:val="008B6935"/>
    <w:rsid w:val="008B6A63"/>
    <w:rsid w:val="008B6B67"/>
    <w:rsid w:val="008B6BA7"/>
    <w:rsid w:val="008B6CB7"/>
    <w:rsid w:val="008B6ED4"/>
    <w:rsid w:val="008B6F98"/>
    <w:rsid w:val="008B7074"/>
    <w:rsid w:val="008B70B5"/>
    <w:rsid w:val="008B710E"/>
    <w:rsid w:val="008B7231"/>
    <w:rsid w:val="008B72CB"/>
    <w:rsid w:val="008B73C3"/>
    <w:rsid w:val="008B7732"/>
    <w:rsid w:val="008B7763"/>
    <w:rsid w:val="008B7861"/>
    <w:rsid w:val="008B7882"/>
    <w:rsid w:val="008B79AF"/>
    <w:rsid w:val="008B7ADD"/>
    <w:rsid w:val="008B7B8D"/>
    <w:rsid w:val="008B7BDC"/>
    <w:rsid w:val="008B7BEE"/>
    <w:rsid w:val="008B7C25"/>
    <w:rsid w:val="008B7C4B"/>
    <w:rsid w:val="008B7C82"/>
    <w:rsid w:val="008B7C93"/>
    <w:rsid w:val="008B7E00"/>
    <w:rsid w:val="008B7E1C"/>
    <w:rsid w:val="008B7E33"/>
    <w:rsid w:val="008B7E7C"/>
    <w:rsid w:val="008C0062"/>
    <w:rsid w:val="008C0174"/>
    <w:rsid w:val="008C0242"/>
    <w:rsid w:val="008C02AE"/>
    <w:rsid w:val="008C02B4"/>
    <w:rsid w:val="008C042D"/>
    <w:rsid w:val="008C04F0"/>
    <w:rsid w:val="008C0563"/>
    <w:rsid w:val="008C059F"/>
    <w:rsid w:val="008C065B"/>
    <w:rsid w:val="008C0714"/>
    <w:rsid w:val="008C0848"/>
    <w:rsid w:val="008C0956"/>
    <w:rsid w:val="008C0A22"/>
    <w:rsid w:val="008C0A57"/>
    <w:rsid w:val="008C0ABC"/>
    <w:rsid w:val="008C0ADD"/>
    <w:rsid w:val="008C0AFB"/>
    <w:rsid w:val="008C0B02"/>
    <w:rsid w:val="008C0BF8"/>
    <w:rsid w:val="008C0C7C"/>
    <w:rsid w:val="008C0F0A"/>
    <w:rsid w:val="008C117F"/>
    <w:rsid w:val="008C1266"/>
    <w:rsid w:val="008C131B"/>
    <w:rsid w:val="008C1357"/>
    <w:rsid w:val="008C13B0"/>
    <w:rsid w:val="008C1587"/>
    <w:rsid w:val="008C1658"/>
    <w:rsid w:val="008C165A"/>
    <w:rsid w:val="008C1699"/>
    <w:rsid w:val="008C17AA"/>
    <w:rsid w:val="008C19FD"/>
    <w:rsid w:val="008C1B50"/>
    <w:rsid w:val="008C1B54"/>
    <w:rsid w:val="008C1C46"/>
    <w:rsid w:val="008C1DF6"/>
    <w:rsid w:val="008C1FCD"/>
    <w:rsid w:val="008C2143"/>
    <w:rsid w:val="008C21C3"/>
    <w:rsid w:val="008C21EF"/>
    <w:rsid w:val="008C228C"/>
    <w:rsid w:val="008C22D9"/>
    <w:rsid w:val="008C2387"/>
    <w:rsid w:val="008C241F"/>
    <w:rsid w:val="008C26E2"/>
    <w:rsid w:val="008C27F7"/>
    <w:rsid w:val="008C2802"/>
    <w:rsid w:val="008C2A3F"/>
    <w:rsid w:val="008C2A6F"/>
    <w:rsid w:val="008C2A8F"/>
    <w:rsid w:val="008C2AD2"/>
    <w:rsid w:val="008C2C66"/>
    <w:rsid w:val="008C2D2A"/>
    <w:rsid w:val="008C2E8D"/>
    <w:rsid w:val="008C2FF7"/>
    <w:rsid w:val="008C3468"/>
    <w:rsid w:val="008C363A"/>
    <w:rsid w:val="008C3779"/>
    <w:rsid w:val="008C382E"/>
    <w:rsid w:val="008C38E1"/>
    <w:rsid w:val="008C38EB"/>
    <w:rsid w:val="008C38EC"/>
    <w:rsid w:val="008C39FD"/>
    <w:rsid w:val="008C3A1C"/>
    <w:rsid w:val="008C3A8F"/>
    <w:rsid w:val="008C3CC3"/>
    <w:rsid w:val="008C3D87"/>
    <w:rsid w:val="008C3DB0"/>
    <w:rsid w:val="008C3E7C"/>
    <w:rsid w:val="008C3F5D"/>
    <w:rsid w:val="008C3F79"/>
    <w:rsid w:val="008C406C"/>
    <w:rsid w:val="008C40F6"/>
    <w:rsid w:val="008C42C0"/>
    <w:rsid w:val="008C4496"/>
    <w:rsid w:val="008C4542"/>
    <w:rsid w:val="008C4589"/>
    <w:rsid w:val="008C459B"/>
    <w:rsid w:val="008C468A"/>
    <w:rsid w:val="008C483A"/>
    <w:rsid w:val="008C49BE"/>
    <w:rsid w:val="008C49DA"/>
    <w:rsid w:val="008C49E5"/>
    <w:rsid w:val="008C4A53"/>
    <w:rsid w:val="008C4A79"/>
    <w:rsid w:val="008C4DDD"/>
    <w:rsid w:val="008C4F08"/>
    <w:rsid w:val="008C4F25"/>
    <w:rsid w:val="008C4F30"/>
    <w:rsid w:val="008C4F91"/>
    <w:rsid w:val="008C4FC4"/>
    <w:rsid w:val="008C5122"/>
    <w:rsid w:val="008C515D"/>
    <w:rsid w:val="008C51F5"/>
    <w:rsid w:val="008C5219"/>
    <w:rsid w:val="008C5252"/>
    <w:rsid w:val="008C5256"/>
    <w:rsid w:val="008C5398"/>
    <w:rsid w:val="008C543F"/>
    <w:rsid w:val="008C54D3"/>
    <w:rsid w:val="008C5561"/>
    <w:rsid w:val="008C5586"/>
    <w:rsid w:val="008C55BA"/>
    <w:rsid w:val="008C565C"/>
    <w:rsid w:val="008C5666"/>
    <w:rsid w:val="008C575E"/>
    <w:rsid w:val="008C5781"/>
    <w:rsid w:val="008C5856"/>
    <w:rsid w:val="008C5998"/>
    <w:rsid w:val="008C5B79"/>
    <w:rsid w:val="008C5C79"/>
    <w:rsid w:val="008C5D22"/>
    <w:rsid w:val="008C5DB2"/>
    <w:rsid w:val="008C5E72"/>
    <w:rsid w:val="008C5EC3"/>
    <w:rsid w:val="008C5EEC"/>
    <w:rsid w:val="008C60E0"/>
    <w:rsid w:val="008C6110"/>
    <w:rsid w:val="008C6141"/>
    <w:rsid w:val="008C632F"/>
    <w:rsid w:val="008C635B"/>
    <w:rsid w:val="008C6587"/>
    <w:rsid w:val="008C65C9"/>
    <w:rsid w:val="008C65D4"/>
    <w:rsid w:val="008C6665"/>
    <w:rsid w:val="008C676A"/>
    <w:rsid w:val="008C67A7"/>
    <w:rsid w:val="008C67B5"/>
    <w:rsid w:val="008C6A8B"/>
    <w:rsid w:val="008C6B92"/>
    <w:rsid w:val="008C6C50"/>
    <w:rsid w:val="008C6F8D"/>
    <w:rsid w:val="008C7102"/>
    <w:rsid w:val="008C7296"/>
    <w:rsid w:val="008C7371"/>
    <w:rsid w:val="008C73B0"/>
    <w:rsid w:val="008C73C8"/>
    <w:rsid w:val="008C73F9"/>
    <w:rsid w:val="008C7475"/>
    <w:rsid w:val="008C772D"/>
    <w:rsid w:val="008C7732"/>
    <w:rsid w:val="008C7812"/>
    <w:rsid w:val="008C7A0A"/>
    <w:rsid w:val="008C7A26"/>
    <w:rsid w:val="008C7AD1"/>
    <w:rsid w:val="008C7BA7"/>
    <w:rsid w:val="008C7BE6"/>
    <w:rsid w:val="008C7C86"/>
    <w:rsid w:val="008C7D5B"/>
    <w:rsid w:val="008C7DDD"/>
    <w:rsid w:val="008CB575"/>
    <w:rsid w:val="008D006D"/>
    <w:rsid w:val="008D0163"/>
    <w:rsid w:val="008D02C6"/>
    <w:rsid w:val="008D0363"/>
    <w:rsid w:val="008D03AC"/>
    <w:rsid w:val="008D040C"/>
    <w:rsid w:val="008D077E"/>
    <w:rsid w:val="008D089E"/>
    <w:rsid w:val="008D08A5"/>
    <w:rsid w:val="008D08AD"/>
    <w:rsid w:val="008D09F3"/>
    <w:rsid w:val="008D0A09"/>
    <w:rsid w:val="008D0C52"/>
    <w:rsid w:val="008D0D3E"/>
    <w:rsid w:val="008D0DA3"/>
    <w:rsid w:val="008D0E43"/>
    <w:rsid w:val="008D0E4C"/>
    <w:rsid w:val="008D10EE"/>
    <w:rsid w:val="008D1174"/>
    <w:rsid w:val="008D1225"/>
    <w:rsid w:val="008D140E"/>
    <w:rsid w:val="008D1522"/>
    <w:rsid w:val="008D1652"/>
    <w:rsid w:val="008D168E"/>
    <w:rsid w:val="008D169F"/>
    <w:rsid w:val="008D182E"/>
    <w:rsid w:val="008D1875"/>
    <w:rsid w:val="008D1898"/>
    <w:rsid w:val="008D19D6"/>
    <w:rsid w:val="008D1A46"/>
    <w:rsid w:val="008D1AFC"/>
    <w:rsid w:val="008D1C18"/>
    <w:rsid w:val="008D1EA5"/>
    <w:rsid w:val="008D1F53"/>
    <w:rsid w:val="008D21F2"/>
    <w:rsid w:val="008D23D9"/>
    <w:rsid w:val="008D23EA"/>
    <w:rsid w:val="008D24C4"/>
    <w:rsid w:val="008D25DA"/>
    <w:rsid w:val="008D25F8"/>
    <w:rsid w:val="008D26CD"/>
    <w:rsid w:val="008D2744"/>
    <w:rsid w:val="008D27DC"/>
    <w:rsid w:val="008D27FB"/>
    <w:rsid w:val="008D28E6"/>
    <w:rsid w:val="008D2A1B"/>
    <w:rsid w:val="008D2A44"/>
    <w:rsid w:val="008D2C55"/>
    <w:rsid w:val="008D2C7B"/>
    <w:rsid w:val="008D2CF7"/>
    <w:rsid w:val="008D2D98"/>
    <w:rsid w:val="008D2DEF"/>
    <w:rsid w:val="008D2E31"/>
    <w:rsid w:val="008D2E45"/>
    <w:rsid w:val="008D2F39"/>
    <w:rsid w:val="008D301E"/>
    <w:rsid w:val="008D30A9"/>
    <w:rsid w:val="008D30FF"/>
    <w:rsid w:val="008D32B0"/>
    <w:rsid w:val="008D36F4"/>
    <w:rsid w:val="008D3707"/>
    <w:rsid w:val="008D3748"/>
    <w:rsid w:val="008D3838"/>
    <w:rsid w:val="008D384A"/>
    <w:rsid w:val="008D3A45"/>
    <w:rsid w:val="008D3A94"/>
    <w:rsid w:val="008D3AB2"/>
    <w:rsid w:val="008D3B60"/>
    <w:rsid w:val="008D3CE8"/>
    <w:rsid w:val="008D3D69"/>
    <w:rsid w:val="008D3E2C"/>
    <w:rsid w:val="008D3EB6"/>
    <w:rsid w:val="008D3FDA"/>
    <w:rsid w:val="008D4012"/>
    <w:rsid w:val="008D4193"/>
    <w:rsid w:val="008D4195"/>
    <w:rsid w:val="008D42DE"/>
    <w:rsid w:val="008D43C0"/>
    <w:rsid w:val="008D4417"/>
    <w:rsid w:val="008D4420"/>
    <w:rsid w:val="008D44B7"/>
    <w:rsid w:val="008D45AD"/>
    <w:rsid w:val="008D4792"/>
    <w:rsid w:val="008D49BA"/>
    <w:rsid w:val="008D4A51"/>
    <w:rsid w:val="008D4AF0"/>
    <w:rsid w:val="008D4B30"/>
    <w:rsid w:val="008D4B75"/>
    <w:rsid w:val="008D4BC2"/>
    <w:rsid w:val="008D4BD7"/>
    <w:rsid w:val="008D4F0C"/>
    <w:rsid w:val="008D4F84"/>
    <w:rsid w:val="008D500C"/>
    <w:rsid w:val="008D5256"/>
    <w:rsid w:val="008D52B7"/>
    <w:rsid w:val="008D5629"/>
    <w:rsid w:val="008D572B"/>
    <w:rsid w:val="008D58A6"/>
    <w:rsid w:val="008D59E9"/>
    <w:rsid w:val="008D5AA8"/>
    <w:rsid w:val="008D5AAF"/>
    <w:rsid w:val="008D5AD7"/>
    <w:rsid w:val="008D5AE6"/>
    <w:rsid w:val="008D5CE9"/>
    <w:rsid w:val="008D5D71"/>
    <w:rsid w:val="008D5D95"/>
    <w:rsid w:val="008D5DF5"/>
    <w:rsid w:val="008D5FA5"/>
    <w:rsid w:val="008D603E"/>
    <w:rsid w:val="008D6089"/>
    <w:rsid w:val="008D6110"/>
    <w:rsid w:val="008D614E"/>
    <w:rsid w:val="008D61A8"/>
    <w:rsid w:val="008D61F7"/>
    <w:rsid w:val="008D643C"/>
    <w:rsid w:val="008D652A"/>
    <w:rsid w:val="008D671F"/>
    <w:rsid w:val="008D6734"/>
    <w:rsid w:val="008D675C"/>
    <w:rsid w:val="008D6778"/>
    <w:rsid w:val="008D67BD"/>
    <w:rsid w:val="008D67CC"/>
    <w:rsid w:val="008D6BD5"/>
    <w:rsid w:val="008D6BF9"/>
    <w:rsid w:val="008D6F2F"/>
    <w:rsid w:val="008D6FBA"/>
    <w:rsid w:val="008D7183"/>
    <w:rsid w:val="008D71CB"/>
    <w:rsid w:val="008D7203"/>
    <w:rsid w:val="008D722A"/>
    <w:rsid w:val="008D72A5"/>
    <w:rsid w:val="008D731E"/>
    <w:rsid w:val="008D73B8"/>
    <w:rsid w:val="008D73F4"/>
    <w:rsid w:val="008D73F7"/>
    <w:rsid w:val="008D749B"/>
    <w:rsid w:val="008D7643"/>
    <w:rsid w:val="008D787D"/>
    <w:rsid w:val="008D788A"/>
    <w:rsid w:val="008D7956"/>
    <w:rsid w:val="008D79CA"/>
    <w:rsid w:val="008D7A16"/>
    <w:rsid w:val="008D7A53"/>
    <w:rsid w:val="008D7ABE"/>
    <w:rsid w:val="008D7C85"/>
    <w:rsid w:val="008D7CC8"/>
    <w:rsid w:val="008D7D26"/>
    <w:rsid w:val="008D7E14"/>
    <w:rsid w:val="008D7F5A"/>
    <w:rsid w:val="008D7F74"/>
    <w:rsid w:val="008D7F99"/>
    <w:rsid w:val="008E0096"/>
    <w:rsid w:val="008E00AC"/>
    <w:rsid w:val="008E0102"/>
    <w:rsid w:val="008E0154"/>
    <w:rsid w:val="008E0228"/>
    <w:rsid w:val="008E02C6"/>
    <w:rsid w:val="008E0384"/>
    <w:rsid w:val="008E04B0"/>
    <w:rsid w:val="008E052C"/>
    <w:rsid w:val="008E05CB"/>
    <w:rsid w:val="008E08DC"/>
    <w:rsid w:val="008E09F6"/>
    <w:rsid w:val="008E0AA2"/>
    <w:rsid w:val="008E0AD7"/>
    <w:rsid w:val="008E0BB1"/>
    <w:rsid w:val="008E0D72"/>
    <w:rsid w:val="008E0FE6"/>
    <w:rsid w:val="008E1037"/>
    <w:rsid w:val="008E1068"/>
    <w:rsid w:val="008E12D7"/>
    <w:rsid w:val="008E12E1"/>
    <w:rsid w:val="008E1632"/>
    <w:rsid w:val="008E163F"/>
    <w:rsid w:val="008E16AA"/>
    <w:rsid w:val="008E1770"/>
    <w:rsid w:val="008E17C5"/>
    <w:rsid w:val="008E1857"/>
    <w:rsid w:val="008E1862"/>
    <w:rsid w:val="008E1A6C"/>
    <w:rsid w:val="008E1ADC"/>
    <w:rsid w:val="008E2122"/>
    <w:rsid w:val="008E2138"/>
    <w:rsid w:val="008E2158"/>
    <w:rsid w:val="008E2196"/>
    <w:rsid w:val="008E2206"/>
    <w:rsid w:val="008E2231"/>
    <w:rsid w:val="008E226A"/>
    <w:rsid w:val="008E228D"/>
    <w:rsid w:val="008E232E"/>
    <w:rsid w:val="008E24FE"/>
    <w:rsid w:val="008E2591"/>
    <w:rsid w:val="008E2631"/>
    <w:rsid w:val="008E2668"/>
    <w:rsid w:val="008E277C"/>
    <w:rsid w:val="008E2812"/>
    <w:rsid w:val="008E2ABF"/>
    <w:rsid w:val="008E2B04"/>
    <w:rsid w:val="008E2B3C"/>
    <w:rsid w:val="008E2DA5"/>
    <w:rsid w:val="008E3019"/>
    <w:rsid w:val="008E306A"/>
    <w:rsid w:val="008E31A7"/>
    <w:rsid w:val="008E330B"/>
    <w:rsid w:val="008E33A4"/>
    <w:rsid w:val="008E3516"/>
    <w:rsid w:val="008E3A13"/>
    <w:rsid w:val="008E3A24"/>
    <w:rsid w:val="008E3E74"/>
    <w:rsid w:val="008E3F1F"/>
    <w:rsid w:val="008E4171"/>
    <w:rsid w:val="008E41BE"/>
    <w:rsid w:val="008E4291"/>
    <w:rsid w:val="008E42B1"/>
    <w:rsid w:val="008E42BF"/>
    <w:rsid w:val="008E42C6"/>
    <w:rsid w:val="008E42EA"/>
    <w:rsid w:val="008E43DD"/>
    <w:rsid w:val="008E4498"/>
    <w:rsid w:val="008E4540"/>
    <w:rsid w:val="008E467E"/>
    <w:rsid w:val="008E46EA"/>
    <w:rsid w:val="008E4978"/>
    <w:rsid w:val="008E49AB"/>
    <w:rsid w:val="008E4A5C"/>
    <w:rsid w:val="008E4B68"/>
    <w:rsid w:val="008E4B9A"/>
    <w:rsid w:val="008E4D13"/>
    <w:rsid w:val="008E4D8E"/>
    <w:rsid w:val="008E4EA0"/>
    <w:rsid w:val="008E4F0B"/>
    <w:rsid w:val="008E4F9B"/>
    <w:rsid w:val="008E5173"/>
    <w:rsid w:val="008E51FC"/>
    <w:rsid w:val="008E51FD"/>
    <w:rsid w:val="008E53B0"/>
    <w:rsid w:val="008E5518"/>
    <w:rsid w:val="008E5532"/>
    <w:rsid w:val="008E5685"/>
    <w:rsid w:val="008E57C5"/>
    <w:rsid w:val="008E583F"/>
    <w:rsid w:val="008E586D"/>
    <w:rsid w:val="008E589F"/>
    <w:rsid w:val="008E5955"/>
    <w:rsid w:val="008E5A7B"/>
    <w:rsid w:val="008E5AB1"/>
    <w:rsid w:val="008E5B57"/>
    <w:rsid w:val="008E5B72"/>
    <w:rsid w:val="008E5C5B"/>
    <w:rsid w:val="008E5D4D"/>
    <w:rsid w:val="008E5DBC"/>
    <w:rsid w:val="008E5E2F"/>
    <w:rsid w:val="008E5FBD"/>
    <w:rsid w:val="008E6075"/>
    <w:rsid w:val="008E61FC"/>
    <w:rsid w:val="008E63AA"/>
    <w:rsid w:val="008E6400"/>
    <w:rsid w:val="008E6486"/>
    <w:rsid w:val="008E64F3"/>
    <w:rsid w:val="008E6595"/>
    <w:rsid w:val="008E65D5"/>
    <w:rsid w:val="008E6633"/>
    <w:rsid w:val="008E66C4"/>
    <w:rsid w:val="008E6761"/>
    <w:rsid w:val="008E677E"/>
    <w:rsid w:val="008E678C"/>
    <w:rsid w:val="008E6877"/>
    <w:rsid w:val="008E6926"/>
    <w:rsid w:val="008E6971"/>
    <w:rsid w:val="008E6A84"/>
    <w:rsid w:val="008E6A97"/>
    <w:rsid w:val="008E6AB2"/>
    <w:rsid w:val="008E6BD3"/>
    <w:rsid w:val="008E6DD9"/>
    <w:rsid w:val="008E6F16"/>
    <w:rsid w:val="008E72E6"/>
    <w:rsid w:val="008E731C"/>
    <w:rsid w:val="008E7483"/>
    <w:rsid w:val="008E74BC"/>
    <w:rsid w:val="008E74DB"/>
    <w:rsid w:val="008E754A"/>
    <w:rsid w:val="008E7552"/>
    <w:rsid w:val="008E7677"/>
    <w:rsid w:val="008E77D8"/>
    <w:rsid w:val="008E77E2"/>
    <w:rsid w:val="008E7960"/>
    <w:rsid w:val="008E796E"/>
    <w:rsid w:val="008E79D2"/>
    <w:rsid w:val="008E7A67"/>
    <w:rsid w:val="008E7A79"/>
    <w:rsid w:val="008E7B4C"/>
    <w:rsid w:val="008E7D99"/>
    <w:rsid w:val="008E7E21"/>
    <w:rsid w:val="008E7E23"/>
    <w:rsid w:val="008E7EAD"/>
    <w:rsid w:val="008E7ED4"/>
    <w:rsid w:val="008E7F2A"/>
    <w:rsid w:val="008E7F44"/>
    <w:rsid w:val="008E7FEB"/>
    <w:rsid w:val="008F0028"/>
    <w:rsid w:val="008F0163"/>
    <w:rsid w:val="008F0290"/>
    <w:rsid w:val="008F02BE"/>
    <w:rsid w:val="008F0625"/>
    <w:rsid w:val="008F066E"/>
    <w:rsid w:val="008F06B2"/>
    <w:rsid w:val="008F06C6"/>
    <w:rsid w:val="008F0741"/>
    <w:rsid w:val="008F07EA"/>
    <w:rsid w:val="008F080E"/>
    <w:rsid w:val="008F080F"/>
    <w:rsid w:val="008F0858"/>
    <w:rsid w:val="008F0941"/>
    <w:rsid w:val="008F0983"/>
    <w:rsid w:val="008F0A5B"/>
    <w:rsid w:val="008F0A74"/>
    <w:rsid w:val="008F0B14"/>
    <w:rsid w:val="008F0BC1"/>
    <w:rsid w:val="008F0D52"/>
    <w:rsid w:val="008F0E11"/>
    <w:rsid w:val="008F0E57"/>
    <w:rsid w:val="008F0F22"/>
    <w:rsid w:val="008F0F72"/>
    <w:rsid w:val="008F12B9"/>
    <w:rsid w:val="008F1444"/>
    <w:rsid w:val="008F14B2"/>
    <w:rsid w:val="008F14C8"/>
    <w:rsid w:val="008F1584"/>
    <w:rsid w:val="008F163A"/>
    <w:rsid w:val="008F16F9"/>
    <w:rsid w:val="008F1813"/>
    <w:rsid w:val="008F196E"/>
    <w:rsid w:val="008F19E7"/>
    <w:rsid w:val="008F1BC5"/>
    <w:rsid w:val="008F1C6D"/>
    <w:rsid w:val="008F1E30"/>
    <w:rsid w:val="008F1ED9"/>
    <w:rsid w:val="008F1FF7"/>
    <w:rsid w:val="008F20D7"/>
    <w:rsid w:val="008F234D"/>
    <w:rsid w:val="008F2372"/>
    <w:rsid w:val="008F2462"/>
    <w:rsid w:val="008F24E0"/>
    <w:rsid w:val="008F24E4"/>
    <w:rsid w:val="008F2643"/>
    <w:rsid w:val="008F273E"/>
    <w:rsid w:val="008F2796"/>
    <w:rsid w:val="008F2817"/>
    <w:rsid w:val="008F29BC"/>
    <w:rsid w:val="008F29EE"/>
    <w:rsid w:val="008F2B6B"/>
    <w:rsid w:val="008F2BC5"/>
    <w:rsid w:val="008F2CF8"/>
    <w:rsid w:val="008F2D70"/>
    <w:rsid w:val="008F2F7B"/>
    <w:rsid w:val="008F30B8"/>
    <w:rsid w:val="008F32D7"/>
    <w:rsid w:val="008F3305"/>
    <w:rsid w:val="008F335D"/>
    <w:rsid w:val="008F3370"/>
    <w:rsid w:val="008F33C1"/>
    <w:rsid w:val="008F3417"/>
    <w:rsid w:val="008F349B"/>
    <w:rsid w:val="008F34C3"/>
    <w:rsid w:val="008F3769"/>
    <w:rsid w:val="008F37D7"/>
    <w:rsid w:val="008F37F3"/>
    <w:rsid w:val="008F388C"/>
    <w:rsid w:val="008F3A9A"/>
    <w:rsid w:val="008F3B68"/>
    <w:rsid w:val="008F3B69"/>
    <w:rsid w:val="008F3C26"/>
    <w:rsid w:val="008F3C9E"/>
    <w:rsid w:val="008F3CD4"/>
    <w:rsid w:val="008F3D37"/>
    <w:rsid w:val="008F3D6D"/>
    <w:rsid w:val="008F3E59"/>
    <w:rsid w:val="008F3E71"/>
    <w:rsid w:val="008F3EA5"/>
    <w:rsid w:val="008F3F4C"/>
    <w:rsid w:val="008F3FB0"/>
    <w:rsid w:val="008F40F3"/>
    <w:rsid w:val="008F4232"/>
    <w:rsid w:val="008F424A"/>
    <w:rsid w:val="008F4408"/>
    <w:rsid w:val="008F4476"/>
    <w:rsid w:val="008F45F5"/>
    <w:rsid w:val="008F460B"/>
    <w:rsid w:val="008F46DF"/>
    <w:rsid w:val="008F470F"/>
    <w:rsid w:val="008F48E7"/>
    <w:rsid w:val="008F48FB"/>
    <w:rsid w:val="008F4938"/>
    <w:rsid w:val="008F4986"/>
    <w:rsid w:val="008F499B"/>
    <w:rsid w:val="008F4A5C"/>
    <w:rsid w:val="008F4AC5"/>
    <w:rsid w:val="008F4AE5"/>
    <w:rsid w:val="008F4AEF"/>
    <w:rsid w:val="008F4B14"/>
    <w:rsid w:val="008F4B59"/>
    <w:rsid w:val="008F4CB2"/>
    <w:rsid w:val="008F4D00"/>
    <w:rsid w:val="008F4ECF"/>
    <w:rsid w:val="008F4EE5"/>
    <w:rsid w:val="008F4EF7"/>
    <w:rsid w:val="008F4FA1"/>
    <w:rsid w:val="008F5127"/>
    <w:rsid w:val="008F516B"/>
    <w:rsid w:val="008F526C"/>
    <w:rsid w:val="008F53FD"/>
    <w:rsid w:val="008F5425"/>
    <w:rsid w:val="008F54CB"/>
    <w:rsid w:val="008F55BB"/>
    <w:rsid w:val="008F5638"/>
    <w:rsid w:val="008F57DA"/>
    <w:rsid w:val="008F5A20"/>
    <w:rsid w:val="008F5A90"/>
    <w:rsid w:val="008F5AFD"/>
    <w:rsid w:val="008F5DFE"/>
    <w:rsid w:val="008F5E53"/>
    <w:rsid w:val="008F5E59"/>
    <w:rsid w:val="008F614E"/>
    <w:rsid w:val="008F6188"/>
    <w:rsid w:val="008F621D"/>
    <w:rsid w:val="008F6224"/>
    <w:rsid w:val="008F6272"/>
    <w:rsid w:val="008F62AE"/>
    <w:rsid w:val="008F62BD"/>
    <w:rsid w:val="008F632B"/>
    <w:rsid w:val="008F6420"/>
    <w:rsid w:val="008F6434"/>
    <w:rsid w:val="008F6466"/>
    <w:rsid w:val="008F6495"/>
    <w:rsid w:val="008F64CD"/>
    <w:rsid w:val="008F64EC"/>
    <w:rsid w:val="008F657F"/>
    <w:rsid w:val="008F66B9"/>
    <w:rsid w:val="008F67AB"/>
    <w:rsid w:val="008F6812"/>
    <w:rsid w:val="008F688D"/>
    <w:rsid w:val="008F68B8"/>
    <w:rsid w:val="008F68F1"/>
    <w:rsid w:val="008F6911"/>
    <w:rsid w:val="008F693F"/>
    <w:rsid w:val="008F695D"/>
    <w:rsid w:val="008F6A1A"/>
    <w:rsid w:val="008F6A71"/>
    <w:rsid w:val="008F6A84"/>
    <w:rsid w:val="008F6A97"/>
    <w:rsid w:val="008F6B1D"/>
    <w:rsid w:val="008F6B2F"/>
    <w:rsid w:val="008F6B3A"/>
    <w:rsid w:val="008F6B57"/>
    <w:rsid w:val="008F6BBA"/>
    <w:rsid w:val="008F6C67"/>
    <w:rsid w:val="008F71C0"/>
    <w:rsid w:val="008F7272"/>
    <w:rsid w:val="008F7432"/>
    <w:rsid w:val="008F74F1"/>
    <w:rsid w:val="008F74FD"/>
    <w:rsid w:val="008F7503"/>
    <w:rsid w:val="008F7506"/>
    <w:rsid w:val="008F7537"/>
    <w:rsid w:val="008F7539"/>
    <w:rsid w:val="008F7853"/>
    <w:rsid w:val="008F78F3"/>
    <w:rsid w:val="008F7993"/>
    <w:rsid w:val="008F7A6F"/>
    <w:rsid w:val="008F7B06"/>
    <w:rsid w:val="008F7BD3"/>
    <w:rsid w:val="008F7C99"/>
    <w:rsid w:val="008F7D59"/>
    <w:rsid w:val="008F7E06"/>
    <w:rsid w:val="008F7FCC"/>
    <w:rsid w:val="008F7FD7"/>
    <w:rsid w:val="0090004E"/>
    <w:rsid w:val="00900116"/>
    <w:rsid w:val="0090018C"/>
    <w:rsid w:val="009001FD"/>
    <w:rsid w:val="00900225"/>
    <w:rsid w:val="00900452"/>
    <w:rsid w:val="009004B9"/>
    <w:rsid w:val="0090069F"/>
    <w:rsid w:val="009006A3"/>
    <w:rsid w:val="00900762"/>
    <w:rsid w:val="0090094E"/>
    <w:rsid w:val="009009C0"/>
    <w:rsid w:val="00900A78"/>
    <w:rsid w:val="00900BC8"/>
    <w:rsid w:val="00900BDE"/>
    <w:rsid w:val="00900C48"/>
    <w:rsid w:val="00900C85"/>
    <w:rsid w:val="00900DB6"/>
    <w:rsid w:val="00900E3D"/>
    <w:rsid w:val="00900E8C"/>
    <w:rsid w:val="00900FBE"/>
    <w:rsid w:val="009010DB"/>
    <w:rsid w:val="00901144"/>
    <w:rsid w:val="0090147E"/>
    <w:rsid w:val="009014F2"/>
    <w:rsid w:val="009014FC"/>
    <w:rsid w:val="009015D9"/>
    <w:rsid w:val="00901627"/>
    <w:rsid w:val="00901B97"/>
    <w:rsid w:val="00901BC8"/>
    <w:rsid w:val="00901C13"/>
    <w:rsid w:val="00901C54"/>
    <w:rsid w:val="00901C9A"/>
    <w:rsid w:val="00901CB4"/>
    <w:rsid w:val="00901DAF"/>
    <w:rsid w:val="00901E01"/>
    <w:rsid w:val="00901EFD"/>
    <w:rsid w:val="00901F74"/>
    <w:rsid w:val="009020B8"/>
    <w:rsid w:val="00902120"/>
    <w:rsid w:val="00902144"/>
    <w:rsid w:val="009021AB"/>
    <w:rsid w:val="00902219"/>
    <w:rsid w:val="00902243"/>
    <w:rsid w:val="009022AB"/>
    <w:rsid w:val="009022C0"/>
    <w:rsid w:val="0090244F"/>
    <w:rsid w:val="0090265D"/>
    <w:rsid w:val="009026DE"/>
    <w:rsid w:val="009027C7"/>
    <w:rsid w:val="009027F2"/>
    <w:rsid w:val="009027F3"/>
    <w:rsid w:val="00902895"/>
    <w:rsid w:val="00902940"/>
    <w:rsid w:val="00902986"/>
    <w:rsid w:val="00902CAA"/>
    <w:rsid w:val="00902D07"/>
    <w:rsid w:val="00902D49"/>
    <w:rsid w:val="00902D5F"/>
    <w:rsid w:val="00902DEC"/>
    <w:rsid w:val="00902DF4"/>
    <w:rsid w:val="00902EF1"/>
    <w:rsid w:val="00902F53"/>
    <w:rsid w:val="00902F60"/>
    <w:rsid w:val="00902FA2"/>
    <w:rsid w:val="00902FEA"/>
    <w:rsid w:val="00903096"/>
    <w:rsid w:val="0090312A"/>
    <w:rsid w:val="0090316D"/>
    <w:rsid w:val="009032ED"/>
    <w:rsid w:val="009033C6"/>
    <w:rsid w:val="00903530"/>
    <w:rsid w:val="00903572"/>
    <w:rsid w:val="00903631"/>
    <w:rsid w:val="0090370C"/>
    <w:rsid w:val="00903735"/>
    <w:rsid w:val="00903825"/>
    <w:rsid w:val="00903885"/>
    <w:rsid w:val="009038F4"/>
    <w:rsid w:val="00903982"/>
    <w:rsid w:val="009039A5"/>
    <w:rsid w:val="00903A5F"/>
    <w:rsid w:val="00903AEE"/>
    <w:rsid w:val="00903AF8"/>
    <w:rsid w:val="00903B96"/>
    <w:rsid w:val="00903BA3"/>
    <w:rsid w:val="00903CFE"/>
    <w:rsid w:val="00903DB5"/>
    <w:rsid w:val="00903F68"/>
    <w:rsid w:val="00903FFD"/>
    <w:rsid w:val="0090404C"/>
    <w:rsid w:val="009041AD"/>
    <w:rsid w:val="00904594"/>
    <w:rsid w:val="009045A0"/>
    <w:rsid w:val="0090468B"/>
    <w:rsid w:val="009046D5"/>
    <w:rsid w:val="009047AF"/>
    <w:rsid w:val="00904BEE"/>
    <w:rsid w:val="00904BFD"/>
    <w:rsid w:val="00904D78"/>
    <w:rsid w:val="00904DB1"/>
    <w:rsid w:val="00904DE7"/>
    <w:rsid w:val="00904E3A"/>
    <w:rsid w:val="00904EE2"/>
    <w:rsid w:val="0090504D"/>
    <w:rsid w:val="009050D6"/>
    <w:rsid w:val="0090518A"/>
    <w:rsid w:val="00905351"/>
    <w:rsid w:val="00905453"/>
    <w:rsid w:val="00905474"/>
    <w:rsid w:val="009054B4"/>
    <w:rsid w:val="009054B8"/>
    <w:rsid w:val="00905504"/>
    <w:rsid w:val="00905566"/>
    <w:rsid w:val="009055DB"/>
    <w:rsid w:val="009056AA"/>
    <w:rsid w:val="00905835"/>
    <w:rsid w:val="009059E0"/>
    <w:rsid w:val="00905C22"/>
    <w:rsid w:val="00905EA7"/>
    <w:rsid w:val="00906335"/>
    <w:rsid w:val="0090636C"/>
    <w:rsid w:val="0090659F"/>
    <w:rsid w:val="0090666A"/>
    <w:rsid w:val="00906883"/>
    <w:rsid w:val="00906891"/>
    <w:rsid w:val="009068B8"/>
    <w:rsid w:val="009068DB"/>
    <w:rsid w:val="009069F6"/>
    <w:rsid w:val="00906A09"/>
    <w:rsid w:val="00906BC9"/>
    <w:rsid w:val="00906D56"/>
    <w:rsid w:val="00906D6D"/>
    <w:rsid w:val="00906E22"/>
    <w:rsid w:val="009070AB"/>
    <w:rsid w:val="009072B6"/>
    <w:rsid w:val="009073DA"/>
    <w:rsid w:val="0090749F"/>
    <w:rsid w:val="009075AA"/>
    <w:rsid w:val="0090765D"/>
    <w:rsid w:val="00907779"/>
    <w:rsid w:val="009077A0"/>
    <w:rsid w:val="009077D3"/>
    <w:rsid w:val="0090780C"/>
    <w:rsid w:val="00907857"/>
    <w:rsid w:val="009078CC"/>
    <w:rsid w:val="0090799D"/>
    <w:rsid w:val="00907B1A"/>
    <w:rsid w:val="00907BD8"/>
    <w:rsid w:val="00907C81"/>
    <w:rsid w:val="00907CC7"/>
    <w:rsid w:val="00907CEC"/>
    <w:rsid w:val="00907D8F"/>
    <w:rsid w:val="00907E34"/>
    <w:rsid w:val="00907E53"/>
    <w:rsid w:val="00907F22"/>
    <w:rsid w:val="00910087"/>
    <w:rsid w:val="009100CC"/>
    <w:rsid w:val="009101C1"/>
    <w:rsid w:val="009104F5"/>
    <w:rsid w:val="00910588"/>
    <w:rsid w:val="0091065F"/>
    <w:rsid w:val="009108DD"/>
    <w:rsid w:val="0091094A"/>
    <w:rsid w:val="0091095B"/>
    <w:rsid w:val="009109E6"/>
    <w:rsid w:val="00910AAC"/>
    <w:rsid w:val="00910AF6"/>
    <w:rsid w:val="00910AFB"/>
    <w:rsid w:val="00910B51"/>
    <w:rsid w:val="00910B54"/>
    <w:rsid w:val="00910BDC"/>
    <w:rsid w:val="00910BFB"/>
    <w:rsid w:val="00910C8A"/>
    <w:rsid w:val="00910D4C"/>
    <w:rsid w:val="00910F23"/>
    <w:rsid w:val="009110CC"/>
    <w:rsid w:val="00911127"/>
    <w:rsid w:val="00911169"/>
    <w:rsid w:val="009111A8"/>
    <w:rsid w:val="009112DE"/>
    <w:rsid w:val="0091137D"/>
    <w:rsid w:val="00911399"/>
    <w:rsid w:val="0091154F"/>
    <w:rsid w:val="009115C7"/>
    <w:rsid w:val="00911629"/>
    <w:rsid w:val="009117C3"/>
    <w:rsid w:val="009118DF"/>
    <w:rsid w:val="00911A63"/>
    <w:rsid w:val="00911B7D"/>
    <w:rsid w:val="00911BE2"/>
    <w:rsid w:val="00911C6C"/>
    <w:rsid w:val="00911CB2"/>
    <w:rsid w:val="00911D1C"/>
    <w:rsid w:val="00911D94"/>
    <w:rsid w:val="00911F23"/>
    <w:rsid w:val="00911F33"/>
    <w:rsid w:val="00911F3B"/>
    <w:rsid w:val="00911F40"/>
    <w:rsid w:val="00912031"/>
    <w:rsid w:val="0091214C"/>
    <w:rsid w:val="0091223E"/>
    <w:rsid w:val="00912344"/>
    <w:rsid w:val="009123C0"/>
    <w:rsid w:val="0091270E"/>
    <w:rsid w:val="0091273D"/>
    <w:rsid w:val="00912786"/>
    <w:rsid w:val="00912834"/>
    <w:rsid w:val="009128E3"/>
    <w:rsid w:val="00912A21"/>
    <w:rsid w:val="00912A73"/>
    <w:rsid w:val="00912B21"/>
    <w:rsid w:val="00912B2B"/>
    <w:rsid w:val="00912CF9"/>
    <w:rsid w:val="00912D7B"/>
    <w:rsid w:val="00912D90"/>
    <w:rsid w:val="00912E86"/>
    <w:rsid w:val="00913002"/>
    <w:rsid w:val="00913006"/>
    <w:rsid w:val="009130ED"/>
    <w:rsid w:val="0091312C"/>
    <w:rsid w:val="0091333F"/>
    <w:rsid w:val="00913436"/>
    <w:rsid w:val="00913488"/>
    <w:rsid w:val="009134BF"/>
    <w:rsid w:val="0091353F"/>
    <w:rsid w:val="00913582"/>
    <w:rsid w:val="00913680"/>
    <w:rsid w:val="00913844"/>
    <w:rsid w:val="009138AC"/>
    <w:rsid w:val="009138DF"/>
    <w:rsid w:val="00913902"/>
    <w:rsid w:val="0091392C"/>
    <w:rsid w:val="0091397A"/>
    <w:rsid w:val="00913AA1"/>
    <w:rsid w:val="00913B52"/>
    <w:rsid w:val="00913E68"/>
    <w:rsid w:val="00913E6F"/>
    <w:rsid w:val="00913E72"/>
    <w:rsid w:val="00913F36"/>
    <w:rsid w:val="009140FC"/>
    <w:rsid w:val="0091411D"/>
    <w:rsid w:val="00914221"/>
    <w:rsid w:val="00914452"/>
    <w:rsid w:val="009145D0"/>
    <w:rsid w:val="009147D1"/>
    <w:rsid w:val="00914A43"/>
    <w:rsid w:val="00914AD2"/>
    <w:rsid w:val="00914B72"/>
    <w:rsid w:val="00914C3F"/>
    <w:rsid w:val="00914D28"/>
    <w:rsid w:val="00914DCD"/>
    <w:rsid w:val="00914E07"/>
    <w:rsid w:val="00915157"/>
    <w:rsid w:val="009151AE"/>
    <w:rsid w:val="009153F6"/>
    <w:rsid w:val="00915515"/>
    <w:rsid w:val="0091580F"/>
    <w:rsid w:val="009158F4"/>
    <w:rsid w:val="009159D7"/>
    <w:rsid w:val="00915A70"/>
    <w:rsid w:val="00915B20"/>
    <w:rsid w:val="00915B6E"/>
    <w:rsid w:val="00915CB1"/>
    <w:rsid w:val="00915CB8"/>
    <w:rsid w:val="00915CBC"/>
    <w:rsid w:val="00915CEA"/>
    <w:rsid w:val="00915D0E"/>
    <w:rsid w:val="00915DD3"/>
    <w:rsid w:val="00915E26"/>
    <w:rsid w:val="00915F75"/>
    <w:rsid w:val="00915FBB"/>
    <w:rsid w:val="00915FCF"/>
    <w:rsid w:val="0091618F"/>
    <w:rsid w:val="00916205"/>
    <w:rsid w:val="00916249"/>
    <w:rsid w:val="00916264"/>
    <w:rsid w:val="00916420"/>
    <w:rsid w:val="009164EB"/>
    <w:rsid w:val="009165AB"/>
    <w:rsid w:val="00916684"/>
    <w:rsid w:val="009166CB"/>
    <w:rsid w:val="00916883"/>
    <w:rsid w:val="009168C2"/>
    <w:rsid w:val="009169ED"/>
    <w:rsid w:val="00916B1C"/>
    <w:rsid w:val="00916B4F"/>
    <w:rsid w:val="00916DE5"/>
    <w:rsid w:val="00916E09"/>
    <w:rsid w:val="00916E11"/>
    <w:rsid w:val="00916FA4"/>
    <w:rsid w:val="00916FE5"/>
    <w:rsid w:val="00916FFD"/>
    <w:rsid w:val="009170A7"/>
    <w:rsid w:val="00917299"/>
    <w:rsid w:val="009172EB"/>
    <w:rsid w:val="009173B2"/>
    <w:rsid w:val="00917452"/>
    <w:rsid w:val="00917462"/>
    <w:rsid w:val="0091758C"/>
    <w:rsid w:val="009176B5"/>
    <w:rsid w:val="00917713"/>
    <w:rsid w:val="00917998"/>
    <w:rsid w:val="00917A37"/>
    <w:rsid w:val="00917BB2"/>
    <w:rsid w:val="00917C2A"/>
    <w:rsid w:val="00917C89"/>
    <w:rsid w:val="00917C9D"/>
    <w:rsid w:val="00917CA8"/>
    <w:rsid w:val="00917D3C"/>
    <w:rsid w:val="00917DAF"/>
    <w:rsid w:val="00917E59"/>
    <w:rsid w:val="00917F47"/>
    <w:rsid w:val="009200E9"/>
    <w:rsid w:val="009201DB"/>
    <w:rsid w:val="009203A5"/>
    <w:rsid w:val="00920538"/>
    <w:rsid w:val="00920546"/>
    <w:rsid w:val="009205C4"/>
    <w:rsid w:val="009206E7"/>
    <w:rsid w:val="0092070A"/>
    <w:rsid w:val="00920836"/>
    <w:rsid w:val="00920837"/>
    <w:rsid w:val="00920970"/>
    <w:rsid w:val="00920A28"/>
    <w:rsid w:val="00920A2B"/>
    <w:rsid w:val="00920A93"/>
    <w:rsid w:val="00920ABD"/>
    <w:rsid w:val="00920C98"/>
    <w:rsid w:val="00920E3D"/>
    <w:rsid w:val="00920E53"/>
    <w:rsid w:val="00920F4D"/>
    <w:rsid w:val="00920FC9"/>
    <w:rsid w:val="00921058"/>
    <w:rsid w:val="00921087"/>
    <w:rsid w:val="0092116E"/>
    <w:rsid w:val="009211EC"/>
    <w:rsid w:val="00921201"/>
    <w:rsid w:val="00921307"/>
    <w:rsid w:val="009214F5"/>
    <w:rsid w:val="00921534"/>
    <w:rsid w:val="00921577"/>
    <w:rsid w:val="0092159A"/>
    <w:rsid w:val="0092171A"/>
    <w:rsid w:val="009218B3"/>
    <w:rsid w:val="009218FD"/>
    <w:rsid w:val="0092194A"/>
    <w:rsid w:val="009219BF"/>
    <w:rsid w:val="009219F5"/>
    <w:rsid w:val="00921A1F"/>
    <w:rsid w:val="00921D66"/>
    <w:rsid w:val="00921E3F"/>
    <w:rsid w:val="00921EE5"/>
    <w:rsid w:val="00921F78"/>
    <w:rsid w:val="00921FA9"/>
    <w:rsid w:val="00921FBC"/>
    <w:rsid w:val="00922077"/>
    <w:rsid w:val="0092209C"/>
    <w:rsid w:val="00922191"/>
    <w:rsid w:val="009221D4"/>
    <w:rsid w:val="0092225D"/>
    <w:rsid w:val="0092227C"/>
    <w:rsid w:val="0092234B"/>
    <w:rsid w:val="00922366"/>
    <w:rsid w:val="009224C9"/>
    <w:rsid w:val="00922552"/>
    <w:rsid w:val="00922598"/>
    <w:rsid w:val="0092262C"/>
    <w:rsid w:val="00922709"/>
    <w:rsid w:val="00922743"/>
    <w:rsid w:val="0092292E"/>
    <w:rsid w:val="00922AC5"/>
    <w:rsid w:val="00922ACB"/>
    <w:rsid w:val="00922B88"/>
    <w:rsid w:val="00922DF5"/>
    <w:rsid w:val="00922F06"/>
    <w:rsid w:val="00922F3B"/>
    <w:rsid w:val="00922F83"/>
    <w:rsid w:val="00922FF0"/>
    <w:rsid w:val="0092300A"/>
    <w:rsid w:val="00923017"/>
    <w:rsid w:val="009230AA"/>
    <w:rsid w:val="0092315E"/>
    <w:rsid w:val="00923256"/>
    <w:rsid w:val="009236FF"/>
    <w:rsid w:val="0092373A"/>
    <w:rsid w:val="0092376A"/>
    <w:rsid w:val="009237AD"/>
    <w:rsid w:val="009237D5"/>
    <w:rsid w:val="00923B66"/>
    <w:rsid w:val="00923C36"/>
    <w:rsid w:val="00923CB1"/>
    <w:rsid w:val="00923D73"/>
    <w:rsid w:val="00923E14"/>
    <w:rsid w:val="00923E64"/>
    <w:rsid w:val="00923FE0"/>
    <w:rsid w:val="009241DA"/>
    <w:rsid w:val="0092422E"/>
    <w:rsid w:val="0092426A"/>
    <w:rsid w:val="00924283"/>
    <w:rsid w:val="009242DE"/>
    <w:rsid w:val="0092439A"/>
    <w:rsid w:val="009243FB"/>
    <w:rsid w:val="00924411"/>
    <w:rsid w:val="00924461"/>
    <w:rsid w:val="00924559"/>
    <w:rsid w:val="009245C4"/>
    <w:rsid w:val="00924644"/>
    <w:rsid w:val="009246EB"/>
    <w:rsid w:val="00924A7F"/>
    <w:rsid w:val="00924AF8"/>
    <w:rsid w:val="00924BB5"/>
    <w:rsid w:val="00924BD8"/>
    <w:rsid w:val="00924C62"/>
    <w:rsid w:val="00924CE4"/>
    <w:rsid w:val="00924D0C"/>
    <w:rsid w:val="00924D51"/>
    <w:rsid w:val="00924DE3"/>
    <w:rsid w:val="00924E6A"/>
    <w:rsid w:val="00924E9F"/>
    <w:rsid w:val="00925212"/>
    <w:rsid w:val="009254CA"/>
    <w:rsid w:val="00925532"/>
    <w:rsid w:val="009255D0"/>
    <w:rsid w:val="009256B1"/>
    <w:rsid w:val="009256FB"/>
    <w:rsid w:val="0092588D"/>
    <w:rsid w:val="00925C47"/>
    <w:rsid w:val="00925C8D"/>
    <w:rsid w:val="00925D03"/>
    <w:rsid w:val="00925F86"/>
    <w:rsid w:val="0092605D"/>
    <w:rsid w:val="009260A1"/>
    <w:rsid w:val="009261B8"/>
    <w:rsid w:val="00926247"/>
    <w:rsid w:val="0092624D"/>
    <w:rsid w:val="009263CF"/>
    <w:rsid w:val="0092644D"/>
    <w:rsid w:val="009265D7"/>
    <w:rsid w:val="00926648"/>
    <w:rsid w:val="00926667"/>
    <w:rsid w:val="00926698"/>
    <w:rsid w:val="00926699"/>
    <w:rsid w:val="00926788"/>
    <w:rsid w:val="0092681D"/>
    <w:rsid w:val="009269A1"/>
    <w:rsid w:val="00926A16"/>
    <w:rsid w:val="00926B33"/>
    <w:rsid w:val="00926C83"/>
    <w:rsid w:val="00926D2F"/>
    <w:rsid w:val="00926D6A"/>
    <w:rsid w:val="00926D87"/>
    <w:rsid w:val="00926DA7"/>
    <w:rsid w:val="00926DC1"/>
    <w:rsid w:val="0092730E"/>
    <w:rsid w:val="009275C4"/>
    <w:rsid w:val="00927678"/>
    <w:rsid w:val="0092782C"/>
    <w:rsid w:val="009278E8"/>
    <w:rsid w:val="00927903"/>
    <w:rsid w:val="00927B6D"/>
    <w:rsid w:val="00927C3D"/>
    <w:rsid w:val="00927D6A"/>
    <w:rsid w:val="00927F8C"/>
    <w:rsid w:val="00930142"/>
    <w:rsid w:val="0093016C"/>
    <w:rsid w:val="009303D5"/>
    <w:rsid w:val="009303EF"/>
    <w:rsid w:val="00930400"/>
    <w:rsid w:val="00930421"/>
    <w:rsid w:val="00930510"/>
    <w:rsid w:val="00930520"/>
    <w:rsid w:val="0093058E"/>
    <w:rsid w:val="00930724"/>
    <w:rsid w:val="0093073A"/>
    <w:rsid w:val="00930937"/>
    <w:rsid w:val="00930944"/>
    <w:rsid w:val="00930A16"/>
    <w:rsid w:val="00930B84"/>
    <w:rsid w:val="00930BBD"/>
    <w:rsid w:val="00930BD4"/>
    <w:rsid w:val="00930BF5"/>
    <w:rsid w:val="00930CBE"/>
    <w:rsid w:val="00930CFC"/>
    <w:rsid w:val="00930D20"/>
    <w:rsid w:val="00930DDE"/>
    <w:rsid w:val="00930F52"/>
    <w:rsid w:val="0093107E"/>
    <w:rsid w:val="00931402"/>
    <w:rsid w:val="0093171E"/>
    <w:rsid w:val="0093175D"/>
    <w:rsid w:val="00931836"/>
    <w:rsid w:val="0093183B"/>
    <w:rsid w:val="00931868"/>
    <w:rsid w:val="009318D5"/>
    <w:rsid w:val="009319C4"/>
    <w:rsid w:val="00931B55"/>
    <w:rsid w:val="00931B89"/>
    <w:rsid w:val="00931B9D"/>
    <w:rsid w:val="00931DF9"/>
    <w:rsid w:val="00931E83"/>
    <w:rsid w:val="00931EF6"/>
    <w:rsid w:val="00931FCD"/>
    <w:rsid w:val="009322AA"/>
    <w:rsid w:val="0093239C"/>
    <w:rsid w:val="009323E1"/>
    <w:rsid w:val="0093253C"/>
    <w:rsid w:val="00932654"/>
    <w:rsid w:val="009326E3"/>
    <w:rsid w:val="0093299E"/>
    <w:rsid w:val="009329C6"/>
    <w:rsid w:val="00932B37"/>
    <w:rsid w:val="00932BB1"/>
    <w:rsid w:val="00932C62"/>
    <w:rsid w:val="00932CBC"/>
    <w:rsid w:val="00932CD5"/>
    <w:rsid w:val="00932D51"/>
    <w:rsid w:val="00932D87"/>
    <w:rsid w:val="00932ECE"/>
    <w:rsid w:val="00932F47"/>
    <w:rsid w:val="00932F7A"/>
    <w:rsid w:val="00933047"/>
    <w:rsid w:val="00933080"/>
    <w:rsid w:val="009331BC"/>
    <w:rsid w:val="00933200"/>
    <w:rsid w:val="009332D1"/>
    <w:rsid w:val="00933603"/>
    <w:rsid w:val="0093367B"/>
    <w:rsid w:val="009338C1"/>
    <w:rsid w:val="00933C5F"/>
    <w:rsid w:val="00933CBD"/>
    <w:rsid w:val="00933DE3"/>
    <w:rsid w:val="00933E38"/>
    <w:rsid w:val="00934014"/>
    <w:rsid w:val="00934029"/>
    <w:rsid w:val="00934108"/>
    <w:rsid w:val="009341D8"/>
    <w:rsid w:val="00934200"/>
    <w:rsid w:val="0093427B"/>
    <w:rsid w:val="0093433A"/>
    <w:rsid w:val="009343A1"/>
    <w:rsid w:val="00934431"/>
    <w:rsid w:val="009346F8"/>
    <w:rsid w:val="00934882"/>
    <w:rsid w:val="0093499B"/>
    <w:rsid w:val="0093499C"/>
    <w:rsid w:val="00934AD4"/>
    <w:rsid w:val="00934BE1"/>
    <w:rsid w:val="00934C0D"/>
    <w:rsid w:val="00934CD9"/>
    <w:rsid w:val="009350CE"/>
    <w:rsid w:val="00935217"/>
    <w:rsid w:val="00935305"/>
    <w:rsid w:val="00935564"/>
    <w:rsid w:val="0093559C"/>
    <w:rsid w:val="009355B3"/>
    <w:rsid w:val="009355FA"/>
    <w:rsid w:val="009356B9"/>
    <w:rsid w:val="009356F4"/>
    <w:rsid w:val="0093582E"/>
    <w:rsid w:val="00935866"/>
    <w:rsid w:val="00935887"/>
    <w:rsid w:val="009358FC"/>
    <w:rsid w:val="00935999"/>
    <w:rsid w:val="00935A0F"/>
    <w:rsid w:val="00935B47"/>
    <w:rsid w:val="00935B78"/>
    <w:rsid w:val="00935B9E"/>
    <w:rsid w:val="00935BDD"/>
    <w:rsid w:val="00935CAA"/>
    <w:rsid w:val="00935F1D"/>
    <w:rsid w:val="00935F25"/>
    <w:rsid w:val="00936199"/>
    <w:rsid w:val="00936212"/>
    <w:rsid w:val="00936239"/>
    <w:rsid w:val="009362F7"/>
    <w:rsid w:val="009363EC"/>
    <w:rsid w:val="009363F6"/>
    <w:rsid w:val="009366A3"/>
    <w:rsid w:val="00936758"/>
    <w:rsid w:val="0093689C"/>
    <w:rsid w:val="009368F5"/>
    <w:rsid w:val="0093698E"/>
    <w:rsid w:val="00936A43"/>
    <w:rsid w:val="00936A56"/>
    <w:rsid w:val="00936AF9"/>
    <w:rsid w:val="00936B31"/>
    <w:rsid w:val="00936CB4"/>
    <w:rsid w:val="00936D58"/>
    <w:rsid w:val="00936E35"/>
    <w:rsid w:val="00936FCF"/>
    <w:rsid w:val="00936FDA"/>
    <w:rsid w:val="0093704E"/>
    <w:rsid w:val="009371C8"/>
    <w:rsid w:val="009371D4"/>
    <w:rsid w:val="00937355"/>
    <w:rsid w:val="00937392"/>
    <w:rsid w:val="00937412"/>
    <w:rsid w:val="00937741"/>
    <w:rsid w:val="0093774D"/>
    <w:rsid w:val="00937874"/>
    <w:rsid w:val="009379B3"/>
    <w:rsid w:val="00937A3A"/>
    <w:rsid w:val="00937B1B"/>
    <w:rsid w:val="00937CD2"/>
    <w:rsid w:val="00937D00"/>
    <w:rsid w:val="00937D40"/>
    <w:rsid w:val="00937DD2"/>
    <w:rsid w:val="00937EB3"/>
    <w:rsid w:val="00937FF2"/>
    <w:rsid w:val="0094003A"/>
    <w:rsid w:val="0094004F"/>
    <w:rsid w:val="009400AE"/>
    <w:rsid w:val="00940200"/>
    <w:rsid w:val="0094022D"/>
    <w:rsid w:val="00940237"/>
    <w:rsid w:val="00940439"/>
    <w:rsid w:val="0094050C"/>
    <w:rsid w:val="00940535"/>
    <w:rsid w:val="00940550"/>
    <w:rsid w:val="009405B3"/>
    <w:rsid w:val="0094080F"/>
    <w:rsid w:val="009408A2"/>
    <w:rsid w:val="00940BA4"/>
    <w:rsid w:val="00940BF2"/>
    <w:rsid w:val="00940E9D"/>
    <w:rsid w:val="00940EB9"/>
    <w:rsid w:val="00940FA6"/>
    <w:rsid w:val="009410CD"/>
    <w:rsid w:val="0094110D"/>
    <w:rsid w:val="00941134"/>
    <w:rsid w:val="009412F5"/>
    <w:rsid w:val="00941434"/>
    <w:rsid w:val="00941545"/>
    <w:rsid w:val="009415AE"/>
    <w:rsid w:val="009415F7"/>
    <w:rsid w:val="00941835"/>
    <w:rsid w:val="00941860"/>
    <w:rsid w:val="00941876"/>
    <w:rsid w:val="009418BA"/>
    <w:rsid w:val="009419AC"/>
    <w:rsid w:val="00941B46"/>
    <w:rsid w:val="00941C4E"/>
    <w:rsid w:val="00941DBE"/>
    <w:rsid w:val="00941EBF"/>
    <w:rsid w:val="00941F32"/>
    <w:rsid w:val="00942115"/>
    <w:rsid w:val="009421DA"/>
    <w:rsid w:val="00942331"/>
    <w:rsid w:val="00942487"/>
    <w:rsid w:val="009425D2"/>
    <w:rsid w:val="00942655"/>
    <w:rsid w:val="00942767"/>
    <w:rsid w:val="00942986"/>
    <w:rsid w:val="009429E0"/>
    <w:rsid w:val="00942A79"/>
    <w:rsid w:val="00942E5C"/>
    <w:rsid w:val="00942EA7"/>
    <w:rsid w:val="00942F35"/>
    <w:rsid w:val="00943000"/>
    <w:rsid w:val="00943013"/>
    <w:rsid w:val="00943127"/>
    <w:rsid w:val="009431C2"/>
    <w:rsid w:val="009431C9"/>
    <w:rsid w:val="0094334D"/>
    <w:rsid w:val="0094336F"/>
    <w:rsid w:val="00943378"/>
    <w:rsid w:val="00943379"/>
    <w:rsid w:val="0094345E"/>
    <w:rsid w:val="00943633"/>
    <w:rsid w:val="009436F8"/>
    <w:rsid w:val="0094374E"/>
    <w:rsid w:val="00943B21"/>
    <w:rsid w:val="00943C59"/>
    <w:rsid w:val="00943C7D"/>
    <w:rsid w:val="00943D3C"/>
    <w:rsid w:val="00943E87"/>
    <w:rsid w:val="00943FB8"/>
    <w:rsid w:val="009440E4"/>
    <w:rsid w:val="00944321"/>
    <w:rsid w:val="00944610"/>
    <w:rsid w:val="00944814"/>
    <w:rsid w:val="009448BA"/>
    <w:rsid w:val="00944BD7"/>
    <w:rsid w:val="00944CF7"/>
    <w:rsid w:val="00944DCC"/>
    <w:rsid w:val="00944E71"/>
    <w:rsid w:val="00944E86"/>
    <w:rsid w:val="00944EC6"/>
    <w:rsid w:val="00944F06"/>
    <w:rsid w:val="00944F70"/>
    <w:rsid w:val="00944F96"/>
    <w:rsid w:val="00944FDD"/>
    <w:rsid w:val="0094505F"/>
    <w:rsid w:val="00945085"/>
    <w:rsid w:val="009450A1"/>
    <w:rsid w:val="009452B0"/>
    <w:rsid w:val="00945728"/>
    <w:rsid w:val="00945A07"/>
    <w:rsid w:val="00945A11"/>
    <w:rsid w:val="00945B3B"/>
    <w:rsid w:val="00945B59"/>
    <w:rsid w:val="00945B5D"/>
    <w:rsid w:val="00945B97"/>
    <w:rsid w:val="00945BDA"/>
    <w:rsid w:val="00945C0F"/>
    <w:rsid w:val="00945C48"/>
    <w:rsid w:val="00945DC8"/>
    <w:rsid w:val="00945DE4"/>
    <w:rsid w:val="009460C0"/>
    <w:rsid w:val="009460CF"/>
    <w:rsid w:val="009461D1"/>
    <w:rsid w:val="009462E3"/>
    <w:rsid w:val="00946418"/>
    <w:rsid w:val="009464F1"/>
    <w:rsid w:val="00946527"/>
    <w:rsid w:val="00946543"/>
    <w:rsid w:val="009466F2"/>
    <w:rsid w:val="00946764"/>
    <w:rsid w:val="009467DC"/>
    <w:rsid w:val="009467EE"/>
    <w:rsid w:val="00946B1C"/>
    <w:rsid w:val="00946B7A"/>
    <w:rsid w:val="00946CEA"/>
    <w:rsid w:val="00946D0F"/>
    <w:rsid w:val="00946DB5"/>
    <w:rsid w:val="00946E64"/>
    <w:rsid w:val="00946EEA"/>
    <w:rsid w:val="00946F4E"/>
    <w:rsid w:val="00947140"/>
    <w:rsid w:val="0094724F"/>
    <w:rsid w:val="00947262"/>
    <w:rsid w:val="0094734E"/>
    <w:rsid w:val="0094743B"/>
    <w:rsid w:val="00947472"/>
    <w:rsid w:val="0094750F"/>
    <w:rsid w:val="009476F6"/>
    <w:rsid w:val="0094775F"/>
    <w:rsid w:val="00947A5C"/>
    <w:rsid w:val="00947AD8"/>
    <w:rsid w:val="00947C19"/>
    <w:rsid w:val="00947D2E"/>
    <w:rsid w:val="00947D31"/>
    <w:rsid w:val="00947D60"/>
    <w:rsid w:val="00947F37"/>
    <w:rsid w:val="0095022B"/>
    <w:rsid w:val="009502A7"/>
    <w:rsid w:val="009502C9"/>
    <w:rsid w:val="009502E5"/>
    <w:rsid w:val="00950367"/>
    <w:rsid w:val="0095043F"/>
    <w:rsid w:val="00950499"/>
    <w:rsid w:val="0095050A"/>
    <w:rsid w:val="0095052A"/>
    <w:rsid w:val="0095061C"/>
    <w:rsid w:val="00950624"/>
    <w:rsid w:val="0095064E"/>
    <w:rsid w:val="00950664"/>
    <w:rsid w:val="0095067F"/>
    <w:rsid w:val="00950795"/>
    <w:rsid w:val="00950892"/>
    <w:rsid w:val="009508DD"/>
    <w:rsid w:val="00950916"/>
    <w:rsid w:val="009509B8"/>
    <w:rsid w:val="00950A43"/>
    <w:rsid w:val="00950B57"/>
    <w:rsid w:val="00950BE3"/>
    <w:rsid w:val="00950C6B"/>
    <w:rsid w:val="00950CAD"/>
    <w:rsid w:val="00950D27"/>
    <w:rsid w:val="00950D69"/>
    <w:rsid w:val="00950DDE"/>
    <w:rsid w:val="00950DE6"/>
    <w:rsid w:val="00950E8E"/>
    <w:rsid w:val="00950EA1"/>
    <w:rsid w:val="00950ED1"/>
    <w:rsid w:val="00950F3F"/>
    <w:rsid w:val="00951044"/>
    <w:rsid w:val="0095113D"/>
    <w:rsid w:val="0095122B"/>
    <w:rsid w:val="009512CD"/>
    <w:rsid w:val="00951319"/>
    <w:rsid w:val="0095131F"/>
    <w:rsid w:val="0095136C"/>
    <w:rsid w:val="00951374"/>
    <w:rsid w:val="009513AD"/>
    <w:rsid w:val="00951433"/>
    <w:rsid w:val="009514CD"/>
    <w:rsid w:val="00951512"/>
    <w:rsid w:val="009517AB"/>
    <w:rsid w:val="009518C4"/>
    <w:rsid w:val="00951A20"/>
    <w:rsid w:val="00951AEC"/>
    <w:rsid w:val="00951B1D"/>
    <w:rsid w:val="00951C76"/>
    <w:rsid w:val="00951CD4"/>
    <w:rsid w:val="00951D0A"/>
    <w:rsid w:val="00951DE0"/>
    <w:rsid w:val="00951E47"/>
    <w:rsid w:val="00951E56"/>
    <w:rsid w:val="00951F46"/>
    <w:rsid w:val="00951FF5"/>
    <w:rsid w:val="00952233"/>
    <w:rsid w:val="0095238C"/>
    <w:rsid w:val="009523F4"/>
    <w:rsid w:val="0095246D"/>
    <w:rsid w:val="0095257A"/>
    <w:rsid w:val="00952583"/>
    <w:rsid w:val="00952591"/>
    <w:rsid w:val="00952635"/>
    <w:rsid w:val="0095266A"/>
    <w:rsid w:val="009526A6"/>
    <w:rsid w:val="009526C0"/>
    <w:rsid w:val="009527CB"/>
    <w:rsid w:val="009529E7"/>
    <w:rsid w:val="009529FB"/>
    <w:rsid w:val="00952A1B"/>
    <w:rsid w:val="00952A9D"/>
    <w:rsid w:val="00952B20"/>
    <w:rsid w:val="00952BCF"/>
    <w:rsid w:val="00952BF5"/>
    <w:rsid w:val="00952C3F"/>
    <w:rsid w:val="00952D08"/>
    <w:rsid w:val="00952EA0"/>
    <w:rsid w:val="00952F86"/>
    <w:rsid w:val="00952FFB"/>
    <w:rsid w:val="0095305C"/>
    <w:rsid w:val="009530E9"/>
    <w:rsid w:val="009531D0"/>
    <w:rsid w:val="009531F7"/>
    <w:rsid w:val="0095323D"/>
    <w:rsid w:val="00953387"/>
    <w:rsid w:val="009533D4"/>
    <w:rsid w:val="0095340E"/>
    <w:rsid w:val="00953427"/>
    <w:rsid w:val="00953470"/>
    <w:rsid w:val="009537F1"/>
    <w:rsid w:val="00953829"/>
    <w:rsid w:val="00953A54"/>
    <w:rsid w:val="00953F03"/>
    <w:rsid w:val="00953F10"/>
    <w:rsid w:val="00953F50"/>
    <w:rsid w:val="00953FD1"/>
    <w:rsid w:val="0095434A"/>
    <w:rsid w:val="00954386"/>
    <w:rsid w:val="009543CE"/>
    <w:rsid w:val="00954572"/>
    <w:rsid w:val="00954615"/>
    <w:rsid w:val="00954858"/>
    <w:rsid w:val="009548B3"/>
    <w:rsid w:val="009549BB"/>
    <w:rsid w:val="00954A5A"/>
    <w:rsid w:val="00954A99"/>
    <w:rsid w:val="00954BA6"/>
    <w:rsid w:val="00954C5B"/>
    <w:rsid w:val="00954CCB"/>
    <w:rsid w:val="00954D26"/>
    <w:rsid w:val="00954E67"/>
    <w:rsid w:val="00954E6A"/>
    <w:rsid w:val="00954EDD"/>
    <w:rsid w:val="00954F40"/>
    <w:rsid w:val="00955103"/>
    <w:rsid w:val="00955117"/>
    <w:rsid w:val="0095535E"/>
    <w:rsid w:val="009554D4"/>
    <w:rsid w:val="0095550F"/>
    <w:rsid w:val="009559C6"/>
    <w:rsid w:val="00955C18"/>
    <w:rsid w:val="00955DD4"/>
    <w:rsid w:val="00955DE1"/>
    <w:rsid w:val="00955DF8"/>
    <w:rsid w:val="00955E6F"/>
    <w:rsid w:val="00955E9C"/>
    <w:rsid w:val="00955F75"/>
    <w:rsid w:val="009560A3"/>
    <w:rsid w:val="00956119"/>
    <w:rsid w:val="0095611E"/>
    <w:rsid w:val="009563AA"/>
    <w:rsid w:val="009563B6"/>
    <w:rsid w:val="009564D1"/>
    <w:rsid w:val="00956527"/>
    <w:rsid w:val="0095659A"/>
    <w:rsid w:val="0095662B"/>
    <w:rsid w:val="00956672"/>
    <w:rsid w:val="00956682"/>
    <w:rsid w:val="00956769"/>
    <w:rsid w:val="009567A6"/>
    <w:rsid w:val="00956800"/>
    <w:rsid w:val="00956842"/>
    <w:rsid w:val="0095688E"/>
    <w:rsid w:val="00956895"/>
    <w:rsid w:val="009568BA"/>
    <w:rsid w:val="00956ABB"/>
    <w:rsid w:val="00956C2A"/>
    <w:rsid w:val="00956CF7"/>
    <w:rsid w:val="00956E05"/>
    <w:rsid w:val="00956E31"/>
    <w:rsid w:val="00956E39"/>
    <w:rsid w:val="00956EAB"/>
    <w:rsid w:val="00956F25"/>
    <w:rsid w:val="009571C9"/>
    <w:rsid w:val="00957280"/>
    <w:rsid w:val="00957362"/>
    <w:rsid w:val="009573AD"/>
    <w:rsid w:val="0095750D"/>
    <w:rsid w:val="00957751"/>
    <w:rsid w:val="009577AB"/>
    <w:rsid w:val="00957876"/>
    <w:rsid w:val="00957AAC"/>
    <w:rsid w:val="00957B61"/>
    <w:rsid w:val="00957C13"/>
    <w:rsid w:val="00957CB3"/>
    <w:rsid w:val="00957D4F"/>
    <w:rsid w:val="00957D6A"/>
    <w:rsid w:val="00957EE8"/>
    <w:rsid w:val="00957F3E"/>
    <w:rsid w:val="00960064"/>
    <w:rsid w:val="00960173"/>
    <w:rsid w:val="0096033C"/>
    <w:rsid w:val="0096037A"/>
    <w:rsid w:val="009603D2"/>
    <w:rsid w:val="0096044B"/>
    <w:rsid w:val="009604B1"/>
    <w:rsid w:val="0096059F"/>
    <w:rsid w:val="009605D1"/>
    <w:rsid w:val="009605EC"/>
    <w:rsid w:val="009605EE"/>
    <w:rsid w:val="0096068F"/>
    <w:rsid w:val="009608F2"/>
    <w:rsid w:val="00960A60"/>
    <w:rsid w:val="00960B12"/>
    <w:rsid w:val="00960B20"/>
    <w:rsid w:val="00960B9D"/>
    <w:rsid w:val="00960C16"/>
    <w:rsid w:val="00960CA0"/>
    <w:rsid w:val="00960EF1"/>
    <w:rsid w:val="009611FA"/>
    <w:rsid w:val="009613E5"/>
    <w:rsid w:val="009613EF"/>
    <w:rsid w:val="00961450"/>
    <w:rsid w:val="0096152E"/>
    <w:rsid w:val="00961673"/>
    <w:rsid w:val="009616BB"/>
    <w:rsid w:val="0096189D"/>
    <w:rsid w:val="009618AF"/>
    <w:rsid w:val="009618ED"/>
    <w:rsid w:val="00961949"/>
    <w:rsid w:val="00961B56"/>
    <w:rsid w:val="00961BEF"/>
    <w:rsid w:val="00961CB1"/>
    <w:rsid w:val="00961E19"/>
    <w:rsid w:val="00961E2B"/>
    <w:rsid w:val="0096206D"/>
    <w:rsid w:val="00962197"/>
    <w:rsid w:val="009621FD"/>
    <w:rsid w:val="00962248"/>
    <w:rsid w:val="0096227E"/>
    <w:rsid w:val="009622F5"/>
    <w:rsid w:val="00962428"/>
    <w:rsid w:val="00962634"/>
    <w:rsid w:val="0096272C"/>
    <w:rsid w:val="00962BA6"/>
    <w:rsid w:val="00962C29"/>
    <w:rsid w:val="00962C57"/>
    <w:rsid w:val="00962CCA"/>
    <w:rsid w:val="00962DC9"/>
    <w:rsid w:val="00962F93"/>
    <w:rsid w:val="00963013"/>
    <w:rsid w:val="00963034"/>
    <w:rsid w:val="0096305E"/>
    <w:rsid w:val="009630ED"/>
    <w:rsid w:val="00963165"/>
    <w:rsid w:val="00963195"/>
    <w:rsid w:val="009631F3"/>
    <w:rsid w:val="00963497"/>
    <w:rsid w:val="00963517"/>
    <w:rsid w:val="0096354C"/>
    <w:rsid w:val="0096373C"/>
    <w:rsid w:val="00963798"/>
    <w:rsid w:val="009637CA"/>
    <w:rsid w:val="009637EB"/>
    <w:rsid w:val="00963912"/>
    <w:rsid w:val="009639AB"/>
    <w:rsid w:val="00963AA0"/>
    <w:rsid w:val="00963AFF"/>
    <w:rsid w:val="00963B88"/>
    <w:rsid w:val="00963C3F"/>
    <w:rsid w:val="00963CF1"/>
    <w:rsid w:val="00963D13"/>
    <w:rsid w:val="00963D1D"/>
    <w:rsid w:val="00963D41"/>
    <w:rsid w:val="00963E07"/>
    <w:rsid w:val="00963FC3"/>
    <w:rsid w:val="00963FDC"/>
    <w:rsid w:val="009640CB"/>
    <w:rsid w:val="0096430C"/>
    <w:rsid w:val="0096434B"/>
    <w:rsid w:val="009643B6"/>
    <w:rsid w:val="0096443F"/>
    <w:rsid w:val="00964495"/>
    <w:rsid w:val="00964696"/>
    <w:rsid w:val="00964818"/>
    <w:rsid w:val="00964B20"/>
    <w:rsid w:val="00964B29"/>
    <w:rsid w:val="00964B48"/>
    <w:rsid w:val="00964C32"/>
    <w:rsid w:val="00964C52"/>
    <w:rsid w:val="00964D55"/>
    <w:rsid w:val="00964DB1"/>
    <w:rsid w:val="00964DC8"/>
    <w:rsid w:val="00964F23"/>
    <w:rsid w:val="00964F64"/>
    <w:rsid w:val="009650CF"/>
    <w:rsid w:val="00965114"/>
    <w:rsid w:val="0096522C"/>
    <w:rsid w:val="0096533C"/>
    <w:rsid w:val="00965398"/>
    <w:rsid w:val="009655DF"/>
    <w:rsid w:val="00965618"/>
    <w:rsid w:val="009656B4"/>
    <w:rsid w:val="009657B2"/>
    <w:rsid w:val="00965854"/>
    <w:rsid w:val="00965A78"/>
    <w:rsid w:val="00965B4A"/>
    <w:rsid w:val="00965BB1"/>
    <w:rsid w:val="00965D96"/>
    <w:rsid w:val="00965F6E"/>
    <w:rsid w:val="00966045"/>
    <w:rsid w:val="009660C2"/>
    <w:rsid w:val="0096629A"/>
    <w:rsid w:val="0096629B"/>
    <w:rsid w:val="009662B1"/>
    <w:rsid w:val="00966446"/>
    <w:rsid w:val="009664BC"/>
    <w:rsid w:val="009664C6"/>
    <w:rsid w:val="009665BF"/>
    <w:rsid w:val="00966671"/>
    <w:rsid w:val="009667DE"/>
    <w:rsid w:val="00966C03"/>
    <w:rsid w:val="00966CD3"/>
    <w:rsid w:val="00966D2E"/>
    <w:rsid w:val="00966DEF"/>
    <w:rsid w:val="0096717B"/>
    <w:rsid w:val="00967196"/>
    <w:rsid w:val="00967320"/>
    <w:rsid w:val="0096733E"/>
    <w:rsid w:val="0096751C"/>
    <w:rsid w:val="00967646"/>
    <w:rsid w:val="009676C3"/>
    <w:rsid w:val="0096775E"/>
    <w:rsid w:val="0096785F"/>
    <w:rsid w:val="009678C2"/>
    <w:rsid w:val="00967937"/>
    <w:rsid w:val="00967948"/>
    <w:rsid w:val="00967962"/>
    <w:rsid w:val="009679F5"/>
    <w:rsid w:val="00967AF0"/>
    <w:rsid w:val="00967AF5"/>
    <w:rsid w:val="00967BC5"/>
    <w:rsid w:val="00967D98"/>
    <w:rsid w:val="00967E87"/>
    <w:rsid w:val="00967F16"/>
    <w:rsid w:val="0097013A"/>
    <w:rsid w:val="0097020A"/>
    <w:rsid w:val="00970299"/>
    <w:rsid w:val="00970410"/>
    <w:rsid w:val="00970565"/>
    <w:rsid w:val="00970576"/>
    <w:rsid w:val="00970638"/>
    <w:rsid w:val="0097063B"/>
    <w:rsid w:val="0097076E"/>
    <w:rsid w:val="00970843"/>
    <w:rsid w:val="00970870"/>
    <w:rsid w:val="00970AAF"/>
    <w:rsid w:val="00970ADF"/>
    <w:rsid w:val="00970AEF"/>
    <w:rsid w:val="00970DAA"/>
    <w:rsid w:val="00970E7E"/>
    <w:rsid w:val="009710AE"/>
    <w:rsid w:val="0097112B"/>
    <w:rsid w:val="009712A3"/>
    <w:rsid w:val="00971511"/>
    <w:rsid w:val="00971706"/>
    <w:rsid w:val="009717D8"/>
    <w:rsid w:val="00971CAA"/>
    <w:rsid w:val="00971D96"/>
    <w:rsid w:val="00972089"/>
    <w:rsid w:val="009720B1"/>
    <w:rsid w:val="009720FF"/>
    <w:rsid w:val="0097216F"/>
    <w:rsid w:val="009721D1"/>
    <w:rsid w:val="00972293"/>
    <w:rsid w:val="0097239B"/>
    <w:rsid w:val="009723C9"/>
    <w:rsid w:val="00972645"/>
    <w:rsid w:val="009726D5"/>
    <w:rsid w:val="009727CB"/>
    <w:rsid w:val="00972810"/>
    <w:rsid w:val="00972847"/>
    <w:rsid w:val="0097285E"/>
    <w:rsid w:val="00972892"/>
    <w:rsid w:val="009728E3"/>
    <w:rsid w:val="00972909"/>
    <w:rsid w:val="00972AC1"/>
    <w:rsid w:val="00972BD2"/>
    <w:rsid w:val="00972C31"/>
    <w:rsid w:val="00972C8F"/>
    <w:rsid w:val="00972C96"/>
    <w:rsid w:val="00972CE0"/>
    <w:rsid w:val="00972CEE"/>
    <w:rsid w:val="00972D28"/>
    <w:rsid w:val="00972D65"/>
    <w:rsid w:val="00972D88"/>
    <w:rsid w:val="00972DA0"/>
    <w:rsid w:val="00972E28"/>
    <w:rsid w:val="00972E95"/>
    <w:rsid w:val="00972F1B"/>
    <w:rsid w:val="0097307E"/>
    <w:rsid w:val="009730F5"/>
    <w:rsid w:val="0097318F"/>
    <w:rsid w:val="00973274"/>
    <w:rsid w:val="009733F1"/>
    <w:rsid w:val="00973427"/>
    <w:rsid w:val="0097357B"/>
    <w:rsid w:val="00973627"/>
    <w:rsid w:val="0097374B"/>
    <w:rsid w:val="009738E0"/>
    <w:rsid w:val="00973938"/>
    <w:rsid w:val="0097394E"/>
    <w:rsid w:val="009739ED"/>
    <w:rsid w:val="00973AC7"/>
    <w:rsid w:val="00973AE9"/>
    <w:rsid w:val="00973B2B"/>
    <w:rsid w:val="00973BFA"/>
    <w:rsid w:val="00973C77"/>
    <w:rsid w:val="00973C97"/>
    <w:rsid w:val="00973CB3"/>
    <w:rsid w:val="00973DE0"/>
    <w:rsid w:val="00973ED9"/>
    <w:rsid w:val="00973F40"/>
    <w:rsid w:val="00973F86"/>
    <w:rsid w:val="00974015"/>
    <w:rsid w:val="0097402C"/>
    <w:rsid w:val="00974066"/>
    <w:rsid w:val="00974308"/>
    <w:rsid w:val="00974400"/>
    <w:rsid w:val="00974473"/>
    <w:rsid w:val="009747BB"/>
    <w:rsid w:val="00974A2F"/>
    <w:rsid w:val="00974A3F"/>
    <w:rsid w:val="00974B2D"/>
    <w:rsid w:val="00974B33"/>
    <w:rsid w:val="00974B3D"/>
    <w:rsid w:val="00974B91"/>
    <w:rsid w:val="00974BFC"/>
    <w:rsid w:val="00974DC0"/>
    <w:rsid w:val="00974EF8"/>
    <w:rsid w:val="00974FB6"/>
    <w:rsid w:val="00975001"/>
    <w:rsid w:val="009750DC"/>
    <w:rsid w:val="00975226"/>
    <w:rsid w:val="00975370"/>
    <w:rsid w:val="009753ED"/>
    <w:rsid w:val="00975423"/>
    <w:rsid w:val="00975425"/>
    <w:rsid w:val="009754AA"/>
    <w:rsid w:val="009755AE"/>
    <w:rsid w:val="00975613"/>
    <w:rsid w:val="009756BD"/>
    <w:rsid w:val="00975AD4"/>
    <w:rsid w:val="00975B44"/>
    <w:rsid w:val="00975C04"/>
    <w:rsid w:val="00975CAF"/>
    <w:rsid w:val="00975DE0"/>
    <w:rsid w:val="00976058"/>
    <w:rsid w:val="0097613C"/>
    <w:rsid w:val="00976279"/>
    <w:rsid w:val="009764B6"/>
    <w:rsid w:val="00976954"/>
    <w:rsid w:val="00976990"/>
    <w:rsid w:val="009769D5"/>
    <w:rsid w:val="00976A03"/>
    <w:rsid w:val="00976A45"/>
    <w:rsid w:val="00976A75"/>
    <w:rsid w:val="00976B26"/>
    <w:rsid w:val="00976B29"/>
    <w:rsid w:val="00976B65"/>
    <w:rsid w:val="00976BD2"/>
    <w:rsid w:val="00976E39"/>
    <w:rsid w:val="00976E7C"/>
    <w:rsid w:val="00976EAD"/>
    <w:rsid w:val="00977000"/>
    <w:rsid w:val="00977042"/>
    <w:rsid w:val="009770EA"/>
    <w:rsid w:val="0097714E"/>
    <w:rsid w:val="0097737F"/>
    <w:rsid w:val="00977517"/>
    <w:rsid w:val="009777FF"/>
    <w:rsid w:val="00977930"/>
    <w:rsid w:val="009779BE"/>
    <w:rsid w:val="00977A55"/>
    <w:rsid w:val="00977C05"/>
    <w:rsid w:val="00977C1C"/>
    <w:rsid w:val="00977FCF"/>
    <w:rsid w:val="00977FF7"/>
    <w:rsid w:val="00980030"/>
    <w:rsid w:val="00980087"/>
    <w:rsid w:val="0098016C"/>
    <w:rsid w:val="009801EB"/>
    <w:rsid w:val="00980220"/>
    <w:rsid w:val="0098035D"/>
    <w:rsid w:val="009803BE"/>
    <w:rsid w:val="00980556"/>
    <w:rsid w:val="009805DF"/>
    <w:rsid w:val="00980648"/>
    <w:rsid w:val="009806A1"/>
    <w:rsid w:val="009807CF"/>
    <w:rsid w:val="009807D6"/>
    <w:rsid w:val="009807F1"/>
    <w:rsid w:val="00980846"/>
    <w:rsid w:val="009808F3"/>
    <w:rsid w:val="0098095D"/>
    <w:rsid w:val="009809B3"/>
    <w:rsid w:val="00980B2C"/>
    <w:rsid w:val="00980B2F"/>
    <w:rsid w:val="00980C5D"/>
    <w:rsid w:val="00980C89"/>
    <w:rsid w:val="00980CD9"/>
    <w:rsid w:val="00980F2C"/>
    <w:rsid w:val="00981006"/>
    <w:rsid w:val="00981079"/>
    <w:rsid w:val="009812BE"/>
    <w:rsid w:val="0098139F"/>
    <w:rsid w:val="009813AB"/>
    <w:rsid w:val="00981485"/>
    <w:rsid w:val="00981497"/>
    <w:rsid w:val="00981503"/>
    <w:rsid w:val="00981541"/>
    <w:rsid w:val="00981608"/>
    <w:rsid w:val="00981611"/>
    <w:rsid w:val="00981656"/>
    <w:rsid w:val="00981657"/>
    <w:rsid w:val="009816FC"/>
    <w:rsid w:val="0098171C"/>
    <w:rsid w:val="009817EF"/>
    <w:rsid w:val="00981ADD"/>
    <w:rsid w:val="00981B6E"/>
    <w:rsid w:val="00981CC3"/>
    <w:rsid w:val="00981D38"/>
    <w:rsid w:val="00981E92"/>
    <w:rsid w:val="00982077"/>
    <w:rsid w:val="009822C7"/>
    <w:rsid w:val="0098242E"/>
    <w:rsid w:val="009825A5"/>
    <w:rsid w:val="009825DA"/>
    <w:rsid w:val="0098281C"/>
    <w:rsid w:val="0098283F"/>
    <w:rsid w:val="009829EA"/>
    <w:rsid w:val="00982AA0"/>
    <w:rsid w:val="00982AA1"/>
    <w:rsid w:val="00982AC8"/>
    <w:rsid w:val="00982AE8"/>
    <w:rsid w:val="00982B3D"/>
    <w:rsid w:val="00982CE2"/>
    <w:rsid w:val="00982D85"/>
    <w:rsid w:val="00982DB6"/>
    <w:rsid w:val="00982ECA"/>
    <w:rsid w:val="00982FBB"/>
    <w:rsid w:val="0098300B"/>
    <w:rsid w:val="0098301B"/>
    <w:rsid w:val="00983078"/>
    <w:rsid w:val="009831FD"/>
    <w:rsid w:val="00983298"/>
    <w:rsid w:val="009832C7"/>
    <w:rsid w:val="00983391"/>
    <w:rsid w:val="00983399"/>
    <w:rsid w:val="00983409"/>
    <w:rsid w:val="0098348E"/>
    <w:rsid w:val="009835B4"/>
    <w:rsid w:val="00983738"/>
    <w:rsid w:val="009838F8"/>
    <w:rsid w:val="0098394F"/>
    <w:rsid w:val="00983C61"/>
    <w:rsid w:val="00983E5E"/>
    <w:rsid w:val="00983E99"/>
    <w:rsid w:val="00983F41"/>
    <w:rsid w:val="00983FB6"/>
    <w:rsid w:val="0098401B"/>
    <w:rsid w:val="00984073"/>
    <w:rsid w:val="009840E4"/>
    <w:rsid w:val="00984386"/>
    <w:rsid w:val="00984457"/>
    <w:rsid w:val="009844BE"/>
    <w:rsid w:val="0098454B"/>
    <w:rsid w:val="009845A6"/>
    <w:rsid w:val="009845DA"/>
    <w:rsid w:val="00984773"/>
    <w:rsid w:val="0098480F"/>
    <w:rsid w:val="00984842"/>
    <w:rsid w:val="00984864"/>
    <w:rsid w:val="009849D1"/>
    <w:rsid w:val="009849F4"/>
    <w:rsid w:val="00984A56"/>
    <w:rsid w:val="00984A72"/>
    <w:rsid w:val="00984BC1"/>
    <w:rsid w:val="00984BFA"/>
    <w:rsid w:val="00984ED4"/>
    <w:rsid w:val="00984F07"/>
    <w:rsid w:val="00984F2E"/>
    <w:rsid w:val="0098511B"/>
    <w:rsid w:val="0098526E"/>
    <w:rsid w:val="0098531F"/>
    <w:rsid w:val="0098539F"/>
    <w:rsid w:val="009853B3"/>
    <w:rsid w:val="0098544E"/>
    <w:rsid w:val="0098560F"/>
    <w:rsid w:val="00985726"/>
    <w:rsid w:val="00985754"/>
    <w:rsid w:val="00985769"/>
    <w:rsid w:val="00985772"/>
    <w:rsid w:val="009857EE"/>
    <w:rsid w:val="00985A48"/>
    <w:rsid w:val="00985A66"/>
    <w:rsid w:val="00985A7F"/>
    <w:rsid w:val="00985C19"/>
    <w:rsid w:val="00985DBC"/>
    <w:rsid w:val="00985EF8"/>
    <w:rsid w:val="00985EFF"/>
    <w:rsid w:val="00985F8F"/>
    <w:rsid w:val="00986041"/>
    <w:rsid w:val="0098605C"/>
    <w:rsid w:val="00986086"/>
    <w:rsid w:val="00986479"/>
    <w:rsid w:val="009867B9"/>
    <w:rsid w:val="00986800"/>
    <w:rsid w:val="00986904"/>
    <w:rsid w:val="00986969"/>
    <w:rsid w:val="009869FB"/>
    <w:rsid w:val="00986B2D"/>
    <w:rsid w:val="00986DCE"/>
    <w:rsid w:val="00986E17"/>
    <w:rsid w:val="00986F80"/>
    <w:rsid w:val="00986F82"/>
    <w:rsid w:val="009872E8"/>
    <w:rsid w:val="00987556"/>
    <w:rsid w:val="009875DB"/>
    <w:rsid w:val="009875E1"/>
    <w:rsid w:val="00987755"/>
    <w:rsid w:val="00987B58"/>
    <w:rsid w:val="00987C06"/>
    <w:rsid w:val="00987D15"/>
    <w:rsid w:val="00987DF1"/>
    <w:rsid w:val="00987FB7"/>
    <w:rsid w:val="00990024"/>
    <w:rsid w:val="0099006A"/>
    <w:rsid w:val="009900B3"/>
    <w:rsid w:val="009900F9"/>
    <w:rsid w:val="0099023A"/>
    <w:rsid w:val="00990259"/>
    <w:rsid w:val="009906DF"/>
    <w:rsid w:val="009906EA"/>
    <w:rsid w:val="0099077B"/>
    <w:rsid w:val="0099083D"/>
    <w:rsid w:val="009908BF"/>
    <w:rsid w:val="009909FF"/>
    <w:rsid w:val="00990D66"/>
    <w:rsid w:val="00990D84"/>
    <w:rsid w:val="00990E8C"/>
    <w:rsid w:val="00990EBE"/>
    <w:rsid w:val="00990F6F"/>
    <w:rsid w:val="00990FA9"/>
    <w:rsid w:val="00991048"/>
    <w:rsid w:val="009911A3"/>
    <w:rsid w:val="009911DD"/>
    <w:rsid w:val="009912EE"/>
    <w:rsid w:val="00991318"/>
    <w:rsid w:val="00991376"/>
    <w:rsid w:val="00991403"/>
    <w:rsid w:val="00991421"/>
    <w:rsid w:val="00991459"/>
    <w:rsid w:val="0099145F"/>
    <w:rsid w:val="009914F8"/>
    <w:rsid w:val="0099158A"/>
    <w:rsid w:val="00991642"/>
    <w:rsid w:val="00991744"/>
    <w:rsid w:val="009917E8"/>
    <w:rsid w:val="0099182A"/>
    <w:rsid w:val="00991903"/>
    <w:rsid w:val="0099198E"/>
    <w:rsid w:val="00991AE8"/>
    <w:rsid w:val="00991B23"/>
    <w:rsid w:val="00991BED"/>
    <w:rsid w:val="00991C3F"/>
    <w:rsid w:val="00991E67"/>
    <w:rsid w:val="00991F02"/>
    <w:rsid w:val="0099204B"/>
    <w:rsid w:val="00992135"/>
    <w:rsid w:val="00992254"/>
    <w:rsid w:val="00992406"/>
    <w:rsid w:val="00992545"/>
    <w:rsid w:val="00992677"/>
    <w:rsid w:val="009926C0"/>
    <w:rsid w:val="009928BD"/>
    <w:rsid w:val="00992970"/>
    <w:rsid w:val="00992C9F"/>
    <w:rsid w:val="00992E49"/>
    <w:rsid w:val="00992F89"/>
    <w:rsid w:val="00992FA8"/>
    <w:rsid w:val="00993179"/>
    <w:rsid w:val="00993333"/>
    <w:rsid w:val="009935D0"/>
    <w:rsid w:val="009936C9"/>
    <w:rsid w:val="00993773"/>
    <w:rsid w:val="009937B7"/>
    <w:rsid w:val="0099381D"/>
    <w:rsid w:val="00993A30"/>
    <w:rsid w:val="00993A63"/>
    <w:rsid w:val="00993AC0"/>
    <w:rsid w:val="00993B3B"/>
    <w:rsid w:val="00993B9F"/>
    <w:rsid w:val="00993C67"/>
    <w:rsid w:val="00993D10"/>
    <w:rsid w:val="00993F36"/>
    <w:rsid w:val="00994094"/>
    <w:rsid w:val="009944B9"/>
    <w:rsid w:val="009944F1"/>
    <w:rsid w:val="00994659"/>
    <w:rsid w:val="00994707"/>
    <w:rsid w:val="00994C15"/>
    <w:rsid w:val="00994C7C"/>
    <w:rsid w:val="00994DD9"/>
    <w:rsid w:val="0099500F"/>
    <w:rsid w:val="00995058"/>
    <w:rsid w:val="0099514F"/>
    <w:rsid w:val="00995233"/>
    <w:rsid w:val="009952A3"/>
    <w:rsid w:val="009952E2"/>
    <w:rsid w:val="00995332"/>
    <w:rsid w:val="00995443"/>
    <w:rsid w:val="009954B9"/>
    <w:rsid w:val="00995AA0"/>
    <w:rsid w:val="00995AA6"/>
    <w:rsid w:val="00995AFC"/>
    <w:rsid w:val="00995B75"/>
    <w:rsid w:val="00995D10"/>
    <w:rsid w:val="009960A4"/>
    <w:rsid w:val="0099632F"/>
    <w:rsid w:val="00996397"/>
    <w:rsid w:val="00996445"/>
    <w:rsid w:val="0099656F"/>
    <w:rsid w:val="00996625"/>
    <w:rsid w:val="009966BE"/>
    <w:rsid w:val="0099688E"/>
    <w:rsid w:val="009968B9"/>
    <w:rsid w:val="009968D1"/>
    <w:rsid w:val="009969BC"/>
    <w:rsid w:val="00996B89"/>
    <w:rsid w:val="00996B8F"/>
    <w:rsid w:val="00996CE7"/>
    <w:rsid w:val="00996D46"/>
    <w:rsid w:val="00996DA3"/>
    <w:rsid w:val="00996DE1"/>
    <w:rsid w:val="00996E56"/>
    <w:rsid w:val="00996EA3"/>
    <w:rsid w:val="00997053"/>
    <w:rsid w:val="00997087"/>
    <w:rsid w:val="0099728D"/>
    <w:rsid w:val="0099738B"/>
    <w:rsid w:val="009973B7"/>
    <w:rsid w:val="00997469"/>
    <w:rsid w:val="009974FE"/>
    <w:rsid w:val="0099759A"/>
    <w:rsid w:val="00997700"/>
    <w:rsid w:val="0099776A"/>
    <w:rsid w:val="00997CAE"/>
    <w:rsid w:val="00997CE2"/>
    <w:rsid w:val="00997E01"/>
    <w:rsid w:val="00997E82"/>
    <w:rsid w:val="00997E96"/>
    <w:rsid w:val="00997EC8"/>
    <w:rsid w:val="00997F87"/>
    <w:rsid w:val="009A011F"/>
    <w:rsid w:val="009A0185"/>
    <w:rsid w:val="009A0309"/>
    <w:rsid w:val="009A069E"/>
    <w:rsid w:val="009A06F5"/>
    <w:rsid w:val="009A0773"/>
    <w:rsid w:val="009A0775"/>
    <w:rsid w:val="009A07AD"/>
    <w:rsid w:val="009A07F2"/>
    <w:rsid w:val="009A08B5"/>
    <w:rsid w:val="009A096C"/>
    <w:rsid w:val="009A0B15"/>
    <w:rsid w:val="009A0C37"/>
    <w:rsid w:val="009A0C7F"/>
    <w:rsid w:val="009A0D12"/>
    <w:rsid w:val="009A0D58"/>
    <w:rsid w:val="009A0E11"/>
    <w:rsid w:val="009A0E42"/>
    <w:rsid w:val="009A0E80"/>
    <w:rsid w:val="009A0EDA"/>
    <w:rsid w:val="009A0F63"/>
    <w:rsid w:val="009A0FA0"/>
    <w:rsid w:val="009A0FC0"/>
    <w:rsid w:val="009A0FFC"/>
    <w:rsid w:val="009A11A6"/>
    <w:rsid w:val="009A1269"/>
    <w:rsid w:val="009A1350"/>
    <w:rsid w:val="009A1356"/>
    <w:rsid w:val="009A1390"/>
    <w:rsid w:val="009A13FB"/>
    <w:rsid w:val="009A143C"/>
    <w:rsid w:val="009A146D"/>
    <w:rsid w:val="009A15DC"/>
    <w:rsid w:val="009A16FF"/>
    <w:rsid w:val="009A1729"/>
    <w:rsid w:val="009A1784"/>
    <w:rsid w:val="009A17C2"/>
    <w:rsid w:val="009A1806"/>
    <w:rsid w:val="009A183F"/>
    <w:rsid w:val="009A19A9"/>
    <w:rsid w:val="009A19FC"/>
    <w:rsid w:val="009A1A73"/>
    <w:rsid w:val="009A1A99"/>
    <w:rsid w:val="009A1AA6"/>
    <w:rsid w:val="009A1ABD"/>
    <w:rsid w:val="009A1AF7"/>
    <w:rsid w:val="009A1B7C"/>
    <w:rsid w:val="009A1C59"/>
    <w:rsid w:val="009A1C6E"/>
    <w:rsid w:val="009A1D56"/>
    <w:rsid w:val="009A1DD3"/>
    <w:rsid w:val="009A1F35"/>
    <w:rsid w:val="009A2157"/>
    <w:rsid w:val="009A228A"/>
    <w:rsid w:val="009A23DB"/>
    <w:rsid w:val="009A248F"/>
    <w:rsid w:val="009A24FC"/>
    <w:rsid w:val="009A2628"/>
    <w:rsid w:val="009A26A9"/>
    <w:rsid w:val="009A271D"/>
    <w:rsid w:val="009A2758"/>
    <w:rsid w:val="009A27F7"/>
    <w:rsid w:val="009A285C"/>
    <w:rsid w:val="009A28A5"/>
    <w:rsid w:val="009A294E"/>
    <w:rsid w:val="009A2AC0"/>
    <w:rsid w:val="009A2BFD"/>
    <w:rsid w:val="009A2D83"/>
    <w:rsid w:val="009A2E55"/>
    <w:rsid w:val="009A2E9E"/>
    <w:rsid w:val="009A2F47"/>
    <w:rsid w:val="009A2FE9"/>
    <w:rsid w:val="009A3036"/>
    <w:rsid w:val="009A3224"/>
    <w:rsid w:val="009A3356"/>
    <w:rsid w:val="009A3385"/>
    <w:rsid w:val="009A33CE"/>
    <w:rsid w:val="009A33FD"/>
    <w:rsid w:val="009A3582"/>
    <w:rsid w:val="009A3623"/>
    <w:rsid w:val="009A36A5"/>
    <w:rsid w:val="009A36B5"/>
    <w:rsid w:val="009A3733"/>
    <w:rsid w:val="009A396D"/>
    <w:rsid w:val="009A39FC"/>
    <w:rsid w:val="009A3A8B"/>
    <w:rsid w:val="009A3C0D"/>
    <w:rsid w:val="009A3C13"/>
    <w:rsid w:val="009A3C3F"/>
    <w:rsid w:val="009A3C45"/>
    <w:rsid w:val="009A3F21"/>
    <w:rsid w:val="009A4214"/>
    <w:rsid w:val="009A4338"/>
    <w:rsid w:val="009A43F2"/>
    <w:rsid w:val="009A45C0"/>
    <w:rsid w:val="009A45DC"/>
    <w:rsid w:val="009A45E5"/>
    <w:rsid w:val="009A4638"/>
    <w:rsid w:val="009A479B"/>
    <w:rsid w:val="009A482C"/>
    <w:rsid w:val="009A48A1"/>
    <w:rsid w:val="009A4937"/>
    <w:rsid w:val="009A49C3"/>
    <w:rsid w:val="009A4A0E"/>
    <w:rsid w:val="009A4A1F"/>
    <w:rsid w:val="009A4B10"/>
    <w:rsid w:val="009A4C02"/>
    <w:rsid w:val="009A4C44"/>
    <w:rsid w:val="009A4D27"/>
    <w:rsid w:val="009A4F3F"/>
    <w:rsid w:val="009A4F72"/>
    <w:rsid w:val="009A4F8F"/>
    <w:rsid w:val="009A4FEC"/>
    <w:rsid w:val="009A502E"/>
    <w:rsid w:val="009A5144"/>
    <w:rsid w:val="009A51B4"/>
    <w:rsid w:val="009A5280"/>
    <w:rsid w:val="009A55AB"/>
    <w:rsid w:val="009A5652"/>
    <w:rsid w:val="009A5661"/>
    <w:rsid w:val="009A56A2"/>
    <w:rsid w:val="009A56BE"/>
    <w:rsid w:val="009A56C7"/>
    <w:rsid w:val="009A56CF"/>
    <w:rsid w:val="009A56F2"/>
    <w:rsid w:val="009A56FB"/>
    <w:rsid w:val="009A5814"/>
    <w:rsid w:val="009A5817"/>
    <w:rsid w:val="009A5938"/>
    <w:rsid w:val="009A59A6"/>
    <w:rsid w:val="009A5A50"/>
    <w:rsid w:val="009A5B4D"/>
    <w:rsid w:val="009A5BDB"/>
    <w:rsid w:val="009A5C59"/>
    <w:rsid w:val="009A5D8A"/>
    <w:rsid w:val="009A5E3E"/>
    <w:rsid w:val="009A5F4C"/>
    <w:rsid w:val="009A5F95"/>
    <w:rsid w:val="009A5FBC"/>
    <w:rsid w:val="009A5FDC"/>
    <w:rsid w:val="009A6071"/>
    <w:rsid w:val="009A60F2"/>
    <w:rsid w:val="009A6142"/>
    <w:rsid w:val="009A61D6"/>
    <w:rsid w:val="009A64E1"/>
    <w:rsid w:val="009A656E"/>
    <w:rsid w:val="009A65E5"/>
    <w:rsid w:val="009A6655"/>
    <w:rsid w:val="009A66CA"/>
    <w:rsid w:val="009A66DB"/>
    <w:rsid w:val="009A6802"/>
    <w:rsid w:val="009A6810"/>
    <w:rsid w:val="009A68C6"/>
    <w:rsid w:val="009A6D93"/>
    <w:rsid w:val="009A6EF6"/>
    <w:rsid w:val="009A6F3D"/>
    <w:rsid w:val="009A6F63"/>
    <w:rsid w:val="009A7092"/>
    <w:rsid w:val="009A7252"/>
    <w:rsid w:val="009A732B"/>
    <w:rsid w:val="009A7366"/>
    <w:rsid w:val="009A738C"/>
    <w:rsid w:val="009A745E"/>
    <w:rsid w:val="009A74A3"/>
    <w:rsid w:val="009A75F4"/>
    <w:rsid w:val="009A7610"/>
    <w:rsid w:val="009A768E"/>
    <w:rsid w:val="009A76A1"/>
    <w:rsid w:val="009A77DE"/>
    <w:rsid w:val="009A782A"/>
    <w:rsid w:val="009A79FB"/>
    <w:rsid w:val="009A7B07"/>
    <w:rsid w:val="009A7B94"/>
    <w:rsid w:val="009A7C3D"/>
    <w:rsid w:val="009A7C5A"/>
    <w:rsid w:val="009A7F16"/>
    <w:rsid w:val="009A7F51"/>
    <w:rsid w:val="009A7FE2"/>
    <w:rsid w:val="009A7FFA"/>
    <w:rsid w:val="009B0089"/>
    <w:rsid w:val="009B00AB"/>
    <w:rsid w:val="009B0114"/>
    <w:rsid w:val="009B0248"/>
    <w:rsid w:val="009B02AB"/>
    <w:rsid w:val="009B035A"/>
    <w:rsid w:val="009B0432"/>
    <w:rsid w:val="009B043A"/>
    <w:rsid w:val="009B04BC"/>
    <w:rsid w:val="009B05CA"/>
    <w:rsid w:val="009B062C"/>
    <w:rsid w:val="009B0847"/>
    <w:rsid w:val="009B09DB"/>
    <w:rsid w:val="009B0AAE"/>
    <w:rsid w:val="009B0B48"/>
    <w:rsid w:val="009B0B78"/>
    <w:rsid w:val="009B0C53"/>
    <w:rsid w:val="009B0DC0"/>
    <w:rsid w:val="009B0EB6"/>
    <w:rsid w:val="009B0ECB"/>
    <w:rsid w:val="009B1083"/>
    <w:rsid w:val="009B114E"/>
    <w:rsid w:val="009B1172"/>
    <w:rsid w:val="009B129E"/>
    <w:rsid w:val="009B14B3"/>
    <w:rsid w:val="009B1670"/>
    <w:rsid w:val="009B170A"/>
    <w:rsid w:val="009B178C"/>
    <w:rsid w:val="009B1874"/>
    <w:rsid w:val="009B1956"/>
    <w:rsid w:val="009B1A7B"/>
    <w:rsid w:val="009B1AC7"/>
    <w:rsid w:val="009B1CAE"/>
    <w:rsid w:val="009B1CF0"/>
    <w:rsid w:val="009B1E21"/>
    <w:rsid w:val="009B1E59"/>
    <w:rsid w:val="009B1E9F"/>
    <w:rsid w:val="009B1F0D"/>
    <w:rsid w:val="009B2055"/>
    <w:rsid w:val="009B20C1"/>
    <w:rsid w:val="009B2112"/>
    <w:rsid w:val="009B2473"/>
    <w:rsid w:val="009B24AE"/>
    <w:rsid w:val="009B24E8"/>
    <w:rsid w:val="009B25E8"/>
    <w:rsid w:val="009B275F"/>
    <w:rsid w:val="009B278B"/>
    <w:rsid w:val="009B278C"/>
    <w:rsid w:val="009B2798"/>
    <w:rsid w:val="009B27B1"/>
    <w:rsid w:val="009B27B6"/>
    <w:rsid w:val="009B2894"/>
    <w:rsid w:val="009B297E"/>
    <w:rsid w:val="009B2B38"/>
    <w:rsid w:val="009B2C12"/>
    <w:rsid w:val="009B2CB8"/>
    <w:rsid w:val="009B2ECE"/>
    <w:rsid w:val="009B2F5D"/>
    <w:rsid w:val="009B2FEF"/>
    <w:rsid w:val="009B300A"/>
    <w:rsid w:val="009B31A5"/>
    <w:rsid w:val="009B34C3"/>
    <w:rsid w:val="009B3602"/>
    <w:rsid w:val="009B3632"/>
    <w:rsid w:val="009B3A35"/>
    <w:rsid w:val="009B3B1C"/>
    <w:rsid w:val="009B3B44"/>
    <w:rsid w:val="009B3CAB"/>
    <w:rsid w:val="009B3CBF"/>
    <w:rsid w:val="009B3DEC"/>
    <w:rsid w:val="009B3E80"/>
    <w:rsid w:val="009B407C"/>
    <w:rsid w:val="009B4134"/>
    <w:rsid w:val="009B4241"/>
    <w:rsid w:val="009B4345"/>
    <w:rsid w:val="009B450E"/>
    <w:rsid w:val="009B451E"/>
    <w:rsid w:val="009B45CF"/>
    <w:rsid w:val="009B4A34"/>
    <w:rsid w:val="009B4A64"/>
    <w:rsid w:val="009B4AAF"/>
    <w:rsid w:val="009B4AD4"/>
    <w:rsid w:val="009B4AE8"/>
    <w:rsid w:val="009B4B0A"/>
    <w:rsid w:val="009B4B4F"/>
    <w:rsid w:val="009B4C00"/>
    <w:rsid w:val="009B4D71"/>
    <w:rsid w:val="009B4DF6"/>
    <w:rsid w:val="009B4E11"/>
    <w:rsid w:val="009B4F0A"/>
    <w:rsid w:val="009B501A"/>
    <w:rsid w:val="009B50F7"/>
    <w:rsid w:val="009B5212"/>
    <w:rsid w:val="009B53B9"/>
    <w:rsid w:val="009B5518"/>
    <w:rsid w:val="009B5560"/>
    <w:rsid w:val="009B558C"/>
    <w:rsid w:val="009B55EE"/>
    <w:rsid w:val="009B55FE"/>
    <w:rsid w:val="009B567D"/>
    <w:rsid w:val="009B5860"/>
    <w:rsid w:val="009B58C6"/>
    <w:rsid w:val="009B59E5"/>
    <w:rsid w:val="009B5C75"/>
    <w:rsid w:val="009B5F80"/>
    <w:rsid w:val="009B5FDC"/>
    <w:rsid w:val="009B6172"/>
    <w:rsid w:val="009B625B"/>
    <w:rsid w:val="009B631B"/>
    <w:rsid w:val="009B63A3"/>
    <w:rsid w:val="009B63A6"/>
    <w:rsid w:val="009B63AB"/>
    <w:rsid w:val="009B6418"/>
    <w:rsid w:val="009B64FF"/>
    <w:rsid w:val="009B65A5"/>
    <w:rsid w:val="009B668A"/>
    <w:rsid w:val="009B67F5"/>
    <w:rsid w:val="009B6813"/>
    <w:rsid w:val="009B6835"/>
    <w:rsid w:val="009B693F"/>
    <w:rsid w:val="009B6A70"/>
    <w:rsid w:val="009B6B5B"/>
    <w:rsid w:val="009B6B68"/>
    <w:rsid w:val="009B6CE6"/>
    <w:rsid w:val="009B6D27"/>
    <w:rsid w:val="009B6E7B"/>
    <w:rsid w:val="009B6F11"/>
    <w:rsid w:val="009B70F6"/>
    <w:rsid w:val="009B7241"/>
    <w:rsid w:val="009B729C"/>
    <w:rsid w:val="009B72DE"/>
    <w:rsid w:val="009B72E9"/>
    <w:rsid w:val="009B7429"/>
    <w:rsid w:val="009B746A"/>
    <w:rsid w:val="009B769B"/>
    <w:rsid w:val="009B76CB"/>
    <w:rsid w:val="009B7749"/>
    <w:rsid w:val="009B7871"/>
    <w:rsid w:val="009B7A86"/>
    <w:rsid w:val="009B7BA1"/>
    <w:rsid w:val="009B7E86"/>
    <w:rsid w:val="009B7FBB"/>
    <w:rsid w:val="009C00DE"/>
    <w:rsid w:val="009C0184"/>
    <w:rsid w:val="009C01F0"/>
    <w:rsid w:val="009C0212"/>
    <w:rsid w:val="009C0274"/>
    <w:rsid w:val="009C0279"/>
    <w:rsid w:val="009C0290"/>
    <w:rsid w:val="009C0499"/>
    <w:rsid w:val="009C04BB"/>
    <w:rsid w:val="009C0619"/>
    <w:rsid w:val="009C08DA"/>
    <w:rsid w:val="009C0947"/>
    <w:rsid w:val="009C09B7"/>
    <w:rsid w:val="009C0C6B"/>
    <w:rsid w:val="009C0DA8"/>
    <w:rsid w:val="009C0DCF"/>
    <w:rsid w:val="009C0E01"/>
    <w:rsid w:val="009C0E43"/>
    <w:rsid w:val="009C0E80"/>
    <w:rsid w:val="009C0FE7"/>
    <w:rsid w:val="009C0FEF"/>
    <w:rsid w:val="009C102C"/>
    <w:rsid w:val="009C10EF"/>
    <w:rsid w:val="009C1299"/>
    <w:rsid w:val="009C1342"/>
    <w:rsid w:val="009C1360"/>
    <w:rsid w:val="009C140C"/>
    <w:rsid w:val="009C1480"/>
    <w:rsid w:val="009C14B9"/>
    <w:rsid w:val="009C158A"/>
    <w:rsid w:val="009C15ED"/>
    <w:rsid w:val="009C16DE"/>
    <w:rsid w:val="009C16E9"/>
    <w:rsid w:val="009C189C"/>
    <w:rsid w:val="009C1933"/>
    <w:rsid w:val="009C1A05"/>
    <w:rsid w:val="009C1CC2"/>
    <w:rsid w:val="009C1FA8"/>
    <w:rsid w:val="009C1FB2"/>
    <w:rsid w:val="009C1FB9"/>
    <w:rsid w:val="009C20ED"/>
    <w:rsid w:val="009C213D"/>
    <w:rsid w:val="009C21A9"/>
    <w:rsid w:val="009C21E5"/>
    <w:rsid w:val="009C21FC"/>
    <w:rsid w:val="009C2234"/>
    <w:rsid w:val="009C22CB"/>
    <w:rsid w:val="009C2441"/>
    <w:rsid w:val="009C25AA"/>
    <w:rsid w:val="009C2633"/>
    <w:rsid w:val="009C264E"/>
    <w:rsid w:val="009C277C"/>
    <w:rsid w:val="009C27B2"/>
    <w:rsid w:val="009C2910"/>
    <w:rsid w:val="009C2953"/>
    <w:rsid w:val="009C29CA"/>
    <w:rsid w:val="009C2A00"/>
    <w:rsid w:val="009C2A9C"/>
    <w:rsid w:val="009C2B4A"/>
    <w:rsid w:val="009C2D09"/>
    <w:rsid w:val="009C2E45"/>
    <w:rsid w:val="009C3003"/>
    <w:rsid w:val="009C303C"/>
    <w:rsid w:val="009C307F"/>
    <w:rsid w:val="009C32EB"/>
    <w:rsid w:val="009C3302"/>
    <w:rsid w:val="009C3313"/>
    <w:rsid w:val="009C3820"/>
    <w:rsid w:val="009C38AD"/>
    <w:rsid w:val="009C3910"/>
    <w:rsid w:val="009C3916"/>
    <w:rsid w:val="009C39F9"/>
    <w:rsid w:val="009C3B12"/>
    <w:rsid w:val="009C3BB7"/>
    <w:rsid w:val="009C3C1A"/>
    <w:rsid w:val="009C3C29"/>
    <w:rsid w:val="009C3DE2"/>
    <w:rsid w:val="009C3F26"/>
    <w:rsid w:val="009C408F"/>
    <w:rsid w:val="009C40A5"/>
    <w:rsid w:val="009C41A6"/>
    <w:rsid w:val="009C41D6"/>
    <w:rsid w:val="009C42A7"/>
    <w:rsid w:val="009C42A8"/>
    <w:rsid w:val="009C4359"/>
    <w:rsid w:val="009C4593"/>
    <w:rsid w:val="009C468B"/>
    <w:rsid w:val="009C46E1"/>
    <w:rsid w:val="009C48EB"/>
    <w:rsid w:val="009C48FC"/>
    <w:rsid w:val="009C4A92"/>
    <w:rsid w:val="009C4B0C"/>
    <w:rsid w:val="009C4BCE"/>
    <w:rsid w:val="009C4BDB"/>
    <w:rsid w:val="009C4C2E"/>
    <w:rsid w:val="009C4D5E"/>
    <w:rsid w:val="009C4E22"/>
    <w:rsid w:val="009C4E8E"/>
    <w:rsid w:val="009C4F14"/>
    <w:rsid w:val="009C4F67"/>
    <w:rsid w:val="009C4F9F"/>
    <w:rsid w:val="009C4FB1"/>
    <w:rsid w:val="009C5170"/>
    <w:rsid w:val="009C517D"/>
    <w:rsid w:val="009C53CA"/>
    <w:rsid w:val="009C5452"/>
    <w:rsid w:val="009C5468"/>
    <w:rsid w:val="009C54B5"/>
    <w:rsid w:val="009C55E9"/>
    <w:rsid w:val="009C56BD"/>
    <w:rsid w:val="009C5A2C"/>
    <w:rsid w:val="009C5B99"/>
    <w:rsid w:val="009C5B9E"/>
    <w:rsid w:val="009C5DF0"/>
    <w:rsid w:val="009C5E50"/>
    <w:rsid w:val="009C5EBF"/>
    <w:rsid w:val="009C5F55"/>
    <w:rsid w:val="009C5F62"/>
    <w:rsid w:val="009C5F8F"/>
    <w:rsid w:val="009C5FED"/>
    <w:rsid w:val="009C5FF9"/>
    <w:rsid w:val="009C602E"/>
    <w:rsid w:val="009C606A"/>
    <w:rsid w:val="009C60C2"/>
    <w:rsid w:val="009C60FA"/>
    <w:rsid w:val="009C612F"/>
    <w:rsid w:val="009C620B"/>
    <w:rsid w:val="009C62F7"/>
    <w:rsid w:val="009C6546"/>
    <w:rsid w:val="009C657E"/>
    <w:rsid w:val="009C65FA"/>
    <w:rsid w:val="009C66D7"/>
    <w:rsid w:val="009C671B"/>
    <w:rsid w:val="009C68AF"/>
    <w:rsid w:val="009C68B8"/>
    <w:rsid w:val="009C69F4"/>
    <w:rsid w:val="009C6A16"/>
    <w:rsid w:val="009C6C29"/>
    <w:rsid w:val="009C6C35"/>
    <w:rsid w:val="009C6D95"/>
    <w:rsid w:val="009C6D9D"/>
    <w:rsid w:val="009C6E67"/>
    <w:rsid w:val="009C6EDA"/>
    <w:rsid w:val="009C6EDB"/>
    <w:rsid w:val="009C6F2C"/>
    <w:rsid w:val="009C6F68"/>
    <w:rsid w:val="009C6FFC"/>
    <w:rsid w:val="009C70B2"/>
    <w:rsid w:val="009C7211"/>
    <w:rsid w:val="009C72F5"/>
    <w:rsid w:val="009C7344"/>
    <w:rsid w:val="009C73DB"/>
    <w:rsid w:val="009C74EF"/>
    <w:rsid w:val="009C7718"/>
    <w:rsid w:val="009C7732"/>
    <w:rsid w:val="009C773D"/>
    <w:rsid w:val="009C77B1"/>
    <w:rsid w:val="009C78CB"/>
    <w:rsid w:val="009C78F9"/>
    <w:rsid w:val="009C7964"/>
    <w:rsid w:val="009C7A1A"/>
    <w:rsid w:val="009C7B3B"/>
    <w:rsid w:val="009C7B91"/>
    <w:rsid w:val="009C7C3D"/>
    <w:rsid w:val="009C7CBE"/>
    <w:rsid w:val="009C7CD6"/>
    <w:rsid w:val="009C7D96"/>
    <w:rsid w:val="009C7E69"/>
    <w:rsid w:val="009C7EB9"/>
    <w:rsid w:val="009D02AD"/>
    <w:rsid w:val="009D03C6"/>
    <w:rsid w:val="009D0499"/>
    <w:rsid w:val="009D04D1"/>
    <w:rsid w:val="009D0527"/>
    <w:rsid w:val="009D0581"/>
    <w:rsid w:val="009D064F"/>
    <w:rsid w:val="009D07C2"/>
    <w:rsid w:val="009D085C"/>
    <w:rsid w:val="009D090F"/>
    <w:rsid w:val="009D097D"/>
    <w:rsid w:val="009D0A34"/>
    <w:rsid w:val="009D0A41"/>
    <w:rsid w:val="009D0BB6"/>
    <w:rsid w:val="009D0C79"/>
    <w:rsid w:val="009D1018"/>
    <w:rsid w:val="009D1110"/>
    <w:rsid w:val="009D11E5"/>
    <w:rsid w:val="009D1218"/>
    <w:rsid w:val="009D12AD"/>
    <w:rsid w:val="009D1388"/>
    <w:rsid w:val="009D13EF"/>
    <w:rsid w:val="009D1505"/>
    <w:rsid w:val="009D15D7"/>
    <w:rsid w:val="009D15F9"/>
    <w:rsid w:val="009D16BD"/>
    <w:rsid w:val="009D16EC"/>
    <w:rsid w:val="009D187A"/>
    <w:rsid w:val="009D188C"/>
    <w:rsid w:val="009D18BD"/>
    <w:rsid w:val="009D19C9"/>
    <w:rsid w:val="009D1A9E"/>
    <w:rsid w:val="009D1BCA"/>
    <w:rsid w:val="009D1C50"/>
    <w:rsid w:val="009D1EAF"/>
    <w:rsid w:val="009D1F89"/>
    <w:rsid w:val="009D2045"/>
    <w:rsid w:val="009D21B1"/>
    <w:rsid w:val="009D21C9"/>
    <w:rsid w:val="009D2260"/>
    <w:rsid w:val="009D2277"/>
    <w:rsid w:val="009D2630"/>
    <w:rsid w:val="009D270F"/>
    <w:rsid w:val="009D27BC"/>
    <w:rsid w:val="009D2987"/>
    <w:rsid w:val="009D2A7B"/>
    <w:rsid w:val="009D2BD9"/>
    <w:rsid w:val="009D2C2C"/>
    <w:rsid w:val="009D2CA1"/>
    <w:rsid w:val="009D2D2E"/>
    <w:rsid w:val="009D2D4A"/>
    <w:rsid w:val="009D2D75"/>
    <w:rsid w:val="009D2E44"/>
    <w:rsid w:val="009D2EFD"/>
    <w:rsid w:val="009D2F75"/>
    <w:rsid w:val="009D304F"/>
    <w:rsid w:val="009D329E"/>
    <w:rsid w:val="009D32B7"/>
    <w:rsid w:val="009D3309"/>
    <w:rsid w:val="009D331D"/>
    <w:rsid w:val="009D34ED"/>
    <w:rsid w:val="009D35A5"/>
    <w:rsid w:val="009D35D2"/>
    <w:rsid w:val="009D361E"/>
    <w:rsid w:val="009D3625"/>
    <w:rsid w:val="009D36A9"/>
    <w:rsid w:val="009D36E5"/>
    <w:rsid w:val="009D36E8"/>
    <w:rsid w:val="009D3771"/>
    <w:rsid w:val="009D37D7"/>
    <w:rsid w:val="009D3842"/>
    <w:rsid w:val="009D38B9"/>
    <w:rsid w:val="009D3A05"/>
    <w:rsid w:val="009D3A3F"/>
    <w:rsid w:val="009D3AB1"/>
    <w:rsid w:val="009D3ADE"/>
    <w:rsid w:val="009D3B13"/>
    <w:rsid w:val="009D3B8C"/>
    <w:rsid w:val="009D3C1F"/>
    <w:rsid w:val="009D3C94"/>
    <w:rsid w:val="009D3D5D"/>
    <w:rsid w:val="009D3D9A"/>
    <w:rsid w:val="009D4117"/>
    <w:rsid w:val="009D41D2"/>
    <w:rsid w:val="009D424F"/>
    <w:rsid w:val="009D42D8"/>
    <w:rsid w:val="009D442C"/>
    <w:rsid w:val="009D4492"/>
    <w:rsid w:val="009D453A"/>
    <w:rsid w:val="009D4566"/>
    <w:rsid w:val="009D45C6"/>
    <w:rsid w:val="009D4634"/>
    <w:rsid w:val="009D4736"/>
    <w:rsid w:val="009D4766"/>
    <w:rsid w:val="009D476F"/>
    <w:rsid w:val="009D4770"/>
    <w:rsid w:val="009D47D7"/>
    <w:rsid w:val="009D4802"/>
    <w:rsid w:val="009D4899"/>
    <w:rsid w:val="009D4A2C"/>
    <w:rsid w:val="009D4A69"/>
    <w:rsid w:val="009D4BBB"/>
    <w:rsid w:val="009D4D84"/>
    <w:rsid w:val="009D4DBD"/>
    <w:rsid w:val="009D5066"/>
    <w:rsid w:val="009D51BA"/>
    <w:rsid w:val="009D5206"/>
    <w:rsid w:val="009D5259"/>
    <w:rsid w:val="009D558B"/>
    <w:rsid w:val="009D57ED"/>
    <w:rsid w:val="009D582C"/>
    <w:rsid w:val="009D592E"/>
    <w:rsid w:val="009D5941"/>
    <w:rsid w:val="009D59CC"/>
    <w:rsid w:val="009D59FF"/>
    <w:rsid w:val="009D5A53"/>
    <w:rsid w:val="009D5BA6"/>
    <w:rsid w:val="009D5BF9"/>
    <w:rsid w:val="009D5C21"/>
    <w:rsid w:val="009D5D6D"/>
    <w:rsid w:val="009D6018"/>
    <w:rsid w:val="009D6091"/>
    <w:rsid w:val="009D61DB"/>
    <w:rsid w:val="009D632D"/>
    <w:rsid w:val="009D6387"/>
    <w:rsid w:val="009D63BE"/>
    <w:rsid w:val="009D6547"/>
    <w:rsid w:val="009D65F6"/>
    <w:rsid w:val="009D667B"/>
    <w:rsid w:val="009D66B7"/>
    <w:rsid w:val="009D67BF"/>
    <w:rsid w:val="009D67CF"/>
    <w:rsid w:val="009D6833"/>
    <w:rsid w:val="009D6859"/>
    <w:rsid w:val="009D6930"/>
    <w:rsid w:val="009D6936"/>
    <w:rsid w:val="009D6967"/>
    <w:rsid w:val="009D6B59"/>
    <w:rsid w:val="009D6C3B"/>
    <w:rsid w:val="009D6C78"/>
    <w:rsid w:val="009D6DC7"/>
    <w:rsid w:val="009D6F21"/>
    <w:rsid w:val="009D6FB3"/>
    <w:rsid w:val="009D6FF0"/>
    <w:rsid w:val="009D707A"/>
    <w:rsid w:val="009D7095"/>
    <w:rsid w:val="009D71F5"/>
    <w:rsid w:val="009D729E"/>
    <w:rsid w:val="009D7377"/>
    <w:rsid w:val="009D7431"/>
    <w:rsid w:val="009D7519"/>
    <w:rsid w:val="009D758E"/>
    <w:rsid w:val="009D761B"/>
    <w:rsid w:val="009D766C"/>
    <w:rsid w:val="009D78E8"/>
    <w:rsid w:val="009D7992"/>
    <w:rsid w:val="009D7A33"/>
    <w:rsid w:val="009D7A8A"/>
    <w:rsid w:val="009D7B0B"/>
    <w:rsid w:val="009D7B6F"/>
    <w:rsid w:val="009D7BFE"/>
    <w:rsid w:val="009D7C3F"/>
    <w:rsid w:val="009D7C5A"/>
    <w:rsid w:val="009D7D78"/>
    <w:rsid w:val="009D7DCE"/>
    <w:rsid w:val="009D7E28"/>
    <w:rsid w:val="009D7E50"/>
    <w:rsid w:val="009E007A"/>
    <w:rsid w:val="009E01BE"/>
    <w:rsid w:val="009E0379"/>
    <w:rsid w:val="009E04A7"/>
    <w:rsid w:val="009E04E6"/>
    <w:rsid w:val="009E05D1"/>
    <w:rsid w:val="009E0651"/>
    <w:rsid w:val="009E07C7"/>
    <w:rsid w:val="009E08D1"/>
    <w:rsid w:val="009E0A6E"/>
    <w:rsid w:val="009E0A8A"/>
    <w:rsid w:val="009E0B9C"/>
    <w:rsid w:val="009E0BCC"/>
    <w:rsid w:val="009E0ED1"/>
    <w:rsid w:val="009E100D"/>
    <w:rsid w:val="009E1220"/>
    <w:rsid w:val="009E13AA"/>
    <w:rsid w:val="009E13AF"/>
    <w:rsid w:val="009E13E9"/>
    <w:rsid w:val="009E1483"/>
    <w:rsid w:val="009E1699"/>
    <w:rsid w:val="009E16B9"/>
    <w:rsid w:val="009E1773"/>
    <w:rsid w:val="009E1824"/>
    <w:rsid w:val="009E1882"/>
    <w:rsid w:val="009E1963"/>
    <w:rsid w:val="009E19C2"/>
    <w:rsid w:val="009E1A19"/>
    <w:rsid w:val="009E1B5E"/>
    <w:rsid w:val="009E1BD3"/>
    <w:rsid w:val="009E1D08"/>
    <w:rsid w:val="009E1D55"/>
    <w:rsid w:val="009E1E69"/>
    <w:rsid w:val="009E1E75"/>
    <w:rsid w:val="009E1EBE"/>
    <w:rsid w:val="009E1EC4"/>
    <w:rsid w:val="009E1F2E"/>
    <w:rsid w:val="009E1FA3"/>
    <w:rsid w:val="009E2044"/>
    <w:rsid w:val="009E20FD"/>
    <w:rsid w:val="009E2166"/>
    <w:rsid w:val="009E218F"/>
    <w:rsid w:val="009E22AD"/>
    <w:rsid w:val="009E25BF"/>
    <w:rsid w:val="009E262C"/>
    <w:rsid w:val="009E26E6"/>
    <w:rsid w:val="009E27C3"/>
    <w:rsid w:val="009E27CB"/>
    <w:rsid w:val="009E29AB"/>
    <w:rsid w:val="009E2A0A"/>
    <w:rsid w:val="009E2A4C"/>
    <w:rsid w:val="009E2AD3"/>
    <w:rsid w:val="009E2AF0"/>
    <w:rsid w:val="009E2BA4"/>
    <w:rsid w:val="009E2D08"/>
    <w:rsid w:val="009E2F5A"/>
    <w:rsid w:val="009E2F9D"/>
    <w:rsid w:val="009E2FF8"/>
    <w:rsid w:val="009E3228"/>
    <w:rsid w:val="009E327A"/>
    <w:rsid w:val="009E33CB"/>
    <w:rsid w:val="009E33E0"/>
    <w:rsid w:val="009E342E"/>
    <w:rsid w:val="009E35B4"/>
    <w:rsid w:val="009E3616"/>
    <w:rsid w:val="009E36AC"/>
    <w:rsid w:val="009E37B9"/>
    <w:rsid w:val="009E37E9"/>
    <w:rsid w:val="009E3ABE"/>
    <w:rsid w:val="009E3C2D"/>
    <w:rsid w:val="009E3E55"/>
    <w:rsid w:val="009E3F0A"/>
    <w:rsid w:val="009E3FAE"/>
    <w:rsid w:val="009E40B8"/>
    <w:rsid w:val="009E4412"/>
    <w:rsid w:val="009E4413"/>
    <w:rsid w:val="009E442E"/>
    <w:rsid w:val="009E445F"/>
    <w:rsid w:val="009E4503"/>
    <w:rsid w:val="009E470B"/>
    <w:rsid w:val="009E4755"/>
    <w:rsid w:val="009E4771"/>
    <w:rsid w:val="009E47A0"/>
    <w:rsid w:val="009E4808"/>
    <w:rsid w:val="009E487F"/>
    <w:rsid w:val="009E490B"/>
    <w:rsid w:val="009E4C22"/>
    <w:rsid w:val="009E4F04"/>
    <w:rsid w:val="009E4FFA"/>
    <w:rsid w:val="009E513B"/>
    <w:rsid w:val="009E5174"/>
    <w:rsid w:val="009E5201"/>
    <w:rsid w:val="009E5323"/>
    <w:rsid w:val="009E54BC"/>
    <w:rsid w:val="009E5626"/>
    <w:rsid w:val="009E56EC"/>
    <w:rsid w:val="009E56EE"/>
    <w:rsid w:val="009E580A"/>
    <w:rsid w:val="009E5891"/>
    <w:rsid w:val="009E58A9"/>
    <w:rsid w:val="009E59F4"/>
    <w:rsid w:val="009E5A84"/>
    <w:rsid w:val="009E5BB0"/>
    <w:rsid w:val="009E5BD8"/>
    <w:rsid w:val="009E5D29"/>
    <w:rsid w:val="009E5D35"/>
    <w:rsid w:val="009E5D42"/>
    <w:rsid w:val="009E5DDF"/>
    <w:rsid w:val="009E5E08"/>
    <w:rsid w:val="009E5ED7"/>
    <w:rsid w:val="009E5F1C"/>
    <w:rsid w:val="009E5F70"/>
    <w:rsid w:val="009E5FA4"/>
    <w:rsid w:val="009E5FE0"/>
    <w:rsid w:val="009E5FFD"/>
    <w:rsid w:val="009E60F0"/>
    <w:rsid w:val="009E61D3"/>
    <w:rsid w:val="009E633A"/>
    <w:rsid w:val="009E63E5"/>
    <w:rsid w:val="009E6566"/>
    <w:rsid w:val="009E6612"/>
    <w:rsid w:val="009E6743"/>
    <w:rsid w:val="009E67D0"/>
    <w:rsid w:val="009E697B"/>
    <w:rsid w:val="009E6A19"/>
    <w:rsid w:val="009E6B19"/>
    <w:rsid w:val="009E6C7A"/>
    <w:rsid w:val="009E6F93"/>
    <w:rsid w:val="009E7018"/>
    <w:rsid w:val="009E7027"/>
    <w:rsid w:val="009E70B5"/>
    <w:rsid w:val="009E712F"/>
    <w:rsid w:val="009E71C2"/>
    <w:rsid w:val="009E722E"/>
    <w:rsid w:val="009E7313"/>
    <w:rsid w:val="009E7395"/>
    <w:rsid w:val="009E7405"/>
    <w:rsid w:val="009E74D0"/>
    <w:rsid w:val="009E74DB"/>
    <w:rsid w:val="009E754D"/>
    <w:rsid w:val="009E75C7"/>
    <w:rsid w:val="009E768A"/>
    <w:rsid w:val="009E7761"/>
    <w:rsid w:val="009E7983"/>
    <w:rsid w:val="009E79DB"/>
    <w:rsid w:val="009E7A36"/>
    <w:rsid w:val="009E7AFA"/>
    <w:rsid w:val="009E7B30"/>
    <w:rsid w:val="009E7FEE"/>
    <w:rsid w:val="009EDFD2"/>
    <w:rsid w:val="009F0035"/>
    <w:rsid w:val="009F00AA"/>
    <w:rsid w:val="009F016A"/>
    <w:rsid w:val="009F01E0"/>
    <w:rsid w:val="009F0437"/>
    <w:rsid w:val="009F04EA"/>
    <w:rsid w:val="009F05AF"/>
    <w:rsid w:val="009F05FD"/>
    <w:rsid w:val="009F0658"/>
    <w:rsid w:val="009F084B"/>
    <w:rsid w:val="009F0A86"/>
    <w:rsid w:val="009F0AED"/>
    <w:rsid w:val="009F0B80"/>
    <w:rsid w:val="009F0BA8"/>
    <w:rsid w:val="009F0C17"/>
    <w:rsid w:val="009F0E51"/>
    <w:rsid w:val="009F0EFA"/>
    <w:rsid w:val="009F0FF7"/>
    <w:rsid w:val="009F11D0"/>
    <w:rsid w:val="009F1337"/>
    <w:rsid w:val="009F16D4"/>
    <w:rsid w:val="009F16E8"/>
    <w:rsid w:val="009F1765"/>
    <w:rsid w:val="009F1837"/>
    <w:rsid w:val="009F184A"/>
    <w:rsid w:val="009F195E"/>
    <w:rsid w:val="009F1C3D"/>
    <w:rsid w:val="009F1D16"/>
    <w:rsid w:val="009F1E3C"/>
    <w:rsid w:val="009F1EA9"/>
    <w:rsid w:val="009F1F49"/>
    <w:rsid w:val="009F1F5C"/>
    <w:rsid w:val="009F1F9A"/>
    <w:rsid w:val="009F20A4"/>
    <w:rsid w:val="009F20AC"/>
    <w:rsid w:val="009F21A8"/>
    <w:rsid w:val="009F2246"/>
    <w:rsid w:val="009F2317"/>
    <w:rsid w:val="009F236F"/>
    <w:rsid w:val="009F23AA"/>
    <w:rsid w:val="009F23DF"/>
    <w:rsid w:val="009F242F"/>
    <w:rsid w:val="009F255B"/>
    <w:rsid w:val="009F26AF"/>
    <w:rsid w:val="009F26B2"/>
    <w:rsid w:val="009F27CE"/>
    <w:rsid w:val="009F2873"/>
    <w:rsid w:val="009F2903"/>
    <w:rsid w:val="009F2CE3"/>
    <w:rsid w:val="009F2D41"/>
    <w:rsid w:val="009F2DC6"/>
    <w:rsid w:val="009F2DE0"/>
    <w:rsid w:val="009F3060"/>
    <w:rsid w:val="009F3188"/>
    <w:rsid w:val="009F3235"/>
    <w:rsid w:val="009F32D4"/>
    <w:rsid w:val="009F33C6"/>
    <w:rsid w:val="009F33CF"/>
    <w:rsid w:val="009F347A"/>
    <w:rsid w:val="009F34B7"/>
    <w:rsid w:val="009F34D8"/>
    <w:rsid w:val="009F360F"/>
    <w:rsid w:val="009F3796"/>
    <w:rsid w:val="009F3825"/>
    <w:rsid w:val="009F3888"/>
    <w:rsid w:val="009F38E5"/>
    <w:rsid w:val="009F396F"/>
    <w:rsid w:val="009F3CEA"/>
    <w:rsid w:val="009F3EF2"/>
    <w:rsid w:val="009F3F8E"/>
    <w:rsid w:val="009F4035"/>
    <w:rsid w:val="009F4109"/>
    <w:rsid w:val="009F41CD"/>
    <w:rsid w:val="009F4241"/>
    <w:rsid w:val="009F4330"/>
    <w:rsid w:val="009F4340"/>
    <w:rsid w:val="009F43B8"/>
    <w:rsid w:val="009F43C1"/>
    <w:rsid w:val="009F442A"/>
    <w:rsid w:val="009F450D"/>
    <w:rsid w:val="009F452E"/>
    <w:rsid w:val="009F46A9"/>
    <w:rsid w:val="009F4739"/>
    <w:rsid w:val="009F4747"/>
    <w:rsid w:val="009F486C"/>
    <w:rsid w:val="009F498E"/>
    <w:rsid w:val="009F49AB"/>
    <w:rsid w:val="009F4C25"/>
    <w:rsid w:val="009F4CBB"/>
    <w:rsid w:val="009F4D75"/>
    <w:rsid w:val="009F54E1"/>
    <w:rsid w:val="009F55E8"/>
    <w:rsid w:val="009F56A5"/>
    <w:rsid w:val="009F574B"/>
    <w:rsid w:val="009F58C9"/>
    <w:rsid w:val="009F58E3"/>
    <w:rsid w:val="009F5A3E"/>
    <w:rsid w:val="009F5A5C"/>
    <w:rsid w:val="009F5C8A"/>
    <w:rsid w:val="009F5DC1"/>
    <w:rsid w:val="009F5E88"/>
    <w:rsid w:val="009F602A"/>
    <w:rsid w:val="009F60A6"/>
    <w:rsid w:val="009F62D4"/>
    <w:rsid w:val="009F631E"/>
    <w:rsid w:val="009F633D"/>
    <w:rsid w:val="009F636E"/>
    <w:rsid w:val="009F636F"/>
    <w:rsid w:val="009F63F3"/>
    <w:rsid w:val="009F6629"/>
    <w:rsid w:val="009F6844"/>
    <w:rsid w:val="009F68DF"/>
    <w:rsid w:val="009F6A5E"/>
    <w:rsid w:val="009F6B8B"/>
    <w:rsid w:val="009F6BB5"/>
    <w:rsid w:val="009F6CB2"/>
    <w:rsid w:val="009F6D20"/>
    <w:rsid w:val="009F6DCB"/>
    <w:rsid w:val="009F7073"/>
    <w:rsid w:val="009F7102"/>
    <w:rsid w:val="009F7363"/>
    <w:rsid w:val="009F7373"/>
    <w:rsid w:val="009F737E"/>
    <w:rsid w:val="009F73A9"/>
    <w:rsid w:val="009F73DB"/>
    <w:rsid w:val="009F7460"/>
    <w:rsid w:val="009F75EC"/>
    <w:rsid w:val="009F7743"/>
    <w:rsid w:val="009F7ED9"/>
    <w:rsid w:val="009F7F73"/>
    <w:rsid w:val="009F7F9F"/>
    <w:rsid w:val="00A00109"/>
    <w:rsid w:val="00A00150"/>
    <w:rsid w:val="00A00151"/>
    <w:rsid w:val="00A00171"/>
    <w:rsid w:val="00A0037D"/>
    <w:rsid w:val="00A00471"/>
    <w:rsid w:val="00A0048F"/>
    <w:rsid w:val="00A005E5"/>
    <w:rsid w:val="00A006BA"/>
    <w:rsid w:val="00A007AC"/>
    <w:rsid w:val="00A008D6"/>
    <w:rsid w:val="00A00900"/>
    <w:rsid w:val="00A00A75"/>
    <w:rsid w:val="00A00B44"/>
    <w:rsid w:val="00A00C13"/>
    <w:rsid w:val="00A00C19"/>
    <w:rsid w:val="00A00C3A"/>
    <w:rsid w:val="00A00C8D"/>
    <w:rsid w:val="00A00D00"/>
    <w:rsid w:val="00A00D3C"/>
    <w:rsid w:val="00A00D99"/>
    <w:rsid w:val="00A00DB5"/>
    <w:rsid w:val="00A00DD5"/>
    <w:rsid w:val="00A00DF0"/>
    <w:rsid w:val="00A00F52"/>
    <w:rsid w:val="00A00F59"/>
    <w:rsid w:val="00A0127D"/>
    <w:rsid w:val="00A014D4"/>
    <w:rsid w:val="00A014D9"/>
    <w:rsid w:val="00A01507"/>
    <w:rsid w:val="00A01508"/>
    <w:rsid w:val="00A01586"/>
    <w:rsid w:val="00A01592"/>
    <w:rsid w:val="00A015E2"/>
    <w:rsid w:val="00A01602"/>
    <w:rsid w:val="00A016AB"/>
    <w:rsid w:val="00A0174E"/>
    <w:rsid w:val="00A01892"/>
    <w:rsid w:val="00A018C1"/>
    <w:rsid w:val="00A01935"/>
    <w:rsid w:val="00A01945"/>
    <w:rsid w:val="00A01B18"/>
    <w:rsid w:val="00A01B2E"/>
    <w:rsid w:val="00A01C15"/>
    <w:rsid w:val="00A01DE0"/>
    <w:rsid w:val="00A01F85"/>
    <w:rsid w:val="00A01FCD"/>
    <w:rsid w:val="00A0202C"/>
    <w:rsid w:val="00A02123"/>
    <w:rsid w:val="00A021A3"/>
    <w:rsid w:val="00A023D8"/>
    <w:rsid w:val="00A02475"/>
    <w:rsid w:val="00A02594"/>
    <w:rsid w:val="00A026D9"/>
    <w:rsid w:val="00A027C3"/>
    <w:rsid w:val="00A0287C"/>
    <w:rsid w:val="00A028E3"/>
    <w:rsid w:val="00A0297B"/>
    <w:rsid w:val="00A029AA"/>
    <w:rsid w:val="00A02A5D"/>
    <w:rsid w:val="00A02ACF"/>
    <w:rsid w:val="00A02B75"/>
    <w:rsid w:val="00A02B8E"/>
    <w:rsid w:val="00A02BB7"/>
    <w:rsid w:val="00A02CE7"/>
    <w:rsid w:val="00A02D69"/>
    <w:rsid w:val="00A02E09"/>
    <w:rsid w:val="00A02ED0"/>
    <w:rsid w:val="00A02F36"/>
    <w:rsid w:val="00A02FF7"/>
    <w:rsid w:val="00A0322A"/>
    <w:rsid w:val="00A032CB"/>
    <w:rsid w:val="00A03328"/>
    <w:rsid w:val="00A03382"/>
    <w:rsid w:val="00A03487"/>
    <w:rsid w:val="00A0348E"/>
    <w:rsid w:val="00A034CA"/>
    <w:rsid w:val="00A03621"/>
    <w:rsid w:val="00A03704"/>
    <w:rsid w:val="00A037C5"/>
    <w:rsid w:val="00A038CF"/>
    <w:rsid w:val="00A039AB"/>
    <w:rsid w:val="00A03A11"/>
    <w:rsid w:val="00A03A8E"/>
    <w:rsid w:val="00A03BD3"/>
    <w:rsid w:val="00A03BFE"/>
    <w:rsid w:val="00A03CBE"/>
    <w:rsid w:val="00A03F38"/>
    <w:rsid w:val="00A03FEC"/>
    <w:rsid w:val="00A040DC"/>
    <w:rsid w:val="00A04143"/>
    <w:rsid w:val="00A04289"/>
    <w:rsid w:val="00A04370"/>
    <w:rsid w:val="00A043E1"/>
    <w:rsid w:val="00A044B4"/>
    <w:rsid w:val="00A044D9"/>
    <w:rsid w:val="00A04510"/>
    <w:rsid w:val="00A04537"/>
    <w:rsid w:val="00A04560"/>
    <w:rsid w:val="00A045E1"/>
    <w:rsid w:val="00A04713"/>
    <w:rsid w:val="00A0489A"/>
    <w:rsid w:val="00A0498C"/>
    <w:rsid w:val="00A04A39"/>
    <w:rsid w:val="00A04B25"/>
    <w:rsid w:val="00A04C25"/>
    <w:rsid w:val="00A04CB3"/>
    <w:rsid w:val="00A04E1C"/>
    <w:rsid w:val="00A0502B"/>
    <w:rsid w:val="00A05046"/>
    <w:rsid w:val="00A05278"/>
    <w:rsid w:val="00A0528D"/>
    <w:rsid w:val="00A0532F"/>
    <w:rsid w:val="00A053AD"/>
    <w:rsid w:val="00A053E3"/>
    <w:rsid w:val="00A0545A"/>
    <w:rsid w:val="00A05557"/>
    <w:rsid w:val="00A05765"/>
    <w:rsid w:val="00A0576B"/>
    <w:rsid w:val="00A05A41"/>
    <w:rsid w:val="00A05AC7"/>
    <w:rsid w:val="00A05B69"/>
    <w:rsid w:val="00A05B9B"/>
    <w:rsid w:val="00A05B9C"/>
    <w:rsid w:val="00A05BCA"/>
    <w:rsid w:val="00A05CA9"/>
    <w:rsid w:val="00A05CEF"/>
    <w:rsid w:val="00A060DE"/>
    <w:rsid w:val="00A06166"/>
    <w:rsid w:val="00A06247"/>
    <w:rsid w:val="00A062B2"/>
    <w:rsid w:val="00A06322"/>
    <w:rsid w:val="00A06347"/>
    <w:rsid w:val="00A06409"/>
    <w:rsid w:val="00A064E4"/>
    <w:rsid w:val="00A06567"/>
    <w:rsid w:val="00A065B5"/>
    <w:rsid w:val="00A066AC"/>
    <w:rsid w:val="00A066BB"/>
    <w:rsid w:val="00A06919"/>
    <w:rsid w:val="00A06948"/>
    <w:rsid w:val="00A069F0"/>
    <w:rsid w:val="00A06A4C"/>
    <w:rsid w:val="00A06B00"/>
    <w:rsid w:val="00A06BD9"/>
    <w:rsid w:val="00A06CAB"/>
    <w:rsid w:val="00A06CF9"/>
    <w:rsid w:val="00A06E31"/>
    <w:rsid w:val="00A06ED0"/>
    <w:rsid w:val="00A07121"/>
    <w:rsid w:val="00A0712A"/>
    <w:rsid w:val="00A0717B"/>
    <w:rsid w:val="00A07181"/>
    <w:rsid w:val="00A07182"/>
    <w:rsid w:val="00A07207"/>
    <w:rsid w:val="00A0731A"/>
    <w:rsid w:val="00A0757D"/>
    <w:rsid w:val="00A07665"/>
    <w:rsid w:val="00A07688"/>
    <w:rsid w:val="00A0771D"/>
    <w:rsid w:val="00A077B4"/>
    <w:rsid w:val="00A0786E"/>
    <w:rsid w:val="00A07A35"/>
    <w:rsid w:val="00A07AAE"/>
    <w:rsid w:val="00A07B81"/>
    <w:rsid w:val="00A07BAE"/>
    <w:rsid w:val="00A07C9F"/>
    <w:rsid w:val="00A07DE2"/>
    <w:rsid w:val="00A10003"/>
    <w:rsid w:val="00A1008B"/>
    <w:rsid w:val="00A100E2"/>
    <w:rsid w:val="00A101FB"/>
    <w:rsid w:val="00A10321"/>
    <w:rsid w:val="00A10401"/>
    <w:rsid w:val="00A10470"/>
    <w:rsid w:val="00A104A5"/>
    <w:rsid w:val="00A104E7"/>
    <w:rsid w:val="00A1059A"/>
    <w:rsid w:val="00A106AD"/>
    <w:rsid w:val="00A10724"/>
    <w:rsid w:val="00A1080C"/>
    <w:rsid w:val="00A108CC"/>
    <w:rsid w:val="00A1099E"/>
    <w:rsid w:val="00A10BCE"/>
    <w:rsid w:val="00A10D12"/>
    <w:rsid w:val="00A10D15"/>
    <w:rsid w:val="00A10DFE"/>
    <w:rsid w:val="00A10EA1"/>
    <w:rsid w:val="00A110CE"/>
    <w:rsid w:val="00A11168"/>
    <w:rsid w:val="00A111D6"/>
    <w:rsid w:val="00A1129F"/>
    <w:rsid w:val="00A1151E"/>
    <w:rsid w:val="00A11533"/>
    <w:rsid w:val="00A1175D"/>
    <w:rsid w:val="00A11762"/>
    <w:rsid w:val="00A11764"/>
    <w:rsid w:val="00A1183B"/>
    <w:rsid w:val="00A11BF8"/>
    <w:rsid w:val="00A11CCE"/>
    <w:rsid w:val="00A11D9F"/>
    <w:rsid w:val="00A11F1E"/>
    <w:rsid w:val="00A1208D"/>
    <w:rsid w:val="00A12168"/>
    <w:rsid w:val="00A1217D"/>
    <w:rsid w:val="00A12184"/>
    <w:rsid w:val="00A1221F"/>
    <w:rsid w:val="00A12331"/>
    <w:rsid w:val="00A12335"/>
    <w:rsid w:val="00A123E5"/>
    <w:rsid w:val="00A12537"/>
    <w:rsid w:val="00A125C0"/>
    <w:rsid w:val="00A12729"/>
    <w:rsid w:val="00A127BD"/>
    <w:rsid w:val="00A127D2"/>
    <w:rsid w:val="00A12949"/>
    <w:rsid w:val="00A129E1"/>
    <w:rsid w:val="00A129E8"/>
    <w:rsid w:val="00A12CAF"/>
    <w:rsid w:val="00A12DB5"/>
    <w:rsid w:val="00A130A2"/>
    <w:rsid w:val="00A1313F"/>
    <w:rsid w:val="00A132A3"/>
    <w:rsid w:val="00A132BA"/>
    <w:rsid w:val="00A133C6"/>
    <w:rsid w:val="00A1358B"/>
    <w:rsid w:val="00A13590"/>
    <w:rsid w:val="00A135CA"/>
    <w:rsid w:val="00A1368A"/>
    <w:rsid w:val="00A136E4"/>
    <w:rsid w:val="00A13704"/>
    <w:rsid w:val="00A1386D"/>
    <w:rsid w:val="00A13897"/>
    <w:rsid w:val="00A1396A"/>
    <w:rsid w:val="00A13B80"/>
    <w:rsid w:val="00A13B94"/>
    <w:rsid w:val="00A13BFF"/>
    <w:rsid w:val="00A13C30"/>
    <w:rsid w:val="00A13C42"/>
    <w:rsid w:val="00A13D27"/>
    <w:rsid w:val="00A1413B"/>
    <w:rsid w:val="00A141E6"/>
    <w:rsid w:val="00A14437"/>
    <w:rsid w:val="00A14577"/>
    <w:rsid w:val="00A14602"/>
    <w:rsid w:val="00A14630"/>
    <w:rsid w:val="00A1469F"/>
    <w:rsid w:val="00A146DA"/>
    <w:rsid w:val="00A148C6"/>
    <w:rsid w:val="00A14A4F"/>
    <w:rsid w:val="00A14B80"/>
    <w:rsid w:val="00A14BFB"/>
    <w:rsid w:val="00A14CE6"/>
    <w:rsid w:val="00A14CFD"/>
    <w:rsid w:val="00A14E88"/>
    <w:rsid w:val="00A14F23"/>
    <w:rsid w:val="00A15024"/>
    <w:rsid w:val="00A1518F"/>
    <w:rsid w:val="00A1519D"/>
    <w:rsid w:val="00A15343"/>
    <w:rsid w:val="00A1537C"/>
    <w:rsid w:val="00A15410"/>
    <w:rsid w:val="00A154AD"/>
    <w:rsid w:val="00A15600"/>
    <w:rsid w:val="00A15777"/>
    <w:rsid w:val="00A15852"/>
    <w:rsid w:val="00A15BB8"/>
    <w:rsid w:val="00A15DAA"/>
    <w:rsid w:val="00A15DC7"/>
    <w:rsid w:val="00A15F55"/>
    <w:rsid w:val="00A160A7"/>
    <w:rsid w:val="00A160F0"/>
    <w:rsid w:val="00A1616C"/>
    <w:rsid w:val="00A1619E"/>
    <w:rsid w:val="00A161C6"/>
    <w:rsid w:val="00A161FB"/>
    <w:rsid w:val="00A16286"/>
    <w:rsid w:val="00A16350"/>
    <w:rsid w:val="00A16412"/>
    <w:rsid w:val="00A16475"/>
    <w:rsid w:val="00A165D3"/>
    <w:rsid w:val="00A166B4"/>
    <w:rsid w:val="00A1685C"/>
    <w:rsid w:val="00A168B2"/>
    <w:rsid w:val="00A16ADC"/>
    <w:rsid w:val="00A16BB1"/>
    <w:rsid w:val="00A16DBC"/>
    <w:rsid w:val="00A16E1D"/>
    <w:rsid w:val="00A16E70"/>
    <w:rsid w:val="00A16EF1"/>
    <w:rsid w:val="00A16F31"/>
    <w:rsid w:val="00A1727F"/>
    <w:rsid w:val="00A17493"/>
    <w:rsid w:val="00A17684"/>
    <w:rsid w:val="00A17738"/>
    <w:rsid w:val="00A17786"/>
    <w:rsid w:val="00A179AA"/>
    <w:rsid w:val="00A17A35"/>
    <w:rsid w:val="00A17AD4"/>
    <w:rsid w:val="00A17C68"/>
    <w:rsid w:val="00A17DA7"/>
    <w:rsid w:val="00A20091"/>
    <w:rsid w:val="00A201FA"/>
    <w:rsid w:val="00A20290"/>
    <w:rsid w:val="00A20356"/>
    <w:rsid w:val="00A203C3"/>
    <w:rsid w:val="00A20495"/>
    <w:rsid w:val="00A2058C"/>
    <w:rsid w:val="00A206D7"/>
    <w:rsid w:val="00A20965"/>
    <w:rsid w:val="00A209C2"/>
    <w:rsid w:val="00A209F9"/>
    <w:rsid w:val="00A20B8A"/>
    <w:rsid w:val="00A20C4C"/>
    <w:rsid w:val="00A20CE2"/>
    <w:rsid w:val="00A20E03"/>
    <w:rsid w:val="00A20E54"/>
    <w:rsid w:val="00A20F22"/>
    <w:rsid w:val="00A21151"/>
    <w:rsid w:val="00A212EE"/>
    <w:rsid w:val="00A213EB"/>
    <w:rsid w:val="00A2140B"/>
    <w:rsid w:val="00A2149A"/>
    <w:rsid w:val="00A214E2"/>
    <w:rsid w:val="00A21502"/>
    <w:rsid w:val="00A21558"/>
    <w:rsid w:val="00A21863"/>
    <w:rsid w:val="00A2197C"/>
    <w:rsid w:val="00A219E3"/>
    <w:rsid w:val="00A21AE1"/>
    <w:rsid w:val="00A21C14"/>
    <w:rsid w:val="00A21DC2"/>
    <w:rsid w:val="00A21E19"/>
    <w:rsid w:val="00A21E4D"/>
    <w:rsid w:val="00A21F2C"/>
    <w:rsid w:val="00A21F82"/>
    <w:rsid w:val="00A22141"/>
    <w:rsid w:val="00A222D9"/>
    <w:rsid w:val="00A223ED"/>
    <w:rsid w:val="00A224F7"/>
    <w:rsid w:val="00A22636"/>
    <w:rsid w:val="00A226A2"/>
    <w:rsid w:val="00A2276A"/>
    <w:rsid w:val="00A227F2"/>
    <w:rsid w:val="00A227F4"/>
    <w:rsid w:val="00A22855"/>
    <w:rsid w:val="00A22931"/>
    <w:rsid w:val="00A2297F"/>
    <w:rsid w:val="00A22A16"/>
    <w:rsid w:val="00A22C47"/>
    <w:rsid w:val="00A22D5B"/>
    <w:rsid w:val="00A22E6D"/>
    <w:rsid w:val="00A22E76"/>
    <w:rsid w:val="00A22E7E"/>
    <w:rsid w:val="00A22E9F"/>
    <w:rsid w:val="00A22EEA"/>
    <w:rsid w:val="00A23021"/>
    <w:rsid w:val="00A230E0"/>
    <w:rsid w:val="00A23215"/>
    <w:rsid w:val="00A2322C"/>
    <w:rsid w:val="00A23280"/>
    <w:rsid w:val="00A2332A"/>
    <w:rsid w:val="00A2339B"/>
    <w:rsid w:val="00A23587"/>
    <w:rsid w:val="00A2387F"/>
    <w:rsid w:val="00A238CD"/>
    <w:rsid w:val="00A23ABD"/>
    <w:rsid w:val="00A23CC1"/>
    <w:rsid w:val="00A23DEC"/>
    <w:rsid w:val="00A23E25"/>
    <w:rsid w:val="00A23EB8"/>
    <w:rsid w:val="00A23EBC"/>
    <w:rsid w:val="00A23EF7"/>
    <w:rsid w:val="00A23F76"/>
    <w:rsid w:val="00A23FE8"/>
    <w:rsid w:val="00A24040"/>
    <w:rsid w:val="00A2424B"/>
    <w:rsid w:val="00A242DD"/>
    <w:rsid w:val="00A243C8"/>
    <w:rsid w:val="00A24830"/>
    <w:rsid w:val="00A248B9"/>
    <w:rsid w:val="00A2495E"/>
    <w:rsid w:val="00A249AF"/>
    <w:rsid w:val="00A24A96"/>
    <w:rsid w:val="00A24AD1"/>
    <w:rsid w:val="00A24BED"/>
    <w:rsid w:val="00A24C0F"/>
    <w:rsid w:val="00A24F8F"/>
    <w:rsid w:val="00A250E6"/>
    <w:rsid w:val="00A25292"/>
    <w:rsid w:val="00A252C7"/>
    <w:rsid w:val="00A25388"/>
    <w:rsid w:val="00A253DF"/>
    <w:rsid w:val="00A254D7"/>
    <w:rsid w:val="00A255DB"/>
    <w:rsid w:val="00A25631"/>
    <w:rsid w:val="00A25678"/>
    <w:rsid w:val="00A25879"/>
    <w:rsid w:val="00A258C5"/>
    <w:rsid w:val="00A25985"/>
    <w:rsid w:val="00A259C5"/>
    <w:rsid w:val="00A259D5"/>
    <w:rsid w:val="00A259F9"/>
    <w:rsid w:val="00A25A58"/>
    <w:rsid w:val="00A25B86"/>
    <w:rsid w:val="00A25D04"/>
    <w:rsid w:val="00A25D28"/>
    <w:rsid w:val="00A25EED"/>
    <w:rsid w:val="00A25F18"/>
    <w:rsid w:val="00A25F81"/>
    <w:rsid w:val="00A260AA"/>
    <w:rsid w:val="00A26237"/>
    <w:rsid w:val="00A26263"/>
    <w:rsid w:val="00A26398"/>
    <w:rsid w:val="00A263AA"/>
    <w:rsid w:val="00A263E1"/>
    <w:rsid w:val="00A2641C"/>
    <w:rsid w:val="00A264BA"/>
    <w:rsid w:val="00A2659B"/>
    <w:rsid w:val="00A26759"/>
    <w:rsid w:val="00A26A5A"/>
    <w:rsid w:val="00A26C6C"/>
    <w:rsid w:val="00A26D0A"/>
    <w:rsid w:val="00A26D39"/>
    <w:rsid w:val="00A26E46"/>
    <w:rsid w:val="00A26E7F"/>
    <w:rsid w:val="00A26EA7"/>
    <w:rsid w:val="00A26F2C"/>
    <w:rsid w:val="00A26FD3"/>
    <w:rsid w:val="00A271B6"/>
    <w:rsid w:val="00A2720F"/>
    <w:rsid w:val="00A2728E"/>
    <w:rsid w:val="00A2732A"/>
    <w:rsid w:val="00A273A0"/>
    <w:rsid w:val="00A274D8"/>
    <w:rsid w:val="00A275C7"/>
    <w:rsid w:val="00A276EC"/>
    <w:rsid w:val="00A278F7"/>
    <w:rsid w:val="00A279B1"/>
    <w:rsid w:val="00A27BFB"/>
    <w:rsid w:val="00A27E9A"/>
    <w:rsid w:val="00A27E9D"/>
    <w:rsid w:val="00A27ECF"/>
    <w:rsid w:val="00A27F77"/>
    <w:rsid w:val="00A30051"/>
    <w:rsid w:val="00A300E4"/>
    <w:rsid w:val="00A301AC"/>
    <w:rsid w:val="00A3030F"/>
    <w:rsid w:val="00A303C8"/>
    <w:rsid w:val="00A30531"/>
    <w:rsid w:val="00A305D7"/>
    <w:rsid w:val="00A3061A"/>
    <w:rsid w:val="00A30656"/>
    <w:rsid w:val="00A3068A"/>
    <w:rsid w:val="00A3075A"/>
    <w:rsid w:val="00A307CF"/>
    <w:rsid w:val="00A308D7"/>
    <w:rsid w:val="00A308FE"/>
    <w:rsid w:val="00A3097E"/>
    <w:rsid w:val="00A309BD"/>
    <w:rsid w:val="00A309E1"/>
    <w:rsid w:val="00A30AD8"/>
    <w:rsid w:val="00A30B3E"/>
    <w:rsid w:val="00A30B63"/>
    <w:rsid w:val="00A30B6C"/>
    <w:rsid w:val="00A30BBE"/>
    <w:rsid w:val="00A30C3F"/>
    <w:rsid w:val="00A30C68"/>
    <w:rsid w:val="00A30CB4"/>
    <w:rsid w:val="00A30CD0"/>
    <w:rsid w:val="00A30EA4"/>
    <w:rsid w:val="00A31162"/>
    <w:rsid w:val="00A312B7"/>
    <w:rsid w:val="00A312BC"/>
    <w:rsid w:val="00A3131A"/>
    <w:rsid w:val="00A313A4"/>
    <w:rsid w:val="00A313BD"/>
    <w:rsid w:val="00A31454"/>
    <w:rsid w:val="00A3147F"/>
    <w:rsid w:val="00A315BD"/>
    <w:rsid w:val="00A31607"/>
    <w:rsid w:val="00A316CD"/>
    <w:rsid w:val="00A3170F"/>
    <w:rsid w:val="00A31716"/>
    <w:rsid w:val="00A31783"/>
    <w:rsid w:val="00A318F1"/>
    <w:rsid w:val="00A31901"/>
    <w:rsid w:val="00A31950"/>
    <w:rsid w:val="00A3195E"/>
    <w:rsid w:val="00A31BF5"/>
    <w:rsid w:val="00A31D14"/>
    <w:rsid w:val="00A31ECE"/>
    <w:rsid w:val="00A320EF"/>
    <w:rsid w:val="00A320FD"/>
    <w:rsid w:val="00A3224E"/>
    <w:rsid w:val="00A32477"/>
    <w:rsid w:val="00A325A7"/>
    <w:rsid w:val="00A32628"/>
    <w:rsid w:val="00A326D3"/>
    <w:rsid w:val="00A326D9"/>
    <w:rsid w:val="00A326DA"/>
    <w:rsid w:val="00A32710"/>
    <w:rsid w:val="00A32735"/>
    <w:rsid w:val="00A327CC"/>
    <w:rsid w:val="00A327D7"/>
    <w:rsid w:val="00A32843"/>
    <w:rsid w:val="00A3286D"/>
    <w:rsid w:val="00A32953"/>
    <w:rsid w:val="00A32C4A"/>
    <w:rsid w:val="00A32D48"/>
    <w:rsid w:val="00A32DCD"/>
    <w:rsid w:val="00A32E15"/>
    <w:rsid w:val="00A32E27"/>
    <w:rsid w:val="00A32E6B"/>
    <w:rsid w:val="00A32E81"/>
    <w:rsid w:val="00A32FA3"/>
    <w:rsid w:val="00A3311A"/>
    <w:rsid w:val="00A331D9"/>
    <w:rsid w:val="00A33215"/>
    <w:rsid w:val="00A3326F"/>
    <w:rsid w:val="00A334DF"/>
    <w:rsid w:val="00A3357B"/>
    <w:rsid w:val="00A3358F"/>
    <w:rsid w:val="00A3367F"/>
    <w:rsid w:val="00A3373F"/>
    <w:rsid w:val="00A3377B"/>
    <w:rsid w:val="00A33784"/>
    <w:rsid w:val="00A338A8"/>
    <w:rsid w:val="00A338C1"/>
    <w:rsid w:val="00A33951"/>
    <w:rsid w:val="00A33A28"/>
    <w:rsid w:val="00A33AA2"/>
    <w:rsid w:val="00A33B4A"/>
    <w:rsid w:val="00A33B96"/>
    <w:rsid w:val="00A33BE9"/>
    <w:rsid w:val="00A33C1C"/>
    <w:rsid w:val="00A33CA8"/>
    <w:rsid w:val="00A33D16"/>
    <w:rsid w:val="00A33D24"/>
    <w:rsid w:val="00A33D39"/>
    <w:rsid w:val="00A33DA5"/>
    <w:rsid w:val="00A33E5D"/>
    <w:rsid w:val="00A33E99"/>
    <w:rsid w:val="00A3412A"/>
    <w:rsid w:val="00A34273"/>
    <w:rsid w:val="00A342ED"/>
    <w:rsid w:val="00A3430E"/>
    <w:rsid w:val="00A3444C"/>
    <w:rsid w:val="00A345A0"/>
    <w:rsid w:val="00A34703"/>
    <w:rsid w:val="00A3477D"/>
    <w:rsid w:val="00A3480A"/>
    <w:rsid w:val="00A3485E"/>
    <w:rsid w:val="00A3491E"/>
    <w:rsid w:val="00A349CD"/>
    <w:rsid w:val="00A349F7"/>
    <w:rsid w:val="00A34A36"/>
    <w:rsid w:val="00A34ABA"/>
    <w:rsid w:val="00A34B2F"/>
    <w:rsid w:val="00A34B4E"/>
    <w:rsid w:val="00A34B58"/>
    <w:rsid w:val="00A34B59"/>
    <w:rsid w:val="00A34C6F"/>
    <w:rsid w:val="00A34DF2"/>
    <w:rsid w:val="00A34E5C"/>
    <w:rsid w:val="00A3504D"/>
    <w:rsid w:val="00A3508D"/>
    <w:rsid w:val="00A350C3"/>
    <w:rsid w:val="00A3512C"/>
    <w:rsid w:val="00A3516C"/>
    <w:rsid w:val="00A3537F"/>
    <w:rsid w:val="00A35430"/>
    <w:rsid w:val="00A35529"/>
    <w:rsid w:val="00A356A7"/>
    <w:rsid w:val="00A358CA"/>
    <w:rsid w:val="00A35973"/>
    <w:rsid w:val="00A35A00"/>
    <w:rsid w:val="00A35B12"/>
    <w:rsid w:val="00A35B7C"/>
    <w:rsid w:val="00A35C56"/>
    <w:rsid w:val="00A35DEC"/>
    <w:rsid w:val="00A35DED"/>
    <w:rsid w:val="00A360EE"/>
    <w:rsid w:val="00A36102"/>
    <w:rsid w:val="00A361C8"/>
    <w:rsid w:val="00A36260"/>
    <w:rsid w:val="00A36462"/>
    <w:rsid w:val="00A364DE"/>
    <w:rsid w:val="00A36620"/>
    <w:rsid w:val="00A36726"/>
    <w:rsid w:val="00A3672C"/>
    <w:rsid w:val="00A36822"/>
    <w:rsid w:val="00A36852"/>
    <w:rsid w:val="00A36874"/>
    <w:rsid w:val="00A36880"/>
    <w:rsid w:val="00A3699D"/>
    <w:rsid w:val="00A36B0F"/>
    <w:rsid w:val="00A36C1D"/>
    <w:rsid w:val="00A36C6E"/>
    <w:rsid w:val="00A36D75"/>
    <w:rsid w:val="00A36D8E"/>
    <w:rsid w:val="00A36D97"/>
    <w:rsid w:val="00A36E46"/>
    <w:rsid w:val="00A3703E"/>
    <w:rsid w:val="00A37054"/>
    <w:rsid w:val="00A370EB"/>
    <w:rsid w:val="00A37119"/>
    <w:rsid w:val="00A37120"/>
    <w:rsid w:val="00A37148"/>
    <w:rsid w:val="00A3716A"/>
    <w:rsid w:val="00A3718C"/>
    <w:rsid w:val="00A37212"/>
    <w:rsid w:val="00A37318"/>
    <w:rsid w:val="00A373B6"/>
    <w:rsid w:val="00A373B8"/>
    <w:rsid w:val="00A374BB"/>
    <w:rsid w:val="00A375DB"/>
    <w:rsid w:val="00A3764B"/>
    <w:rsid w:val="00A37709"/>
    <w:rsid w:val="00A37782"/>
    <w:rsid w:val="00A37862"/>
    <w:rsid w:val="00A37881"/>
    <w:rsid w:val="00A37A34"/>
    <w:rsid w:val="00A37D2E"/>
    <w:rsid w:val="00A37DE9"/>
    <w:rsid w:val="00A37E7C"/>
    <w:rsid w:val="00A37EC7"/>
    <w:rsid w:val="00A37EF1"/>
    <w:rsid w:val="00A37FF2"/>
    <w:rsid w:val="00A40276"/>
    <w:rsid w:val="00A402E8"/>
    <w:rsid w:val="00A40495"/>
    <w:rsid w:val="00A4079E"/>
    <w:rsid w:val="00A40920"/>
    <w:rsid w:val="00A40A39"/>
    <w:rsid w:val="00A40ADB"/>
    <w:rsid w:val="00A40AE5"/>
    <w:rsid w:val="00A40CD4"/>
    <w:rsid w:val="00A40D4D"/>
    <w:rsid w:val="00A40DA4"/>
    <w:rsid w:val="00A40DC6"/>
    <w:rsid w:val="00A40F21"/>
    <w:rsid w:val="00A410B5"/>
    <w:rsid w:val="00A410E4"/>
    <w:rsid w:val="00A41159"/>
    <w:rsid w:val="00A412A3"/>
    <w:rsid w:val="00A41375"/>
    <w:rsid w:val="00A41429"/>
    <w:rsid w:val="00A415CA"/>
    <w:rsid w:val="00A415D4"/>
    <w:rsid w:val="00A416E7"/>
    <w:rsid w:val="00A41815"/>
    <w:rsid w:val="00A41948"/>
    <w:rsid w:val="00A4194D"/>
    <w:rsid w:val="00A4198F"/>
    <w:rsid w:val="00A41B5C"/>
    <w:rsid w:val="00A41F70"/>
    <w:rsid w:val="00A42129"/>
    <w:rsid w:val="00A4212A"/>
    <w:rsid w:val="00A4214B"/>
    <w:rsid w:val="00A42208"/>
    <w:rsid w:val="00A422A3"/>
    <w:rsid w:val="00A4235F"/>
    <w:rsid w:val="00A42530"/>
    <w:rsid w:val="00A4254E"/>
    <w:rsid w:val="00A425B1"/>
    <w:rsid w:val="00A42712"/>
    <w:rsid w:val="00A427A7"/>
    <w:rsid w:val="00A427B7"/>
    <w:rsid w:val="00A42809"/>
    <w:rsid w:val="00A4296A"/>
    <w:rsid w:val="00A42AD4"/>
    <w:rsid w:val="00A42B66"/>
    <w:rsid w:val="00A42C10"/>
    <w:rsid w:val="00A42C42"/>
    <w:rsid w:val="00A42D9D"/>
    <w:rsid w:val="00A42E15"/>
    <w:rsid w:val="00A42E44"/>
    <w:rsid w:val="00A42E92"/>
    <w:rsid w:val="00A42F00"/>
    <w:rsid w:val="00A4301A"/>
    <w:rsid w:val="00A43071"/>
    <w:rsid w:val="00A43088"/>
    <w:rsid w:val="00A43136"/>
    <w:rsid w:val="00A43244"/>
    <w:rsid w:val="00A43374"/>
    <w:rsid w:val="00A43423"/>
    <w:rsid w:val="00A4343F"/>
    <w:rsid w:val="00A43456"/>
    <w:rsid w:val="00A43491"/>
    <w:rsid w:val="00A43553"/>
    <w:rsid w:val="00A43670"/>
    <w:rsid w:val="00A436BE"/>
    <w:rsid w:val="00A4371C"/>
    <w:rsid w:val="00A437B2"/>
    <w:rsid w:val="00A43823"/>
    <w:rsid w:val="00A43829"/>
    <w:rsid w:val="00A43905"/>
    <w:rsid w:val="00A43A03"/>
    <w:rsid w:val="00A43A5C"/>
    <w:rsid w:val="00A43A6F"/>
    <w:rsid w:val="00A43B06"/>
    <w:rsid w:val="00A43BFB"/>
    <w:rsid w:val="00A43C7C"/>
    <w:rsid w:val="00A43CFD"/>
    <w:rsid w:val="00A43D44"/>
    <w:rsid w:val="00A43E3F"/>
    <w:rsid w:val="00A43ED9"/>
    <w:rsid w:val="00A43EF5"/>
    <w:rsid w:val="00A44191"/>
    <w:rsid w:val="00A4458E"/>
    <w:rsid w:val="00A445CB"/>
    <w:rsid w:val="00A4475F"/>
    <w:rsid w:val="00A447B1"/>
    <w:rsid w:val="00A4480E"/>
    <w:rsid w:val="00A448BB"/>
    <w:rsid w:val="00A4496A"/>
    <w:rsid w:val="00A44973"/>
    <w:rsid w:val="00A449CB"/>
    <w:rsid w:val="00A44C20"/>
    <w:rsid w:val="00A44CA6"/>
    <w:rsid w:val="00A44CCD"/>
    <w:rsid w:val="00A44CF9"/>
    <w:rsid w:val="00A44D09"/>
    <w:rsid w:val="00A44D58"/>
    <w:rsid w:val="00A44D90"/>
    <w:rsid w:val="00A44E5D"/>
    <w:rsid w:val="00A44F4D"/>
    <w:rsid w:val="00A44F86"/>
    <w:rsid w:val="00A44FFC"/>
    <w:rsid w:val="00A45127"/>
    <w:rsid w:val="00A451CC"/>
    <w:rsid w:val="00A451D1"/>
    <w:rsid w:val="00A45201"/>
    <w:rsid w:val="00A452C3"/>
    <w:rsid w:val="00A452F4"/>
    <w:rsid w:val="00A45454"/>
    <w:rsid w:val="00A45484"/>
    <w:rsid w:val="00A455E5"/>
    <w:rsid w:val="00A456BE"/>
    <w:rsid w:val="00A45742"/>
    <w:rsid w:val="00A457E8"/>
    <w:rsid w:val="00A458B1"/>
    <w:rsid w:val="00A458E8"/>
    <w:rsid w:val="00A458F6"/>
    <w:rsid w:val="00A45A24"/>
    <w:rsid w:val="00A45CE4"/>
    <w:rsid w:val="00A45E31"/>
    <w:rsid w:val="00A45EC3"/>
    <w:rsid w:val="00A45F5F"/>
    <w:rsid w:val="00A45F7F"/>
    <w:rsid w:val="00A45FE3"/>
    <w:rsid w:val="00A46068"/>
    <w:rsid w:val="00A460B7"/>
    <w:rsid w:val="00A46209"/>
    <w:rsid w:val="00A4634D"/>
    <w:rsid w:val="00A4640C"/>
    <w:rsid w:val="00A465AA"/>
    <w:rsid w:val="00A465FC"/>
    <w:rsid w:val="00A4663B"/>
    <w:rsid w:val="00A46656"/>
    <w:rsid w:val="00A467F1"/>
    <w:rsid w:val="00A4680E"/>
    <w:rsid w:val="00A46832"/>
    <w:rsid w:val="00A4688B"/>
    <w:rsid w:val="00A46AA3"/>
    <w:rsid w:val="00A46B4A"/>
    <w:rsid w:val="00A46B6E"/>
    <w:rsid w:val="00A46D0C"/>
    <w:rsid w:val="00A4710C"/>
    <w:rsid w:val="00A4712A"/>
    <w:rsid w:val="00A4716B"/>
    <w:rsid w:val="00A47252"/>
    <w:rsid w:val="00A472FB"/>
    <w:rsid w:val="00A47535"/>
    <w:rsid w:val="00A47581"/>
    <w:rsid w:val="00A4760C"/>
    <w:rsid w:val="00A4766D"/>
    <w:rsid w:val="00A4770B"/>
    <w:rsid w:val="00A477B4"/>
    <w:rsid w:val="00A4787B"/>
    <w:rsid w:val="00A47A3F"/>
    <w:rsid w:val="00A47B5E"/>
    <w:rsid w:val="00A47B7C"/>
    <w:rsid w:val="00A47BF4"/>
    <w:rsid w:val="00A47E63"/>
    <w:rsid w:val="00A5001D"/>
    <w:rsid w:val="00A50053"/>
    <w:rsid w:val="00A500DD"/>
    <w:rsid w:val="00A500E8"/>
    <w:rsid w:val="00A50186"/>
    <w:rsid w:val="00A50203"/>
    <w:rsid w:val="00A5021A"/>
    <w:rsid w:val="00A50241"/>
    <w:rsid w:val="00A5039D"/>
    <w:rsid w:val="00A5048C"/>
    <w:rsid w:val="00A505A7"/>
    <w:rsid w:val="00A505B0"/>
    <w:rsid w:val="00A505C3"/>
    <w:rsid w:val="00A507EB"/>
    <w:rsid w:val="00A50800"/>
    <w:rsid w:val="00A5095E"/>
    <w:rsid w:val="00A509C5"/>
    <w:rsid w:val="00A509C9"/>
    <w:rsid w:val="00A50A85"/>
    <w:rsid w:val="00A50B65"/>
    <w:rsid w:val="00A50C42"/>
    <w:rsid w:val="00A50D52"/>
    <w:rsid w:val="00A50DB9"/>
    <w:rsid w:val="00A50DC4"/>
    <w:rsid w:val="00A50EE0"/>
    <w:rsid w:val="00A50F2E"/>
    <w:rsid w:val="00A5108E"/>
    <w:rsid w:val="00A5135E"/>
    <w:rsid w:val="00A5141C"/>
    <w:rsid w:val="00A51468"/>
    <w:rsid w:val="00A517F4"/>
    <w:rsid w:val="00A517F8"/>
    <w:rsid w:val="00A51871"/>
    <w:rsid w:val="00A518F8"/>
    <w:rsid w:val="00A51902"/>
    <w:rsid w:val="00A51B0A"/>
    <w:rsid w:val="00A51B1F"/>
    <w:rsid w:val="00A51BC0"/>
    <w:rsid w:val="00A51C5B"/>
    <w:rsid w:val="00A51C80"/>
    <w:rsid w:val="00A51D00"/>
    <w:rsid w:val="00A51D9F"/>
    <w:rsid w:val="00A51E92"/>
    <w:rsid w:val="00A51EE1"/>
    <w:rsid w:val="00A51F58"/>
    <w:rsid w:val="00A51F8E"/>
    <w:rsid w:val="00A52008"/>
    <w:rsid w:val="00A5214F"/>
    <w:rsid w:val="00A52296"/>
    <w:rsid w:val="00A52358"/>
    <w:rsid w:val="00A52418"/>
    <w:rsid w:val="00A52567"/>
    <w:rsid w:val="00A52646"/>
    <w:rsid w:val="00A526BB"/>
    <w:rsid w:val="00A5275E"/>
    <w:rsid w:val="00A52761"/>
    <w:rsid w:val="00A52873"/>
    <w:rsid w:val="00A528F1"/>
    <w:rsid w:val="00A52D8B"/>
    <w:rsid w:val="00A52DAA"/>
    <w:rsid w:val="00A52DF1"/>
    <w:rsid w:val="00A52E07"/>
    <w:rsid w:val="00A52E4A"/>
    <w:rsid w:val="00A52ED3"/>
    <w:rsid w:val="00A52EEA"/>
    <w:rsid w:val="00A52EF9"/>
    <w:rsid w:val="00A52F4F"/>
    <w:rsid w:val="00A530A4"/>
    <w:rsid w:val="00A530D8"/>
    <w:rsid w:val="00A530F1"/>
    <w:rsid w:val="00A531A8"/>
    <w:rsid w:val="00A531A9"/>
    <w:rsid w:val="00A531D3"/>
    <w:rsid w:val="00A53216"/>
    <w:rsid w:val="00A5321D"/>
    <w:rsid w:val="00A53278"/>
    <w:rsid w:val="00A532EC"/>
    <w:rsid w:val="00A532F5"/>
    <w:rsid w:val="00A5336B"/>
    <w:rsid w:val="00A5336D"/>
    <w:rsid w:val="00A533B4"/>
    <w:rsid w:val="00A533E4"/>
    <w:rsid w:val="00A534B8"/>
    <w:rsid w:val="00A53500"/>
    <w:rsid w:val="00A53948"/>
    <w:rsid w:val="00A53975"/>
    <w:rsid w:val="00A53DBC"/>
    <w:rsid w:val="00A53E4E"/>
    <w:rsid w:val="00A53E8D"/>
    <w:rsid w:val="00A53EA2"/>
    <w:rsid w:val="00A53EEB"/>
    <w:rsid w:val="00A53F4C"/>
    <w:rsid w:val="00A540B1"/>
    <w:rsid w:val="00A540D0"/>
    <w:rsid w:val="00A54137"/>
    <w:rsid w:val="00A541BF"/>
    <w:rsid w:val="00A54451"/>
    <w:rsid w:val="00A545AB"/>
    <w:rsid w:val="00A5462E"/>
    <w:rsid w:val="00A54700"/>
    <w:rsid w:val="00A54756"/>
    <w:rsid w:val="00A5496D"/>
    <w:rsid w:val="00A54998"/>
    <w:rsid w:val="00A54BA3"/>
    <w:rsid w:val="00A54BEE"/>
    <w:rsid w:val="00A54C35"/>
    <w:rsid w:val="00A54C93"/>
    <w:rsid w:val="00A54D26"/>
    <w:rsid w:val="00A54D39"/>
    <w:rsid w:val="00A54D65"/>
    <w:rsid w:val="00A54EC7"/>
    <w:rsid w:val="00A55100"/>
    <w:rsid w:val="00A551D6"/>
    <w:rsid w:val="00A55205"/>
    <w:rsid w:val="00A55323"/>
    <w:rsid w:val="00A553D8"/>
    <w:rsid w:val="00A553F8"/>
    <w:rsid w:val="00A5540E"/>
    <w:rsid w:val="00A556A1"/>
    <w:rsid w:val="00A556F2"/>
    <w:rsid w:val="00A5577E"/>
    <w:rsid w:val="00A55912"/>
    <w:rsid w:val="00A55A12"/>
    <w:rsid w:val="00A55A54"/>
    <w:rsid w:val="00A55B11"/>
    <w:rsid w:val="00A55BB8"/>
    <w:rsid w:val="00A55BEE"/>
    <w:rsid w:val="00A55DEC"/>
    <w:rsid w:val="00A55F8C"/>
    <w:rsid w:val="00A56128"/>
    <w:rsid w:val="00A561FA"/>
    <w:rsid w:val="00A56219"/>
    <w:rsid w:val="00A5627E"/>
    <w:rsid w:val="00A5639A"/>
    <w:rsid w:val="00A563AA"/>
    <w:rsid w:val="00A56532"/>
    <w:rsid w:val="00A5653C"/>
    <w:rsid w:val="00A56569"/>
    <w:rsid w:val="00A565AE"/>
    <w:rsid w:val="00A56771"/>
    <w:rsid w:val="00A568ED"/>
    <w:rsid w:val="00A5694F"/>
    <w:rsid w:val="00A56A77"/>
    <w:rsid w:val="00A56AED"/>
    <w:rsid w:val="00A56CBD"/>
    <w:rsid w:val="00A56F97"/>
    <w:rsid w:val="00A56FB4"/>
    <w:rsid w:val="00A5713D"/>
    <w:rsid w:val="00A5723B"/>
    <w:rsid w:val="00A57287"/>
    <w:rsid w:val="00A572B1"/>
    <w:rsid w:val="00A5730A"/>
    <w:rsid w:val="00A5742A"/>
    <w:rsid w:val="00A57608"/>
    <w:rsid w:val="00A57613"/>
    <w:rsid w:val="00A57673"/>
    <w:rsid w:val="00A577E7"/>
    <w:rsid w:val="00A578E8"/>
    <w:rsid w:val="00A57A26"/>
    <w:rsid w:val="00A57A5B"/>
    <w:rsid w:val="00A57A8B"/>
    <w:rsid w:val="00A57A9C"/>
    <w:rsid w:val="00A57B71"/>
    <w:rsid w:val="00A57CA9"/>
    <w:rsid w:val="00A57DFF"/>
    <w:rsid w:val="00A591BD"/>
    <w:rsid w:val="00A60186"/>
    <w:rsid w:val="00A604D9"/>
    <w:rsid w:val="00A605D8"/>
    <w:rsid w:val="00A60608"/>
    <w:rsid w:val="00A60659"/>
    <w:rsid w:val="00A60687"/>
    <w:rsid w:val="00A606EF"/>
    <w:rsid w:val="00A6072D"/>
    <w:rsid w:val="00A60858"/>
    <w:rsid w:val="00A60A20"/>
    <w:rsid w:val="00A60A58"/>
    <w:rsid w:val="00A60ABB"/>
    <w:rsid w:val="00A60ABC"/>
    <w:rsid w:val="00A60ACB"/>
    <w:rsid w:val="00A60AD2"/>
    <w:rsid w:val="00A60BA9"/>
    <w:rsid w:val="00A60E43"/>
    <w:rsid w:val="00A60F5C"/>
    <w:rsid w:val="00A610DC"/>
    <w:rsid w:val="00A61473"/>
    <w:rsid w:val="00A614D7"/>
    <w:rsid w:val="00A61561"/>
    <w:rsid w:val="00A61655"/>
    <w:rsid w:val="00A6174B"/>
    <w:rsid w:val="00A617F1"/>
    <w:rsid w:val="00A61841"/>
    <w:rsid w:val="00A618B6"/>
    <w:rsid w:val="00A618C7"/>
    <w:rsid w:val="00A618CF"/>
    <w:rsid w:val="00A61908"/>
    <w:rsid w:val="00A61992"/>
    <w:rsid w:val="00A619B1"/>
    <w:rsid w:val="00A61A63"/>
    <w:rsid w:val="00A61B4B"/>
    <w:rsid w:val="00A61C89"/>
    <w:rsid w:val="00A61D51"/>
    <w:rsid w:val="00A61D5A"/>
    <w:rsid w:val="00A62045"/>
    <w:rsid w:val="00A620B4"/>
    <w:rsid w:val="00A621C2"/>
    <w:rsid w:val="00A62237"/>
    <w:rsid w:val="00A62263"/>
    <w:rsid w:val="00A622D8"/>
    <w:rsid w:val="00A62304"/>
    <w:rsid w:val="00A62450"/>
    <w:rsid w:val="00A62619"/>
    <w:rsid w:val="00A62792"/>
    <w:rsid w:val="00A6288C"/>
    <w:rsid w:val="00A628DF"/>
    <w:rsid w:val="00A6295B"/>
    <w:rsid w:val="00A62AA2"/>
    <w:rsid w:val="00A62AD3"/>
    <w:rsid w:val="00A62C69"/>
    <w:rsid w:val="00A62E53"/>
    <w:rsid w:val="00A62E58"/>
    <w:rsid w:val="00A62EB2"/>
    <w:rsid w:val="00A62EF4"/>
    <w:rsid w:val="00A62F14"/>
    <w:rsid w:val="00A62F50"/>
    <w:rsid w:val="00A63010"/>
    <w:rsid w:val="00A63022"/>
    <w:rsid w:val="00A631AA"/>
    <w:rsid w:val="00A6325E"/>
    <w:rsid w:val="00A63414"/>
    <w:rsid w:val="00A63432"/>
    <w:rsid w:val="00A6353F"/>
    <w:rsid w:val="00A635F7"/>
    <w:rsid w:val="00A63807"/>
    <w:rsid w:val="00A63A96"/>
    <w:rsid w:val="00A63AF6"/>
    <w:rsid w:val="00A63B9B"/>
    <w:rsid w:val="00A63BA4"/>
    <w:rsid w:val="00A63C21"/>
    <w:rsid w:val="00A63E30"/>
    <w:rsid w:val="00A63E49"/>
    <w:rsid w:val="00A63E8F"/>
    <w:rsid w:val="00A6408F"/>
    <w:rsid w:val="00A641AC"/>
    <w:rsid w:val="00A64295"/>
    <w:rsid w:val="00A6435B"/>
    <w:rsid w:val="00A643BC"/>
    <w:rsid w:val="00A6475D"/>
    <w:rsid w:val="00A6483D"/>
    <w:rsid w:val="00A6485F"/>
    <w:rsid w:val="00A648BB"/>
    <w:rsid w:val="00A648BD"/>
    <w:rsid w:val="00A6491D"/>
    <w:rsid w:val="00A64B99"/>
    <w:rsid w:val="00A64BC6"/>
    <w:rsid w:val="00A64C35"/>
    <w:rsid w:val="00A64CBE"/>
    <w:rsid w:val="00A64CCA"/>
    <w:rsid w:val="00A64CF5"/>
    <w:rsid w:val="00A64E96"/>
    <w:rsid w:val="00A64FD8"/>
    <w:rsid w:val="00A650A5"/>
    <w:rsid w:val="00A650E2"/>
    <w:rsid w:val="00A65180"/>
    <w:rsid w:val="00A65191"/>
    <w:rsid w:val="00A65296"/>
    <w:rsid w:val="00A65766"/>
    <w:rsid w:val="00A65800"/>
    <w:rsid w:val="00A658E8"/>
    <w:rsid w:val="00A659D6"/>
    <w:rsid w:val="00A65AA3"/>
    <w:rsid w:val="00A65B0B"/>
    <w:rsid w:val="00A65B2D"/>
    <w:rsid w:val="00A65BB1"/>
    <w:rsid w:val="00A65C9C"/>
    <w:rsid w:val="00A65DC5"/>
    <w:rsid w:val="00A65EF4"/>
    <w:rsid w:val="00A66013"/>
    <w:rsid w:val="00A66046"/>
    <w:rsid w:val="00A66111"/>
    <w:rsid w:val="00A66134"/>
    <w:rsid w:val="00A6626B"/>
    <w:rsid w:val="00A662F0"/>
    <w:rsid w:val="00A6636C"/>
    <w:rsid w:val="00A663B2"/>
    <w:rsid w:val="00A663E4"/>
    <w:rsid w:val="00A6647E"/>
    <w:rsid w:val="00A664B2"/>
    <w:rsid w:val="00A664BC"/>
    <w:rsid w:val="00A6650D"/>
    <w:rsid w:val="00A665CD"/>
    <w:rsid w:val="00A6666F"/>
    <w:rsid w:val="00A666B4"/>
    <w:rsid w:val="00A66747"/>
    <w:rsid w:val="00A667A6"/>
    <w:rsid w:val="00A667F0"/>
    <w:rsid w:val="00A66845"/>
    <w:rsid w:val="00A66A36"/>
    <w:rsid w:val="00A66BAA"/>
    <w:rsid w:val="00A66C4A"/>
    <w:rsid w:val="00A66C60"/>
    <w:rsid w:val="00A66C73"/>
    <w:rsid w:val="00A66E66"/>
    <w:rsid w:val="00A66E68"/>
    <w:rsid w:val="00A66EB4"/>
    <w:rsid w:val="00A66EF9"/>
    <w:rsid w:val="00A67094"/>
    <w:rsid w:val="00A670B5"/>
    <w:rsid w:val="00A67115"/>
    <w:rsid w:val="00A6717D"/>
    <w:rsid w:val="00A67185"/>
    <w:rsid w:val="00A6718A"/>
    <w:rsid w:val="00A671C2"/>
    <w:rsid w:val="00A671E9"/>
    <w:rsid w:val="00A67244"/>
    <w:rsid w:val="00A67274"/>
    <w:rsid w:val="00A67407"/>
    <w:rsid w:val="00A6745E"/>
    <w:rsid w:val="00A6755B"/>
    <w:rsid w:val="00A675A0"/>
    <w:rsid w:val="00A67760"/>
    <w:rsid w:val="00A67836"/>
    <w:rsid w:val="00A67858"/>
    <w:rsid w:val="00A679CF"/>
    <w:rsid w:val="00A679F7"/>
    <w:rsid w:val="00A67A21"/>
    <w:rsid w:val="00A67A35"/>
    <w:rsid w:val="00A67BCD"/>
    <w:rsid w:val="00A67BD1"/>
    <w:rsid w:val="00A67DA1"/>
    <w:rsid w:val="00A67F75"/>
    <w:rsid w:val="00A700D0"/>
    <w:rsid w:val="00A7024A"/>
    <w:rsid w:val="00A70254"/>
    <w:rsid w:val="00A702F7"/>
    <w:rsid w:val="00A7034A"/>
    <w:rsid w:val="00A7036D"/>
    <w:rsid w:val="00A70390"/>
    <w:rsid w:val="00A7048F"/>
    <w:rsid w:val="00A704E4"/>
    <w:rsid w:val="00A70600"/>
    <w:rsid w:val="00A70614"/>
    <w:rsid w:val="00A70641"/>
    <w:rsid w:val="00A7094C"/>
    <w:rsid w:val="00A70A03"/>
    <w:rsid w:val="00A70AC8"/>
    <w:rsid w:val="00A70AD0"/>
    <w:rsid w:val="00A70B93"/>
    <w:rsid w:val="00A70B96"/>
    <w:rsid w:val="00A70BB8"/>
    <w:rsid w:val="00A70D02"/>
    <w:rsid w:val="00A70EB4"/>
    <w:rsid w:val="00A70F6B"/>
    <w:rsid w:val="00A71017"/>
    <w:rsid w:val="00A71193"/>
    <w:rsid w:val="00A711DA"/>
    <w:rsid w:val="00A7138D"/>
    <w:rsid w:val="00A715F2"/>
    <w:rsid w:val="00A71682"/>
    <w:rsid w:val="00A71700"/>
    <w:rsid w:val="00A717A0"/>
    <w:rsid w:val="00A71802"/>
    <w:rsid w:val="00A7188F"/>
    <w:rsid w:val="00A718B2"/>
    <w:rsid w:val="00A71942"/>
    <w:rsid w:val="00A71C6E"/>
    <w:rsid w:val="00A71E87"/>
    <w:rsid w:val="00A71E92"/>
    <w:rsid w:val="00A71F75"/>
    <w:rsid w:val="00A72085"/>
    <w:rsid w:val="00A7215D"/>
    <w:rsid w:val="00A7226E"/>
    <w:rsid w:val="00A7239D"/>
    <w:rsid w:val="00A7246F"/>
    <w:rsid w:val="00A7247E"/>
    <w:rsid w:val="00A724E8"/>
    <w:rsid w:val="00A72534"/>
    <w:rsid w:val="00A7262F"/>
    <w:rsid w:val="00A7269E"/>
    <w:rsid w:val="00A726B7"/>
    <w:rsid w:val="00A726E7"/>
    <w:rsid w:val="00A7282A"/>
    <w:rsid w:val="00A7284C"/>
    <w:rsid w:val="00A7285F"/>
    <w:rsid w:val="00A728FE"/>
    <w:rsid w:val="00A72970"/>
    <w:rsid w:val="00A72A59"/>
    <w:rsid w:val="00A72B7E"/>
    <w:rsid w:val="00A72BA4"/>
    <w:rsid w:val="00A72C1A"/>
    <w:rsid w:val="00A72D93"/>
    <w:rsid w:val="00A72DB5"/>
    <w:rsid w:val="00A72EBB"/>
    <w:rsid w:val="00A73106"/>
    <w:rsid w:val="00A73177"/>
    <w:rsid w:val="00A731F7"/>
    <w:rsid w:val="00A733B3"/>
    <w:rsid w:val="00A733FC"/>
    <w:rsid w:val="00A7353D"/>
    <w:rsid w:val="00A7358C"/>
    <w:rsid w:val="00A73604"/>
    <w:rsid w:val="00A736D7"/>
    <w:rsid w:val="00A7374F"/>
    <w:rsid w:val="00A737BA"/>
    <w:rsid w:val="00A73907"/>
    <w:rsid w:val="00A739F2"/>
    <w:rsid w:val="00A73A88"/>
    <w:rsid w:val="00A73B30"/>
    <w:rsid w:val="00A73B38"/>
    <w:rsid w:val="00A73C6C"/>
    <w:rsid w:val="00A73D04"/>
    <w:rsid w:val="00A73D67"/>
    <w:rsid w:val="00A73E7E"/>
    <w:rsid w:val="00A74076"/>
    <w:rsid w:val="00A74096"/>
    <w:rsid w:val="00A74295"/>
    <w:rsid w:val="00A742A7"/>
    <w:rsid w:val="00A742F5"/>
    <w:rsid w:val="00A7436E"/>
    <w:rsid w:val="00A7444B"/>
    <w:rsid w:val="00A7445D"/>
    <w:rsid w:val="00A74475"/>
    <w:rsid w:val="00A744D1"/>
    <w:rsid w:val="00A74522"/>
    <w:rsid w:val="00A74563"/>
    <w:rsid w:val="00A74630"/>
    <w:rsid w:val="00A74655"/>
    <w:rsid w:val="00A74787"/>
    <w:rsid w:val="00A74824"/>
    <w:rsid w:val="00A74883"/>
    <w:rsid w:val="00A7489C"/>
    <w:rsid w:val="00A749AD"/>
    <w:rsid w:val="00A74A95"/>
    <w:rsid w:val="00A74B4E"/>
    <w:rsid w:val="00A74CAC"/>
    <w:rsid w:val="00A74CD8"/>
    <w:rsid w:val="00A74CE8"/>
    <w:rsid w:val="00A74E57"/>
    <w:rsid w:val="00A74EE9"/>
    <w:rsid w:val="00A74FE2"/>
    <w:rsid w:val="00A752EB"/>
    <w:rsid w:val="00A7534A"/>
    <w:rsid w:val="00A7555A"/>
    <w:rsid w:val="00A7555F"/>
    <w:rsid w:val="00A755FD"/>
    <w:rsid w:val="00A75711"/>
    <w:rsid w:val="00A75733"/>
    <w:rsid w:val="00A757CB"/>
    <w:rsid w:val="00A757F9"/>
    <w:rsid w:val="00A7589F"/>
    <w:rsid w:val="00A75918"/>
    <w:rsid w:val="00A759F2"/>
    <w:rsid w:val="00A75ABD"/>
    <w:rsid w:val="00A75AE4"/>
    <w:rsid w:val="00A75AFF"/>
    <w:rsid w:val="00A75BAE"/>
    <w:rsid w:val="00A75D38"/>
    <w:rsid w:val="00A75EF8"/>
    <w:rsid w:val="00A760B4"/>
    <w:rsid w:val="00A760E2"/>
    <w:rsid w:val="00A761EF"/>
    <w:rsid w:val="00A76212"/>
    <w:rsid w:val="00A76239"/>
    <w:rsid w:val="00A762A7"/>
    <w:rsid w:val="00A763DE"/>
    <w:rsid w:val="00A76502"/>
    <w:rsid w:val="00A7654A"/>
    <w:rsid w:val="00A765C7"/>
    <w:rsid w:val="00A76678"/>
    <w:rsid w:val="00A766F9"/>
    <w:rsid w:val="00A766FC"/>
    <w:rsid w:val="00A7676C"/>
    <w:rsid w:val="00A767B8"/>
    <w:rsid w:val="00A76817"/>
    <w:rsid w:val="00A768FD"/>
    <w:rsid w:val="00A769CB"/>
    <w:rsid w:val="00A76B75"/>
    <w:rsid w:val="00A76C26"/>
    <w:rsid w:val="00A76C97"/>
    <w:rsid w:val="00A76CA2"/>
    <w:rsid w:val="00A76D54"/>
    <w:rsid w:val="00A76DF9"/>
    <w:rsid w:val="00A76E5F"/>
    <w:rsid w:val="00A76ED9"/>
    <w:rsid w:val="00A7714F"/>
    <w:rsid w:val="00A77280"/>
    <w:rsid w:val="00A772EF"/>
    <w:rsid w:val="00A77337"/>
    <w:rsid w:val="00A773C5"/>
    <w:rsid w:val="00A77547"/>
    <w:rsid w:val="00A775E6"/>
    <w:rsid w:val="00A775F1"/>
    <w:rsid w:val="00A776A9"/>
    <w:rsid w:val="00A77814"/>
    <w:rsid w:val="00A7788A"/>
    <w:rsid w:val="00A77914"/>
    <w:rsid w:val="00A77918"/>
    <w:rsid w:val="00A77BC1"/>
    <w:rsid w:val="00A77BE9"/>
    <w:rsid w:val="00A77D9C"/>
    <w:rsid w:val="00A77DAF"/>
    <w:rsid w:val="00A77DFB"/>
    <w:rsid w:val="00A77E61"/>
    <w:rsid w:val="00A77E65"/>
    <w:rsid w:val="00A77F59"/>
    <w:rsid w:val="00A77F94"/>
    <w:rsid w:val="00A80105"/>
    <w:rsid w:val="00A8016D"/>
    <w:rsid w:val="00A801EB"/>
    <w:rsid w:val="00A80207"/>
    <w:rsid w:val="00A80251"/>
    <w:rsid w:val="00A8033E"/>
    <w:rsid w:val="00A80433"/>
    <w:rsid w:val="00A80434"/>
    <w:rsid w:val="00A80471"/>
    <w:rsid w:val="00A806B1"/>
    <w:rsid w:val="00A806B3"/>
    <w:rsid w:val="00A806CB"/>
    <w:rsid w:val="00A807D4"/>
    <w:rsid w:val="00A80862"/>
    <w:rsid w:val="00A80918"/>
    <w:rsid w:val="00A80A3A"/>
    <w:rsid w:val="00A80A89"/>
    <w:rsid w:val="00A80B55"/>
    <w:rsid w:val="00A80C79"/>
    <w:rsid w:val="00A80DF2"/>
    <w:rsid w:val="00A80F73"/>
    <w:rsid w:val="00A80F91"/>
    <w:rsid w:val="00A81133"/>
    <w:rsid w:val="00A8129F"/>
    <w:rsid w:val="00A812C8"/>
    <w:rsid w:val="00A81358"/>
    <w:rsid w:val="00A815B2"/>
    <w:rsid w:val="00A815CE"/>
    <w:rsid w:val="00A81638"/>
    <w:rsid w:val="00A8199D"/>
    <w:rsid w:val="00A81A4C"/>
    <w:rsid w:val="00A81B43"/>
    <w:rsid w:val="00A81B6C"/>
    <w:rsid w:val="00A81B74"/>
    <w:rsid w:val="00A81B92"/>
    <w:rsid w:val="00A81BEC"/>
    <w:rsid w:val="00A81C77"/>
    <w:rsid w:val="00A81CFC"/>
    <w:rsid w:val="00A81D4E"/>
    <w:rsid w:val="00A81D58"/>
    <w:rsid w:val="00A81D73"/>
    <w:rsid w:val="00A81DB8"/>
    <w:rsid w:val="00A81F92"/>
    <w:rsid w:val="00A82012"/>
    <w:rsid w:val="00A821E9"/>
    <w:rsid w:val="00A822C3"/>
    <w:rsid w:val="00A82317"/>
    <w:rsid w:val="00A8284A"/>
    <w:rsid w:val="00A82A73"/>
    <w:rsid w:val="00A82B2F"/>
    <w:rsid w:val="00A82B4D"/>
    <w:rsid w:val="00A82C21"/>
    <w:rsid w:val="00A82F30"/>
    <w:rsid w:val="00A82F8C"/>
    <w:rsid w:val="00A8308D"/>
    <w:rsid w:val="00A83095"/>
    <w:rsid w:val="00A8309B"/>
    <w:rsid w:val="00A8317C"/>
    <w:rsid w:val="00A831A8"/>
    <w:rsid w:val="00A83279"/>
    <w:rsid w:val="00A83334"/>
    <w:rsid w:val="00A83681"/>
    <w:rsid w:val="00A83734"/>
    <w:rsid w:val="00A8374F"/>
    <w:rsid w:val="00A837D0"/>
    <w:rsid w:val="00A83888"/>
    <w:rsid w:val="00A83A42"/>
    <w:rsid w:val="00A83AF7"/>
    <w:rsid w:val="00A83BCB"/>
    <w:rsid w:val="00A83CD3"/>
    <w:rsid w:val="00A83E3A"/>
    <w:rsid w:val="00A83F72"/>
    <w:rsid w:val="00A8407C"/>
    <w:rsid w:val="00A842B4"/>
    <w:rsid w:val="00A842F9"/>
    <w:rsid w:val="00A844A1"/>
    <w:rsid w:val="00A84521"/>
    <w:rsid w:val="00A84558"/>
    <w:rsid w:val="00A845A5"/>
    <w:rsid w:val="00A84735"/>
    <w:rsid w:val="00A849AF"/>
    <w:rsid w:val="00A84A59"/>
    <w:rsid w:val="00A84AC1"/>
    <w:rsid w:val="00A84C96"/>
    <w:rsid w:val="00A84E00"/>
    <w:rsid w:val="00A84EE1"/>
    <w:rsid w:val="00A84F76"/>
    <w:rsid w:val="00A85023"/>
    <w:rsid w:val="00A85080"/>
    <w:rsid w:val="00A850DF"/>
    <w:rsid w:val="00A85220"/>
    <w:rsid w:val="00A853BC"/>
    <w:rsid w:val="00A8550C"/>
    <w:rsid w:val="00A85542"/>
    <w:rsid w:val="00A855BB"/>
    <w:rsid w:val="00A85794"/>
    <w:rsid w:val="00A857A7"/>
    <w:rsid w:val="00A858E4"/>
    <w:rsid w:val="00A85968"/>
    <w:rsid w:val="00A85978"/>
    <w:rsid w:val="00A85BDA"/>
    <w:rsid w:val="00A85F29"/>
    <w:rsid w:val="00A86075"/>
    <w:rsid w:val="00A8607E"/>
    <w:rsid w:val="00A860F3"/>
    <w:rsid w:val="00A8611E"/>
    <w:rsid w:val="00A8620C"/>
    <w:rsid w:val="00A86244"/>
    <w:rsid w:val="00A86262"/>
    <w:rsid w:val="00A863C2"/>
    <w:rsid w:val="00A8641E"/>
    <w:rsid w:val="00A86474"/>
    <w:rsid w:val="00A86541"/>
    <w:rsid w:val="00A8654D"/>
    <w:rsid w:val="00A86623"/>
    <w:rsid w:val="00A8695C"/>
    <w:rsid w:val="00A86998"/>
    <w:rsid w:val="00A869C9"/>
    <w:rsid w:val="00A86C13"/>
    <w:rsid w:val="00A86C87"/>
    <w:rsid w:val="00A86D4D"/>
    <w:rsid w:val="00A87039"/>
    <w:rsid w:val="00A871C8"/>
    <w:rsid w:val="00A87235"/>
    <w:rsid w:val="00A8723E"/>
    <w:rsid w:val="00A872FE"/>
    <w:rsid w:val="00A8740B"/>
    <w:rsid w:val="00A874C2"/>
    <w:rsid w:val="00A8753C"/>
    <w:rsid w:val="00A875AD"/>
    <w:rsid w:val="00A876FC"/>
    <w:rsid w:val="00A8774A"/>
    <w:rsid w:val="00A877F1"/>
    <w:rsid w:val="00A8783D"/>
    <w:rsid w:val="00A87D0B"/>
    <w:rsid w:val="00A87D95"/>
    <w:rsid w:val="00A87F0C"/>
    <w:rsid w:val="00A87F92"/>
    <w:rsid w:val="00A87FEA"/>
    <w:rsid w:val="00A9006F"/>
    <w:rsid w:val="00A900F6"/>
    <w:rsid w:val="00A9014F"/>
    <w:rsid w:val="00A901D0"/>
    <w:rsid w:val="00A90217"/>
    <w:rsid w:val="00A90229"/>
    <w:rsid w:val="00A9022B"/>
    <w:rsid w:val="00A902BF"/>
    <w:rsid w:val="00A903E7"/>
    <w:rsid w:val="00A9040A"/>
    <w:rsid w:val="00A90597"/>
    <w:rsid w:val="00A9089C"/>
    <w:rsid w:val="00A9089E"/>
    <w:rsid w:val="00A90ABE"/>
    <w:rsid w:val="00A90BB5"/>
    <w:rsid w:val="00A90C04"/>
    <w:rsid w:val="00A90C2C"/>
    <w:rsid w:val="00A90C3C"/>
    <w:rsid w:val="00A90D65"/>
    <w:rsid w:val="00A90ECB"/>
    <w:rsid w:val="00A90F9A"/>
    <w:rsid w:val="00A91266"/>
    <w:rsid w:val="00A91293"/>
    <w:rsid w:val="00A912E2"/>
    <w:rsid w:val="00A913BC"/>
    <w:rsid w:val="00A913E2"/>
    <w:rsid w:val="00A913EA"/>
    <w:rsid w:val="00A916EA"/>
    <w:rsid w:val="00A9187D"/>
    <w:rsid w:val="00A918FD"/>
    <w:rsid w:val="00A919A7"/>
    <w:rsid w:val="00A919EF"/>
    <w:rsid w:val="00A919FC"/>
    <w:rsid w:val="00A91A45"/>
    <w:rsid w:val="00A91AE7"/>
    <w:rsid w:val="00A91B65"/>
    <w:rsid w:val="00A91BB2"/>
    <w:rsid w:val="00A91BDB"/>
    <w:rsid w:val="00A91BF8"/>
    <w:rsid w:val="00A91C53"/>
    <w:rsid w:val="00A91D8A"/>
    <w:rsid w:val="00A91EDB"/>
    <w:rsid w:val="00A91F36"/>
    <w:rsid w:val="00A9221F"/>
    <w:rsid w:val="00A9227D"/>
    <w:rsid w:val="00A92306"/>
    <w:rsid w:val="00A92375"/>
    <w:rsid w:val="00A9240F"/>
    <w:rsid w:val="00A9255E"/>
    <w:rsid w:val="00A92561"/>
    <w:rsid w:val="00A9264F"/>
    <w:rsid w:val="00A927B9"/>
    <w:rsid w:val="00A92924"/>
    <w:rsid w:val="00A92A67"/>
    <w:rsid w:val="00A92ACD"/>
    <w:rsid w:val="00A92B1D"/>
    <w:rsid w:val="00A92CB4"/>
    <w:rsid w:val="00A92DEB"/>
    <w:rsid w:val="00A92EB4"/>
    <w:rsid w:val="00A92FEB"/>
    <w:rsid w:val="00A93080"/>
    <w:rsid w:val="00A9308D"/>
    <w:rsid w:val="00A93156"/>
    <w:rsid w:val="00A93205"/>
    <w:rsid w:val="00A9334B"/>
    <w:rsid w:val="00A933A2"/>
    <w:rsid w:val="00A934AA"/>
    <w:rsid w:val="00A9355A"/>
    <w:rsid w:val="00A9357B"/>
    <w:rsid w:val="00A935B7"/>
    <w:rsid w:val="00A936B3"/>
    <w:rsid w:val="00A936E5"/>
    <w:rsid w:val="00A9377B"/>
    <w:rsid w:val="00A938F1"/>
    <w:rsid w:val="00A93C4F"/>
    <w:rsid w:val="00A93D17"/>
    <w:rsid w:val="00A93DE6"/>
    <w:rsid w:val="00A93E31"/>
    <w:rsid w:val="00A93E37"/>
    <w:rsid w:val="00A940C9"/>
    <w:rsid w:val="00A9412B"/>
    <w:rsid w:val="00A941A9"/>
    <w:rsid w:val="00A943F1"/>
    <w:rsid w:val="00A9451A"/>
    <w:rsid w:val="00A94547"/>
    <w:rsid w:val="00A9469F"/>
    <w:rsid w:val="00A946C9"/>
    <w:rsid w:val="00A94745"/>
    <w:rsid w:val="00A948F3"/>
    <w:rsid w:val="00A94A2B"/>
    <w:rsid w:val="00A94BE3"/>
    <w:rsid w:val="00A94C09"/>
    <w:rsid w:val="00A94C4E"/>
    <w:rsid w:val="00A94CCF"/>
    <w:rsid w:val="00A94EA7"/>
    <w:rsid w:val="00A94F0D"/>
    <w:rsid w:val="00A94F25"/>
    <w:rsid w:val="00A94F61"/>
    <w:rsid w:val="00A94FAB"/>
    <w:rsid w:val="00A94FFF"/>
    <w:rsid w:val="00A95179"/>
    <w:rsid w:val="00A951F3"/>
    <w:rsid w:val="00A952B6"/>
    <w:rsid w:val="00A953B6"/>
    <w:rsid w:val="00A95449"/>
    <w:rsid w:val="00A95484"/>
    <w:rsid w:val="00A955F2"/>
    <w:rsid w:val="00A9586E"/>
    <w:rsid w:val="00A958A1"/>
    <w:rsid w:val="00A9593E"/>
    <w:rsid w:val="00A95A07"/>
    <w:rsid w:val="00A95C23"/>
    <w:rsid w:val="00A95C7F"/>
    <w:rsid w:val="00A95E48"/>
    <w:rsid w:val="00A95EDD"/>
    <w:rsid w:val="00A95F26"/>
    <w:rsid w:val="00A9603E"/>
    <w:rsid w:val="00A96178"/>
    <w:rsid w:val="00A96288"/>
    <w:rsid w:val="00A96552"/>
    <w:rsid w:val="00A966F7"/>
    <w:rsid w:val="00A96700"/>
    <w:rsid w:val="00A967BD"/>
    <w:rsid w:val="00A967FD"/>
    <w:rsid w:val="00A96836"/>
    <w:rsid w:val="00A9689C"/>
    <w:rsid w:val="00A968EE"/>
    <w:rsid w:val="00A96983"/>
    <w:rsid w:val="00A96994"/>
    <w:rsid w:val="00A96998"/>
    <w:rsid w:val="00A96A2B"/>
    <w:rsid w:val="00A96A6E"/>
    <w:rsid w:val="00A96CA6"/>
    <w:rsid w:val="00A96CE3"/>
    <w:rsid w:val="00A96DFD"/>
    <w:rsid w:val="00A96E63"/>
    <w:rsid w:val="00A96F33"/>
    <w:rsid w:val="00A970BE"/>
    <w:rsid w:val="00A97238"/>
    <w:rsid w:val="00A97247"/>
    <w:rsid w:val="00A9728F"/>
    <w:rsid w:val="00A972AD"/>
    <w:rsid w:val="00A972F7"/>
    <w:rsid w:val="00A97382"/>
    <w:rsid w:val="00A97453"/>
    <w:rsid w:val="00A974EA"/>
    <w:rsid w:val="00A976BF"/>
    <w:rsid w:val="00A977E9"/>
    <w:rsid w:val="00A97A56"/>
    <w:rsid w:val="00A97AAD"/>
    <w:rsid w:val="00A97B57"/>
    <w:rsid w:val="00A97BE3"/>
    <w:rsid w:val="00A97DB3"/>
    <w:rsid w:val="00A97E47"/>
    <w:rsid w:val="00A97F1E"/>
    <w:rsid w:val="00A97F36"/>
    <w:rsid w:val="00AA006C"/>
    <w:rsid w:val="00AA00DD"/>
    <w:rsid w:val="00AA01AC"/>
    <w:rsid w:val="00AA0230"/>
    <w:rsid w:val="00AA02BB"/>
    <w:rsid w:val="00AA034B"/>
    <w:rsid w:val="00AA0452"/>
    <w:rsid w:val="00AA0472"/>
    <w:rsid w:val="00AA04E3"/>
    <w:rsid w:val="00AA0556"/>
    <w:rsid w:val="00AA064D"/>
    <w:rsid w:val="00AA084B"/>
    <w:rsid w:val="00AA0923"/>
    <w:rsid w:val="00AA0980"/>
    <w:rsid w:val="00AA098C"/>
    <w:rsid w:val="00AA0B7F"/>
    <w:rsid w:val="00AA0E0A"/>
    <w:rsid w:val="00AA0E58"/>
    <w:rsid w:val="00AA0F35"/>
    <w:rsid w:val="00AA0FD2"/>
    <w:rsid w:val="00AA0FD6"/>
    <w:rsid w:val="00AA1076"/>
    <w:rsid w:val="00AA11A6"/>
    <w:rsid w:val="00AA11DC"/>
    <w:rsid w:val="00AA1215"/>
    <w:rsid w:val="00AA130A"/>
    <w:rsid w:val="00AA132D"/>
    <w:rsid w:val="00AA1425"/>
    <w:rsid w:val="00AA169D"/>
    <w:rsid w:val="00AA16C0"/>
    <w:rsid w:val="00AA16C8"/>
    <w:rsid w:val="00AA17C6"/>
    <w:rsid w:val="00AA1850"/>
    <w:rsid w:val="00AA19B3"/>
    <w:rsid w:val="00AA1A65"/>
    <w:rsid w:val="00AA1A98"/>
    <w:rsid w:val="00AA1C52"/>
    <w:rsid w:val="00AA1D12"/>
    <w:rsid w:val="00AA1E60"/>
    <w:rsid w:val="00AA1F8B"/>
    <w:rsid w:val="00AA1FC6"/>
    <w:rsid w:val="00AA20CB"/>
    <w:rsid w:val="00AA2314"/>
    <w:rsid w:val="00AA2325"/>
    <w:rsid w:val="00AA2392"/>
    <w:rsid w:val="00AA247A"/>
    <w:rsid w:val="00AA2525"/>
    <w:rsid w:val="00AA2596"/>
    <w:rsid w:val="00AA262A"/>
    <w:rsid w:val="00AA264B"/>
    <w:rsid w:val="00AA2668"/>
    <w:rsid w:val="00AA266F"/>
    <w:rsid w:val="00AA2675"/>
    <w:rsid w:val="00AA26FE"/>
    <w:rsid w:val="00AA2713"/>
    <w:rsid w:val="00AA2738"/>
    <w:rsid w:val="00AA284E"/>
    <w:rsid w:val="00AA2895"/>
    <w:rsid w:val="00AA28BB"/>
    <w:rsid w:val="00AA28ED"/>
    <w:rsid w:val="00AA2968"/>
    <w:rsid w:val="00AA2A74"/>
    <w:rsid w:val="00AA2B72"/>
    <w:rsid w:val="00AA2BAA"/>
    <w:rsid w:val="00AA2C57"/>
    <w:rsid w:val="00AA2CB7"/>
    <w:rsid w:val="00AA2D6C"/>
    <w:rsid w:val="00AA2E27"/>
    <w:rsid w:val="00AA3018"/>
    <w:rsid w:val="00AA3053"/>
    <w:rsid w:val="00AA315D"/>
    <w:rsid w:val="00AA3348"/>
    <w:rsid w:val="00AA34B4"/>
    <w:rsid w:val="00AA35B7"/>
    <w:rsid w:val="00AA35D6"/>
    <w:rsid w:val="00AA35DA"/>
    <w:rsid w:val="00AA365F"/>
    <w:rsid w:val="00AA3761"/>
    <w:rsid w:val="00AA3797"/>
    <w:rsid w:val="00AA37DF"/>
    <w:rsid w:val="00AA3BDD"/>
    <w:rsid w:val="00AA3BE8"/>
    <w:rsid w:val="00AA3E8F"/>
    <w:rsid w:val="00AA3EF1"/>
    <w:rsid w:val="00AA3F1F"/>
    <w:rsid w:val="00AA40FE"/>
    <w:rsid w:val="00AA4159"/>
    <w:rsid w:val="00AA4191"/>
    <w:rsid w:val="00AA4416"/>
    <w:rsid w:val="00AA4461"/>
    <w:rsid w:val="00AA4469"/>
    <w:rsid w:val="00AA46D6"/>
    <w:rsid w:val="00AA4A2C"/>
    <w:rsid w:val="00AA4A3B"/>
    <w:rsid w:val="00AA4C20"/>
    <w:rsid w:val="00AA4C41"/>
    <w:rsid w:val="00AA4C46"/>
    <w:rsid w:val="00AA4F9E"/>
    <w:rsid w:val="00AA515C"/>
    <w:rsid w:val="00AA52A3"/>
    <w:rsid w:val="00AA52B0"/>
    <w:rsid w:val="00AA535A"/>
    <w:rsid w:val="00AA53FB"/>
    <w:rsid w:val="00AA5507"/>
    <w:rsid w:val="00AA5679"/>
    <w:rsid w:val="00AA59CE"/>
    <w:rsid w:val="00AA5A07"/>
    <w:rsid w:val="00AA5C0C"/>
    <w:rsid w:val="00AA5CF0"/>
    <w:rsid w:val="00AA5D54"/>
    <w:rsid w:val="00AA5E5C"/>
    <w:rsid w:val="00AA5EA9"/>
    <w:rsid w:val="00AA5F26"/>
    <w:rsid w:val="00AA5F31"/>
    <w:rsid w:val="00AA5F51"/>
    <w:rsid w:val="00AA5F6D"/>
    <w:rsid w:val="00AA6072"/>
    <w:rsid w:val="00AA6163"/>
    <w:rsid w:val="00AA61A6"/>
    <w:rsid w:val="00AA627B"/>
    <w:rsid w:val="00AA62D2"/>
    <w:rsid w:val="00AA6390"/>
    <w:rsid w:val="00AA6689"/>
    <w:rsid w:val="00AA66F3"/>
    <w:rsid w:val="00AA672B"/>
    <w:rsid w:val="00AA6899"/>
    <w:rsid w:val="00AA6910"/>
    <w:rsid w:val="00AA6928"/>
    <w:rsid w:val="00AA69C5"/>
    <w:rsid w:val="00AA69E0"/>
    <w:rsid w:val="00AA6A3C"/>
    <w:rsid w:val="00AA6BF4"/>
    <w:rsid w:val="00AA6CFF"/>
    <w:rsid w:val="00AA6DD4"/>
    <w:rsid w:val="00AA6E0F"/>
    <w:rsid w:val="00AA6F59"/>
    <w:rsid w:val="00AA70B8"/>
    <w:rsid w:val="00AA715B"/>
    <w:rsid w:val="00AA723B"/>
    <w:rsid w:val="00AA7377"/>
    <w:rsid w:val="00AA7471"/>
    <w:rsid w:val="00AA7487"/>
    <w:rsid w:val="00AA7520"/>
    <w:rsid w:val="00AA7529"/>
    <w:rsid w:val="00AA7567"/>
    <w:rsid w:val="00AA758C"/>
    <w:rsid w:val="00AA75EC"/>
    <w:rsid w:val="00AA765D"/>
    <w:rsid w:val="00AA76CF"/>
    <w:rsid w:val="00AA776F"/>
    <w:rsid w:val="00AA7808"/>
    <w:rsid w:val="00AA7830"/>
    <w:rsid w:val="00AA7887"/>
    <w:rsid w:val="00AA78E2"/>
    <w:rsid w:val="00AA79D9"/>
    <w:rsid w:val="00AA7A95"/>
    <w:rsid w:val="00AA7A9F"/>
    <w:rsid w:val="00AA7B66"/>
    <w:rsid w:val="00AA7BB1"/>
    <w:rsid w:val="00AA7CE3"/>
    <w:rsid w:val="00AA7D19"/>
    <w:rsid w:val="00AA7D71"/>
    <w:rsid w:val="00AA7E67"/>
    <w:rsid w:val="00AA7ED9"/>
    <w:rsid w:val="00AB0020"/>
    <w:rsid w:val="00AB022D"/>
    <w:rsid w:val="00AB0262"/>
    <w:rsid w:val="00AB02DB"/>
    <w:rsid w:val="00AB0333"/>
    <w:rsid w:val="00AB03AA"/>
    <w:rsid w:val="00AB03F8"/>
    <w:rsid w:val="00AB048A"/>
    <w:rsid w:val="00AB05F2"/>
    <w:rsid w:val="00AB068D"/>
    <w:rsid w:val="00AB07CD"/>
    <w:rsid w:val="00AB08B1"/>
    <w:rsid w:val="00AB08EA"/>
    <w:rsid w:val="00AB09E8"/>
    <w:rsid w:val="00AB0A26"/>
    <w:rsid w:val="00AB0AB4"/>
    <w:rsid w:val="00AB0BD6"/>
    <w:rsid w:val="00AB0CAE"/>
    <w:rsid w:val="00AB0D31"/>
    <w:rsid w:val="00AB0D61"/>
    <w:rsid w:val="00AB0DAF"/>
    <w:rsid w:val="00AB0E9C"/>
    <w:rsid w:val="00AB0EF7"/>
    <w:rsid w:val="00AB0FDD"/>
    <w:rsid w:val="00AB1106"/>
    <w:rsid w:val="00AB126A"/>
    <w:rsid w:val="00AB1302"/>
    <w:rsid w:val="00AB1415"/>
    <w:rsid w:val="00AB15CC"/>
    <w:rsid w:val="00AB15E4"/>
    <w:rsid w:val="00AB16CA"/>
    <w:rsid w:val="00AB17CA"/>
    <w:rsid w:val="00AB17F3"/>
    <w:rsid w:val="00AB193E"/>
    <w:rsid w:val="00AB19AE"/>
    <w:rsid w:val="00AB1D5C"/>
    <w:rsid w:val="00AB2015"/>
    <w:rsid w:val="00AB201D"/>
    <w:rsid w:val="00AB2071"/>
    <w:rsid w:val="00AB20AF"/>
    <w:rsid w:val="00AB20D9"/>
    <w:rsid w:val="00AB21B3"/>
    <w:rsid w:val="00AB21C1"/>
    <w:rsid w:val="00AB21F9"/>
    <w:rsid w:val="00AB229A"/>
    <w:rsid w:val="00AB2324"/>
    <w:rsid w:val="00AB2399"/>
    <w:rsid w:val="00AB24C3"/>
    <w:rsid w:val="00AB250F"/>
    <w:rsid w:val="00AB2519"/>
    <w:rsid w:val="00AB26C7"/>
    <w:rsid w:val="00AB2704"/>
    <w:rsid w:val="00AB2740"/>
    <w:rsid w:val="00AB2933"/>
    <w:rsid w:val="00AB29CA"/>
    <w:rsid w:val="00AB2B35"/>
    <w:rsid w:val="00AB2B59"/>
    <w:rsid w:val="00AB2C92"/>
    <w:rsid w:val="00AB2D71"/>
    <w:rsid w:val="00AB2D9C"/>
    <w:rsid w:val="00AB2E0E"/>
    <w:rsid w:val="00AB2EEB"/>
    <w:rsid w:val="00AB3136"/>
    <w:rsid w:val="00AB3174"/>
    <w:rsid w:val="00AB31F4"/>
    <w:rsid w:val="00AB32A6"/>
    <w:rsid w:val="00AB32DB"/>
    <w:rsid w:val="00AB333C"/>
    <w:rsid w:val="00AB3361"/>
    <w:rsid w:val="00AB33F0"/>
    <w:rsid w:val="00AB365C"/>
    <w:rsid w:val="00AB36A9"/>
    <w:rsid w:val="00AB371B"/>
    <w:rsid w:val="00AB3783"/>
    <w:rsid w:val="00AB380D"/>
    <w:rsid w:val="00AB39BF"/>
    <w:rsid w:val="00AB3AE2"/>
    <w:rsid w:val="00AB3B0A"/>
    <w:rsid w:val="00AB3B25"/>
    <w:rsid w:val="00AB3CC0"/>
    <w:rsid w:val="00AB3D3E"/>
    <w:rsid w:val="00AB3E69"/>
    <w:rsid w:val="00AB3F41"/>
    <w:rsid w:val="00AB3FCD"/>
    <w:rsid w:val="00AB3FF6"/>
    <w:rsid w:val="00AB415A"/>
    <w:rsid w:val="00AB41A4"/>
    <w:rsid w:val="00AB4256"/>
    <w:rsid w:val="00AB425D"/>
    <w:rsid w:val="00AB42ED"/>
    <w:rsid w:val="00AB4389"/>
    <w:rsid w:val="00AB4398"/>
    <w:rsid w:val="00AB4529"/>
    <w:rsid w:val="00AB4613"/>
    <w:rsid w:val="00AB4693"/>
    <w:rsid w:val="00AB47FE"/>
    <w:rsid w:val="00AB4803"/>
    <w:rsid w:val="00AB4858"/>
    <w:rsid w:val="00AB49A0"/>
    <w:rsid w:val="00AB4A01"/>
    <w:rsid w:val="00AB4A6D"/>
    <w:rsid w:val="00AB4B00"/>
    <w:rsid w:val="00AB4B31"/>
    <w:rsid w:val="00AB4B40"/>
    <w:rsid w:val="00AB4B8C"/>
    <w:rsid w:val="00AB4BD4"/>
    <w:rsid w:val="00AB4D50"/>
    <w:rsid w:val="00AB4E4E"/>
    <w:rsid w:val="00AB4EF3"/>
    <w:rsid w:val="00AB5334"/>
    <w:rsid w:val="00AB5340"/>
    <w:rsid w:val="00AB53AE"/>
    <w:rsid w:val="00AB5440"/>
    <w:rsid w:val="00AB569B"/>
    <w:rsid w:val="00AB593F"/>
    <w:rsid w:val="00AB5ACD"/>
    <w:rsid w:val="00AB5B40"/>
    <w:rsid w:val="00AB604E"/>
    <w:rsid w:val="00AB6090"/>
    <w:rsid w:val="00AB60D8"/>
    <w:rsid w:val="00AB6155"/>
    <w:rsid w:val="00AB615E"/>
    <w:rsid w:val="00AB6219"/>
    <w:rsid w:val="00AB62C0"/>
    <w:rsid w:val="00AB6376"/>
    <w:rsid w:val="00AB63BD"/>
    <w:rsid w:val="00AB6448"/>
    <w:rsid w:val="00AB64D3"/>
    <w:rsid w:val="00AB6515"/>
    <w:rsid w:val="00AB6533"/>
    <w:rsid w:val="00AB65AB"/>
    <w:rsid w:val="00AB65CF"/>
    <w:rsid w:val="00AB65F0"/>
    <w:rsid w:val="00AB675A"/>
    <w:rsid w:val="00AB67B8"/>
    <w:rsid w:val="00AB67CE"/>
    <w:rsid w:val="00AB67F6"/>
    <w:rsid w:val="00AB6921"/>
    <w:rsid w:val="00AB6A4A"/>
    <w:rsid w:val="00AB6CA1"/>
    <w:rsid w:val="00AB6E87"/>
    <w:rsid w:val="00AB6F0A"/>
    <w:rsid w:val="00AB6F6F"/>
    <w:rsid w:val="00AB6FC0"/>
    <w:rsid w:val="00AB6FE2"/>
    <w:rsid w:val="00AB6FEE"/>
    <w:rsid w:val="00AB7065"/>
    <w:rsid w:val="00AB707D"/>
    <w:rsid w:val="00AB70CE"/>
    <w:rsid w:val="00AB7105"/>
    <w:rsid w:val="00AB7162"/>
    <w:rsid w:val="00AB72F4"/>
    <w:rsid w:val="00AB7316"/>
    <w:rsid w:val="00AB73BB"/>
    <w:rsid w:val="00AB74EB"/>
    <w:rsid w:val="00AB754F"/>
    <w:rsid w:val="00AB75FB"/>
    <w:rsid w:val="00AB7685"/>
    <w:rsid w:val="00AB76BF"/>
    <w:rsid w:val="00AB76D1"/>
    <w:rsid w:val="00AB7759"/>
    <w:rsid w:val="00AB7785"/>
    <w:rsid w:val="00AB78AD"/>
    <w:rsid w:val="00AB794A"/>
    <w:rsid w:val="00AB7B21"/>
    <w:rsid w:val="00AB7BAC"/>
    <w:rsid w:val="00AB7CDC"/>
    <w:rsid w:val="00AB7D0F"/>
    <w:rsid w:val="00AB7ECC"/>
    <w:rsid w:val="00AC03CE"/>
    <w:rsid w:val="00AC0466"/>
    <w:rsid w:val="00AC0489"/>
    <w:rsid w:val="00AC0522"/>
    <w:rsid w:val="00AC0615"/>
    <w:rsid w:val="00AC068C"/>
    <w:rsid w:val="00AC0714"/>
    <w:rsid w:val="00AC0803"/>
    <w:rsid w:val="00AC0B64"/>
    <w:rsid w:val="00AC0BF9"/>
    <w:rsid w:val="00AC0C69"/>
    <w:rsid w:val="00AC0CAD"/>
    <w:rsid w:val="00AC0CAE"/>
    <w:rsid w:val="00AC0D0F"/>
    <w:rsid w:val="00AC0D96"/>
    <w:rsid w:val="00AC0E10"/>
    <w:rsid w:val="00AC0E2B"/>
    <w:rsid w:val="00AC0ED7"/>
    <w:rsid w:val="00AC0F12"/>
    <w:rsid w:val="00AC0FB9"/>
    <w:rsid w:val="00AC1074"/>
    <w:rsid w:val="00AC1230"/>
    <w:rsid w:val="00AC123C"/>
    <w:rsid w:val="00AC1244"/>
    <w:rsid w:val="00AC12B6"/>
    <w:rsid w:val="00AC12EF"/>
    <w:rsid w:val="00AC1380"/>
    <w:rsid w:val="00AC1410"/>
    <w:rsid w:val="00AC14C3"/>
    <w:rsid w:val="00AC16BF"/>
    <w:rsid w:val="00AC1740"/>
    <w:rsid w:val="00AC1943"/>
    <w:rsid w:val="00AC195C"/>
    <w:rsid w:val="00AC1C34"/>
    <w:rsid w:val="00AC1D1F"/>
    <w:rsid w:val="00AC1E60"/>
    <w:rsid w:val="00AC2084"/>
    <w:rsid w:val="00AC20C8"/>
    <w:rsid w:val="00AC2209"/>
    <w:rsid w:val="00AC222D"/>
    <w:rsid w:val="00AC2259"/>
    <w:rsid w:val="00AC2553"/>
    <w:rsid w:val="00AC257B"/>
    <w:rsid w:val="00AC2688"/>
    <w:rsid w:val="00AC26DF"/>
    <w:rsid w:val="00AC2756"/>
    <w:rsid w:val="00AC293C"/>
    <w:rsid w:val="00AC29AA"/>
    <w:rsid w:val="00AC2C67"/>
    <w:rsid w:val="00AC2CCA"/>
    <w:rsid w:val="00AC2CDC"/>
    <w:rsid w:val="00AC2CE3"/>
    <w:rsid w:val="00AC2CED"/>
    <w:rsid w:val="00AC2E76"/>
    <w:rsid w:val="00AC2E88"/>
    <w:rsid w:val="00AC2EB5"/>
    <w:rsid w:val="00AC2FB4"/>
    <w:rsid w:val="00AC30E8"/>
    <w:rsid w:val="00AC3132"/>
    <w:rsid w:val="00AC314C"/>
    <w:rsid w:val="00AC3214"/>
    <w:rsid w:val="00AC3240"/>
    <w:rsid w:val="00AC331E"/>
    <w:rsid w:val="00AC3348"/>
    <w:rsid w:val="00AC33B7"/>
    <w:rsid w:val="00AC340F"/>
    <w:rsid w:val="00AC34E5"/>
    <w:rsid w:val="00AC3531"/>
    <w:rsid w:val="00AC360E"/>
    <w:rsid w:val="00AC3801"/>
    <w:rsid w:val="00AC382C"/>
    <w:rsid w:val="00AC398E"/>
    <w:rsid w:val="00AC3A09"/>
    <w:rsid w:val="00AC3A5B"/>
    <w:rsid w:val="00AC3D1C"/>
    <w:rsid w:val="00AC3D6C"/>
    <w:rsid w:val="00AC3E6B"/>
    <w:rsid w:val="00AC3EBB"/>
    <w:rsid w:val="00AC3F63"/>
    <w:rsid w:val="00AC4049"/>
    <w:rsid w:val="00AC40DA"/>
    <w:rsid w:val="00AC411F"/>
    <w:rsid w:val="00AC434C"/>
    <w:rsid w:val="00AC43D2"/>
    <w:rsid w:val="00AC4436"/>
    <w:rsid w:val="00AC44A4"/>
    <w:rsid w:val="00AC44B4"/>
    <w:rsid w:val="00AC4543"/>
    <w:rsid w:val="00AC45C6"/>
    <w:rsid w:val="00AC4666"/>
    <w:rsid w:val="00AC47CB"/>
    <w:rsid w:val="00AC49C9"/>
    <w:rsid w:val="00AC4BE4"/>
    <w:rsid w:val="00AC4CAF"/>
    <w:rsid w:val="00AC4CEB"/>
    <w:rsid w:val="00AC4E44"/>
    <w:rsid w:val="00AC4F97"/>
    <w:rsid w:val="00AC4FC0"/>
    <w:rsid w:val="00AC505E"/>
    <w:rsid w:val="00AC5120"/>
    <w:rsid w:val="00AC5212"/>
    <w:rsid w:val="00AC523D"/>
    <w:rsid w:val="00AC5332"/>
    <w:rsid w:val="00AC55B0"/>
    <w:rsid w:val="00AC57C6"/>
    <w:rsid w:val="00AC584F"/>
    <w:rsid w:val="00AC58AE"/>
    <w:rsid w:val="00AC598E"/>
    <w:rsid w:val="00AC5A43"/>
    <w:rsid w:val="00AC5A84"/>
    <w:rsid w:val="00AC5ACF"/>
    <w:rsid w:val="00AC5AFA"/>
    <w:rsid w:val="00AC5B21"/>
    <w:rsid w:val="00AC5C13"/>
    <w:rsid w:val="00AC5C2B"/>
    <w:rsid w:val="00AC5C58"/>
    <w:rsid w:val="00AC5CF3"/>
    <w:rsid w:val="00AC5D3E"/>
    <w:rsid w:val="00AC5DB0"/>
    <w:rsid w:val="00AC5DB1"/>
    <w:rsid w:val="00AC5E8A"/>
    <w:rsid w:val="00AC5ECE"/>
    <w:rsid w:val="00AC5EFC"/>
    <w:rsid w:val="00AC60BC"/>
    <w:rsid w:val="00AC614A"/>
    <w:rsid w:val="00AC61B4"/>
    <w:rsid w:val="00AC623D"/>
    <w:rsid w:val="00AC626F"/>
    <w:rsid w:val="00AC62AB"/>
    <w:rsid w:val="00AC62EB"/>
    <w:rsid w:val="00AC646B"/>
    <w:rsid w:val="00AC64E8"/>
    <w:rsid w:val="00AC65B2"/>
    <w:rsid w:val="00AC6620"/>
    <w:rsid w:val="00AC666E"/>
    <w:rsid w:val="00AC6674"/>
    <w:rsid w:val="00AC6692"/>
    <w:rsid w:val="00AC66B0"/>
    <w:rsid w:val="00AC66D0"/>
    <w:rsid w:val="00AC6751"/>
    <w:rsid w:val="00AC67B0"/>
    <w:rsid w:val="00AC6897"/>
    <w:rsid w:val="00AC69D2"/>
    <w:rsid w:val="00AC6B55"/>
    <w:rsid w:val="00AC6B9A"/>
    <w:rsid w:val="00AC6DBF"/>
    <w:rsid w:val="00AC6EA4"/>
    <w:rsid w:val="00AC7021"/>
    <w:rsid w:val="00AC7024"/>
    <w:rsid w:val="00AC7275"/>
    <w:rsid w:val="00AC7462"/>
    <w:rsid w:val="00AC74AE"/>
    <w:rsid w:val="00AC7525"/>
    <w:rsid w:val="00AC7551"/>
    <w:rsid w:val="00AC75A7"/>
    <w:rsid w:val="00AC7621"/>
    <w:rsid w:val="00AC770A"/>
    <w:rsid w:val="00AC78FA"/>
    <w:rsid w:val="00AC7B08"/>
    <w:rsid w:val="00AC7C12"/>
    <w:rsid w:val="00AC7C9C"/>
    <w:rsid w:val="00AC7D6C"/>
    <w:rsid w:val="00AC7D76"/>
    <w:rsid w:val="00AC7DCA"/>
    <w:rsid w:val="00AC7DDD"/>
    <w:rsid w:val="00AC7E0D"/>
    <w:rsid w:val="00AC7E7E"/>
    <w:rsid w:val="00AC7FF4"/>
    <w:rsid w:val="00AD0262"/>
    <w:rsid w:val="00AD0351"/>
    <w:rsid w:val="00AD0369"/>
    <w:rsid w:val="00AD04A2"/>
    <w:rsid w:val="00AD05DA"/>
    <w:rsid w:val="00AD05FA"/>
    <w:rsid w:val="00AD0655"/>
    <w:rsid w:val="00AD06EB"/>
    <w:rsid w:val="00AD0717"/>
    <w:rsid w:val="00AD08E4"/>
    <w:rsid w:val="00AD0987"/>
    <w:rsid w:val="00AD0A07"/>
    <w:rsid w:val="00AD0A0C"/>
    <w:rsid w:val="00AD0A11"/>
    <w:rsid w:val="00AD0C37"/>
    <w:rsid w:val="00AD0CE4"/>
    <w:rsid w:val="00AD0CF8"/>
    <w:rsid w:val="00AD0D0E"/>
    <w:rsid w:val="00AD0D4C"/>
    <w:rsid w:val="00AD0D82"/>
    <w:rsid w:val="00AD0EE9"/>
    <w:rsid w:val="00AD10FD"/>
    <w:rsid w:val="00AD123B"/>
    <w:rsid w:val="00AD13AC"/>
    <w:rsid w:val="00AD13B6"/>
    <w:rsid w:val="00AD147C"/>
    <w:rsid w:val="00AD149A"/>
    <w:rsid w:val="00AD152D"/>
    <w:rsid w:val="00AD16BE"/>
    <w:rsid w:val="00AD187A"/>
    <w:rsid w:val="00AD187F"/>
    <w:rsid w:val="00AD18C0"/>
    <w:rsid w:val="00AD18EA"/>
    <w:rsid w:val="00AD19B2"/>
    <w:rsid w:val="00AD1AC8"/>
    <w:rsid w:val="00AD1BA5"/>
    <w:rsid w:val="00AD1D87"/>
    <w:rsid w:val="00AD1E7C"/>
    <w:rsid w:val="00AD1EEA"/>
    <w:rsid w:val="00AD2004"/>
    <w:rsid w:val="00AD2056"/>
    <w:rsid w:val="00AD20DD"/>
    <w:rsid w:val="00AD2314"/>
    <w:rsid w:val="00AD2371"/>
    <w:rsid w:val="00AD25E7"/>
    <w:rsid w:val="00AD26AE"/>
    <w:rsid w:val="00AD2707"/>
    <w:rsid w:val="00AD2828"/>
    <w:rsid w:val="00AD28C4"/>
    <w:rsid w:val="00AD28CF"/>
    <w:rsid w:val="00AD2A5E"/>
    <w:rsid w:val="00AD2A77"/>
    <w:rsid w:val="00AD2BA1"/>
    <w:rsid w:val="00AD2CA3"/>
    <w:rsid w:val="00AD2CD2"/>
    <w:rsid w:val="00AD2D71"/>
    <w:rsid w:val="00AD3077"/>
    <w:rsid w:val="00AD30F8"/>
    <w:rsid w:val="00AD3279"/>
    <w:rsid w:val="00AD335D"/>
    <w:rsid w:val="00AD35C4"/>
    <w:rsid w:val="00AD3684"/>
    <w:rsid w:val="00AD3730"/>
    <w:rsid w:val="00AD37F2"/>
    <w:rsid w:val="00AD39ED"/>
    <w:rsid w:val="00AD3A70"/>
    <w:rsid w:val="00AD3C13"/>
    <w:rsid w:val="00AD3C46"/>
    <w:rsid w:val="00AD3C94"/>
    <w:rsid w:val="00AD3E93"/>
    <w:rsid w:val="00AD3ECF"/>
    <w:rsid w:val="00AD3F4F"/>
    <w:rsid w:val="00AD3F61"/>
    <w:rsid w:val="00AD3FA6"/>
    <w:rsid w:val="00AD3FC9"/>
    <w:rsid w:val="00AD4004"/>
    <w:rsid w:val="00AD4015"/>
    <w:rsid w:val="00AD404A"/>
    <w:rsid w:val="00AD4133"/>
    <w:rsid w:val="00AD4185"/>
    <w:rsid w:val="00AD4210"/>
    <w:rsid w:val="00AD4295"/>
    <w:rsid w:val="00AD42AD"/>
    <w:rsid w:val="00AD4348"/>
    <w:rsid w:val="00AD4456"/>
    <w:rsid w:val="00AD463B"/>
    <w:rsid w:val="00AD487A"/>
    <w:rsid w:val="00AD4A52"/>
    <w:rsid w:val="00AD4B1F"/>
    <w:rsid w:val="00AD4B40"/>
    <w:rsid w:val="00AD4C53"/>
    <w:rsid w:val="00AD4C7D"/>
    <w:rsid w:val="00AD4CB0"/>
    <w:rsid w:val="00AD4CB2"/>
    <w:rsid w:val="00AD4CED"/>
    <w:rsid w:val="00AD4D20"/>
    <w:rsid w:val="00AD4E8A"/>
    <w:rsid w:val="00AD50A9"/>
    <w:rsid w:val="00AD50DA"/>
    <w:rsid w:val="00AD513E"/>
    <w:rsid w:val="00AD5151"/>
    <w:rsid w:val="00AD5258"/>
    <w:rsid w:val="00AD5296"/>
    <w:rsid w:val="00AD5300"/>
    <w:rsid w:val="00AD5358"/>
    <w:rsid w:val="00AD56F2"/>
    <w:rsid w:val="00AD5823"/>
    <w:rsid w:val="00AD5962"/>
    <w:rsid w:val="00AD5A28"/>
    <w:rsid w:val="00AD5AE5"/>
    <w:rsid w:val="00AD5BA7"/>
    <w:rsid w:val="00AD5C61"/>
    <w:rsid w:val="00AD5CAF"/>
    <w:rsid w:val="00AD5CD4"/>
    <w:rsid w:val="00AD5D14"/>
    <w:rsid w:val="00AD5E7C"/>
    <w:rsid w:val="00AD61AD"/>
    <w:rsid w:val="00AD61B0"/>
    <w:rsid w:val="00AD6236"/>
    <w:rsid w:val="00AD629C"/>
    <w:rsid w:val="00AD647D"/>
    <w:rsid w:val="00AD65E9"/>
    <w:rsid w:val="00AD669F"/>
    <w:rsid w:val="00AD66BC"/>
    <w:rsid w:val="00AD6856"/>
    <w:rsid w:val="00AD689A"/>
    <w:rsid w:val="00AD693C"/>
    <w:rsid w:val="00AD6943"/>
    <w:rsid w:val="00AD6973"/>
    <w:rsid w:val="00AD697E"/>
    <w:rsid w:val="00AD6A86"/>
    <w:rsid w:val="00AD6B36"/>
    <w:rsid w:val="00AD6B93"/>
    <w:rsid w:val="00AD6BC1"/>
    <w:rsid w:val="00AD6C76"/>
    <w:rsid w:val="00AD6C78"/>
    <w:rsid w:val="00AD6D3C"/>
    <w:rsid w:val="00AD6E11"/>
    <w:rsid w:val="00AD6EB4"/>
    <w:rsid w:val="00AD6F6A"/>
    <w:rsid w:val="00AD6F90"/>
    <w:rsid w:val="00AD700D"/>
    <w:rsid w:val="00AD709C"/>
    <w:rsid w:val="00AD70FE"/>
    <w:rsid w:val="00AD7143"/>
    <w:rsid w:val="00AD717B"/>
    <w:rsid w:val="00AD718E"/>
    <w:rsid w:val="00AD72AF"/>
    <w:rsid w:val="00AD72F6"/>
    <w:rsid w:val="00AD7358"/>
    <w:rsid w:val="00AD73C3"/>
    <w:rsid w:val="00AD744B"/>
    <w:rsid w:val="00AD7464"/>
    <w:rsid w:val="00AD76E3"/>
    <w:rsid w:val="00AD789B"/>
    <w:rsid w:val="00AD7919"/>
    <w:rsid w:val="00AD791C"/>
    <w:rsid w:val="00AD797B"/>
    <w:rsid w:val="00AD799D"/>
    <w:rsid w:val="00AD7AED"/>
    <w:rsid w:val="00AD7C6F"/>
    <w:rsid w:val="00AD7CBB"/>
    <w:rsid w:val="00AD7CE8"/>
    <w:rsid w:val="00AD7E78"/>
    <w:rsid w:val="00AD7F01"/>
    <w:rsid w:val="00AE01C1"/>
    <w:rsid w:val="00AE02DD"/>
    <w:rsid w:val="00AE02E6"/>
    <w:rsid w:val="00AE031D"/>
    <w:rsid w:val="00AE0604"/>
    <w:rsid w:val="00AE06BE"/>
    <w:rsid w:val="00AE0747"/>
    <w:rsid w:val="00AE0819"/>
    <w:rsid w:val="00AE092B"/>
    <w:rsid w:val="00AE09B3"/>
    <w:rsid w:val="00AE09FB"/>
    <w:rsid w:val="00AE09FE"/>
    <w:rsid w:val="00AE0A07"/>
    <w:rsid w:val="00AE0A0E"/>
    <w:rsid w:val="00AE0A2F"/>
    <w:rsid w:val="00AE0BBC"/>
    <w:rsid w:val="00AE0D03"/>
    <w:rsid w:val="00AE0EE8"/>
    <w:rsid w:val="00AE1163"/>
    <w:rsid w:val="00AE1228"/>
    <w:rsid w:val="00AE12DE"/>
    <w:rsid w:val="00AE1358"/>
    <w:rsid w:val="00AE138D"/>
    <w:rsid w:val="00AE139E"/>
    <w:rsid w:val="00AE1578"/>
    <w:rsid w:val="00AE1658"/>
    <w:rsid w:val="00AE1672"/>
    <w:rsid w:val="00AE1AE5"/>
    <w:rsid w:val="00AE1D2F"/>
    <w:rsid w:val="00AE1D46"/>
    <w:rsid w:val="00AE1E2F"/>
    <w:rsid w:val="00AE1E7D"/>
    <w:rsid w:val="00AE1EEF"/>
    <w:rsid w:val="00AE1EF1"/>
    <w:rsid w:val="00AE1FAD"/>
    <w:rsid w:val="00AE2208"/>
    <w:rsid w:val="00AE2266"/>
    <w:rsid w:val="00AE23A1"/>
    <w:rsid w:val="00AE2449"/>
    <w:rsid w:val="00AE2481"/>
    <w:rsid w:val="00AE24D3"/>
    <w:rsid w:val="00AE2578"/>
    <w:rsid w:val="00AE2653"/>
    <w:rsid w:val="00AE26F7"/>
    <w:rsid w:val="00AE272B"/>
    <w:rsid w:val="00AE2A91"/>
    <w:rsid w:val="00AE2AB5"/>
    <w:rsid w:val="00AE2AE4"/>
    <w:rsid w:val="00AE2B38"/>
    <w:rsid w:val="00AE2D03"/>
    <w:rsid w:val="00AE2DCF"/>
    <w:rsid w:val="00AE2E6D"/>
    <w:rsid w:val="00AE2F72"/>
    <w:rsid w:val="00AE2FB1"/>
    <w:rsid w:val="00AE301C"/>
    <w:rsid w:val="00AE30AD"/>
    <w:rsid w:val="00AE30F1"/>
    <w:rsid w:val="00AE316F"/>
    <w:rsid w:val="00AE318B"/>
    <w:rsid w:val="00AE321A"/>
    <w:rsid w:val="00AE35BD"/>
    <w:rsid w:val="00AE36A4"/>
    <w:rsid w:val="00AE37DD"/>
    <w:rsid w:val="00AE37FA"/>
    <w:rsid w:val="00AE3833"/>
    <w:rsid w:val="00AE38B9"/>
    <w:rsid w:val="00AE3946"/>
    <w:rsid w:val="00AE3989"/>
    <w:rsid w:val="00AE39D3"/>
    <w:rsid w:val="00AE3B58"/>
    <w:rsid w:val="00AE3B5F"/>
    <w:rsid w:val="00AE3B71"/>
    <w:rsid w:val="00AE3C77"/>
    <w:rsid w:val="00AE3C7E"/>
    <w:rsid w:val="00AE3CD7"/>
    <w:rsid w:val="00AE3D7E"/>
    <w:rsid w:val="00AE3EC4"/>
    <w:rsid w:val="00AE40DB"/>
    <w:rsid w:val="00AE4148"/>
    <w:rsid w:val="00AE4187"/>
    <w:rsid w:val="00AE423C"/>
    <w:rsid w:val="00AE429F"/>
    <w:rsid w:val="00AE42DB"/>
    <w:rsid w:val="00AE43A2"/>
    <w:rsid w:val="00AE4604"/>
    <w:rsid w:val="00AE46AD"/>
    <w:rsid w:val="00AE46DF"/>
    <w:rsid w:val="00AE47D1"/>
    <w:rsid w:val="00AE4A79"/>
    <w:rsid w:val="00AE4CD2"/>
    <w:rsid w:val="00AE4CED"/>
    <w:rsid w:val="00AE4CF2"/>
    <w:rsid w:val="00AE4E36"/>
    <w:rsid w:val="00AE4E84"/>
    <w:rsid w:val="00AE4F59"/>
    <w:rsid w:val="00AE5056"/>
    <w:rsid w:val="00AE5069"/>
    <w:rsid w:val="00AE50EF"/>
    <w:rsid w:val="00AE50F6"/>
    <w:rsid w:val="00AE515E"/>
    <w:rsid w:val="00AE5263"/>
    <w:rsid w:val="00AE5276"/>
    <w:rsid w:val="00AE52C4"/>
    <w:rsid w:val="00AE52EF"/>
    <w:rsid w:val="00AE5303"/>
    <w:rsid w:val="00AE533F"/>
    <w:rsid w:val="00AE53D0"/>
    <w:rsid w:val="00AE53E4"/>
    <w:rsid w:val="00AE5762"/>
    <w:rsid w:val="00AE589D"/>
    <w:rsid w:val="00AE58A5"/>
    <w:rsid w:val="00AE598B"/>
    <w:rsid w:val="00AE5BBF"/>
    <w:rsid w:val="00AE5C27"/>
    <w:rsid w:val="00AE5C59"/>
    <w:rsid w:val="00AE5D24"/>
    <w:rsid w:val="00AE5E52"/>
    <w:rsid w:val="00AE5E5D"/>
    <w:rsid w:val="00AE5F29"/>
    <w:rsid w:val="00AE5F4E"/>
    <w:rsid w:val="00AE6004"/>
    <w:rsid w:val="00AE6039"/>
    <w:rsid w:val="00AE609D"/>
    <w:rsid w:val="00AE60A8"/>
    <w:rsid w:val="00AE613D"/>
    <w:rsid w:val="00AE6174"/>
    <w:rsid w:val="00AE62F2"/>
    <w:rsid w:val="00AE647A"/>
    <w:rsid w:val="00AE656C"/>
    <w:rsid w:val="00AE664A"/>
    <w:rsid w:val="00AE6689"/>
    <w:rsid w:val="00AE66A4"/>
    <w:rsid w:val="00AE66E1"/>
    <w:rsid w:val="00AE673D"/>
    <w:rsid w:val="00AE6B4E"/>
    <w:rsid w:val="00AE6BE9"/>
    <w:rsid w:val="00AE6C0D"/>
    <w:rsid w:val="00AE6C5B"/>
    <w:rsid w:val="00AE6CAB"/>
    <w:rsid w:val="00AE6D77"/>
    <w:rsid w:val="00AE6DE9"/>
    <w:rsid w:val="00AE6E9E"/>
    <w:rsid w:val="00AE6EAF"/>
    <w:rsid w:val="00AE7090"/>
    <w:rsid w:val="00AE7123"/>
    <w:rsid w:val="00AE7138"/>
    <w:rsid w:val="00AE7208"/>
    <w:rsid w:val="00AE721D"/>
    <w:rsid w:val="00AE7292"/>
    <w:rsid w:val="00AE7371"/>
    <w:rsid w:val="00AE7372"/>
    <w:rsid w:val="00AE7374"/>
    <w:rsid w:val="00AE7408"/>
    <w:rsid w:val="00AE744A"/>
    <w:rsid w:val="00AE74BD"/>
    <w:rsid w:val="00AE7524"/>
    <w:rsid w:val="00AE756D"/>
    <w:rsid w:val="00AE75C7"/>
    <w:rsid w:val="00AE77BB"/>
    <w:rsid w:val="00AE77F1"/>
    <w:rsid w:val="00AE79B0"/>
    <w:rsid w:val="00AE7ADC"/>
    <w:rsid w:val="00AE7BE8"/>
    <w:rsid w:val="00AE7BE9"/>
    <w:rsid w:val="00AE7C02"/>
    <w:rsid w:val="00AE7C26"/>
    <w:rsid w:val="00AE7D7A"/>
    <w:rsid w:val="00AE7D94"/>
    <w:rsid w:val="00AE7E75"/>
    <w:rsid w:val="00AF0028"/>
    <w:rsid w:val="00AF0053"/>
    <w:rsid w:val="00AF007A"/>
    <w:rsid w:val="00AF012E"/>
    <w:rsid w:val="00AF0219"/>
    <w:rsid w:val="00AF0321"/>
    <w:rsid w:val="00AF034C"/>
    <w:rsid w:val="00AF0543"/>
    <w:rsid w:val="00AF0544"/>
    <w:rsid w:val="00AF05E5"/>
    <w:rsid w:val="00AF05E7"/>
    <w:rsid w:val="00AF0656"/>
    <w:rsid w:val="00AF086F"/>
    <w:rsid w:val="00AF099B"/>
    <w:rsid w:val="00AF09B6"/>
    <w:rsid w:val="00AF09BB"/>
    <w:rsid w:val="00AF09EE"/>
    <w:rsid w:val="00AF0A5F"/>
    <w:rsid w:val="00AF0C0E"/>
    <w:rsid w:val="00AF0D42"/>
    <w:rsid w:val="00AF0D52"/>
    <w:rsid w:val="00AF0DC6"/>
    <w:rsid w:val="00AF0ED4"/>
    <w:rsid w:val="00AF0FB8"/>
    <w:rsid w:val="00AF1019"/>
    <w:rsid w:val="00AF1068"/>
    <w:rsid w:val="00AF1241"/>
    <w:rsid w:val="00AF125C"/>
    <w:rsid w:val="00AF128B"/>
    <w:rsid w:val="00AF12CB"/>
    <w:rsid w:val="00AF146F"/>
    <w:rsid w:val="00AF150B"/>
    <w:rsid w:val="00AF1521"/>
    <w:rsid w:val="00AF155C"/>
    <w:rsid w:val="00AF159A"/>
    <w:rsid w:val="00AF1618"/>
    <w:rsid w:val="00AF1687"/>
    <w:rsid w:val="00AF18C7"/>
    <w:rsid w:val="00AF191C"/>
    <w:rsid w:val="00AF196B"/>
    <w:rsid w:val="00AF197D"/>
    <w:rsid w:val="00AF1A4B"/>
    <w:rsid w:val="00AF1A5F"/>
    <w:rsid w:val="00AF1A88"/>
    <w:rsid w:val="00AF1B37"/>
    <w:rsid w:val="00AF1B65"/>
    <w:rsid w:val="00AF1BAB"/>
    <w:rsid w:val="00AF1D25"/>
    <w:rsid w:val="00AF1D5C"/>
    <w:rsid w:val="00AF1E5E"/>
    <w:rsid w:val="00AF1FD0"/>
    <w:rsid w:val="00AF1FE6"/>
    <w:rsid w:val="00AF237F"/>
    <w:rsid w:val="00AF23A3"/>
    <w:rsid w:val="00AF24BB"/>
    <w:rsid w:val="00AF25FF"/>
    <w:rsid w:val="00AF2616"/>
    <w:rsid w:val="00AF261B"/>
    <w:rsid w:val="00AF26A9"/>
    <w:rsid w:val="00AF2831"/>
    <w:rsid w:val="00AF2926"/>
    <w:rsid w:val="00AF295C"/>
    <w:rsid w:val="00AF2A1A"/>
    <w:rsid w:val="00AF2A3D"/>
    <w:rsid w:val="00AF2A95"/>
    <w:rsid w:val="00AF2B06"/>
    <w:rsid w:val="00AF2BBE"/>
    <w:rsid w:val="00AF2BFB"/>
    <w:rsid w:val="00AF2C18"/>
    <w:rsid w:val="00AF2C41"/>
    <w:rsid w:val="00AF2DC6"/>
    <w:rsid w:val="00AF2E93"/>
    <w:rsid w:val="00AF2EA2"/>
    <w:rsid w:val="00AF3296"/>
    <w:rsid w:val="00AF350A"/>
    <w:rsid w:val="00AF3530"/>
    <w:rsid w:val="00AF35A4"/>
    <w:rsid w:val="00AF377C"/>
    <w:rsid w:val="00AF394F"/>
    <w:rsid w:val="00AF39BA"/>
    <w:rsid w:val="00AF39C7"/>
    <w:rsid w:val="00AF3AD1"/>
    <w:rsid w:val="00AF3C63"/>
    <w:rsid w:val="00AF3D37"/>
    <w:rsid w:val="00AF3E56"/>
    <w:rsid w:val="00AF3F1C"/>
    <w:rsid w:val="00AF3F3B"/>
    <w:rsid w:val="00AF40B0"/>
    <w:rsid w:val="00AF40CF"/>
    <w:rsid w:val="00AF41BE"/>
    <w:rsid w:val="00AF421F"/>
    <w:rsid w:val="00AF425D"/>
    <w:rsid w:val="00AF42E4"/>
    <w:rsid w:val="00AF436D"/>
    <w:rsid w:val="00AF4384"/>
    <w:rsid w:val="00AF438E"/>
    <w:rsid w:val="00AF43FF"/>
    <w:rsid w:val="00AF46A9"/>
    <w:rsid w:val="00AF46DC"/>
    <w:rsid w:val="00AF4786"/>
    <w:rsid w:val="00AF47FD"/>
    <w:rsid w:val="00AF4936"/>
    <w:rsid w:val="00AF4AAE"/>
    <w:rsid w:val="00AF4BE4"/>
    <w:rsid w:val="00AF4C6D"/>
    <w:rsid w:val="00AF4D42"/>
    <w:rsid w:val="00AF4DFB"/>
    <w:rsid w:val="00AF4E14"/>
    <w:rsid w:val="00AF4F0F"/>
    <w:rsid w:val="00AF4FC0"/>
    <w:rsid w:val="00AF512B"/>
    <w:rsid w:val="00AF51FD"/>
    <w:rsid w:val="00AF5271"/>
    <w:rsid w:val="00AF5296"/>
    <w:rsid w:val="00AF534F"/>
    <w:rsid w:val="00AF53C8"/>
    <w:rsid w:val="00AF5409"/>
    <w:rsid w:val="00AF5493"/>
    <w:rsid w:val="00AF54A5"/>
    <w:rsid w:val="00AF54FE"/>
    <w:rsid w:val="00AF5518"/>
    <w:rsid w:val="00AF5559"/>
    <w:rsid w:val="00AF5589"/>
    <w:rsid w:val="00AF55A8"/>
    <w:rsid w:val="00AF5728"/>
    <w:rsid w:val="00AF57E5"/>
    <w:rsid w:val="00AF57E8"/>
    <w:rsid w:val="00AF5826"/>
    <w:rsid w:val="00AF58F9"/>
    <w:rsid w:val="00AF5941"/>
    <w:rsid w:val="00AF5A74"/>
    <w:rsid w:val="00AF5B55"/>
    <w:rsid w:val="00AF5BFB"/>
    <w:rsid w:val="00AF5DF1"/>
    <w:rsid w:val="00AF5E11"/>
    <w:rsid w:val="00AF5F23"/>
    <w:rsid w:val="00AF5F32"/>
    <w:rsid w:val="00AF5FB5"/>
    <w:rsid w:val="00AF6059"/>
    <w:rsid w:val="00AF6114"/>
    <w:rsid w:val="00AF6142"/>
    <w:rsid w:val="00AF6183"/>
    <w:rsid w:val="00AF6213"/>
    <w:rsid w:val="00AF623D"/>
    <w:rsid w:val="00AF6305"/>
    <w:rsid w:val="00AF6342"/>
    <w:rsid w:val="00AF635A"/>
    <w:rsid w:val="00AF64C1"/>
    <w:rsid w:val="00AF654D"/>
    <w:rsid w:val="00AF6565"/>
    <w:rsid w:val="00AF6584"/>
    <w:rsid w:val="00AF669C"/>
    <w:rsid w:val="00AF67E7"/>
    <w:rsid w:val="00AF6871"/>
    <w:rsid w:val="00AF6879"/>
    <w:rsid w:val="00AF68F4"/>
    <w:rsid w:val="00AF6927"/>
    <w:rsid w:val="00AF6946"/>
    <w:rsid w:val="00AF69AB"/>
    <w:rsid w:val="00AF6A84"/>
    <w:rsid w:val="00AF6ADE"/>
    <w:rsid w:val="00AF6BD5"/>
    <w:rsid w:val="00AF6F06"/>
    <w:rsid w:val="00AF7061"/>
    <w:rsid w:val="00AF717B"/>
    <w:rsid w:val="00AF71C4"/>
    <w:rsid w:val="00AF7207"/>
    <w:rsid w:val="00AF724A"/>
    <w:rsid w:val="00AF72D8"/>
    <w:rsid w:val="00AF7343"/>
    <w:rsid w:val="00AF75C0"/>
    <w:rsid w:val="00AF7872"/>
    <w:rsid w:val="00AF7985"/>
    <w:rsid w:val="00AF79B9"/>
    <w:rsid w:val="00AF7A0A"/>
    <w:rsid w:val="00AF7A27"/>
    <w:rsid w:val="00AF7B97"/>
    <w:rsid w:val="00AF7C7C"/>
    <w:rsid w:val="00B00140"/>
    <w:rsid w:val="00B0014B"/>
    <w:rsid w:val="00B001F4"/>
    <w:rsid w:val="00B002E6"/>
    <w:rsid w:val="00B0031C"/>
    <w:rsid w:val="00B0038F"/>
    <w:rsid w:val="00B00439"/>
    <w:rsid w:val="00B00471"/>
    <w:rsid w:val="00B00556"/>
    <w:rsid w:val="00B00563"/>
    <w:rsid w:val="00B006AD"/>
    <w:rsid w:val="00B00868"/>
    <w:rsid w:val="00B008CF"/>
    <w:rsid w:val="00B00931"/>
    <w:rsid w:val="00B009C4"/>
    <w:rsid w:val="00B00AE2"/>
    <w:rsid w:val="00B00B14"/>
    <w:rsid w:val="00B00DCA"/>
    <w:rsid w:val="00B00DED"/>
    <w:rsid w:val="00B00E3C"/>
    <w:rsid w:val="00B00E97"/>
    <w:rsid w:val="00B00F8A"/>
    <w:rsid w:val="00B0106D"/>
    <w:rsid w:val="00B0109C"/>
    <w:rsid w:val="00B0117E"/>
    <w:rsid w:val="00B0132A"/>
    <w:rsid w:val="00B014C5"/>
    <w:rsid w:val="00B0155D"/>
    <w:rsid w:val="00B01562"/>
    <w:rsid w:val="00B0156C"/>
    <w:rsid w:val="00B015A4"/>
    <w:rsid w:val="00B0166E"/>
    <w:rsid w:val="00B016FD"/>
    <w:rsid w:val="00B01718"/>
    <w:rsid w:val="00B0176B"/>
    <w:rsid w:val="00B017C4"/>
    <w:rsid w:val="00B01B99"/>
    <w:rsid w:val="00B01BAD"/>
    <w:rsid w:val="00B01C3E"/>
    <w:rsid w:val="00B01E57"/>
    <w:rsid w:val="00B01EA1"/>
    <w:rsid w:val="00B01FD7"/>
    <w:rsid w:val="00B02005"/>
    <w:rsid w:val="00B020D6"/>
    <w:rsid w:val="00B020EA"/>
    <w:rsid w:val="00B0222A"/>
    <w:rsid w:val="00B02274"/>
    <w:rsid w:val="00B02393"/>
    <w:rsid w:val="00B023BF"/>
    <w:rsid w:val="00B02437"/>
    <w:rsid w:val="00B0260A"/>
    <w:rsid w:val="00B0270A"/>
    <w:rsid w:val="00B02778"/>
    <w:rsid w:val="00B027A7"/>
    <w:rsid w:val="00B027BD"/>
    <w:rsid w:val="00B027F1"/>
    <w:rsid w:val="00B028AE"/>
    <w:rsid w:val="00B02A0C"/>
    <w:rsid w:val="00B02B29"/>
    <w:rsid w:val="00B02B62"/>
    <w:rsid w:val="00B02BA4"/>
    <w:rsid w:val="00B02CF3"/>
    <w:rsid w:val="00B02E1F"/>
    <w:rsid w:val="00B02F5F"/>
    <w:rsid w:val="00B02FD0"/>
    <w:rsid w:val="00B03030"/>
    <w:rsid w:val="00B030E3"/>
    <w:rsid w:val="00B03172"/>
    <w:rsid w:val="00B031D4"/>
    <w:rsid w:val="00B0333F"/>
    <w:rsid w:val="00B03443"/>
    <w:rsid w:val="00B0345A"/>
    <w:rsid w:val="00B034BE"/>
    <w:rsid w:val="00B035B3"/>
    <w:rsid w:val="00B0364A"/>
    <w:rsid w:val="00B03680"/>
    <w:rsid w:val="00B036BA"/>
    <w:rsid w:val="00B036C4"/>
    <w:rsid w:val="00B037B9"/>
    <w:rsid w:val="00B037E4"/>
    <w:rsid w:val="00B03850"/>
    <w:rsid w:val="00B03937"/>
    <w:rsid w:val="00B03A42"/>
    <w:rsid w:val="00B03B1B"/>
    <w:rsid w:val="00B03D2E"/>
    <w:rsid w:val="00B03D6F"/>
    <w:rsid w:val="00B03E66"/>
    <w:rsid w:val="00B03EC9"/>
    <w:rsid w:val="00B03EF0"/>
    <w:rsid w:val="00B03FF1"/>
    <w:rsid w:val="00B03FFD"/>
    <w:rsid w:val="00B040D1"/>
    <w:rsid w:val="00B041F2"/>
    <w:rsid w:val="00B0423F"/>
    <w:rsid w:val="00B043AB"/>
    <w:rsid w:val="00B04444"/>
    <w:rsid w:val="00B0457A"/>
    <w:rsid w:val="00B04659"/>
    <w:rsid w:val="00B04678"/>
    <w:rsid w:val="00B047F2"/>
    <w:rsid w:val="00B04873"/>
    <w:rsid w:val="00B048CE"/>
    <w:rsid w:val="00B048E0"/>
    <w:rsid w:val="00B049FF"/>
    <w:rsid w:val="00B04A44"/>
    <w:rsid w:val="00B04AE0"/>
    <w:rsid w:val="00B04AF4"/>
    <w:rsid w:val="00B04B58"/>
    <w:rsid w:val="00B04CAD"/>
    <w:rsid w:val="00B04E13"/>
    <w:rsid w:val="00B05054"/>
    <w:rsid w:val="00B05100"/>
    <w:rsid w:val="00B051BA"/>
    <w:rsid w:val="00B05207"/>
    <w:rsid w:val="00B05233"/>
    <w:rsid w:val="00B05361"/>
    <w:rsid w:val="00B05385"/>
    <w:rsid w:val="00B053EC"/>
    <w:rsid w:val="00B05601"/>
    <w:rsid w:val="00B0569E"/>
    <w:rsid w:val="00B056EC"/>
    <w:rsid w:val="00B05721"/>
    <w:rsid w:val="00B058D3"/>
    <w:rsid w:val="00B059E7"/>
    <w:rsid w:val="00B05B1D"/>
    <w:rsid w:val="00B05B36"/>
    <w:rsid w:val="00B05BDE"/>
    <w:rsid w:val="00B05E19"/>
    <w:rsid w:val="00B05E8D"/>
    <w:rsid w:val="00B0603F"/>
    <w:rsid w:val="00B06105"/>
    <w:rsid w:val="00B0620C"/>
    <w:rsid w:val="00B06302"/>
    <w:rsid w:val="00B06338"/>
    <w:rsid w:val="00B065D5"/>
    <w:rsid w:val="00B066EA"/>
    <w:rsid w:val="00B06764"/>
    <w:rsid w:val="00B067AB"/>
    <w:rsid w:val="00B067D0"/>
    <w:rsid w:val="00B067E7"/>
    <w:rsid w:val="00B06872"/>
    <w:rsid w:val="00B06CBD"/>
    <w:rsid w:val="00B06D33"/>
    <w:rsid w:val="00B06D72"/>
    <w:rsid w:val="00B06D87"/>
    <w:rsid w:val="00B06E2A"/>
    <w:rsid w:val="00B06ED6"/>
    <w:rsid w:val="00B06FCB"/>
    <w:rsid w:val="00B07137"/>
    <w:rsid w:val="00B0724D"/>
    <w:rsid w:val="00B07315"/>
    <w:rsid w:val="00B07354"/>
    <w:rsid w:val="00B07369"/>
    <w:rsid w:val="00B073F8"/>
    <w:rsid w:val="00B07565"/>
    <w:rsid w:val="00B07593"/>
    <w:rsid w:val="00B075B1"/>
    <w:rsid w:val="00B0769D"/>
    <w:rsid w:val="00B076EA"/>
    <w:rsid w:val="00B0777F"/>
    <w:rsid w:val="00B07966"/>
    <w:rsid w:val="00B079A0"/>
    <w:rsid w:val="00B07AB8"/>
    <w:rsid w:val="00B07AF2"/>
    <w:rsid w:val="00B07CDA"/>
    <w:rsid w:val="00B07D3E"/>
    <w:rsid w:val="00B07DA6"/>
    <w:rsid w:val="00B07DBF"/>
    <w:rsid w:val="00B07DDC"/>
    <w:rsid w:val="00B07DF9"/>
    <w:rsid w:val="00B07EEE"/>
    <w:rsid w:val="00B07F2D"/>
    <w:rsid w:val="00B1005D"/>
    <w:rsid w:val="00B10176"/>
    <w:rsid w:val="00B101CF"/>
    <w:rsid w:val="00B1024D"/>
    <w:rsid w:val="00B10292"/>
    <w:rsid w:val="00B1032F"/>
    <w:rsid w:val="00B1037B"/>
    <w:rsid w:val="00B10516"/>
    <w:rsid w:val="00B105C3"/>
    <w:rsid w:val="00B10666"/>
    <w:rsid w:val="00B10708"/>
    <w:rsid w:val="00B1070B"/>
    <w:rsid w:val="00B10733"/>
    <w:rsid w:val="00B1077B"/>
    <w:rsid w:val="00B1091F"/>
    <w:rsid w:val="00B10A9A"/>
    <w:rsid w:val="00B10AE3"/>
    <w:rsid w:val="00B10B73"/>
    <w:rsid w:val="00B10CA8"/>
    <w:rsid w:val="00B10E09"/>
    <w:rsid w:val="00B10E83"/>
    <w:rsid w:val="00B10E8C"/>
    <w:rsid w:val="00B10EB0"/>
    <w:rsid w:val="00B10F37"/>
    <w:rsid w:val="00B10FA4"/>
    <w:rsid w:val="00B112DF"/>
    <w:rsid w:val="00B11320"/>
    <w:rsid w:val="00B113CA"/>
    <w:rsid w:val="00B113F9"/>
    <w:rsid w:val="00B114E9"/>
    <w:rsid w:val="00B1171C"/>
    <w:rsid w:val="00B117D3"/>
    <w:rsid w:val="00B117E3"/>
    <w:rsid w:val="00B119BA"/>
    <w:rsid w:val="00B11B28"/>
    <w:rsid w:val="00B11C9F"/>
    <w:rsid w:val="00B11EA5"/>
    <w:rsid w:val="00B11F81"/>
    <w:rsid w:val="00B11FD9"/>
    <w:rsid w:val="00B120DB"/>
    <w:rsid w:val="00B12163"/>
    <w:rsid w:val="00B121A6"/>
    <w:rsid w:val="00B1229C"/>
    <w:rsid w:val="00B124D5"/>
    <w:rsid w:val="00B124DD"/>
    <w:rsid w:val="00B1273D"/>
    <w:rsid w:val="00B12844"/>
    <w:rsid w:val="00B12865"/>
    <w:rsid w:val="00B12960"/>
    <w:rsid w:val="00B12F7A"/>
    <w:rsid w:val="00B130A1"/>
    <w:rsid w:val="00B13104"/>
    <w:rsid w:val="00B13247"/>
    <w:rsid w:val="00B1340C"/>
    <w:rsid w:val="00B1357D"/>
    <w:rsid w:val="00B13614"/>
    <w:rsid w:val="00B136AD"/>
    <w:rsid w:val="00B13898"/>
    <w:rsid w:val="00B138C3"/>
    <w:rsid w:val="00B1390F"/>
    <w:rsid w:val="00B13AA2"/>
    <w:rsid w:val="00B13C31"/>
    <w:rsid w:val="00B13CA4"/>
    <w:rsid w:val="00B13CCC"/>
    <w:rsid w:val="00B13DC3"/>
    <w:rsid w:val="00B13EB6"/>
    <w:rsid w:val="00B13EED"/>
    <w:rsid w:val="00B13F29"/>
    <w:rsid w:val="00B140EA"/>
    <w:rsid w:val="00B1417D"/>
    <w:rsid w:val="00B1426B"/>
    <w:rsid w:val="00B142A6"/>
    <w:rsid w:val="00B1432A"/>
    <w:rsid w:val="00B143F2"/>
    <w:rsid w:val="00B1440E"/>
    <w:rsid w:val="00B1446D"/>
    <w:rsid w:val="00B1450A"/>
    <w:rsid w:val="00B14639"/>
    <w:rsid w:val="00B146AA"/>
    <w:rsid w:val="00B14A80"/>
    <w:rsid w:val="00B14BDB"/>
    <w:rsid w:val="00B14D88"/>
    <w:rsid w:val="00B14D92"/>
    <w:rsid w:val="00B14DB9"/>
    <w:rsid w:val="00B14EA3"/>
    <w:rsid w:val="00B14EB4"/>
    <w:rsid w:val="00B14FF2"/>
    <w:rsid w:val="00B15005"/>
    <w:rsid w:val="00B15065"/>
    <w:rsid w:val="00B15085"/>
    <w:rsid w:val="00B150FF"/>
    <w:rsid w:val="00B1525F"/>
    <w:rsid w:val="00B15286"/>
    <w:rsid w:val="00B15334"/>
    <w:rsid w:val="00B15450"/>
    <w:rsid w:val="00B15597"/>
    <w:rsid w:val="00B156B2"/>
    <w:rsid w:val="00B156C1"/>
    <w:rsid w:val="00B1577D"/>
    <w:rsid w:val="00B1577F"/>
    <w:rsid w:val="00B157CE"/>
    <w:rsid w:val="00B157F2"/>
    <w:rsid w:val="00B158FB"/>
    <w:rsid w:val="00B15A8B"/>
    <w:rsid w:val="00B15B61"/>
    <w:rsid w:val="00B15BAF"/>
    <w:rsid w:val="00B15C66"/>
    <w:rsid w:val="00B15CDD"/>
    <w:rsid w:val="00B15E9C"/>
    <w:rsid w:val="00B15FDF"/>
    <w:rsid w:val="00B16001"/>
    <w:rsid w:val="00B16078"/>
    <w:rsid w:val="00B16234"/>
    <w:rsid w:val="00B165EE"/>
    <w:rsid w:val="00B16652"/>
    <w:rsid w:val="00B167AB"/>
    <w:rsid w:val="00B167FE"/>
    <w:rsid w:val="00B16862"/>
    <w:rsid w:val="00B168B8"/>
    <w:rsid w:val="00B168EB"/>
    <w:rsid w:val="00B169F2"/>
    <w:rsid w:val="00B16D60"/>
    <w:rsid w:val="00B1704D"/>
    <w:rsid w:val="00B17054"/>
    <w:rsid w:val="00B172C8"/>
    <w:rsid w:val="00B1732E"/>
    <w:rsid w:val="00B173C5"/>
    <w:rsid w:val="00B1745E"/>
    <w:rsid w:val="00B17490"/>
    <w:rsid w:val="00B174DB"/>
    <w:rsid w:val="00B17761"/>
    <w:rsid w:val="00B1777B"/>
    <w:rsid w:val="00B17817"/>
    <w:rsid w:val="00B17889"/>
    <w:rsid w:val="00B178FC"/>
    <w:rsid w:val="00B17C01"/>
    <w:rsid w:val="00B17CBD"/>
    <w:rsid w:val="00B17F61"/>
    <w:rsid w:val="00B20042"/>
    <w:rsid w:val="00B20076"/>
    <w:rsid w:val="00B201E2"/>
    <w:rsid w:val="00B202F4"/>
    <w:rsid w:val="00B203E1"/>
    <w:rsid w:val="00B205B4"/>
    <w:rsid w:val="00B205E1"/>
    <w:rsid w:val="00B205FA"/>
    <w:rsid w:val="00B20778"/>
    <w:rsid w:val="00B208DB"/>
    <w:rsid w:val="00B209EE"/>
    <w:rsid w:val="00B20AC9"/>
    <w:rsid w:val="00B20C75"/>
    <w:rsid w:val="00B20D86"/>
    <w:rsid w:val="00B20DC7"/>
    <w:rsid w:val="00B20DFC"/>
    <w:rsid w:val="00B20EFE"/>
    <w:rsid w:val="00B20F12"/>
    <w:rsid w:val="00B20F18"/>
    <w:rsid w:val="00B21223"/>
    <w:rsid w:val="00B21237"/>
    <w:rsid w:val="00B2131B"/>
    <w:rsid w:val="00B2134C"/>
    <w:rsid w:val="00B213D0"/>
    <w:rsid w:val="00B2160C"/>
    <w:rsid w:val="00B2175B"/>
    <w:rsid w:val="00B2176C"/>
    <w:rsid w:val="00B21811"/>
    <w:rsid w:val="00B21842"/>
    <w:rsid w:val="00B21866"/>
    <w:rsid w:val="00B21892"/>
    <w:rsid w:val="00B21976"/>
    <w:rsid w:val="00B219E2"/>
    <w:rsid w:val="00B219FD"/>
    <w:rsid w:val="00B21A78"/>
    <w:rsid w:val="00B21AAE"/>
    <w:rsid w:val="00B21C57"/>
    <w:rsid w:val="00B21D27"/>
    <w:rsid w:val="00B21E32"/>
    <w:rsid w:val="00B21E51"/>
    <w:rsid w:val="00B21FBD"/>
    <w:rsid w:val="00B21FE9"/>
    <w:rsid w:val="00B22080"/>
    <w:rsid w:val="00B220E3"/>
    <w:rsid w:val="00B220EB"/>
    <w:rsid w:val="00B22262"/>
    <w:rsid w:val="00B2227D"/>
    <w:rsid w:val="00B222A2"/>
    <w:rsid w:val="00B2232F"/>
    <w:rsid w:val="00B22441"/>
    <w:rsid w:val="00B226C2"/>
    <w:rsid w:val="00B2271D"/>
    <w:rsid w:val="00B227F0"/>
    <w:rsid w:val="00B22922"/>
    <w:rsid w:val="00B22A86"/>
    <w:rsid w:val="00B22B2A"/>
    <w:rsid w:val="00B23029"/>
    <w:rsid w:val="00B23198"/>
    <w:rsid w:val="00B23284"/>
    <w:rsid w:val="00B232C7"/>
    <w:rsid w:val="00B23380"/>
    <w:rsid w:val="00B23396"/>
    <w:rsid w:val="00B233C2"/>
    <w:rsid w:val="00B233E3"/>
    <w:rsid w:val="00B23664"/>
    <w:rsid w:val="00B2368E"/>
    <w:rsid w:val="00B2371A"/>
    <w:rsid w:val="00B238E2"/>
    <w:rsid w:val="00B2397E"/>
    <w:rsid w:val="00B23A7F"/>
    <w:rsid w:val="00B23BAB"/>
    <w:rsid w:val="00B23C12"/>
    <w:rsid w:val="00B23C35"/>
    <w:rsid w:val="00B23CE7"/>
    <w:rsid w:val="00B23D34"/>
    <w:rsid w:val="00B23DA8"/>
    <w:rsid w:val="00B23DFC"/>
    <w:rsid w:val="00B2405E"/>
    <w:rsid w:val="00B24111"/>
    <w:rsid w:val="00B242AE"/>
    <w:rsid w:val="00B244BC"/>
    <w:rsid w:val="00B24659"/>
    <w:rsid w:val="00B2484A"/>
    <w:rsid w:val="00B24A0A"/>
    <w:rsid w:val="00B24A87"/>
    <w:rsid w:val="00B24B6A"/>
    <w:rsid w:val="00B24C3D"/>
    <w:rsid w:val="00B24C82"/>
    <w:rsid w:val="00B24EE9"/>
    <w:rsid w:val="00B24F51"/>
    <w:rsid w:val="00B24F6C"/>
    <w:rsid w:val="00B24FA5"/>
    <w:rsid w:val="00B24FFF"/>
    <w:rsid w:val="00B25098"/>
    <w:rsid w:val="00B25172"/>
    <w:rsid w:val="00B251CC"/>
    <w:rsid w:val="00B2525C"/>
    <w:rsid w:val="00B25264"/>
    <w:rsid w:val="00B25288"/>
    <w:rsid w:val="00B25391"/>
    <w:rsid w:val="00B25476"/>
    <w:rsid w:val="00B254B6"/>
    <w:rsid w:val="00B2558C"/>
    <w:rsid w:val="00B255F9"/>
    <w:rsid w:val="00B256D7"/>
    <w:rsid w:val="00B25791"/>
    <w:rsid w:val="00B259D0"/>
    <w:rsid w:val="00B25B3C"/>
    <w:rsid w:val="00B25B79"/>
    <w:rsid w:val="00B25C29"/>
    <w:rsid w:val="00B25E4F"/>
    <w:rsid w:val="00B25E52"/>
    <w:rsid w:val="00B26061"/>
    <w:rsid w:val="00B260F5"/>
    <w:rsid w:val="00B2616E"/>
    <w:rsid w:val="00B261A9"/>
    <w:rsid w:val="00B2622E"/>
    <w:rsid w:val="00B2630E"/>
    <w:rsid w:val="00B26362"/>
    <w:rsid w:val="00B264C6"/>
    <w:rsid w:val="00B26569"/>
    <w:rsid w:val="00B265FE"/>
    <w:rsid w:val="00B26602"/>
    <w:rsid w:val="00B2671B"/>
    <w:rsid w:val="00B26733"/>
    <w:rsid w:val="00B26802"/>
    <w:rsid w:val="00B268AF"/>
    <w:rsid w:val="00B268E3"/>
    <w:rsid w:val="00B268FA"/>
    <w:rsid w:val="00B26ABD"/>
    <w:rsid w:val="00B26AC6"/>
    <w:rsid w:val="00B26BE7"/>
    <w:rsid w:val="00B26C50"/>
    <w:rsid w:val="00B26D1A"/>
    <w:rsid w:val="00B26E12"/>
    <w:rsid w:val="00B26EC0"/>
    <w:rsid w:val="00B26EC9"/>
    <w:rsid w:val="00B26FDC"/>
    <w:rsid w:val="00B26FF6"/>
    <w:rsid w:val="00B271CC"/>
    <w:rsid w:val="00B272E3"/>
    <w:rsid w:val="00B2736A"/>
    <w:rsid w:val="00B2754A"/>
    <w:rsid w:val="00B27583"/>
    <w:rsid w:val="00B2766D"/>
    <w:rsid w:val="00B277F9"/>
    <w:rsid w:val="00B27888"/>
    <w:rsid w:val="00B27961"/>
    <w:rsid w:val="00B279DC"/>
    <w:rsid w:val="00B279FC"/>
    <w:rsid w:val="00B27B2C"/>
    <w:rsid w:val="00B27D97"/>
    <w:rsid w:val="00B27DB0"/>
    <w:rsid w:val="00B27ECF"/>
    <w:rsid w:val="00B27FE8"/>
    <w:rsid w:val="00B27FF4"/>
    <w:rsid w:val="00B300E7"/>
    <w:rsid w:val="00B300F3"/>
    <w:rsid w:val="00B30120"/>
    <w:rsid w:val="00B3018B"/>
    <w:rsid w:val="00B301A9"/>
    <w:rsid w:val="00B302C2"/>
    <w:rsid w:val="00B30535"/>
    <w:rsid w:val="00B30668"/>
    <w:rsid w:val="00B306CD"/>
    <w:rsid w:val="00B307AD"/>
    <w:rsid w:val="00B30A2D"/>
    <w:rsid w:val="00B30A51"/>
    <w:rsid w:val="00B30B73"/>
    <w:rsid w:val="00B30BB9"/>
    <w:rsid w:val="00B30BD7"/>
    <w:rsid w:val="00B30BFD"/>
    <w:rsid w:val="00B30E5B"/>
    <w:rsid w:val="00B30E7E"/>
    <w:rsid w:val="00B30FB0"/>
    <w:rsid w:val="00B30FCB"/>
    <w:rsid w:val="00B312A8"/>
    <w:rsid w:val="00B31334"/>
    <w:rsid w:val="00B3148B"/>
    <w:rsid w:val="00B314D1"/>
    <w:rsid w:val="00B314EA"/>
    <w:rsid w:val="00B3163D"/>
    <w:rsid w:val="00B317FF"/>
    <w:rsid w:val="00B31978"/>
    <w:rsid w:val="00B31A4D"/>
    <w:rsid w:val="00B31A7C"/>
    <w:rsid w:val="00B31AD6"/>
    <w:rsid w:val="00B31B94"/>
    <w:rsid w:val="00B31DC0"/>
    <w:rsid w:val="00B31E02"/>
    <w:rsid w:val="00B31E2F"/>
    <w:rsid w:val="00B31FCD"/>
    <w:rsid w:val="00B31FF1"/>
    <w:rsid w:val="00B32159"/>
    <w:rsid w:val="00B32193"/>
    <w:rsid w:val="00B323D0"/>
    <w:rsid w:val="00B32515"/>
    <w:rsid w:val="00B325A8"/>
    <w:rsid w:val="00B32689"/>
    <w:rsid w:val="00B3275A"/>
    <w:rsid w:val="00B3293D"/>
    <w:rsid w:val="00B32984"/>
    <w:rsid w:val="00B329B0"/>
    <w:rsid w:val="00B32ABA"/>
    <w:rsid w:val="00B32AF2"/>
    <w:rsid w:val="00B32B4A"/>
    <w:rsid w:val="00B32BB4"/>
    <w:rsid w:val="00B32BD8"/>
    <w:rsid w:val="00B32C73"/>
    <w:rsid w:val="00B32C7A"/>
    <w:rsid w:val="00B32D05"/>
    <w:rsid w:val="00B32E49"/>
    <w:rsid w:val="00B32E6C"/>
    <w:rsid w:val="00B32E7D"/>
    <w:rsid w:val="00B32F1B"/>
    <w:rsid w:val="00B3310D"/>
    <w:rsid w:val="00B3311B"/>
    <w:rsid w:val="00B33350"/>
    <w:rsid w:val="00B334B1"/>
    <w:rsid w:val="00B33735"/>
    <w:rsid w:val="00B3386F"/>
    <w:rsid w:val="00B33888"/>
    <w:rsid w:val="00B3398F"/>
    <w:rsid w:val="00B339C5"/>
    <w:rsid w:val="00B33B5B"/>
    <w:rsid w:val="00B33C2F"/>
    <w:rsid w:val="00B33E38"/>
    <w:rsid w:val="00B33EBB"/>
    <w:rsid w:val="00B33FED"/>
    <w:rsid w:val="00B34006"/>
    <w:rsid w:val="00B34178"/>
    <w:rsid w:val="00B34288"/>
    <w:rsid w:val="00B342D6"/>
    <w:rsid w:val="00B34316"/>
    <w:rsid w:val="00B34426"/>
    <w:rsid w:val="00B34468"/>
    <w:rsid w:val="00B3447D"/>
    <w:rsid w:val="00B34529"/>
    <w:rsid w:val="00B345F9"/>
    <w:rsid w:val="00B3463E"/>
    <w:rsid w:val="00B347D6"/>
    <w:rsid w:val="00B34851"/>
    <w:rsid w:val="00B348E4"/>
    <w:rsid w:val="00B3499F"/>
    <w:rsid w:val="00B34A16"/>
    <w:rsid w:val="00B34A8F"/>
    <w:rsid w:val="00B34B70"/>
    <w:rsid w:val="00B34B87"/>
    <w:rsid w:val="00B34CD1"/>
    <w:rsid w:val="00B34DC5"/>
    <w:rsid w:val="00B34F2B"/>
    <w:rsid w:val="00B34FD8"/>
    <w:rsid w:val="00B35041"/>
    <w:rsid w:val="00B350C2"/>
    <w:rsid w:val="00B350C8"/>
    <w:rsid w:val="00B35170"/>
    <w:rsid w:val="00B351DB"/>
    <w:rsid w:val="00B35237"/>
    <w:rsid w:val="00B3523B"/>
    <w:rsid w:val="00B35348"/>
    <w:rsid w:val="00B35360"/>
    <w:rsid w:val="00B35371"/>
    <w:rsid w:val="00B353C2"/>
    <w:rsid w:val="00B353E7"/>
    <w:rsid w:val="00B353FE"/>
    <w:rsid w:val="00B354BD"/>
    <w:rsid w:val="00B355CA"/>
    <w:rsid w:val="00B35611"/>
    <w:rsid w:val="00B3571A"/>
    <w:rsid w:val="00B3571C"/>
    <w:rsid w:val="00B35761"/>
    <w:rsid w:val="00B35786"/>
    <w:rsid w:val="00B357D7"/>
    <w:rsid w:val="00B357F7"/>
    <w:rsid w:val="00B35916"/>
    <w:rsid w:val="00B3594F"/>
    <w:rsid w:val="00B35E0B"/>
    <w:rsid w:val="00B35E78"/>
    <w:rsid w:val="00B36082"/>
    <w:rsid w:val="00B3609B"/>
    <w:rsid w:val="00B361FC"/>
    <w:rsid w:val="00B36414"/>
    <w:rsid w:val="00B3644D"/>
    <w:rsid w:val="00B364A7"/>
    <w:rsid w:val="00B365F6"/>
    <w:rsid w:val="00B366F3"/>
    <w:rsid w:val="00B36740"/>
    <w:rsid w:val="00B36816"/>
    <w:rsid w:val="00B36971"/>
    <w:rsid w:val="00B36B43"/>
    <w:rsid w:val="00B36B9C"/>
    <w:rsid w:val="00B36BC8"/>
    <w:rsid w:val="00B36D3A"/>
    <w:rsid w:val="00B36D64"/>
    <w:rsid w:val="00B36F6F"/>
    <w:rsid w:val="00B37002"/>
    <w:rsid w:val="00B3700B"/>
    <w:rsid w:val="00B3706E"/>
    <w:rsid w:val="00B370FF"/>
    <w:rsid w:val="00B37141"/>
    <w:rsid w:val="00B3732E"/>
    <w:rsid w:val="00B3737E"/>
    <w:rsid w:val="00B377D2"/>
    <w:rsid w:val="00B377FA"/>
    <w:rsid w:val="00B37832"/>
    <w:rsid w:val="00B37B8F"/>
    <w:rsid w:val="00B37BCC"/>
    <w:rsid w:val="00B37BF1"/>
    <w:rsid w:val="00B37CE1"/>
    <w:rsid w:val="00B37E63"/>
    <w:rsid w:val="00B37E6F"/>
    <w:rsid w:val="00B37EE1"/>
    <w:rsid w:val="00B37F7F"/>
    <w:rsid w:val="00B40101"/>
    <w:rsid w:val="00B401ED"/>
    <w:rsid w:val="00B40249"/>
    <w:rsid w:val="00B402AF"/>
    <w:rsid w:val="00B402B5"/>
    <w:rsid w:val="00B40371"/>
    <w:rsid w:val="00B40392"/>
    <w:rsid w:val="00B40680"/>
    <w:rsid w:val="00B408D9"/>
    <w:rsid w:val="00B4097D"/>
    <w:rsid w:val="00B40986"/>
    <w:rsid w:val="00B409C7"/>
    <w:rsid w:val="00B409DD"/>
    <w:rsid w:val="00B40A0B"/>
    <w:rsid w:val="00B40B3A"/>
    <w:rsid w:val="00B40B8F"/>
    <w:rsid w:val="00B40C3D"/>
    <w:rsid w:val="00B40D5C"/>
    <w:rsid w:val="00B40E46"/>
    <w:rsid w:val="00B40F02"/>
    <w:rsid w:val="00B40F2E"/>
    <w:rsid w:val="00B40F75"/>
    <w:rsid w:val="00B40F93"/>
    <w:rsid w:val="00B40FC9"/>
    <w:rsid w:val="00B411DF"/>
    <w:rsid w:val="00B412E2"/>
    <w:rsid w:val="00B41332"/>
    <w:rsid w:val="00B41545"/>
    <w:rsid w:val="00B41596"/>
    <w:rsid w:val="00B418B3"/>
    <w:rsid w:val="00B41945"/>
    <w:rsid w:val="00B419F8"/>
    <w:rsid w:val="00B41ABC"/>
    <w:rsid w:val="00B41AD9"/>
    <w:rsid w:val="00B41B4C"/>
    <w:rsid w:val="00B41D49"/>
    <w:rsid w:val="00B41DB6"/>
    <w:rsid w:val="00B41E4B"/>
    <w:rsid w:val="00B41FB1"/>
    <w:rsid w:val="00B41FB6"/>
    <w:rsid w:val="00B42091"/>
    <w:rsid w:val="00B420DE"/>
    <w:rsid w:val="00B420E8"/>
    <w:rsid w:val="00B421E6"/>
    <w:rsid w:val="00B422FA"/>
    <w:rsid w:val="00B42416"/>
    <w:rsid w:val="00B4245A"/>
    <w:rsid w:val="00B4258F"/>
    <w:rsid w:val="00B42A25"/>
    <w:rsid w:val="00B42A91"/>
    <w:rsid w:val="00B43102"/>
    <w:rsid w:val="00B43155"/>
    <w:rsid w:val="00B4316C"/>
    <w:rsid w:val="00B4317E"/>
    <w:rsid w:val="00B43216"/>
    <w:rsid w:val="00B4323D"/>
    <w:rsid w:val="00B43290"/>
    <w:rsid w:val="00B432E4"/>
    <w:rsid w:val="00B43339"/>
    <w:rsid w:val="00B4340B"/>
    <w:rsid w:val="00B43474"/>
    <w:rsid w:val="00B434E3"/>
    <w:rsid w:val="00B4351A"/>
    <w:rsid w:val="00B4369A"/>
    <w:rsid w:val="00B436EF"/>
    <w:rsid w:val="00B43760"/>
    <w:rsid w:val="00B4376B"/>
    <w:rsid w:val="00B4377B"/>
    <w:rsid w:val="00B437EE"/>
    <w:rsid w:val="00B43896"/>
    <w:rsid w:val="00B438F0"/>
    <w:rsid w:val="00B439F0"/>
    <w:rsid w:val="00B43A13"/>
    <w:rsid w:val="00B43A62"/>
    <w:rsid w:val="00B43AFC"/>
    <w:rsid w:val="00B43B14"/>
    <w:rsid w:val="00B43CFF"/>
    <w:rsid w:val="00B43D87"/>
    <w:rsid w:val="00B43E8C"/>
    <w:rsid w:val="00B43E9E"/>
    <w:rsid w:val="00B43EA7"/>
    <w:rsid w:val="00B43F3D"/>
    <w:rsid w:val="00B440B2"/>
    <w:rsid w:val="00B441D5"/>
    <w:rsid w:val="00B442A5"/>
    <w:rsid w:val="00B442C3"/>
    <w:rsid w:val="00B442D2"/>
    <w:rsid w:val="00B442E7"/>
    <w:rsid w:val="00B44373"/>
    <w:rsid w:val="00B44747"/>
    <w:rsid w:val="00B44792"/>
    <w:rsid w:val="00B4487A"/>
    <w:rsid w:val="00B448AD"/>
    <w:rsid w:val="00B44AE5"/>
    <w:rsid w:val="00B44BEA"/>
    <w:rsid w:val="00B44C7D"/>
    <w:rsid w:val="00B44D08"/>
    <w:rsid w:val="00B44E91"/>
    <w:rsid w:val="00B450CC"/>
    <w:rsid w:val="00B45122"/>
    <w:rsid w:val="00B45133"/>
    <w:rsid w:val="00B45161"/>
    <w:rsid w:val="00B4517D"/>
    <w:rsid w:val="00B45233"/>
    <w:rsid w:val="00B45279"/>
    <w:rsid w:val="00B452CF"/>
    <w:rsid w:val="00B452D7"/>
    <w:rsid w:val="00B45343"/>
    <w:rsid w:val="00B45400"/>
    <w:rsid w:val="00B454B6"/>
    <w:rsid w:val="00B454BD"/>
    <w:rsid w:val="00B45545"/>
    <w:rsid w:val="00B45703"/>
    <w:rsid w:val="00B457CA"/>
    <w:rsid w:val="00B457E6"/>
    <w:rsid w:val="00B45813"/>
    <w:rsid w:val="00B4586E"/>
    <w:rsid w:val="00B4594B"/>
    <w:rsid w:val="00B4597E"/>
    <w:rsid w:val="00B459F9"/>
    <w:rsid w:val="00B45B89"/>
    <w:rsid w:val="00B45D26"/>
    <w:rsid w:val="00B45E17"/>
    <w:rsid w:val="00B45E66"/>
    <w:rsid w:val="00B45EC4"/>
    <w:rsid w:val="00B45ED0"/>
    <w:rsid w:val="00B45F36"/>
    <w:rsid w:val="00B45F51"/>
    <w:rsid w:val="00B46000"/>
    <w:rsid w:val="00B460B1"/>
    <w:rsid w:val="00B460BC"/>
    <w:rsid w:val="00B46148"/>
    <w:rsid w:val="00B4636A"/>
    <w:rsid w:val="00B46371"/>
    <w:rsid w:val="00B464CC"/>
    <w:rsid w:val="00B464CD"/>
    <w:rsid w:val="00B46563"/>
    <w:rsid w:val="00B465C0"/>
    <w:rsid w:val="00B466C4"/>
    <w:rsid w:val="00B467AF"/>
    <w:rsid w:val="00B467D4"/>
    <w:rsid w:val="00B468FD"/>
    <w:rsid w:val="00B46A7F"/>
    <w:rsid w:val="00B46ABD"/>
    <w:rsid w:val="00B46AD9"/>
    <w:rsid w:val="00B46B43"/>
    <w:rsid w:val="00B46C33"/>
    <w:rsid w:val="00B46C44"/>
    <w:rsid w:val="00B46C7B"/>
    <w:rsid w:val="00B46CCA"/>
    <w:rsid w:val="00B47048"/>
    <w:rsid w:val="00B470BD"/>
    <w:rsid w:val="00B47254"/>
    <w:rsid w:val="00B4729F"/>
    <w:rsid w:val="00B472DF"/>
    <w:rsid w:val="00B4746C"/>
    <w:rsid w:val="00B47493"/>
    <w:rsid w:val="00B474A5"/>
    <w:rsid w:val="00B474F3"/>
    <w:rsid w:val="00B47579"/>
    <w:rsid w:val="00B47590"/>
    <w:rsid w:val="00B475C0"/>
    <w:rsid w:val="00B476B2"/>
    <w:rsid w:val="00B47782"/>
    <w:rsid w:val="00B478E6"/>
    <w:rsid w:val="00B47C0B"/>
    <w:rsid w:val="00B47C1F"/>
    <w:rsid w:val="00B47C58"/>
    <w:rsid w:val="00B47CEB"/>
    <w:rsid w:val="00B50112"/>
    <w:rsid w:val="00B5037C"/>
    <w:rsid w:val="00B504B1"/>
    <w:rsid w:val="00B5067F"/>
    <w:rsid w:val="00B506DD"/>
    <w:rsid w:val="00B5076A"/>
    <w:rsid w:val="00B5078F"/>
    <w:rsid w:val="00B50C28"/>
    <w:rsid w:val="00B50CA2"/>
    <w:rsid w:val="00B50D02"/>
    <w:rsid w:val="00B511CF"/>
    <w:rsid w:val="00B511EA"/>
    <w:rsid w:val="00B5130B"/>
    <w:rsid w:val="00B514D1"/>
    <w:rsid w:val="00B51910"/>
    <w:rsid w:val="00B51AD4"/>
    <w:rsid w:val="00B51BC4"/>
    <w:rsid w:val="00B51BC8"/>
    <w:rsid w:val="00B51BE8"/>
    <w:rsid w:val="00B51C47"/>
    <w:rsid w:val="00B51C4D"/>
    <w:rsid w:val="00B51C95"/>
    <w:rsid w:val="00B51CA2"/>
    <w:rsid w:val="00B51E80"/>
    <w:rsid w:val="00B51FEB"/>
    <w:rsid w:val="00B52007"/>
    <w:rsid w:val="00B5207F"/>
    <w:rsid w:val="00B522BD"/>
    <w:rsid w:val="00B52314"/>
    <w:rsid w:val="00B5233E"/>
    <w:rsid w:val="00B5239E"/>
    <w:rsid w:val="00B523E0"/>
    <w:rsid w:val="00B52447"/>
    <w:rsid w:val="00B5251D"/>
    <w:rsid w:val="00B5258D"/>
    <w:rsid w:val="00B5274F"/>
    <w:rsid w:val="00B528C9"/>
    <w:rsid w:val="00B528D0"/>
    <w:rsid w:val="00B529B7"/>
    <w:rsid w:val="00B52A0C"/>
    <w:rsid w:val="00B52AAD"/>
    <w:rsid w:val="00B52BB0"/>
    <w:rsid w:val="00B52C26"/>
    <w:rsid w:val="00B52E2D"/>
    <w:rsid w:val="00B52E6E"/>
    <w:rsid w:val="00B52E70"/>
    <w:rsid w:val="00B52F67"/>
    <w:rsid w:val="00B52FEE"/>
    <w:rsid w:val="00B53147"/>
    <w:rsid w:val="00B53150"/>
    <w:rsid w:val="00B531EB"/>
    <w:rsid w:val="00B532A5"/>
    <w:rsid w:val="00B5341A"/>
    <w:rsid w:val="00B53432"/>
    <w:rsid w:val="00B5361A"/>
    <w:rsid w:val="00B538A7"/>
    <w:rsid w:val="00B538C5"/>
    <w:rsid w:val="00B538CF"/>
    <w:rsid w:val="00B53935"/>
    <w:rsid w:val="00B53A16"/>
    <w:rsid w:val="00B53A23"/>
    <w:rsid w:val="00B53AB7"/>
    <w:rsid w:val="00B53B05"/>
    <w:rsid w:val="00B53B54"/>
    <w:rsid w:val="00B53B9A"/>
    <w:rsid w:val="00B53BF6"/>
    <w:rsid w:val="00B53C5A"/>
    <w:rsid w:val="00B53CA5"/>
    <w:rsid w:val="00B53DC2"/>
    <w:rsid w:val="00B53DFA"/>
    <w:rsid w:val="00B53E6B"/>
    <w:rsid w:val="00B53E77"/>
    <w:rsid w:val="00B53E9B"/>
    <w:rsid w:val="00B53F4D"/>
    <w:rsid w:val="00B5416A"/>
    <w:rsid w:val="00B54293"/>
    <w:rsid w:val="00B543B1"/>
    <w:rsid w:val="00B5443A"/>
    <w:rsid w:val="00B544C8"/>
    <w:rsid w:val="00B5462D"/>
    <w:rsid w:val="00B54647"/>
    <w:rsid w:val="00B546C6"/>
    <w:rsid w:val="00B546F1"/>
    <w:rsid w:val="00B54740"/>
    <w:rsid w:val="00B548B2"/>
    <w:rsid w:val="00B54BAD"/>
    <w:rsid w:val="00B54BC8"/>
    <w:rsid w:val="00B54D33"/>
    <w:rsid w:val="00B55002"/>
    <w:rsid w:val="00B5525A"/>
    <w:rsid w:val="00B55289"/>
    <w:rsid w:val="00B55292"/>
    <w:rsid w:val="00B55331"/>
    <w:rsid w:val="00B55369"/>
    <w:rsid w:val="00B55424"/>
    <w:rsid w:val="00B5559B"/>
    <w:rsid w:val="00B55786"/>
    <w:rsid w:val="00B55806"/>
    <w:rsid w:val="00B558AB"/>
    <w:rsid w:val="00B55908"/>
    <w:rsid w:val="00B559D6"/>
    <w:rsid w:val="00B55AAC"/>
    <w:rsid w:val="00B55AEF"/>
    <w:rsid w:val="00B55B25"/>
    <w:rsid w:val="00B55B5D"/>
    <w:rsid w:val="00B55C2D"/>
    <w:rsid w:val="00B55C2F"/>
    <w:rsid w:val="00B55CB2"/>
    <w:rsid w:val="00B55D66"/>
    <w:rsid w:val="00B55DFD"/>
    <w:rsid w:val="00B55E39"/>
    <w:rsid w:val="00B56112"/>
    <w:rsid w:val="00B5614D"/>
    <w:rsid w:val="00B561CB"/>
    <w:rsid w:val="00B5624B"/>
    <w:rsid w:val="00B562DD"/>
    <w:rsid w:val="00B5634B"/>
    <w:rsid w:val="00B5637B"/>
    <w:rsid w:val="00B565F5"/>
    <w:rsid w:val="00B56674"/>
    <w:rsid w:val="00B567EC"/>
    <w:rsid w:val="00B5681D"/>
    <w:rsid w:val="00B56934"/>
    <w:rsid w:val="00B56AE2"/>
    <w:rsid w:val="00B56AEE"/>
    <w:rsid w:val="00B56B63"/>
    <w:rsid w:val="00B56C0D"/>
    <w:rsid w:val="00B56C2A"/>
    <w:rsid w:val="00B56CF1"/>
    <w:rsid w:val="00B56D9B"/>
    <w:rsid w:val="00B56E86"/>
    <w:rsid w:val="00B56EFA"/>
    <w:rsid w:val="00B56F5B"/>
    <w:rsid w:val="00B56FE1"/>
    <w:rsid w:val="00B5725C"/>
    <w:rsid w:val="00B572C1"/>
    <w:rsid w:val="00B572F9"/>
    <w:rsid w:val="00B57489"/>
    <w:rsid w:val="00B574A7"/>
    <w:rsid w:val="00B57508"/>
    <w:rsid w:val="00B576C8"/>
    <w:rsid w:val="00B577DA"/>
    <w:rsid w:val="00B577E7"/>
    <w:rsid w:val="00B578BA"/>
    <w:rsid w:val="00B578F2"/>
    <w:rsid w:val="00B57946"/>
    <w:rsid w:val="00B579B0"/>
    <w:rsid w:val="00B57A50"/>
    <w:rsid w:val="00B57AE9"/>
    <w:rsid w:val="00B57B43"/>
    <w:rsid w:val="00B57C7C"/>
    <w:rsid w:val="00B57DBC"/>
    <w:rsid w:val="00B57E72"/>
    <w:rsid w:val="00B57F03"/>
    <w:rsid w:val="00B57F1D"/>
    <w:rsid w:val="00B57F26"/>
    <w:rsid w:val="00B6005E"/>
    <w:rsid w:val="00B601CB"/>
    <w:rsid w:val="00B602C2"/>
    <w:rsid w:val="00B60355"/>
    <w:rsid w:val="00B60372"/>
    <w:rsid w:val="00B60399"/>
    <w:rsid w:val="00B603AC"/>
    <w:rsid w:val="00B603BC"/>
    <w:rsid w:val="00B603E3"/>
    <w:rsid w:val="00B6051E"/>
    <w:rsid w:val="00B605B9"/>
    <w:rsid w:val="00B60612"/>
    <w:rsid w:val="00B60669"/>
    <w:rsid w:val="00B606EC"/>
    <w:rsid w:val="00B608DD"/>
    <w:rsid w:val="00B60920"/>
    <w:rsid w:val="00B6097C"/>
    <w:rsid w:val="00B60B1B"/>
    <w:rsid w:val="00B60BFB"/>
    <w:rsid w:val="00B60CD8"/>
    <w:rsid w:val="00B60DC7"/>
    <w:rsid w:val="00B60E92"/>
    <w:rsid w:val="00B60EEE"/>
    <w:rsid w:val="00B61013"/>
    <w:rsid w:val="00B61136"/>
    <w:rsid w:val="00B612C2"/>
    <w:rsid w:val="00B61390"/>
    <w:rsid w:val="00B614D5"/>
    <w:rsid w:val="00B616A9"/>
    <w:rsid w:val="00B6174A"/>
    <w:rsid w:val="00B61807"/>
    <w:rsid w:val="00B61914"/>
    <w:rsid w:val="00B61953"/>
    <w:rsid w:val="00B619D2"/>
    <w:rsid w:val="00B61AB7"/>
    <w:rsid w:val="00B61AFE"/>
    <w:rsid w:val="00B61B72"/>
    <w:rsid w:val="00B61CEC"/>
    <w:rsid w:val="00B61D2C"/>
    <w:rsid w:val="00B61EE0"/>
    <w:rsid w:val="00B61F0C"/>
    <w:rsid w:val="00B621DA"/>
    <w:rsid w:val="00B622B1"/>
    <w:rsid w:val="00B62377"/>
    <w:rsid w:val="00B623AA"/>
    <w:rsid w:val="00B623B2"/>
    <w:rsid w:val="00B625BF"/>
    <w:rsid w:val="00B62605"/>
    <w:rsid w:val="00B6276E"/>
    <w:rsid w:val="00B628E3"/>
    <w:rsid w:val="00B62B20"/>
    <w:rsid w:val="00B62B3C"/>
    <w:rsid w:val="00B62C52"/>
    <w:rsid w:val="00B62C69"/>
    <w:rsid w:val="00B62D66"/>
    <w:rsid w:val="00B62E52"/>
    <w:rsid w:val="00B62EA1"/>
    <w:rsid w:val="00B62F13"/>
    <w:rsid w:val="00B62FC2"/>
    <w:rsid w:val="00B6302A"/>
    <w:rsid w:val="00B630BC"/>
    <w:rsid w:val="00B63169"/>
    <w:rsid w:val="00B631BA"/>
    <w:rsid w:val="00B6323F"/>
    <w:rsid w:val="00B63246"/>
    <w:rsid w:val="00B632B1"/>
    <w:rsid w:val="00B63339"/>
    <w:rsid w:val="00B633A3"/>
    <w:rsid w:val="00B633F3"/>
    <w:rsid w:val="00B6342C"/>
    <w:rsid w:val="00B6344B"/>
    <w:rsid w:val="00B63573"/>
    <w:rsid w:val="00B635F8"/>
    <w:rsid w:val="00B63690"/>
    <w:rsid w:val="00B63701"/>
    <w:rsid w:val="00B63720"/>
    <w:rsid w:val="00B63804"/>
    <w:rsid w:val="00B6397C"/>
    <w:rsid w:val="00B639BF"/>
    <w:rsid w:val="00B63A2F"/>
    <w:rsid w:val="00B63B3B"/>
    <w:rsid w:val="00B63B78"/>
    <w:rsid w:val="00B63BAC"/>
    <w:rsid w:val="00B63D68"/>
    <w:rsid w:val="00B63FF3"/>
    <w:rsid w:val="00B64004"/>
    <w:rsid w:val="00B64019"/>
    <w:rsid w:val="00B64035"/>
    <w:rsid w:val="00B64044"/>
    <w:rsid w:val="00B64196"/>
    <w:rsid w:val="00B64210"/>
    <w:rsid w:val="00B64455"/>
    <w:rsid w:val="00B64535"/>
    <w:rsid w:val="00B6467B"/>
    <w:rsid w:val="00B647AA"/>
    <w:rsid w:val="00B6481A"/>
    <w:rsid w:val="00B64927"/>
    <w:rsid w:val="00B64965"/>
    <w:rsid w:val="00B649E9"/>
    <w:rsid w:val="00B64B3B"/>
    <w:rsid w:val="00B64B9E"/>
    <w:rsid w:val="00B64BC1"/>
    <w:rsid w:val="00B64C66"/>
    <w:rsid w:val="00B64CBF"/>
    <w:rsid w:val="00B64D4E"/>
    <w:rsid w:val="00B64E15"/>
    <w:rsid w:val="00B64E75"/>
    <w:rsid w:val="00B64F4B"/>
    <w:rsid w:val="00B64FD9"/>
    <w:rsid w:val="00B65259"/>
    <w:rsid w:val="00B6532B"/>
    <w:rsid w:val="00B65482"/>
    <w:rsid w:val="00B65553"/>
    <w:rsid w:val="00B65625"/>
    <w:rsid w:val="00B6586B"/>
    <w:rsid w:val="00B65988"/>
    <w:rsid w:val="00B65A05"/>
    <w:rsid w:val="00B65AAA"/>
    <w:rsid w:val="00B65AFA"/>
    <w:rsid w:val="00B65D2B"/>
    <w:rsid w:val="00B65DAC"/>
    <w:rsid w:val="00B65F36"/>
    <w:rsid w:val="00B65F4C"/>
    <w:rsid w:val="00B66143"/>
    <w:rsid w:val="00B6616F"/>
    <w:rsid w:val="00B661E5"/>
    <w:rsid w:val="00B66363"/>
    <w:rsid w:val="00B66365"/>
    <w:rsid w:val="00B665C9"/>
    <w:rsid w:val="00B666A2"/>
    <w:rsid w:val="00B666ED"/>
    <w:rsid w:val="00B66838"/>
    <w:rsid w:val="00B66861"/>
    <w:rsid w:val="00B669D9"/>
    <w:rsid w:val="00B66A39"/>
    <w:rsid w:val="00B66A60"/>
    <w:rsid w:val="00B66AE0"/>
    <w:rsid w:val="00B66B72"/>
    <w:rsid w:val="00B66BBA"/>
    <w:rsid w:val="00B66CAD"/>
    <w:rsid w:val="00B66CBF"/>
    <w:rsid w:val="00B66DAE"/>
    <w:rsid w:val="00B66F8F"/>
    <w:rsid w:val="00B66F99"/>
    <w:rsid w:val="00B66F9E"/>
    <w:rsid w:val="00B66FBC"/>
    <w:rsid w:val="00B66FFE"/>
    <w:rsid w:val="00B67169"/>
    <w:rsid w:val="00B671D7"/>
    <w:rsid w:val="00B6720D"/>
    <w:rsid w:val="00B6725B"/>
    <w:rsid w:val="00B672F5"/>
    <w:rsid w:val="00B6743C"/>
    <w:rsid w:val="00B674BF"/>
    <w:rsid w:val="00B675E7"/>
    <w:rsid w:val="00B676D1"/>
    <w:rsid w:val="00B6772A"/>
    <w:rsid w:val="00B677B9"/>
    <w:rsid w:val="00B6785B"/>
    <w:rsid w:val="00B67A22"/>
    <w:rsid w:val="00B67A71"/>
    <w:rsid w:val="00B67BB1"/>
    <w:rsid w:val="00B67CC3"/>
    <w:rsid w:val="00B67D06"/>
    <w:rsid w:val="00B67D16"/>
    <w:rsid w:val="00B67DB6"/>
    <w:rsid w:val="00B67E00"/>
    <w:rsid w:val="00B700BF"/>
    <w:rsid w:val="00B700DC"/>
    <w:rsid w:val="00B7026A"/>
    <w:rsid w:val="00B702CD"/>
    <w:rsid w:val="00B70470"/>
    <w:rsid w:val="00B7057A"/>
    <w:rsid w:val="00B7066F"/>
    <w:rsid w:val="00B706F3"/>
    <w:rsid w:val="00B70711"/>
    <w:rsid w:val="00B707D7"/>
    <w:rsid w:val="00B70A55"/>
    <w:rsid w:val="00B70CEF"/>
    <w:rsid w:val="00B70DBC"/>
    <w:rsid w:val="00B70F10"/>
    <w:rsid w:val="00B70F9E"/>
    <w:rsid w:val="00B70FF6"/>
    <w:rsid w:val="00B71025"/>
    <w:rsid w:val="00B71123"/>
    <w:rsid w:val="00B7112C"/>
    <w:rsid w:val="00B7126F"/>
    <w:rsid w:val="00B71323"/>
    <w:rsid w:val="00B713A3"/>
    <w:rsid w:val="00B71434"/>
    <w:rsid w:val="00B71470"/>
    <w:rsid w:val="00B715CA"/>
    <w:rsid w:val="00B71681"/>
    <w:rsid w:val="00B7178F"/>
    <w:rsid w:val="00B718CC"/>
    <w:rsid w:val="00B719A7"/>
    <w:rsid w:val="00B719CF"/>
    <w:rsid w:val="00B71C12"/>
    <w:rsid w:val="00B71D86"/>
    <w:rsid w:val="00B71DF8"/>
    <w:rsid w:val="00B71EEB"/>
    <w:rsid w:val="00B72049"/>
    <w:rsid w:val="00B720C4"/>
    <w:rsid w:val="00B7213B"/>
    <w:rsid w:val="00B72201"/>
    <w:rsid w:val="00B72347"/>
    <w:rsid w:val="00B72433"/>
    <w:rsid w:val="00B72499"/>
    <w:rsid w:val="00B724A6"/>
    <w:rsid w:val="00B724E4"/>
    <w:rsid w:val="00B7253E"/>
    <w:rsid w:val="00B725AA"/>
    <w:rsid w:val="00B72801"/>
    <w:rsid w:val="00B7282C"/>
    <w:rsid w:val="00B72885"/>
    <w:rsid w:val="00B72887"/>
    <w:rsid w:val="00B728AF"/>
    <w:rsid w:val="00B72A4C"/>
    <w:rsid w:val="00B72CC0"/>
    <w:rsid w:val="00B72E44"/>
    <w:rsid w:val="00B72E60"/>
    <w:rsid w:val="00B72EF0"/>
    <w:rsid w:val="00B730B5"/>
    <w:rsid w:val="00B7315E"/>
    <w:rsid w:val="00B7338E"/>
    <w:rsid w:val="00B73414"/>
    <w:rsid w:val="00B73603"/>
    <w:rsid w:val="00B7363C"/>
    <w:rsid w:val="00B738A3"/>
    <w:rsid w:val="00B73922"/>
    <w:rsid w:val="00B73AF4"/>
    <w:rsid w:val="00B73B81"/>
    <w:rsid w:val="00B73DE4"/>
    <w:rsid w:val="00B73E1B"/>
    <w:rsid w:val="00B73F50"/>
    <w:rsid w:val="00B73FFC"/>
    <w:rsid w:val="00B740DC"/>
    <w:rsid w:val="00B74167"/>
    <w:rsid w:val="00B74276"/>
    <w:rsid w:val="00B74493"/>
    <w:rsid w:val="00B7454D"/>
    <w:rsid w:val="00B74564"/>
    <w:rsid w:val="00B74597"/>
    <w:rsid w:val="00B74888"/>
    <w:rsid w:val="00B748F3"/>
    <w:rsid w:val="00B7490E"/>
    <w:rsid w:val="00B749EE"/>
    <w:rsid w:val="00B74A0E"/>
    <w:rsid w:val="00B74A4C"/>
    <w:rsid w:val="00B74ADE"/>
    <w:rsid w:val="00B74B3A"/>
    <w:rsid w:val="00B74DE0"/>
    <w:rsid w:val="00B74E37"/>
    <w:rsid w:val="00B74E84"/>
    <w:rsid w:val="00B7500A"/>
    <w:rsid w:val="00B75015"/>
    <w:rsid w:val="00B75054"/>
    <w:rsid w:val="00B750AF"/>
    <w:rsid w:val="00B75154"/>
    <w:rsid w:val="00B75297"/>
    <w:rsid w:val="00B75319"/>
    <w:rsid w:val="00B75352"/>
    <w:rsid w:val="00B754E7"/>
    <w:rsid w:val="00B75588"/>
    <w:rsid w:val="00B7558B"/>
    <w:rsid w:val="00B75704"/>
    <w:rsid w:val="00B7576B"/>
    <w:rsid w:val="00B75821"/>
    <w:rsid w:val="00B758C6"/>
    <w:rsid w:val="00B758CF"/>
    <w:rsid w:val="00B7598B"/>
    <w:rsid w:val="00B759DC"/>
    <w:rsid w:val="00B75A44"/>
    <w:rsid w:val="00B75C65"/>
    <w:rsid w:val="00B75D5B"/>
    <w:rsid w:val="00B760DD"/>
    <w:rsid w:val="00B760E0"/>
    <w:rsid w:val="00B76105"/>
    <w:rsid w:val="00B76240"/>
    <w:rsid w:val="00B7625F"/>
    <w:rsid w:val="00B762F0"/>
    <w:rsid w:val="00B76307"/>
    <w:rsid w:val="00B7632F"/>
    <w:rsid w:val="00B7634E"/>
    <w:rsid w:val="00B76565"/>
    <w:rsid w:val="00B766B8"/>
    <w:rsid w:val="00B766C1"/>
    <w:rsid w:val="00B76BF4"/>
    <w:rsid w:val="00B76CCE"/>
    <w:rsid w:val="00B76CFA"/>
    <w:rsid w:val="00B76DE1"/>
    <w:rsid w:val="00B7721A"/>
    <w:rsid w:val="00B772C7"/>
    <w:rsid w:val="00B77321"/>
    <w:rsid w:val="00B773D7"/>
    <w:rsid w:val="00B7766C"/>
    <w:rsid w:val="00B776D3"/>
    <w:rsid w:val="00B77778"/>
    <w:rsid w:val="00B77933"/>
    <w:rsid w:val="00B77A4B"/>
    <w:rsid w:val="00B77AD1"/>
    <w:rsid w:val="00B77AF9"/>
    <w:rsid w:val="00B77B8A"/>
    <w:rsid w:val="00B77D15"/>
    <w:rsid w:val="00B77DA5"/>
    <w:rsid w:val="00B77DB6"/>
    <w:rsid w:val="00B77DBA"/>
    <w:rsid w:val="00B77E43"/>
    <w:rsid w:val="00B77F9E"/>
    <w:rsid w:val="00B8020C"/>
    <w:rsid w:val="00B80268"/>
    <w:rsid w:val="00B802D1"/>
    <w:rsid w:val="00B8035C"/>
    <w:rsid w:val="00B803A6"/>
    <w:rsid w:val="00B804DD"/>
    <w:rsid w:val="00B80599"/>
    <w:rsid w:val="00B8065A"/>
    <w:rsid w:val="00B8070A"/>
    <w:rsid w:val="00B80780"/>
    <w:rsid w:val="00B807C4"/>
    <w:rsid w:val="00B807D1"/>
    <w:rsid w:val="00B80810"/>
    <w:rsid w:val="00B80844"/>
    <w:rsid w:val="00B80888"/>
    <w:rsid w:val="00B80966"/>
    <w:rsid w:val="00B809A8"/>
    <w:rsid w:val="00B809BF"/>
    <w:rsid w:val="00B809C8"/>
    <w:rsid w:val="00B80A60"/>
    <w:rsid w:val="00B80B14"/>
    <w:rsid w:val="00B80C6E"/>
    <w:rsid w:val="00B80C8B"/>
    <w:rsid w:val="00B80CB9"/>
    <w:rsid w:val="00B80D73"/>
    <w:rsid w:val="00B80E96"/>
    <w:rsid w:val="00B8108B"/>
    <w:rsid w:val="00B810E3"/>
    <w:rsid w:val="00B81145"/>
    <w:rsid w:val="00B8128E"/>
    <w:rsid w:val="00B81303"/>
    <w:rsid w:val="00B81379"/>
    <w:rsid w:val="00B81523"/>
    <w:rsid w:val="00B8160F"/>
    <w:rsid w:val="00B81643"/>
    <w:rsid w:val="00B8189E"/>
    <w:rsid w:val="00B81949"/>
    <w:rsid w:val="00B819EC"/>
    <w:rsid w:val="00B81A72"/>
    <w:rsid w:val="00B81AA5"/>
    <w:rsid w:val="00B81BD5"/>
    <w:rsid w:val="00B81CCA"/>
    <w:rsid w:val="00B81D6B"/>
    <w:rsid w:val="00B81D8D"/>
    <w:rsid w:val="00B81EC5"/>
    <w:rsid w:val="00B81ED4"/>
    <w:rsid w:val="00B81FD5"/>
    <w:rsid w:val="00B821C7"/>
    <w:rsid w:val="00B82389"/>
    <w:rsid w:val="00B825E9"/>
    <w:rsid w:val="00B82693"/>
    <w:rsid w:val="00B826FB"/>
    <w:rsid w:val="00B827CF"/>
    <w:rsid w:val="00B8285D"/>
    <w:rsid w:val="00B8291B"/>
    <w:rsid w:val="00B82983"/>
    <w:rsid w:val="00B829B5"/>
    <w:rsid w:val="00B82A44"/>
    <w:rsid w:val="00B82A5B"/>
    <w:rsid w:val="00B82A97"/>
    <w:rsid w:val="00B82AA5"/>
    <w:rsid w:val="00B82B8C"/>
    <w:rsid w:val="00B82BC5"/>
    <w:rsid w:val="00B82C39"/>
    <w:rsid w:val="00B82CCA"/>
    <w:rsid w:val="00B82D21"/>
    <w:rsid w:val="00B82D28"/>
    <w:rsid w:val="00B82D97"/>
    <w:rsid w:val="00B82DD0"/>
    <w:rsid w:val="00B82F14"/>
    <w:rsid w:val="00B82F35"/>
    <w:rsid w:val="00B82F91"/>
    <w:rsid w:val="00B8312A"/>
    <w:rsid w:val="00B83181"/>
    <w:rsid w:val="00B83343"/>
    <w:rsid w:val="00B833AA"/>
    <w:rsid w:val="00B833EB"/>
    <w:rsid w:val="00B8349B"/>
    <w:rsid w:val="00B835AD"/>
    <w:rsid w:val="00B83606"/>
    <w:rsid w:val="00B8375A"/>
    <w:rsid w:val="00B83B67"/>
    <w:rsid w:val="00B83CA5"/>
    <w:rsid w:val="00B83D5D"/>
    <w:rsid w:val="00B83DA5"/>
    <w:rsid w:val="00B83ED2"/>
    <w:rsid w:val="00B83F38"/>
    <w:rsid w:val="00B83F8F"/>
    <w:rsid w:val="00B84049"/>
    <w:rsid w:val="00B84079"/>
    <w:rsid w:val="00B84117"/>
    <w:rsid w:val="00B84208"/>
    <w:rsid w:val="00B84231"/>
    <w:rsid w:val="00B843FF"/>
    <w:rsid w:val="00B844D6"/>
    <w:rsid w:val="00B84518"/>
    <w:rsid w:val="00B84727"/>
    <w:rsid w:val="00B8479B"/>
    <w:rsid w:val="00B8482B"/>
    <w:rsid w:val="00B84834"/>
    <w:rsid w:val="00B8488D"/>
    <w:rsid w:val="00B84927"/>
    <w:rsid w:val="00B84A6B"/>
    <w:rsid w:val="00B84A95"/>
    <w:rsid w:val="00B84B10"/>
    <w:rsid w:val="00B84B56"/>
    <w:rsid w:val="00B84C6B"/>
    <w:rsid w:val="00B84C9D"/>
    <w:rsid w:val="00B84CC2"/>
    <w:rsid w:val="00B84CC8"/>
    <w:rsid w:val="00B84CF5"/>
    <w:rsid w:val="00B84D0B"/>
    <w:rsid w:val="00B84D66"/>
    <w:rsid w:val="00B84EA3"/>
    <w:rsid w:val="00B84F86"/>
    <w:rsid w:val="00B84FBE"/>
    <w:rsid w:val="00B84FCD"/>
    <w:rsid w:val="00B850F2"/>
    <w:rsid w:val="00B8515E"/>
    <w:rsid w:val="00B851A0"/>
    <w:rsid w:val="00B851FB"/>
    <w:rsid w:val="00B852A2"/>
    <w:rsid w:val="00B85489"/>
    <w:rsid w:val="00B85549"/>
    <w:rsid w:val="00B85594"/>
    <w:rsid w:val="00B855AB"/>
    <w:rsid w:val="00B85638"/>
    <w:rsid w:val="00B85670"/>
    <w:rsid w:val="00B8573B"/>
    <w:rsid w:val="00B8575C"/>
    <w:rsid w:val="00B857AA"/>
    <w:rsid w:val="00B857FC"/>
    <w:rsid w:val="00B859EB"/>
    <w:rsid w:val="00B85C57"/>
    <w:rsid w:val="00B85D12"/>
    <w:rsid w:val="00B86106"/>
    <w:rsid w:val="00B8613E"/>
    <w:rsid w:val="00B862AA"/>
    <w:rsid w:val="00B862E4"/>
    <w:rsid w:val="00B8636B"/>
    <w:rsid w:val="00B8642C"/>
    <w:rsid w:val="00B864B8"/>
    <w:rsid w:val="00B864C7"/>
    <w:rsid w:val="00B8656A"/>
    <w:rsid w:val="00B8660A"/>
    <w:rsid w:val="00B86610"/>
    <w:rsid w:val="00B86728"/>
    <w:rsid w:val="00B86802"/>
    <w:rsid w:val="00B86826"/>
    <w:rsid w:val="00B86895"/>
    <w:rsid w:val="00B8697D"/>
    <w:rsid w:val="00B8698F"/>
    <w:rsid w:val="00B86A3E"/>
    <w:rsid w:val="00B86A51"/>
    <w:rsid w:val="00B86C96"/>
    <w:rsid w:val="00B86CB1"/>
    <w:rsid w:val="00B86D4C"/>
    <w:rsid w:val="00B86DCD"/>
    <w:rsid w:val="00B86E3A"/>
    <w:rsid w:val="00B86E69"/>
    <w:rsid w:val="00B870DC"/>
    <w:rsid w:val="00B871B3"/>
    <w:rsid w:val="00B87470"/>
    <w:rsid w:val="00B87481"/>
    <w:rsid w:val="00B87612"/>
    <w:rsid w:val="00B876C3"/>
    <w:rsid w:val="00B8774B"/>
    <w:rsid w:val="00B87783"/>
    <w:rsid w:val="00B87791"/>
    <w:rsid w:val="00B87930"/>
    <w:rsid w:val="00B87A45"/>
    <w:rsid w:val="00B87B7B"/>
    <w:rsid w:val="00B87BF8"/>
    <w:rsid w:val="00B87C3E"/>
    <w:rsid w:val="00B87C66"/>
    <w:rsid w:val="00B87CC5"/>
    <w:rsid w:val="00B87CDA"/>
    <w:rsid w:val="00B87D5D"/>
    <w:rsid w:val="00B87DB5"/>
    <w:rsid w:val="00B87E65"/>
    <w:rsid w:val="00B87F91"/>
    <w:rsid w:val="00B900FB"/>
    <w:rsid w:val="00B901E9"/>
    <w:rsid w:val="00B9020F"/>
    <w:rsid w:val="00B902F3"/>
    <w:rsid w:val="00B903C9"/>
    <w:rsid w:val="00B905E2"/>
    <w:rsid w:val="00B90661"/>
    <w:rsid w:val="00B907C5"/>
    <w:rsid w:val="00B90897"/>
    <w:rsid w:val="00B908BB"/>
    <w:rsid w:val="00B90987"/>
    <w:rsid w:val="00B90A5A"/>
    <w:rsid w:val="00B90A88"/>
    <w:rsid w:val="00B90B2E"/>
    <w:rsid w:val="00B90D00"/>
    <w:rsid w:val="00B90DBB"/>
    <w:rsid w:val="00B90E32"/>
    <w:rsid w:val="00B9101D"/>
    <w:rsid w:val="00B91070"/>
    <w:rsid w:val="00B91104"/>
    <w:rsid w:val="00B911EF"/>
    <w:rsid w:val="00B91393"/>
    <w:rsid w:val="00B9141A"/>
    <w:rsid w:val="00B91460"/>
    <w:rsid w:val="00B91564"/>
    <w:rsid w:val="00B91858"/>
    <w:rsid w:val="00B9198C"/>
    <w:rsid w:val="00B91BC5"/>
    <w:rsid w:val="00B91D44"/>
    <w:rsid w:val="00B91EA5"/>
    <w:rsid w:val="00B91EBB"/>
    <w:rsid w:val="00B91F1D"/>
    <w:rsid w:val="00B91FA6"/>
    <w:rsid w:val="00B920EE"/>
    <w:rsid w:val="00B92107"/>
    <w:rsid w:val="00B92137"/>
    <w:rsid w:val="00B92154"/>
    <w:rsid w:val="00B92216"/>
    <w:rsid w:val="00B92246"/>
    <w:rsid w:val="00B92347"/>
    <w:rsid w:val="00B92418"/>
    <w:rsid w:val="00B924C1"/>
    <w:rsid w:val="00B92543"/>
    <w:rsid w:val="00B92637"/>
    <w:rsid w:val="00B9271E"/>
    <w:rsid w:val="00B927B3"/>
    <w:rsid w:val="00B928CB"/>
    <w:rsid w:val="00B92938"/>
    <w:rsid w:val="00B92952"/>
    <w:rsid w:val="00B929F5"/>
    <w:rsid w:val="00B92A17"/>
    <w:rsid w:val="00B92BAD"/>
    <w:rsid w:val="00B92D8A"/>
    <w:rsid w:val="00B92EC9"/>
    <w:rsid w:val="00B9308A"/>
    <w:rsid w:val="00B9308C"/>
    <w:rsid w:val="00B931D4"/>
    <w:rsid w:val="00B931F9"/>
    <w:rsid w:val="00B93297"/>
    <w:rsid w:val="00B932A2"/>
    <w:rsid w:val="00B93307"/>
    <w:rsid w:val="00B933B1"/>
    <w:rsid w:val="00B9346D"/>
    <w:rsid w:val="00B93544"/>
    <w:rsid w:val="00B935C1"/>
    <w:rsid w:val="00B93615"/>
    <w:rsid w:val="00B93813"/>
    <w:rsid w:val="00B9381E"/>
    <w:rsid w:val="00B938CA"/>
    <w:rsid w:val="00B93930"/>
    <w:rsid w:val="00B93A0A"/>
    <w:rsid w:val="00B93A37"/>
    <w:rsid w:val="00B93A99"/>
    <w:rsid w:val="00B93AA4"/>
    <w:rsid w:val="00B93AAF"/>
    <w:rsid w:val="00B93C0B"/>
    <w:rsid w:val="00B93D10"/>
    <w:rsid w:val="00B93ED2"/>
    <w:rsid w:val="00B93F75"/>
    <w:rsid w:val="00B93FB6"/>
    <w:rsid w:val="00B94183"/>
    <w:rsid w:val="00B94244"/>
    <w:rsid w:val="00B9436D"/>
    <w:rsid w:val="00B9438C"/>
    <w:rsid w:val="00B943FD"/>
    <w:rsid w:val="00B9489A"/>
    <w:rsid w:val="00B948A6"/>
    <w:rsid w:val="00B94B12"/>
    <w:rsid w:val="00B94C25"/>
    <w:rsid w:val="00B94CD9"/>
    <w:rsid w:val="00B94DE9"/>
    <w:rsid w:val="00B94E73"/>
    <w:rsid w:val="00B94FC7"/>
    <w:rsid w:val="00B9505D"/>
    <w:rsid w:val="00B95092"/>
    <w:rsid w:val="00B95182"/>
    <w:rsid w:val="00B953D3"/>
    <w:rsid w:val="00B954A6"/>
    <w:rsid w:val="00B954BB"/>
    <w:rsid w:val="00B954C2"/>
    <w:rsid w:val="00B9553D"/>
    <w:rsid w:val="00B957C0"/>
    <w:rsid w:val="00B9586C"/>
    <w:rsid w:val="00B95879"/>
    <w:rsid w:val="00B958CF"/>
    <w:rsid w:val="00B959F5"/>
    <w:rsid w:val="00B95CDA"/>
    <w:rsid w:val="00B95CEA"/>
    <w:rsid w:val="00B95CF2"/>
    <w:rsid w:val="00B95D0B"/>
    <w:rsid w:val="00B95DC4"/>
    <w:rsid w:val="00B961A4"/>
    <w:rsid w:val="00B96236"/>
    <w:rsid w:val="00B964BD"/>
    <w:rsid w:val="00B96552"/>
    <w:rsid w:val="00B96577"/>
    <w:rsid w:val="00B9662F"/>
    <w:rsid w:val="00B966F1"/>
    <w:rsid w:val="00B967AF"/>
    <w:rsid w:val="00B968B5"/>
    <w:rsid w:val="00B968F8"/>
    <w:rsid w:val="00B96935"/>
    <w:rsid w:val="00B96B18"/>
    <w:rsid w:val="00B96B1B"/>
    <w:rsid w:val="00B96B1C"/>
    <w:rsid w:val="00B96C6D"/>
    <w:rsid w:val="00B96DB9"/>
    <w:rsid w:val="00B96E2A"/>
    <w:rsid w:val="00B96EFB"/>
    <w:rsid w:val="00B96FA1"/>
    <w:rsid w:val="00B97076"/>
    <w:rsid w:val="00B970DA"/>
    <w:rsid w:val="00B9719E"/>
    <w:rsid w:val="00B971D3"/>
    <w:rsid w:val="00B9722F"/>
    <w:rsid w:val="00B9723E"/>
    <w:rsid w:val="00B97369"/>
    <w:rsid w:val="00B973B9"/>
    <w:rsid w:val="00B9743E"/>
    <w:rsid w:val="00B97443"/>
    <w:rsid w:val="00B97450"/>
    <w:rsid w:val="00B974B4"/>
    <w:rsid w:val="00B9751B"/>
    <w:rsid w:val="00B97580"/>
    <w:rsid w:val="00B975AC"/>
    <w:rsid w:val="00B975DE"/>
    <w:rsid w:val="00B97638"/>
    <w:rsid w:val="00B976EE"/>
    <w:rsid w:val="00B9778A"/>
    <w:rsid w:val="00B978B5"/>
    <w:rsid w:val="00B97950"/>
    <w:rsid w:val="00B97966"/>
    <w:rsid w:val="00B97B23"/>
    <w:rsid w:val="00B97C1E"/>
    <w:rsid w:val="00B97DCA"/>
    <w:rsid w:val="00BA0082"/>
    <w:rsid w:val="00BA01B7"/>
    <w:rsid w:val="00BA01E2"/>
    <w:rsid w:val="00BA0440"/>
    <w:rsid w:val="00BA04AB"/>
    <w:rsid w:val="00BA069C"/>
    <w:rsid w:val="00BA06BA"/>
    <w:rsid w:val="00BA07AD"/>
    <w:rsid w:val="00BA07C7"/>
    <w:rsid w:val="00BA0802"/>
    <w:rsid w:val="00BA08C5"/>
    <w:rsid w:val="00BA08C9"/>
    <w:rsid w:val="00BA0C4B"/>
    <w:rsid w:val="00BA0C4F"/>
    <w:rsid w:val="00BA0CC4"/>
    <w:rsid w:val="00BA0E46"/>
    <w:rsid w:val="00BA122C"/>
    <w:rsid w:val="00BA12CC"/>
    <w:rsid w:val="00BA144A"/>
    <w:rsid w:val="00BA148E"/>
    <w:rsid w:val="00BA149C"/>
    <w:rsid w:val="00BA17DF"/>
    <w:rsid w:val="00BA1822"/>
    <w:rsid w:val="00BA18CC"/>
    <w:rsid w:val="00BA195B"/>
    <w:rsid w:val="00BA1BD3"/>
    <w:rsid w:val="00BA1BDC"/>
    <w:rsid w:val="00BA1C06"/>
    <w:rsid w:val="00BA1CAE"/>
    <w:rsid w:val="00BA1F60"/>
    <w:rsid w:val="00BA1F9A"/>
    <w:rsid w:val="00BA21FF"/>
    <w:rsid w:val="00BA235B"/>
    <w:rsid w:val="00BA23E5"/>
    <w:rsid w:val="00BA26A9"/>
    <w:rsid w:val="00BA26BA"/>
    <w:rsid w:val="00BA27EB"/>
    <w:rsid w:val="00BA2835"/>
    <w:rsid w:val="00BA28DC"/>
    <w:rsid w:val="00BA2912"/>
    <w:rsid w:val="00BA29EE"/>
    <w:rsid w:val="00BA2A16"/>
    <w:rsid w:val="00BA2A4A"/>
    <w:rsid w:val="00BA2A51"/>
    <w:rsid w:val="00BA2B15"/>
    <w:rsid w:val="00BA2B4A"/>
    <w:rsid w:val="00BA2D29"/>
    <w:rsid w:val="00BA2DB8"/>
    <w:rsid w:val="00BA2DE3"/>
    <w:rsid w:val="00BA2F47"/>
    <w:rsid w:val="00BA3015"/>
    <w:rsid w:val="00BA3073"/>
    <w:rsid w:val="00BA30CA"/>
    <w:rsid w:val="00BA30F4"/>
    <w:rsid w:val="00BA313E"/>
    <w:rsid w:val="00BA3181"/>
    <w:rsid w:val="00BA34C1"/>
    <w:rsid w:val="00BA34D3"/>
    <w:rsid w:val="00BA3522"/>
    <w:rsid w:val="00BA356D"/>
    <w:rsid w:val="00BA3619"/>
    <w:rsid w:val="00BA366D"/>
    <w:rsid w:val="00BA36C6"/>
    <w:rsid w:val="00BA3769"/>
    <w:rsid w:val="00BA37E9"/>
    <w:rsid w:val="00BA384C"/>
    <w:rsid w:val="00BA386C"/>
    <w:rsid w:val="00BA38B3"/>
    <w:rsid w:val="00BA3985"/>
    <w:rsid w:val="00BA3AC1"/>
    <w:rsid w:val="00BA3BC8"/>
    <w:rsid w:val="00BA3E5F"/>
    <w:rsid w:val="00BA3E93"/>
    <w:rsid w:val="00BA434E"/>
    <w:rsid w:val="00BA43A6"/>
    <w:rsid w:val="00BA4423"/>
    <w:rsid w:val="00BA456A"/>
    <w:rsid w:val="00BA4669"/>
    <w:rsid w:val="00BA4811"/>
    <w:rsid w:val="00BA487E"/>
    <w:rsid w:val="00BA4970"/>
    <w:rsid w:val="00BA4973"/>
    <w:rsid w:val="00BA49E4"/>
    <w:rsid w:val="00BA4A45"/>
    <w:rsid w:val="00BA4AB6"/>
    <w:rsid w:val="00BA4B84"/>
    <w:rsid w:val="00BA4F11"/>
    <w:rsid w:val="00BA50B6"/>
    <w:rsid w:val="00BA51C0"/>
    <w:rsid w:val="00BA52D2"/>
    <w:rsid w:val="00BA53CD"/>
    <w:rsid w:val="00BA55D9"/>
    <w:rsid w:val="00BA55EA"/>
    <w:rsid w:val="00BA5659"/>
    <w:rsid w:val="00BA56A3"/>
    <w:rsid w:val="00BA56BE"/>
    <w:rsid w:val="00BA575C"/>
    <w:rsid w:val="00BA577D"/>
    <w:rsid w:val="00BA5859"/>
    <w:rsid w:val="00BA593F"/>
    <w:rsid w:val="00BA5959"/>
    <w:rsid w:val="00BA5A64"/>
    <w:rsid w:val="00BA5A7E"/>
    <w:rsid w:val="00BA5B7B"/>
    <w:rsid w:val="00BA5FC6"/>
    <w:rsid w:val="00BA6028"/>
    <w:rsid w:val="00BA61D9"/>
    <w:rsid w:val="00BA65F4"/>
    <w:rsid w:val="00BA6784"/>
    <w:rsid w:val="00BA67FC"/>
    <w:rsid w:val="00BA6829"/>
    <w:rsid w:val="00BA686A"/>
    <w:rsid w:val="00BA6887"/>
    <w:rsid w:val="00BA6988"/>
    <w:rsid w:val="00BA69AB"/>
    <w:rsid w:val="00BA6A5A"/>
    <w:rsid w:val="00BA6B76"/>
    <w:rsid w:val="00BA6BD0"/>
    <w:rsid w:val="00BA6C38"/>
    <w:rsid w:val="00BA6CE3"/>
    <w:rsid w:val="00BA6CF2"/>
    <w:rsid w:val="00BA6D02"/>
    <w:rsid w:val="00BA6D20"/>
    <w:rsid w:val="00BA6EFC"/>
    <w:rsid w:val="00BA6F58"/>
    <w:rsid w:val="00BA6F66"/>
    <w:rsid w:val="00BA6FE2"/>
    <w:rsid w:val="00BA702A"/>
    <w:rsid w:val="00BA7073"/>
    <w:rsid w:val="00BA708E"/>
    <w:rsid w:val="00BA71DB"/>
    <w:rsid w:val="00BA7411"/>
    <w:rsid w:val="00BA7578"/>
    <w:rsid w:val="00BA75AF"/>
    <w:rsid w:val="00BA75E2"/>
    <w:rsid w:val="00BA75E5"/>
    <w:rsid w:val="00BA7742"/>
    <w:rsid w:val="00BA7879"/>
    <w:rsid w:val="00BA7921"/>
    <w:rsid w:val="00BA79E0"/>
    <w:rsid w:val="00BA7B65"/>
    <w:rsid w:val="00BA7CEE"/>
    <w:rsid w:val="00BA7D04"/>
    <w:rsid w:val="00BA7DCD"/>
    <w:rsid w:val="00BA7E04"/>
    <w:rsid w:val="00BA7E82"/>
    <w:rsid w:val="00BA7ECC"/>
    <w:rsid w:val="00BA7EFD"/>
    <w:rsid w:val="00BA7F9C"/>
    <w:rsid w:val="00BA7FDD"/>
    <w:rsid w:val="00BB0068"/>
    <w:rsid w:val="00BB04EF"/>
    <w:rsid w:val="00BB05F4"/>
    <w:rsid w:val="00BB0689"/>
    <w:rsid w:val="00BB0763"/>
    <w:rsid w:val="00BB07F2"/>
    <w:rsid w:val="00BB0A29"/>
    <w:rsid w:val="00BB0BE2"/>
    <w:rsid w:val="00BB0E16"/>
    <w:rsid w:val="00BB1117"/>
    <w:rsid w:val="00BB11F8"/>
    <w:rsid w:val="00BB1278"/>
    <w:rsid w:val="00BB1332"/>
    <w:rsid w:val="00BB1387"/>
    <w:rsid w:val="00BB1772"/>
    <w:rsid w:val="00BB17F0"/>
    <w:rsid w:val="00BB1839"/>
    <w:rsid w:val="00BB19B4"/>
    <w:rsid w:val="00BB1BCE"/>
    <w:rsid w:val="00BB1D3D"/>
    <w:rsid w:val="00BB1DD6"/>
    <w:rsid w:val="00BB1E71"/>
    <w:rsid w:val="00BB1EB5"/>
    <w:rsid w:val="00BB1EB6"/>
    <w:rsid w:val="00BB1F06"/>
    <w:rsid w:val="00BB1F35"/>
    <w:rsid w:val="00BB1F80"/>
    <w:rsid w:val="00BB2027"/>
    <w:rsid w:val="00BB20A7"/>
    <w:rsid w:val="00BB213B"/>
    <w:rsid w:val="00BB2167"/>
    <w:rsid w:val="00BB21B8"/>
    <w:rsid w:val="00BB2498"/>
    <w:rsid w:val="00BB2507"/>
    <w:rsid w:val="00BB2557"/>
    <w:rsid w:val="00BB25F7"/>
    <w:rsid w:val="00BB2662"/>
    <w:rsid w:val="00BB2672"/>
    <w:rsid w:val="00BB27CD"/>
    <w:rsid w:val="00BB29C9"/>
    <w:rsid w:val="00BB2BB4"/>
    <w:rsid w:val="00BB2BC5"/>
    <w:rsid w:val="00BB2C36"/>
    <w:rsid w:val="00BB2C74"/>
    <w:rsid w:val="00BB2CAF"/>
    <w:rsid w:val="00BB2CE8"/>
    <w:rsid w:val="00BB2D27"/>
    <w:rsid w:val="00BB2D5C"/>
    <w:rsid w:val="00BB2E86"/>
    <w:rsid w:val="00BB2F0A"/>
    <w:rsid w:val="00BB2F1B"/>
    <w:rsid w:val="00BB2FC5"/>
    <w:rsid w:val="00BB3019"/>
    <w:rsid w:val="00BB3061"/>
    <w:rsid w:val="00BB30C1"/>
    <w:rsid w:val="00BB3194"/>
    <w:rsid w:val="00BB31B9"/>
    <w:rsid w:val="00BB3220"/>
    <w:rsid w:val="00BB32E0"/>
    <w:rsid w:val="00BB3342"/>
    <w:rsid w:val="00BB3439"/>
    <w:rsid w:val="00BB3495"/>
    <w:rsid w:val="00BB36DA"/>
    <w:rsid w:val="00BB36F6"/>
    <w:rsid w:val="00BB3704"/>
    <w:rsid w:val="00BB37B0"/>
    <w:rsid w:val="00BB382D"/>
    <w:rsid w:val="00BB38DB"/>
    <w:rsid w:val="00BB3999"/>
    <w:rsid w:val="00BB3A32"/>
    <w:rsid w:val="00BB3A45"/>
    <w:rsid w:val="00BB3AD8"/>
    <w:rsid w:val="00BB3AF2"/>
    <w:rsid w:val="00BB3BD8"/>
    <w:rsid w:val="00BB3C89"/>
    <w:rsid w:val="00BB3D84"/>
    <w:rsid w:val="00BB3DD6"/>
    <w:rsid w:val="00BB3E70"/>
    <w:rsid w:val="00BB3EFF"/>
    <w:rsid w:val="00BB3FA6"/>
    <w:rsid w:val="00BB407B"/>
    <w:rsid w:val="00BB41EE"/>
    <w:rsid w:val="00BB4389"/>
    <w:rsid w:val="00BB43AB"/>
    <w:rsid w:val="00BB43DC"/>
    <w:rsid w:val="00BB43F6"/>
    <w:rsid w:val="00BB4565"/>
    <w:rsid w:val="00BB462C"/>
    <w:rsid w:val="00BB46A7"/>
    <w:rsid w:val="00BB476B"/>
    <w:rsid w:val="00BB48DB"/>
    <w:rsid w:val="00BB4957"/>
    <w:rsid w:val="00BB4BAE"/>
    <w:rsid w:val="00BB4EDC"/>
    <w:rsid w:val="00BB529E"/>
    <w:rsid w:val="00BB538A"/>
    <w:rsid w:val="00BB538F"/>
    <w:rsid w:val="00BB53A9"/>
    <w:rsid w:val="00BB568C"/>
    <w:rsid w:val="00BB56B7"/>
    <w:rsid w:val="00BB5726"/>
    <w:rsid w:val="00BB57EA"/>
    <w:rsid w:val="00BB58CC"/>
    <w:rsid w:val="00BB59A9"/>
    <w:rsid w:val="00BB5B69"/>
    <w:rsid w:val="00BB5DC2"/>
    <w:rsid w:val="00BB5E06"/>
    <w:rsid w:val="00BB603C"/>
    <w:rsid w:val="00BB6112"/>
    <w:rsid w:val="00BB611D"/>
    <w:rsid w:val="00BB620D"/>
    <w:rsid w:val="00BB6278"/>
    <w:rsid w:val="00BB62DD"/>
    <w:rsid w:val="00BB6356"/>
    <w:rsid w:val="00BB63B9"/>
    <w:rsid w:val="00BB6467"/>
    <w:rsid w:val="00BB6548"/>
    <w:rsid w:val="00BB6621"/>
    <w:rsid w:val="00BB6744"/>
    <w:rsid w:val="00BB6892"/>
    <w:rsid w:val="00BB68E5"/>
    <w:rsid w:val="00BB6966"/>
    <w:rsid w:val="00BB69AA"/>
    <w:rsid w:val="00BB69B7"/>
    <w:rsid w:val="00BB6BAB"/>
    <w:rsid w:val="00BB6BEC"/>
    <w:rsid w:val="00BB6CE9"/>
    <w:rsid w:val="00BB6DF1"/>
    <w:rsid w:val="00BB6E42"/>
    <w:rsid w:val="00BB7025"/>
    <w:rsid w:val="00BB7050"/>
    <w:rsid w:val="00BB74D7"/>
    <w:rsid w:val="00BB74DB"/>
    <w:rsid w:val="00BB754B"/>
    <w:rsid w:val="00BB7551"/>
    <w:rsid w:val="00BB7616"/>
    <w:rsid w:val="00BB7633"/>
    <w:rsid w:val="00BB775C"/>
    <w:rsid w:val="00BB7A70"/>
    <w:rsid w:val="00BB7BA0"/>
    <w:rsid w:val="00BB7D53"/>
    <w:rsid w:val="00BB7E31"/>
    <w:rsid w:val="00BB7F08"/>
    <w:rsid w:val="00BB7F0E"/>
    <w:rsid w:val="00BBD6A4"/>
    <w:rsid w:val="00BC003A"/>
    <w:rsid w:val="00BC01E3"/>
    <w:rsid w:val="00BC022C"/>
    <w:rsid w:val="00BC030E"/>
    <w:rsid w:val="00BC03A4"/>
    <w:rsid w:val="00BC07CB"/>
    <w:rsid w:val="00BC0890"/>
    <w:rsid w:val="00BC0899"/>
    <w:rsid w:val="00BC0941"/>
    <w:rsid w:val="00BC0ADD"/>
    <w:rsid w:val="00BC0BEB"/>
    <w:rsid w:val="00BC0CD8"/>
    <w:rsid w:val="00BC0E50"/>
    <w:rsid w:val="00BC10F7"/>
    <w:rsid w:val="00BC1224"/>
    <w:rsid w:val="00BC12FE"/>
    <w:rsid w:val="00BC1311"/>
    <w:rsid w:val="00BC1342"/>
    <w:rsid w:val="00BC1633"/>
    <w:rsid w:val="00BC1B7E"/>
    <w:rsid w:val="00BC1CC3"/>
    <w:rsid w:val="00BC1CC5"/>
    <w:rsid w:val="00BC1CD3"/>
    <w:rsid w:val="00BC1CE6"/>
    <w:rsid w:val="00BC1E1B"/>
    <w:rsid w:val="00BC1E5D"/>
    <w:rsid w:val="00BC210A"/>
    <w:rsid w:val="00BC217C"/>
    <w:rsid w:val="00BC2212"/>
    <w:rsid w:val="00BC225F"/>
    <w:rsid w:val="00BC22B6"/>
    <w:rsid w:val="00BC263A"/>
    <w:rsid w:val="00BC27E8"/>
    <w:rsid w:val="00BC290C"/>
    <w:rsid w:val="00BC2A7A"/>
    <w:rsid w:val="00BC2DAD"/>
    <w:rsid w:val="00BC2DB6"/>
    <w:rsid w:val="00BC2E89"/>
    <w:rsid w:val="00BC2F8E"/>
    <w:rsid w:val="00BC3009"/>
    <w:rsid w:val="00BC30DA"/>
    <w:rsid w:val="00BC31A8"/>
    <w:rsid w:val="00BC31A9"/>
    <w:rsid w:val="00BC330F"/>
    <w:rsid w:val="00BC3356"/>
    <w:rsid w:val="00BC35B4"/>
    <w:rsid w:val="00BC365E"/>
    <w:rsid w:val="00BC366D"/>
    <w:rsid w:val="00BC36E5"/>
    <w:rsid w:val="00BC3BA6"/>
    <w:rsid w:val="00BC3C08"/>
    <w:rsid w:val="00BC3FA5"/>
    <w:rsid w:val="00BC3FAF"/>
    <w:rsid w:val="00BC4132"/>
    <w:rsid w:val="00BC413C"/>
    <w:rsid w:val="00BC416D"/>
    <w:rsid w:val="00BC42EC"/>
    <w:rsid w:val="00BC4444"/>
    <w:rsid w:val="00BC45BB"/>
    <w:rsid w:val="00BC45C7"/>
    <w:rsid w:val="00BC45C8"/>
    <w:rsid w:val="00BC470B"/>
    <w:rsid w:val="00BC471D"/>
    <w:rsid w:val="00BC485D"/>
    <w:rsid w:val="00BC49F6"/>
    <w:rsid w:val="00BC4A8A"/>
    <w:rsid w:val="00BC4AD7"/>
    <w:rsid w:val="00BC4C67"/>
    <w:rsid w:val="00BC4CBF"/>
    <w:rsid w:val="00BC4D69"/>
    <w:rsid w:val="00BC4ECB"/>
    <w:rsid w:val="00BC4F86"/>
    <w:rsid w:val="00BC508F"/>
    <w:rsid w:val="00BC526D"/>
    <w:rsid w:val="00BC5512"/>
    <w:rsid w:val="00BC5527"/>
    <w:rsid w:val="00BC560F"/>
    <w:rsid w:val="00BC56B4"/>
    <w:rsid w:val="00BC5799"/>
    <w:rsid w:val="00BC589A"/>
    <w:rsid w:val="00BC593E"/>
    <w:rsid w:val="00BC5C60"/>
    <w:rsid w:val="00BC5C9D"/>
    <w:rsid w:val="00BC5CE7"/>
    <w:rsid w:val="00BC5D9F"/>
    <w:rsid w:val="00BC5DBA"/>
    <w:rsid w:val="00BC5DBE"/>
    <w:rsid w:val="00BC5E50"/>
    <w:rsid w:val="00BC5F87"/>
    <w:rsid w:val="00BC5FF3"/>
    <w:rsid w:val="00BC612D"/>
    <w:rsid w:val="00BC62D8"/>
    <w:rsid w:val="00BC6404"/>
    <w:rsid w:val="00BC6569"/>
    <w:rsid w:val="00BC665D"/>
    <w:rsid w:val="00BC6788"/>
    <w:rsid w:val="00BC69FF"/>
    <w:rsid w:val="00BC6BEB"/>
    <w:rsid w:val="00BC6C84"/>
    <w:rsid w:val="00BC6D1E"/>
    <w:rsid w:val="00BC6D20"/>
    <w:rsid w:val="00BC6D88"/>
    <w:rsid w:val="00BC6EA3"/>
    <w:rsid w:val="00BC72F3"/>
    <w:rsid w:val="00BC751F"/>
    <w:rsid w:val="00BC757A"/>
    <w:rsid w:val="00BC7598"/>
    <w:rsid w:val="00BC75DE"/>
    <w:rsid w:val="00BC7622"/>
    <w:rsid w:val="00BC7641"/>
    <w:rsid w:val="00BC76EB"/>
    <w:rsid w:val="00BC7789"/>
    <w:rsid w:val="00BC778C"/>
    <w:rsid w:val="00BC77C8"/>
    <w:rsid w:val="00BC7916"/>
    <w:rsid w:val="00BC79A5"/>
    <w:rsid w:val="00BC7A07"/>
    <w:rsid w:val="00BC7A30"/>
    <w:rsid w:val="00BC7A35"/>
    <w:rsid w:val="00BC7A71"/>
    <w:rsid w:val="00BC7B5D"/>
    <w:rsid w:val="00BC7B99"/>
    <w:rsid w:val="00BC7DF8"/>
    <w:rsid w:val="00BC7EFB"/>
    <w:rsid w:val="00BC7F4D"/>
    <w:rsid w:val="00BC7FAA"/>
    <w:rsid w:val="00BD0017"/>
    <w:rsid w:val="00BD0115"/>
    <w:rsid w:val="00BD017F"/>
    <w:rsid w:val="00BD0279"/>
    <w:rsid w:val="00BD0282"/>
    <w:rsid w:val="00BD0325"/>
    <w:rsid w:val="00BD03CA"/>
    <w:rsid w:val="00BD0413"/>
    <w:rsid w:val="00BD0461"/>
    <w:rsid w:val="00BD05E0"/>
    <w:rsid w:val="00BD05F5"/>
    <w:rsid w:val="00BD0611"/>
    <w:rsid w:val="00BD0616"/>
    <w:rsid w:val="00BD0689"/>
    <w:rsid w:val="00BD0757"/>
    <w:rsid w:val="00BD075D"/>
    <w:rsid w:val="00BD0769"/>
    <w:rsid w:val="00BD0824"/>
    <w:rsid w:val="00BD0844"/>
    <w:rsid w:val="00BD085B"/>
    <w:rsid w:val="00BD08E0"/>
    <w:rsid w:val="00BD092A"/>
    <w:rsid w:val="00BD0974"/>
    <w:rsid w:val="00BD09FC"/>
    <w:rsid w:val="00BD0A9F"/>
    <w:rsid w:val="00BD0AF1"/>
    <w:rsid w:val="00BD0AF5"/>
    <w:rsid w:val="00BD0B10"/>
    <w:rsid w:val="00BD0D2C"/>
    <w:rsid w:val="00BD1050"/>
    <w:rsid w:val="00BD1075"/>
    <w:rsid w:val="00BD1098"/>
    <w:rsid w:val="00BD12FF"/>
    <w:rsid w:val="00BD1341"/>
    <w:rsid w:val="00BD13CC"/>
    <w:rsid w:val="00BD1446"/>
    <w:rsid w:val="00BD148C"/>
    <w:rsid w:val="00BD14A5"/>
    <w:rsid w:val="00BD15D5"/>
    <w:rsid w:val="00BD1692"/>
    <w:rsid w:val="00BD189B"/>
    <w:rsid w:val="00BD1900"/>
    <w:rsid w:val="00BD1917"/>
    <w:rsid w:val="00BD1AB5"/>
    <w:rsid w:val="00BD1B86"/>
    <w:rsid w:val="00BD1BB1"/>
    <w:rsid w:val="00BD1CDE"/>
    <w:rsid w:val="00BD1D04"/>
    <w:rsid w:val="00BD1D2E"/>
    <w:rsid w:val="00BD1D9F"/>
    <w:rsid w:val="00BD1E6D"/>
    <w:rsid w:val="00BD1F08"/>
    <w:rsid w:val="00BD1F4D"/>
    <w:rsid w:val="00BD1FCA"/>
    <w:rsid w:val="00BD1FCD"/>
    <w:rsid w:val="00BD2096"/>
    <w:rsid w:val="00BD21A2"/>
    <w:rsid w:val="00BD21F1"/>
    <w:rsid w:val="00BD220D"/>
    <w:rsid w:val="00BD2371"/>
    <w:rsid w:val="00BD238A"/>
    <w:rsid w:val="00BD2470"/>
    <w:rsid w:val="00BD24EC"/>
    <w:rsid w:val="00BD2575"/>
    <w:rsid w:val="00BD25B1"/>
    <w:rsid w:val="00BD2617"/>
    <w:rsid w:val="00BD26BA"/>
    <w:rsid w:val="00BD2727"/>
    <w:rsid w:val="00BD2731"/>
    <w:rsid w:val="00BD27E3"/>
    <w:rsid w:val="00BD291D"/>
    <w:rsid w:val="00BD2942"/>
    <w:rsid w:val="00BD2994"/>
    <w:rsid w:val="00BD2A4A"/>
    <w:rsid w:val="00BD2B6D"/>
    <w:rsid w:val="00BD2B73"/>
    <w:rsid w:val="00BD2B75"/>
    <w:rsid w:val="00BD2BE0"/>
    <w:rsid w:val="00BD2DBF"/>
    <w:rsid w:val="00BD2DF0"/>
    <w:rsid w:val="00BD2ECB"/>
    <w:rsid w:val="00BD2F2A"/>
    <w:rsid w:val="00BD2FAB"/>
    <w:rsid w:val="00BD2FE3"/>
    <w:rsid w:val="00BD3092"/>
    <w:rsid w:val="00BD3186"/>
    <w:rsid w:val="00BD31E7"/>
    <w:rsid w:val="00BD31FD"/>
    <w:rsid w:val="00BD3291"/>
    <w:rsid w:val="00BD3378"/>
    <w:rsid w:val="00BD33D1"/>
    <w:rsid w:val="00BD3428"/>
    <w:rsid w:val="00BD3481"/>
    <w:rsid w:val="00BD34A7"/>
    <w:rsid w:val="00BD380A"/>
    <w:rsid w:val="00BD3896"/>
    <w:rsid w:val="00BD3951"/>
    <w:rsid w:val="00BD39B6"/>
    <w:rsid w:val="00BD3C36"/>
    <w:rsid w:val="00BD3C63"/>
    <w:rsid w:val="00BD3C6F"/>
    <w:rsid w:val="00BD3E31"/>
    <w:rsid w:val="00BD3F97"/>
    <w:rsid w:val="00BD3FA7"/>
    <w:rsid w:val="00BD3FEE"/>
    <w:rsid w:val="00BD4054"/>
    <w:rsid w:val="00BD40EC"/>
    <w:rsid w:val="00BD415B"/>
    <w:rsid w:val="00BD4194"/>
    <w:rsid w:val="00BD427D"/>
    <w:rsid w:val="00BD44E2"/>
    <w:rsid w:val="00BD4613"/>
    <w:rsid w:val="00BD46A5"/>
    <w:rsid w:val="00BD46C1"/>
    <w:rsid w:val="00BD474E"/>
    <w:rsid w:val="00BD49A1"/>
    <w:rsid w:val="00BD4BCC"/>
    <w:rsid w:val="00BD4C7D"/>
    <w:rsid w:val="00BD4CBC"/>
    <w:rsid w:val="00BD4D05"/>
    <w:rsid w:val="00BD4DB0"/>
    <w:rsid w:val="00BD4E54"/>
    <w:rsid w:val="00BD4FB3"/>
    <w:rsid w:val="00BD50A4"/>
    <w:rsid w:val="00BD5120"/>
    <w:rsid w:val="00BD51F4"/>
    <w:rsid w:val="00BD5327"/>
    <w:rsid w:val="00BD5361"/>
    <w:rsid w:val="00BD536B"/>
    <w:rsid w:val="00BD54B8"/>
    <w:rsid w:val="00BD54F4"/>
    <w:rsid w:val="00BD574D"/>
    <w:rsid w:val="00BD5797"/>
    <w:rsid w:val="00BD57A8"/>
    <w:rsid w:val="00BD59D7"/>
    <w:rsid w:val="00BD5A83"/>
    <w:rsid w:val="00BD5AB4"/>
    <w:rsid w:val="00BD5C79"/>
    <w:rsid w:val="00BD5D0F"/>
    <w:rsid w:val="00BD5D32"/>
    <w:rsid w:val="00BD5DDC"/>
    <w:rsid w:val="00BD5DEF"/>
    <w:rsid w:val="00BD5F9A"/>
    <w:rsid w:val="00BD5FC2"/>
    <w:rsid w:val="00BD60A2"/>
    <w:rsid w:val="00BD60DA"/>
    <w:rsid w:val="00BD6105"/>
    <w:rsid w:val="00BD61D4"/>
    <w:rsid w:val="00BD631D"/>
    <w:rsid w:val="00BD63F8"/>
    <w:rsid w:val="00BD6436"/>
    <w:rsid w:val="00BD6482"/>
    <w:rsid w:val="00BD6551"/>
    <w:rsid w:val="00BD6681"/>
    <w:rsid w:val="00BD6769"/>
    <w:rsid w:val="00BD67AC"/>
    <w:rsid w:val="00BD6839"/>
    <w:rsid w:val="00BD6880"/>
    <w:rsid w:val="00BD6B4F"/>
    <w:rsid w:val="00BD6B9E"/>
    <w:rsid w:val="00BD6C6F"/>
    <w:rsid w:val="00BD6C8E"/>
    <w:rsid w:val="00BD6CE9"/>
    <w:rsid w:val="00BD6D59"/>
    <w:rsid w:val="00BD6DF0"/>
    <w:rsid w:val="00BD6FF8"/>
    <w:rsid w:val="00BD701F"/>
    <w:rsid w:val="00BD706B"/>
    <w:rsid w:val="00BD70DF"/>
    <w:rsid w:val="00BD71B0"/>
    <w:rsid w:val="00BD721A"/>
    <w:rsid w:val="00BD7287"/>
    <w:rsid w:val="00BD72B9"/>
    <w:rsid w:val="00BD740B"/>
    <w:rsid w:val="00BD7519"/>
    <w:rsid w:val="00BD761F"/>
    <w:rsid w:val="00BD763B"/>
    <w:rsid w:val="00BD7900"/>
    <w:rsid w:val="00BD7990"/>
    <w:rsid w:val="00BD7A02"/>
    <w:rsid w:val="00BD7A0A"/>
    <w:rsid w:val="00BD7BAD"/>
    <w:rsid w:val="00BD7E8A"/>
    <w:rsid w:val="00BD7FC0"/>
    <w:rsid w:val="00BE0052"/>
    <w:rsid w:val="00BE012A"/>
    <w:rsid w:val="00BE0283"/>
    <w:rsid w:val="00BE044A"/>
    <w:rsid w:val="00BE04DA"/>
    <w:rsid w:val="00BE0621"/>
    <w:rsid w:val="00BE0648"/>
    <w:rsid w:val="00BE064A"/>
    <w:rsid w:val="00BE094C"/>
    <w:rsid w:val="00BE09F6"/>
    <w:rsid w:val="00BE0AB6"/>
    <w:rsid w:val="00BE0B3A"/>
    <w:rsid w:val="00BE0B57"/>
    <w:rsid w:val="00BE0DE9"/>
    <w:rsid w:val="00BE0E18"/>
    <w:rsid w:val="00BE0E7F"/>
    <w:rsid w:val="00BE0F77"/>
    <w:rsid w:val="00BE1028"/>
    <w:rsid w:val="00BE1071"/>
    <w:rsid w:val="00BE1179"/>
    <w:rsid w:val="00BE1229"/>
    <w:rsid w:val="00BE12CD"/>
    <w:rsid w:val="00BE1314"/>
    <w:rsid w:val="00BE13A6"/>
    <w:rsid w:val="00BE1554"/>
    <w:rsid w:val="00BE15A1"/>
    <w:rsid w:val="00BE16BB"/>
    <w:rsid w:val="00BE16C0"/>
    <w:rsid w:val="00BE17B8"/>
    <w:rsid w:val="00BE1828"/>
    <w:rsid w:val="00BE1999"/>
    <w:rsid w:val="00BE1AA0"/>
    <w:rsid w:val="00BE1AE4"/>
    <w:rsid w:val="00BE1AE7"/>
    <w:rsid w:val="00BE1B36"/>
    <w:rsid w:val="00BE1D9F"/>
    <w:rsid w:val="00BE1E0F"/>
    <w:rsid w:val="00BE1E81"/>
    <w:rsid w:val="00BE1F80"/>
    <w:rsid w:val="00BE20BE"/>
    <w:rsid w:val="00BE20DF"/>
    <w:rsid w:val="00BE220C"/>
    <w:rsid w:val="00BE2399"/>
    <w:rsid w:val="00BE2506"/>
    <w:rsid w:val="00BE2B30"/>
    <w:rsid w:val="00BE2DF6"/>
    <w:rsid w:val="00BE2E4F"/>
    <w:rsid w:val="00BE2FFC"/>
    <w:rsid w:val="00BE3067"/>
    <w:rsid w:val="00BE3326"/>
    <w:rsid w:val="00BE3356"/>
    <w:rsid w:val="00BE33F8"/>
    <w:rsid w:val="00BE34B4"/>
    <w:rsid w:val="00BE34D0"/>
    <w:rsid w:val="00BE3782"/>
    <w:rsid w:val="00BE385F"/>
    <w:rsid w:val="00BE388E"/>
    <w:rsid w:val="00BE391E"/>
    <w:rsid w:val="00BE3936"/>
    <w:rsid w:val="00BE3AA9"/>
    <w:rsid w:val="00BE3AC6"/>
    <w:rsid w:val="00BE3BEB"/>
    <w:rsid w:val="00BE3C39"/>
    <w:rsid w:val="00BE3CD4"/>
    <w:rsid w:val="00BE3D44"/>
    <w:rsid w:val="00BE3D4B"/>
    <w:rsid w:val="00BE3DB7"/>
    <w:rsid w:val="00BE3DE7"/>
    <w:rsid w:val="00BE3DF1"/>
    <w:rsid w:val="00BE3E21"/>
    <w:rsid w:val="00BE3E4B"/>
    <w:rsid w:val="00BE40C8"/>
    <w:rsid w:val="00BE4250"/>
    <w:rsid w:val="00BE426A"/>
    <w:rsid w:val="00BE43D4"/>
    <w:rsid w:val="00BE447C"/>
    <w:rsid w:val="00BE448F"/>
    <w:rsid w:val="00BE44B8"/>
    <w:rsid w:val="00BE452C"/>
    <w:rsid w:val="00BE45B4"/>
    <w:rsid w:val="00BE4699"/>
    <w:rsid w:val="00BE4733"/>
    <w:rsid w:val="00BE4890"/>
    <w:rsid w:val="00BE4AB4"/>
    <w:rsid w:val="00BE4C79"/>
    <w:rsid w:val="00BE4CF6"/>
    <w:rsid w:val="00BE4D16"/>
    <w:rsid w:val="00BE4D48"/>
    <w:rsid w:val="00BE4DD5"/>
    <w:rsid w:val="00BE4EA8"/>
    <w:rsid w:val="00BE4F32"/>
    <w:rsid w:val="00BE4F33"/>
    <w:rsid w:val="00BE4FCC"/>
    <w:rsid w:val="00BE5015"/>
    <w:rsid w:val="00BE501A"/>
    <w:rsid w:val="00BE502E"/>
    <w:rsid w:val="00BE50A3"/>
    <w:rsid w:val="00BE50E2"/>
    <w:rsid w:val="00BE5190"/>
    <w:rsid w:val="00BE528F"/>
    <w:rsid w:val="00BE536B"/>
    <w:rsid w:val="00BE545E"/>
    <w:rsid w:val="00BE559D"/>
    <w:rsid w:val="00BE56F5"/>
    <w:rsid w:val="00BE58B4"/>
    <w:rsid w:val="00BE593B"/>
    <w:rsid w:val="00BE5AEB"/>
    <w:rsid w:val="00BE5D74"/>
    <w:rsid w:val="00BE5EBF"/>
    <w:rsid w:val="00BE5ECC"/>
    <w:rsid w:val="00BE5FB7"/>
    <w:rsid w:val="00BE5FF6"/>
    <w:rsid w:val="00BE6031"/>
    <w:rsid w:val="00BE60A3"/>
    <w:rsid w:val="00BE6101"/>
    <w:rsid w:val="00BE61AC"/>
    <w:rsid w:val="00BE6297"/>
    <w:rsid w:val="00BE63AF"/>
    <w:rsid w:val="00BE63D4"/>
    <w:rsid w:val="00BE63FE"/>
    <w:rsid w:val="00BE6468"/>
    <w:rsid w:val="00BE661A"/>
    <w:rsid w:val="00BE6668"/>
    <w:rsid w:val="00BE6796"/>
    <w:rsid w:val="00BE6995"/>
    <w:rsid w:val="00BE6A20"/>
    <w:rsid w:val="00BE6BA1"/>
    <w:rsid w:val="00BE6C7D"/>
    <w:rsid w:val="00BE6E22"/>
    <w:rsid w:val="00BE6E71"/>
    <w:rsid w:val="00BE6F35"/>
    <w:rsid w:val="00BE6F8D"/>
    <w:rsid w:val="00BE6FAF"/>
    <w:rsid w:val="00BE70B1"/>
    <w:rsid w:val="00BE70BA"/>
    <w:rsid w:val="00BE70E5"/>
    <w:rsid w:val="00BE72A7"/>
    <w:rsid w:val="00BE72D5"/>
    <w:rsid w:val="00BE7434"/>
    <w:rsid w:val="00BE755C"/>
    <w:rsid w:val="00BE7798"/>
    <w:rsid w:val="00BE78A9"/>
    <w:rsid w:val="00BE78B4"/>
    <w:rsid w:val="00BE7929"/>
    <w:rsid w:val="00BE79A4"/>
    <w:rsid w:val="00BE79A7"/>
    <w:rsid w:val="00BE7BBD"/>
    <w:rsid w:val="00BE7BBE"/>
    <w:rsid w:val="00BE7BEC"/>
    <w:rsid w:val="00BE7BEF"/>
    <w:rsid w:val="00BE7C5A"/>
    <w:rsid w:val="00BE7D2B"/>
    <w:rsid w:val="00BE7D9C"/>
    <w:rsid w:val="00BE7F8C"/>
    <w:rsid w:val="00BE7FCA"/>
    <w:rsid w:val="00BF01E6"/>
    <w:rsid w:val="00BF03F4"/>
    <w:rsid w:val="00BF04C2"/>
    <w:rsid w:val="00BF0511"/>
    <w:rsid w:val="00BF0520"/>
    <w:rsid w:val="00BF0644"/>
    <w:rsid w:val="00BF09F6"/>
    <w:rsid w:val="00BF0B70"/>
    <w:rsid w:val="00BF0E5C"/>
    <w:rsid w:val="00BF0F42"/>
    <w:rsid w:val="00BF0F7D"/>
    <w:rsid w:val="00BF0FFA"/>
    <w:rsid w:val="00BF1195"/>
    <w:rsid w:val="00BF11DA"/>
    <w:rsid w:val="00BF11F0"/>
    <w:rsid w:val="00BF12FF"/>
    <w:rsid w:val="00BF1373"/>
    <w:rsid w:val="00BF13D2"/>
    <w:rsid w:val="00BF140A"/>
    <w:rsid w:val="00BF1424"/>
    <w:rsid w:val="00BF14C8"/>
    <w:rsid w:val="00BF15D5"/>
    <w:rsid w:val="00BF15F2"/>
    <w:rsid w:val="00BF16C8"/>
    <w:rsid w:val="00BF16D2"/>
    <w:rsid w:val="00BF1724"/>
    <w:rsid w:val="00BF1765"/>
    <w:rsid w:val="00BF17F6"/>
    <w:rsid w:val="00BF1932"/>
    <w:rsid w:val="00BF19B7"/>
    <w:rsid w:val="00BF19BB"/>
    <w:rsid w:val="00BF1A43"/>
    <w:rsid w:val="00BF1ABF"/>
    <w:rsid w:val="00BF1C31"/>
    <w:rsid w:val="00BF1C58"/>
    <w:rsid w:val="00BF1DD7"/>
    <w:rsid w:val="00BF1E55"/>
    <w:rsid w:val="00BF1EE7"/>
    <w:rsid w:val="00BF2088"/>
    <w:rsid w:val="00BF2135"/>
    <w:rsid w:val="00BF21B8"/>
    <w:rsid w:val="00BF221D"/>
    <w:rsid w:val="00BF2249"/>
    <w:rsid w:val="00BF2263"/>
    <w:rsid w:val="00BF22D5"/>
    <w:rsid w:val="00BF22E2"/>
    <w:rsid w:val="00BF23EC"/>
    <w:rsid w:val="00BF25CE"/>
    <w:rsid w:val="00BF2623"/>
    <w:rsid w:val="00BF263C"/>
    <w:rsid w:val="00BF2830"/>
    <w:rsid w:val="00BF29AD"/>
    <w:rsid w:val="00BF29C2"/>
    <w:rsid w:val="00BF2A78"/>
    <w:rsid w:val="00BF2BDF"/>
    <w:rsid w:val="00BF2C17"/>
    <w:rsid w:val="00BF2C3A"/>
    <w:rsid w:val="00BF2E64"/>
    <w:rsid w:val="00BF2ED6"/>
    <w:rsid w:val="00BF2F5B"/>
    <w:rsid w:val="00BF2FAE"/>
    <w:rsid w:val="00BF3109"/>
    <w:rsid w:val="00BF310B"/>
    <w:rsid w:val="00BF31AA"/>
    <w:rsid w:val="00BF322C"/>
    <w:rsid w:val="00BF325B"/>
    <w:rsid w:val="00BF329E"/>
    <w:rsid w:val="00BF32ED"/>
    <w:rsid w:val="00BF34E7"/>
    <w:rsid w:val="00BF3580"/>
    <w:rsid w:val="00BF35AA"/>
    <w:rsid w:val="00BF35D4"/>
    <w:rsid w:val="00BF371A"/>
    <w:rsid w:val="00BF3764"/>
    <w:rsid w:val="00BF376B"/>
    <w:rsid w:val="00BF377B"/>
    <w:rsid w:val="00BF3817"/>
    <w:rsid w:val="00BF3937"/>
    <w:rsid w:val="00BF3A1B"/>
    <w:rsid w:val="00BF3AF0"/>
    <w:rsid w:val="00BF3B07"/>
    <w:rsid w:val="00BF3BDA"/>
    <w:rsid w:val="00BF3C03"/>
    <w:rsid w:val="00BF3C5C"/>
    <w:rsid w:val="00BF3C90"/>
    <w:rsid w:val="00BF3DE8"/>
    <w:rsid w:val="00BF3E2E"/>
    <w:rsid w:val="00BF3FC1"/>
    <w:rsid w:val="00BF3FDA"/>
    <w:rsid w:val="00BF401F"/>
    <w:rsid w:val="00BF4118"/>
    <w:rsid w:val="00BF4124"/>
    <w:rsid w:val="00BF415B"/>
    <w:rsid w:val="00BF4248"/>
    <w:rsid w:val="00BF4267"/>
    <w:rsid w:val="00BF4284"/>
    <w:rsid w:val="00BF42A2"/>
    <w:rsid w:val="00BF46AC"/>
    <w:rsid w:val="00BF46D9"/>
    <w:rsid w:val="00BF46F8"/>
    <w:rsid w:val="00BF46FD"/>
    <w:rsid w:val="00BF48CC"/>
    <w:rsid w:val="00BF4946"/>
    <w:rsid w:val="00BF497D"/>
    <w:rsid w:val="00BF49C5"/>
    <w:rsid w:val="00BF4A26"/>
    <w:rsid w:val="00BF4A2F"/>
    <w:rsid w:val="00BF4A53"/>
    <w:rsid w:val="00BF4B67"/>
    <w:rsid w:val="00BF4B69"/>
    <w:rsid w:val="00BF4B9D"/>
    <w:rsid w:val="00BF4BF2"/>
    <w:rsid w:val="00BF4C0E"/>
    <w:rsid w:val="00BF506E"/>
    <w:rsid w:val="00BF50A7"/>
    <w:rsid w:val="00BF5152"/>
    <w:rsid w:val="00BF5194"/>
    <w:rsid w:val="00BF5459"/>
    <w:rsid w:val="00BF54F7"/>
    <w:rsid w:val="00BF5558"/>
    <w:rsid w:val="00BF55CF"/>
    <w:rsid w:val="00BF55FB"/>
    <w:rsid w:val="00BF5669"/>
    <w:rsid w:val="00BF5879"/>
    <w:rsid w:val="00BF594C"/>
    <w:rsid w:val="00BF599C"/>
    <w:rsid w:val="00BF5A84"/>
    <w:rsid w:val="00BF5AA2"/>
    <w:rsid w:val="00BF5AD6"/>
    <w:rsid w:val="00BF5BCF"/>
    <w:rsid w:val="00BF5BDC"/>
    <w:rsid w:val="00BF5C0B"/>
    <w:rsid w:val="00BF5D22"/>
    <w:rsid w:val="00BF5EA2"/>
    <w:rsid w:val="00BF5F38"/>
    <w:rsid w:val="00BF5F3D"/>
    <w:rsid w:val="00BF606E"/>
    <w:rsid w:val="00BF60D1"/>
    <w:rsid w:val="00BF615A"/>
    <w:rsid w:val="00BF6249"/>
    <w:rsid w:val="00BF6391"/>
    <w:rsid w:val="00BF650A"/>
    <w:rsid w:val="00BF67A5"/>
    <w:rsid w:val="00BF6828"/>
    <w:rsid w:val="00BF6B0C"/>
    <w:rsid w:val="00BF6B85"/>
    <w:rsid w:val="00BF6F83"/>
    <w:rsid w:val="00BF6F8C"/>
    <w:rsid w:val="00BF6FC9"/>
    <w:rsid w:val="00BF70FD"/>
    <w:rsid w:val="00BF745E"/>
    <w:rsid w:val="00BF74AC"/>
    <w:rsid w:val="00BF75FC"/>
    <w:rsid w:val="00BF76D4"/>
    <w:rsid w:val="00BF7912"/>
    <w:rsid w:val="00BF7922"/>
    <w:rsid w:val="00BF797E"/>
    <w:rsid w:val="00BF7A9A"/>
    <w:rsid w:val="00BF7AAB"/>
    <w:rsid w:val="00BF7B08"/>
    <w:rsid w:val="00BF7BC2"/>
    <w:rsid w:val="00BF7C5E"/>
    <w:rsid w:val="00BF7C69"/>
    <w:rsid w:val="00BF7CCB"/>
    <w:rsid w:val="00BF7DCA"/>
    <w:rsid w:val="00BF7F28"/>
    <w:rsid w:val="00BFF609"/>
    <w:rsid w:val="00C00277"/>
    <w:rsid w:val="00C002AC"/>
    <w:rsid w:val="00C002B9"/>
    <w:rsid w:val="00C00358"/>
    <w:rsid w:val="00C003F2"/>
    <w:rsid w:val="00C00614"/>
    <w:rsid w:val="00C00649"/>
    <w:rsid w:val="00C007E2"/>
    <w:rsid w:val="00C007FD"/>
    <w:rsid w:val="00C00831"/>
    <w:rsid w:val="00C00B67"/>
    <w:rsid w:val="00C00BE6"/>
    <w:rsid w:val="00C00CB3"/>
    <w:rsid w:val="00C00CED"/>
    <w:rsid w:val="00C00D3B"/>
    <w:rsid w:val="00C00D8C"/>
    <w:rsid w:val="00C00EBB"/>
    <w:rsid w:val="00C01027"/>
    <w:rsid w:val="00C01028"/>
    <w:rsid w:val="00C012A4"/>
    <w:rsid w:val="00C0130F"/>
    <w:rsid w:val="00C0134F"/>
    <w:rsid w:val="00C013FD"/>
    <w:rsid w:val="00C01509"/>
    <w:rsid w:val="00C0163E"/>
    <w:rsid w:val="00C016B6"/>
    <w:rsid w:val="00C01739"/>
    <w:rsid w:val="00C01940"/>
    <w:rsid w:val="00C01A62"/>
    <w:rsid w:val="00C01AA6"/>
    <w:rsid w:val="00C01B09"/>
    <w:rsid w:val="00C01B2A"/>
    <w:rsid w:val="00C01B35"/>
    <w:rsid w:val="00C01B7C"/>
    <w:rsid w:val="00C01B9F"/>
    <w:rsid w:val="00C01CE9"/>
    <w:rsid w:val="00C01F9D"/>
    <w:rsid w:val="00C020C1"/>
    <w:rsid w:val="00C02217"/>
    <w:rsid w:val="00C022B4"/>
    <w:rsid w:val="00C0238D"/>
    <w:rsid w:val="00C02512"/>
    <w:rsid w:val="00C02535"/>
    <w:rsid w:val="00C0254D"/>
    <w:rsid w:val="00C02643"/>
    <w:rsid w:val="00C02896"/>
    <w:rsid w:val="00C02910"/>
    <w:rsid w:val="00C0291A"/>
    <w:rsid w:val="00C02A28"/>
    <w:rsid w:val="00C02D24"/>
    <w:rsid w:val="00C02D9D"/>
    <w:rsid w:val="00C02DC1"/>
    <w:rsid w:val="00C02E1C"/>
    <w:rsid w:val="00C02F50"/>
    <w:rsid w:val="00C03089"/>
    <w:rsid w:val="00C03094"/>
    <w:rsid w:val="00C03164"/>
    <w:rsid w:val="00C03200"/>
    <w:rsid w:val="00C0330F"/>
    <w:rsid w:val="00C03436"/>
    <w:rsid w:val="00C0343D"/>
    <w:rsid w:val="00C0346D"/>
    <w:rsid w:val="00C0394B"/>
    <w:rsid w:val="00C03A23"/>
    <w:rsid w:val="00C03B70"/>
    <w:rsid w:val="00C03C39"/>
    <w:rsid w:val="00C03CB5"/>
    <w:rsid w:val="00C03CDB"/>
    <w:rsid w:val="00C03CFC"/>
    <w:rsid w:val="00C03DBE"/>
    <w:rsid w:val="00C03E99"/>
    <w:rsid w:val="00C03F8A"/>
    <w:rsid w:val="00C03FA5"/>
    <w:rsid w:val="00C04130"/>
    <w:rsid w:val="00C041E4"/>
    <w:rsid w:val="00C041F4"/>
    <w:rsid w:val="00C0423C"/>
    <w:rsid w:val="00C042F1"/>
    <w:rsid w:val="00C042F3"/>
    <w:rsid w:val="00C04360"/>
    <w:rsid w:val="00C043D4"/>
    <w:rsid w:val="00C04408"/>
    <w:rsid w:val="00C045B2"/>
    <w:rsid w:val="00C04715"/>
    <w:rsid w:val="00C0490D"/>
    <w:rsid w:val="00C04977"/>
    <w:rsid w:val="00C04A9B"/>
    <w:rsid w:val="00C04ADD"/>
    <w:rsid w:val="00C04BC8"/>
    <w:rsid w:val="00C04C02"/>
    <w:rsid w:val="00C04C04"/>
    <w:rsid w:val="00C04E6D"/>
    <w:rsid w:val="00C04F16"/>
    <w:rsid w:val="00C04F8D"/>
    <w:rsid w:val="00C04F96"/>
    <w:rsid w:val="00C051A1"/>
    <w:rsid w:val="00C052E5"/>
    <w:rsid w:val="00C052F1"/>
    <w:rsid w:val="00C053B6"/>
    <w:rsid w:val="00C057DC"/>
    <w:rsid w:val="00C05803"/>
    <w:rsid w:val="00C05824"/>
    <w:rsid w:val="00C05831"/>
    <w:rsid w:val="00C05856"/>
    <w:rsid w:val="00C0590F"/>
    <w:rsid w:val="00C0596D"/>
    <w:rsid w:val="00C059E7"/>
    <w:rsid w:val="00C05A9D"/>
    <w:rsid w:val="00C05AA0"/>
    <w:rsid w:val="00C05AF0"/>
    <w:rsid w:val="00C05B35"/>
    <w:rsid w:val="00C05C15"/>
    <w:rsid w:val="00C05DE1"/>
    <w:rsid w:val="00C05F49"/>
    <w:rsid w:val="00C0604A"/>
    <w:rsid w:val="00C060A2"/>
    <w:rsid w:val="00C0611A"/>
    <w:rsid w:val="00C062E7"/>
    <w:rsid w:val="00C062FA"/>
    <w:rsid w:val="00C063C0"/>
    <w:rsid w:val="00C06435"/>
    <w:rsid w:val="00C06557"/>
    <w:rsid w:val="00C06693"/>
    <w:rsid w:val="00C0675E"/>
    <w:rsid w:val="00C06791"/>
    <w:rsid w:val="00C067A6"/>
    <w:rsid w:val="00C067D1"/>
    <w:rsid w:val="00C06866"/>
    <w:rsid w:val="00C068B0"/>
    <w:rsid w:val="00C06994"/>
    <w:rsid w:val="00C06996"/>
    <w:rsid w:val="00C069D6"/>
    <w:rsid w:val="00C06A8E"/>
    <w:rsid w:val="00C06CFE"/>
    <w:rsid w:val="00C06D1C"/>
    <w:rsid w:val="00C06D3A"/>
    <w:rsid w:val="00C06E36"/>
    <w:rsid w:val="00C06E4D"/>
    <w:rsid w:val="00C06E4F"/>
    <w:rsid w:val="00C06E5A"/>
    <w:rsid w:val="00C06F13"/>
    <w:rsid w:val="00C06F5C"/>
    <w:rsid w:val="00C06F96"/>
    <w:rsid w:val="00C07061"/>
    <w:rsid w:val="00C070A8"/>
    <w:rsid w:val="00C07371"/>
    <w:rsid w:val="00C073FD"/>
    <w:rsid w:val="00C075AE"/>
    <w:rsid w:val="00C075D7"/>
    <w:rsid w:val="00C075E7"/>
    <w:rsid w:val="00C07789"/>
    <w:rsid w:val="00C07929"/>
    <w:rsid w:val="00C07B34"/>
    <w:rsid w:val="00C07B3E"/>
    <w:rsid w:val="00C07C00"/>
    <w:rsid w:val="00C07C0E"/>
    <w:rsid w:val="00C101C3"/>
    <w:rsid w:val="00C10202"/>
    <w:rsid w:val="00C10379"/>
    <w:rsid w:val="00C103E2"/>
    <w:rsid w:val="00C103E4"/>
    <w:rsid w:val="00C103EA"/>
    <w:rsid w:val="00C105A3"/>
    <w:rsid w:val="00C105C9"/>
    <w:rsid w:val="00C10685"/>
    <w:rsid w:val="00C1071D"/>
    <w:rsid w:val="00C10918"/>
    <w:rsid w:val="00C10957"/>
    <w:rsid w:val="00C10ACF"/>
    <w:rsid w:val="00C10B65"/>
    <w:rsid w:val="00C10B8E"/>
    <w:rsid w:val="00C10C23"/>
    <w:rsid w:val="00C10C58"/>
    <w:rsid w:val="00C10D22"/>
    <w:rsid w:val="00C10D47"/>
    <w:rsid w:val="00C10E03"/>
    <w:rsid w:val="00C10F25"/>
    <w:rsid w:val="00C110F9"/>
    <w:rsid w:val="00C11152"/>
    <w:rsid w:val="00C111B6"/>
    <w:rsid w:val="00C111EC"/>
    <w:rsid w:val="00C1122B"/>
    <w:rsid w:val="00C112E6"/>
    <w:rsid w:val="00C11569"/>
    <w:rsid w:val="00C1158E"/>
    <w:rsid w:val="00C11605"/>
    <w:rsid w:val="00C1171D"/>
    <w:rsid w:val="00C117B5"/>
    <w:rsid w:val="00C119D6"/>
    <w:rsid w:val="00C11B0D"/>
    <w:rsid w:val="00C11B92"/>
    <w:rsid w:val="00C11C1E"/>
    <w:rsid w:val="00C11CAA"/>
    <w:rsid w:val="00C11ECF"/>
    <w:rsid w:val="00C1209B"/>
    <w:rsid w:val="00C120C6"/>
    <w:rsid w:val="00C120ED"/>
    <w:rsid w:val="00C12191"/>
    <w:rsid w:val="00C121D0"/>
    <w:rsid w:val="00C122C5"/>
    <w:rsid w:val="00C12301"/>
    <w:rsid w:val="00C123AF"/>
    <w:rsid w:val="00C123FF"/>
    <w:rsid w:val="00C124E4"/>
    <w:rsid w:val="00C12619"/>
    <w:rsid w:val="00C12650"/>
    <w:rsid w:val="00C12789"/>
    <w:rsid w:val="00C1287B"/>
    <w:rsid w:val="00C1288A"/>
    <w:rsid w:val="00C12BC7"/>
    <w:rsid w:val="00C12D00"/>
    <w:rsid w:val="00C12EC1"/>
    <w:rsid w:val="00C12EF2"/>
    <w:rsid w:val="00C12FE2"/>
    <w:rsid w:val="00C1323C"/>
    <w:rsid w:val="00C132EC"/>
    <w:rsid w:val="00C13602"/>
    <w:rsid w:val="00C137C7"/>
    <w:rsid w:val="00C137EB"/>
    <w:rsid w:val="00C13886"/>
    <w:rsid w:val="00C13B5F"/>
    <w:rsid w:val="00C13CD7"/>
    <w:rsid w:val="00C13CE9"/>
    <w:rsid w:val="00C13D1C"/>
    <w:rsid w:val="00C13D44"/>
    <w:rsid w:val="00C13E06"/>
    <w:rsid w:val="00C13E46"/>
    <w:rsid w:val="00C13ED4"/>
    <w:rsid w:val="00C13FA9"/>
    <w:rsid w:val="00C142D7"/>
    <w:rsid w:val="00C143E8"/>
    <w:rsid w:val="00C1446B"/>
    <w:rsid w:val="00C1465D"/>
    <w:rsid w:val="00C14708"/>
    <w:rsid w:val="00C1484A"/>
    <w:rsid w:val="00C14958"/>
    <w:rsid w:val="00C14A27"/>
    <w:rsid w:val="00C14A67"/>
    <w:rsid w:val="00C14AD5"/>
    <w:rsid w:val="00C14D08"/>
    <w:rsid w:val="00C14E7A"/>
    <w:rsid w:val="00C14E84"/>
    <w:rsid w:val="00C14F9C"/>
    <w:rsid w:val="00C14FCB"/>
    <w:rsid w:val="00C150C9"/>
    <w:rsid w:val="00C150D1"/>
    <w:rsid w:val="00C154F2"/>
    <w:rsid w:val="00C15652"/>
    <w:rsid w:val="00C15746"/>
    <w:rsid w:val="00C15825"/>
    <w:rsid w:val="00C15922"/>
    <w:rsid w:val="00C1595D"/>
    <w:rsid w:val="00C15BF2"/>
    <w:rsid w:val="00C15C34"/>
    <w:rsid w:val="00C15D0D"/>
    <w:rsid w:val="00C15D70"/>
    <w:rsid w:val="00C15E9B"/>
    <w:rsid w:val="00C16068"/>
    <w:rsid w:val="00C16091"/>
    <w:rsid w:val="00C16113"/>
    <w:rsid w:val="00C16193"/>
    <w:rsid w:val="00C161E7"/>
    <w:rsid w:val="00C162E0"/>
    <w:rsid w:val="00C163DA"/>
    <w:rsid w:val="00C164AD"/>
    <w:rsid w:val="00C165C4"/>
    <w:rsid w:val="00C166B7"/>
    <w:rsid w:val="00C166F8"/>
    <w:rsid w:val="00C16C13"/>
    <w:rsid w:val="00C16C83"/>
    <w:rsid w:val="00C16D5B"/>
    <w:rsid w:val="00C17028"/>
    <w:rsid w:val="00C17074"/>
    <w:rsid w:val="00C1709E"/>
    <w:rsid w:val="00C1714D"/>
    <w:rsid w:val="00C171C2"/>
    <w:rsid w:val="00C17297"/>
    <w:rsid w:val="00C1738E"/>
    <w:rsid w:val="00C173C8"/>
    <w:rsid w:val="00C173D2"/>
    <w:rsid w:val="00C174A1"/>
    <w:rsid w:val="00C17549"/>
    <w:rsid w:val="00C17569"/>
    <w:rsid w:val="00C176C7"/>
    <w:rsid w:val="00C176E2"/>
    <w:rsid w:val="00C17846"/>
    <w:rsid w:val="00C17953"/>
    <w:rsid w:val="00C17B9E"/>
    <w:rsid w:val="00C17BA3"/>
    <w:rsid w:val="00C17C04"/>
    <w:rsid w:val="00C17D21"/>
    <w:rsid w:val="00C17D73"/>
    <w:rsid w:val="00C17E1C"/>
    <w:rsid w:val="00C17E44"/>
    <w:rsid w:val="00C200D0"/>
    <w:rsid w:val="00C2011A"/>
    <w:rsid w:val="00C20345"/>
    <w:rsid w:val="00C20349"/>
    <w:rsid w:val="00C20542"/>
    <w:rsid w:val="00C207C5"/>
    <w:rsid w:val="00C207DF"/>
    <w:rsid w:val="00C20854"/>
    <w:rsid w:val="00C208C0"/>
    <w:rsid w:val="00C20AA3"/>
    <w:rsid w:val="00C20C10"/>
    <w:rsid w:val="00C20CD4"/>
    <w:rsid w:val="00C20F4E"/>
    <w:rsid w:val="00C21023"/>
    <w:rsid w:val="00C211D0"/>
    <w:rsid w:val="00C21258"/>
    <w:rsid w:val="00C21435"/>
    <w:rsid w:val="00C215DB"/>
    <w:rsid w:val="00C216D8"/>
    <w:rsid w:val="00C217CC"/>
    <w:rsid w:val="00C217D7"/>
    <w:rsid w:val="00C21A6F"/>
    <w:rsid w:val="00C21B48"/>
    <w:rsid w:val="00C21BA6"/>
    <w:rsid w:val="00C21BF4"/>
    <w:rsid w:val="00C21D0B"/>
    <w:rsid w:val="00C21E64"/>
    <w:rsid w:val="00C21F05"/>
    <w:rsid w:val="00C21F1B"/>
    <w:rsid w:val="00C22071"/>
    <w:rsid w:val="00C2226A"/>
    <w:rsid w:val="00C224C6"/>
    <w:rsid w:val="00C22577"/>
    <w:rsid w:val="00C226AF"/>
    <w:rsid w:val="00C226DF"/>
    <w:rsid w:val="00C22780"/>
    <w:rsid w:val="00C227CB"/>
    <w:rsid w:val="00C22865"/>
    <w:rsid w:val="00C2286B"/>
    <w:rsid w:val="00C229C0"/>
    <w:rsid w:val="00C229DD"/>
    <w:rsid w:val="00C22A5B"/>
    <w:rsid w:val="00C22ACB"/>
    <w:rsid w:val="00C22BDD"/>
    <w:rsid w:val="00C22CCD"/>
    <w:rsid w:val="00C22CF7"/>
    <w:rsid w:val="00C22E0D"/>
    <w:rsid w:val="00C22F3F"/>
    <w:rsid w:val="00C22FF5"/>
    <w:rsid w:val="00C23079"/>
    <w:rsid w:val="00C23080"/>
    <w:rsid w:val="00C23173"/>
    <w:rsid w:val="00C2318A"/>
    <w:rsid w:val="00C234BB"/>
    <w:rsid w:val="00C23505"/>
    <w:rsid w:val="00C23574"/>
    <w:rsid w:val="00C236DA"/>
    <w:rsid w:val="00C236FE"/>
    <w:rsid w:val="00C2376F"/>
    <w:rsid w:val="00C2385B"/>
    <w:rsid w:val="00C238C1"/>
    <w:rsid w:val="00C238E0"/>
    <w:rsid w:val="00C23C5E"/>
    <w:rsid w:val="00C23CAE"/>
    <w:rsid w:val="00C23D8D"/>
    <w:rsid w:val="00C24098"/>
    <w:rsid w:val="00C240BE"/>
    <w:rsid w:val="00C240F8"/>
    <w:rsid w:val="00C241C5"/>
    <w:rsid w:val="00C24253"/>
    <w:rsid w:val="00C242B5"/>
    <w:rsid w:val="00C243C9"/>
    <w:rsid w:val="00C24417"/>
    <w:rsid w:val="00C2451A"/>
    <w:rsid w:val="00C245EC"/>
    <w:rsid w:val="00C24621"/>
    <w:rsid w:val="00C246CE"/>
    <w:rsid w:val="00C24716"/>
    <w:rsid w:val="00C247BE"/>
    <w:rsid w:val="00C24933"/>
    <w:rsid w:val="00C2495B"/>
    <w:rsid w:val="00C2495D"/>
    <w:rsid w:val="00C24BED"/>
    <w:rsid w:val="00C24C30"/>
    <w:rsid w:val="00C24CBE"/>
    <w:rsid w:val="00C24E06"/>
    <w:rsid w:val="00C24FD2"/>
    <w:rsid w:val="00C24FFA"/>
    <w:rsid w:val="00C2530E"/>
    <w:rsid w:val="00C25583"/>
    <w:rsid w:val="00C25608"/>
    <w:rsid w:val="00C2567F"/>
    <w:rsid w:val="00C25897"/>
    <w:rsid w:val="00C2595B"/>
    <w:rsid w:val="00C25C26"/>
    <w:rsid w:val="00C25D52"/>
    <w:rsid w:val="00C25E02"/>
    <w:rsid w:val="00C25EDA"/>
    <w:rsid w:val="00C25F41"/>
    <w:rsid w:val="00C2600A"/>
    <w:rsid w:val="00C264AD"/>
    <w:rsid w:val="00C2656A"/>
    <w:rsid w:val="00C265D6"/>
    <w:rsid w:val="00C2662B"/>
    <w:rsid w:val="00C268D3"/>
    <w:rsid w:val="00C26903"/>
    <w:rsid w:val="00C26C9A"/>
    <w:rsid w:val="00C26CAE"/>
    <w:rsid w:val="00C271B0"/>
    <w:rsid w:val="00C272D8"/>
    <w:rsid w:val="00C27383"/>
    <w:rsid w:val="00C273B0"/>
    <w:rsid w:val="00C273D5"/>
    <w:rsid w:val="00C27530"/>
    <w:rsid w:val="00C277AA"/>
    <w:rsid w:val="00C27804"/>
    <w:rsid w:val="00C27938"/>
    <w:rsid w:val="00C27977"/>
    <w:rsid w:val="00C27A4E"/>
    <w:rsid w:val="00C27A9D"/>
    <w:rsid w:val="00C27AEA"/>
    <w:rsid w:val="00C27B3C"/>
    <w:rsid w:val="00C27B84"/>
    <w:rsid w:val="00C27B8A"/>
    <w:rsid w:val="00C27BEB"/>
    <w:rsid w:val="00C27D10"/>
    <w:rsid w:val="00C27DF0"/>
    <w:rsid w:val="00C27EBB"/>
    <w:rsid w:val="00C27EFF"/>
    <w:rsid w:val="00C27F90"/>
    <w:rsid w:val="00C300EB"/>
    <w:rsid w:val="00C301D4"/>
    <w:rsid w:val="00C302C3"/>
    <w:rsid w:val="00C302F5"/>
    <w:rsid w:val="00C3039A"/>
    <w:rsid w:val="00C307AD"/>
    <w:rsid w:val="00C30A13"/>
    <w:rsid w:val="00C30A76"/>
    <w:rsid w:val="00C30A86"/>
    <w:rsid w:val="00C30AF4"/>
    <w:rsid w:val="00C30B76"/>
    <w:rsid w:val="00C30C0F"/>
    <w:rsid w:val="00C30D56"/>
    <w:rsid w:val="00C30DEE"/>
    <w:rsid w:val="00C30E5D"/>
    <w:rsid w:val="00C30F71"/>
    <w:rsid w:val="00C311B7"/>
    <w:rsid w:val="00C311E7"/>
    <w:rsid w:val="00C312A0"/>
    <w:rsid w:val="00C312E5"/>
    <w:rsid w:val="00C3137C"/>
    <w:rsid w:val="00C31463"/>
    <w:rsid w:val="00C3147D"/>
    <w:rsid w:val="00C316A7"/>
    <w:rsid w:val="00C31D0F"/>
    <w:rsid w:val="00C31F42"/>
    <w:rsid w:val="00C31F5E"/>
    <w:rsid w:val="00C320E5"/>
    <w:rsid w:val="00C321D8"/>
    <w:rsid w:val="00C323B6"/>
    <w:rsid w:val="00C327FF"/>
    <w:rsid w:val="00C32987"/>
    <w:rsid w:val="00C32A51"/>
    <w:rsid w:val="00C32AC7"/>
    <w:rsid w:val="00C32B55"/>
    <w:rsid w:val="00C32B9B"/>
    <w:rsid w:val="00C32BC5"/>
    <w:rsid w:val="00C32C82"/>
    <w:rsid w:val="00C32DD0"/>
    <w:rsid w:val="00C32DD5"/>
    <w:rsid w:val="00C32E5E"/>
    <w:rsid w:val="00C32E66"/>
    <w:rsid w:val="00C32F9C"/>
    <w:rsid w:val="00C32FC7"/>
    <w:rsid w:val="00C33173"/>
    <w:rsid w:val="00C331A6"/>
    <w:rsid w:val="00C331D1"/>
    <w:rsid w:val="00C33246"/>
    <w:rsid w:val="00C332F6"/>
    <w:rsid w:val="00C3338C"/>
    <w:rsid w:val="00C334B7"/>
    <w:rsid w:val="00C334CF"/>
    <w:rsid w:val="00C335D4"/>
    <w:rsid w:val="00C338B0"/>
    <w:rsid w:val="00C33A4D"/>
    <w:rsid w:val="00C33A52"/>
    <w:rsid w:val="00C33B0B"/>
    <w:rsid w:val="00C33BA0"/>
    <w:rsid w:val="00C33E1C"/>
    <w:rsid w:val="00C33E24"/>
    <w:rsid w:val="00C33EDE"/>
    <w:rsid w:val="00C33F32"/>
    <w:rsid w:val="00C33F6A"/>
    <w:rsid w:val="00C33F73"/>
    <w:rsid w:val="00C33F92"/>
    <w:rsid w:val="00C33FB1"/>
    <w:rsid w:val="00C3405B"/>
    <w:rsid w:val="00C3409F"/>
    <w:rsid w:val="00C340D5"/>
    <w:rsid w:val="00C34137"/>
    <w:rsid w:val="00C342CF"/>
    <w:rsid w:val="00C34397"/>
    <w:rsid w:val="00C34570"/>
    <w:rsid w:val="00C347B8"/>
    <w:rsid w:val="00C34957"/>
    <w:rsid w:val="00C34A1D"/>
    <w:rsid w:val="00C34B1A"/>
    <w:rsid w:val="00C34B8A"/>
    <w:rsid w:val="00C34B91"/>
    <w:rsid w:val="00C34C49"/>
    <w:rsid w:val="00C34DF0"/>
    <w:rsid w:val="00C34E07"/>
    <w:rsid w:val="00C34E0C"/>
    <w:rsid w:val="00C34E10"/>
    <w:rsid w:val="00C34E55"/>
    <w:rsid w:val="00C34E6A"/>
    <w:rsid w:val="00C34EA1"/>
    <w:rsid w:val="00C34F40"/>
    <w:rsid w:val="00C3512D"/>
    <w:rsid w:val="00C3515D"/>
    <w:rsid w:val="00C35191"/>
    <w:rsid w:val="00C3530B"/>
    <w:rsid w:val="00C35420"/>
    <w:rsid w:val="00C35504"/>
    <w:rsid w:val="00C357EC"/>
    <w:rsid w:val="00C359B4"/>
    <w:rsid w:val="00C35BA3"/>
    <w:rsid w:val="00C35DC1"/>
    <w:rsid w:val="00C35E6F"/>
    <w:rsid w:val="00C35F15"/>
    <w:rsid w:val="00C35FAE"/>
    <w:rsid w:val="00C3602C"/>
    <w:rsid w:val="00C36049"/>
    <w:rsid w:val="00C362C4"/>
    <w:rsid w:val="00C3640B"/>
    <w:rsid w:val="00C36424"/>
    <w:rsid w:val="00C36578"/>
    <w:rsid w:val="00C365AF"/>
    <w:rsid w:val="00C36644"/>
    <w:rsid w:val="00C366DF"/>
    <w:rsid w:val="00C367E1"/>
    <w:rsid w:val="00C36806"/>
    <w:rsid w:val="00C36811"/>
    <w:rsid w:val="00C3688B"/>
    <w:rsid w:val="00C36905"/>
    <w:rsid w:val="00C36958"/>
    <w:rsid w:val="00C369EA"/>
    <w:rsid w:val="00C36A5F"/>
    <w:rsid w:val="00C36B0B"/>
    <w:rsid w:val="00C36BF1"/>
    <w:rsid w:val="00C36D34"/>
    <w:rsid w:val="00C36DD0"/>
    <w:rsid w:val="00C36E70"/>
    <w:rsid w:val="00C36FDF"/>
    <w:rsid w:val="00C371A1"/>
    <w:rsid w:val="00C371C7"/>
    <w:rsid w:val="00C371EA"/>
    <w:rsid w:val="00C37204"/>
    <w:rsid w:val="00C372BE"/>
    <w:rsid w:val="00C373A7"/>
    <w:rsid w:val="00C37517"/>
    <w:rsid w:val="00C3759D"/>
    <w:rsid w:val="00C37808"/>
    <w:rsid w:val="00C378D8"/>
    <w:rsid w:val="00C37A8A"/>
    <w:rsid w:val="00C37C51"/>
    <w:rsid w:val="00C37C89"/>
    <w:rsid w:val="00C37DAB"/>
    <w:rsid w:val="00C37DEF"/>
    <w:rsid w:val="00C37EA0"/>
    <w:rsid w:val="00C37F4B"/>
    <w:rsid w:val="00C40050"/>
    <w:rsid w:val="00C403B6"/>
    <w:rsid w:val="00C40476"/>
    <w:rsid w:val="00C4051F"/>
    <w:rsid w:val="00C40612"/>
    <w:rsid w:val="00C4068E"/>
    <w:rsid w:val="00C406A0"/>
    <w:rsid w:val="00C406B6"/>
    <w:rsid w:val="00C407FC"/>
    <w:rsid w:val="00C40852"/>
    <w:rsid w:val="00C408FA"/>
    <w:rsid w:val="00C40A0A"/>
    <w:rsid w:val="00C40A4C"/>
    <w:rsid w:val="00C40AEB"/>
    <w:rsid w:val="00C40B49"/>
    <w:rsid w:val="00C40CDD"/>
    <w:rsid w:val="00C40D00"/>
    <w:rsid w:val="00C40D08"/>
    <w:rsid w:val="00C40DD5"/>
    <w:rsid w:val="00C410DD"/>
    <w:rsid w:val="00C4115B"/>
    <w:rsid w:val="00C41229"/>
    <w:rsid w:val="00C413BD"/>
    <w:rsid w:val="00C413F1"/>
    <w:rsid w:val="00C41415"/>
    <w:rsid w:val="00C414B3"/>
    <w:rsid w:val="00C414F3"/>
    <w:rsid w:val="00C41576"/>
    <w:rsid w:val="00C415CE"/>
    <w:rsid w:val="00C415DF"/>
    <w:rsid w:val="00C4165F"/>
    <w:rsid w:val="00C4197D"/>
    <w:rsid w:val="00C4198E"/>
    <w:rsid w:val="00C419DA"/>
    <w:rsid w:val="00C41A5F"/>
    <w:rsid w:val="00C41AC3"/>
    <w:rsid w:val="00C41AE2"/>
    <w:rsid w:val="00C41BBF"/>
    <w:rsid w:val="00C41D75"/>
    <w:rsid w:val="00C41EB2"/>
    <w:rsid w:val="00C41ECC"/>
    <w:rsid w:val="00C42010"/>
    <w:rsid w:val="00C420A3"/>
    <w:rsid w:val="00C4222E"/>
    <w:rsid w:val="00C422FD"/>
    <w:rsid w:val="00C42530"/>
    <w:rsid w:val="00C425C8"/>
    <w:rsid w:val="00C42650"/>
    <w:rsid w:val="00C42654"/>
    <w:rsid w:val="00C4273D"/>
    <w:rsid w:val="00C42795"/>
    <w:rsid w:val="00C427D9"/>
    <w:rsid w:val="00C42870"/>
    <w:rsid w:val="00C428AD"/>
    <w:rsid w:val="00C42952"/>
    <w:rsid w:val="00C429D3"/>
    <w:rsid w:val="00C42AAE"/>
    <w:rsid w:val="00C42B91"/>
    <w:rsid w:val="00C42EB1"/>
    <w:rsid w:val="00C42ED8"/>
    <w:rsid w:val="00C42F0B"/>
    <w:rsid w:val="00C42F66"/>
    <w:rsid w:val="00C42F6D"/>
    <w:rsid w:val="00C42F82"/>
    <w:rsid w:val="00C4303C"/>
    <w:rsid w:val="00C43173"/>
    <w:rsid w:val="00C431F5"/>
    <w:rsid w:val="00C43365"/>
    <w:rsid w:val="00C43389"/>
    <w:rsid w:val="00C4339B"/>
    <w:rsid w:val="00C433D0"/>
    <w:rsid w:val="00C433D2"/>
    <w:rsid w:val="00C434D1"/>
    <w:rsid w:val="00C434FC"/>
    <w:rsid w:val="00C436F4"/>
    <w:rsid w:val="00C4373D"/>
    <w:rsid w:val="00C43762"/>
    <w:rsid w:val="00C4377E"/>
    <w:rsid w:val="00C43885"/>
    <w:rsid w:val="00C438A3"/>
    <w:rsid w:val="00C43923"/>
    <w:rsid w:val="00C43975"/>
    <w:rsid w:val="00C43A84"/>
    <w:rsid w:val="00C43AB3"/>
    <w:rsid w:val="00C43B2A"/>
    <w:rsid w:val="00C43C37"/>
    <w:rsid w:val="00C43C70"/>
    <w:rsid w:val="00C43C73"/>
    <w:rsid w:val="00C43E5E"/>
    <w:rsid w:val="00C43E68"/>
    <w:rsid w:val="00C43EF5"/>
    <w:rsid w:val="00C43F9F"/>
    <w:rsid w:val="00C440D2"/>
    <w:rsid w:val="00C4417B"/>
    <w:rsid w:val="00C4426A"/>
    <w:rsid w:val="00C44284"/>
    <w:rsid w:val="00C4439A"/>
    <w:rsid w:val="00C4439F"/>
    <w:rsid w:val="00C444AD"/>
    <w:rsid w:val="00C445F2"/>
    <w:rsid w:val="00C446C4"/>
    <w:rsid w:val="00C449E6"/>
    <w:rsid w:val="00C449FE"/>
    <w:rsid w:val="00C44ACB"/>
    <w:rsid w:val="00C44B56"/>
    <w:rsid w:val="00C44BD2"/>
    <w:rsid w:val="00C44D64"/>
    <w:rsid w:val="00C44DF3"/>
    <w:rsid w:val="00C44EC2"/>
    <w:rsid w:val="00C44F66"/>
    <w:rsid w:val="00C44FFF"/>
    <w:rsid w:val="00C45164"/>
    <w:rsid w:val="00C451DE"/>
    <w:rsid w:val="00C45203"/>
    <w:rsid w:val="00C452A7"/>
    <w:rsid w:val="00C454A9"/>
    <w:rsid w:val="00C4571D"/>
    <w:rsid w:val="00C45B12"/>
    <w:rsid w:val="00C45C5C"/>
    <w:rsid w:val="00C45C60"/>
    <w:rsid w:val="00C45C71"/>
    <w:rsid w:val="00C45CDB"/>
    <w:rsid w:val="00C45EEE"/>
    <w:rsid w:val="00C46208"/>
    <w:rsid w:val="00C46218"/>
    <w:rsid w:val="00C46577"/>
    <w:rsid w:val="00C465C2"/>
    <w:rsid w:val="00C46767"/>
    <w:rsid w:val="00C46771"/>
    <w:rsid w:val="00C467B8"/>
    <w:rsid w:val="00C4688E"/>
    <w:rsid w:val="00C46966"/>
    <w:rsid w:val="00C4696B"/>
    <w:rsid w:val="00C46981"/>
    <w:rsid w:val="00C46A21"/>
    <w:rsid w:val="00C46AD2"/>
    <w:rsid w:val="00C46BF5"/>
    <w:rsid w:val="00C46C0C"/>
    <w:rsid w:val="00C46C5B"/>
    <w:rsid w:val="00C46CA1"/>
    <w:rsid w:val="00C46DA0"/>
    <w:rsid w:val="00C46E1D"/>
    <w:rsid w:val="00C46F1F"/>
    <w:rsid w:val="00C46F28"/>
    <w:rsid w:val="00C4706C"/>
    <w:rsid w:val="00C470ED"/>
    <w:rsid w:val="00C470FA"/>
    <w:rsid w:val="00C4713F"/>
    <w:rsid w:val="00C472B7"/>
    <w:rsid w:val="00C4734E"/>
    <w:rsid w:val="00C474B3"/>
    <w:rsid w:val="00C474F0"/>
    <w:rsid w:val="00C4767B"/>
    <w:rsid w:val="00C4772E"/>
    <w:rsid w:val="00C4773E"/>
    <w:rsid w:val="00C4786C"/>
    <w:rsid w:val="00C47876"/>
    <w:rsid w:val="00C47958"/>
    <w:rsid w:val="00C47B7A"/>
    <w:rsid w:val="00C47C29"/>
    <w:rsid w:val="00C47C71"/>
    <w:rsid w:val="00C47F8C"/>
    <w:rsid w:val="00C50003"/>
    <w:rsid w:val="00C50092"/>
    <w:rsid w:val="00C500E5"/>
    <w:rsid w:val="00C5015A"/>
    <w:rsid w:val="00C5019C"/>
    <w:rsid w:val="00C501C7"/>
    <w:rsid w:val="00C5021C"/>
    <w:rsid w:val="00C50221"/>
    <w:rsid w:val="00C5023D"/>
    <w:rsid w:val="00C50288"/>
    <w:rsid w:val="00C50444"/>
    <w:rsid w:val="00C5062C"/>
    <w:rsid w:val="00C507BE"/>
    <w:rsid w:val="00C509A0"/>
    <w:rsid w:val="00C50CA2"/>
    <w:rsid w:val="00C50D2E"/>
    <w:rsid w:val="00C50DF2"/>
    <w:rsid w:val="00C50E79"/>
    <w:rsid w:val="00C50F4B"/>
    <w:rsid w:val="00C50FF5"/>
    <w:rsid w:val="00C510C2"/>
    <w:rsid w:val="00C51595"/>
    <w:rsid w:val="00C51827"/>
    <w:rsid w:val="00C518C2"/>
    <w:rsid w:val="00C518DD"/>
    <w:rsid w:val="00C51912"/>
    <w:rsid w:val="00C51978"/>
    <w:rsid w:val="00C519F8"/>
    <w:rsid w:val="00C51A4B"/>
    <w:rsid w:val="00C51B00"/>
    <w:rsid w:val="00C51C4B"/>
    <w:rsid w:val="00C51D2C"/>
    <w:rsid w:val="00C51E07"/>
    <w:rsid w:val="00C51E83"/>
    <w:rsid w:val="00C51ECE"/>
    <w:rsid w:val="00C51F01"/>
    <w:rsid w:val="00C51F0B"/>
    <w:rsid w:val="00C5200A"/>
    <w:rsid w:val="00C521C8"/>
    <w:rsid w:val="00C5227F"/>
    <w:rsid w:val="00C522EC"/>
    <w:rsid w:val="00C5230E"/>
    <w:rsid w:val="00C5234F"/>
    <w:rsid w:val="00C524C5"/>
    <w:rsid w:val="00C524D3"/>
    <w:rsid w:val="00C524F2"/>
    <w:rsid w:val="00C52575"/>
    <w:rsid w:val="00C525D2"/>
    <w:rsid w:val="00C525E3"/>
    <w:rsid w:val="00C52606"/>
    <w:rsid w:val="00C526A9"/>
    <w:rsid w:val="00C526B4"/>
    <w:rsid w:val="00C52899"/>
    <w:rsid w:val="00C52A90"/>
    <w:rsid w:val="00C52B1E"/>
    <w:rsid w:val="00C52C32"/>
    <w:rsid w:val="00C52CA8"/>
    <w:rsid w:val="00C52E45"/>
    <w:rsid w:val="00C52EE4"/>
    <w:rsid w:val="00C5301E"/>
    <w:rsid w:val="00C5306B"/>
    <w:rsid w:val="00C531C4"/>
    <w:rsid w:val="00C53217"/>
    <w:rsid w:val="00C5326F"/>
    <w:rsid w:val="00C532DF"/>
    <w:rsid w:val="00C533BA"/>
    <w:rsid w:val="00C534B9"/>
    <w:rsid w:val="00C53789"/>
    <w:rsid w:val="00C538B9"/>
    <w:rsid w:val="00C53995"/>
    <w:rsid w:val="00C53B0C"/>
    <w:rsid w:val="00C53C44"/>
    <w:rsid w:val="00C53EA0"/>
    <w:rsid w:val="00C53F35"/>
    <w:rsid w:val="00C53FBD"/>
    <w:rsid w:val="00C5406C"/>
    <w:rsid w:val="00C542B9"/>
    <w:rsid w:val="00C5431F"/>
    <w:rsid w:val="00C544A4"/>
    <w:rsid w:val="00C549D4"/>
    <w:rsid w:val="00C54B08"/>
    <w:rsid w:val="00C54D1A"/>
    <w:rsid w:val="00C54D32"/>
    <w:rsid w:val="00C54F1A"/>
    <w:rsid w:val="00C54FFF"/>
    <w:rsid w:val="00C550B1"/>
    <w:rsid w:val="00C550B9"/>
    <w:rsid w:val="00C552AF"/>
    <w:rsid w:val="00C552CF"/>
    <w:rsid w:val="00C5533A"/>
    <w:rsid w:val="00C55422"/>
    <w:rsid w:val="00C55453"/>
    <w:rsid w:val="00C5548A"/>
    <w:rsid w:val="00C554CF"/>
    <w:rsid w:val="00C55550"/>
    <w:rsid w:val="00C55643"/>
    <w:rsid w:val="00C55668"/>
    <w:rsid w:val="00C55873"/>
    <w:rsid w:val="00C55BDB"/>
    <w:rsid w:val="00C55CF1"/>
    <w:rsid w:val="00C55E30"/>
    <w:rsid w:val="00C55E7F"/>
    <w:rsid w:val="00C55F99"/>
    <w:rsid w:val="00C563CA"/>
    <w:rsid w:val="00C5656B"/>
    <w:rsid w:val="00C56588"/>
    <w:rsid w:val="00C566B4"/>
    <w:rsid w:val="00C5677B"/>
    <w:rsid w:val="00C5677D"/>
    <w:rsid w:val="00C567C6"/>
    <w:rsid w:val="00C568B6"/>
    <w:rsid w:val="00C568ED"/>
    <w:rsid w:val="00C568F4"/>
    <w:rsid w:val="00C56949"/>
    <w:rsid w:val="00C56963"/>
    <w:rsid w:val="00C56A05"/>
    <w:rsid w:val="00C56AA2"/>
    <w:rsid w:val="00C56AAC"/>
    <w:rsid w:val="00C56CEA"/>
    <w:rsid w:val="00C56D0C"/>
    <w:rsid w:val="00C56DC5"/>
    <w:rsid w:val="00C56F0B"/>
    <w:rsid w:val="00C56FD2"/>
    <w:rsid w:val="00C5717A"/>
    <w:rsid w:val="00C571D9"/>
    <w:rsid w:val="00C57308"/>
    <w:rsid w:val="00C573A5"/>
    <w:rsid w:val="00C574CD"/>
    <w:rsid w:val="00C5764F"/>
    <w:rsid w:val="00C57693"/>
    <w:rsid w:val="00C57760"/>
    <w:rsid w:val="00C57798"/>
    <w:rsid w:val="00C578B6"/>
    <w:rsid w:val="00C578D3"/>
    <w:rsid w:val="00C579E9"/>
    <w:rsid w:val="00C57A53"/>
    <w:rsid w:val="00C57B48"/>
    <w:rsid w:val="00C57CF8"/>
    <w:rsid w:val="00C57D18"/>
    <w:rsid w:val="00C57E28"/>
    <w:rsid w:val="00C57F5F"/>
    <w:rsid w:val="00C60005"/>
    <w:rsid w:val="00C6000E"/>
    <w:rsid w:val="00C6001B"/>
    <w:rsid w:val="00C60057"/>
    <w:rsid w:val="00C6005A"/>
    <w:rsid w:val="00C60152"/>
    <w:rsid w:val="00C6019C"/>
    <w:rsid w:val="00C60217"/>
    <w:rsid w:val="00C60256"/>
    <w:rsid w:val="00C602E3"/>
    <w:rsid w:val="00C60311"/>
    <w:rsid w:val="00C6033F"/>
    <w:rsid w:val="00C603C5"/>
    <w:rsid w:val="00C60487"/>
    <w:rsid w:val="00C60488"/>
    <w:rsid w:val="00C607A9"/>
    <w:rsid w:val="00C60891"/>
    <w:rsid w:val="00C608F7"/>
    <w:rsid w:val="00C609EB"/>
    <w:rsid w:val="00C609F6"/>
    <w:rsid w:val="00C60A04"/>
    <w:rsid w:val="00C60C61"/>
    <w:rsid w:val="00C60D60"/>
    <w:rsid w:val="00C60E20"/>
    <w:rsid w:val="00C60E2F"/>
    <w:rsid w:val="00C60E5E"/>
    <w:rsid w:val="00C60F18"/>
    <w:rsid w:val="00C61023"/>
    <w:rsid w:val="00C610B2"/>
    <w:rsid w:val="00C61176"/>
    <w:rsid w:val="00C61193"/>
    <w:rsid w:val="00C61298"/>
    <w:rsid w:val="00C6131C"/>
    <w:rsid w:val="00C613D4"/>
    <w:rsid w:val="00C6149E"/>
    <w:rsid w:val="00C614CA"/>
    <w:rsid w:val="00C614E8"/>
    <w:rsid w:val="00C6156E"/>
    <w:rsid w:val="00C615A7"/>
    <w:rsid w:val="00C61682"/>
    <w:rsid w:val="00C61896"/>
    <w:rsid w:val="00C61949"/>
    <w:rsid w:val="00C619B5"/>
    <w:rsid w:val="00C61A56"/>
    <w:rsid w:val="00C61B0C"/>
    <w:rsid w:val="00C61B54"/>
    <w:rsid w:val="00C61F12"/>
    <w:rsid w:val="00C61FAF"/>
    <w:rsid w:val="00C6200C"/>
    <w:rsid w:val="00C6209A"/>
    <w:rsid w:val="00C62480"/>
    <w:rsid w:val="00C624AC"/>
    <w:rsid w:val="00C62526"/>
    <w:rsid w:val="00C625D6"/>
    <w:rsid w:val="00C6260E"/>
    <w:rsid w:val="00C6267C"/>
    <w:rsid w:val="00C62945"/>
    <w:rsid w:val="00C62968"/>
    <w:rsid w:val="00C62A51"/>
    <w:rsid w:val="00C62A5F"/>
    <w:rsid w:val="00C62ADC"/>
    <w:rsid w:val="00C62B73"/>
    <w:rsid w:val="00C62BAC"/>
    <w:rsid w:val="00C62BD2"/>
    <w:rsid w:val="00C62CF2"/>
    <w:rsid w:val="00C63024"/>
    <w:rsid w:val="00C630E9"/>
    <w:rsid w:val="00C63153"/>
    <w:rsid w:val="00C631F9"/>
    <w:rsid w:val="00C6326D"/>
    <w:rsid w:val="00C6333D"/>
    <w:rsid w:val="00C6337F"/>
    <w:rsid w:val="00C63494"/>
    <w:rsid w:val="00C634A8"/>
    <w:rsid w:val="00C635B5"/>
    <w:rsid w:val="00C63639"/>
    <w:rsid w:val="00C63654"/>
    <w:rsid w:val="00C6367D"/>
    <w:rsid w:val="00C636A0"/>
    <w:rsid w:val="00C636BC"/>
    <w:rsid w:val="00C637FC"/>
    <w:rsid w:val="00C63896"/>
    <w:rsid w:val="00C63944"/>
    <w:rsid w:val="00C639BE"/>
    <w:rsid w:val="00C63A00"/>
    <w:rsid w:val="00C63A43"/>
    <w:rsid w:val="00C63BDD"/>
    <w:rsid w:val="00C63CE1"/>
    <w:rsid w:val="00C63CF6"/>
    <w:rsid w:val="00C63D2E"/>
    <w:rsid w:val="00C63DAB"/>
    <w:rsid w:val="00C63DDE"/>
    <w:rsid w:val="00C63EE9"/>
    <w:rsid w:val="00C64126"/>
    <w:rsid w:val="00C64190"/>
    <w:rsid w:val="00C6427B"/>
    <w:rsid w:val="00C64330"/>
    <w:rsid w:val="00C643DB"/>
    <w:rsid w:val="00C643FC"/>
    <w:rsid w:val="00C64434"/>
    <w:rsid w:val="00C644CF"/>
    <w:rsid w:val="00C64541"/>
    <w:rsid w:val="00C64550"/>
    <w:rsid w:val="00C64572"/>
    <w:rsid w:val="00C645E0"/>
    <w:rsid w:val="00C64800"/>
    <w:rsid w:val="00C648B7"/>
    <w:rsid w:val="00C64974"/>
    <w:rsid w:val="00C64ADA"/>
    <w:rsid w:val="00C64AED"/>
    <w:rsid w:val="00C64B64"/>
    <w:rsid w:val="00C64BBD"/>
    <w:rsid w:val="00C64C09"/>
    <w:rsid w:val="00C64CAC"/>
    <w:rsid w:val="00C64CBB"/>
    <w:rsid w:val="00C64D5D"/>
    <w:rsid w:val="00C64DDE"/>
    <w:rsid w:val="00C64E08"/>
    <w:rsid w:val="00C64E8C"/>
    <w:rsid w:val="00C64ECC"/>
    <w:rsid w:val="00C64ED1"/>
    <w:rsid w:val="00C64EEE"/>
    <w:rsid w:val="00C65154"/>
    <w:rsid w:val="00C65584"/>
    <w:rsid w:val="00C656C3"/>
    <w:rsid w:val="00C65733"/>
    <w:rsid w:val="00C65741"/>
    <w:rsid w:val="00C657FF"/>
    <w:rsid w:val="00C6587F"/>
    <w:rsid w:val="00C6590D"/>
    <w:rsid w:val="00C65990"/>
    <w:rsid w:val="00C659E1"/>
    <w:rsid w:val="00C65A75"/>
    <w:rsid w:val="00C65A7B"/>
    <w:rsid w:val="00C65BB4"/>
    <w:rsid w:val="00C65BCD"/>
    <w:rsid w:val="00C65CA1"/>
    <w:rsid w:val="00C65E54"/>
    <w:rsid w:val="00C65E9B"/>
    <w:rsid w:val="00C660BE"/>
    <w:rsid w:val="00C661AA"/>
    <w:rsid w:val="00C664C7"/>
    <w:rsid w:val="00C6656B"/>
    <w:rsid w:val="00C6657F"/>
    <w:rsid w:val="00C6660F"/>
    <w:rsid w:val="00C6662C"/>
    <w:rsid w:val="00C6670B"/>
    <w:rsid w:val="00C6681A"/>
    <w:rsid w:val="00C66866"/>
    <w:rsid w:val="00C66A08"/>
    <w:rsid w:val="00C66A2F"/>
    <w:rsid w:val="00C66B00"/>
    <w:rsid w:val="00C66C0E"/>
    <w:rsid w:val="00C66C17"/>
    <w:rsid w:val="00C66E2E"/>
    <w:rsid w:val="00C66EA6"/>
    <w:rsid w:val="00C67173"/>
    <w:rsid w:val="00C67213"/>
    <w:rsid w:val="00C6731A"/>
    <w:rsid w:val="00C67474"/>
    <w:rsid w:val="00C674D1"/>
    <w:rsid w:val="00C6763B"/>
    <w:rsid w:val="00C67655"/>
    <w:rsid w:val="00C67681"/>
    <w:rsid w:val="00C678AB"/>
    <w:rsid w:val="00C6798F"/>
    <w:rsid w:val="00C67AA7"/>
    <w:rsid w:val="00C67AF7"/>
    <w:rsid w:val="00C67D01"/>
    <w:rsid w:val="00C67E5C"/>
    <w:rsid w:val="00C70055"/>
    <w:rsid w:val="00C700E2"/>
    <w:rsid w:val="00C70579"/>
    <w:rsid w:val="00C705A5"/>
    <w:rsid w:val="00C7065F"/>
    <w:rsid w:val="00C706B5"/>
    <w:rsid w:val="00C70728"/>
    <w:rsid w:val="00C708A6"/>
    <w:rsid w:val="00C70992"/>
    <w:rsid w:val="00C70B28"/>
    <w:rsid w:val="00C70D45"/>
    <w:rsid w:val="00C70DCF"/>
    <w:rsid w:val="00C70DED"/>
    <w:rsid w:val="00C70E82"/>
    <w:rsid w:val="00C70EE4"/>
    <w:rsid w:val="00C71009"/>
    <w:rsid w:val="00C71093"/>
    <w:rsid w:val="00C71184"/>
    <w:rsid w:val="00C7132C"/>
    <w:rsid w:val="00C7134F"/>
    <w:rsid w:val="00C7149C"/>
    <w:rsid w:val="00C714AF"/>
    <w:rsid w:val="00C71761"/>
    <w:rsid w:val="00C717BF"/>
    <w:rsid w:val="00C71956"/>
    <w:rsid w:val="00C71A6E"/>
    <w:rsid w:val="00C71C86"/>
    <w:rsid w:val="00C71C8A"/>
    <w:rsid w:val="00C71D85"/>
    <w:rsid w:val="00C71E14"/>
    <w:rsid w:val="00C72014"/>
    <w:rsid w:val="00C72078"/>
    <w:rsid w:val="00C720C0"/>
    <w:rsid w:val="00C72100"/>
    <w:rsid w:val="00C72142"/>
    <w:rsid w:val="00C72161"/>
    <w:rsid w:val="00C7217A"/>
    <w:rsid w:val="00C721B5"/>
    <w:rsid w:val="00C72273"/>
    <w:rsid w:val="00C72331"/>
    <w:rsid w:val="00C72511"/>
    <w:rsid w:val="00C726E9"/>
    <w:rsid w:val="00C727DB"/>
    <w:rsid w:val="00C727EC"/>
    <w:rsid w:val="00C728E8"/>
    <w:rsid w:val="00C72956"/>
    <w:rsid w:val="00C72A5D"/>
    <w:rsid w:val="00C72A7C"/>
    <w:rsid w:val="00C72B6B"/>
    <w:rsid w:val="00C72B7B"/>
    <w:rsid w:val="00C72C56"/>
    <w:rsid w:val="00C72D47"/>
    <w:rsid w:val="00C72D7C"/>
    <w:rsid w:val="00C72E09"/>
    <w:rsid w:val="00C72ED3"/>
    <w:rsid w:val="00C72FF3"/>
    <w:rsid w:val="00C730EC"/>
    <w:rsid w:val="00C7338E"/>
    <w:rsid w:val="00C7340E"/>
    <w:rsid w:val="00C73634"/>
    <w:rsid w:val="00C736B7"/>
    <w:rsid w:val="00C73711"/>
    <w:rsid w:val="00C737D1"/>
    <w:rsid w:val="00C73A36"/>
    <w:rsid w:val="00C73AA0"/>
    <w:rsid w:val="00C73AFD"/>
    <w:rsid w:val="00C73B7F"/>
    <w:rsid w:val="00C73B90"/>
    <w:rsid w:val="00C73BF4"/>
    <w:rsid w:val="00C73CB9"/>
    <w:rsid w:val="00C73CE6"/>
    <w:rsid w:val="00C73D1F"/>
    <w:rsid w:val="00C73EA7"/>
    <w:rsid w:val="00C73F51"/>
    <w:rsid w:val="00C7405D"/>
    <w:rsid w:val="00C74072"/>
    <w:rsid w:val="00C741F3"/>
    <w:rsid w:val="00C7430E"/>
    <w:rsid w:val="00C744DD"/>
    <w:rsid w:val="00C744F5"/>
    <w:rsid w:val="00C74507"/>
    <w:rsid w:val="00C74544"/>
    <w:rsid w:val="00C74686"/>
    <w:rsid w:val="00C746CB"/>
    <w:rsid w:val="00C7481C"/>
    <w:rsid w:val="00C74853"/>
    <w:rsid w:val="00C74857"/>
    <w:rsid w:val="00C7494A"/>
    <w:rsid w:val="00C749F5"/>
    <w:rsid w:val="00C74AB8"/>
    <w:rsid w:val="00C74BE5"/>
    <w:rsid w:val="00C74CD8"/>
    <w:rsid w:val="00C74CDF"/>
    <w:rsid w:val="00C74D10"/>
    <w:rsid w:val="00C74D24"/>
    <w:rsid w:val="00C74D51"/>
    <w:rsid w:val="00C74DF3"/>
    <w:rsid w:val="00C74E50"/>
    <w:rsid w:val="00C74F30"/>
    <w:rsid w:val="00C74F42"/>
    <w:rsid w:val="00C7512E"/>
    <w:rsid w:val="00C7513C"/>
    <w:rsid w:val="00C7526B"/>
    <w:rsid w:val="00C7532B"/>
    <w:rsid w:val="00C75469"/>
    <w:rsid w:val="00C75751"/>
    <w:rsid w:val="00C75758"/>
    <w:rsid w:val="00C75920"/>
    <w:rsid w:val="00C759A2"/>
    <w:rsid w:val="00C759BB"/>
    <w:rsid w:val="00C75A47"/>
    <w:rsid w:val="00C75C45"/>
    <w:rsid w:val="00C75D76"/>
    <w:rsid w:val="00C75FB3"/>
    <w:rsid w:val="00C7602D"/>
    <w:rsid w:val="00C7605D"/>
    <w:rsid w:val="00C76135"/>
    <w:rsid w:val="00C76195"/>
    <w:rsid w:val="00C761FC"/>
    <w:rsid w:val="00C76267"/>
    <w:rsid w:val="00C762E6"/>
    <w:rsid w:val="00C762F6"/>
    <w:rsid w:val="00C76310"/>
    <w:rsid w:val="00C7636E"/>
    <w:rsid w:val="00C7645C"/>
    <w:rsid w:val="00C765BF"/>
    <w:rsid w:val="00C76605"/>
    <w:rsid w:val="00C769C3"/>
    <w:rsid w:val="00C769C9"/>
    <w:rsid w:val="00C769E0"/>
    <w:rsid w:val="00C76A08"/>
    <w:rsid w:val="00C76A16"/>
    <w:rsid w:val="00C76A33"/>
    <w:rsid w:val="00C76A7A"/>
    <w:rsid w:val="00C76BB0"/>
    <w:rsid w:val="00C76BF8"/>
    <w:rsid w:val="00C76C39"/>
    <w:rsid w:val="00C76C40"/>
    <w:rsid w:val="00C76C6A"/>
    <w:rsid w:val="00C76CB0"/>
    <w:rsid w:val="00C77085"/>
    <w:rsid w:val="00C7710F"/>
    <w:rsid w:val="00C773AD"/>
    <w:rsid w:val="00C773C3"/>
    <w:rsid w:val="00C773F8"/>
    <w:rsid w:val="00C7742E"/>
    <w:rsid w:val="00C7743D"/>
    <w:rsid w:val="00C77653"/>
    <w:rsid w:val="00C77691"/>
    <w:rsid w:val="00C77755"/>
    <w:rsid w:val="00C778C1"/>
    <w:rsid w:val="00C7791E"/>
    <w:rsid w:val="00C77C00"/>
    <w:rsid w:val="00C77C27"/>
    <w:rsid w:val="00C77C74"/>
    <w:rsid w:val="00C77CD3"/>
    <w:rsid w:val="00C77D0B"/>
    <w:rsid w:val="00C77D1B"/>
    <w:rsid w:val="00C77D46"/>
    <w:rsid w:val="00C77D55"/>
    <w:rsid w:val="00C77E1B"/>
    <w:rsid w:val="00C7EA9B"/>
    <w:rsid w:val="00C80169"/>
    <w:rsid w:val="00C80251"/>
    <w:rsid w:val="00C802C6"/>
    <w:rsid w:val="00C804DB"/>
    <w:rsid w:val="00C80657"/>
    <w:rsid w:val="00C807E7"/>
    <w:rsid w:val="00C8089F"/>
    <w:rsid w:val="00C808C0"/>
    <w:rsid w:val="00C80965"/>
    <w:rsid w:val="00C809DF"/>
    <w:rsid w:val="00C80A1D"/>
    <w:rsid w:val="00C80A32"/>
    <w:rsid w:val="00C80AE8"/>
    <w:rsid w:val="00C80C92"/>
    <w:rsid w:val="00C80D02"/>
    <w:rsid w:val="00C80D65"/>
    <w:rsid w:val="00C80F1A"/>
    <w:rsid w:val="00C80F66"/>
    <w:rsid w:val="00C80FA0"/>
    <w:rsid w:val="00C80FE3"/>
    <w:rsid w:val="00C81030"/>
    <w:rsid w:val="00C81099"/>
    <w:rsid w:val="00C812C1"/>
    <w:rsid w:val="00C81366"/>
    <w:rsid w:val="00C81460"/>
    <w:rsid w:val="00C8152A"/>
    <w:rsid w:val="00C815E4"/>
    <w:rsid w:val="00C817B7"/>
    <w:rsid w:val="00C81861"/>
    <w:rsid w:val="00C818DB"/>
    <w:rsid w:val="00C81905"/>
    <w:rsid w:val="00C81934"/>
    <w:rsid w:val="00C819C6"/>
    <w:rsid w:val="00C81AC3"/>
    <w:rsid w:val="00C81E51"/>
    <w:rsid w:val="00C81F3D"/>
    <w:rsid w:val="00C82009"/>
    <w:rsid w:val="00C821AB"/>
    <w:rsid w:val="00C821DF"/>
    <w:rsid w:val="00C82331"/>
    <w:rsid w:val="00C824E9"/>
    <w:rsid w:val="00C82548"/>
    <w:rsid w:val="00C826D1"/>
    <w:rsid w:val="00C826EC"/>
    <w:rsid w:val="00C82724"/>
    <w:rsid w:val="00C8294F"/>
    <w:rsid w:val="00C82A48"/>
    <w:rsid w:val="00C82A81"/>
    <w:rsid w:val="00C82B98"/>
    <w:rsid w:val="00C82D45"/>
    <w:rsid w:val="00C82DDC"/>
    <w:rsid w:val="00C82E1D"/>
    <w:rsid w:val="00C82F15"/>
    <w:rsid w:val="00C82F75"/>
    <w:rsid w:val="00C82F82"/>
    <w:rsid w:val="00C83005"/>
    <w:rsid w:val="00C8309B"/>
    <w:rsid w:val="00C831CB"/>
    <w:rsid w:val="00C831FE"/>
    <w:rsid w:val="00C83242"/>
    <w:rsid w:val="00C83367"/>
    <w:rsid w:val="00C834D7"/>
    <w:rsid w:val="00C83527"/>
    <w:rsid w:val="00C8364D"/>
    <w:rsid w:val="00C836E1"/>
    <w:rsid w:val="00C836E9"/>
    <w:rsid w:val="00C837CC"/>
    <w:rsid w:val="00C83859"/>
    <w:rsid w:val="00C8388B"/>
    <w:rsid w:val="00C838DB"/>
    <w:rsid w:val="00C83908"/>
    <w:rsid w:val="00C83AB4"/>
    <w:rsid w:val="00C83FF6"/>
    <w:rsid w:val="00C84166"/>
    <w:rsid w:val="00C84199"/>
    <w:rsid w:val="00C841A1"/>
    <w:rsid w:val="00C84239"/>
    <w:rsid w:val="00C84407"/>
    <w:rsid w:val="00C84480"/>
    <w:rsid w:val="00C8455C"/>
    <w:rsid w:val="00C8456F"/>
    <w:rsid w:val="00C845A4"/>
    <w:rsid w:val="00C845B4"/>
    <w:rsid w:val="00C845F7"/>
    <w:rsid w:val="00C84601"/>
    <w:rsid w:val="00C84706"/>
    <w:rsid w:val="00C847CD"/>
    <w:rsid w:val="00C8488D"/>
    <w:rsid w:val="00C84939"/>
    <w:rsid w:val="00C849AA"/>
    <w:rsid w:val="00C84A81"/>
    <w:rsid w:val="00C84AF1"/>
    <w:rsid w:val="00C84B08"/>
    <w:rsid w:val="00C84BB6"/>
    <w:rsid w:val="00C84BDD"/>
    <w:rsid w:val="00C84C6C"/>
    <w:rsid w:val="00C84C87"/>
    <w:rsid w:val="00C84CB4"/>
    <w:rsid w:val="00C84CF4"/>
    <w:rsid w:val="00C84D77"/>
    <w:rsid w:val="00C84E91"/>
    <w:rsid w:val="00C84F00"/>
    <w:rsid w:val="00C8500D"/>
    <w:rsid w:val="00C850B3"/>
    <w:rsid w:val="00C850FB"/>
    <w:rsid w:val="00C85117"/>
    <w:rsid w:val="00C8521F"/>
    <w:rsid w:val="00C852C2"/>
    <w:rsid w:val="00C855B1"/>
    <w:rsid w:val="00C855D6"/>
    <w:rsid w:val="00C85601"/>
    <w:rsid w:val="00C856F9"/>
    <w:rsid w:val="00C85814"/>
    <w:rsid w:val="00C858B7"/>
    <w:rsid w:val="00C85934"/>
    <w:rsid w:val="00C8594D"/>
    <w:rsid w:val="00C85A79"/>
    <w:rsid w:val="00C85AE1"/>
    <w:rsid w:val="00C85B5B"/>
    <w:rsid w:val="00C85B8C"/>
    <w:rsid w:val="00C85DB6"/>
    <w:rsid w:val="00C85E8A"/>
    <w:rsid w:val="00C86023"/>
    <w:rsid w:val="00C86127"/>
    <w:rsid w:val="00C86196"/>
    <w:rsid w:val="00C8639C"/>
    <w:rsid w:val="00C8643E"/>
    <w:rsid w:val="00C8649B"/>
    <w:rsid w:val="00C8657F"/>
    <w:rsid w:val="00C8663D"/>
    <w:rsid w:val="00C86648"/>
    <w:rsid w:val="00C86651"/>
    <w:rsid w:val="00C86681"/>
    <w:rsid w:val="00C8669C"/>
    <w:rsid w:val="00C86734"/>
    <w:rsid w:val="00C867CE"/>
    <w:rsid w:val="00C86815"/>
    <w:rsid w:val="00C8693B"/>
    <w:rsid w:val="00C8699B"/>
    <w:rsid w:val="00C869B4"/>
    <w:rsid w:val="00C869DB"/>
    <w:rsid w:val="00C86A10"/>
    <w:rsid w:val="00C86AE6"/>
    <w:rsid w:val="00C86C09"/>
    <w:rsid w:val="00C86C46"/>
    <w:rsid w:val="00C86CA2"/>
    <w:rsid w:val="00C86DA5"/>
    <w:rsid w:val="00C86DED"/>
    <w:rsid w:val="00C86EC2"/>
    <w:rsid w:val="00C86F2A"/>
    <w:rsid w:val="00C86F5C"/>
    <w:rsid w:val="00C8718F"/>
    <w:rsid w:val="00C87424"/>
    <w:rsid w:val="00C8745C"/>
    <w:rsid w:val="00C875F7"/>
    <w:rsid w:val="00C87655"/>
    <w:rsid w:val="00C87662"/>
    <w:rsid w:val="00C876D1"/>
    <w:rsid w:val="00C876F0"/>
    <w:rsid w:val="00C87742"/>
    <w:rsid w:val="00C87839"/>
    <w:rsid w:val="00C8783F"/>
    <w:rsid w:val="00C878AA"/>
    <w:rsid w:val="00C879A8"/>
    <w:rsid w:val="00C87ADB"/>
    <w:rsid w:val="00C87C04"/>
    <w:rsid w:val="00C87F03"/>
    <w:rsid w:val="00C8F749"/>
    <w:rsid w:val="00C900D2"/>
    <w:rsid w:val="00C900FD"/>
    <w:rsid w:val="00C90434"/>
    <w:rsid w:val="00C904C9"/>
    <w:rsid w:val="00C90507"/>
    <w:rsid w:val="00C905A6"/>
    <w:rsid w:val="00C906F6"/>
    <w:rsid w:val="00C9088C"/>
    <w:rsid w:val="00C90AAA"/>
    <w:rsid w:val="00C90BA5"/>
    <w:rsid w:val="00C90CA2"/>
    <w:rsid w:val="00C90E90"/>
    <w:rsid w:val="00C90EA2"/>
    <w:rsid w:val="00C90F75"/>
    <w:rsid w:val="00C90FC2"/>
    <w:rsid w:val="00C90FD5"/>
    <w:rsid w:val="00C90FEC"/>
    <w:rsid w:val="00C91135"/>
    <w:rsid w:val="00C9130C"/>
    <w:rsid w:val="00C9136F"/>
    <w:rsid w:val="00C9144E"/>
    <w:rsid w:val="00C915AA"/>
    <w:rsid w:val="00C915C9"/>
    <w:rsid w:val="00C91606"/>
    <w:rsid w:val="00C9184C"/>
    <w:rsid w:val="00C91A77"/>
    <w:rsid w:val="00C91B58"/>
    <w:rsid w:val="00C91B5D"/>
    <w:rsid w:val="00C91B66"/>
    <w:rsid w:val="00C91BED"/>
    <w:rsid w:val="00C91C13"/>
    <w:rsid w:val="00C91C90"/>
    <w:rsid w:val="00C91CDE"/>
    <w:rsid w:val="00C91D27"/>
    <w:rsid w:val="00C91DEF"/>
    <w:rsid w:val="00C91ECD"/>
    <w:rsid w:val="00C91EF1"/>
    <w:rsid w:val="00C91FF5"/>
    <w:rsid w:val="00C9210B"/>
    <w:rsid w:val="00C92166"/>
    <w:rsid w:val="00C9228E"/>
    <w:rsid w:val="00C924DB"/>
    <w:rsid w:val="00C92587"/>
    <w:rsid w:val="00C9267B"/>
    <w:rsid w:val="00C9277D"/>
    <w:rsid w:val="00C927FB"/>
    <w:rsid w:val="00C928A7"/>
    <w:rsid w:val="00C928A8"/>
    <w:rsid w:val="00C928DF"/>
    <w:rsid w:val="00C9294E"/>
    <w:rsid w:val="00C929FE"/>
    <w:rsid w:val="00C92B1F"/>
    <w:rsid w:val="00C92B3B"/>
    <w:rsid w:val="00C92B93"/>
    <w:rsid w:val="00C92BC0"/>
    <w:rsid w:val="00C92DE3"/>
    <w:rsid w:val="00C92EEF"/>
    <w:rsid w:val="00C930DA"/>
    <w:rsid w:val="00C931B6"/>
    <w:rsid w:val="00C93772"/>
    <w:rsid w:val="00C9378A"/>
    <w:rsid w:val="00C93A14"/>
    <w:rsid w:val="00C93B0E"/>
    <w:rsid w:val="00C93CC8"/>
    <w:rsid w:val="00C93D55"/>
    <w:rsid w:val="00C93D5E"/>
    <w:rsid w:val="00C93E3E"/>
    <w:rsid w:val="00C93E3F"/>
    <w:rsid w:val="00C93E5B"/>
    <w:rsid w:val="00C93EFB"/>
    <w:rsid w:val="00C93F13"/>
    <w:rsid w:val="00C93F79"/>
    <w:rsid w:val="00C93F96"/>
    <w:rsid w:val="00C93FA4"/>
    <w:rsid w:val="00C9409C"/>
    <w:rsid w:val="00C940A6"/>
    <w:rsid w:val="00C9415B"/>
    <w:rsid w:val="00C941F3"/>
    <w:rsid w:val="00C944BC"/>
    <w:rsid w:val="00C94511"/>
    <w:rsid w:val="00C94551"/>
    <w:rsid w:val="00C94553"/>
    <w:rsid w:val="00C9459A"/>
    <w:rsid w:val="00C945E1"/>
    <w:rsid w:val="00C9462F"/>
    <w:rsid w:val="00C94717"/>
    <w:rsid w:val="00C947EF"/>
    <w:rsid w:val="00C948D6"/>
    <w:rsid w:val="00C94954"/>
    <w:rsid w:val="00C949E8"/>
    <w:rsid w:val="00C94AFD"/>
    <w:rsid w:val="00C94B0F"/>
    <w:rsid w:val="00C94B8F"/>
    <w:rsid w:val="00C94D97"/>
    <w:rsid w:val="00C94F07"/>
    <w:rsid w:val="00C94F34"/>
    <w:rsid w:val="00C94F9A"/>
    <w:rsid w:val="00C95070"/>
    <w:rsid w:val="00C95084"/>
    <w:rsid w:val="00C950AF"/>
    <w:rsid w:val="00C95142"/>
    <w:rsid w:val="00C952F8"/>
    <w:rsid w:val="00C95457"/>
    <w:rsid w:val="00C95509"/>
    <w:rsid w:val="00C95523"/>
    <w:rsid w:val="00C95710"/>
    <w:rsid w:val="00C957A6"/>
    <w:rsid w:val="00C95A26"/>
    <w:rsid w:val="00C95B22"/>
    <w:rsid w:val="00C95B39"/>
    <w:rsid w:val="00C95BD0"/>
    <w:rsid w:val="00C95C1A"/>
    <w:rsid w:val="00C95F05"/>
    <w:rsid w:val="00C9639A"/>
    <w:rsid w:val="00C96688"/>
    <w:rsid w:val="00C9674B"/>
    <w:rsid w:val="00C967DC"/>
    <w:rsid w:val="00C9689A"/>
    <w:rsid w:val="00C968B6"/>
    <w:rsid w:val="00C968DA"/>
    <w:rsid w:val="00C96917"/>
    <w:rsid w:val="00C969A3"/>
    <w:rsid w:val="00C969FC"/>
    <w:rsid w:val="00C96A81"/>
    <w:rsid w:val="00C96BB7"/>
    <w:rsid w:val="00C96CE9"/>
    <w:rsid w:val="00C96D72"/>
    <w:rsid w:val="00C96E09"/>
    <w:rsid w:val="00C96EBF"/>
    <w:rsid w:val="00C9713F"/>
    <w:rsid w:val="00C9718E"/>
    <w:rsid w:val="00C973C4"/>
    <w:rsid w:val="00C973C6"/>
    <w:rsid w:val="00C974FA"/>
    <w:rsid w:val="00C975AD"/>
    <w:rsid w:val="00C97633"/>
    <w:rsid w:val="00C97686"/>
    <w:rsid w:val="00C97715"/>
    <w:rsid w:val="00C977C6"/>
    <w:rsid w:val="00C977D2"/>
    <w:rsid w:val="00C9780F"/>
    <w:rsid w:val="00C978D6"/>
    <w:rsid w:val="00C978D8"/>
    <w:rsid w:val="00C97B6D"/>
    <w:rsid w:val="00C97BDC"/>
    <w:rsid w:val="00C97C0B"/>
    <w:rsid w:val="00C97C98"/>
    <w:rsid w:val="00C97EC9"/>
    <w:rsid w:val="00C97F9D"/>
    <w:rsid w:val="00C97FB2"/>
    <w:rsid w:val="00C97FC1"/>
    <w:rsid w:val="00CA00C5"/>
    <w:rsid w:val="00CA00F8"/>
    <w:rsid w:val="00CA0129"/>
    <w:rsid w:val="00CA0155"/>
    <w:rsid w:val="00CA0186"/>
    <w:rsid w:val="00CA01B8"/>
    <w:rsid w:val="00CA0326"/>
    <w:rsid w:val="00CA062A"/>
    <w:rsid w:val="00CA0861"/>
    <w:rsid w:val="00CA090A"/>
    <w:rsid w:val="00CA095F"/>
    <w:rsid w:val="00CA097A"/>
    <w:rsid w:val="00CA09FD"/>
    <w:rsid w:val="00CA0A79"/>
    <w:rsid w:val="00CA0AD7"/>
    <w:rsid w:val="00CA0B7D"/>
    <w:rsid w:val="00CA0BE2"/>
    <w:rsid w:val="00CA0CA9"/>
    <w:rsid w:val="00CA0CB6"/>
    <w:rsid w:val="00CA0DA0"/>
    <w:rsid w:val="00CA0E6D"/>
    <w:rsid w:val="00CA0F1F"/>
    <w:rsid w:val="00CA1008"/>
    <w:rsid w:val="00CA107C"/>
    <w:rsid w:val="00CA10C4"/>
    <w:rsid w:val="00CA10CB"/>
    <w:rsid w:val="00CA10FB"/>
    <w:rsid w:val="00CA1146"/>
    <w:rsid w:val="00CA11D7"/>
    <w:rsid w:val="00CA1206"/>
    <w:rsid w:val="00CA1281"/>
    <w:rsid w:val="00CA13F2"/>
    <w:rsid w:val="00CA14E5"/>
    <w:rsid w:val="00CA14EB"/>
    <w:rsid w:val="00CA14F9"/>
    <w:rsid w:val="00CA1796"/>
    <w:rsid w:val="00CA17F1"/>
    <w:rsid w:val="00CA19D3"/>
    <w:rsid w:val="00CA1DD9"/>
    <w:rsid w:val="00CA1DE9"/>
    <w:rsid w:val="00CA1EFD"/>
    <w:rsid w:val="00CA1F10"/>
    <w:rsid w:val="00CA1F39"/>
    <w:rsid w:val="00CA2073"/>
    <w:rsid w:val="00CA2209"/>
    <w:rsid w:val="00CA2257"/>
    <w:rsid w:val="00CA2338"/>
    <w:rsid w:val="00CA245B"/>
    <w:rsid w:val="00CA25C6"/>
    <w:rsid w:val="00CA2608"/>
    <w:rsid w:val="00CA260F"/>
    <w:rsid w:val="00CA2625"/>
    <w:rsid w:val="00CA265B"/>
    <w:rsid w:val="00CA26FF"/>
    <w:rsid w:val="00CA2976"/>
    <w:rsid w:val="00CA29FF"/>
    <w:rsid w:val="00CA2A3C"/>
    <w:rsid w:val="00CA2AFF"/>
    <w:rsid w:val="00CA2BB2"/>
    <w:rsid w:val="00CA2D11"/>
    <w:rsid w:val="00CA2E80"/>
    <w:rsid w:val="00CA2E83"/>
    <w:rsid w:val="00CA2EB4"/>
    <w:rsid w:val="00CA2F6D"/>
    <w:rsid w:val="00CA2FA2"/>
    <w:rsid w:val="00CA2FED"/>
    <w:rsid w:val="00CA3275"/>
    <w:rsid w:val="00CA33F0"/>
    <w:rsid w:val="00CA3407"/>
    <w:rsid w:val="00CA3523"/>
    <w:rsid w:val="00CA3549"/>
    <w:rsid w:val="00CA358F"/>
    <w:rsid w:val="00CA35A1"/>
    <w:rsid w:val="00CA3660"/>
    <w:rsid w:val="00CA36C3"/>
    <w:rsid w:val="00CA375D"/>
    <w:rsid w:val="00CA37C5"/>
    <w:rsid w:val="00CA38AC"/>
    <w:rsid w:val="00CA39EE"/>
    <w:rsid w:val="00CA39FD"/>
    <w:rsid w:val="00CA3A74"/>
    <w:rsid w:val="00CA3AD4"/>
    <w:rsid w:val="00CA3C99"/>
    <w:rsid w:val="00CA3D2B"/>
    <w:rsid w:val="00CA3D6D"/>
    <w:rsid w:val="00CA3E27"/>
    <w:rsid w:val="00CA3FAD"/>
    <w:rsid w:val="00CA4007"/>
    <w:rsid w:val="00CA4045"/>
    <w:rsid w:val="00CA443B"/>
    <w:rsid w:val="00CA4760"/>
    <w:rsid w:val="00CA48DD"/>
    <w:rsid w:val="00CA49C2"/>
    <w:rsid w:val="00CA4ACF"/>
    <w:rsid w:val="00CA4B8B"/>
    <w:rsid w:val="00CA4C0D"/>
    <w:rsid w:val="00CA4C9D"/>
    <w:rsid w:val="00CA4F71"/>
    <w:rsid w:val="00CA514E"/>
    <w:rsid w:val="00CA51A6"/>
    <w:rsid w:val="00CA51A8"/>
    <w:rsid w:val="00CA5438"/>
    <w:rsid w:val="00CA5515"/>
    <w:rsid w:val="00CA559C"/>
    <w:rsid w:val="00CA565A"/>
    <w:rsid w:val="00CA57D4"/>
    <w:rsid w:val="00CA5A74"/>
    <w:rsid w:val="00CA5B4C"/>
    <w:rsid w:val="00CA5BD6"/>
    <w:rsid w:val="00CA5D39"/>
    <w:rsid w:val="00CA5DBF"/>
    <w:rsid w:val="00CA5E30"/>
    <w:rsid w:val="00CA5F03"/>
    <w:rsid w:val="00CA5F0C"/>
    <w:rsid w:val="00CA5F74"/>
    <w:rsid w:val="00CA5FF1"/>
    <w:rsid w:val="00CA600C"/>
    <w:rsid w:val="00CA60DD"/>
    <w:rsid w:val="00CA60E8"/>
    <w:rsid w:val="00CA629D"/>
    <w:rsid w:val="00CA62EB"/>
    <w:rsid w:val="00CA6304"/>
    <w:rsid w:val="00CA63CB"/>
    <w:rsid w:val="00CA6401"/>
    <w:rsid w:val="00CA64B9"/>
    <w:rsid w:val="00CA653D"/>
    <w:rsid w:val="00CA6557"/>
    <w:rsid w:val="00CA656E"/>
    <w:rsid w:val="00CA65A9"/>
    <w:rsid w:val="00CA6695"/>
    <w:rsid w:val="00CA669A"/>
    <w:rsid w:val="00CA66E8"/>
    <w:rsid w:val="00CA6740"/>
    <w:rsid w:val="00CA6856"/>
    <w:rsid w:val="00CA69C3"/>
    <w:rsid w:val="00CA6B6B"/>
    <w:rsid w:val="00CA6BAE"/>
    <w:rsid w:val="00CA6C1A"/>
    <w:rsid w:val="00CA6C9A"/>
    <w:rsid w:val="00CA6CF0"/>
    <w:rsid w:val="00CA6E9A"/>
    <w:rsid w:val="00CA6FEB"/>
    <w:rsid w:val="00CA703F"/>
    <w:rsid w:val="00CA704B"/>
    <w:rsid w:val="00CA70F3"/>
    <w:rsid w:val="00CA72E9"/>
    <w:rsid w:val="00CA7388"/>
    <w:rsid w:val="00CA73A0"/>
    <w:rsid w:val="00CA75B1"/>
    <w:rsid w:val="00CA75F4"/>
    <w:rsid w:val="00CA7615"/>
    <w:rsid w:val="00CA7636"/>
    <w:rsid w:val="00CA764A"/>
    <w:rsid w:val="00CA76F6"/>
    <w:rsid w:val="00CA7A8F"/>
    <w:rsid w:val="00CA7CA4"/>
    <w:rsid w:val="00CA7CB0"/>
    <w:rsid w:val="00CA7E11"/>
    <w:rsid w:val="00CB0374"/>
    <w:rsid w:val="00CB04B3"/>
    <w:rsid w:val="00CB04F8"/>
    <w:rsid w:val="00CB0557"/>
    <w:rsid w:val="00CB0634"/>
    <w:rsid w:val="00CB0678"/>
    <w:rsid w:val="00CB07BE"/>
    <w:rsid w:val="00CB0811"/>
    <w:rsid w:val="00CB0887"/>
    <w:rsid w:val="00CB08BB"/>
    <w:rsid w:val="00CB08E6"/>
    <w:rsid w:val="00CB0902"/>
    <w:rsid w:val="00CB09F1"/>
    <w:rsid w:val="00CB09FB"/>
    <w:rsid w:val="00CB0A0F"/>
    <w:rsid w:val="00CB0ADC"/>
    <w:rsid w:val="00CB0BCB"/>
    <w:rsid w:val="00CB0C0E"/>
    <w:rsid w:val="00CB0CD3"/>
    <w:rsid w:val="00CB0D73"/>
    <w:rsid w:val="00CB0E32"/>
    <w:rsid w:val="00CB0E44"/>
    <w:rsid w:val="00CB0F3A"/>
    <w:rsid w:val="00CB0F5B"/>
    <w:rsid w:val="00CB1222"/>
    <w:rsid w:val="00CB1294"/>
    <w:rsid w:val="00CB129C"/>
    <w:rsid w:val="00CB143D"/>
    <w:rsid w:val="00CB14B0"/>
    <w:rsid w:val="00CB1551"/>
    <w:rsid w:val="00CB1655"/>
    <w:rsid w:val="00CB167F"/>
    <w:rsid w:val="00CB17EA"/>
    <w:rsid w:val="00CB185F"/>
    <w:rsid w:val="00CB18A8"/>
    <w:rsid w:val="00CB1937"/>
    <w:rsid w:val="00CB19B6"/>
    <w:rsid w:val="00CB19CA"/>
    <w:rsid w:val="00CB1A0B"/>
    <w:rsid w:val="00CB1A37"/>
    <w:rsid w:val="00CB1D92"/>
    <w:rsid w:val="00CB1F4F"/>
    <w:rsid w:val="00CB206B"/>
    <w:rsid w:val="00CB20D6"/>
    <w:rsid w:val="00CB2117"/>
    <w:rsid w:val="00CB217F"/>
    <w:rsid w:val="00CB21C8"/>
    <w:rsid w:val="00CB22C9"/>
    <w:rsid w:val="00CB2346"/>
    <w:rsid w:val="00CB2364"/>
    <w:rsid w:val="00CB25CC"/>
    <w:rsid w:val="00CB2609"/>
    <w:rsid w:val="00CB2857"/>
    <w:rsid w:val="00CB2868"/>
    <w:rsid w:val="00CB28F5"/>
    <w:rsid w:val="00CB291B"/>
    <w:rsid w:val="00CB293B"/>
    <w:rsid w:val="00CB2944"/>
    <w:rsid w:val="00CB2965"/>
    <w:rsid w:val="00CB29BF"/>
    <w:rsid w:val="00CB2AFA"/>
    <w:rsid w:val="00CB2B93"/>
    <w:rsid w:val="00CB2BCA"/>
    <w:rsid w:val="00CB2C4F"/>
    <w:rsid w:val="00CB2C81"/>
    <w:rsid w:val="00CB2D0B"/>
    <w:rsid w:val="00CB2D94"/>
    <w:rsid w:val="00CB2EF2"/>
    <w:rsid w:val="00CB2EF8"/>
    <w:rsid w:val="00CB30DE"/>
    <w:rsid w:val="00CB3182"/>
    <w:rsid w:val="00CB3254"/>
    <w:rsid w:val="00CB328B"/>
    <w:rsid w:val="00CB328D"/>
    <w:rsid w:val="00CB3392"/>
    <w:rsid w:val="00CB33CE"/>
    <w:rsid w:val="00CB34E0"/>
    <w:rsid w:val="00CB3525"/>
    <w:rsid w:val="00CB3529"/>
    <w:rsid w:val="00CB3782"/>
    <w:rsid w:val="00CB382F"/>
    <w:rsid w:val="00CB3911"/>
    <w:rsid w:val="00CB3981"/>
    <w:rsid w:val="00CB3A87"/>
    <w:rsid w:val="00CB3B28"/>
    <w:rsid w:val="00CB3CC7"/>
    <w:rsid w:val="00CB3F57"/>
    <w:rsid w:val="00CB416E"/>
    <w:rsid w:val="00CB428D"/>
    <w:rsid w:val="00CB46D9"/>
    <w:rsid w:val="00CB46E9"/>
    <w:rsid w:val="00CB4742"/>
    <w:rsid w:val="00CB476B"/>
    <w:rsid w:val="00CB4775"/>
    <w:rsid w:val="00CB4810"/>
    <w:rsid w:val="00CB4845"/>
    <w:rsid w:val="00CB4861"/>
    <w:rsid w:val="00CB4864"/>
    <w:rsid w:val="00CB4A58"/>
    <w:rsid w:val="00CB4A7F"/>
    <w:rsid w:val="00CB4A85"/>
    <w:rsid w:val="00CB4B2F"/>
    <w:rsid w:val="00CB4FD1"/>
    <w:rsid w:val="00CB4FFB"/>
    <w:rsid w:val="00CB501F"/>
    <w:rsid w:val="00CB507E"/>
    <w:rsid w:val="00CB5088"/>
    <w:rsid w:val="00CB51B3"/>
    <w:rsid w:val="00CB532C"/>
    <w:rsid w:val="00CB5338"/>
    <w:rsid w:val="00CB5514"/>
    <w:rsid w:val="00CB5579"/>
    <w:rsid w:val="00CB570C"/>
    <w:rsid w:val="00CB57CA"/>
    <w:rsid w:val="00CB587F"/>
    <w:rsid w:val="00CB58C5"/>
    <w:rsid w:val="00CB592F"/>
    <w:rsid w:val="00CB5936"/>
    <w:rsid w:val="00CB5A6E"/>
    <w:rsid w:val="00CB5AAA"/>
    <w:rsid w:val="00CB5B7A"/>
    <w:rsid w:val="00CB5BD1"/>
    <w:rsid w:val="00CB5BEA"/>
    <w:rsid w:val="00CB5FC0"/>
    <w:rsid w:val="00CB5FE9"/>
    <w:rsid w:val="00CB6047"/>
    <w:rsid w:val="00CB61FF"/>
    <w:rsid w:val="00CB6260"/>
    <w:rsid w:val="00CB628D"/>
    <w:rsid w:val="00CB6315"/>
    <w:rsid w:val="00CB63B3"/>
    <w:rsid w:val="00CB63D0"/>
    <w:rsid w:val="00CB63F7"/>
    <w:rsid w:val="00CB6523"/>
    <w:rsid w:val="00CB665B"/>
    <w:rsid w:val="00CB6731"/>
    <w:rsid w:val="00CB6740"/>
    <w:rsid w:val="00CB6768"/>
    <w:rsid w:val="00CB685B"/>
    <w:rsid w:val="00CB68D7"/>
    <w:rsid w:val="00CB69C4"/>
    <w:rsid w:val="00CB6A4A"/>
    <w:rsid w:val="00CB6CD2"/>
    <w:rsid w:val="00CB6D0E"/>
    <w:rsid w:val="00CB6D47"/>
    <w:rsid w:val="00CB7047"/>
    <w:rsid w:val="00CB7119"/>
    <w:rsid w:val="00CB71E2"/>
    <w:rsid w:val="00CB71EC"/>
    <w:rsid w:val="00CB727D"/>
    <w:rsid w:val="00CB7362"/>
    <w:rsid w:val="00CB741B"/>
    <w:rsid w:val="00CB7537"/>
    <w:rsid w:val="00CB75F6"/>
    <w:rsid w:val="00CB763A"/>
    <w:rsid w:val="00CB766B"/>
    <w:rsid w:val="00CB76C2"/>
    <w:rsid w:val="00CB78B1"/>
    <w:rsid w:val="00CB79BE"/>
    <w:rsid w:val="00CB7AB6"/>
    <w:rsid w:val="00CB7ADA"/>
    <w:rsid w:val="00CB7AFA"/>
    <w:rsid w:val="00CB7B8F"/>
    <w:rsid w:val="00CB7D30"/>
    <w:rsid w:val="00CB7D83"/>
    <w:rsid w:val="00CB7E66"/>
    <w:rsid w:val="00CB7F16"/>
    <w:rsid w:val="00CB7F38"/>
    <w:rsid w:val="00CBAC66"/>
    <w:rsid w:val="00CC0021"/>
    <w:rsid w:val="00CC00C0"/>
    <w:rsid w:val="00CC0175"/>
    <w:rsid w:val="00CC0176"/>
    <w:rsid w:val="00CC018E"/>
    <w:rsid w:val="00CC030E"/>
    <w:rsid w:val="00CC0420"/>
    <w:rsid w:val="00CC0454"/>
    <w:rsid w:val="00CC04F8"/>
    <w:rsid w:val="00CC0532"/>
    <w:rsid w:val="00CC06DF"/>
    <w:rsid w:val="00CC0797"/>
    <w:rsid w:val="00CC0897"/>
    <w:rsid w:val="00CC091C"/>
    <w:rsid w:val="00CC0C78"/>
    <w:rsid w:val="00CC1000"/>
    <w:rsid w:val="00CC10C8"/>
    <w:rsid w:val="00CC1174"/>
    <w:rsid w:val="00CC11C2"/>
    <w:rsid w:val="00CC1285"/>
    <w:rsid w:val="00CC1388"/>
    <w:rsid w:val="00CC1431"/>
    <w:rsid w:val="00CC14E6"/>
    <w:rsid w:val="00CC1629"/>
    <w:rsid w:val="00CC16FF"/>
    <w:rsid w:val="00CC174E"/>
    <w:rsid w:val="00CC17EF"/>
    <w:rsid w:val="00CC1879"/>
    <w:rsid w:val="00CC18D9"/>
    <w:rsid w:val="00CC1929"/>
    <w:rsid w:val="00CC1934"/>
    <w:rsid w:val="00CC197A"/>
    <w:rsid w:val="00CC1990"/>
    <w:rsid w:val="00CC19AF"/>
    <w:rsid w:val="00CC19B0"/>
    <w:rsid w:val="00CC1A4E"/>
    <w:rsid w:val="00CC1A52"/>
    <w:rsid w:val="00CC1A99"/>
    <w:rsid w:val="00CC1AF9"/>
    <w:rsid w:val="00CC1C2A"/>
    <w:rsid w:val="00CC1CB4"/>
    <w:rsid w:val="00CC1EFE"/>
    <w:rsid w:val="00CC1F85"/>
    <w:rsid w:val="00CC1F98"/>
    <w:rsid w:val="00CC203F"/>
    <w:rsid w:val="00CC23EC"/>
    <w:rsid w:val="00CC250D"/>
    <w:rsid w:val="00CC2543"/>
    <w:rsid w:val="00CC25A7"/>
    <w:rsid w:val="00CC2601"/>
    <w:rsid w:val="00CC262B"/>
    <w:rsid w:val="00CC28DF"/>
    <w:rsid w:val="00CC28E5"/>
    <w:rsid w:val="00CC2932"/>
    <w:rsid w:val="00CC2973"/>
    <w:rsid w:val="00CC2A93"/>
    <w:rsid w:val="00CC2BFA"/>
    <w:rsid w:val="00CC2C3C"/>
    <w:rsid w:val="00CC2DBA"/>
    <w:rsid w:val="00CC2E25"/>
    <w:rsid w:val="00CC2E7D"/>
    <w:rsid w:val="00CC2F68"/>
    <w:rsid w:val="00CC3042"/>
    <w:rsid w:val="00CC308B"/>
    <w:rsid w:val="00CC3162"/>
    <w:rsid w:val="00CC3226"/>
    <w:rsid w:val="00CC3401"/>
    <w:rsid w:val="00CC341D"/>
    <w:rsid w:val="00CC3500"/>
    <w:rsid w:val="00CC35A5"/>
    <w:rsid w:val="00CC3642"/>
    <w:rsid w:val="00CC36F2"/>
    <w:rsid w:val="00CC3957"/>
    <w:rsid w:val="00CC3B5E"/>
    <w:rsid w:val="00CC3E41"/>
    <w:rsid w:val="00CC3E6F"/>
    <w:rsid w:val="00CC3E80"/>
    <w:rsid w:val="00CC3E9A"/>
    <w:rsid w:val="00CC3ED3"/>
    <w:rsid w:val="00CC3F1D"/>
    <w:rsid w:val="00CC4018"/>
    <w:rsid w:val="00CC406E"/>
    <w:rsid w:val="00CC407B"/>
    <w:rsid w:val="00CC40D4"/>
    <w:rsid w:val="00CC4139"/>
    <w:rsid w:val="00CC415B"/>
    <w:rsid w:val="00CC428D"/>
    <w:rsid w:val="00CC4415"/>
    <w:rsid w:val="00CC4424"/>
    <w:rsid w:val="00CC44BA"/>
    <w:rsid w:val="00CC4519"/>
    <w:rsid w:val="00CC46FB"/>
    <w:rsid w:val="00CC478F"/>
    <w:rsid w:val="00CC47A1"/>
    <w:rsid w:val="00CC47C1"/>
    <w:rsid w:val="00CC4822"/>
    <w:rsid w:val="00CC48C1"/>
    <w:rsid w:val="00CC4A09"/>
    <w:rsid w:val="00CC4A12"/>
    <w:rsid w:val="00CC4A76"/>
    <w:rsid w:val="00CC4B0F"/>
    <w:rsid w:val="00CC4B30"/>
    <w:rsid w:val="00CC4B56"/>
    <w:rsid w:val="00CC4C0C"/>
    <w:rsid w:val="00CC4C26"/>
    <w:rsid w:val="00CC4FAC"/>
    <w:rsid w:val="00CC508E"/>
    <w:rsid w:val="00CC51C3"/>
    <w:rsid w:val="00CC5301"/>
    <w:rsid w:val="00CC5329"/>
    <w:rsid w:val="00CC53B2"/>
    <w:rsid w:val="00CC5429"/>
    <w:rsid w:val="00CC54C5"/>
    <w:rsid w:val="00CC554F"/>
    <w:rsid w:val="00CC56EF"/>
    <w:rsid w:val="00CC5742"/>
    <w:rsid w:val="00CC58EF"/>
    <w:rsid w:val="00CC59A0"/>
    <w:rsid w:val="00CC5A59"/>
    <w:rsid w:val="00CC5C5F"/>
    <w:rsid w:val="00CC5C60"/>
    <w:rsid w:val="00CC5DD1"/>
    <w:rsid w:val="00CC5E1C"/>
    <w:rsid w:val="00CC5ED0"/>
    <w:rsid w:val="00CC6036"/>
    <w:rsid w:val="00CC6088"/>
    <w:rsid w:val="00CC6120"/>
    <w:rsid w:val="00CC649B"/>
    <w:rsid w:val="00CC6516"/>
    <w:rsid w:val="00CC6661"/>
    <w:rsid w:val="00CC673C"/>
    <w:rsid w:val="00CC6796"/>
    <w:rsid w:val="00CC6943"/>
    <w:rsid w:val="00CC6A1C"/>
    <w:rsid w:val="00CC6A49"/>
    <w:rsid w:val="00CC6BBF"/>
    <w:rsid w:val="00CC6CD0"/>
    <w:rsid w:val="00CC6DA9"/>
    <w:rsid w:val="00CC6E09"/>
    <w:rsid w:val="00CC6E83"/>
    <w:rsid w:val="00CC6FD1"/>
    <w:rsid w:val="00CC7119"/>
    <w:rsid w:val="00CC7157"/>
    <w:rsid w:val="00CC7263"/>
    <w:rsid w:val="00CC72C6"/>
    <w:rsid w:val="00CC7404"/>
    <w:rsid w:val="00CC751E"/>
    <w:rsid w:val="00CC7532"/>
    <w:rsid w:val="00CC759F"/>
    <w:rsid w:val="00CC764D"/>
    <w:rsid w:val="00CC76C5"/>
    <w:rsid w:val="00CC77CC"/>
    <w:rsid w:val="00CC7948"/>
    <w:rsid w:val="00CC796B"/>
    <w:rsid w:val="00CC798E"/>
    <w:rsid w:val="00CC7A3E"/>
    <w:rsid w:val="00CC7B44"/>
    <w:rsid w:val="00CC7D21"/>
    <w:rsid w:val="00CC7D3C"/>
    <w:rsid w:val="00CC7DB9"/>
    <w:rsid w:val="00CC7F18"/>
    <w:rsid w:val="00CC7FD3"/>
    <w:rsid w:val="00CD0110"/>
    <w:rsid w:val="00CD012A"/>
    <w:rsid w:val="00CD034E"/>
    <w:rsid w:val="00CD03BA"/>
    <w:rsid w:val="00CD04E2"/>
    <w:rsid w:val="00CD058E"/>
    <w:rsid w:val="00CD05FA"/>
    <w:rsid w:val="00CD0770"/>
    <w:rsid w:val="00CD07FF"/>
    <w:rsid w:val="00CD084B"/>
    <w:rsid w:val="00CD085A"/>
    <w:rsid w:val="00CD0921"/>
    <w:rsid w:val="00CD0B62"/>
    <w:rsid w:val="00CD0BE5"/>
    <w:rsid w:val="00CD0CE5"/>
    <w:rsid w:val="00CD0D7E"/>
    <w:rsid w:val="00CD0DA5"/>
    <w:rsid w:val="00CD0F25"/>
    <w:rsid w:val="00CD0FE3"/>
    <w:rsid w:val="00CD103C"/>
    <w:rsid w:val="00CD10BD"/>
    <w:rsid w:val="00CD11A3"/>
    <w:rsid w:val="00CD1289"/>
    <w:rsid w:val="00CD1318"/>
    <w:rsid w:val="00CD1406"/>
    <w:rsid w:val="00CD144A"/>
    <w:rsid w:val="00CD1510"/>
    <w:rsid w:val="00CD1563"/>
    <w:rsid w:val="00CD1690"/>
    <w:rsid w:val="00CD170C"/>
    <w:rsid w:val="00CD1755"/>
    <w:rsid w:val="00CD1774"/>
    <w:rsid w:val="00CD1886"/>
    <w:rsid w:val="00CD18A3"/>
    <w:rsid w:val="00CD18CD"/>
    <w:rsid w:val="00CD18DE"/>
    <w:rsid w:val="00CD1944"/>
    <w:rsid w:val="00CD19DC"/>
    <w:rsid w:val="00CD1A70"/>
    <w:rsid w:val="00CD1AD7"/>
    <w:rsid w:val="00CD1BDA"/>
    <w:rsid w:val="00CD1C34"/>
    <w:rsid w:val="00CD1C6B"/>
    <w:rsid w:val="00CD1D4E"/>
    <w:rsid w:val="00CD2039"/>
    <w:rsid w:val="00CD20C0"/>
    <w:rsid w:val="00CD2279"/>
    <w:rsid w:val="00CD2280"/>
    <w:rsid w:val="00CD23A9"/>
    <w:rsid w:val="00CD2517"/>
    <w:rsid w:val="00CD25A4"/>
    <w:rsid w:val="00CD25C7"/>
    <w:rsid w:val="00CD25DD"/>
    <w:rsid w:val="00CD2699"/>
    <w:rsid w:val="00CD26C9"/>
    <w:rsid w:val="00CD26FB"/>
    <w:rsid w:val="00CD27D5"/>
    <w:rsid w:val="00CD27E8"/>
    <w:rsid w:val="00CD2916"/>
    <w:rsid w:val="00CD299F"/>
    <w:rsid w:val="00CD29B9"/>
    <w:rsid w:val="00CD29DE"/>
    <w:rsid w:val="00CD2B75"/>
    <w:rsid w:val="00CD2BF2"/>
    <w:rsid w:val="00CD2F06"/>
    <w:rsid w:val="00CD2F71"/>
    <w:rsid w:val="00CD2FC6"/>
    <w:rsid w:val="00CD3026"/>
    <w:rsid w:val="00CD31BF"/>
    <w:rsid w:val="00CD3266"/>
    <w:rsid w:val="00CD3340"/>
    <w:rsid w:val="00CD33C3"/>
    <w:rsid w:val="00CD33E9"/>
    <w:rsid w:val="00CD34C7"/>
    <w:rsid w:val="00CD3523"/>
    <w:rsid w:val="00CD3699"/>
    <w:rsid w:val="00CD3BE2"/>
    <w:rsid w:val="00CD3C25"/>
    <w:rsid w:val="00CD3C32"/>
    <w:rsid w:val="00CD3CAF"/>
    <w:rsid w:val="00CD3E82"/>
    <w:rsid w:val="00CD3F48"/>
    <w:rsid w:val="00CD4055"/>
    <w:rsid w:val="00CD4109"/>
    <w:rsid w:val="00CD424C"/>
    <w:rsid w:val="00CD429E"/>
    <w:rsid w:val="00CD43DB"/>
    <w:rsid w:val="00CD4441"/>
    <w:rsid w:val="00CD4555"/>
    <w:rsid w:val="00CD45AF"/>
    <w:rsid w:val="00CD45E0"/>
    <w:rsid w:val="00CD45EF"/>
    <w:rsid w:val="00CD4711"/>
    <w:rsid w:val="00CD4812"/>
    <w:rsid w:val="00CD48AF"/>
    <w:rsid w:val="00CD49A8"/>
    <w:rsid w:val="00CD49BF"/>
    <w:rsid w:val="00CD4B52"/>
    <w:rsid w:val="00CD4B83"/>
    <w:rsid w:val="00CD4B88"/>
    <w:rsid w:val="00CD4C3A"/>
    <w:rsid w:val="00CD4D74"/>
    <w:rsid w:val="00CD4DD9"/>
    <w:rsid w:val="00CD4E9D"/>
    <w:rsid w:val="00CD4F3B"/>
    <w:rsid w:val="00CD501E"/>
    <w:rsid w:val="00CD517B"/>
    <w:rsid w:val="00CD517D"/>
    <w:rsid w:val="00CD52F4"/>
    <w:rsid w:val="00CD533B"/>
    <w:rsid w:val="00CD5448"/>
    <w:rsid w:val="00CD5454"/>
    <w:rsid w:val="00CD5463"/>
    <w:rsid w:val="00CD54BC"/>
    <w:rsid w:val="00CD54CD"/>
    <w:rsid w:val="00CD5561"/>
    <w:rsid w:val="00CD5652"/>
    <w:rsid w:val="00CD56F7"/>
    <w:rsid w:val="00CD5747"/>
    <w:rsid w:val="00CD58A4"/>
    <w:rsid w:val="00CD5988"/>
    <w:rsid w:val="00CD5A5F"/>
    <w:rsid w:val="00CD5BD8"/>
    <w:rsid w:val="00CD5C4B"/>
    <w:rsid w:val="00CD5D49"/>
    <w:rsid w:val="00CD5D98"/>
    <w:rsid w:val="00CD5E99"/>
    <w:rsid w:val="00CD5FEF"/>
    <w:rsid w:val="00CD6280"/>
    <w:rsid w:val="00CD628F"/>
    <w:rsid w:val="00CD62BB"/>
    <w:rsid w:val="00CD62DD"/>
    <w:rsid w:val="00CD62EA"/>
    <w:rsid w:val="00CD6303"/>
    <w:rsid w:val="00CD6658"/>
    <w:rsid w:val="00CD66CB"/>
    <w:rsid w:val="00CD678E"/>
    <w:rsid w:val="00CD688B"/>
    <w:rsid w:val="00CD693A"/>
    <w:rsid w:val="00CD694B"/>
    <w:rsid w:val="00CD6AB2"/>
    <w:rsid w:val="00CD6ACE"/>
    <w:rsid w:val="00CD6BB2"/>
    <w:rsid w:val="00CD6C39"/>
    <w:rsid w:val="00CD6D19"/>
    <w:rsid w:val="00CD6D8A"/>
    <w:rsid w:val="00CD6E3E"/>
    <w:rsid w:val="00CD6E54"/>
    <w:rsid w:val="00CD6E8D"/>
    <w:rsid w:val="00CD6F8D"/>
    <w:rsid w:val="00CD7041"/>
    <w:rsid w:val="00CD7127"/>
    <w:rsid w:val="00CD7207"/>
    <w:rsid w:val="00CD7566"/>
    <w:rsid w:val="00CD76E5"/>
    <w:rsid w:val="00CD777B"/>
    <w:rsid w:val="00CD77B0"/>
    <w:rsid w:val="00CD77C8"/>
    <w:rsid w:val="00CD7A6D"/>
    <w:rsid w:val="00CD7A81"/>
    <w:rsid w:val="00CD7BAF"/>
    <w:rsid w:val="00CD7CF5"/>
    <w:rsid w:val="00CD7E50"/>
    <w:rsid w:val="00CE0025"/>
    <w:rsid w:val="00CE01D9"/>
    <w:rsid w:val="00CE02CB"/>
    <w:rsid w:val="00CE0316"/>
    <w:rsid w:val="00CE0336"/>
    <w:rsid w:val="00CE03D9"/>
    <w:rsid w:val="00CE0403"/>
    <w:rsid w:val="00CE04A7"/>
    <w:rsid w:val="00CE0641"/>
    <w:rsid w:val="00CE071D"/>
    <w:rsid w:val="00CE073C"/>
    <w:rsid w:val="00CE0841"/>
    <w:rsid w:val="00CE0868"/>
    <w:rsid w:val="00CE0AD0"/>
    <w:rsid w:val="00CE0B22"/>
    <w:rsid w:val="00CE0B67"/>
    <w:rsid w:val="00CE0B7F"/>
    <w:rsid w:val="00CE0BDC"/>
    <w:rsid w:val="00CE0CE6"/>
    <w:rsid w:val="00CE0D66"/>
    <w:rsid w:val="00CE0D7D"/>
    <w:rsid w:val="00CE0DE1"/>
    <w:rsid w:val="00CE0E0E"/>
    <w:rsid w:val="00CE0E8A"/>
    <w:rsid w:val="00CE0EFF"/>
    <w:rsid w:val="00CE0F87"/>
    <w:rsid w:val="00CE10B6"/>
    <w:rsid w:val="00CE10F2"/>
    <w:rsid w:val="00CE1131"/>
    <w:rsid w:val="00CE1187"/>
    <w:rsid w:val="00CE1239"/>
    <w:rsid w:val="00CE1265"/>
    <w:rsid w:val="00CE1267"/>
    <w:rsid w:val="00CE1371"/>
    <w:rsid w:val="00CE13E1"/>
    <w:rsid w:val="00CE1511"/>
    <w:rsid w:val="00CE17DA"/>
    <w:rsid w:val="00CE17EC"/>
    <w:rsid w:val="00CE19FA"/>
    <w:rsid w:val="00CE1BA3"/>
    <w:rsid w:val="00CE1CA9"/>
    <w:rsid w:val="00CE1CCE"/>
    <w:rsid w:val="00CE1E49"/>
    <w:rsid w:val="00CE1E93"/>
    <w:rsid w:val="00CE1EF2"/>
    <w:rsid w:val="00CE1F22"/>
    <w:rsid w:val="00CE1F24"/>
    <w:rsid w:val="00CE1F65"/>
    <w:rsid w:val="00CE1FB5"/>
    <w:rsid w:val="00CE1FF6"/>
    <w:rsid w:val="00CE2144"/>
    <w:rsid w:val="00CE22A7"/>
    <w:rsid w:val="00CE237C"/>
    <w:rsid w:val="00CE2568"/>
    <w:rsid w:val="00CE2572"/>
    <w:rsid w:val="00CE2924"/>
    <w:rsid w:val="00CE2963"/>
    <w:rsid w:val="00CE2AEA"/>
    <w:rsid w:val="00CE2B12"/>
    <w:rsid w:val="00CE2B46"/>
    <w:rsid w:val="00CE2CEF"/>
    <w:rsid w:val="00CE2D45"/>
    <w:rsid w:val="00CE2E0C"/>
    <w:rsid w:val="00CE2E4B"/>
    <w:rsid w:val="00CE2E5D"/>
    <w:rsid w:val="00CE2FC4"/>
    <w:rsid w:val="00CE30FE"/>
    <w:rsid w:val="00CE334A"/>
    <w:rsid w:val="00CE3467"/>
    <w:rsid w:val="00CE34D0"/>
    <w:rsid w:val="00CE34F3"/>
    <w:rsid w:val="00CE363E"/>
    <w:rsid w:val="00CE3647"/>
    <w:rsid w:val="00CE3658"/>
    <w:rsid w:val="00CE3770"/>
    <w:rsid w:val="00CE37A4"/>
    <w:rsid w:val="00CE38B9"/>
    <w:rsid w:val="00CE3A12"/>
    <w:rsid w:val="00CE3FB1"/>
    <w:rsid w:val="00CE4165"/>
    <w:rsid w:val="00CE4185"/>
    <w:rsid w:val="00CE4283"/>
    <w:rsid w:val="00CE42BC"/>
    <w:rsid w:val="00CE44F3"/>
    <w:rsid w:val="00CE465E"/>
    <w:rsid w:val="00CE4826"/>
    <w:rsid w:val="00CE4856"/>
    <w:rsid w:val="00CE489E"/>
    <w:rsid w:val="00CE49A7"/>
    <w:rsid w:val="00CE4BC2"/>
    <w:rsid w:val="00CE4C31"/>
    <w:rsid w:val="00CE4DCF"/>
    <w:rsid w:val="00CE4E9A"/>
    <w:rsid w:val="00CE4ECE"/>
    <w:rsid w:val="00CE4F2C"/>
    <w:rsid w:val="00CE4FBD"/>
    <w:rsid w:val="00CE50A4"/>
    <w:rsid w:val="00CE50F5"/>
    <w:rsid w:val="00CE5130"/>
    <w:rsid w:val="00CE528F"/>
    <w:rsid w:val="00CE5494"/>
    <w:rsid w:val="00CE5593"/>
    <w:rsid w:val="00CE55CA"/>
    <w:rsid w:val="00CE5612"/>
    <w:rsid w:val="00CE5708"/>
    <w:rsid w:val="00CE5736"/>
    <w:rsid w:val="00CE57E3"/>
    <w:rsid w:val="00CE58B9"/>
    <w:rsid w:val="00CE59E8"/>
    <w:rsid w:val="00CE5B13"/>
    <w:rsid w:val="00CE5D7E"/>
    <w:rsid w:val="00CE5E1C"/>
    <w:rsid w:val="00CE6134"/>
    <w:rsid w:val="00CE61A5"/>
    <w:rsid w:val="00CE63D5"/>
    <w:rsid w:val="00CE6411"/>
    <w:rsid w:val="00CE647D"/>
    <w:rsid w:val="00CE6527"/>
    <w:rsid w:val="00CE65F7"/>
    <w:rsid w:val="00CE680F"/>
    <w:rsid w:val="00CE6A77"/>
    <w:rsid w:val="00CE6AD2"/>
    <w:rsid w:val="00CE6AEC"/>
    <w:rsid w:val="00CE6B5F"/>
    <w:rsid w:val="00CE6BC0"/>
    <w:rsid w:val="00CE6BED"/>
    <w:rsid w:val="00CE6EDF"/>
    <w:rsid w:val="00CE6FC0"/>
    <w:rsid w:val="00CE70A7"/>
    <w:rsid w:val="00CE7204"/>
    <w:rsid w:val="00CE7298"/>
    <w:rsid w:val="00CE73AE"/>
    <w:rsid w:val="00CE73DC"/>
    <w:rsid w:val="00CE749F"/>
    <w:rsid w:val="00CE74C2"/>
    <w:rsid w:val="00CE766E"/>
    <w:rsid w:val="00CE7689"/>
    <w:rsid w:val="00CE76FF"/>
    <w:rsid w:val="00CE7748"/>
    <w:rsid w:val="00CE77E5"/>
    <w:rsid w:val="00CE77F1"/>
    <w:rsid w:val="00CE77FF"/>
    <w:rsid w:val="00CE7886"/>
    <w:rsid w:val="00CE794C"/>
    <w:rsid w:val="00CE79B2"/>
    <w:rsid w:val="00CE7B16"/>
    <w:rsid w:val="00CE7B61"/>
    <w:rsid w:val="00CF015B"/>
    <w:rsid w:val="00CF0381"/>
    <w:rsid w:val="00CF0405"/>
    <w:rsid w:val="00CF050D"/>
    <w:rsid w:val="00CF052D"/>
    <w:rsid w:val="00CF05DF"/>
    <w:rsid w:val="00CF068E"/>
    <w:rsid w:val="00CF0780"/>
    <w:rsid w:val="00CF0782"/>
    <w:rsid w:val="00CF07A6"/>
    <w:rsid w:val="00CF0830"/>
    <w:rsid w:val="00CF0A9C"/>
    <w:rsid w:val="00CF0C88"/>
    <w:rsid w:val="00CF0CA6"/>
    <w:rsid w:val="00CF0D15"/>
    <w:rsid w:val="00CF0EB6"/>
    <w:rsid w:val="00CF0F91"/>
    <w:rsid w:val="00CF0FB6"/>
    <w:rsid w:val="00CF0FF3"/>
    <w:rsid w:val="00CF10AD"/>
    <w:rsid w:val="00CF10CE"/>
    <w:rsid w:val="00CF1137"/>
    <w:rsid w:val="00CF11A5"/>
    <w:rsid w:val="00CF1233"/>
    <w:rsid w:val="00CF14F7"/>
    <w:rsid w:val="00CF163B"/>
    <w:rsid w:val="00CF1694"/>
    <w:rsid w:val="00CF16C6"/>
    <w:rsid w:val="00CF16F1"/>
    <w:rsid w:val="00CF17B9"/>
    <w:rsid w:val="00CF1922"/>
    <w:rsid w:val="00CF19D3"/>
    <w:rsid w:val="00CF1A02"/>
    <w:rsid w:val="00CF1A4B"/>
    <w:rsid w:val="00CF1C1B"/>
    <w:rsid w:val="00CF1DA7"/>
    <w:rsid w:val="00CF1EC0"/>
    <w:rsid w:val="00CF1ECF"/>
    <w:rsid w:val="00CF1F0C"/>
    <w:rsid w:val="00CF1F55"/>
    <w:rsid w:val="00CF20E2"/>
    <w:rsid w:val="00CF21D2"/>
    <w:rsid w:val="00CF21E9"/>
    <w:rsid w:val="00CF2304"/>
    <w:rsid w:val="00CF241E"/>
    <w:rsid w:val="00CF2488"/>
    <w:rsid w:val="00CF2563"/>
    <w:rsid w:val="00CF2591"/>
    <w:rsid w:val="00CF25DB"/>
    <w:rsid w:val="00CF2649"/>
    <w:rsid w:val="00CF26B7"/>
    <w:rsid w:val="00CF26CE"/>
    <w:rsid w:val="00CF2734"/>
    <w:rsid w:val="00CF2751"/>
    <w:rsid w:val="00CF2756"/>
    <w:rsid w:val="00CF2841"/>
    <w:rsid w:val="00CF2A14"/>
    <w:rsid w:val="00CF2A49"/>
    <w:rsid w:val="00CF2A9A"/>
    <w:rsid w:val="00CF2C61"/>
    <w:rsid w:val="00CF2D7A"/>
    <w:rsid w:val="00CF2D98"/>
    <w:rsid w:val="00CF2DEC"/>
    <w:rsid w:val="00CF2EC6"/>
    <w:rsid w:val="00CF2EF0"/>
    <w:rsid w:val="00CF2F09"/>
    <w:rsid w:val="00CF2FD8"/>
    <w:rsid w:val="00CF3226"/>
    <w:rsid w:val="00CF3290"/>
    <w:rsid w:val="00CF3374"/>
    <w:rsid w:val="00CF33D0"/>
    <w:rsid w:val="00CF3426"/>
    <w:rsid w:val="00CF34EB"/>
    <w:rsid w:val="00CF358D"/>
    <w:rsid w:val="00CF36E6"/>
    <w:rsid w:val="00CF399F"/>
    <w:rsid w:val="00CF3AE6"/>
    <w:rsid w:val="00CF3C37"/>
    <w:rsid w:val="00CF3E34"/>
    <w:rsid w:val="00CF3E7A"/>
    <w:rsid w:val="00CF3F27"/>
    <w:rsid w:val="00CF3F4D"/>
    <w:rsid w:val="00CF4093"/>
    <w:rsid w:val="00CF412D"/>
    <w:rsid w:val="00CF4183"/>
    <w:rsid w:val="00CF41A1"/>
    <w:rsid w:val="00CF42EA"/>
    <w:rsid w:val="00CF4306"/>
    <w:rsid w:val="00CF4315"/>
    <w:rsid w:val="00CF4367"/>
    <w:rsid w:val="00CF43E7"/>
    <w:rsid w:val="00CF4581"/>
    <w:rsid w:val="00CF4617"/>
    <w:rsid w:val="00CF4A5A"/>
    <w:rsid w:val="00CF4B12"/>
    <w:rsid w:val="00CF4BB3"/>
    <w:rsid w:val="00CF4C1D"/>
    <w:rsid w:val="00CF4F5B"/>
    <w:rsid w:val="00CF4F98"/>
    <w:rsid w:val="00CF4FA1"/>
    <w:rsid w:val="00CF4FBC"/>
    <w:rsid w:val="00CF4FF8"/>
    <w:rsid w:val="00CF5023"/>
    <w:rsid w:val="00CF502A"/>
    <w:rsid w:val="00CF5031"/>
    <w:rsid w:val="00CF50E5"/>
    <w:rsid w:val="00CF5180"/>
    <w:rsid w:val="00CF5233"/>
    <w:rsid w:val="00CF5270"/>
    <w:rsid w:val="00CF529A"/>
    <w:rsid w:val="00CF52C4"/>
    <w:rsid w:val="00CF5464"/>
    <w:rsid w:val="00CF54E7"/>
    <w:rsid w:val="00CF55A3"/>
    <w:rsid w:val="00CF55C2"/>
    <w:rsid w:val="00CF55C9"/>
    <w:rsid w:val="00CF56B9"/>
    <w:rsid w:val="00CF57B1"/>
    <w:rsid w:val="00CF57E3"/>
    <w:rsid w:val="00CF58D5"/>
    <w:rsid w:val="00CF5921"/>
    <w:rsid w:val="00CF595D"/>
    <w:rsid w:val="00CF5B92"/>
    <w:rsid w:val="00CF5DBD"/>
    <w:rsid w:val="00CF5DC3"/>
    <w:rsid w:val="00CF611B"/>
    <w:rsid w:val="00CF6127"/>
    <w:rsid w:val="00CF61EA"/>
    <w:rsid w:val="00CF62C1"/>
    <w:rsid w:val="00CF63AD"/>
    <w:rsid w:val="00CF6475"/>
    <w:rsid w:val="00CF664A"/>
    <w:rsid w:val="00CF67C7"/>
    <w:rsid w:val="00CF693E"/>
    <w:rsid w:val="00CF6A2C"/>
    <w:rsid w:val="00CF6A61"/>
    <w:rsid w:val="00CF6AB2"/>
    <w:rsid w:val="00CF6B19"/>
    <w:rsid w:val="00CF6B30"/>
    <w:rsid w:val="00CF6BA0"/>
    <w:rsid w:val="00CF6C44"/>
    <w:rsid w:val="00CF6CFB"/>
    <w:rsid w:val="00CF6E4D"/>
    <w:rsid w:val="00CF6E55"/>
    <w:rsid w:val="00CF6F03"/>
    <w:rsid w:val="00CF6F94"/>
    <w:rsid w:val="00CF6FCC"/>
    <w:rsid w:val="00CF712C"/>
    <w:rsid w:val="00CF72EE"/>
    <w:rsid w:val="00CF7312"/>
    <w:rsid w:val="00CF748C"/>
    <w:rsid w:val="00CF750E"/>
    <w:rsid w:val="00CF756F"/>
    <w:rsid w:val="00CF7579"/>
    <w:rsid w:val="00CF75D9"/>
    <w:rsid w:val="00CF75F1"/>
    <w:rsid w:val="00CF760D"/>
    <w:rsid w:val="00CF773D"/>
    <w:rsid w:val="00CF7796"/>
    <w:rsid w:val="00CF7874"/>
    <w:rsid w:val="00CF7A00"/>
    <w:rsid w:val="00CF7A24"/>
    <w:rsid w:val="00CF7AD6"/>
    <w:rsid w:val="00CF7C6E"/>
    <w:rsid w:val="00CF7DCA"/>
    <w:rsid w:val="00CF7ECE"/>
    <w:rsid w:val="00CF7FB0"/>
    <w:rsid w:val="00D000B2"/>
    <w:rsid w:val="00D001EB"/>
    <w:rsid w:val="00D003B1"/>
    <w:rsid w:val="00D00627"/>
    <w:rsid w:val="00D00694"/>
    <w:rsid w:val="00D006EF"/>
    <w:rsid w:val="00D00797"/>
    <w:rsid w:val="00D007C4"/>
    <w:rsid w:val="00D007D2"/>
    <w:rsid w:val="00D00829"/>
    <w:rsid w:val="00D00870"/>
    <w:rsid w:val="00D008DC"/>
    <w:rsid w:val="00D00918"/>
    <w:rsid w:val="00D009BE"/>
    <w:rsid w:val="00D009D9"/>
    <w:rsid w:val="00D00AEC"/>
    <w:rsid w:val="00D00B06"/>
    <w:rsid w:val="00D00B68"/>
    <w:rsid w:val="00D00BEA"/>
    <w:rsid w:val="00D00C91"/>
    <w:rsid w:val="00D00C9C"/>
    <w:rsid w:val="00D00DE5"/>
    <w:rsid w:val="00D00F22"/>
    <w:rsid w:val="00D010AA"/>
    <w:rsid w:val="00D01293"/>
    <w:rsid w:val="00D012A9"/>
    <w:rsid w:val="00D0132B"/>
    <w:rsid w:val="00D01347"/>
    <w:rsid w:val="00D0138D"/>
    <w:rsid w:val="00D014D7"/>
    <w:rsid w:val="00D01508"/>
    <w:rsid w:val="00D015D7"/>
    <w:rsid w:val="00D0171F"/>
    <w:rsid w:val="00D017C4"/>
    <w:rsid w:val="00D018B1"/>
    <w:rsid w:val="00D0193D"/>
    <w:rsid w:val="00D01996"/>
    <w:rsid w:val="00D01A2F"/>
    <w:rsid w:val="00D01A6F"/>
    <w:rsid w:val="00D01AB6"/>
    <w:rsid w:val="00D01BD0"/>
    <w:rsid w:val="00D01C71"/>
    <w:rsid w:val="00D01D2C"/>
    <w:rsid w:val="00D01E13"/>
    <w:rsid w:val="00D01EBE"/>
    <w:rsid w:val="00D01ECC"/>
    <w:rsid w:val="00D01F28"/>
    <w:rsid w:val="00D02008"/>
    <w:rsid w:val="00D02054"/>
    <w:rsid w:val="00D0246D"/>
    <w:rsid w:val="00D02509"/>
    <w:rsid w:val="00D0252C"/>
    <w:rsid w:val="00D0263A"/>
    <w:rsid w:val="00D0267F"/>
    <w:rsid w:val="00D0281F"/>
    <w:rsid w:val="00D02952"/>
    <w:rsid w:val="00D0299E"/>
    <w:rsid w:val="00D02A73"/>
    <w:rsid w:val="00D02A75"/>
    <w:rsid w:val="00D02A7E"/>
    <w:rsid w:val="00D02B6D"/>
    <w:rsid w:val="00D02B81"/>
    <w:rsid w:val="00D02BF3"/>
    <w:rsid w:val="00D02CD2"/>
    <w:rsid w:val="00D02D3D"/>
    <w:rsid w:val="00D02E2E"/>
    <w:rsid w:val="00D02E8E"/>
    <w:rsid w:val="00D03045"/>
    <w:rsid w:val="00D0304A"/>
    <w:rsid w:val="00D030FC"/>
    <w:rsid w:val="00D0316D"/>
    <w:rsid w:val="00D03268"/>
    <w:rsid w:val="00D0328B"/>
    <w:rsid w:val="00D032AC"/>
    <w:rsid w:val="00D03318"/>
    <w:rsid w:val="00D033D5"/>
    <w:rsid w:val="00D03494"/>
    <w:rsid w:val="00D034BE"/>
    <w:rsid w:val="00D03524"/>
    <w:rsid w:val="00D035F9"/>
    <w:rsid w:val="00D03662"/>
    <w:rsid w:val="00D03922"/>
    <w:rsid w:val="00D039A6"/>
    <w:rsid w:val="00D03A6C"/>
    <w:rsid w:val="00D03AE1"/>
    <w:rsid w:val="00D03B30"/>
    <w:rsid w:val="00D03C2A"/>
    <w:rsid w:val="00D03C49"/>
    <w:rsid w:val="00D03C60"/>
    <w:rsid w:val="00D03D1E"/>
    <w:rsid w:val="00D03DD1"/>
    <w:rsid w:val="00D03E8C"/>
    <w:rsid w:val="00D03ECB"/>
    <w:rsid w:val="00D03F42"/>
    <w:rsid w:val="00D03FE1"/>
    <w:rsid w:val="00D0401B"/>
    <w:rsid w:val="00D04025"/>
    <w:rsid w:val="00D04029"/>
    <w:rsid w:val="00D040DF"/>
    <w:rsid w:val="00D04103"/>
    <w:rsid w:val="00D042A2"/>
    <w:rsid w:val="00D044A8"/>
    <w:rsid w:val="00D0464A"/>
    <w:rsid w:val="00D0464B"/>
    <w:rsid w:val="00D04651"/>
    <w:rsid w:val="00D0471A"/>
    <w:rsid w:val="00D04896"/>
    <w:rsid w:val="00D048B9"/>
    <w:rsid w:val="00D048E8"/>
    <w:rsid w:val="00D04AD3"/>
    <w:rsid w:val="00D04BCC"/>
    <w:rsid w:val="00D04BD0"/>
    <w:rsid w:val="00D04D06"/>
    <w:rsid w:val="00D04D63"/>
    <w:rsid w:val="00D04DEF"/>
    <w:rsid w:val="00D04DFC"/>
    <w:rsid w:val="00D04EEC"/>
    <w:rsid w:val="00D04F13"/>
    <w:rsid w:val="00D04FD1"/>
    <w:rsid w:val="00D05011"/>
    <w:rsid w:val="00D05015"/>
    <w:rsid w:val="00D0501E"/>
    <w:rsid w:val="00D0507A"/>
    <w:rsid w:val="00D052DC"/>
    <w:rsid w:val="00D052ED"/>
    <w:rsid w:val="00D053BE"/>
    <w:rsid w:val="00D0544B"/>
    <w:rsid w:val="00D05453"/>
    <w:rsid w:val="00D0545B"/>
    <w:rsid w:val="00D0557F"/>
    <w:rsid w:val="00D055C6"/>
    <w:rsid w:val="00D0585C"/>
    <w:rsid w:val="00D05876"/>
    <w:rsid w:val="00D05892"/>
    <w:rsid w:val="00D059A1"/>
    <w:rsid w:val="00D05AD3"/>
    <w:rsid w:val="00D05B0D"/>
    <w:rsid w:val="00D05B79"/>
    <w:rsid w:val="00D05C7A"/>
    <w:rsid w:val="00D05E3E"/>
    <w:rsid w:val="00D05E5F"/>
    <w:rsid w:val="00D05EDD"/>
    <w:rsid w:val="00D05FD4"/>
    <w:rsid w:val="00D05FF3"/>
    <w:rsid w:val="00D06061"/>
    <w:rsid w:val="00D060A0"/>
    <w:rsid w:val="00D061A3"/>
    <w:rsid w:val="00D061B9"/>
    <w:rsid w:val="00D061C5"/>
    <w:rsid w:val="00D062A0"/>
    <w:rsid w:val="00D062F2"/>
    <w:rsid w:val="00D06300"/>
    <w:rsid w:val="00D063F5"/>
    <w:rsid w:val="00D064B4"/>
    <w:rsid w:val="00D064FA"/>
    <w:rsid w:val="00D0656F"/>
    <w:rsid w:val="00D06659"/>
    <w:rsid w:val="00D067C0"/>
    <w:rsid w:val="00D06843"/>
    <w:rsid w:val="00D069DC"/>
    <w:rsid w:val="00D06A53"/>
    <w:rsid w:val="00D06CAF"/>
    <w:rsid w:val="00D06D44"/>
    <w:rsid w:val="00D06DC3"/>
    <w:rsid w:val="00D06E89"/>
    <w:rsid w:val="00D06EB1"/>
    <w:rsid w:val="00D06FF7"/>
    <w:rsid w:val="00D0710D"/>
    <w:rsid w:val="00D07176"/>
    <w:rsid w:val="00D072B5"/>
    <w:rsid w:val="00D07335"/>
    <w:rsid w:val="00D07395"/>
    <w:rsid w:val="00D073D2"/>
    <w:rsid w:val="00D07520"/>
    <w:rsid w:val="00D07577"/>
    <w:rsid w:val="00D075FF"/>
    <w:rsid w:val="00D076EA"/>
    <w:rsid w:val="00D07717"/>
    <w:rsid w:val="00D07732"/>
    <w:rsid w:val="00D0774F"/>
    <w:rsid w:val="00D077C5"/>
    <w:rsid w:val="00D07802"/>
    <w:rsid w:val="00D07860"/>
    <w:rsid w:val="00D079DC"/>
    <w:rsid w:val="00D07AB0"/>
    <w:rsid w:val="00D07AE2"/>
    <w:rsid w:val="00D07B65"/>
    <w:rsid w:val="00D07C67"/>
    <w:rsid w:val="00D07CF9"/>
    <w:rsid w:val="00D07DDC"/>
    <w:rsid w:val="00D07DE2"/>
    <w:rsid w:val="00D07E2A"/>
    <w:rsid w:val="00D07EE6"/>
    <w:rsid w:val="00D10290"/>
    <w:rsid w:val="00D10317"/>
    <w:rsid w:val="00D103E9"/>
    <w:rsid w:val="00D10486"/>
    <w:rsid w:val="00D104DE"/>
    <w:rsid w:val="00D1057A"/>
    <w:rsid w:val="00D10655"/>
    <w:rsid w:val="00D106BA"/>
    <w:rsid w:val="00D1074A"/>
    <w:rsid w:val="00D1075D"/>
    <w:rsid w:val="00D10763"/>
    <w:rsid w:val="00D10855"/>
    <w:rsid w:val="00D1087E"/>
    <w:rsid w:val="00D1088E"/>
    <w:rsid w:val="00D1097D"/>
    <w:rsid w:val="00D10A3B"/>
    <w:rsid w:val="00D10AEA"/>
    <w:rsid w:val="00D10C50"/>
    <w:rsid w:val="00D10C5F"/>
    <w:rsid w:val="00D10D88"/>
    <w:rsid w:val="00D10E5A"/>
    <w:rsid w:val="00D10FB7"/>
    <w:rsid w:val="00D10FD8"/>
    <w:rsid w:val="00D11035"/>
    <w:rsid w:val="00D11043"/>
    <w:rsid w:val="00D110FE"/>
    <w:rsid w:val="00D1114F"/>
    <w:rsid w:val="00D11201"/>
    <w:rsid w:val="00D11393"/>
    <w:rsid w:val="00D11640"/>
    <w:rsid w:val="00D11645"/>
    <w:rsid w:val="00D11666"/>
    <w:rsid w:val="00D1167E"/>
    <w:rsid w:val="00D116C4"/>
    <w:rsid w:val="00D116CB"/>
    <w:rsid w:val="00D117E5"/>
    <w:rsid w:val="00D117FF"/>
    <w:rsid w:val="00D11908"/>
    <w:rsid w:val="00D11CC0"/>
    <w:rsid w:val="00D11CF6"/>
    <w:rsid w:val="00D11E10"/>
    <w:rsid w:val="00D11E27"/>
    <w:rsid w:val="00D11E74"/>
    <w:rsid w:val="00D11E89"/>
    <w:rsid w:val="00D11F51"/>
    <w:rsid w:val="00D11F58"/>
    <w:rsid w:val="00D11F76"/>
    <w:rsid w:val="00D11FA3"/>
    <w:rsid w:val="00D12274"/>
    <w:rsid w:val="00D122B1"/>
    <w:rsid w:val="00D12471"/>
    <w:rsid w:val="00D1260D"/>
    <w:rsid w:val="00D126D5"/>
    <w:rsid w:val="00D126EA"/>
    <w:rsid w:val="00D12917"/>
    <w:rsid w:val="00D12CDC"/>
    <w:rsid w:val="00D12D5C"/>
    <w:rsid w:val="00D12E08"/>
    <w:rsid w:val="00D12E3B"/>
    <w:rsid w:val="00D12F45"/>
    <w:rsid w:val="00D130E0"/>
    <w:rsid w:val="00D133C4"/>
    <w:rsid w:val="00D1346A"/>
    <w:rsid w:val="00D13485"/>
    <w:rsid w:val="00D1366B"/>
    <w:rsid w:val="00D136C9"/>
    <w:rsid w:val="00D136E1"/>
    <w:rsid w:val="00D136ED"/>
    <w:rsid w:val="00D13936"/>
    <w:rsid w:val="00D139FC"/>
    <w:rsid w:val="00D13AD5"/>
    <w:rsid w:val="00D13B0F"/>
    <w:rsid w:val="00D13B6F"/>
    <w:rsid w:val="00D13BAA"/>
    <w:rsid w:val="00D13D1C"/>
    <w:rsid w:val="00D13D6B"/>
    <w:rsid w:val="00D13E34"/>
    <w:rsid w:val="00D13E50"/>
    <w:rsid w:val="00D13F6F"/>
    <w:rsid w:val="00D143EA"/>
    <w:rsid w:val="00D1464D"/>
    <w:rsid w:val="00D1471D"/>
    <w:rsid w:val="00D14800"/>
    <w:rsid w:val="00D1485E"/>
    <w:rsid w:val="00D14962"/>
    <w:rsid w:val="00D14A1D"/>
    <w:rsid w:val="00D14AA3"/>
    <w:rsid w:val="00D14B0F"/>
    <w:rsid w:val="00D14C31"/>
    <w:rsid w:val="00D14CFF"/>
    <w:rsid w:val="00D14D06"/>
    <w:rsid w:val="00D14D64"/>
    <w:rsid w:val="00D14D6C"/>
    <w:rsid w:val="00D14E5E"/>
    <w:rsid w:val="00D15145"/>
    <w:rsid w:val="00D15191"/>
    <w:rsid w:val="00D15385"/>
    <w:rsid w:val="00D153C8"/>
    <w:rsid w:val="00D15438"/>
    <w:rsid w:val="00D154CB"/>
    <w:rsid w:val="00D154E0"/>
    <w:rsid w:val="00D155FD"/>
    <w:rsid w:val="00D15620"/>
    <w:rsid w:val="00D1567A"/>
    <w:rsid w:val="00D1573E"/>
    <w:rsid w:val="00D15744"/>
    <w:rsid w:val="00D15763"/>
    <w:rsid w:val="00D157A4"/>
    <w:rsid w:val="00D157C1"/>
    <w:rsid w:val="00D15A53"/>
    <w:rsid w:val="00D15AE3"/>
    <w:rsid w:val="00D15CC7"/>
    <w:rsid w:val="00D15D7E"/>
    <w:rsid w:val="00D15E97"/>
    <w:rsid w:val="00D15F07"/>
    <w:rsid w:val="00D15F1E"/>
    <w:rsid w:val="00D15FD1"/>
    <w:rsid w:val="00D15FF8"/>
    <w:rsid w:val="00D16186"/>
    <w:rsid w:val="00D161E9"/>
    <w:rsid w:val="00D1644E"/>
    <w:rsid w:val="00D164B9"/>
    <w:rsid w:val="00D1654D"/>
    <w:rsid w:val="00D1656D"/>
    <w:rsid w:val="00D165DC"/>
    <w:rsid w:val="00D1679E"/>
    <w:rsid w:val="00D1683F"/>
    <w:rsid w:val="00D16860"/>
    <w:rsid w:val="00D16878"/>
    <w:rsid w:val="00D169AC"/>
    <w:rsid w:val="00D169F2"/>
    <w:rsid w:val="00D16C03"/>
    <w:rsid w:val="00D16C22"/>
    <w:rsid w:val="00D16CB4"/>
    <w:rsid w:val="00D16DBA"/>
    <w:rsid w:val="00D16EB7"/>
    <w:rsid w:val="00D16F55"/>
    <w:rsid w:val="00D16F68"/>
    <w:rsid w:val="00D17074"/>
    <w:rsid w:val="00D17122"/>
    <w:rsid w:val="00D171E3"/>
    <w:rsid w:val="00D17220"/>
    <w:rsid w:val="00D17314"/>
    <w:rsid w:val="00D17421"/>
    <w:rsid w:val="00D17449"/>
    <w:rsid w:val="00D1792E"/>
    <w:rsid w:val="00D17B63"/>
    <w:rsid w:val="00D17BAD"/>
    <w:rsid w:val="00D17C1F"/>
    <w:rsid w:val="00D17E73"/>
    <w:rsid w:val="00D17FCA"/>
    <w:rsid w:val="00D19E73"/>
    <w:rsid w:val="00D20022"/>
    <w:rsid w:val="00D20381"/>
    <w:rsid w:val="00D20393"/>
    <w:rsid w:val="00D20426"/>
    <w:rsid w:val="00D20489"/>
    <w:rsid w:val="00D20511"/>
    <w:rsid w:val="00D20579"/>
    <w:rsid w:val="00D2060C"/>
    <w:rsid w:val="00D20694"/>
    <w:rsid w:val="00D20866"/>
    <w:rsid w:val="00D20889"/>
    <w:rsid w:val="00D20984"/>
    <w:rsid w:val="00D20A62"/>
    <w:rsid w:val="00D20B00"/>
    <w:rsid w:val="00D20B26"/>
    <w:rsid w:val="00D20BD3"/>
    <w:rsid w:val="00D20CBA"/>
    <w:rsid w:val="00D20D26"/>
    <w:rsid w:val="00D20DF7"/>
    <w:rsid w:val="00D20E21"/>
    <w:rsid w:val="00D20F1F"/>
    <w:rsid w:val="00D20FDD"/>
    <w:rsid w:val="00D21046"/>
    <w:rsid w:val="00D210CE"/>
    <w:rsid w:val="00D21179"/>
    <w:rsid w:val="00D211DC"/>
    <w:rsid w:val="00D2137B"/>
    <w:rsid w:val="00D21513"/>
    <w:rsid w:val="00D21515"/>
    <w:rsid w:val="00D21540"/>
    <w:rsid w:val="00D2164A"/>
    <w:rsid w:val="00D21822"/>
    <w:rsid w:val="00D21906"/>
    <w:rsid w:val="00D21B4B"/>
    <w:rsid w:val="00D21BAE"/>
    <w:rsid w:val="00D21BB0"/>
    <w:rsid w:val="00D21BEC"/>
    <w:rsid w:val="00D21E63"/>
    <w:rsid w:val="00D22130"/>
    <w:rsid w:val="00D22135"/>
    <w:rsid w:val="00D2216F"/>
    <w:rsid w:val="00D2223D"/>
    <w:rsid w:val="00D2232D"/>
    <w:rsid w:val="00D224EB"/>
    <w:rsid w:val="00D22555"/>
    <w:rsid w:val="00D2255C"/>
    <w:rsid w:val="00D227FC"/>
    <w:rsid w:val="00D22857"/>
    <w:rsid w:val="00D22A90"/>
    <w:rsid w:val="00D22AB0"/>
    <w:rsid w:val="00D22B49"/>
    <w:rsid w:val="00D22CA3"/>
    <w:rsid w:val="00D22E0C"/>
    <w:rsid w:val="00D22E3F"/>
    <w:rsid w:val="00D22E59"/>
    <w:rsid w:val="00D22FFB"/>
    <w:rsid w:val="00D2301B"/>
    <w:rsid w:val="00D2302F"/>
    <w:rsid w:val="00D23115"/>
    <w:rsid w:val="00D2313C"/>
    <w:rsid w:val="00D231BA"/>
    <w:rsid w:val="00D231C4"/>
    <w:rsid w:val="00D23214"/>
    <w:rsid w:val="00D23260"/>
    <w:rsid w:val="00D233B9"/>
    <w:rsid w:val="00D2345E"/>
    <w:rsid w:val="00D23464"/>
    <w:rsid w:val="00D235AF"/>
    <w:rsid w:val="00D235B5"/>
    <w:rsid w:val="00D23832"/>
    <w:rsid w:val="00D23838"/>
    <w:rsid w:val="00D23882"/>
    <w:rsid w:val="00D23A05"/>
    <w:rsid w:val="00D23C22"/>
    <w:rsid w:val="00D23C39"/>
    <w:rsid w:val="00D23C5C"/>
    <w:rsid w:val="00D23DAB"/>
    <w:rsid w:val="00D23F73"/>
    <w:rsid w:val="00D24118"/>
    <w:rsid w:val="00D241CD"/>
    <w:rsid w:val="00D2426A"/>
    <w:rsid w:val="00D2426B"/>
    <w:rsid w:val="00D24275"/>
    <w:rsid w:val="00D242FF"/>
    <w:rsid w:val="00D24342"/>
    <w:rsid w:val="00D243D5"/>
    <w:rsid w:val="00D24628"/>
    <w:rsid w:val="00D246EC"/>
    <w:rsid w:val="00D24771"/>
    <w:rsid w:val="00D2478D"/>
    <w:rsid w:val="00D249EF"/>
    <w:rsid w:val="00D24A3F"/>
    <w:rsid w:val="00D24B3E"/>
    <w:rsid w:val="00D24B48"/>
    <w:rsid w:val="00D24B60"/>
    <w:rsid w:val="00D24B7D"/>
    <w:rsid w:val="00D24B8B"/>
    <w:rsid w:val="00D24E0D"/>
    <w:rsid w:val="00D25029"/>
    <w:rsid w:val="00D2504F"/>
    <w:rsid w:val="00D250BA"/>
    <w:rsid w:val="00D2544D"/>
    <w:rsid w:val="00D254AD"/>
    <w:rsid w:val="00D25506"/>
    <w:rsid w:val="00D2550D"/>
    <w:rsid w:val="00D25571"/>
    <w:rsid w:val="00D25746"/>
    <w:rsid w:val="00D25856"/>
    <w:rsid w:val="00D2593A"/>
    <w:rsid w:val="00D259C9"/>
    <w:rsid w:val="00D25AB2"/>
    <w:rsid w:val="00D25B36"/>
    <w:rsid w:val="00D25B94"/>
    <w:rsid w:val="00D25F23"/>
    <w:rsid w:val="00D25F9E"/>
    <w:rsid w:val="00D2606B"/>
    <w:rsid w:val="00D260DD"/>
    <w:rsid w:val="00D260EA"/>
    <w:rsid w:val="00D263C9"/>
    <w:rsid w:val="00D2653F"/>
    <w:rsid w:val="00D26558"/>
    <w:rsid w:val="00D267D9"/>
    <w:rsid w:val="00D2688D"/>
    <w:rsid w:val="00D26989"/>
    <w:rsid w:val="00D269E1"/>
    <w:rsid w:val="00D26AC8"/>
    <w:rsid w:val="00D26B25"/>
    <w:rsid w:val="00D26C6A"/>
    <w:rsid w:val="00D26CB0"/>
    <w:rsid w:val="00D26CFC"/>
    <w:rsid w:val="00D26DE6"/>
    <w:rsid w:val="00D26EE1"/>
    <w:rsid w:val="00D26FB0"/>
    <w:rsid w:val="00D26FDF"/>
    <w:rsid w:val="00D2702C"/>
    <w:rsid w:val="00D27094"/>
    <w:rsid w:val="00D270CD"/>
    <w:rsid w:val="00D270EF"/>
    <w:rsid w:val="00D270F2"/>
    <w:rsid w:val="00D2714D"/>
    <w:rsid w:val="00D272EA"/>
    <w:rsid w:val="00D2738C"/>
    <w:rsid w:val="00D273F0"/>
    <w:rsid w:val="00D27479"/>
    <w:rsid w:val="00D2750D"/>
    <w:rsid w:val="00D2762C"/>
    <w:rsid w:val="00D2763D"/>
    <w:rsid w:val="00D27677"/>
    <w:rsid w:val="00D2771E"/>
    <w:rsid w:val="00D27B86"/>
    <w:rsid w:val="00D27D41"/>
    <w:rsid w:val="00D27E02"/>
    <w:rsid w:val="00D27E1A"/>
    <w:rsid w:val="00D27F5D"/>
    <w:rsid w:val="00D30008"/>
    <w:rsid w:val="00D300BB"/>
    <w:rsid w:val="00D30143"/>
    <w:rsid w:val="00D30175"/>
    <w:rsid w:val="00D301DC"/>
    <w:rsid w:val="00D301FE"/>
    <w:rsid w:val="00D30396"/>
    <w:rsid w:val="00D3044B"/>
    <w:rsid w:val="00D30549"/>
    <w:rsid w:val="00D305CD"/>
    <w:rsid w:val="00D305E8"/>
    <w:rsid w:val="00D30771"/>
    <w:rsid w:val="00D307DB"/>
    <w:rsid w:val="00D30801"/>
    <w:rsid w:val="00D30826"/>
    <w:rsid w:val="00D3083E"/>
    <w:rsid w:val="00D309A4"/>
    <w:rsid w:val="00D30AF4"/>
    <w:rsid w:val="00D30BA0"/>
    <w:rsid w:val="00D30C7D"/>
    <w:rsid w:val="00D30E38"/>
    <w:rsid w:val="00D30E39"/>
    <w:rsid w:val="00D30F1A"/>
    <w:rsid w:val="00D30F8B"/>
    <w:rsid w:val="00D30FC2"/>
    <w:rsid w:val="00D310AF"/>
    <w:rsid w:val="00D310B0"/>
    <w:rsid w:val="00D310CA"/>
    <w:rsid w:val="00D31161"/>
    <w:rsid w:val="00D311B5"/>
    <w:rsid w:val="00D3143B"/>
    <w:rsid w:val="00D3153B"/>
    <w:rsid w:val="00D31573"/>
    <w:rsid w:val="00D31803"/>
    <w:rsid w:val="00D31A2E"/>
    <w:rsid w:val="00D31AAB"/>
    <w:rsid w:val="00D31DA9"/>
    <w:rsid w:val="00D31E75"/>
    <w:rsid w:val="00D31E8C"/>
    <w:rsid w:val="00D31F50"/>
    <w:rsid w:val="00D320B4"/>
    <w:rsid w:val="00D32212"/>
    <w:rsid w:val="00D3222F"/>
    <w:rsid w:val="00D32231"/>
    <w:rsid w:val="00D3230E"/>
    <w:rsid w:val="00D324A4"/>
    <w:rsid w:val="00D32576"/>
    <w:rsid w:val="00D32690"/>
    <w:rsid w:val="00D32712"/>
    <w:rsid w:val="00D3276B"/>
    <w:rsid w:val="00D32810"/>
    <w:rsid w:val="00D32820"/>
    <w:rsid w:val="00D32B6D"/>
    <w:rsid w:val="00D32CB1"/>
    <w:rsid w:val="00D32EB4"/>
    <w:rsid w:val="00D32EEC"/>
    <w:rsid w:val="00D32F51"/>
    <w:rsid w:val="00D330E0"/>
    <w:rsid w:val="00D3312E"/>
    <w:rsid w:val="00D331BE"/>
    <w:rsid w:val="00D332D4"/>
    <w:rsid w:val="00D336E7"/>
    <w:rsid w:val="00D3378D"/>
    <w:rsid w:val="00D337BD"/>
    <w:rsid w:val="00D338F0"/>
    <w:rsid w:val="00D3396F"/>
    <w:rsid w:val="00D33A27"/>
    <w:rsid w:val="00D33A42"/>
    <w:rsid w:val="00D33A9A"/>
    <w:rsid w:val="00D33CEA"/>
    <w:rsid w:val="00D33DAA"/>
    <w:rsid w:val="00D34065"/>
    <w:rsid w:val="00D3409A"/>
    <w:rsid w:val="00D3409D"/>
    <w:rsid w:val="00D34128"/>
    <w:rsid w:val="00D3412A"/>
    <w:rsid w:val="00D341AA"/>
    <w:rsid w:val="00D34278"/>
    <w:rsid w:val="00D342F2"/>
    <w:rsid w:val="00D343BA"/>
    <w:rsid w:val="00D345A2"/>
    <w:rsid w:val="00D34682"/>
    <w:rsid w:val="00D346F1"/>
    <w:rsid w:val="00D34806"/>
    <w:rsid w:val="00D34AAD"/>
    <w:rsid w:val="00D34AF8"/>
    <w:rsid w:val="00D34BAD"/>
    <w:rsid w:val="00D34CC3"/>
    <w:rsid w:val="00D34D7E"/>
    <w:rsid w:val="00D34E93"/>
    <w:rsid w:val="00D34F8F"/>
    <w:rsid w:val="00D35029"/>
    <w:rsid w:val="00D35065"/>
    <w:rsid w:val="00D3521C"/>
    <w:rsid w:val="00D3523C"/>
    <w:rsid w:val="00D35359"/>
    <w:rsid w:val="00D3535B"/>
    <w:rsid w:val="00D35400"/>
    <w:rsid w:val="00D3541C"/>
    <w:rsid w:val="00D354AB"/>
    <w:rsid w:val="00D3560A"/>
    <w:rsid w:val="00D35646"/>
    <w:rsid w:val="00D356FF"/>
    <w:rsid w:val="00D35792"/>
    <w:rsid w:val="00D358F1"/>
    <w:rsid w:val="00D35A32"/>
    <w:rsid w:val="00D35A3B"/>
    <w:rsid w:val="00D35C38"/>
    <w:rsid w:val="00D35C6F"/>
    <w:rsid w:val="00D35C9C"/>
    <w:rsid w:val="00D35CB8"/>
    <w:rsid w:val="00D35D33"/>
    <w:rsid w:val="00D35DCD"/>
    <w:rsid w:val="00D35E9A"/>
    <w:rsid w:val="00D35EBA"/>
    <w:rsid w:val="00D3614E"/>
    <w:rsid w:val="00D361D9"/>
    <w:rsid w:val="00D3620A"/>
    <w:rsid w:val="00D3640E"/>
    <w:rsid w:val="00D36481"/>
    <w:rsid w:val="00D364BF"/>
    <w:rsid w:val="00D364C5"/>
    <w:rsid w:val="00D3662C"/>
    <w:rsid w:val="00D36636"/>
    <w:rsid w:val="00D3663A"/>
    <w:rsid w:val="00D366FF"/>
    <w:rsid w:val="00D367F5"/>
    <w:rsid w:val="00D36809"/>
    <w:rsid w:val="00D368B0"/>
    <w:rsid w:val="00D36A13"/>
    <w:rsid w:val="00D36A80"/>
    <w:rsid w:val="00D36AE4"/>
    <w:rsid w:val="00D36B58"/>
    <w:rsid w:val="00D36BB5"/>
    <w:rsid w:val="00D36C65"/>
    <w:rsid w:val="00D36ECB"/>
    <w:rsid w:val="00D36ED9"/>
    <w:rsid w:val="00D36FC8"/>
    <w:rsid w:val="00D37033"/>
    <w:rsid w:val="00D371E8"/>
    <w:rsid w:val="00D37264"/>
    <w:rsid w:val="00D37290"/>
    <w:rsid w:val="00D372D1"/>
    <w:rsid w:val="00D372F0"/>
    <w:rsid w:val="00D377AF"/>
    <w:rsid w:val="00D3780C"/>
    <w:rsid w:val="00D37834"/>
    <w:rsid w:val="00D3794F"/>
    <w:rsid w:val="00D37989"/>
    <w:rsid w:val="00D379C0"/>
    <w:rsid w:val="00D37AD2"/>
    <w:rsid w:val="00D37B7A"/>
    <w:rsid w:val="00D37C02"/>
    <w:rsid w:val="00D40030"/>
    <w:rsid w:val="00D40038"/>
    <w:rsid w:val="00D40083"/>
    <w:rsid w:val="00D401FB"/>
    <w:rsid w:val="00D4029A"/>
    <w:rsid w:val="00D403A8"/>
    <w:rsid w:val="00D404C3"/>
    <w:rsid w:val="00D404CF"/>
    <w:rsid w:val="00D4053B"/>
    <w:rsid w:val="00D4054C"/>
    <w:rsid w:val="00D4059A"/>
    <w:rsid w:val="00D40638"/>
    <w:rsid w:val="00D40684"/>
    <w:rsid w:val="00D40753"/>
    <w:rsid w:val="00D407E1"/>
    <w:rsid w:val="00D407FB"/>
    <w:rsid w:val="00D409C4"/>
    <w:rsid w:val="00D409E6"/>
    <w:rsid w:val="00D40A8E"/>
    <w:rsid w:val="00D40A93"/>
    <w:rsid w:val="00D40B9A"/>
    <w:rsid w:val="00D40CE0"/>
    <w:rsid w:val="00D40D70"/>
    <w:rsid w:val="00D40F58"/>
    <w:rsid w:val="00D41141"/>
    <w:rsid w:val="00D4116C"/>
    <w:rsid w:val="00D4118A"/>
    <w:rsid w:val="00D411AC"/>
    <w:rsid w:val="00D412C3"/>
    <w:rsid w:val="00D41356"/>
    <w:rsid w:val="00D413B3"/>
    <w:rsid w:val="00D41454"/>
    <w:rsid w:val="00D414A7"/>
    <w:rsid w:val="00D414BF"/>
    <w:rsid w:val="00D41544"/>
    <w:rsid w:val="00D41568"/>
    <w:rsid w:val="00D415E0"/>
    <w:rsid w:val="00D416EC"/>
    <w:rsid w:val="00D41721"/>
    <w:rsid w:val="00D41769"/>
    <w:rsid w:val="00D417CC"/>
    <w:rsid w:val="00D41AA3"/>
    <w:rsid w:val="00D41C2B"/>
    <w:rsid w:val="00D41DDD"/>
    <w:rsid w:val="00D41ED0"/>
    <w:rsid w:val="00D41F96"/>
    <w:rsid w:val="00D42031"/>
    <w:rsid w:val="00D42032"/>
    <w:rsid w:val="00D42090"/>
    <w:rsid w:val="00D420BC"/>
    <w:rsid w:val="00D42154"/>
    <w:rsid w:val="00D4215C"/>
    <w:rsid w:val="00D42279"/>
    <w:rsid w:val="00D422EC"/>
    <w:rsid w:val="00D422EF"/>
    <w:rsid w:val="00D423B4"/>
    <w:rsid w:val="00D42468"/>
    <w:rsid w:val="00D42479"/>
    <w:rsid w:val="00D42585"/>
    <w:rsid w:val="00D42626"/>
    <w:rsid w:val="00D42697"/>
    <w:rsid w:val="00D42798"/>
    <w:rsid w:val="00D42A34"/>
    <w:rsid w:val="00D42A61"/>
    <w:rsid w:val="00D42AAB"/>
    <w:rsid w:val="00D42C3C"/>
    <w:rsid w:val="00D42CED"/>
    <w:rsid w:val="00D42DB4"/>
    <w:rsid w:val="00D42E06"/>
    <w:rsid w:val="00D42E9D"/>
    <w:rsid w:val="00D43052"/>
    <w:rsid w:val="00D43075"/>
    <w:rsid w:val="00D43097"/>
    <w:rsid w:val="00D4319C"/>
    <w:rsid w:val="00D43207"/>
    <w:rsid w:val="00D43252"/>
    <w:rsid w:val="00D4338E"/>
    <w:rsid w:val="00D4358F"/>
    <w:rsid w:val="00D43592"/>
    <w:rsid w:val="00D43664"/>
    <w:rsid w:val="00D436D6"/>
    <w:rsid w:val="00D4379E"/>
    <w:rsid w:val="00D43968"/>
    <w:rsid w:val="00D43D0F"/>
    <w:rsid w:val="00D43D3B"/>
    <w:rsid w:val="00D43DC7"/>
    <w:rsid w:val="00D43DD0"/>
    <w:rsid w:val="00D43F28"/>
    <w:rsid w:val="00D43FB5"/>
    <w:rsid w:val="00D44017"/>
    <w:rsid w:val="00D4402B"/>
    <w:rsid w:val="00D440B2"/>
    <w:rsid w:val="00D4425D"/>
    <w:rsid w:val="00D443A5"/>
    <w:rsid w:val="00D44424"/>
    <w:rsid w:val="00D4443A"/>
    <w:rsid w:val="00D44450"/>
    <w:rsid w:val="00D445A8"/>
    <w:rsid w:val="00D445BF"/>
    <w:rsid w:val="00D44665"/>
    <w:rsid w:val="00D44669"/>
    <w:rsid w:val="00D4466B"/>
    <w:rsid w:val="00D446BF"/>
    <w:rsid w:val="00D44736"/>
    <w:rsid w:val="00D447F4"/>
    <w:rsid w:val="00D448F3"/>
    <w:rsid w:val="00D44911"/>
    <w:rsid w:val="00D44967"/>
    <w:rsid w:val="00D449E5"/>
    <w:rsid w:val="00D44AE5"/>
    <w:rsid w:val="00D44B3E"/>
    <w:rsid w:val="00D44BE5"/>
    <w:rsid w:val="00D44C6E"/>
    <w:rsid w:val="00D44C98"/>
    <w:rsid w:val="00D44CE1"/>
    <w:rsid w:val="00D44CFD"/>
    <w:rsid w:val="00D44D1F"/>
    <w:rsid w:val="00D44D26"/>
    <w:rsid w:val="00D44D2E"/>
    <w:rsid w:val="00D44D3A"/>
    <w:rsid w:val="00D44DBC"/>
    <w:rsid w:val="00D44E6F"/>
    <w:rsid w:val="00D44FAC"/>
    <w:rsid w:val="00D45068"/>
    <w:rsid w:val="00D4540F"/>
    <w:rsid w:val="00D454F0"/>
    <w:rsid w:val="00D4556F"/>
    <w:rsid w:val="00D4564F"/>
    <w:rsid w:val="00D4567C"/>
    <w:rsid w:val="00D4574D"/>
    <w:rsid w:val="00D458E1"/>
    <w:rsid w:val="00D459BB"/>
    <w:rsid w:val="00D45A9F"/>
    <w:rsid w:val="00D45AEE"/>
    <w:rsid w:val="00D45E8B"/>
    <w:rsid w:val="00D45EFF"/>
    <w:rsid w:val="00D45F23"/>
    <w:rsid w:val="00D45F92"/>
    <w:rsid w:val="00D45FD2"/>
    <w:rsid w:val="00D460DF"/>
    <w:rsid w:val="00D461B6"/>
    <w:rsid w:val="00D4628B"/>
    <w:rsid w:val="00D46372"/>
    <w:rsid w:val="00D4644A"/>
    <w:rsid w:val="00D46452"/>
    <w:rsid w:val="00D4649C"/>
    <w:rsid w:val="00D46553"/>
    <w:rsid w:val="00D465E1"/>
    <w:rsid w:val="00D465FC"/>
    <w:rsid w:val="00D46642"/>
    <w:rsid w:val="00D467A3"/>
    <w:rsid w:val="00D468D5"/>
    <w:rsid w:val="00D46940"/>
    <w:rsid w:val="00D46CBE"/>
    <w:rsid w:val="00D46CE5"/>
    <w:rsid w:val="00D46D54"/>
    <w:rsid w:val="00D46D6A"/>
    <w:rsid w:val="00D46DD7"/>
    <w:rsid w:val="00D46EA3"/>
    <w:rsid w:val="00D46F5E"/>
    <w:rsid w:val="00D46F72"/>
    <w:rsid w:val="00D46FC0"/>
    <w:rsid w:val="00D47077"/>
    <w:rsid w:val="00D47082"/>
    <w:rsid w:val="00D471F6"/>
    <w:rsid w:val="00D47206"/>
    <w:rsid w:val="00D473B7"/>
    <w:rsid w:val="00D473E0"/>
    <w:rsid w:val="00D4754C"/>
    <w:rsid w:val="00D475C0"/>
    <w:rsid w:val="00D476B8"/>
    <w:rsid w:val="00D477CE"/>
    <w:rsid w:val="00D477FB"/>
    <w:rsid w:val="00D47813"/>
    <w:rsid w:val="00D478C9"/>
    <w:rsid w:val="00D479CA"/>
    <w:rsid w:val="00D47A8F"/>
    <w:rsid w:val="00D47A9E"/>
    <w:rsid w:val="00D47C8D"/>
    <w:rsid w:val="00D47D28"/>
    <w:rsid w:val="00D47D4B"/>
    <w:rsid w:val="00D47EF9"/>
    <w:rsid w:val="00D47F12"/>
    <w:rsid w:val="00D49C0E"/>
    <w:rsid w:val="00D5004E"/>
    <w:rsid w:val="00D500A6"/>
    <w:rsid w:val="00D500FF"/>
    <w:rsid w:val="00D502A0"/>
    <w:rsid w:val="00D5035F"/>
    <w:rsid w:val="00D5045C"/>
    <w:rsid w:val="00D506DC"/>
    <w:rsid w:val="00D506F8"/>
    <w:rsid w:val="00D507F0"/>
    <w:rsid w:val="00D508D6"/>
    <w:rsid w:val="00D50986"/>
    <w:rsid w:val="00D50A44"/>
    <w:rsid w:val="00D50AE3"/>
    <w:rsid w:val="00D50BEB"/>
    <w:rsid w:val="00D50C47"/>
    <w:rsid w:val="00D50CFE"/>
    <w:rsid w:val="00D50E17"/>
    <w:rsid w:val="00D50F06"/>
    <w:rsid w:val="00D50FC4"/>
    <w:rsid w:val="00D510A9"/>
    <w:rsid w:val="00D510EB"/>
    <w:rsid w:val="00D51107"/>
    <w:rsid w:val="00D511AF"/>
    <w:rsid w:val="00D5127A"/>
    <w:rsid w:val="00D5131C"/>
    <w:rsid w:val="00D51328"/>
    <w:rsid w:val="00D51422"/>
    <w:rsid w:val="00D51449"/>
    <w:rsid w:val="00D5145E"/>
    <w:rsid w:val="00D51534"/>
    <w:rsid w:val="00D51597"/>
    <w:rsid w:val="00D51650"/>
    <w:rsid w:val="00D5165B"/>
    <w:rsid w:val="00D5166A"/>
    <w:rsid w:val="00D518AA"/>
    <w:rsid w:val="00D51953"/>
    <w:rsid w:val="00D51973"/>
    <w:rsid w:val="00D51B1C"/>
    <w:rsid w:val="00D51C58"/>
    <w:rsid w:val="00D51C68"/>
    <w:rsid w:val="00D51D39"/>
    <w:rsid w:val="00D51DC5"/>
    <w:rsid w:val="00D51F78"/>
    <w:rsid w:val="00D51FE0"/>
    <w:rsid w:val="00D5201A"/>
    <w:rsid w:val="00D520DA"/>
    <w:rsid w:val="00D52111"/>
    <w:rsid w:val="00D52177"/>
    <w:rsid w:val="00D52283"/>
    <w:rsid w:val="00D522BA"/>
    <w:rsid w:val="00D52366"/>
    <w:rsid w:val="00D52389"/>
    <w:rsid w:val="00D5238C"/>
    <w:rsid w:val="00D52478"/>
    <w:rsid w:val="00D52691"/>
    <w:rsid w:val="00D52A06"/>
    <w:rsid w:val="00D52AAC"/>
    <w:rsid w:val="00D52B9B"/>
    <w:rsid w:val="00D52BB7"/>
    <w:rsid w:val="00D52C3B"/>
    <w:rsid w:val="00D52C77"/>
    <w:rsid w:val="00D52CAC"/>
    <w:rsid w:val="00D52DD7"/>
    <w:rsid w:val="00D52E07"/>
    <w:rsid w:val="00D52E54"/>
    <w:rsid w:val="00D52F21"/>
    <w:rsid w:val="00D530DD"/>
    <w:rsid w:val="00D53189"/>
    <w:rsid w:val="00D531D3"/>
    <w:rsid w:val="00D531F6"/>
    <w:rsid w:val="00D5328A"/>
    <w:rsid w:val="00D53408"/>
    <w:rsid w:val="00D535D0"/>
    <w:rsid w:val="00D53665"/>
    <w:rsid w:val="00D536F4"/>
    <w:rsid w:val="00D53735"/>
    <w:rsid w:val="00D5377D"/>
    <w:rsid w:val="00D537FD"/>
    <w:rsid w:val="00D539C3"/>
    <w:rsid w:val="00D53A5E"/>
    <w:rsid w:val="00D53B67"/>
    <w:rsid w:val="00D53C6C"/>
    <w:rsid w:val="00D53D39"/>
    <w:rsid w:val="00D53E0C"/>
    <w:rsid w:val="00D53F50"/>
    <w:rsid w:val="00D5403A"/>
    <w:rsid w:val="00D5431E"/>
    <w:rsid w:val="00D544A5"/>
    <w:rsid w:val="00D5468E"/>
    <w:rsid w:val="00D54696"/>
    <w:rsid w:val="00D5486B"/>
    <w:rsid w:val="00D548A6"/>
    <w:rsid w:val="00D548C1"/>
    <w:rsid w:val="00D54924"/>
    <w:rsid w:val="00D5492E"/>
    <w:rsid w:val="00D549A0"/>
    <w:rsid w:val="00D54B09"/>
    <w:rsid w:val="00D54B60"/>
    <w:rsid w:val="00D54B8E"/>
    <w:rsid w:val="00D54C05"/>
    <w:rsid w:val="00D54C0B"/>
    <w:rsid w:val="00D54C3E"/>
    <w:rsid w:val="00D54CB1"/>
    <w:rsid w:val="00D54CCE"/>
    <w:rsid w:val="00D54D66"/>
    <w:rsid w:val="00D54D93"/>
    <w:rsid w:val="00D54DBE"/>
    <w:rsid w:val="00D54EC2"/>
    <w:rsid w:val="00D54F29"/>
    <w:rsid w:val="00D54FCE"/>
    <w:rsid w:val="00D55055"/>
    <w:rsid w:val="00D55103"/>
    <w:rsid w:val="00D552EB"/>
    <w:rsid w:val="00D553A2"/>
    <w:rsid w:val="00D553A7"/>
    <w:rsid w:val="00D553D0"/>
    <w:rsid w:val="00D55411"/>
    <w:rsid w:val="00D5545D"/>
    <w:rsid w:val="00D5548B"/>
    <w:rsid w:val="00D556F1"/>
    <w:rsid w:val="00D55722"/>
    <w:rsid w:val="00D55734"/>
    <w:rsid w:val="00D5576D"/>
    <w:rsid w:val="00D55798"/>
    <w:rsid w:val="00D559B2"/>
    <w:rsid w:val="00D55AC2"/>
    <w:rsid w:val="00D55B2B"/>
    <w:rsid w:val="00D55C14"/>
    <w:rsid w:val="00D55C54"/>
    <w:rsid w:val="00D55CFB"/>
    <w:rsid w:val="00D55E25"/>
    <w:rsid w:val="00D55EA9"/>
    <w:rsid w:val="00D55ED5"/>
    <w:rsid w:val="00D560DF"/>
    <w:rsid w:val="00D560E9"/>
    <w:rsid w:val="00D563C0"/>
    <w:rsid w:val="00D564FD"/>
    <w:rsid w:val="00D56592"/>
    <w:rsid w:val="00D5690E"/>
    <w:rsid w:val="00D56BAD"/>
    <w:rsid w:val="00D56C5D"/>
    <w:rsid w:val="00D56D4C"/>
    <w:rsid w:val="00D56DB5"/>
    <w:rsid w:val="00D56E75"/>
    <w:rsid w:val="00D56EAD"/>
    <w:rsid w:val="00D56EDB"/>
    <w:rsid w:val="00D56F6B"/>
    <w:rsid w:val="00D57135"/>
    <w:rsid w:val="00D571B1"/>
    <w:rsid w:val="00D571CC"/>
    <w:rsid w:val="00D571FD"/>
    <w:rsid w:val="00D5725E"/>
    <w:rsid w:val="00D5735D"/>
    <w:rsid w:val="00D574E4"/>
    <w:rsid w:val="00D574F8"/>
    <w:rsid w:val="00D57726"/>
    <w:rsid w:val="00D5773D"/>
    <w:rsid w:val="00D577B5"/>
    <w:rsid w:val="00D577C1"/>
    <w:rsid w:val="00D578AE"/>
    <w:rsid w:val="00D57904"/>
    <w:rsid w:val="00D57908"/>
    <w:rsid w:val="00D579B0"/>
    <w:rsid w:val="00D57AB7"/>
    <w:rsid w:val="00D57BE0"/>
    <w:rsid w:val="00D57CA8"/>
    <w:rsid w:val="00D57CBD"/>
    <w:rsid w:val="00D57D27"/>
    <w:rsid w:val="00D57E2E"/>
    <w:rsid w:val="00D57E5D"/>
    <w:rsid w:val="00D57EF8"/>
    <w:rsid w:val="00D57FA4"/>
    <w:rsid w:val="00D600DC"/>
    <w:rsid w:val="00D601EF"/>
    <w:rsid w:val="00D602A3"/>
    <w:rsid w:val="00D60484"/>
    <w:rsid w:val="00D6056B"/>
    <w:rsid w:val="00D60587"/>
    <w:rsid w:val="00D60621"/>
    <w:rsid w:val="00D606A6"/>
    <w:rsid w:val="00D6084A"/>
    <w:rsid w:val="00D608DD"/>
    <w:rsid w:val="00D6090B"/>
    <w:rsid w:val="00D60B2E"/>
    <w:rsid w:val="00D60B96"/>
    <w:rsid w:val="00D60C3C"/>
    <w:rsid w:val="00D60D0A"/>
    <w:rsid w:val="00D60D3A"/>
    <w:rsid w:val="00D60DBD"/>
    <w:rsid w:val="00D60E56"/>
    <w:rsid w:val="00D60E9A"/>
    <w:rsid w:val="00D60F78"/>
    <w:rsid w:val="00D610D1"/>
    <w:rsid w:val="00D6128A"/>
    <w:rsid w:val="00D6151C"/>
    <w:rsid w:val="00D615C2"/>
    <w:rsid w:val="00D6165B"/>
    <w:rsid w:val="00D617A0"/>
    <w:rsid w:val="00D61812"/>
    <w:rsid w:val="00D6187E"/>
    <w:rsid w:val="00D61999"/>
    <w:rsid w:val="00D61C68"/>
    <w:rsid w:val="00D61CCB"/>
    <w:rsid w:val="00D61D77"/>
    <w:rsid w:val="00D61DA8"/>
    <w:rsid w:val="00D61DE3"/>
    <w:rsid w:val="00D61EC7"/>
    <w:rsid w:val="00D6216C"/>
    <w:rsid w:val="00D6219F"/>
    <w:rsid w:val="00D623B2"/>
    <w:rsid w:val="00D623CD"/>
    <w:rsid w:val="00D623EE"/>
    <w:rsid w:val="00D62530"/>
    <w:rsid w:val="00D62595"/>
    <w:rsid w:val="00D625D0"/>
    <w:rsid w:val="00D626D0"/>
    <w:rsid w:val="00D62730"/>
    <w:rsid w:val="00D62870"/>
    <w:rsid w:val="00D6290C"/>
    <w:rsid w:val="00D62941"/>
    <w:rsid w:val="00D6298B"/>
    <w:rsid w:val="00D62995"/>
    <w:rsid w:val="00D62B18"/>
    <w:rsid w:val="00D62B55"/>
    <w:rsid w:val="00D62BA7"/>
    <w:rsid w:val="00D62CBC"/>
    <w:rsid w:val="00D62E85"/>
    <w:rsid w:val="00D63143"/>
    <w:rsid w:val="00D632B6"/>
    <w:rsid w:val="00D633A9"/>
    <w:rsid w:val="00D6345F"/>
    <w:rsid w:val="00D634C2"/>
    <w:rsid w:val="00D635A5"/>
    <w:rsid w:val="00D6373A"/>
    <w:rsid w:val="00D63742"/>
    <w:rsid w:val="00D63797"/>
    <w:rsid w:val="00D638D9"/>
    <w:rsid w:val="00D638FF"/>
    <w:rsid w:val="00D63918"/>
    <w:rsid w:val="00D63982"/>
    <w:rsid w:val="00D63A14"/>
    <w:rsid w:val="00D63B65"/>
    <w:rsid w:val="00D63BB5"/>
    <w:rsid w:val="00D63C85"/>
    <w:rsid w:val="00D63D71"/>
    <w:rsid w:val="00D63DA6"/>
    <w:rsid w:val="00D63E2B"/>
    <w:rsid w:val="00D63E86"/>
    <w:rsid w:val="00D640CA"/>
    <w:rsid w:val="00D6415D"/>
    <w:rsid w:val="00D641FB"/>
    <w:rsid w:val="00D64242"/>
    <w:rsid w:val="00D642CE"/>
    <w:rsid w:val="00D64327"/>
    <w:rsid w:val="00D6432C"/>
    <w:rsid w:val="00D64532"/>
    <w:rsid w:val="00D6461D"/>
    <w:rsid w:val="00D6463E"/>
    <w:rsid w:val="00D647A7"/>
    <w:rsid w:val="00D647B4"/>
    <w:rsid w:val="00D6485C"/>
    <w:rsid w:val="00D64914"/>
    <w:rsid w:val="00D64953"/>
    <w:rsid w:val="00D649B2"/>
    <w:rsid w:val="00D64A20"/>
    <w:rsid w:val="00D64AB4"/>
    <w:rsid w:val="00D64B51"/>
    <w:rsid w:val="00D64B9B"/>
    <w:rsid w:val="00D64C0A"/>
    <w:rsid w:val="00D64C81"/>
    <w:rsid w:val="00D64D15"/>
    <w:rsid w:val="00D64EC2"/>
    <w:rsid w:val="00D64F61"/>
    <w:rsid w:val="00D64FBB"/>
    <w:rsid w:val="00D65037"/>
    <w:rsid w:val="00D650A9"/>
    <w:rsid w:val="00D6518B"/>
    <w:rsid w:val="00D65467"/>
    <w:rsid w:val="00D65499"/>
    <w:rsid w:val="00D6558A"/>
    <w:rsid w:val="00D65678"/>
    <w:rsid w:val="00D65714"/>
    <w:rsid w:val="00D65740"/>
    <w:rsid w:val="00D659F0"/>
    <w:rsid w:val="00D65A01"/>
    <w:rsid w:val="00D65A5D"/>
    <w:rsid w:val="00D65AD9"/>
    <w:rsid w:val="00D65B00"/>
    <w:rsid w:val="00D65B54"/>
    <w:rsid w:val="00D65B7C"/>
    <w:rsid w:val="00D65BA3"/>
    <w:rsid w:val="00D65BEC"/>
    <w:rsid w:val="00D65BFC"/>
    <w:rsid w:val="00D65C0E"/>
    <w:rsid w:val="00D65E78"/>
    <w:rsid w:val="00D65EB7"/>
    <w:rsid w:val="00D65F51"/>
    <w:rsid w:val="00D65FAB"/>
    <w:rsid w:val="00D66359"/>
    <w:rsid w:val="00D663C8"/>
    <w:rsid w:val="00D663D1"/>
    <w:rsid w:val="00D664A8"/>
    <w:rsid w:val="00D6656E"/>
    <w:rsid w:val="00D665C4"/>
    <w:rsid w:val="00D665CC"/>
    <w:rsid w:val="00D66618"/>
    <w:rsid w:val="00D667A5"/>
    <w:rsid w:val="00D667FD"/>
    <w:rsid w:val="00D66829"/>
    <w:rsid w:val="00D6689D"/>
    <w:rsid w:val="00D66965"/>
    <w:rsid w:val="00D66B28"/>
    <w:rsid w:val="00D66B6A"/>
    <w:rsid w:val="00D66BB4"/>
    <w:rsid w:val="00D66D97"/>
    <w:rsid w:val="00D66DC9"/>
    <w:rsid w:val="00D66EBB"/>
    <w:rsid w:val="00D66EEA"/>
    <w:rsid w:val="00D66EF2"/>
    <w:rsid w:val="00D66FA3"/>
    <w:rsid w:val="00D66FAD"/>
    <w:rsid w:val="00D6708D"/>
    <w:rsid w:val="00D670F9"/>
    <w:rsid w:val="00D67121"/>
    <w:rsid w:val="00D67148"/>
    <w:rsid w:val="00D67150"/>
    <w:rsid w:val="00D671BE"/>
    <w:rsid w:val="00D67233"/>
    <w:rsid w:val="00D673AE"/>
    <w:rsid w:val="00D67496"/>
    <w:rsid w:val="00D67577"/>
    <w:rsid w:val="00D675D3"/>
    <w:rsid w:val="00D6762E"/>
    <w:rsid w:val="00D67915"/>
    <w:rsid w:val="00D679A2"/>
    <w:rsid w:val="00D679FF"/>
    <w:rsid w:val="00D67ADB"/>
    <w:rsid w:val="00D67CB6"/>
    <w:rsid w:val="00D67CC0"/>
    <w:rsid w:val="00D67D9A"/>
    <w:rsid w:val="00D67E17"/>
    <w:rsid w:val="00D67F59"/>
    <w:rsid w:val="00D70049"/>
    <w:rsid w:val="00D70105"/>
    <w:rsid w:val="00D70133"/>
    <w:rsid w:val="00D70187"/>
    <w:rsid w:val="00D701A5"/>
    <w:rsid w:val="00D701DB"/>
    <w:rsid w:val="00D7029A"/>
    <w:rsid w:val="00D70393"/>
    <w:rsid w:val="00D703E7"/>
    <w:rsid w:val="00D7047A"/>
    <w:rsid w:val="00D70543"/>
    <w:rsid w:val="00D7059F"/>
    <w:rsid w:val="00D705BB"/>
    <w:rsid w:val="00D70652"/>
    <w:rsid w:val="00D706C2"/>
    <w:rsid w:val="00D706D3"/>
    <w:rsid w:val="00D70765"/>
    <w:rsid w:val="00D707F6"/>
    <w:rsid w:val="00D708BB"/>
    <w:rsid w:val="00D70926"/>
    <w:rsid w:val="00D70961"/>
    <w:rsid w:val="00D70A3E"/>
    <w:rsid w:val="00D70A5A"/>
    <w:rsid w:val="00D70AF7"/>
    <w:rsid w:val="00D70B0B"/>
    <w:rsid w:val="00D70B30"/>
    <w:rsid w:val="00D70E00"/>
    <w:rsid w:val="00D70F08"/>
    <w:rsid w:val="00D70FDD"/>
    <w:rsid w:val="00D71051"/>
    <w:rsid w:val="00D710A0"/>
    <w:rsid w:val="00D71143"/>
    <w:rsid w:val="00D711A2"/>
    <w:rsid w:val="00D7121A"/>
    <w:rsid w:val="00D71423"/>
    <w:rsid w:val="00D71530"/>
    <w:rsid w:val="00D71937"/>
    <w:rsid w:val="00D7197B"/>
    <w:rsid w:val="00D71A1D"/>
    <w:rsid w:val="00D71A4F"/>
    <w:rsid w:val="00D71B21"/>
    <w:rsid w:val="00D71B2D"/>
    <w:rsid w:val="00D71D7C"/>
    <w:rsid w:val="00D71DA2"/>
    <w:rsid w:val="00D71E00"/>
    <w:rsid w:val="00D71EC4"/>
    <w:rsid w:val="00D72085"/>
    <w:rsid w:val="00D721D7"/>
    <w:rsid w:val="00D721DA"/>
    <w:rsid w:val="00D72479"/>
    <w:rsid w:val="00D7258C"/>
    <w:rsid w:val="00D72610"/>
    <w:rsid w:val="00D72649"/>
    <w:rsid w:val="00D726C9"/>
    <w:rsid w:val="00D7270A"/>
    <w:rsid w:val="00D728B9"/>
    <w:rsid w:val="00D728F8"/>
    <w:rsid w:val="00D7296E"/>
    <w:rsid w:val="00D72AF4"/>
    <w:rsid w:val="00D72C7C"/>
    <w:rsid w:val="00D72DA2"/>
    <w:rsid w:val="00D72DA8"/>
    <w:rsid w:val="00D72E53"/>
    <w:rsid w:val="00D72E87"/>
    <w:rsid w:val="00D72EFE"/>
    <w:rsid w:val="00D7316C"/>
    <w:rsid w:val="00D7323D"/>
    <w:rsid w:val="00D73259"/>
    <w:rsid w:val="00D732C5"/>
    <w:rsid w:val="00D73386"/>
    <w:rsid w:val="00D733C9"/>
    <w:rsid w:val="00D73498"/>
    <w:rsid w:val="00D73549"/>
    <w:rsid w:val="00D73565"/>
    <w:rsid w:val="00D73582"/>
    <w:rsid w:val="00D73809"/>
    <w:rsid w:val="00D7380D"/>
    <w:rsid w:val="00D7383E"/>
    <w:rsid w:val="00D7392B"/>
    <w:rsid w:val="00D73932"/>
    <w:rsid w:val="00D73938"/>
    <w:rsid w:val="00D73A43"/>
    <w:rsid w:val="00D73A81"/>
    <w:rsid w:val="00D73B12"/>
    <w:rsid w:val="00D73C47"/>
    <w:rsid w:val="00D73ED9"/>
    <w:rsid w:val="00D73EF5"/>
    <w:rsid w:val="00D73F34"/>
    <w:rsid w:val="00D74015"/>
    <w:rsid w:val="00D741B4"/>
    <w:rsid w:val="00D74222"/>
    <w:rsid w:val="00D7426E"/>
    <w:rsid w:val="00D7436F"/>
    <w:rsid w:val="00D7451E"/>
    <w:rsid w:val="00D74578"/>
    <w:rsid w:val="00D748A7"/>
    <w:rsid w:val="00D7498E"/>
    <w:rsid w:val="00D74EFE"/>
    <w:rsid w:val="00D74F68"/>
    <w:rsid w:val="00D750CF"/>
    <w:rsid w:val="00D751E2"/>
    <w:rsid w:val="00D7522B"/>
    <w:rsid w:val="00D75649"/>
    <w:rsid w:val="00D756D6"/>
    <w:rsid w:val="00D75776"/>
    <w:rsid w:val="00D757AD"/>
    <w:rsid w:val="00D757FA"/>
    <w:rsid w:val="00D758B2"/>
    <w:rsid w:val="00D758D0"/>
    <w:rsid w:val="00D75980"/>
    <w:rsid w:val="00D759A2"/>
    <w:rsid w:val="00D759FE"/>
    <w:rsid w:val="00D75AED"/>
    <w:rsid w:val="00D75B09"/>
    <w:rsid w:val="00D75D83"/>
    <w:rsid w:val="00D75DC0"/>
    <w:rsid w:val="00D75E94"/>
    <w:rsid w:val="00D75F28"/>
    <w:rsid w:val="00D76024"/>
    <w:rsid w:val="00D7613E"/>
    <w:rsid w:val="00D76222"/>
    <w:rsid w:val="00D76260"/>
    <w:rsid w:val="00D762C3"/>
    <w:rsid w:val="00D76547"/>
    <w:rsid w:val="00D7655C"/>
    <w:rsid w:val="00D76606"/>
    <w:rsid w:val="00D76A0D"/>
    <w:rsid w:val="00D76A17"/>
    <w:rsid w:val="00D76AA1"/>
    <w:rsid w:val="00D76C31"/>
    <w:rsid w:val="00D76C56"/>
    <w:rsid w:val="00D76C7F"/>
    <w:rsid w:val="00D76E84"/>
    <w:rsid w:val="00D76FA9"/>
    <w:rsid w:val="00D76FCC"/>
    <w:rsid w:val="00D771C4"/>
    <w:rsid w:val="00D77256"/>
    <w:rsid w:val="00D77395"/>
    <w:rsid w:val="00D77463"/>
    <w:rsid w:val="00D774E1"/>
    <w:rsid w:val="00D7774A"/>
    <w:rsid w:val="00D77775"/>
    <w:rsid w:val="00D77788"/>
    <w:rsid w:val="00D777BC"/>
    <w:rsid w:val="00D7788D"/>
    <w:rsid w:val="00D7794A"/>
    <w:rsid w:val="00D779D0"/>
    <w:rsid w:val="00D77AE6"/>
    <w:rsid w:val="00D77B0E"/>
    <w:rsid w:val="00D77B6F"/>
    <w:rsid w:val="00D77BED"/>
    <w:rsid w:val="00D77CB7"/>
    <w:rsid w:val="00D77D1C"/>
    <w:rsid w:val="00D77F15"/>
    <w:rsid w:val="00D77F5A"/>
    <w:rsid w:val="00D800C5"/>
    <w:rsid w:val="00D8024A"/>
    <w:rsid w:val="00D80260"/>
    <w:rsid w:val="00D8043F"/>
    <w:rsid w:val="00D804AE"/>
    <w:rsid w:val="00D804D1"/>
    <w:rsid w:val="00D804E2"/>
    <w:rsid w:val="00D804FD"/>
    <w:rsid w:val="00D8066E"/>
    <w:rsid w:val="00D80690"/>
    <w:rsid w:val="00D80754"/>
    <w:rsid w:val="00D80774"/>
    <w:rsid w:val="00D8079F"/>
    <w:rsid w:val="00D807DC"/>
    <w:rsid w:val="00D80993"/>
    <w:rsid w:val="00D809A6"/>
    <w:rsid w:val="00D809D2"/>
    <w:rsid w:val="00D80AAD"/>
    <w:rsid w:val="00D80BE6"/>
    <w:rsid w:val="00D80D43"/>
    <w:rsid w:val="00D80E9A"/>
    <w:rsid w:val="00D80F61"/>
    <w:rsid w:val="00D8107D"/>
    <w:rsid w:val="00D81114"/>
    <w:rsid w:val="00D81174"/>
    <w:rsid w:val="00D813F2"/>
    <w:rsid w:val="00D8146A"/>
    <w:rsid w:val="00D81483"/>
    <w:rsid w:val="00D814D6"/>
    <w:rsid w:val="00D81635"/>
    <w:rsid w:val="00D8167B"/>
    <w:rsid w:val="00D816E2"/>
    <w:rsid w:val="00D817CD"/>
    <w:rsid w:val="00D81B2C"/>
    <w:rsid w:val="00D81BAD"/>
    <w:rsid w:val="00D81E6D"/>
    <w:rsid w:val="00D81F01"/>
    <w:rsid w:val="00D81F38"/>
    <w:rsid w:val="00D8219E"/>
    <w:rsid w:val="00D821CC"/>
    <w:rsid w:val="00D821CF"/>
    <w:rsid w:val="00D82245"/>
    <w:rsid w:val="00D8231C"/>
    <w:rsid w:val="00D82358"/>
    <w:rsid w:val="00D82375"/>
    <w:rsid w:val="00D823CA"/>
    <w:rsid w:val="00D823DD"/>
    <w:rsid w:val="00D82448"/>
    <w:rsid w:val="00D8244E"/>
    <w:rsid w:val="00D8254A"/>
    <w:rsid w:val="00D825AF"/>
    <w:rsid w:val="00D82749"/>
    <w:rsid w:val="00D827D8"/>
    <w:rsid w:val="00D82976"/>
    <w:rsid w:val="00D82D12"/>
    <w:rsid w:val="00D82D63"/>
    <w:rsid w:val="00D82E72"/>
    <w:rsid w:val="00D82F62"/>
    <w:rsid w:val="00D82FF7"/>
    <w:rsid w:val="00D830E2"/>
    <w:rsid w:val="00D83103"/>
    <w:rsid w:val="00D83126"/>
    <w:rsid w:val="00D831F3"/>
    <w:rsid w:val="00D83414"/>
    <w:rsid w:val="00D835E7"/>
    <w:rsid w:val="00D836EF"/>
    <w:rsid w:val="00D83701"/>
    <w:rsid w:val="00D837D9"/>
    <w:rsid w:val="00D83809"/>
    <w:rsid w:val="00D83868"/>
    <w:rsid w:val="00D83918"/>
    <w:rsid w:val="00D83A0D"/>
    <w:rsid w:val="00D83A72"/>
    <w:rsid w:val="00D83B76"/>
    <w:rsid w:val="00D83D0F"/>
    <w:rsid w:val="00D83DA8"/>
    <w:rsid w:val="00D83DED"/>
    <w:rsid w:val="00D83F4F"/>
    <w:rsid w:val="00D83F84"/>
    <w:rsid w:val="00D83FA2"/>
    <w:rsid w:val="00D83FC9"/>
    <w:rsid w:val="00D8401B"/>
    <w:rsid w:val="00D8451A"/>
    <w:rsid w:val="00D845C4"/>
    <w:rsid w:val="00D8462B"/>
    <w:rsid w:val="00D846E5"/>
    <w:rsid w:val="00D84723"/>
    <w:rsid w:val="00D84C85"/>
    <w:rsid w:val="00D84D36"/>
    <w:rsid w:val="00D84D73"/>
    <w:rsid w:val="00D84E69"/>
    <w:rsid w:val="00D84E94"/>
    <w:rsid w:val="00D85062"/>
    <w:rsid w:val="00D85726"/>
    <w:rsid w:val="00D8576C"/>
    <w:rsid w:val="00D858C9"/>
    <w:rsid w:val="00D858F9"/>
    <w:rsid w:val="00D85907"/>
    <w:rsid w:val="00D85CE1"/>
    <w:rsid w:val="00D85DF1"/>
    <w:rsid w:val="00D85E79"/>
    <w:rsid w:val="00D85EAC"/>
    <w:rsid w:val="00D85EE8"/>
    <w:rsid w:val="00D85FDA"/>
    <w:rsid w:val="00D86093"/>
    <w:rsid w:val="00D860BF"/>
    <w:rsid w:val="00D860E4"/>
    <w:rsid w:val="00D860F8"/>
    <w:rsid w:val="00D861FA"/>
    <w:rsid w:val="00D86206"/>
    <w:rsid w:val="00D8624F"/>
    <w:rsid w:val="00D86275"/>
    <w:rsid w:val="00D86375"/>
    <w:rsid w:val="00D863C6"/>
    <w:rsid w:val="00D8646C"/>
    <w:rsid w:val="00D86486"/>
    <w:rsid w:val="00D86597"/>
    <w:rsid w:val="00D865B2"/>
    <w:rsid w:val="00D868F8"/>
    <w:rsid w:val="00D8698B"/>
    <w:rsid w:val="00D869EC"/>
    <w:rsid w:val="00D86AF4"/>
    <w:rsid w:val="00D86D15"/>
    <w:rsid w:val="00D86DBA"/>
    <w:rsid w:val="00D86E1C"/>
    <w:rsid w:val="00D870C5"/>
    <w:rsid w:val="00D870F7"/>
    <w:rsid w:val="00D8718B"/>
    <w:rsid w:val="00D871A0"/>
    <w:rsid w:val="00D87210"/>
    <w:rsid w:val="00D872C5"/>
    <w:rsid w:val="00D87344"/>
    <w:rsid w:val="00D87354"/>
    <w:rsid w:val="00D874BC"/>
    <w:rsid w:val="00D874CE"/>
    <w:rsid w:val="00D87562"/>
    <w:rsid w:val="00D87576"/>
    <w:rsid w:val="00D8759C"/>
    <w:rsid w:val="00D877DC"/>
    <w:rsid w:val="00D8782B"/>
    <w:rsid w:val="00D87962"/>
    <w:rsid w:val="00D879BD"/>
    <w:rsid w:val="00D87A44"/>
    <w:rsid w:val="00D87A96"/>
    <w:rsid w:val="00D87BC0"/>
    <w:rsid w:val="00D87E85"/>
    <w:rsid w:val="00D87EF6"/>
    <w:rsid w:val="00D87F50"/>
    <w:rsid w:val="00D9000E"/>
    <w:rsid w:val="00D901F9"/>
    <w:rsid w:val="00D902B3"/>
    <w:rsid w:val="00D903C7"/>
    <w:rsid w:val="00D903E6"/>
    <w:rsid w:val="00D90425"/>
    <w:rsid w:val="00D904CE"/>
    <w:rsid w:val="00D905A1"/>
    <w:rsid w:val="00D90633"/>
    <w:rsid w:val="00D906CB"/>
    <w:rsid w:val="00D90767"/>
    <w:rsid w:val="00D907F8"/>
    <w:rsid w:val="00D907FC"/>
    <w:rsid w:val="00D90962"/>
    <w:rsid w:val="00D90A41"/>
    <w:rsid w:val="00D90B4C"/>
    <w:rsid w:val="00D90B9E"/>
    <w:rsid w:val="00D90BF8"/>
    <w:rsid w:val="00D90CFA"/>
    <w:rsid w:val="00D90E99"/>
    <w:rsid w:val="00D90F1B"/>
    <w:rsid w:val="00D9110A"/>
    <w:rsid w:val="00D911D6"/>
    <w:rsid w:val="00D91310"/>
    <w:rsid w:val="00D9135D"/>
    <w:rsid w:val="00D913ED"/>
    <w:rsid w:val="00D9140C"/>
    <w:rsid w:val="00D9148F"/>
    <w:rsid w:val="00D91693"/>
    <w:rsid w:val="00D91761"/>
    <w:rsid w:val="00D918F5"/>
    <w:rsid w:val="00D91AA1"/>
    <w:rsid w:val="00D91CEE"/>
    <w:rsid w:val="00D91E22"/>
    <w:rsid w:val="00D91FF6"/>
    <w:rsid w:val="00D92043"/>
    <w:rsid w:val="00D92053"/>
    <w:rsid w:val="00D920A6"/>
    <w:rsid w:val="00D92137"/>
    <w:rsid w:val="00D92188"/>
    <w:rsid w:val="00D921A8"/>
    <w:rsid w:val="00D9226F"/>
    <w:rsid w:val="00D922C7"/>
    <w:rsid w:val="00D92304"/>
    <w:rsid w:val="00D923E3"/>
    <w:rsid w:val="00D9240C"/>
    <w:rsid w:val="00D92456"/>
    <w:rsid w:val="00D92499"/>
    <w:rsid w:val="00D924BD"/>
    <w:rsid w:val="00D9252C"/>
    <w:rsid w:val="00D926CE"/>
    <w:rsid w:val="00D928AD"/>
    <w:rsid w:val="00D9292C"/>
    <w:rsid w:val="00D92AAC"/>
    <w:rsid w:val="00D92B26"/>
    <w:rsid w:val="00D92D6F"/>
    <w:rsid w:val="00D92E28"/>
    <w:rsid w:val="00D92E36"/>
    <w:rsid w:val="00D930B7"/>
    <w:rsid w:val="00D930BF"/>
    <w:rsid w:val="00D93280"/>
    <w:rsid w:val="00D9330B"/>
    <w:rsid w:val="00D9338F"/>
    <w:rsid w:val="00D933CA"/>
    <w:rsid w:val="00D933EF"/>
    <w:rsid w:val="00D933F4"/>
    <w:rsid w:val="00D934A3"/>
    <w:rsid w:val="00D9356E"/>
    <w:rsid w:val="00D93570"/>
    <w:rsid w:val="00D93646"/>
    <w:rsid w:val="00D93771"/>
    <w:rsid w:val="00D937FF"/>
    <w:rsid w:val="00D93804"/>
    <w:rsid w:val="00D93847"/>
    <w:rsid w:val="00D938B5"/>
    <w:rsid w:val="00D938C9"/>
    <w:rsid w:val="00D93B70"/>
    <w:rsid w:val="00D93B80"/>
    <w:rsid w:val="00D93BC9"/>
    <w:rsid w:val="00D93C95"/>
    <w:rsid w:val="00D93CD4"/>
    <w:rsid w:val="00D93D2B"/>
    <w:rsid w:val="00D93D8E"/>
    <w:rsid w:val="00D93F4C"/>
    <w:rsid w:val="00D93FF8"/>
    <w:rsid w:val="00D940C8"/>
    <w:rsid w:val="00D940F7"/>
    <w:rsid w:val="00D941F8"/>
    <w:rsid w:val="00D9431C"/>
    <w:rsid w:val="00D94399"/>
    <w:rsid w:val="00D94546"/>
    <w:rsid w:val="00D94580"/>
    <w:rsid w:val="00D945C4"/>
    <w:rsid w:val="00D945D5"/>
    <w:rsid w:val="00D9461F"/>
    <w:rsid w:val="00D946BC"/>
    <w:rsid w:val="00D9483D"/>
    <w:rsid w:val="00D948AF"/>
    <w:rsid w:val="00D948FE"/>
    <w:rsid w:val="00D94961"/>
    <w:rsid w:val="00D949C8"/>
    <w:rsid w:val="00D949EF"/>
    <w:rsid w:val="00D949FA"/>
    <w:rsid w:val="00D94AF3"/>
    <w:rsid w:val="00D94BBA"/>
    <w:rsid w:val="00D94C64"/>
    <w:rsid w:val="00D94C9D"/>
    <w:rsid w:val="00D94CE1"/>
    <w:rsid w:val="00D94D7A"/>
    <w:rsid w:val="00D94E5E"/>
    <w:rsid w:val="00D94ED5"/>
    <w:rsid w:val="00D94F42"/>
    <w:rsid w:val="00D94FD7"/>
    <w:rsid w:val="00D950D7"/>
    <w:rsid w:val="00D95256"/>
    <w:rsid w:val="00D95433"/>
    <w:rsid w:val="00D9562B"/>
    <w:rsid w:val="00D95746"/>
    <w:rsid w:val="00D9590A"/>
    <w:rsid w:val="00D9594E"/>
    <w:rsid w:val="00D95AF8"/>
    <w:rsid w:val="00D95B27"/>
    <w:rsid w:val="00D95C08"/>
    <w:rsid w:val="00D95D60"/>
    <w:rsid w:val="00D96142"/>
    <w:rsid w:val="00D961F2"/>
    <w:rsid w:val="00D9631B"/>
    <w:rsid w:val="00D963DE"/>
    <w:rsid w:val="00D9645F"/>
    <w:rsid w:val="00D966A0"/>
    <w:rsid w:val="00D966BB"/>
    <w:rsid w:val="00D9673B"/>
    <w:rsid w:val="00D968B4"/>
    <w:rsid w:val="00D968F8"/>
    <w:rsid w:val="00D9693E"/>
    <w:rsid w:val="00D96B7C"/>
    <w:rsid w:val="00D96B9B"/>
    <w:rsid w:val="00D96BC9"/>
    <w:rsid w:val="00D96BE9"/>
    <w:rsid w:val="00D96D59"/>
    <w:rsid w:val="00D96FEC"/>
    <w:rsid w:val="00D97097"/>
    <w:rsid w:val="00D970A4"/>
    <w:rsid w:val="00D97258"/>
    <w:rsid w:val="00D972F8"/>
    <w:rsid w:val="00D97306"/>
    <w:rsid w:val="00D974E9"/>
    <w:rsid w:val="00D97521"/>
    <w:rsid w:val="00D97522"/>
    <w:rsid w:val="00D97554"/>
    <w:rsid w:val="00D97585"/>
    <w:rsid w:val="00D97664"/>
    <w:rsid w:val="00D9771D"/>
    <w:rsid w:val="00D977E0"/>
    <w:rsid w:val="00D97824"/>
    <w:rsid w:val="00D97890"/>
    <w:rsid w:val="00D979E4"/>
    <w:rsid w:val="00D97B07"/>
    <w:rsid w:val="00D97BF9"/>
    <w:rsid w:val="00D97C12"/>
    <w:rsid w:val="00D97C20"/>
    <w:rsid w:val="00D97DDC"/>
    <w:rsid w:val="00D97EB8"/>
    <w:rsid w:val="00D97F44"/>
    <w:rsid w:val="00DA00EE"/>
    <w:rsid w:val="00DA02AC"/>
    <w:rsid w:val="00DA0309"/>
    <w:rsid w:val="00DA0332"/>
    <w:rsid w:val="00DA0337"/>
    <w:rsid w:val="00DA045E"/>
    <w:rsid w:val="00DA0540"/>
    <w:rsid w:val="00DA0568"/>
    <w:rsid w:val="00DA0588"/>
    <w:rsid w:val="00DA05FF"/>
    <w:rsid w:val="00DA0699"/>
    <w:rsid w:val="00DA0ACD"/>
    <w:rsid w:val="00DA0C43"/>
    <w:rsid w:val="00DA0C93"/>
    <w:rsid w:val="00DA0CF3"/>
    <w:rsid w:val="00DA0EBA"/>
    <w:rsid w:val="00DA0F49"/>
    <w:rsid w:val="00DA1083"/>
    <w:rsid w:val="00DA1148"/>
    <w:rsid w:val="00DA11A3"/>
    <w:rsid w:val="00DA1317"/>
    <w:rsid w:val="00DA1322"/>
    <w:rsid w:val="00DA137D"/>
    <w:rsid w:val="00DA13F6"/>
    <w:rsid w:val="00DA13F9"/>
    <w:rsid w:val="00DA1407"/>
    <w:rsid w:val="00DA1478"/>
    <w:rsid w:val="00DA16FA"/>
    <w:rsid w:val="00DA1720"/>
    <w:rsid w:val="00DA18C8"/>
    <w:rsid w:val="00DA1974"/>
    <w:rsid w:val="00DA19B7"/>
    <w:rsid w:val="00DA1A1B"/>
    <w:rsid w:val="00DA1AE4"/>
    <w:rsid w:val="00DA1BAB"/>
    <w:rsid w:val="00DA1BC6"/>
    <w:rsid w:val="00DA1CAC"/>
    <w:rsid w:val="00DA1DCB"/>
    <w:rsid w:val="00DA200F"/>
    <w:rsid w:val="00DA23E0"/>
    <w:rsid w:val="00DA25C0"/>
    <w:rsid w:val="00DA269E"/>
    <w:rsid w:val="00DA2732"/>
    <w:rsid w:val="00DA2783"/>
    <w:rsid w:val="00DA27A8"/>
    <w:rsid w:val="00DA2917"/>
    <w:rsid w:val="00DA3074"/>
    <w:rsid w:val="00DA329A"/>
    <w:rsid w:val="00DA331B"/>
    <w:rsid w:val="00DA334D"/>
    <w:rsid w:val="00DA335F"/>
    <w:rsid w:val="00DA33EB"/>
    <w:rsid w:val="00DA374C"/>
    <w:rsid w:val="00DA37F1"/>
    <w:rsid w:val="00DA38C5"/>
    <w:rsid w:val="00DA38CD"/>
    <w:rsid w:val="00DA3988"/>
    <w:rsid w:val="00DA39EF"/>
    <w:rsid w:val="00DA3A06"/>
    <w:rsid w:val="00DA3A20"/>
    <w:rsid w:val="00DA3A37"/>
    <w:rsid w:val="00DA3ADB"/>
    <w:rsid w:val="00DA3B38"/>
    <w:rsid w:val="00DA3BAE"/>
    <w:rsid w:val="00DA3BE2"/>
    <w:rsid w:val="00DA3C01"/>
    <w:rsid w:val="00DA3C6F"/>
    <w:rsid w:val="00DA3D92"/>
    <w:rsid w:val="00DA3DD5"/>
    <w:rsid w:val="00DA3E7F"/>
    <w:rsid w:val="00DA3F0F"/>
    <w:rsid w:val="00DA3F7D"/>
    <w:rsid w:val="00DA3F84"/>
    <w:rsid w:val="00DA4088"/>
    <w:rsid w:val="00DA408E"/>
    <w:rsid w:val="00DA40B6"/>
    <w:rsid w:val="00DA42FD"/>
    <w:rsid w:val="00DA430A"/>
    <w:rsid w:val="00DA433F"/>
    <w:rsid w:val="00DA4593"/>
    <w:rsid w:val="00DA4629"/>
    <w:rsid w:val="00DA4635"/>
    <w:rsid w:val="00DA465E"/>
    <w:rsid w:val="00DA46B2"/>
    <w:rsid w:val="00DA46C5"/>
    <w:rsid w:val="00DA4706"/>
    <w:rsid w:val="00DA475E"/>
    <w:rsid w:val="00DA4775"/>
    <w:rsid w:val="00DA4787"/>
    <w:rsid w:val="00DA4789"/>
    <w:rsid w:val="00DA47E0"/>
    <w:rsid w:val="00DA4804"/>
    <w:rsid w:val="00DA483D"/>
    <w:rsid w:val="00DA48C0"/>
    <w:rsid w:val="00DA492D"/>
    <w:rsid w:val="00DA4997"/>
    <w:rsid w:val="00DA49A7"/>
    <w:rsid w:val="00DA49F2"/>
    <w:rsid w:val="00DA4A1F"/>
    <w:rsid w:val="00DA4B71"/>
    <w:rsid w:val="00DA4B97"/>
    <w:rsid w:val="00DA4D06"/>
    <w:rsid w:val="00DA4DD8"/>
    <w:rsid w:val="00DA4E76"/>
    <w:rsid w:val="00DA4E77"/>
    <w:rsid w:val="00DA4EEE"/>
    <w:rsid w:val="00DA4F14"/>
    <w:rsid w:val="00DA50E5"/>
    <w:rsid w:val="00DA516F"/>
    <w:rsid w:val="00DA5219"/>
    <w:rsid w:val="00DA5251"/>
    <w:rsid w:val="00DA5265"/>
    <w:rsid w:val="00DA54C2"/>
    <w:rsid w:val="00DA56F7"/>
    <w:rsid w:val="00DA5732"/>
    <w:rsid w:val="00DA5800"/>
    <w:rsid w:val="00DA5844"/>
    <w:rsid w:val="00DA5A42"/>
    <w:rsid w:val="00DA5AB5"/>
    <w:rsid w:val="00DA5AB6"/>
    <w:rsid w:val="00DA5ABA"/>
    <w:rsid w:val="00DA5BA6"/>
    <w:rsid w:val="00DA5BCC"/>
    <w:rsid w:val="00DA5C5F"/>
    <w:rsid w:val="00DA5CBC"/>
    <w:rsid w:val="00DA5D1B"/>
    <w:rsid w:val="00DA60B3"/>
    <w:rsid w:val="00DA60DD"/>
    <w:rsid w:val="00DA6122"/>
    <w:rsid w:val="00DA612A"/>
    <w:rsid w:val="00DA617D"/>
    <w:rsid w:val="00DA6241"/>
    <w:rsid w:val="00DA6299"/>
    <w:rsid w:val="00DA6499"/>
    <w:rsid w:val="00DA6561"/>
    <w:rsid w:val="00DA66A9"/>
    <w:rsid w:val="00DA66EC"/>
    <w:rsid w:val="00DA673F"/>
    <w:rsid w:val="00DA69E7"/>
    <w:rsid w:val="00DA69F8"/>
    <w:rsid w:val="00DA6A8B"/>
    <w:rsid w:val="00DA6B6B"/>
    <w:rsid w:val="00DA6B81"/>
    <w:rsid w:val="00DA6BC8"/>
    <w:rsid w:val="00DA6D02"/>
    <w:rsid w:val="00DA6D78"/>
    <w:rsid w:val="00DA7119"/>
    <w:rsid w:val="00DA7140"/>
    <w:rsid w:val="00DA716B"/>
    <w:rsid w:val="00DA71BB"/>
    <w:rsid w:val="00DA72ED"/>
    <w:rsid w:val="00DA73BB"/>
    <w:rsid w:val="00DA73DB"/>
    <w:rsid w:val="00DA7475"/>
    <w:rsid w:val="00DA74E3"/>
    <w:rsid w:val="00DA74F2"/>
    <w:rsid w:val="00DA752A"/>
    <w:rsid w:val="00DA75AE"/>
    <w:rsid w:val="00DA75F8"/>
    <w:rsid w:val="00DA763B"/>
    <w:rsid w:val="00DA775D"/>
    <w:rsid w:val="00DA7773"/>
    <w:rsid w:val="00DA77B8"/>
    <w:rsid w:val="00DA7ACA"/>
    <w:rsid w:val="00DA7BAF"/>
    <w:rsid w:val="00DA7CA9"/>
    <w:rsid w:val="00DA7DA3"/>
    <w:rsid w:val="00DA7E48"/>
    <w:rsid w:val="00DB00CA"/>
    <w:rsid w:val="00DB02BD"/>
    <w:rsid w:val="00DB036A"/>
    <w:rsid w:val="00DB0494"/>
    <w:rsid w:val="00DB0541"/>
    <w:rsid w:val="00DB05C6"/>
    <w:rsid w:val="00DB0705"/>
    <w:rsid w:val="00DB075B"/>
    <w:rsid w:val="00DB077C"/>
    <w:rsid w:val="00DB094C"/>
    <w:rsid w:val="00DB09C2"/>
    <w:rsid w:val="00DB0AE6"/>
    <w:rsid w:val="00DB0C9C"/>
    <w:rsid w:val="00DB0D71"/>
    <w:rsid w:val="00DB0D79"/>
    <w:rsid w:val="00DB0DF9"/>
    <w:rsid w:val="00DB0E62"/>
    <w:rsid w:val="00DB0EB1"/>
    <w:rsid w:val="00DB0EDD"/>
    <w:rsid w:val="00DB0F7C"/>
    <w:rsid w:val="00DB0FA8"/>
    <w:rsid w:val="00DB10CC"/>
    <w:rsid w:val="00DB10FD"/>
    <w:rsid w:val="00DB115B"/>
    <w:rsid w:val="00DB11E3"/>
    <w:rsid w:val="00DB1348"/>
    <w:rsid w:val="00DB1428"/>
    <w:rsid w:val="00DB1565"/>
    <w:rsid w:val="00DB1627"/>
    <w:rsid w:val="00DB170E"/>
    <w:rsid w:val="00DB1718"/>
    <w:rsid w:val="00DB1741"/>
    <w:rsid w:val="00DB1772"/>
    <w:rsid w:val="00DB1B7A"/>
    <w:rsid w:val="00DB1B7D"/>
    <w:rsid w:val="00DB1BE2"/>
    <w:rsid w:val="00DB1C23"/>
    <w:rsid w:val="00DB1C72"/>
    <w:rsid w:val="00DB1CAA"/>
    <w:rsid w:val="00DB1E07"/>
    <w:rsid w:val="00DB1E6C"/>
    <w:rsid w:val="00DB1E77"/>
    <w:rsid w:val="00DB2069"/>
    <w:rsid w:val="00DB20BB"/>
    <w:rsid w:val="00DB21CA"/>
    <w:rsid w:val="00DB2238"/>
    <w:rsid w:val="00DB2379"/>
    <w:rsid w:val="00DB2382"/>
    <w:rsid w:val="00DB23E1"/>
    <w:rsid w:val="00DB2413"/>
    <w:rsid w:val="00DB25C2"/>
    <w:rsid w:val="00DB2722"/>
    <w:rsid w:val="00DB2973"/>
    <w:rsid w:val="00DB2AF1"/>
    <w:rsid w:val="00DB2B4B"/>
    <w:rsid w:val="00DB2C4D"/>
    <w:rsid w:val="00DB2CCF"/>
    <w:rsid w:val="00DB2DDE"/>
    <w:rsid w:val="00DB2E41"/>
    <w:rsid w:val="00DB2FF6"/>
    <w:rsid w:val="00DB302B"/>
    <w:rsid w:val="00DB30FB"/>
    <w:rsid w:val="00DB3181"/>
    <w:rsid w:val="00DB31D9"/>
    <w:rsid w:val="00DB32CB"/>
    <w:rsid w:val="00DB32F8"/>
    <w:rsid w:val="00DB34C0"/>
    <w:rsid w:val="00DB35B7"/>
    <w:rsid w:val="00DB36A5"/>
    <w:rsid w:val="00DB3A2A"/>
    <w:rsid w:val="00DB3AB4"/>
    <w:rsid w:val="00DB3B0E"/>
    <w:rsid w:val="00DB3B57"/>
    <w:rsid w:val="00DB3B69"/>
    <w:rsid w:val="00DB3C6A"/>
    <w:rsid w:val="00DB3C7F"/>
    <w:rsid w:val="00DB3D03"/>
    <w:rsid w:val="00DB3D26"/>
    <w:rsid w:val="00DB3E14"/>
    <w:rsid w:val="00DB3F1B"/>
    <w:rsid w:val="00DB3F29"/>
    <w:rsid w:val="00DB4021"/>
    <w:rsid w:val="00DB402B"/>
    <w:rsid w:val="00DB41F0"/>
    <w:rsid w:val="00DB420B"/>
    <w:rsid w:val="00DB43E5"/>
    <w:rsid w:val="00DB4441"/>
    <w:rsid w:val="00DB44C9"/>
    <w:rsid w:val="00DB45A6"/>
    <w:rsid w:val="00DB46D6"/>
    <w:rsid w:val="00DB4720"/>
    <w:rsid w:val="00DB47C6"/>
    <w:rsid w:val="00DB4A9C"/>
    <w:rsid w:val="00DB4BA7"/>
    <w:rsid w:val="00DB4CE3"/>
    <w:rsid w:val="00DB4DF4"/>
    <w:rsid w:val="00DB4E8B"/>
    <w:rsid w:val="00DB507E"/>
    <w:rsid w:val="00DB5086"/>
    <w:rsid w:val="00DB52F2"/>
    <w:rsid w:val="00DB5346"/>
    <w:rsid w:val="00DB53DC"/>
    <w:rsid w:val="00DB53EC"/>
    <w:rsid w:val="00DB5441"/>
    <w:rsid w:val="00DB550D"/>
    <w:rsid w:val="00DB55DB"/>
    <w:rsid w:val="00DB563A"/>
    <w:rsid w:val="00DB56BF"/>
    <w:rsid w:val="00DB57FB"/>
    <w:rsid w:val="00DB59AE"/>
    <w:rsid w:val="00DB5A35"/>
    <w:rsid w:val="00DB5AB6"/>
    <w:rsid w:val="00DB5B14"/>
    <w:rsid w:val="00DB5B9A"/>
    <w:rsid w:val="00DB5BCE"/>
    <w:rsid w:val="00DB5D02"/>
    <w:rsid w:val="00DB5D0F"/>
    <w:rsid w:val="00DB5DAD"/>
    <w:rsid w:val="00DB5E0A"/>
    <w:rsid w:val="00DB5EAE"/>
    <w:rsid w:val="00DB5F46"/>
    <w:rsid w:val="00DB6097"/>
    <w:rsid w:val="00DB62F7"/>
    <w:rsid w:val="00DB641C"/>
    <w:rsid w:val="00DB642E"/>
    <w:rsid w:val="00DB6529"/>
    <w:rsid w:val="00DB6533"/>
    <w:rsid w:val="00DB665C"/>
    <w:rsid w:val="00DB6738"/>
    <w:rsid w:val="00DB67DC"/>
    <w:rsid w:val="00DB68A7"/>
    <w:rsid w:val="00DB68AA"/>
    <w:rsid w:val="00DB69E5"/>
    <w:rsid w:val="00DB69F6"/>
    <w:rsid w:val="00DB6AF2"/>
    <w:rsid w:val="00DB6B40"/>
    <w:rsid w:val="00DB6B4B"/>
    <w:rsid w:val="00DB6C7D"/>
    <w:rsid w:val="00DB6E19"/>
    <w:rsid w:val="00DB70B2"/>
    <w:rsid w:val="00DB73D6"/>
    <w:rsid w:val="00DB770C"/>
    <w:rsid w:val="00DB7872"/>
    <w:rsid w:val="00DB78B9"/>
    <w:rsid w:val="00DB78F8"/>
    <w:rsid w:val="00DB796F"/>
    <w:rsid w:val="00DB79CF"/>
    <w:rsid w:val="00DB79FE"/>
    <w:rsid w:val="00DB7AB7"/>
    <w:rsid w:val="00DB7CDD"/>
    <w:rsid w:val="00DB7CF5"/>
    <w:rsid w:val="00DB7F0D"/>
    <w:rsid w:val="00DC0089"/>
    <w:rsid w:val="00DC0226"/>
    <w:rsid w:val="00DC035E"/>
    <w:rsid w:val="00DC042B"/>
    <w:rsid w:val="00DC051F"/>
    <w:rsid w:val="00DC055F"/>
    <w:rsid w:val="00DC058E"/>
    <w:rsid w:val="00DC05BF"/>
    <w:rsid w:val="00DC0674"/>
    <w:rsid w:val="00DC06F6"/>
    <w:rsid w:val="00DC0745"/>
    <w:rsid w:val="00DC0748"/>
    <w:rsid w:val="00DC0794"/>
    <w:rsid w:val="00DC07C0"/>
    <w:rsid w:val="00DC085F"/>
    <w:rsid w:val="00DC08A4"/>
    <w:rsid w:val="00DC08A5"/>
    <w:rsid w:val="00DC0951"/>
    <w:rsid w:val="00DC09BE"/>
    <w:rsid w:val="00DC0A17"/>
    <w:rsid w:val="00DC0C29"/>
    <w:rsid w:val="00DC0C89"/>
    <w:rsid w:val="00DC0CAF"/>
    <w:rsid w:val="00DC0DD3"/>
    <w:rsid w:val="00DC0E25"/>
    <w:rsid w:val="00DC0EE6"/>
    <w:rsid w:val="00DC10EE"/>
    <w:rsid w:val="00DC12A9"/>
    <w:rsid w:val="00DC131B"/>
    <w:rsid w:val="00DC15A6"/>
    <w:rsid w:val="00DC1603"/>
    <w:rsid w:val="00DC16AC"/>
    <w:rsid w:val="00DC16BD"/>
    <w:rsid w:val="00DC190E"/>
    <w:rsid w:val="00DC191A"/>
    <w:rsid w:val="00DC1927"/>
    <w:rsid w:val="00DC19F4"/>
    <w:rsid w:val="00DC1CE6"/>
    <w:rsid w:val="00DC2118"/>
    <w:rsid w:val="00DC2129"/>
    <w:rsid w:val="00DC2209"/>
    <w:rsid w:val="00DC2393"/>
    <w:rsid w:val="00DC2463"/>
    <w:rsid w:val="00DC266B"/>
    <w:rsid w:val="00DC26C4"/>
    <w:rsid w:val="00DC26D5"/>
    <w:rsid w:val="00DC281E"/>
    <w:rsid w:val="00DC290D"/>
    <w:rsid w:val="00DC2C1C"/>
    <w:rsid w:val="00DC2D01"/>
    <w:rsid w:val="00DC2D21"/>
    <w:rsid w:val="00DC2D4B"/>
    <w:rsid w:val="00DC2DA8"/>
    <w:rsid w:val="00DC2E2C"/>
    <w:rsid w:val="00DC2EDD"/>
    <w:rsid w:val="00DC3030"/>
    <w:rsid w:val="00DC304A"/>
    <w:rsid w:val="00DC30A2"/>
    <w:rsid w:val="00DC30D7"/>
    <w:rsid w:val="00DC3198"/>
    <w:rsid w:val="00DC31BA"/>
    <w:rsid w:val="00DC31F4"/>
    <w:rsid w:val="00DC32FA"/>
    <w:rsid w:val="00DC33AE"/>
    <w:rsid w:val="00DC33D6"/>
    <w:rsid w:val="00DC356F"/>
    <w:rsid w:val="00DC3610"/>
    <w:rsid w:val="00DC370A"/>
    <w:rsid w:val="00DC3858"/>
    <w:rsid w:val="00DC3864"/>
    <w:rsid w:val="00DC388F"/>
    <w:rsid w:val="00DC390B"/>
    <w:rsid w:val="00DC395B"/>
    <w:rsid w:val="00DC39CF"/>
    <w:rsid w:val="00DC3D38"/>
    <w:rsid w:val="00DC3D73"/>
    <w:rsid w:val="00DC3F82"/>
    <w:rsid w:val="00DC4019"/>
    <w:rsid w:val="00DC4150"/>
    <w:rsid w:val="00DC418E"/>
    <w:rsid w:val="00DC4208"/>
    <w:rsid w:val="00DC4245"/>
    <w:rsid w:val="00DC42D8"/>
    <w:rsid w:val="00DC4319"/>
    <w:rsid w:val="00DC4359"/>
    <w:rsid w:val="00DC4448"/>
    <w:rsid w:val="00DC4468"/>
    <w:rsid w:val="00DC45C0"/>
    <w:rsid w:val="00DC45C3"/>
    <w:rsid w:val="00DC4854"/>
    <w:rsid w:val="00DC48A5"/>
    <w:rsid w:val="00DC490D"/>
    <w:rsid w:val="00DC492D"/>
    <w:rsid w:val="00DC497B"/>
    <w:rsid w:val="00DC4A6F"/>
    <w:rsid w:val="00DC4A8F"/>
    <w:rsid w:val="00DC4E90"/>
    <w:rsid w:val="00DC4F7B"/>
    <w:rsid w:val="00DC5123"/>
    <w:rsid w:val="00DC514E"/>
    <w:rsid w:val="00DC527F"/>
    <w:rsid w:val="00DC52AA"/>
    <w:rsid w:val="00DC5444"/>
    <w:rsid w:val="00DC5530"/>
    <w:rsid w:val="00DC561F"/>
    <w:rsid w:val="00DC574C"/>
    <w:rsid w:val="00DC5761"/>
    <w:rsid w:val="00DC5796"/>
    <w:rsid w:val="00DC5899"/>
    <w:rsid w:val="00DC5909"/>
    <w:rsid w:val="00DC593F"/>
    <w:rsid w:val="00DC5940"/>
    <w:rsid w:val="00DC59F1"/>
    <w:rsid w:val="00DC5B57"/>
    <w:rsid w:val="00DC5BD3"/>
    <w:rsid w:val="00DC5C07"/>
    <w:rsid w:val="00DC5E59"/>
    <w:rsid w:val="00DC5E63"/>
    <w:rsid w:val="00DC5F4F"/>
    <w:rsid w:val="00DC5FCD"/>
    <w:rsid w:val="00DC5FE1"/>
    <w:rsid w:val="00DC5FE5"/>
    <w:rsid w:val="00DC60D9"/>
    <w:rsid w:val="00DC63AF"/>
    <w:rsid w:val="00DC6467"/>
    <w:rsid w:val="00DC651B"/>
    <w:rsid w:val="00DC671B"/>
    <w:rsid w:val="00DC671E"/>
    <w:rsid w:val="00DC6761"/>
    <w:rsid w:val="00DC6766"/>
    <w:rsid w:val="00DC694F"/>
    <w:rsid w:val="00DC69D1"/>
    <w:rsid w:val="00DC69D3"/>
    <w:rsid w:val="00DC6A00"/>
    <w:rsid w:val="00DC6AF9"/>
    <w:rsid w:val="00DC6B2E"/>
    <w:rsid w:val="00DC6CAF"/>
    <w:rsid w:val="00DC6CF1"/>
    <w:rsid w:val="00DC6D28"/>
    <w:rsid w:val="00DC6DD4"/>
    <w:rsid w:val="00DC6F18"/>
    <w:rsid w:val="00DC6F23"/>
    <w:rsid w:val="00DC706C"/>
    <w:rsid w:val="00DC711F"/>
    <w:rsid w:val="00DC71A7"/>
    <w:rsid w:val="00DC71AC"/>
    <w:rsid w:val="00DC71FE"/>
    <w:rsid w:val="00DC73BF"/>
    <w:rsid w:val="00DC755B"/>
    <w:rsid w:val="00DC7816"/>
    <w:rsid w:val="00DC7850"/>
    <w:rsid w:val="00DC7863"/>
    <w:rsid w:val="00DC788D"/>
    <w:rsid w:val="00DC7984"/>
    <w:rsid w:val="00DC7C05"/>
    <w:rsid w:val="00DC7C98"/>
    <w:rsid w:val="00DC7E8F"/>
    <w:rsid w:val="00DC7EF0"/>
    <w:rsid w:val="00DC7F4C"/>
    <w:rsid w:val="00DD01F0"/>
    <w:rsid w:val="00DD03A9"/>
    <w:rsid w:val="00DD040C"/>
    <w:rsid w:val="00DD0575"/>
    <w:rsid w:val="00DD05AC"/>
    <w:rsid w:val="00DD0777"/>
    <w:rsid w:val="00DD078F"/>
    <w:rsid w:val="00DD083F"/>
    <w:rsid w:val="00DD089B"/>
    <w:rsid w:val="00DD08AA"/>
    <w:rsid w:val="00DD09D6"/>
    <w:rsid w:val="00DD0A21"/>
    <w:rsid w:val="00DD0A51"/>
    <w:rsid w:val="00DD0B3F"/>
    <w:rsid w:val="00DD0C0D"/>
    <w:rsid w:val="00DD0C2B"/>
    <w:rsid w:val="00DD0C4A"/>
    <w:rsid w:val="00DD119C"/>
    <w:rsid w:val="00DD12F7"/>
    <w:rsid w:val="00DD14AC"/>
    <w:rsid w:val="00DD154D"/>
    <w:rsid w:val="00DD157F"/>
    <w:rsid w:val="00DD158D"/>
    <w:rsid w:val="00DD1657"/>
    <w:rsid w:val="00DD1753"/>
    <w:rsid w:val="00DD1823"/>
    <w:rsid w:val="00DD184F"/>
    <w:rsid w:val="00DD19C5"/>
    <w:rsid w:val="00DD1A47"/>
    <w:rsid w:val="00DD1A84"/>
    <w:rsid w:val="00DD1ACF"/>
    <w:rsid w:val="00DD1B13"/>
    <w:rsid w:val="00DD1C43"/>
    <w:rsid w:val="00DD1CA2"/>
    <w:rsid w:val="00DD1D8B"/>
    <w:rsid w:val="00DD1DB2"/>
    <w:rsid w:val="00DD1F32"/>
    <w:rsid w:val="00DD2109"/>
    <w:rsid w:val="00DD2221"/>
    <w:rsid w:val="00DD2227"/>
    <w:rsid w:val="00DD2259"/>
    <w:rsid w:val="00DD230C"/>
    <w:rsid w:val="00DD23FE"/>
    <w:rsid w:val="00DD24F1"/>
    <w:rsid w:val="00DD2597"/>
    <w:rsid w:val="00DD25AB"/>
    <w:rsid w:val="00DD25E6"/>
    <w:rsid w:val="00DD275C"/>
    <w:rsid w:val="00DD2822"/>
    <w:rsid w:val="00DD28CA"/>
    <w:rsid w:val="00DD292A"/>
    <w:rsid w:val="00DD2B07"/>
    <w:rsid w:val="00DD2B69"/>
    <w:rsid w:val="00DD2C16"/>
    <w:rsid w:val="00DD2D0D"/>
    <w:rsid w:val="00DD2D1D"/>
    <w:rsid w:val="00DD2EA0"/>
    <w:rsid w:val="00DD2ED9"/>
    <w:rsid w:val="00DD2F30"/>
    <w:rsid w:val="00DD31E5"/>
    <w:rsid w:val="00DD3212"/>
    <w:rsid w:val="00DD32CE"/>
    <w:rsid w:val="00DD3314"/>
    <w:rsid w:val="00DD33B6"/>
    <w:rsid w:val="00DD341C"/>
    <w:rsid w:val="00DD3502"/>
    <w:rsid w:val="00DD3654"/>
    <w:rsid w:val="00DD366D"/>
    <w:rsid w:val="00DD370F"/>
    <w:rsid w:val="00DD37BC"/>
    <w:rsid w:val="00DD3819"/>
    <w:rsid w:val="00DD3867"/>
    <w:rsid w:val="00DD387F"/>
    <w:rsid w:val="00DD3911"/>
    <w:rsid w:val="00DD3B10"/>
    <w:rsid w:val="00DD3C4D"/>
    <w:rsid w:val="00DD3CF3"/>
    <w:rsid w:val="00DD3E4F"/>
    <w:rsid w:val="00DD3EA9"/>
    <w:rsid w:val="00DD3F27"/>
    <w:rsid w:val="00DD3F84"/>
    <w:rsid w:val="00DD3F8E"/>
    <w:rsid w:val="00DD4083"/>
    <w:rsid w:val="00DD4244"/>
    <w:rsid w:val="00DD439E"/>
    <w:rsid w:val="00DD43E7"/>
    <w:rsid w:val="00DD44C6"/>
    <w:rsid w:val="00DD4764"/>
    <w:rsid w:val="00DD47A2"/>
    <w:rsid w:val="00DD47AA"/>
    <w:rsid w:val="00DD4B5B"/>
    <w:rsid w:val="00DD4B67"/>
    <w:rsid w:val="00DD4B6A"/>
    <w:rsid w:val="00DD4BE3"/>
    <w:rsid w:val="00DD4D32"/>
    <w:rsid w:val="00DD4D3B"/>
    <w:rsid w:val="00DD4F2C"/>
    <w:rsid w:val="00DD510B"/>
    <w:rsid w:val="00DD51C8"/>
    <w:rsid w:val="00DD5203"/>
    <w:rsid w:val="00DD5205"/>
    <w:rsid w:val="00DD52BA"/>
    <w:rsid w:val="00DD5317"/>
    <w:rsid w:val="00DD533E"/>
    <w:rsid w:val="00DD5572"/>
    <w:rsid w:val="00DD566E"/>
    <w:rsid w:val="00DD5782"/>
    <w:rsid w:val="00DD582A"/>
    <w:rsid w:val="00DD58DE"/>
    <w:rsid w:val="00DD58F5"/>
    <w:rsid w:val="00DD5A69"/>
    <w:rsid w:val="00DD5BE2"/>
    <w:rsid w:val="00DD5C1D"/>
    <w:rsid w:val="00DD5C2B"/>
    <w:rsid w:val="00DD5D73"/>
    <w:rsid w:val="00DD5D75"/>
    <w:rsid w:val="00DD5EC8"/>
    <w:rsid w:val="00DD5FAD"/>
    <w:rsid w:val="00DD5FC0"/>
    <w:rsid w:val="00DD6073"/>
    <w:rsid w:val="00DD60BE"/>
    <w:rsid w:val="00DD61DB"/>
    <w:rsid w:val="00DD6233"/>
    <w:rsid w:val="00DD62C1"/>
    <w:rsid w:val="00DD6320"/>
    <w:rsid w:val="00DD6414"/>
    <w:rsid w:val="00DD6450"/>
    <w:rsid w:val="00DD649F"/>
    <w:rsid w:val="00DD65CA"/>
    <w:rsid w:val="00DD678F"/>
    <w:rsid w:val="00DD67EF"/>
    <w:rsid w:val="00DD6896"/>
    <w:rsid w:val="00DD6897"/>
    <w:rsid w:val="00DD6967"/>
    <w:rsid w:val="00DD6AC6"/>
    <w:rsid w:val="00DD6B5A"/>
    <w:rsid w:val="00DD6BAE"/>
    <w:rsid w:val="00DD6C0D"/>
    <w:rsid w:val="00DD6D01"/>
    <w:rsid w:val="00DD6D8A"/>
    <w:rsid w:val="00DD6DDD"/>
    <w:rsid w:val="00DD6DE2"/>
    <w:rsid w:val="00DD6E1D"/>
    <w:rsid w:val="00DD6E3F"/>
    <w:rsid w:val="00DD6ECC"/>
    <w:rsid w:val="00DD6FEA"/>
    <w:rsid w:val="00DD705A"/>
    <w:rsid w:val="00DD705F"/>
    <w:rsid w:val="00DD719D"/>
    <w:rsid w:val="00DD72C5"/>
    <w:rsid w:val="00DD73A1"/>
    <w:rsid w:val="00DD73BE"/>
    <w:rsid w:val="00DD7411"/>
    <w:rsid w:val="00DD75FE"/>
    <w:rsid w:val="00DD76BF"/>
    <w:rsid w:val="00DD76F1"/>
    <w:rsid w:val="00DD7718"/>
    <w:rsid w:val="00DD7799"/>
    <w:rsid w:val="00DD78BE"/>
    <w:rsid w:val="00DD78FC"/>
    <w:rsid w:val="00DD79E5"/>
    <w:rsid w:val="00DD7A3F"/>
    <w:rsid w:val="00DD7A60"/>
    <w:rsid w:val="00DD7A78"/>
    <w:rsid w:val="00DD7DD3"/>
    <w:rsid w:val="00DE0159"/>
    <w:rsid w:val="00DE018E"/>
    <w:rsid w:val="00DE0242"/>
    <w:rsid w:val="00DE02ED"/>
    <w:rsid w:val="00DE0376"/>
    <w:rsid w:val="00DE041D"/>
    <w:rsid w:val="00DE0437"/>
    <w:rsid w:val="00DE04CD"/>
    <w:rsid w:val="00DE062A"/>
    <w:rsid w:val="00DE067B"/>
    <w:rsid w:val="00DE08C6"/>
    <w:rsid w:val="00DE094A"/>
    <w:rsid w:val="00DE0ADF"/>
    <w:rsid w:val="00DE0B18"/>
    <w:rsid w:val="00DE0BC2"/>
    <w:rsid w:val="00DE0BD8"/>
    <w:rsid w:val="00DE0BF0"/>
    <w:rsid w:val="00DE0D16"/>
    <w:rsid w:val="00DE0E23"/>
    <w:rsid w:val="00DE0EB6"/>
    <w:rsid w:val="00DE0ECB"/>
    <w:rsid w:val="00DE0F07"/>
    <w:rsid w:val="00DE0FBB"/>
    <w:rsid w:val="00DE0FC4"/>
    <w:rsid w:val="00DE0FFB"/>
    <w:rsid w:val="00DE104D"/>
    <w:rsid w:val="00DE13D5"/>
    <w:rsid w:val="00DE13FD"/>
    <w:rsid w:val="00DE1463"/>
    <w:rsid w:val="00DE14B9"/>
    <w:rsid w:val="00DE1699"/>
    <w:rsid w:val="00DE16D1"/>
    <w:rsid w:val="00DE16EE"/>
    <w:rsid w:val="00DE1769"/>
    <w:rsid w:val="00DE17EE"/>
    <w:rsid w:val="00DE18CE"/>
    <w:rsid w:val="00DE1983"/>
    <w:rsid w:val="00DE1A0A"/>
    <w:rsid w:val="00DE1AD8"/>
    <w:rsid w:val="00DE1ADF"/>
    <w:rsid w:val="00DE1BF9"/>
    <w:rsid w:val="00DE1CE5"/>
    <w:rsid w:val="00DE1D33"/>
    <w:rsid w:val="00DE1D61"/>
    <w:rsid w:val="00DE1DBB"/>
    <w:rsid w:val="00DE1DD4"/>
    <w:rsid w:val="00DE1DDD"/>
    <w:rsid w:val="00DE1EBE"/>
    <w:rsid w:val="00DE209E"/>
    <w:rsid w:val="00DE2144"/>
    <w:rsid w:val="00DE2152"/>
    <w:rsid w:val="00DE22A5"/>
    <w:rsid w:val="00DE238D"/>
    <w:rsid w:val="00DE2398"/>
    <w:rsid w:val="00DE24B7"/>
    <w:rsid w:val="00DE24F1"/>
    <w:rsid w:val="00DE25F8"/>
    <w:rsid w:val="00DE26C0"/>
    <w:rsid w:val="00DE290E"/>
    <w:rsid w:val="00DE2A8D"/>
    <w:rsid w:val="00DE2BD7"/>
    <w:rsid w:val="00DE2C72"/>
    <w:rsid w:val="00DE2FA4"/>
    <w:rsid w:val="00DE30E5"/>
    <w:rsid w:val="00DE310F"/>
    <w:rsid w:val="00DE31B3"/>
    <w:rsid w:val="00DE320C"/>
    <w:rsid w:val="00DE3253"/>
    <w:rsid w:val="00DE32CC"/>
    <w:rsid w:val="00DE3424"/>
    <w:rsid w:val="00DE35FB"/>
    <w:rsid w:val="00DE36B1"/>
    <w:rsid w:val="00DE36B9"/>
    <w:rsid w:val="00DE36C7"/>
    <w:rsid w:val="00DE370A"/>
    <w:rsid w:val="00DE3784"/>
    <w:rsid w:val="00DE381B"/>
    <w:rsid w:val="00DE3A90"/>
    <w:rsid w:val="00DE3AA1"/>
    <w:rsid w:val="00DE3B28"/>
    <w:rsid w:val="00DE3BF8"/>
    <w:rsid w:val="00DE3C66"/>
    <w:rsid w:val="00DE3DFE"/>
    <w:rsid w:val="00DE3FBD"/>
    <w:rsid w:val="00DE4033"/>
    <w:rsid w:val="00DE404C"/>
    <w:rsid w:val="00DE42A2"/>
    <w:rsid w:val="00DE42E0"/>
    <w:rsid w:val="00DE435F"/>
    <w:rsid w:val="00DE43CD"/>
    <w:rsid w:val="00DE4557"/>
    <w:rsid w:val="00DE4606"/>
    <w:rsid w:val="00DE466B"/>
    <w:rsid w:val="00DE4685"/>
    <w:rsid w:val="00DE48BF"/>
    <w:rsid w:val="00DE48F6"/>
    <w:rsid w:val="00DE49B4"/>
    <w:rsid w:val="00DE49CD"/>
    <w:rsid w:val="00DE4AF9"/>
    <w:rsid w:val="00DE4B65"/>
    <w:rsid w:val="00DE4B89"/>
    <w:rsid w:val="00DE4DAF"/>
    <w:rsid w:val="00DE4E41"/>
    <w:rsid w:val="00DE4E82"/>
    <w:rsid w:val="00DE4F70"/>
    <w:rsid w:val="00DE501C"/>
    <w:rsid w:val="00DE50D7"/>
    <w:rsid w:val="00DE50EA"/>
    <w:rsid w:val="00DE518E"/>
    <w:rsid w:val="00DE51A1"/>
    <w:rsid w:val="00DE5349"/>
    <w:rsid w:val="00DE55C3"/>
    <w:rsid w:val="00DE55E2"/>
    <w:rsid w:val="00DE55EC"/>
    <w:rsid w:val="00DE55ED"/>
    <w:rsid w:val="00DE5673"/>
    <w:rsid w:val="00DE57CE"/>
    <w:rsid w:val="00DE58A3"/>
    <w:rsid w:val="00DE5A10"/>
    <w:rsid w:val="00DE5B1A"/>
    <w:rsid w:val="00DE5DB2"/>
    <w:rsid w:val="00DE5E2E"/>
    <w:rsid w:val="00DE5EA1"/>
    <w:rsid w:val="00DE5F85"/>
    <w:rsid w:val="00DE60DF"/>
    <w:rsid w:val="00DE6209"/>
    <w:rsid w:val="00DE63D6"/>
    <w:rsid w:val="00DE63E5"/>
    <w:rsid w:val="00DE6692"/>
    <w:rsid w:val="00DE66C2"/>
    <w:rsid w:val="00DE673C"/>
    <w:rsid w:val="00DE68AD"/>
    <w:rsid w:val="00DE6A29"/>
    <w:rsid w:val="00DE6AF8"/>
    <w:rsid w:val="00DE6BB6"/>
    <w:rsid w:val="00DE6BD0"/>
    <w:rsid w:val="00DE6C38"/>
    <w:rsid w:val="00DE6C3C"/>
    <w:rsid w:val="00DE6C94"/>
    <w:rsid w:val="00DE6D54"/>
    <w:rsid w:val="00DE6E64"/>
    <w:rsid w:val="00DE6F57"/>
    <w:rsid w:val="00DE6FB8"/>
    <w:rsid w:val="00DE6FC2"/>
    <w:rsid w:val="00DE719F"/>
    <w:rsid w:val="00DE72D6"/>
    <w:rsid w:val="00DE73A6"/>
    <w:rsid w:val="00DE7410"/>
    <w:rsid w:val="00DE75F6"/>
    <w:rsid w:val="00DE7695"/>
    <w:rsid w:val="00DE76BD"/>
    <w:rsid w:val="00DE77E5"/>
    <w:rsid w:val="00DE7844"/>
    <w:rsid w:val="00DE7871"/>
    <w:rsid w:val="00DE78DF"/>
    <w:rsid w:val="00DE7969"/>
    <w:rsid w:val="00DE7995"/>
    <w:rsid w:val="00DE79A8"/>
    <w:rsid w:val="00DE7A2A"/>
    <w:rsid w:val="00DE7A37"/>
    <w:rsid w:val="00DE7A58"/>
    <w:rsid w:val="00DE7B7D"/>
    <w:rsid w:val="00DE7B9B"/>
    <w:rsid w:val="00DE7C47"/>
    <w:rsid w:val="00DE7C4D"/>
    <w:rsid w:val="00DE7DEC"/>
    <w:rsid w:val="00DE7EDF"/>
    <w:rsid w:val="00DE7F16"/>
    <w:rsid w:val="00DE7F76"/>
    <w:rsid w:val="00DF0092"/>
    <w:rsid w:val="00DF0209"/>
    <w:rsid w:val="00DF0318"/>
    <w:rsid w:val="00DF0339"/>
    <w:rsid w:val="00DF0382"/>
    <w:rsid w:val="00DF0504"/>
    <w:rsid w:val="00DF0618"/>
    <w:rsid w:val="00DF06DC"/>
    <w:rsid w:val="00DF070B"/>
    <w:rsid w:val="00DF071E"/>
    <w:rsid w:val="00DF07FA"/>
    <w:rsid w:val="00DF0907"/>
    <w:rsid w:val="00DF0974"/>
    <w:rsid w:val="00DF0A0E"/>
    <w:rsid w:val="00DF0B3F"/>
    <w:rsid w:val="00DF0CCA"/>
    <w:rsid w:val="00DF0D7E"/>
    <w:rsid w:val="00DF0E3B"/>
    <w:rsid w:val="00DF0E9E"/>
    <w:rsid w:val="00DF0EB8"/>
    <w:rsid w:val="00DF0F7E"/>
    <w:rsid w:val="00DF0F92"/>
    <w:rsid w:val="00DF107E"/>
    <w:rsid w:val="00DF1254"/>
    <w:rsid w:val="00DF12BF"/>
    <w:rsid w:val="00DF1368"/>
    <w:rsid w:val="00DF1407"/>
    <w:rsid w:val="00DF145D"/>
    <w:rsid w:val="00DF1585"/>
    <w:rsid w:val="00DF16F4"/>
    <w:rsid w:val="00DF1702"/>
    <w:rsid w:val="00DF1760"/>
    <w:rsid w:val="00DF1766"/>
    <w:rsid w:val="00DF1771"/>
    <w:rsid w:val="00DF185A"/>
    <w:rsid w:val="00DF1969"/>
    <w:rsid w:val="00DF1AEA"/>
    <w:rsid w:val="00DF1CB5"/>
    <w:rsid w:val="00DF1D65"/>
    <w:rsid w:val="00DF1DF2"/>
    <w:rsid w:val="00DF1F47"/>
    <w:rsid w:val="00DF1F79"/>
    <w:rsid w:val="00DF20CF"/>
    <w:rsid w:val="00DF20F4"/>
    <w:rsid w:val="00DF23C3"/>
    <w:rsid w:val="00DF2485"/>
    <w:rsid w:val="00DF24C6"/>
    <w:rsid w:val="00DF28B7"/>
    <w:rsid w:val="00DF2940"/>
    <w:rsid w:val="00DF29D2"/>
    <w:rsid w:val="00DF29D8"/>
    <w:rsid w:val="00DF2B4C"/>
    <w:rsid w:val="00DF2B6D"/>
    <w:rsid w:val="00DF2B7F"/>
    <w:rsid w:val="00DF2E31"/>
    <w:rsid w:val="00DF2E6A"/>
    <w:rsid w:val="00DF2FAB"/>
    <w:rsid w:val="00DF31B6"/>
    <w:rsid w:val="00DF3281"/>
    <w:rsid w:val="00DF349A"/>
    <w:rsid w:val="00DF34DD"/>
    <w:rsid w:val="00DF35E2"/>
    <w:rsid w:val="00DF3660"/>
    <w:rsid w:val="00DF3735"/>
    <w:rsid w:val="00DF37C1"/>
    <w:rsid w:val="00DF3813"/>
    <w:rsid w:val="00DF3822"/>
    <w:rsid w:val="00DF3848"/>
    <w:rsid w:val="00DF387E"/>
    <w:rsid w:val="00DF3927"/>
    <w:rsid w:val="00DF3966"/>
    <w:rsid w:val="00DF3A31"/>
    <w:rsid w:val="00DF3A76"/>
    <w:rsid w:val="00DF3A91"/>
    <w:rsid w:val="00DF3AC9"/>
    <w:rsid w:val="00DF3B03"/>
    <w:rsid w:val="00DF3B12"/>
    <w:rsid w:val="00DF3C34"/>
    <w:rsid w:val="00DF3CEE"/>
    <w:rsid w:val="00DF3D07"/>
    <w:rsid w:val="00DF3D19"/>
    <w:rsid w:val="00DF3E6D"/>
    <w:rsid w:val="00DF3F56"/>
    <w:rsid w:val="00DF4089"/>
    <w:rsid w:val="00DF40C9"/>
    <w:rsid w:val="00DF420E"/>
    <w:rsid w:val="00DF4305"/>
    <w:rsid w:val="00DF4592"/>
    <w:rsid w:val="00DF45D9"/>
    <w:rsid w:val="00DF4708"/>
    <w:rsid w:val="00DF477A"/>
    <w:rsid w:val="00DF4787"/>
    <w:rsid w:val="00DF480F"/>
    <w:rsid w:val="00DF49C9"/>
    <w:rsid w:val="00DF4BA0"/>
    <w:rsid w:val="00DF4BB8"/>
    <w:rsid w:val="00DF4CD5"/>
    <w:rsid w:val="00DF4D66"/>
    <w:rsid w:val="00DF4D9E"/>
    <w:rsid w:val="00DF4DE4"/>
    <w:rsid w:val="00DF4E9E"/>
    <w:rsid w:val="00DF4FB6"/>
    <w:rsid w:val="00DF51C6"/>
    <w:rsid w:val="00DF5233"/>
    <w:rsid w:val="00DF535F"/>
    <w:rsid w:val="00DF5396"/>
    <w:rsid w:val="00DF555B"/>
    <w:rsid w:val="00DF55F5"/>
    <w:rsid w:val="00DF55FA"/>
    <w:rsid w:val="00DF5653"/>
    <w:rsid w:val="00DF569D"/>
    <w:rsid w:val="00DF56D3"/>
    <w:rsid w:val="00DF5720"/>
    <w:rsid w:val="00DF57DE"/>
    <w:rsid w:val="00DF5836"/>
    <w:rsid w:val="00DF5864"/>
    <w:rsid w:val="00DF5AA4"/>
    <w:rsid w:val="00DF5C80"/>
    <w:rsid w:val="00DF5D59"/>
    <w:rsid w:val="00DF5D8A"/>
    <w:rsid w:val="00DF5DC6"/>
    <w:rsid w:val="00DF6192"/>
    <w:rsid w:val="00DF61DA"/>
    <w:rsid w:val="00DF61EE"/>
    <w:rsid w:val="00DF628B"/>
    <w:rsid w:val="00DF6317"/>
    <w:rsid w:val="00DF631F"/>
    <w:rsid w:val="00DF6395"/>
    <w:rsid w:val="00DF6441"/>
    <w:rsid w:val="00DF64C4"/>
    <w:rsid w:val="00DF68A5"/>
    <w:rsid w:val="00DF698C"/>
    <w:rsid w:val="00DF69E1"/>
    <w:rsid w:val="00DF6A5A"/>
    <w:rsid w:val="00DF6A7D"/>
    <w:rsid w:val="00DF6B7D"/>
    <w:rsid w:val="00DF6D87"/>
    <w:rsid w:val="00DF6F54"/>
    <w:rsid w:val="00DF6FBB"/>
    <w:rsid w:val="00DF7068"/>
    <w:rsid w:val="00DF70B9"/>
    <w:rsid w:val="00DF70E7"/>
    <w:rsid w:val="00DF7108"/>
    <w:rsid w:val="00DF7300"/>
    <w:rsid w:val="00DF744B"/>
    <w:rsid w:val="00DF7780"/>
    <w:rsid w:val="00DF77A6"/>
    <w:rsid w:val="00DF78BE"/>
    <w:rsid w:val="00DF792A"/>
    <w:rsid w:val="00DF7993"/>
    <w:rsid w:val="00DF7A2D"/>
    <w:rsid w:val="00DF7AD5"/>
    <w:rsid w:val="00DF7AE5"/>
    <w:rsid w:val="00DF7B81"/>
    <w:rsid w:val="00DF7CB9"/>
    <w:rsid w:val="00DF7D2C"/>
    <w:rsid w:val="00DF7E2F"/>
    <w:rsid w:val="00DF7E63"/>
    <w:rsid w:val="00DF7EA9"/>
    <w:rsid w:val="00DF7F3F"/>
    <w:rsid w:val="00DF7FF2"/>
    <w:rsid w:val="00E000FC"/>
    <w:rsid w:val="00E00162"/>
    <w:rsid w:val="00E00324"/>
    <w:rsid w:val="00E003B2"/>
    <w:rsid w:val="00E00562"/>
    <w:rsid w:val="00E0072F"/>
    <w:rsid w:val="00E007F7"/>
    <w:rsid w:val="00E008B0"/>
    <w:rsid w:val="00E009DE"/>
    <w:rsid w:val="00E00A77"/>
    <w:rsid w:val="00E00A78"/>
    <w:rsid w:val="00E00A8D"/>
    <w:rsid w:val="00E00B50"/>
    <w:rsid w:val="00E00B96"/>
    <w:rsid w:val="00E00C4D"/>
    <w:rsid w:val="00E00C87"/>
    <w:rsid w:val="00E00C92"/>
    <w:rsid w:val="00E00CFA"/>
    <w:rsid w:val="00E00D9C"/>
    <w:rsid w:val="00E00E18"/>
    <w:rsid w:val="00E00E8F"/>
    <w:rsid w:val="00E00FBF"/>
    <w:rsid w:val="00E00FC1"/>
    <w:rsid w:val="00E01045"/>
    <w:rsid w:val="00E0122E"/>
    <w:rsid w:val="00E0128F"/>
    <w:rsid w:val="00E014B7"/>
    <w:rsid w:val="00E0168F"/>
    <w:rsid w:val="00E01715"/>
    <w:rsid w:val="00E01784"/>
    <w:rsid w:val="00E018F3"/>
    <w:rsid w:val="00E01926"/>
    <w:rsid w:val="00E01C56"/>
    <w:rsid w:val="00E01DDB"/>
    <w:rsid w:val="00E02055"/>
    <w:rsid w:val="00E02155"/>
    <w:rsid w:val="00E0217E"/>
    <w:rsid w:val="00E021C2"/>
    <w:rsid w:val="00E02223"/>
    <w:rsid w:val="00E024FB"/>
    <w:rsid w:val="00E02566"/>
    <w:rsid w:val="00E02630"/>
    <w:rsid w:val="00E0268B"/>
    <w:rsid w:val="00E0294C"/>
    <w:rsid w:val="00E029BC"/>
    <w:rsid w:val="00E02CAC"/>
    <w:rsid w:val="00E02CF2"/>
    <w:rsid w:val="00E02DF9"/>
    <w:rsid w:val="00E02E52"/>
    <w:rsid w:val="00E02E93"/>
    <w:rsid w:val="00E02FD5"/>
    <w:rsid w:val="00E030FB"/>
    <w:rsid w:val="00E03136"/>
    <w:rsid w:val="00E03200"/>
    <w:rsid w:val="00E032FF"/>
    <w:rsid w:val="00E03476"/>
    <w:rsid w:val="00E034D5"/>
    <w:rsid w:val="00E035EC"/>
    <w:rsid w:val="00E0368B"/>
    <w:rsid w:val="00E03992"/>
    <w:rsid w:val="00E03B77"/>
    <w:rsid w:val="00E03C81"/>
    <w:rsid w:val="00E04077"/>
    <w:rsid w:val="00E040A2"/>
    <w:rsid w:val="00E040D7"/>
    <w:rsid w:val="00E04296"/>
    <w:rsid w:val="00E042CA"/>
    <w:rsid w:val="00E042E8"/>
    <w:rsid w:val="00E0443A"/>
    <w:rsid w:val="00E04469"/>
    <w:rsid w:val="00E0446F"/>
    <w:rsid w:val="00E044F6"/>
    <w:rsid w:val="00E0450D"/>
    <w:rsid w:val="00E0458F"/>
    <w:rsid w:val="00E045DA"/>
    <w:rsid w:val="00E045FA"/>
    <w:rsid w:val="00E04605"/>
    <w:rsid w:val="00E047CE"/>
    <w:rsid w:val="00E047F7"/>
    <w:rsid w:val="00E0484A"/>
    <w:rsid w:val="00E0489D"/>
    <w:rsid w:val="00E04909"/>
    <w:rsid w:val="00E0491E"/>
    <w:rsid w:val="00E049E1"/>
    <w:rsid w:val="00E04A0F"/>
    <w:rsid w:val="00E04A62"/>
    <w:rsid w:val="00E04AA6"/>
    <w:rsid w:val="00E04B94"/>
    <w:rsid w:val="00E04BE5"/>
    <w:rsid w:val="00E04C1D"/>
    <w:rsid w:val="00E04E16"/>
    <w:rsid w:val="00E04F79"/>
    <w:rsid w:val="00E04FA5"/>
    <w:rsid w:val="00E05060"/>
    <w:rsid w:val="00E052D0"/>
    <w:rsid w:val="00E05333"/>
    <w:rsid w:val="00E0534F"/>
    <w:rsid w:val="00E0536E"/>
    <w:rsid w:val="00E0553F"/>
    <w:rsid w:val="00E055CA"/>
    <w:rsid w:val="00E055FF"/>
    <w:rsid w:val="00E056D2"/>
    <w:rsid w:val="00E05770"/>
    <w:rsid w:val="00E05903"/>
    <w:rsid w:val="00E05985"/>
    <w:rsid w:val="00E05A42"/>
    <w:rsid w:val="00E05ABA"/>
    <w:rsid w:val="00E05B0F"/>
    <w:rsid w:val="00E05BD0"/>
    <w:rsid w:val="00E05BD6"/>
    <w:rsid w:val="00E05BF1"/>
    <w:rsid w:val="00E05C4F"/>
    <w:rsid w:val="00E05CC7"/>
    <w:rsid w:val="00E05CD0"/>
    <w:rsid w:val="00E0600F"/>
    <w:rsid w:val="00E06064"/>
    <w:rsid w:val="00E060FA"/>
    <w:rsid w:val="00E06126"/>
    <w:rsid w:val="00E06322"/>
    <w:rsid w:val="00E063AB"/>
    <w:rsid w:val="00E06405"/>
    <w:rsid w:val="00E06419"/>
    <w:rsid w:val="00E0654B"/>
    <w:rsid w:val="00E066AC"/>
    <w:rsid w:val="00E067A5"/>
    <w:rsid w:val="00E0692A"/>
    <w:rsid w:val="00E0695E"/>
    <w:rsid w:val="00E069BC"/>
    <w:rsid w:val="00E06A7C"/>
    <w:rsid w:val="00E06B1D"/>
    <w:rsid w:val="00E06B42"/>
    <w:rsid w:val="00E06B55"/>
    <w:rsid w:val="00E06C08"/>
    <w:rsid w:val="00E06F6F"/>
    <w:rsid w:val="00E07175"/>
    <w:rsid w:val="00E0733D"/>
    <w:rsid w:val="00E07355"/>
    <w:rsid w:val="00E0742D"/>
    <w:rsid w:val="00E074A0"/>
    <w:rsid w:val="00E074E3"/>
    <w:rsid w:val="00E07814"/>
    <w:rsid w:val="00E079E7"/>
    <w:rsid w:val="00E07A8B"/>
    <w:rsid w:val="00E07AA9"/>
    <w:rsid w:val="00E07B7F"/>
    <w:rsid w:val="00E07C26"/>
    <w:rsid w:val="00E07E44"/>
    <w:rsid w:val="00E07F32"/>
    <w:rsid w:val="00E07F5F"/>
    <w:rsid w:val="00E07FEA"/>
    <w:rsid w:val="00E10150"/>
    <w:rsid w:val="00E1039D"/>
    <w:rsid w:val="00E103F3"/>
    <w:rsid w:val="00E10416"/>
    <w:rsid w:val="00E10470"/>
    <w:rsid w:val="00E1048A"/>
    <w:rsid w:val="00E104CB"/>
    <w:rsid w:val="00E1050E"/>
    <w:rsid w:val="00E10671"/>
    <w:rsid w:val="00E107CF"/>
    <w:rsid w:val="00E10917"/>
    <w:rsid w:val="00E10953"/>
    <w:rsid w:val="00E10A69"/>
    <w:rsid w:val="00E10B5B"/>
    <w:rsid w:val="00E10C15"/>
    <w:rsid w:val="00E10F50"/>
    <w:rsid w:val="00E11038"/>
    <w:rsid w:val="00E1135C"/>
    <w:rsid w:val="00E1146A"/>
    <w:rsid w:val="00E11501"/>
    <w:rsid w:val="00E11554"/>
    <w:rsid w:val="00E11661"/>
    <w:rsid w:val="00E116D0"/>
    <w:rsid w:val="00E116D3"/>
    <w:rsid w:val="00E117DE"/>
    <w:rsid w:val="00E11864"/>
    <w:rsid w:val="00E11876"/>
    <w:rsid w:val="00E118C6"/>
    <w:rsid w:val="00E1192C"/>
    <w:rsid w:val="00E11964"/>
    <w:rsid w:val="00E11B1B"/>
    <w:rsid w:val="00E11C97"/>
    <w:rsid w:val="00E11D99"/>
    <w:rsid w:val="00E11DA3"/>
    <w:rsid w:val="00E11DFA"/>
    <w:rsid w:val="00E11E0E"/>
    <w:rsid w:val="00E11E4F"/>
    <w:rsid w:val="00E11F96"/>
    <w:rsid w:val="00E120F5"/>
    <w:rsid w:val="00E121FB"/>
    <w:rsid w:val="00E12218"/>
    <w:rsid w:val="00E122BD"/>
    <w:rsid w:val="00E123AB"/>
    <w:rsid w:val="00E12681"/>
    <w:rsid w:val="00E126D0"/>
    <w:rsid w:val="00E12709"/>
    <w:rsid w:val="00E1278F"/>
    <w:rsid w:val="00E12875"/>
    <w:rsid w:val="00E128C2"/>
    <w:rsid w:val="00E12977"/>
    <w:rsid w:val="00E12978"/>
    <w:rsid w:val="00E12A4D"/>
    <w:rsid w:val="00E12A61"/>
    <w:rsid w:val="00E12A62"/>
    <w:rsid w:val="00E12C32"/>
    <w:rsid w:val="00E12C64"/>
    <w:rsid w:val="00E12CB2"/>
    <w:rsid w:val="00E12DC2"/>
    <w:rsid w:val="00E12EB5"/>
    <w:rsid w:val="00E12FD6"/>
    <w:rsid w:val="00E1313F"/>
    <w:rsid w:val="00E13179"/>
    <w:rsid w:val="00E131F4"/>
    <w:rsid w:val="00E13217"/>
    <w:rsid w:val="00E1321F"/>
    <w:rsid w:val="00E132D8"/>
    <w:rsid w:val="00E132F1"/>
    <w:rsid w:val="00E13350"/>
    <w:rsid w:val="00E13438"/>
    <w:rsid w:val="00E13451"/>
    <w:rsid w:val="00E13521"/>
    <w:rsid w:val="00E13620"/>
    <w:rsid w:val="00E13633"/>
    <w:rsid w:val="00E13647"/>
    <w:rsid w:val="00E13673"/>
    <w:rsid w:val="00E136AE"/>
    <w:rsid w:val="00E13975"/>
    <w:rsid w:val="00E13A59"/>
    <w:rsid w:val="00E13A9E"/>
    <w:rsid w:val="00E13D00"/>
    <w:rsid w:val="00E13D81"/>
    <w:rsid w:val="00E13EE6"/>
    <w:rsid w:val="00E13FF9"/>
    <w:rsid w:val="00E14051"/>
    <w:rsid w:val="00E1405E"/>
    <w:rsid w:val="00E1407D"/>
    <w:rsid w:val="00E14095"/>
    <w:rsid w:val="00E14120"/>
    <w:rsid w:val="00E1420E"/>
    <w:rsid w:val="00E14233"/>
    <w:rsid w:val="00E14287"/>
    <w:rsid w:val="00E143EA"/>
    <w:rsid w:val="00E1442B"/>
    <w:rsid w:val="00E1449A"/>
    <w:rsid w:val="00E14547"/>
    <w:rsid w:val="00E146C3"/>
    <w:rsid w:val="00E1470B"/>
    <w:rsid w:val="00E14712"/>
    <w:rsid w:val="00E1481D"/>
    <w:rsid w:val="00E14833"/>
    <w:rsid w:val="00E1487B"/>
    <w:rsid w:val="00E148AA"/>
    <w:rsid w:val="00E14977"/>
    <w:rsid w:val="00E149EB"/>
    <w:rsid w:val="00E14A18"/>
    <w:rsid w:val="00E14A52"/>
    <w:rsid w:val="00E14A9A"/>
    <w:rsid w:val="00E14B96"/>
    <w:rsid w:val="00E14C4B"/>
    <w:rsid w:val="00E14CC6"/>
    <w:rsid w:val="00E14D5A"/>
    <w:rsid w:val="00E14EC7"/>
    <w:rsid w:val="00E14F3B"/>
    <w:rsid w:val="00E15048"/>
    <w:rsid w:val="00E15051"/>
    <w:rsid w:val="00E15176"/>
    <w:rsid w:val="00E15243"/>
    <w:rsid w:val="00E155CE"/>
    <w:rsid w:val="00E1561E"/>
    <w:rsid w:val="00E1571D"/>
    <w:rsid w:val="00E15744"/>
    <w:rsid w:val="00E1577C"/>
    <w:rsid w:val="00E15855"/>
    <w:rsid w:val="00E15A34"/>
    <w:rsid w:val="00E15A76"/>
    <w:rsid w:val="00E15CFE"/>
    <w:rsid w:val="00E15DE1"/>
    <w:rsid w:val="00E15DF8"/>
    <w:rsid w:val="00E15EE5"/>
    <w:rsid w:val="00E15F1A"/>
    <w:rsid w:val="00E1600C"/>
    <w:rsid w:val="00E160F5"/>
    <w:rsid w:val="00E1618F"/>
    <w:rsid w:val="00E162CB"/>
    <w:rsid w:val="00E163E1"/>
    <w:rsid w:val="00E163EF"/>
    <w:rsid w:val="00E16448"/>
    <w:rsid w:val="00E166C3"/>
    <w:rsid w:val="00E1679C"/>
    <w:rsid w:val="00E16985"/>
    <w:rsid w:val="00E169A4"/>
    <w:rsid w:val="00E169B3"/>
    <w:rsid w:val="00E169FD"/>
    <w:rsid w:val="00E16A4B"/>
    <w:rsid w:val="00E16A6E"/>
    <w:rsid w:val="00E16ADC"/>
    <w:rsid w:val="00E16B9C"/>
    <w:rsid w:val="00E16C22"/>
    <w:rsid w:val="00E16D44"/>
    <w:rsid w:val="00E16D5E"/>
    <w:rsid w:val="00E16E3E"/>
    <w:rsid w:val="00E16E42"/>
    <w:rsid w:val="00E16F22"/>
    <w:rsid w:val="00E16FBB"/>
    <w:rsid w:val="00E1755B"/>
    <w:rsid w:val="00E175E0"/>
    <w:rsid w:val="00E175E9"/>
    <w:rsid w:val="00E1767C"/>
    <w:rsid w:val="00E176D8"/>
    <w:rsid w:val="00E17792"/>
    <w:rsid w:val="00E17823"/>
    <w:rsid w:val="00E17A90"/>
    <w:rsid w:val="00E17CFD"/>
    <w:rsid w:val="00E17DEB"/>
    <w:rsid w:val="00E17ED6"/>
    <w:rsid w:val="00E17F10"/>
    <w:rsid w:val="00E17F95"/>
    <w:rsid w:val="00E20064"/>
    <w:rsid w:val="00E2006A"/>
    <w:rsid w:val="00E20128"/>
    <w:rsid w:val="00E201A3"/>
    <w:rsid w:val="00E201B9"/>
    <w:rsid w:val="00E20210"/>
    <w:rsid w:val="00E20294"/>
    <w:rsid w:val="00E202D1"/>
    <w:rsid w:val="00E202FE"/>
    <w:rsid w:val="00E2030F"/>
    <w:rsid w:val="00E2038E"/>
    <w:rsid w:val="00E20421"/>
    <w:rsid w:val="00E20434"/>
    <w:rsid w:val="00E204A9"/>
    <w:rsid w:val="00E20697"/>
    <w:rsid w:val="00E206DF"/>
    <w:rsid w:val="00E2074D"/>
    <w:rsid w:val="00E208BA"/>
    <w:rsid w:val="00E209A0"/>
    <w:rsid w:val="00E209AB"/>
    <w:rsid w:val="00E20A05"/>
    <w:rsid w:val="00E20A0B"/>
    <w:rsid w:val="00E20ACE"/>
    <w:rsid w:val="00E20B47"/>
    <w:rsid w:val="00E20C38"/>
    <w:rsid w:val="00E20CD4"/>
    <w:rsid w:val="00E20D7A"/>
    <w:rsid w:val="00E20E3A"/>
    <w:rsid w:val="00E20E49"/>
    <w:rsid w:val="00E20EB7"/>
    <w:rsid w:val="00E20ECD"/>
    <w:rsid w:val="00E20ED5"/>
    <w:rsid w:val="00E20EE8"/>
    <w:rsid w:val="00E20EF2"/>
    <w:rsid w:val="00E20EF3"/>
    <w:rsid w:val="00E20F22"/>
    <w:rsid w:val="00E20F7E"/>
    <w:rsid w:val="00E21141"/>
    <w:rsid w:val="00E2131A"/>
    <w:rsid w:val="00E213CB"/>
    <w:rsid w:val="00E21447"/>
    <w:rsid w:val="00E2152D"/>
    <w:rsid w:val="00E21637"/>
    <w:rsid w:val="00E21768"/>
    <w:rsid w:val="00E217A6"/>
    <w:rsid w:val="00E21891"/>
    <w:rsid w:val="00E21A80"/>
    <w:rsid w:val="00E21AF9"/>
    <w:rsid w:val="00E21B73"/>
    <w:rsid w:val="00E21C50"/>
    <w:rsid w:val="00E21C6F"/>
    <w:rsid w:val="00E21C97"/>
    <w:rsid w:val="00E21DBF"/>
    <w:rsid w:val="00E21E7C"/>
    <w:rsid w:val="00E21F97"/>
    <w:rsid w:val="00E21FA8"/>
    <w:rsid w:val="00E22002"/>
    <w:rsid w:val="00E22172"/>
    <w:rsid w:val="00E22254"/>
    <w:rsid w:val="00E2226A"/>
    <w:rsid w:val="00E22278"/>
    <w:rsid w:val="00E2227F"/>
    <w:rsid w:val="00E2230F"/>
    <w:rsid w:val="00E226A1"/>
    <w:rsid w:val="00E22709"/>
    <w:rsid w:val="00E22AB9"/>
    <w:rsid w:val="00E22C03"/>
    <w:rsid w:val="00E22C28"/>
    <w:rsid w:val="00E22CF4"/>
    <w:rsid w:val="00E22D60"/>
    <w:rsid w:val="00E22DCA"/>
    <w:rsid w:val="00E22E5E"/>
    <w:rsid w:val="00E22EEF"/>
    <w:rsid w:val="00E22FE6"/>
    <w:rsid w:val="00E22FE7"/>
    <w:rsid w:val="00E2300A"/>
    <w:rsid w:val="00E23143"/>
    <w:rsid w:val="00E2318E"/>
    <w:rsid w:val="00E232A8"/>
    <w:rsid w:val="00E2330C"/>
    <w:rsid w:val="00E234AA"/>
    <w:rsid w:val="00E234E2"/>
    <w:rsid w:val="00E23647"/>
    <w:rsid w:val="00E2367A"/>
    <w:rsid w:val="00E236E9"/>
    <w:rsid w:val="00E23704"/>
    <w:rsid w:val="00E23861"/>
    <w:rsid w:val="00E23A67"/>
    <w:rsid w:val="00E23BC1"/>
    <w:rsid w:val="00E23D11"/>
    <w:rsid w:val="00E23D9D"/>
    <w:rsid w:val="00E23E82"/>
    <w:rsid w:val="00E2406A"/>
    <w:rsid w:val="00E240A8"/>
    <w:rsid w:val="00E2423C"/>
    <w:rsid w:val="00E242F8"/>
    <w:rsid w:val="00E24425"/>
    <w:rsid w:val="00E2454F"/>
    <w:rsid w:val="00E2458F"/>
    <w:rsid w:val="00E245E3"/>
    <w:rsid w:val="00E245F0"/>
    <w:rsid w:val="00E2460F"/>
    <w:rsid w:val="00E247BA"/>
    <w:rsid w:val="00E2483E"/>
    <w:rsid w:val="00E248A7"/>
    <w:rsid w:val="00E2498F"/>
    <w:rsid w:val="00E249BE"/>
    <w:rsid w:val="00E24AB8"/>
    <w:rsid w:val="00E24E35"/>
    <w:rsid w:val="00E24E71"/>
    <w:rsid w:val="00E24EE8"/>
    <w:rsid w:val="00E24EF1"/>
    <w:rsid w:val="00E24FCB"/>
    <w:rsid w:val="00E2518D"/>
    <w:rsid w:val="00E251E9"/>
    <w:rsid w:val="00E25416"/>
    <w:rsid w:val="00E25436"/>
    <w:rsid w:val="00E25599"/>
    <w:rsid w:val="00E255DA"/>
    <w:rsid w:val="00E25644"/>
    <w:rsid w:val="00E25649"/>
    <w:rsid w:val="00E25694"/>
    <w:rsid w:val="00E2570F"/>
    <w:rsid w:val="00E257B2"/>
    <w:rsid w:val="00E25854"/>
    <w:rsid w:val="00E2595B"/>
    <w:rsid w:val="00E25CB7"/>
    <w:rsid w:val="00E25CC4"/>
    <w:rsid w:val="00E25CFD"/>
    <w:rsid w:val="00E25D6B"/>
    <w:rsid w:val="00E25DA4"/>
    <w:rsid w:val="00E25DB6"/>
    <w:rsid w:val="00E25E6C"/>
    <w:rsid w:val="00E25EB9"/>
    <w:rsid w:val="00E25F1B"/>
    <w:rsid w:val="00E25F75"/>
    <w:rsid w:val="00E25FC3"/>
    <w:rsid w:val="00E26036"/>
    <w:rsid w:val="00E26087"/>
    <w:rsid w:val="00E2635E"/>
    <w:rsid w:val="00E26360"/>
    <w:rsid w:val="00E26443"/>
    <w:rsid w:val="00E26641"/>
    <w:rsid w:val="00E266FB"/>
    <w:rsid w:val="00E26781"/>
    <w:rsid w:val="00E2687D"/>
    <w:rsid w:val="00E26A26"/>
    <w:rsid w:val="00E26A7B"/>
    <w:rsid w:val="00E26BFD"/>
    <w:rsid w:val="00E26CC0"/>
    <w:rsid w:val="00E26D7D"/>
    <w:rsid w:val="00E26F9C"/>
    <w:rsid w:val="00E270A6"/>
    <w:rsid w:val="00E27113"/>
    <w:rsid w:val="00E2719D"/>
    <w:rsid w:val="00E271D4"/>
    <w:rsid w:val="00E271EF"/>
    <w:rsid w:val="00E273FE"/>
    <w:rsid w:val="00E2750F"/>
    <w:rsid w:val="00E27760"/>
    <w:rsid w:val="00E27855"/>
    <w:rsid w:val="00E2789E"/>
    <w:rsid w:val="00E278D2"/>
    <w:rsid w:val="00E2799A"/>
    <w:rsid w:val="00E27A13"/>
    <w:rsid w:val="00E27AAE"/>
    <w:rsid w:val="00E27B08"/>
    <w:rsid w:val="00E27D3B"/>
    <w:rsid w:val="00E27D59"/>
    <w:rsid w:val="00E27E1E"/>
    <w:rsid w:val="00E30124"/>
    <w:rsid w:val="00E3022E"/>
    <w:rsid w:val="00E3024F"/>
    <w:rsid w:val="00E302D4"/>
    <w:rsid w:val="00E302F1"/>
    <w:rsid w:val="00E302FA"/>
    <w:rsid w:val="00E303D9"/>
    <w:rsid w:val="00E303DD"/>
    <w:rsid w:val="00E30543"/>
    <w:rsid w:val="00E305F3"/>
    <w:rsid w:val="00E3061C"/>
    <w:rsid w:val="00E306AB"/>
    <w:rsid w:val="00E307B8"/>
    <w:rsid w:val="00E307CC"/>
    <w:rsid w:val="00E308FF"/>
    <w:rsid w:val="00E30976"/>
    <w:rsid w:val="00E3099D"/>
    <w:rsid w:val="00E309F5"/>
    <w:rsid w:val="00E30A16"/>
    <w:rsid w:val="00E30C71"/>
    <w:rsid w:val="00E30C7F"/>
    <w:rsid w:val="00E30D76"/>
    <w:rsid w:val="00E310E4"/>
    <w:rsid w:val="00E31258"/>
    <w:rsid w:val="00E31277"/>
    <w:rsid w:val="00E31285"/>
    <w:rsid w:val="00E3134C"/>
    <w:rsid w:val="00E314D4"/>
    <w:rsid w:val="00E314FA"/>
    <w:rsid w:val="00E31660"/>
    <w:rsid w:val="00E316BA"/>
    <w:rsid w:val="00E318C8"/>
    <w:rsid w:val="00E319A3"/>
    <w:rsid w:val="00E31AC9"/>
    <w:rsid w:val="00E31AF3"/>
    <w:rsid w:val="00E31CEF"/>
    <w:rsid w:val="00E31DDD"/>
    <w:rsid w:val="00E31E21"/>
    <w:rsid w:val="00E31E5E"/>
    <w:rsid w:val="00E31EF9"/>
    <w:rsid w:val="00E32020"/>
    <w:rsid w:val="00E3202A"/>
    <w:rsid w:val="00E3233C"/>
    <w:rsid w:val="00E323B6"/>
    <w:rsid w:val="00E32549"/>
    <w:rsid w:val="00E32554"/>
    <w:rsid w:val="00E32683"/>
    <w:rsid w:val="00E326A8"/>
    <w:rsid w:val="00E32777"/>
    <w:rsid w:val="00E32887"/>
    <w:rsid w:val="00E32A43"/>
    <w:rsid w:val="00E32A44"/>
    <w:rsid w:val="00E32A78"/>
    <w:rsid w:val="00E32AAB"/>
    <w:rsid w:val="00E32D81"/>
    <w:rsid w:val="00E32DCB"/>
    <w:rsid w:val="00E33082"/>
    <w:rsid w:val="00E330EB"/>
    <w:rsid w:val="00E33191"/>
    <w:rsid w:val="00E334C0"/>
    <w:rsid w:val="00E33519"/>
    <w:rsid w:val="00E335B1"/>
    <w:rsid w:val="00E33760"/>
    <w:rsid w:val="00E337CA"/>
    <w:rsid w:val="00E337DD"/>
    <w:rsid w:val="00E3383B"/>
    <w:rsid w:val="00E338BA"/>
    <w:rsid w:val="00E338F4"/>
    <w:rsid w:val="00E339B7"/>
    <w:rsid w:val="00E339C7"/>
    <w:rsid w:val="00E33C46"/>
    <w:rsid w:val="00E33C9C"/>
    <w:rsid w:val="00E33D44"/>
    <w:rsid w:val="00E33D4C"/>
    <w:rsid w:val="00E33D8B"/>
    <w:rsid w:val="00E33DAB"/>
    <w:rsid w:val="00E3400A"/>
    <w:rsid w:val="00E3402B"/>
    <w:rsid w:val="00E3418A"/>
    <w:rsid w:val="00E341D8"/>
    <w:rsid w:val="00E343EF"/>
    <w:rsid w:val="00E34495"/>
    <w:rsid w:val="00E34520"/>
    <w:rsid w:val="00E3459D"/>
    <w:rsid w:val="00E34806"/>
    <w:rsid w:val="00E3480A"/>
    <w:rsid w:val="00E348DA"/>
    <w:rsid w:val="00E34B47"/>
    <w:rsid w:val="00E34B59"/>
    <w:rsid w:val="00E34C3C"/>
    <w:rsid w:val="00E34D32"/>
    <w:rsid w:val="00E34D5C"/>
    <w:rsid w:val="00E34E1D"/>
    <w:rsid w:val="00E34E36"/>
    <w:rsid w:val="00E35179"/>
    <w:rsid w:val="00E351BF"/>
    <w:rsid w:val="00E351C5"/>
    <w:rsid w:val="00E353CD"/>
    <w:rsid w:val="00E353D2"/>
    <w:rsid w:val="00E35469"/>
    <w:rsid w:val="00E354DA"/>
    <w:rsid w:val="00E35531"/>
    <w:rsid w:val="00E35559"/>
    <w:rsid w:val="00E3556E"/>
    <w:rsid w:val="00E3577D"/>
    <w:rsid w:val="00E3588C"/>
    <w:rsid w:val="00E358D3"/>
    <w:rsid w:val="00E3598A"/>
    <w:rsid w:val="00E35A4A"/>
    <w:rsid w:val="00E35D85"/>
    <w:rsid w:val="00E35ECE"/>
    <w:rsid w:val="00E35F8A"/>
    <w:rsid w:val="00E3619B"/>
    <w:rsid w:val="00E36317"/>
    <w:rsid w:val="00E364A3"/>
    <w:rsid w:val="00E365E3"/>
    <w:rsid w:val="00E365F3"/>
    <w:rsid w:val="00E367AD"/>
    <w:rsid w:val="00E3683C"/>
    <w:rsid w:val="00E3684A"/>
    <w:rsid w:val="00E3694A"/>
    <w:rsid w:val="00E3698A"/>
    <w:rsid w:val="00E36A36"/>
    <w:rsid w:val="00E36A55"/>
    <w:rsid w:val="00E36A7F"/>
    <w:rsid w:val="00E36BC6"/>
    <w:rsid w:val="00E36C24"/>
    <w:rsid w:val="00E36C3C"/>
    <w:rsid w:val="00E36D12"/>
    <w:rsid w:val="00E36E05"/>
    <w:rsid w:val="00E36E85"/>
    <w:rsid w:val="00E37000"/>
    <w:rsid w:val="00E37032"/>
    <w:rsid w:val="00E3716E"/>
    <w:rsid w:val="00E371C6"/>
    <w:rsid w:val="00E3725E"/>
    <w:rsid w:val="00E372E6"/>
    <w:rsid w:val="00E37499"/>
    <w:rsid w:val="00E374D9"/>
    <w:rsid w:val="00E3757E"/>
    <w:rsid w:val="00E37663"/>
    <w:rsid w:val="00E3769E"/>
    <w:rsid w:val="00E376AB"/>
    <w:rsid w:val="00E37788"/>
    <w:rsid w:val="00E37B0B"/>
    <w:rsid w:val="00E37B81"/>
    <w:rsid w:val="00E37BC6"/>
    <w:rsid w:val="00E37C00"/>
    <w:rsid w:val="00E37C89"/>
    <w:rsid w:val="00E37CA1"/>
    <w:rsid w:val="00E37E41"/>
    <w:rsid w:val="00E37EEC"/>
    <w:rsid w:val="00E37F28"/>
    <w:rsid w:val="00E37F6A"/>
    <w:rsid w:val="00E37F8D"/>
    <w:rsid w:val="00E37FA6"/>
    <w:rsid w:val="00E37FB4"/>
    <w:rsid w:val="00E400A0"/>
    <w:rsid w:val="00E40154"/>
    <w:rsid w:val="00E401BD"/>
    <w:rsid w:val="00E40234"/>
    <w:rsid w:val="00E40275"/>
    <w:rsid w:val="00E402CB"/>
    <w:rsid w:val="00E4033F"/>
    <w:rsid w:val="00E404C1"/>
    <w:rsid w:val="00E404DC"/>
    <w:rsid w:val="00E4052E"/>
    <w:rsid w:val="00E40531"/>
    <w:rsid w:val="00E4056A"/>
    <w:rsid w:val="00E4068E"/>
    <w:rsid w:val="00E40798"/>
    <w:rsid w:val="00E4081B"/>
    <w:rsid w:val="00E40840"/>
    <w:rsid w:val="00E40922"/>
    <w:rsid w:val="00E409DE"/>
    <w:rsid w:val="00E40A21"/>
    <w:rsid w:val="00E40A5C"/>
    <w:rsid w:val="00E40B02"/>
    <w:rsid w:val="00E40C3E"/>
    <w:rsid w:val="00E40C90"/>
    <w:rsid w:val="00E40DEF"/>
    <w:rsid w:val="00E4102A"/>
    <w:rsid w:val="00E41123"/>
    <w:rsid w:val="00E415ED"/>
    <w:rsid w:val="00E4166B"/>
    <w:rsid w:val="00E41721"/>
    <w:rsid w:val="00E41743"/>
    <w:rsid w:val="00E417D8"/>
    <w:rsid w:val="00E41960"/>
    <w:rsid w:val="00E41984"/>
    <w:rsid w:val="00E41AE9"/>
    <w:rsid w:val="00E41CD9"/>
    <w:rsid w:val="00E41DA3"/>
    <w:rsid w:val="00E41DF6"/>
    <w:rsid w:val="00E41E27"/>
    <w:rsid w:val="00E41EE1"/>
    <w:rsid w:val="00E4203D"/>
    <w:rsid w:val="00E420E1"/>
    <w:rsid w:val="00E42169"/>
    <w:rsid w:val="00E42175"/>
    <w:rsid w:val="00E42196"/>
    <w:rsid w:val="00E421A5"/>
    <w:rsid w:val="00E42301"/>
    <w:rsid w:val="00E42334"/>
    <w:rsid w:val="00E4242D"/>
    <w:rsid w:val="00E42455"/>
    <w:rsid w:val="00E42473"/>
    <w:rsid w:val="00E42515"/>
    <w:rsid w:val="00E42611"/>
    <w:rsid w:val="00E42653"/>
    <w:rsid w:val="00E42821"/>
    <w:rsid w:val="00E428BA"/>
    <w:rsid w:val="00E428DF"/>
    <w:rsid w:val="00E42C21"/>
    <w:rsid w:val="00E42CBD"/>
    <w:rsid w:val="00E42D09"/>
    <w:rsid w:val="00E42D45"/>
    <w:rsid w:val="00E42DE4"/>
    <w:rsid w:val="00E42E16"/>
    <w:rsid w:val="00E42E3C"/>
    <w:rsid w:val="00E42E97"/>
    <w:rsid w:val="00E42EF9"/>
    <w:rsid w:val="00E42F08"/>
    <w:rsid w:val="00E430A0"/>
    <w:rsid w:val="00E4317B"/>
    <w:rsid w:val="00E432F4"/>
    <w:rsid w:val="00E433C4"/>
    <w:rsid w:val="00E433D9"/>
    <w:rsid w:val="00E4340B"/>
    <w:rsid w:val="00E434CB"/>
    <w:rsid w:val="00E43500"/>
    <w:rsid w:val="00E435DE"/>
    <w:rsid w:val="00E436D2"/>
    <w:rsid w:val="00E4373C"/>
    <w:rsid w:val="00E43752"/>
    <w:rsid w:val="00E437CE"/>
    <w:rsid w:val="00E437EC"/>
    <w:rsid w:val="00E43910"/>
    <w:rsid w:val="00E43965"/>
    <w:rsid w:val="00E43AB6"/>
    <w:rsid w:val="00E43DFD"/>
    <w:rsid w:val="00E43E82"/>
    <w:rsid w:val="00E43FD1"/>
    <w:rsid w:val="00E44078"/>
    <w:rsid w:val="00E44128"/>
    <w:rsid w:val="00E44152"/>
    <w:rsid w:val="00E4420A"/>
    <w:rsid w:val="00E44246"/>
    <w:rsid w:val="00E442B8"/>
    <w:rsid w:val="00E442FA"/>
    <w:rsid w:val="00E4443F"/>
    <w:rsid w:val="00E4444C"/>
    <w:rsid w:val="00E445B0"/>
    <w:rsid w:val="00E445E8"/>
    <w:rsid w:val="00E446D1"/>
    <w:rsid w:val="00E4478C"/>
    <w:rsid w:val="00E447E8"/>
    <w:rsid w:val="00E44915"/>
    <w:rsid w:val="00E4491C"/>
    <w:rsid w:val="00E44A57"/>
    <w:rsid w:val="00E44AAD"/>
    <w:rsid w:val="00E44B7D"/>
    <w:rsid w:val="00E44BB1"/>
    <w:rsid w:val="00E44C28"/>
    <w:rsid w:val="00E44C3D"/>
    <w:rsid w:val="00E44E2D"/>
    <w:rsid w:val="00E44E6F"/>
    <w:rsid w:val="00E44FBE"/>
    <w:rsid w:val="00E44FF5"/>
    <w:rsid w:val="00E450F6"/>
    <w:rsid w:val="00E451F1"/>
    <w:rsid w:val="00E45235"/>
    <w:rsid w:val="00E45278"/>
    <w:rsid w:val="00E45490"/>
    <w:rsid w:val="00E4555E"/>
    <w:rsid w:val="00E4557E"/>
    <w:rsid w:val="00E455A1"/>
    <w:rsid w:val="00E45661"/>
    <w:rsid w:val="00E456D5"/>
    <w:rsid w:val="00E45758"/>
    <w:rsid w:val="00E4576D"/>
    <w:rsid w:val="00E45793"/>
    <w:rsid w:val="00E458AE"/>
    <w:rsid w:val="00E45972"/>
    <w:rsid w:val="00E45AD7"/>
    <w:rsid w:val="00E45B05"/>
    <w:rsid w:val="00E45CF7"/>
    <w:rsid w:val="00E45D61"/>
    <w:rsid w:val="00E45EAF"/>
    <w:rsid w:val="00E45F74"/>
    <w:rsid w:val="00E460F0"/>
    <w:rsid w:val="00E4616D"/>
    <w:rsid w:val="00E46246"/>
    <w:rsid w:val="00E46247"/>
    <w:rsid w:val="00E4631E"/>
    <w:rsid w:val="00E46351"/>
    <w:rsid w:val="00E4648E"/>
    <w:rsid w:val="00E464D2"/>
    <w:rsid w:val="00E464FB"/>
    <w:rsid w:val="00E4654F"/>
    <w:rsid w:val="00E46631"/>
    <w:rsid w:val="00E4674A"/>
    <w:rsid w:val="00E467F8"/>
    <w:rsid w:val="00E467FF"/>
    <w:rsid w:val="00E46955"/>
    <w:rsid w:val="00E469A0"/>
    <w:rsid w:val="00E46BC6"/>
    <w:rsid w:val="00E46BD3"/>
    <w:rsid w:val="00E46C2A"/>
    <w:rsid w:val="00E46D25"/>
    <w:rsid w:val="00E46EB3"/>
    <w:rsid w:val="00E46FF2"/>
    <w:rsid w:val="00E47199"/>
    <w:rsid w:val="00E47314"/>
    <w:rsid w:val="00E47320"/>
    <w:rsid w:val="00E47373"/>
    <w:rsid w:val="00E47467"/>
    <w:rsid w:val="00E474A8"/>
    <w:rsid w:val="00E47629"/>
    <w:rsid w:val="00E47661"/>
    <w:rsid w:val="00E4766F"/>
    <w:rsid w:val="00E476BC"/>
    <w:rsid w:val="00E476C2"/>
    <w:rsid w:val="00E4772A"/>
    <w:rsid w:val="00E47752"/>
    <w:rsid w:val="00E47793"/>
    <w:rsid w:val="00E47818"/>
    <w:rsid w:val="00E478A5"/>
    <w:rsid w:val="00E47A04"/>
    <w:rsid w:val="00E47DAC"/>
    <w:rsid w:val="00E47DB9"/>
    <w:rsid w:val="00E47E46"/>
    <w:rsid w:val="00E47E4C"/>
    <w:rsid w:val="00E47E97"/>
    <w:rsid w:val="00E50050"/>
    <w:rsid w:val="00E50197"/>
    <w:rsid w:val="00E501A0"/>
    <w:rsid w:val="00E5026B"/>
    <w:rsid w:val="00E50523"/>
    <w:rsid w:val="00E5052B"/>
    <w:rsid w:val="00E505F3"/>
    <w:rsid w:val="00E506D2"/>
    <w:rsid w:val="00E50705"/>
    <w:rsid w:val="00E5074D"/>
    <w:rsid w:val="00E50772"/>
    <w:rsid w:val="00E507D6"/>
    <w:rsid w:val="00E50898"/>
    <w:rsid w:val="00E508C7"/>
    <w:rsid w:val="00E508D4"/>
    <w:rsid w:val="00E50D2D"/>
    <w:rsid w:val="00E50F87"/>
    <w:rsid w:val="00E51001"/>
    <w:rsid w:val="00E51040"/>
    <w:rsid w:val="00E5108B"/>
    <w:rsid w:val="00E5109F"/>
    <w:rsid w:val="00E51140"/>
    <w:rsid w:val="00E51169"/>
    <w:rsid w:val="00E51198"/>
    <w:rsid w:val="00E51225"/>
    <w:rsid w:val="00E51260"/>
    <w:rsid w:val="00E512A4"/>
    <w:rsid w:val="00E51319"/>
    <w:rsid w:val="00E51481"/>
    <w:rsid w:val="00E51562"/>
    <w:rsid w:val="00E5156E"/>
    <w:rsid w:val="00E515B2"/>
    <w:rsid w:val="00E515CF"/>
    <w:rsid w:val="00E51657"/>
    <w:rsid w:val="00E5167D"/>
    <w:rsid w:val="00E51693"/>
    <w:rsid w:val="00E51726"/>
    <w:rsid w:val="00E51789"/>
    <w:rsid w:val="00E517F9"/>
    <w:rsid w:val="00E5195D"/>
    <w:rsid w:val="00E519F5"/>
    <w:rsid w:val="00E51AA2"/>
    <w:rsid w:val="00E51BC0"/>
    <w:rsid w:val="00E51CBC"/>
    <w:rsid w:val="00E51E2D"/>
    <w:rsid w:val="00E51E96"/>
    <w:rsid w:val="00E51F90"/>
    <w:rsid w:val="00E51FE3"/>
    <w:rsid w:val="00E52054"/>
    <w:rsid w:val="00E5222D"/>
    <w:rsid w:val="00E522C5"/>
    <w:rsid w:val="00E52301"/>
    <w:rsid w:val="00E52351"/>
    <w:rsid w:val="00E523D4"/>
    <w:rsid w:val="00E52481"/>
    <w:rsid w:val="00E5256A"/>
    <w:rsid w:val="00E527C8"/>
    <w:rsid w:val="00E527EB"/>
    <w:rsid w:val="00E5281E"/>
    <w:rsid w:val="00E52912"/>
    <w:rsid w:val="00E529C6"/>
    <w:rsid w:val="00E52A2A"/>
    <w:rsid w:val="00E52AA2"/>
    <w:rsid w:val="00E52AA8"/>
    <w:rsid w:val="00E52ACB"/>
    <w:rsid w:val="00E52D1A"/>
    <w:rsid w:val="00E52D9E"/>
    <w:rsid w:val="00E52DBD"/>
    <w:rsid w:val="00E52DFB"/>
    <w:rsid w:val="00E52E22"/>
    <w:rsid w:val="00E52F70"/>
    <w:rsid w:val="00E52FB0"/>
    <w:rsid w:val="00E530A7"/>
    <w:rsid w:val="00E530CE"/>
    <w:rsid w:val="00E53151"/>
    <w:rsid w:val="00E53170"/>
    <w:rsid w:val="00E5320A"/>
    <w:rsid w:val="00E532E6"/>
    <w:rsid w:val="00E53301"/>
    <w:rsid w:val="00E5340A"/>
    <w:rsid w:val="00E53448"/>
    <w:rsid w:val="00E5376D"/>
    <w:rsid w:val="00E5392D"/>
    <w:rsid w:val="00E53AAF"/>
    <w:rsid w:val="00E53DBE"/>
    <w:rsid w:val="00E53E37"/>
    <w:rsid w:val="00E53F73"/>
    <w:rsid w:val="00E53FC4"/>
    <w:rsid w:val="00E54003"/>
    <w:rsid w:val="00E5402F"/>
    <w:rsid w:val="00E5452F"/>
    <w:rsid w:val="00E54565"/>
    <w:rsid w:val="00E54663"/>
    <w:rsid w:val="00E546DA"/>
    <w:rsid w:val="00E54723"/>
    <w:rsid w:val="00E5473D"/>
    <w:rsid w:val="00E548E3"/>
    <w:rsid w:val="00E54985"/>
    <w:rsid w:val="00E54ACC"/>
    <w:rsid w:val="00E54B1E"/>
    <w:rsid w:val="00E54BB6"/>
    <w:rsid w:val="00E54C70"/>
    <w:rsid w:val="00E54C97"/>
    <w:rsid w:val="00E54CAC"/>
    <w:rsid w:val="00E54D31"/>
    <w:rsid w:val="00E54F90"/>
    <w:rsid w:val="00E55059"/>
    <w:rsid w:val="00E55092"/>
    <w:rsid w:val="00E550F8"/>
    <w:rsid w:val="00E55135"/>
    <w:rsid w:val="00E551E0"/>
    <w:rsid w:val="00E5524C"/>
    <w:rsid w:val="00E554B0"/>
    <w:rsid w:val="00E5565E"/>
    <w:rsid w:val="00E5568D"/>
    <w:rsid w:val="00E557C6"/>
    <w:rsid w:val="00E55847"/>
    <w:rsid w:val="00E5589C"/>
    <w:rsid w:val="00E558C1"/>
    <w:rsid w:val="00E55912"/>
    <w:rsid w:val="00E55C77"/>
    <w:rsid w:val="00E55C80"/>
    <w:rsid w:val="00E55CED"/>
    <w:rsid w:val="00E55D9A"/>
    <w:rsid w:val="00E55DA5"/>
    <w:rsid w:val="00E55F56"/>
    <w:rsid w:val="00E55F76"/>
    <w:rsid w:val="00E5612D"/>
    <w:rsid w:val="00E562FB"/>
    <w:rsid w:val="00E56334"/>
    <w:rsid w:val="00E563BE"/>
    <w:rsid w:val="00E56699"/>
    <w:rsid w:val="00E568B6"/>
    <w:rsid w:val="00E5694C"/>
    <w:rsid w:val="00E56AD6"/>
    <w:rsid w:val="00E56B58"/>
    <w:rsid w:val="00E56C2E"/>
    <w:rsid w:val="00E56C99"/>
    <w:rsid w:val="00E56C9B"/>
    <w:rsid w:val="00E56CAD"/>
    <w:rsid w:val="00E56CCA"/>
    <w:rsid w:val="00E56D7D"/>
    <w:rsid w:val="00E56D83"/>
    <w:rsid w:val="00E56E22"/>
    <w:rsid w:val="00E56E7F"/>
    <w:rsid w:val="00E57039"/>
    <w:rsid w:val="00E570DD"/>
    <w:rsid w:val="00E57214"/>
    <w:rsid w:val="00E573C4"/>
    <w:rsid w:val="00E574F2"/>
    <w:rsid w:val="00E575F1"/>
    <w:rsid w:val="00E5765B"/>
    <w:rsid w:val="00E57667"/>
    <w:rsid w:val="00E5768F"/>
    <w:rsid w:val="00E576D2"/>
    <w:rsid w:val="00E5776F"/>
    <w:rsid w:val="00E5782B"/>
    <w:rsid w:val="00E578A0"/>
    <w:rsid w:val="00E5792F"/>
    <w:rsid w:val="00E579F0"/>
    <w:rsid w:val="00E57BF9"/>
    <w:rsid w:val="00E57D13"/>
    <w:rsid w:val="00E57EFA"/>
    <w:rsid w:val="00E57F62"/>
    <w:rsid w:val="00E6002F"/>
    <w:rsid w:val="00E601EB"/>
    <w:rsid w:val="00E601F6"/>
    <w:rsid w:val="00E6024A"/>
    <w:rsid w:val="00E602F3"/>
    <w:rsid w:val="00E6036A"/>
    <w:rsid w:val="00E6038C"/>
    <w:rsid w:val="00E6046F"/>
    <w:rsid w:val="00E604D2"/>
    <w:rsid w:val="00E6065A"/>
    <w:rsid w:val="00E606ED"/>
    <w:rsid w:val="00E60799"/>
    <w:rsid w:val="00E60A23"/>
    <w:rsid w:val="00E60AB6"/>
    <w:rsid w:val="00E60B0F"/>
    <w:rsid w:val="00E60B71"/>
    <w:rsid w:val="00E60CFA"/>
    <w:rsid w:val="00E60DB5"/>
    <w:rsid w:val="00E60E5B"/>
    <w:rsid w:val="00E60E9C"/>
    <w:rsid w:val="00E60EF3"/>
    <w:rsid w:val="00E60FC8"/>
    <w:rsid w:val="00E6101A"/>
    <w:rsid w:val="00E6119B"/>
    <w:rsid w:val="00E613C6"/>
    <w:rsid w:val="00E61458"/>
    <w:rsid w:val="00E6146C"/>
    <w:rsid w:val="00E61471"/>
    <w:rsid w:val="00E61572"/>
    <w:rsid w:val="00E6160C"/>
    <w:rsid w:val="00E61629"/>
    <w:rsid w:val="00E61645"/>
    <w:rsid w:val="00E61650"/>
    <w:rsid w:val="00E616EC"/>
    <w:rsid w:val="00E6176A"/>
    <w:rsid w:val="00E6176E"/>
    <w:rsid w:val="00E6183C"/>
    <w:rsid w:val="00E61895"/>
    <w:rsid w:val="00E618C5"/>
    <w:rsid w:val="00E618E5"/>
    <w:rsid w:val="00E6195E"/>
    <w:rsid w:val="00E619A1"/>
    <w:rsid w:val="00E619BB"/>
    <w:rsid w:val="00E61AA3"/>
    <w:rsid w:val="00E61ACF"/>
    <w:rsid w:val="00E61B37"/>
    <w:rsid w:val="00E61BB5"/>
    <w:rsid w:val="00E61BC2"/>
    <w:rsid w:val="00E61C22"/>
    <w:rsid w:val="00E61CBB"/>
    <w:rsid w:val="00E61CFD"/>
    <w:rsid w:val="00E61D87"/>
    <w:rsid w:val="00E61DEC"/>
    <w:rsid w:val="00E622F8"/>
    <w:rsid w:val="00E62301"/>
    <w:rsid w:val="00E623F2"/>
    <w:rsid w:val="00E6243F"/>
    <w:rsid w:val="00E6261B"/>
    <w:rsid w:val="00E62786"/>
    <w:rsid w:val="00E628E5"/>
    <w:rsid w:val="00E62967"/>
    <w:rsid w:val="00E62A9E"/>
    <w:rsid w:val="00E62E05"/>
    <w:rsid w:val="00E62E18"/>
    <w:rsid w:val="00E62F54"/>
    <w:rsid w:val="00E630AD"/>
    <w:rsid w:val="00E63247"/>
    <w:rsid w:val="00E633D6"/>
    <w:rsid w:val="00E636A4"/>
    <w:rsid w:val="00E636BF"/>
    <w:rsid w:val="00E63739"/>
    <w:rsid w:val="00E637E2"/>
    <w:rsid w:val="00E63803"/>
    <w:rsid w:val="00E63808"/>
    <w:rsid w:val="00E63831"/>
    <w:rsid w:val="00E63868"/>
    <w:rsid w:val="00E63A4E"/>
    <w:rsid w:val="00E63ABB"/>
    <w:rsid w:val="00E63ACA"/>
    <w:rsid w:val="00E63B1F"/>
    <w:rsid w:val="00E63B52"/>
    <w:rsid w:val="00E63BC4"/>
    <w:rsid w:val="00E63CCF"/>
    <w:rsid w:val="00E63E64"/>
    <w:rsid w:val="00E63E9B"/>
    <w:rsid w:val="00E63F1C"/>
    <w:rsid w:val="00E63F35"/>
    <w:rsid w:val="00E63F87"/>
    <w:rsid w:val="00E63F9B"/>
    <w:rsid w:val="00E63FA4"/>
    <w:rsid w:val="00E640B2"/>
    <w:rsid w:val="00E642FD"/>
    <w:rsid w:val="00E64362"/>
    <w:rsid w:val="00E64464"/>
    <w:rsid w:val="00E64536"/>
    <w:rsid w:val="00E64684"/>
    <w:rsid w:val="00E646F9"/>
    <w:rsid w:val="00E6471E"/>
    <w:rsid w:val="00E64740"/>
    <w:rsid w:val="00E6488A"/>
    <w:rsid w:val="00E648B2"/>
    <w:rsid w:val="00E64B9C"/>
    <w:rsid w:val="00E64C5F"/>
    <w:rsid w:val="00E64C8E"/>
    <w:rsid w:val="00E64D41"/>
    <w:rsid w:val="00E64E1E"/>
    <w:rsid w:val="00E64E63"/>
    <w:rsid w:val="00E64ED2"/>
    <w:rsid w:val="00E64F39"/>
    <w:rsid w:val="00E64F73"/>
    <w:rsid w:val="00E64FE4"/>
    <w:rsid w:val="00E6512C"/>
    <w:rsid w:val="00E65197"/>
    <w:rsid w:val="00E6527A"/>
    <w:rsid w:val="00E652EE"/>
    <w:rsid w:val="00E65693"/>
    <w:rsid w:val="00E6575F"/>
    <w:rsid w:val="00E65786"/>
    <w:rsid w:val="00E65825"/>
    <w:rsid w:val="00E65A88"/>
    <w:rsid w:val="00E65B29"/>
    <w:rsid w:val="00E65B7C"/>
    <w:rsid w:val="00E65D4C"/>
    <w:rsid w:val="00E65D52"/>
    <w:rsid w:val="00E65DBB"/>
    <w:rsid w:val="00E65E04"/>
    <w:rsid w:val="00E65F8A"/>
    <w:rsid w:val="00E6601D"/>
    <w:rsid w:val="00E661A8"/>
    <w:rsid w:val="00E661B1"/>
    <w:rsid w:val="00E662A5"/>
    <w:rsid w:val="00E66485"/>
    <w:rsid w:val="00E664ED"/>
    <w:rsid w:val="00E66694"/>
    <w:rsid w:val="00E6670D"/>
    <w:rsid w:val="00E6675E"/>
    <w:rsid w:val="00E66877"/>
    <w:rsid w:val="00E668B8"/>
    <w:rsid w:val="00E668C9"/>
    <w:rsid w:val="00E6699A"/>
    <w:rsid w:val="00E66AD0"/>
    <w:rsid w:val="00E66B80"/>
    <w:rsid w:val="00E66D88"/>
    <w:rsid w:val="00E66DA3"/>
    <w:rsid w:val="00E66F70"/>
    <w:rsid w:val="00E670E5"/>
    <w:rsid w:val="00E670E9"/>
    <w:rsid w:val="00E6711A"/>
    <w:rsid w:val="00E67297"/>
    <w:rsid w:val="00E672A9"/>
    <w:rsid w:val="00E67468"/>
    <w:rsid w:val="00E67513"/>
    <w:rsid w:val="00E67670"/>
    <w:rsid w:val="00E67894"/>
    <w:rsid w:val="00E679EA"/>
    <w:rsid w:val="00E679EE"/>
    <w:rsid w:val="00E67A88"/>
    <w:rsid w:val="00E67AC6"/>
    <w:rsid w:val="00E67C3A"/>
    <w:rsid w:val="00E67C8E"/>
    <w:rsid w:val="00E67CAD"/>
    <w:rsid w:val="00E67DA8"/>
    <w:rsid w:val="00E67E3F"/>
    <w:rsid w:val="00E67E98"/>
    <w:rsid w:val="00E67E9D"/>
    <w:rsid w:val="00E67FD3"/>
    <w:rsid w:val="00E70024"/>
    <w:rsid w:val="00E700D8"/>
    <w:rsid w:val="00E701DC"/>
    <w:rsid w:val="00E70257"/>
    <w:rsid w:val="00E70295"/>
    <w:rsid w:val="00E7050E"/>
    <w:rsid w:val="00E705EC"/>
    <w:rsid w:val="00E7061E"/>
    <w:rsid w:val="00E70660"/>
    <w:rsid w:val="00E70669"/>
    <w:rsid w:val="00E70752"/>
    <w:rsid w:val="00E7079B"/>
    <w:rsid w:val="00E7085D"/>
    <w:rsid w:val="00E7096E"/>
    <w:rsid w:val="00E70A9B"/>
    <w:rsid w:val="00E70B3B"/>
    <w:rsid w:val="00E70B7F"/>
    <w:rsid w:val="00E70BE6"/>
    <w:rsid w:val="00E70D03"/>
    <w:rsid w:val="00E70D67"/>
    <w:rsid w:val="00E70E7C"/>
    <w:rsid w:val="00E71075"/>
    <w:rsid w:val="00E711CB"/>
    <w:rsid w:val="00E712E5"/>
    <w:rsid w:val="00E713C1"/>
    <w:rsid w:val="00E7142A"/>
    <w:rsid w:val="00E7147E"/>
    <w:rsid w:val="00E71488"/>
    <w:rsid w:val="00E717EE"/>
    <w:rsid w:val="00E71826"/>
    <w:rsid w:val="00E7184E"/>
    <w:rsid w:val="00E71863"/>
    <w:rsid w:val="00E71936"/>
    <w:rsid w:val="00E71A14"/>
    <w:rsid w:val="00E71A5C"/>
    <w:rsid w:val="00E71A6E"/>
    <w:rsid w:val="00E71AC9"/>
    <w:rsid w:val="00E71B26"/>
    <w:rsid w:val="00E71D0F"/>
    <w:rsid w:val="00E72198"/>
    <w:rsid w:val="00E721B4"/>
    <w:rsid w:val="00E72278"/>
    <w:rsid w:val="00E725D1"/>
    <w:rsid w:val="00E72689"/>
    <w:rsid w:val="00E7279E"/>
    <w:rsid w:val="00E7286F"/>
    <w:rsid w:val="00E728C4"/>
    <w:rsid w:val="00E729AB"/>
    <w:rsid w:val="00E729C0"/>
    <w:rsid w:val="00E72A30"/>
    <w:rsid w:val="00E72B25"/>
    <w:rsid w:val="00E72B56"/>
    <w:rsid w:val="00E72B8D"/>
    <w:rsid w:val="00E72BEA"/>
    <w:rsid w:val="00E72CAC"/>
    <w:rsid w:val="00E72D53"/>
    <w:rsid w:val="00E72F1E"/>
    <w:rsid w:val="00E72FA9"/>
    <w:rsid w:val="00E72FD7"/>
    <w:rsid w:val="00E73017"/>
    <w:rsid w:val="00E7320B"/>
    <w:rsid w:val="00E732DC"/>
    <w:rsid w:val="00E7331A"/>
    <w:rsid w:val="00E733D6"/>
    <w:rsid w:val="00E733E4"/>
    <w:rsid w:val="00E734DE"/>
    <w:rsid w:val="00E734FA"/>
    <w:rsid w:val="00E735A8"/>
    <w:rsid w:val="00E7362A"/>
    <w:rsid w:val="00E73794"/>
    <w:rsid w:val="00E737F8"/>
    <w:rsid w:val="00E738FC"/>
    <w:rsid w:val="00E73980"/>
    <w:rsid w:val="00E73B23"/>
    <w:rsid w:val="00E73B68"/>
    <w:rsid w:val="00E73DD9"/>
    <w:rsid w:val="00E73E38"/>
    <w:rsid w:val="00E73F35"/>
    <w:rsid w:val="00E74000"/>
    <w:rsid w:val="00E740F0"/>
    <w:rsid w:val="00E741C9"/>
    <w:rsid w:val="00E741F2"/>
    <w:rsid w:val="00E742AD"/>
    <w:rsid w:val="00E7432E"/>
    <w:rsid w:val="00E744FF"/>
    <w:rsid w:val="00E7452C"/>
    <w:rsid w:val="00E746AB"/>
    <w:rsid w:val="00E7485F"/>
    <w:rsid w:val="00E7490D"/>
    <w:rsid w:val="00E749F8"/>
    <w:rsid w:val="00E74A89"/>
    <w:rsid w:val="00E74AD0"/>
    <w:rsid w:val="00E74BED"/>
    <w:rsid w:val="00E74CF4"/>
    <w:rsid w:val="00E74CF7"/>
    <w:rsid w:val="00E74D7A"/>
    <w:rsid w:val="00E74DBA"/>
    <w:rsid w:val="00E74E37"/>
    <w:rsid w:val="00E74F15"/>
    <w:rsid w:val="00E7508D"/>
    <w:rsid w:val="00E751B4"/>
    <w:rsid w:val="00E75226"/>
    <w:rsid w:val="00E7527A"/>
    <w:rsid w:val="00E752C2"/>
    <w:rsid w:val="00E752E0"/>
    <w:rsid w:val="00E75359"/>
    <w:rsid w:val="00E7538C"/>
    <w:rsid w:val="00E753BD"/>
    <w:rsid w:val="00E75478"/>
    <w:rsid w:val="00E75491"/>
    <w:rsid w:val="00E75586"/>
    <w:rsid w:val="00E75600"/>
    <w:rsid w:val="00E756E2"/>
    <w:rsid w:val="00E757F1"/>
    <w:rsid w:val="00E759F1"/>
    <w:rsid w:val="00E759F7"/>
    <w:rsid w:val="00E75AA1"/>
    <w:rsid w:val="00E75C26"/>
    <w:rsid w:val="00E75C69"/>
    <w:rsid w:val="00E75C7B"/>
    <w:rsid w:val="00E75CDA"/>
    <w:rsid w:val="00E75D71"/>
    <w:rsid w:val="00E75DC5"/>
    <w:rsid w:val="00E75EC4"/>
    <w:rsid w:val="00E760B8"/>
    <w:rsid w:val="00E761F1"/>
    <w:rsid w:val="00E7628E"/>
    <w:rsid w:val="00E763A9"/>
    <w:rsid w:val="00E76488"/>
    <w:rsid w:val="00E764EE"/>
    <w:rsid w:val="00E764F8"/>
    <w:rsid w:val="00E76595"/>
    <w:rsid w:val="00E765D7"/>
    <w:rsid w:val="00E766DD"/>
    <w:rsid w:val="00E76799"/>
    <w:rsid w:val="00E767B0"/>
    <w:rsid w:val="00E76825"/>
    <w:rsid w:val="00E76859"/>
    <w:rsid w:val="00E769B8"/>
    <w:rsid w:val="00E76A00"/>
    <w:rsid w:val="00E76C1B"/>
    <w:rsid w:val="00E76C5D"/>
    <w:rsid w:val="00E76C6B"/>
    <w:rsid w:val="00E76D7A"/>
    <w:rsid w:val="00E76DC3"/>
    <w:rsid w:val="00E76E12"/>
    <w:rsid w:val="00E76F6B"/>
    <w:rsid w:val="00E76FFC"/>
    <w:rsid w:val="00E77001"/>
    <w:rsid w:val="00E77042"/>
    <w:rsid w:val="00E7705B"/>
    <w:rsid w:val="00E770DD"/>
    <w:rsid w:val="00E77102"/>
    <w:rsid w:val="00E77138"/>
    <w:rsid w:val="00E771B9"/>
    <w:rsid w:val="00E7729D"/>
    <w:rsid w:val="00E772D9"/>
    <w:rsid w:val="00E77321"/>
    <w:rsid w:val="00E773C6"/>
    <w:rsid w:val="00E774EE"/>
    <w:rsid w:val="00E77862"/>
    <w:rsid w:val="00E77956"/>
    <w:rsid w:val="00E7798F"/>
    <w:rsid w:val="00E77A07"/>
    <w:rsid w:val="00E77A9B"/>
    <w:rsid w:val="00E77B4A"/>
    <w:rsid w:val="00E77B4F"/>
    <w:rsid w:val="00E77C0C"/>
    <w:rsid w:val="00E77CCE"/>
    <w:rsid w:val="00E77D60"/>
    <w:rsid w:val="00E77E62"/>
    <w:rsid w:val="00E77EF0"/>
    <w:rsid w:val="00E77FC4"/>
    <w:rsid w:val="00E80022"/>
    <w:rsid w:val="00E80171"/>
    <w:rsid w:val="00E803E9"/>
    <w:rsid w:val="00E803FB"/>
    <w:rsid w:val="00E804E6"/>
    <w:rsid w:val="00E806B4"/>
    <w:rsid w:val="00E809B1"/>
    <w:rsid w:val="00E80BFA"/>
    <w:rsid w:val="00E80CD8"/>
    <w:rsid w:val="00E80E7A"/>
    <w:rsid w:val="00E8102E"/>
    <w:rsid w:val="00E8106B"/>
    <w:rsid w:val="00E810B7"/>
    <w:rsid w:val="00E8129E"/>
    <w:rsid w:val="00E812CF"/>
    <w:rsid w:val="00E813AF"/>
    <w:rsid w:val="00E8144C"/>
    <w:rsid w:val="00E814C1"/>
    <w:rsid w:val="00E8158F"/>
    <w:rsid w:val="00E81610"/>
    <w:rsid w:val="00E816DB"/>
    <w:rsid w:val="00E817AE"/>
    <w:rsid w:val="00E817B5"/>
    <w:rsid w:val="00E817D4"/>
    <w:rsid w:val="00E81ACC"/>
    <w:rsid w:val="00E81CE6"/>
    <w:rsid w:val="00E81D14"/>
    <w:rsid w:val="00E81E76"/>
    <w:rsid w:val="00E821FB"/>
    <w:rsid w:val="00E82271"/>
    <w:rsid w:val="00E822F0"/>
    <w:rsid w:val="00E824FC"/>
    <w:rsid w:val="00E825C8"/>
    <w:rsid w:val="00E82613"/>
    <w:rsid w:val="00E82679"/>
    <w:rsid w:val="00E8279B"/>
    <w:rsid w:val="00E8280B"/>
    <w:rsid w:val="00E82A58"/>
    <w:rsid w:val="00E82A6B"/>
    <w:rsid w:val="00E82ADC"/>
    <w:rsid w:val="00E82B5D"/>
    <w:rsid w:val="00E82B99"/>
    <w:rsid w:val="00E82C30"/>
    <w:rsid w:val="00E82CD0"/>
    <w:rsid w:val="00E82DC0"/>
    <w:rsid w:val="00E82F84"/>
    <w:rsid w:val="00E830B8"/>
    <w:rsid w:val="00E83471"/>
    <w:rsid w:val="00E83526"/>
    <w:rsid w:val="00E8355C"/>
    <w:rsid w:val="00E83A6F"/>
    <w:rsid w:val="00E83B7B"/>
    <w:rsid w:val="00E83B8E"/>
    <w:rsid w:val="00E83CCF"/>
    <w:rsid w:val="00E83D42"/>
    <w:rsid w:val="00E83D4E"/>
    <w:rsid w:val="00E83F96"/>
    <w:rsid w:val="00E83FE8"/>
    <w:rsid w:val="00E84086"/>
    <w:rsid w:val="00E84243"/>
    <w:rsid w:val="00E842FA"/>
    <w:rsid w:val="00E845C6"/>
    <w:rsid w:val="00E84633"/>
    <w:rsid w:val="00E84816"/>
    <w:rsid w:val="00E84834"/>
    <w:rsid w:val="00E8492D"/>
    <w:rsid w:val="00E849DB"/>
    <w:rsid w:val="00E84AD0"/>
    <w:rsid w:val="00E84C23"/>
    <w:rsid w:val="00E84CC2"/>
    <w:rsid w:val="00E84D4D"/>
    <w:rsid w:val="00E84D53"/>
    <w:rsid w:val="00E84DD5"/>
    <w:rsid w:val="00E84F79"/>
    <w:rsid w:val="00E85005"/>
    <w:rsid w:val="00E8501F"/>
    <w:rsid w:val="00E85069"/>
    <w:rsid w:val="00E8535E"/>
    <w:rsid w:val="00E853B5"/>
    <w:rsid w:val="00E853FD"/>
    <w:rsid w:val="00E85415"/>
    <w:rsid w:val="00E85468"/>
    <w:rsid w:val="00E854F0"/>
    <w:rsid w:val="00E855FE"/>
    <w:rsid w:val="00E856F9"/>
    <w:rsid w:val="00E8580B"/>
    <w:rsid w:val="00E859A1"/>
    <w:rsid w:val="00E85AA0"/>
    <w:rsid w:val="00E85B16"/>
    <w:rsid w:val="00E85C21"/>
    <w:rsid w:val="00E85D5E"/>
    <w:rsid w:val="00E85DC6"/>
    <w:rsid w:val="00E85E0B"/>
    <w:rsid w:val="00E86031"/>
    <w:rsid w:val="00E860CA"/>
    <w:rsid w:val="00E86135"/>
    <w:rsid w:val="00E8615C"/>
    <w:rsid w:val="00E86303"/>
    <w:rsid w:val="00E86365"/>
    <w:rsid w:val="00E863D1"/>
    <w:rsid w:val="00E863E0"/>
    <w:rsid w:val="00E864DC"/>
    <w:rsid w:val="00E86566"/>
    <w:rsid w:val="00E86576"/>
    <w:rsid w:val="00E8663B"/>
    <w:rsid w:val="00E8665A"/>
    <w:rsid w:val="00E866A9"/>
    <w:rsid w:val="00E867E5"/>
    <w:rsid w:val="00E86826"/>
    <w:rsid w:val="00E86836"/>
    <w:rsid w:val="00E86841"/>
    <w:rsid w:val="00E86854"/>
    <w:rsid w:val="00E8690A"/>
    <w:rsid w:val="00E86A0F"/>
    <w:rsid w:val="00E86A9C"/>
    <w:rsid w:val="00E86B64"/>
    <w:rsid w:val="00E86B95"/>
    <w:rsid w:val="00E86C62"/>
    <w:rsid w:val="00E86F44"/>
    <w:rsid w:val="00E8700C"/>
    <w:rsid w:val="00E87111"/>
    <w:rsid w:val="00E87157"/>
    <w:rsid w:val="00E87178"/>
    <w:rsid w:val="00E8727E"/>
    <w:rsid w:val="00E872D5"/>
    <w:rsid w:val="00E8739F"/>
    <w:rsid w:val="00E873E9"/>
    <w:rsid w:val="00E87574"/>
    <w:rsid w:val="00E87607"/>
    <w:rsid w:val="00E87671"/>
    <w:rsid w:val="00E876E4"/>
    <w:rsid w:val="00E879D4"/>
    <w:rsid w:val="00E879E2"/>
    <w:rsid w:val="00E879F2"/>
    <w:rsid w:val="00E87A69"/>
    <w:rsid w:val="00E87A89"/>
    <w:rsid w:val="00E87A94"/>
    <w:rsid w:val="00E87BC1"/>
    <w:rsid w:val="00E90054"/>
    <w:rsid w:val="00E90265"/>
    <w:rsid w:val="00E90298"/>
    <w:rsid w:val="00E9034B"/>
    <w:rsid w:val="00E903B2"/>
    <w:rsid w:val="00E9040E"/>
    <w:rsid w:val="00E9043E"/>
    <w:rsid w:val="00E906B4"/>
    <w:rsid w:val="00E9075C"/>
    <w:rsid w:val="00E9075D"/>
    <w:rsid w:val="00E9085E"/>
    <w:rsid w:val="00E908A9"/>
    <w:rsid w:val="00E90988"/>
    <w:rsid w:val="00E90B65"/>
    <w:rsid w:val="00E90B9D"/>
    <w:rsid w:val="00E90EAC"/>
    <w:rsid w:val="00E90EC5"/>
    <w:rsid w:val="00E90F5E"/>
    <w:rsid w:val="00E90FF2"/>
    <w:rsid w:val="00E90FFC"/>
    <w:rsid w:val="00E913BB"/>
    <w:rsid w:val="00E913F7"/>
    <w:rsid w:val="00E91605"/>
    <w:rsid w:val="00E917E3"/>
    <w:rsid w:val="00E917FF"/>
    <w:rsid w:val="00E91881"/>
    <w:rsid w:val="00E91962"/>
    <w:rsid w:val="00E91AC4"/>
    <w:rsid w:val="00E91CDF"/>
    <w:rsid w:val="00E91DCB"/>
    <w:rsid w:val="00E91E04"/>
    <w:rsid w:val="00E91E84"/>
    <w:rsid w:val="00E91F24"/>
    <w:rsid w:val="00E9207E"/>
    <w:rsid w:val="00E92121"/>
    <w:rsid w:val="00E9215F"/>
    <w:rsid w:val="00E921F9"/>
    <w:rsid w:val="00E9244B"/>
    <w:rsid w:val="00E92712"/>
    <w:rsid w:val="00E927D0"/>
    <w:rsid w:val="00E92934"/>
    <w:rsid w:val="00E92AE8"/>
    <w:rsid w:val="00E92B9E"/>
    <w:rsid w:val="00E92CAF"/>
    <w:rsid w:val="00E92CFC"/>
    <w:rsid w:val="00E92D0F"/>
    <w:rsid w:val="00E92D3D"/>
    <w:rsid w:val="00E92D4D"/>
    <w:rsid w:val="00E92D62"/>
    <w:rsid w:val="00E92DD8"/>
    <w:rsid w:val="00E92EBC"/>
    <w:rsid w:val="00E92FED"/>
    <w:rsid w:val="00E9312F"/>
    <w:rsid w:val="00E931CD"/>
    <w:rsid w:val="00E931F8"/>
    <w:rsid w:val="00E93203"/>
    <w:rsid w:val="00E932D0"/>
    <w:rsid w:val="00E932E5"/>
    <w:rsid w:val="00E93345"/>
    <w:rsid w:val="00E93363"/>
    <w:rsid w:val="00E934B6"/>
    <w:rsid w:val="00E934F2"/>
    <w:rsid w:val="00E93580"/>
    <w:rsid w:val="00E93624"/>
    <w:rsid w:val="00E93739"/>
    <w:rsid w:val="00E937D9"/>
    <w:rsid w:val="00E93884"/>
    <w:rsid w:val="00E9388D"/>
    <w:rsid w:val="00E938F4"/>
    <w:rsid w:val="00E93A5A"/>
    <w:rsid w:val="00E93AC8"/>
    <w:rsid w:val="00E93AD3"/>
    <w:rsid w:val="00E93B6E"/>
    <w:rsid w:val="00E93BD5"/>
    <w:rsid w:val="00E93D1B"/>
    <w:rsid w:val="00E93E8F"/>
    <w:rsid w:val="00E93E94"/>
    <w:rsid w:val="00E94014"/>
    <w:rsid w:val="00E9406D"/>
    <w:rsid w:val="00E94094"/>
    <w:rsid w:val="00E9412A"/>
    <w:rsid w:val="00E94165"/>
    <w:rsid w:val="00E9435E"/>
    <w:rsid w:val="00E947F8"/>
    <w:rsid w:val="00E94894"/>
    <w:rsid w:val="00E94922"/>
    <w:rsid w:val="00E94A7E"/>
    <w:rsid w:val="00E94AE5"/>
    <w:rsid w:val="00E94AF0"/>
    <w:rsid w:val="00E94BD2"/>
    <w:rsid w:val="00E94CC5"/>
    <w:rsid w:val="00E94D44"/>
    <w:rsid w:val="00E94F86"/>
    <w:rsid w:val="00E95024"/>
    <w:rsid w:val="00E950E4"/>
    <w:rsid w:val="00E95112"/>
    <w:rsid w:val="00E9514A"/>
    <w:rsid w:val="00E951A0"/>
    <w:rsid w:val="00E9539A"/>
    <w:rsid w:val="00E95474"/>
    <w:rsid w:val="00E95539"/>
    <w:rsid w:val="00E9559C"/>
    <w:rsid w:val="00E955CB"/>
    <w:rsid w:val="00E9577F"/>
    <w:rsid w:val="00E95788"/>
    <w:rsid w:val="00E957D2"/>
    <w:rsid w:val="00E958E5"/>
    <w:rsid w:val="00E959DD"/>
    <w:rsid w:val="00E95A0A"/>
    <w:rsid w:val="00E95A98"/>
    <w:rsid w:val="00E95AEA"/>
    <w:rsid w:val="00E95D2D"/>
    <w:rsid w:val="00E95D48"/>
    <w:rsid w:val="00E95D71"/>
    <w:rsid w:val="00E95ED3"/>
    <w:rsid w:val="00E9606B"/>
    <w:rsid w:val="00E961C2"/>
    <w:rsid w:val="00E961DA"/>
    <w:rsid w:val="00E96293"/>
    <w:rsid w:val="00E962E5"/>
    <w:rsid w:val="00E96335"/>
    <w:rsid w:val="00E96494"/>
    <w:rsid w:val="00E9652B"/>
    <w:rsid w:val="00E96557"/>
    <w:rsid w:val="00E965EE"/>
    <w:rsid w:val="00E96603"/>
    <w:rsid w:val="00E96626"/>
    <w:rsid w:val="00E96668"/>
    <w:rsid w:val="00E966AD"/>
    <w:rsid w:val="00E9675E"/>
    <w:rsid w:val="00E96897"/>
    <w:rsid w:val="00E968DC"/>
    <w:rsid w:val="00E9693A"/>
    <w:rsid w:val="00E969F5"/>
    <w:rsid w:val="00E96A87"/>
    <w:rsid w:val="00E96AFD"/>
    <w:rsid w:val="00E96E10"/>
    <w:rsid w:val="00E96FB3"/>
    <w:rsid w:val="00E97195"/>
    <w:rsid w:val="00E9740B"/>
    <w:rsid w:val="00E9768D"/>
    <w:rsid w:val="00E97A0E"/>
    <w:rsid w:val="00E97A38"/>
    <w:rsid w:val="00E97ABC"/>
    <w:rsid w:val="00E97B65"/>
    <w:rsid w:val="00E97C2D"/>
    <w:rsid w:val="00E97C41"/>
    <w:rsid w:val="00E97C81"/>
    <w:rsid w:val="00E97D61"/>
    <w:rsid w:val="00E97EB3"/>
    <w:rsid w:val="00E97F09"/>
    <w:rsid w:val="00E97F2B"/>
    <w:rsid w:val="00EA0108"/>
    <w:rsid w:val="00EA01DF"/>
    <w:rsid w:val="00EA0202"/>
    <w:rsid w:val="00EA0497"/>
    <w:rsid w:val="00EA04E0"/>
    <w:rsid w:val="00EA0594"/>
    <w:rsid w:val="00EA0614"/>
    <w:rsid w:val="00EA06D3"/>
    <w:rsid w:val="00EA06F8"/>
    <w:rsid w:val="00EA0750"/>
    <w:rsid w:val="00EA08C7"/>
    <w:rsid w:val="00EA09F1"/>
    <w:rsid w:val="00EA09F5"/>
    <w:rsid w:val="00EA0B90"/>
    <w:rsid w:val="00EA0C6D"/>
    <w:rsid w:val="00EA0D23"/>
    <w:rsid w:val="00EA0E05"/>
    <w:rsid w:val="00EA0ED8"/>
    <w:rsid w:val="00EA0F50"/>
    <w:rsid w:val="00EA1058"/>
    <w:rsid w:val="00EA1092"/>
    <w:rsid w:val="00EA118C"/>
    <w:rsid w:val="00EA122B"/>
    <w:rsid w:val="00EA1249"/>
    <w:rsid w:val="00EA1256"/>
    <w:rsid w:val="00EA12C3"/>
    <w:rsid w:val="00EA135D"/>
    <w:rsid w:val="00EA13C4"/>
    <w:rsid w:val="00EA17C5"/>
    <w:rsid w:val="00EA17DB"/>
    <w:rsid w:val="00EA1828"/>
    <w:rsid w:val="00EA1906"/>
    <w:rsid w:val="00EA19BB"/>
    <w:rsid w:val="00EA1A80"/>
    <w:rsid w:val="00EA1B6E"/>
    <w:rsid w:val="00EA1D18"/>
    <w:rsid w:val="00EA1DA8"/>
    <w:rsid w:val="00EA1E2B"/>
    <w:rsid w:val="00EA1E2E"/>
    <w:rsid w:val="00EA1E36"/>
    <w:rsid w:val="00EA1EB7"/>
    <w:rsid w:val="00EA217D"/>
    <w:rsid w:val="00EA221C"/>
    <w:rsid w:val="00EA2225"/>
    <w:rsid w:val="00EA22A9"/>
    <w:rsid w:val="00EA232C"/>
    <w:rsid w:val="00EA23D7"/>
    <w:rsid w:val="00EA2427"/>
    <w:rsid w:val="00EA25E1"/>
    <w:rsid w:val="00EA2646"/>
    <w:rsid w:val="00EA282A"/>
    <w:rsid w:val="00EA2A28"/>
    <w:rsid w:val="00EA2CEC"/>
    <w:rsid w:val="00EA2D17"/>
    <w:rsid w:val="00EA2D18"/>
    <w:rsid w:val="00EA2D19"/>
    <w:rsid w:val="00EA2F26"/>
    <w:rsid w:val="00EA2F75"/>
    <w:rsid w:val="00EA3067"/>
    <w:rsid w:val="00EA3135"/>
    <w:rsid w:val="00EA3371"/>
    <w:rsid w:val="00EA3385"/>
    <w:rsid w:val="00EA33C0"/>
    <w:rsid w:val="00EA3484"/>
    <w:rsid w:val="00EA3549"/>
    <w:rsid w:val="00EA356B"/>
    <w:rsid w:val="00EA35B1"/>
    <w:rsid w:val="00EA36C6"/>
    <w:rsid w:val="00EA37B8"/>
    <w:rsid w:val="00EA3860"/>
    <w:rsid w:val="00EA3965"/>
    <w:rsid w:val="00EA3A75"/>
    <w:rsid w:val="00EA3AA3"/>
    <w:rsid w:val="00EA3ACE"/>
    <w:rsid w:val="00EA3B19"/>
    <w:rsid w:val="00EA3B38"/>
    <w:rsid w:val="00EA3B75"/>
    <w:rsid w:val="00EA3C6C"/>
    <w:rsid w:val="00EA3C83"/>
    <w:rsid w:val="00EA3D68"/>
    <w:rsid w:val="00EA3DC4"/>
    <w:rsid w:val="00EA3E33"/>
    <w:rsid w:val="00EA3E83"/>
    <w:rsid w:val="00EA4036"/>
    <w:rsid w:val="00EA40C4"/>
    <w:rsid w:val="00EA40E6"/>
    <w:rsid w:val="00EA41D4"/>
    <w:rsid w:val="00EA4257"/>
    <w:rsid w:val="00EA4259"/>
    <w:rsid w:val="00EA4441"/>
    <w:rsid w:val="00EA448A"/>
    <w:rsid w:val="00EA44F9"/>
    <w:rsid w:val="00EA454B"/>
    <w:rsid w:val="00EA465B"/>
    <w:rsid w:val="00EA478C"/>
    <w:rsid w:val="00EA49C8"/>
    <w:rsid w:val="00EA4C15"/>
    <w:rsid w:val="00EA4C78"/>
    <w:rsid w:val="00EA4CB8"/>
    <w:rsid w:val="00EA4DDB"/>
    <w:rsid w:val="00EA4DDE"/>
    <w:rsid w:val="00EA4E77"/>
    <w:rsid w:val="00EA51D3"/>
    <w:rsid w:val="00EA53F4"/>
    <w:rsid w:val="00EA540B"/>
    <w:rsid w:val="00EA54AD"/>
    <w:rsid w:val="00EA54E6"/>
    <w:rsid w:val="00EA5635"/>
    <w:rsid w:val="00EA5654"/>
    <w:rsid w:val="00EA573C"/>
    <w:rsid w:val="00EA585F"/>
    <w:rsid w:val="00EA589B"/>
    <w:rsid w:val="00EA58E8"/>
    <w:rsid w:val="00EA59A5"/>
    <w:rsid w:val="00EA5D33"/>
    <w:rsid w:val="00EA5D59"/>
    <w:rsid w:val="00EA5D9D"/>
    <w:rsid w:val="00EA5DC7"/>
    <w:rsid w:val="00EA5DCB"/>
    <w:rsid w:val="00EA5E39"/>
    <w:rsid w:val="00EA5E9C"/>
    <w:rsid w:val="00EA5ED7"/>
    <w:rsid w:val="00EA6146"/>
    <w:rsid w:val="00EA61FB"/>
    <w:rsid w:val="00EA628F"/>
    <w:rsid w:val="00EA62D3"/>
    <w:rsid w:val="00EA6332"/>
    <w:rsid w:val="00EA639C"/>
    <w:rsid w:val="00EA641C"/>
    <w:rsid w:val="00EA6423"/>
    <w:rsid w:val="00EA65C3"/>
    <w:rsid w:val="00EA68AB"/>
    <w:rsid w:val="00EA6B73"/>
    <w:rsid w:val="00EA6BD6"/>
    <w:rsid w:val="00EA6D3D"/>
    <w:rsid w:val="00EA6DDD"/>
    <w:rsid w:val="00EA6E04"/>
    <w:rsid w:val="00EA6E32"/>
    <w:rsid w:val="00EA6E85"/>
    <w:rsid w:val="00EA6EAC"/>
    <w:rsid w:val="00EA6F16"/>
    <w:rsid w:val="00EA6F1E"/>
    <w:rsid w:val="00EA7090"/>
    <w:rsid w:val="00EA70BB"/>
    <w:rsid w:val="00EA71EC"/>
    <w:rsid w:val="00EA7285"/>
    <w:rsid w:val="00EA72F0"/>
    <w:rsid w:val="00EA73BC"/>
    <w:rsid w:val="00EA7467"/>
    <w:rsid w:val="00EA763D"/>
    <w:rsid w:val="00EA7648"/>
    <w:rsid w:val="00EA7740"/>
    <w:rsid w:val="00EA7827"/>
    <w:rsid w:val="00EA78C9"/>
    <w:rsid w:val="00EA7999"/>
    <w:rsid w:val="00EA79F6"/>
    <w:rsid w:val="00EA7A00"/>
    <w:rsid w:val="00EA7A10"/>
    <w:rsid w:val="00EA7B6F"/>
    <w:rsid w:val="00EA7CB0"/>
    <w:rsid w:val="00EA7DB6"/>
    <w:rsid w:val="00EA7E99"/>
    <w:rsid w:val="00EA7EC7"/>
    <w:rsid w:val="00EA7F10"/>
    <w:rsid w:val="00EB00D9"/>
    <w:rsid w:val="00EB0158"/>
    <w:rsid w:val="00EB018B"/>
    <w:rsid w:val="00EB023E"/>
    <w:rsid w:val="00EB0251"/>
    <w:rsid w:val="00EB02AE"/>
    <w:rsid w:val="00EB02E9"/>
    <w:rsid w:val="00EB02F5"/>
    <w:rsid w:val="00EB045F"/>
    <w:rsid w:val="00EB0545"/>
    <w:rsid w:val="00EB0568"/>
    <w:rsid w:val="00EB0601"/>
    <w:rsid w:val="00EB0613"/>
    <w:rsid w:val="00EB0648"/>
    <w:rsid w:val="00EB0709"/>
    <w:rsid w:val="00EB08C5"/>
    <w:rsid w:val="00EB08FD"/>
    <w:rsid w:val="00EB091A"/>
    <w:rsid w:val="00EB0D5C"/>
    <w:rsid w:val="00EB0E59"/>
    <w:rsid w:val="00EB0FB8"/>
    <w:rsid w:val="00EB0FDA"/>
    <w:rsid w:val="00EB1075"/>
    <w:rsid w:val="00EB10F4"/>
    <w:rsid w:val="00EB1260"/>
    <w:rsid w:val="00EB1314"/>
    <w:rsid w:val="00EB161D"/>
    <w:rsid w:val="00EB16D4"/>
    <w:rsid w:val="00EB16D6"/>
    <w:rsid w:val="00EB175F"/>
    <w:rsid w:val="00EB1824"/>
    <w:rsid w:val="00EB190F"/>
    <w:rsid w:val="00EB1A38"/>
    <w:rsid w:val="00EB1AC8"/>
    <w:rsid w:val="00EB1C25"/>
    <w:rsid w:val="00EB1CCB"/>
    <w:rsid w:val="00EB1EFB"/>
    <w:rsid w:val="00EB1F4F"/>
    <w:rsid w:val="00EB2038"/>
    <w:rsid w:val="00EB22B6"/>
    <w:rsid w:val="00EB234C"/>
    <w:rsid w:val="00EB23F6"/>
    <w:rsid w:val="00EB2445"/>
    <w:rsid w:val="00EB251A"/>
    <w:rsid w:val="00EB251E"/>
    <w:rsid w:val="00EB2583"/>
    <w:rsid w:val="00EB25AF"/>
    <w:rsid w:val="00EB2768"/>
    <w:rsid w:val="00EB2824"/>
    <w:rsid w:val="00EB2828"/>
    <w:rsid w:val="00EB2893"/>
    <w:rsid w:val="00EB28DE"/>
    <w:rsid w:val="00EB2A0E"/>
    <w:rsid w:val="00EB2A6C"/>
    <w:rsid w:val="00EB2AC4"/>
    <w:rsid w:val="00EB2C90"/>
    <w:rsid w:val="00EB2D5D"/>
    <w:rsid w:val="00EB2EAD"/>
    <w:rsid w:val="00EB3038"/>
    <w:rsid w:val="00EB30F5"/>
    <w:rsid w:val="00EB31E8"/>
    <w:rsid w:val="00EB3380"/>
    <w:rsid w:val="00EB341F"/>
    <w:rsid w:val="00EB3652"/>
    <w:rsid w:val="00EB3744"/>
    <w:rsid w:val="00EB3A0F"/>
    <w:rsid w:val="00EB3A49"/>
    <w:rsid w:val="00EB3AA4"/>
    <w:rsid w:val="00EB3AB1"/>
    <w:rsid w:val="00EB3B79"/>
    <w:rsid w:val="00EB3BED"/>
    <w:rsid w:val="00EB3CD5"/>
    <w:rsid w:val="00EB3D1E"/>
    <w:rsid w:val="00EB3D23"/>
    <w:rsid w:val="00EB3D38"/>
    <w:rsid w:val="00EB3D3D"/>
    <w:rsid w:val="00EB3D66"/>
    <w:rsid w:val="00EB3E3F"/>
    <w:rsid w:val="00EB420C"/>
    <w:rsid w:val="00EB43B3"/>
    <w:rsid w:val="00EB43F3"/>
    <w:rsid w:val="00EB4436"/>
    <w:rsid w:val="00EB4449"/>
    <w:rsid w:val="00EB444A"/>
    <w:rsid w:val="00EB4527"/>
    <w:rsid w:val="00EB4529"/>
    <w:rsid w:val="00EB457B"/>
    <w:rsid w:val="00EB45E7"/>
    <w:rsid w:val="00EB46F0"/>
    <w:rsid w:val="00EB4725"/>
    <w:rsid w:val="00EB4784"/>
    <w:rsid w:val="00EB47BD"/>
    <w:rsid w:val="00EB489D"/>
    <w:rsid w:val="00EB489F"/>
    <w:rsid w:val="00EB4AC0"/>
    <w:rsid w:val="00EB4B22"/>
    <w:rsid w:val="00EB4B44"/>
    <w:rsid w:val="00EB4EC2"/>
    <w:rsid w:val="00EB4ECA"/>
    <w:rsid w:val="00EB4F0C"/>
    <w:rsid w:val="00EB4F59"/>
    <w:rsid w:val="00EB4FB3"/>
    <w:rsid w:val="00EB4FF1"/>
    <w:rsid w:val="00EB502B"/>
    <w:rsid w:val="00EB50AB"/>
    <w:rsid w:val="00EB512A"/>
    <w:rsid w:val="00EB51D5"/>
    <w:rsid w:val="00EB5247"/>
    <w:rsid w:val="00EB5248"/>
    <w:rsid w:val="00EB5270"/>
    <w:rsid w:val="00EB5272"/>
    <w:rsid w:val="00EB530A"/>
    <w:rsid w:val="00EB548D"/>
    <w:rsid w:val="00EB549F"/>
    <w:rsid w:val="00EB54E7"/>
    <w:rsid w:val="00EB54F1"/>
    <w:rsid w:val="00EB5762"/>
    <w:rsid w:val="00EB5773"/>
    <w:rsid w:val="00EB5878"/>
    <w:rsid w:val="00EB58DD"/>
    <w:rsid w:val="00EB5958"/>
    <w:rsid w:val="00EB5AF0"/>
    <w:rsid w:val="00EB5B42"/>
    <w:rsid w:val="00EB5BCE"/>
    <w:rsid w:val="00EB5C6C"/>
    <w:rsid w:val="00EB5D26"/>
    <w:rsid w:val="00EB5D2D"/>
    <w:rsid w:val="00EB5D78"/>
    <w:rsid w:val="00EB5E54"/>
    <w:rsid w:val="00EB5FD4"/>
    <w:rsid w:val="00EB6020"/>
    <w:rsid w:val="00EB6031"/>
    <w:rsid w:val="00EB6145"/>
    <w:rsid w:val="00EB624F"/>
    <w:rsid w:val="00EB6426"/>
    <w:rsid w:val="00EB643B"/>
    <w:rsid w:val="00EB6461"/>
    <w:rsid w:val="00EB6544"/>
    <w:rsid w:val="00EB6551"/>
    <w:rsid w:val="00EB65B9"/>
    <w:rsid w:val="00EB6666"/>
    <w:rsid w:val="00EB672B"/>
    <w:rsid w:val="00EB6765"/>
    <w:rsid w:val="00EB69C6"/>
    <w:rsid w:val="00EB69DF"/>
    <w:rsid w:val="00EB69E0"/>
    <w:rsid w:val="00EB69F6"/>
    <w:rsid w:val="00EB6AD6"/>
    <w:rsid w:val="00EB6B9F"/>
    <w:rsid w:val="00EB6E49"/>
    <w:rsid w:val="00EB6E73"/>
    <w:rsid w:val="00EB6EA2"/>
    <w:rsid w:val="00EB7082"/>
    <w:rsid w:val="00EB7102"/>
    <w:rsid w:val="00EB73AA"/>
    <w:rsid w:val="00EB73F7"/>
    <w:rsid w:val="00EB76AC"/>
    <w:rsid w:val="00EB7796"/>
    <w:rsid w:val="00EB77D4"/>
    <w:rsid w:val="00EB78F7"/>
    <w:rsid w:val="00EB791B"/>
    <w:rsid w:val="00EB7B58"/>
    <w:rsid w:val="00EB7BC2"/>
    <w:rsid w:val="00EB7CFD"/>
    <w:rsid w:val="00EB7D60"/>
    <w:rsid w:val="00EB7D8B"/>
    <w:rsid w:val="00EB7DAC"/>
    <w:rsid w:val="00EB7E79"/>
    <w:rsid w:val="00EB7FA1"/>
    <w:rsid w:val="00EC0195"/>
    <w:rsid w:val="00EC0273"/>
    <w:rsid w:val="00EC02A3"/>
    <w:rsid w:val="00EC02DA"/>
    <w:rsid w:val="00EC052E"/>
    <w:rsid w:val="00EC054E"/>
    <w:rsid w:val="00EC0814"/>
    <w:rsid w:val="00EC084E"/>
    <w:rsid w:val="00EC08D4"/>
    <w:rsid w:val="00EC0B22"/>
    <w:rsid w:val="00EC0BCC"/>
    <w:rsid w:val="00EC0BFE"/>
    <w:rsid w:val="00EC0FAC"/>
    <w:rsid w:val="00EC110A"/>
    <w:rsid w:val="00EC1405"/>
    <w:rsid w:val="00EC140A"/>
    <w:rsid w:val="00EC1410"/>
    <w:rsid w:val="00EC1468"/>
    <w:rsid w:val="00EC146D"/>
    <w:rsid w:val="00EC15AF"/>
    <w:rsid w:val="00EC16B4"/>
    <w:rsid w:val="00EC1863"/>
    <w:rsid w:val="00EC18AE"/>
    <w:rsid w:val="00EC18E9"/>
    <w:rsid w:val="00EC199F"/>
    <w:rsid w:val="00EC1A08"/>
    <w:rsid w:val="00EC1C2F"/>
    <w:rsid w:val="00EC1C5A"/>
    <w:rsid w:val="00EC1C63"/>
    <w:rsid w:val="00EC1CC7"/>
    <w:rsid w:val="00EC1CE9"/>
    <w:rsid w:val="00EC1E2F"/>
    <w:rsid w:val="00EC1E7B"/>
    <w:rsid w:val="00EC1E8D"/>
    <w:rsid w:val="00EC1F1B"/>
    <w:rsid w:val="00EC2032"/>
    <w:rsid w:val="00EC21A7"/>
    <w:rsid w:val="00EC2291"/>
    <w:rsid w:val="00EC234F"/>
    <w:rsid w:val="00EC23BB"/>
    <w:rsid w:val="00EC2412"/>
    <w:rsid w:val="00EC246A"/>
    <w:rsid w:val="00EC256F"/>
    <w:rsid w:val="00EC25C2"/>
    <w:rsid w:val="00EC25F9"/>
    <w:rsid w:val="00EC26E8"/>
    <w:rsid w:val="00EC277B"/>
    <w:rsid w:val="00EC279D"/>
    <w:rsid w:val="00EC27C2"/>
    <w:rsid w:val="00EC2908"/>
    <w:rsid w:val="00EC29C3"/>
    <w:rsid w:val="00EC2AE6"/>
    <w:rsid w:val="00EC2B04"/>
    <w:rsid w:val="00EC2B5F"/>
    <w:rsid w:val="00EC2B9E"/>
    <w:rsid w:val="00EC2CA8"/>
    <w:rsid w:val="00EC2D9A"/>
    <w:rsid w:val="00EC2DF0"/>
    <w:rsid w:val="00EC2E88"/>
    <w:rsid w:val="00EC2F33"/>
    <w:rsid w:val="00EC2F37"/>
    <w:rsid w:val="00EC2F91"/>
    <w:rsid w:val="00EC3398"/>
    <w:rsid w:val="00EC3407"/>
    <w:rsid w:val="00EC3444"/>
    <w:rsid w:val="00EC3570"/>
    <w:rsid w:val="00EC35E5"/>
    <w:rsid w:val="00EC365B"/>
    <w:rsid w:val="00EC36DC"/>
    <w:rsid w:val="00EC3838"/>
    <w:rsid w:val="00EC39C0"/>
    <w:rsid w:val="00EC3A2B"/>
    <w:rsid w:val="00EC3B18"/>
    <w:rsid w:val="00EC3BE9"/>
    <w:rsid w:val="00EC3D5A"/>
    <w:rsid w:val="00EC3DD7"/>
    <w:rsid w:val="00EC3F77"/>
    <w:rsid w:val="00EC40A2"/>
    <w:rsid w:val="00EC417D"/>
    <w:rsid w:val="00EC41CA"/>
    <w:rsid w:val="00EC4285"/>
    <w:rsid w:val="00EC4670"/>
    <w:rsid w:val="00EC479F"/>
    <w:rsid w:val="00EC49EB"/>
    <w:rsid w:val="00EC4BC2"/>
    <w:rsid w:val="00EC4D82"/>
    <w:rsid w:val="00EC4D9F"/>
    <w:rsid w:val="00EC4DE0"/>
    <w:rsid w:val="00EC4DE2"/>
    <w:rsid w:val="00EC4EDC"/>
    <w:rsid w:val="00EC4FAA"/>
    <w:rsid w:val="00EC519C"/>
    <w:rsid w:val="00EC5339"/>
    <w:rsid w:val="00EC5356"/>
    <w:rsid w:val="00EC53B8"/>
    <w:rsid w:val="00EC5522"/>
    <w:rsid w:val="00EC5795"/>
    <w:rsid w:val="00EC57E7"/>
    <w:rsid w:val="00EC5938"/>
    <w:rsid w:val="00EC5943"/>
    <w:rsid w:val="00EC5A3C"/>
    <w:rsid w:val="00EC5A56"/>
    <w:rsid w:val="00EC5B17"/>
    <w:rsid w:val="00EC5B95"/>
    <w:rsid w:val="00EC5C50"/>
    <w:rsid w:val="00EC5C62"/>
    <w:rsid w:val="00EC5C64"/>
    <w:rsid w:val="00EC5CD1"/>
    <w:rsid w:val="00EC5E10"/>
    <w:rsid w:val="00EC5EB9"/>
    <w:rsid w:val="00EC60E2"/>
    <w:rsid w:val="00EC621F"/>
    <w:rsid w:val="00EC6296"/>
    <w:rsid w:val="00EC6486"/>
    <w:rsid w:val="00EC6538"/>
    <w:rsid w:val="00EC68A8"/>
    <w:rsid w:val="00EC6917"/>
    <w:rsid w:val="00EC6927"/>
    <w:rsid w:val="00EC6ACA"/>
    <w:rsid w:val="00EC6AE4"/>
    <w:rsid w:val="00EC6D45"/>
    <w:rsid w:val="00EC6F2E"/>
    <w:rsid w:val="00EC6FCF"/>
    <w:rsid w:val="00EC7013"/>
    <w:rsid w:val="00EC70D8"/>
    <w:rsid w:val="00EC714A"/>
    <w:rsid w:val="00EC7151"/>
    <w:rsid w:val="00EC74AF"/>
    <w:rsid w:val="00EC762B"/>
    <w:rsid w:val="00EC774E"/>
    <w:rsid w:val="00EC77C3"/>
    <w:rsid w:val="00EC791A"/>
    <w:rsid w:val="00EC796E"/>
    <w:rsid w:val="00EC7A8A"/>
    <w:rsid w:val="00EC7B7D"/>
    <w:rsid w:val="00EC7C79"/>
    <w:rsid w:val="00EC7D8F"/>
    <w:rsid w:val="00EC7DFE"/>
    <w:rsid w:val="00EC7E67"/>
    <w:rsid w:val="00ED0014"/>
    <w:rsid w:val="00ED00A9"/>
    <w:rsid w:val="00ED024F"/>
    <w:rsid w:val="00ED02EE"/>
    <w:rsid w:val="00ED0448"/>
    <w:rsid w:val="00ED0465"/>
    <w:rsid w:val="00ED04AF"/>
    <w:rsid w:val="00ED0567"/>
    <w:rsid w:val="00ED057C"/>
    <w:rsid w:val="00ED076C"/>
    <w:rsid w:val="00ED07E0"/>
    <w:rsid w:val="00ED0800"/>
    <w:rsid w:val="00ED08C4"/>
    <w:rsid w:val="00ED08E0"/>
    <w:rsid w:val="00ED090A"/>
    <w:rsid w:val="00ED0964"/>
    <w:rsid w:val="00ED09EC"/>
    <w:rsid w:val="00ED0AA5"/>
    <w:rsid w:val="00ED0B44"/>
    <w:rsid w:val="00ED0C09"/>
    <w:rsid w:val="00ED0E75"/>
    <w:rsid w:val="00ED0E86"/>
    <w:rsid w:val="00ED0EB8"/>
    <w:rsid w:val="00ED0F60"/>
    <w:rsid w:val="00ED0FA7"/>
    <w:rsid w:val="00ED0FFC"/>
    <w:rsid w:val="00ED107D"/>
    <w:rsid w:val="00ED1164"/>
    <w:rsid w:val="00ED1231"/>
    <w:rsid w:val="00ED1253"/>
    <w:rsid w:val="00ED1266"/>
    <w:rsid w:val="00ED1376"/>
    <w:rsid w:val="00ED1429"/>
    <w:rsid w:val="00ED1438"/>
    <w:rsid w:val="00ED14B4"/>
    <w:rsid w:val="00ED152F"/>
    <w:rsid w:val="00ED1542"/>
    <w:rsid w:val="00ED15F6"/>
    <w:rsid w:val="00ED1721"/>
    <w:rsid w:val="00ED194D"/>
    <w:rsid w:val="00ED198B"/>
    <w:rsid w:val="00ED1BA1"/>
    <w:rsid w:val="00ED1C35"/>
    <w:rsid w:val="00ED1CC1"/>
    <w:rsid w:val="00ED1D24"/>
    <w:rsid w:val="00ED1EE7"/>
    <w:rsid w:val="00ED1F85"/>
    <w:rsid w:val="00ED20A0"/>
    <w:rsid w:val="00ED22A5"/>
    <w:rsid w:val="00ED23D6"/>
    <w:rsid w:val="00ED2498"/>
    <w:rsid w:val="00ED24FF"/>
    <w:rsid w:val="00ED2720"/>
    <w:rsid w:val="00ED27A2"/>
    <w:rsid w:val="00ED2804"/>
    <w:rsid w:val="00ED284B"/>
    <w:rsid w:val="00ED2966"/>
    <w:rsid w:val="00ED298E"/>
    <w:rsid w:val="00ED29B6"/>
    <w:rsid w:val="00ED2A35"/>
    <w:rsid w:val="00ED2B3E"/>
    <w:rsid w:val="00ED2B41"/>
    <w:rsid w:val="00ED2B66"/>
    <w:rsid w:val="00ED2BAE"/>
    <w:rsid w:val="00ED2C5D"/>
    <w:rsid w:val="00ED2E3A"/>
    <w:rsid w:val="00ED2ED0"/>
    <w:rsid w:val="00ED3018"/>
    <w:rsid w:val="00ED3068"/>
    <w:rsid w:val="00ED306B"/>
    <w:rsid w:val="00ED30A0"/>
    <w:rsid w:val="00ED319E"/>
    <w:rsid w:val="00ED3237"/>
    <w:rsid w:val="00ED3276"/>
    <w:rsid w:val="00ED3348"/>
    <w:rsid w:val="00ED3398"/>
    <w:rsid w:val="00ED33B5"/>
    <w:rsid w:val="00ED3616"/>
    <w:rsid w:val="00ED366E"/>
    <w:rsid w:val="00ED36E6"/>
    <w:rsid w:val="00ED3898"/>
    <w:rsid w:val="00ED3961"/>
    <w:rsid w:val="00ED3A36"/>
    <w:rsid w:val="00ED3A3C"/>
    <w:rsid w:val="00ED3C47"/>
    <w:rsid w:val="00ED3CEA"/>
    <w:rsid w:val="00ED3D01"/>
    <w:rsid w:val="00ED3FD8"/>
    <w:rsid w:val="00ED4138"/>
    <w:rsid w:val="00ED41E1"/>
    <w:rsid w:val="00ED41F3"/>
    <w:rsid w:val="00ED41F7"/>
    <w:rsid w:val="00ED4237"/>
    <w:rsid w:val="00ED4263"/>
    <w:rsid w:val="00ED4290"/>
    <w:rsid w:val="00ED4310"/>
    <w:rsid w:val="00ED4377"/>
    <w:rsid w:val="00ED4409"/>
    <w:rsid w:val="00ED4520"/>
    <w:rsid w:val="00ED45AB"/>
    <w:rsid w:val="00ED45FF"/>
    <w:rsid w:val="00ED4623"/>
    <w:rsid w:val="00ED46C1"/>
    <w:rsid w:val="00ED470A"/>
    <w:rsid w:val="00ED4733"/>
    <w:rsid w:val="00ED477C"/>
    <w:rsid w:val="00ED47C4"/>
    <w:rsid w:val="00ED48B3"/>
    <w:rsid w:val="00ED48C3"/>
    <w:rsid w:val="00ED48D4"/>
    <w:rsid w:val="00ED493B"/>
    <w:rsid w:val="00ED4C3A"/>
    <w:rsid w:val="00ED4CBE"/>
    <w:rsid w:val="00ED4CD7"/>
    <w:rsid w:val="00ED4D67"/>
    <w:rsid w:val="00ED4DC6"/>
    <w:rsid w:val="00ED4E80"/>
    <w:rsid w:val="00ED4EAC"/>
    <w:rsid w:val="00ED4F6A"/>
    <w:rsid w:val="00ED5104"/>
    <w:rsid w:val="00ED514E"/>
    <w:rsid w:val="00ED51AC"/>
    <w:rsid w:val="00ED52A7"/>
    <w:rsid w:val="00ED5300"/>
    <w:rsid w:val="00ED53D8"/>
    <w:rsid w:val="00ED551D"/>
    <w:rsid w:val="00ED56B4"/>
    <w:rsid w:val="00ED58B8"/>
    <w:rsid w:val="00ED5B10"/>
    <w:rsid w:val="00ED5C0D"/>
    <w:rsid w:val="00ED5D3E"/>
    <w:rsid w:val="00ED5D53"/>
    <w:rsid w:val="00ED5F29"/>
    <w:rsid w:val="00ED5F95"/>
    <w:rsid w:val="00ED6004"/>
    <w:rsid w:val="00ED6078"/>
    <w:rsid w:val="00ED60E9"/>
    <w:rsid w:val="00ED6331"/>
    <w:rsid w:val="00ED6488"/>
    <w:rsid w:val="00ED6535"/>
    <w:rsid w:val="00ED6539"/>
    <w:rsid w:val="00ED6563"/>
    <w:rsid w:val="00ED6576"/>
    <w:rsid w:val="00ED65C4"/>
    <w:rsid w:val="00ED67C1"/>
    <w:rsid w:val="00ED68A2"/>
    <w:rsid w:val="00ED6A82"/>
    <w:rsid w:val="00ED6A86"/>
    <w:rsid w:val="00ED6C3C"/>
    <w:rsid w:val="00ED6C87"/>
    <w:rsid w:val="00ED6DE4"/>
    <w:rsid w:val="00ED6E42"/>
    <w:rsid w:val="00ED6E44"/>
    <w:rsid w:val="00ED6E95"/>
    <w:rsid w:val="00ED6F83"/>
    <w:rsid w:val="00ED703E"/>
    <w:rsid w:val="00ED7176"/>
    <w:rsid w:val="00ED718D"/>
    <w:rsid w:val="00ED71DC"/>
    <w:rsid w:val="00ED723B"/>
    <w:rsid w:val="00ED724B"/>
    <w:rsid w:val="00ED7351"/>
    <w:rsid w:val="00ED7358"/>
    <w:rsid w:val="00ED7504"/>
    <w:rsid w:val="00ED75E9"/>
    <w:rsid w:val="00ED7620"/>
    <w:rsid w:val="00ED7698"/>
    <w:rsid w:val="00ED77A3"/>
    <w:rsid w:val="00ED79EA"/>
    <w:rsid w:val="00ED7C8C"/>
    <w:rsid w:val="00ED7DCA"/>
    <w:rsid w:val="00ED7E04"/>
    <w:rsid w:val="00ED7F74"/>
    <w:rsid w:val="00ED7FC3"/>
    <w:rsid w:val="00EE0045"/>
    <w:rsid w:val="00EE00A1"/>
    <w:rsid w:val="00EE04C7"/>
    <w:rsid w:val="00EE0547"/>
    <w:rsid w:val="00EE0567"/>
    <w:rsid w:val="00EE061E"/>
    <w:rsid w:val="00EE065D"/>
    <w:rsid w:val="00EE0788"/>
    <w:rsid w:val="00EE083C"/>
    <w:rsid w:val="00EE088B"/>
    <w:rsid w:val="00EE095C"/>
    <w:rsid w:val="00EE0BD6"/>
    <w:rsid w:val="00EE0BDA"/>
    <w:rsid w:val="00EE0D94"/>
    <w:rsid w:val="00EE1018"/>
    <w:rsid w:val="00EE110B"/>
    <w:rsid w:val="00EE116B"/>
    <w:rsid w:val="00EE11B7"/>
    <w:rsid w:val="00EE151D"/>
    <w:rsid w:val="00EE1528"/>
    <w:rsid w:val="00EE154E"/>
    <w:rsid w:val="00EE15E7"/>
    <w:rsid w:val="00EE1686"/>
    <w:rsid w:val="00EE1759"/>
    <w:rsid w:val="00EE1814"/>
    <w:rsid w:val="00EE181C"/>
    <w:rsid w:val="00EE1822"/>
    <w:rsid w:val="00EE188B"/>
    <w:rsid w:val="00EE1958"/>
    <w:rsid w:val="00EE1A27"/>
    <w:rsid w:val="00EE1A31"/>
    <w:rsid w:val="00EE1A58"/>
    <w:rsid w:val="00EE1A85"/>
    <w:rsid w:val="00EE1A91"/>
    <w:rsid w:val="00EE1B87"/>
    <w:rsid w:val="00EE1C2B"/>
    <w:rsid w:val="00EE1C2D"/>
    <w:rsid w:val="00EE1C54"/>
    <w:rsid w:val="00EE1CBA"/>
    <w:rsid w:val="00EE1CC8"/>
    <w:rsid w:val="00EE1D03"/>
    <w:rsid w:val="00EE1DA0"/>
    <w:rsid w:val="00EE1DDD"/>
    <w:rsid w:val="00EE1E08"/>
    <w:rsid w:val="00EE1E5B"/>
    <w:rsid w:val="00EE1EE4"/>
    <w:rsid w:val="00EE1F1C"/>
    <w:rsid w:val="00EE1F32"/>
    <w:rsid w:val="00EE1F7D"/>
    <w:rsid w:val="00EE1FDD"/>
    <w:rsid w:val="00EE2083"/>
    <w:rsid w:val="00EE20AB"/>
    <w:rsid w:val="00EE2105"/>
    <w:rsid w:val="00EE2231"/>
    <w:rsid w:val="00EE2267"/>
    <w:rsid w:val="00EE2305"/>
    <w:rsid w:val="00EE2344"/>
    <w:rsid w:val="00EE23D1"/>
    <w:rsid w:val="00EE23FB"/>
    <w:rsid w:val="00EE2401"/>
    <w:rsid w:val="00EE2492"/>
    <w:rsid w:val="00EE25FC"/>
    <w:rsid w:val="00EE26F8"/>
    <w:rsid w:val="00EE2781"/>
    <w:rsid w:val="00EE2788"/>
    <w:rsid w:val="00EE2797"/>
    <w:rsid w:val="00EE288C"/>
    <w:rsid w:val="00EE2A85"/>
    <w:rsid w:val="00EE2B01"/>
    <w:rsid w:val="00EE2B3E"/>
    <w:rsid w:val="00EE2B66"/>
    <w:rsid w:val="00EE2DA5"/>
    <w:rsid w:val="00EE2F5A"/>
    <w:rsid w:val="00EE301E"/>
    <w:rsid w:val="00EE3132"/>
    <w:rsid w:val="00EE3254"/>
    <w:rsid w:val="00EE329E"/>
    <w:rsid w:val="00EE336D"/>
    <w:rsid w:val="00EE34F8"/>
    <w:rsid w:val="00EE3512"/>
    <w:rsid w:val="00EE353C"/>
    <w:rsid w:val="00EE3725"/>
    <w:rsid w:val="00EE3784"/>
    <w:rsid w:val="00EE38E9"/>
    <w:rsid w:val="00EE3BBA"/>
    <w:rsid w:val="00EE3BBE"/>
    <w:rsid w:val="00EE3D2B"/>
    <w:rsid w:val="00EE3D92"/>
    <w:rsid w:val="00EE40AB"/>
    <w:rsid w:val="00EE4118"/>
    <w:rsid w:val="00EE4200"/>
    <w:rsid w:val="00EE4336"/>
    <w:rsid w:val="00EE434B"/>
    <w:rsid w:val="00EE445B"/>
    <w:rsid w:val="00EE44A3"/>
    <w:rsid w:val="00EE44E0"/>
    <w:rsid w:val="00EE44EC"/>
    <w:rsid w:val="00EE451D"/>
    <w:rsid w:val="00EE459A"/>
    <w:rsid w:val="00EE461B"/>
    <w:rsid w:val="00EE4634"/>
    <w:rsid w:val="00EE4655"/>
    <w:rsid w:val="00EE4777"/>
    <w:rsid w:val="00EE47C0"/>
    <w:rsid w:val="00EE47CD"/>
    <w:rsid w:val="00EE48AB"/>
    <w:rsid w:val="00EE48C1"/>
    <w:rsid w:val="00EE4963"/>
    <w:rsid w:val="00EE49F1"/>
    <w:rsid w:val="00EE4A1B"/>
    <w:rsid w:val="00EE4C4A"/>
    <w:rsid w:val="00EE4CAE"/>
    <w:rsid w:val="00EE4E0E"/>
    <w:rsid w:val="00EE4E61"/>
    <w:rsid w:val="00EE502A"/>
    <w:rsid w:val="00EE5238"/>
    <w:rsid w:val="00EE5242"/>
    <w:rsid w:val="00EE5375"/>
    <w:rsid w:val="00EE5380"/>
    <w:rsid w:val="00EE5559"/>
    <w:rsid w:val="00EE56E8"/>
    <w:rsid w:val="00EE5701"/>
    <w:rsid w:val="00EE5771"/>
    <w:rsid w:val="00EE58DA"/>
    <w:rsid w:val="00EE591D"/>
    <w:rsid w:val="00EE5984"/>
    <w:rsid w:val="00EE5B6F"/>
    <w:rsid w:val="00EE5B8D"/>
    <w:rsid w:val="00EE5B93"/>
    <w:rsid w:val="00EE5BA2"/>
    <w:rsid w:val="00EE5BEC"/>
    <w:rsid w:val="00EE5C11"/>
    <w:rsid w:val="00EE5C3A"/>
    <w:rsid w:val="00EE5DBE"/>
    <w:rsid w:val="00EE5E83"/>
    <w:rsid w:val="00EE5F67"/>
    <w:rsid w:val="00EE5F99"/>
    <w:rsid w:val="00EE60A6"/>
    <w:rsid w:val="00EE612C"/>
    <w:rsid w:val="00EE632B"/>
    <w:rsid w:val="00EE6353"/>
    <w:rsid w:val="00EE6403"/>
    <w:rsid w:val="00EE642A"/>
    <w:rsid w:val="00EE6431"/>
    <w:rsid w:val="00EE6615"/>
    <w:rsid w:val="00EE68D4"/>
    <w:rsid w:val="00EE6A1C"/>
    <w:rsid w:val="00EE6CD6"/>
    <w:rsid w:val="00EE6CD7"/>
    <w:rsid w:val="00EE6ED6"/>
    <w:rsid w:val="00EE6EE9"/>
    <w:rsid w:val="00EE6F95"/>
    <w:rsid w:val="00EE6FDD"/>
    <w:rsid w:val="00EE7031"/>
    <w:rsid w:val="00EE717C"/>
    <w:rsid w:val="00EE730D"/>
    <w:rsid w:val="00EE7486"/>
    <w:rsid w:val="00EE74B6"/>
    <w:rsid w:val="00EE75A6"/>
    <w:rsid w:val="00EE77CE"/>
    <w:rsid w:val="00EE78C7"/>
    <w:rsid w:val="00EE7994"/>
    <w:rsid w:val="00EE79FF"/>
    <w:rsid w:val="00EE7C40"/>
    <w:rsid w:val="00EE7C58"/>
    <w:rsid w:val="00EE7C5B"/>
    <w:rsid w:val="00EE7CAC"/>
    <w:rsid w:val="00EE7E87"/>
    <w:rsid w:val="00EE7F30"/>
    <w:rsid w:val="00EE7FE1"/>
    <w:rsid w:val="00EF0167"/>
    <w:rsid w:val="00EF0228"/>
    <w:rsid w:val="00EF0235"/>
    <w:rsid w:val="00EF02D1"/>
    <w:rsid w:val="00EF050E"/>
    <w:rsid w:val="00EF055C"/>
    <w:rsid w:val="00EF067D"/>
    <w:rsid w:val="00EF071C"/>
    <w:rsid w:val="00EF0762"/>
    <w:rsid w:val="00EF07C3"/>
    <w:rsid w:val="00EF08A7"/>
    <w:rsid w:val="00EF095B"/>
    <w:rsid w:val="00EF0C3B"/>
    <w:rsid w:val="00EF0C3E"/>
    <w:rsid w:val="00EF0C5E"/>
    <w:rsid w:val="00EF0C9A"/>
    <w:rsid w:val="00EF0CAD"/>
    <w:rsid w:val="00EF0F5E"/>
    <w:rsid w:val="00EF10E3"/>
    <w:rsid w:val="00EF11A4"/>
    <w:rsid w:val="00EF129D"/>
    <w:rsid w:val="00EF1460"/>
    <w:rsid w:val="00EF14C9"/>
    <w:rsid w:val="00EF1538"/>
    <w:rsid w:val="00EF1636"/>
    <w:rsid w:val="00EF164B"/>
    <w:rsid w:val="00EF1772"/>
    <w:rsid w:val="00EF19A2"/>
    <w:rsid w:val="00EF19E8"/>
    <w:rsid w:val="00EF1A22"/>
    <w:rsid w:val="00EF1AB7"/>
    <w:rsid w:val="00EF1C16"/>
    <w:rsid w:val="00EF1DE2"/>
    <w:rsid w:val="00EF1E33"/>
    <w:rsid w:val="00EF1E3B"/>
    <w:rsid w:val="00EF1ED0"/>
    <w:rsid w:val="00EF1FC1"/>
    <w:rsid w:val="00EF2065"/>
    <w:rsid w:val="00EF20AE"/>
    <w:rsid w:val="00EF20E6"/>
    <w:rsid w:val="00EF2273"/>
    <w:rsid w:val="00EF2361"/>
    <w:rsid w:val="00EF23EF"/>
    <w:rsid w:val="00EF2410"/>
    <w:rsid w:val="00EF2484"/>
    <w:rsid w:val="00EF24E5"/>
    <w:rsid w:val="00EF2547"/>
    <w:rsid w:val="00EF25A2"/>
    <w:rsid w:val="00EF2629"/>
    <w:rsid w:val="00EF2700"/>
    <w:rsid w:val="00EF2897"/>
    <w:rsid w:val="00EF29A6"/>
    <w:rsid w:val="00EF2B4C"/>
    <w:rsid w:val="00EF2B54"/>
    <w:rsid w:val="00EF2BE2"/>
    <w:rsid w:val="00EF2C5E"/>
    <w:rsid w:val="00EF2D64"/>
    <w:rsid w:val="00EF2DAC"/>
    <w:rsid w:val="00EF2E21"/>
    <w:rsid w:val="00EF2F92"/>
    <w:rsid w:val="00EF3072"/>
    <w:rsid w:val="00EF30CF"/>
    <w:rsid w:val="00EF30D3"/>
    <w:rsid w:val="00EF314E"/>
    <w:rsid w:val="00EF3276"/>
    <w:rsid w:val="00EF32E5"/>
    <w:rsid w:val="00EF3365"/>
    <w:rsid w:val="00EF37AD"/>
    <w:rsid w:val="00EF3942"/>
    <w:rsid w:val="00EF39F9"/>
    <w:rsid w:val="00EF3A83"/>
    <w:rsid w:val="00EF3AE7"/>
    <w:rsid w:val="00EF3B38"/>
    <w:rsid w:val="00EF3B45"/>
    <w:rsid w:val="00EF3B73"/>
    <w:rsid w:val="00EF3BBE"/>
    <w:rsid w:val="00EF3FDA"/>
    <w:rsid w:val="00EF40C9"/>
    <w:rsid w:val="00EF41E7"/>
    <w:rsid w:val="00EF42C8"/>
    <w:rsid w:val="00EF4344"/>
    <w:rsid w:val="00EF4563"/>
    <w:rsid w:val="00EF4696"/>
    <w:rsid w:val="00EF46C1"/>
    <w:rsid w:val="00EF4848"/>
    <w:rsid w:val="00EF49D6"/>
    <w:rsid w:val="00EF4A07"/>
    <w:rsid w:val="00EF4A80"/>
    <w:rsid w:val="00EF4AD6"/>
    <w:rsid w:val="00EF4AFB"/>
    <w:rsid w:val="00EF4B7E"/>
    <w:rsid w:val="00EF4B94"/>
    <w:rsid w:val="00EF4C9C"/>
    <w:rsid w:val="00EF4DD9"/>
    <w:rsid w:val="00EF4F2B"/>
    <w:rsid w:val="00EF4FF2"/>
    <w:rsid w:val="00EF5239"/>
    <w:rsid w:val="00EF5245"/>
    <w:rsid w:val="00EF52C6"/>
    <w:rsid w:val="00EF546B"/>
    <w:rsid w:val="00EF54A5"/>
    <w:rsid w:val="00EF550A"/>
    <w:rsid w:val="00EF55B9"/>
    <w:rsid w:val="00EF55EA"/>
    <w:rsid w:val="00EF56BD"/>
    <w:rsid w:val="00EF56BE"/>
    <w:rsid w:val="00EF5845"/>
    <w:rsid w:val="00EF5AFB"/>
    <w:rsid w:val="00EF5CFA"/>
    <w:rsid w:val="00EF5D5E"/>
    <w:rsid w:val="00EF5D9F"/>
    <w:rsid w:val="00EF5DC5"/>
    <w:rsid w:val="00EF5E4B"/>
    <w:rsid w:val="00EF5E5A"/>
    <w:rsid w:val="00EF5E8E"/>
    <w:rsid w:val="00EF5F4F"/>
    <w:rsid w:val="00EF6068"/>
    <w:rsid w:val="00EF60EE"/>
    <w:rsid w:val="00EF62A6"/>
    <w:rsid w:val="00EF64B7"/>
    <w:rsid w:val="00EF6610"/>
    <w:rsid w:val="00EF6750"/>
    <w:rsid w:val="00EF6874"/>
    <w:rsid w:val="00EF6974"/>
    <w:rsid w:val="00EF6986"/>
    <w:rsid w:val="00EF69D5"/>
    <w:rsid w:val="00EF6A2E"/>
    <w:rsid w:val="00EF6A7F"/>
    <w:rsid w:val="00EF6AF5"/>
    <w:rsid w:val="00EF6BED"/>
    <w:rsid w:val="00EF6D33"/>
    <w:rsid w:val="00EF6DD1"/>
    <w:rsid w:val="00EF717C"/>
    <w:rsid w:val="00EF72EF"/>
    <w:rsid w:val="00EF7376"/>
    <w:rsid w:val="00EF7474"/>
    <w:rsid w:val="00EF758F"/>
    <w:rsid w:val="00EF75B4"/>
    <w:rsid w:val="00EF75EF"/>
    <w:rsid w:val="00EF7646"/>
    <w:rsid w:val="00EF77D0"/>
    <w:rsid w:val="00EF780B"/>
    <w:rsid w:val="00EF780E"/>
    <w:rsid w:val="00EF7863"/>
    <w:rsid w:val="00EF798E"/>
    <w:rsid w:val="00EF79A6"/>
    <w:rsid w:val="00EF7D55"/>
    <w:rsid w:val="00EF7E6F"/>
    <w:rsid w:val="00EF7F25"/>
    <w:rsid w:val="00EF7FCC"/>
    <w:rsid w:val="00F00021"/>
    <w:rsid w:val="00F000AC"/>
    <w:rsid w:val="00F0021C"/>
    <w:rsid w:val="00F002B2"/>
    <w:rsid w:val="00F00329"/>
    <w:rsid w:val="00F004EC"/>
    <w:rsid w:val="00F00591"/>
    <w:rsid w:val="00F005FD"/>
    <w:rsid w:val="00F0062F"/>
    <w:rsid w:val="00F00671"/>
    <w:rsid w:val="00F006C4"/>
    <w:rsid w:val="00F00728"/>
    <w:rsid w:val="00F0079C"/>
    <w:rsid w:val="00F007B1"/>
    <w:rsid w:val="00F00832"/>
    <w:rsid w:val="00F009D9"/>
    <w:rsid w:val="00F00A05"/>
    <w:rsid w:val="00F00A40"/>
    <w:rsid w:val="00F00B46"/>
    <w:rsid w:val="00F00B7F"/>
    <w:rsid w:val="00F00C12"/>
    <w:rsid w:val="00F00C32"/>
    <w:rsid w:val="00F00D4F"/>
    <w:rsid w:val="00F00EEC"/>
    <w:rsid w:val="00F00F15"/>
    <w:rsid w:val="00F00F89"/>
    <w:rsid w:val="00F00FAA"/>
    <w:rsid w:val="00F0110F"/>
    <w:rsid w:val="00F011BD"/>
    <w:rsid w:val="00F011E8"/>
    <w:rsid w:val="00F01340"/>
    <w:rsid w:val="00F01365"/>
    <w:rsid w:val="00F0138C"/>
    <w:rsid w:val="00F014DF"/>
    <w:rsid w:val="00F0151E"/>
    <w:rsid w:val="00F01561"/>
    <w:rsid w:val="00F015CA"/>
    <w:rsid w:val="00F015E8"/>
    <w:rsid w:val="00F0165A"/>
    <w:rsid w:val="00F0185C"/>
    <w:rsid w:val="00F0199B"/>
    <w:rsid w:val="00F019DD"/>
    <w:rsid w:val="00F01A2B"/>
    <w:rsid w:val="00F01AB7"/>
    <w:rsid w:val="00F01B1F"/>
    <w:rsid w:val="00F01C23"/>
    <w:rsid w:val="00F01C86"/>
    <w:rsid w:val="00F01CDF"/>
    <w:rsid w:val="00F01CFA"/>
    <w:rsid w:val="00F01E1F"/>
    <w:rsid w:val="00F01E82"/>
    <w:rsid w:val="00F01E9E"/>
    <w:rsid w:val="00F01ECE"/>
    <w:rsid w:val="00F01F25"/>
    <w:rsid w:val="00F01FF7"/>
    <w:rsid w:val="00F022EE"/>
    <w:rsid w:val="00F022F2"/>
    <w:rsid w:val="00F02442"/>
    <w:rsid w:val="00F02464"/>
    <w:rsid w:val="00F024CB"/>
    <w:rsid w:val="00F024CD"/>
    <w:rsid w:val="00F024D3"/>
    <w:rsid w:val="00F024D6"/>
    <w:rsid w:val="00F02512"/>
    <w:rsid w:val="00F02528"/>
    <w:rsid w:val="00F02700"/>
    <w:rsid w:val="00F02762"/>
    <w:rsid w:val="00F028C0"/>
    <w:rsid w:val="00F0296B"/>
    <w:rsid w:val="00F02997"/>
    <w:rsid w:val="00F02A1C"/>
    <w:rsid w:val="00F02A3F"/>
    <w:rsid w:val="00F02A9E"/>
    <w:rsid w:val="00F02AA7"/>
    <w:rsid w:val="00F02BAB"/>
    <w:rsid w:val="00F02BD0"/>
    <w:rsid w:val="00F02BED"/>
    <w:rsid w:val="00F02C2A"/>
    <w:rsid w:val="00F02DBA"/>
    <w:rsid w:val="00F02DCF"/>
    <w:rsid w:val="00F02E59"/>
    <w:rsid w:val="00F02E99"/>
    <w:rsid w:val="00F02EA3"/>
    <w:rsid w:val="00F03455"/>
    <w:rsid w:val="00F0358C"/>
    <w:rsid w:val="00F03945"/>
    <w:rsid w:val="00F03950"/>
    <w:rsid w:val="00F039B0"/>
    <w:rsid w:val="00F03BB7"/>
    <w:rsid w:val="00F03BDF"/>
    <w:rsid w:val="00F03BF5"/>
    <w:rsid w:val="00F03CA1"/>
    <w:rsid w:val="00F03CA9"/>
    <w:rsid w:val="00F03CB3"/>
    <w:rsid w:val="00F03CB8"/>
    <w:rsid w:val="00F03D0B"/>
    <w:rsid w:val="00F03DF7"/>
    <w:rsid w:val="00F03F3E"/>
    <w:rsid w:val="00F03FE5"/>
    <w:rsid w:val="00F04055"/>
    <w:rsid w:val="00F040ED"/>
    <w:rsid w:val="00F04161"/>
    <w:rsid w:val="00F04188"/>
    <w:rsid w:val="00F0419A"/>
    <w:rsid w:val="00F0423F"/>
    <w:rsid w:val="00F0429A"/>
    <w:rsid w:val="00F042DF"/>
    <w:rsid w:val="00F044B2"/>
    <w:rsid w:val="00F044F3"/>
    <w:rsid w:val="00F04575"/>
    <w:rsid w:val="00F0466D"/>
    <w:rsid w:val="00F04675"/>
    <w:rsid w:val="00F04781"/>
    <w:rsid w:val="00F049CB"/>
    <w:rsid w:val="00F049FC"/>
    <w:rsid w:val="00F04A61"/>
    <w:rsid w:val="00F04A6E"/>
    <w:rsid w:val="00F04B05"/>
    <w:rsid w:val="00F04B08"/>
    <w:rsid w:val="00F04BA5"/>
    <w:rsid w:val="00F04CAB"/>
    <w:rsid w:val="00F04D68"/>
    <w:rsid w:val="00F04E0B"/>
    <w:rsid w:val="00F04EBD"/>
    <w:rsid w:val="00F04FA2"/>
    <w:rsid w:val="00F05008"/>
    <w:rsid w:val="00F05253"/>
    <w:rsid w:val="00F05282"/>
    <w:rsid w:val="00F053E3"/>
    <w:rsid w:val="00F054F8"/>
    <w:rsid w:val="00F05540"/>
    <w:rsid w:val="00F055BA"/>
    <w:rsid w:val="00F0565E"/>
    <w:rsid w:val="00F05696"/>
    <w:rsid w:val="00F056D5"/>
    <w:rsid w:val="00F05782"/>
    <w:rsid w:val="00F05828"/>
    <w:rsid w:val="00F058B0"/>
    <w:rsid w:val="00F0599E"/>
    <w:rsid w:val="00F05BC7"/>
    <w:rsid w:val="00F05C21"/>
    <w:rsid w:val="00F05EF1"/>
    <w:rsid w:val="00F05F60"/>
    <w:rsid w:val="00F05F76"/>
    <w:rsid w:val="00F0606B"/>
    <w:rsid w:val="00F060AA"/>
    <w:rsid w:val="00F06192"/>
    <w:rsid w:val="00F06208"/>
    <w:rsid w:val="00F06223"/>
    <w:rsid w:val="00F06286"/>
    <w:rsid w:val="00F0632D"/>
    <w:rsid w:val="00F0639D"/>
    <w:rsid w:val="00F06404"/>
    <w:rsid w:val="00F06462"/>
    <w:rsid w:val="00F06495"/>
    <w:rsid w:val="00F0651C"/>
    <w:rsid w:val="00F065D6"/>
    <w:rsid w:val="00F0665F"/>
    <w:rsid w:val="00F06809"/>
    <w:rsid w:val="00F06860"/>
    <w:rsid w:val="00F0687B"/>
    <w:rsid w:val="00F0689C"/>
    <w:rsid w:val="00F06A03"/>
    <w:rsid w:val="00F06B11"/>
    <w:rsid w:val="00F06B49"/>
    <w:rsid w:val="00F06C64"/>
    <w:rsid w:val="00F06CCC"/>
    <w:rsid w:val="00F06F8B"/>
    <w:rsid w:val="00F070C2"/>
    <w:rsid w:val="00F07137"/>
    <w:rsid w:val="00F071DC"/>
    <w:rsid w:val="00F07221"/>
    <w:rsid w:val="00F073FE"/>
    <w:rsid w:val="00F07468"/>
    <w:rsid w:val="00F07573"/>
    <w:rsid w:val="00F07660"/>
    <w:rsid w:val="00F076C1"/>
    <w:rsid w:val="00F076EE"/>
    <w:rsid w:val="00F0792F"/>
    <w:rsid w:val="00F07937"/>
    <w:rsid w:val="00F079B8"/>
    <w:rsid w:val="00F07A0B"/>
    <w:rsid w:val="00F07A24"/>
    <w:rsid w:val="00F07A40"/>
    <w:rsid w:val="00F07A56"/>
    <w:rsid w:val="00F07AB3"/>
    <w:rsid w:val="00F07AEB"/>
    <w:rsid w:val="00F07C3C"/>
    <w:rsid w:val="00F07E4C"/>
    <w:rsid w:val="00F07F4E"/>
    <w:rsid w:val="00F104B7"/>
    <w:rsid w:val="00F1050B"/>
    <w:rsid w:val="00F10627"/>
    <w:rsid w:val="00F1062E"/>
    <w:rsid w:val="00F108B5"/>
    <w:rsid w:val="00F10964"/>
    <w:rsid w:val="00F10981"/>
    <w:rsid w:val="00F10C35"/>
    <w:rsid w:val="00F10C3A"/>
    <w:rsid w:val="00F10C79"/>
    <w:rsid w:val="00F10CF9"/>
    <w:rsid w:val="00F10DAF"/>
    <w:rsid w:val="00F11159"/>
    <w:rsid w:val="00F111DE"/>
    <w:rsid w:val="00F112DD"/>
    <w:rsid w:val="00F113A5"/>
    <w:rsid w:val="00F113AA"/>
    <w:rsid w:val="00F11465"/>
    <w:rsid w:val="00F114FA"/>
    <w:rsid w:val="00F11567"/>
    <w:rsid w:val="00F115A0"/>
    <w:rsid w:val="00F11643"/>
    <w:rsid w:val="00F11784"/>
    <w:rsid w:val="00F1192D"/>
    <w:rsid w:val="00F11B62"/>
    <w:rsid w:val="00F11BE6"/>
    <w:rsid w:val="00F11C0F"/>
    <w:rsid w:val="00F11CBA"/>
    <w:rsid w:val="00F11D4D"/>
    <w:rsid w:val="00F11DBF"/>
    <w:rsid w:val="00F12142"/>
    <w:rsid w:val="00F1217C"/>
    <w:rsid w:val="00F122B8"/>
    <w:rsid w:val="00F1239F"/>
    <w:rsid w:val="00F123B6"/>
    <w:rsid w:val="00F123C5"/>
    <w:rsid w:val="00F123F3"/>
    <w:rsid w:val="00F1254B"/>
    <w:rsid w:val="00F1263E"/>
    <w:rsid w:val="00F12771"/>
    <w:rsid w:val="00F12775"/>
    <w:rsid w:val="00F12792"/>
    <w:rsid w:val="00F1287F"/>
    <w:rsid w:val="00F12880"/>
    <w:rsid w:val="00F128C6"/>
    <w:rsid w:val="00F12AB8"/>
    <w:rsid w:val="00F12B44"/>
    <w:rsid w:val="00F12BD3"/>
    <w:rsid w:val="00F12C0E"/>
    <w:rsid w:val="00F12D2F"/>
    <w:rsid w:val="00F12D47"/>
    <w:rsid w:val="00F12DFC"/>
    <w:rsid w:val="00F12E47"/>
    <w:rsid w:val="00F12FD0"/>
    <w:rsid w:val="00F130C6"/>
    <w:rsid w:val="00F13126"/>
    <w:rsid w:val="00F13325"/>
    <w:rsid w:val="00F13345"/>
    <w:rsid w:val="00F133C2"/>
    <w:rsid w:val="00F133DA"/>
    <w:rsid w:val="00F134C1"/>
    <w:rsid w:val="00F1356D"/>
    <w:rsid w:val="00F135AA"/>
    <w:rsid w:val="00F13713"/>
    <w:rsid w:val="00F1371D"/>
    <w:rsid w:val="00F137C5"/>
    <w:rsid w:val="00F13827"/>
    <w:rsid w:val="00F1390F"/>
    <w:rsid w:val="00F13976"/>
    <w:rsid w:val="00F13AC6"/>
    <w:rsid w:val="00F13B45"/>
    <w:rsid w:val="00F13BAA"/>
    <w:rsid w:val="00F13C36"/>
    <w:rsid w:val="00F13CA2"/>
    <w:rsid w:val="00F13E74"/>
    <w:rsid w:val="00F13F3D"/>
    <w:rsid w:val="00F13FE3"/>
    <w:rsid w:val="00F13FE8"/>
    <w:rsid w:val="00F13FEB"/>
    <w:rsid w:val="00F1408B"/>
    <w:rsid w:val="00F140B8"/>
    <w:rsid w:val="00F143F8"/>
    <w:rsid w:val="00F14418"/>
    <w:rsid w:val="00F14451"/>
    <w:rsid w:val="00F144FB"/>
    <w:rsid w:val="00F146AC"/>
    <w:rsid w:val="00F146C4"/>
    <w:rsid w:val="00F14789"/>
    <w:rsid w:val="00F147A1"/>
    <w:rsid w:val="00F148ED"/>
    <w:rsid w:val="00F1492C"/>
    <w:rsid w:val="00F1499D"/>
    <w:rsid w:val="00F149C3"/>
    <w:rsid w:val="00F14A22"/>
    <w:rsid w:val="00F14AC6"/>
    <w:rsid w:val="00F14B2D"/>
    <w:rsid w:val="00F14B59"/>
    <w:rsid w:val="00F14BCD"/>
    <w:rsid w:val="00F14CD2"/>
    <w:rsid w:val="00F14CF6"/>
    <w:rsid w:val="00F14E7B"/>
    <w:rsid w:val="00F14E8C"/>
    <w:rsid w:val="00F14FDA"/>
    <w:rsid w:val="00F1503A"/>
    <w:rsid w:val="00F1505C"/>
    <w:rsid w:val="00F150D6"/>
    <w:rsid w:val="00F1514F"/>
    <w:rsid w:val="00F15225"/>
    <w:rsid w:val="00F153D2"/>
    <w:rsid w:val="00F156F7"/>
    <w:rsid w:val="00F15831"/>
    <w:rsid w:val="00F1598F"/>
    <w:rsid w:val="00F15BB9"/>
    <w:rsid w:val="00F15D5E"/>
    <w:rsid w:val="00F15F89"/>
    <w:rsid w:val="00F161D8"/>
    <w:rsid w:val="00F16260"/>
    <w:rsid w:val="00F16261"/>
    <w:rsid w:val="00F1684A"/>
    <w:rsid w:val="00F16943"/>
    <w:rsid w:val="00F1694C"/>
    <w:rsid w:val="00F16A05"/>
    <w:rsid w:val="00F16A81"/>
    <w:rsid w:val="00F16A90"/>
    <w:rsid w:val="00F16B3C"/>
    <w:rsid w:val="00F16B3D"/>
    <w:rsid w:val="00F16D18"/>
    <w:rsid w:val="00F16D3F"/>
    <w:rsid w:val="00F16F62"/>
    <w:rsid w:val="00F1706D"/>
    <w:rsid w:val="00F1710B"/>
    <w:rsid w:val="00F17125"/>
    <w:rsid w:val="00F17142"/>
    <w:rsid w:val="00F171CE"/>
    <w:rsid w:val="00F171DA"/>
    <w:rsid w:val="00F174BC"/>
    <w:rsid w:val="00F176A9"/>
    <w:rsid w:val="00F178E8"/>
    <w:rsid w:val="00F1792C"/>
    <w:rsid w:val="00F17A11"/>
    <w:rsid w:val="00F17A8C"/>
    <w:rsid w:val="00F17AC1"/>
    <w:rsid w:val="00F17B86"/>
    <w:rsid w:val="00F17C3E"/>
    <w:rsid w:val="00F17DF9"/>
    <w:rsid w:val="00F17E24"/>
    <w:rsid w:val="00F17E39"/>
    <w:rsid w:val="00F2013B"/>
    <w:rsid w:val="00F20151"/>
    <w:rsid w:val="00F202C6"/>
    <w:rsid w:val="00F20338"/>
    <w:rsid w:val="00F2034F"/>
    <w:rsid w:val="00F20359"/>
    <w:rsid w:val="00F2036E"/>
    <w:rsid w:val="00F203B4"/>
    <w:rsid w:val="00F205C0"/>
    <w:rsid w:val="00F2071E"/>
    <w:rsid w:val="00F207F1"/>
    <w:rsid w:val="00F209E7"/>
    <w:rsid w:val="00F20A0D"/>
    <w:rsid w:val="00F20A3E"/>
    <w:rsid w:val="00F20B35"/>
    <w:rsid w:val="00F20C29"/>
    <w:rsid w:val="00F20DFB"/>
    <w:rsid w:val="00F20E63"/>
    <w:rsid w:val="00F20EBF"/>
    <w:rsid w:val="00F20F85"/>
    <w:rsid w:val="00F21077"/>
    <w:rsid w:val="00F210D5"/>
    <w:rsid w:val="00F21215"/>
    <w:rsid w:val="00F21394"/>
    <w:rsid w:val="00F214D0"/>
    <w:rsid w:val="00F2163C"/>
    <w:rsid w:val="00F2169F"/>
    <w:rsid w:val="00F2195A"/>
    <w:rsid w:val="00F219F2"/>
    <w:rsid w:val="00F21B6D"/>
    <w:rsid w:val="00F21D53"/>
    <w:rsid w:val="00F21DDF"/>
    <w:rsid w:val="00F21F71"/>
    <w:rsid w:val="00F220CB"/>
    <w:rsid w:val="00F22120"/>
    <w:rsid w:val="00F22173"/>
    <w:rsid w:val="00F2223F"/>
    <w:rsid w:val="00F22256"/>
    <w:rsid w:val="00F22263"/>
    <w:rsid w:val="00F224C6"/>
    <w:rsid w:val="00F22534"/>
    <w:rsid w:val="00F2254A"/>
    <w:rsid w:val="00F22637"/>
    <w:rsid w:val="00F2263F"/>
    <w:rsid w:val="00F227B2"/>
    <w:rsid w:val="00F227E8"/>
    <w:rsid w:val="00F22BE9"/>
    <w:rsid w:val="00F22C0A"/>
    <w:rsid w:val="00F22C5D"/>
    <w:rsid w:val="00F22C68"/>
    <w:rsid w:val="00F22D0E"/>
    <w:rsid w:val="00F22D25"/>
    <w:rsid w:val="00F22DB8"/>
    <w:rsid w:val="00F2304A"/>
    <w:rsid w:val="00F231A4"/>
    <w:rsid w:val="00F23345"/>
    <w:rsid w:val="00F23401"/>
    <w:rsid w:val="00F2351E"/>
    <w:rsid w:val="00F235E4"/>
    <w:rsid w:val="00F236A7"/>
    <w:rsid w:val="00F2377D"/>
    <w:rsid w:val="00F237C1"/>
    <w:rsid w:val="00F23826"/>
    <w:rsid w:val="00F23935"/>
    <w:rsid w:val="00F239D2"/>
    <w:rsid w:val="00F23A53"/>
    <w:rsid w:val="00F23B7C"/>
    <w:rsid w:val="00F23B7D"/>
    <w:rsid w:val="00F23BCF"/>
    <w:rsid w:val="00F23C8E"/>
    <w:rsid w:val="00F23D3B"/>
    <w:rsid w:val="00F23F3D"/>
    <w:rsid w:val="00F24018"/>
    <w:rsid w:val="00F24069"/>
    <w:rsid w:val="00F24203"/>
    <w:rsid w:val="00F24249"/>
    <w:rsid w:val="00F24252"/>
    <w:rsid w:val="00F24295"/>
    <w:rsid w:val="00F242BD"/>
    <w:rsid w:val="00F244AA"/>
    <w:rsid w:val="00F24503"/>
    <w:rsid w:val="00F24645"/>
    <w:rsid w:val="00F247CE"/>
    <w:rsid w:val="00F2482F"/>
    <w:rsid w:val="00F248A0"/>
    <w:rsid w:val="00F2492B"/>
    <w:rsid w:val="00F24961"/>
    <w:rsid w:val="00F24A7B"/>
    <w:rsid w:val="00F24A99"/>
    <w:rsid w:val="00F24AEE"/>
    <w:rsid w:val="00F24B3D"/>
    <w:rsid w:val="00F24BBE"/>
    <w:rsid w:val="00F24C1F"/>
    <w:rsid w:val="00F24CC6"/>
    <w:rsid w:val="00F24D1E"/>
    <w:rsid w:val="00F24DAC"/>
    <w:rsid w:val="00F24F26"/>
    <w:rsid w:val="00F2503B"/>
    <w:rsid w:val="00F25060"/>
    <w:rsid w:val="00F2509E"/>
    <w:rsid w:val="00F250B9"/>
    <w:rsid w:val="00F2516E"/>
    <w:rsid w:val="00F251EB"/>
    <w:rsid w:val="00F25399"/>
    <w:rsid w:val="00F253C4"/>
    <w:rsid w:val="00F25489"/>
    <w:rsid w:val="00F255AD"/>
    <w:rsid w:val="00F255EA"/>
    <w:rsid w:val="00F25656"/>
    <w:rsid w:val="00F25702"/>
    <w:rsid w:val="00F2573E"/>
    <w:rsid w:val="00F25742"/>
    <w:rsid w:val="00F257CE"/>
    <w:rsid w:val="00F25801"/>
    <w:rsid w:val="00F2581C"/>
    <w:rsid w:val="00F25886"/>
    <w:rsid w:val="00F25909"/>
    <w:rsid w:val="00F25956"/>
    <w:rsid w:val="00F259B0"/>
    <w:rsid w:val="00F25B2A"/>
    <w:rsid w:val="00F25B46"/>
    <w:rsid w:val="00F25CAF"/>
    <w:rsid w:val="00F25D13"/>
    <w:rsid w:val="00F25D97"/>
    <w:rsid w:val="00F25DA5"/>
    <w:rsid w:val="00F25E5A"/>
    <w:rsid w:val="00F26025"/>
    <w:rsid w:val="00F26066"/>
    <w:rsid w:val="00F2607C"/>
    <w:rsid w:val="00F260E3"/>
    <w:rsid w:val="00F260EC"/>
    <w:rsid w:val="00F262C4"/>
    <w:rsid w:val="00F26320"/>
    <w:rsid w:val="00F26347"/>
    <w:rsid w:val="00F2639C"/>
    <w:rsid w:val="00F263DB"/>
    <w:rsid w:val="00F264BD"/>
    <w:rsid w:val="00F26504"/>
    <w:rsid w:val="00F26520"/>
    <w:rsid w:val="00F2657F"/>
    <w:rsid w:val="00F26582"/>
    <w:rsid w:val="00F265A3"/>
    <w:rsid w:val="00F265BB"/>
    <w:rsid w:val="00F26674"/>
    <w:rsid w:val="00F26689"/>
    <w:rsid w:val="00F2671B"/>
    <w:rsid w:val="00F2675A"/>
    <w:rsid w:val="00F26764"/>
    <w:rsid w:val="00F26811"/>
    <w:rsid w:val="00F268F7"/>
    <w:rsid w:val="00F26975"/>
    <w:rsid w:val="00F2698C"/>
    <w:rsid w:val="00F26A8C"/>
    <w:rsid w:val="00F26D1E"/>
    <w:rsid w:val="00F26D87"/>
    <w:rsid w:val="00F26EA9"/>
    <w:rsid w:val="00F27122"/>
    <w:rsid w:val="00F272A1"/>
    <w:rsid w:val="00F272E6"/>
    <w:rsid w:val="00F27310"/>
    <w:rsid w:val="00F27558"/>
    <w:rsid w:val="00F27565"/>
    <w:rsid w:val="00F27588"/>
    <w:rsid w:val="00F275BE"/>
    <w:rsid w:val="00F27624"/>
    <w:rsid w:val="00F276AB"/>
    <w:rsid w:val="00F278AC"/>
    <w:rsid w:val="00F278BA"/>
    <w:rsid w:val="00F27A32"/>
    <w:rsid w:val="00F27A55"/>
    <w:rsid w:val="00F27ABD"/>
    <w:rsid w:val="00F27C30"/>
    <w:rsid w:val="00F27D1A"/>
    <w:rsid w:val="00F27DC4"/>
    <w:rsid w:val="00F27F33"/>
    <w:rsid w:val="00F30195"/>
    <w:rsid w:val="00F301CF"/>
    <w:rsid w:val="00F301D1"/>
    <w:rsid w:val="00F3061A"/>
    <w:rsid w:val="00F306E5"/>
    <w:rsid w:val="00F308B2"/>
    <w:rsid w:val="00F3094C"/>
    <w:rsid w:val="00F30A36"/>
    <w:rsid w:val="00F30A62"/>
    <w:rsid w:val="00F30ACF"/>
    <w:rsid w:val="00F30CCE"/>
    <w:rsid w:val="00F30F91"/>
    <w:rsid w:val="00F30FDA"/>
    <w:rsid w:val="00F31206"/>
    <w:rsid w:val="00F31369"/>
    <w:rsid w:val="00F3141B"/>
    <w:rsid w:val="00F31563"/>
    <w:rsid w:val="00F3178E"/>
    <w:rsid w:val="00F317A8"/>
    <w:rsid w:val="00F318BC"/>
    <w:rsid w:val="00F31A41"/>
    <w:rsid w:val="00F31A8E"/>
    <w:rsid w:val="00F31CB6"/>
    <w:rsid w:val="00F31D34"/>
    <w:rsid w:val="00F31DD2"/>
    <w:rsid w:val="00F31FE2"/>
    <w:rsid w:val="00F3205D"/>
    <w:rsid w:val="00F32150"/>
    <w:rsid w:val="00F321C4"/>
    <w:rsid w:val="00F32216"/>
    <w:rsid w:val="00F326EA"/>
    <w:rsid w:val="00F3272A"/>
    <w:rsid w:val="00F32852"/>
    <w:rsid w:val="00F328BB"/>
    <w:rsid w:val="00F329D4"/>
    <w:rsid w:val="00F329F9"/>
    <w:rsid w:val="00F32A12"/>
    <w:rsid w:val="00F32DCC"/>
    <w:rsid w:val="00F32DCE"/>
    <w:rsid w:val="00F32E5C"/>
    <w:rsid w:val="00F32FDD"/>
    <w:rsid w:val="00F33014"/>
    <w:rsid w:val="00F3309E"/>
    <w:rsid w:val="00F330A1"/>
    <w:rsid w:val="00F332A4"/>
    <w:rsid w:val="00F332F0"/>
    <w:rsid w:val="00F334EA"/>
    <w:rsid w:val="00F33522"/>
    <w:rsid w:val="00F33601"/>
    <w:rsid w:val="00F33640"/>
    <w:rsid w:val="00F336AD"/>
    <w:rsid w:val="00F336B5"/>
    <w:rsid w:val="00F33762"/>
    <w:rsid w:val="00F338DB"/>
    <w:rsid w:val="00F338E2"/>
    <w:rsid w:val="00F33A0A"/>
    <w:rsid w:val="00F33A2F"/>
    <w:rsid w:val="00F33B72"/>
    <w:rsid w:val="00F33BE2"/>
    <w:rsid w:val="00F33CF2"/>
    <w:rsid w:val="00F33E0E"/>
    <w:rsid w:val="00F33FA2"/>
    <w:rsid w:val="00F33FAE"/>
    <w:rsid w:val="00F34067"/>
    <w:rsid w:val="00F3408B"/>
    <w:rsid w:val="00F343FD"/>
    <w:rsid w:val="00F344E4"/>
    <w:rsid w:val="00F3463F"/>
    <w:rsid w:val="00F3465C"/>
    <w:rsid w:val="00F3471B"/>
    <w:rsid w:val="00F347F3"/>
    <w:rsid w:val="00F34806"/>
    <w:rsid w:val="00F34897"/>
    <w:rsid w:val="00F34BFD"/>
    <w:rsid w:val="00F34D2A"/>
    <w:rsid w:val="00F34E3B"/>
    <w:rsid w:val="00F34EA3"/>
    <w:rsid w:val="00F34FF4"/>
    <w:rsid w:val="00F35001"/>
    <w:rsid w:val="00F35020"/>
    <w:rsid w:val="00F350A5"/>
    <w:rsid w:val="00F350E8"/>
    <w:rsid w:val="00F3514D"/>
    <w:rsid w:val="00F3516A"/>
    <w:rsid w:val="00F3518E"/>
    <w:rsid w:val="00F351A7"/>
    <w:rsid w:val="00F3524C"/>
    <w:rsid w:val="00F352CC"/>
    <w:rsid w:val="00F35423"/>
    <w:rsid w:val="00F354CC"/>
    <w:rsid w:val="00F35535"/>
    <w:rsid w:val="00F3560F"/>
    <w:rsid w:val="00F3571D"/>
    <w:rsid w:val="00F35770"/>
    <w:rsid w:val="00F35842"/>
    <w:rsid w:val="00F35868"/>
    <w:rsid w:val="00F35933"/>
    <w:rsid w:val="00F35A05"/>
    <w:rsid w:val="00F35A6B"/>
    <w:rsid w:val="00F35A6E"/>
    <w:rsid w:val="00F35AA1"/>
    <w:rsid w:val="00F35B34"/>
    <w:rsid w:val="00F35CA6"/>
    <w:rsid w:val="00F35D31"/>
    <w:rsid w:val="00F35D6D"/>
    <w:rsid w:val="00F35D94"/>
    <w:rsid w:val="00F35E57"/>
    <w:rsid w:val="00F36218"/>
    <w:rsid w:val="00F36229"/>
    <w:rsid w:val="00F362E1"/>
    <w:rsid w:val="00F36338"/>
    <w:rsid w:val="00F3640D"/>
    <w:rsid w:val="00F3650A"/>
    <w:rsid w:val="00F36530"/>
    <w:rsid w:val="00F36549"/>
    <w:rsid w:val="00F365B4"/>
    <w:rsid w:val="00F3661E"/>
    <w:rsid w:val="00F366E8"/>
    <w:rsid w:val="00F36727"/>
    <w:rsid w:val="00F367A5"/>
    <w:rsid w:val="00F367F1"/>
    <w:rsid w:val="00F3681B"/>
    <w:rsid w:val="00F36860"/>
    <w:rsid w:val="00F368BE"/>
    <w:rsid w:val="00F368D5"/>
    <w:rsid w:val="00F36922"/>
    <w:rsid w:val="00F369E6"/>
    <w:rsid w:val="00F36B4C"/>
    <w:rsid w:val="00F36BE7"/>
    <w:rsid w:val="00F36D34"/>
    <w:rsid w:val="00F36D8D"/>
    <w:rsid w:val="00F36DBF"/>
    <w:rsid w:val="00F36E88"/>
    <w:rsid w:val="00F3724E"/>
    <w:rsid w:val="00F37435"/>
    <w:rsid w:val="00F374A3"/>
    <w:rsid w:val="00F374AF"/>
    <w:rsid w:val="00F375C2"/>
    <w:rsid w:val="00F3765A"/>
    <w:rsid w:val="00F376B0"/>
    <w:rsid w:val="00F376DB"/>
    <w:rsid w:val="00F377A9"/>
    <w:rsid w:val="00F378E9"/>
    <w:rsid w:val="00F379D7"/>
    <w:rsid w:val="00F37C3E"/>
    <w:rsid w:val="00F4009D"/>
    <w:rsid w:val="00F400F5"/>
    <w:rsid w:val="00F4020C"/>
    <w:rsid w:val="00F40317"/>
    <w:rsid w:val="00F40416"/>
    <w:rsid w:val="00F4048A"/>
    <w:rsid w:val="00F404C3"/>
    <w:rsid w:val="00F404FE"/>
    <w:rsid w:val="00F4054C"/>
    <w:rsid w:val="00F40569"/>
    <w:rsid w:val="00F4082F"/>
    <w:rsid w:val="00F408B5"/>
    <w:rsid w:val="00F409BA"/>
    <w:rsid w:val="00F40AA4"/>
    <w:rsid w:val="00F40B7F"/>
    <w:rsid w:val="00F40CF5"/>
    <w:rsid w:val="00F40DC5"/>
    <w:rsid w:val="00F40E8A"/>
    <w:rsid w:val="00F40EEC"/>
    <w:rsid w:val="00F41043"/>
    <w:rsid w:val="00F410B6"/>
    <w:rsid w:val="00F411F7"/>
    <w:rsid w:val="00F41325"/>
    <w:rsid w:val="00F41398"/>
    <w:rsid w:val="00F41409"/>
    <w:rsid w:val="00F4146F"/>
    <w:rsid w:val="00F4152D"/>
    <w:rsid w:val="00F415D6"/>
    <w:rsid w:val="00F41814"/>
    <w:rsid w:val="00F4197A"/>
    <w:rsid w:val="00F41CAA"/>
    <w:rsid w:val="00F41CAB"/>
    <w:rsid w:val="00F41D6B"/>
    <w:rsid w:val="00F41ED8"/>
    <w:rsid w:val="00F42078"/>
    <w:rsid w:val="00F420C0"/>
    <w:rsid w:val="00F420C8"/>
    <w:rsid w:val="00F421D5"/>
    <w:rsid w:val="00F42573"/>
    <w:rsid w:val="00F425DC"/>
    <w:rsid w:val="00F42715"/>
    <w:rsid w:val="00F4289C"/>
    <w:rsid w:val="00F428F7"/>
    <w:rsid w:val="00F42901"/>
    <w:rsid w:val="00F4290C"/>
    <w:rsid w:val="00F42911"/>
    <w:rsid w:val="00F42924"/>
    <w:rsid w:val="00F42926"/>
    <w:rsid w:val="00F42A7F"/>
    <w:rsid w:val="00F42B91"/>
    <w:rsid w:val="00F42C08"/>
    <w:rsid w:val="00F42C2E"/>
    <w:rsid w:val="00F42C46"/>
    <w:rsid w:val="00F42DC2"/>
    <w:rsid w:val="00F42DCD"/>
    <w:rsid w:val="00F42E3A"/>
    <w:rsid w:val="00F42F18"/>
    <w:rsid w:val="00F42F77"/>
    <w:rsid w:val="00F42FAB"/>
    <w:rsid w:val="00F4301C"/>
    <w:rsid w:val="00F43065"/>
    <w:rsid w:val="00F430D7"/>
    <w:rsid w:val="00F43135"/>
    <w:rsid w:val="00F4317A"/>
    <w:rsid w:val="00F432A2"/>
    <w:rsid w:val="00F432A8"/>
    <w:rsid w:val="00F43330"/>
    <w:rsid w:val="00F433BF"/>
    <w:rsid w:val="00F43496"/>
    <w:rsid w:val="00F43708"/>
    <w:rsid w:val="00F4378A"/>
    <w:rsid w:val="00F437A5"/>
    <w:rsid w:val="00F4383A"/>
    <w:rsid w:val="00F43889"/>
    <w:rsid w:val="00F438DF"/>
    <w:rsid w:val="00F439E9"/>
    <w:rsid w:val="00F43A8F"/>
    <w:rsid w:val="00F43B39"/>
    <w:rsid w:val="00F43C8E"/>
    <w:rsid w:val="00F43D93"/>
    <w:rsid w:val="00F43E10"/>
    <w:rsid w:val="00F43FD6"/>
    <w:rsid w:val="00F44440"/>
    <w:rsid w:val="00F44472"/>
    <w:rsid w:val="00F44536"/>
    <w:rsid w:val="00F445D4"/>
    <w:rsid w:val="00F4463F"/>
    <w:rsid w:val="00F446CE"/>
    <w:rsid w:val="00F447E5"/>
    <w:rsid w:val="00F44862"/>
    <w:rsid w:val="00F44897"/>
    <w:rsid w:val="00F44B6C"/>
    <w:rsid w:val="00F44C18"/>
    <w:rsid w:val="00F44D06"/>
    <w:rsid w:val="00F44D64"/>
    <w:rsid w:val="00F44DB2"/>
    <w:rsid w:val="00F44F52"/>
    <w:rsid w:val="00F44F96"/>
    <w:rsid w:val="00F45052"/>
    <w:rsid w:val="00F450BD"/>
    <w:rsid w:val="00F452C0"/>
    <w:rsid w:val="00F45407"/>
    <w:rsid w:val="00F4548D"/>
    <w:rsid w:val="00F4569F"/>
    <w:rsid w:val="00F457A7"/>
    <w:rsid w:val="00F457EA"/>
    <w:rsid w:val="00F4581E"/>
    <w:rsid w:val="00F4585C"/>
    <w:rsid w:val="00F4597E"/>
    <w:rsid w:val="00F45981"/>
    <w:rsid w:val="00F459FD"/>
    <w:rsid w:val="00F45BDD"/>
    <w:rsid w:val="00F45C9A"/>
    <w:rsid w:val="00F45CB4"/>
    <w:rsid w:val="00F45E55"/>
    <w:rsid w:val="00F45E5F"/>
    <w:rsid w:val="00F45FDB"/>
    <w:rsid w:val="00F45FEF"/>
    <w:rsid w:val="00F460C7"/>
    <w:rsid w:val="00F46150"/>
    <w:rsid w:val="00F4616E"/>
    <w:rsid w:val="00F461E9"/>
    <w:rsid w:val="00F461FA"/>
    <w:rsid w:val="00F4630E"/>
    <w:rsid w:val="00F463BF"/>
    <w:rsid w:val="00F464BD"/>
    <w:rsid w:val="00F464D4"/>
    <w:rsid w:val="00F46692"/>
    <w:rsid w:val="00F4670C"/>
    <w:rsid w:val="00F467A5"/>
    <w:rsid w:val="00F46874"/>
    <w:rsid w:val="00F468DE"/>
    <w:rsid w:val="00F46962"/>
    <w:rsid w:val="00F46971"/>
    <w:rsid w:val="00F46B17"/>
    <w:rsid w:val="00F46EB5"/>
    <w:rsid w:val="00F46F12"/>
    <w:rsid w:val="00F47091"/>
    <w:rsid w:val="00F4709C"/>
    <w:rsid w:val="00F470B1"/>
    <w:rsid w:val="00F470DA"/>
    <w:rsid w:val="00F471AF"/>
    <w:rsid w:val="00F47299"/>
    <w:rsid w:val="00F472CA"/>
    <w:rsid w:val="00F472DF"/>
    <w:rsid w:val="00F473DE"/>
    <w:rsid w:val="00F474A6"/>
    <w:rsid w:val="00F474AA"/>
    <w:rsid w:val="00F47763"/>
    <w:rsid w:val="00F47893"/>
    <w:rsid w:val="00F478A6"/>
    <w:rsid w:val="00F478F1"/>
    <w:rsid w:val="00F47A17"/>
    <w:rsid w:val="00F47CE1"/>
    <w:rsid w:val="00F47CFA"/>
    <w:rsid w:val="00F47D4C"/>
    <w:rsid w:val="00F47E6C"/>
    <w:rsid w:val="00F47EE4"/>
    <w:rsid w:val="00F50038"/>
    <w:rsid w:val="00F50071"/>
    <w:rsid w:val="00F5011B"/>
    <w:rsid w:val="00F50256"/>
    <w:rsid w:val="00F50378"/>
    <w:rsid w:val="00F5042F"/>
    <w:rsid w:val="00F50473"/>
    <w:rsid w:val="00F50568"/>
    <w:rsid w:val="00F5071C"/>
    <w:rsid w:val="00F507C4"/>
    <w:rsid w:val="00F50850"/>
    <w:rsid w:val="00F509B7"/>
    <w:rsid w:val="00F50C9E"/>
    <w:rsid w:val="00F50CDE"/>
    <w:rsid w:val="00F50E8C"/>
    <w:rsid w:val="00F51001"/>
    <w:rsid w:val="00F51125"/>
    <w:rsid w:val="00F512AD"/>
    <w:rsid w:val="00F512DA"/>
    <w:rsid w:val="00F51420"/>
    <w:rsid w:val="00F514D4"/>
    <w:rsid w:val="00F5150C"/>
    <w:rsid w:val="00F515E9"/>
    <w:rsid w:val="00F516EF"/>
    <w:rsid w:val="00F516FA"/>
    <w:rsid w:val="00F516FF"/>
    <w:rsid w:val="00F51784"/>
    <w:rsid w:val="00F517F4"/>
    <w:rsid w:val="00F518B7"/>
    <w:rsid w:val="00F518C3"/>
    <w:rsid w:val="00F51935"/>
    <w:rsid w:val="00F519B0"/>
    <w:rsid w:val="00F51A13"/>
    <w:rsid w:val="00F51AE4"/>
    <w:rsid w:val="00F51B42"/>
    <w:rsid w:val="00F51B89"/>
    <w:rsid w:val="00F51B95"/>
    <w:rsid w:val="00F51C7E"/>
    <w:rsid w:val="00F51C9A"/>
    <w:rsid w:val="00F51EE8"/>
    <w:rsid w:val="00F51F15"/>
    <w:rsid w:val="00F51F81"/>
    <w:rsid w:val="00F52213"/>
    <w:rsid w:val="00F5235D"/>
    <w:rsid w:val="00F52483"/>
    <w:rsid w:val="00F52547"/>
    <w:rsid w:val="00F52566"/>
    <w:rsid w:val="00F525ED"/>
    <w:rsid w:val="00F52634"/>
    <w:rsid w:val="00F526F9"/>
    <w:rsid w:val="00F52763"/>
    <w:rsid w:val="00F527CD"/>
    <w:rsid w:val="00F527F1"/>
    <w:rsid w:val="00F52932"/>
    <w:rsid w:val="00F529C7"/>
    <w:rsid w:val="00F52AA4"/>
    <w:rsid w:val="00F52AA8"/>
    <w:rsid w:val="00F52C17"/>
    <w:rsid w:val="00F52CD1"/>
    <w:rsid w:val="00F52DCC"/>
    <w:rsid w:val="00F52E19"/>
    <w:rsid w:val="00F52E48"/>
    <w:rsid w:val="00F52E75"/>
    <w:rsid w:val="00F52F77"/>
    <w:rsid w:val="00F52FD3"/>
    <w:rsid w:val="00F5325C"/>
    <w:rsid w:val="00F53269"/>
    <w:rsid w:val="00F53280"/>
    <w:rsid w:val="00F53342"/>
    <w:rsid w:val="00F53366"/>
    <w:rsid w:val="00F53382"/>
    <w:rsid w:val="00F5347D"/>
    <w:rsid w:val="00F536B6"/>
    <w:rsid w:val="00F537CE"/>
    <w:rsid w:val="00F53927"/>
    <w:rsid w:val="00F53A32"/>
    <w:rsid w:val="00F53B22"/>
    <w:rsid w:val="00F53B48"/>
    <w:rsid w:val="00F53C0C"/>
    <w:rsid w:val="00F53C56"/>
    <w:rsid w:val="00F53CC5"/>
    <w:rsid w:val="00F53DE8"/>
    <w:rsid w:val="00F53E9F"/>
    <w:rsid w:val="00F53F4C"/>
    <w:rsid w:val="00F54044"/>
    <w:rsid w:val="00F54101"/>
    <w:rsid w:val="00F542E2"/>
    <w:rsid w:val="00F543AB"/>
    <w:rsid w:val="00F544EE"/>
    <w:rsid w:val="00F54744"/>
    <w:rsid w:val="00F547EF"/>
    <w:rsid w:val="00F5488B"/>
    <w:rsid w:val="00F548D7"/>
    <w:rsid w:val="00F54965"/>
    <w:rsid w:val="00F54973"/>
    <w:rsid w:val="00F549EF"/>
    <w:rsid w:val="00F54C9A"/>
    <w:rsid w:val="00F54D65"/>
    <w:rsid w:val="00F54F85"/>
    <w:rsid w:val="00F55052"/>
    <w:rsid w:val="00F550D8"/>
    <w:rsid w:val="00F55127"/>
    <w:rsid w:val="00F551E1"/>
    <w:rsid w:val="00F551E3"/>
    <w:rsid w:val="00F5529C"/>
    <w:rsid w:val="00F552F9"/>
    <w:rsid w:val="00F553FC"/>
    <w:rsid w:val="00F5542D"/>
    <w:rsid w:val="00F55505"/>
    <w:rsid w:val="00F55527"/>
    <w:rsid w:val="00F55532"/>
    <w:rsid w:val="00F5555B"/>
    <w:rsid w:val="00F5556B"/>
    <w:rsid w:val="00F555E5"/>
    <w:rsid w:val="00F55630"/>
    <w:rsid w:val="00F556B7"/>
    <w:rsid w:val="00F556D9"/>
    <w:rsid w:val="00F5573E"/>
    <w:rsid w:val="00F55753"/>
    <w:rsid w:val="00F557B8"/>
    <w:rsid w:val="00F557D0"/>
    <w:rsid w:val="00F557F7"/>
    <w:rsid w:val="00F558A6"/>
    <w:rsid w:val="00F55B01"/>
    <w:rsid w:val="00F55B20"/>
    <w:rsid w:val="00F55C36"/>
    <w:rsid w:val="00F55DE5"/>
    <w:rsid w:val="00F55EC7"/>
    <w:rsid w:val="00F55F8D"/>
    <w:rsid w:val="00F56031"/>
    <w:rsid w:val="00F5610F"/>
    <w:rsid w:val="00F56177"/>
    <w:rsid w:val="00F56376"/>
    <w:rsid w:val="00F5638C"/>
    <w:rsid w:val="00F565E4"/>
    <w:rsid w:val="00F56644"/>
    <w:rsid w:val="00F568E2"/>
    <w:rsid w:val="00F56C2F"/>
    <w:rsid w:val="00F56CD5"/>
    <w:rsid w:val="00F56D15"/>
    <w:rsid w:val="00F56DD4"/>
    <w:rsid w:val="00F56EBA"/>
    <w:rsid w:val="00F5734D"/>
    <w:rsid w:val="00F574B3"/>
    <w:rsid w:val="00F575C4"/>
    <w:rsid w:val="00F5764E"/>
    <w:rsid w:val="00F5774F"/>
    <w:rsid w:val="00F577AF"/>
    <w:rsid w:val="00F57885"/>
    <w:rsid w:val="00F57B68"/>
    <w:rsid w:val="00F57CE7"/>
    <w:rsid w:val="00F57E55"/>
    <w:rsid w:val="00F6003A"/>
    <w:rsid w:val="00F600AD"/>
    <w:rsid w:val="00F601B7"/>
    <w:rsid w:val="00F601D4"/>
    <w:rsid w:val="00F60274"/>
    <w:rsid w:val="00F60309"/>
    <w:rsid w:val="00F604BB"/>
    <w:rsid w:val="00F606D3"/>
    <w:rsid w:val="00F6071E"/>
    <w:rsid w:val="00F607FC"/>
    <w:rsid w:val="00F6089D"/>
    <w:rsid w:val="00F609ED"/>
    <w:rsid w:val="00F60C4A"/>
    <w:rsid w:val="00F60F72"/>
    <w:rsid w:val="00F61079"/>
    <w:rsid w:val="00F610AF"/>
    <w:rsid w:val="00F61122"/>
    <w:rsid w:val="00F611D2"/>
    <w:rsid w:val="00F6127A"/>
    <w:rsid w:val="00F61436"/>
    <w:rsid w:val="00F61439"/>
    <w:rsid w:val="00F614EE"/>
    <w:rsid w:val="00F61533"/>
    <w:rsid w:val="00F61556"/>
    <w:rsid w:val="00F6159B"/>
    <w:rsid w:val="00F615CF"/>
    <w:rsid w:val="00F616D2"/>
    <w:rsid w:val="00F6185C"/>
    <w:rsid w:val="00F618AC"/>
    <w:rsid w:val="00F619C7"/>
    <w:rsid w:val="00F61A01"/>
    <w:rsid w:val="00F61A57"/>
    <w:rsid w:val="00F61CA3"/>
    <w:rsid w:val="00F61D72"/>
    <w:rsid w:val="00F61E0F"/>
    <w:rsid w:val="00F61EA5"/>
    <w:rsid w:val="00F61EF8"/>
    <w:rsid w:val="00F61F3E"/>
    <w:rsid w:val="00F6205C"/>
    <w:rsid w:val="00F620EC"/>
    <w:rsid w:val="00F62150"/>
    <w:rsid w:val="00F62298"/>
    <w:rsid w:val="00F62325"/>
    <w:rsid w:val="00F62358"/>
    <w:rsid w:val="00F6237A"/>
    <w:rsid w:val="00F62383"/>
    <w:rsid w:val="00F62391"/>
    <w:rsid w:val="00F62479"/>
    <w:rsid w:val="00F6248D"/>
    <w:rsid w:val="00F625E5"/>
    <w:rsid w:val="00F62623"/>
    <w:rsid w:val="00F62706"/>
    <w:rsid w:val="00F627BD"/>
    <w:rsid w:val="00F62801"/>
    <w:rsid w:val="00F62903"/>
    <w:rsid w:val="00F62943"/>
    <w:rsid w:val="00F6297E"/>
    <w:rsid w:val="00F629AE"/>
    <w:rsid w:val="00F62A35"/>
    <w:rsid w:val="00F62A72"/>
    <w:rsid w:val="00F62B49"/>
    <w:rsid w:val="00F62C6B"/>
    <w:rsid w:val="00F630AF"/>
    <w:rsid w:val="00F632BC"/>
    <w:rsid w:val="00F632DF"/>
    <w:rsid w:val="00F6335D"/>
    <w:rsid w:val="00F6337B"/>
    <w:rsid w:val="00F633C9"/>
    <w:rsid w:val="00F633CB"/>
    <w:rsid w:val="00F633E1"/>
    <w:rsid w:val="00F63492"/>
    <w:rsid w:val="00F634F4"/>
    <w:rsid w:val="00F63533"/>
    <w:rsid w:val="00F63584"/>
    <w:rsid w:val="00F63607"/>
    <w:rsid w:val="00F6360A"/>
    <w:rsid w:val="00F63831"/>
    <w:rsid w:val="00F63917"/>
    <w:rsid w:val="00F63A7C"/>
    <w:rsid w:val="00F63ACE"/>
    <w:rsid w:val="00F63AD6"/>
    <w:rsid w:val="00F63B54"/>
    <w:rsid w:val="00F63CDB"/>
    <w:rsid w:val="00F63E0E"/>
    <w:rsid w:val="00F63E43"/>
    <w:rsid w:val="00F63FDE"/>
    <w:rsid w:val="00F64058"/>
    <w:rsid w:val="00F64162"/>
    <w:rsid w:val="00F6419D"/>
    <w:rsid w:val="00F641EB"/>
    <w:rsid w:val="00F642C9"/>
    <w:rsid w:val="00F64396"/>
    <w:rsid w:val="00F643E0"/>
    <w:rsid w:val="00F64518"/>
    <w:rsid w:val="00F646C7"/>
    <w:rsid w:val="00F64720"/>
    <w:rsid w:val="00F6479F"/>
    <w:rsid w:val="00F64A37"/>
    <w:rsid w:val="00F64B8F"/>
    <w:rsid w:val="00F64B91"/>
    <w:rsid w:val="00F64C00"/>
    <w:rsid w:val="00F64C41"/>
    <w:rsid w:val="00F64C6F"/>
    <w:rsid w:val="00F64D6E"/>
    <w:rsid w:val="00F64D7A"/>
    <w:rsid w:val="00F64E5F"/>
    <w:rsid w:val="00F64EE6"/>
    <w:rsid w:val="00F64FD2"/>
    <w:rsid w:val="00F6510A"/>
    <w:rsid w:val="00F65125"/>
    <w:rsid w:val="00F6514A"/>
    <w:rsid w:val="00F65176"/>
    <w:rsid w:val="00F651D3"/>
    <w:rsid w:val="00F651E9"/>
    <w:rsid w:val="00F65242"/>
    <w:rsid w:val="00F652BC"/>
    <w:rsid w:val="00F65390"/>
    <w:rsid w:val="00F65591"/>
    <w:rsid w:val="00F65599"/>
    <w:rsid w:val="00F6563B"/>
    <w:rsid w:val="00F657B0"/>
    <w:rsid w:val="00F65805"/>
    <w:rsid w:val="00F6587C"/>
    <w:rsid w:val="00F65984"/>
    <w:rsid w:val="00F659DB"/>
    <w:rsid w:val="00F659DF"/>
    <w:rsid w:val="00F65A1F"/>
    <w:rsid w:val="00F65D3D"/>
    <w:rsid w:val="00F65D62"/>
    <w:rsid w:val="00F65E09"/>
    <w:rsid w:val="00F65EC1"/>
    <w:rsid w:val="00F65F1B"/>
    <w:rsid w:val="00F65F52"/>
    <w:rsid w:val="00F65F93"/>
    <w:rsid w:val="00F65FC1"/>
    <w:rsid w:val="00F660F2"/>
    <w:rsid w:val="00F660F8"/>
    <w:rsid w:val="00F6611F"/>
    <w:rsid w:val="00F66435"/>
    <w:rsid w:val="00F66492"/>
    <w:rsid w:val="00F66498"/>
    <w:rsid w:val="00F6653C"/>
    <w:rsid w:val="00F6656D"/>
    <w:rsid w:val="00F665D3"/>
    <w:rsid w:val="00F666BB"/>
    <w:rsid w:val="00F6685C"/>
    <w:rsid w:val="00F66885"/>
    <w:rsid w:val="00F668F8"/>
    <w:rsid w:val="00F66A79"/>
    <w:rsid w:val="00F66B43"/>
    <w:rsid w:val="00F66E4A"/>
    <w:rsid w:val="00F66F32"/>
    <w:rsid w:val="00F66FA6"/>
    <w:rsid w:val="00F66FDE"/>
    <w:rsid w:val="00F67118"/>
    <w:rsid w:val="00F671B4"/>
    <w:rsid w:val="00F672DC"/>
    <w:rsid w:val="00F67336"/>
    <w:rsid w:val="00F67381"/>
    <w:rsid w:val="00F67392"/>
    <w:rsid w:val="00F675EC"/>
    <w:rsid w:val="00F67622"/>
    <w:rsid w:val="00F6767F"/>
    <w:rsid w:val="00F67737"/>
    <w:rsid w:val="00F67A1F"/>
    <w:rsid w:val="00F67AA5"/>
    <w:rsid w:val="00F67B39"/>
    <w:rsid w:val="00F67B82"/>
    <w:rsid w:val="00F67B92"/>
    <w:rsid w:val="00F67C65"/>
    <w:rsid w:val="00F67DF1"/>
    <w:rsid w:val="00F67F4B"/>
    <w:rsid w:val="00F67F98"/>
    <w:rsid w:val="00F70119"/>
    <w:rsid w:val="00F7029F"/>
    <w:rsid w:val="00F7039F"/>
    <w:rsid w:val="00F703AE"/>
    <w:rsid w:val="00F7058A"/>
    <w:rsid w:val="00F7059D"/>
    <w:rsid w:val="00F70758"/>
    <w:rsid w:val="00F7076C"/>
    <w:rsid w:val="00F70815"/>
    <w:rsid w:val="00F70927"/>
    <w:rsid w:val="00F70B83"/>
    <w:rsid w:val="00F70BCD"/>
    <w:rsid w:val="00F70C85"/>
    <w:rsid w:val="00F70CD6"/>
    <w:rsid w:val="00F71055"/>
    <w:rsid w:val="00F712C9"/>
    <w:rsid w:val="00F712F2"/>
    <w:rsid w:val="00F714F7"/>
    <w:rsid w:val="00F71510"/>
    <w:rsid w:val="00F71594"/>
    <w:rsid w:val="00F71683"/>
    <w:rsid w:val="00F7172F"/>
    <w:rsid w:val="00F71748"/>
    <w:rsid w:val="00F71754"/>
    <w:rsid w:val="00F717DD"/>
    <w:rsid w:val="00F71862"/>
    <w:rsid w:val="00F718BC"/>
    <w:rsid w:val="00F71A1B"/>
    <w:rsid w:val="00F71B98"/>
    <w:rsid w:val="00F71CA6"/>
    <w:rsid w:val="00F71E0C"/>
    <w:rsid w:val="00F71E51"/>
    <w:rsid w:val="00F71ECC"/>
    <w:rsid w:val="00F71EE1"/>
    <w:rsid w:val="00F71F9C"/>
    <w:rsid w:val="00F71FC6"/>
    <w:rsid w:val="00F71FDB"/>
    <w:rsid w:val="00F721DB"/>
    <w:rsid w:val="00F7220A"/>
    <w:rsid w:val="00F724B5"/>
    <w:rsid w:val="00F725D3"/>
    <w:rsid w:val="00F72624"/>
    <w:rsid w:val="00F7267F"/>
    <w:rsid w:val="00F7273D"/>
    <w:rsid w:val="00F7274F"/>
    <w:rsid w:val="00F72910"/>
    <w:rsid w:val="00F72AAA"/>
    <w:rsid w:val="00F72B57"/>
    <w:rsid w:val="00F72C08"/>
    <w:rsid w:val="00F72C92"/>
    <w:rsid w:val="00F72F57"/>
    <w:rsid w:val="00F7305F"/>
    <w:rsid w:val="00F73081"/>
    <w:rsid w:val="00F73224"/>
    <w:rsid w:val="00F732C6"/>
    <w:rsid w:val="00F732E0"/>
    <w:rsid w:val="00F73363"/>
    <w:rsid w:val="00F734D2"/>
    <w:rsid w:val="00F734D4"/>
    <w:rsid w:val="00F736C0"/>
    <w:rsid w:val="00F73706"/>
    <w:rsid w:val="00F738DA"/>
    <w:rsid w:val="00F739D8"/>
    <w:rsid w:val="00F73A0F"/>
    <w:rsid w:val="00F73A82"/>
    <w:rsid w:val="00F73B20"/>
    <w:rsid w:val="00F73B95"/>
    <w:rsid w:val="00F73CD5"/>
    <w:rsid w:val="00F73D5E"/>
    <w:rsid w:val="00F73DFC"/>
    <w:rsid w:val="00F73F21"/>
    <w:rsid w:val="00F73F7F"/>
    <w:rsid w:val="00F740AA"/>
    <w:rsid w:val="00F7413B"/>
    <w:rsid w:val="00F742E9"/>
    <w:rsid w:val="00F74317"/>
    <w:rsid w:val="00F74466"/>
    <w:rsid w:val="00F74546"/>
    <w:rsid w:val="00F745F5"/>
    <w:rsid w:val="00F74619"/>
    <w:rsid w:val="00F7492A"/>
    <w:rsid w:val="00F74942"/>
    <w:rsid w:val="00F749EC"/>
    <w:rsid w:val="00F749F1"/>
    <w:rsid w:val="00F74B58"/>
    <w:rsid w:val="00F74BD6"/>
    <w:rsid w:val="00F74C09"/>
    <w:rsid w:val="00F74E19"/>
    <w:rsid w:val="00F75027"/>
    <w:rsid w:val="00F7513C"/>
    <w:rsid w:val="00F75173"/>
    <w:rsid w:val="00F75179"/>
    <w:rsid w:val="00F75249"/>
    <w:rsid w:val="00F7525F"/>
    <w:rsid w:val="00F752A2"/>
    <w:rsid w:val="00F752B6"/>
    <w:rsid w:val="00F752D1"/>
    <w:rsid w:val="00F75408"/>
    <w:rsid w:val="00F75621"/>
    <w:rsid w:val="00F756C6"/>
    <w:rsid w:val="00F757B2"/>
    <w:rsid w:val="00F757C4"/>
    <w:rsid w:val="00F75816"/>
    <w:rsid w:val="00F75966"/>
    <w:rsid w:val="00F75BCF"/>
    <w:rsid w:val="00F75C6C"/>
    <w:rsid w:val="00F760C1"/>
    <w:rsid w:val="00F76127"/>
    <w:rsid w:val="00F7612B"/>
    <w:rsid w:val="00F76595"/>
    <w:rsid w:val="00F766AF"/>
    <w:rsid w:val="00F766E4"/>
    <w:rsid w:val="00F7678C"/>
    <w:rsid w:val="00F76796"/>
    <w:rsid w:val="00F7679C"/>
    <w:rsid w:val="00F7688B"/>
    <w:rsid w:val="00F7694C"/>
    <w:rsid w:val="00F76968"/>
    <w:rsid w:val="00F76A7F"/>
    <w:rsid w:val="00F76AD7"/>
    <w:rsid w:val="00F76B8D"/>
    <w:rsid w:val="00F76D0C"/>
    <w:rsid w:val="00F76D86"/>
    <w:rsid w:val="00F76E4F"/>
    <w:rsid w:val="00F76E5D"/>
    <w:rsid w:val="00F76F72"/>
    <w:rsid w:val="00F76F8B"/>
    <w:rsid w:val="00F77099"/>
    <w:rsid w:val="00F771A9"/>
    <w:rsid w:val="00F7725E"/>
    <w:rsid w:val="00F7726F"/>
    <w:rsid w:val="00F77282"/>
    <w:rsid w:val="00F772EE"/>
    <w:rsid w:val="00F7737D"/>
    <w:rsid w:val="00F773E1"/>
    <w:rsid w:val="00F776DF"/>
    <w:rsid w:val="00F778BE"/>
    <w:rsid w:val="00F778F2"/>
    <w:rsid w:val="00F77A2C"/>
    <w:rsid w:val="00F77AA2"/>
    <w:rsid w:val="00F77AE4"/>
    <w:rsid w:val="00F77C88"/>
    <w:rsid w:val="00F77D48"/>
    <w:rsid w:val="00F77E51"/>
    <w:rsid w:val="00F77EBD"/>
    <w:rsid w:val="00F77EF6"/>
    <w:rsid w:val="00F77FC1"/>
    <w:rsid w:val="00F77FED"/>
    <w:rsid w:val="00F77FEE"/>
    <w:rsid w:val="00F8028F"/>
    <w:rsid w:val="00F80295"/>
    <w:rsid w:val="00F802C8"/>
    <w:rsid w:val="00F80505"/>
    <w:rsid w:val="00F8069F"/>
    <w:rsid w:val="00F8082F"/>
    <w:rsid w:val="00F80878"/>
    <w:rsid w:val="00F80B1D"/>
    <w:rsid w:val="00F80BAE"/>
    <w:rsid w:val="00F80BE7"/>
    <w:rsid w:val="00F80D14"/>
    <w:rsid w:val="00F80D16"/>
    <w:rsid w:val="00F80DFC"/>
    <w:rsid w:val="00F80E13"/>
    <w:rsid w:val="00F80ED4"/>
    <w:rsid w:val="00F8112A"/>
    <w:rsid w:val="00F812CB"/>
    <w:rsid w:val="00F81339"/>
    <w:rsid w:val="00F8144F"/>
    <w:rsid w:val="00F8145B"/>
    <w:rsid w:val="00F814B3"/>
    <w:rsid w:val="00F815DC"/>
    <w:rsid w:val="00F81669"/>
    <w:rsid w:val="00F8181A"/>
    <w:rsid w:val="00F8185E"/>
    <w:rsid w:val="00F818BE"/>
    <w:rsid w:val="00F819AD"/>
    <w:rsid w:val="00F81B44"/>
    <w:rsid w:val="00F81B72"/>
    <w:rsid w:val="00F81D7B"/>
    <w:rsid w:val="00F81DA8"/>
    <w:rsid w:val="00F81EF0"/>
    <w:rsid w:val="00F81FF7"/>
    <w:rsid w:val="00F82068"/>
    <w:rsid w:val="00F82185"/>
    <w:rsid w:val="00F82242"/>
    <w:rsid w:val="00F822D3"/>
    <w:rsid w:val="00F82387"/>
    <w:rsid w:val="00F823EE"/>
    <w:rsid w:val="00F824E9"/>
    <w:rsid w:val="00F8271C"/>
    <w:rsid w:val="00F8274C"/>
    <w:rsid w:val="00F827FA"/>
    <w:rsid w:val="00F828E8"/>
    <w:rsid w:val="00F82A7B"/>
    <w:rsid w:val="00F82AA9"/>
    <w:rsid w:val="00F82AFB"/>
    <w:rsid w:val="00F82B5E"/>
    <w:rsid w:val="00F82DF9"/>
    <w:rsid w:val="00F82E7E"/>
    <w:rsid w:val="00F82FA4"/>
    <w:rsid w:val="00F82FF0"/>
    <w:rsid w:val="00F830BB"/>
    <w:rsid w:val="00F830D2"/>
    <w:rsid w:val="00F831D3"/>
    <w:rsid w:val="00F83262"/>
    <w:rsid w:val="00F83352"/>
    <w:rsid w:val="00F83378"/>
    <w:rsid w:val="00F83739"/>
    <w:rsid w:val="00F8386B"/>
    <w:rsid w:val="00F838E8"/>
    <w:rsid w:val="00F83966"/>
    <w:rsid w:val="00F83A51"/>
    <w:rsid w:val="00F83B4E"/>
    <w:rsid w:val="00F83CD1"/>
    <w:rsid w:val="00F83CE0"/>
    <w:rsid w:val="00F83CE2"/>
    <w:rsid w:val="00F83CF5"/>
    <w:rsid w:val="00F83EAD"/>
    <w:rsid w:val="00F83EC0"/>
    <w:rsid w:val="00F83F6C"/>
    <w:rsid w:val="00F8406C"/>
    <w:rsid w:val="00F8408A"/>
    <w:rsid w:val="00F840CD"/>
    <w:rsid w:val="00F841B4"/>
    <w:rsid w:val="00F84318"/>
    <w:rsid w:val="00F8432E"/>
    <w:rsid w:val="00F8445C"/>
    <w:rsid w:val="00F8454E"/>
    <w:rsid w:val="00F847BE"/>
    <w:rsid w:val="00F848E7"/>
    <w:rsid w:val="00F8494E"/>
    <w:rsid w:val="00F84A3F"/>
    <w:rsid w:val="00F84B09"/>
    <w:rsid w:val="00F84B9A"/>
    <w:rsid w:val="00F84BF3"/>
    <w:rsid w:val="00F84C88"/>
    <w:rsid w:val="00F84CC5"/>
    <w:rsid w:val="00F84DA0"/>
    <w:rsid w:val="00F84E2A"/>
    <w:rsid w:val="00F84E4D"/>
    <w:rsid w:val="00F84E7E"/>
    <w:rsid w:val="00F850AE"/>
    <w:rsid w:val="00F851D9"/>
    <w:rsid w:val="00F85225"/>
    <w:rsid w:val="00F852C0"/>
    <w:rsid w:val="00F852E1"/>
    <w:rsid w:val="00F853B7"/>
    <w:rsid w:val="00F8543B"/>
    <w:rsid w:val="00F8552A"/>
    <w:rsid w:val="00F855A7"/>
    <w:rsid w:val="00F85667"/>
    <w:rsid w:val="00F856C9"/>
    <w:rsid w:val="00F857C0"/>
    <w:rsid w:val="00F85858"/>
    <w:rsid w:val="00F85860"/>
    <w:rsid w:val="00F8594D"/>
    <w:rsid w:val="00F85967"/>
    <w:rsid w:val="00F85AD1"/>
    <w:rsid w:val="00F85B15"/>
    <w:rsid w:val="00F85BCE"/>
    <w:rsid w:val="00F85C13"/>
    <w:rsid w:val="00F85C65"/>
    <w:rsid w:val="00F85E21"/>
    <w:rsid w:val="00F85E37"/>
    <w:rsid w:val="00F85E8F"/>
    <w:rsid w:val="00F85F97"/>
    <w:rsid w:val="00F860AB"/>
    <w:rsid w:val="00F8611D"/>
    <w:rsid w:val="00F8616F"/>
    <w:rsid w:val="00F8631D"/>
    <w:rsid w:val="00F86350"/>
    <w:rsid w:val="00F864DD"/>
    <w:rsid w:val="00F8653D"/>
    <w:rsid w:val="00F8657E"/>
    <w:rsid w:val="00F865B8"/>
    <w:rsid w:val="00F8660C"/>
    <w:rsid w:val="00F86630"/>
    <w:rsid w:val="00F866ED"/>
    <w:rsid w:val="00F86700"/>
    <w:rsid w:val="00F867EA"/>
    <w:rsid w:val="00F8680A"/>
    <w:rsid w:val="00F86A7D"/>
    <w:rsid w:val="00F86AB4"/>
    <w:rsid w:val="00F86DF2"/>
    <w:rsid w:val="00F86DFE"/>
    <w:rsid w:val="00F86EFC"/>
    <w:rsid w:val="00F86FAD"/>
    <w:rsid w:val="00F86FB3"/>
    <w:rsid w:val="00F8715C"/>
    <w:rsid w:val="00F871A0"/>
    <w:rsid w:val="00F87434"/>
    <w:rsid w:val="00F87469"/>
    <w:rsid w:val="00F874C7"/>
    <w:rsid w:val="00F875F2"/>
    <w:rsid w:val="00F876C0"/>
    <w:rsid w:val="00F876E9"/>
    <w:rsid w:val="00F8773E"/>
    <w:rsid w:val="00F8773F"/>
    <w:rsid w:val="00F87788"/>
    <w:rsid w:val="00F87832"/>
    <w:rsid w:val="00F87A1C"/>
    <w:rsid w:val="00F87B0D"/>
    <w:rsid w:val="00F87BB3"/>
    <w:rsid w:val="00F87BBD"/>
    <w:rsid w:val="00F87CAA"/>
    <w:rsid w:val="00F87CBA"/>
    <w:rsid w:val="00F87D63"/>
    <w:rsid w:val="00F87F85"/>
    <w:rsid w:val="00F87FC8"/>
    <w:rsid w:val="00F9008D"/>
    <w:rsid w:val="00F90108"/>
    <w:rsid w:val="00F90124"/>
    <w:rsid w:val="00F901CC"/>
    <w:rsid w:val="00F90214"/>
    <w:rsid w:val="00F9021E"/>
    <w:rsid w:val="00F903A3"/>
    <w:rsid w:val="00F904EF"/>
    <w:rsid w:val="00F906BD"/>
    <w:rsid w:val="00F906E6"/>
    <w:rsid w:val="00F90861"/>
    <w:rsid w:val="00F9097D"/>
    <w:rsid w:val="00F909F1"/>
    <w:rsid w:val="00F90A97"/>
    <w:rsid w:val="00F90B13"/>
    <w:rsid w:val="00F90B46"/>
    <w:rsid w:val="00F90C0D"/>
    <w:rsid w:val="00F90C8A"/>
    <w:rsid w:val="00F90DAB"/>
    <w:rsid w:val="00F91035"/>
    <w:rsid w:val="00F9106E"/>
    <w:rsid w:val="00F910D8"/>
    <w:rsid w:val="00F910DB"/>
    <w:rsid w:val="00F910E7"/>
    <w:rsid w:val="00F9114A"/>
    <w:rsid w:val="00F911FC"/>
    <w:rsid w:val="00F914FC"/>
    <w:rsid w:val="00F9156A"/>
    <w:rsid w:val="00F917A2"/>
    <w:rsid w:val="00F917C7"/>
    <w:rsid w:val="00F917CF"/>
    <w:rsid w:val="00F918C1"/>
    <w:rsid w:val="00F919A8"/>
    <w:rsid w:val="00F91C06"/>
    <w:rsid w:val="00F91D33"/>
    <w:rsid w:val="00F91D43"/>
    <w:rsid w:val="00F91E77"/>
    <w:rsid w:val="00F91F72"/>
    <w:rsid w:val="00F920D4"/>
    <w:rsid w:val="00F92138"/>
    <w:rsid w:val="00F921E5"/>
    <w:rsid w:val="00F9226A"/>
    <w:rsid w:val="00F9246D"/>
    <w:rsid w:val="00F9249B"/>
    <w:rsid w:val="00F924A8"/>
    <w:rsid w:val="00F925A1"/>
    <w:rsid w:val="00F9290C"/>
    <w:rsid w:val="00F92AD2"/>
    <w:rsid w:val="00F92C8C"/>
    <w:rsid w:val="00F92CC4"/>
    <w:rsid w:val="00F92CC8"/>
    <w:rsid w:val="00F92D75"/>
    <w:rsid w:val="00F92DA9"/>
    <w:rsid w:val="00F92DDA"/>
    <w:rsid w:val="00F92DED"/>
    <w:rsid w:val="00F92F74"/>
    <w:rsid w:val="00F92F82"/>
    <w:rsid w:val="00F92FB5"/>
    <w:rsid w:val="00F9314C"/>
    <w:rsid w:val="00F9330B"/>
    <w:rsid w:val="00F93480"/>
    <w:rsid w:val="00F9349F"/>
    <w:rsid w:val="00F93566"/>
    <w:rsid w:val="00F93572"/>
    <w:rsid w:val="00F935BA"/>
    <w:rsid w:val="00F93608"/>
    <w:rsid w:val="00F936FB"/>
    <w:rsid w:val="00F9370D"/>
    <w:rsid w:val="00F93715"/>
    <w:rsid w:val="00F937ED"/>
    <w:rsid w:val="00F937F2"/>
    <w:rsid w:val="00F938AC"/>
    <w:rsid w:val="00F938C1"/>
    <w:rsid w:val="00F939D9"/>
    <w:rsid w:val="00F93A41"/>
    <w:rsid w:val="00F93C0D"/>
    <w:rsid w:val="00F93FC1"/>
    <w:rsid w:val="00F94002"/>
    <w:rsid w:val="00F94017"/>
    <w:rsid w:val="00F941BF"/>
    <w:rsid w:val="00F94302"/>
    <w:rsid w:val="00F9450B"/>
    <w:rsid w:val="00F945A7"/>
    <w:rsid w:val="00F94617"/>
    <w:rsid w:val="00F94669"/>
    <w:rsid w:val="00F9466B"/>
    <w:rsid w:val="00F94671"/>
    <w:rsid w:val="00F94892"/>
    <w:rsid w:val="00F948FC"/>
    <w:rsid w:val="00F94962"/>
    <w:rsid w:val="00F949CF"/>
    <w:rsid w:val="00F94A3D"/>
    <w:rsid w:val="00F94A3E"/>
    <w:rsid w:val="00F94C2E"/>
    <w:rsid w:val="00F94C3F"/>
    <w:rsid w:val="00F94C50"/>
    <w:rsid w:val="00F94CDC"/>
    <w:rsid w:val="00F94D43"/>
    <w:rsid w:val="00F94E59"/>
    <w:rsid w:val="00F9521B"/>
    <w:rsid w:val="00F9559F"/>
    <w:rsid w:val="00F95679"/>
    <w:rsid w:val="00F9591B"/>
    <w:rsid w:val="00F95973"/>
    <w:rsid w:val="00F95984"/>
    <w:rsid w:val="00F95AEC"/>
    <w:rsid w:val="00F95E33"/>
    <w:rsid w:val="00F95FD4"/>
    <w:rsid w:val="00F95FF8"/>
    <w:rsid w:val="00F9612E"/>
    <w:rsid w:val="00F96288"/>
    <w:rsid w:val="00F962C8"/>
    <w:rsid w:val="00F9652E"/>
    <w:rsid w:val="00F96662"/>
    <w:rsid w:val="00F968D3"/>
    <w:rsid w:val="00F96A9D"/>
    <w:rsid w:val="00F96C67"/>
    <w:rsid w:val="00F96CD2"/>
    <w:rsid w:val="00F96DA3"/>
    <w:rsid w:val="00F96E24"/>
    <w:rsid w:val="00F96F85"/>
    <w:rsid w:val="00F972CA"/>
    <w:rsid w:val="00F97488"/>
    <w:rsid w:val="00F974A0"/>
    <w:rsid w:val="00F974E8"/>
    <w:rsid w:val="00F976F7"/>
    <w:rsid w:val="00F9776A"/>
    <w:rsid w:val="00F97787"/>
    <w:rsid w:val="00F9788F"/>
    <w:rsid w:val="00F978BD"/>
    <w:rsid w:val="00F979D6"/>
    <w:rsid w:val="00F97A78"/>
    <w:rsid w:val="00F97AF3"/>
    <w:rsid w:val="00F97D78"/>
    <w:rsid w:val="00F97FDD"/>
    <w:rsid w:val="00FA002B"/>
    <w:rsid w:val="00FA005C"/>
    <w:rsid w:val="00FA01E2"/>
    <w:rsid w:val="00FA025A"/>
    <w:rsid w:val="00FA02E6"/>
    <w:rsid w:val="00FA035E"/>
    <w:rsid w:val="00FA0396"/>
    <w:rsid w:val="00FA03A6"/>
    <w:rsid w:val="00FA049F"/>
    <w:rsid w:val="00FA0565"/>
    <w:rsid w:val="00FA05C9"/>
    <w:rsid w:val="00FA078C"/>
    <w:rsid w:val="00FA07C0"/>
    <w:rsid w:val="00FA08D8"/>
    <w:rsid w:val="00FA08F7"/>
    <w:rsid w:val="00FA0917"/>
    <w:rsid w:val="00FA0A94"/>
    <w:rsid w:val="00FA0AD5"/>
    <w:rsid w:val="00FA0D66"/>
    <w:rsid w:val="00FA11E5"/>
    <w:rsid w:val="00FA1244"/>
    <w:rsid w:val="00FA1383"/>
    <w:rsid w:val="00FA139A"/>
    <w:rsid w:val="00FA13FD"/>
    <w:rsid w:val="00FA1419"/>
    <w:rsid w:val="00FA1531"/>
    <w:rsid w:val="00FA1551"/>
    <w:rsid w:val="00FA15DB"/>
    <w:rsid w:val="00FA15DD"/>
    <w:rsid w:val="00FA16DF"/>
    <w:rsid w:val="00FA178F"/>
    <w:rsid w:val="00FA17D8"/>
    <w:rsid w:val="00FA1854"/>
    <w:rsid w:val="00FA18DD"/>
    <w:rsid w:val="00FA1A6D"/>
    <w:rsid w:val="00FA1BB8"/>
    <w:rsid w:val="00FA1CF1"/>
    <w:rsid w:val="00FA1E74"/>
    <w:rsid w:val="00FA2101"/>
    <w:rsid w:val="00FA22D8"/>
    <w:rsid w:val="00FA23C2"/>
    <w:rsid w:val="00FA23F7"/>
    <w:rsid w:val="00FA23FB"/>
    <w:rsid w:val="00FA241C"/>
    <w:rsid w:val="00FA24D8"/>
    <w:rsid w:val="00FA257A"/>
    <w:rsid w:val="00FA26E1"/>
    <w:rsid w:val="00FA2AA3"/>
    <w:rsid w:val="00FA2B3A"/>
    <w:rsid w:val="00FA2BA2"/>
    <w:rsid w:val="00FA2BE5"/>
    <w:rsid w:val="00FA2BFF"/>
    <w:rsid w:val="00FA2CA9"/>
    <w:rsid w:val="00FA2D64"/>
    <w:rsid w:val="00FA2DB4"/>
    <w:rsid w:val="00FA2F75"/>
    <w:rsid w:val="00FA2FFD"/>
    <w:rsid w:val="00FA3081"/>
    <w:rsid w:val="00FA30E1"/>
    <w:rsid w:val="00FA3194"/>
    <w:rsid w:val="00FA3453"/>
    <w:rsid w:val="00FA3488"/>
    <w:rsid w:val="00FA3557"/>
    <w:rsid w:val="00FA3574"/>
    <w:rsid w:val="00FA3593"/>
    <w:rsid w:val="00FA3764"/>
    <w:rsid w:val="00FA38C1"/>
    <w:rsid w:val="00FA38C7"/>
    <w:rsid w:val="00FA394B"/>
    <w:rsid w:val="00FA3AB7"/>
    <w:rsid w:val="00FA3AEE"/>
    <w:rsid w:val="00FA3D0C"/>
    <w:rsid w:val="00FA3E9D"/>
    <w:rsid w:val="00FA3EC8"/>
    <w:rsid w:val="00FA3EE4"/>
    <w:rsid w:val="00FA3F8E"/>
    <w:rsid w:val="00FA404E"/>
    <w:rsid w:val="00FA4065"/>
    <w:rsid w:val="00FA40C5"/>
    <w:rsid w:val="00FA4207"/>
    <w:rsid w:val="00FA4214"/>
    <w:rsid w:val="00FA4412"/>
    <w:rsid w:val="00FA4500"/>
    <w:rsid w:val="00FA454E"/>
    <w:rsid w:val="00FA45E3"/>
    <w:rsid w:val="00FA47CA"/>
    <w:rsid w:val="00FA483A"/>
    <w:rsid w:val="00FA488C"/>
    <w:rsid w:val="00FA48BD"/>
    <w:rsid w:val="00FA499F"/>
    <w:rsid w:val="00FA4C5C"/>
    <w:rsid w:val="00FA4D7F"/>
    <w:rsid w:val="00FA4DD5"/>
    <w:rsid w:val="00FA4E60"/>
    <w:rsid w:val="00FA4EDF"/>
    <w:rsid w:val="00FA5093"/>
    <w:rsid w:val="00FA5183"/>
    <w:rsid w:val="00FA5494"/>
    <w:rsid w:val="00FA550E"/>
    <w:rsid w:val="00FA57A9"/>
    <w:rsid w:val="00FA57F7"/>
    <w:rsid w:val="00FA58BA"/>
    <w:rsid w:val="00FA5951"/>
    <w:rsid w:val="00FA59A3"/>
    <w:rsid w:val="00FA5A72"/>
    <w:rsid w:val="00FA5AFF"/>
    <w:rsid w:val="00FA5B68"/>
    <w:rsid w:val="00FA5BD8"/>
    <w:rsid w:val="00FA5D2A"/>
    <w:rsid w:val="00FA5DF9"/>
    <w:rsid w:val="00FA5E11"/>
    <w:rsid w:val="00FA6190"/>
    <w:rsid w:val="00FA61F1"/>
    <w:rsid w:val="00FA6225"/>
    <w:rsid w:val="00FA62A7"/>
    <w:rsid w:val="00FA6366"/>
    <w:rsid w:val="00FA6372"/>
    <w:rsid w:val="00FA63A3"/>
    <w:rsid w:val="00FA64EA"/>
    <w:rsid w:val="00FA6546"/>
    <w:rsid w:val="00FA6602"/>
    <w:rsid w:val="00FA6760"/>
    <w:rsid w:val="00FA6816"/>
    <w:rsid w:val="00FA68E5"/>
    <w:rsid w:val="00FA6953"/>
    <w:rsid w:val="00FA6981"/>
    <w:rsid w:val="00FA6B7B"/>
    <w:rsid w:val="00FA6BE5"/>
    <w:rsid w:val="00FA6D33"/>
    <w:rsid w:val="00FA6D75"/>
    <w:rsid w:val="00FA6D89"/>
    <w:rsid w:val="00FA6E51"/>
    <w:rsid w:val="00FA6EB0"/>
    <w:rsid w:val="00FA6FC5"/>
    <w:rsid w:val="00FA70C9"/>
    <w:rsid w:val="00FA71D0"/>
    <w:rsid w:val="00FA71EF"/>
    <w:rsid w:val="00FA730E"/>
    <w:rsid w:val="00FA7634"/>
    <w:rsid w:val="00FA768C"/>
    <w:rsid w:val="00FA76A8"/>
    <w:rsid w:val="00FA779C"/>
    <w:rsid w:val="00FA77AD"/>
    <w:rsid w:val="00FA78F1"/>
    <w:rsid w:val="00FA78F3"/>
    <w:rsid w:val="00FA7986"/>
    <w:rsid w:val="00FA7A3F"/>
    <w:rsid w:val="00FA7CB1"/>
    <w:rsid w:val="00FA7DAA"/>
    <w:rsid w:val="00FA7DE3"/>
    <w:rsid w:val="00FA7E5D"/>
    <w:rsid w:val="00FA7E60"/>
    <w:rsid w:val="00FA7EA4"/>
    <w:rsid w:val="00FA7EDD"/>
    <w:rsid w:val="00FA7F75"/>
    <w:rsid w:val="00FA7F85"/>
    <w:rsid w:val="00FB0062"/>
    <w:rsid w:val="00FB0084"/>
    <w:rsid w:val="00FB00C2"/>
    <w:rsid w:val="00FB016C"/>
    <w:rsid w:val="00FB019C"/>
    <w:rsid w:val="00FB034E"/>
    <w:rsid w:val="00FB050D"/>
    <w:rsid w:val="00FB05CC"/>
    <w:rsid w:val="00FB05CD"/>
    <w:rsid w:val="00FB06E2"/>
    <w:rsid w:val="00FB0788"/>
    <w:rsid w:val="00FB0804"/>
    <w:rsid w:val="00FB0904"/>
    <w:rsid w:val="00FB0A56"/>
    <w:rsid w:val="00FB0B62"/>
    <w:rsid w:val="00FB0C01"/>
    <w:rsid w:val="00FB0C61"/>
    <w:rsid w:val="00FB0D49"/>
    <w:rsid w:val="00FB0DAF"/>
    <w:rsid w:val="00FB0DF2"/>
    <w:rsid w:val="00FB0E3E"/>
    <w:rsid w:val="00FB0E7A"/>
    <w:rsid w:val="00FB0F4D"/>
    <w:rsid w:val="00FB0FAA"/>
    <w:rsid w:val="00FB1124"/>
    <w:rsid w:val="00FB11CC"/>
    <w:rsid w:val="00FB1258"/>
    <w:rsid w:val="00FB12CD"/>
    <w:rsid w:val="00FB1403"/>
    <w:rsid w:val="00FB14D5"/>
    <w:rsid w:val="00FB16F8"/>
    <w:rsid w:val="00FB1ABA"/>
    <w:rsid w:val="00FB1ABF"/>
    <w:rsid w:val="00FB1AF6"/>
    <w:rsid w:val="00FB1B22"/>
    <w:rsid w:val="00FB1BD7"/>
    <w:rsid w:val="00FB1D3E"/>
    <w:rsid w:val="00FB1D44"/>
    <w:rsid w:val="00FB1D5B"/>
    <w:rsid w:val="00FB1D6D"/>
    <w:rsid w:val="00FB207B"/>
    <w:rsid w:val="00FB229F"/>
    <w:rsid w:val="00FB231C"/>
    <w:rsid w:val="00FB2399"/>
    <w:rsid w:val="00FB2513"/>
    <w:rsid w:val="00FB2522"/>
    <w:rsid w:val="00FB2577"/>
    <w:rsid w:val="00FB259C"/>
    <w:rsid w:val="00FB2634"/>
    <w:rsid w:val="00FB2906"/>
    <w:rsid w:val="00FB2924"/>
    <w:rsid w:val="00FB29F8"/>
    <w:rsid w:val="00FB2C2E"/>
    <w:rsid w:val="00FB2C56"/>
    <w:rsid w:val="00FB2C57"/>
    <w:rsid w:val="00FB2D4B"/>
    <w:rsid w:val="00FB2DC1"/>
    <w:rsid w:val="00FB2F7F"/>
    <w:rsid w:val="00FB3030"/>
    <w:rsid w:val="00FB30C0"/>
    <w:rsid w:val="00FB315D"/>
    <w:rsid w:val="00FB3182"/>
    <w:rsid w:val="00FB3361"/>
    <w:rsid w:val="00FB33E2"/>
    <w:rsid w:val="00FB33F5"/>
    <w:rsid w:val="00FB3426"/>
    <w:rsid w:val="00FB3487"/>
    <w:rsid w:val="00FB34C4"/>
    <w:rsid w:val="00FB3615"/>
    <w:rsid w:val="00FB363B"/>
    <w:rsid w:val="00FB3677"/>
    <w:rsid w:val="00FB3778"/>
    <w:rsid w:val="00FB3800"/>
    <w:rsid w:val="00FB3816"/>
    <w:rsid w:val="00FB3974"/>
    <w:rsid w:val="00FB39E3"/>
    <w:rsid w:val="00FB39EE"/>
    <w:rsid w:val="00FB3B44"/>
    <w:rsid w:val="00FB3B73"/>
    <w:rsid w:val="00FB3CA4"/>
    <w:rsid w:val="00FB3E7F"/>
    <w:rsid w:val="00FB3E90"/>
    <w:rsid w:val="00FB40D9"/>
    <w:rsid w:val="00FB41B8"/>
    <w:rsid w:val="00FB4205"/>
    <w:rsid w:val="00FB421A"/>
    <w:rsid w:val="00FB429C"/>
    <w:rsid w:val="00FB431B"/>
    <w:rsid w:val="00FB440C"/>
    <w:rsid w:val="00FB444F"/>
    <w:rsid w:val="00FB4866"/>
    <w:rsid w:val="00FB48C5"/>
    <w:rsid w:val="00FB4AE3"/>
    <w:rsid w:val="00FB4C4B"/>
    <w:rsid w:val="00FB4D23"/>
    <w:rsid w:val="00FB4DAB"/>
    <w:rsid w:val="00FB5109"/>
    <w:rsid w:val="00FB51F7"/>
    <w:rsid w:val="00FB527F"/>
    <w:rsid w:val="00FB533D"/>
    <w:rsid w:val="00FB53AC"/>
    <w:rsid w:val="00FB53FC"/>
    <w:rsid w:val="00FB542F"/>
    <w:rsid w:val="00FB544E"/>
    <w:rsid w:val="00FB55EA"/>
    <w:rsid w:val="00FB5819"/>
    <w:rsid w:val="00FB5C7A"/>
    <w:rsid w:val="00FB5D7F"/>
    <w:rsid w:val="00FB5DB6"/>
    <w:rsid w:val="00FB5E2C"/>
    <w:rsid w:val="00FB6183"/>
    <w:rsid w:val="00FB62DB"/>
    <w:rsid w:val="00FB63C8"/>
    <w:rsid w:val="00FB63DC"/>
    <w:rsid w:val="00FB6586"/>
    <w:rsid w:val="00FB65BD"/>
    <w:rsid w:val="00FB668E"/>
    <w:rsid w:val="00FB66C6"/>
    <w:rsid w:val="00FB6712"/>
    <w:rsid w:val="00FB67A0"/>
    <w:rsid w:val="00FB6882"/>
    <w:rsid w:val="00FB68BA"/>
    <w:rsid w:val="00FB68C6"/>
    <w:rsid w:val="00FB68F8"/>
    <w:rsid w:val="00FB6A04"/>
    <w:rsid w:val="00FB6D21"/>
    <w:rsid w:val="00FB6D5B"/>
    <w:rsid w:val="00FB6F9C"/>
    <w:rsid w:val="00FB7004"/>
    <w:rsid w:val="00FB72AC"/>
    <w:rsid w:val="00FB72EF"/>
    <w:rsid w:val="00FB73F2"/>
    <w:rsid w:val="00FB7400"/>
    <w:rsid w:val="00FB7481"/>
    <w:rsid w:val="00FB7520"/>
    <w:rsid w:val="00FB7644"/>
    <w:rsid w:val="00FB766B"/>
    <w:rsid w:val="00FB76C5"/>
    <w:rsid w:val="00FB76D1"/>
    <w:rsid w:val="00FB77F2"/>
    <w:rsid w:val="00FB7870"/>
    <w:rsid w:val="00FB7B31"/>
    <w:rsid w:val="00FB7BD2"/>
    <w:rsid w:val="00FB7E46"/>
    <w:rsid w:val="00FBCE42"/>
    <w:rsid w:val="00FC00BC"/>
    <w:rsid w:val="00FC010F"/>
    <w:rsid w:val="00FC014F"/>
    <w:rsid w:val="00FC0220"/>
    <w:rsid w:val="00FC04F5"/>
    <w:rsid w:val="00FC0620"/>
    <w:rsid w:val="00FC06FA"/>
    <w:rsid w:val="00FC0765"/>
    <w:rsid w:val="00FC0866"/>
    <w:rsid w:val="00FC08FF"/>
    <w:rsid w:val="00FC098B"/>
    <w:rsid w:val="00FC0B19"/>
    <w:rsid w:val="00FC0CF9"/>
    <w:rsid w:val="00FC0E0D"/>
    <w:rsid w:val="00FC0F21"/>
    <w:rsid w:val="00FC0FFC"/>
    <w:rsid w:val="00FC0FFF"/>
    <w:rsid w:val="00FC1174"/>
    <w:rsid w:val="00FC12BF"/>
    <w:rsid w:val="00FC13C7"/>
    <w:rsid w:val="00FC13F2"/>
    <w:rsid w:val="00FC145E"/>
    <w:rsid w:val="00FC14DF"/>
    <w:rsid w:val="00FC1986"/>
    <w:rsid w:val="00FC1A3F"/>
    <w:rsid w:val="00FC1ACA"/>
    <w:rsid w:val="00FC1B03"/>
    <w:rsid w:val="00FC1CAB"/>
    <w:rsid w:val="00FC1DB8"/>
    <w:rsid w:val="00FC1EC8"/>
    <w:rsid w:val="00FC204D"/>
    <w:rsid w:val="00FC21EC"/>
    <w:rsid w:val="00FC22B6"/>
    <w:rsid w:val="00FC22C1"/>
    <w:rsid w:val="00FC248B"/>
    <w:rsid w:val="00FC258F"/>
    <w:rsid w:val="00FC269E"/>
    <w:rsid w:val="00FC2742"/>
    <w:rsid w:val="00FC2758"/>
    <w:rsid w:val="00FC282E"/>
    <w:rsid w:val="00FC28AC"/>
    <w:rsid w:val="00FC2A39"/>
    <w:rsid w:val="00FC2AE1"/>
    <w:rsid w:val="00FC2C69"/>
    <w:rsid w:val="00FC2CA9"/>
    <w:rsid w:val="00FC2EFA"/>
    <w:rsid w:val="00FC2F1C"/>
    <w:rsid w:val="00FC2F89"/>
    <w:rsid w:val="00FC300D"/>
    <w:rsid w:val="00FC30C6"/>
    <w:rsid w:val="00FC30FF"/>
    <w:rsid w:val="00FC310C"/>
    <w:rsid w:val="00FC317D"/>
    <w:rsid w:val="00FC340F"/>
    <w:rsid w:val="00FC35D8"/>
    <w:rsid w:val="00FC35F0"/>
    <w:rsid w:val="00FC35F7"/>
    <w:rsid w:val="00FC3666"/>
    <w:rsid w:val="00FC3853"/>
    <w:rsid w:val="00FC38F8"/>
    <w:rsid w:val="00FC3983"/>
    <w:rsid w:val="00FC3B7E"/>
    <w:rsid w:val="00FC3BF2"/>
    <w:rsid w:val="00FC3C6E"/>
    <w:rsid w:val="00FC3CDC"/>
    <w:rsid w:val="00FC3D81"/>
    <w:rsid w:val="00FC3E55"/>
    <w:rsid w:val="00FC4217"/>
    <w:rsid w:val="00FC45E9"/>
    <w:rsid w:val="00FC460E"/>
    <w:rsid w:val="00FC466A"/>
    <w:rsid w:val="00FC4673"/>
    <w:rsid w:val="00FC4716"/>
    <w:rsid w:val="00FC4770"/>
    <w:rsid w:val="00FC47E5"/>
    <w:rsid w:val="00FC495C"/>
    <w:rsid w:val="00FC49AB"/>
    <w:rsid w:val="00FC4B58"/>
    <w:rsid w:val="00FC4BF6"/>
    <w:rsid w:val="00FC4C90"/>
    <w:rsid w:val="00FC4C95"/>
    <w:rsid w:val="00FC4C9E"/>
    <w:rsid w:val="00FC4CD4"/>
    <w:rsid w:val="00FC4EF4"/>
    <w:rsid w:val="00FC4F4A"/>
    <w:rsid w:val="00FC5069"/>
    <w:rsid w:val="00FC507C"/>
    <w:rsid w:val="00FC51EF"/>
    <w:rsid w:val="00FC524A"/>
    <w:rsid w:val="00FC537E"/>
    <w:rsid w:val="00FC54CD"/>
    <w:rsid w:val="00FC5517"/>
    <w:rsid w:val="00FC5590"/>
    <w:rsid w:val="00FC5612"/>
    <w:rsid w:val="00FC573B"/>
    <w:rsid w:val="00FC57E6"/>
    <w:rsid w:val="00FC57FB"/>
    <w:rsid w:val="00FC5908"/>
    <w:rsid w:val="00FC5976"/>
    <w:rsid w:val="00FC59F5"/>
    <w:rsid w:val="00FC5AB1"/>
    <w:rsid w:val="00FC5C81"/>
    <w:rsid w:val="00FC5CC2"/>
    <w:rsid w:val="00FC5CEE"/>
    <w:rsid w:val="00FC5D55"/>
    <w:rsid w:val="00FC5EF6"/>
    <w:rsid w:val="00FC5F5D"/>
    <w:rsid w:val="00FC5F9E"/>
    <w:rsid w:val="00FC6016"/>
    <w:rsid w:val="00FC618D"/>
    <w:rsid w:val="00FC627D"/>
    <w:rsid w:val="00FC62C7"/>
    <w:rsid w:val="00FC6438"/>
    <w:rsid w:val="00FC6456"/>
    <w:rsid w:val="00FC647B"/>
    <w:rsid w:val="00FC6480"/>
    <w:rsid w:val="00FC64B8"/>
    <w:rsid w:val="00FC673E"/>
    <w:rsid w:val="00FC6849"/>
    <w:rsid w:val="00FC6A0D"/>
    <w:rsid w:val="00FC6BB7"/>
    <w:rsid w:val="00FC6BBE"/>
    <w:rsid w:val="00FC6C39"/>
    <w:rsid w:val="00FC6C4A"/>
    <w:rsid w:val="00FC6D76"/>
    <w:rsid w:val="00FC6E49"/>
    <w:rsid w:val="00FC6ECB"/>
    <w:rsid w:val="00FC6F4A"/>
    <w:rsid w:val="00FC6FE0"/>
    <w:rsid w:val="00FC70D6"/>
    <w:rsid w:val="00FC719C"/>
    <w:rsid w:val="00FC7345"/>
    <w:rsid w:val="00FC741D"/>
    <w:rsid w:val="00FC7430"/>
    <w:rsid w:val="00FC7567"/>
    <w:rsid w:val="00FC761B"/>
    <w:rsid w:val="00FC76A5"/>
    <w:rsid w:val="00FC7753"/>
    <w:rsid w:val="00FC776E"/>
    <w:rsid w:val="00FC7798"/>
    <w:rsid w:val="00FC77A7"/>
    <w:rsid w:val="00FC7909"/>
    <w:rsid w:val="00FC791E"/>
    <w:rsid w:val="00FC7A0E"/>
    <w:rsid w:val="00FC7A58"/>
    <w:rsid w:val="00FC7BEC"/>
    <w:rsid w:val="00FC7CD2"/>
    <w:rsid w:val="00FC7EA5"/>
    <w:rsid w:val="00FC7FE3"/>
    <w:rsid w:val="00FD00A8"/>
    <w:rsid w:val="00FD0224"/>
    <w:rsid w:val="00FD02C2"/>
    <w:rsid w:val="00FD02C8"/>
    <w:rsid w:val="00FD032D"/>
    <w:rsid w:val="00FD0451"/>
    <w:rsid w:val="00FD047F"/>
    <w:rsid w:val="00FD0504"/>
    <w:rsid w:val="00FD0592"/>
    <w:rsid w:val="00FD05B7"/>
    <w:rsid w:val="00FD05DB"/>
    <w:rsid w:val="00FD0687"/>
    <w:rsid w:val="00FD06F5"/>
    <w:rsid w:val="00FD076E"/>
    <w:rsid w:val="00FD0886"/>
    <w:rsid w:val="00FD08ED"/>
    <w:rsid w:val="00FD096C"/>
    <w:rsid w:val="00FD0BB5"/>
    <w:rsid w:val="00FD0C8F"/>
    <w:rsid w:val="00FD0C93"/>
    <w:rsid w:val="00FD0CA3"/>
    <w:rsid w:val="00FD0D8B"/>
    <w:rsid w:val="00FD0F01"/>
    <w:rsid w:val="00FD0F7C"/>
    <w:rsid w:val="00FD1017"/>
    <w:rsid w:val="00FD102C"/>
    <w:rsid w:val="00FD10BA"/>
    <w:rsid w:val="00FD1174"/>
    <w:rsid w:val="00FD12EA"/>
    <w:rsid w:val="00FD13C1"/>
    <w:rsid w:val="00FD13EA"/>
    <w:rsid w:val="00FD1474"/>
    <w:rsid w:val="00FD1528"/>
    <w:rsid w:val="00FD1578"/>
    <w:rsid w:val="00FD15BD"/>
    <w:rsid w:val="00FD17AA"/>
    <w:rsid w:val="00FD1825"/>
    <w:rsid w:val="00FD187E"/>
    <w:rsid w:val="00FD18C6"/>
    <w:rsid w:val="00FD1914"/>
    <w:rsid w:val="00FD1972"/>
    <w:rsid w:val="00FD1B27"/>
    <w:rsid w:val="00FD1B87"/>
    <w:rsid w:val="00FD1C3C"/>
    <w:rsid w:val="00FD1C4D"/>
    <w:rsid w:val="00FD1C50"/>
    <w:rsid w:val="00FD1D90"/>
    <w:rsid w:val="00FD1EFF"/>
    <w:rsid w:val="00FD1F52"/>
    <w:rsid w:val="00FD1F8A"/>
    <w:rsid w:val="00FD20BA"/>
    <w:rsid w:val="00FD20FE"/>
    <w:rsid w:val="00FD2210"/>
    <w:rsid w:val="00FD23F2"/>
    <w:rsid w:val="00FD24E9"/>
    <w:rsid w:val="00FD2544"/>
    <w:rsid w:val="00FD25BC"/>
    <w:rsid w:val="00FD265A"/>
    <w:rsid w:val="00FD27EC"/>
    <w:rsid w:val="00FD284A"/>
    <w:rsid w:val="00FD290F"/>
    <w:rsid w:val="00FD297B"/>
    <w:rsid w:val="00FD29D5"/>
    <w:rsid w:val="00FD2C11"/>
    <w:rsid w:val="00FD2C4A"/>
    <w:rsid w:val="00FD2E13"/>
    <w:rsid w:val="00FD3017"/>
    <w:rsid w:val="00FD3039"/>
    <w:rsid w:val="00FD31FE"/>
    <w:rsid w:val="00FD33D2"/>
    <w:rsid w:val="00FD3437"/>
    <w:rsid w:val="00FD3576"/>
    <w:rsid w:val="00FD37A0"/>
    <w:rsid w:val="00FD3847"/>
    <w:rsid w:val="00FD38E9"/>
    <w:rsid w:val="00FD39F5"/>
    <w:rsid w:val="00FD3A06"/>
    <w:rsid w:val="00FD3A7D"/>
    <w:rsid w:val="00FD3A9A"/>
    <w:rsid w:val="00FD3C44"/>
    <w:rsid w:val="00FD3D0F"/>
    <w:rsid w:val="00FD3D35"/>
    <w:rsid w:val="00FD3DCB"/>
    <w:rsid w:val="00FD3E83"/>
    <w:rsid w:val="00FD3F48"/>
    <w:rsid w:val="00FD40C5"/>
    <w:rsid w:val="00FD4188"/>
    <w:rsid w:val="00FD436F"/>
    <w:rsid w:val="00FD4386"/>
    <w:rsid w:val="00FD4394"/>
    <w:rsid w:val="00FD4447"/>
    <w:rsid w:val="00FD445E"/>
    <w:rsid w:val="00FD4468"/>
    <w:rsid w:val="00FD44D0"/>
    <w:rsid w:val="00FD4598"/>
    <w:rsid w:val="00FD45E6"/>
    <w:rsid w:val="00FD4635"/>
    <w:rsid w:val="00FD468B"/>
    <w:rsid w:val="00FD46F3"/>
    <w:rsid w:val="00FD4733"/>
    <w:rsid w:val="00FD47DD"/>
    <w:rsid w:val="00FD4962"/>
    <w:rsid w:val="00FD4A8E"/>
    <w:rsid w:val="00FD4ADD"/>
    <w:rsid w:val="00FD4B2F"/>
    <w:rsid w:val="00FD4B9F"/>
    <w:rsid w:val="00FD4BB4"/>
    <w:rsid w:val="00FD4C8D"/>
    <w:rsid w:val="00FD4D79"/>
    <w:rsid w:val="00FD4E45"/>
    <w:rsid w:val="00FD4F1B"/>
    <w:rsid w:val="00FD4F50"/>
    <w:rsid w:val="00FD501B"/>
    <w:rsid w:val="00FD50AC"/>
    <w:rsid w:val="00FD5151"/>
    <w:rsid w:val="00FD5179"/>
    <w:rsid w:val="00FD549F"/>
    <w:rsid w:val="00FD5590"/>
    <w:rsid w:val="00FD55C5"/>
    <w:rsid w:val="00FD5751"/>
    <w:rsid w:val="00FD57B2"/>
    <w:rsid w:val="00FD5874"/>
    <w:rsid w:val="00FD58CF"/>
    <w:rsid w:val="00FD5971"/>
    <w:rsid w:val="00FD5980"/>
    <w:rsid w:val="00FD5AB0"/>
    <w:rsid w:val="00FD5B53"/>
    <w:rsid w:val="00FD5B7F"/>
    <w:rsid w:val="00FD5B86"/>
    <w:rsid w:val="00FD5BC8"/>
    <w:rsid w:val="00FD5BF6"/>
    <w:rsid w:val="00FD5CE9"/>
    <w:rsid w:val="00FD5CFC"/>
    <w:rsid w:val="00FD5D6E"/>
    <w:rsid w:val="00FD5E45"/>
    <w:rsid w:val="00FD5ED2"/>
    <w:rsid w:val="00FD605F"/>
    <w:rsid w:val="00FD612A"/>
    <w:rsid w:val="00FD61BD"/>
    <w:rsid w:val="00FD62BD"/>
    <w:rsid w:val="00FD63AE"/>
    <w:rsid w:val="00FD6557"/>
    <w:rsid w:val="00FD67C0"/>
    <w:rsid w:val="00FD67C7"/>
    <w:rsid w:val="00FD67D2"/>
    <w:rsid w:val="00FD68D4"/>
    <w:rsid w:val="00FD68EB"/>
    <w:rsid w:val="00FD6B7D"/>
    <w:rsid w:val="00FD6D99"/>
    <w:rsid w:val="00FD6DB0"/>
    <w:rsid w:val="00FD7098"/>
    <w:rsid w:val="00FD70E3"/>
    <w:rsid w:val="00FD7100"/>
    <w:rsid w:val="00FD71A7"/>
    <w:rsid w:val="00FD71EE"/>
    <w:rsid w:val="00FD734B"/>
    <w:rsid w:val="00FD7405"/>
    <w:rsid w:val="00FD74FF"/>
    <w:rsid w:val="00FD753E"/>
    <w:rsid w:val="00FD75C3"/>
    <w:rsid w:val="00FD7637"/>
    <w:rsid w:val="00FD76CD"/>
    <w:rsid w:val="00FD76FC"/>
    <w:rsid w:val="00FD76FE"/>
    <w:rsid w:val="00FD776F"/>
    <w:rsid w:val="00FD7788"/>
    <w:rsid w:val="00FD79ED"/>
    <w:rsid w:val="00FD7BFF"/>
    <w:rsid w:val="00FD7CC0"/>
    <w:rsid w:val="00FD7E61"/>
    <w:rsid w:val="00FE008C"/>
    <w:rsid w:val="00FE01C8"/>
    <w:rsid w:val="00FE0202"/>
    <w:rsid w:val="00FE0223"/>
    <w:rsid w:val="00FE0255"/>
    <w:rsid w:val="00FE0417"/>
    <w:rsid w:val="00FE0541"/>
    <w:rsid w:val="00FE05BC"/>
    <w:rsid w:val="00FE05E4"/>
    <w:rsid w:val="00FE0719"/>
    <w:rsid w:val="00FE072B"/>
    <w:rsid w:val="00FE0790"/>
    <w:rsid w:val="00FE080E"/>
    <w:rsid w:val="00FE0A3C"/>
    <w:rsid w:val="00FE0A73"/>
    <w:rsid w:val="00FE0A80"/>
    <w:rsid w:val="00FE0BA0"/>
    <w:rsid w:val="00FE0BBD"/>
    <w:rsid w:val="00FE0C0E"/>
    <w:rsid w:val="00FE0F10"/>
    <w:rsid w:val="00FE0F7F"/>
    <w:rsid w:val="00FE102A"/>
    <w:rsid w:val="00FE1072"/>
    <w:rsid w:val="00FE10AE"/>
    <w:rsid w:val="00FE119C"/>
    <w:rsid w:val="00FE123E"/>
    <w:rsid w:val="00FE12AD"/>
    <w:rsid w:val="00FE134B"/>
    <w:rsid w:val="00FE136F"/>
    <w:rsid w:val="00FE14B9"/>
    <w:rsid w:val="00FE14EF"/>
    <w:rsid w:val="00FE153D"/>
    <w:rsid w:val="00FE159C"/>
    <w:rsid w:val="00FE15C9"/>
    <w:rsid w:val="00FE1703"/>
    <w:rsid w:val="00FE1817"/>
    <w:rsid w:val="00FE18CF"/>
    <w:rsid w:val="00FE192D"/>
    <w:rsid w:val="00FE199B"/>
    <w:rsid w:val="00FE1A03"/>
    <w:rsid w:val="00FE1AC1"/>
    <w:rsid w:val="00FE1AEC"/>
    <w:rsid w:val="00FE1B18"/>
    <w:rsid w:val="00FE1B25"/>
    <w:rsid w:val="00FE1B4B"/>
    <w:rsid w:val="00FE1BE2"/>
    <w:rsid w:val="00FE1C3C"/>
    <w:rsid w:val="00FE1F20"/>
    <w:rsid w:val="00FE1F37"/>
    <w:rsid w:val="00FE2085"/>
    <w:rsid w:val="00FE21EA"/>
    <w:rsid w:val="00FE22DB"/>
    <w:rsid w:val="00FE2520"/>
    <w:rsid w:val="00FE255E"/>
    <w:rsid w:val="00FE261A"/>
    <w:rsid w:val="00FE27EB"/>
    <w:rsid w:val="00FE28CE"/>
    <w:rsid w:val="00FE2959"/>
    <w:rsid w:val="00FE2986"/>
    <w:rsid w:val="00FE29C9"/>
    <w:rsid w:val="00FE2A21"/>
    <w:rsid w:val="00FE2AFB"/>
    <w:rsid w:val="00FE2C1C"/>
    <w:rsid w:val="00FE2D34"/>
    <w:rsid w:val="00FE2DC1"/>
    <w:rsid w:val="00FE2DCB"/>
    <w:rsid w:val="00FE2E66"/>
    <w:rsid w:val="00FE31A6"/>
    <w:rsid w:val="00FE352B"/>
    <w:rsid w:val="00FE35D5"/>
    <w:rsid w:val="00FE3617"/>
    <w:rsid w:val="00FE3621"/>
    <w:rsid w:val="00FE373C"/>
    <w:rsid w:val="00FE381B"/>
    <w:rsid w:val="00FE39B1"/>
    <w:rsid w:val="00FE3C9D"/>
    <w:rsid w:val="00FE3CE8"/>
    <w:rsid w:val="00FE3DC0"/>
    <w:rsid w:val="00FE3E5D"/>
    <w:rsid w:val="00FE3FCF"/>
    <w:rsid w:val="00FE414B"/>
    <w:rsid w:val="00FE4177"/>
    <w:rsid w:val="00FE417F"/>
    <w:rsid w:val="00FE4329"/>
    <w:rsid w:val="00FE4332"/>
    <w:rsid w:val="00FE433A"/>
    <w:rsid w:val="00FE4364"/>
    <w:rsid w:val="00FE438A"/>
    <w:rsid w:val="00FE4393"/>
    <w:rsid w:val="00FE446E"/>
    <w:rsid w:val="00FE45BB"/>
    <w:rsid w:val="00FE4721"/>
    <w:rsid w:val="00FE4835"/>
    <w:rsid w:val="00FE4939"/>
    <w:rsid w:val="00FE4B00"/>
    <w:rsid w:val="00FE4BEC"/>
    <w:rsid w:val="00FE4BF1"/>
    <w:rsid w:val="00FE4C08"/>
    <w:rsid w:val="00FE4DAA"/>
    <w:rsid w:val="00FE4FA0"/>
    <w:rsid w:val="00FE4FA9"/>
    <w:rsid w:val="00FE5030"/>
    <w:rsid w:val="00FE5269"/>
    <w:rsid w:val="00FE529A"/>
    <w:rsid w:val="00FE56EC"/>
    <w:rsid w:val="00FE5713"/>
    <w:rsid w:val="00FE573E"/>
    <w:rsid w:val="00FE583C"/>
    <w:rsid w:val="00FE5AF7"/>
    <w:rsid w:val="00FE5B2D"/>
    <w:rsid w:val="00FE5BD8"/>
    <w:rsid w:val="00FE5DA3"/>
    <w:rsid w:val="00FE5DEF"/>
    <w:rsid w:val="00FE5E26"/>
    <w:rsid w:val="00FE5EAF"/>
    <w:rsid w:val="00FE60FA"/>
    <w:rsid w:val="00FE6208"/>
    <w:rsid w:val="00FE6281"/>
    <w:rsid w:val="00FE62A2"/>
    <w:rsid w:val="00FE62B5"/>
    <w:rsid w:val="00FE62E9"/>
    <w:rsid w:val="00FE6560"/>
    <w:rsid w:val="00FE6704"/>
    <w:rsid w:val="00FE679D"/>
    <w:rsid w:val="00FE67E7"/>
    <w:rsid w:val="00FE6AEE"/>
    <w:rsid w:val="00FE6BE9"/>
    <w:rsid w:val="00FE6C83"/>
    <w:rsid w:val="00FE6CA2"/>
    <w:rsid w:val="00FE6D83"/>
    <w:rsid w:val="00FE6DA6"/>
    <w:rsid w:val="00FE6DAF"/>
    <w:rsid w:val="00FE6F89"/>
    <w:rsid w:val="00FE6FBB"/>
    <w:rsid w:val="00FE712D"/>
    <w:rsid w:val="00FE723D"/>
    <w:rsid w:val="00FE72D7"/>
    <w:rsid w:val="00FE730D"/>
    <w:rsid w:val="00FE740A"/>
    <w:rsid w:val="00FE743F"/>
    <w:rsid w:val="00FE74C3"/>
    <w:rsid w:val="00FE75BE"/>
    <w:rsid w:val="00FE75F7"/>
    <w:rsid w:val="00FE773F"/>
    <w:rsid w:val="00FE7825"/>
    <w:rsid w:val="00FE78F6"/>
    <w:rsid w:val="00FE79C5"/>
    <w:rsid w:val="00FE7C2D"/>
    <w:rsid w:val="00FE7CB1"/>
    <w:rsid w:val="00FE7D51"/>
    <w:rsid w:val="00FE7DB9"/>
    <w:rsid w:val="00FE7E95"/>
    <w:rsid w:val="00FE7FC3"/>
    <w:rsid w:val="00FF00B6"/>
    <w:rsid w:val="00FF00BC"/>
    <w:rsid w:val="00FF01A3"/>
    <w:rsid w:val="00FF0220"/>
    <w:rsid w:val="00FF023D"/>
    <w:rsid w:val="00FF0328"/>
    <w:rsid w:val="00FF0343"/>
    <w:rsid w:val="00FF049A"/>
    <w:rsid w:val="00FF04C5"/>
    <w:rsid w:val="00FF05FA"/>
    <w:rsid w:val="00FF063F"/>
    <w:rsid w:val="00FF07C6"/>
    <w:rsid w:val="00FF088C"/>
    <w:rsid w:val="00FF0955"/>
    <w:rsid w:val="00FF09E8"/>
    <w:rsid w:val="00FF0A89"/>
    <w:rsid w:val="00FF0AE7"/>
    <w:rsid w:val="00FF0C2A"/>
    <w:rsid w:val="00FF0C35"/>
    <w:rsid w:val="00FF0CB7"/>
    <w:rsid w:val="00FF0DBE"/>
    <w:rsid w:val="00FF0EC4"/>
    <w:rsid w:val="00FF0EDF"/>
    <w:rsid w:val="00FF0EE2"/>
    <w:rsid w:val="00FF0F1C"/>
    <w:rsid w:val="00FF0F51"/>
    <w:rsid w:val="00FF11A5"/>
    <w:rsid w:val="00FF1249"/>
    <w:rsid w:val="00FF12F0"/>
    <w:rsid w:val="00FF131A"/>
    <w:rsid w:val="00FF14B2"/>
    <w:rsid w:val="00FF14DC"/>
    <w:rsid w:val="00FF1684"/>
    <w:rsid w:val="00FF168F"/>
    <w:rsid w:val="00FF18D1"/>
    <w:rsid w:val="00FF1A39"/>
    <w:rsid w:val="00FF1A6D"/>
    <w:rsid w:val="00FF1A77"/>
    <w:rsid w:val="00FF1B6F"/>
    <w:rsid w:val="00FF1BF6"/>
    <w:rsid w:val="00FF1C5A"/>
    <w:rsid w:val="00FF1C99"/>
    <w:rsid w:val="00FF1CA2"/>
    <w:rsid w:val="00FF1F75"/>
    <w:rsid w:val="00FF1FC2"/>
    <w:rsid w:val="00FF2025"/>
    <w:rsid w:val="00FF2143"/>
    <w:rsid w:val="00FF21BE"/>
    <w:rsid w:val="00FF2200"/>
    <w:rsid w:val="00FF2465"/>
    <w:rsid w:val="00FF25C1"/>
    <w:rsid w:val="00FF25D9"/>
    <w:rsid w:val="00FF2634"/>
    <w:rsid w:val="00FF266A"/>
    <w:rsid w:val="00FF28DF"/>
    <w:rsid w:val="00FF2B30"/>
    <w:rsid w:val="00FF2B91"/>
    <w:rsid w:val="00FF2C8F"/>
    <w:rsid w:val="00FF2D55"/>
    <w:rsid w:val="00FF2E1F"/>
    <w:rsid w:val="00FF2E2D"/>
    <w:rsid w:val="00FF2E6B"/>
    <w:rsid w:val="00FF2E78"/>
    <w:rsid w:val="00FF2E93"/>
    <w:rsid w:val="00FF2E9C"/>
    <w:rsid w:val="00FF2EEB"/>
    <w:rsid w:val="00FF2F1C"/>
    <w:rsid w:val="00FF2F37"/>
    <w:rsid w:val="00FF2F88"/>
    <w:rsid w:val="00FF30FC"/>
    <w:rsid w:val="00FF3137"/>
    <w:rsid w:val="00FF33DC"/>
    <w:rsid w:val="00FF3460"/>
    <w:rsid w:val="00FF3511"/>
    <w:rsid w:val="00FF3833"/>
    <w:rsid w:val="00FF3935"/>
    <w:rsid w:val="00FF39C3"/>
    <w:rsid w:val="00FF3A17"/>
    <w:rsid w:val="00FF3A4E"/>
    <w:rsid w:val="00FF3CD9"/>
    <w:rsid w:val="00FF3D4E"/>
    <w:rsid w:val="00FF3DE0"/>
    <w:rsid w:val="00FF3F6D"/>
    <w:rsid w:val="00FF3FA8"/>
    <w:rsid w:val="00FF4086"/>
    <w:rsid w:val="00FF40F7"/>
    <w:rsid w:val="00FF420D"/>
    <w:rsid w:val="00FF422B"/>
    <w:rsid w:val="00FF4245"/>
    <w:rsid w:val="00FF4439"/>
    <w:rsid w:val="00FF443F"/>
    <w:rsid w:val="00FF44E2"/>
    <w:rsid w:val="00FF4560"/>
    <w:rsid w:val="00FF4583"/>
    <w:rsid w:val="00FF45EB"/>
    <w:rsid w:val="00FF4703"/>
    <w:rsid w:val="00FF4736"/>
    <w:rsid w:val="00FF47C4"/>
    <w:rsid w:val="00FF499B"/>
    <w:rsid w:val="00FF4A92"/>
    <w:rsid w:val="00FF4AC8"/>
    <w:rsid w:val="00FF4AF9"/>
    <w:rsid w:val="00FF4B3B"/>
    <w:rsid w:val="00FF4CC9"/>
    <w:rsid w:val="00FF4CD2"/>
    <w:rsid w:val="00FF4D6D"/>
    <w:rsid w:val="00FF4D84"/>
    <w:rsid w:val="00FF511B"/>
    <w:rsid w:val="00FF5210"/>
    <w:rsid w:val="00FF5404"/>
    <w:rsid w:val="00FF541B"/>
    <w:rsid w:val="00FF5576"/>
    <w:rsid w:val="00FF5674"/>
    <w:rsid w:val="00FF571F"/>
    <w:rsid w:val="00FF5778"/>
    <w:rsid w:val="00FF5868"/>
    <w:rsid w:val="00FF5897"/>
    <w:rsid w:val="00FF58FF"/>
    <w:rsid w:val="00FF590D"/>
    <w:rsid w:val="00FF5AB9"/>
    <w:rsid w:val="00FF5C91"/>
    <w:rsid w:val="00FF5CCD"/>
    <w:rsid w:val="00FF5DD2"/>
    <w:rsid w:val="00FF5EE2"/>
    <w:rsid w:val="00FF5FC6"/>
    <w:rsid w:val="00FF60A1"/>
    <w:rsid w:val="00FF60AB"/>
    <w:rsid w:val="00FF625A"/>
    <w:rsid w:val="00FF628E"/>
    <w:rsid w:val="00FF646E"/>
    <w:rsid w:val="00FF650B"/>
    <w:rsid w:val="00FF6A5F"/>
    <w:rsid w:val="00FF6AEE"/>
    <w:rsid w:val="00FF6C0A"/>
    <w:rsid w:val="00FF6EBD"/>
    <w:rsid w:val="00FF6F47"/>
    <w:rsid w:val="00FF6F5E"/>
    <w:rsid w:val="00FF6FA9"/>
    <w:rsid w:val="00FF708A"/>
    <w:rsid w:val="00FF713C"/>
    <w:rsid w:val="00FF71FD"/>
    <w:rsid w:val="00FF7232"/>
    <w:rsid w:val="00FF733A"/>
    <w:rsid w:val="00FF7426"/>
    <w:rsid w:val="00FF74B3"/>
    <w:rsid w:val="00FF7557"/>
    <w:rsid w:val="00FF75D7"/>
    <w:rsid w:val="00FF764D"/>
    <w:rsid w:val="00FF785E"/>
    <w:rsid w:val="00FF792B"/>
    <w:rsid w:val="00FF794F"/>
    <w:rsid w:val="00FF7995"/>
    <w:rsid w:val="00FF7A76"/>
    <w:rsid w:val="00FF7B98"/>
    <w:rsid w:val="00FF7C00"/>
    <w:rsid w:val="00FF7C6B"/>
    <w:rsid w:val="00FF7C83"/>
    <w:rsid w:val="00FF7D19"/>
    <w:rsid w:val="00FF7FA2"/>
    <w:rsid w:val="00FF7FBD"/>
    <w:rsid w:val="00FFF92F"/>
    <w:rsid w:val="01007D60"/>
    <w:rsid w:val="010B43E2"/>
    <w:rsid w:val="011169D6"/>
    <w:rsid w:val="0114B408"/>
    <w:rsid w:val="0115433F"/>
    <w:rsid w:val="012673A1"/>
    <w:rsid w:val="012B3897"/>
    <w:rsid w:val="012C0234"/>
    <w:rsid w:val="012E4ED7"/>
    <w:rsid w:val="01306F3E"/>
    <w:rsid w:val="01317097"/>
    <w:rsid w:val="0138EE67"/>
    <w:rsid w:val="01391CDE"/>
    <w:rsid w:val="013DBC52"/>
    <w:rsid w:val="013F2120"/>
    <w:rsid w:val="013F2F8F"/>
    <w:rsid w:val="013F9F52"/>
    <w:rsid w:val="013FBB2B"/>
    <w:rsid w:val="0140FA09"/>
    <w:rsid w:val="014203F4"/>
    <w:rsid w:val="014264A7"/>
    <w:rsid w:val="0143148C"/>
    <w:rsid w:val="0144F02D"/>
    <w:rsid w:val="014881AA"/>
    <w:rsid w:val="014B6BE7"/>
    <w:rsid w:val="014F7D76"/>
    <w:rsid w:val="0150B979"/>
    <w:rsid w:val="01525153"/>
    <w:rsid w:val="0153CC76"/>
    <w:rsid w:val="0166798D"/>
    <w:rsid w:val="01768F33"/>
    <w:rsid w:val="017D5589"/>
    <w:rsid w:val="017DEAF9"/>
    <w:rsid w:val="018031ED"/>
    <w:rsid w:val="01859CBE"/>
    <w:rsid w:val="01872740"/>
    <w:rsid w:val="018C265C"/>
    <w:rsid w:val="018F4CE2"/>
    <w:rsid w:val="01938B67"/>
    <w:rsid w:val="019FB9A4"/>
    <w:rsid w:val="01A6527F"/>
    <w:rsid w:val="01A89361"/>
    <w:rsid w:val="01B16ED5"/>
    <w:rsid w:val="01B25BC0"/>
    <w:rsid w:val="01B3DA41"/>
    <w:rsid w:val="01BEAC83"/>
    <w:rsid w:val="01BED24E"/>
    <w:rsid w:val="01BFD0D0"/>
    <w:rsid w:val="01CD4F69"/>
    <w:rsid w:val="01CF825D"/>
    <w:rsid w:val="01D2280B"/>
    <w:rsid w:val="01D3125D"/>
    <w:rsid w:val="01D6582D"/>
    <w:rsid w:val="01DBA32F"/>
    <w:rsid w:val="01DC5BC8"/>
    <w:rsid w:val="01DF0ED7"/>
    <w:rsid w:val="01EBAE8E"/>
    <w:rsid w:val="01EE3DEF"/>
    <w:rsid w:val="01EF5988"/>
    <w:rsid w:val="02031AC2"/>
    <w:rsid w:val="020BF2DE"/>
    <w:rsid w:val="020C0914"/>
    <w:rsid w:val="020C5692"/>
    <w:rsid w:val="0211ADC0"/>
    <w:rsid w:val="021716A9"/>
    <w:rsid w:val="02194D7E"/>
    <w:rsid w:val="021B6FD5"/>
    <w:rsid w:val="022074E8"/>
    <w:rsid w:val="02248421"/>
    <w:rsid w:val="0227F87E"/>
    <w:rsid w:val="022B8B8F"/>
    <w:rsid w:val="022D9415"/>
    <w:rsid w:val="022F908E"/>
    <w:rsid w:val="023204F0"/>
    <w:rsid w:val="02386319"/>
    <w:rsid w:val="023917FA"/>
    <w:rsid w:val="023F8A1C"/>
    <w:rsid w:val="0247BB34"/>
    <w:rsid w:val="024B11C5"/>
    <w:rsid w:val="0252D441"/>
    <w:rsid w:val="025314B8"/>
    <w:rsid w:val="025386CC"/>
    <w:rsid w:val="025BACBF"/>
    <w:rsid w:val="0260A6BF"/>
    <w:rsid w:val="0260EC03"/>
    <w:rsid w:val="026287B7"/>
    <w:rsid w:val="02652469"/>
    <w:rsid w:val="0269B49A"/>
    <w:rsid w:val="026BFC6A"/>
    <w:rsid w:val="02716CB6"/>
    <w:rsid w:val="02773037"/>
    <w:rsid w:val="027B593E"/>
    <w:rsid w:val="028A4157"/>
    <w:rsid w:val="028A9A25"/>
    <w:rsid w:val="02916109"/>
    <w:rsid w:val="02986144"/>
    <w:rsid w:val="029B2AF5"/>
    <w:rsid w:val="02A4C7D2"/>
    <w:rsid w:val="02A52088"/>
    <w:rsid w:val="02AB4982"/>
    <w:rsid w:val="02AD0550"/>
    <w:rsid w:val="02AE5825"/>
    <w:rsid w:val="02AEACFB"/>
    <w:rsid w:val="02B05653"/>
    <w:rsid w:val="02BBB894"/>
    <w:rsid w:val="02BC4BF1"/>
    <w:rsid w:val="02BCD09C"/>
    <w:rsid w:val="02BE5F7F"/>
    <w:rsid w:val="02BF3976"/>
    <w:rsid w:val="02BF653B"/>
    <w:rsid w:val="02C20E7F"/>
    <w:rsid w:val="02C6033F"/>
    <w:rsid w:val="02CB349F"/>
    <w:rsid w:val="02CE3174"/>
    <w:rsid w:val="02CF45B0"/>
    <w:rsid w:val="02D128ED"/>
    <w:rsid w:val="02D5CE05"/>
    <w:rsid w:val="02D74C63"/>
    <w:rsid w:val="02DB7F9B"/>
    <w:rsid w:val="02DBB185"/>
    <w:rsid w:val="02E118F8"/>
    <w:rsid w:val="02EF321E"/>
    <w:rsid w:val="02F008F4"/>
    <w:rsid w:val="02F1C7E7"/>
    <w:rsid w:val="02F750CC"/>
    <w:rsid w:val="02F95349"/>
    <w:rsid w:val="02FD2C88"/>
    <w:rsid w:val="03023E8E"/>
    <w:rsid w:val="03029098"/>
    <w:rsid w:val="03031CE4"/>
    <w:rsid w:val="030AF168"/>
    <w:rsid w:val="030B44E9"/>
    <w:rsid w:val="030BE670"/>
    <w:rsid w:val="030EA9F5"/>
    <w:rsid w:val="031438CB"/>
    <w:rsid w:val="0314C105"/>
    <w:rsid w:val="0315A1E6"/>
    <w:rsid w:val="031783E7"/>
    <w:rsid w:val="0317D7B6"/>
    <w:rsid w:val="03198A68"/>
    <w:rsid w:val="031B9B23"/>
    <w:rsid w:val="031C7632"/>
    <w:rsid w:val="031D0715"/>
    <w:rsid w:val="03231E03"/>
    <w:rsid w:val="0323B873"/>
    <w:rsid w:val="03329989"/>
    <w:rsid w:val="0333AB0C"/>
    <w:rsid w:val="0333B0AE"/>
    <w:rsid w:val="0335DA84"/>
    <w:rsid w:val="033ADC18"/>
    <w:rsid w:val="033FB977"/>
    <w:rsid w:val="0340FD76"/>
    <w:rsid w:val="0342357E"/>
    <w:rsid w:val="03451673"/>
    <w:rsid w:val="034C7E7D"/>
    <w:rsid w:val="034CB3DD"/>
    <w:rsid w:val="03513CD8"/>
    <w:rsid w:val="03546C1A"/>
    <w:rsid w:val="03591043"/>
    <w:rsid w:val="035E177E"/>
    <w:rsid w:val="03623301"/>
    <w:rsid w:val="03627709"/>
    <w:rsid w:val="0363D7E1"/>
    <w:rsid w:val="0365BADB"/>
    <w:rsid w:val="036ACA2D"/>
    <w:rsid w:val="0376EB64"/>
    <w:rsid w:val="03784CE1"/>
    <w:rsid w:val="037F60B7"/>
    <w:rsid w:val="0384A715"/>
    <w:rsid w:val="038ACFF8"/>
    <w:rsid w:val="03953AAC"/>
    <w:rsid w:val="039B6913"/>
    <w:rsid w:val="03A32B19"/>
    <w:rsid w:val="03A76115"/>
    <w:rsid w:val="03A8F2C0"/>
    <w:rsid w:val="03AA4BA7"/>
    <w:rsid w:val="03ACC40D"/>
    <w:rsid w:val="03B4D05F"/>
    <w:rsid w:val="03B4EDA0"/>
    <w:rsid w:val="03B62F01"/>
    <w:rsid w:val="03B9050E"/>
    <w:rsid w:val="03B90A2D"/>
    <w:rsid w:val="03C0B96F"/>
    <w:rsid w:val="03C40704"/>
    <w:rsid w:val="03CC86C6"/>
    <w:rsid w:val="03D0C434"/>
    <w:rsid w:val="03D1FC3D"/>
    <w:rsid w:val="03D326EA"/>
    <w:rsid w:val="03D35CA1"/>
    <w:rsid w:val="03D43854"/>
    <w:rsid w:val="03DD231A"/>
    <w:rsid w:val="03E09D22"/>
    <w:rsid w:val="03E0AB45"/>
    <w:rsid w:val="03E2519F"/>
    <w:rsid w:val="03E3C6E2"/>
    <w:rsid w:val="03E5BB1F"/>
    <w:rsid w:val="03E65F99"/>
    <w:rsid w:val="03F04018"/>
    <w:rsid w:val="03F08278"/>
    <w:rsid w:val="03F2CC13"/>
    <w:rsid w:val="03F60399"/>
    <w:rsid w:val="03FA95EC"/>
    <w:rsid w:val="03FB6BC3"/>
    <w:rsid w:val="04001D07"/>
    <w:rsid w:val="04050687"/>
    <w:rsid w:val="040858C4"/>
    <w:rsid w:val="04112C72"/>
    <w:rsid w:val="04186163"/>
    <w:rsid w:val="0420E262"/>
    <w:rsid w:val="0424D9E9"/>
    <w:rsid w:val="0424DFB5"/>
    <w:rsid w:val="0426C780"/>
    <w:rsid w:val="04286C0C"/>
    <w:rsid w:val="042A8FCE"/>
    <w:rsid w:val="04336882"/>
    <w:rsid w:val="0433BF70"/>
    <w:rsid w:val="0433EE49"/>
    <w:rsid w:val="04403E2C"/>
    <w:rsid w:val="04427C87"/>
    <w:rsid w:val="0443A638"/>
    <w:rsid w:val="044487D9"/>
    <w:rsid w:val="0445DE1C"/>
    <w:rsid w:val="04484B01"/>
    <w:rsid w:val="0448C4F4"/>
    <w:rsid w:val="04499EE2"/>
    <w:rsid w:val="044E27DF"/>
    <w:rsid w:val="044FD067"/>
    <w:rsid w:val="0455A945"/>
    <w:rsid w:val="0456D888"/>
    <w:rsid w:val="0457112F"/>
    <w:rsid w:val="0466042F"/>
    <w:rsid w:val="04662724"/>
    <w:rsid w:val="046685CB"/>
    <w:rsid w:val="046B665C"/>
    <w:rsid w:val="04703C60"/>
    <w:rsid w:val="0477C880"/>
    <w:rsid w:val="0478DE0A"/>
    <w:rsid w:val="0479DA4F"/>
    <w:rsid w:val="047CD578"/>
    <w:rsid w:val="047E2218"/>
    <w:rsid w:val="0480E56A"/>
    <w:rsid w:val="0485762E"/>
    <w:rsid w:val="0488776C"/>
    <w:rsid w:val="0495A0CA"/>
    <w:rsid w:val="04973332"/>
    <w:rsid w:val="049B1CD9"/>
    <w:rsid w:val="049C9617"/>
    <w:rsid w:val="049E8393"/>
    <w:rsid w:val="04A719E5"/>
    <w:rsid w:val="04A9A702"/>
    <w:rsid w:val="04B137B9"/>
    <w:rsid w:val="04B1D8D8"/>
    <w:rsid w:val="04B264C7"/>
    <w:rsid w:val="04B803E4"/>
    <w:rsid w:val="04C91164"/>
    <w:rsid w:val="04C937E8"/>
    <w:rsid w:val="04CAD43E"/>
    <w:rsid w:val="04CD3B68"/>
    <w:rsid w:val="04CD8DE8"/>
    <w:rsid w:val="04D25992"/>
    <w:rsid w:val="04D5309C"/>
    <w:rsid w:val="04D665A0"/>
    <w:rsid w:val="04D741D7"/>
    <w:rsid w:val="04D92945"/>
    <w:rsid w:val="04DFEEE8"/>
    <w:rsid w:val="04E40C19"/>
    <w:rsid w:val="04E521B4"/>
    <w:rsid w:val="04F0FC17"/>
    <w:rsid w:val="04F24736"/>
    <w:rsid w:val="04F526DA"/>
    <w:rsid w:val="04F59447"/>
    <w:rsid w:val="04F794C7"/>
    <w:rsid w:val="04FAA19B"/>
    <w:rsid w:val="04FAF0E5"/>
    <w:rsid w:val="050B6CD7"/>
    <w:rsid w:val="050D90C6"/>
    <w:rsid w:val="0510BFAA"/>
    <w:rsid w:val="0510BFF0"/>
    <w:rsid w:val="0520A4C2"/>
    <w:rsid w:val="05260B48"/>
    <w:rsid w:val="0528824D"/>
    <w:rsid w:val="05314DEB"/>
    <w:rsid w:val="05344314"/>
    <w:rsid w:val="0535CE78"/>
    <w:rsid w:val="0539F8CA"/>
    <w:rsid w:val="053A3B22"/>
    <w:rsid w:val="053A9E12"/>
    <w:rsid w:val="05412F54"/>
    <w:rsid w:val="0542C43D"/>
    <w:rsid w:val="0542CD81"/>
    <w:rsid w:val="0542D96F"/>
    <w:rsid w:val="0545A1E9"/>
    <w:rsid w:val="0546F05A"/>
    <w:rsid w:val="054A740C"/>
    <w:rsid w:val="0551D8CE"/>
    <w:rsid w:val="05526C2B"/>
    <w:rsid w:val="055500C1"/>
    <w:rsid w:val="055CDFD5"/>
    <w:rsid w:val="055D67A1"/>
    <w:rsid w:val="05620C63"/>
    <w:rsid w:val="0564E59A"/>
    <w:rsid w:val="056A65C6"/>
    <w:rsid w:val="056EC339"/>
    <w:rsid w:val="0570DD29"/>
    <w:rsid w:val="05711D16"/>
    <w:rsid w:val="05721BE3"/>
    <w:rsid w:val="057229DF"/>
    <w:rsid w:val="057277B9"/>
    <w:rsid w:val="05741BAD"/>
    <w:rsid w:val="05753B57"/>
    <w:rsid w:val="0576EE6A"/>
    <w:rsid w:val="05772A47"/>
    <w:rsid w:val="057B025B"/>
    <w:rsid w:val="057BCC2A"/>
    <w:rsid w:val="057D1EE5"/>
    <w:rsid w:val="057FA0B5"/>
    <w:rsid w:val="058084E3"/>
    <w:rsid w:val="05827B0E"/>
    <w:rsid w:val="058280A7"/>
    <w:rsid w:val="058FE081"/>
    <w:rsid w:val="0590C9C7"/>
    <w:rsid w:val="05915299"/>
    <w:rsid w:val="0593FF2F"/>
    <w:rsid w:val="05966D4D"/>
    <w:rsid w:val="0596E450"/>
    <w:rsid w:val="0599424D"/>
    <w:rsid w:val="059E6EBD"/>
    <w:rsid w:val="05A2F2B4"/>
    <w:rsid w:val="05A4439C"/>
    <w:rsid w:val="05A63A50"/>
    <w:rsid w:val="05A7CDE0"/>
    <w:rsid w:val="05AB300A"/>
    <w:rsid w:val="05ACB658"/>
    <w:rsid w:val="05AF3E9E"/>
    <w:rsid w:val="05AF76AA"/>
    <w:rsid w:val="05B04587"/>
    <w:rsid w:val="05B75733"/>
    <w:rsid w:val="05BDB4FB"/>
    <w:rsid w:val="05C644CC"/>
    <w:rsid w:val="05CC6D8D"/>
    <w:rsid w:val="05D19459"/>
    <w:rsid w:val="05DA162A"/>
    <w:rsid w:val="05DE1291"/>
    <w:rsid w:val="05E221CE"/>
    <w:rsid w:val="05E8E846"/>
    <w:rsid w:val="05F10D1E"/>
    <w:rsid w:val="05F4350B"/>
    <w:rsid w:val="05F48EF8"/>
    <w:rsid w:val="05F6A9C3"/>
    <w:rsid w:val="05F839D1"/>
    <w:rsid w:val="05FBCD37"/>
    <w:rsid w:val="05FD8B8A"/>
    <w:rsid w:val="05FE4154"/>
    <w:rsid w:val="0603BA51"/>
    <w:rsid w:val="0603F91C"/>
    <w:rsid w:val="06049E8B"/>
    <w:rsid w:val="06065E67"/>
    <w:rsid w:val="06069E28"/>
    <w:rsid w:val="060836E0"/>
    <w:rsid w:val="0609FAC8"/>
    <w:rsid w:val="060DB668"/>
    <w:rsid w:val="060F4C0C"/>
    <w:rsid w:val="0616527B"/>
    <w:rsid w:val="06166E21"/>
    <w:rsid w:val="061C863E"/>
    <w:rsid w:val="06213F4C"/>
    <w:rsid w:val="0621DDB9"/>
    <w:rsid w:val="0621F04C"/>
    <w:rsid w:val="0624685A"/>
    <w:rsid w:val="0628A6A7"/>
    <w:rsid w:val="062D8291"/>
    <w:rsid w:val="0631F8DC"/>
    <w:rsid w:val="0632044D"/>
    <w:rsid w:val="0633EB48"/>
    <w:rsid w:val="0636C024"/>
    <w:rsid w:val="0637B2BC"/>
    <w:rsid w:val="0642F3E5"/>
    <w:rsid w:val="064435C4"/>
    <w:rsid w:val="0647064C"/>
    <w:rsid w:val="064A4398"/>
    <w:rsid w:val="064B64D0"/>
    <w:rsid w:val="064EF351"/>
    <w:rsid w:val="0650010C"/>
    <w:rsid w:val="065398E5"/>
    <w:rsid w:val="0656193C"/>
    <w:rsid w:val="065A1B6A"/>
    <w:rsid w:val="065F74D4"/>
    <w:rsid w:val="066049CD"/>
    <w:rsid w:val="0662D4BA"/>
    <w:rsid w:val="0666037B"/>
    <w:rsid w:val="0666B071"/>
    <w:rsid w:val="066A6236"/>
    <w:rsid w:val="066AB397"/>
    <w:rsid w:val="06735E94"/>
    <w:rsid w:val="0674C259"/>
    <w:rsid w:val="06786371"/>
    <w:rsid w:val="0679BAF3"/>
    <w:rsid w:val="067BF2BB"/>
    <w:rsid w:val="06805F20"/>
    <w:rsid w:val="0681B067"/>
    <w:rsid w:val="068A2FF6"/>
    <w:rsid w:val="068A8E22"/>
    <w:rsid w:val="068C5CBB"/>
    <w:rsid w:val="068F6E60"/>
    <w:rsid w:val="06933AD0"/>
    <w:rsid w:val="06935D1A"/>
    <w:rsid w:val="0695CB06"/>
    <w:rsid w:val="06996724"/>
    <w:rsid w:val="069C263E"/>
    <w:rsid w:val="06A55499"/>
    <w:rsid w:val="06A6A641"/>
    <w:rsid w:val="06A6C9DB"/>
    <w:rsid w:val="06A7F250"/>
    <w:rsid w:val="06AE9806"/>
    <w:rsid w:val="06B1535A"/>
    <w:rsid w:val="06B2005C"/>
    <w:rsid w:val="06B6693D"/>
    <w:rsid w:val="06B7AA7E"/>
    <w:rsid w:val="06BD9B4C"/>
    <w:rsid w:val="06BE23D6"/>
    <w:rsid w:val="06C7F68C"/>
    <w:rsid w:val="06CADF55"/>
    <w:rsid w:val="06CAEF90"/>
    <w:rsid w:val="06D2463A"/>
    <w:rsid w:val="06D408E5"/>
    <w:rsid w:val="06DAB6F4"/>
    <w:rsid w:val="06DBAB7E"/>
    <w:rsid w:val="06DED3EF"/>
    <w:rsid w:val="06DF4CB9"/>
    <w:rsid w:val="06DF5245"/>
    <w:rsid w:val="06E2328E"/>
    <w:rsid w:val="06E2FD9F"/>
    <w:rsid w:val="06E3D44D"/>
    <w:rsid w:val="06E57822"/>
    <w:rsid w:val="06EB12D8"/>
    <w:rsid w:val="06EC72C0"/>
    <w:rsid w:val="06F10962"/>
    <w:rsid w:val="06F5170E"/>
    <w:rsid w:val="06F95750"/>
    <w:rsid w:val="06FCAFC6"/>
    <w:rsid w:val="06FEEB7A"/>
    <w:rsid w:val="07013984"/>
    <w:rsid w:val="0708C034"/>
    <w:rsid w:val="070C14E2"/>
    <w:rsid w:val="070C5D35"/>
    <w:rsid w:val="07131581"/>
    <w:rsid w:val="07151BD0"/>
    <w:rsid w:val="07197BA4"/>
    <w:rsid w:val="071B422A"/>
    <w:rsid w:val="071C58A6"/>
    <w:rsid w:val="071CF5E7"/>
    <w:rsid w:val="071D280D"/>
    <w:rsid w:val="07216CE8"/>
    <w:rsid w:val="07240DF1"/>
    <w:rsid w:val="072503C9"/>
    <w:rsid w:val="0727064F"/>
    <w:rsid w:val="072C5406"/>
    <w:rsid w:val="0730DA16"/>
    <w:rsid w:val="0732068C"/>
    <w:rsid w:val="0734DE33"/>
    <w:rsid w:val="07378738"/>
    <w:rsid w:val="073F49FA"/>
    <w:rsid w:val="073FE3C3"/>
    <w:rsid w:val="0747D900"/>
    <w:rsid w:val="074B3759"/>
    <w:rsid w:val="074E6A03"/>
    <w:rsid w:val="075239E1"/>
    <w:rsid w:val="07562359"/>
    <w:rsid w:val="07583D7A"/>
    <w:rsid w:val="075E6C3E"/>
    <w:rsid w:val="075EE1DE"/>
    <w:rsid w:val="075F7A5A"/>
    <w:rsid w:val="075F884F"/>
    <w:rsid w:val="0761AB68"/>
    <w:rsid w:val="07647EDD"/>
    <w:rsid w:val="07679B15"/>
    <w:rsid w:val="076A4C8F"/>
    <w:rsid w:val="076B5FD0"/>
    <w:rsid w:val="07774097"/>
    <w:rsid w:val="077CE677"/>
    <w:rsid w:val="077DEC87"/>
    <w:rsid w:val="077E87D3"/>
    <w:rsid w:val="077EFFF3"/>
    <w:rsid w:val="078215E8"/>
    <w:rsid w:val="07847932"/>
    <w:rsid w:val="0787DAE0"/>
    <w:rsid w:val="079471B2"/>
    <w:rsid w:val="0794ADB7"/>
    <w:rsid w:val="0797C2A7"/>
    <w:rsid w:val="079C2831"/>
    <w:rsid w:val="079E8133"/>
    <w:rsid w:val="07A298B9"/>
    <w:rsid w:val="07A591D3"/>
    <w:rsid w:val="07A61685"/>
    <w:rsid w:val="07AAD6E5"/>
    <w:rsid w:val="07AC0504"/>
    <w:rsid w:val="07AE1756"/>
    <w:rsid w:val="07B21BC7"/>
    <w:rsid w:val="07B3E606"/>
    <w:rsid w:val="07B7A31B"/>
    <w:rsid w:val="07BF5488"/>
    <w:rsid w:val="07C494C9"/>
    <w:rsid w:val="07C56DEE"/>
    <w:rsid w:val="07C80BE8"/>
    <w:rsid w:val="07CC073A"/>
    <w:rsid w:val="07D3AA25"/>
    <w:rsid w:val="07D4CDF3"/>
    <w:rsid w:val="07D777AC"/>
    <w:rsid w:val="07D77F00"/>
    <w:rsid w:val="07D79EC9"/>
    <w:rsid w:val="07D84691"/>
    <w:rsid w:val="07D8B749"/>
    <w:rsid w:val="07DBC64F"/>
    <w:rsid w:val="07E0F20B"/>
    <w:rsid w:val="07F28268"/>
    <w:rsid w:val="07F6FCD4"/>
    <w:rsid w:val="07F95ABA"/>
    <w:rsid w:val="07FAFAEC"/>
    <w:rsid w:val="07FC5499"/>
    <w:rsid w:val="07FE8CD7"/>
    <w:rsid w:val="07FED9F0"/>
    <w:rsid w:val="07FFB545"/>
    <w:rsid w:val="08013E97"/>
    <w:rsid w:val="080197C4"/>
    <w:rsid w:val="08021E93"/>
    <w:rsid w:val="0804E80B"/>
    <w:rsid w:val="0807EAD8"/>
    <w:rsid w:val="0808FBA5"/>
    <w:rsid w:val="0815B9A7"/>
    <w:rsid w:val="081904E7"/>
    <w:rsid w:val="0821E229"/>
    <w:rsid w:val="0824B86D"/>
    <w:rsid w:val="0826C0F8"/>
    <w:rsid w:val="0827847E"/>
    <w:rsid w:val="082EED89"/>
    <w:rsid w:val="0831A931"/>
    <w:rsid w:val="0832C541"/>
    <w:rsid w:val="083D8381"/>
    <w:rsid w:val="0841761E"/>
    <w:rsid w:val="08424853"/>
    <w:rsid w:val="084269B5"/>
    <w:rsid w:val="084F546E"/>
    <w:rsid w:val="08593F90"/>
    <w:rsid w:val="085F6012"/>
    <w:rsid w:val="0862629F"/>
    <w:rsid w:val="0866E3D4"/>
    <w:rsid w:val="086714A1"/>
    <w:rsid w:val="086ACC93"/>
    <w:rsid w:val="086D31B7"/>
    <w:rsid w:val="0871D4A1"/>
    <w:rsid w:val="08730B9B"/>
    <w:rsid w:val="0884493C"/>
    <w:rsid w:val="08913990"/>
    <w:rsid w:val="0891918B"/>
    <w:rsid w:val="0891DC91"/>
    <w:rsid w:val="0891E1BC"/>
    <w:rsid w:val="0895BF15"/>
    <w:rsid w:val="08984741"/>
    <w:rsid w:val="089C0334"/>
    <w:rsid w:val="089DDA73"/>
    <w:rsid w:val="089F7CBA"/>
    <w:rsid w:val="08A219C4"/>
    <w:rsid w:val="08A9A9EB"/>
    <w:rsid w:val="08AF57C4"/>
    <w:rsid w:val="08B4A235"/>
    <w:rsid w:val="08B59104"/>
    <w:rsid w:val="08BD816D"/>
    <w:rsid w:val="08BF18B1"/>
    <w:rsid w:val="08BF9120"/>
    <w:rsid w:val="08C281AC"/>
    <w:rsid w:val="08C302F1"/>
    <w:rsid w:val="08C773FE"/>
    <w:rsid w:val="08CCC738"/>
    <w:rsid w:val="08CD26F6"/>
    <w:rsid w:val="08D5D547"/>
    <w:rsid w:val="08D83B2A"/>
    <w:rsid w:val="08D8D21F"/>
    <w:rsid w:val="08DD139C"/>
    <w:rsid w:val="08F57C16"/>
    <w:rsid w:val="08F63BB2"/>
    <w:rsid w:val="0900366A"/>
    <w:rsid w:val="0901D13C"/>
    <w:rsid w:val="09030C0C"/>
    <w:rsid w:val="090A6FA5"/>
    <w:rsid w:val="090CF933"/>
    <w:rsid w:val="090F70AF"/>
    <w:rsid w:val="09178C4D"/>
    <w:rsid w:val="091DD26E"/>
    <w:rsid w:val="092E97D6"/>
    <w:rsid w:val="09399072"/>
    <w:rsid w:val="0939D61F"/>
    <w:rsid w:val="093E4A94"/>
    <w:rsid w:val="093F194A"/>
    <w:rsid w:val="09486F4B"/>
    <w:rsid w:val="09497E24"/>
    <w:rsid w:val="094AE2E8"/>
    <w:rsid w:val="094BE1DA"/>
    <w:rsid w:val="095235B2"/>
    <w:rsid w:val="09528602"/>
    <w:rsid w:val="095361A1"/>
    <w:rsid w:val="09564C4B"/>
    <w:rsid w:val="09575E11"/>
    <w:rsid w:val="095ABA5D"/>
    <w:rsid w:val="095B659F"/>
    <w:rsid w:val="095D22E8"/>
    <w:rsid w:val="0962D193"/>
    <w:rsid w:val="09631B28"/>
    <w:rsid w:val="096571C0"/>
    <w:rsid w:val="09682BAB"/>
    <w:rsid w:val="096ABE1A"/>
    <w:rsid w:val="097033F5"/>
    <w:rsid w:val="09731EF8"/>
    <w:rsid w:val="09801D09"/>
    <w:rsid w:val="0982BBEB"/>
    <w:rsid w:val="09864E76"/>
    <w:rsid w:val="098BDCEB"/>
    <w:rsid w:val="09984DCA"/>
    <w:rsid w:val="099B51B3"/>
    <w:rsid w:val="09A0A582"/>
    <w:rsid w:val="09A2E39E"/>
    <w:rsid w:val="09A34707"/>
    <w:rsid w:val="09A5F16C"/>
    <w:rsid w:val="09A62A78"/>
    <w:rsid w:val="09A8EDAC"/>
    <w:rsid w:val="09A9D404"/>
    <w:rsid w:val="09AA8A11"/>
    <w:rsid w:val="09B12739"/>
    <w:rsid w:val="09B4764E"/>
    <w:rsid w:val="09B6A2D2"/>
    <w:rsid w:val="09B90887"/>
    <w:rsid w:val="09C8CFCB"/>
    <w:rsid w:val="09CAB1FB"/>
    <w:rsid w:val="09D16E01"/>
    <w:rsid w:val="09D1F483"/>
    <w:rsid w:val="09D4E858"/>
    <w:rsid w:val="09D51CD1"/>
    <w:rsid w:val="09DBF61C"/>
    <w:rsid w:val="09DE486F"/>
    <w:rsid w:val="09DE86AE"/>
    <w:rsid w:val="09E1A7A2"/>
    <w:rsid w:val="09E67881"/>
    <w:rsid w:val="09EC964B"/>
    <w:rsid w:val="09ED71FC"/>
    <w:rsid w:val="09EDD2F3"/>
    <w:rsid w:val="09F4D732"/>
    <w:rsid w:val="09F70439"/>
    <w:rsid w:val="09FCF253"/>
    <w:rsid w:val="09FFED40"/>
    <w:rsid w:val="0A028ED8"/>
    <w:rsid w:val="0A02D22A"/>
    <w:rsid w:val="0A04C758"/>
    <w:rsid w:val="0A07C179"/>
    <w:rsid w:val="0A084285"/>
    <w:rsid w:val="0A149683"/>
    <w:rsid w:val="0A199CFF"/>
    <w:rsid w:val="0A19F966"/>
    <w:rsid w:val="0A1AF586"/>
    <w:rsid w:val="0A1F5913"/>
    <w:rsid w:val="0A210112"/>
    <w:rsid w:val="0A25619C"/>
    <w:rsid w:val="0A261AA8"/>
    <w:rsid w:val="0A297C7A"/>
    <w:rsid w:val="0A2BF1D0"/>
    <w:rsid w:val="0A2F1C1B"/>
    <w:rsid w:val="0A2FF24A"/>
    <w:rsid w:val="0A33C2BE"/>
    <w:rsid w:val="0A38F74B"/>
    <w:rsid w:val="0A398A87"/>
    <w:rsid w:val="0A3AC48E"/>
    <w:rsid w:val="0A3AE631"/>
    <w:rsid w:val="0A3B1633"/>
    <w:rsid w:val="0A3C1468"/>
    <w:rsid w:val="0A41047F"/>
    <w:rsid w:val="0A4111A5"/>
    <w:rsid w:val="0A415C58"/>
    <w:rsid w:val="0A4CD934"/>
    <w:rsid w:val="0A4D0D5A"/>
    <w:rsid w:val="0A51EEC9"/>
    <w:rsid w:val="0A53EF9C"/>
    <w:rsid w:val="0A54751B"/>
    <w:rsid w:val="0A571EA1"/>
    <w:rsid w:val="0A5BBE7B"/>
    <w:rsid w:val="0A64C9AF"/>
    <w:rsid w:val="0A66CBBA"/>
    <w:rsid w:val="0A683C45"/>
    <w:rsid w:val="0A6851CC"/>
    <w:rsid w:val="0A6BE77A"/>
    <w:rsid w:val="0A6C917E"/>
    <w:rsid w:val="0A75736B"/>
    <w:rsid w:val="0A75BAD6"/>
    <w:rsid w:val="0A7C7C8F"/>
    <w:rsid w:val="0A8119A4"/>
    <w:rsid w:val="0A813C3D"/>
    <w:rsid w:val="0A86AA4C"/>
    <w:rsid w:val="0A888EF1"/>
    <w:rsid w:val="0A8B42BB"/>
    <w:rsid w:val="0A8C8EC0"/>
    <w:rsid w:val="0A90D608"/>
    <w:rsid w:val="0A9210C0"/>
    <w:rsid w:val="0A929CA3"/>
    <w:rsid w:val="0A9347EE"/>
    <w:rsid w:val="0A93ED6B"/>
    <w:rsid w:val="0A9C9D76"/>
    <w:rsid w:val="0AA1896C"/>
    <w:rsid w:val="0AA2B121"/>
    <w:rsid w:val="0AA5C554"/>
    <w:rsid w:val="0AA8144B"/>
    <w:rsid w:val="0AACB3E8"/>
    <w:rsid w:val="0AAD623A"/>
    <w:rsid w:val="0AAE14B3"/>
    <w:rsid w:val="0AAEB047"/>
    <w:rsid w:val="0AB3C8B0"/>
    <w:rsid w:val="0AB6DA96"/>
    <w:rsid w:val="0AB8806A"/>
    <w:rsid w:val="0ABD016B"/>
    <w:rsid w:val="0ABD8B02"/>
    <w:rsid w:val="0ABFE5B0"/>
    <w:rsid w:val="0AC2759C"/>
    <w:rsid w:val="0AC4036B"/>
    <w:rsid w:val="0ACA5A3A"/>
    <w:rsid w:val="0ACEF9E1"/>
    <w:rsid w:val="0ACF1B13"/>
    <w:rsid w:val="0AD7C841"/>
    <w:rsid w:val="0AD7DA70"/>
    <w:rsid w:val="0ADF99F2"/>
    <w:rsid w:val="0ADFBE62"/>
    <w:rsid w:val="0AE0FA6E"/>
    <w:rsid w:val="0AE7C5D6"/>
    <w:rsid w:val="0AE84732"/>
    <w:rsid w:val="0AE9F39F"/>
    <w:rsid w:val="0AEAD8AF"/>
    <w:rsid w:val="0AEDD930"/>
    <w:rsid w:val="0AF3BBB6"/>
    <w:rsid w:val="0AF60854"/>
    <w:rsid w:val="0AFC973E"/>
    <w:rsid w:val="0AFF524A"/>
    <w:rsid w:val="0B00BC0A"/>
    <w:rsid w:val="0B090FCB"/>
    <w:rsid w:val="0B0AB6A1"/>
    <w:rsid w:val="0B0AFA3C"/>
    <w:rsid w:val="0B0DC5EC"/>
    <w:rsid w:val="0B1043E5"/>
    <w:rsid w:val="0B1126B8"/>
    <w:rsid w:val="0B14CA5F"/>
    <w:rsid w:val="0B1C87A7"/>
    <w:rsid w:val="0B22213B"/>
    <w:rsid w:val="0B245D41"/>
    <w:rsid w:val="0B2649CE"/>
    <w:rsid w:val="0B272CB5"/>
    <w:rsid w:val="0B27C14A"/>
    <w:rsid w:val="0B2918DA"/>
    <w:rsid w:val="0B2B5EB5"/>
    <w:rsid w:val="0B2C6110"/>
    <w:rsid w:val="0B2C703B"/>
    <w:rsid w:val="0B2CF689"/>
    <w:rsid w:val="0B33D825"/>
    <w:rsid w:val="0B374C47"/>
    <w:rsid w:val="0B39126E"/>
    <w:rsid w:val="0B3CEC2B"/>
    <w:rsid w:val="0B437CB1"/>
    <w:rsid w:val="0B47ECE2"/>
    <w:rsid w:val="0B536E55"/>
    <w:rsid w:val="0B53A0EF"/>
    <w:rsid w:val="0B580F5A"/>
    <w:rsid w:val="0B5E4C99"/>
    <w:rsid w:val="0B5F0549"/>
    <w:rsid w:val="0B5F7200"/>
    <w:rsid w:val="0B601D74"/>
    <w:rsid w:val="0B64156B"/>
    <w:rsid w:val="0B64A29B"/>
    <w:rsid w:val="0B655C29"/>
    <w:rsid w:val="0B6DAA80"/>
    <w:rsid w:val="0B767984"/>
    <w:rsid w:val="0B779B2E"/>
    <w:rsid w:val="0B7DA778"/>
    <w:rsid w:val="0B86F71F"/>
    <w:rsid w:val="0B8B236A"/>
    <w:rsid w:val="0B9A5B06"/>
    <w:rsid w:val="0BAF8567"/>
    <w:rsid w:val="0BB05918"/>
    <w:rsid w:val="0BB13EB9"/>
    <w:rsid w:val="0BB9C522"/>
    <w:rsid w:val="0BBFCB56"/>
    <w:rsid w:val="0BC3E53B"/>
    <w:rsid w:val="0BD489DF"/>
    <w:rsid w:val="0BD572D3"/>
    <w:rsid w:val="0BDBAF2D"/>
    <w:rsid w:val="0BDD537A"/>
    <w:rsid w:val="0BDDE4B1"/>
    <w:rsid w:val="0BE01047"/>
    <w:rsid w:val="0BE14217"/>
    <w:rsid w:val="0BE54460"/>
    <w:rsid w:val="0BE77FEA"/>
    <w:rsid w:val="0BEBF757"/>
    <w:rsid w:val="0BEED4A9"/>
    <w:rsid w:val="0BFEC6FF"/>
    <w:rsid w:val="0C00760F"/>
    <w:rsid w:val="0C00F4D2"/>
    <w:rsid w:val="0C03F66D"/>
    <w:rsid w:val="0C04833C"/>
    <w:rsid w:val="0C04C2FD"/>
    <w:rsid w:val="0C076C54"/>
    <w:rsid w:val="0C097D85"/>
    <w:rsid w:val="0C098572"/>
    <w:rsid w:val="0C0A1C49"/>
    <w:rsid w:val="0C0EA9BD"/>
    <w:rsid w:val="0C14F18B"/>
    <w:rsid w:val="0C193A07"/>
    <w:rsid w:val="0C1B7274"/>
    <w:rsid w:val="0C247123"/>
    <w:rsid w:val="0C25DFE0"/>
    <w:rsid w:val="0C262132"/>
    <w:rsid w:val="0C29F5A0"/>
    <w:rsid w:val="0C2C4E25"/>
    <w:rsid w:val="0C30FF4A"/>
    <w:rsid w:val="0C40C486"/>
    <w:rsid w:val="0C42871A"/>
    <w:rsid w:val="0C4AB82C"/>
    <w:rsid w:val="0C4BC205"/>
    <w:rsid w:val="0C4BE58F"/>
    <w:rsid w:val="0C4F9E7E"/>
    <w:rsid w:val="0C53E0B8"/>
    <w:rsid w:val="0C5D356D"/>
    <w:rsid w:val="0C5E5C34"/>
    <w:rsid w:val="0C62FAC7"/>
    <w:rsid w:val="0C63B38B"/>
    <w:rsid w:val="0C6743A3"/>
    <w:rsid w:val="0C71BEE4"/>
    <w:rsid w:val="0C75CEE0"/>
    <w:rsid w:val="0C7FED37"/>
    <w:rsid w:val="0C85ED14"/>
    <w:rsid w:val="0C89D07E"/>
    <w:rsid w:val="0C8A68DF"/>
    <w:rsid w:val="0C8A95B1"/>
    <w:rsid w:val="0C8D77A0"/>
    <w:rsid w:val="0C8F7509"/>
    <w:rsid w:val="0C90ED79"/>
    <w:rsid w:val="0C987888"/>
    <w:rsid w:val="0C98D4B4"/>
    <w:rsid w:val="0C9E89F8"/>
    <w:rsid w:val="0CA165F8"/>
    <w:rsid w:val="0CA34262"/>
    <w:rsid w:val="0CA7958D"/>
    <w:rsid w:val="0CABE893"/>
    <w:rsid w:val="0CAD448F"/>
    <w:rsid w:val="0CB063C1"/>
    <w:rsid w:val="0CB17B21"/>
    <w:rsid w:val="0CB71FC6"/>
    <w:rsid w:val="0CB74261"/>
    <w:rsid w:val="0CB812E4"/>
    <w:rsid w:val="0CB85C23"/>
    <w:rsid w:val="0CBC2DAA"/>
    <w:rsid w:val="0CBCC905"/>
    <w:rsid w:val="0CBD3462"/>
    <w:rsid w:val="0CBD598E"/>
    <w:rsid w:val="0CBE6A01"/>
    <w:rsid w:val="0CBF97F2"/>
    <w:rsid w:val="0CC0E154"/>
    <w:rsid w:val="0CC7742D"/>
    <w:rsid w:val="0CC826BA"/>
    <w:rsid w:val="0CC9BDAC"/>
    <w:rsid w:val="0CCC4D7A"/>
    <w:rsid w:val="0CCC7478"/>
    <w:rsid w:val="0CCE9197"/>
    <w:rsid w:val="0CCEEF52"/>
    <w:rsid w:val="0CD3A2C4"/>
    <w:rsid w:val="0CD48F9F"/>
    <w:rsid w:val="0CD5DD8B"/>
    <w:rsid w:val="0CD6DA58"/>
    <w:rsid w:val="0CD7F339"/>
    <w:rsid w:val="0CD9A7F3"/>
    <w:rsid w:val="0CDC2487"/>
    <w:rsid w:val="0CDD704D"/>
    <w:rsid w:val="0CDF37AC"/>
    <w:rsid w:val="0CE04C40"/>
    <w:rsid w:val="0CE0BAE4"/>
    <w:rsid w:val="0CE52617"/>
    <w:rsid w:val="0CE9C30E"/>
    <w:rsid w:val="0CEA0C83"/>
    <w:rsid w:val="0CEA193C"/>
    <w:rsid w:val="0CF92BD6"/>
    <w:rsid w:val="0CF9F291"/>
    <w:rsid w:val="0CFB09CB"/>
    <w:rsid w:val="0CFCC033"/>
    <w:rsid w:val="0D01DE6F"/>
    <w:rsid w:val="0D02C688"/>
    <w:rsid w:val="0D0EFB40"/>
    <w:rsid w:val="0D127C27"/>
    <w:rsid w:val="0D155CC2"/>
    <w:rsid w:val="0D16A639"/>
    <w:rsid w:val="0D198F0D"/>
    <w:rsid w:val="0D1AA93D"/>
    <w:rsid w:val="0D1B670A"/>
    <w:rsid w:val="0D1DBDFE"/>
    <w:rsid w:val="0D1EB2B3"/>
    <w:rsid w:val="0D238125"/>
    <w:rsid w:val="0D2DCC0C"/>
    <w:rsid w:val="0D315763"/>
    <w:rsid w:val="0D33D3D6"/>
    <w:rsid w:val="0D35A721"/>
    <w:rsid w:val="0D3C911E"/>
    <w:rsid w:val="0D3C9317"/>
    <w:rsid w:val="0D454C9F"/>
    <w:rsid w:val="0D4F2C78"/>
    <w:rsid w:val="0D51F1BF"/>
    <w:rsid w:val="0D5595A1"/>
    <w:rsid w:val="0D5880D7"/>
    <w:rsid w:val="0D59A2E7"/>
    <w:rsid w:val="0D5A6589"/>
    <w:rsid w:val="0D5A6B29"/>
    <w:rsid w:val="0D5AE502"/>
    <w:rsid w:val="0D5C582A"/>
    <w:rsid w:val="0D5E1F5B"/>
    <w:rsid w:val="0D62823F"/>
    <w:rsid w:val="0D630089"/>
    <w:rsid w:val="0D6336CB"/>
    <w:rsid w:val="0D653D87"/>
    <w:rsid w:val="0D661DB0"/>
    <w:rsid w:val="0D66FB55"/>
    <w:rsid w:val="0D6D39E5"/>
    <w:rsid w:val="0D70CCA9"/>
    <w:rsid w:val="0D71C4C5"/>
    <w:rsid w:val="0D7945F4"/>
    <w:rsid w:val="0D7AA582"/>
    <w:rsid w:val="0D822ACB"/>
    <w:rsid w:val="0D841BB1"/>
    <w:rsid w:val="0D862CAC"/>
    <w:rsid w:val="0D877398"/>
    <w:rsid w:val="0D894A99"/>
    <w:rsid w:val="0D894D1D"/>
    <w:rsid w:val="0D895D26"/>
    <w:rsid w:val="0D8B1255"/>
    <w:rsid w:val="0D8FB488"/>
    <w:rsid w:val="0D9BCB15"/>
    <w:rsid w:val="0DA3E398"/>
    <w:rsid w:val="0DA6A4A1"/>
    <w:rsid w:val="0DAA0BBD"/>
    <w:rsid w:val="0DAB949A"/>
    <w:rsid w:val="0DAFCF53"/>
    <w:rsid w:val="0DB38619"/>
    <w:rsid w:val="0DB565C0"/>
    <w:rsid w:val="0DB7F432"/>
    <w:rsid w:val="0DC061CE"/>
    <w:rsid w:val="0DC2108E"/>
    <w:rsid w:val="0DC42D8A"/>
    <w:rsid w:val="0DC46BAB"/>
    <w:rsid w:val="0DC80A01"/>
    <w:rsid w:val="0DC9A4C0"/>
    <w:rsid w:val="0DCFDAF9"/>
    <w:rsid w:val="0DD7D4AE"/>
    <w:rsid w:val="0DD8892D"/>
    <w:rsid w:val="0DD97B0D"/>
    <w:rsid w:val="0DDF4BA1"/>
    <w:rsid w:val="0DDF4FBD"/>
    <w:rsid w:val="0DE28690"/>
    <w:rsid w:val="0DEE8B3E"/>
    <w:rsid w:val="0DEF4F6D"/>
    <w:rsid w:val="0DF1F9D2"/>
    <w:rsid w:val="0DFC5C48"/>
    <w:rsid w:val="0E02E196"/>
    <w:rsid w:val="0E052AE5"/>
    <w:rsid w:val="0E07AB3C"/>
    <w:rsid w:val="0E0810DF"/>
    <w:rsid w:val="0E12F33A"/>
    <w:rsid w:val="0E1307A9"/>
    <w:rsid w:val="0E17B9A8"/>
    <w:rsid w:val="0E21D5FD"/>
    <w:rsid w:val="0E21E8E2"/>
    <w:rsid w:val="0E22B6A4"/>
    <w:rsid w:val="0E23B21B"/>
    <w:rsid w:val="0E2403E3"/>
    <w:rsid w:val="0E252715"/>
    <w:rsid w:val="0E2786F0"/>
    <w:rsid w:val="0E2AF776"/>
    <w:rsid w:val="0E2CD11B"/>
    <w:rsid w:val="0E2F0CA2"/>
    <w:rsid w:val="0E3A65B4"/>
    <w:rsid w:val="0E40F034"/>
    <w:rsid w:val="0E420786"/>
    <w:rsid w:val="0E4C9C18"/>
    <w:rsid w:val="0E4EEABF"/>
    <w:rsid w:val="0E50EB84"/>
    <w:rsid w:val="0E51B30B"/>
    <w:rsid w:val="0E54687E"/>
    <w:rsid w:val="0E558D53"/>
    <w:rsid w:val="0E5EB7E7"/>
    <w:rsid w:val="0E61B1CC"/>
    <w:rsid w:val="0E670A9A"/>
    <w:rsid w:val="0E693566"/>
    <w:rsid w:val="0E69CDD6"/>
    <w:rsid w:val="0E6BA4ED"/>
    <w:rsid w:val="0E6BB2CD"/>
    <w:rsid w:val="0E71F14D"/>
    <w:rsid w:val="0E7208DD"/>
    <w:rsid w:val="0E7222DA"/>
    <w:rsid w:val="0E734F1C"/>
    <w:rsid w:val="0E7E40C9"/>
    <w:rsid w:val="0E7F9E31"/>
    <w:rsid w:val="0E82E91F"/>
    <w:rsid w:val="0E868B50"/>
    <w:rsid w:val="0E923785"/>
    <w:rsid w:val="0E92CB34"/>
    <w:rsid w:val="0E950A19"/>
    <w:rsid w:val="0E957FEB"/>
    <w:rsid w:val="0E95B635"/>
    <w:rsid w:val="0E9A66FF"/>
    <w:rsid w:val="0EA00399"/>
    <w:rsid w:val="0EA0C0F2"/>
    <w:rsid w:val="0EAACC6E"/>
    <w:rsid w:val="0EAF194E"/>
    <w:rsid w:val="0EB5FFF8"/>
    <w:rsid w:val="0EB673E7"/>
    <w:rsid w:val="0EB84E2D"/>
    <w:rsid w:val="0EC14B05"/>
    <w:rsid w:val="0EC3B6A2"/>
    <w:rsid w:val="0EC5A42B"/>
    <w:rsid w:val="0EC620E7"/>
    <w:rsid w:val="0EC6D049"/>
    <w:rsid w:val="0ECC9DCF"/>
    <w:rsid w:val="0ECE5A99"/>
    <w:rsid w:val="0ECF2753"/>
    <w:rsid w:val="0ED1E2FE"/>
    <w:rsid w:val="0ED59E65"/>
    <w:rsid w:val="0ED6DA94"/>
    <w:rsid w:val="0ED8F2FF"/>
    <w:rsid w:val="0EE3C35C"/>
    <w:rsid w:val="0EEAC814"/>
    <w:rsid w:val="0EEFDB20"/>
    <w:rsid w:val="0EF220CE"/>
    <w:rsid w:val="0EF399DA"/>
    <w:rsid w:val="0EF3C1AC"/>
    <w:rsid w:val="0EF9E6AE"/>
    <w:rsid w:val="0EFD13B3"/>
    <w:rsid w:val="0F0461EC"/>
    <w:rsid w:val="0F06BF83"/>
    <w:rsid w:val="0F07925F"/>
    <w:rsid w:val="0F0AEA93"/>
    <w:rsid w:val="0F0CF3A7"/>
    <w:rsid w:val="0F0F0805"/>
    <w:rsid w:val="0F0F61F9"/>
    <w:rsid w:val="0F109EB5"/>
    <w:rsid w:val="0F1343D9"/>
    <w:rsid w:val="0F13BAF0"/>
    <w:rsid w:val="0F184741"/>
    <w:rsid w:val="0F195F67"/>
    <w:rsid w:val="0F227F0D"/>
    <w:rsid w:val="0F2A2B32"/>
    <w:rsid w:val="0F2C9A47"/>
    <w:rsid w:val="0F2CE15B"/>
    <w:rsid w:val="0F2EC236"/>
    <w:rsid w:val="0F30CE96"/>
    <w:rsid w:val="0F3AE09F"/>
    <w:rsid w:val="0F3DE001"/>
    <w:rsid w:val="0F3FC06D"/>
    <w:rsid w:val="0F41E9D2"/>
    <w:rsid w:val="0F4B0963"/>
    <w:rsid w:val="0F4EAFCA"/>
    <w:rsid w:val="0F52D42B"/>
    <w:rsid w:val="0F54CBFB"/>
    <w:rsid w:val="0F5C688E"/>
    <w:rsid w:val="0F606C0D"/>
    <w:rsid w:val="0F6D0A9B"/>
    <w:rsid w:val="0F6F7637"/>
    <w:rsid w:val="0F733848"/>
    <w:rsid w:val="0F7BEFCB"/>
    <w:rsid w:val="0F7C9C8D"/>
    <w:rsid w:val="0F7D79D4"/>
    <w:rsid w:val="0F7DE069"/>
    <w:rsid w:val="0F813D90"/>
    <w:rsid w:val="0F867955"/>
    <w:rsid w:val="0F86D045"/>
    <w:rsid w:val="0F8A6B95"/>
    <w:rsid w:val="0F93B070"/>
    <w:rsid w:val="0F93C784"/>
    <w:rsid w:val="0F951696"/>
    <w:rsid w:val="0F9C3BAB"/>
    <w:rsid w:val="0FA41852"/>
    <w:rsid w:val="0FAB12DC"/>
    <w:rsid w:val="0FAD97D6"/>
    <w:rsid w:val="0FAEF589"/>
    <w:rsid w:val="0FB54B03"/>
    <w:rsid w:val="0FB9474D"/>
    <w:rsid w:val="0FBA7E75"/>
    <w:rsid w:val="0FBB1BD9"/>
    <w:rsid w:val="0FBFF4CF"/>
    <w:rsid w:val="0FC081DF"/>
    <w:rsid w:val="0FC08519"/>
    <w:rsid w:val="0FC2BB8A"/>
    <w:rsid w:val="0FC32578"/>
    <w:rsid w:val="0FC4D921"/>
    <w:rsid w:val="0FC80F0D"/>
    <w:rsid w:val="0FCB8F42"/>
    <w:rsid w:val="0FD5289D"/>
    <w:rsid w:val="0FD5A1FD"/>
    <w:rsid w:val="0FD9C7FB"/>
    <w:rsid w:val="0FE7664B"/>
    <w:rsid w:val="0FE8A7C2"/>
    <w:rsid w:val="0FEF26A6"/>
    <w:rsid w:val="0FF07033"/>
    <w:rsid w:val="0FF11495"/>
    <w:rsid w:val="0FF3F272"/>
    <w:rsid w:val="0FF89F2D"/>
    <w:rsid w:val="0FFE4350"/>
    <w:rsid w:val="0FFFB764"/>
    <w:rsid w:val="100231CB"/>
    <w:rsid w:val="10046C10"/>
    <w:rsid w:val="1005BA64"/>
    <w:rsid w:val="1007BF0C"/>
    <w:rsid w:val="1012178B"/>
    <w:rsid w:val="101657BE"/>
    <w:rsid w:val="102083E4"/>
    <w:rsid w:val="10212EF9"/>
    <w:rsid w:val="10213E30"/>
    <w:rsid w:val="1021C77C"/>
    <w:rsid w:val="1027B019"/>
    <w:rsid w:val="102893A4"/>
    <w:rsid w:val="10294663"/>
    <w:rsid w:val="103968DC"/>
    <w:rsid w:val="103C4ADC"/>
    <w:rsid w:val="103F41FA"/>
    <w:rsid w:val="103F662B"/>
    <w:rsid w:val="10436687"/>
    <w:rsid w:val="104520A7"/>
    <w:rsid w:val="104980BE"/>
    <w:rsid w:val="104B7F22"/>
    <w:rsid w:val="104DF514"/>
    <w:rsid w:val="104EDEE8"/>
    <w:rsid w:val="10503F8A"/>
    <w:rsid w:val="10511E05"/>
    <w:rsid w:val="10563076"/>
    <w:rsid w:val="1058BA4D"/>
    <w:rsid w:val="105E3204"/>
    <w:rsid w:val="1062F5DD"/>
    <w:rsid w:val="1064D2B9"/>
    <w:rsid w:val="10672283"/>
    <w:rsid w:val="1069FAAE"/>
    <w:rsid w:val="1070A63A"/>
    <w:rsid w:val="1070F506"/>
    <w:rsid w:val="1079DEFD"/>
    <w:rsid w:val="107EEE72"/>
    <w:rsid w:val="107FB5DF"/>
    <w:rsid w:val="1080B1BB"/>
    <w:rsid w:val="1082B6C1"/>
    <w:rsid w:val="1086BE4E"/>
    <w:rsid w:val="108825F8"/>
    <w:rsid w:val="108E5E51"/>
    <w:rsid w:val="108EB56B"/>
    <w:rsid w:val="1093DBFA"/>
    <w:rsid w:val="109F5E1F"/>
    <w:rsid w:val="10A0B4C2"/>
    <w:rsid w:val="10A29F8E"/>
    <w:rsid w:val="10A4ACFB"/>
    <w:rsid w:val="10A83469"/>
    <w:rsid w:val="10B57266"/>
    <w:rsid w:val="10B7E78A"/>
    <w:rsid w:val="10B9E77E"/>
    <w:rsid w:val="10BC47E2"/>
    <w:rsid w:val="10C0881E"/>
    <w:rsid w:val="10C1D2FA"/>
    <w:rsid w:val="10C6E4F1"/>
    <w:rsid w:val="10CA3576"/>
    <w:rsid w:val="10CE753E"/>
    <w:rsid w:val="10D006FC"/>
    <w:rsid w:val="10D2A190"/>
    <w:rsid w:val="10DB1BD1"/>
    <w:rsid w:val="10DD5747"/>
    <w:rsid w:val="10E2960C"/>
    <w:rsid w:val="10E5EC70"/>
    <w:rsid w:val="10EAAF0A"/>
    <w:rsid w:val="10EADA16"/>
    <w:rsid w:val="10ED7FC5"/>
    <w:rsid w:val="10EF50B0"/>
    <w:rsid w:val="10F3B5BB"/>
    <w:rsid w:val="10F3BA05"/>
    <w:rsid w:val="10F55154"/>
    <w:rsid w:val="10F66A23"/>
    <w:rsid w:val="10FAB178"/>
    <w:rsid w:val="10FB81E6"/>
    <w:rsid w:val="10FDD6DF"/>
    <w:rsid w:val="110F258E"/>
    <w:rsid w:val="11101A5D"/>
    <w:rsid w:val="111726F2"/>
    <w:rsid w:val="1117CC53"/>
    <w:rsid w:val="112120A0"/>
    <w:rsid w:val="11221BED"/>
    <w:rsid w:val="11226985"/>
    <w:rsid w:val="112DC2C9"/>
    <w:rsid w:val="112E9E1D"/>
    <w:rsid w:val="112EA39A"/>
    <w:rsid w:val="1138B077"/>
    <w:rsid w:val="113FD7EA"/>
    <w:rsid w:val="11404349"/>
    <w:rsid w:val="1149B53E"/>
    <w:rsid w:val="1149C2F5"/>
    <w:rsid w:val="114ECAF5"/>
    <w:rsid w:val="11511E4A"/>
    <w:rsid w:val="11526E4A"/>
    <w:rsid w:val="11548396"/>
    <w:rsid w:val="1158D672"/>
    <w:rsid w:val="115B339F"/>
    <w:rsid w:val="115C9501"/>
    <w:rsid w:val="115D071C"/>
    <w:rsid w:val="115DC1C8"/>
    <w:rsid w:val="116A39F9"/>
    <w:rsid w:val="116D7EA2"/>
    <w:rsid w:val="117072F8"/>
    <w:rsid w:val="117116E4"/>
    <w:rsid w:val="1172BC97"/>
    <w:rsid w:val="117DFA5F"/>
    <w:rsid w:val="11808CBD"/>
    <w:rsid w:val="118208D0"/>
    <w:rsid w:val="118394F7"/>
    <w:rsid w:val="11857442"/>
    <w:rsid w:val="1186B6C4"/>
    <w:rsid w:val="11876881"/>
    <w:rsid w:val="118870A6"/>
    <w:rsid w:val="118BF738"/>
    <w:rsid w:val="11911D84"/>
    <w:rsid w:val="11934AEE"/>
    <w:rsid w:val="1199A811"/>
    <w:rsid w:val="11A6C370"/>
    <w:rsid w:val="11A78A97"/>
    <w:rsid w:val="11A8D560"/>
    <w:rsid w:val="11AB3B61"/>
    <w:rsid w:val="11B1F298"/>
    <w:rsid w:val="11B253A0"/>
    <w:rsid w:val="11B7B2FB"/>
    <w:rsid w:val="11B86FF9"/>
    <w:rsid w:val="11B8A637"/>
    <w:rsid w:val="11B8CE8B"/>
    <w:rsid w:val="11B98AA0"/>
    <w:rsid w:val="11BAADD9"/>
    <w:rsid w:val="11BCE83E"/>
    <w:rsid w:val="11BD6DA5"/>
    <w:rsid w:val="11BDCA67"/>
    <w:rsid w:val="11BF0344"/>
    <w:rsid w:val="11C654F2"/>
    <w:rsid w:val="11C67AC3"/>
    <w:rsid w:val="11C6D3F7"/>
    <w:rsid w:val="11C8C4E5"/>
    <w:rsid w:val="11C91E5B"/>
    <w:rsid w:val="11D61831"/>
    <w:rsid w:val="11D89577"/>
    <w:rsid w:val="11DA77C4"/>
    <w:rsid w:val="11E21900"/>
    <w:rsid w:val="11E7E070"/>
    <w:rsid w:val="11E9D2B6"/>
    <w:rsid w:val="11EED01B"/>
    <w:rsid w:val="11EF141A"/>
    <w:rsid w:val="11F2843A"/>
    <w:rsid w:val="11F7C718"/>
    <w:rsid w:val="11F8EC66"/>
    <w:rsid w:val="11FBF3D2"/>
    <w:rsid w:val="11FD7B75"/>
    <w:rsid w:val="11FE06FF"/>
    <w:rsid w:val="12010DDE"/>
    <w:rsid w:val="1205D4EA"/>
    <w:rsid w:val="120AD74D"/>
    <w:rsid w:val="12150B26"/>
    <w:rsid w:val="12162C4F"/>
    <w:rsid w:val="121B7A39"/>
    <w:rsid w:val="121F9557"/>
    <w:rsid w:val="1226FB4E"/>
    <w:rsid w:val="1227E9A4"/>
    <w:rsid w:val="1228210B"/>
    <w:rsid w:val="12302EDB"/>
    <w:rsid w:val="12317A49"/>
    <w:rsid w:val="12344BB0"/>
    <w:rsid w:val="1235FDCB"/>
    <w:rsid w:val="123C609F"/>
    <w:rsid w:val="123DE4D6"/>
    <w:rsid w:val="12451673"/>
    <w:rsid w:val="124694A4"/>
    <w:rsid w:val="1246DD54"/>
    <w:rsid w:val="12486052"/>
    <w:rsid w:val="124A385C"/>
    <w:rsid w:val="124C1E5A"/>
    <w:rsid w:val="124C6FC5"/>
    <w:rsid w:val="124F0B82"/>
    <w:rsid w:val="1254FC82"/>
    <w:rsid w:val="125735F9"/>
    <w:rsid w:val="125B5D6D"/>
    <w:rsid w:val="125FC93F"/>
    <w:rsid w:val="126116E3"/>
    <w:rsid w:val="1264838D"/>
    <w:rsid w:val="1268C1FE"/>
    <w:rsid w:val="12719BAD"/>
    <w:rsid w:val="12720F59"/>
    <w:rsid w:val="1275F01A"/>
    <w:rsid w:val="12767BCD"/>
    <w:rsid w:val="1277D1EB"/>
    <w:rsid w:val="127CB80C"/>
    <w:rsid w:val="1283CD91"/>
    <w:rsid w:val="1287BE71"/>
    <w:rsid w:val="128A45A4"/>
    <w:rsid w:val="128BC4A1"/>
    <w:rsid w:val="128F0038"/>
    <w:rsid w:val="128F7B94"/>
    <w:rsid w:val="128F8B39"/>
    <w:rsid w:val="129327C1"/>
    <w:rsid w:val="12948465"/>
    <w:rsid w:val="12952744"/>
    <w:rsid w:val="129B14CD"/>
    <w:rsid w:val="129B428C"/>
    <w:rsid w:val="129E1517"/>
    <w:rsid w:val="129E6D76"/>
    <w:rsid w:val="12A0B6BF"/>
    <w:rsid w:val="12A0F016"/>
    <w:rsid w:val="12A3758F"/>
    <w:rsid w:val="12A5C8C8"/>
    <w:rsid w:val="12A5E952"/>
    <w:rsid w:val="12A6D330"/>
    <w:rsid w:val="12A8E6AD"/>
    <w:rsid w:val="12A8F005"/>
    <w:rsid w:val="12ADD3F6"/>
    <w:rsid w:val="12AF5CDC"/>
    <w:rsid w:val="12AF807C"/>
    <w:rsid w:val="12B4CB8B"/>
    <w:rsid w:val="12B5A266"/>
    <w:rsid w:val="12B7019F"/>
    <w:rsid w:val="12B897E0"/>
    <w:rsid w:val="12BA3753"/>
    <w:rsid w:val="12BEC7D3"/>
    <w:rsid w:val="12C110FF"/>
    <w:rsid w:val="12CCF251"/>
    <w:rsid w:val="12CFDE37"/>
    <w:rsid w:val="12D246D7"/>
    <w:rsid w:val="12D51B53"/>
    <w:rsid w:val="12D65689"/>
    <w:rsid w:val="12D738A6"/>
    <w:rsid w:val="12D79872"/>
    <w:rsid w:val="12D80B5E"/>
    <w:rsid w:val="12DD45E7"/>
    <w:rsid w:val="12E095AB"/>
    <w:rsid w:val="12E3BE60"/>
    <w:rsid w:val="12E67261"/>
    <w:rsid w:val="12E6DF0A"/>
    <w:rsid w:val="12EB4EB9"/>
    <w:rsid w:val="12EBEF9B"/>
    <w:rsid w:val="12ED46EC"/>
    <w:rsid w:val="12F152B0"/>
    <w:rsid w:val="12FC1C3B"/>
    <w:rsid w:val="12FE0647"/>
    <w:rsid w:val="12FF4A57"/>
    <w:rsid w:val="1301EA58"/>
    <w:rsid w:val="13043D5B"/>
    <w:rsid w:val="130A3F40"/>
    <w:rsid w:val="130D80CA"/>
    <w:rsid w:val="13150128"/>
    <w:rsid w:val="131655AD"/>
    <w:rsid w:val="13172069"/>
    <w:rsid w:val="13176F36"/>
    <w:rsid w:val="131C9E82"/>
    <w:rsid w:val="131F4BB2"/>
    <w:rsid w:val="1322A5E5"/>
    <w:rsid w:val="132734F0"/>
    <w:rsid w:val="1328E5CF"/>
    <w:rsid w:val="13302090"/>
    <w:rsid w:val="133068A6"/>
    <w:rsid w:val="13347B65"/>
    <w:rsid w:val="1334AB88"/>
    <w:rsid w:val="13355576"/>
    <w:rsid w:val="133A53A8"/>
    <w:rsid w:val="133C1A22"/>
    <w:rsid w:val="133C68B1"/>
    <w:rsid w:val="13401CD3"/>
    <w:rsid w:val="1341D9C0"/>
    <w:rsid w:val="134E786A"/>
    <w:rsid w:val="134F0068"/>
    <w:rsid w:val="135117C4"/>
    <w:rsid w:val="1357D683"/>
    <w:rsid w:val="1357EA3B"/>
    <w:rsid w:val="1368DC0F"/>
    <w:rsid w:val="1369D6FC"/>
    <w:rsid w:val="136C7DE5"/>
    <w:rsid w:val="136DEAA4"/>
    <w:rsid w:val="13770FEC"/>
    <w:rsid w:val="1380525D"/>
    <w:rsid w:val="13845025"/>
    <w:rsid w:val="13865134"/>
    <w:rsid w:val="1388BF03"/>
    <w:rsid w:val="13891C62"/>
    <w:rsid w:val="1389E84B"/>
    <w:rsid w:val="138A50F9"/>
    <w:rsid w:val="13937EA2"/>
    <w:rsid w:val="1397658A"/>
    <w:rsid w:val="13979C55"/>
    <w:rsid w:val="13996DAA"/>
    <w:rsid w:val="139B6706"/>
    <w:rsid w:val="139CA7E8"/>
    <w:rsid w:val="13A54A9E"/>
    <w:rsid w:val="13A55EA8"/>
    <w:rsid w:val="13A60413"/>
    <w:rsid w:val="13AF4985"/>
    <w:rsid w:val="13B440E8"/>
    <w:rsid w:val="13BC3821"/>
    <w:rsid w:val="13C7C75B"/>
    <w:rsid w:val="13C8C42B"/>
    <w:rsid w:val="13CA15D6"/>
    <w:rsid w:val="13CB92F4"/>
    <w:rsid w:val="13D2C7CE"/>
    <w:rsid w:val="13D63CD6"/>
    <w:rsid w:val="13DADA82"/>
    <w:rsid w:val="13DF1085"/>
    <w:rsid w:val="13DF66C9"/>
    <w:rsid w:val="13E6EAE6"/>
    <w:rsid w:val="13E76C5E"/>
    <w:rsid w:val="13EF1401"/>
    <w:rsid w:val="13F2F11B"/>
    <w:rsid w:val="13F41AB0"/>
    <w:rsid w:val="13F54F66"/>
    <w:rsid w:val="13F79718"/>
    <w:rsid w:val="13F8947B"/>
    <w:rsid w:val="13FBE9DC"/>
    <w:rsid w:val="13FF27C1"/>
    <w:rsid w:val="14001206"/>
    <w:rsid w:val="14055A5A"/>
    <w:rsid w:val="1407D283"/>
    <w:rsid w:val="140ACE50"/>
    <w:rsid w:val="140B67C5"/>
    <w:rsid w:val="140FBD9E"/>
    <w:rsid w:val="141053B0"/>
    <w:rsid w:val="1414BAB9"/>
    <w:rsid w:val="141DCC14"/>
    <w:rsid w:val="141E3E47"/>
    <w:rsid w:val="1429A915"/>
    <w:rsid w:val="142B8DDF"/>
    <w:rsid w:val="142BF3CB"/>
    <w:rsid w:val="142C1322"/>
    <w:rsid w:val="142D1630"/>
    <w:rsid w:val="142E1608"/>
    <w:rsid w:val="14309D4E"/>
    <w:rsid w:val="1431AE7E"/>
    <w:rsid w:val="14321BD5"/>
    <w:rsid w:val="14378993"/>
    <w:rsid w:val="143AEDFA"/>
    <w:rsid w:val="14417A9A"/>
    <w:rsid w:val="14423B74"/>
    <w:rsid w:val="1449004E"/>
    <w:rsid w:val="144B2832"/>
    <w:rsid w:val="144C1EE9"/>
    <w:rsid w:val="144D4EAA"/>
    <w:rsid w:val="14512032"/>
    <w:rsid w:val="14513119"/>
    <w:rsid w:val="1461401B"/>
    <w:rsid w:val="1462EA55"/>
    <w:rsid w:val="14640B77"/>
    <w:rsid w:val="1468ADA3"/>
    <w:rsid w:val="146E02D4"/>
    <w:rsid w:val="1471E0F9"/>
    <w:rsid w:val="14722832"/>
    <w:rsid w:val="147A7C77"/>
    <w:rsid w:val="147BE2B8"/>
    <w:rsid w:val="147E633A"/>
    <w:rsid w:val="14839396"/>
    <w:rsid w:val="14865E1F"/>
    <w:rsid w:val="148899FC"/>
    <w:rsid w:val="148BA1A4"/>
    <w:rsid w:val="148C20DC"/>
    <w:rsid w:val="148DF387"/>
    <w:rsid w:val="148E6CC4"/>
    <w:rsid w:val="1492D0D6"/>
    <w:rsid w:val="149481CC"/>
    <w:rsid w:val="14962F86"/>
    <w:rsid w:val="14981FC9"/>
    <w:rsid w:val="14982CA3"/>
    <w:rsid w:val="14991ACE"/>
    <w:rsid w:val="149BBE6E"/>
    <w:rsid w:val="149F68B2"/>
    <w:rsid w:val="14A393C8"/>
    <w:rsid w:val="14A48E5C"/>
    <w:rsid w:val="14A4E86F"/>
    <w:rsid w:val="14A75072"/>
    <w:rsid w:val="14A7F679"/>
    <w:rsid w:val="14AF8280"/>
    <w:rsid w:val="14B082B8"/>
    <w:rsid w:val="14B0BBF0"/>
    <w:rsid w:val="14B1C7C7"/>
    <w:rsid w:val="14B3146D"/>
    <w:rsid w:val="14B4BFC5"/>
    <w:rsid w:val="14B91C98"/>
    <w:rsid w:val="14BF0E40"/>
    <w:rsid w:val="14C001EC"/>
    <w:rsid w:val="14C1544F"/>
    <w:rsid w:val="14C1CE57"/>
    <w:rsid w:val="14CDC941"/>
    <w:rsid w:val="14D3E61A"/>
    <w:rsid w:val="14D52CC3"/>
    <w:rsid w:val="14E3D3B7"/>
    <w:rsid w:val="14E7836F"/>
    <w:rsid w:val="14E8C8E5"/>
    <w:rsid w:val="14EE8C8D"/>
    <w:rsid w:val="14F1C16F"/>
    <w:rsid w:val="14F4B061"/>
    <w:rsid w:val="14F5CEBC"/>
    <w:rsid w:val="14F631D8"/>
    <w:rsid w:val="14F8D515"/>
    <w:rsid w:val="14FA1FEF"/>
    <w:rsid w:val="14FC2084"/>
    <w:rsid w:val="14FC4880"/>
    <w:rsid w:val="14FF90E9"/>
    <w:rsid w:val="150021A5"/>
    <w:rsid w:val="15012A1C"/>
    <w:rsid w:val="1509734C"/>
    <w:rsid w:val="150D021B"/>
    <w:rsid w:val="150D3422"/>
    <w:rsid w:val="150E93BD"/>
    <w:rsid w:val="151AD14E"/>
    <w:rsid w:val="151E6F8A"/>
    <w:rsid w:val="1522D006"/>
    <w:rsid w:val="15240BF6"/>
    <w:rsid w:val="15282BE3"/>
    <w:rsid w:val="152B105C"/>
    <w:rsid w:val="152D0A65"/>
    <w:rsid w:val="152F2253"/>
    <w:rsid w:val="153551B9"/>
    <w:rsid w:val="1535E199"/>
    <w:rsid w:val="153A3152"/>
    <w:rsid w:val="15441C62"/>
    <w:rsid w:val="1545499A"/>
    <w:rsid w:val="1545A2A3"/>
    <w:rsid w:val="154C20DA"/>
    <w:rsid w:val="154EB971"/>
    <w:rsid w:val="1556A638"/>
    <w:rsid w:val="155B8F7A"/>
    <w:rsid w:val="155CBBEA"/>
    <w:rsid w:val="155D3141"/>
    <w:rsid w:val="15600136"/>
    <w:rsid w:val="156334A4"/>
    <w:rsid w:val="1563E8B8"/>
    <w:rsid w:val="1568BCBE"/>
    <w:rsid w:val="156967FC"/>
    <w:rsid w:val="156D32A6"/>
    <w:rsid w:val="156FF36C"/>
    <w:rsid w:val="1571E69C"/>
    <w:rsid w:val="1581A124"/>
    <w:rsid w:val="1582ECF4"/>
    <w:rsid w:val="1584FE48"/>
    <w:rsid w:val="1586A7DB"/>
    <w:rsid w:val="158798DF"/>
    <w:rsid w:val="158A02A8"/>
    <w:rsid w:val="1595C2E8"/>
    <w:rsid w:val="1598B6BB"/>
    <w:rsid w:val="159A0B76"/>
    <w:rsid w:val="15A1276D"/>
    <w:rsid w:val="15A3D2C3"/>
    <w:rsid w:val="15AA2844"/>
    <w:rsid w:val="15AAD5D9"/>
    <w:rsid w:val="15AB2843"/>
    <w:rsid w:val="15AB35DC"/>
    <w:rsid w:val="15AD48C1"/>
    <w:rsid w:val="15B31A47"/>
    <w:rsid w:val="15B7C4E7"/>
    <w:rsid w:val="15BC1D74"/>
    <w:rsid w:val="15BC616F"/>
    <w:rsid w:val="15BCF69F"/>
    <w:rsid w:val="15BF0802"/>
    <w:rsid w:val="15C019ED"/>
    <w:rsid w:val="15C16F4A"/>
    <w:rsid w:val="15C18151"/>
    <w:rsid w:val="15C3A224"/>
    <w:rsid w:val="15C3C7BF"/>
    <w:rsid w:val="15C46B29"/>
    <w:rsid w:val="15C99D5B"/>
    <w:rsid w:val="15C9ACFA"/>
    <w:rsid w:val="15D18C08"/>
    <w:rsid w:val="15D6B27E"/>
    <w:rsid w:val="15D7EB6E"/>
    <w:rsid w:val="15D91186"/>
    <w:rsid w:val="15DBE51A"/>
    <w:rsid w:val="15E08C5E"/>
    <w:rsid w:val="15E0A2BC"/>
    <w:rsid w:val="15E0E44A"/>
    <w:rsid w:val="15E3ABED"/>
    <w:rsid w:val="15E4E3B0"/>
    <w:rsid w:val="15E75CB8"/>
    <w:rsid w:val="15EB1F05"/>
    <w:rsid w:val="15EC8F8C"/>
    <w:rsid w:val="15F28D12"/>
    <w:rsid w:val="15F351B3"/>
    <w:rsid w:val="15F68F31"/>
    <w:rsid w:val="15F6E8B3"/>
    <w:rsid w:val="15F945A6"/>
    <w:rsid w:val="15F96BED"/>
    <w:rsid w:val="15FCA6C4"/>
    <w:rsid w:val="16010388"/>
    <w:rsid w:val="16029A4C"/>
    <w:rsid w:val="16057400"/>
    <w:rsid w:val="160EF4FA"/>
    <w:rsid w:val="1615019B"/>
    <w:rsid w:val="161E807F"/>
    <w:rsid w:val="161F0043"/>
    <w:rsid w:val="1620E4BA"/>
    <w:rsid w:val="1625D469"/>
    <w:rsid w:val="1627C3F8"/>
    <w:rsid w:val="162A3A1C"/>
    <w:rsid w:val="162BE844"/>
    <w:rsid w:val="162EA55E"/>
    <w:rsid w:val="16332DCA"/>
    <w:rsid w:val="16371E84"/>
    <w:rsid w:val="1639395C"/>
    <w:rsid w:val="163AF9E7"/>
    <w:rsid w:val="164289F3"/>
    <w:rsid w:val="1643B185"/>
    <w:rsid w:val="16444478"/>
    <w:rsid w:val="1644CBDC"/>
    <w:rsid w:val="1644F637"/>
    <w:rsid w:val="16461E37"/>
    <w:rsid w:val="16479DFF"/>
    <w:rsid w:val="1648EE38"/>
    <w:rsid w:val="164BC4DF"/>
    <w:rsid w:val="1657BF63"/>
    <w:rsid w:val="165A446F"/>
    <w:rsid w:val="1664F7D6"/>
    <w:rsid w:val="16674FEF"/>
    <w:rsid w:val="166D315F"/>
    <w:rsid w:val="166DB780"/>
    <w:rsid w:val="166FCA7B"/>
    <w:rsid w:val="167048E5"/>
    <w:rsid w:val="1670ACC5"/>
    <w:rsid w:val="167593B2"/>
    <w:rsid w:val="167986D8"/>
    <w:rsid w:val="167A09AE"/>
    <w:rsid w:val="167AAA7D"/>
    <w:rsid w:val="167B0119"/>
    <w:rsid w:val="167CB7F6"/>
    <w:rsid w:val="1686ABB7"/>
    <w:rsid w:val="1687BC60"/>
    <w:rsid w:val="168B9BDC"/>
    <w:rsid w:val="168E0153"/>
    <w:rsid w:val="168F8C1F"/>
    <w:rsid w:val="169259A6"/>
    <w:rsid w:val="1694CA18"/>
    <w:rsid w:val="1697EB30"/>
    <w:rsid w:val="1698B796"/>
    <w:rsid w:val="16A7699F"/>
    <w:rsid w:val="16ACC87F"/>
    <w:rsid w:val="16ADD6A3"/>
    <w:rsid w:val="16AE49B1"/>
    <w:rsid w:val="16AF413E"/>
    <w:rsid w:val="16B50214"/>
    <w:rsid w:val="16B8B33F"/>
    <w:rsid w:val="16BE952E"/>
    <w:rsid w:val="16BF9325"/>
    <w:rsid w:val="16C08257"/>
    <w:rsid w:val="16C1176D"/>
    <w:rsid w:val="16C2DF64"/>
    <w:rsid w:val="16C49019"/>
    <w:rsid w:val="16C6104C"/>
    <w:rsid w:val="16CA775D"/>
    <w:rsid w:val="16CD9370"/>
    <w:rsid w:val="16CE15FF"/>
    <w:rsid w:val="16D33D06"/>
    <w:rsid w:val="16D3D816"/>
    <w:rsid w:val="16DAEC99"/>
    <w:rsid w:val="16DC3308"/>
    <w:rsid w:val="16E27BBC"/>
    <w:rsid w:val="16E46CBB"/>
    <w:rsid w:val="16E57400"/>
    <w:rsid w:val="16E61712"/>
    <w:rsid w:val="16E9EB49"/>
    <w:rsid w:val="16F1A54C"/>
    <w:rsid w:val="16F3EA41"/>
    <w:rsid w:val="16F6C9A6"/>
    <w:rsid w:val="16F710C9"/>
    <w:rsid w:val="16FECAE4"/>
    <w:rsid w:val="17009779"/>
    <w:rsid w:val="17085179"/>
    <w:rsid w:val="170B60B9"/>
    <w:rsid w:val="1718F002"/>
    <w:rsid w:val="171B6C20"/>
    <w:rsid w:val="171DC556"/>
    <w:rsid w:val="171F0C7E"/>
    <w:rsid w:val="171F4823"/>
    <w:rsid w:val="17211F80"/>
    <w:rsid w:val="17241065"/>
    <w:rsid w:val="1727249A"/>
    <w:rsid w:val="172AA307"/>
    <w:rsid w:val="172E8463"/>
    <w:rsid w:val="17306F8D"/>
    <w:rsid w:val="17489755"/>
    <w:rsid w:val="17494140"/>
    <w:rsid w:val="174DB7C6"/>
    <w:rsid w:val="17572FC6"/>
    <w:rsid w:val="175931DA"/>
    <w:rsid w:val="175CE583"/>
    <w:rsid w:val="175D214B"/>
    <w:rsid w:val="175E4151"/>
    <w:rsid w:val="17608A51"/>
    <w:rsid w:val="1760F60F"/>
    <w:rsid w:val="1763D883"/>
    <w:rsid w:val="1764F759"/>
    <w:rsid w:val="17658559"/>
    <w:rsid w:val="17660AC7"/>
    <w:rsid w:val="176882AD"/>
    <w:rsid w:val="1769BC3E"/>
    <w:rsid w:val="176A4D22"/>
    <w:rsid w:val="176DC88E"/>
    <w:rsid w:val="1773129F"/>
    <w:rsid w:val="1774B39C"/>
    <w:rsid w:val="17782951"/>
    <w:rsid w:val="17796C5B"/>
    <w:rsid w:val="177B8863"/>
    <w:rsid w:val="177B98B1"/>
    <w:rsid w:val="17831B26"/>
    <w:rsid w:val="1784E818"/>
    <w:rsid w:val="1789CFD1"/>
    <w:rsid w:val="178CD60E"/>
    <w:rsid w:val="17905CEB"/>
    <w:rsid w:val="1791C28A"/>
    <w:rsid w:val="1793DD7C"/>
    <w:rsid w:val="1796D3AB"/>
    <w:rsid w:val="17978468"/>
    <w:rsid w:val="17981EE6"/>
    <w:rsid w:val="179AD2DD"/>
    <w:rsid w:val="179C4B14"/>
    <w:rsid w:val="179FE3C8"/>
    <w:rsid w:val="17A1EB34"/>
    <w:rsid w:val="17A4CF3B"/>
    <w:rsid w:val="17AA9352"/>
    <w:rsid w:val="17AE5B08"/>
    <w:rsid w:val="17B3BD5D"/>
    <w:rsid w:val="17B81C57"/>
    <w:rsid w:val="17B8E1C2"/>
    <w:rsid w:val="17BBE14C"/>
    <w:rsid w:val="17C18782"/>
    <w:rsid w:val="17C75B0C"/>
    <w:rsid w:val="17CAAAB5"/>
    <w:rsid w:val="17CE6957"/>
    <w:rsid w:val="17CF6C89"/>
    <w:rsid w:val="17CFD7F0"/>
    <w:rsid w:val="17DE0B49"/>
    <w:rsid w:val="17DEF900"/>
    <w:rsid w:val="17DFF298"/>
    <w:rsid w:val="17E77D6D"/>
    <w:rsid w:val="17EBFC69"/>
    <w:rsid w:val="17EE1688"/>
    <w:rsid w:val="17F4553D"/>
    <w:rsid w:val="17F7CD18"/>
    <w:rsid w:val="17FB2D5C"/>
    <w:rsid w:val="17FB383B"/>
    <w:rsid w:val="17FC3C9A"/>
    <w:rsid w:val="17FDA50A"/>
    <w:rsid w:val="17FFA91B"/>
    <w:rsid w:val="18035F9B"/>
    <w:rsid w:val="18052697"/>
    <w:rsid w:val="18071844"/>
    <w:rsid w:val="18071E8B"/>
    <w:rsid w:val="180C0CB7"/>
    <w:rsid w:val="1811DD73"/>
    <w:rsid w:val="18153236"/>
    <w:rsid w:val="1816E0BE"/>
    <w:rsid w:val="18180F32"/>
    <w:rsid w:val="18196431"/>
    <w:rsid w:val="181AF6BA"/>
    <w:rsid w:val="182D5F23"/>
    <w:rsid w:val="182DB83C"/>
    <w:rsid w:val="182E37B5"/>
    <w:rsid w:val="183193D0"/>
    <w:rsid w:val="1832250D"/>
    <w:rsid w:val="1836C411"/>
    <w:rsid w:val="18407057"/>
    <w:rsid w:val="1841765D"/>
    <w:rsid w:val="18449795"/>
    <w:rsid w:val="184595A5"/>
    <w:rsid w:val="1848CBE9"/>
    <w:rsid w:val="18527C49"/>
    <w:rsid w:val="18531546"/>
    <w:rsid w:val="1857308C"/>
    <w:rsid w:val="1859BBF0"/>
    <w:rsid w:val="185B2A18"/>
    <w:rsid w:val="185D7B7A"/>
    <w:rsid w:val="185DC02C"/>
    <w:rsid w:val="185F7F91"/>
    <w:rsid w:val="185FB1D0"/>
    <w:rsid w:val="18641AB7"/>
    <w:rsid w:val="1869A9A8"/>
    <w:rsid w:val="186C3015"/>
    <w:rsid w:val="186E5004"/>
    <w:rsid w:val="18709F5E"/>
    <w:rsid w:val="1871F7A6"/>
    <w:rsid w:val="1884AE71"/>
    <w:rsid w:val="1888CF87"/>
    <w:rsid w:val="188C0236"/>
    <w:rsid w:val="188DAF0E"/>
    <w:rsid w:val="1894B817"/>
    <w:rsid w:val="18952048"/>
    <w:rsid w:val="189698D3"/>
    <w:rsid w:val="1896B104"/>
    <w:rsid w:val="18974550"/>
    <w:rsid w:val="1898045B"/>
    <w:rsid w:val="18A817CD"/>
    <w:rsid w:val="18A82D15"/>
    <w:rsid w:val="18A9DFAD"/>
    <w:rsid w:val="18AFDD6E"/>
    <w:rsid w:val="18B1B85C"/>
    <w:rsid w:val="18B7D317"/>
    <w:rsid w:val="18B81C6B"/>
    <w:rsid w:val="18BAF9F5"/>
    <w:rsid w:val="18BD86BF"/>
    <w:rsid w:val="18C58BA1"/>
    <w:rsid w:val="18CABDAE"/>
    <w:rsid w:val="18CC5CC5"/>
    <w:rsid w:val="18CD1CD5"/>
    <w:rsid w:val="18CE06D4"/>
    <w:rsid w:val="18CEB7EF"/>
    <w:rsid w:val="18CF239C"/>
    <w:rsid w:val="18CFC0D8"/>
    <w:rsid w:val="18D245E5"/>
    <w:rsid w:val="18D3BF3E"/>
    <w:rsid w:val="18DB576A"/>
    <w:rsid w:val="18DD6897"/>
    <w:rsid w:val="18DE41D5"/>
    <w:rsid w:val="18E505DD"/>
    <w:rsid w:val="18E7607A"/>
    <w:rsid w:val="18E7E775"/>
    <w:rsid w:val="18E84965"/>
    <w:rsid w:val="18F01028"/>
    <w:rsid w:val="18F23755"/>
    <w:rsid w:val="18F504AD"/>
    <w:rsid w:val="18F85458"/>
    <w:rsid w:val="18FA8EC2"/>
    <w:rsid w:val="18FB2287"/>
    <w:rsid w:val="18FF1586"/>
    <w:rsid w:val="18FF6145"/>
    <w:rsid w:val="190F6E72"/>
    <w:rsid w:val="1914452B"/>
    <w:rsid w:val="1918C5E4"/>
    <w:rsid w:val="191A6695"/>
    <w:rsid w:val="191AC7BB"/>
    <w:rsid w:val="191F244A"/>
    <w:rsid w:val="1925833E"/>
    <w:rsid w:val="19282677"/>
    <w:rsid w:val="192BFA93"/>
    <w:rsid w:val="19303761"/>
    <w:rsid w:val="19383077"/>
    <w:rsid w:val="1938E227"/>
    <w:rsid w:val="19399920"/>
    <w:rsid w:val="193C24C1"/>
    <w:rsid w:val="193D3590"/>
    <w:rsid w:val="19422DC2"/>
    <w:rsid w:val="19466F75"/>
    <w:rsid w:val="19472827"/>
    <w:rsid w:val="194CA946"/>
    <w:rsid w:val="194D7962"/>
    <w:rsid w:val="1951D531"/>
    <w:rsid w:val="195265D4"/>
    <w:rsid w:val="195B360D"/>
    <w:rsid w:val="195E9DB9"/>
    <w:rsid w:val="1961D3C2"/>
    <w:rsid w:val="1962497B"/>
    <w:rsid w:val="196688AE"/>
    <w:rsid w:val="1968DFFB"/>
    <w:rsid w:val="19690886"/>
    <w:rsid w:val="196B2C17"/>
    <w:rsid w:val="196B4CA6"/>
    <w:rsid w:val="196F9FC4"/>
    <w:rsid w:val="1970B821"/>
    <w:rsid w:val="1974A01B"/>
    <w:rsid w:val="19755054"/>
    <w:rsid w:val="197C2D03"/>
    <w:rsid w:val="198017B8"/>
    <w:rsid w:val="19804CB0"/>
    <w:rsid w:val="1981A09B"/>
    <w:rsid w:val="19855CE4"/>
    <w:rsid w:val="1988A5A5"/>
    <w:rsid w:val="198C8EF6"/>
    <w:rsid w:val="198D3731"/>
    <w:rsid w:val="198EB238"/>
    <w:rsid w:val="198F2BDB"/>
    <w:rsid w:val="19905BF6"/>
    <w:rsid w:val="19922B3E"/>
    <w:rsid w:val="19993832"/>
    <w:rsid w:val="199D16F7"/>
    <w:rsid w:val="199DD030"/>
    <w:rsid w:val="19A0BB84"/>
    <w:rsid w:val="19A4F4F9"/>
    <w:rsid w:val="19A8B9B5"/>
    <w:rsid w:val="19AAEC17"/>
    <w:rsid w:val="19C636C9"/>
    <w:rsid w:val="19CEA8BD"/>
    <w:rsid w:val="19D10EDC"/>
    <w:rsid w:val="19D8ACA8"/>
    <w:rsid w:val="19DC63BF"/>
    <w:rsid w:val="19E07842"/>
    <w:rsid w:val="19E36D61"/>
    <w:rsid w:val="19E80308"/>
    <w:rsid w:val="19E85FB2"/>
    <w:rsid w:val="19E96641"/>
    <w:rsid w:val="19EC6A77"/>
    <w:rsid w:val="19EFADFE"/>
    <w:rsid w:val="19F1011E"/>
    <w:rsid w:val="19F18241"/>
    <w:rsid w:val="19FC0B39"/>
    <w:rsid w:val="19FC4B21"/>
    <w:rsid w:val="1A052E24"/>
    <w:rsid w:val="1A0A84C6"/>
    <w:rsid w:val="1A0AFA24"/>
    <w:rsid w:val="1A0B009F"/>
    <w:rsid w:val="1A12D38B"/>
    <w:rsid w:val="1A131293"/>
    <w:rsid w:val="1A1BB3F6"/>
    <w:rsid w:val="1A1DB5CC"/>
    <w:rsid w:val="1A22F201"/>
    <w:rsid w:val="1A258DA4"/>
    <w:rsid w:val="1A2906A9"/>
    <w:rsid w:val="1A294BC1"/>
    <w:rsid w:val="1A297640"/>
    <w:rsid w:val="1A2ABF01"/>
    <w:rsid w:val="1A2BC35B"/>
    <w:rsid w:val="1A2F9CEB"/>
    <w:rsid w:val="1A30A273"/>
    <w:rsid w:val="1A3461E7"/>
    <w:rsid w:val="1A34AB89"/>
    <w:rsid w:val="1A363A1B"/>
    <w:rsid w:val="1A38ECE0"/>
    <w:rsid w:val="1A394D48"/>
    <w:rsid w:val="1A3F4C50"/>
    <w:rsid w:val="1A4BCBBA"/>
    <w:rsid w:val="1A535D91"/>
    <w:rsid w:val="1A55FA74"/>
    <w:rsid w:val="1A5C0987"/>
    <w:rsid w:val="1A60AA0D"/>
    <w:rsid w:val="1A671A7A"/>
    <w:rsid w:val="1A6E24F9"/>
    <w:rsid w:val="1A6FEC97"/>
    <w:rsid w:val="1A747314"/>
    <w:rsid w:val="1A77E52F"/>
    <w:rsid w:val="1A7F5921"/>
    <w:rsid w:val="1A7FAA05"/>
    <w:rsid w:val="1A81133E"/>
    <w:rsid w:val="1A829804"/>
    <w:rsid w:val="1A82D9E2"/>
    <w:rsid w:val="1A833456"/>
    <w:rsid w:val="1A84484E"/>
    <w:rsid w:val="1A8743E6"/>
    <w:rsid w:val="1A8D3658"/>
    <w:rsid w:val="1A8DA763"/>
    <w:rsid w:val="1A951C9D"/>
    <w:rsid w:val="1A9783C1"/>
    <w:rsid w:val="1A9936CD"/>
    <w:rsid w:val="1A9B0810"/>
    <w:rsid w:val="1A9B7CBC"/>
    <w:rsid w:val="1AAA340C"/>
    <w:rsid w:val="1AAB5925"/>
    <w:rsid w:val="1AABA6C8"/>
    <w:rsid w:val="1AB060C4"/>
    <w:rsid w:val="1AB7E90C"/>
    <w:rsid w:val="1ABA0B48"/>
    <w:rsid w:val="1AC24F60"/>
    <w:rsid w:val="1AC78031"/>
    <w:rsid w:val="1AC79791"/>
    <w:rsid w:val="1AD455D8"/>
    <w:rsid w:val="1ADDDE60"/>
    <w:rsid w:val="1AE04C34"/>
    <w:rsid w:val="1AE26C24"/>
    <w:rsid w:val="1AE368BA"/>
    <w:rsid w:val="1AEAB5E6"/>
    <w:rsid w:val="1AEE1BA0"/>
    <w:rsid w:val="1AF70789"/>
    <w:rsid w:val="1AFAD5D6"/>
    <w:rsid w:val="1AFC047A"/>
    <w:rsid w:val="1B007CE3"/>
    <w:rsid w:val="1B0C9B99"/>
    <w:rsid w:val="1B0D66F9"/>
    <w:rsid w:val="1B163A5A"/>
    <w:rsid w:val="1B17F2B2"/>
    <w:rsid w:val="1B196FC9"/>
    <w:rsid w:val="1B1AFB9A"/>
    <w:rsid w:val="1B1CD887"/>
    <w:rsid w:val="1B1E698D"/>
    <w:rsid w:val="1B1FE5F8"/>
    <w:rsid w:val="1B33375D"/>
    <w:rsid w:val="1B355267"/>
    <w:rsid w:val="1B364A44"/>
    <w:rsid w:val="1B389871"/>
    <w:rsid w:val="1B3D5AFE"/>
    <w:rsid w:val="1B3EC48C"/>
    <w:rsid w:val="1B3F4F66"/>
    <w:rsid w:val="1B3F972C"/>
    <w:rsid w:val="1B44ED33"/>
    <w:rsid w:val="1B49E544"/>
    <w:rsid w:val="1B4F845B"/>
    <w:rsid w:val="1B511338"/>
    <w:rsid w:val="1B5380B4"/>
    <w:rsid w:val="1B56FAA1"/>
    <w:rsid w:val="1B57101F"/>
    <w:rsid w:val="1B5B5EA4"/>
    <w:rsid w:val="1B5BF522"/>
    <w:rsid w:val="1B5BF70B"/>
    <w:rsid w:val="1B5E9308"/>
    <w:rsid w:val="1B5EEE10"/>
    <w:rsid w:val="1B5F8FB4"/>
    <w:rsid w:val="1B657541"/>
    <w:rsid w:val="1B66EC9F"/>
    <w:rsid w:val="1B680E22"/>
    <w:rsid w:val="1B698E4C"/>
    <w:rsid w:val="1B6DF496"/>
    <w:rsid w:val="1B6FDBD9"/>
    <w:rsid w:val="1B6FE3F0"/>
    <w:rsid w:val="1B728F8A"/>
    <w:rsid w:val="1B746B0C"/>
    <w:rsid w:val="1B74B563"/>
    <w:rsid w:val="1B74F473"/>
    <w:rsid w:val="1B751FCE"/>
    <w:rsid w:val="1B7AF5A4"/>
    <w:rsid w:val="1B7DAE2A"/>
    <w:rsid w:val="1B811761"/>
    <w:rsid w:val="1B832800"/>
    <w:rsid w:val="1B8880B6"/>
    <w:rsid w:val="1B8B7459"/>
    <w:rsid w:val="1B90D960"/>
    <w:rsid w:val="1B917552"/>
    <w:rsid w:val="1B9209B9"/>
    <w:rsid w:val="1B9B2D48"/>
    <w:rsid w:val="1B9BD6FC"/>
    <w:rsid w:val="1BA039E0"/>
    <w:rsid w:val="1BAA9F07"/>
    <w:rsid w:val="1BAE26F6"/>
    <w:rsid w:val="1BAE3FBE"/>
    <w:rsid w:val="1BB25C4E"/>
    <w:rsid w:val="1BB48BB8"/>
    <w:rsid w:val="1BB7715B"/>
    <w:rsid w:val="1BB8A4B8"/>
    <w:rsid w:val="1BBD3DD9"/>
    <w:rsid w:val="1BBE389B"/>
    <w:rsid w:val="1BC6A331"/>
    <w:rsid w:val="1BC8DDFD"/>
    <w:rsid w:val="1BD2BF75"/>
    <w:rsid w:val="1BD4884B"/>
    <w:rsid w:val="1BD58C06"/>
    <w:rsid w:val="1BD85DEC"/>
    <w:rsid w:val="1BE3A3BF"/>
    <w:rsid w:val="1BE906B0"/>
    <w:rsid w:val="1BEA93D9"/>
    <w:rsid w:val="1BEC2CC6"/>
    <w:rsid w:val="1BEEA95D"/>
    <w:rsid w:val="1BF2E4F3"/>
    <w:rsid w:val="1BF9204F"/>
    <w:rsid w:val="1BFA9432"/>
    <w:rsid w:val="1C022CCF"/>
    <w:rsid w:val="1C032D03"/>
    <w:rsid w:val="1C058955"/>
    <w:rsid w:val="1C094AD1"/>
    <w:rsid w:val="1C0BC013"/>
    <w:rsid w:val="1C13A67C"/>
    <w:rsid w:val="1C170BD0"/>
    <w:rsid w:val="1C17387A"/>
    <w:rsid w:val="1C200C76"/>
    <w:rsid w:val="1C291DCE"/>
    <w:rsid w:val="1C291DF0"/>
    <w:rsid w:val="1C2DE123"/>
    <w:rsid w:val="1C31FD8D"/>
    <w:rsid w:val="1C36A060"/>
    <w:rsid w:val="1C379556"/>
    <w:rsid w:val="1C40040A"/>
    <w:rsid w:val="1C45511A"/>
    <w:rsid w:val="1C4C772B"/>
    <w:rsid w:val="1C4EFCAD"/>
    <w:rsid w:val="1C51E43D"/>
    <w:rsid w:val="1C55E98E"/>
    <w:rsid w:val="1C596B70"/>
    <w:rsid w:val="1C62C379"/>
    <w:rsid w:val="1C6B03AD"/>
    <w:rsid w:val="1C833AF0"/>
    <w:rsid w:val="1C87FD67"/>
    <w:rsid w:val="1C890776"/>
    <w:rsid w:val="1C8DE76B"/>
    <w:rsid w:val="1C8F11A5"/>
    <w:rsid w:val="1C96C6C4"/>
    <w:rsid w:val="1CA021F3"/>
    <w:rsid w:val="1CA8C58C"/>
    <w:rsid w:val="1CAB90A1"/>
    <w:rsid w:val="1CADEF44"/>
    <w:rsid w:val="1CAF0C22"/>
    <w:rsid w:val="1CAFD940"/>
    <w:rsid w:val="1CB202D6"/>
    <w:rsid w:val="1CB8A230"/>
    <w:rsid w:val="1CB9C85D"/>
    <w:rsid w:val="1CBBFE0D"/>
    <w:rsid w:val="1CBDAAAD"/>
    <w:rsid w:val="1CBE62EA"/>
    <w:rsid w:val="1CC5E089"/>
    <w:rsid w:val="1CC9141B"/>
    <w:rsid w:val="1CCF556C"/>
    <w:rsid w:val="1CD4279B"/>
    <w:rsid w:val="1CDAB15C"/>
    <w:rsid w:val="1CDC220C"/>
    <w:rsid w:val="1CDC5311"/>
    <w:rsid w:val="1CDE7E9D"/>
    <w:rsid w:val="1CE20C78"/>
    <w:rsid w:val="1CE303C4"/>
    <w:rsid w:val="1CE971A4"/>
    <w:rsid w:val="1CEB2F77"/>
    <w:rsid w:val="1CEE1097"/>
    <w:rsid w:val="1CF00507"/>
    <w:rsid w:val="1CF076F4"/>
    <w:rsid w:val="1CF26901"/>
    <w:rsid w:val="1CF386A9"/>
    <w:rsid w:val="1CFBEB80"/>
    <w:rsid w:val="1CFE5EDF"/>
    <w:rsid w:val="1CFFCFD4"/>
    <w:rsid w:val="1D03315B"/>
    <w:rsid w:val="1D0EFA29"/>
    <w:rsid w:val="1D11BF9C"/>
    <w:rsid w:val="1D17BC03"/>
    <w:rsid w:val="1D1CDACC"/>
    <w:rsid w:val="1D1D26CB"/>
    <w:rsid w:val="1D1F693C"/>
    <w:rsid w:val="1D20DD60"/>
    <w:rsid w:val="1D25A228"/>
    <w:rsid w:val="1D2E38A0"/>
    <w:rsid w:val="1D33F7BA"/>
    <w:rsid w:val="1D353FC6"/>
    <w:rsid w:val="1D36C606"/>
    <w:rsid w:val="1D391B03"/>
    <w:rsid w:val="1D408354"/>
    <w:rsid w:val="1D410EE5"/>
    <w:rsid w:val="1D4386D4"/>
    <w:rsid w:val="1D46D15E"/>
    <w:rsid w:val="1D4A496E"/>
    <w:rsid w:val="1D589E92"/>
    <w:rsid w:val="1D5A809D"/>
    <w:rsid w:val="1D5B189B"/>
    <w:rsid w:val="1D5D6962"/>
    <w:rsid w:val="1D63A8F0"/>
    <w:rsid w:val="1D672C5B"/>
    <w:rsid w:val="1D6999ED"/>
    <w:rsid w:val="1D72FE2A"/>
    <w:rsid w:val="1D768D42"/>
    <w:rsid w:val="1D77E92C"/>
    <w:rsid w:val="1D78DBBD"/>
    <w:rsid w:val="1D79D4DB"/>
    <w:rsid w:val="1D7A993D"/>
    <w:rsid w:val="1D841FE2"/>
    <w:rsid w:val="1D873A1C"/>
    <w:rsid w:val="1D87B6BB"/>
    <w:rsid w:val="1D9034D4"/>
    <w:rsid w:val="1D93C595"/>
    <w:rsid w:val="1D9589C3"/>
    <w:rsid w:val="1D968494"/>
    <w:rsid w:val="1D98F7F6"/>
    <w:rsid w:val="1D99A7AA"/>
    <w:rsid w:val="1D9DBB45"/>
    <w:rsid w:val="1DA2023E"/>
    <w:rsid w:val="1DA7E74E"/>
    <w:rsid w:val="1DA82C8A"/>
    <w:rsid w:val="1DA89B7A"/>
    <w:rsid w:val="1DB13F5E"/>
    <w:rsid w:val="1DB5CCC4"/>
    <w:rsid w:val="1DB608ED"/>
    <w:rsid w:val="1DB697CA"/>
    <w:rsid w:val="1DB80CB0"/>
    <w:rsid w:val="1DB85D78"/>
    <w:rsid w:val="1DBA3C64"/>
    <w:rsid w:val="1DBAE59C"/>
    <w:rsid w:val="1DBE739E"/>
    <w:rsid w:val="1DBEF1B5"/>
    <w:rsid w:val="1DCABECE"/>
    <w:rsid w:val="1DCF203F"/>
    <w:rsid w:val="1DD2F0E4"/>
    <w:rsid w:val="1DD31719"/>
    <w:rsid w:val="1DD94AD5"/>
    <w:rsid w:val="1DDE6FAA"/>
    <w:rsid w:val="1DDED71C"/>
    <w:rsid w:val="1DE4FDE1"/>
    <w:rsid w:val="1DE71EFA"/>
    <w:rsid w:val="1DE8BCDC"/>
    <w:rsid w:val="1DEAAB7C"/>
    <w:rsid w:val="1DEC0ECB"/>
    <w:rsid w:val="1DEED8E3"/>
    <w:rsid w:val="1DF0F291"/>
    <w:rsid w:val="1DF15289"/>
    <w:rsid w:val="1DF2A863"/>
    <w:rsid w:val="1DF2F514"/>
    <w:rsid w:val="1DF35E92"/>
    <w:rsid w:val="1DF49A14"/>
    <w:rsid w:val="1DF4F0F5"/>
    <w:rsid w:val="1DF5871F"/>
    <w:rsid w:val="1DFC5343"/>
    <w:rsid w:val="1DFE2B25"/>
    <w:rsid w:val="1E01BEA8"/>
    <w:rsid w:val="1E07BE35"/>
    <w:rsid w:val="1E087C95"/>
    <w:rsid w:val="1E088079"/>
    <w:rsid w:val="1E0DDE5A"/>
    <w:rsid w:val="1E0FAB91"/>
    <w:rsid w:val="1E123382"/>
    <w:rsid w:val="1E149BA8"/>
    <w:rsid w:val="1E1D759F"/>
    <w:rsid w:val="1E2738E0"/>
    <w:rsid w:val="1E29928B"/>
    <w:rsid w:val="1E2F4370"/>
    <w:rsid w:val="1E32FD03"/>
    <w:rsid w:val="1E3579A6"/>
    <w:rsid w:val="1E383928"/>
    <w:rsid w:val="1E38CC0E"/>
    <w:rsid w:val="1E3C2600"/>
    <w:rsid w:val="1E3C9AA9"/>
    <w:rsid w:val="1E3FBEAE"/>
    <w:rsid w:val="1E43ED98"/>
    <w:rsid w:val="1E43EFF3"/>
    <w:rsid w:val="1E446809"/>
    <w:rsid w:val="1E4E0E23"/>
    <w:rsid w:val="1E4E5416"/>
    <w:rsid w:val="1E511282"/>
    <w:rsid w:val="1E51B594"/>
    <w:rsid w:val="1E5B8395"/>
    <w:rsid w:val="1E5D2471"/>
    <w:rsid w:val="1E5EF7D5"/>
    <w:rsid w:val="1E603A77"/>
    <w:rsid w:val="1E66A51C"/>
    <w:rsid w:val="1E6EB289"/>
    <w:rsid w:val="1E6F339D"/>
    <w:rsid w:val="1E70AE92"/>
    <w:rsid w:val="1E758589"/>
    <w:rsid w:val="1E819B6C"/>
    <w:rsid w:val="1E85A926"/>
    <w:rsid w:val="1E8796EC"/>
    <w:rsid w:val="1E8F4236"/>
    <w:rsid w:val="1E909266"/>
    <w:rsid w:val="1E90EFCB"/>
    <w:rsid w:val="1E928B4D"/>
    <w:rsid w:val="1E973534"/>
    <w:rsid w:val="1E97CFE1"/>
    <w:rsid w:val="1E985F49"/>
    <w:rsid w:val="1E9DC255"/>
    <w:rsid w:val="1E9DE18D"/>
    <w:rsid w:val="1E9FF956"/>
    <w:rsid w:val="1EA001DC"/>
    <w:rsid w:val="1EA02878"/>
    <w:rsid w:val="1EA1E729"/>
    <w:rsid w:val="1EA64576"/>
    <w:rsid w:val="1EA7DF78"/>
    <w:rsid w:val="1EA828CE"/>
    <w:rsid w:val="1EAB1784"/>
    <w:rsid w:val="1EBA0D4E"/>
    <w:rsid w:val="1EBA9984"/>
    <w:rsid w:val="1EBAD51B"/>
    <w:rsid w:val="1EBBF912"/>
    <w:rsid w:val="1EBC011A"/>
    <w:rsid w:val="1EC60118"/>
    <w:rsid w:val="1EC76260"/>
    <w:rsid w:val="1EC8FB9F"/>
    <w:rsid w:val="1ED44E16"/>
    <w:rsid w:val="1ED4FDE3"/>
    <w:rsid w:val="1ED6CED8"/>
    <w:rsid w:val="1ED859DB"/>
    <w:rsid w:val="1ED9E811"/>
    <w:rsid w:val="1EDCB739"/>
    <w:rsid w:val="1EDF94F2"/>
    <w:rsid w:val="1EE029EE"/>
    <w:rsid w:val="1EEDE6EA"/>
    <w:rsid w:val="1EF24263"/>
    <w:rsid w:val="1EF2D635"/>
    <w:rsid w:val="1EF443FC"/>
    <w:rsid w:val="1EF99058"/>
    <w:rsid w:val="1F02A286"/>
    <w:rsid w:val="1F02A77A"/>
    <w:rsid w:val="1F05FFFF"/>
    <w:rsid w:val="1F0600F0"/>
    <w:rsid w:val="1F065B01"/>
    <w:rsid w:val="1F08025A"/>
    <w:rsid w:val="1F0A6219"/>
    <w:rsid w:val="1F0D4BEC"/>
    <w:rsid w:val="1F0EA601"/>
    <w:rsid w:val="1F16E3A7"/>
    <w:rsid w:val="1F180099"/>
    <w:rsid w:val="1F1DF10D"/>
    <w:rsid w:val="1F1E5BBC"/>
    <w:rsid w:val="1F1F4EF6"/>
    <w:rsid w:val="1F203103"/>
    <w:rsid w:val="1F212BA8"/>
    <w:rsid w:val="1F21B566"/>
    <w:rsid w:val="1F235C7C"/>
    <w:rsid w:val="1F252FF8"/>
    <w:rsid w:val="1F287570"/>
    <w:rsid w:val="1F28D665"/>
    <w:rsid w:val="1F2A523B"/>
    <w:rsid w:val="1F2C227F"/>
    <w:rsid w:val="1F2D3324"/>
    <w:rsid w:val="1F31262B"/>
    <w:rsid w:val="1F33A1A9"/>
    <w:rsid w:val="1F3436EC"/>
    <w:rsid w:val="1F366A25"/>
    <w:rsid w:val="1F38E710"/>
    <w:rsid w:val="1F422DD5"/>
    <w:rsid w:val="1F44610C"/>
    <w:rsid w:val="1F447451"/>
    <w:rsid w:val="1F46401A"/>
    <w:rsid w:val="1F48726B"/>
    <w:rsid w:val="1F4AF712"/>
    <w:rsid w:val="1F4EBE57"/>
    <w:rsid w:val="1F511EDE"/>
    <w:rsid w:val="1F5146BE"/>
    <w:rsid w:val="1F5A5D93"/>
    <w:rsid w:val="1F5C6F52"/>
    <w:rsid w:val="1F6B0286"/>
    <w:rsid w:val="1F6BCE9D"/>
    <w:rsid w:val="1F733DE7"/>
    <w:rsid w:val="1F7880B5"/>
    <w:rsid w:val="1F80B056"/>
    <w:rsid w:val="1F83E0C9"/>
    <w:rsid w:val="1F852DED"/>
    <w:rsid w:val="1F89A326"/>
    <w:rsid w:val="1F8C5644"/>
    <w:rsid w:val="1F9185A5"/>
    <w:rsid w:val="1F94F7D8"/>
    <w:rsid w:val="1F9683FB"/>
    <w:rsid w:val="1F96B303"/>
    <w:rsid w:val="1F97C9DB"/>
    <w:rsid w:val="1FA52AEA"/>
    <w:rsid w:val="1FA6FA6E"/>
    <w:rsid w:val="1FAA0FF7"/>
    <w:rsid w:val="1FAA562A"/>
    <w:rsid w:val="1FB7DAE8"/>
    <w:rsid w:val="1FB95AC9"/>
    <w:rsid w:val="1FBA0CF2"/>
    <w:rsid w:val="1FC2BB67"/>
    <w:rsid w:val="1FD98B1E"/>
    <w:rsid w:val="1FDF5010"/>
    <w:rsid w:val="1FDFB8B3"/>
    <w:rsid w:val="1FE1B967"/>
    <w:rsid w:val="1FE2460F"/>
    <w:rsid w:val="1FE249F5"/>
    <w:rsid w:val="1FE57EE9"/>
    <w:rsid w:val="1FE5CB2A"/>
    <w:rsid w:val="1FEACF55"/>
    <w:rsid w:val="1FECF873"/>
    <w:rsid w:val="1FEE11A2"/>
    <w:rsid w:val="1FF616AB"/>
    <w:rsid w:val="1FF8A29E"/>
    <w:rsid w:val="1FFC88CF"/>
    <w:rsid w:val="1FFD9490"/>
    <w:rsid w:val="2007692F"/>
    <w:rsid w:val="2011C3FA"/>
    <w:rsid w:val="2011F7F9"/>
    <w:rsid w:val="20209891"/>
    <w:rsid w:val="2025D534"/>
    <w:rsid w:val="2032E737"/>
    <w:rsid w:val="2035FA79"/>
    <w:rsid w:val="203898FB"/>
    <w:rsid w:val="203BD88F"/>
    <w:rsid w:val="203E7E37"/>
    <w:rsid w:val="203F4C26"/>
    <w:rsid w:val="203FAB6A"/>
    <w:rsid w:val="2046C44A"/>
    <w:rsid w:val="204C6CC6"/>
    <w:rsid w:val="2053ACF3"/>
    <w:rsid w:val="2053EB6A"/>
    <w:rsid w:val="205BEB30"/>
    <w:rsid w:val="205DE34A"/>
    <w:rsid w:val="2062F8A7"/>
    <w:rsid w:val="20650552"/>
    <w:rsid w:val="206527F9"/>
    <w:rsid w:val="2066DFEC"/>
    <w:rsid w:val="206A118C"/>
    <w:rsid w:val="2070B949"/>
    <w:rsid w:val="2073F6F3"/>
    <w:rsid w:val="207681B0"/>
    <w:rsid w:val="2077CAD0"/>
    <w:rsid w:val="207AA70F"/>
    <w:rsid w:val="207EC6C6"/>
    <w:rsid w:val="20801BE5"/>
    <w:rsid w:val="20817067"/>
    <w:rsid w:val="20836B8B"/>
    <w:rsid w:val="20897557"/>
    <w:rsid w:val="2091D079"/>
    <w:rsid w:val="20933A25"/>
    <w:rsid w:val="20965020"/>
    <w:rsid w:val="2096787C"/>
    <w:rsid w:val="209A71CA"/>
    <w:rsid w:val="209B3771"/>
    <w:rsid w:val="20A18C91"/>
    <w:rsid w:val="20A34A50"/>
    <w:rsid w:val="20A68465"/>
    <w:rsid w:val="20A96CA0"/>
    <w:rsid w:val="20B1A961"/>
    <w:rsid w:val="20BEB833"/>
    <w:rsid w:val="20BF694A"/>
    <w:rsid w:val="20C481CC"/>
    <w:rsid w:val="20C744D0"/>
    <w:rsid w:val="20C7B314"/>
    <w:rsid w:val="20CC390D"/>
    <w:rsid w:val="20CEC987"/>
    <w:rsid w:val="20D37995"/>
    <w:rsid w:val="20D4B3A5"/>
    <w:rsid w:val="20D5369B"/>
    <w:rsid w:val="20D5563B"/>
    <w:rsid w:val="20D8948C"/>
    <w:rsid w:val="20EC6155"/>
    <w:rsid w:val="20F43630"/>
    <w:rsid w:val="20F5BC93"/>
    <w:rsid w:val="21000CBE"/>
    <w:rsid w:val="21057125"/>
    <w:rsid w:val="21085FBC"/>
    <w:rsid w:val="21094DAB"/>
    <w:rsid w:val="210E1BDF"/>
    <w:rsid w:val="21106AD3"/>
    <w:rsid w:val="211110C6"/>
    <w:rsid w:val="21122831"/>
    <w:rsid w:val="2115BE89"/>
    <w:rsid w:val="2118975F"/>
    <w:rsid w:val="211B652A"/>
    <w:rsid w:val="211D73DE"/>
    <w:rsid w:val="211EDD63"/>
    <w:rsid w:val="21250D61"/>
    <w:rsid w:val="212615E0"/>
    <w:rsid w:val="2127474D"/>
    <w:rsid w:val="2129F825"/>
    <w:rsid w:val="212CBEA7"/>
    <w:rsid w:val="212FC6E9"/>
    <w:rsid w:val="212FD475"/>
    <w:rsid w:val="2130E915"/>
    <w:rsid w:val="21354EF7"/>
    <w:rsid w:val="21389E4F"/>
    <w:rsid w:val="213A1429"/>
    <w:rsid w:val="213A7C98"/>
    <w:rsid w:val="21449839"/>
    <w:rsid w:val="21466226"/>
    <w:rsid w:val="2151D20E"/>
    <w:rsid w:val="2152C997"/>
    <w:rsid w:val="21539CC7"/>
    <w:rsid w:val="2155046C"/>
    <w:rsid w:val="21588F9E"/>
    <w:rsid w:val="215A726D"/>
    <w:rsid w:val="215BE5C0"/>
    <w:rsid w:val="216284FB"/>
    <w:rsid w:val="2163A26D"/>
    <w:rsid w:val="21670598"/>
    <w:rsid w:val="2168D6DB"/>
    <w:rsid w:val="216C26FB"/>
    <w:rsid w:val="216CEB07"/>
    <w:rsid w:val="216D7B89"/>
    <w:rsid w:val="216E35C0"/>
    <w:rsid w:val="217450F1"/>
    <w:rsid w:val="217592F4"/>
    <w:rsid w:val="2176A790"/>
    <w:rsid w:val="21797FBB"/>
    <w:rsid w:val="217A502F"/>
    <w:rsid w:val="218015CE"/>
    <w:rsid w:val="218081B9"/>
    <w:rsid w:val="2182F814"/>
    <w:rsid w:val="218583D0"/>
    <w:rsid w:val="218CA96E"/>
    <w:rsid w:val="2190D573"/>
    <w:rsid w:val="219C4DB1"/>
    <w:rsid w:val="21A230D3"/>
    <w:rsid w:val="21A27AA8"/>
    <w:rsid w:val="21A87D9D"/>
    <w:rsid w:val="21A99C24"/>
    <w:rsid w:val="21AEE33D"/>
    <w:rsid w:val="21B08705"/>
    <w:rsid w:val="21B2C612"/>
    <w:rsid w:val="21B5BD70"/>
    <w:rsid w:val="21B6A762"/>
    <w:rsid w:val="21B6CAAC"/>
    <w:rsid w:val="21B71531"/>
    <w:rsid w:val="21B73ED8"/>
    <w:rsid w:val="21B96DC7"/>
    <w:rsid w:val="21BD5180"/>
    <w:rsid w:val="21BE8655"/>
    <w:rsid w:val="21C70E67"/>
    <w:rsid w:val="21C7B502"/>
    <w:rsid w:val="21CA85AC"/>
    <w:rsid w:val="21D159C3"/>
    <w:rsid w:val="21D2767D"/>
    <w:rsid w:val="21D31E02"/>
    <w:rsid w:val="21D59124"/>
    <w:rsid w:val="21D604BE"/>
    <w:rsid w:val="21D7B340"/>
    <w:rsid w:val="21DA7A2B"/>
    <w:rsid w:val="21DA9813"/>
    <w:rsid w:val="21DD38AA"/>
    <w:rsid w:val="21DDCC13"/>
    <w:rsid w:val="21DE68B7"/>
    <w:rsid w:val="21E1A84E"/>
    <w:rsid w:val="21E3F1D6"/>
    <w:rsid w:val="21E55617"/>
    <w:rsid w:val="21E5AD4F"/>
    <w:rsid w:val="21E805E4"/>
    <w:rsid w:val="21EB0A98"/>
    <w:rsid w:val="21F03386"/>
    <w:rsid w:val="21F33938"/>
    <w:rsid w:val="21F3F9C4"/>
    <w:rsid w:val="21F44262"/>
    <w:rsid w:val="21F532AF"/>
    <w:rsid w:val="21FA1AA6"/>
    <w:rsid w:val="21FB28EE"/>
    <w:rsid w:val="21FC6EB2"/>
    <w:rsid w:val="21FCA509"/>
    <w:rsid w:val="21FD0216"/>
    <w:rsid w:val="21FE5921"/>
    <w:rsid w:val="220590A6"/>
    <w:rsid w:val="22061CD1"/>
    <w:rsid w:val="220AD6B8"/>
    <w:rsid w:val="2212CB56"/>
    <w:rsid w:val="2216B110"/>
    <w:rsid w:val="2217CD55"/>
    <w:rsid w:val="221E8D82"/>
    <w:rsid w:val="22205DE8"/>
    <w:rsid w:val="22244C0E"/>
    <w:rsid w:val="2224A8B8"/>
    <w:rsid w:val="2235AAE0"/>
    <w:rsid w:val="2238AD63"/>
    <w:rsid w:val="223E9648"/>
    <w:rsid w:val="22431188"/>
    <w:rsid w:val="2244F302"/>
    <w:rsid w:val="2249E38D"/>
    <w:rsid w:val="224C796C"/>
    <w:rsid w:val="224CF92B"/>
    <w:rsid w:val="225282ED"/>
    <w:rsid w:val="22539E06"/>
    <w:rsid w:val="2253F253"/>
    <w:rsid w:val="2255F372"/>
    <w:rsid w:val="22574952"/>
    <w:rsid w:val="22580C11"/>
    <w:rsid w:val="2258E3F4"/>
    <w:rsid w:val="2259E1BC"/>
    <w:rsid w:val="226124F2"/>
    <w:rsid w:val="226300A7"/>
    <w:rsid w:val="22639B1D"/>
    <w:rsid w:val="2263BD92"/>
    <w:rsid w:val="2265DEBF"/>
    <w:rsid w:val="226A4281"/>
    <w:rsid w:val="226CD257"/>
    <w:rsid w:val="22754F16"/>
    <w:rsid w:val="2276A248"/>
    <w:rsid w:val="227A4422"/>
    <w:rsid w:val="227CB228"/>
    <w:rsid w:val="2282BBF0"/>
    <w:rsid w:val="2285DCA0"/>
    <w:rsid w:val="2285F944"/>
    <w:rsid w:val="22867396"/>
    <w:rsid w:val="2286AE40"/>
    <w:rsid w:val="2286F9E5"/>
    <w:rsid w:val="22889815"/>
    <w:rsid w:val="228CDD98"/>
    <w:rsid w:val="22911687"/>
    <w:rsid w:val="2291C312"/>
    <w:rsid w:val="2291FA41"/>
    <w:rsid w:val="22987851"/>
    <w:rsid w:val="229DAEA0"/>
    <w:rsid w:val="22A74A4B"/>
    <w:rsid w:val="22AA29F6"/>
    <w:rsid w:val="22AC9F75"/>
    <w:rsid w:val="22AE677D"/>
    <w:rsid w:val="22B04380"/>
    <w:rsid w:val="22B8344B"/>
    <w:rsid w:val="22BA580E"/>
    <w:rsid w:val="22BD339B"/>
    <w:rsid w:val="22C32123"/>
    <w:rsid w:val="22C6BB08"/>
    <w:rsid w:val="22CAA2A9"/>
    <w:rsid w:val="22D1E4E2"/>
    <w:rsid w:val="22D44E3B"/>
    <w:rsid w:val="22D477A6"/>
    <w:rsid w:val="22D5041C"/>
    <w:rsid w:val="22DF439D"/>
    <w:rsid w:val="22E54C08"/>
    <w:rsid w:val="22E86CF3"/>
    <w:rsid w:val="22EB5D33"/>
    <w:rsid w:val="22ECE66B"/>
    <w:rsid w:val="22ECFCF9"/>
    <w:rsid w:val="22EEBC0E"/>
    <w:rsid w:val="22F016AD"/>
    <w:rsid w:val="22F1BDF1"/>
    <w:rsid w:val="22F3EFAC"/>
    <w:rsid w:val="22F4C983"/>
    <w:rsid w:val="22F5A0D8"/>
    <w:rsid w:val="22F6BB37"/>
    <w:rsid w:val="22FB78A1"/>
    <w:rsid w:val="22FE2D96"/>
    <w:rsid w:val="22FEF2A7"/>
    <w:rsid w:val="22FF94A0"/>
    <w:rsid w:val="22FFAB45"/>
    <w:rsid w:val="2314A520"/>
    <w:rsid w:val="231B4EE3"/>
    <w:rsid w:val="23260FA1"/>
    <w:rsid w:val="23305DBD"/>
    <w:rsid w:val="233E6A6C"/>
    <w:rsid w:val="2341C655"/>
    <w:rsid w:val="2348EB33"/>
    <w:rsid w:val="234C8DA6"/>
    <w:rsid w:val="234DE87A"/>
    <w:rsid w:val="2355EC8D"/>
    <w:rsid w:val="235924C5"/>
    <w:rsid w:val="235B475A"/>
    <w:rsid w:val="235DB1ED"/>
    <w:rsid w:val="235FA616"/>
    <w:rsid w:val="2363DFC8"/>
    <w:rsid w:val="23667C90"/>
    <w:rsid w:val="23673BC1"/>
    <w:rsid w:val="2367F2B7"/>
    <w:rsid w:val="23691882"/>
    <w:rsid w:val="236AC6E5"/>
    <w:rsid w:val="236AF357"/>
    <w:rsid w:val="236DC297"/>
    <w:rsid w:val="236FE720"/>
    <w:rsid w:val="2374859A"/>
    <w:rsid w:val="2376E853"/>
    <w:rsid w:val="237EAA89"/>
    <w:rsid w:val="23851FDE"/>
    <w:rsid w:val="2385F254"/>
    <w:rsid w:val="2388EAC8"/>
    <w:rsid w:val="238B0220"/>
    <w:rsid w:val="23960855"/>
    <w:rsid w:val="239771DA"/>
    <w:rsid w:val="2397EBF9"/>
    <w:rsid w:val="239A0C19"/>
    <w:rsid w:val="239BDB5D"/>
    <w:rsid w:val="239CF265"/>
    <w:rsid w:val="23A03C37"/>
    <w:rsid w:val="23A1CD4E"/>
    <w:rsid w:val="23A3128D"/>
    <w:rsid w:val="23A58FA8"/>
    <w:rsid w:val="23A6C754"/>
    <w:rsid w:val="23AAC1B6"/>
    <w:rsid w:val="23ACC61A"/>
    <w:rsid w:val="23B3C6F8"/>
    <w:rsid w:val="23B87233"/>
    <w:rsid w:val="23BA0C1C"/>
    <w:rsid w:val="23BD6C3C"/>
    <w:rsid w:val="23BDB597"/>
    <w:rsid w:val="23BFC14D"/>
    <w:rsid w:val="23C195EB"/>
    <w:rsid w:val="23C9B043"/>
    <w:rsid w:val="23D22E12"/>
    <w:rsid w:val="23D2749F"/>
    <w:rsid w:val="23D469FF"/>
    <w:rsid w:val="23D789A4"/>
    <w:rsid w:val="23DA3E48"/>
    <w:rsid w:val="23DA7F05"/>
    <w:rsid w:val="23DAB92C"/>
    <w:rsid w:val="23DF854D"/>
    <w:rsid w:val="23ED15D7"/>
    <w:rsid w:val="23F14926"/>
    <w:rsid w:val="23F24D7B"/>
    <w:rsid w:val="23FC3459"/>
    <w:rsid w:val="23FDF055"/>
    <w:rsid w:val="24001368"/>
    <w:rsid w:val="24007E57"/>
    <w:rsid w:val="240167F0"/>
    <w:rsid w:val="2402CE46"/>
    <w:rsid w:val="2403A441"/>
    <w:rsid w:val="24047F06"/>
    <w:rsid w:val="24095F63"/>
    <w:rsid w:val="240A9D08"/>
    <w:rsid w:val="240DC7CF"/>
    <w:rsid w:val="240E62A9"/>
    <w:rsid w:val="240E68F4"/>
    <w:rsid w:val="240EDCC9"/>
    <w:rsid w:val="24148F83"/>
    <w:rsid w:val="2418736D"/>
    <w:rsid w:val="241923BE"/>
    <w:rsid w:val="24214FD2"/>
    <w:rsid w:val="242430FF"/>
    <w:rsid w:val="24273746"/>
    <w:rsid w:val="2428981E"/>
    <w:rsid w:val="242A1864"/>
    <w:rsid w:val="242BBF1A"/>
    <w:rsid w:val="242D1D2A"/>
    <w:rsid w:val="242D39D9"/>
    <w:rsid w:val="243325B7"/>
    <w:rsid w:val="2436AF75"/>
    <w:rsid w:val="2436AFE1"/>
    <w:rsid w:val="2437741A"/>
    <w:rsid w:val="2448730B"/>
    <w:rsid w:val="24501565"/>
    <w:rsid w:val="2451A163"/>
    <w:rsid w:val="245451F0"/>
    <w:rsid w:val="245BF273"/>
    <w:rsid w:val="2467FE1A"/>
    <w:rsid w:val="2468BD7C"/>
    <w:rsid w:val="2469639F"/>
    <w:rsid w:val="246A1F33"/>
    <w:rsid w:val="246B1DFE"/>
    <w:rsid w:val="246EA8DF"/>
    <w:rsid w:val="24707448"/>
    <w:rsid w:val="247167B9"/>
    <w:rsid w:val="2473337B"/>
    <w:rsid w:val="24748F9C"/>
    <w:rsid w:val="2474F66B"/>
    <w:rsid w:val="24790A0C"/>
    <w:rsid w:val="247A53BA"/>
    <w:rsid w:val="247B182D"/>
    <w:rsid w:val="247DBAC1"/>
    <w:rsid w:val="2481C655"/>
    <w:rsid w:val="2482686A"/>
    <w:rsid w:val="24881852"/>
    <w:rsid w:val="24883233"/>
    <w:rsid w:val="2488AA86"/>
    <w:rsid w:val="249615BA"/>
    <w:rsid w:val="24992606"/>
    <w:rsid w:val="249A04FE"/>
    <w:rsid w:val="249CF78E"/>
    <w:rsid w:val="249EFDFF"/>
    <w:rsid w:val="24A05606"/>
    <w:rsid w:val="24A5941A"/>
    <w:rsid w:val="24A5A4C7"/>
    <w:rsid w:val="24AA599B"/>
    <w:rsid w:val="24AEB46B"/>
    <w:rsid w:val="24B1F436"/>
    <w:rsid w:val="24B29370"/>
    <w:rsid w:val="24B60F3A"/>
    <w:rsid w:val="24B80DEE"/>
    <w:rsid w:val="24BB9683"/>
    <w:rsid w:val="24BFEBC8"/>
    <w:rsid w:val="24C39D61"/>
    <w:rsid w:val="24C82B9D"/>
    <w:rsid w:val="24CB6C9F"/>
    <w:rsid w:val="24CC5A84"/>
    <w:rsid w:val="24D0CAF4"/>
    <w:rsid w:val="24D388F7"/>
    <w:rsid w:val="24D51608"/>
    <w:rsid w:val="24DA4261"/>
    <w:rsid w:val="24DADEBB"/>
    <w:rsid w:val="24DDC14B"/>
    <w:rsid w:val="24E5EBD8"/>
    <w:rsid w:val="24E87C8D"/>
    <w:rsid w:val="24EADAD9"/>
    <w:rsid w:val="24F4DEBF"/>
    <w:rsid w:val="24F88C87"/>
    <w:rsid w:val="24FAF70B"/>
    <w:rsid w:val="24FAF78E"/>
    <w:rsid w:val="250B7F92"/>
    <w:rsid w:val="250ECC52"/>
    <w:rsid w:val="250FF014"/>
    <w:rsid w:val="25103658"/>
    <w:rsid w:val="25124176"/>
    <w:rsid w:val="2515244D"/>
    <w:rsid w:val="251F96BC"/>
    <w:rsid w:val="2520FAA0"/>
    <w:rsid w:val="25216E56"/>
    <w:rsid w:val="25233E99"/>
    <w:rsid w:val="252C7340"/>
    <w:rsid w:val="252C86E7"/>
    <w:rsid w:val="252CE5D4"/>
    <w:rsid w:val="2530729E"/>
    <w:rsid w:val="253404D9"/>
    <w:rsid w:val="2537044A"/>
    <w:rsid w:val="2538862A"/>
    <w:rsid w:val="25392C1A"/>
    <w:rsid w:val="253ED789"/>
    <w:rsid w:val="254027FA"/>
    <w:rsid w:val="2542C405"/>
    <w:rsid w:val="2543FD9B"/>
    <w:rsid w:val="2545D50A"/>
    <w:rsid w:val="2548506B"/>
    <w:rsid w:val="254A1654"/>
    <w:rsid w:val="2550C278"/>
    <w:rsid w:val="25514406"/>
    <w:rsid w:val="255F210B"/>
    <w:rsid w:val="255FD49B"/>
    <w:rsid w:val="2562C9AE"/>
    <w:rsid w:val="25632508"/>
    <w:rsid w:val="2566FB49"/>
    <w:rsid w:val="256A183C"/>
    <w:rsid w:val="257095E7"/>
    <w:rsid w:val="2572934A"/>
    <w:rsid w:val="2572E4A8"/>
    <w:rsid w:val="25785BA8"/>
    <w:rsid w:val="2578C23F"/>
    <w:rsid w:val="2578E2C1"/>
    <w:rsid w:val="257CD05B"/>
    <w:rsid w:val="257D3F6F"/>
    <w:rsid w:val="257EF9AF"/>
    <w:rsid w:val="2582EE9F"/>
    <w:rsid w:val="25830E8F"/>
    <w:rsid w:val="258E7367"/>
    <w:rsid w:val="258F6986"/>
    <w:rsid w:val="25912249"/>
    <w:rsid w:val="25927D5E"/>
    <w:rsid w:val="25943243"/>
    <w:rsid w:val="25961F7F"/>
    <w:rsid w:val="25989429"/>
    <w:rsid w:val="25989AB3"/>
    <w:rsid w:val="25A17B1B"/>
    <w:rsid w:val="25A71068"/>
    <w:rsid w:val="25A89596"/>
    <w:rsid w:val="25B23EC8"/>
    <w:rsid w:val="25B3397A"/>
    <w:rsid w:val="25BA461E"/>
    <w:rsid w:val="25BF1E3C"/>
    <w:rsid w:val="25C25E2C"/>
    <w:rsid w:val="25CE0FF2"/>
    <w:rsid w:val="25D28FC7"/>
    <w:rsid w:val="25D3BF27"/>
    <w:rsid w:val="25D59928"/>
    <w:rsid w:val="25D740C8"/>
    <w:rsid w:val="25DAD430"/>
    <w:rsid w:val="25DAE526"/>
    <w:rsid w:val="25DE8B94"/>
    <w:rsid w:val="25E0151A"/>
    <w:rsid w:val="25E213F1"/>
    <w:rsid w:val="25E2F8C9"/>
    <w:rsid w:val="25E2FCC6"/>
    <w:rsid w:val="25E4DDF2"/>
    <w:rsid w:val="25EF8C37"/>
    <w:rsid w:val="25F05AC2"/>
    <w:rsid w:val="25F6284E"/>
    <w:rsid w:val="25FAC27C"/>
    <w:rsid w:val="25FE74B2"/>
    <w:rsid w:val="25FFF43B"/>
    <w:rsid w:val="2604F8DA"/>
    <w:rsid w:val="2609994E"/>
    <w:rsid w:val="2616C7B9"/>
    <w:rsid w:val="26171522"/>
    <w:rsid w:val="261BA58F"/>
    <w:rsid w:val="261D69E0"/>
    <w:rsid w:val="261E2986"/>
    <w:rsid w:val="2620CE02"/>
    <w:rsid w:val="2626DF9E"/>
    <w:rsid w:val="26348408"/>
    <w:rsid w:val="2634D5B9"/>
    <w:rsid w:val="263609FC"/>
    <w:rsid w:val="263620FD"/>
    <w:rsid w:val="2637BCB8"/>
    <w:rsid w:val="263A754A"/>
    <w:rsid w:val="263FE005"/>
    <w:rsid w:val="2640025B"/>
    <w:rsid w:val="2646A5E3"/>
    <w:rsid w:val="26499397"/>
    <w:rsid w:val="264A126B"/>
    <w:rsid w:val="264E5143"/>
    <w:rsid w:val="26623835"/>
    <w:rsid w:val="266509CB"/>
    <w:rsid w:val="2665448E"/>
    <w:rsid w:val="266660C0"/>
    <w:rsid w:val="26670C8C"/>
    <w:rsid w:val="26701A18"/>
    <w:rsid w:val="2674881F"/>
    <w:rsid w:val="26794799"/>
    <w:rsid w:val="267AD79F"/>
    <w:rsid w:val="267F0054"/>
    <w:rsid w:val="2681AD34"/>
    <w:rsid w:val="2683036B"/>
    <w:rsid w:val="26837C8E"/>
    <w:rsid w:val="26873643"/>
    <w:rsid w:val="2687F745"/>
    <w:rsid w:val="268ACCDA"/>
    <w:rsid w:val="269019E4"/>
    <w:rsid w:val="269A2017"/>
    <w:rsid w:val="269C0049"/>
    <w:rsid w:val="269E1DBF"/>
    <w:rsid w:val="26A2941F"/>
    <w:rsid w:val="26AB10C2"/>
    <w:rsid w:val="26ABAA9D"/>
    <w:rsid w:val="26ADDD61"/>
    <w:rsid w:val="26B3FA44"/>
    <w:rsid w:val="26B52484"/>
    <w:rsid w:val="26B8ED34"/>
    <w:rsid w:val="26BC7573"/>
    <w:rsid w:val="26BEA905"/>
    <w:rsid w:val="26C22807"/>
    <w:rsid w:val="26C67A32"/>
    <w:rsid w:val="26C6A44A"/>
    <w:rsid w:val="26C9466B"/>
    <w:rsid w:val="26CA6F15"/>
    <w:rsid w:val="26CBB496"/>
    <w:rsid w:val="26CD9AC9"/>
    <w:rsid w:val="26CE7B26"/>
    <w:rsid w:val="26D90165"/>
    <w:rsid w:val="26DC6204"/>
    <w:rsid w:val="26E02F85"/>
    <w:rsid w:val="26E0CE94"/>
    <w:rsid w:val="26E99CA2"/>
    <w:rsid w:val="26EC8E72"/>
    <w:rsid w:val="26EF0C89"/>
    <w:rsid w:val="26EFC165"/>
    <w:rsid w:val="26F0DD91"/>
    <w:rsid w:val="26F4AB21"/>
    <w:rsid w:val="26F4D266"/>
    <w:rsid w:val="26F7FF8B"/>
    <w:rsid w:val="26FCD183"/>
    <w:rsid w:val="27015B6E"/>
    <w:rsid w:val="270794D4"/>
    <w:rsid w:val="270B6F48"/>
    <w:rsid w:val="27148599"/>
    <w:rsid w:val="2719D603"/>
    <w:rsid w:val="271EDF76"/>
    <w:rsid w:val="272372E8"/>
    <w:rsid w:val="272CB1DF"/>
    <w:rsid w:val="272D9249"/>
    <w:rsid w:val="273A32D8"/>
    <w:rsid w:val="2742E168"/>
    <w:rsid w:val="2743066B"/>
    <w:rsid w:val="2747A61F"/>
    <w:rsid w:val="27486E48"/>
    <w:rsid w:val="2752D561"/>
    <w:rsid w:val="2752F5B2"/>
    <w:rsid w:val="2755F08D"/>
    <w:rsid w:val="27626D96"/>
    <w:rsid w:val="2764933A"/>
    <w:rsid w:val="276A05D5"/>
    <w:rsid w:val="27754FE6"/>
    <w:rsid w:val="2775D986"/>
    <w:rsid w:val="277B8317"/>
    <w:rsid w:val="277BE208"/>
    <w:rsid w:val="277D5FE4"/>
    <w:rsid w:val="277F42DE"/>
    <w:rsid w:val="278183F2"/>
    <w:rsid w:val="2783AE1D"/>
    <w:rsid w:val="2787EBED"/>
    <w:rsid w:val="278973C4"/>
    <w:rsid w:val="278B7CED"/>
    <w:rsid w:val="278F30DE"/>
    <w:rsid w:val="278F73CA"/>
    <w:rsid w:val="2792A821"/>
    <w:rsid w:val="279342EC"/>
    <w:rsid w:val="2797C00A"/>
    <w:rsid w:val="279F5593"/>
    <w:rsid w:val="27A223D1"/>
    <w:rsid w:val="27A32168"/>
    <w:rsid w:val="27A352BF"/>
    <w:rsid w:val="27A58CC6"/>
    <w:rsid w:val="27A7C69F"/>
    <w:rsid w:val="27A961B7"/>
    <w:rsid w:val="27A99ED8"/>
    <w:rsid w:val="27B121B6"/>
    <w:rsid w:val="27B5C152"/>
    <w:rsid w:val="27B5F3B7"/>
    <w:rsid w:val="27B64C0D"/>
    <w:rsid w:val="27B67E8E"/>
    <w:rsid w:val="27B6C8E0"/>
    <w:rsid w:val="27BE2088"/>
    <w:rsid w:val="27C7D830"/>
    <w:rsid w:val="27C964EC"/>
    <w:rsid w:val="27CFD559"/>
    <w:rsid w:val="27D0A5A7"/>
    <w:rsid w:val="27DB2A88"/>
    <w:rsid w:val="27DEB077"/>
    <w:rsid w:val="27DF3386"/>
    <w:rsid w:val="27E8FCC3"/>
    <w:rsid w:val="27ED8BD3"/>
    <w:rsid w:val="27F19736"/>
    <w:rsid w:val="27F210A7"/>
    <w:rsid w:val="27F28A06"/>
    <w:rsid w:val="27FAA96B"/>
    <w:rsid w:val="27FECE97"/>
    <w:rsid w:val="2800BC52"/>
    <w:rsid w:val="280292C4"/>
    <w:rsid w:val="2807986C"/>
    <w:rsid w:val="2808E8C2"/>
    <w:rsid w:val="280970E0"/>
    <w:rsid w:val="28151771"/>
    <w:rsid w:val="28170736"/>
    <w:rsid w:val="281BA646"/>
    <w:rsid w:val="281EE5D9"/>
    <w:rsid w:val="28209499"/>
    <w:rsid w:val="28216304"/>
    <w:rsid w:val="2826207D"/>
    <w:rsid w:val="282713E1"/>
    <w:rsid w:val="282873CA"/>
    <w:rsid w:val="282928D1"/>
    <w:rsid w:val="282C860B"/>
    <w:rsid w:val="282CF3CA"/>
    <w:rsid w:val="282E0B8C"/>
    <w:rsid w:val="28365DBA"/>
    <w:rsid w:val="2836BEE7"/>
    <w:rsid w:val="2836FDED"/>
    <w:rsid w:val="28379034"/>
    <w:rsid w:val="283B0A64"/>
    <w:rsid w:val="283B1650"/>
    <w:rsid w:val="2842356F"/>
    <w:rsid w:val="2842C93D"/>
    <w:rsid w:val="2857D9CF"/>
    <w:rsid w:val="285BCC03"/>
    <w:rsid w:val="285C6529"/>
    <w:rsid w:val="285D042E"/>
    <w:rsid w:val="2862889F"/>
    <w:rsid w:val="2863028A"/>
    <w:rsid w:val="2863BB33"/>
    <w:rsid w:val="28719AE0"/>
    <w:rsid w:val="28738BAB"/>
    <w:rsid w:val="287663C4"/>
    <w:rsid w:val="287765A1"/>
    <w:rsid w:val="287BF3CF"/>
    <w:rsid w:val="287D4400"/>
    <w:rsid w:val="287E8B1F"/>
    <w:rsid w:val="28807D26"/>
    <w:rsid w:val="28846C2E"/>
    <w:rsid w:val="2885EC70"/>
    <w:rsid w:val="28865E75"/>
    <w:rsid w:val="28876851"/>
    <w:rsid w:val="288961A7"/>
    <w:rsid w:val="288C313F"/>
    <w:rsid w:val="28916536"/>
    <w:rsid w:val="28916FB2"/>
    <w:rsid w:val="289273B6"/>
    <w:rsid w:val="2893A313"/>
    <w:rsid w:val="2894B4C3"/>
    <w:rsid w:val="289509F3"/>
    <w:rsid w:val="28953B22"/>
    <w:rsid w:val="2895F4EF"/>
    <w:rsid w:val="2898BDF1"/>
    <w:rsid w:val="289A4298"/>
    <w:rsid w:val="28A187C5"/>
    <w:rsid w:val="28A1A043"/>
    <w:rsid w:val="28A304A6"/>
    <w:rsid w:val="28A44132"/>
    <w:rsid w:val="28A77D5E"/>
    <w:rsid w:val="28A8B58D"/>
    <w:rsid w:val="28A90CA4"/>
    <w:rsid w:val="28AAD283"/>
    <w:rsid w:val="28B01611"/>
    <w:rsid w:val="28B3137C"/>
    <w:rsid w:val="28BC1F3C"/>
    <w:rsid w:val="28BCB903"/>
    <w:rsid w:val="28BCBF39"/>
    <w:rsid w:val="28C339E7"/>
    <w:rsid w:val="28C44679"/>
    <w:rsid w:val="28C53278"/>
    <w:rsid w:val="28CC8D29"/>
    <w:rsid w:val="28CF0288"/>
    <w:rsid w:val="28D0E421"/>
    <w:rsid w:val="28D19A00"/>
    <w:rsid w:val="28D89AAA"/>
    <w:rsid w:val="28E2BDC4"/>
    <w:rsid w:val="28E7F9BF"/>
    <w:rsid w:val="28E8941B"/>
    <w:rsid w:val="28EE4CC0"/>
    <w:rsid w:val="28F0F4CE"/>
    <w:rsid w:val="28F4AB16"/>
    <w:rsid w:val="28FE43D2"/>
    <w:rsid w:val="29007B8F"/>
    <w:rsid w:val="2902CE1C"/>
    <w:rsid w:val="29036AE1"/>
    <w:rsid w:val="290B7D8F"/>
    <w:rsid w:val="290E142E"/>
    <w:rsid w:val="290F71C8"/>
    <w:rsid w:val="290FF409"/>
    <w:rsid w:val="2915D3FA"/>
    <w:rsid w:val="2919E535"/>
    <w:rsid w:val="291A9F86"/>
    <w:rsid w:val="291C0D4D"/>
    <w:rsid w:val="292B41A4"/>
    <w:rsid w:val="292BDD13"/>
    <w:rsid w:val="292C7905"/>
    <w:rsid w:val="292C8C61"/>
    <w:rsid w:val="292DA0EB"/>
    <w:rsid w:val="292FCBCD"/>
    <w:rsid w:val="29329FA1"/>
    <w:rsid w:val="29374D13"/>
    <w:rsid w:val="293B4098"/>
    <w:rsid w:val="2941012A"/>
    <w:rsid w:val="29486B47"/>
    <w:rsid w:val="2949CE5C"/>
    <w:rsid w:val="294EC5B2"/>
    <w:rsid w:val="29507E9C"/>
    <w:rsid w:val="29537695"/>
    <w:rsid w:val="29547962"/>
    <w:rsid w:val="295E14CD"/>
    <w:rsid w:val="2961C031"/>
    <w:rsid w:val="2962EAC8"/>
    <w:rsid w:val="29687398"/>
    <w:rsid w:val="296B87E7"/>
    <w:rsid w:val="2971B82A"/>
    <w:rsid w:val="29728F66"/>
    <w:rsid w:val="29741175"/>
    <w:rsid w:val="297842A3"/>
    <w:rsid w:val="29793528"/>
    <w:rsid w:val="297CAE4E"/>
    <w:rsid w:val="297E600F"/>
    <w:rsid w:val="2983AEEA"/>
    <w:rsid w:val="29873301"/>
    <w:rsid w:val="298E5AB9"/>
    <w:rsid w:val="2990E7BA"/>
    <w:rsid w:val="2990F313"/>
    <w:rsid w:val="2996D90C"/>
    <w:rsid w:val="2996EF66"/>
    <w:rsid w:val="29971714"/>
    <w:rsid w:val="29A88C5C"/>
    <w:rsid w:val="29ABFEA2"/>
    <w:rsid w:val="29AEF9CB"/>
    <w:rsid w:val="29B032BF"/>
    <w:rsid w:val="29B0BB73"/>
    <w:rsid w:val="29B91AC4"/>
    <w:rsid w:val="29BDD033"/>
    <w:rsid w:val="29BE9F9E"/>
    <w:rsid w:val="29BED90C"/>
    <w:rsid w:val="29C815D3"/>
    <w:rsid w:val="29CE8092"/>
    <w:rsid w:val="29D04C98"/>
    <w:rsid w:val="29D4E232"/>
    <w:rsid w:val="29D6C4E7"/>
    <w:rsid w:val="29D74705"/>
    <w:rsid w:val="29D8C07F"/>
    <w:rsid w:val="29D9BE7D"/>
    <w:rsid w:val="29DA585F"/>
    <w:rsid w:val="29DA93D1"/>
    <w:rsid w:val="29DB9CCE"/>
    <w:rsid w:val="29DED496"/>
    <w:rsid w:val="29E0110F"/>
    <w:rsid w:val="29E3336D"/>
    <w:rsid w:val="29E4DD75"/>
    <w:rsid w:val="29ECBB5E"/>
    <w:rsid w:val="29F2D921"/>
    <w:rsid w:val="29F4075F"/>
    <w:rsid w:val="29F7CDC4"/>
    <w:rsid w:val="29F8C7DB"/>
    <w:rsid w:val="29F91E8B"/>
    <w:rsid w:val="29FD226A"/>
    <w:rsid w:val="29FF0DFA"/>
    <w:rsid w:val="29FFBC93"/>
    <w:rsid w:val="2A031EB1"/>
    <w:rsid w:val="2A03996F"/>
    <w:rsid w:val="2A0B43F0"/>
    <w:rsid w:val="2A0C3682"/>
    <w:rsid w:val="2A157526"/>
    <w:rsid w:val="2A1A33B6"/>
    <w:rsid w:val="2A1CF874"/>
    <w:rsid w:val="2A1DE231"/>
    <w:rsid w:val="2A1EE696"/>
    <w:rsid w:val="2A242273"/>
    <w:rsid w:val="2A25979C"/>
    <w:rsid w:val="2A277928"/>
    <w:rsid w:val="2A288B65"/>
    <w:rsid w:val="2A2EA997"/>
    <w:rsid w:val="2A3007EF"/>
    <w:rsid w:val="2A323CC5"/>
    <w:rsid w:val="2A345DBD"/>
    <w:rsid w:val="2A34777C"/>
    <w:rsid w:val="2A36DA2B"/>
    <w:rsid w:val="2A3A989D"/>
    <w:rsid w:val="2A3D48A4"/>
    <w:rsid w:val="2A41485A"/>
    <w:rsid w:val="2A47E481"/>
    <w:rsid w:val="2A49A12F"/>
    <w:rsid w:val="2A4AB983"/>
    <w:rsid w:val="2A4BF8DC"/>
    <w:rsid w:val="2A4D0001"/>
    <w:rsid w:val="2A4E2238"/>
    <w:rsid w:val="2A4F1423"/>
    <w:rsid w:val="2A4F5249"/>
    <w:rsid w:val="2A546B97"/>
    <w:rsid w:val="2A5470DA"/>
    <w:rsid w:val="2A55BEC7"/>
    <w:rsid w:val="2A569179"/>
    <w:rsid w:val="2A56D106"/>
    <w:rsid w:val="2A57DFD6"/>
    <w:rsid w:val="2A57F785"/>
    <w:rsid w:val="2A5CAAFF"/>
    <w:rsid w:val="2A5DCF8F"/>
    <w:rsid w:val="2A618CAA"/>
    <w:rsid w:val="2A621F58"/>
    <w:rsid w:val="2A626003"/>
    <w:rsid w:val="2A629CE4"/>
    <w:rsid w:val="2A6C26C0"/>
    <w:rsid w:val="2A6F6A41"/>
    <w:rsid w:val="2A710ADB"/>
    <w:rsid w:val="2A7124C0"/>
    <w:rsid w:val="2A77B984"/>
    <w:rsid w:val="2A78CB9B"/>
    <w:rsid w:val="2A7B50C2"/>
    <w:rsid w:val="2A7FDB5C"/>
    <w:rsid w:val="2A932317"/>
    <w:rsid w:val="2A9371CD"/>
    <w:rsid w:val="2A99C66D"/>
    <w:rsid w:val="2A9AC657"/>
    <w:rsid w:val="2A9C954B"/>
    <w:rsid w:val="2AA357F5"/>
    <w:rsid w:val="2AA73E14"/>
    <w:rsid w:val="2AA809D4"/>
    <w:rsid w:val="2AA85073"/>
    <w:rsid w:val="2AABA1D8"/>
    <w:rsid w:val="2AB1E7E2"/>
    <w:rsid w:val="2AB40FB7"/>
    <w:rsid w:val="2AB5751F"/>
    <w:rsid w:val="2AB87148"/>
    <w:rsid w:val="2AC0247F"/>
    <w:rsid w:val="2AC1807C"/>
    <w:rsid w:val="2AC4FA5C"/>
    <w:rsid w:val="2AC8DCAC"/>
    <w:rsid w:val="2ACC4E22"/>
    <w:rsid w:val="2ACC7E41"/>
    <w:rsid w:val="2ACD0962"/>
    <w:rsid w:val="2AD619D4"/>
    <w:rsid w:val="2AD90117"/>
    <w:rsid w:val="2ADAE0AD"/>
    <w:rsid w:val="2AE38EB3"/>
    <w:rsid w:val="2AE708BD"/>
    <w:rsid w:val="2AE7ECD9"/>
    <w:rsid w:val="2AEBC1D9"/>
    <w:rsid w:val="2AF10176"/>
    <w:rsid w:val="2AF230AE"/>
    <w:rsid w:val="2AF37698"/>
    <w:rsid w:val="2AFF7632"/>
    <w:rsid w:val="2B027C3B"/>
    <w:rsid w:val="2B02B208"/>
    <w:rsid w:val="2B1104CF"/>
    <w:rsid w:val="2B1EFE69"/>
    <w:rsid w:val="2B206F28"/>
    <w:rsid w:val="2B2270DA"/>
    <w:rsid w:val="2B26939F"/>
    <w:rsid w:val="2B2B837B"/>
    <w:rsid w:val="2B306BEB"/>
    <w:rsid w:val="2B30D9B3"/>
    <w:rsid w:val="2B39EBE4"/>
    <w:rsid w:val="2B449910"/>
    <w:rsid w:val="2B46C18F"/>
    <w:rsid w:val="2B491C31"/>
    <w:rsid w:val="2B4AFC70"/>
    <w:rsid w:val="2B4E310D"/>
    <w:rsid w:val="2B4FBE06"/>
    <w:rsid w:val="2B5191FE"/>
    <w:rsid w:val="2B56AEED"/>
    <w:rsid w:val="2B5A9F91"/>
    <w:rsid w:val="2B5C4D8A"/>
    <w:rsid w:val="2B5D2F2E"/>
    <w:rsid w:val="2B6151CE"/>
    <w:rsid w:val="2B674C01"/>
    <w:rsid w:val="2B67BCD8"/>
    <w:rsid w:val="2B687286"/>
    <w:rsid w:val="2B6945BA"/>
    <w:rsid w:val="2B69A6A7"/>
    <w:rsid w:val="2B6C75AC"/>
    <w:rsid w:val="2B6E331B"/>
    <w:rsid w:val="2B706761"/>
    <w:rsid w:val="2B74021D"/>
    <w:rsid w:val="2B7DA4C0"/>
    <w:rsid w:val="2B85092C"/>
    <w:rsid w:val="2B8E9DDC"/>
    <w:rsid w:val="2B903721"/>
    <w:rsid w:val="2B9153B0"/>
    <w:rsid w:val="2B9A97A2"/>
    <w:rsid w:val="2B9BA4C1"/>
    <w:rsid w:val="2B9DE7F4"/>
    <w:rsid w:val="2B9E6731"/>
    <w:rsid w:val="2BA2525B"/>
    <w:rsid w:val="2BA68B75"/>
    <w:rsid w:val="2BA780B2"/>
    <w:rsid w:val="2BA9859A"/>
    <w:rsid w:val="2BAFAD74"/>
    <w:rsid w:val="2BB133D6"/>
    <w:rsid w:val="2BB2F4F7"/>
    <w:rsid w:val="2BB58BB6"/>
    <w:rsid w:val="2BBB3A10"/>
    <w:rsid w:val="2BC0CB8E"/>
    <w:rsid w:val="2BC97A3B"/>
    <w:rsid w:val="2BCA3AD7"/>
    <w:rsid w:val="2BCEB384"/>
    <w:rsid w:val="2BD02912"/>
    <w:rsid w:val="2BD3AA48"/>
    <w:rsid w:val="2BD46E01"/>
    <w:rsid w:val="2BD8C0F8"/>
    <w:rsid w:val="2BDC6585"/>
    <w:rsid w:val="2BDE794A"/>
    <w:rsid w:val="2BE33743"/>
    <w:rsid w:val="2BE54B70"/>
    <w:rsid w:val="2BE88868"/>
    <w:rsid w:val="2BF201FE"/>
    <w:rsid w:val="2BF29261"/>
    <w:rsid w:val="2BF62531"/>
    <w:rsid w:val="2BF88884"/>
    <w:rsid w:val="2BFC984D"/>
    <w:rsid w:val="2C0117A1"/>
    <w:rsid w:val="2C034C11"/>
    <w:rsid w:val="2C067C72"/>
    <w:rsid w:val="2C097E4E"/>
    <w:rsid w:val="2C12180A"/>
    <w:rsid w:val="2C131B5B"/>
    <w:rsid w:val="2C17AC46"/>
    <w:rsid w:val="2C18286A"/>
    <w:rsid w:val="2C189361"/>
    <w:rsid w:val="2C19258B"/>
    <w:rsid w:val="2C1D93D2"/>
    <w:rsid w:val="2C1E8A4C"/>
    <w:rsid w:val="2C26F9ED"/>
    <w:rsid w:val="2C29DCB1"/>
    <w:rsid w:val="2C2B6F3E"/>
    <w:rsid w:val="2C2E7E87"/>
    <w:rsid w:val="2C317C78"/>
    <w:rsid w:val="2C363F0C"/>
    <w:rsid w:val="2C365CD5"/>
    <w:rsid w:val="2C36FC16"/>
    <w:rsid w:val="2C39ABBD"/>
    <w:rsid w:val="2C4622F7"/>
    <w:rsid w:val="2C47716F"/>
    <w:rsid w:val="2C48A689"/>
    <w:rsid w:val="2C49358D"/>
    <w:rsid w:val="2C53D552"/>
    <w:rsid w:val="2C5E0510"/>
    <w:rsid w:val="2C5FF0EE"/>
    <w:rsid w:val="2C602291"/>
    <w:rsid w:val="2C61CE43"/>
    <w:rsid w:val="2C62E677"/>
    <w:rsid w:val="2C694678"/>
    <w:rsid w:val="2C7353FA"/>
    <w:rsid w:val="2C73E59F"/>
    <w:rsid w:val="2C7542AB"/>
    <w:rsid w:val="2C7585C2"/>
    <w:rsid w:val="2C7A2BC8"/>
    <w:rsid w:val="2C7C7565"/>
    <w:rsid w:val="2C7DF0C9"/>
    <w:rsid w:val="2C7EB341"/>
    <w:rsid w:val="2C829A46"/>
    <w:rsid w:val="2C85AFCE"/>
    <w:rsid w:val="2C873F03"/>
    <w:rsid w:val="2C8A729F"/>
    <w:rsid w:val="2C8C7491"/>
    <w:rsid w:val="2C923734"/>
    <w:rsid w:val="2C941E5F"/>
    <w:rsid w:val="2C948C7F"/>
    <w:rsid w:val="2C9BD51F"/>
    <w:rsid w:val="2C9CC5A7"/>
    <w:rsid w:val="2CA11D8D"/>
    <w:rsid w:val="2CA500BB"/>
    <w:rsid w:val="2CA570E4"/>
    <w:rsid w:val="2CA9D94D"/>
    <w:rsid w:val="2CB514C0"/>
    <w:rsid w:val="2CB6E4BC"/>
    <w:rsid w:val="2CB9369F"/>
    <w:rsid w:val="2CC41214"/>
    <w:rsid w:val="2CD2B928"/>
    <w:rsid w:val="2CD3F1CA"/>
    <w:rsid w:val="2CD52B9B"/>
    <w:rsid w:val="2CE4922F"/>
    <w:rsid w:val="2CEEF620"/>
    <w:rsid w:val="2CF0AE25"/>
    <w:rsid w:val="2CF349C9"/>
    <w:rsid w:val="2CF5CB1C"/>
    <w:rsid w:val="2CF97376"/>
    <w:rsid w:val="2CF996E4"/>
    <w:rsid w:val="2CFB8B62"/>
    <w:rsid w:val="2CFDEA44"/>
    <w:rsid w:val="2CFF9B31"/>
    <w:rsid w:val="2D09391B"/>
    <w:rsid w:val="2D093F93"/>
    <w:rsid w:val="2D0B30B0"/>
    <w:rsid w:val="2D0C9F5C"/>
    <w:rsid w:val="2D10C2BA"/>
    <w:rsid w:val="2D12C33B"/>
    <w:rsid w:val="2D18372D"/>
    <w:rsid w:val="2D18AFF1"/>
    <w:rsid w:val="2D1DD8AE"/>
    <w:rsid w:val="2D213AD2"/>
    <w:rsid w:val="2D263563"/>
    <w:rsid w:val="2D2CB84D"/>
    <w:rsid w:val="2D2E4CE2"/>
    <w:rsid w:val="2D2F423B"/>
    <w:rsid w:val="2D2F4BF9"/>
    <w:rsid w:val="2D313255"/>
    <w:rsid w:val="2D32D674"/>
    <w:rsid w:val="2D33BC86"/>
    <w:rsid w:val="2D3D43FF"/>
    <w:rsid w:val="2D3F3F53"/>
    <w:rsid w:val="2D409E72"/>
    <w:rsid w:val="2D466F74"/>
    <w:rsid w:val="2D467BA9"/>
    <w:rsid w:val="2D47002C"/>
    <w:rsid w:val="2D4882F9"/>
    <w:rsid w:val="2D4E2D71"/>
    <w:rsid w:val="2D519ECB"/>
    <w:rsid w:val="2D594F1B"/>
    <w:rsid w:val="2D5BF4BF"/>
    <w:rsid w:val="2D6B6F15"/>
    <w:rsid w:val="2D6E0E8A"/>
    <w:rsid w:val="2D72D38A"/>
    <w:rsid w:val="2D7327A2"/>
    <w:rsid w:val="2D79791E"/>
    <w:rsid w:val="2D7AB85C"/>
    <w:rsid w:val="2D7B3BF8"/>
    <w:rsid w:val="2D801A62"/>
    <w:rsid w:val="2D807954"/>
    <w:rsid w:val="2D87156D"/>
    <w:rsid w:val="2D87F405"/>
    <w:rsid w:val="2D894C92"/>
    <w:rsid w:val="2D8AEE32"/>
    <w:rsid w:val="2D915142"/>
    <w:rsid w:val="2D925888"/>
    <w:rsid w:val="2D93C7BB"/>
    <w:rsid w:val="2D94A3C6"/>
    <w:rsid w:val="2D95FCD9"/>
    <w:rsid w:val="2D96C912"/>
    <w:rsid w:val="2D970DCE"/>
    <w:rsid w:val="2D98FA90"/>
    <w:rsid w:val="2D992205"/>
    <w:rsid w:val="2D9BA8C2"/>
    <w:rsid w:val="2DA318A5"/>
    <w:rsid w:val="2DA3DC85"/>
    <w:rsid w:val="2DAEBD83"/>
    <w:rsid w:val="2DB1ED9B"/>
    <w:rsid w:val="2DB2FF99"/>
    <w:rsid w:val="2DB31392"/>
    <w:rsid w:val="2DB9AE17"/>
    <w:rsid w:val="2DBB31BB"/>
    <w:rsid w:val="2DBDC7B0"/>
    <w:rsid w:val="2DC0852F"/>
    <w:rsid w:val="2DC0955E"/>
    <w:rsid w:val="2DC52E44"/>
    <w:rsid w:val="2DD188CB"/>
    <w:rsid w:val="2DD96BF8"/>
    <w:rsid w:val="2DD98301"/>
    <w:rsid w:val="2DDACF4F"/>
    <w:rsid w:val="2DE2AA44"/>
    <w:rsid w:val="2DE60C58"/>
    <w:rsid w:val="2DE832E1"/>
    <w:rsid w:val="2DE88CCF"/>
    <w:rsid w:val="2DE9340A"/>
    <w:rsid w:val="2DEB1E49"/>
    <w:rsid w:val="2DEE26DB"/>
    <w:rsid w:val="2DEF674E"/>
    <w:rsid w:val="2DF2BA60"/>
    <w:rsid w:val="2DF62B5F"/>
    <w:rsid w:val="2DFB10CF"/>
    <w:rsid w:val="2E01E79A"/>
    <w:rsid w:val="2E02FD26"/>
    <w:rsid w:val="2E088AE2"/>
    <w:rsid w:val="2E0BFF52"/>
    <w:rsid w:val="2E105F16"/>
    <w:rsid w:val="2E131AA7"/>
    <w:rsid w:val="2E13C86F"/>
    <w:rsid w:val="2E146F5E"/>
    <w:rsid w:val="2E155B6D"/>
    <w:rsid w:val="2E20D98A"/>
    <w:rsid w:val="2E226DE6"/>
    <w:rsid w:val="2E244ADD"/>
    <w:rsid w:val="2E29E997"/>
    <w:rsid w:val="2E2A90B5"/>
    <w:rsid w:val="2E2C9C69"/>
    <w:rsid w:val="2E35C867"/>
    <w:rsid w:val="2E371287"/>
    <w:rsid w:val="2E37C8A6"/>
    <w:rsid w:val="2E3845C9"/>
    <w:rsid w:val="2E389832"/>
    <w:rsid w:val="2E3F0C6D"/>
    <w:rsid w:val="2E434BC4"/>
    <w:rsid w:val="2E574FDC"/>
    <w:rsid w:val="2E57C383"/>
    <w:rsid w:val="2E5943BF"/>
    <w:rsid w:val="2E5C5A79"/>
    <w:rsid w:val="2E63DD03"/>
    <w:rsid w:val="2E6A0051"/>
    <w:rsid w:val="2E6D1542"/>
    <w:rsid w:val="2E6FF9BA"/>
    <w:rsid w:val="2E7030EA"/>
    <w:rsid w:val="2E71CEA5"/>
    <w:rsid w:val="2E72E956"/>
    <w:rsid w:val="2E77FAB9"/>
    <w:rsid w:val="2E78ED53"/>
    <w:rsid w:val="2E7A89A0"/>
    <w:rsid w:val="2E7B6B9B"/>
    <w:rsid w:val="2E7C3FB4"/>
    <w:rsid w:val="2E7E1991"/>
    <w:rsid w:val="2E85B529"/>
    <w:rsid w:val="2E86A0E0"/>
    <w:rsid w:val="2E8DB5D1"/>
    <w:rsid w:val="2E8DF61B"/>
    <w:rsid w:val="2E8EBB5A"/>
    <w:rsid w:val="2E900F59"/>
    <w:rsid w:val="2E904F7E"/>
    <w:rsid w:val="2E912B82"/>
    <w:rsid w:val="2E9B4943"/>
    <w:rsid w:val="2E9B6B01"/>
    <w:rsid w:val="2E9F4ACB"/>
    <w:rsid w:val="2EA13299"/>
    <w:rsid w:val="2EA17F09"/>
    <w:rsid w:val="2EA7A426"/>
    <w:rsid w:val="2EAC9F66"/>
    <w:rsid w:val="2EB067B6"/>
    <w:rsid w:val="2EB37293"/>
    <w:rsid w:val="2EB639C0"/>
    <w:rsid w:val="2EB82A5B"/>
    <w:rsid w:val="2EBB81D6"/>
    <w:rsid w:val="2EBEC980"/>
    <w:rsid w:val="2EC66215"/>
    <w:rsid w:val="2ECB2639"/>
    <w:rsid w:val="2ECB2986"/>
    <w:rsid w:val="2ECB7E38"/>
    <w:rsid w:val="2ECC49F3"/>
    <w:rsid w:val="2EE1E4C1"/>
    <w:rsid w:val="2EE301D2"/>
    <w:rsid w:val="2EF1A6E1"/>
    <w:rsid w:val="2EF5A529"/>
    <w:rsid w:val="2EF648F7"/>
    <w:rsid w:val="2EF77C08"/>
    <w:rsid w:val="2EF8D569"/>
    <w:rsid w:val="2EF99B56"/>
    <w:rsid w:val="2EFA3EB8"/>
    <w:rsid w:val="2EFB1050"/>
    <w:rsid w:val="2EFD994A"/>
    <w:rsid w:val="2EFE0128"/>
    <w:rsid w:val="2EFFA53B"/>
    <w:rsid w:val="2F01368A"/>
    <w:rsid w:val="2F14E094"/>
    <w:rsid w:val="2F1A0DBF"/>
    <w:rsid w:val="2F1FC977"/>
    <w:rsid w:val="2F263E33"/>
    <w:rsid w:val="2F2B1CEF"/>
    <w:rsid w:val="2F2BB9CF"/>
    <w:rsid w:val="2F2CD818"/>
    <w:rsid w:val="2F2FE0B6"/>
    <w:rsid w:val="2F314436"/>
    <w:rsid w:val="2F35FAB0"/>
    <w:rsid w:val="2F36A9DE"/>
    <w:rsid w:val="2F39CEE5"/>
    <w:rsid w:val="2F3D567F"/>
    <w:rsid w:val="2F3EF898"/>
    <w:rsid w:val="2F40BC44"/>
    <w:rsid w:val="2F42093B"/>
    <w:rsid w:val="2F433247"/>
    <w:rsid w:val="2F460384"/>
    <w:rsid w:val="2F475511"/>
    <w:rsid w:val="2F4FD327"/>
    <w:rsid w:val="2F5271CE"/>
    <w:rsid w:val="2F52BE60"/>
    <w:rsid w:val="2F54E484"/>
    <w:rsid w:val="2F55C952"/>
    <w:rsid w:val="2F56CFB3"/>
    <w:rsid w:val="2F5A98C9"/>
    <w:rsid w:val="2F5AAB57"/>
    <w:rsid w:val="2F5BF2CC"/>
    <w:rsid w:val="2F5D2183"/>
    <w:rsid w:val="2F5DD1EB"/>
    <w:rsid w:val="2F5EA070"/>
    <w:rsid w:val="2F667F7A"/>
    <w:rsid w:val="2F6F9F28"/>
    <w:rsid w:val="2F7149BD"/>
    <w:rsid w:val="2F730AE6"/>
    <w:rsid w:val="2F744B66"/>
    <w:rsid w:val="2F796584"/>
    <w:rsid w:val="2F7A0ACC"/>
    <w:rsid w:val="2F7EE55B"/>
    <w:rsid w:val="2F85CA59"/>
    <w:rsid w:val="2F8C8114"/>
    <w:rsid w:val="2F92C90F"/>
    <w:rsid w:val="2F9BCD9A"/>
    <w:rsid w:val="2F9F7F43"/>
    <w:rsid w:val="2FA2620C"/>
    <w:rsid w:val="2FA41053"/>
    <w:rsid w:val="2FA64299"/>
    <w:rsid w:val="2FB3ED7D"/>
    <w:rsid w:val="2FB4936A"/>
    <w:rsid w:val="2FBA11D8"/>
    <w:rsid w:val="2FBB2F67"/>
    <w:rsid w:val="2FC52447"/>
    <w:rsid w:val="2FC8F3C5"/>
    <w:rsid w:val="2FCDB0CC"/>
    <w:rsid w:val="2FD6F292"/>
    <w:rsid w:val="2FD88AEB"/>
    <w:rsid w:val="2FDA3602"/>
    <w:rsid w:val="2FDD05F5"/>
    <w:rsid w:val="2FE39D9F"/>
    <w:rsid w:val="2FE3B6D0"/>
    <w:rsid w:val="2FE511EA"/>
    <w:rsid w:val="2FE5E78E"/>
    <w:rsid w:val="2FEB9979"/>
    <w:rsid w:val="2FEBB65E"/>
    <w:rsid w:val="2FEE066D"/>
    <w:rsid w:val="2FEE2328"/>
    <w:rsid w:val="2FFBFC6C"/>
    <w:rsid w:val="30057A6E"/>
    <w:rsid w:val="30062808"/>
    <w:rsid w:val="30084173"/>
    <w:rsid w:val="300CF454"/>
    <w:rsid w:val="30112CD8"/>
    <w:rsid w:val="30115354"/>
    <w:rsid w:val="301B985A"/>
    <w:rsid w:val="301CD314"/>
    <w:rsid w:val="302152F8"/>
    <w:rsid w:val="30266F3C"/>
    <w:rsid w:val="3027D269"/>
    <w:rsid w:val="3029BA78"/>
    <w:rsid w:val="302AC7A8"/>
    <w:rsid w:val="302C568A"/>
    <w:rsid w:val="302FEF11"/>
    <w:rsid w:val="3031E923"/>
    <w:rsid w:val="30382DC2"/>
    <w:rsid w:val="303AF5E6"/>
    <w:rsid w:val="303F6CDC"/>
    <w:rsid w:val="3041D8A3"/>
    <w:rsid w:val="30447188"/>
    <w:rsid w:val="304B4484"/>
    <w:rsid w:val="3052F0D3"/>
    <w:rsid w:val="30584B25"/>
    <w:rsid w:val="305C6DC5"/>
    <w:rsid w:val="305C8ECF"/>
    <w:rsid w:val="305C97CE"/>
    <w:rsid w:val="305F03A4"/>
    <w:rsid w:val="305F8F62"/>
    <w:rsid w:val="305FE25B"/>
    <w:rsid w:val="306304F8"/>
    <w:rsid w:val="3064DA3D"/>
    <w:rsid w:val="3066FBF4"/>
    <w:rsid w:val="306883F4"/>
    <w:rsid w:val="3069097F"/>
    <w:rsid w:val="306BD3A2"/>
    <w:rsid w:val="3070D32C"/>
    <w:rsid w:val="30741684"/>
    <w:rsid w:val="30754A15"/>
    <w:rsid w:val="30774633"/>
    <w:rsid w:val="307AF790"/>
    <w:rsid w:val="307BEB35"/>
    <w:rsid w:val="30816275"/>
    <w:rsid w:val="3086A212"/>
    <w:rsid w:val="308F6D92"/>
    <w:rsid w:val="30901E7A"/>
    <w:rsid w:val="30948509"/>
    <w:rsid w:val="30980710"/>
    <w:rsid w:val="309B3744"/>
    <w:rsid w:val="30A1A462"/>
    <w:rsid w:val="30A60D94"/>
    <w:rsid w:val="30A9A255"/>
    <w:rsid w:val="30AC0D2C"/>
    <w:rsid w:val="30AC66A1"/>
    <w:rsid w:val="30AFC3D9"/>
    <w:rsid w:val="30B11130"/>
    <w:rsid w:val="30B4E912"/>
    <w:rsid w:val="30B8AA70"/>
    <w:rsid w:val="30B99336"/>
    <w:rsid w:val="30BCA7DB"/>
    <w:rsid w:val="30BFA1AE"/>
    <w:rsid w:val="30C0056D"/>
    <w:rsid w:val="30C3CA2A"/>
    <w:rsid w:val="30CA575D"/>
    <w:rsid w:val="30CBDA30"/>
    <w:rsid w:val="30CE9999"/>
    <w:rsid w:val="30D0CBD6"/>
    <w:rsid w:val="30D33652"/>
    <w:rsid w:val="30D92B9C"/>
    <w:rsid w:val="30DABE79"/>
    <w:rsid w:val="30DC87B1"/>
    <w:rsid w:val="30DFC9B0"/>
    <w:rsid w:val="30DFCF6E"/>
    <w:rsid w:val="30E1F97B"/>
    <w:rsid w:val="30E40C95"/>
    <w:rsid w:val="30E5B4EB"/>
    <w:rsid w:val="30E65187"/>
    <w:rsid w:val="30E67C08"/>
    <w:rsid w:val="30E90F59"/>
    <w:rsid w:val="30EBD023"/>
    <w:rsid w:val="30EBE46F"/>
    <w:rsid w:val="30EEAA35"/>
    <w:rsid w:val="30FDA6A1"/>
    <w:rsid w:val="30FE226D"/>
    <w:rsid w:val="3103ADEA"/>
    <w:rsid w:val="310AFAED"/>
    <w:rsid w:val="310DDBF5"/>
    <w:rsid w:val="31105B15"/>
    <w:rsid w:val="311476E5"/>
    <w:rsid w:val="31165922"/>
    <w:rsid w:val="3118ABFE"/>
    <w:rsid w:val="3125298F"/>
    <w:rsid w:val="31289DE0"/>
    <w:rsid w:val="3128FEDD"/>
    <w:rsid w:val="312D29D6"/>
    <w:rsid w:val="31301920"/>
    <w:rsid w:val="3134DE16"/>
    <w:rsid w:val="3138B21A"/>
    <w:rsid w:val="313ADA44"/>
    <w:rsid w:val="313C0C55"/>
    <w:rsid w:val="313E002E"/>
    <w:rsid w:val="314193B9"/>
    <w:rsid w:val="3145C736"/>
    <w:rsid w:val="3148891B"/>
    <w:rsid w:val="314E415D"/>
    <w:rsid w:val="314E9434"/>
    <w:rsid w:val="3152D8D4"/>
    <w:rsid w:val="31530B3C"/>
    <w:rsid w:val="3157B095"/>
    <w:rsid w:val="3160BB76"/>
    <w:rsid w:val="3164C547"/>
    <w:rsid w:val="3167E881"/>
    <w:rsid w:val="31737A1C"/>
    <w:rsid w:val="3174939E"/>
    <w:rsid w:val="317771E2"/>
    <w:rsid w:val="3178817F"/>
    <w:rsid w:val="3181AC57"/>
    <w:rsid w:val="3181E01D"/>
    <w:rsid w:val="31847728"/>
    <w:rsid w:val="318AA696"/>
    <w:rsid w:val="318BC514"/>
    <w:rsid w:val="318C0A7E"/>
    <w:rsid w:val="318CAE57"/>
    <w:rsid w:val="318E6A38"/>
    <w:rsid w:val="318F01ED"/>
    <w:rsid w:val="31953BE3"/>
    <w:rsid w:val="3196BD0B"/>
    <w:rsid w:val="319A0CB8"/>
    <w:rsid w:val="319A5A9B"/>
    <w:rsid w:val="319CF5FD"/>
    <w:rsid w:val="31A674A7"/>
    <w:rsid w:val="31A8D020"/>
    <w:rsid w:val="31AECAD9"/>
    <w:rsid w:val="31B54F49"/>
    <w:rsid w:val="31BA37DA"/>
    <w:rsid w:val="31BB0949"/>
    <w:rsid w:val="31D21095"/>
    <w:rsid w:val="31D2D294"/>
    <w:rsid w:val="31D38865"/>
    <w:rsid w:val="31D4EADF"/>
    <w:rsid w:val="31D605B5"/>
    <w:rsid w:val="31DB9A61"/>
    <w:rsid w:val="31E08D7E"/>
    <w:rsid w:val="31E69F9C"/>
    <w:rsid w:val="31F58FCB"/>
    <w:rsid w:val="31F94880"/>
    <w:rsid w:val="31FB4BA6"/>
    <w:rsid w:val="31FC9F98"/>
    <w:rsid w:val="31FE44BF"/>
    <w:rsid w:val="32040E8A"/>
    <w:rsid w:val="320E5746"/>
    <w:rsid w:val="32118464"/>
    <w:rsid w:val="321331FF"/>
    <w:rsid w:val="3215C24C"/>
    <w:rsid w:val="32164A6E"/>
    <w:rsid w:val="32178955"/>
    <w:rsid w:val="321CBB6A"/>
    <w:rsid w:val="3229D34E"/>
    <w:rsid w:val="3237135F"/>
    <w:rsid w:val="323B881E"/>
    <w:rsid w:val="323EE912"/>
    <w:rsid w:val="323FB67D"/>
    <w:rsid w:val="32470D42"/>
    <w:rsid w:val="32489175"/>
    <w:rsid w:val="324A456D"/>
    <w:rsid w:val="324FE66E"/>
    <w:rsid w:val="324FFF9D"/>
    <w:rsid w:val="3251EB56"/>
    <w:rsid w:val="3259F388"/>
    <w:rsid w:val="325C1DFF"/>
    <w:rsid w:val="325F26A7"/>
    <w:rsid w:val="3264D64A"/>
    <w:rsid w:val="32650E26"/>
    <w:rsid w:val="3269DABE"/>
    <w:rsid w:val="326C973F"/>
    <w:rsid w:val="326F41C9"/>
    <w:rsid w:val="32744899"/>
    <w:rsid w:val="327807AF"/>
    <w:rsid w:val="3279E53F"/>
    <w:rsid w:val="3279F3F3"/>
    <w:rsid w:val="327D93E2"/>
    <w:rsid w:val="327FF51A"/>
    <w:rsid w:val="32833367"/>
    <w:rsid w:val="32865709"/>
    <w:rsid w:val="328C8D73"/>
    <w:rsid w:val="328CE8BD"/>
    <w:rsid w:val="32917B1D"/>
    <w:rsid w:val="3294522B"/>
    <w:rsid w:val="3294BD23"/>
    <w:rsid w:val="329C7763"/>
    <w:rsid w:val="329D0975"/>
    <w:rsid w:val="32A1760B"/>
    <w:rsid w:val="32AD8EE0"/>
    <w:rsid w:val="32ADFFDF"/>
    <w:rsid w:val="32B134AE"/>
    <w:rsid w:val="32B14DCB"/>
    <w:rsid w:val="32B3421B"/>
    <w:rsid w:val="32B3D461"/>
    <w:rsid w:val="32B4504C"/>
    <w:rsid w:val="32B4C9BF"/>
    <w:rsid w:val="32BDE479"/>
    <w:rsid w:val="32BE13BA"/>
    <w:rsid w:val="32BE6F30"/>
    <w:rsid w:val="32BEFFA8"/>
    <w:rsid w:val="32C330A7"/>
    <w:rsid w:val="32C6CAD5"/>
    <w:rsid w:val="32CADC36"/>
    <w:rsid w:val="32CB4CE1"/>
    <w:rsid w:val="32CD3595"/>
    <w:rsid w:val="32D449D5"/>
    <w:rsid w:val="32E17909"/>
    <w:rsid w:val="32E9ECF4"/>
    <w:rsid w:val="32EE82DB"/>
    <w:rsid w:val="32EF53C0"/>
    <w:rsid w:val="32F1B983"/>
    <w:rsid w:val="32F7F2EB"/>
    <w:rsid w:val="32F92B9F"/>
    <w:rsid w:val="32FE4433"/>
    <w:rsid w:val="32FF1014"/>
    <w:rsid w:val="3302F78D"/>
    <w:rsid w:val="33066114"/>
    <w:rsid w:val="33066231"/>
    <w:rsid w:val="3306E498"/>
    <w:rsid w:val="3311F814"/>
    <w:rsid w:val="3317CA00"/>
    <w:rsid w:val="33194004"/>
    <w:rsid w:val="331AFE34"/>
    <w:rsid w:val="3320AE0C"/>
    <w:rsid w:val="3323E23E"/>
    <w:rsid w:val="332B2DEF"/>
    <w:rsid w:val="332E7B17"/>
    <w:rsid w:val="332EA5F4"/>
    <w:rsid w:val="33354FFC"/>
    <w:rsid w:val="33366650"/>
    <w:rsid w:val="33382AF3"/>
    <w:rsid w:val="33411128"/>
    <w:rsid w:val="33427D40"/>
    <w:rsid w:val="3342B206"/>
    <w:rsid w:val="33444BBF"/>
    <w:rsid w:val="33463F07"/>
    <w:rsid w:val="3346505A"/>
    <w:rsid w:val="33492BCB"/>
    <w:rsid w:val="334BF0EA"/>
    <w:rsid w:val="3356F35A"/>
    <w:rsid w:val="3357FC6C"/>
    <w:rsid w:val="335859B5"/>
    <w:rsid w:val="335BF996"/>
    <w:rsid w:val="335C50BC"/>
    <w:rsid w:val="3362ED51"/>
    <w:rsid w:val="3363C84D"/>
    <w:rsid w:val="3367A42F"/>
    <w:rsid w:val="3368F112"/>
    <w:rsid w:val="33695AF5"/>
    <w:rsid w:val="336B1227"/>
    <w:rsid w:val="336BAB8B"/>
    <w:rsid w:val="336CDE8D"/>
    <w:rsid w:val="3387BD8A"/>
    <w:rsid w:val="3388C985"/>
    <w:rsid w:val="338CFB3A"/>
    <w:rsid w:val="3391CEB5"/>
    <w:rsid w:val="33A161EB"/>
    <w:rsid w:val="33A7F7E5"/>
    <w:rsid w:val="33AF113E"/>
    <w:rsid w:val="33B13590"/>
    <w:rsid w:val="33B7EF46"/>
    <w:rsid w:val="33B92451"/>
    <w:rsid w:val="33B935DD"/>
    <w:rsid w:val="33C1AEBF"/>
    <w:rsid w:val="33C88F19"/>
    <w:rsid w:val="33CE1D06"/>
    <w:rsid w:val="33CF051C"/>
    <w:rsid w:val="33D07D83"/>
    <w:rsid w:val="33D14746"/>
    <w:rsid w:val="33D1A5C3"/>
    <w:rsid w:val="33D45855"/>
    <w:rsid w:val="33D7E271"/>
    <w:rsid w:val="33DDC873"/>
    <w:rsid w:val="33E85D21"/>
    <w:rsid w:val="33E986A2"/>
    <w:rsid w:val="33ECB8A3"/>
    <w:rsid w:val="33F2DA11"/>
    <w:rsid w:val="33F64DDC"/>
    <w:rsid w:val="33FAECA1"/>
    <w:rsid w:val="33FB2C43"/>
    <w:rsid w:val="33FD59EB"/>
    <w:rsid w:val="3402ACD9"/>
    <w:rsid w:val="3407F3A8"/>
    <w:rsid w:val="340C674F"/>
    <w:rsid w:val="340C7FAA"/>
    <w:rsid w:val="340F8724"/>
    <w:rsid w:val="3414A9BD"/>
    <w:rsid w:val="3416A51F"/>
    <w:rsid w:val="3419552B"/>
    <w:rsid w:val="341994BC"/>
    <w:rsid w:val="34261EF0"/>
    <w:rsid w:val="342869C9"/>
    <w:rsid w:val="342B3D69"/>
    <w:rsid w:val="342C1042"/>
    <w:rsid w:val="342E0FAE"/>
    <w:rsid w:val="342FC6CD"/>
    <w:rsid w:val="34334E1E"/>
    <w:rsid w:val="3435F537"/>
    <w:rsid w:val="3436F8AB"/>
    <w:rsid w:val="343839A6"/>
    <w:rsid w:val="343B3B5E"/>
    <w:rsid w:val="343C945A"/>
    <w:rsid w:val="343D995C"/>
    <w:rsid w:val="343E5015"/>
    <w:rsid w:val="343EC8B2"/>
    <w:rsid w:val="3449E2C9"/>
    <w:rsid w:val="344ABDCE"/>
    <w:rsid w:val="344B9263"/>
    <w:rsid w:val="344E2C71"/>
    <w:rsid w:val="3452FC24"/>
    <w:rsid w:val="345413F2"/>
    <w:rsid w:val="34582CFB"/>
    <w:rsid w:val="34584BE2"/>
    <w:rsid w:val="34598DCA"/>
    <w:rsid w:val="346382BE"/>
    <w:rsid w:val="34648473"/>
    <w:rsid w:val="3468C714"/>
    <w:rsid w:val="34693072"/>
    <w:rsid w:val="34699B1B"/>
    <w:rsid w:val="3472E01A"/>
    <w:rsid w:val="34767A44"/>
    <w:rsid w:val="347A7005"/>
    <w:rsid w:val="347DCD9F"/>
    <w:rsid w:val="348976EF"/>
    <w:rsid w:val="348C8065"/>
    <w:rsid w:val="348F76E3"/>
    <w:rsid w:val="34914585"/>
    <w:rsid w:val="349417C2"/>
    <w:rsid w:val="3494800D"/>
    <w:rsid w:val="3496095E"/>
    <w:rsid w:val="3497BB3E"/>
    <w:rsid w:val="34A0C043"/>
    <w:rsid w:val="34ABB8CD"/>
    <w:rsid w:val="34AEAAA9"/>
    <w:rsid w:val="34B0252B"/>
    <w:rsid w:val="34B0D507"/>
    <w:rsid w:val="34B4453A"/>
    <w:rsid w:val="34B63191"/>
    <w:rsid w:val="34B9F3D6"/>
    <w:rsid w:val="34BC74D8"/>
    <w:rsid w:val="34BCF8B7"/>
    <w:rsid w:val="34BE3845"/>
    <w:rsid w:val="34BEEDFB"/>
    <w:rsid w:val="34BFCEA5"/>
    <w:rsid w:val="34C37C68"/>
    <w:rsid w:val="34C50620"/>
    <w:rsid w:val="34C60494"/>
    <w:rsid w:val="34C7541F"/>
    <w:rsid w:val="34C87DC5"/>
    <w:rsid w:val="34C8A9F9"/>
    <w:rsid w:val="34CB500E"/>
    <w:rsid w:val="34CCC76D"/>
    <w:rsid w:val="34CD1980"/>
    <w:rsid w:val="34D06AFA"/>
    <w:rsid w:val="34DA29A6"/>
    <w:rsid w:val="34DF1FEE"/>
    <w:rsid w:val="34E2B3CD"/>
    <w:rsid w:val="34E5F626"/>
    <w:rsid w:val="34E76528"/>
    <w:rsid w:val="34E8580B"/>
    <w:rsid w:val="34F35EE1"/>
    <w:rsid w:val="34F7B6C9"/>
    <w:rsid w:val="34F88741"/>
    <w:rsid w:val="350030BC"/>
    <w:rsid w:val="35008561"/>
    <w:rsid w:val="3503933F"/>
    <w:rsid w:val="35070C1D"/>
    <w:rsid w:val="350E34BC"/>
    <w:rsid w:val="351252ED"/>
    <w:rsid w:val="35128D93"/>
    <w:rsid w:val="35140AD4"/>
    <w:rsid w:val="3514DCF7"/>
    <w:rsid w:val="351613D1"/>
    <w:rsid w:val="3516C59D"/>
    <w:rsid w:val="35180454"/>
    <w:rsid w:val="3519F705"/>
    <w:rsid w:val="352003F8"/>
    <w:rsid w:val="3520F9D6"/>
    <w:rsid w:val="352D4AAD"/>
    <w:rsid w:val="3532F8C8"/>
    <w:rsid w:val="3537B856"/>
    <w:rsid w:val="3538B1A1"/>
    <w:rsid w:val="353FBEEE"/>
    <w:rsid w:val="3540686F"/>
    <w:rsid w:val="35424958"/>
    <w:rsid w:val="35436AD4"/>
    <w:rsid w:val="3549A393"/>
    <w:rsid w:val="354A0E70"/>
    <w:rsid w:val="354A7140"/>
    <w:rsid w:val="354B8290"/>
    <w:rsid w:val="354D4B30"/>
    <w:rsid w:val="354E41CA"/>
    <w:rsid w:val="354FE802"/>
    <w:rsid w:val="355B0E91"/>
    <w:rsid w:val="355F25F8"/>
    <w:rsid w:val="35657E76"/>
    <w:rsid w:val="3567ACFC"/>
    <w:rsid w:val="356B7C71"/>
    <w:rsid w:val="356E34A2"/>
    <w:rsid w:val="356F1EED"/>
    <w:rsid w:val="35759C82"/>
    <w:rsid w:val="35795750"/>
    <w:rsid w:val="357E6FF9"/>
    <w:rsid w:val="3582B365"/>
    <w:rsid w:val="35840929"/>
    <w:rsid w:val="358B8880"/>
    <w:rsid w:val="358D2FCE"/>
    <w:rsid w:val="35916043"/>
    <w:rsid w:val="3591E0E2"/>
    <w:rsid w:val="35942644"/>
    <w:rsid w:val="3596D058"/>
    <w:rsid w:val="359C14F9"/>
    <w:rsid w:val="359EB370"/>
    <w:rsid w:val="359F78D1"/>
    <w:rsid w:val="35A212F3"/>
    <w:rsid w:val="35A75D9F"/>
    <w:rsid w:val="35AA0C87"/>
    <w:rsid w:val="35AB0EDE"/>
    <w:rsid w:val="35B0A6B5"/>
    <w:rsid w:val="35B2BFEE"/>
    <w:rsid w:val="35B5C35F"/>
    <w:rsid w:val="35B67639"/>
    <w:rsid w:val="35BA27A3"/>
    <w:rsid w:val="35BCD12A"/>
    <w:rsid w:val="35CDB3F2"/>
    <w:rsid w:val="35DADF70"/>
    <w:rsid w:val="35E70E65"/>
    <w:rsid w:val="35EAB8EB"/>
    <w:rsid w:val="35EAD856"/>
    <w:rsid w:val="35EE3D7C"/>
    <w:rsid w:val="35F31AE8"/>
    <w:rsid w:val="35F6FE8F"/>
    <w:rsid w:val="35F7F8E3"/>
    <w:rsid w:val="35F8A38B"/>
    <w:rsid w:val="35FA1CB6"/>
    <w:rsid w:val="35FE1BC3"/>
    <w:rsid w:val="36035F3B"/>
    <w:rsid w:val="360A1274"/>
    <w:rsid w:val="360C4C64"/>
    <w:rsid w:val="3612056A"/>
    <w:rsid w:val="36139CE3"/>
    <w:rsid w:val="361C0830"/>
    <w:rsid w:val="361FC124"/>
    <w:rsid w:val="3620B205"/>
    <w:rsid w:val="3624F158"/>
    <w:rsid w:val="362578A3"/>
    <w:rsid w:val="36276E84"/>
    <w:rsid w:val="3631D998"/>
    <w:rsid w:val="363212EA"/>
    <w:rsid w:val="36398A46"/>
    <w:rsid w:val="363B629E"/>
    <w:rsid w:val="363DE207"/>
    <w:rsid w:val="363F6B5A"/>
    <w:rsid w:val="36483789"/>
    <w:rsid w:val="36488025"/>
    <w:rsid w:val="36501477"/>
    <w:rsid w:val="3651F622"/>
    <w:rsid w:val="3658EE97"/>
    <w:rsid w:val="36683F95"/>
    <w:rsid w:val="366EA35E"/>
    <w:rsid w:val="36723811"/>
    <w:rsid w:val="36724561"/>
    <w:rsid w:val="3672A2A1"/>
    <w:rsid w:val="3673EFBE"/>
    <w:rsid w:val="36789498"/>
    <w:rsid w:val="36790D33"/>
    <w:rsid w:val="367A4C2F"/>
    <w:rsid w:val="367A71D7"/>
    <w:rsid w:val="367D4D12"/>
    <w:rsid w:val="367D62E1"/>
    <w:rsid w:val="367FD8FC"/>
    <w:rsid w:val="367FF43A"/>
    <w:rsid w:val="36814BEC"/>
    <w:rsid w:val="3686DD89"/>
    <w:rsid w:val="368A25ED"/>
    <w:rsid w:val="368C680D"/>
    <w:rsid w:val="368E8AA8"/>
    <w:rsid w:val="368FD630"/>
    <w:rsid w:val="369F563D"/>
    <w:rsid w:val="36A1E0D6"/>
    <w:rsid w:val="36A55283"/>
    <w:rsid w:val="36A58455"/>
    <w:rsid w:val="36A80843"/>
    <w:rsid w:val="36ACABCC"/>
    <w:rsid w:val="36ADD2D5"/>
    <w:rsid w:val="36B237DE"/>
    <w:rsid w:val="36B570A5"/>
    <w:rsid w:val="36B80A69"/>
    <w:rsid w:val="36B97C7D"/>
    <w:rsid w:val="36BA0161"/>
    <w:rsid w:val="36BC05DD"/>
    <w:rsid w:val="36BE0544"/>
    <w:rsid w:val="36BF986B"/>
    <w:rsid w:val="36BFF7E5"/>
    <w:rsid w:val="36C153B4"/>
    <w:rsid w:val="36C48450"/>
    <w:rsid w:val="36CA1627"/>
    <w:rsid w:val="36CFAFAF"/>
    <w:rsid w:val="36D09A82"/>
    <w:rsid w:val="36D51C17"/>
    <w:rsid w:val="36D97B34"/>
    <w:rsid w:val="36DD8CF9"/>
    <w:rsid w:val="36DFA40C"/>
    <w:rsid w:val="36E14455"/>
    <w:rsid w:val="36EECDED"/>
    <w:rsid w:val="36F5D146"/>
    <w:rsid w:val="36FD57A6"/>
    <w:rsid w:val="370291A4"/>
    <w:rsid w:val="37081657"/>
    <w:rsid w:val="3708BD85"/>
    <w:rsid w:val="370E731C"/>
    <w:rsid w:val="370FAEAE"/>
    <w:rsid w:val="37116A0D"/>
    <w:rsid w:val="37117141"/>
    <w:rsid w:val="37131A0E"/>
    <w:rsid w:val="3716CABC"/>
    <w:rsid w:val="371CB5CB"/>
    <w:rsid w:val="3722350D"/>
    <w:rsid w:val="372AFDD2"/>
    <w:rsid w:val="372CB77F"/>
    <w:rsid w:val="372DCF5C"/>
    <w:rsid w:val="37309CBA"/>
    <w:rsid w:val="37350E32"/>
    <w:rsid w:val="373A28B1"/>
    <w:rsid w:val="373C001B"/>
    <w:rsid w:val="373F942A"/>
    <w:rsid w:val="37478B2A"/>
    <w:rsid w:val="37478D94"/>
    <w:rsid w:val="37499B71"/>
    <w:rsid w:val="374C3425"/>
    <w:rsid w:val="37516D27"/>
    <w:rsid w:val="375B486F"/>
    <w:rsid w:val="375D2860"/>
    <w:rsid w:val="37627907"/>
    <w:rsid w:val="3763CFAC"/>
    <w:rsid w:val="376601A3"/>
    <w:rsid w:val="376E10E3"/>
    <w:rsid w:val="37748A49"/>
    <w:rsid w:val="377983DE"/>
    <w:rsid w:val="377D2170"/>
    <w:rsid w:val="3781F6BF"/>
    <w:rsid w:val="3782843D"/>
    <w:rsid w:val="378A6E29"/>
    <w:rsid w:val="378D6CEF"/>
    <w:rsid w:val="378E4B32"/>
    <w:rsid w:val="37927714"/>
    <w:rsid w:val="379B1C1A"/>
    <w:rsid w:val="379EF6AD"/>
    <w:rsid w:val="379F5C6D"/>
    <w:rsid w:val="37A2DCC1"/>
    <w:rsid w:val="37A4730C"/>
    <w:rsid w:val="37A501ED"/>
    <w:rsid w:val="37A78AF6"/>
    <w:rsid w:val="37A7F8E7"/>
    <w:rsid w:val="37AE9C84"/>
    <w:rsid w:val="37AEC64A"/>
    <w:rsid w:val="37B22C8D"/>
    <w:rsid w:val="37B40081"/>
    <w:rsid w:val="37B89DE6"/>
    <w:rsid w:val="37BB5C9D"/>
    <w:rsid w:val="37C0B6E3"/>
    <w:rsid w:val="37C22467"/>
    <w:rsid w:val="37C28B94"/>
    <w:rsid w:val="37C3A447"/>
    <w:rsid w:val="37C53FF1"/>
    <w:rsid w:val="37C90881"/>
    <w:rsid w:val="37CC21CB"/>
    <w:rsid w:val="37D2F8B2"/>
    <w:rsid w:val="37DAA941"/>
    <w:rsid w:val="37DD87B7"/>
    <w:rsid w:val="37DFB715"/>
    <w:rsid w:val="37E492B6"/>
    <w:rsid w:val="37E4BA07"/>
    <w:rsid w:val="37E9AC72"/>
    <w:rsid w:val="37EB47E0"/>
    <w:rsid w:val="37EEEB10"/>
    <w:rsid w:val="37EF698C"/>
    <w:rsid w:val="37F1184F"/>
    <w:rsid w:val="37F67FB7"/>
    <w:rsid w:val="37F7BEC6"/>
    <w:rsid w:val="37FA4D99"/>
    <w:rsid w:val="37FD0365"/>
    <w:rsid w:val="37FD8772"/>
    <w:rsid w:val="37FD94EB"/>
    <w:rsid w:val="38008CA4"/>
    <w:rsid w:val="38103840"/>
    <w:rsid w:val="38146011"/>
    <w:rsid w:val="3814C9A0"/>
    <w:rsid w:val="381B983E"/>
    <w:rsid w:val="3820AC72"/>
    <w:rsid w:val="3823ED8D"/>
    <w:rsid w:val="38292496"/>
    <w:rsid w:val="382B3B00"/>
    <w:rsid w:val="382BC2AA"/>
    <w:rsid w:val="382D8D7E"/>
    <w:rsid w:val="38323398"/>
    <w:rsid w:val="3836E3C0"/>
    <w:rsid w:val="3837C026"/>
    <w:rsid w:val="38391977"/>
    <w:rsid w:val="383AD8C0"/>
    <w:rsid w:val="383B0FF0"/>
    <w:rsid w:val="383F6312"/>
    <w:rsid w:val="3842DCAD"/>
    <w:rsid w:val="38435BD7"/>
    <w:rsid w:val="384638AD"/>
    <w:rsid w:val="384FB6A6"/>
    <w:rsid w:val="3854BD55"/>
    <w:rsid w:val="385E7386"/>
    <w:rsid w:val="38649D2D"/>
    <w:rsid w:val="38666CDD"/>
    <w:rsid w:val="38672C37"/>
    <w:rsid w:val="38678F4C"/>
    <w:rsid w:val="386E5245"/>
    <w:rsid w:val="387A1181"/>
    <w:rsid w:val="3887DBAE"/>
    <w:rsid w:val="388B1089"/>
    <w:rsid w:val="388DC925"/>
    <w:rsid w:val="388DD36D"/>
    <w:rsid w:val="388F3881"/>
    <w:rsid w:val="3892D57A"/>
    <w:rsid w:val="389392CB"/>
    <w:rsid w:val="3893AD20"/>
    <w:rsid w:val="3893BB39"/>
    <w:rsid w:val="389457CF"/>
    <w:rsid w:val="38996D0B"/>
    <w:rsid w:val="389978BC"/>
    <w:rsid w:val="38A06338"/>
    <w:rsid w:val="38A1E18E"/>
    <w:rsid w:val="38A38ADF"/>
    <w:rsid w:val="38A42092"/>
    <w:rsid w:val="38AAC1DD"/>
    <w:rsid w:val="38AD0B70"/>
    <w:rsid w:val="38ADCB77"/>
    <w:rsid w:val="38B1D276"/>
    <w:rsid w:val="38B61F71"/>
    <w:rsid w:val="38B6F5BA"/>
    <w:rsid w:val="38BAF390"/>
    <w:rsid w:val="38BC41A1"/>
    <w:rsid w:val="38C0FEF2"/>
    <w:rsid w:val="38C196EC"/>
    <w:rsid w:val="38C2383B"/>
    <w:rsid w:val="38C2D976"/>
    <w:rsid w:val="38D03771"/>
    <w:rsid w:val="38D3D10C"/>
    <w:rsid w:val="38D420F5"/>
    <w:rsid w:val="38D55CCE"/>
    <w:rsid w:val="38D8F68C"/>
    <w:rsid w:val="38D9AB95"/>
    <w:rsid w:val="38DB6121"/>
    <w:rsid w:val="38E20A84"/>
    <w:rsid w:val="38E57BF0"/>
    <w:rsid w:val="38ED10D9"/>
    <w:rsid w:val="38EDF781"/>
    <w:rsid w:val="38F0F04C"/>
    <w:rsid w:val="38F11D7E"/>
    <w:rsid w:val="38F56091"/>
    <w:rsid w:val="38F9F2B5"/>
    <w:rsid w:val="38FC6FC7"/>
    <w:rsid w:val="38FCC4F5"/>
    <w:rsid w:val="38FDCEC7"/>
    <w:rsid w:val="39039E97"/>
    <w:rsid w:val="39055CEC"/>
    <w:rsid w:val="39082BF6"/>
    <w:rsid w:val="3909A8DE"/>
    <w:rsid w:val="39113E11"/>
    <w:rsid w:val="39158325"/>
    <w:rsid w:val="3923816D"/>
    <w:rsid w:val="392B470E"/>
    <w:rsid w:val="39357279"/>
    <w:rsid w:val="393607B5"/>
    <w:rsid w:val="3937FF97"/>
    <w:rsid w:val="39450B11"/>
    <w:rsid w:val="39476DD7"/>
    <w:rsid w:val="394CBB37"/>
    <w:rsid w:val="394D3901"/>
    <w:rsid w:val="394DD431"/>
    <w:rsid w:val="394E860D"/>
    <w:rsid w:val="394FCA27"/>
    <w:rsid w:val="39522763"/>
    <w:rsid w:val="39618E95"/>
    <w:rsid w:val="3961B825"/>
    <w:rsid w:val="39653B0A"/>
    <w:rsid w:val="39663B3F"/>
    <w:rsid w:val="3966CECC"/>
    <w:rsid w:val="3967716D"/>
    <w:rsid w:val="39691361"/>
    <w:rsid w:val="3972B3E9"/>
    <w:rsid w:val="397337FB"/>
    <w:rsid w:val="39742A3A"/>
    <w:rsid w:val="39760D04"/>
    <w:rsid w:val="3977FF8E"/>
    <w:rsid w:val="3978A553"/>
    <w:rsid w:val="3979D40E"/>
    <w:rsid w:val="397CB7EE"/>
    <w:rsid w:val="397F8B6E"/>
    <w:rsid w:val="3983622D"/>
    <w:rsid w:val="3985BD7C"/>
    <w:rsid w:val="398730DA"/>
    <w:rsid w:val="3988C67F"/>
    <w:rsid w:val="398F70F2"/>
    <w:rsid w:val="39925FD0"/>
    <w:rsid w:val="39956CAD"/>
    <w:rsid w:val="3998044A"/>
    <w:rsid w:val="3999D9AD"/>
    <w:rsid w:val="399F3F1A"/>
    <w:rsid w:val="39A1D4A4"/>
    <w:rsid w:val="39A83D6A"/>
    <w:rsid w:val="39A8FCC1"/>
    <w:rsid w:val="39ABC971"/>
    <w:rsid w:val="39B0836C"/>
    <w:rsid w:val="39B146A1"/>
    <w:rsid w:val="39B2A8E4"/>
    <w:rsid w:val="39B2BAC6"/>
    <w:rsid w:val="39B357D2"/>
    <w:rsid w:val="39B57068"/>
    <w:rsid w:val="39BD1515"/>
    <w:rsid w:val="39BEA5C3"/>
    <w:rsid w:val="39C179E7"/>
    <w:rsid w:val="39C18CCA"/>
    <w:rsid w:val="39C9C960"/>
    <w:rsid w:val="39D50777"/>
    <w:rsid w:val="39D9B748"/>
    <w:rsid w:val="39DDF2D0"/>
    <w:rsid w:val="39E1C432"/>
    <w:rsid w:val="39E200A1"/>
    <w:rsid w:val="39E74589"/>
    <w:rsid w:val="39E7A2EE"/>
    <w:rsid w:val="39E8A840"/>
    <w:rsid w:val="39EE86C9"/>
    <w:rsid w:val="39EFDFEB"/>
    <w:rsid w:val="39F49517"/>
    <w:rsid w:val="39F6A0B5"/>
    <w:rsid w:val="3A003991"/>
    <w:rsid w:val="3A00E045"/>
    <w:rsid w:val="3A03BEB8"/>
    <w:rsid w:val="3A0481D0"/>
    <w:rsid w:val="3A099435"/>
    <w:rsid w:val="3A0BBC31"/>
    <w:rsid w:val="3A112FD1"/>
    <w:rsid w:val="3A125EBF"/>
    <w:rsid w:val="3A14A9FF"/>
    <w:rsid w:val="3A18B3BE"/>
    <w:rsid w:val="3A1B1730"/>
    <w:rsid w:val="3A1CDEF0"/>
    <w:rsid w:val="3A1E17E2"/>
    <w:rsid w:val="3A1ED18E"/>
    <w:rsid w:val="3A1F3AF8"/>
    <w:rsid w:val="3A213AE2"/>
    <w:rsid w:val="3A2638F7"/>
    <w:rsid w:val="3A26C7F8"/>
    <w:rsid w:val="3A28266F"/>
    <w:rsid w:val="3A315E2E"/>
    <w:rsid w:val="3A31BFFC"/>
    <w:rsid w:val="3A328171"/>
    <w:rsid w:val="3A362E00"/>
    <w:rsid w:val="3A37933A"/>
    <w:rsid w:val="3A37DD26"/>
    <w:rsid w:val="3A3CB73F"/>
    <w:rsid w:val="3A452A90"/>
    <w:rsid w:val="3A45E021"/>
    <w:rsid w:val="3A47ECCB"/>
    <w:rsid w:val="3A4B6DDE"/>
    <w:rsid w:val="3A4DFD2F"/>
    <w:rsid w:val="3A5195B4"/>
    <w:rsid w:val="3A51E65D"/>
    <w:rsid w:val="3A559AD6"/>
    <w:rsid w:val="3A55DB64"/>
    <w:rsid w:val="3A67C1FB"/>
    <w:rsid w:val="3A6A2B6D"/>
    <w:rsid w:val="3A766004"/>
    <w:rsid w:val="3A7A0CDD"/>
    <w:rsid w:val="3A7C0C64"/>
    <w:rsid w:val="3A8187AF"/>
    <w:rsid w:val="3A82241E"/>
    <w:rsid w:val="3A8744C4"/>
    <w:rsid w:val="3A936010"/>
    <w:rsid w:val="3A93FE18"/>
    <w:rsid w:val="3A962715"/>
    <w:rsid w:val="3A9787E3"/>
    <w:rsid w:val="3A98EACD"/>
    <w:rsid w:val="3A99EA83"/>
    <w:rsid w:val="3A9CD303"/>
    <w:rsid w:val="3AA339A7"/>
    <w:rsid w:val="3AA7C83E"/>
    <w:rsid w:val="3AA8CCA8"/>
    <w:rsid w:val="3AA94CC0"/>
    <w:rsid w:val="3AB1C514"/>
    <w:rsid w:val="3AB20552"/>
    <w:rsid w:val="3AB4C343"/>
    <w:rsid w:val="3AB6373F"/>
    <w:rsid w:val="3AC143EE"/>
    <w:rsid w:val="3AC426B0"/>
    <w:rsid w:val="3ACE125E"/>
    <w:rsid w:val="3ACE9CBF"/>
    <w:rsid w:val="3AD238DA"/>
    <w:rsid w:val="3AD2903F"/>
    <w:rsid w:val="3AD6BBB8"/>
    <w:rsid w:val="3ADA89CA"/>
    <w:rsid w:val="3AE83DC2"/>
    <w:rsid w:val="3AE9A5A1"/>
    <w:rsid w:val="3AEB198C"/>
    <w:rsid w:val="3AEB3A37"/>
    <w:rsid w:val="3AF16B5B"/>
    <w:rsid w:val="3AF37F31"/>
    <w:rsid w:val="3AF479F0"/>
    <w:rsid w:val="3AF7EBF8"/>
    <w:rsid w:val="3AFF0A62"/>
    <w:rsid w:val="3B059BC7"/>
    <w:rsid w:val="3B0ABE22"/>
    <w:rsid w:val="3B0E9306"/>
    <w:rsid w:val="3B0F4683"/>
    <w:rsid w:val="3B106B1D"/>
    <w:rsid w:val="3B135FED"/>
    <w:rsid w:val="3B1C7066"/>
    <w:rsid w:val="3B1FF82E"/>
    <w:rsid w:val="3B251670"/>
    <w:rsid w:val="3B2EDC0E"/>
    <w:rsid w:val="3B38B22A"/>
    <w:rsid w:val="3B3BD194"/>
    <w:rsid w:val="3B3C172C"/>
    <w:rsid w:val="3B415792"/>
    <w:rsid w:val="3B417203"/>
    <w:rsid w:val="3B43930C"/>
    <w:rsid w:val="3B43B1EE"/>
    <w:rsid w:val="3B4486AA"/>
    <w:rsid w:val="3B454817"/>
    <w:rsid w:val="3B46121A"/>
    <w:rsid w:val="3B4D8DD2"/>
    <w:rsid w:val="3B4DBD23"/>
    <w:rsid w:val="3B5211C5"/>
    <w:rsid w:val="3B53899C"/>
    <w:rsid w:val="3B57FE92"/>
    <w:rsid w:val="3B5A526E"/>
    <w:rsid w:val="3B64948A"/>
    <w:rsid w:val="3B68FB4B"/>
    <w:rsid w:val="3B690065"/>
    <w:rsid w:val="3B70CD99"/>
    <w:rsid w:val="3B7158DD"/>
    <w:rsid w:val="3B730E4C"/>
    <w:rsid w:val="3B7400BA"/>
    <w:rsid w:val="3B786B61"/>
    <w:rsid w:val="3B8BD13E"/>
    <w:rsid w:val="3B8CE3F1"/>
    <w:rsid w:val="3B8EA6F4"/>
    <w:rsid w:val="3B8F024C"/>
    <w:rsid w:val="3B95995C"/>
    <w:rsid w:val="3B974B56"/>
    <w:rsid w:val="3B9FFC6E"/>
    <w:rsid w:val="3BA173EF"/>
    <w:rsid w:val="3BA3222B"/>
    <w:rsid w:val="3BA9F23E"/>
    <w:rsid w:val="3BAB4898"/>
    <w:rsid w:val="3BAC4B37"/>
    <w:rsid w:val="3BACB992"/>
    <w:rsid w:val="3BACDAF6"/>
    <w:rsid w:val="3BAD48EE"/>
    <w:rsid w:val="3BBCCDDF"/>
    <w:rsid w:val="3BBDE418"/>
    <w:rsid w:val="3BC3B4D1"/>
    <w:rsid w:val="3BC83348"/>
    <w:rsid w:val="3BC98210"/>
    <w:rsid w:val="3BCB68EB"/>
    <w:rsid w:val="3BCC605F"/>
    <w:rsid w:val="3BD83734"/>
    <w:rsid w:val="3BDE7AAF"/>
    <w:rsid w:val="3BDF4A8D"/>
    <w:rsid w:val="3BE55BAC"/>
    <w:rsid w:val="3BF08E95"/>
    <w:rsid w:val="3BF2BA18"/>
    <w:rsid w:val="3BF5542B"/>
    <w:rsid w:val="3BF9B62F"/>
    <w:rsid w:val="3C04B9CD"/>
    <w:rsid w:val="3C073462"/>
    <w:rsid w:val="3C0CB214"/>
    <w:rsid w:val="3C0F44B6"/>
    <w:rsid w:val="3C1A63F2"/>
    <w:rsid w:val="3C1D9EA0"/>
    <w:rsid w:val="3C2C1446"/>
    <w:rsid w:val="3C30F8D3"/>
    <w:rsid w:val="3C3876B3"/>
    <w:rsid w:val="3C38A364"/>
    <w:rsid w:val="3C3A1333"/>
    <w:rsid w:val="3C3B9F5E"/>
    <w:rsid w:val="3C4DB4FA"/>
    <w:rsid w:val="3C50476D"/>
    <w:rsid w:val="3C5223BC"/>
    <w:rsid w:val="3C545581"/>
    <w:rsid w:val="3C558939"/>
    <w:rsid w:val="3C5A8307"/>
    <w:rsid w:val="3C5B0FA2"/>
    <w:rsid w:val="3C5D216B"/>
    <w:rsid w:val="3C5E3BC0"/>
    <w:rsid w:val="3C676753"/>
    <w:rsid w:val="3C699142"/>
    <w:rsid w:val="3C6C03EF"/>
    <w:rsid w:val="3C6E92AF"/>
    <w:rsid w:val="3C6F14C3"/>
    <w:rsid w:val="3C71B24A"/>
    <w:rsid w:val="3C7216F6"/>
    <w:rsid w:val="3C740D21"/>
    <w:rsid w:val="3C74B4E0"/>
    <w:rsid w:val="3C755589"/>
    <w:rsid w:val="3C773CDE"/>
    <w:rsid w:val="3C7A83C7"/>
    <w:rsid w:val="3C8031FA"/>
    <w:rsid w:val="3C80D075"/>
    <w:rsid w:val="3C82D4A4"/>
    <w:rsid w:val="3C83D60F"/>
    <w:rsid w:val="3C875EEF"/>
    <w:rsid w:val="3C879F0B"/>
    <w:rsid w:val="3C8BB208"/>
    <w:rsid w:val="3C8F0F1B"/>
    <w:rsid w:val="3C8F0F34"/>
    <w:rsid w:val="3C91284E"/>
    <w:rsid w:val="3C92D9E1"/>
    <w:rsid w:val="3C93C6F2"/>
    <w:rsid w:val="3C991760"/>
    <w:rsid w:val="3C9BDCFE"/>
    <w:rsid w:val="3C9DBD79"/>
    <w:rsid w:val="3CA96508"/>
    <w:rsid w:val="3CA9FD87"/>
    <w:rsid w:val="3CAB26F2"/>
    <w:rsid w:val="3CB34325"/>
    <w:rsid w:val="3CB49DE5"/>
    <w:rsid w:val="3CB507B9"/>
    <w:rsid w:val="3CB5DAEE"/>
    <w:rsid w:val="3CB6739B"/>
    <w:rsid w:val="3CB74674"/>
    <w:rsid w:val="3CB9C7DE"/>
    <w:rsid w:val="3CC7326C"/>
    <w:rsid w:val="3CCBECE2"/>
    <w:rsid w:val="3CCDF9AB"/>
    <w:rsid w:val="3CD0C65C"/>
    <w:rsid w:val="3CD4BD9F"/>
    <w:rsid w:val="3CDADC78"/>
    <w:rsid w:val="3CDB0908"/>
    <w:rsid w:val="3CDBF66C"/>
    <w:rsid w:val="3CDFBF87"/>
    <w:rsid w:val="3CE01C13"/>
    <w:rsid w:val="3CE1D827"/>
    <w:rsid w:val="3CE272F4"/>
    <w:rsid w:val="3CE3AB21"/>
    <w:rsid w:val="3CE8AA07"/>
    <w:rsid w:val="3CE9E976"/>
    <w:rsid w:val="3CF28F96"/>
    <w:rsid w:val="3CF33FED"/>
    <w:rsid w:val="3CF72A3F"/>
    <w:rsid w:val="3CF8744E"/>
    <w:rsid w:val="3CF91F08"/>
    <w:rsid w:val="3CF92191"/>
    <w:rsid w:val="3D027597"/>
    <w:rsid w:val="3D040E25"/>
    <w:rsid w:val="3D069CE0"/>
    <w:rsid w:val="3D06FA0D"/>
    <w:rsid w:val="3D071DF3"/>
    <w:rsid w:val="3D0823B8"/>
    <w:rsid w:val="3D08A9B2"/>
    <w:rsid w:val="3D08F181"/>
    <w:rsid w:val="3D11520E"/>
    <w:rsid w:val="3D150551"/>
    <w:rsid w:val="3D1E36F1"/>
    <w:rsid w:val="3D1E8DB8"/>
    <w:rsid w:val="3D1F8200"/>
    <w:rsid w:val="3D25C4A4"/>
    <w:rsid w:val="3D3B9E18"/>
    <w:rsid w:val="3D3EB922"/>
    <w:rsid w:val="3D413EF5"/>
    <w:rsid w:val="3D5583E7"/>
    <w:rsid w:val="3D578E8F"/>
    <w:rsid w:val="3D597F15"/>
    <w:rsid w:val="3D5BA487"/>
    <w:rsid w:val="3D5C11F2"/>
    <w:rsid w:val="3D5D1CF4"/>
    <w:rsid w:val="3D62A4F1"/>
    <w:rsid w:val="3D687409"/>
    <w:rsid w:val="3D689F7D"/>
    <w:rsid w:val="3D6A222E"/>
    <w:rsid w:val="3D6BED45"/>
    <w:rsid w:val="3D6EFDE6"/>
    <w:rsid w:val="3D713F55"/>
    <w:rsid w:val="3D7E4FCB"/>
    <w:rsid w:val="3D8036E4"/>
    <w:rsid w:val="3D83C950"/>
    <w:rsid w:val="3D8418F1"/>
    <w:rsid w:val="3D84862F"/>
    <w:rsid w:val="3D8BDA34"/>
    <w:rsid w:val="3D8DE0F7"/>
    <w:rsid w:val="3D955290"/>
    <w:rsid w:val="3D9A354D"/>
    <w:rsid w:val="3D9B4353"/>
    <w:rsid w:val="3D9D4600"/>
    <w:rsid w:val="3D9F752B"/>
    <w:rsid w:val="3DA2061C"/>
    <w:rsid w:val="3DA473E5"/>
    <w:rsid w:val="3DA66C18"/>
    <w:rsid w:val="3DA82F76"/>
    <w:rsid w:val="3DABA51A"/>
    <w:rsid w:val="3DAE9BA2"/>
    <w:rsid w:val="3DAFA80E"/>
    <w:rsid w:val="3DB43F4A"/>
    <w:rsid w:val="3DB84FEC"/>
    <w:rsid w:val="3DB86952"/>
    <w:rsid w:val="3DC08D79"/>
    <w:rsid w:val="3DCD0C3F"/>
    <w:rsid w:val="3DCD8C94"/>
    <w:rsid w:val="3DD1F6DC"/>
    <w:rsid w:val="3DD24AAC"/>
    <w:rsid w:val="3DD74856"/>
    <w:rsid w:val="3DD7BED6"/>
    <w:rsid w:val="3DD806B9"/>
    <w:rsid w:val="3DE23A7A"/>
    <w:rsid w:val="3DE49103"/>
    <w:rsid w:val="3DE6139E"/>
    <w:rsid w:val="3DE90C4A"/>
    <w:rsid w:val="3DE93897"/>
    <w:rsid w:val="3DEC1D1A"/>
    <w:rsid w:val="3DF120BE"/>
    <w:rsid w:val="3DF3370B"/>
    <w:rsid w:val="3DF34817"/>
    <w:rsid w:val="3DF50D04"/>
    <w:rsid w:val="3DF5AFBF"/>
    <w:rsid w:val="3DF7863E"/>
    <w:rsid w:val="3DF946AD"/>
    <w:rsid w:val="3DFA7D0A"/>
    <w:rsid w:val="3DFC6330"/>
    <w:rsid w:val="3DFF84AE"/>
    <w:rsid w:val="3DFF9CEA"/>
    <w:rsid w:val="3E0356C8"/>
    <w:rsid w:val="3E036B37"/>
    <w:rsid w:val="3E0B9B26"/>
    <w:rsid w:val="3E0BCEFA"/>
    <w:rsid w:val="3E0FCD3C"/>
    <w:rsid w:val="3E123936"/>
    <w:rsid w:val="3E12CD2A"/>
    <w:rsid w:val="3E165975"/>
    <w:rsid w:val="3E1BB50A"/>
    <w:rsid w:val="3E1D1817"/>
    <w:rsid w:val="3E22C8E4"/>
    <w:rsid w:val="3E2370D9"/>
    <w:rsid w:val="3E261F92"/>
    <w:rsid w:val="3E268AB3"/>
    <w:rsid w:val="3E28DA3A"/>
    <w:rsid w:val="3E2D3D45"/>
    <w:rsid w:val="3E2D9938"/>
    <w:rsid w:val="3E2EBEF7"/>
    <w:rsid w:val="3E2FB033"/>
    <w:rsid w:val="3E32B899"/>
    <w:rsid w:val="3E36B521"/>
    <w:rsid w:val="3E387987"/>
    <w:rsid w:val="3E39545E"/>
    <w:rsid w:val="3E3D8281"/>
    <w:rsid w:val="3E3E5E50"/>
    <w:rsid w:val="3E48ABC8"/>
    <w:rsid w:val="3E48CB5E"/>
    <w:rsid w:val="3E48DC14"/>
    <w:rsid w:val="3E4D50DB"/>
    <w:rsid w:val="3E4ED9F0"/>
    <w:rsid w:val="3E53F82E"/>
    <w:rsid w:val="3E55113C"/>
    <w:rsid w:val="3E57564B"/>
    <w:rsid w:val="3E599297"/>
    <w:rsid w:val="3E5C94D8"/>
    <w:rsid w:val="3E5D994B"/>
    <w:rsid w:val="3E61EA4E"/>
    <w:rsid w:val="3E66FBD0"/>
    <w:rsid w:val="3E67560C"/>
    <w:rsid w:val="3E680FF2"/>
    <w:rsid w:val="3E6F435D"/>
    <w:rsid w:val="3E740A62"/>
    <w:rsid w:val="3E77F00D"/>
    <w:rsid w:val="3E7B739F"/>
    <w:rsid w:val="3E7C37F2"/>
    <w:rsid w:val="3E80C248"/>
    <w:rsid w:val="3E810EEA"/>
    <w:rsid w:val="3E81B0CA"/>
    <w:rsid w:val="3E828D9F"/>
    <w:rsid w:val="3E8640BC"/>
    <w:rsid w:val="3E86DE83"/>
    <w:rsid w:val="3E882972"/>
    <w:rsid w:val="3E8997BF"/>
    <w:rsid w:val="3E89F46F"/>
    <w:rsid w:val="3E8CDC57"/>
    <w:rsid w:val="3E8EE888"/>
    <w:rsid w:val="3E919106"/>
    <w:rsid w:val="3E9307CD"/>
    <w:rsid w:val="3E9645EE"/>
    <w:rsid w:val="3E9A1979"/>
    <w:rsid w:val="3E9D0938"/>
    <w:rsid w:val="3E9D98DD"/>
    <w:rsid w:val="3EA0FDAD"/>
    <w:rsid w:val="3EA3EF90"/>
    <w:rsid w:val="3EAA8E2A"/>
    <w:rsid w:val="3EAAAC76"/>
    <w:rsid w:val="3EAE4863"/>
    <w:rsid w:val="3EB01F4C"/>
    <w:rsid w:val="3EB07342"/>
    <w:rsid w:val="3EBCFED7"/>
    <w:rsid w:val="3EC080A7"/>
    <w:rsid w:val="3EC3989C"/>
    <w:rsid w:val="3EC51C85"/>
    <w:rsid w:val="3EC74828"/>
    <w:rsid w:val="3EC812B5"/>
    <w:rsid w:val="3ECBA96A"/>
    <w:rsid w:val="3ECF11EB"/>
    <w:rsid w:val="3ED35611"/>
    <w:rsid w:val="3ED5AF48"/>
    <w:rsid w:val="3ED5BB5E"/>
    <w:rsid w:val="3ED71A4F"/>
    <w:rsid w:val="3EDA7E52"/>
    <w:rsid w:val="3EDACF4B"/>
    <w:rsid w:val="3EDDB922"/>
    <w:rsid w:val="3EDDC484"/>
    <w:rsid w:val="3EE29D2E"/>
    <w:rsid w:val="3EE429B2"/>
    <w:rsid w:val="3EE51656"/>
    <w:rsid w:val="3EF083A7"/>
    <w:rsid w:val="3EF66E11"/>
    <w:rsid w:val="3EF67393"/>
    <w:rsid w:val="3EFB1F33"/>
    <w:rsid w:val="3EFF5D04"/>
    <w:rsid w:val="3F0104E8"/>
    <w:rsid w:val="3F01DE7F"/>
    <w:rsid w:val="3F044E8D"/>
    <w:rsid w:val="3F0903E8"/>
    <w:rsid w:val="3F0B72C1"/>
    <w:rsid w:val="3F158389"/>
    <w:rsid w:val="3F1B1C6E"/>
    <w:rsid w:val="3F2EDF65"/>
    <w:rsid w:val="3F2F09B3"/>
    <w:rsid w:val="3F354337"/>
    <w:rsid w:val="3F3604BC"/>
    <w:rsid w:val="3F36D739"/>
    <w:rsid w:val="3F3CCF51"/>
    <w:rsid w:val="3F3CF12A"/>
    <w:rsid w:val="3F3E3653"/>
    <w:rsid w:val="3F3E9E75"/>
    <w:rsid w:val="3F47B4BC"/>
    <w:rsid w:val="3F55C29F"/>
    <w:rsid w:val="3F594D80"/>
    <w:rsid w:val="3F59D40E"/>
    <w:rsid w:val="3F5D2E48"/>
    <w:rsid w:val="3F5D55FE"/>
    <w:rsid w:val="3F62804C"/>
    <w:rsid w:val="3F65A390"/>
    <w:rsid w:val="3F6AD7EC"/>
    <w:rsid w:val="3F72CE5D"/>
    <w:rsid w:val="3F763BA7"/>
    <w:rsid w:val="3F765205"/>
    <w:rsid w:val="3F76FA4D"/>
    <w:rsid w:val="3F7705DF"/>
    <w:rsid w:val="3F79B291"/>
    <w:rsid w:val="3F81D3D1"/>
    <w:rsid w:val="3F8B8096"/>
    <w:rsid w:val="3F8B85B9"/>
    <w:rsid w:val="3F8BFB6A"/>
    <w:rsid w:val="3F8C07E9"/>
    <w:rsid w:val="3F8DEABC"/>
    <w:rsid w:val="3F9503EE"/>
    <w:rsid w:val="3F955A84"/>
    <w:rsid w:val="3F967C9B"/>
    <w:rsid w:val="3F9B38D3"/>
    <w:rsid w:val="3F9DE15E"/>
    <w:rsid w:val="3FA08AB1"/>
    <w:rsid w:val="3FA241E6"/>
    <w:rsid w:val="3FA3983B"/>
    <w:rsid w:val="3FA4460F"/>
    <w:rsid w:val="3FA81C33"/>
    <w:rsid w:val="3FACF871"/>
    <w:rsid w:val="3FB17CAA"/>
    <w:rsid w:val="3FC6B349"/>
    <w:rsid w:val="3FC6BD83"/>
    <w:rsid w:val="3FCA5EE4"/>
    <w:rsid w:val="3FD2CAA5"/>
    <w:rsid w:val="3FD32C5A"/>
    <w:rsid w:val="3FD5D63B"/>
    <w:rsid w:val="3FD7EA9B"/>
    <w:rsid w:val="3FDF388D"/>
    <w:rsid w:val="3FE079CE"/>
    <w:rsid w:val="3FEA6F49"/>
    <w:rsid w:val="3FEB0D99"/>
    <w:rsid w:val="3FEF447F"/>
    <w:rsid w:val="3FF28616"/>
    <w:rsid w:val="3FF403A5"/>
    <w:rsid w:val="3FF5D640"/>
    <w:rsid w:val="3FF6F706"/>
    <w:rsid w:val="3FF9C24F"/>
    <w:rsid w:val="400890CF"/>
    <w:rsid w:val="400B36F7"/>
    <w:rsid w:val="400D0B6A"/>
    <w:rsid w:val="40106E74"/>
    <w:rsid w:val="4012F4D9"/>
    <w:rsid w:val="40131086"/>
    <w:rsid w:val="4013C15D"/>
    <w:rsid w:val="401C096E"/>
    <w:rsid w:val="4026132A"/>
    <w:rsid w:val="402D3AB9"/>
    <w:rsid w:val="4033397F"/>
    <w:rsid w:val="4033E2FF"/>
    <w:rsid w:val="4034C903"/>
    <w:rsid w:val="4034F63D"/>
    <w:rsid w:val="404863CA"/>
    <w:rsid w:val="40494E98"/>
    <w:rsid w:val="404BF344"/>
    <w:rsid w:val="404F73F1"/>
    <w:rsid w:val="40563685"/>
    <w:rsid w:val="40595414"/>
    <w:rsid w:val="405DE32B"/>
    <w:rsid w:val="40610EA9"/>
    <w:rsid w:val="40622B5D"/>
    <w:rsid w:val="406258C0"/>
    <w:rsid w:val="4067327D"/>
    <w:rsid w:val="40755EA0"/>
    <w:rsid w:val="407F10F3"/>
    <w:rsid w:val="4082CAA3"/>
    <w:rsid w:val="408636AB"/>
    <w:rsid w:val="408A73E6"/>
    <w:rsid w:val="408B6935"/>
    <w:rsid w:val="408F9EF1"/>
    <w:rsid w:val="4095AD5F"/>
    <w:rsid w:val="4099288D"/>
    <w:rsid w:val="40999AB4"/>
    <w:rsid w:val="409B4301"/>
    <w:rsid w:val="409C0163"/>
    <w:rsid w:val="409C8A56"/>
    <w:rsid w:val="409D3BF1"/>
    <w:rsid w:val="409F04DD"/>
    <w:rsid w:val="409F9EBB"/>
    <w:rsid w:val="40A67D84"/>
    <w:rsid w:val="40A91E1B"/>
    <w:rsid w:val="40AC0B3C"/>
    <w:rsid w:val="40B33E12"/>
    <w:rsid w:val="40B420B8"/>
    <w:rsid w:val="40B901BB"/>
    <w:rsid w:val="40B95FC7"/>
    <w:rsid w:val="40B99A0F"/>
    <w:rsid w:val="40C0A5D9"/>
    <w:rsid w:val="40C48C0B"/>
    <w:rsid w:val="40C4CC3A"/>
    <w:rsid w:val="40C60563"/>
    <w:rsid w:val="40C63D48"/>
    <w:rsid w:val="40C6FF9C"/>
    <w:rsid w:val="40CAB00E"/>
    <w:rsid w:val="40CD43EB"/>
    <w:rsid w:val="40E406B1"/>
    <w:rsid w:val="40E9B247"/>
    <w:rsid w:val="40EA28F7"/>
    <w:rsid w:val="40ECED98"/>
    <w:rsid w:val="40ED24A2"/>
    <w:rsid w:val="40EDD1D4"/>
    <w:rsid w:val="40F2C680"/>
    <w:rsid w:val="40F3279B"/>
    <w:rsid w:val="40F61635"/>
    <w:rsid w:val="40F69064"/>
    <w:rsid w:val="40FC95F0"/>
    <w:rsid w:val="40FF4E00"/>
    <w:rsid w:val="40FF6053"/>
    <w:rsid w:val="40FFC2B8"/>
    <w:rsid w:val="41046620"/>
    <w:rsid w:val="4105916A"/>
    <w:rsid w:val="410CE59B"/>
    <w:rsid w:val="410D60C6"/>
    <w:rsid w:val="41102787"/>
    <w:rsid w:val="41179189"/>
    <w:rsid w:val="411AA7C5"/>
    <w:rsid w:val="41212C9C"/>
    <w:rsid w:val="4121F9CD"/>
    <w:rsid w:val="41263755"/>
    <w:rsid w:val="412AEE72"/>
    <w:rsid w:val="412C7DFD"/>
    <w:rsid w:val="412DF563"/>
    <w:rsid w:val="413A2E1F"/>
    <w:rsid w:val="413E2F12"/>
    <w:rsid w:val="413E507B"/>
    <w:rsid w:val="413F4BAF"/>
    <w:rsid w:val="41400323"/>
    <w:rsid w:val="4142815B"/>
    <w:rsid w:val="4144A35D"/>
    <w:rsid w:val="4145CF92"/>
    <w:rsid w:val="41477612"/>
    <w:rsid w:val="4150FF6E"/>
    <w:rsid w:val="415E54DC"/>
    <w:rsid w:val="41643790"/>
    <w:rsid w:val="416BBD69"/>
    <w:rsid w:val="416C0D25"/>
    <w:rsid w:val="41709E9C"/>
    <w:rsid w:val="41747B3C"/>
    <w:rsid w:val="4174AFBA"/>
    <w:rsid w:val="4174DBF1"/>
    <w:rsid w:val="4176F226"/>
    <w:rsid w:val="4177BB50"/>
    <w:rsid w:val="417A47D6"/>
    <w:rsid w:val="417C3013"/>
    <w:rsid w:val="417DCD6D"/>
    <w:rsid w:val="417F9D4C"/>
    <w:rsid w:val="4183C654"/>
    <w:rsid w:val="4184794E"/>
    <w:rsid w:val="418CDF73"/>
    <w:rsid w:val="418D2B97"/>
    <w:rsid w:val="418E4852"/>
    <w:rsid w:val="418FA831"/>
    <w:rsid w:val="4190E6E0"/>
    <w:rsid w:val="419E0D6B"/>
    <w:rsid w:val="419EC8D5"/>
    <w:rsid w:val="41A0EA08"/>
    <w:rsid w:val="41A24A6B"/>
    <w:rsid w:val="41A946FA"/>
    <w:rsid w:val="41ACB8F9"/>
    <w:rsid w:val="41AE27CB"/>
    <w:rsid w:val="41AE6FA4"/>
    <w:rsid w:val="41AFB942"/>
    <w:rsid w:val="41B031C4"/>
    <w:rsid w:val="41B2C3F2"/>
    <w:rsid w:val="41BBDBF4"/>
    <w:rsid w:val="41BC059A"/>
    <w:rsid w:val="41BF99D7"/>
    <w:rsid w:val="41C38538"/>
    <w:rsid w:val="41C94D9D"/>
    <w:rsid w:val="41CA01F9"/>
    <w:rsid w:val="41CA2F62"/>
    <w:rsid w:val="41CC10D3"/>
    <w:rsid w:val="41CCCE86"/>
    <w:rsid w:val="41D48F5C"/>
    <w:rsid w:val="41DB0709"/>
    <w:rsid w:val="41E0A15A"/>
    <w:rsid w:val="41EB8CB0"/>
    <w:rsid w:val="41EBD93C"/>
    <w:rsid w:val="41ECB6C9"/>
    <w:rsid w:val="41ED0D45"/>
    <w:rsid w:val="41ED5A8E"/>
    <w:rsid w:val="41F06F8C"/>
    <w:rsid w:val="41F09B53"/>
    <w:rsid w:val="41F699E6"/>
    <w:rsid w:val="41FB2AE3"/>
    <w:rsid w:val="4201B7F0"/>
    <w:rsid w:val="4201F1B8"/>
    <w:rsid w:val="4202F80E"/>
    <w:rsid w:val="42082801"/>
    <w:rsid w:val="4208C6E0"/>
    <w:rsid w:val="4209718A"/>
    <w:rsid w:val="420ACB2E"/>
    <w:rsid w:val="420CAABC"/>
    <w:rsid w:val="4216125B"/>
    <w:rsid w:val="4219294A"/>
    <w:rsid w:val="42193151"/>
    <w:rsid w:val="421CD175"/>
    <w:rsid w:val="421F9E83"/>
    <w:rsid w:val="422988E2"/>
    <w:rsid w:val="4229FC3D"/>
    <w:rsid w:val="422C242D"/>
    <w:rsid w:val="423EFFA5"/>
    <w:rsid w:val="423F9EE2"/>
    <w:rsid w:val="4243EEFB"/>
    <w:rsid w:val="424709CB"/>
    <w:rsid w:val="4248973A"/>
    <w:rsid w:val="4249A26B"/>
    <w:rsid w:val="424A09E2"/>
    <w:rsid w:val="424C1E9D"/>
    <w:rsid w:val="424E7D00"/>
    <w:rsid w:val="425724D9"/>
    <w:rsid w:val="425C6F58"/>
    <w:rsid w:val="425D98BD"/>
    <w:rsid w:val="42624254"/>
    <w:rsid w:val="426669D0"/>
    <w:rsid w:val="42676F4A"/>
    <w:rsid w:val="4276A005"/>
    <w:rsid w:val="427E90DF"/>
    <w:rsid w:val="427F26B2"/>
    <w:rsid w:val="42811E21"/>
    <w:rsid w:val="42817A81"/>
    <w:rsid w:val="428453EE"/>
    <w:rsid w:val="4286E466"/>
    <w:rsid w:val="4287559B"/>
    <w:rsid w:val="42885E7C"/>
    <w:rsid w:val="428E9628"/>
    <w:rsid w:val="4299C1FB"/>
    <w:rsid w:val="4299F25D"/>
    <w:rsid w:val="429D2057"/>
    <w:rsid w:val="42A17AAD"/>
    <w:rsid w:val="42A2244E"/>
    <w:rsid w:val="42A426B4"/>
    <w:rsid w:val="42AE151F"/>
    <w:rsid w:val="42AFEC50"/>
    <w:rsid w:val="42B3BC88"/>
    <w:rsid w:val="42B55896"/>
    <w:rsid w:val="42B79B05"/>
    <w:rsid w:val="42B9E63D"/>
    <w:rsid w:val="42BFD496"/>
    <w:rsid w:val="42C63D15"/>
    <w:rsid w:val="42C91578"/>
    <w:rsid w:val="42CE1D3A"/>
    <w:rsid w:val="42D260BF"/>
    <w:rsid w:val="42D58353"/>
    <w:rsid w:val="42D72647"/>
    <w:rsid w:val="42E9281A"/>
    <w:rsid w:val="42ED97C8"/>
    <w:rsid w:val="42F6AFC1"/>
    <w:rsid w:val="42F6E608"/>
    <w:rsid w:val="42F7BDA4"/>
    <w:rsid w:val="42F9A836"/>
    <w:rsid w:val="42FF8FF2"/>
    <w:rsid w:val="430507E2"/>
    <w:rsid w:val="430771A3"/>
    <w:rsid w:val="4309128D"/>
    <w:rsid w:val="4309AE63"/>
    <w:rsid w:val="430AD4AF"/>
    <w:rsid w:val="430CAD4C"/>
    <w:rsid w:val="430F6948"/>
    <w:rsid w:val="4318A2C3"/>
    <w:rsid w:val="43195D30"/>
    <w:rsid w:val="431AC925"/>
    <w:rsid w:val="43216883"/>
    <w:rsid w:val="43219B85"/>
    <w:rsid w:val="4325FC99"/>
    <w:rsid w:val="43273528"/>
    <w:rsid w:val="432A347E"/>
    <w:rsid w:val="432B3BD6"/>
    <w:rsid w:val="432DAEAC"/>
    <w:rsid w:val="4330FB3C"/>
    <w:rsid w:val="433337ED"/>
    <w:rsid w:val="433A246D"/>
    <w:rsid w:val="433BB0BF"/>
    <w:rsid w:val="433C6C85"/>
    <w:rsid w:val="43410DA1"/>
    <w:rsid w:val="43416ED4"/>
    <w:rsid w:val="4348163A"/>
    <w:rsid w:val="434AECE7"/>
    <w:rsid w:val="434EAF93"/>
    <w:rsid w:val="43504842"/>
    <w:rsid w:val="4354F038"/>
    <w:rsid w:val="4357D7B2"/>
    <w:rsid w:val="435B2A56"/>
    <w:rsid w:val="435C8AC4"/>
    <w:rsid w:val="435FF5EB"/>
    <w:rsid w:val="436B1F20"/>
    <w:rsid w:val="436C575F"/>
    <w:rsid w:val="436E2444"/>
    <w:rsid w:val="437304CC"/>
    <w:rsid w:val="4377C18B"/>
    <w:rsid w:val="437CA575"/>
    <w:rsid w:val="437D66C1"/>
    <w:rsid w:val="4381C124"/>
    <w:rsid w:val="4383347E"/>
    <w:rsid w:val="4385D71F"/>
    <w:rsid w:val="438607E0"/>
    <w:rsid w:val="4387BFBF"/>
    <w:rsid w:val="438B22CC"/>
    <w:rsid w:val="439A1513"/>
    <w:rsid w:val="439B5481"/>
    <w:rsid w:val="439C48B5"/>
    <w:rsid w:val="439E8FDC"/>
    <w:rsid w:val="43A19042"/>
    <w:rsid w:val="43BB1711"/>
    <w:rsid w:val="43BC76E5"/>
    <w:rsid w:val="43BD61B0"/>
    <w:rsid w:val="43C392C3"/>
    <w:rsid w:val="43C5C2C0"/>
    <w:rsid w:val="43C71506"/>
    <w:rsid w:val="43C79938"/>
    <w:rsid w:val="43CE8849"/>
    <w:rsid w:val="43D6A6E0"/>
    <w:rsid w:val="43DBB513"/>
    <w:rsid w:val="43DE16AE"/>
    <w:rsid w:val="43E5B24E"/>
    <w:rsid w:val="43EAFF62"/>
    <w:rsid w:val="43EBD344"/>
    <w:rsid w:val="43EC5A78"/>
    <w:rsid w:val="43ED34F9"/>
    <w:rsid w:val="43EFE3E0"/>
    <w:rsid w:val="43F3A1F4"/>
    <w:rsid w:val="43F4CF89"/>
    <w:rsid w:val="43F5BBAD"/>
    <w:rsid w:val="43F75299"/>
    <w:rsid w:val="43FC1D88"/>
    <w:rsid w:val="43FF8A0A"/>
    <w:rsid w:val="440194D5"/>
    <w:rsid w:val="440A9375"/>
    <w:rsid w:val="44103E40"/>
    <w:rsid w:val="4410CFD1"/>
    <w:rsid w:val="441232FA"/>
    <w:rsid w:val="44154160"/>
    <w:rsid w:val="4418AAF3"/>
    <w:rsid w:val="441AE68E"/>
    <w:rsid w:val="441BBC8E"/>
    <w:rsid w:val="441C73F0"/>
    <w:rsid w:val="441C7945"/>
    <w:rsid w:val="441D833F"/>
    <w:rsid w:val="44241670"/>
    <w:rsid w:val="442FD8D8"/>
    <w:rsid w:val="44395BE4"/>
    <w:rsid w:val="443A6DE5"/>
    <w:rsid w:val="44467505"/>
    <w:rsid w:val="444CD42B"/>
    <w:rsid w:val="44539ADE"/>
    <w:rsid w:val="445689DC"/>
    <w:rsid w:val="4459B4EE"/>
    <w:rsid w:val="445E8EFA"/>
    <w:rsid w:val="44617EE6"/>
    <w:rsid w:val="446282C6"/>
    <w:rsid w:val="44765E6A"/>
    <w:rsid w:val="4479B774"/>
    <w:rsid w:val="4484FE7D"/>
    <w:rsid w:val="44899C44"/>
    <w:rsid w:val="448D4E12"/>
    <w:rsid w:val="448DBE4C"/>
    <w:rsid w:val="449136CF"/>
    <w:rsid w:val="449EFD66"/>
    <w:rsid w:val="44A1D13C"/>
    <w:rsid w:val="44A27DA3"/>
    <w:rsid w:val="44A6A2E0"/>
    <w:rsid w:val="44A7920A"/>
    <w:rsid w:val="44A7FEAC"/>
    <w:rsid w:val="44AE0129"/>
    <w:rsid w:val="44B1D72F"/>
    <w:rsid w:val="44B50FA6"/>
    <w:rsid w:val="44B67475"/>
    <w:rsid w:val="44C746F8"/>
    <w:rsid w:val="44C8497D"/>
    <w:rsid w:val="44CA8D7A"/>
    <w:rsid w:val="44D19E16"/>
    <w:rsid w:val="44D3BDE0"/>
    <w:rsid w:val="44D60B96"/>
    <w:rsid w:val="44DC3ED8"/>
    <w:rsid w:val="44E34719"/>
    <w:rsid w:val="44E5A6AC"/>
    <w:rsid w:val="44EB335F"/>
    <w:rsid w:val="44EE3C3F"/>
    <w:rsid w:val="44F04938"/>
    <w:rsid w:val="44F0F4A9"/>
    <w:rsid w:val="44F4F429"/>
    <w:rsid w:val="44F8CAFE"/>
    <w:rsid w:val="44F96B4B"/>
    <w:rsid w:val="44FC4E29"/>
    <w:rsid w:val="4505BB25"/>
    <w:rsid w:val="450D9E83"/>
    <w:rsid w:val="451A3C86"/>
    <w:rsid w:val="451C80CF"/>
    <w:rsid w:val="451CB977"/>
    <w:rsid w:val="451D572A"/>
    <w:rsid w:val="4520C406"/>
    <w:rsid w:val="45230583"/>
    <w:rsid w:val="452882C7"/>
    <w:rsid w:val="453D92E9"/>
    <w:rsid w:val="453FBC1B"/>
    <w:rsid w:val="454168BD"/>
    <w:rsid w:val="45448169"/>
    <w:rsid w:val="4544F2B2"/>
    <w:rsid w:val="4545A5EB"/>
    <w:rsid w:val="4546A606"/>
    <w:rsid w:val="45496B8E"/>
    <w:rsid w:val="45513640"/>
    <w:rsid w:val="4559CC92"/>
    <w:rsid w:val="455DC486"/>
    <w:rsid w:val="456BCF3D"/>
    <w:rsid w:val="45703386"/>
    <w:rsid w:val="4572592F"/>
    <w:rsid w:val="457BA641"/>
    <w:rsid w:val="457D7EDE"/>
    <w:rsid w:val="45824265"/>
    <w:rsid w:val="4584916E"/>
    <w:rsid w:val="4588CB90"/>
    <w:rsid w:val="45897A20"/>
    <w:rsid w:val="458C1F24"/>
    <w:rsid w:val="458DECF8"/>
    <w:rsid w:val="4590E9F9"/>
    <w:rsid w:val="4593A00E"/>
    <w:rsid w:val="4596809E"/>
    <w:rsid w:val="459AC6C4"/>
    <w:rsid w:val="459BB264"/>
    <w:rsid w:val="459C78D5"/>
    <w:rsid w:val="459D4A12"/>
    <w:rsid w:val="45A2408B"/>
    <w:rsid w:val="45A41265"/>
    <w:rsid w:val="45A83368"/>
    <w:rsid w:val="45B7C5A7"/>
    <w:rsid w:val="45BC0DCF"/>
    <w:rsid w:val="45C694D5"/>
    <w:rsid w:val="45CC0D56"/>
    <w:rsid w:val="45CCB55C"/>
    <w:rsid w:val="45D15E32"/>
    <w:rsid w:val="45D361A3"/>
    <w:rsid w:val="45D63272"/>
    <w:rsid w:val="45D8E46B"/>
    <w:rsid w:val="45D902A7"/>
    <w:rsid w:val="45DA6DFF"/>
    <w:rsid w:val="45DB3D79"/>
    <w:rsid w:val="45DB87C9"/>
    <w:rsid w:val="45DFD487"/>
    <w:rsid w:val="45E0C155"/>
    <w:rsid w:val="45E16CC2"/>
    <w:rsid w:val="45E24036"/>
    <w:rsid w:val="45E32904"/>
    <w:rsid w:val="45E5FB0D"/>
    <w:rsid w:val="45E6D63A"/>
    <w:rsid w:val="45EB5684"/>
    <w:rsid w:val="45F52818"/>
    <w:rsid w:val="45FDEADB"/>
    <w:rsid w:val="45FE2DE1"/>
    <w:rsid w:val="4601719A"/>
    <w:rsid w:val="4604BE7A"/>
    <w:rsid w:val="46069668"/>
    <w:rsid w:val="46094B1B"/>
    <w:rsid w:val="4614B47A"/>
    <w:rsid w:val="46152B17"/>
    <w:rsid w:val="4615EF5C"/>
    <w:rsid w:val="461CB1D8"/>
    <w:rsid w:val="461D9877"/>
    <w:rsid w:val="462189D2"/>
    <w:rsid w:val="46237CAF"/>
    <w:rsid w:val="4625AD5B"/>
    <w:rsid w:val="46261635"/>
    <w:rsid w:val="462747A2"/>
    <w:rsid w:val="462888B2"/>
    <w:rsid w:val="462ABF1C"/>
    <w:rsid w:val="462EF335"/>
    <w:rsid w:val="46312EC5"/>
    <w:rsid w:val="463A431B"/>
    <w:rsid w:val="463CC8A2"/>
    <w:rsid w:val="463D3FFE"/>
    <w:rsid w:val="463E24EB"/>
    <w:rsid w:val="4640801D"/>
    <w:rsid w:val="4641F109"/>
    <w:rsid w:val="464ADDD9"/>
    <w:rsid w:val="464CC36A"/>
    <w:rsid w:val="465A049A"/>
    <w:rsid w:val="465FB464"/>
    <w:rsid w:val="4670527C"/>
    <w:rsid w:val="46771D7C"/>
    <w:rsid w:val="46774A61"/>
    <w:rsid w:val="467B71FE"/>
    <w:rsid w:val="467C9AE0"/>
    <w:rsid w:val="46841D23"/>
    <w:rsid w:val="46882587"/>
    <w:rsid w:val="4688D04C"/>
    <w:rsid w:val="46895616"/>
    <w:rsid w:val="468A812C"/>
    <w:rsid w:val="468BC587"/>
    <w:rsid w:val="468C1C46"/>
    <w:rsid w:val="4691198D"/>
    <w:rsid w:val="4697EBEF"/>
    <w:rsid w:val="4699903E"/>
    <w:rsid w:val="469D46F9"/>
    <w:rsid w:val="469D7B6B"/>
    <w:rsid w:val="469DCBC9"/>
    <w:rsid w:val="469E9821"/>
    <w:rsid w:val="469F43AC"/>
    <w:rsid w:val="46AB09E5"/>
    <w:rsid w:val="46AB8AB0"/>
    <w:rsid w:val="46AC85D1"/>
    <w:rsid w:val="46B1558B"/>
    <w:rsid w:val="46B2900D"/>
    <w:rsid w:val="46B64401"/>
    <w:rsid w:val="46B9912B"/>
    <w:rsid w:val="46BB8289"/>
    <w:rsid w:val="46BD8538"/>
    <w:rsid w:val="46BFD5DC"/>
    <w:rsid w:val="46C0CEB5"/>
    <w:rsid w:val="46C1203A"/>
    <w:rsid w:val="46C1D119"/>
    <w:rsid w:val="46C2A364"/>
    <w:rsid w:val="46C7735E"/>
    <w:rsid w:val="46C81C08"/>
    <w:rsid w:val="46CD7D8B"/>
    <w:rsid w:val="46CDEBB3"/>
    <w:rsid w:val="46CEBABC"/>
    <w:rsid w:val="46D13C1D"/>
    <w:rsid w:val="46D42F71"/>
    <w:rsid w:val="46D51F7A"/>
    <w:rsid w:val="46DC7585"/>
    <w:rsid w:val="46E42BC8"/>
    <w:rsid w:val="46E45A82"/>
    <w:rsid w:val="46EADFC0"/>
    <w:rsid w:val="46EF6692"/>
    <w:rsid w:val="46F502B1"/>
    <w:rsid w:val="46F58157"/>
    <w:rsid w:val="46F622F2"/>
    <w:rsid w:val="46F6F1AC"/>
    <w:rsid w:val="46FD2728"/>
    <w:rsid w:val="46FFAD78"/>
    <w:rsid w:val="4700B623"/>
    <w:rsid w:val="47038FE2"/>
    <w:rsid w:val="47040513"/>
    <w:rsid w:val="470539AF"/>
    <w:rsid w:val="470BFDAD"/>
    <w:rsid w:val="470F450F"/>
    <w:rsid w:val="4710A29A"/>
    <w:rsid w:val="47124107"/>
    <w:rsid w:val="471259BC"/>
    <w:rsid w:val="47196A3B"/>
    <w:rsid w:val="471F1EEC"/>
    <w:rsid w:val="4726141F"/>
    <w:rsid w:val="4726F262"/>
    <w:rsid w:val="4730AF8F"/>
    <w:rsid w:val="4737E69A"/>
    <w:rsid w:val="4740BA79"/>
    <w:rsid w:val="4744674C"/>
    <w:rsid w:val="474568CD"/>
    <w:rsid w:val="474E502E"/>
    <w:rsid w:val="47508776"/>
    <w:rsid w:val="4751E833"/>
    <w:rsid w:val="475547CD"/>
    <w:rsid w:val="475560BC"/>
    <w:rsid w:val="4766072E"/>
    <w:rsid w:val="476A02BE"/>
    <w:rsid w:val="47708420"/>
    <w:rsid w:val="4771F278"/>
    <w:rsid w:val="4776B24E"/>
    <w:rsid w:val="477B94A7"/>
    <w:rsid w:val="477FD372"/>
    <w:rsid w:val="4780A875"/>
    <w:rsid w:val="47855CAC"/>
    <w:rsid w:val="478A0256"/>
    <w:rsid w:val="478B4957"/>
    <w:rsid w:val="478E15F5"/>
    <w:rsid w:val="478F5349"/>
    <w:rsid w:val="479C0849"/>
    <w:rsid w:val="479C7FA6"/>
    <w:rsid w:val="47A6BBCF"/>
    <w:rsid w:val="47ACF1E4"/>
    <w:rsid w:val="47B2F14A"/>
    <w:rsid w:val="47B5F474"/>
    <w:rsid w:val="47BA4D92"/>
    <w:rsid w:val="47BAA6A2"/>
    <w:rsid w:val="47BBD3CE"/>
    <w:rsid w:val="47BE215A"/>
    <w:rsid w:val="47BF1F06"/>
    <w:rsid w:val="47C2A0F8"/>
    <w:rsid w:val="47C38819"/>
    <w:rsid w:val="47C4999D"/>
    <w:rsid w:val="47CA0AF2"/>
    <w:rsid w:val="47CCA6C1"/>
    <w:rsid w:val="47D3ABD1"/>
    <w:rsid w:val="47D41515"/>
    <w:rsid w:val="47D5AC19"/>
    <w:rsid w:val="47D7BA4E"/>
    <w:rsid w:val="47DAA9D8"/>
    <w:rsid w:val="47DAB513"/>
    <w:rsid w:val="47DB7F40"/>
    <w:rsid w:val="47DCF775"/>
    <w:rsid w:val="47DE78F8"/>
    <w:rsid w:val="47DF98F0"/>
    <w:rsid w:val="47E13EFD"/>
    <w:rsid w:val="47E178B7"/>
    <w:rsid w:val="47EBA564"/>
    <w:rsid w:val="47ECD275"/>
    <w:rsid w:val="47EE08F6"/>
    <w:rsid w:val="47F544E5"/>
    <w:rsid w:val="47F97F9E"/>
    <w:rsid w:val="47F9DA23"/>
    <w:rsid w:val="47FAB8C6"/>
    <w:rsid w:val="47FC7794"/>
    <w:rsid w:val="47FC974D"/>
    <w:rsid w:val="47FEEA3B"/>
    <w:rsid w:val="4800A6B2"/>
    <w:rsid w:val="48037969"/>
    <w:rsid w:val="48078851"/>
    <w:rsid w:val="480A8D68"/>
    <w:rsid w:val="480AE308"/>
    <w:rsid w:val="480E3C02"/>
    <w:rsid w:val="48108B74"/>
    <w:rsid w:val="4811A37F"/>
    <w:rsid w:val="48149F24"/>
    <w:rsid w:val="4814C544"/>
    <w:rsid w:val="48176D9E"/>
    <w:rsid w:val="4818B925"/>
    <w:rsid w:val="4820FFF2"/>
    <w:rsid w:val="4829D47D"/>
    <w:rsid w:val="482BF54B"/>
    <w:rsid w:val="482C170C"/>
    <w:rsid w:val="482E289E"/>
    <w:rsid w:val="483107D4"/>
    <w:rsid w:val="48328021"/>
    <w:rsid w:val="48339C87"/>
    <w:rsid w:val="48351CB7"/>
    <w:rsid w:val="4839E6E6"/>
    <w:rsid w:val="483C143E"/>
    <w:rsid w:val="483D63EA"/>
    <w:rsid w:val="483DC234"/>
    <w:rsid w:val="483FE9F5"/>
    <w:rsid w:val="4847C6D6"/>
    <w:rsid w:val="484C2D07"/>
    <w:rsid w:val="485182A2"/>
    <w:rsid w:val="4855C459"/>
    <w:rsid w:val="485CB6E0"/>
    <w:rsid w:val="48616C75"/>
    <w:rsid w:val="4864D874"/>
    <w:rsid w:val="486B4FEE"/>
    <w:rsid w:val="486E7265"/>
    <w:rsid w:val="486EB105"/>
    <w:rsid w:val="486F744C"/>
    <w:rsid w:val="486F7527"/>
    <w:rsid w:val="486FC124"/>
    <w:rsid w:val="4872734B"/>
    <w:rsid w:val="4879CC67"/>
    <w:rsid w:val="487E1C55"/>
    <w:rsid w:val="48823DDE"/>
    <w:rsid w:val="488545D8"/>
    <w:rsid w:val="4886E5A7"/>
    <w:rsid w:val="4886F70B"/>
    <w:rsid w:val="488D71F0"/>
    <w:rsid w:val="488EF170"/>
    <w:rsid w:val="488F9617"/>
    <w:rsid w:val="48906256"/>
    <w:rsid w:val="4893E829"/>
    <w:rsid w:val="489B9BC7"/>
    <w:rsid w:val="489D3B82"/>
    <w:rsid w:val="489EBCBA"/>
    <w:rsid w:val="489FACAC"/>
    <w:rsid w:val="48A6DF7D"/>
    <w:rsid w:val="48A830BA"/>
    <w:rsid w:val="48A8FD23"/>
    <w:rsid w:val="48AA01D7"/>
    <w:rsid w:val="48AC450F"/>
    <w:rsid w:val="48AC7556"/>
    <w:rsid w:val="48AE23F5"/>
    <w:rsid w:val="48B32AE4"/>
    <w:rsid w:val="48B9B459"/>
    <w:rsid w:val="48C00D92"/>
    <w:rsid w:val="48C07261"/>
    <w:rsid w:val="48C17A5D"/>
    <w:rsid w:val="48C3706C"/>
    <w:rsid w:val="48C775CF"/>
    <w:rsid w:val="48CA5BB9"/>
    <w:rsid w:val="48D07D6A"/>
    <w:rsid w:val="48D3CDEC"/>
    <w:rsid w:val="48D3EB47"/>
    <w:rsid w:val="48D5403F"/>
    <w:rsid w:val="48D5F571"/>
    <w:rsid w:val="48D6AEE5"/>
    <w:rsid w:val="48D84576"/>
    <w:rsid w:val="48D85DEB"/>
    <w:rsid w:val="48DC96C6"/>
    <w:rsid w:val="48DDDBCA"/>
    <w:rsid w:val="48E91571"/>
    <w:rsid w:val="48EC1006"/>
    <w:rsid w:val="48F142DE"/>
    <w:rsid w:val="48F6B227"/>
    <w:rsid w:val="48FC7822"/>
    <w:rsid w:val="48FD1729"/>
    <w:rsid w:val="48FD6D8D"/>
    <w:rsid w:val="49046190"/>
    <w:rsid w:val="4904797D"/>
    <w:rsid w:val="4905F4FC"/>
    <w:rsid w:val="490E8AE6"/>
    <w:rsid w:val="491913B2"/>
    <w:rsid w:val="491CA1C7"/>
    <w:rsid w:val="491CC44A"/>
    <w:rsid w:val="4920A4E4"/>
    <w:rsid w:val="4920D420"/>
    <w:rsid w:val="4923F566"/>
    <w:rsid w:val="4925F7E3"/>
    <w:rsid w:val="4934DDBA"/>
    <w:rsid w:val="493FBCC9"/>
    <w:rsid w:val="4942E62A"/>
    <w:rsid w:val="49433FD0"/>
    <w:rsid w:val="4943FBAA"/>
    <w:rsid w:val="49460E1C"/>
    <w:rsid w:val="494C2FB2"/>
    <w:rsid w:val="4950DED2"/>
    <w:rsid w:val="4958DF72"/>
    <w:rsid w:val="495BAA3D"/>
    <w:rsid w:val="49662FA7"/>
    <w:rsid w:val="4967FFAF"/>
    <w:rsid w:val="49691789"/>
    <w:rsid w:val="4969B307"/>
    <w:rsid w:val="4969B89E"/>
    <w:rsid w:val="496F00E5"/>
    <w:rsid w:val="49753096"/>
    <w:rsid w:val="4977E3A6"/>
    <w:rsid w:val="497AA544"/>
    <w:rsid w:val="49801C95"/>
    <w:rsid w:val="49802127"/>
    <w:rsid w:val="498136AF"/>
    <w:rsid w:val="49829AEE"/>
    <w:rsid w:val="498700B5"/>
    <w:rsid w:val="498AA65D"/>
    <w:rsid w:val="499FFD23"/>
    <w:rsid w:val="49A7D30A"/>
    <w:rsid w:val="49ACC57B"/>
    <w:rsid w:val="49B2851A"/>
    <w:rsid w:val="49B44D53"/>
    <w:rsid w:val="49B8F193"/>
    <w:rsid w:val="49B9A17B"/>
    <w:rsid w:val="49BA325D"/>
    <w:rsid w:val="49BD5ABB"/>
    <w:rsid w:val="49BD962C"/>
    <w:rsid w:val="49C4F9F9"/>
    <w:rsid w:val="49C7117C"/>
    <w:rsid w:val="49D01C71"/>
    <w:rsid w:val="49DD8BCA"/>
    <w:rsid w:val="49DDD334"/>
    <w:rsid w:val="49E7F951"/>
    <w:rsid w:val="49EA6161"/>
    <w:rsid w:val="49EB17C9"/>
    <w:rsid w:val="49EC5FF3"/>
    <w:rsid w:val="49ECDD99"/>
    <w:rsid w:val="49ECEEE0"/>
    <w:rsid w:val="49EEEB20"/>
    <w:rsid w:val="49F0E1D7"/>
    <w:rsid w:val="49F2AAA3"/>
    <w:rsid w:val="49F2AD20"/>
    <w:rsid w:val="49F54189"/>
    <w:rsid w:val="49F8928D"/>
    <w:rsid w:val="49FAF95C"/>
    <w:rsid w:val="49FF017E"/>
    <w:rsid w:val="49FF93E4"/>
    <w:rsid w:val="4A019F8C"/>
    <w:rsid w:val="4A022D1A"/>
    <w:rsid w:val="4A0796EA"/>
    <w:rsid w:val="4A0AD8C5"/>
    <w:rsid w:val="4A0F6D9E"/>
    <w:rsid w:val="4A109F4E"/>
    <w:rsid w:val="4A143A82"/>
    <w:rsid w:val="4A18D95C"/>
    <w:rsid w:val="4A220D4F"/>
    <w:rsid w:val="4A223B59"/>
    <w:rsid w:val="4A226D50"/>
    <w:rsid w:val="4A269B89"/>
    <w:rsid w:val="4A2B6ED6"/>
    <w:rsid w:val="4A2C1B13"/>
    <w:rsid w:val="4A2E5997"/>
    <w:rsid w:val="4A329CBC"/>
    <w:rsid w:val="4A34765B"/>
    <w:rsid w:val="4A355AD0"/>
    <w:rsid w:val="4A377DC9"/>
    <w:rsid w:val="4A38146F"/>
    <w:rsid w:val="4A3BA23C"/>
    <w:rsid w:val="4A3D74EC"/>
    <w:rsid w:val="4A3E511F"/>
    <w:rsid w:val="4A417F40"/>
    <w:rsid w:val="4A47B416"/>
    <w:rsid w:val="4A48E5C6"/>
    <w:rsid w:val="4A4F0B0E"/>
    <w:rsid w:val="4A533597"/>
    <w:rsid w:val="4A55D91C"/>
    <w:rsid w:val="4A69680E"/>
    <w:rsid w:val="4A6BC013"/>
    <w:rsid w:val="4A6D34C6"/>
    <w:rsid w:val="4A6DA79D"/>
    <w:rsid w:val="4A6E6A56"/>
    <w:rsid w:val="4A6EAB35"/>
    <w:rsid w:val="4A73426F"/>
    <w:rsid w:val="4A80119F"/>
    <w:rsid w:val="4A8540E7"/>
    <w:rsid w:val="4A890A48"/>
    <w:rsid w:val="4A95F1FF"/>
    <w:rsid w:val="4A977CDA"/>
    <w:rsid w:val="4A99391B"/>
    <w:rsid w:val="4AA3E691"/>
    <w:rsid w:val="4AA3F15F"/>
    <w:rsid w:val="4AA912BE"/>
    <w:rsid w:val="4AAEE005"/>
    <w:rsid w:val="4ABB3B6F"/>
    <w:rsid w:val="4ABEE0BC"/>
    <w:rsid w:val="4ABF13A8"/>
    <w:rsid w:val="4ABF4EDB"/>
    <w:rsid w:val="4ACC86B8"/>
    <w:rsid w:val="4AD2CD27"/>
    <w:rsid w:val="4AD5994B"/>
    <w:rsid w:val="4ADA4FF1"/>
    <w:rsid w:val="4ADA7FD4"/>
    <w:rsid w:val="4ADD3D0F"/>
    <w:rsid w:val="4AE82AC7"/>
    <w:rsid w:val="4AE9F5B4"/>
    <w:rsid w:val="4AED8BF8"/>
    <w:rsid w:val="4AEEA4D1"/>
    <w:rsid w:val="4AEF4710"/>
    <w:rsid w:val="4AF7F730"/>
    <w:rsid w:val="4AF8F7F1"/>
    <w:rsid w:val="4AF8F9F1"/>
    <w:rsid w:val="4AFAC84E"/>
    <w:rsid w:val="4B021FDC"/>
    <w:rsid w:val="4B0349CE"/>
    <w:rsid w:val="4B0384C2"/>
    <w:rsid w:val="4B081541"/>
    <w:rsid w:val="4B093548"/>
    <w:rsid w:val="4B163B57"/>
    <w:rsid w:val="4B16D6C3"/>
    <w:rsid w:val="4B1A9F0E"/>
    <w:rsid w:val="4B1B2D30"/>
    <w:rsid w:val="4B1E2071"/>
    <w:rsid w:val="4B1E8E89"/>
    <w:rsid w:val="4B20E8E6"/>
    <w:rsid w:val="4B210B2A"/>
    <w:rsid w:val="4B2600DE"/>
    <w:rsid w:val="4B2AFF0E"/>
    <w:rsid w:val="4B349257"/>
    <w:rsid w:val="4B36E683"/>
    <w:rsid w:val="4B377CC3"/>
    <w:rsid w:val="4B3D4F1A"/>
    <w:rsid w:val="4B414E36"/>
    <w:rsid w:val="4B42CE24"/>
    <w:rsid w:val="4B43058E"/>
    <w:rsid w:val="4B4B5527"/>
    <w:rsid w:val="4B502D3E"/>
    <w:rsid w:val="4B51A177"/>
    <w:rsid w:val="4B564931"/>
    <w:rsid w:val="4B5E0F48"/>
    <w:rsid w:val="4B637FA7"/>
    <w:rsid w:val="4B664695"/>
    <w:rsid w:val="4B67B4B5"/>
    <w:rsid w:val="4B680A48"/>
    <w:rsid w:val="4B68964A"/>
    <w:rsid w:val="4B694CE6"/>
    <w:rsid w:val="4B6C5E70"/>
    <w:rsid w:val="4B716109"/>
    <w:rsid w:val="4B7272B3"/>
    <w:rsid w:val="4B72F6A3"/>
    <w:rsid w:val="4B7305E5"/>
    <w:rsid w:val="4B78E989"/>
    <w:rsid w:val="4B7AFCDB"/>
    <w:rsid w:val="4B7B2560"/>
    <w:rsid w:val="4B7CCFF7"/>
    <w:rsid w:val="4B7CE5D0"/>
    <w:rsid w:val="4B7F871D"/>
    <w:rsid w:val="4B8670B9"/>
    <w:rsid w:val="4B87EDBC"/>
    <w:rsid w:val="4B889892"/>
    <w:rsid w:val="4B8C4C92"/>
    <w:rsid w:val="4B9088C4"/>
    <w:rsid w:val="4B9191D9"/>
    <w:rsid w:val="4B92D779"/>
    <w:rsid w:val="4B9418A5"/>
    <w:rsid w:val="4B94ED75"/>
    <w:rsid w:val="4B99190E"/>
    <w:rsid w:val="4B9959C5"/>
    <w:rsid w:val="4B9FB458"/>
    <w:rsid w:val="4BA00707"/>
    <w:rsid w:val="4BA0F47C"/>
    <w:rsid w:val="4BA2F35B"/>
    <w:rsid w:val="4BA5FC25"/>
    <w:rsid w:val="4BA7DD49"/>
    <w:rsid w:val="4BA9FBAF"/>
    <w:rsid w:val="4BAA260A"/>
    <w:rsid w:val="4BAB6C89"/>
    <w:rsid w:val="4BBA95DC"/>
    <w:rsid w:val="4BBF1B3B"/>
    <w:rsid w:val="4BC5096F"/>
    <w:rsid w:val="4BC7F3B3"/>
    <w:rsid w:val="4BCBBDD9"/>
    <w:rsid w:val="4BCDFAE8"/>
    <w:rsid w:val="4BCE4F72"/>
    <w:rsid w:val="4BCF57E5"/>
    <w:rsid w:val="4BD937EF"/>
    <w:rsid w:val="4BDC1993"/>
    <w:rsid w:val="4BDC620A"/>
    <w:rsid w:val="4BE57F30"/>
    <w:rsid w:val="4BE69D49"/>
    <w:rsid w:val="4BEAAA13"/>
    <w:rsid w:val="4BED035E"/>
    <w:rsid w:val="4BF6FB0F"/>
    <w:rsid w:val="4BFB7E72"/>
    <w:rsid w:val="4BFD450B"/>
    <w:rsid w:val="4BFE8676"/>
    <w:rsid w:val="4C00C6C7"/>
    <w:rsid w:val="4C02D843"/>
    <w:rsid w:val="4C0A699F"/>
    <w:rsid w:val="4C0D1AF6"/>
    <w:rsid w:val="4C1331EE"/>
    <w:rsid w:val="4C1647B4"/>
    <w:rsid w:val="4C16C3BC"/>
    <w:rsid w:val="4C1994DB"/>
    <w:rsid w:val="4C1B153D"/>
    <w:rsid w:val="4C1F93D9"/>
    <w:rsid w:val="4C239FC6"/>
    <w:rsid w:val="4C307774"/>
    <w:rsid w:val="4C38DC4A"/>
    <w:rsid w:val="4C3CD85C"/>
    <w:rsid w:val="4C47C1D3"/>
    <w:rsid w:val="4C4B02A7"/>
    <w:rsid w:val="4C4CBBCF"/>
    <w:rsid w:val="4C4DCCA7"/>
    <w:rsid w:val="4C4F1F6E"/>
    <w:rsid w:val="4C525A2F"/>
    <w:rsid w:val="4C54ADBB"/>
    <w:rsid w:val="4C58210C"/>
    <w:rsid w:val="4C588796"/>
    <w:rsid w:val="4C596C2B"/>
    <w:rsid w:val="4C5B65B4"/>
    <w:rsid w:val="4C62AF5A"/>
    <w:rsid w:val="4C640117"/>
    <w:rsid w:val="4C64353D"/>
    <w:rsid w:val="4C671882"/>
    <w:rsid w:val="4C68A755"/>
    <w:rsid w:val="4C69E2B4"/>
    <w:rsid w:val="4C6B2123"/>
    <w:rsid w:val="4C6CAF73"/>
    <w:rsid w:val="4C6F79F4"/>
    <w:rsid w:val="4C7157E8"/>
    <w:rsid w:val="4C731A3F"/>
    <w:rsid w:val="4C75129C"/>
    <w:rsid w:val="4C76DDBB"/>
    <w:rsid w:val="4C83F9FB"/>
    <w:rsid w:val="4C85A154"/>
    <w:rsid w:val="4C8E5E5B"/>
    <w:rsid w:val="4C9521C1"/>
    <w:rsid w:val="4C982125"/>
    <w:rsid w:val="4C9ACC25"/>
    <w:rsid w:val="4CA026D0"/>
    <w:rsid w:val="4CA4E4C1"/>
    <w:rsid w:val="4CA6113B"/>
    <w:rsid w:val="4CA8B62A"/>
    <w:rsid w:val="4CA99793"/>
    <w:rsid w:val="4CAB7D9E"/>
    <w:rsid w:val="4CABE04C"/>
    <w:rsid w:val="4CB3024D"/>
    <w:rsid w:val="4CBB7484"/>
    <w:rsid w:val="4CBD57AD"/>
    <w:rsid w:val="4CBDCB9D"/>
    <w:rsid w:val="4CBEB50A"/>
    <w:rsid w:val="4CC0B411"/>
    <w:rsid w:val="4CC2317D"/>
    <w:rsid w:val="4CC2D88B"/>
    <w:rsid w:val="4CC446B2"/>
    <w:rsid w:val="4CC51ABD"/>
    <w:rsid w:val="4CC6C353"/>
    <w:rsid w:val="4CC715E7"/>
    <w:rsid w:val="4CC8F741"/>
    <w:rsid w:val="4CCB8CA3"/>
    <w:rsid w:val="4CCD7310"/>
    <w:rsid w:val="4CD7559E"/>
    <w:rsid w:val="4CDAD0B2"/>
    <w:rsid w:val="4CE81CF3"/>
    <w:rsid w:val="4CE8457D"/>
    <w:rsid w:val="4CEB43A7"/>
    <w:rsid w:val="4CF0C7DB"/>
    <w:rsid w:val="4CF51068"/>
    <w:rsid w:val="4CF9719D"/>
    <w:rsid w:val="4D05EC3D"/>
    <w:rsid w:val="4D076138"/>
    <w:rsid w:val="4D10822A"/>
    <w:rsid w:val="4D12F098"/>
    <w:rsid w:val="4D168A5C"/>
    <w:rsid w:val="4D19B36C"/>
    <w:rsid w:val="4D1B23C0"/>
    <w:rsid w:val="4D1E4333"/>
    <w:rsid w:val="4D1F8EFE"/>
    <w:rsid w:val="4D24D287"/>
    <w:rsid w:val="4D24E856"/>
    <w:rsid w:val="4D3008EA"/>
    <w:rsid w:val="4D384A15"/>
    <w:rsid w:val="4D3980FF"/>
    <w:rsid w:val="4D3A33ED"/>
    <w:rsid w:val="4D43B966"/>
    <w:rsid w:val="4D44B294"/>
    <w:rsid w:val="4D4BEDDE"/>
    <w:rsid w:val="4D52F431"/>
    <w:rsid w:val="4D56E6C5"/>
    <w:rsid w:val="4D582E57"/>
    <w:rsid w:val="4D5B2206"/>
    <w:rsid w:val="4D5E1E25"/>
    <w:rsid w:val="4D5F0AE8"/>
    <w:rsid w:val="4D6189D8"/>
    <w:rsid w:val="4D64B1A4"/>
    <w:rsid w:val="4D727B91"/>
    <w:rsid w:val="4D72BD67"/>
    <w:rsid w:val="4D75E0B9"/>
    <w:rsid w:val="4D765988"/>
    <w:rsid w:val="4D79169F"/>
    <w:rsid w:val="4D7A84FC"/>
    <w:rsid w:val="4D871803"/>
    <w:rsid w:val="4D8FE972"/>
    <w:rsid w:val="4D9334B6"/>
    <w:rsid w:val="4D97B895"/>
    <w:rsid w:val="4D986B12"/>
    <w:rsid w:val="4D9C784A"/>
    <w:rsid w:val="4DA009CA"/>
    <w:rsid w:val="4DAAFAF8"/>
    <w:rsid w:val="4DAE81A0"/>
    <w:rsid w:val="4DAED5F6"/>
    <w:rsid w:val="4DB2EE5C"/>
    <w:rsid w:val="4DB3FBC4"/>
    <w:rsid w:val="4DBC1740"/>
    <w:rsid w:val="4DC7C140"/>
    <w:rsid w:val="4DC7D6EE"/>
    <w:rsid w:val="4DC8FFD3"/>
    <w:rsid w:val="4DC92027"/>
    <w:rsid w:val="4DCBCAA7"/>
    <w:rsid w:val="4DCD8162"/>
    <w:rsid w:val="4DD05579"/>
    <w:rsid w:val="4DD79DCC"/>
    <w:rsid w:val="4DD96D5E"/>
    <w:rsid w:val="4DD9FA05"/>
    <w:rsid w:val="4DDA691E"/>
    <w:rsid w:val="4DDB2216"/>
    <w:rsid w:val="4DDD11A6"/>
    <w:rsid w:val="4DDF058A"/>
    <w:rsid w:val="4DDF228B"/>
    <w:rsid w:val="4DE6F138"/>
    <w:rsid w:val="4DE8F97B"/>
    <w:rsid w:val="4DE910B7"/>
    <w:rsid w:val="4DEB8233"/>
    <w:rsid w:val="4DEDB613"/>
    <w:rsid w:val="4DF0B677"/>
    <w:rsid w:val="4DF3A7E2"/>
    <w:rsid w:val="4DF810BA"/>
    <w:rsid w:val="4DFA0972"/>
    <w:rsid w:val="4DFC6E5B"/>
    <w:rsid w:val="4DFC8C23"/>
    <w:rsid w:val="4DFD1F91"/>
    <w:rsid w:val="4E0054BA"/>
    <w:rsid w:val="4E034CF4"/>
    <w:rsid w:val="4E045A69"/>
    <w:rsid w:val="4E04F90B"/>
    <w:rsid w:val="4E09728C"/>
    <w:rsid w:val="4E0A1231"/>
    <w:rsid w:val="4E0A7F67"/>
    <w:rsid w:val="4E14A187"/>
    <w:rsid w:val="4E1858C8"/>
    <w:rsid w:val="4E19500E"/>
    <w:rsid w:val="4E1A0582"/>
    <w:rsid w:val="4E1EE043"/>
    <w:rsid w:val="4E237AEE"/>
    <w:rsid w:val="4E31D563"/>
    <w:rsid w:val="4E31E5FB"/>
    <w:rsid w:val="4E3B2248"/>
    <w:rsid w:val="4E3C6785"/>
    <w:rsid w:val="4E3CEA49"/>
    <w:rsid w:val="4E3E27F1"/>
    <w:rsid w:val="4E3EB5C8"/>
    <w:rsid w:val="4E404FB1"/>
    <w:rsid w:val="4E430834"/>
    <w:rsid w:val="4E4314E8"/>
    <w:rsid w:val="4E4BC74F"/>
    <w:rsid w:val="4E52B458"/>
    <w:rsid w:val="4E5499B5"/>
    <w:rsid w:val="4E566D3C"/>
    <w:rsid w:val="4E5705F3"/>
    <w:rsid w:val="4E5982CE"/>
    <w:rsid w:val="4E5A0215"/>
    <w:rsid w:val="4E61FE36"/>
    <w:rsid w:val="4E67B038"/>
    <w:rsid w:val="4E6BB634"/>
    <w:rsid w:val="4E6CBC05"/>
    <w:rsid w:val="4E745AAF"/>
    <w:rsid w:val="4E763B48"/>
    <w:rsid w:val="4E789FCA"/>
    <w:rsid w:val="4E7C1A74"/>
    <w:rsid w:val="4E8857C1"/>
    <w:rsid w:val="4E8C2066"/>
    <w:rsid w:val="4E8C9DCF"/>
    <w:rsid w:val="4E8D1844"/>
    <w:rsid w:val="4E8F7B68"/>
    <w:rsid w:val="4E8FD75C"/>
    <w:rsid w:val="4E9582C8"/>
    <w:rsid w:val="4E9AC140"/>
    <w:rsid w:val="4E9ECC03"/>
    <w:rsid w:val="4E9FF284"/>
    <w:rsid w:val="4EA108E0"/>
    <w:rsid w:val="4EA209B8"/>
    <w:rsid w:val="4EAE5121"/>
    <w:rsid w:val="4EAE55BF"/>
    <w:rsid w:val="4EAF4CBA"/>
    <w:rsid w:val="4EB9DFAD"/>
    <w:rsid w:val="4EBA5B02"/>
    <w:rsid w:val="4EBA6628"/>
    <w:rsid w:val="4EBC2F31"/>
    <w:rsid w:val="4EBCBAED"/>
    <w:rsid w:val="4EBD6BC9"/>
    <w:rsid w:val="4EC2103D"/>
    <w:rsid w:val="4EC37F2A"/>
    <w:rsid w:val="4EC4E134"/>
    <w:rsid w:val="4EC7F596"/>
    <w:rsid w:val="4EC8C60F"/>
    <w:rsid w:val="4ECAEC8B"/>
    <w:rsid w:val="4ED245AC"/>
    <w:rsid w:val="4ED2978C"/>
    <w:rsid w:val="4ED48A25"/>
    <w:rsid w:val="4ED5F4DC"/>
    <w:rsid w:val="4EDCF528"/>
    <w:rsid w:val="4EE0166C"/>
    <w:rsid w:val="4EE5CD6C"/>
    <w:rsid w:val="4EE63D52"/>
    <w:rsid w:val="4EE6ED4B"/>
    <w:rsid w:val="4EEAA711"/>
    <w:rsid w:val="4EF64A10"/>
    <w:rsid w:val="4EF69B45"/>
    <w:rsid w:val="4EF976CE"/>
    <w:rsid w:val="4EFFDF12"/>
    <w:rsid w:val="4F0ABF2D"/>
    <w:rsid w:val="4F0B6503"/>
    <w:rsid w:val="4F0DAAE1"/>
    <w:rsid w:val="4F0F5358"/>
    <w:rsid w:val="4F10FA11"/>
    <w:rsid w:val="4F10FED7"/>
    <w:rsid w:val="4F1311BF"/>
    <w:rsid w:val="4F15812C"/>
    <w:rsid w:val="4F15C2DE"/>
    <w:rsid w:val="4F178A2E"/>
    <w:rsid w:val="4F180A5A"/>
    <w:rsid w:val="4F1D06E8"/>
    <w:rsid w:val="4F1D0EE2"/>
    <w:rsid w:val="4F210AAA"/>
    <w:rsid w:val="4F221E84"/>
    <w:rsid w:val="4F2CAAE4"/>
    <w:rsid w:val="4F31F30D"/>
    <w:rsid w:val="4F363508"/>
    <w:rsid w:val="4F3CA57A"/>
    <w:rsid w:val="4F40F2AE"/>
    <w:rsid w:val="4F4207E4"/>
    <w:rsid w:val="4F42FFE7"/>
    <w:rsid w:val="4F44488F"/>
    <w:rsid w:val="4F455A6D"/>
    <w:rsid w:val="4F45D450"/>
    <w:rsid w:val="4F45EAF0"/>
    <w:rsid w:val="4F488EC3"/>
    <w:rsid w:val="4F4CD586"/>
    <w:rsid w:val="4F4EE986"/>
    <w:rsid w:val="4F523AC9"/>
    <w:rsid w:val="4F55A901"/>
    <w:rsid w:val="4F57E464"/>
    <w:rsid w:val="4F590473"/>
    <w:rsid w:val="4F5A6FB3"/>
    <w:rsid w:val="4F637FFD"/>
    <w:rsid w:val="4F66805B"/>
    <w:rsid w:val="4F6CE0DC"/>
    <w:rsid w:val="4F732924"/>
    <w:rsid w:val="4F755831"/>
    <w:rsid w:val="4F813AF7"/>
    <w:rsid w:val="4F81E93A"/>
    <w:rsid w:val="4F8273D2"/>
    <w:rsid w:val="4F883E76"/>
    <w:rsid w:val="4F88D563"/>
    <w:rsid w:val="4F88F723"/>
    <w:rsid w:val="4F8CD5FD"/>
    <w:rsid w:val="4F90D587"/>
    <w:rsid w:val="4F92DD7C"/>
    <w:rsid w:val="4F935BD7"/>
    <w:rsid w:val="4F98DC16"/>
    <w:rsid w:val="4F9F720D"/>
    <w:rsid w:val="4FA12EE2"/>
    <w:rsid w:val="4FA4AC33"/>
    <w:rsid w:val="4FAA4818"/>
    <w:rsid w:val="4FADF27A"/>
    <w:rsid w:val="4FAFFECC"/>
    <w:rsid w:val="4FB2304D"/>
    <w:rsid w:val="4FC4EDF8"/>
    <w:rsid w:val="4FC4F229"/>
    <w:rsid w:val="4FD4145A"/>
    <w:rsid w:val="4FD50929"/>
    <w:rsid w:val="4FDB5D08"/>
    <w:rsid w:val="4FE0712C"/>
    <w:rsid w:val="4FE4FB8C"/>
    <w:rsid w:val="4FE78BC0"/>
    <w:rsid w:val="4FE87450"/>
    <w:rsid w:val="4FE8B5C7"/>
    <w:rsid w:val="4FECE136"/>
    <w:rsid w:val="4FF0CF10"/>
    <w:rsid w:val="4FFAA77A"/>
    <w:rsid w:val="4FFAFCBF"/>
    <w:rsid w:val="4FFBF04E"/>
    <w:rsid w:val="4FFD9A4D"/>
    <w:rsid w:val="5000A880"/>
    <w:rsid w:val="50026D35"/>
    <w:rsid w:val="5003A8A7"/>
    <w:rsid w:val="5003FFEA"/>
    <w:rsid w:val="50078FD7"/>
    <w:rsid w:val="500AEEA4"/>
    <w:rsid w:val="500E5AA9"/>
    <w:rsid w:val="501B6BAD"/>
    <w:rsid w:val="501FA07E"/>
    <w:rsid w:val="5025970B"/>
    <w:rsid w:val="503291BE"/>
    <w:rsid w:val="50347A1C"/>
    <w:rsid w:val="5036D0B5"/>
    <w:rsid w:val="5039845F"/>
    <w:rsid w:val="5041B339"/>
    <w:rsid w:val="5048E2DB"/>
    <w:rsid w:val="505355FE"/>
    <w:rsid w:val="5053A24E"/>
    <w:rsid w:val="50577D76"/>
    <w:rsid w:val="5057B2EE"/>
    <w:rsid w:val="5057D5E5"/>
    <w:rsid w:val="50594467"/>
    <w:rsid w:val="505D1855"/>
    <w:rsid w:val="50648497"/>
    <w:rsid w:val="5064B8BA"/>
    <w:rsid w:val="5068D3F6"/>
    <w:rsid w:val="5069CED4"/>
    <w:rsid w:val="506A8A6F"/>
    <w:rsid w:val="506E1A53"/>
    <w:rsid w:val="5076C6DB"/>
    <w:rsid w:val="507B8DCB"/>
    <w:rsid w:val="5080E881"/>
    <w:rsid w:val="5087E2FE"/>
    <w:rsid w:val="508AB650"/>
    <w:rsid w:val="508DA61D"/>
    <w:rsid w:val="508E89EA"/>
    <w:rsid w:val="50903289"/>
    <w:rsid w:val="509911CA"/>
    <w:rsid w:val="5099EA3A"/>
    <w:rsid w:val="509BF856"/>
    <w:rsid w:val="509F3274"/>
    <w:rsid w:val="50A075CA"/>
    <w:rsid w:val="50A8C134"/>
    <w:rsid w:val="50B1A1C3"/>
    <w:rsid w:val="50B362FE"/>
    <w:rsid w:val="50B4C89F"/>
    <w:rsid w:val="50B537C7"/>
    <w:rsid w:val="50B6B3E5"/>
    <w:rsid w:val="50B8920A"/>
    <w:rsid w:val="50B8ED60"/>
    <w:rsid w:val="50B9EA56"/>
    <w:rsid w:val="50BAB89A"/>
    <w:rsid w:val="50BB9545"/>
    <w:rsid w:val="50C5CF70"/>
    <w:rsid w:val="50C64B26"/>
    <w:rsid w:val="50C79F23"/>
    <w:rsid w:val="50CBF7A2"/>
    <w:rsid w:val="50CCC91F"/>
    <w:rsid w:val="50CD7F49"/>
    <w:rsid w:val="50CF7D07"/>
    <w:rsid w:val="50D0C1F2"/>
    <w:rsid w:val="50D34C74"/>
    <w:rsid w:val="50D3E742"/>
    <w:rsid w:val="50D4BECD"/>
    <w:rsid w:val="50D7675B"/>
    <w:rsid w:val="50DDC317"/>
    <w:rsid w:val="50E21DA6"/>
    <w:rsid w:val="50E47EE9"/>
    <w:rsid w:val="50E4807B"/>
    <w:rsid w:val="50EAA358"/>
    <w:rsid w:val="50EC56FA"/>
    <w:rsid w:val="50F5A598"/>
    <w:rsid w:val="50FD8B35"/>
    <w:rsid w:val="51028C97"/>
    <w:rsid w:val="5107186B"/>
    <w:rsid w:val="5108B56F"/>
    <w:rsid w:val="5109D541"/>
    <w:rsid w:val="510B49D8"/>
    <w:rsid w:val="510C6461"/>
    <w:rsid w:val="510C7900"/>
    <w:rsid w:val="510D3384"/>
    <w:rsid w:val="510D7ACD"/>
    <w:rsid w:val="51157979"/>
    <w:rsid w:val="5115E0FB"/>
    <w:rsid w:val="511760FD"/>
    <w:rsid w:val="5119666E"/>
    <w:rsid w:val="511EA031"/>
    <w:rsid w:val="511F4E9C"/>
    <w:rsid w:val="5124C859"/>
    <w:rsid w:val="5129EF51"/>
    <w:rsid w:val="512C290D"/>
    <w:rsid w:val="5130F983"/>
    <w:rsid w:val="51349B73"/>
    <w:rsid w:val="5135B2F7"/>
    <w:rsid w:val="5136F5B3"/>
    <w:rsid w:val="513E3734"/>
    <w:rsid w:val="5143F5DD"/>
    <w:rsid w:val="51467433"/>
    <w:rsid w:val="514F5971"/>
    <w:rsid w:val="514FC7A8"/>
    <w:rsid w:val="51541C5F"/>
    <w:rsid w:val="515655D2"/>
    <w:rsid w:val="515A9D69"/>
    <w:rsid w:val="516895B7"/>
    <w:rsid w:val="516C6967"/>
    <w:rsid w:val="516E9A47"/>
    <w:rsid w:val="51730C2A"/>
    <w:rsid w:val="51772623"/>
    <w:rsid w:val="51774129"/>
    <w:rsid w:val="5178C0AD"/>
    <w:rsid w:val="517B1528"/>
    <w:rsid w:val="517BE690"/>
    <w:rsid w:val="517CF32C"/>
    <w:rsid w:val="51813214"/>
    <w:rsid w:val="5183119E"/>
    <w:rsid w:val="5185DC56"/>
    <w:rsid w:val="51864287"/>
    <w:rsid w:val="5186A675"/>
    <w:rsid w:val="5187C352"/>
    <w:rsid w:val="518930F1"/>
    <w:rsid w:val="518C287F"/>
    <w:rsid w:val="519131CE"/>
    <w:rsid w:val="5194590C"/>
    <w:rsid w:val="519A0A0A"/>
    <w:rsid w:val="51A03A1A"/>
    <w:rsid w:val="51AE06AA"/>
    <w:rsid w:val="51B79C23"/>
    <w:rsid w:val="51B7B15B"/>
    <w:rsid w:val="51B7DEF8"/>
    <w:rsid w:val="51C07A2B"/>
    <w:rsid w:val="51C47CA2"/>
    <w:rsid w:val="51CAF71D"/>
    <w:rsid w:val="51CB5806"/>
    <w:rsid w:val="51CCD977"/>
    <w:rsid w:val="51CDFBD6"/>
    <w:rsid w:val="51D17D34"/>
    <w:rsid w:val="51D4638F"/>
    <w:rsid w:val="51D6E59C"/>
    <w:rsid w:val="51DBB496"/>
    <w:rsid w:val="51DCE8B6"/>
    <w:rsid w:val="51DE7F65"/>
    <w:rsid w:val="51DF49B3"/>
    <w:rsid w:val="51DF68B9"/>
    <w:rsid w:val="51E12F06"/>
    <w:rsid w:val="51E23815"/>
    <w:rsid w:val="51EA3AFE"/>
    <w:rsid w:val="51EAFBB6"/>
    <w:rsid w:val="51EF49AB"/>
    <w:rsid w:val="51EFBB9C"/>
    <w:rsid w:val="51F5B840"/>
    <w:rsid w:val="51F81287"/>
    <w:rsid w:val="5201C73F"/>
    <w:rsid w:val="52044941"/>
    <w:rsid w:val="5211EF0F"/>
    <w:rsid w:val="5212C2C5"/>
    <w:rsid w:val="521A2FE5"/>
    <w:rsid w:val="521B931F"/>
    <w:rsid w:val="5222C0D6"/>
    <w:rsid w:val="5225CF70"/>
    <w:rsid w:val="522B4B78"/>
    <w:rsid w:val="522C9B74"/>
    <w:rsid w:val="523B0505"/>
    <w:rsid w:val="523B8DA7"/>
    <w:rsid w:val="52429D2C"/>
    <w:rsid w:val="5249789E"/>
    <w:rsid w:val="5249EA98"/>
    <w:rsid w:val="524AEDD8"/>
    <w:rsid w:val="524BB3DC"/>
    <w:rsid w:val="524C6E9A"/>
    <w:rsid w:val="524F5F46"/>
    <w:rsid w:val="52562CED"/>
    <w:rsid w:val="5256636F"/>
    <w:rsid w:val="5257B388"/>
    <w:rsid w:val="525A6780"/>
    <w:rsid w:val="525B59D6"/>
    <w:rsid w:val="525E2AAD"/>
    <w:rsid w:val="52646C78"/>
    <w:rsid w:val="526B036B"/>
    <w:rsid w:val="526E0348"/>
    <w:rsid w:val="526E0EA1"/>
    <w:rsid w:val="527824D6"/>
    <w:rsid w:val="527D29BE"/>
    <w:rsid w:val="527DFB36"/>
    <w:rsid w:val="52817FCD"/>
    <w:rsid w:val="5284EDD8"/>
    <w:rsid w:val="5285832F"/>
    <w:rsid w:val="52883AB8"/>
    <w:rsid w:val="52915363"/>
    <w:rsid w:val="5292E442"/>
    <w:rsid w:val="529A7032"/>
    <w:rsid w:val="52A091B7"/>
    <w:rsid w:val="52AA31A8"/>
    <w:rsid w:val="52AAC5E2"/>
    <w:rsid w:val="52AFFF70"/>
    <w:rsid w:val="52B19065"/>
    <w:rsid w:val="52BC76E6"/>
    <w:rsid w:val="52BD5ADF"/>
    <w:rsid w:val="52BE75DF"/>
    <w:rsid w:val="52CC85E5"/>
    <w:rsid w:val="52D138A0"/>
    <w:rsid w:val="52D1CC29"/>
    <w:rsid w:val="52D2848D"/>
    <w:rsid w:val="52D2EF50"/>
    <w:rsid w:val="52DB146D"/>
    <w:rsid w:val="52DC63B6"/>
    <w:rsid w:val="52E69366"/>
    <w:rsid w:val="52E6ED43"/>
    <w:rsid w:val="52E9B9F8"/>
    <w:rsid w:val="52EA1EED"/>
    <w:rsid w:val="52EAE52E"/>
    <w:rsid w:val="52ED5374"/>
    <w:rsid w:val="52F1DB2E"/>
    <w:rsid w:val="52F2C1D9"/>
    <w:rsid w:val="52FFE775"/>
    <w:rsid w:val="5305034B"/>
    <w:rsid w:val="53097D9B"/>
    <w:rsid w:val="530B911D"/>
    <w:rsid w:val="530CFEB2"/>
    <w:rsid w:val="53122089"/>
    <w:rsid w:val="53150D6F"/>
    <w:rsid w:val="53177DB2"/>
    <w:rsid w:val="531DA3A9"/>
    <w:rsid w:val="53264BBF"/>
    <w:rsid w:val="532941C0"/>
    <w:rsid w:val="532A37DB"/>
    <w:rsid w:val="532CAC9B"/>
    <w:rsid w:val="533298FC"/>
    <w:rsid w:val="53332804"/>
    <w:rsid w:val="5334186C"/>
    <w:rsid w:val="533518AF"/>
    <w:rsid w:val="533A0DE0"/>
    <w:rsid w:val="533C5AA5"/>
    <w:rsid w:val="533D4F09"/>
    <w:rsid w:val="533EAD5E"/>
    <w:rsid w:val="5340F16E"/>
    <w:rsid w:val="5346D069"/>
    <w:rsid w:val="5347D8DC"/>
    <w:rsid w:val="534DF2BE"/>
    <w:rsid w:val="534F5A66"/>
    <w:rsid w:val="53541894"/>
    <w:rsid w:val="5356932F"/>
    <w:rsid w:val="53592EC3"/>
    <w:rsid w:val="5360ADBB"/>
    <w:rsid w:val="5360CF1C"/>
    <w:rsid w:val="5365C1BA"/>
    <w:rsid w:val="53680A34"/>
    <w:rsid w:val="536973D9"/>
    <w:rsid w:val="536B0C86"/>
    <w:rsid w:val="536B828F"/>
    <w:rsid w:val="536DCD20"/>
    <w:rsid w:val="536DF852"/>
    <w:rsid w:val="536E50A6"/>
    <w:rsid w:val="536E6E02"/>
    <w:rsid w:val="536F51EC"/>
    <w:rsid w:val="536FC2F9"/>
    <w:rsid w:val="5372419B"/>
    <w:rsid w:val="53773472"/>
    <w:rsid w:val="537F2203"/>
    <w:rsid w:val="5380F086"/>
    <w:rsid w:val="5380F30F"/>
    <w:rsid w:val="53871D7D"/>
    <w:rsid w:val="53893637"/>
    <w:rsid w:val="538C5B1E"/>
    <w:rsid w:val="538DF7B1"/>
    <w:rsid w:val="5391EB18"/>
    <w:rsid w:val="53920A1C"/>
    <w:rsid w:val="539C92C1"/>
    <w:rsid w:val="53A33138"/>
    <w:rsid w:val="53A3CB1C"/>
    <w:rsid w:val="53A57A5B"/>
    <w:rsid w:val="53ABAD6B"/>
    <w:rsid w:val="53AD460D"/>
    <w:rsid w:val="53B9DC2C"/>
    <w:rsid w:val="53BB2686"/>
    <w:rsid w:val="53BF026C"/>
    <w:rsid w:val="53C6EC8E"/>
    <w:rsid w:val="53C907BB"/>
    <w:rsid w:val="53D12DBE"/>
    <w:rsid w:val="53D14082"/>
    <w:rsid w:val="53D2E154"/>
    <w:rsid w:val="53D7C5A0"/>
    <w:rsid w:val="53D8F7D8"/>
    <w:rsid w:val="53DCBB0A"/>
    <w:rsid w:val="53E06583"/>
    <w:rsid w:val="53E0A11D"/>
    <w:rsid w:val="53E2D32F"/>
    <w:rsid w:val="53E384EB"/>
    <w:rsid w:val="53E3FA1C"/>
    <w:rsid w:val="53E4DD2B"/>
    <w:rsid w:val="53EA0F67"/>
    <w:rsid w:val="53EBA112"/>
    <w:rsid w:val="53EBB1FD"/>
    <w:rsid w:val="53EDE825"/>
    <w:rsid w:val="53FA3988"/>
    <w:rsid w:val="53FA4D83"/>
    <w:rsid w:val="53FCE466"/>
    <w:rsid w:val="53FD1909"/>
    <w:rsid w:val="53FD8BB0"/>
    <w:rsid w:val="54009498"/>
    <w:rsid w:val="540137EC"/>
    <w:rsid w:val="5405FD22"/>
    <w:rsid w:val="540FA426"/>
    <w:rsid w:val="541050C1"/>
    <w:rsid w:val="541D97A2"/>
    <w:rsid w:val="541F2F5C"/>
    <w:rsid w:val="542241A7"/>
    <w:rsid w:val="54253A71"/>
    <w:rsid w:val="54298E92"/>
    <w:rsid w:val="542BE51B"/>
    <w:rsid w:val="542DBDE4"/>
    <w:rsid w:val="543863C0"/>
    <w:rsid w:val="543EFF8E"/>
    <w:rsid w:val="544246E3"/>
    <w:rsid w:val="5442AC2E"/>
    <w:rsid w:val="544C55EE"/>
    <w:rsid w:val="544F6C41"/>
    <w:rsid w:val="5452C478"/>
    <w:rsid w:val="545633BF"/>
    <w:rsid w:val="546A9BD5"/>
    <w:rsid w:val="54710974"/>
    <w:rsid w:val="5473724F"/>
    <w:rsid w:val="547635D6"/>
    <w:rsid w:val="5479B8E3"/>
    <w:rsid w:val="547B8C81"/>
    <w:rsid w:val="548A3309"/>
    <w:rsid w:val="54963CCA"/>
    <w:rsid w:val="5496E621"/>
    <w:rsid w:val="54970AF2"/>
    <w:rsid w:val="549AECB3"/>
    <w:rsid w:val="54A11EDE"/>
    <w:rsid w:val="54A1A645"/>
    <w:rsid w:val="54A22933"/>
    <w:rsid w:val="54A457F7"/>
    <w:rsid w:val="54A96905"/>
    <w:rsid w:val="54AE1A9F"/>
    <w:rsid w:val="54AE5847"/>
    <w:rsid w:val="54B1AC50"/>
    <w:rsid w:val="54B231F9"/>
    <w:rsid w:val="54B37C9C"/>
    <w:rsid w:val="54B67CE5"/>
    <w:rsid w:val="54B84597"/>
    <w:rsid w:val="54BC2D9B"/>
    <w:rsid w:val="54BDEC93"/>
    <w:rsid w:val="54C0E3E3"/>
    <w:rsid w:val="54C5C2BD"/>
    <w:rsid w:val="54C80342"/>
    <w:rsid w:val="54CB2C55"/>
    <w:rsid w:val="54CB79A7"/>
    <w:rsid w:val="54CDF4CA"/>
    <w:rsid w:val="54D508A0"/>
    <w:rsid w:val="54DF2DA4"/>
    <w:rsid w:val="54E102EE"/>
    <w:rsid w:val="54E1FDEB"/>
    <w:rsid w:val="54E235F3"/>
    <w:rsid w:val="54E2ED77"/>
    <w:rsid w:val="54E40170"/>
    <w:rsid w:val="54E97901"/>
    <w:rsid w:val="54EC5431"/>
    <w:rsid w:val="54EC7E6B"/>
    <w:rsid w:val="54ECE2B4"/>
    <w:rsid w:val="54EF2D10"/>
    <w:rsid w:val="54F2D3CC"/>
    <w:rsid w:val="54F40EBC"/>
    <w:rsid w:val="54FA0C6B"/>
    <w:rsid w:val="54FCCAF2"/>
    <w:rsid w:val="550095A4"/>
    <w:rsid w:val="5501168A"/>
    <w:rsid w:val="55020BC5"/>
    <w:rsid w:val="5502E3C0"/>
    <w:rsid w:val="5505CBF3"/>
    <w:rsid w:val="550E8521"/>
    <w:rsid w:val="5511A999"/>
    <w:rsid w:val="55141F67"/>
    <w:rsid w:val="55181E33"/>
    <w:rsid w:val="55199A70"/>
    <w:rsid w:val="551C08B1"/>
    <w:rsid w:val="55207B47"/>
    <w:rsid w:val="5521B76D"/>
    <w:rsid w:val="5522B184"/>
    <w:rsid w:val="5522B5C7"/>
    <w:rsid w:val="5522EC0C"/>
    <w:rsid w:val="55273EA5"/>
    <w:rsid w:val="552AC045"/>
    <w:rsid w:val="552E96D9"/>
    <w:rsid w:val="55383D19"/>
    <w:rsid w:val="553A06E2"/>
    <w:rsid w:val="553AB53E"/>
    <w:rsid w:val="553E4DE9"/>
    <w:rsid w:val="553F8F77"/>
    <w:rsid w:val="554048DF"/>
    <w:rsid w:val="55418E1E"/>
    <w:rsid w:val="554229B3"/>
    <w:rsid w:val="55439361"/>
    <w:rsid w:val="5543E6DC"/>
    <w:rsid w:val="55466EA4"/>
    <w:rsid w:val="55478C82"/>
    <w:rsid w:val="5548C280"/>
    <w:rsid w:val="5552569F"/>
    <w:rsid w:val="5552583D"/>
    <w:rsid w:val="5554832A"/>
    <w:rsid w:val="55556220"/>
    <w:rsid w:val="5557CF81"/>
    <w:rsid w:val="55596DE6"/>
    <w:rsid w:val="5559C27A"/>
    <w:rsid w:val="555ABD94"/>
    <w:rsid w:val="555D36E3"/>
    <w:rsid w:val="55600877"/>
    <w:rsid w:val="55622AAA"/>
    <w:rsid w:val="55625A09"/>
    <w:rsid w:val="556DFC88"/>
    <w:rsid w:val="556FDE49"/>
    <w:rsid w:val="557174F1"/>
    <w:rsid w:val="55727BE2"/>
    <w:rsid w:val="5572CEA8"/>
    <w:rsid w:val="55766A7D"/>
    <w:rsid w:val="5579C967"/>
    <w:rsid w:val="557B3AB2"/>
    <w:rsid w:val="557B6EF6"/>
    <w:rsid w:val="557D1560"/>
    <w:rsid w:val="55822D81"/>
    <w:rsid w:val="55907C69"/>
    <w:rsid w:val="55942BFC"/>
    <w:rsid w:val="55962562"/>
    <w:rsid w:val="559DB8CD"/>
    <w:rsid w:val="55A05993"/>
    <w:rsid w:val="55A11B6A"/>
    <w:rsid w:val="55A1F331"/>
    <w:rsid w:val="55A648D7"/>
    <w:rsid w:val="55AAC0F0"/>
    <w:rsid w:val="55AF0E73"/>
    <w:rsid w:val="55AFBE49"/>
    <w:rsid w:val="55B0CBB7"/>
    <w:rsid w:val="55B44F8A"/>
    <w:rsid w:val="55B81ABF"/>
    <w:rsid w:val="55B83FB1"/>
    <w:rsid w:val="55B9FA11"/>
    <w:rsid w:val="55BAECB2"/>
    <w:rsid w:val="55BB5036"/>
    <w:rsid w:val="55C26836"/>
    <w:rsid w:val="55C77649"/>
    <w:rsid w:val="55CCF242"/>
    <w:rsid w:val="55D2C797"/>
    <w:rsid w:val="55D3365D"/>
    <w:rsid w:val="55D6A6EC"/>
    <w:rsid w:val="55DA03C5"/>
    <w:rsid w:val="55DD20EF"/>
    <w:rsid w:val="55DEE38C"/>
    <w:rsid w:val="55E38869"/>
    <w:rsid w:val="55E58715"/>
    <w:rsid w:val="55E98365"/>
    <w:rsid w:val="55E9F8DA"/>
    <w:rsid w:val="55FA8EBC"/>
    <w:rsid w:val="55FC89CB"/>
    <w:rsid w:val="5600474C"/>
    <w:rsid w:val="5608A767"/>
    <w:rsid w:val="560AF721"/>
    <w:rsid w:val="560CDAF3"/>
    <w:rsid w:val="560D18F1"/>
    <w:rsid w:val="561616C5"/>
    <w:rsid w:val="561B225C"/>
    <w:rsid w:val="5629AF69"/>
    <w:rsid w:val="562B6EE0"/>
    <w:rsid w:val="562E1CA0"/>
    <w:rsid w:val="56336D9F"/>
    <w:rsid w:val="5637DB7F"/>
    <w:rsid w:val="563C324A"/>
    <w:rsid w:val="56493E55"/>
    <w:rsid w:val="5650EC2E"/>
    <w:rsid w:val="5653B64E"/>
    <w:rsid w:val="5659C289"/>
    <w:rsid w:val="565DA6AC"/>
    <w:rsid w:val="565FBB5A"/>
    <w:rsid w:val="56613930"/>
    <w:rsid w:val="5666C701"/>
    <w:rsid w:val="5666E7A6"/>
    <w:rsid w:val="56688F4C"/>
    <w:rsid w:val="566B71BB"/>
    <w:rsid w:val="5673ED04"/>
    <w:rsid w:val="5676E68C"/>
    <w:rsid w:val="567ECE69"/>
    <w:rsid w:val="5681F269"/>
    <w:rsid w:val="568293B0"/>
    <w:rsid w:val="5683A10A"/>
    <w:rsid w:val="5686815C"/>
    <w:rsid w:val="5689BA8E"/>
    <w:rsid w:val="568A2CC4"/>
    <w:rsid w:val="56A0A7E0"/>
    <w:rsid w:val="56A4E982"/>
    <w:rsid w:val="56A5AD84"/>
    <w:rsid w:val="56AABD35"/>
    <w:rsid w:val="56AD0FCD"/>
    <w:rsid w:val="56AE94E3"/>
    <w:rsid w:val="56B2A6D8"/>
    <w:rsid w:val="56B695A4"/>
    <w:rsid w:val="56BA96E6"/>
    <w:rsid w:val="56C1B6E2"/>
    <w:rsid w:val="56C52C19"/>
    <w:rsid w:val="56CDB920"/>
    <w:rsid w:val="56D00E15"/>
    <w:rsid w:val="56D109A6"/>
    <w:rsid w:val="56D2253E"/>
    <w:rsid w:val="56D460F8"/>
    <w:rsid w:val="56D61DA4"/>
    <w:rsid w:val="56D6EFCA"/>
    <w:rsid w:val="56DD87F7"/>
    <w:rsid w:val="56E47189"/>
    <w:rsid w:val="56EF6089"/>
    <w:rsid w:val="56F0182C"/>
    <w:rsid w:val="56F40CB0"/>
    <w:rsid w:val="56F58279"/>
    <w:rsid w:val="56F61CE7"/>
    <w:rsid w:val="56F91B5A"/>
    <w:rsid w:val="5700C1E6"/>
    <w:rsid w:val="5705315C"/>
    <w:rsid w:val="570A089D"/>
    <w:rsid w:val="570A6B3D"/>
    <w:rsid w:val="570B1A78"/>
    <w:rsid w:val="57125C92"/>
    <w:rsid w:val="5719C5AB"/>
    <w:rsid w:val="571C9BE0"/>
    <w:rsid w:val="572B62AF"/>
    <w:rsid w:val="572C9865"/>
    <w:rsid w:val="572CB0DB"/>
    <w:rsid w:val="572E3F02"/>
    <w:rsid w:val="57301354"/>
    <w:rsid w:val="573B9F95"/>
    <w:rsid w:val="5740EE36"/>
    <w:rsid w:val="5741D03C"/>
    <w:rsid w:val="5743EDD8"/>
    <w:rsid w:val="57441B21"/>
    <w:rsid w:val="57451C1D"/>
    <w:rsid w:val="574C5452"/>
    <w:rsid w:val="574D5FA4"/>
    <w:rsid w:val="574F80A6"/>
    <w:rsid w:val="57509C5D"/>
    <w:rsid w:val="57540017"/>
    <w:rsid w:val="575CE42D"/>
    <w:rsid w:val="5763B8F9"/>
    <w:rsid w:val="5765DC4D"/>
    <w:rsid w:val="576690AF"/>
    <w:rsid w:val="576B7BD6"/>
    <w:rsid w:val="576F2CFA"/>
    <w:rsid w:val="5770D9DE"/>
    <w:rsid w:val="5771D87A"/>
    <w:rsid w:val="5779168E"/>
    <w:rsid w:val="577F133A"/>
    <w:rsid w:val="5782E8F9"/>
    <w:rsid w:val="5784F3CA"/>
    <w:rsid w:val="578B476D"/>
    <w:rsid w:val="578D7238"/>
    <w:rsid w:val="57987173"/>
    <w:rsid w:val="5799112D"/>
    <w:rsid w:val="57A85AA1"/>
    <w:rsid w:val="57ABC356"/>
    <w:rsid w:val="57B2A181"/>
    <w:rsid w:val="57B52011"/>
    <w:rsid w:val="57B782EF"/>
    <w:rsid w:val="57B7D6E6"/>
    <w:rsid w:val="57BADC26"/>
    <w:rsid w:val="57BC6B98"/>
    <w:rsid w:val="57BF37DC"/>
    <w:rsid w:val="57C1F237"/>
    <w:rsid w:val="57C1FE8C"/>
    <w:rsid w:val="57C35A0F"/>
    <w:rsid w:val="57C74846"/>
    <w:rsid w:val="57C7DD2D"/>
    <w:rsid w:val="57CCF6EE"/>
    <w:rsid w:val="57CE9431"/>
    <w:rsid w:val="57D30921"/>
    <w:rsid w:val="57D46223"/>
    <w:rsid w:val="57D8C2BA"/>
    <w:rsid w:val="57DCA5E1"/>
    <w:rsid w:val="57DED6BD"/>
    <w:rsid w:val="57E2FC4C"/>
    <w:rsid w:val="57E62C99"/>
    <w:rsid w:val="57E74E54"/>
    <w:rsid w:val="57E84766"/>
    <w:rsid w:val="57E87A7F"/>
    <w:rsid w:val="57ED258C"/>
    <w:rsid w:val="57EFBAEB"/>
    <w:rsid w:val="57F5AE05"/>
    <w:rsid w:val="57F5BAA6"/>
    <w:rsid w:val="57F66C9B"/>
    <w:rsid w:val="57F9CC59"/>
    <w:rsid w:val="57FC9891"/>
    <w:rsid w:val="57FFEA8B"/>
    <w:rsid w:val="58026D7C"/>
    <w:rsid w:val="5804677B"/>
    <w:rsid w:val="5808A6D7"/>
    <w:rsid w:val="5809FFE8"/>
    <w:rsid w:val="580A3CBB"/>
    <w:rsid w:val="580B3DDF"/>
    <w:rsid w:val="5813FD53"/>
    <w:rsid w:val="582483DA"/>
    <w:rsid w:val="582824D1"/>
    <w:rsid w:val="582AFBA5"/>
    <w:rsid w:val="582FE648"/>
    <w:rsid w:val="58301DD1"/>
    <w:rsid w:val="5832E422"/>
    <w:rsid w:val="583407C4"/>
    <w:rsid w:val="58352756"/>
    <w:rsid w:val="58372CB0"/>
    <w:rsid w:val="5838A195"/>
    <w:rsid w:val="583DA5CE"/>
    <w:rsid w:val="58461146"/>
    <w:rsid w:val="5848EB17"/>
    <w:rsid w:val="584A35D5"/>
    <w:rsid w:val="584BD2D5"/>
    <w:rsid w:val="584D8419"/>
    <w:rsid w:val="584DA169"/>
    <w:rsid w:val="5859A420"/>
    <w:rsid w:val="585A85A0"/>
    <w:rsid w:val="585B4B15"/>
    <w:rsid w:val="585D43CC"/>
    <w:rsid w:val="5860C507"/>
    <w:rsid w:val="586443C2"/>
    <w:rsid w:val="5865D71D"/>
    <w:rsid w:val="5867709D"/>
    <w:rsid w:val="586D4EA0"/>
    <w:rsid w:val="586F2172"/>
    <w:rsid w:val="586F5756"/>
    <w:rsid w:val="58701A2F"/>
    <w:rsid w:val="58722F31"/>
    <w:rsid w:val="5878E72D"/>
    <w:rsid w:val="587998F8"/>
    <w:rsid w:val="5880A8AC"/>
    <w:rsid w:val="588869F7"/>
    <w:rsid w:val="588CF2EE"/>
    <w:rsid w:val="588D46CB"/>
    <w:rsid w:val="589297E2"/>
    <w:rsid w:val="58970D62"/>
    <w:rsid w:val="589B34A8"/>
    <w:rsid w:val="58A03EE7"/>
    <w:rsid w:val="58A56645"/>
    <w:rsid w:val="58A7C4DC"/>
    <w:rsid w:val="58A7E9B2"/>
    <w:rsid w:val="58A86A5D"/>
    <w:rsid w:val="58A8D14E"/>
    <w:rsid w:val="58AAF3DD"/>
    <w:rsid w:val="58AB6BD2"/>
    <w:rsid w:val="58ACDB2B"/>
    <w:rsid w:val="58B58EC9"/>
    <w:rsid w:val="58B5ABCD"/>
    <w:rsid w:val="58BF23CE"/>
    <w:rsid w:val="58C08BE2"/>
    <w:rsid w:val="58C7B522"/>
    <w:rsid w:val="58CBAABD"/>
    <w:rsid w:val="58CD8E2C"/>
    <w:rsid w:val="58CF6786"/>
    <w:rsid w:val="58D20A88"/>
    <w:rsid w:val="58D4DA45"/>
    <w:rsid w:val="58D60C1E"/>
    <w:rsid w:val="58DBDCAF"/>
    <w:rsid w:val="58DD0087"/>
    <w:rsid w:val="58E67826"/>
    <w:rsid w:val="58EDD365"/>
    <w:rsid w:val="58EED3E4"/>
    <w:rsid w:val="58F0105C"/>
    <w:rsid w:val="58F6C1CC"/>
    <w:rsid w:val="58F71577"/>
    <w:rsid w:val="58FB2857"/>
    <w:rsid w:val="58FC6886"/>
    <w:rsid w:val="58FDDA75"/>
    <w:rsid w:val="59047932"/>
    <w:rsid w:val="59055AA4"/>
    <w:rsid w:val="5908D128"/>
    <w:rsid w:val="5918C19A"/>
    <w:rsid w:val="592145F2"/>
    <w:rsid w:val="59231EFC"/>
    <w:rsid w:val="5923A1DE"/>
    <w:rsid w:val="59244603"/>
    <w:rsid w:val="592494F4"/>
    <w:rsid w:val="592942BC"/>
    <w:rsid w:val="592A12A7"/>
    <w:rsid w:val="592E1403"/>
    <w:rsid w:val="59318044"/>
    <w:rsid w:val="59318F44"/>
    <w:rsid w:val="5932A5D1"/>
    <w:rsid w:val="59363DDC"/>
    <w:rsid w:val="5938F09E"/>
    <w:rsid w:val="593B8915"/>
    <w:rsid w:val="593FF9E9"/>
    <w:rsid w:val="5940B1A5"/>
    <w:rsid w:val="59415C23"/>
    <w:rsid w:val="59497DD1"/>
    <w:rsid w:val="594C08D8"/>
    <w:rsid w:val="594CF4D4"/>
    <w:rsid w:val="59501C81"/>
    <w:rsid w:val="5954D593"/>
    <w:rsid w:val="5958D103"/>
    <w:rsid w:val="5965F56B"/>
    <w:rsid w:val="59699651"/>
    <w:rsid w:val="596DBD3B"/>
    <w:rsid w:val="59722757"/>
    <w:rsid w:val="59732D4D"/>
    <w:rsid w:val="59732EDA"/>
    <w:rsid w:val="59748266"/>
    <w:rsid w:val="5975AC45"/>
    <w:rsid w:val="5975C530"/>
    <w:rsid w:val="59765E14"/>
    <w:rsid w:val="597E995C"/>
    <w:rsid w:val="59828E9F"/>
    <w:rsid w:val="59875FB4"/>
    <w:rsid w:val="5987ADF2"/>
    <w:rsid w:val="5988F563"/>
    <w:rsid w:val="59905AD4"/>
    <w:rsid w:val="5990F33A"/>
    <w:rsid w:val="59924B97"/>
    <w:rsid w:val="59984C86"/>
    <w:rsid w:val="59A0468C"/>
    <w:rsid w:val="59A0FAD3"/>
    <w:rsid w:val="59AB379C"/>
    <w:rsid w:val="59AD94A5"/>
    <w:rsid w:val="59B05C06"/>
    <w:rsid w:val="59B0DF39"/>
    <w:rsid w:val="59B0F470"/>
    <w:rsid w:val="59B28AAD"/>
    <w:rsid w:val="59B321FF"/>
    <w:rsid w:val="59B758DF"/>
    <w:rsid w:val="59B8A247"/>
    <w:rsid w:val="59BE2AE4"/>
    <w:rsid w:val="59C6D6C6"/>
    <w:rsid w:val="59C6EF4F"/>
    <w:rsid w:val="59CA319B"/>
    <w:rsid w:val="59CBE1E4"/>
    <w:rsid w:val="59D3D8C6"/>
    <w:rsid w:val="59D60727"/>
    <w:rsid w:val="59D980E8"/>
    <w:rsid w:val="59DAB45B"/>
    <w:rsid w:val="59E04707"/>
    <w:rsid w:val="59E4E4CB"/>
    <w:rsid w:val="59E97C87"/>
    <w:rsid w:val="59EBF7CC"/>
    <w:rsid w:val="59F1F332"/>
    <w:rsid w:val="59F3A003"/>
    <w:rsid w:val="59F3C4CA"/>
    <w:rsid w:val="59F5E75A"/>
    <w:rsid w:val="59FD0564"/>
    <w:rsid w:val="59FDCB79"/>
    <w:rsid w:val="5A00E456"/>
    <w:rsid w:val="5A05B7A3"/>
    <w:rsid w:val="5A09DD2D"/>
    <w:rsid w:val="5A0B4ADF"/>
    <w:rsid w:val="5A202E16"/>
    <w:rsid w:val="5A21B465"/>
    <w:rsid w:val="5A2256AA"/>
    <w:rsid w:val="5A24CFBE"/>
    <w:rsid w:val="5A28F574"/>
    <w:rsid w:val="5A2934AB"/>
    <w:rsid w:val="5A29C0C3"/>
    <w:rsid w:val="5A2CE13F"/>
    <w:rsid w:val="5A372CED"/>
    <w:rsid w:val="5A37F259"/>
    <w:rsid w:val="5A38BC25"/>
    <w:rsid w:val="5A3FBF8A"/>
    <w:rsid w:val="5A407E37"/>
    <w:rsid w:val="5A45AA66"/>
    <w:rsid w:val="5A485C62"/>
    <w:rsid w:val="5A4B52C0"/>
    <w:rsid w:val="5A4E6D0C"/>
    <w:rsid w:val="5A51FD1F"/>
    <w:rsid w:val="5A5B7D26"/>
    <w:rsid w:val="5A5C38EE"/>
    <w:rsid w:val="5A61B60C"/>
    <w:rsid w:val="5A6B8D76"/>
    <w:rsid w:val="5A6C8097"/>
    <w:rsid w:val="5A6DC0EA"/>
    <w:rsid w:val="5A70A296"/>
    <w:rsid w:val="5A72109B"/>
    <w:rsid w:val="5A756807"/>
    <w:rsid w:val="5A7F785D"/>
    <w:rsid w:val="5A834AAA"/>
    <w:rsid w:val="5A84B928"/>
    <w:rsid w:val="5A8AE856"/>
    <w:rsid w:val="5A91E701"/>
    <w:rsid w:val="5A921B4E"/>
    <w:rsid w:val="5AA07767"/>
    <w:rsid w:val="5AA34B09"/>
    <w:rsid w:val="5AA51969"/>
    <w:rsid w:val="5AA8C568"/>
    <w:rsid w:val="5AA942A2"/>
    <w:rsid w:val="5AAB87A9"/>
    <w:rsid w:val="5AADC1E2"/>
    <w:rsid w:val="5AB1F315"/>
    <w:rsid w:val="5AB2B004"/>
    <w:rsid w:val="5AB64DE6"/>
    <w:rsid w:val="5ABC6355"/>
    <w:rsid w:val="5ABD9FB6"/>
    <w:rsid w:val="5ABE73D5"/>
    <w:rsid w:val="5AC1BDFC"/>
    <w:rsid w:val="5AC2A9E8"/>
    <w:rsid w:val="5AC3CED7"/>
    <w:rsid w:val="5AC4D98F"/>
    <w:rsid w:val="5ACE0631"/>
    <w:rsid w:val="5AD860A9"/>
    <w:rsid w:val="5ADB5EF2"/>
    <w:rsid w:val="5ADD1841"/>
    <w:rsid w:val="5ADF77AF"/>
    <w:rsid w:val="5ADFAA36"/>
    <w:rsid w:val="5AE4D159"/>
    <w:rsid w:val="5AE61F79"/>
    <w:rsid w:val="5AEFCFD9"/>
    <w:rsid w:val="5B02436C"/>
    <w:rsid w:val="5B02E9E9"/>
    <w:rsid w:val="5B06DECE"/>
    <w:rsid w:val="5B090CDC"/>
    <w:rsid w:val="5B0F86AA"/>
    <w:rsid w:val="5B125E1F"/>
    <w:rsid w:val="5B1BEFB1"/>
    <w:rsid w:val="5B1CD98D"/>
    <w:rsid w:val="5B20C759"/>
    <w:rsid w:val="5B247F13"/>
    <w:rsid w:val="5B2A0281"/>
    <w:rsid w:val="5B2B1B73"/>
    <w:rsid w:val="5B2DA994"/>
    <w:rsid w:val="5B2EAF96"/>
    <w:rsid w:val="5B2EF4DA"/>
    <w:rsid w:val="5B306756"/>
    <w:rsid w:val="5B3253F5"/>
    <w:rsid w:val="5B33FF36"/>
    <w:rsid w:val="5B39A881"/>
    <w:rsid w:val="5B3ACE3A"/>
    <w:rsid w:val="5B3CA1A8"/>
    <w:rsid w:val="5B3CE798"/>
    <w:rsid w:val="5B3FB917"/>
    <w:rsid w:val="5B450D73"/>
    <w:rsid w:val="5B460A4B"/>
    <w:rsid w:val="5B48C548"/>
    <w:rsid w:val="5B4DC060"/>
    <w:rsid w:val="5B4DECDF"/>
    <w:rsid w:val="5B4EB619"/>
    <w:rsid w:val="5B5639A3"/>
    <w:rsid w:val="5B578E5B"/>
    <w:rsid w:val="5B592D5A"/>
    <w:rsid w:val="5B5C33C4"/>
    <w:rsid w:val="5B5E4B12"/>
    <w:rsid w:val="5B64B5C4"/>
    <w:rsid w:val="5B67087D"/>
    <w:rsid w:val="5B687D5E"/>
    <w:rsid w:val="5B6D6146"/>
    <w:rsid w:val="5B6EBCF2"/>
    <w:rsid w:val="5B720758"/>
    <w:rsid w:val="5B7341C6"/>
    <w:rsid w:val="5B7AD1A3"/>
    <w:rsid w:val="5B7C4BBC"/>
    <w:rsid w:val="5B7F25D2"/>
    <w:rsid w:val="5B7F3B89"/>
    <w:rsid w:val="5B84092A"/>
    <w:rsid w:val="5B856EBA"/>
    <w:rsid w:val="5B85B630"/>
    <w:rsid w:val="5B87553E"/>
    <w:rsid w:val="5B884343"/>
    <w:rsid w:val="5B8994E1"/>
    <w:rsid w:val="5B9000CB"/>
    <w:rsid w:val="5B90A277"/>
    <w:rsid w:val="5B9B077D"/>
    <w:rsid w:val="5B9B4AFD"/>
    <w:rsid w:val="5B9CB27A"/>
    <w:rsid w:val="5B9F1003"/>
    <w:rsid w:val="5B9F66DD"/>
    <w:rsid w:val="5BA01477"/>
    <w:rsid w:val="5BABC4B0"/>
    <w:rsid w:val="5BABC776"/>
    <w:rsid w:val="5BADDF65"/>
    <w:rsid w:val="5BB0ED3A"/>
    <w:rsid w:val="5BB56556"/>
    <w:rsid w:val="5BB81E4D"/>
    <w:rsid w:val="5BBBBCE4"/>
    <w:rsid w:val="5BBC7AF5"/>
    <w:rsid w:val="5BBDA325"/>
    <w:rsid w:val="5BC31B52"/>
    <w:rsid w:val="5BC5A3C6"/>
    <w:rsid w:val="5BC9626C"/>
    <w:rsid w:val="5BD0788A"/>
    <w:rsid w:val="5BD3EC82"/>
    <w:rsid w:val="5BD658C9"/>
    <w:rsid w:val="5BD7501A"/>
    <w:rsid w:val="5BD814C2"/>
    <w:rsid w:val="5BDC2AFB"/>
    <w:rsid w:val="5BDDE23D"/>
    <w:rsid w:val="5BDEC634"/>
    <w:rsid w:val="5BE15547"/>
    <w:rsid w:val="5BE9C046"/>
    <w:rsid w:val="5BECA4A8"/>
    <w:rsid w:val="5BF2E86E"/>
    <w:rsid w:val="5BF62E41"/>
    <w:rsid w:val="5BFCD6A8"/>
    <w:rsid w:val="5C007120"/>
    <w:rsid w:val="5C0AED78"/>
    <w:rsid w:val="5C0E25A5"/>
    <w:rsid w:val="5C0E8640"/>
    <w:rsid w:val="5C121643"/>
    <w:rsid w:val="5C130032"/>
    <w:rsid w:val="5C187CA5"/>
    <w:rsid w:val="5C1AF581"/>
    <w:rsid w:val="5C2488AB"/>
    <w:rsid w:val="5C24D899"/>
    <w:rsid w:val="5C3716E5"/>
    <w:rsid w:val="5C3725AE"/>
    <w:rsid w:val="5C37E49B"/>
    <w:rsid w:val="5C39C8C2"/>
    <w:rsid w:val="5C3A5D3F"/>
    <w:rsid w:val="5C3AF67F"/>
    <w:rsid w:val="5C3C3E96"/>
    <w:rsid w:val="5C47E997"/>
    <w:rsid w:val="5C47F13E"/>
    <w:rsid w:val="5C530146"/>
    <w:rsid w:val="5C54646D"/>
    <w:rsid w:val="5C54BACE"/>
    <w:rsid w:val="5C5AD2F1"/>
    <w:rsid w:val="5C5C4552"/>
    <w:rsid w:val="5C6301F4"/>
    <w:rsid w:val="5C64AE5B"/>
    <w:rsid w:val="5C667EE6"/>
    <w:rsid w:val="5C68B6F0"/>
    <w:rsid w:val="5C694D90"/>
    <w:rsid w:val="5C71EC9D"/>
    <w:rsid w:val="5C77EB98"/>
    <w:rsid w:val="5C7B4249"/>
    <w:rsid w:val="5C7C65A6"/>
    <w:rsid w:val="5C7E2A49"/>
    <w:rsid w:val="5C7EAEE3"/>
    <w:rsid w:val="5C7F3F5F"/>
    <w:rsid w:val="5C800384"/>
    <w:rsid w:val="5C819F57"/>
    <w:rsid w:val="5C88ED77"/>
    <w:rsid w:val="5C8ABA1F"/>
    <w:rsid w:val="5C8E5FBD"/>
    <w:rsid w:val="5C91BEFC"/>
    <w:rsid w:val="5C979F9D"/>
    <w:rsid w:val="5C9A5EF5"/>
    <w:rsid w:val="5C9A67E7"/>
    <w:rsid w:val="5C9DD6E5"/>
    <w:rsid w:val="5C9EFF22"/>
    <w:rsid w:val="5CA0CE3C"/>
    <w:rsid w:val="5CB2F8DD"/>
    <w:rsid w:val="5CB43EC7"/>
    <w:rsid w:val="5CB8BEA0"/>
    <w:rsid w:val="5CB98091"/>
    <w:rsid w:val="5CBFBCDA"/>
    <w:rsid w:val="5CD67810"/>
    <w:rsid w:val="5CD853CB"/>
    <w:rsid w:val="5CD90443"/>
    <w:rsid w:val="5CDB80C3"/>
    <w:rsid w:val="5CDBA72A"/>
    <w:rsid w:val="5CDBAA61"/>
    <w:rsid w:val="5CE0FE71"/>
    <w:rsid w:val="5CE3BD6A"/>
    <w:rsid w:val="5CE81909"/>
    <w:rsid w:val="5CE8BCF0"/>
    <w:rsid w:val="5CEE2A6E"/>
    <w:rsid w:val="5CF282AD"/>
    <w:rsid w:val="5CF2A700"/>
    <w:rsid w:val="5CF35E31"/>
    <w:rsid w:val="5CF36874"/>
    <w:rsid w:val="5CFD4B9D"/>
    <w:rsid w:val="5D0079BB"/>
    <w:rsid w:val="5D01CABB"/>
    <w:rsid w:val="5D03CEAE"/>
    <w:rsid w:val="5D04CDE3"/>
    <w:rsid w:val="5D07A9FA"/>
    <w:rsid w:val="5D09C5AE"/>
    <w:rsid w:val="5D0E1ED4"/>
    <w:rsid w:val="5D108DBD"/>
    <w:rsid w:val="5D15C4DB"/>
    <w:rsid w:val="5D16A080"/>
    <w:rsid w:val="5D171F8F"/>
    <w:rsid w:val="5D195FD8"/>
    <w:rsid w:val="5D1B91BD"/>
    <w:rsid w:val="5D268CEA"/>
    <w:rsid w:val="5D291EBA"/>
    <w:rsid w:val="5D2E6F77"/>
    <w:rsid w:val="5D30BD5D"/>
    <w:rsid w:val="5D351437"/>
    <w:rsid w:val="5D3C55E7"/>
    <w:rsid w:val="5D407254"/>
    <w:rsid w:val="5D413430"/>
    <w:rsid w:val="5D41D099"/>
    <w:rsid w:val="5D41DE51"/>
    <w:rsid w:val="5D42A43E"/>
    <w:rsid w:val="5D4664F7"/>
    <w:rsid w:val="5D4C5A3B"/>
    <w:rsid w:val="5D4E9212"/>
    <w:rsid w:val="5D4F6FD9"/>
    <w:rsid w:val="5D507E30"/>
    <w:rsid w:val="5D50AC85"/>
    <w:rsid w:val="5D580921"/>
    <w:rsid w:val="5D5A34B9"/>
    <w:rsid w:val="5D5BC738"/>
    <w:rsid w:val="5D5E70DB"/>
    <w:rsid w:val="5D5EBCF0"/>
    <w:rsid w:val="5D649E68"/>
    <w:rsid w:val="5D65AEDE"/>
    <w:rsid w:val="5D6D51E0"/>
    <w:rsid w:val="5D6ECDBC"/>
    <w:rsid w:val="5D729407"/>
    <w:rsid w:val="5D792C03"/>
    <w:rsid w:val="5D798C4B"/>
    <w:rsid w:val="5D7D4575"/>
    <w:rsid w:val="5D7EDFAD"/>
    <w:rsid w:val="5D7F4A63"/>
    <w:rsid w:val="5D8321F2"/>
    <w:rsid w:val="5D87890B"/>
    <w:rsid w:val="5D8A7617"/>
    <w:rsid w:val="5D8C3450"/>
    <w:rsid w:val="5D90BBAB"/>
    <w:rsid w:val="5D947229"/>
    <w:rsid w:val="5D97147C"/>
    <w:rsid w:val="5D973B1F"/>
    <w:rsid w:val="5D99B28C"/>
    <w:rsid w:val="5D9EDB43"/>
    <w:rsid w:val="5DA2D19C"/>
    <w:rsid w:val="5DA70401"/>
    <w:rsid w:val="5DB2BC3D"/>
    <w:rsid w:val="5DB34433"/>
    <w:rsid w:val="5DB5C7CC"/>
    <w:rsid w:val="5DBFB84F"/>
    <w:rsid w:val="5DC161B3"/>
    <w:rsid w:val="5DC9AA1E"/>
    <w:rsid w:val="5DCA03C7"/>
    <w:rsid w:val="5DD16394"/>
    <w:rsid w:val="5DD94415"/>
    <w:rsid w:val="5DDF6B13"/>
    <w:rsid w:val="5DE14876"/>
    <w:rsid w:val="5DE2977C"/>
    <w:rsid w:val="5DE36D75"/>
    <w:rsid w:val="5DE4B645"/>
    <w:rsid w:val="5DE74D0A"/>
    <w:rsid w:val="5DE78779"/>
    <w:rsid w:val="5DE97E31"/>
    <w:rsid w:val="5DEB8BEC"/>
    <w:rsid w:val="5DEC6BA7"/>
    <w:rsid w:val="5DED6CD3"/>
    <w:rsid w:val="5DF192E5"/>
    <w:rsid w:val="5DF38F6A"/>
    <w:rsid w:val="5DF7100E"/>
    <w:rsid w:val="5DFE6047"/>
    <w:rsid w:val="5DFE6CE2"/>
    <w:rsid w:val="5DFE9064"/>
    <w:rsid w:val="5E02901A"/>
    <w:rsid w:val="5E0662D0"/>
    <w:rsid w:val="5E07D10B"/>
    <w:rsid w:val="5E0804FD"/>
    <w:rsid w:val="5E0A053B"/>
    <w:rsid w:val="5E0A4E59"/>
    <w:rsid w:val="5E0D4467"/>
    <w:rsid w:val="5E12EF48"/>
    <w:rsid w:val="5E132F32"/>
    <w:rsid w:val="5E13C851"/>
    <w:rsid w:val="5E13FA0F"/>
    <w:rsid w:val="5E15A8B6"/>
    <w:rsid w:val="5E15F86F"/>
    <w:rsid w:val="5E18BAE5"/>
    <w:rsid w:val="5E1F3475"/>
    <w:rsid w:val="5E22F39B"/>
    <w:rsid w:val="5E25C9DE"/>
    <w:rsid w:val="5E25DA01"/>
    <w:rsid w:val="5E2934E1"/>
    <w:rsid w:val="5E29B3DD"/>
    <w:rsid w:val="5E2AF538"/>
    <w:rsid w:val="5E2DB46F"/>
    <w:rsid w:val="5E345795"/>
    <w:rsid w:val="5E3622D0"/>
    <w:rsid w:val="5E3721B9"/>
    <w:rsid w:val="5E409D44"/>
    <w:rsid w:val="5E41AECE"/>
    <w:rsid w:val="5E536921"/>
    <w:rsid w:val="5E583420"/>
    <w:rsid w:val="5E620EB2"/>
    <w:rsid w:val="5E641B6C"/>
    <w:rsid w:val="5E6B94E8"/>
    <w:rsid w:val="5E70DC5B"/>
    <w:rsid w:val="5E745434"/>
    <w:rsid w:val="5E74E8D2"/>
    <w:rsid w:val="5E84E1FA"/>
    <w:rsid w:val="5E8A45DB"/>
    <w:rsid w:val="5E903FDD"/>
    <w:rsid w:val="5E96007D"/>
    <w:rsid w:val="5E9AAB86"/>
    <w:rsid w:val="5E9BD0B4"/>
    <w:rsid w:val="5E9C4E8E"/>
    <w:rsid w:val="5EA27ECD"/>
    <w:rsid w:val="5EA47929"/>
    <w:rsid w:val="5EA9600A"/>
    <w:rsid w:val="5EACA4E8"/>
    <w:rsid w:val="5EB53FDD"/>
    <w:rsid w:val="5EBAB748"/>
    <w:rsid w:val="5EBAEB53"/>
    <w:rsid w:val="5EBDB59D"/>
    <w:rsid w:val="5EBEFEFC"/>
    <w:rsid w:val="5EC3C740"/>
    <w:rsid w:val="5EC4C1B8"/>
    <w:rsid w:val="5EC5071D"/>
    <w:rsid w:val="5EC60E6A"/>
    <w:rsid w:val="5ECAD56A"/>
    <w:rsid w:val="5EDFFFE4"/>
    <w:rsid w:val="5EE55A3D"/>
    <w:rsid w:val="5EEB9A42"/>
    <w:rsid w:val="5EEE57B7"/>
    <w:rsid w:val="5EF08BF3"/>
    <w:rsid w:val="5EF130ED"/>
    <w:rsid w:val="5EF1E453"/>
    <w:rsid w:val="5EF3917B"/>
    <w:rsid w:val="5EF58F07"/>
    <w:rsid w:val="5EF7A6BD"/>
    <w:rsid w:val="5EFBEEA6"/>
    <w:rsid w:val="5EFD24E3"/>
    <w:rsid w:val="5F036F66"/>
    <w:rsid w:val="5F0A2CBB"/>
    <w:rsid w:val="5F0A8FCC"/>
    <w:rsid w:val="5F0DAFCA"/>
    <w:rsid w:val="5F0DFCB7"/>
    <w:rsid w:val="5F0EC384"/>
    <w:rsid w:val="5F0F1D2F"/>
    <w:rsid w:val="5F0F81FA"/>
    <w:rsid w:val="5F0F89B0"/>
    <w:rsid w:val="5F11DFD3"/>
    <w:rsid w:val="5F12A501"/>
    <w:rsid w:val="5F13ECA2"/>
    <w:rsid w:val="5F1CD1EB"/>
    <w:rsid w:val="5F1D8A25"/>
    <w:rsid w:val="5F1DAE6C"/>
    <w:rsid w:val="5F1FC7E3"/>
    <w:rsid w:val="5F213E1A"/>
    <w:rsid w:val="5F278461"/>
    <w:rsid w:val="5F28EF2D"/>
    <w:rsid w:val="5F2FC901"/>
    <w:rsid w:val="5F3001E4"/>
    <w:rsid w:val="5F363D4F"/>
    <w:rsid w:val="5F375D94"/>
    <w:rsid w:val="5F3816D1"/>
    <w:rsid w:val="5F42BEE8"/>
    <w:rsid w:val="5F44E808"/>
    <w:rsid w:val="5F48FACB"/>
    <w:rsid w:val="5F4CF70B"/>
    <w:rsid w:val="5F4DD5A9"/>
    <w:rsid w:val="5F4E9127"/>
    <w:rsid w:val="5F536586"/>
    <w:rsid w:val="5F592961"/>
    <w:rsid w:val="5F594E7F"/>
    <w:rsid w:val="5F595B4B"/>
    <w:rsid w:val="5F5C5200"/>
    <w:rsid w:val="5F60F2FF"/>
    <w:rsid w:val="5F639122"/>
    <w:rsid w:val="5F63BA62"/>
    <w:rsid w:val="5F64ADA4"/>
    <w:rsid w:val="5F66481C"/>
    <w:rsid w:val="5F6807D8"/>
    <w:rsid w:val="5F6A1D3A"/>
    <w:rsid w:val="5F6D57ED"/>
    <w:rsid w:val="5F6FCEB4"/>
    <w:rsid w:val="5F727B59"/>
    <w:rsid w:val="5F7BFCAC"/>
    <w:rsid w:val="5F7F9F41"/>
    <w:rsid w:val="5F833580"/>
    <w:rsid w:val="5F8446E3"/>
    <w:rsid w:val="5F84E60E"/>
    <w:rsid w:val="5F87A9A8"/>
    <w:rsid w:val="5F93BC93"/>
    <w:rsid w:val="5F94D8BD"/>
    <w:rsid w:val="5F962AE7"/>
    <w:rsid w:val="5F97E488"/>
    <w:rsid w:val="5F97E699"/>
    <w:rsid w:val="5F9F27D8"/>
    <w:rsid w:val="5F9F431C"/>
    <w:rsid w:val="5FA0D7FD"/>
    <w:rsid w:val="5FADECBC"/>
    <w:rsid w:val="5FAF0616"/>
    <w:rsid w:val="5FAFDC9C"/>
    <w:rsid w:val="5FB0CBAF"/>
    <w:rsid w:val="5FB0E626"/>
    <w:rsid w:val="5FB25856"/>
    <w:rsid w:val="5FB64244"/>
    <w:rsid w:val="5FB73F6C"/>
    <w:rsid w:val="5FB8C5CA"/>
    <w:rsid w:val="5FBCBEE6"/>
    <w:rsid w:val="5FCDFE1A"/>
    <w:rsid w:val="5FD43AB8"/>
    <w:rsid w:val="5FD695E5"/>
    <w:rsid w:val="5FD7BEDB"/>
    <w:rsid w:val="5FE0715F"/>
    <w:rsid w:val="5FE0F70A"/>
    <w:rsid w:val="5FE16432"/>
    <w:rsid w:val="5FE38CD4"/>
    <w:rsid w:val="5FE674EA"/>
    <w:rsid w:val="5FE8A612"/>
    <w:rsid w:val="5FEAC3AF"/>
    <w:rsid w:val="5FEB6D01"/>
    <w:rsid w:val="5FF0EC63"/>
    <w:rsid w:val="5FF1F00E"/>
    <w:rsid w:val="5FF746C5"/>
    <w:rsid w:val="5FF75D37"/>
    <w:rsid w:val="5FF80D4D"/>
    <w:rsid w:val="6000C7FD"/>
    <w:rsid w:val="6000C925"/>
    <w:rsid w:val="60060C26"/>
    <w:rsid w:val="60076E00"/>
    <w:rsid w:val="60088D33"/>
    <w:rsid w:val="600A3CCC"/>
    <w:rsid w:val="60150E6F"/>
    <w:rsid w:val="601B7997"/>
    <w:rsid w:val="602129EF"/>
    <w:rsid w:val="6021B4F5"/>
    <w:rsid w:val="6025FA96"/>
    <w:rsid w:val="602A2CA8"/>
    <w:rsid w:val="602D2439"/>
    <w:rsid w:val="602E15E6"/>
    <w:rsid w:val="603233CD"/>
    <w:rsid w:val="60385C19"/>
    <w:rsid w:val="603DB5E7"/>
    <w:rsid w:val="603E2D38"/>
    <w:rsid w:val="6042105A"/>
    <w:rsid w:val="60444EC0"/>
    <w:rsid w:val="60453E36"/>
    <w:rsid w:val="604C4C46"/>
    <w:rsid w:val="604DB7FE"/>
    <w:rsid w:val="60524811"/>
    <w:rsid w:val="60566FC6"/>
    <w:rsid w:val="6057DB8C"/>
    <w:rsid w:val="605A1FC4"/>
    <w:rsid w:val="605C5324"/>
    <w:rsid w:val="605DABDD"/>
    <w:rsid w:val="605DB436"/>
    <w:rsid w:val="605F0B6F"/>
    <w:rsid w:val="60602638"/>
    <w:rsid w:val="60617ACD"/>
    <w:rsid w:val="60670603"/>
    <w:rsid w:val="6068BEFC"/>
    <w:rsid w:val="606E04B6"/>
    <w:rsid w:val="60710FCD"/>
    <w:rsid w:val="607B212D"/>
    <w:rsid w:val="607C931A"/>
    <w:rsid w:val="607D59FF"/>
    <w:rsid w:val="6084F155"/>
    <w:rsid w:val="6086F3AA"/>
    <w:rsid w:val="608A9068"/>
    <w:rsid w:val="608D28AA"/>
    <w:rsid w:val="608D6542"/>
    <w:rsid w:val="608EAF87"/>
    <w:rsid w:val="608F3382"/>
    <w:rsid w:val="608FE4B9"/>
    <w:rsid w:val="60911902"/>
    <w:rsid w:val="6096A5F6"/>
    <w:rsid w:val="6098361E"/>
    <w:rsid w:val="60A67003"/>
    <w:rsid w:val="60AF952B"/>
    <w:rsid w:val="60B16A6D"/>
    <w:rsid w:val="60B83DA0"/>
    <w:rsid w:val="60B8F9A4"/>
    <w:rsid w:val="60BC329A"/>
    <w:rsid w:val="60C14540"/>
    <w:rsid w:val="60C26CBA"/>
    <w:rsid w:val="60C9C9BD"/>
    <w:rsid w:val="60CAD1AF"/>
    <w:rsid w:val="60CBF440"/>
    <w:rsid w:val="60D5B29D"/>
    <w:rsid w:val="60D6F6E4"/>
    <w:rsid w:val="60D8D758"/>
    <w:rsid w:val="60DD9498"/>
    <w:rsid w:val="60DF199C"/>
    <w:rsid w:val="60E5163A"/>
    <w:rsid w:val="60E8BCD3"/>
    <w:rsid w:val="60E99AFE"/>
    <w:rsid w:val="60EE5D60"/>
    <w:rsid w:val="60F59EA3"/>
    <w:rsid w:val="60F72642"/>
    <w:rsid w:val="60F7388F"/>
    <w:rsid w:val="60FAF147"/>
    <w:rsid w:val="60FB590B"/>
    <w:rsid w:val="60FE7435"/>
    <w:rsid w:val="610023F9"/>
    <w:rsid w:val="6102F7E2"/>
    <w:rsid w:val="6102FED3"/>
    <w:rsid w:val="6104FBB4"/>
    <w:rsid w:val="6107D8DD"/>
    <w:rsid w:val="610E7EA9"/>
    <w:rsid w:val="610F6259"/>
    <w:rsid w:val="6110F859"/>
    <w:rsid w:val="6117FFBF"/>
    <w:rsid w:val="611C2C41"/>
    <w:rsid w:val="61203D08"/>
    <w:rsid w:val="6124CD89"/>
    <w:rsid w:val="61267538"/>
    <w:rsid w:val="61270089"/>
    <w:rsid w:val="612760F5"/>
    <w:rsid w:val="61324544"/>
    <w:rsid w:val="613E0745"/>
    <w:rsid w:val="61414478"/>
    <w:rsid w:val="61420A12"/>
    <w:rsid w:val="6142CC12"/>
    <w:rsid w:val="61458FE1"/>
    <w:rsid w:val="614688C3"/>
    <w:rsid w:val="614865D8"/>
    <w:rsid w:val="614E1AEB"/>
    <w:rsid w:val="615F0F6F"/>
    <w:rsid w:val="615F630D"/>
    <w:rsid w:val="6162A006"/>
    <w:rsid w:val="616B4A88"/>
    <w:rsid w:val="6175CDD9"/>
    <w:rsid w:val="61799AFF"/>
    <w:rsid w:val="6179B48E"/>
    <w:rsid w:val="617BD1EA"/>
    <w:rsid w:val="61855823"/>
    <w:rsid w:val="618761F5"/>
    <w:rsid w:val="618A3F21"/>
    <w:rsid w:val="618B6AB7"/>
    <w:rsid w:val="618E49F3"/>
    <w:rsid w:val="618E6D4A"/>
    <w:rsid w:val="6197DEAF"/>
    <w:rsid w:val="61991986"/>
    <w:rsid w:val="619B3597"/>
    <w:rsid w:val="619D68C3"/>
    <w:rsid w:val="61A129B9"/>
    <w:rsid w:val="61A1810F"/>
    <w:rsid w:val="61A5B783"/>
    <w:rsid w:val="61A6DD13"/>
    <w:rsid w:val="61AB8643"/>
    <w:rsid w:val="61ABD1E6"/>
    <w:rsid w:val="61B0892A"/>
    <w:rsid w:val="61B1BBA8"/>
    <w:rsid w:val="61B3A987"/>
    <w:rsid w:val="61B520DD"/>
    <w:rsid w:val="61B7316B"/>
    <w:rsid w:val="61BC5B3D"/>
    <w:rsid w:val="61BCA610"/>
    <w:rsid w:val="61C10CBD"/>
    <w:rsid w:val="61C18814"/>
    <w:rsid w:val="61C422DC"/>
    <w:rsid w:val="61C5A610"/>
    <w:rsid w:val="61C8A1D4"/>
    <w:rsid w:val="61CA0EBC"/>
    <w:rsid w:val="61CA52BD"/>
    <w:rsid w:val="61CC8A21"/>
    <w:rsid w:val="61CF1603"/>
    <w:rsid w:val="61D00B10"/>
    <w:rsid w:val="61D0B771"/>
    <w:rsid w:val="61D0EE60"/>
    <w:rsid w:val="61D0F09D"/>
    <w:rsid w:val="61D37C0F"/>
    <w:rsid w:val="61D747B1"/>
    <w:rsid w:val="61D94C4D"/>
    <w:rsid w:val="61DF795B"/>
    <w:rsid w:val="61E02FE4"/>
    <w:rsid w:val="61E1B3A7"/>
    <w:rsid w:val="61E36CC6"/>
    <w:rsid w:val="61EE2266"/>
    <w:rsid w:val="61EEA99D"/>
    <w:rsid w:val="61F33367"/>
    <w:rsid w:val="61F544B0"/>
    <w:rsid w:val="61FB24A2"/>
    <w:rsid w:val="61FB3C8C"/>
    <w:rsid w:val="61FE7AAF"/>
    <w:rsid w:val="61FEB042"/>
    <w:rsid w:val="6208CDEF"/>
    <w:rsid w:val="620DC438"/>
    <w:rsid w:val="621999B7"/>
    <w:rsid w:val="621ACC59"/>
    <w:rsid w:val="62216AF3"/>
    <w:rsid w:val="622174EE"/>
    <w:rsid w:val="62234BA5"/>
    <w:rsid w:val="62258431"/>
    <w:rsid w:val="622BB273"/>
    <w:rsid w:val="62350AD9"/>
    <w:rsid w:val="62387EC9"/>
    <w:rsid w:val="6239DBC7"/>
    <w:rsid w:val="623A022D"/>
    <w:rsid w:val="623AE453"/>
    <w:rsid w:val="623B55DE"/>
    <w:rsid w:val="62422CB0"/>
    <w:rsid w:val="6247FDAF"/>
    <w:rsid w:val="624876B9"/>
    <w:rsid w:val="62489A67"/>
    <w:rsid w:val="62499994"/>
    <w:rsid w:val="624A4E60"/>
    <w:rsid w:val="624C6577"/>
    <w:rsid w:val="624D014E"/>
    <w:rsid w:val="624F6600"/>
    <w:rsid w:val="6256A266"/>
    <w:rsid w:val="6257A3F3"/>
    <w:rsid w:val="625AC14A"/>
    <w:rsid w:val="625AFBAD"/>
    <w:rsid w:val="625C58E0"/>
    <w:rsid w:val="626F3875"/>
    <w:rsid w:val="6270336F"/>
    <w:rsid w:val="627C8B00"/>
    <w:rsid w:val="627D03D8"/>
    <w:rsid w:val="627FC32A"/>
    <w:rsid w:val="6281E391"/>
    <w:rsid w:val="62824932"/>
    <w:rsid w:val="6284B639"/>
    <w:rsid w:val="6287EBA7"/>
    <w:rsid w:val="628C2FB6"/>
    <w:rsid w:val="62972798"/>
    <w:rsid w:val="62981FC0"/>
    <w:rsid w:val="6299072C"/>
    <w:rsid w:val="629AD1D8"/>
    <w:rsid w:val="62A3DBAC"/>
    <w:rsid w:val="62A408AB"/>
    <w:rsid w:val="62A6E189"/>
    <w:rsid w:val="62AB3D63"/>
    <w:rsid w:val="62ADED78"/>
    <w:rsid w:val="62B16A44"/>
    <w:rsid w:val="62B73BCA"/>
    <w:rsid w:val="62B7C08B"/>
    <w:rsid w:val="62B85EF4"/>
    <w:rsid w:val="62BA9D66"/>
    <w:rsid w:val="62BD0F3B"/>
    <w:rsid w:val="62C1A9B7"/>
    <w:rsid w:val="62C88CC2"/>
    <w:rsid w:val="62C96071"/>
    <w:rsid w:val="62CB5B85"/>
    <w:rsid w:val="62CCE0D4"/>
    <w:rsid w:val="62CFD0C4"/>
    <w:rsid w:val="62CFD25F"/>
    <w:rsid w:val="62D728B1"/>
    <w:rsid w:val="62E06BC6"/>
    <w:rsid w:val="62E3F6B6"/>
    <w:rsid w:val="62E41434"/>
    <w:rsid w:val="62E44F11"/>
    <w:rsid w:val="62E4BC1D"/>
    <w:rsid w:val="62E7A928"/>
    <w:rsid w:val="62EE6557"/>
    <w:rsid w:val="62F67BF9"/>
    <w:rsid w:val="62F7AD98"/>
    <w:rsid w:val="62F7E74A"/>
    <w:rsid w:val="62F8A75F"/>
    <w:rsid w:val="62FC50FF"/>
    <w:rsid w:val="62FCB0F3"/>
    <w:rsid w:val="62FD0FED"/>
    <w:rsid w:val="63015FF8"/>
    <w:rsid w:val="63036F29"/>
    <w:rsid w:val="63132A71"/>
    <w:rsid w:val="63136025"/>
    <w:rsid w:val="63142E62"/>
    <w:rsid w:val="631A4253"/>
    <w:rsid w:val="631AFE8E"/>
    <w:rsid w:val="632207BD"/>
    <w:rsid w:val="6323E61E"/>
    <w:rsid w:val="6327298C"/>
    <w:rsid w:val="6327490C"/>
    <w:rsid w:val="63280FEC"/>
    <w:rsid w:val="63307CB1"/>
    <w:rsid w:val="63368B86"/>
    <w:rsid w:val="633B4B61"/>
    <w:rsid w:val="633E9C20"/>
    <w:rsid w:val="6342440B"/>
    <w:rsid w:val="6342E254"/>
    <w:rsid w:val="63443CDA"/>
    <w:rsid w:val="63452615"/>
    <w:rsid w:val="6346BF81"/>
    <w:rsid w:val="6369E3C4"/>
    <w:rsid w:val="636CAF29"/>
    <w:rsid w:val="636DEB89"/>
    <w:rsid w:val="636EC0EF"/>
    <w:rsid w:val="636F6836"/>
    <w:rsid w:val="6371E7D2"/>
    <w:rsid w:val="63721BC1"/>
    <w:rsid w:val="63734E78"/>
    <w:rsid w:val="63753B71"/>
    <w:rsid w:val="6376E990"/>
    <w:rsid w:val="637735A7"/>
    <w:rsid w:val="637A7878"/>
    <w:rsid w:val="637B1316"/>
    <w:rsid w:val="637CCC75"/>
    <w:rsid w:val="637D5D68"/>
    <w:rsid w:val="637F2F1C"/>
    <w:rsid w:val="6383F776"/>
    <w:rsid w:val="6385DEE4"/>
    <w:rsid w:val="6385E466"/>
    <w:rsid w:val="638699B8"/>
    <w:rsid w:val="638C5370"/>
    <w:rsid w:val="639081DE"/>
    <w:rsid w:val="63960C23"/>
    <w:rsid w:val="63994F3E"/>
    <w:rsid w:val="639CED1D"/>
    <w:rsid w:val="639E6627"/>
    <w:rsid w:val="639F95CD"/>
    <w:rsid w:val="63A5E58F"/>
    <w:rsid w:val="63A83CA8"/>
    <w:rsid w:val="63A92CD3"/>
    <w:rsid w:val="63AD2E35"/>
    <w:rsid w:val="63AFF3DC"/>
    <w:rsid w:val="63B2FC59"/>
    <w:rsid w:val="63B3923C"/>
    <w:rsid w:val="63BB1F32"/>
    <w:rsid w:val="63C1D33F"/>
    <w:rsid w:val="63C37752"/>
    <w:rsid w:val="63C636FA"/>
    <w:rsid w:val="63C9AA49"/>
    <w:rsid w:val="63CDEF70"/>
    <w:rsid w:val="63CDFC81"/>
    <w:rsid w:val="63D1BFD7"/>
    <w:rsid w:val="63D3E54F"/>
    <w:rsid w:val="63D530D7"/>
    <w:rsid w:val="63D5F953"/>
    <w:rsid w:val="63DAC3D4"/>
    <w:rsid w:val="63DD396F"/>
    <w:rsid w:val="63E10D4A"/>
    <w:rsid w:val="63E1B7D4"/>
    <w:rsid w:val="63E65902"/>
    <w:rsid w:val="63F16F33"/>
    <w:rsid w:val="63F49714"/>
    <w:rsid w:val="64007309"/>
    <w:rsid w:val="6402D25E"/>
    <w:rsid w:val="640345B5"/>
    <w:rsid w:val="6405396F"/>
    <w:rsid w:val="640730DF"/>
    <w:rsid w:val="64146F05"/>
    <w:rsid w:val="6414B186"/>
    <w:rsid w:val="6417FCAF"/>
    <w:rsid w:val="64194CE9"/>
    <w:rsid w:val="641A204C"/>
    <w:rsid w:val="641C1E56"/>
    <w:rsid w:val="6424A726"/>
    <w:rsid w:val="642D1666"/>
    <w:rsid w:val="642EA499"/>
    <w:rsid w:val="642FE6BB"/>
    <w:rsid w:val="642FF5F0"/>
    <w:rsid w:val="64300D34"/>
    <w:rsid w:val="6431FD01"/>
    <w:rsid w:val="64353671"/>
    <w:rsid w:val="643724C0"/>
    <w:rsid w:val="6437B9D0"/>
    <w:rsid w:val="643849D6"/>
    <w:rsid w:val="643C6713"/>
    <w:rsid w:val="643CFE1B"/>
    <w:rsid w:val="643F2F28"/>
    <w:rsid w:val="64476175"/>
    <w:rsid w:val="64493BCC"/>
    <w:rsid w:val="644A47A5"/>
    <w:rsid w:val="644A50AC"/>
    <w:rsid w:val="644BDEB1"/>
    <w:rsid w:val="64505859"/>
    <w:rsid w:val="64516057"/>
    <w:rsid w:val="64529F35"/>
    <w:rsid w:val="64556F61"/>
    <w:rsid w:val="645784B2"/>
    <w:rsid w:val="645B9F5A"/>
    <w:rsid w:val="645ED524"/>
    <w:rsid w:val="645F48CB"/>
    <w:rsid w:val="64634619"/>
    <w:rsid w:val="6466B930"/>
    <w:rsid w:val="6470E062"/>
    <w:rsid w:val="6473FAE3"/>
    <w:rsid w:val="64760BA6"/>
    <w:rsid w:val="647C4240"/>
    <w:rsid w:val="647CBD99"/>
    <w:rsid w:val="647EEC2D"/>
    <w:rsid w:val="648400C6"/>
    <w:rsid w:val="6488D1F2"/>
    <w:rsid w:val="648CB9D0"/>
    <w:rsid w:val="648CE650"/>
    <w:rsid w:val="648DB8B0"/>
    <w:rsid w:val="648E38FF"/>
    <w:rsid w:val="648E8B8B"/>
    <w:rsid w:val="64999664"/>
    <w:rsid w:val="649EEA62"/>
    <w:rsid w:val="649F709A"/>
    <w:rsid w:val="64A4883D"/>
    <w:rsid w:val="64AD6D28"/>
    <w:rsid w:val="64AE101C"/>
    <w:rsid w:val="64B044FE"/>
    <w:rsid w:val="64B08392"/>
    <w:rsid w:val="64B27773"/>
    <w:rsid w:val="64B9166C"/>
    <w:rsid w:val="64BAE805"/>
    <w:rsid w:val="64BF07BC"/>
    <w:rsid w:val="64C14CDE"/>
    <w:rsid w:val="64C494EB"/>
    <w:rsid w:val="64C91CCC"/>
    <w:rsid w:val="64C9537E"/>
    <w:rsid w:val="64CCA0F2"/>
    <w:rsid w:val="64CEC2D9"/>
    <w:rsid w:val="64CF6DFE"/>
    <w:rsid w:val="64CF730B"/>
    <w:rsid w:val="64CF9689"/>
    <w:rsid w:val="64D33DF2"/>
    <w:rsid w:val="64D75DC8"/>
    <w:rsid w:val="64DA7CB4"/>
    <w:rsid w:val="64DBDA2E"/>
    <w:rsid w:val="64DDEC9A"/>
    <w:rsid w:val="64E08E16"/>
    <w:rsid w:val="64E6D7C1"/>
    <w:rsid w:val="64EB21FD"/>
    <w:rsid w:val="64F280F3"/>
    <w:rsid w:val="64F31D6C"/>
    <w:rsid w:val="64F3D4C1"/>
    <w:rsid w:val="64F594C8"/>
    <w:rsid w:val="64F78682"/>
    <w:rsid w:val="64F7F3C7"/>
    <w:rsid w:val="64F897AC"/>
    <w:rsid w:val="64FD8648"/>
    <w:rsid w:val="650CA080"/>
    <w:rsid w:val="650E7F05"/>
    <w:rsid w:val="65112B73"/>
    <w:rsid w:val="65137750"/>
    <w:rsid w:val="651C9FEC"/>
    <w:rsid w:val="6520CFBC"/>
    <w:rsid w:val="6529BAAD"/>
    <w:rsid w:val="652C00E7"/>
    <w:rsid w:val="6532371D"/>
    <w:rsid w:val="6535274B"/>
    <w:rsid w:val="653EDD1D"/>
    <w:rsid w:val="654202FA"/>
    <w:rsid w:val="654527E7"/>
    <w:rsid w:val="6548EF97"/>
    <w:rsid w:val="654B38F2"/>
    <w:rsid w:val="654C4F16"/>
    <w:rsid w:val="654DAEB5"/>
    <w:rsid w:val="6551AFCD"/>
    <w:rsid w:val="6555237D"/>
    <w:rsid w:val="656415FD"/>
    <w:rsid w:val="656510A4"/>
    <w:rsid w:val="6565165B"/>
    <w:rsid w:val="65694657"/>
    <w:rsid w:val="6569595B"/>
    <w:rsid w:val="6569E3AB"/>
    <w:rsid w:val="656D01DB"/>
    <w:rsid w:val="65724588"/>
    <w:rsid w:val="657306BB"/>
    <w:rsid w:val="65779A3D"/>
    <w:rsid w:val="657A298B"/>
    <w:rsid w:val="657BBB8E"/>
    <w:rsid w:val="657EBAB7"/>
    <w:rsid w:val="65828C6F"/>
    <w:rsid w:val="6582D025"/>
    <w:rsid w:val="65857AD6"/>
    <w:rsid w:val="6585BA23"/>
    <w:rsid w:val="658EC21D"/>
    <w:rsid w:val="65900CFC"/>
    <w:rsid w:val="6591D1A1"/>
    <w:rsid w:val="65936309"/>
    <w:rsid w:val="6596DC29"/>
    <w:rsid w:val="6596F711"/>
    <w:rsid w:val="659CE86D"/>
    <w:rsid w:val="659D8093"/>
    <w:rsid w:val="65A0D76A"/>
    <w:rsid w:val="65A5116D"/>
    <w:rsid w:val="65AA0D6C"/>
    <w:rsid w:val="65B09DCC"/>
    <w:rsid w:val="65B21C11"/>
    <w:rsid w:val="65B3713C"/>
    <w:rsid w:val="65B54E1F"/>
    <w:rsid w:val="65BAC933"/>
    <w:rsid w:val="65BB2295"/>
    <w:rsid w:val="65BE8712"/>
    <w:rsid w:val="65BECF33"/>
    <w:rsid w:val="65C950CA"/>
    <w:rsid w:val="65CD4E1E"/>
    <w:rsid w:val="65D055E8"/>
    <w:rsid w:val="65D05B9D"/>
    <w:rsid w:val="65D060E2"/>
    <w:rsid w:val="65D3473B"/>
    <w:rsid w:val="65D4E605"/>
    <w:rsid w:val="65D51C3C"/>
    <w:rsid w:val="65D95442"/>
    <w:rsid w:val="65DAF469"/>
    <w:rsid w:val="65DB3DF2"/>
    <w:rsid w:val="65DCF407"/>
    <w:rsid w:val="65DE347E"/>
    <w:rsid w:val="65E50564"/>
    <w:rsid w:val="65EECC60"/>
    <w:rsid w:val="65F22DB1"/>
    <w:rsid w:val="65F4E4F6"/>
    <w:rsid w:val="65F5E1F5"/>
    <w:rsid w:val="660047E4"/>
    <w:rsid w:val="66067223"/>
    <w:rsid w:val="66093AA2"/>
    <w:rsid w:val="660C21B6"/>
    <w:rsid w:val="660D40CE"/>
    <w:rsid w:val="660F8776"/>
    <w:rsid w:val="660FBB95"/>
    <w:rsid w:val="661644EC"/>
    <w:rsid w:val="6620286C"/>
    <w:rsid w:val="662C7EE9"/>
    <w:rsid w:val="662FE5D0"/>
    <w:rsid w:val="663427AF"/>
    <w:rsid w:val="6637DE2A"/>
    <w:rsid w:val="663CCC02"/>
    <w:rsid w:val="664069CA"/>
    <w:rsid w:val="66409610"/>
    <w:rsid w:val="6640FDD1"/>
    <w:rsid w:val="6647A620"/>
    <w:rsid w:val="6648EDCB"/>
    <w:rsid w:val="664AE319"/>
    <w:rsid w:val="664B5B32"/>
    <w:rsid w:val="664D82FD"/>
    <w:rsid w:val="6652FF96"/>
    <w:rsid w:val="66530D17"/>
    <w:rsid w:val="6656B4FE"/>
    <w:rsid w:val="6658EA91"/>
    <w:rsid w:val="665BB412"/>
    <w:rsid w:val="665C5231"/>
    <w:rsid w:val="665F8948"/>
    <w:rsid w:val="66619470"/>
    <w:rsid w:val="6664B5DC"/>
    <w:rsid w:val="666539C1"/>
    <w:rsid w:val="66655AA3"/>
    <w:rsid w:val="6669412A"/>
    <w:rsid w:val="6670D934"/>
    <w:rsid w:val="66723E92"/>
    <w:rsid w:val="66784201"/>
    <w:rsid w:val="667EB796"/>
    <w:rsid w:val="667EE4A3"/>
    <w:rsid w:val="668037B1"/>
    <w:rsid w:val="6686CB7F"/>
    <w:rsid w:val="668B7736"/>
    <w:rsid w:val="668F54EE"/>
    <w:rsid w:val="6690BC0E"/>
    <w:rsid w:val="66930C45"/>
    <w:rsid w:val="66948670"/>
    <w:rsid w:val="6694E430"/>
    <w:rsid w:val="669AA9ED"/>
    <w:rsid w:val="669EE57C"/>
    <w:rsid w:val="66A1A47A"/>
    <w:rsid w:val="66A1F87B"/>
    <w:rsid w:val="66A2AD5D"/>
    <w:rsid w:val="66A50DB6"/>
    <w:rsid w:val="66A5B34D"/>
    <w:rsid w:val="66AA6DDC"/>
    <w:rsid w:val="66ACD010"/>
    <w:rsid w:val="66AD367E"/>
    <w:rsid w:val="66AD3EF4"/>
    <w:rsid w:val="66AEB2B1"/>
    <w:rsid w:val="66AF01FA"/>
    <w:rsid w:val="66B72E66"/>
    <w:rsid w:val="66BBC51D"/>
    <w:rsid w:val="66C00F83"/>
    <w:rsid w:val="66C2E960"/>
    <w:rsid w:val="66C4A02D"/>
    <w:rsid w:val="66C57B26"/>
    <w:rsid w:val="66CA4357"/>
    <w:rsid w:val="66CD2A88"/>
    <w:rsid w:val="66CF7236"/>
    <w:rsid w:val="66D16BC2"/>
    <w:rsid w:val="66D29DF9"/>
    <w:rsid w:val="66D324DD"/>
    <w:rsid w:val="66D947BF"/>
    <w:rsid w:val="66DAA168"/>
    <w:rsid w:val="66EDCB07"/>
    <w:rsid w:val="66EF69B8"/>
    <w:rsid w:val="66F5166B"/>
    <w:rsid w:val="66F8832D"/>
    <w:rsid w:val="66FDC81F"/>
    <w:rsid w:val="67065DAE"/>
    <w:rsid w:val="670E3AC1"/>
    <w:rsid w:val="670E9CE3"/>
    <w:rsid w:val="6710FD87"/>
    <w:rsid w:val="671D5036"/>
    <w:rsid w:val="67240DE3"/>
    <w:rsid w:val="67259CAD"/>
    <w:rsid w:val="672A6636"/>
    <w:rsid w:val="672A9583"/>
    <w:rsid w:val="672D5B6E"/>
    <w:rsid w:val="672FE360"/>
    <w:rsid w:val="6732E792"/>
    <w:rsid w:val="67364993"/>
    <w:rsid w:val="673A0CC9"/>
    <w:rsid w:val="673B4ACC"/>
    <w:rsid w:val="673BF142"/>
    <w:rsid w:val="6746E460"/>
    <w:rsid w:val="674A0854"/>
    <w:rsid w:val="675447A5"/>
    <w:rsid w:val="675C4370"/>
    <w:rsid w:val="675D52D3"/>
    <w:rsid w:val="675E3A99"/>
    <w:rsid w:val="676225C2"/>
    <w:rsid w:val="67652E46"/>
    <w:rsid w:val="67683800"/>
    <w:rsid w:val="676F0CAC"/>
    <w:rsid w:val="6770DB76"/>
    <w:rsid w:val="677196E9"/>
    <w:rsid w:val="67730859"/>
    <w:rsid w:val="6778D60E"/>
    <w:rsid w:val="6781508A"/>
    <w:rsid w:val="67830CBA"/>
    <w:rsid w:val="67863362"/>
    <w:rsid w:val="679119AA"/>
    <w:rsid w:val="6795B27A"/>
    <w:rsid w:val="67981D0B"/>
    <w:rsid w:val="679BBC7D"/>
    <w:rsid w:val="679CDB51"/>
    <w:rsid w:val="679E3599"/>
    <w:rsid w:val="67AD9058"/>
    <w:rsid w:val="67B3BC46"/>
    <w:rsid w:val="67B6F87E"/>
    <w:rsid w:val="67B80A61"/>
    <w:rsid w:val="67C1DCD2"/>
    <w:rsid w:val="67C379ED"/>
    <w:rsid w:val="67C59C56"/>
    <w:rsid w:val="67C62D51"/>
    <w:rsid w:val="67C81A2B"/>
    <w:rsid w:val="67CBBD3B"/>
    <w:rsid w:val="67CC5973"/>
    <w:rsid w:val="67CD2BD6"/>
    <w:rsid w:val="67D26382"/>
    <w:rsid w:val="67D6D7B7"/>
    <w:rsid w:val="67D78A0F"/>
    <w:rsid w:val="67D7BF0C"/>
    <w:rsid w:val="67D9DDF6"/>
    <w:rsid w:val="67DA09E1"/>
    <w:rsid w:val="67DDDB02"/>
    <w:rsid w:val="67E4ECD8"/>
    <w:rsid w:val="67E6695E"/>
    <w:rsid w:val="67E7326E"/>
    <w:rsid w:val="67F29A15"/>
    <w:rsid w:val="67F2A03E"/>
    <w:rsid w:val="67F722EB"/>
    <w:rsid w:val="67F99E3B"/>
    <w:rsid w:val="67FEBC4F"/>
    <w:rsid w:val="6803396F"/>
    <w:rsid w:val="6805B673"/>
    <w:rsid w:val="6809618A"/>
    <w:rsid w:val="680B7023"/>
    <w:rsid w:val="681889E0"/>
    <w:rsid w:val="6818C10E"/>
    <w:rsid w:val="681988A6"/>
    <w:rsid w:val="6819C606"/>
    <w:rsid w:val="681D6C8E"/>
    <w:rsid w:val="68242773"/>
    <w:rsid w:val="6827A4E7"/>
    <w:rsid w:val="68303EC0"/>
    <w:rsid w:val="68340DD9"/>
    <w:rsid w:val="6837EFE5"/>
    <w:rsid w:val="683C98BF"/>
    <w:rsid w:val="683EC7FA"/>
    <w:rsid w:val="68479571"/>
    <w:rsid w:val="684C04EA"/>
    <w:rsid w:val="68532204"/>
    <w:rsid w:val="68545493"/>
    <w:rsid w:val="685CBA48"/>
    <w:rsid w:val="685CC505"/>
    <w:rsid w:val="685EF0C2"/>
    <w:rsid w:val="6864A962"/>
    <w:rsid w:val="68671D28"/>
    <w:rsid w:val="68689CD0"/>
    <w:rsid w:val="686DFC38"/>
    <w:rsid w:val="686FC17C"/>
    <w:rsid w:val="6874C9AD"/>
    <w:rsid w:val="687C4C91"/>
    <w:rsid w:val="687CD9E7"/>
    <w:rsid w:val="687F212C"/>
    <w:rsid w:val="688177D9"/>
    <w:rsid w:val="68824433"/>
    <w:rsid w:val="6886376A"/>
    <w:rsid w:val="68872053"/>
    <w:rsid w:val="6887F5C4"/>
    <w:rsid w:val="688C3915"/>
    <w:rsid w:val="6892B379"/>
    <w:rsid w:val="68961E6C"/>
    <w:rsid w:val="689B225D"/>
    <w:rsid w:val="68A1E6C1"/>
    <w:rsid w:val="68A53015"/>
    <w:rsid w:val="68AA1106"/>
    <w:rsid w:val="68AA3B27"/>
    <w:rsid w:val="68AEB939"/>
    <w:rsid w:val="68AF2CD6"/>
    <w:rsid w:val="68B12D91"/>
    <w:rsid w:val="68B26F4B"/>
    <w:rsid w:val="68B48BCD"/>
    <w:rsid w:val="68B8D7F7"/>
    <w:rsid w:val="68B97481"/>
    <w:rsid w:val="68BADDA1"/>
    <w:rsid w:val="68BC9716"/>
    <w:rsid w:val="68C5558D"/>
    <w:rsid w:val="68D08CE1"/>
    <w:rsid w:val="68D115B4"/>
    <w:rsid w:val="68DE9512"/>
    <w:rsid w:val="68E7C6BE"/>
    <w:rsid w:val="68ED5943"/>
    <w:rsid w:val="68F31DC0"/>
    <w:rsid w:val="68F45114"/>
    <w:rsid w:val="68F734A8"/>
    <w:rsid w:val="68FE4B5C"/>
    <w:rsid w:val="69009AC6"/>
    <w:rsid w:val="690A4B90"/>
    <w:rsid w:val="6917B86A"/>
    <w:rsid w:val="6918DA67"/>
    <w:rsid w:val="691A1FD8"/>
    <w:rsid w:val="691C494C"/>
    <w:rsid w:val="691D2A2D"/>
    <w:rsid w:val="691D5FF6"/>
    <w:rsid w:val="691E479B"/>
    <w:rsid w:val="691E616A"/>
    <w:rsid w:val="69215220"/>
    <w:rsid w:val="69249B7A"/>
    <w:rsid w:val="6925EE0D"/>
    <w:rsid w:val="6928F364"/>
    <w:rsid w:val="692B224F"/>
    <w:rsid w:val="692BF9DB"/>
    <w:rsid w:val="6930B17D"/>
    <w:rsid w:val="6934459D"/>
    <w:rsid w:val="6935144D"/>
    <w:rsid w:val="693B8563"/>
    <w:rsid w:val="693C97D5"/>
    <w:rsid w:val="693ED2A2"/>
    <w:rsid w:val="694491E0"/>
    <w:rsid w:val="6945E2CE"/>
    <w:rsid w:val="69471DD9"/>
    <w:rsid w:val="69498A1C"/>
    <w:rsid w:val="694C0CEC"/>
    <w:rsid w:val="694D2A73"/>
    <w:rsid w:val="694EC907"/>
    <w:rsid w:val="6960A1DF"/>
    <w:rsid w:val="696326F8"/>
    <w:rsid w:val="6964E3ED"/>
    <w:rsid w:val="6965B2B2"/>
    <w:rsid w:val="6965FEEA"/>
    <w:rsid w:val="696C7F6F"/>
    <w:rsid w:val="696D0515"/>
    <w:rsid w:val="696D0F1D"/>
    <w:rsid w:val="696E0E70"/>
    <w:rsid w:val="696EBC0C"/>
    <w:rsid w:val="6970F746"/>
    <w:rsid w:val="6972F047"/>
    <w:rsid w:val="6973AD68"/>
    <w:rsid w:val="6974F9B5"/>
    <w:rsid w:val="6975F679"/>
    <w:rsid w:val="6979F0F8"/>
    <w:rsid w:val="697A837E"/>
    <w:rsid w:val="697D7FE9"/>
    <w:rsid w:val="697E7ADE"/>
    <w:rsid w:val="698044B3"/>
    <w:rsid w:val="6981FC58"/>
    <w:rsid w:val="69863A14"/>
    <w:rsid w:val="69890DFB"/>
    <w:rsid w:val="698ECFB0"/>
    <w:rsid w:val="698F449C"/>
    <w:rsid w:val="69920664"/>
    <w:rsid w:val="69974C12"/>
    <w:rsid w:val="6998B6D7"/>
    <w:rsid w:val="699AF616"/>
    <w:rsid w:val="699B578D"/>
    <w:rsid w:val="699B6066"/>
    <w:rsid w:val="69A19105"/>
    <w:rsid w:val="69A631DB"/>
    <w:rsid w:val="69A99457"/>
    <w:rsid w:val="69AB38CA"/>
    <w:rsid w:val="69AD1396"/>
    <w:rsid w:val="69B28F14"/>
    <w:rsid w:val="69BB280E"/>
    <w:rsid w:val="69C09E4F"/>
    <w:rsid w:val="69C298FB"/>
    <w:rsid w:val="69C33B00"/>
    <w:rsid w:val="69C88916"/>
    <w:rsid w:val="69C92BD8"/>
    <w:rsid w:val="69CEAAAC"/>
    <w:rsid w:val="69CEB796"/>
    <w:rsid w:val="69CEEA92"/>
    <w:rsid w:val="69D4AE68"/>
    <w:rsid w:val="69DED06F"/>
    <w:rsid w:val="69DF9A37"/>
    <w:rsid w:val="69EA1E9C"/>
    <w:rsid w:val="69ED4B10"/>
    <w:rsid w:val="69F58CC7"/>
    <w:rsid w:val="69F9F473"/>
    <w:rsid w:val="69FB429D"/>
    <w:rsid w:val="6A03BF1D"/>
    <w:rsid w:val="6A04D5BA"/>
    <w:rsid w:val="6A050402"/>
    <w:rsid w:val="6A099954"/>
    <w:rsid w:val="6A0A7AA7"/>
    <w:rsid w:val="6A112139"/>
    <w:rsid w:val="6A1E899E"/>
    <w:rsid w:val="6A20C851"/>
    <w:rsid w:val="6A218441"/>
    <w:rsid w:val="6A21C69F"/>
    <w:rsid w:val="6A2648DE"/>
    <w:rsid w:val="6A289235"/>
    <w:rsid w:val="6A2E2308"/>
    <w:rsid w:val="6A310802"/>
    <w:rsid w:val="6A3B589B"/>
    <w:rsid w:val="6A3EBD63"/>
    <w:rsid w:val="6A3F75AE"/>
    <w:rsid w:val="6A3FD093"/>
    <w:rsid w:val="6A458704"/>
    <w:rsid w:val="6A471855"/>
    <w:rsid w:val="6A4C808B"/>
    <w:rsid w:val="6A54AE05"/>
    <w:rsid w:val="6A5A45DE"/>
    <w:rsid w:val="6A5FFC2E"/>
    <w:rsid w:val="6A640A17"/>
    <w:rsid w:val="6A72E94F"/>
    <w:rsid w:val="6A7578D0"/>
    <w:rsid w:val="6A75BE69"/>
    <w:rsid w:val="6A797285"/>
    <w:rsid w:val="6A7D8888"/>
    <w:rsid w:val="6A80133F"/>
    <w:rsid w:val="6A8313EC"/>
    <w:rsid w:val="6A8375A4"/>
    <w:rsid w:val="6A8699C4"/>
    <w:rsid w:val="6A871229"/>
    <w:rsid w:val="6A875658"/>
    <w:rsid w:val="6A8C160E"/>
    <w:rsid w:val="6A957A7D"/>
    <w:rsid w:val="6A963A25"/>
    <w:rsid w:val="6A9B2F71"/>
    <w:rsid w:val="6A9CBEA0"/>
    <w:rsid w:val="6A9FDED8"/>
    <w:rsid w:val="6AA37919"/>
    <w:rsid w:val="6AAA6825"/>
    <w:rsid w:val="6AB3D195"/>
    <w:rsid w:val="6AB65531"/>
    <w:rsid w:val="6AB6EF75"/>
    <w:rsid w:val="6AC2427E"/>
    <w:rsid w:val="6AD33F9D"/>
    <w:rsid w:val="6AD418A2"/>
    <w:rsid w:val="6AD84840"/>
    <w:rsid w:val="6AD84CFA"/>
    <w:rsid w:val="6ADAEFC2"/>
    <w:rsid w:val="6ADBED5E"/>
    <w:rsid w:val="6AE0EA63"/>
    <w:rsid w:val="6AE4C06B"/>
    <w:rsid w:val="6AE546F2"/>
    <w:rsid w:val="6AE588C9"/>
    <w:rsid w:val="6AE7A816"/>
    <w:rsid w:val="6AEC7E59"/>
    <w:rsid w:val="6AF54379"/>
    <w:rsid w:val="6AF8C64B"/>
    <w:rsid w:val="6AFF3EDC"/>
    <w:rsid w:val="6B0167A9"/>
    <w:rsid w:val="6B01ED38"/>
    <w:rsid w:val="6B03CAAD"/>
    <w:rsid w:val="6B0402E8"/>
    <w:rsid w:val="6B044608"/>
    <w:rsid w:val="6B04BF83"/>
    <w:rsid w:val="6B05C58E"/>
    <w:rsid w:val="6B06BC22"/>
    <w:rsid w:val="6B15EE7A"/>
    <w:rsid w:val="6B1613CC"/>
    <w:rsid w:val="6B1FD0F0"/>
    <w:rsid w:val="6B1FE88F"/>
    <w:rsid w:val="6B25D5A9"/>
    <w:rsid w:val="6B2A9DA0"/>
    <w:rsid w:val="6B2FEC5C"/>
    <w:rsid w:val="6B32B8F7"/>
    <w:rsid w:val="6B33C5DC"/>
    <w:rsid w:val="6B387789"/>
    <w:rsid w:val="6B3DA52B"/>
    <w:rsid w:val="6B3F0F90"/>
    <w:rsid w:val="6B436C47"/>
    <w:rsid w:val="6B45E99A"/>
    <w:rsid w:val="6B47469E"/>
    <w:rsid w:val="6B484B40"/>
    <w:rsid w:val="6B4950FA"/>
    <w:rsid w:val="6B4DBB81"/>
    <w:rsid w:val="6B4F1422"/>
    <w:rsid w:val="6B553952"/>
    <w:rsid w:val="6B56B16F"/>
    <w:rsid w:val="6B5E9F5F"/>
    <w:rsid w:val="6B60FCE4"/>
    <w:rsid w:val="6B610007"/>
    <w:rsid w:val="6B62A565"/>
    <w:rsid w:val="6B639FD4"/>
    <w:rsid w:val="6B651347"/>
    <w:rsid w:val="6B70ACF5"/>
    <w:rsid w:val="6B716B44"/>
    <w:rsid w:val="6B73C92E"/>
    <w:rsid w:val="6B7C01B4"/>
    <w:rsid w:val="6B7FD968"/>
    <w:rsid w:val="6B8E4217"/>
    <w:rsid w:val="6B913102"/>
    <w:rsid w:val="6B94C2B3"/>
    <w:rsid w:val="6B950BFE"/>
    <w:rsid w:val="6B959A4C"/>
    <w:rsid w:val="6B959E78"/>
    <w:rsid w:val="6B964930"/>
    <w:rsid w:val="6B965C5A"/>
    <w:rsid w:val="6B9778A0"/>
    <w:rsid w:val="6BA53B07"/>
    <w:rsid w:val="6BA7B0A6"/>
    <w:rsid w:val="6BA8894A"/>
    <w:rsid w:val="6BAA0B47"/>
    <w:rsid w:val="6BAC9447"/>
    <w:rsid w:val="6BAD256C"/>
    <w:rsid w:val="6BAE3D44"/>
    <w:rsid w:val="6BAE48B9"/>
    <w:rsid w:val="6BAF3537"/>
    <w:rsid w:val="6BB0A186"/>
    <w:rsid w:val="6BB28D76"/>
    <w:rsid w:val="6BB302BA"/>
    <w:rsid w:val="6BB546E5"/>
    <w:rsid w:val="6BB61C97"/>
    <w:rsid w:val="6BBDC609"/>
    <w:rsid w:val="6BBED328"/>
    <w:rsid w:val="6BC25DB1"/>
    <w:rsid w:val="6BC3832E"/>
    <w:rsid w:val="6BC5E5EA"/>
    <w:rsid w:val="6BC84031"/>
    <w:rsid w:val="6BCDABBA"/>
    <w:rsid w:val="6BCDD351"/>
    <w:rsid w:val="6BCE032D"/>
    <w:rsid w:val="6BCEE2ED"/>
    <w:rsid w:val="6BD929DE"/>
    <w:rsid w:val="6BE0A9F5"/>
    <w:rsid w:val="6BE7B35F"/>
    <w:rsid w:val="6BE8063B"/>
    <w:rsid w:val="6BED68AE"/>
    <w:rsid w:val="6BF3EA1A"/>
    <w:rsid w:val="6BF67596"/>
    <w:rsid w:val="6BF690CA"/>
    <w:rsid w:val="6BF7EC66"/>
    <w:rsid w:val="6BFED01D"/>
    <w:rsid w:val="6C064BA6"/>
    <w:rsid w:val="6C07D903"/>
    <w:rsid w:val="6C135CE6"/>
    <w:rsid w:val="6C14ED74"/>
    <w:rsid w:val="6C15150D"/>
    <w:rsid w:val="6C175969"/>
    <w:rsid w:val="6C176CF8"/>
    <w:rsid w:val="6C1CF047"/>
    <w:rsid w:val="6C1D258B"/>
    <w:rsid w:val="6C218C1E"/>
    <w:rsid w:val="6C219A14"/>
    <w:rsid w:val="6C22ADBC"/>
    <w:rsid w:val="6C23F7A5"/>
    <w:rsid w:val="6C256DE2"/>
    <w:rsid w:val="6C2A924C"/>
    <w:rsid w:val="6C2E3EA9"/>
    <w:rsid w:val="6C2F24AE"/>
    <w:rsid w:val="6C3E894A"/>
    <w:rsid w:val="6C430606"/>
    <w:rsid w:val="6C44C8D9"/>
    <w:rsid w:val="6C461C50"/>
    <w:rsid w:val="6C484D77"/>
    <w:rsid w:val="6C4AEEBC"/>
    <w:rsid w:val="6C4F3D55"/>
    <w:rsid w:val="6C561646"/>
    <w:rsid w:val="6C591885"/>
    <w:rsid w:val="6C5BF6C6"/>
    <w:rsid w:val="6C6057B2"/>
    <w:rsid w:val="6C62E224"/>
    <w:rsid w:val="6C64B925"/>
    <w:rsid w:val="6C6685E5"/>
    <w:rsid w:val="6C6736FE"/>
    <w:rsid w:val="6C69BE4C"/>
    <w:rsid w:val="6C69C066"/>
    <w:rsid w:val="6C74B2EC"/>
    <w:rsid w:val="6C7D96F5"/>
    <w:rsid w:val="6C87B356"/>
    <w:rsid w:val="6C87C815"/>
    <w:rsid w:val="6C889784"/>
    <w:rsid w:val="6C8B5016"/>
    <w:rsid w:val="6C90D81B"/>
    <w:rsid w:val="6C91B345"/>
    <w:rsid w:val="6C9314F6"/>
    <w:rsid w:val="6C950ACE"/>
    <w:rsid w:val="6C9658FA"/>
    <w:rsid w:val="6C9A52FA"/>
    <w:rsid w:val="6C9C35FE"/>
    <w:rsid w:val="6C9EAF34"/>
    <w:rsid w:val="6C9F6450"/>
    <w:rsid w:val="6CA18805"/>
    <w:rsid w:val="6CA79E16"/>
    <w:rsid w:val="6CA79FFE"/>
    <w:rsid w:val="6CA7DF8E"/>
    <w:rsid w:val="6CAC7234"/>
    <w:rsid w:val="6CB45C1E"/>
    <w:rsid w:val="6CBA4F8A"/>
    <w:rsid w:val="6CBCBA41"/>
    <w:rsid w:val="6CBE3418"/>
    <w:rsid w:val="6CC04D58"/>
    <w:rsid w:val="6CC347F7"/>
    <w:rsid w:val="6CC696F7"/>
    <w:rsid w:val="6CCB7912"/>
    <w:rsid w:val="6CCD295F"/>
    <w:rsid w:val="6CD139B0"/>
    <w:rsid w:val="6CD29E96"/>
    <w:rsid w:val="6CD916A7"/>
    <w:rsid w:val="6CDA6719"/>
    <w:rsid w:val="6CDAB961"/>
    <w:rsid w:val="6CDE66FD"/>
    <w:rsid w:val="6CDEA998"/>
    <w:rsid w:val="6CE5E48E"/>
    <w:rsid w:val="6CE8238B"/>
    <w:rsid w:val="6CF797CB"/>
    <w:rsid w:val="6D0478FE"/>
    <w:rsid w:val="6D055D77"/>
    <w:rsid w:val="6D07686B"/>
    <w:rsid w:val="6D09AE49"/>
    <w:rsid w:val="6D0F7598"/>
    <w:rsid w:val="6D156ECD"/>
    <w:rsid w:val="6D184C29"/>
    <w:rsid w:val="6D1E8891"/>
    <w:rsid w:val="6D1FC5BE"/>
    <w:rsid w:val="6D1FF374"/>
    <w:rsid w:val="6D2173CC"/>
    <w:rsid w:val="6D239E45"/>
    <w:rsid w:val="6D242908"/>
    <w:rsid w:val="6D2483B5"/>
    <w:rsid w:val="6D2A36E2"/>
    <w:rsid w:val="6D2F7703"/>
    <w:rsid w:val="6D32737F"/>
    <w:rsid w:val="6D370679"/>
    <w:rsid w:val="6D37A6EC"/>
    <w:rsid w:val="6D3891E2"/>
    <w:rsid w:val="6D3B4922"/>
    <w:rsid w:val="6D3BE619"/>
    <w:rsid w:val="6D3E2A5D"/>
    <w:rsid w:val="6D3F0560"/>
    <w:rsid w:val="6D3FD711"/>
    <w:rsid w:val="6D486EAA"/>
    <w:rsid w:val="6D4A4E7F"/>
    <w:rsid w:val="6D4ED1EA"/>
    <w:rsid w:val="6D50A883"/>
    <w:rsid w:val="6D519D07"/>
    <w:rsid w:val="6D5599BA"/>
    <w:rsid w:val="6D5639BA"/>
    <w:rsid w:val="6D56DE15"/>
    <w:rsid w:val="6D58AE35"/>
    <w:rsid w:val="6D59D34F"/>
    <w:rsid w:val="6D5AE1AD"/>
    <w:rsid w:val="6D5EA0E7"/>
    <w:rsid w:val="6D68AF1D"/>
    <w:rsid w:val="6D68D68F"/>
    <w:rsid w:val="6D69D000"/>
    <w:rsid w:val="6D6BE7EA"/>
    <w:rsid w:val="6D79BE51"/>
    <w:rsid w:val="6D7AF8F4"/>
    <w:rsid w:val="6D7E9251"/>
    <w:rsid w:val="6D8C7CC4"/>
    <w:rsid w:val="6D8E489F"/>
    <w:rsid w:val="6D9698B1"/>
    <w:rsid w:val="6D98CB44"/>
    <w:rsid w:val="6D9C11C6"/>
    <w:rsid w:val="6DA1FE17"/>
    <w:rsid w:val="6DA2D6DB"/>
    <w:rsid w:val="6DA5372F"/>
    <w:rsid w:val="6DA7EFB7"/>
    <w:rsid w:val="6DAC304E"/>
    <w:rsid w:val="6DB890DF"/>
    <w:rsid w:val="6DB97D9C"/>
    <w:rsid w:val="6DBB5206"/>
    <w:rsid w:val="6DBDF2C2"/>
    <w:rsid w:val="6DC0C1A7"/>
    <w:rsid w:val="6DC482EA"/>
    <w:rsid w:val="6DC72D11"/>
    <w:rsid w:val="6DC74E88"/>
    <w:rsid w:val="6DC9C2C2"/>
    <w:rsid w:val="6DCFE1CE"/>
    <w:rsid w:val="6DD87DDB"/>
    <w:rsid w:val="6DDA3314"/>
    <w:rsid w:val="6DDB7076"/>
    <w:rsid w:val="6DE672E0"/>
    <w:rsid w:val="6DE99366"/>
    <w:rsid w:val="6DE9D3AB"/>
    <w:rsid w:val="6DEAD893"/>
    <w:rsid w:val="6DEDC6FC"/>
    <w:rsid w:val="6DEEFBAD"/>
    <w:rsid w:val="6DEFC297"/>
    <w:rsid w:val="6DF641AF"/>
    <w:rsid w:val="6DF7E79A"/>
    <w:rsid w:val="6DF86A07"/>
    <w:rsid w:val="6DF99A5E"/>
    <w:rsid w:val="6DFF9CBF"/>
    <w:rsid w:val="6E01A7FA"/>
    <w:rsid w:val="6E01B284"/>
    <w:rsid w:val="6E031DDE"/>
    <w:rsid w:val="6E034141"/>
    <w:rsid w:val="6E0A11DA"/>
    <w:rsid w:val="6E0D3A93"/>
    <w:rsid w:val="6E12BBC4"/>
    <w:rsid w:val="6E13AAC8"/>
    <w:rsid w:val="6E14E575"/>
    <w:rsid w:val="6E1593BE"/>
    <w:rsid w:val="6E1ADE86"/>
    <w:rsid w:val="6E1CE036"/>
    <w:rsid w:val="6E2383A3"/>
    <w:rsid w:val="6E2485DD"/>
    <w:rsid w:val="6E264F35"/>
    <w:rsid w:val="6E2879FB"/>
    <w:rsid w:val="6E333F47"/>
    <w:rsid w:val="6E38C74A"/>
    <w:rsid w:val="6E3D5CEC"/>
    <w:rsid w:val="6E3DCFF7"/>
    <w:rsid w:val="6E3E2FF9"/>
    <w:rsid w:val="6E429A63"/>
    <w:rsid w:val="6E4357B8"/>
    <w:rsid w:val="6E4416B3"/>
    <w:rsid w:val="6E4568D0"/>
    <w:rsid w:val="6E4818B6"/>
    <w:rsid w:val="6E49E148"/>
    <w:rsid w:val="6E4A4489"/>
    <w:rsid w:val="6E4E18C4"/>
    <w:rsid w:val="6E505D65"/>
    <w:rsid w:val="6E50B0D8"/>
    <w:rsid w:val="6E55669A"/>
    <w:rsid w:val="6E571EAA"/>
    <w:rsid w:val="6E5794D7"/>
    <w:rsid w:val="6E593576"/>
    <w:rsid w:val="6E5BAB50"/>
    <w:rsid w:val="6E5D1F16"/>
    <w:rsid w:val="6E5D3F08"/>
    <w:rsid w:val="6E5F6DC7"/>
    <w:rsid w:val="6E5FD497"/>
    <w:rsid w:val="6E61BA2D"/>
    <w:rsid w:val="6E635561"/>
    <w:rsid w:val="6E67A557"/>
    <w:rsid w:val="6E6B1594"/>
    <w:rsid w:val="6E6DCC28"/>
    <w:rsid w:val="6E6EDFCE"/>
    <w:rsid w:val="6E7213D5"/>
    <w:rsid w:val="6E736038"/>
    <w:rsid w:val="6E823261"/>
    <w:rsid w:val="6E8B9B4B"/>
    <w:rsid w:val="6E8E67BA"/>
    <w:rsid w:val="6E9DFC17"/>
    <w:rsid w:val="6EA46325"/>
    <w:rsid w:val="6EA82EE9"/>
    <w:rsid w:val="6EA8DCF3"/>
    <w:rsid w:val="6EA9412D"/>
    <w:rsid w:val="6EAE72B9"/>
    <w:rsid w:val="6EB441FA"/>
    <w:rsid w:val="6EB5F401"/>
    <w:rsid w:val="6EB6AC47"/>
    <w:rsid w:val="6EBDB278"/>
    <w:rsid w:val="6EBE40B7"/>
    <w:rsid w:val="6EC93B3B"/>
    <w:rsid w:val="6ECEFF3F"/>
    <w:rsid w:val="6ECF2353"/>
    <w:rsid w:val="6ED18983"/>
    <w:rsid w:val="6ED597C1"/>
    <w:rsid w:val="6ED69577"/>
    <w:rsid w:val="6ED9DE45"/>
    <w:rsid w:val="6EDAC402"/>
    <w:rsid w:val="6EDB7939"/>
    <w:rsid w:val="6EDCC407"/>
    <w:rsid w:val="6EDE192F"/>
    <w:rsid w:val="6EE15E66"/>
    <w:rsid w:val="6EE530D0"/>
    <w:rsid w:val="6EE83923"/>
    <w:rsid w:val="6EE9951F"/>
    <w:rsid w:val="6EF302A6"/>
    <w:rsid w:val="6EF66DEC"/>
    <w:rsid w:val="6EF7B458"/>
    <w:rsid w:val="6EF91160"/>
    <w:rsid w:val="6EF947B0"/>
    <w:rsid w:val="6EFF8C6D"/>
    <w:rsid w:val="6F02336B"/>
    <w:rsid w:val="6F07103E"/>
    <w:rsid w:val="6F1622C2"/>
    <w:rsid w:val="6F1C6FAF"/>
    <w:rsid w:val="6F200FE0"/>
    <w:rsid w:val="6F209C2C"/>
    <w:rsid w:val="6F20BA13"/>
    <w:rsid w:val="6F2227C1"/>
    <w:rsid w:val="6F26E86E"/>
    <w:rsid w:val="6F286026"/>
    <w:rsid w:val="6F29EC63"/>
    <w:rsid w:val="6F2B7D8B"/>
    <w:rsid w:val="6F2F46C4"/>
    <w:rsid w:val="6F310B26"/>
    <w:rsid w:val="6F351F86"/>
    <w:rsid w:val="6F37A3E1"/>
    <w:rsid w:val="6F37CEBA"/>
    <w:rsid w:val="6F3E6634"/>
    <w:rsid w:val="6F3E7704"/>
    <w:rsid w:val="6F3EA49C"/>
    <w:rsid w:val="6F3EA6A2"/>
    <w:rsid w:val="6F47AE53"/>
    <w:rsid w:val="6F47FECE"/>
    <w:rsid w:val="6F485F82"/>
    <w:rsid w:val="6F4EF6AA"/>
    <w:rsid w:val="6F4F2604"/>
    <w:rsid w:val="6F4F7905"/>
    <w:rsid w:val="6F527574"/>
    <w:rsid w:val="6F55BA52"/>
    <w:rsid w:val="6F5A98A9"/>
    <w:rsid w:val="6F5F090B"/>
    <w:rsid w:val="6F5F1F4D"/>
    <w:rsid w:val="6F600DE8"/>
    <w:rsid w:val="6F631C81"/>
    <w:rsid w:val="6F665F77"/>
    <w:rsid w:val="6F675677"/>
    <w:rsid w:val="6F675BC9"/>
    <w:rsid w:val="6F6B7BF2"/>
    <w:rsid w:val="6F6DFF8D"/>
    <w:rsid w:val="6F7127E7"/>
    <w:rsid w:val="6F74CAFE"/>
    <w:rsid w:val="6F7662FB"/>
    <w:rsid w:val="6F781470"/>
    <w:rsid w:val="6F7EC1DC"/>
    <w:rsid w:val="6F7F4495"/>
    <w:rsid w:val="6F830CA6"/>
    <w:rsid w:val="6F84354E"/>
    <w:rsid w:val="6F84B4C7"/>
    <w:rsid w:val="6F86FDFB"/>
    <w:rsid w:val="6F893C60"/>
    <w:rsid w:val="6F8B6224"/>
    <w:rsid w:val="6F8BF31E"/>
    <w:rsid w:val="6F8C6191"/>
    <w:rsid w:val="6F8D88D1"/>
    <w:rsid w:val="6F90860C"/>
    <w:rsid w:val="6F96B87C"/>
    <w:rsid w:val="6F98DC69"/>
    <w:rsid w:val="6F99E7D4"/>
    <w:rsid w:val="6FA4F705"/>
    <w:rsid w:val="6FA7A5EA"/>
    <w:rsid w:val="6FB3F82C"/>
    <w:rsid w:val="6FB4C5E1"/>
    <w:rsid w:val="6FBF1B41"/>
    <w:rsid w:val="6FC0504D"/>
    <w:rsid w:val="6FC17D19"/>
    <w:rsid w:val="6FC30119"/>
    <w:rsid w:val="6FC40DD5"/>
    <w:rsid w:val="6FC50B0D"/>
    <w:rsid w:val="6FCBF7F6"/>
    <w:rsid w:val="6FCE8CF4"/>
    <w:rsid w:val="6FD93641"/>
    <w:rsid w:val="6FDB9DA9"/>
    <w:rsid w:val="6FDD0218"/>
    <w:rsid w:val="6FDD33AE"/>
    <w:rsid w:val="6FDD658B"/>
    <w:rsid w:val="6FE2992B"/>
    <w:rsid w:val="6FE488B2"/>
    <w:rsid w:val="6FE4E27C"/>
    <w:rsid w:val="6FE520D1"/>
    <w:rsid w:val="6FEBD72E"/>
    <w:rsid w:val="6FECD97E"/>
    <w:rsid w:val="6FEEC2B7"/>
    <w:rsid w:val="6FEF7077"/>
    <w:rsid w:val="6FF25FDB"/>
    <w:rsid w:val="6FF5A20D"/>
    <w:rsid w:val="6FF6F83B"/>
    <w:rsid w:val="6FFF3DD8"/>
    <w:rsid w:val="70025AA1"/>
    <w:rsid w:val="70031B95"/>
    <w:rsid w:val="70065C61"/>
    <w:rsid w:val="70067949"/>
    <w:rsid w:val="700A9020"/>
    <w:rsid w:val="700D1985"/>
    <w:rsid w:val="7010E991"/>
    <w:rsid w:val="70138398"/>
    <w:rsid w:val="7017F5DE"/>
    <w:rsid w:val="701800B5"/>
    <w:rsid w:val="701C8145"/>
    <w:rsid w:val="701DDCA9"/>
    <w:rsid w:val="701F33DD"/>
    <w:rsid w:val="70262DE4"/>
    <w:rsid w:val="702760B2"/>
    <w:rsid w:val="702B0634"/>
    <w:rsid w:val="702C314B"/>
    <w:rsid w:val="702E0222"/>
    <w:rsid w:val="70391BB5"/>
    <w:rsid w:val="703E598F"/>
    <w:rsid w:val="7040AD22"/>
    <w:rsid w:val="7040F484"/>
    <w:rsid w:val="7047E039"/>
    <w:rsid w:val="7049B7F6"/>
    <w:rsid w:val="704DF955"/>
    <w:rsid w:val="70535FC2"/>
    <w:rsid w:val="705392D9"/>
    <w:rsid w:val="7053ADF7"/>
    <w:rsid w:val="7055D79E"/>
    <w:rsid w:val="7056A021"/>
    <w:rsid w:val="70590813"/>
    <w:rsid w:val="705C5FFF"/>
    <w:rsid w:val="705DF062"/>
    <w:rsid w:val="7066C178"/>
    <w:rsid w:val="70690AE8"/>
    <w:rsid w:val="706B1D79"/>
    <w:rsid w:val="706B6BEA"/>
    <w:rsid w:val="706CF998"/>
    <w:rsid w:val="706D7B4E"/>
    <w:rsid w:val="706EFBFC"/>
    <w:rsid w:val="70710707"/>
    <w:rsid w:val="7072223A"/>
    <w:rsid w:val="707B06BD"/>
    <w:rsid w:val="707B5A5B"/>
    <w:rsid w:val="707FEF96"/>
    <w:rsid w:val="7082C68A"/>
    <w:rsid w:val="70839723"/>
    <w:rsid w:val="70841469"/>
    <w:rsid w:val="7085B3EC"/>
    <w:rsid w:val="70886232"/>
    <w:rsid w:val="70985B83"/>
    <w:rsid w:val="709C0B39"/>
    <w:rsid w:val="709CB439"/>
    <w:rsid w:val="70A0FA1D"/>
    <w:rsid w:val="70A7F037"/>
    <w:rsid w:val="70AAD765"/>
    <w:rsid w:val="70B2AD67"/>
    <w:rsid w:val="70B64616"/>
    <w:rsid w:val="70C4AB36"/>
    <w:rsid w:val="70C4DD74"/>
    <w:rsid w:val="70C8E2B2"/>
    <w:rsid w:val="70CBD655"/>
    <w:rsid w:val="70CE551F"/>
    <w:rsid w:val="70D0D424"/>
    <w:rsid w:val="70D29D91"/>
    <w:rsid w:val="70D47325"/>
    <w:rsid w:val="70DA1F65"/>
    <w:rsid w:val="70DD4B95"/>
    <w:rsid w:val="70DFA0E7"/>
    <w:rsid w:val="70E2BF6F"/>
    <w:rsid w:val="70E803AF"/>
    <w:rsid w:val="70ECD634"/>
    <w:rsid w:val="70ED4C18"/>
    <w:rsid w:val="70EE0446"/>
    <w:rsid w:val="70EE1F2F"/>
    <w:rsid w:val="70F0C17A"/>
    <w:rsid w:val="70F22CB4"/>
    <w:rsid w:val="70F27CC0"/>
    <w:rsid w:val="70F56BEE"/>
    <w:rsid w:val="70F640FF"/>
    <w:rsid w:val="70F69C9A"/>
    <w:rsid w:val="70FB5621"/>
    <w:rsid w:val="70FCCB76"/>
    <w:rsid w:val="70FE9175"/>
    <w:rsid w:val="70FF9EA6"/>
    <w:rsid w:val="71029063"/>
    <w:rsid w:val="71068876"/>
    <w:rsid w:val="71070CC2"/>
    <w:rsid w:val="710A738E"/>
    <w:rsid w:val="710E720D"/>
    <w:rsid w:val="710EEC92"/>
    <w:rsid w:val="711171EC"/>
    <w:rsid w:val="711277FF"/>
    <w:rsid w:val="711368BA"/>
    <w:rsid w:val="71144492"/>
    <w:rsid w:val="71145C9C"/>
    <w:rsid w:val="71162F74"/>
    <w:rsid w:val="711733DB"/>
    <w:rsid w:val="7117C78C"/>
    <w:rsid w:val="711921F8"/>
    <w:rsid w:val="711BEA36"/>
    <w:rsid w:val="711CBDE8"/>
    <w:rsid w:val="7123EE2F"/>
    <w:rsid w:val="71243402"/>
    <w:rsid w:val="7125EEE0"/>
    <w:rsid w:val="7126915F"/>
    <w:rsid w:val="712A075D"/>
    <w:rsid w:val="712A19FF"/>
    <w:rsid w:val="712A2D24"/>
    <w:rsid w:val="712FF2D1"/>
    <w:rsid w:val="7135BD92"/>
    <w:rsid w:val="713650FA"/>
    <w:rsid w:val="713B7258"/>
    <w:rsid w:val="713DC3D3"/>
    <w:rsid w:val="71419794"/>
    <w:rsid w:val="71470940"/>
    <w:rsid w:val="71526D56"/>
    <w:rsid w:val="7152D77B"/>
    <w:rsid w:val="71566479"/>
    <w:rsid w:val="7157558E"/>
    <w:rsid w:val="715976D0"/>
    <w:rsid w:val="715CDE0C"/>
    <w:rsid w:val="7160EA07"/>
    <w:rsid w:val="716BBF9E"/>
    <w:rsid w:val="716F17C6"/>
    <w:rsid w:val="716FFDCA"/>
    <w:rsid w:val="7170AB96"/>
    <w:rsid w:val="7171A097"/>
    <w:rsid w:val="7171A965"/>
    <w:rsid w:val="7172721B"/>
    <w:rsid w:val="7178B47F"/>
    <w:rsid w:val="717EE1C0"/>
    <w:rsid w:val="7185E911"/>
    <w:rsid w:val="71888BA8"/>
    <w:rsid w:val="71899A49"/>
    <w:rsid w:val="718FCB31"/>
    <w:rsid w:val="7192306C"/>
    <w:rsid w:val="71A0BEE8"/>
    <w:rsid w:val="71AB298C"/>
    <w:rsid w:val="71AB5D29"/>
    <w:rsid w:val="71AB8C91"/>
    <w:rsid w:val="71AD14BC"/>
    <w:rsid w:val="71AF446E"/>
    <w:rsid w:val="71AFCC34"/>
    <w:rsid w:val="71BAB221"/>
    <w:rsid w:val="71BCD9F2"/>
    <w:rsid w:val="71BFFE62"/>
    <w:rsid w:val="71C1A974"/>
    <w:rsid w:val="71C591C2"/>
    <w:rsid w:val="71CDD1AF"/>
    <w:rsid w:val="71D5A0D4"/>
    <w:rsid w:val="71D5B27E"/>
    <w:rsid w:val="71D65242"/>
    <w:rsid w:val="71D78CEB"/>
    <w:rsid w:val="71DD594C"/>
    <w:rsid w:val="71DE98FD"/>
    <w:rsid w:val="71E82B7B"/>
    <w:rsid w:val="71EADA0B"/>
    <w:rsid w:val="71ECEA3D"/>
    <w:rsid w:val="71EE3362"/>
    <w:rsid w:val="71EF80A0"/>
    <w:rsid w:val="71EFF06B"/>
    <w:rsid w:val="71F0A40A"/>
    <w:rsid w:val="71F2DA0F"/>
    <w:rsid w:val="71F80AFF"/>
    <w:rsid w:val="71FBE651"/>
    <w:rsid w:val="71FD20F1"/>
    <w:rsid w:val="720012F5"/>
    <w:rsid w:val="7206FA96"/>
    <w:rsid w:val="7208333A"/>
    <w:rsid w:val="720B9B7C"/>
    <w:rsid w:val="720C4703"/>
    <w:rsid w:val="720F5103"/>
    <w:rsid w:val="720F80BF"/>
    <w:rsid w:val="720FED14"/>
    <w:rsid w:val="72100967"/>
    <w:rsid w:val="72109098"/>
    <w:rsid w:val="7210BC25"/>
    <w:rsid w:val="7218953E"/>
    <w:rsid w:val="721A7E14"/>
    <w:rsid w:val="721AED12"/>
    <w:rsid w:val="72208532"/>
    <w:rsid w:val="722668EA"/>
    <w:rsid w:val="722786C5"/>
    <w:rsid w:val="7229226D"/>
    <w:rsid w:val="72370F2B"/>
    <w:rsid w:val="723A3555"/>
    <w:rsid w:val="723B56CF"/>
    <w:rsid w:val="723DAFD6"/>
    <w:rsid w:val="7245B01F"/>
    <w:rsid w:val="724946C4"/>
    <w:rsid w:val="7249BA07"/>
    <w:rsid w:val="7255EDE2"/>
    <w:rsid w:val="725C72B3"/>
    <w:rsid w:val="725C90C5"/>
    <w:rsid w:val="725CE5F4"/>
    <w:rsid w:val="7260E703"/>
    <w:rsid w:val="726303A9"/>
    <w:rsid w:val="726390BA"/>
    <w:rsid w:val="726525DA"/>
    <w:rsid w:val="72680669"/>
    <w:rsid w:val="726ECD31"/>
    <w:rsid w:val="72708FD9"/>
    <w:rsid w:val="7277D6CC"/>
    <w:rsid w:val="728042C5"/>
    <w:rsid w:val="7280F8AE"/>
    <w:rsid w:val="72828D14"/>
    <w:rsid w:val="7285E73A"/>
    <w:rsid w:val="7289A47F"/>
    <w:rsid w:val="7289FB7C"/>
    <w:rsid w:val="728B43DC"/>
    <w:rsid w:val="728EF5A6"/>
    <w:rsid w:val="728FAA28"/>
    <w:rsid w:val="72916DD7"/>
    <w:rsid w:val="7294FAC6"/>
    <w:rsid w:val="729AC80D"/>
    <w:rsid w:val="729D6603"/>
    <w:rsid w:val="729E44F5"/>
    <w:rsid w:val="72A5FA5B"/>
    <w:rsid w:val="72B3A563"/>
    <w:rsid w:val="72B482A5"/>
    <w:rsid w:val="72BF4F50"/>
    <w:rsid w:val="72C28E83"/>
    <w:rsid w:val="72C36DC1"/>
    <w:rsid w:val="72C57FFE"/>
    <w:rsid w:val="72CA7DC3"/>
    <w:rsid w:val="72D052A5"/>
    <w:rsid w:val="72D10430"/>
    <w:rsid w:val="72D5395D"/>
    <w:rsid w:val="72D86A2E"/>
    <w:rsid w:val="72DADA0D"/>
    <w:rsid w:val="72DB219E"/>
    <w:rsid w:val="72DE30DA"/>
    <w:rsid w:val="72E0EA85"/>
    <w:rsid w:val="72E4A4F6"/>
    <w:rsid w:val="72E7BA64"/>
    <w:rsid w:val="72EBC28B"/>
    <w:rsid w:val="72EC75CB"/>
    <w:rsid w:val="72ED32DA"/>
    <w:rsid w:val="72ED3B7C"/>
    <w:rsid w:val="72F9BB1D"/>
    <w:rsid w:val="72FCD44C"/>
    <w:rsid w:val="73071835"/>
    <w:rsid w:val="7308E2D3"/>
    <w:rsid w:val="730BAD33"/>
    <w:rsid w:val="7312B94C"/>
    <w:rsid w:val="731471AA"/>
    <w:rsid w:val="731A1D58"/>
    <w:rsid w:val="731D1046"/>
    <w:rsid w:val="731F9455"/>
    <w:rsid w:val="73274EA9"/>
    <w:rsid w:val="732ED48A"/>
    <w:rsid w:val="732F17A3"/>
    <w:rsid w:val="732F2716"/>
    <w:rsid w:val="7331EDCB"/>
    <w:rsid w:val="7336773E"/>
    <w:rsid w:val="733900D4"/>
    <w:rsid w:val="7339271B"/>
    <w:rsid w:val="733C0891"/>
    <w:rsid w:val="733C0E8A"/>
    <w:rsid w:val="733CFA3E"/>
    <w:rsid w:val="73441939"/>
    <w:rsid w:val="73450F19"/>
    <w:rsid w:val="73479188"/>
    <w:rsid w:val="7347DA92"/>
    <w:rsid w:val="734C4321"/>
    <w:rsid w:val="734CB709"/>
    <w:rsid w:val="734F67F3"/>
    <w:rsid w:val="735162E2"/>
    <w:rsid w:val="73519A0C"/>
    <w:rsid w:val="73521A63"/>
    <w:rsid w:val="7352CF85"/>
    <w:rsid w:val="73565CBA"/>
    <w:rsid w:val="735D37FC"/>
    <w:rsid w:val="73609AD3"/>
    <w:rsid w:val="7360A51B"/>
    <w:rsid w:val="73642045"/>
    <w:rsid w:val="73680680"/>
    <w:rsid w:val="736BC013"/>
    <w:rsid w:val="736EDF9E"/>
    <w:rsid w:val="737171A7"/>
    <w:rsid w:val="737AD8AB"/>
    <w:rsid w:val="737B51F3"/>
    <w:rsid w:val="7380332C"/>
    <w:rsid w:val="73821B60"/>
    <w:rsid w:val="7384017B"/>
    <w:rsid w:val="73874D99"/>
    <w:rsid w:val="7389D126"/>
    <w:rsid w:val="738B0E7F"/>
    <w:rsid w:val="738F80D2"/>
    <w:rsid w:val="7392CDAA"/>
    <w:rsid w:val="73937D81"/>
    <w:rsid w:val="73944CF0"/>
    <w:rsid w:val="73956F44"/>
    <w:rsid w:val="7397B823"/>
    <w:rsid w:val="739E25F7"/>
    <w:rsid w:val="739F14C9"/>
    <w:rsid w:val="73A1C519"/>
    <w:rsid w:val="73A1D5B6"/>
    <w:rsid w:val="73A57AD9"/>
    <w:rsid w:val="73A5B0D2"/>
    <w:rsid w:val="73B1E559"/>
    <w:rsid w:val="73B38692"/>
    <w:rsid w:val="73B54900"/>
    <w:rsid w:val="73BA9202"/>
    <w:rsid w:val="73BD9E8A"/>
    <w:rsid w:val="73BE76B5"/>
    <w:rsid w:val="73BF2AE0"/>
    <w:rsid w:val="73C1FCE6"/>
    <w:rsid w:val="73C28568"/>
    <w:rsid w:val="73C63F78"/>
    <w:rsid w:val="73C764F9"/>
    <w:rsid w:val="73C8096B"/>
    <w:rsid w:val="73CA9EEB"/>
    <w:rsid w:val="73CAA4E8"/>
    <w:rsid w:val="73CE53B0"/>
    <w:rsid w:val="73D4A5B0"/>
    <w:rsid w:val="73DA268D"/>
    <w:rsid w:val="73DC4B12"/>
    <w:rsid w:val="73DF35DD"/>
    <w:rsid w:val="73E22EAB"/>
    <w:rsid w:val="73E402C3"/>
    <w:rsid w:val="73E4972B"/>
    <w:rsid w:val="73E53D99"/>
    <w:rsid w:val="73F28D52"/>
    <w:rsid w:val="73F39BB7"/>
    <w:rsid w:val="73F50E34"/>
    <w:rsid w:val="73FA3DEE"/>
    <w:rsid w:val="73FE9880"/>
    <w:rsid w:val="73FF99F6"/>
    <w:rsid w:val="74074A00"/>
    <w:rsid w:val="740D5B3F"/>
    <w:rsid w:val="7418CD21"/>
    <w:rsid w:val="7419BF22"/>
    <w:rsid w:val="741C254E"/>
    <w:rsid w:val="741F4F0B"/>
    <w:rsid w:val="7424CD5E"/>
    <w:rsid w:val="742842A8"/>
    <w:rsid w:val="742A414B"/>
    <w:rsid w:val="742AA49B"/>
    <w:rsid w:val="742AD023"/>
    <w:rsid w:val="7431FF99"/>
    <w:rsid w:val="74325EF1"/>
    <w:rsid w:val="7438A742"/>
    <w:rsid w:val="743DF330"/>
    <w:rsid w:val="74429088"/>
    <w:rsid w:val="74468111"/>
    <w:rsid w:val="744AC816"/>
    <w:rsid w:val="74529A1D"/>
    <w:rsid w:val="74551A98"/>
    <w:rsid w:val="7456DE90"/>
    <w:rsid w:val="7458B389"/>
    <w:rsid w:val="745DD0C6"/>
    <w:rsid w:val="74632C8D"/>
    <w:rsid w:val="74651435"/>
    <w:rsid w:val="74671FD9"/>
    <w:rsid w:val="746ADBD1"/>
    <w:rsid w:val="746F39DA"/>
    <w:rsid w:val="746F422E"/>
    <w:rsid w:val="74715695"/>
    <w:rsid w:val="74751141"/>
    <w:rsid w:val="74788322"/>
    <w:rsid w:val="747A263C"/>
    <w:rsid w:val="747A988F"/>
    <w:rsid w:val="747DBAB7"/>
    <w:rsid w:val="748C2F62"/>
    <w:rsid w:val="749254CA"/>
    <w:rsid w:val="749B1EAC"/>
    <w:rsid w:val="749CDCC0"/>
    <w:rsid w:val="749E2F4E"/>
    <w:rsid w:val="74ABC1C4"/>
    <w:rsid w:val="74AC37FB"/>
    <w:rsid w:val="74AEB273"/>
    <w:rsid w:val="74B031E2"/>
    <w:rsid w:val="74B1CAA2"/>
    <w:rsid w:val="74B63CBC"/>
    <w:rsid w:val="74BB9FDA"/>
    <w:rsid w:val="74BC4973"/>
    <w:rsid w:val="74BCAFD7"/>
    <w:rsid w:val="74BD42D9"/>
    <w:rsid w:val="74BD842A"/>
    <w:rsid w:val="74C1EF6F"/>
    <w:rsid w:val="74C50854"/>
    <w:rsid w:val="74C747EF"/>
    <w:rsid w:val="74CCD3A2"/>
    <w:rsid w:val="74D35701"/>
    <w:rsid w:val="74DDA783"/>
    <w:rsid w:val="74E036F4"/>
    <w:rsid w:val="74E0F70F"/>
    <w:rsid w:val="74E19CAE"/>
    <w:rsid w:val="74E3374C"/>
    <w:rsid w:val="74E5E70E"/>
    <w:rsid w:val="74E8AFD0"/>
    <w:rsid w:val="74E98795"/>
    <w:rsid w:val="74EB5D3A"/>
    <w:rsid w:val="74EB6FEA"/>
    <w:rsid w:val="74EC7182"/>
    <w:rsid w:val="74F1AC33"/>
    <w:rsid w:val="74F7AE81"/>
    <w:rsid w:val="74F804AE"/>
    <w:rsid w:val="74F8FD40"/>
    <w:rsid w:val="74FB7792"/>
    <w:rsid w:val="74FD47ED"/>
    <w:rsid w:val="74FE9A3C"/>
    <w:rsid w:val="74FEEFCB"/>
    <w:rsid w:val="750A5BFA"/>
    <w:rsid w:val="750B5285"/>
    <w:rsid w:val="750DF7DD"/>
    <w:rsid w:val="750FD61A"/>
    <w:rsid w:val="7512F1C4"/>
    <w:rsid w:val="75147084"/>
    <w:rsid w:val="75169309"/>
    <w:rsid w:val="7519044B"/>
    <w:rsid w:val="751FDDDB"/>
    <w:rsid w:val="7522E3F2"/>
    <w:rsid w:val="75261249"/>
    <w:rsid w:val="752A8AC8"/>
    <w:rsid w:val="753274A3"/>
    <w:rsid w:val="753C8AC6"/>
    <w:rsid w:val="753D6260"/>
    <w:rsid w:val="7542D995"/>
    <w:rsid w:val="754446CC"/>
    <w:rsid w:val="7545D7E1"/>
    <w:rsid w:val="754A9486"/>
    <w:rsid w:val="75505376"/>
    <w:rsid w:val="75516C0C"/>
    <w:rsid w:val="755288C5"/>
    <w:rsid w:val="7556C292"/>
    <w:rsid w:val="75576498"/>
    <w:rsid w:val="755C74D7"/>
    <w:rsid w:val="755DCD6F"/>
    <w:rsid w:val="755DD795"/>
    <w:rsid w:val="755E6182"/>
    <w:rsid w:val="755E6B61"/>
    <w:rsid w:val="755F968F"/>
    <w:rsid w:val="75603653"/>
    <w:rsid w:val="75614A46"/>
    <w:rsid w:val="7565B910"/>
    <w:rsid w:val="75668B92"/>
    <w:rsid w:val="75676428"/>
    <w:rsid w:val="756D1907"/>
    <w:rsid w:val="756D7232"/>
    <w:rsid w:val="756DE3EA"/>
    <w:rsid w:val="75707655"/>
    <w:rsid w:val="75709C7C"/>
    <w:rsid w:val="7570ABAF"/>
    <w:rsid w:val="7575C4CA"/>
    <w:rsid w:val="7575E901"/>
    <w:rsid w:val="75867DE6"/>
    <w:rsid w:val="7586E0C0"/>
    <w:rsid w:val="758E483F"/>
    <w:rsid w:val="758FC28E"/>
    <w:rsid w:val="7593334E"/>
    <w:rsid w:val="7595E8A4"/>
    <w:rsid w:val="7596B670"/>
    <w:rsid w:val="75970691"/>
    <w:rsid w:val="759ACE2F"/>
    <w:rsid w:val="759FCFA8"/>
    <w:rsid w:val="75A19CB7"/>
    <w:rsid w:val="75A3E15F"/>
    <w:rsid w:val="75A58A14"/>
    <w:rsid w:val="75A87BD5"/>
    <w:rsid w:val="75A88688"/>
    <w:rsid w:val="75AEFC03"/>
    <w:rsid w:val="75B377D9"/>
    <w:rsid w:val="75B3D27C"/>
    <w:rsid w:val="75B52A97"/>
    <w:rsid w:val="75BC45C0"/>
    <w:rsid w:val="75C149B4"/>
    <w:rsid w:val="75C1F14B"/>
    <w:rsid w:val="75C7B59B"/>
    <w:rsid w:val="75CB267D"/>
    <w:rsid w:val="75CCE198"/>
    <w:rsid w:val="75CE13CB"/>
    <w:rsid w:val="75D30685"/>
    <w:rsid w:val="75D37C29"/>
    <w:rsid w:val="75DA0DF0"/>
    <w:rsid w:val="75DA18B8"/>
    <w:rsid w:val="75E0ABE4"/>
    <w:rsid w:val="75E68866"/>
    <w:rsid w:val="75EDF878"/>
    <w:rsid w:val="75F17CEB"/>
    <w:rsid w:val="75F5CF74"/>
    <w:rsid w:val="75F9AF06"/>
    <w:rsid w:val="75FCE88D"/>
    <w:rsid w:val="75FFAC98"/>
    <w:rsid w:val="760637DA"/>
    <w:rsid w:val="76069307"/>
    <w:rsid w:val="7609981A"/>
    <w:rsid w:val="7614E37E"/>
    <w:rsid w:val="7615B41F"/>
    <w:rsid w:val="761A057C"/>
    <w:rsid w:val="761ACA8B"/>
    <w:rsid w:val="761AF2F8"/>
    <w:rsid w:val="761F0724"/>
    <w:rsid w:val="76276B75"/>
    <w:rsid w:val="762AEF0E"/>
    <w:rsid w:val="762DB157"/>
    <w:rsid w:val="76318F48"/>
    <w:rsid w:val="7635AB87"/>
    <w:rsid w:val="7636C7C8"/>
    <w:rsid w:val="76377CA0"/>
    <w:rsid w:val="7639FA62"/>
    <w:rsid w:val="763E4029"/>
    <w:rsid w:val="7642E88D"/>
    <w:rsid w:val="764328C3"/>
    <w:rsid w:val="7644AEC0"/>
    <w:rsid w:val="76462F28"/>
    <w:rsid w:val="7647B3F5"/>
    <w:rsid w:val="76488F0F"/>
    <w:rsid w:val="76495232"/>
    <w:rsid w:val="7651508B"/>
    <w:rsid w:val="76518687"/>
    <w:rsid w:val="76533207"/>
    <w:rsid w:val="7655BA35"/>
    <w:rsid w:val="7657671B"/>
    <w:rsid w:val="76577D4A"/>
    <w:rsid w:val="765BE565"/>
    <w:rsid w:val="765FF988"/>
    <w:rsid w:val="7661B758"/>
    <w:rsid w:val="76668C81"/>
    <w:rsid w:val="7667C43F"/>
    <w:rsid w:val="766A1EC0"/>
    <w:rsid w:val="76711693"/>
    <w:rsid w:val="7671AC98"/>
    <w:rsid w:val="76723A39"/>
    <w:rsid w:val="7674865F"/>
    <w:rsid w:val="767760D6"/>
    <w:rsid w:val="7677E543"/>
    <w:rsid w:val="767963D2"/>
    <w:rsid w:val="767B72FB"/>
    <w:rsid w:val="767C85EF"/>
    <w:rsid w:val="767D81DA"/>
    <w:rsid w:val="767FDF5A"/>
    <w:rsid w:val="7683AE38"/>
    <w:rsid w:val="7684396D"/>
    <w:rsid w:val="7686B3B2"/>
    <w:rsid w:val="7686D5ED"/>
    <w:rsid w:val="768CC016"/>
    <w:rsid w:val="768DBD92"/>
    <w:rsid w:val="769354DC"/>
    <w:rsid w:val="76936B43"/>
    <w:rsid w:val="769394C7"/>
    <w:rsid w:val="7699DD8F"/>
    <w:rsid w:val="769CF17E"/>
    <w:rsid w:val="76A30D79"/>
    <w:rsid w:val="76A3C2D6"/>
    <w:rsid w:val="76A6236F"/>
    <w:rsid w:val="76A64239"/>
    <w:rsid w:val="76A72F1A"/>
    <w:rsid w:val="76ADA656"/>
    <w:rsid w:val="76ADF59F"/>
    <w:rsid w:val="76AE74BA"/>
    <w:rsid w:val="76AF1390"/>
    <w:rsid w:val="76B17DA5"/>
    <w:rsid w:val="76B56513"/>
    <w:rsid w:val="76B9AD44"/>
    <w:rsid w:val="76BAA7F8"/>
    <w:rsid w:val="76BC69F4"/>
    <w:rsid w:val="76BED1A1"/>
    <w:rsid w:val="76C79106"/>
    <w:rsid w:val="76C834A9"/>
    <w:rsid w:val="76CD2856"/>
    <w:rsid w:val="76CD64F2"/>
    <w:rsid w:val="76CE1D3B"/>
    <w:rsid w:val="76CE72D2"/>
    <w:rsid w:val="76CED990"/>
    <w:rsid w:val="76CEE14E"/>
    <w:rsid w:val="76D26D56"/>
    <w:rsid w:val="76D5935B"/>
    <w:rsid w:val="76D5C554"/>
    <w:rsid w:val="76D9F4D0"/>
    <w:rsid w:val="76DB169A"/>
    <w:rsid w:val="76DB434D"/>
    <w:rsid w:val="76DC1773"/>
    <w:rsid w:val="76DCA459"/>
    <w:rsid w:val="76DF4BB0"/>
    <w:rsid w:val="76E8E938"/>
    <w:rsid w:val="76EB24C4"/>
    <w:rsid w:val="76ED0ED6"/>
    <w:rsid w:val="76EE8E2E"/>
    <w:rsid w:val="76EEFC96"/>
    <w:rsid w:val="76F13FB9"/>
    <w:rsid w:val="76F30F0C"/>
    <w:rsid w:val="76F3A842"/>
    <w:rsid w:val="76F4A0FD"/>
    <w:rsid w:val="76FACFA4"/>
    <w:rsid w:val="76FD37CC"/>
    <w:rsid w:val="7700AF4E"/>
    <w:rsid w:val="77039899"/>
    <w:rsid w:val="771091F8"/>
    <w:rsid w:val="77112068"/>
    <w:rsid w:val="7712546B"/>
    <w:rsid w:val="7716B003"/>
    <w:rsid w:val="7718F35B"/>
    <w:rsid w:val="7719EDC9"/>
    <w:rsid w:val="7726E28B"/>
    <w:rsid w:val="77272ABB"/>
    <w:rsid w:val="7735DC10"/>
    <w:rsid w:val="773C0DF1"/>
    <w:rsid w:val="773F517B"/>
    <w:rsid w:val="7740A444"/>
    <w:rsid w:val="77420782"/>
    <w:rsid w:val="7745F481"/>
    <w:rsid w:val="7746E8C6"/>
    <w:rsid w:val="774C8B81"/>
    <w:rsid w:val="774CFC32"/>
    <w:rsid w:val="77527AED"/>
    <w:rsid w:val="775C122B"/>
    <w:rsid w:val="775CA19F"/>
    <w:rsid w:val="77600086"/>
    <w:rsid w:val="77647E22"/>
    <w:rsid w:val="77648A16"/>
    <w:rsid w:val="77710102"/>
    <w:rsid w:val="777550BF"/>
    <w:rsid w:val="777AA1B1"/>
    <w:rsid w:val="777AFB78"/>
    <w:rsid w:val="777CA1ED"/>
    <w:rsid w:val="778BF229"/>
    <w:rsid w:val="7794DEBB"/>
    <w:rsid w:val="779512A1"/>
    <w:rsid w:val="7796BE4D"/>
    <w:rsid w:val="7797EEBD"/>
    <w:rsid w:val="779D26FB"/>
    <w:rsid w:val="77A14919"/>
    <w:rsid w:val="77A47B22"/>
    <w:rsid w:val="77AEBE1F"/>
    <w:rsid w:val="77B4F1B1"/>
    <w:rsid w:val="77B59818"/>
    <w:rsid w:val="77BD4243"/>
    <w:rsid w:val="77C360B4"/>
    <w:rsid w:val="77C37402"/>
    <w:rsid w:val="77C5D2E9"/>
    <w:rsid w:val="77C6EDE1"/>
    <w:rsid w:val="77C94908"/>
    <w:rsid w:val="77CAB632"/>
    <w:rsid w:val="77CAF38B"/>
    <w:rsid w:val="77CFD433"/>
    <w:rsid w:val="77D354D1"/>
    <w:rsid w:val="77DE2633"/>
    <w:rsid w:val="77E2B7C2"/>
    <w:rsid w:val="77E30E46"/>
    <w:rsid w:val="77E5F15E"/>
    <w:rsid w:val="77EA2B27"/>
    <w:rsid w:val="77EB8797"/>
    <w:rsid w:val="77EBC725"/>
    <w:rsid w:val="77ED3F17"/>
    <w:rsid w:val="77ED7C20"/>
    <w:rsid w:val="77F01344"/>
    <w:rsid w:val="77F29DF8"/>
    <w:rsid w:val="77F4DA6A"/>
    <w:rsid w:val="77F9453A"/>
    <w:rsid w:val="77FD2AA6"/>
    <w:rsid w:val="780147E5"/>
    <w:rsid w:val="7802816F"/>
    <w:rsid w:val="78071AD3"/>
    <w:rsid w:val="780A8A8B"/>
    <w:rsid w:val="780CC316"/>
    <w:rsid w:val="780DEC5A"/>
    <w:rsid w:val="780E4EDA"/>
    <w:rsid w:val="7816167F"/>
    <w:rsid w:val="781A1A0A"/>
    <w:rsid w:val="781A51EF"/>
    <w:rsid w:val="781AFFF0"/>
    <w:rsid w:val="78201FA2"/>
    <w:rsid w:val="78242818"/>
    <w:rsid w:val="78250349"/>
    <w:rsid w:val="78260D88"/>
    <w:rsid w:val="782AE0B8"/>
    <w:rsid w:val="7830AB27"/>
    <w:rsid w:val="783138FB"/>
    <w:rsid w:val="78388023"/>
    <w:rsid w:val="7842FC98"/>
    <w:rsid w:val="7843BF71"/>
    <w:rsid w:val="78445486"/>
    <w:rsid w:val="784A6899"/>
    <w:rsid w:val="784DC478"/>
    <w:rsid w:val="7850D19A"/>
    <w:rsid w:val="7859D29F"/>
    <w:rsid w:val="785A212A"/>
    <w:rsid w:val="785E1FE5"/>
    <w:rsid w:val="78682A7B"/>
    <w:rsid w:val="78785F4A"/>
    <w:rsid w:val="787F72AD"/>
    <w:rsid w:val="787FCB68"/>
    <w:rsid w:val="788BB0CE"/>
    <w:rsid w:val="789B99D5"/>
    <w:rsid w:val="789BB4F6"/>
    <w:rsid w:val="789CD245"/>
    <w:rsid w:val="789DE114"/>
    <w:rsid w:val="789F65B2"/>
    <w:rsid w:val="78A073AF"/>
    <w:rsid w:val="78AAE4F8"/>
    <w:rsid w:val="78AB724E"/>
    <w:rsid w:val="78AB868E"/>
    <w:rsid w:val="78B17312"/>
    <w:rsid w:val="78B1C3E7"/>
    <w:rsid w:val="78B95FFE"/>
    <w:rsid w:val="78BA38EC"/>
    <w:rsid w:val="78BB248C"/>
    <w:rsid w:val="78BCD84E"/>
    <w:rsid w:val="78BDC071"/>
    <w:rsid w:val="78C0BF3A"/>
    <w:rsid w:val="78C52719"/>
    <w:rsid w:val="78CB8F86"/>
    <w:rsid w:val="78CDD57A"/>
    <w:rsid w:val="78CEE4FB"/>
    <w:rsid w:val="78CF1DC9"/>
    <w:rsid w:val="78CFB63A"/>
    <w:rsid w:val="78D13053"/>
    <w:rsid w:val="78D285DF"/>
    <w:rsid w:val="78D4E3FC"/>
    <w:rsid w:val="78D69AA4"/>
    <w:rsid w:val="78D843F0"/>
    <w:rsid w:val="78DAD7CB"/>
    <w:rsid w:val="78DE3399"/>
    <w:rsid w:val="78E05C7C"/>
    <w:rsid w:val="78E2FB5A"/>
    <w:rsid w:val="78E5B558"/>
    <w:rsid w:val="78E982CA"/>
    <w:rsid w:val="78EF26DA"/>
    <w:rsid w:val="78EFC8A6"/>
    <w:rsid w:val="78F61AF9"/>
    <w:rsid w:val="78F72A7C"/>
    <w:rsid w:val="78F870D7"/>
    <w:rsid w:val="78FC796F"/>
    <w:rsid w:val="78FC8C79"/>
    <w:rsid w:val="79039F1A"/>
    <w:rsid w:val="790CB4C4"/>
    <w:rsid w:val="790CC98D"/>
    <w:rsid w:val="790D98D6"/>
    <w:rsid w:val="790F37FF"/>
    <w:rsid w:val="79108D39"/>
    <w:rsid w:val="791298E1"/>
    <w:rsid w:val="791E07A1"/>
    <w:rsid w:val="791E56B6"/>
    <w:rsid w:val="7920AD16"/>
    <w:rsid w:val="7923B2C8"/>
    <w:rsid w:val="79249E1E"/>
    <w:rsid w:val="792BFF24"/>
    <w:rsid w:val="793970E9"/>
    <w:rsid w:val="7939E524"/>
    <w:rsid w:val="793A2812"/>
    <w:rsid w:val="793E5A70"/>
    <w:rsid w:val="793E6C41"/>
    <w:rsid w:val="79460A5D"/>
    <w:rsid w:val="7948F244"/>
    <w:rsid w:val="794A399F"/>
    <w:rsid w:val="794B3575"/>
    <w:rsid w:val="795098C9"/>
    <w:rsid w:val="79523A50"/>
    <w:rsid w:val="79536522"/>
    <w:rsid w:val="795470D9"/>
    <w:rsid w:val="795B7ED7"/>
    <w:rsid w:val="795CFB6B"/>
    <w:rsid w:val="79630DA4"/>
    <w:rsid w:val="79636186"/>
    <w:rsid w:val="7963FBB8"/>
    <w:rsid w:val="7964466D"/>
    <w:rsid w:val="7966D931"/>
    <w:rsid w:val="79670D3E"/>
    <w:rsid w:val="796A6D88"/>
    <w:rsid w:val="797238F1"/>
    <w:rsid w:val="797A8217"/>
    <w:rsid w:val="797C0F0D"/>
    <w:rsid w:val="797DC513"/>
    <w:rsid w:val="797E96FD"/>
    <w:rsid w:val="79812B42"/>
    <w:rsid w:val="798467CB"/>
    <w:rsid w:val="7984E066"/>
    <w:rsid w:val="7987A885"/>
    <w:rsid w:val="798D4169"/>
    <w:rsid w:val="798D9C1F"/>
    <w:rsid w:val="798EDBF4"/>
    <w:rsid w:val="798FB50C"/>
    <w:rsid w:val="79994851"/>
    <w:rsid w:val="799F21F5"/>
    <w:rsid w:val="79A219BE"/>
    <w:rsid w:val="79A2F1D2"/>
    <w:rsid w:val="79A7C456"/>
    <w:rsid w:val="79AC3721"/>
    <w:rsid w:val="79B0F6AA"/>
    <w:rsid w:val="79B178A4"/>
    <w:rsid w:val="79B4D2A7"/>
    <w:rsid w:val="79B78745"/>
    <w:rsid w:val="79B88128"/>
    <w:rsid w:val="79C16EB0"/>
    <w:rsid w:val="79CA4DF3"/>
    <w:rsid w:val="79D6D688"/>
    <w:rsid w:val="79DB31E5"/>
    <w:rsid w:val="79DCD802"/>
    <w:rsid w:val="79DF63E0"/>
    <w:rsid w:val="79E24D5C"/>
    <w:rsid w:val="79FD5EC8"/>
    <w:rsid w:val="79FD8E17"/>
    <w:rsid w:val="79FF94EB"/>
    <w:rsid w:val="7A052008"/>
    <w:rsid w:val="7A0A2E11"/>
    <w:rsid w:val="7A0BB288"/>
    <w:rsid w:val="7A0BDD2F"/>
    <w:rsid w:val="7A0F52B6"/>
    <w:rsid w:val="7A155FB3"/>
    <w:rsid w:val="7A19B333"/>
    <w:rsid w:val="7A1BCA18"/>
    <w:rsid w:val="7A1CE39D"/>
    <w:rsid w:val="7A1E564F"/>
    <w:rsid w:val="7A206803"/>
    <w:rsid w:val="7A210851"/>
    <w:rsid w:val="7A21ADFD"/>
    <w:rsid w:val="7A21FE50"/>
    <w:rsid w:val="7A276C35"/>
    <w:rsid w:val="7A286063"/>
    <w:rsid w:val="7A2AF113"/>
    <w:rsid w:val="7A2D58E2"/>
    <w:rsid w:val="7A2E2835"/>
    <w:rsid w:val="7A2F98E8"/>
    <w:rsid w:val="7A30B22C"/>
    <w:rsid w:val="7A31B3F7"/>
    <w:rsid w:val="7A4005F7"/>
    <w:rsid w:val="7A4670A8"/>
    <w:rsid w:val="7A4A6525"/>
    <w:rsid w:val="7A579AD5"/>
    <w:rsid w:val="7A5FB65B"/>
    <w:rsid w:val="7A66CDCC"/>
    <w:rsid w:val="7A6B71C4"/>
    <w:rsid w:val="7A6E6EAF"/>
    <w:rsid w:val="7A7053C3"/>
    <w:rsid w:val="7A746A9E"/>
    <w:rsid w:val="7A7658D4"/>
    <w:rsid w:val="7A7AECC5"/>
    <w:rsid w:val="7A87E347"/>
    <w:rsid w:val="7A88961C"/>
    <w:rsid w:val="7A88FC51"/>
    <w:rsid w:val="7A8AF3C7"/>
    <w:rsid w:val="7A8B503D"/>
    <w:rsid w:val="7A900D1F"/>
    <w:rsid w:val="7A9959FF"/>
    <w:rsid w:val="7A99CC87"/>
    <w:rsid w:val="7A9E9B64"/>
    <w:rsid w:val="7AA0FBF6"/>
    <w:rsid w:val="7AAB5CD3"/>
    <w:rsid w:val="7AB0F7D1"/>
    <w:rsid w:val="7AB8B959"/>
    <w:rsid w:val="7ABF8F73"/>
    <w:rsid w:val="7ABFCE4D"/>
    <w:rsid w:val="7AC69B87"/>
    <w:rsid w:val="7AC6C040"/>
    <w:rsid w:val="7ACB6323"/>
    <w:rsid w:val="7ACC9923"/>
    <w:rsid w:val="7ACE7C6A"/>
    <w:rsid w:val="7AD33F88"/>
    <w:rsid w:val="7AD771B9"/>
    <w:rsid w:val="7ADB53EB"/>
    <w:rsid w:val="7ADC79D7"/>
    <w:rsid w:val="7AE34F1A"/>
    <w:rsid w:val="7AE71065"/>
    <w:rsid w:val="7AEAB42E"/>
    <w:rsid w:val="7AEB3DDC"/>
    <w:rsid w:val="7AEB480E"/>
    <w:rsid w:val="7AF2F138"/>
    <w:rsid w:val="7AFDAA1E"/>
    <w:rsid w:val="7B090469"/>
    <w:rsid w:val="7B094C31"/>
    <w:rsid w:val="7B095058"/>
    <w:rsid w:val="7B0ED6BD"/>
    <w:rsid w:val="7B1B1191"/>
    <w:rsid w:val="7B1E5DB4"/>
    <w:rsid w:val="7B29A7AA"/>
    <w:rsid w:val="7B33E0D1"/>
    <w:rsid w:val="7B38F535"/>
    <w:rsid w:val="7B3AF597"/>
    <w:rsid w:val="7B3BBBB3"/>
    <w:rsid w:val="7B3CFDFE"/>
    <w:rsid w:val="7B3F88F1"/>
    <w:rsid w:val="7B3FE94A"/>
    <w:rsid w:val="7B451CD7"/>
    <w:rsid w:val="7B482358"/>
    <w:rsid w:val="7B4D9527"/>
    <w:rsid w:val="7B4DD0EF"/>
    <w:rsid w:val="7B4F0821"/>
    <w:rsid w:val="7B503832"/>
    <w:rsid w:val="7B5336B7"/>
    <w:rsid w:val="7B54E997"/>
    <w:rsid w:val="7B58B40D"/>
    <w:rsid w:val="7B5A162D"/>
    <w:rsid w:val="7B5CB485"/>
    <w:rsid w:val="7B60677F"/>
    <w:rsid w:val="7B60DF6A"/>
    <w:rsid w:val="7B6E6CD8"/>
    <w:rsid w:val="7B743ECF"/>
    <w:rsid w:val="7B7907CF"/>
    <w:rsid w:val="7B899E72"/>
    <w:rsid w:val="7B8B0BF6"/>
    <w:rsid w:val="7B8C5006"/>
    <w:rsid w:val="7B8C7858"/>
    <w:rsid w:val="7B91381C"/>
    <w:rsid w:val="7B92166A"/>
    <w:rsid w:val="7B942585"/>
    <w:rsid w:val="7B94DA0F"/>
    <w:rsid w:val="7B97E8F7"/>
    <w:rsid w:val="7B9CD934"/>
    <w:rsid w:val="7BA53EFF"/>
    <w:rsid w:val="7BA6F60C"/>
    <w:rsid w:val="7BA835E7"/>
    <w:rsid w:val="7BA920E7"/>
    <w:rsid w:val="7BACB54A"/>
    <w:rsid w:val="7BB02B19"/>
    <w:rsid w:val="7BB054D5"/>
    <w:rsid w:val="7BB1ED6C"/>
    <w:rsid w:val="7BB25039"/>
    <w:rsid w:val="7BB69BCE"/>
    <w:rsid w:val="7BB7AF86"/>
    <w:rsid w:val="7BB843C2"/>
    <w:rsid w:val="7BBFCB32"/>
    <w:rsid w:val="7BC0BB61"/>
    <w:rsid w:val="7BC340CC"/>
    <w:rsid w:val="7BC879EE"/>
    <w:rsid w:val="7BCAC9AA"/>
    <w:rsid w:val="7BCB3F6A"/>
    <w:rsid w:val="7BCB8718"/>
    <w:rsid w:val="7BCCF402"/>
    <w:rsid w:val="7BD21895"/>
    <w:rsid w:val="7BD2E2D1"/>
    <w:rsid w:val="7BD507DA"/>
    <w:rsid w:val="7BDEC63B"/>
    <w:rsid w:val="7BE4CFE2"/>
    <w:rsid w:val="7BE73248"/>
    <w:rsid w:val="7BEBD48C"/>
    <w:rsid w:val="7BEC3C5A"/>
    <w:rsid w:val="7BED1435"/>
    <w:rsid w:val="7BEE94DE"/>
    <w:rsid w:val="7BF20641"/>
    <w:rsid w:val="7BF2C28F"/>
    <w:rsid w:val="7BF81CA5"/>
    <w:rsid w:val="7BFD5013"/>
    <w:rsid w:val="7C005DE3"/>
    <w:rsid w:val="7C00F56E"/>
    <w:rsid w:val="7C011427"/>
    <w:rsid w:val="7C0824F3"/>
    <w:rsid w:val="7C0929A8"/>
    <w:rsid w:val="7C0B3602"/>
    <w:rsid w:val="7C132148"/>
    <w:rsid w:val="7C14BF1D"/>
    <w:rsid w:val="7C24A4C3"/>
    <w:rsid w:val="7C27DD0F"/>
    <w:rsid w:val="7C2CF559"/>
    <w:rsid w:val="7C3703AC"/>
    <w:rsid w:val="7C383070"/>
    <w:rsid w:val="7C3C8C3B"/>
    <w:rsid w:val="7C44FF94"/>
    <w:rsid w:val="7C490394"/>
    <w:rsid w:val="7C4D2F65"/>
    <w:rsid w:val="7C4F1281"/>
    <w:rsid w:val="7C541BF5"/>
    <w:rsid w:val="7C5AAF98"/>
    <w:rsid w:val="7C5B863F"/>
    <w:rsid w:val="7C611F48"/>
    <w:rsid w:val="7C62CC1F"/>
    <w:rsid w:val="7C681F2F"/>
    <w:rsid w:val="7C68ABF1"/>
    <w:rsid w:val="7C6A9E4C"/>
    <w:rsid w:val="7C713FA5"/>
    <w:rsid w:val="7C72DD9C"/>
    <w:rsid w:val="7C74A0C0"/>
    <w:rsid w:val="7C79DA82"/>
    <w:rsid w:val="7C7CE288"/>
    <w:rsid w:val="7C801C8B"/>
    <w:rsid w:val="7C809C05"/>
    <w:rsid w:val="7C8E56D1"/>
    <w:rsid w:val="7C8EEF6A"/>
    <w:rsid w:val="7C8FFD2A"/>
    <w:rsid w:val="7C90A0A5"/>
    <w:rsid w:val="7C9A4D94"/>
    <w:rsid w:val="7CA3101E"/>
    <w:rsid w:val="7CAAAF6D"/>
    <w:rsid w:val="7CAB4F26"/>
    <w:rsid w:val="7CAC3E65"/>
    <w:rsid w:val="7CAEC4ED"/>
    <w:rsid w:val="7CAF6EF5"/>
    <w:rsid w:val="7CB2F92C"/>
    <w:rsid w:val="7CB5DEA1"/>
    <w:rsid w:val="7CB92139"/>
    <w:rsid w:val="7CBA4C4F"/>
    <w:rsid w:val="7CBC2C49"/>
    <w:rsid w:val="7CC137EB"/>
    <w:rsid w:val="7CC2B2BE"/>
    <w:rsid w:val="7CC38218"/>
    <w:rsid w:val="7CC9676E"/>
    <w:rsid w:val="7CD2362F"/>
    <w:rsid w:val="7CD7F82B"/>
    <w:rsid w:val="7CD8CDF8"/>
    <w:rsid w:val="7CDA3EB4"/>
    <w:rsid w:val="7CDFA5B4"/>
    <w:rsid w:val="7CE077A0"/>
    <w:rsid w:val="7CE09C36"/>
    <w:rsid w:val="7CE37064"/>
    <w:rsid w:val="7CE99772"/>
    <w:rsid w:val="7CECF2F8"/>
    <w:rsid w:val="7CED31BA"/>
    <w:rsid w:val="7CF0CCD0"/>
    <w:rsid w:val="7CF623A5"/>
    <w:rsid w:val="7CFB82B1"/>
    <w:rsid w:val="7D017626"/>
    <w:rsid w:val="7D084F58"/>
    <w:rsid w:val="7D0D40EC"/>
    <w:rsid w:val="7D121876"/>
    <w:rsid w:val="7D1830B4"/>
    <w:rsid w:val="7D19695D"/>
    <w:rsid w:val="7D212906"/>
    <w:rsid w:val="7D21BED2"/>
    <w:rsid w:val="7D2252BC"/>
    <w:rsid w:val="7D2419D0"/>
    <w:rsid w:val="7D2792DB"/>
    <w:rsid w:val="7D27ADF5"/>
    <w:rsid w:val="7D299DC3"/>
    <w:rsid w:val="7D2A8B46"/>
    <w:rsid w:val="7D3188A6"/>
    <w:rsid w:val="7D325ED5"/>
    <w:rsid w:val="7D340471"/>
    <w:rsid w:val="7D3C43A6"/>
    <w:rsid w:val="7D415B10"/>
    <w:rsid w:val="7D420F2C"/>
    <w:rsid w:val="7D427BF7"/>
    <w:rsid w:val="7D448BB8"/>
    <w:rsid w:val="7D465872"/>
    <w:rsid w:val="7D4C6E0F"/>
    <w:rsid w:val="7D4DF9FA"/>
    <w:rsid w:val="7D5215D1"/>
    <w:rsid w:val="7D52D72D"/>
    <w:rsid w:val="7D5336D7"/>
    <w:rsid w:val="7D53C1C8"/>
    <w:rsid w:val="7D56C7F8"/>
    <w:rsid w:val="7D603E03"/>
    <w:rsid w:val="7D63ADEC"/>
    <w:rsid w:val="7D6BF16D"/>
    <w:rsid w:val="7D6C774D"/>
    <w:rsid w:val="7D7ACB12"/>
    <w:rsid w:val="7D7E50E5"/>
    <w:rsid w:val="7D83877B"/>
    <w:rsid w:val="7D8D6214"/>
    <w:rsid w:val="7D8D7C3B"/>
    <w:rsid w:val="7D8DE7A9"/>
    <w:rsid w:val="7D942887"/>
    <w:rsid w:val="7D96A1AA"/>
    <w:rsid w:val="7DA13ED8"/>
    <w:rsid w:val="7DAE8ABF"/>
    <w:rsid w:val="7DAF67E1"/>
    <w:rsid w:val="7DB58EC8"/>
    <w:rsid w:val="7DB7C2B7"/>
    <w:rsid w:val="7DB977CD"/>
    <w:rsid w:val="7DB9C344"/>
    <w:rsid w:val="7DBABED6"/>
    <w:rsid w:val="7DBC08C6"/>
    <w:rsid w:val="7DC171BC"/>
    <w:rsid w:val="7DC3A2BC"/>
    <w:rsid w:val="7DC6625B"/>
    <w:rsid w:val="7DD2EB06"/>
    <w:rsid w:val="7DD7D81C"/>
    <w:rsid w:val="7DD89357"/>
    <w:rsid w:val="7DE60A33"/>
    <w:rsid w:val="7DE6EE2A"/>
    <w:rsid w:val="7DE8534F"/>
    <w:rsid w:val="7DEBFCC9"/>
    <w:rsid w:val="7DEE304F"/>
    <w:rsid w:val="7DF165DB"/>
    <w:rsid w:val="7DF4B6B0"/>
    <w:rsid w:val="7DF87420"/>
    <w:rsid w:val="7DFE7CBE"/>
    <w:rsid w:val="7E02C4EE"/>
    <w:rsid w:val="7E0AA2BF"/>
    <w:rsid w:val="7E0EE7A5"/>
    <w:rsid w:val="7E0FD848"/>
    <w:rsid w:val="7E10DAD8"/>
    <w:rsid w:val="7E123F61"/>
    <w:rsid w:val="7E14E28E"/>
    <w:rsid w:val="7E16EEEF"/>
    <w:rsid w:val="7E191382"/>
    <w:rsid w:val="7E208C0E"/>
    <w:rsid w:val="7E2AA9D3"/>
    <w:rsid w:val="7E2ECE2E"/>
    <w:rsid w:val="7E2EF48F"/>
    <w:rsid w:val="7E303780"/>
    <w:rsid w:val="7E317379"/>
    <w:rsid w:val="7E3B05A3"/>
    <w:rsid w:val="7E3CF70F"/>
    <w:rsid w:val="7E3D626A"/>
    <w:rsid w:val="7E3E1955"/>
    <w:rsid w:val="7E3F014B"/>
    <w:rsid w:val="7E3F52E5"/>
    <w:rsid w:val="7E432A40"/>
    <w:rsid w:val="7E433C1C"/>
    <w:rsid w:val="7E496671"/>
    <w:rsid w:val="7E4ABB21"/>
    <w:rsid w:val="7E4D3EE8"/>
    <w:rsid w:val="7E52B111"/>
    <w:rsid w:val="7E58A16D"/>
    <w:rsid w:val="7E58B497"/>
    <w:rsid w:val="7E5A4EE7"/>
    <w:rsid w:val="7E5CB0B2"/>
    <w:rsid w:val="7E639945"/>
    <w:rsid w:val="7E650F69"/>
    <w:rsid w:val="7E67499F"/>
    <w:rsid w:val="7E689BB4"/>
    <w:rsid w:val="7E68B4EA"/>
    <w:rsid w:val="7E6A1BD2"/>
    <w:rsid w:val="7E763DB7"/>
    <w:rsid w:val="7E764ACB"/>
    <w:rsid w:val="7E7A06FB"/>
    <w:rsid w:val="7E7D165D"/>
    <w:rsid w:val="7E8137B3"/>
    <w:rsid w:val="7E81E966"/>
    <w:rsid w:val="7E8200BB"/>
    <w:rsid w:val="7E83FA72"/>
    <w:rsid w:val="7E84320B"/>
    <w:rsid w:val="7E8834CA"/>
    <w:rsid w:val="7E884103"/>
    <w:rsid w:val="7E893064"/>
    <w:rsid w:val="7E906DBA"/>
    <w:rsid w:val="7E944E9A"/>
    <w:rsid w:val="7E948716"/>
    <w:rsid w:val="7E974B7F"/>
    <w:rsid w:val="7E9A8A41"/>
    <w:rsid w:val="7E9E3BCF"/>
    <w:rsid w:val="7EA37ABD"/>
    <w:rsid w:val="7EA4CD59"/>
    <w:rsid w:val="7EA94EB4"/>
    <w:rsid w:val="7EB7F74C"/>
    <w:rsid w:val="7EBC2BB4"/>
    <w:rsid w:val="7EC61FC0"/>
    <w:rsid w:val="7EC95428"/>
    <w:rsid w:val="7EC9EAAC"/>
    <w:rsid w:val="7ECC2A13"/>
    <w:rsid w:val="7ECDA587"/>
    <w:rsid w:val="7ECF0CBB"/>
    <w:rsid w:val="7ED0C86D"/>
    <w:rsid w:val="7ED68851"/>
    <w:rsid w:val="7EDB71F6"/>
    <w:rsid w:val="7EE26051"/>
    <w:rsid w:val="7EE3BC29"/>
    <w:rsid w:val="7EE781A3"/>
    <w:rsid w:val="7EE926F9"/>
    <w:rsid w:val="7EEBA7E8"/>
    <w:rsid w:val="7EF0E593"/>
    <w:rsid w:val="7EF270E4"/>
    <w:rsid w:val="7EF2A057"/>
    <w:rsid w:val="7F092092"/>
    <w:rsid w:val="7F0ABB41"/>
    <w:rsid w:val="7F0F6602"/>
    <w:rsid w:val="7F101021"/>
    <w:rsid w:val="7F14B529"/>
    <w:rsid w:val="7F19EA55"/>
    <w:rsid w:val="7F1F4257"/>
    <w:rsid w:val="7F226CAC"/>
    <w:rsid w:val="7F28C9DF"/>
    <w:rsid w:val="7F2E188F"/>
    <w:rsid w:val="7F3E4079"/>
    <w:rsid w:val="7F3F283F"/>
    <w:rsid w:val="7F45C2F4"/>
    <w:rsid w:val="7F46A4D9"/>
    <w:rsid w:val="7F48B6BE"/>
    <w:rsid w:val="7F4A77B0"/>
    <w:rsid w:val="7F4D2572"/>
    <w:rsid w:val="7F4ED5F0"/>
    <w:rsid w:val="7F4EE4C8"/>
    <w:rsid w:val="7F53A394"/>
    <w:rsid w:val="7F5492B7"/>
    <w:rsid w:val="7F5606CD"/>
    <w:rsid w:val="7F581D65"/>
    <w:rsid w:val="7F5E978E"/>
    <w:rsid w:val="7F6021A1"/>
    <w:rsid w:val="7F645980"/>
    <w:rsid w:val="7F6523D5"/>
    <w:rsid w:val="7F6F237B"/>
    <w:rsid w:val="7F711C47"/>
    <w:rsid w:val="7F71E19C"/>
    <w:rsid w:val="7F755E29"/>
    <w:rsid w:val="7F7F6E05"/>
    <w:rsid w:val="7F83F094"/>
    <w:rsid w:val="7F8520A5"/>
    <w:rsid w:val="7F85E9E3"/>
    <w:rsid w:val="7F869202"/>
    <w:rsid w:val="7F8E3835"/>
    <w:rsid w:val="7F905EBB"/>
    <w:rsid w:val="7F92066C"/>
    <w:rsid w:val="7F96C8C6"/>
    <w:rsid w:val="7F96CB36"/>
    <w:rsid w:val="7F9701B2"/>
    <w:rsid w:val="7F9E1398"/>
    <w:rsid w:val="7F9EF818"/>
    <w:rsid w:val="7F9EF87D"/>
    <w:rsid w:val="7FA01267"/>
    <w:rsid w:val="7FA7BC37"/>
    <w:rsid w:val="7FA9740E"/>
    <w:rsid w:val="7FB47F08"/>
    <w:rsid w:val="7FB544C1"/>
    <w:rsid w:val="7FB6910F"/>
    <w:rsid w:val="7FB6C015"/>
    <w:rsid w:val="7FB793E1"/>
    <w:rsid w:val="7FB88BD1"/>
    <w:rsid w:val="7FB9FD71"/>
    <w:rsid w:val="7FBC970C"/>
    <w:rsid w:val="7FBDA567"/>
    <w:rsid w:val="7FBE42A2"/>
    <w:rsid w:val="7FC2F13B"/>
    <w:rsid w:val="7FC7D47E"/>
    <w:rsid w:val="7FCAB4EB"/>
    <w:rsid w:val="7FCB7D5C"/>
    <w:rsid w:val="7FCEC58D"/>
    <w:rsid w:val="7FD183B9"/>
    <w:rsid w:val="7FD8E753"/>
    <w:rsid w:val="7FDBC0FB"/>
    <w:rsid w:val="7FDF3D4A"/>
    <w:rsid w:val="7FDF5C6C"/>
    <w:rsid w:val="7FE529C5"/>
    <w:rsid w:val="7FF7BED2"/>
    <w:rsid w:val="7FFC4494"/>
    <w:rsid w:val="7FFDFA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B907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line="240" w:lineRule="auto"/>
      <w:jc w:val="both"/>
    </w:pPr>
    <w:rPr>
      <w:rFonts w:ascii="Times New Roman" w:hAnsi="Times New Roman" w:cs="Times New Roman"/>
      <w:sz w:val="24"/>
      <w:lang w:val="en-GB"/>
    </w:rPr>
  </w:style>
  <w:style w:type="paragraph" w:styleId="Heading1">
    <w:name w:val="heading 1"/>
    <w:basedOn w:val="Normal"/>
    <w:next w:val="Text1"/>
    <w:link w:val="Heading1Char"/>
    <w:uiPriority w:val="9"/>
    <w:qFormat/>
    <w:pPr>
      <w:keepNext/>
      <w:numPr>
        <w:numId w:val="43"/>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43"/>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43"/>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43"/>
      </w:numPr>
      <w:outlineLvl w:val="3"/>
    </w:pPr>
    <w:rPr>
      <w:rFonts w:eastAsiaTheme="majorEastAsia"/>
      <w:bCs/>
      <w:iCs/>
    </w:rPr>
  </w:style>
  <w:style w:type="paragraph" w:styleId="Heading5">
    <w:name w:val="heading 5"/>
    <w:basedOn w:val="Normal"/>
    <w:next w:val="Text2"/>
    <w:link w:val="Heading5Char"/>
    <w:uiPriority w:val="9"/>
    <w:semiHidden/>
    <w:unhideWhenUsed/>
    <w:qFormat/>
    <w:pPr>
      <w:keepNext/>
      <w:numPr>
        <w:ilvl w:val="4"/>
        <w:numId w:val="43"/>
      </w:numPr>
      <w:outlineLvl w:val="4"/>
    </w:pPr>
    <w:rPr>
      <w:rFonts w:eastAsiaTheme="majorEastAsia"/>
    </w:rPr>
  </w:style>
  <w:style w:type="paragraph" w:styleId="Heading6">
    <w:name w:val="heading 6"/>
    <w:basedOn w:val="Normal"/>
    <w:next w:val="Text2"/>
    <w:link w:val="Heading6Char"/>
    <w:uiPriority w:val="9"/>
    <w:semiHidden/>
    <w:unhideWhenUsed/>
    <w:qFormat/>
    <w:pPr>
      <w:keepNext/>
      <w:numPr>
        <w:ilvl w:val="5"/>
        <w:numId w:val="43"/>
      </w:numPr>
      <w:outlineLvl w:val="5"/>
    </w:pPr>
    <w:rPr>
      <w:rFonts w:eastAsiaTheme="majorEastAsia"/>
      <w:iCs/>
    </w:rPr>
  </w:style>
  <w:style w:type="paragraph" w:styleId="Heading7">
    <w:name w:val="heading 7"/>
    <w:basedOn w:val="Normal"/>
    <w:next w:val="Text2"/>
    <w:link w:val="Heading7Char"/>
    <w:uiPriority w:val="9"/>
    <w:semiHidden/>
    <w:unhideWhenUsed/>
    <w:qFormat/>
    <w:pPr>
      <w:keepNext/>
      <w:numPr>
        <w:ilvl w:val="6"/>
        <w:numId w:val="43"/>
      </w:numPr>
      <w:outlineLvl w:val="6"/>
    </w:pPr>
    <w:rPr>
      <w:rFonts w:eastAsiaTheme="majorEastAsia"/>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rsid w:val="002A2DB6"/>
    <w:pPr>
      <w:numPr>
        <w:numId w:val="2"/>
      </w:numPr>
      <w:tabs>
        <w:tab w:val="num" w:pos="360"/>
      </w:tabs>
      <w:ind w:left="0" w:firstLine="0"/>
    </w:pPr>
    <w:rPr>
      <w:rFonts w:eastAsia="Times New Roman"/>
      <w:lang w:eastAsia="de-DE"/>
    </w:rPr>
  </w:style>
  <w:style w:type="paragraph" w:styleId="ListNumber">
    <w:name w:val="List Number"/>
    <w:basedOn w:val="Normal"/>
    <w:rsid w:val="002A2DB6"/>
    <w:pPr>
      <w:numPr>
        <w:numId w:val="6"/>
      </w:numPr>
    </w:pPr>
    <w:rPr>
      <w:rFonts w:eastAsia="Times New Roman"/>
      <w:lang w:eastAsia="de-DE"/>
    </w:rPr>
  </w:style>
  <w:style w:type="paragraph" w:customStyle="1" w:styleId="ListBullet1">
    <w:name w:val="List Bullet 1"/>
    <w:basedOn w:val="Normal"/>
    <w:uiPriority w:val="1"/>
    <w:rsid w:val="002A2DB6"/>
    <w:pPr>
      <w:numPr>
        <w:numId w:val="1"/>
      </w:numPr>
    </w:pPr>
    <w:rPr>
      <w:rFonts w:eastAsia="Times New Roman"/>
      <w:lang w:eastAsia="de-DE"/>
    </w:rPr>
  </w:style>
  <w:style w:type="paragraph" w:customStyle="1" w:styleId="ListDash">
    <w:name w:val="List Dash"/>
    <w:basedOn w:val="Normal"/>
    <w:rsid w:val="002A2DB6"/>
    <w:pPr>
      <w:numPr>
        <w:numId w:val="3"/>
      </w:numPr>
    </w:pPr>
    <w:rPr>
      <w:rFonts w:eastAsia="Times New Roman"/>
      <w:lang w:eastAsia="de-DE"/>
    </w:rPr>
  </w:style>
  <w:style w:type="paragraph" w:customStyle="1" w:styleId="ListDash1">
    <w:name w:val="List Dash 1"/>
    <w:basedOn w:val="Normal"/>
    <w:rsid w:val="002A2DB6"/>
    <w:pPr>
      <w:numPr>
        <w:numId w:val="4"/>
      </w:numPr>
    </w:pPr>
    <w:rPr>
      <w:rFonts w:eastAsia="Times New Roman"/>
      <w:lang w:eastAsia="de-DE"/>
    </w:rPr>
  </w:style>
  <w:style w:type="paragraph" w:customStyle="1" w:styleId="ListDash2">
    <w:name w:val="List Dash 2"/>
    <w:basedOn w:val="Normal"/>
    <w:rsid w:val="002A2DB6"/>
    <w:pPr>
      <w:numPr>
        <w:numId w:val="5"/>
      </w:numPr>
    </w:pPr>
    <w:rPr>
      <w:rFonts w:eastAsia="Times New Roman"/>
      <w:lang w:eastAsia="de-DE"/>
    </w:rPr>
  </w:style>
  <w:style w:type="paragraph" w:customStyle="1" w:styleId="ListNumberLevel2">
    <w:name w:val="List Number (Level 2)"/>
    <w:basedOn w:val="Normal"/>
    <w:rsid w:val="002A2DB6"/>
    <w:pPr>
      <w:numPr>
        <w:ilvl w:val="1"/>
        <w:numId w:val="6"/>
      </w:numPr>
    </w:pPr>
    <w:rPr>
      <w:rFonts w:eastAsia="Times New Roman"/>
      <w:lang w:eastAsia="de-DE"/>
    </w:rPr>
  </w:style>
  <w:style w:type="paragraph" w:customStyle="1" w:styleId="ListNumberLevel3">
    <w:name w:val="List Number (Level 3)"/>
    <w:basedOn w:val="Normal"/>
    <w:rsid w:val="002A2DB6"/>
    <w:pPr>
      <w:numPr>
        <w:ilvl w:val="2"/>
        <w:numId w:val="6"/>
      </w:numPr>
    </w:pPr>
    <w:rPr>
      <w:rFonts w:eastAsia="Times New Roman"/>
      <w:lang w:eastAsia="de-DE"/>
    </w:rPr>
  </w:style>
  <w:style w:type="paragraph" w:customStyle="1" w:styleId="ListNumberLevel4">
    <w:name w:val="List Number (Level 4)"/>
    <w:basedOn w:val="Normal"/>
    <w:rsid w:val="002A2DB6"/>
    <w:pPr>
      <w:numPr>
        <w:ilvl w:val="3"/>
        <w:numId w:val="6"/>
      </w:numPr>
    </w:pPr>
    <w:rPr>
      <w:rFonts w:eastAsia="Times New Roman"/>
      <w:lang w:eastAsia="de-DE"/>
    </w:rPr>
  </w:style>
  <w:style w:type="table" w:styleId="TableGrid">
    <w:name w:val="Table Grid"/>
    <w:basedOn w:val="TableNormal"/>
    <w:uiPriority w:val="39"/>
    <w:rsid w:val="002A2DB6"/>
    <w:pPr>
      <w:spacing w:before="120" w:after="120" w:line="240" w:lineRule="auto"/>
      <w:jc w:val="both"/>
    </w:pPr>
    <w:rPr>
      <w:rFonts w:ascii="Times New Roman" w:eastAsia="Times New Roman" w:hAnsi="Times New Roman" w:cs="Times New Roman"/>
      <w:sz w:val="20"/>
      <w:szCs w:val="20"/>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A2DB6"/>
    <w:rPr>
      <w:color w:val="0000FF"/>
      <w:u w:val="single"/>
    </w:rPr>
  </w:style>
  <w:style w:type="paragraph" w:styleId="ListBullet">
    <w:name w:val="List Bullet"/>
    <w:basedOn w:val="Normal"/>
    <w:uiPriority w:val="5"/>
    <w:qFormat/>
    <w:rsid w:val="002A2DB6"/>
    <w:pPr>
      <w:numPr>
        <w:numId w:val="7"/>
      </w:numPr>
    </w:pPr>
    <w:rPr>
      <w:rFonts w:eastAsia="Times New Roman"/>
      <w:lang w:val="fr-FR" w:eastAsia="en-GB"/>
    </w:rPr>
  </w:style>
  <w:style w:type="paragraph" w:styleId="ListBullet2">
    <w:name w:val="List Bullet 2"/>
    <w:basedOn w:val="Normal"/>
    <w:rsid w:val="002A2DB6"/>
    <w:pPr>
      <w:numPr>
        <w:numId w:val="8"/>
      </w:numPr>
    </w:pPr>
    <w:rPr>
      <w:rFonts w:eastAsia="Times New Roman"/>
      <w:lang w:val="fr-FR" w:eastAsia="en-GB"/>
    </w:rPr>
  </w:style>
  <w:style w:type="paragraph" w:styleId="ListBullet3">
    <w:name w:val="List Bullet 3"/>
    <w:basedOn w:val="Normal"/>
    <w:rsid w:val="002A2DB6"/>
    <w:pPr>
      <w:numPr>
        <w:numId w:val="9"/>
      </w:numPr>
    </w:pPr>
    <w:rPr>
      <w:rFonts w:eastAsia="Times New Roman"/>
      <w:lang w:val="fr-FR" w:eastAsia="en-GB"/>
    </w:rPr>
  </w:style>
  <w:style w:type="paragraph" w:styleId="ListNumber2">
    <w:name w:val="List Number 2"/>
    <w:basedOn w:val="Normal"/>
    <w:rsid w:val="002A2DB6"/>
    <w:pPr>
      <w:numPr>
        <w:numId w:val="13"/>
      </w:numPr>
    </w:pPr>
    <w:rPr>
      <w:rFonts w:eastAsia="Times New Roman"/>
      <w:lang w:val="fr-FR" w:eastAsia="en-GB"/>
    </w:rPr>
  </w:style>
  <w:style w:type="paragraph" w:styleId="ListNumber3">
    <w:name w:val="List Number 3"/>
    <w:basedOn w:val="Normal"/>
    <w:rsid w:val="002A2DB6"/>
    <w:pPr>
      <w:numPr>
        <w:numId w:val="14"/>
      </w:numPr>
    </w:pPr>
    <w:rPr>
      <w:rFonts w:eastAsia="Times New Roman"/>
      <w:lang w:val="fr-FR" w:eastAsia="en-GB"/>
    </w:rPr>
  </w:style>
  <w:style w:type="paragraph" w:styleId="ListNumber4">
    <w:name w:val="List Number 4"/>
    <w:basedOn w:val="Normal"/>
    <w:rsid w:val="002A2DB6"/>
    <w:pPr>
      <w:numPr>
        <w:numId w:val="15"/>
      </w:numPr>
    </w:pPr>
    <w:rPr>
      <w:rFonts w:eastAsia="Times New Roman"/>
      <w:lang w:val="fr-FR" w:eastAsia="en-GB"/>
    </w:rPr>
  </w:style>
  <w:style w:type="paragraph" w:customStyle="1" w:styleId="ListDash3">
    <w:name w:val="List Dash 3"/>
    <w:basedOn w:val="Normal"/>
    <w:rsid w:val="002A2DB6"/>
    <w:pPr>
      <w:numPr>
        <w:numId w:val="10"/>
      </w:numPr>
    </w:pPr>
    <w:rPr>
      <w:rFonts w:eastAsia="Times New Roman"/>
      <w:lang w:val="fr-FR" w:eastAsia="en-GB"/>
    </w:rPr>
  </w:style>
  <w:style w:type="paragraph" w:customStyle="1" w:styleId="ListDash4">
    <w:name w:val="List Dash 4"/>
    <w:basedOn w:val="Normal"/>
    <w:rsid w:val="002A2DB6"/>
    <w:pPr>
      <w:numPr>
        <w:numId w:val="11"/>
      </w:numPr>
    </w:pPr>
    <w:rPr>
      <w:rFonts w:eastAsia="Times New Roman"/>
      <w:lang w:val="fr-FR" w:eastAsia="en-GB"/>
    </w:rPr>
  </w:style>
  <w:style w:type="paragraph" w:customStyle="1" w:styleId="ListNumber1">
    <w:name w:val="List Number 1"/>
    <w:basedOn w:val="Text1"/>
    <w:rsid w:val="002A2DB6"/>
    <w:pPr>
      <w:numPr>
        <w:numId w:val="12"/>
      </w:numPr>
    </w:pPr>
    <w:rPr>
      <w:rFonts w:eastAsia="Times New Roman"/>
      <w:lang w:val="fr-FR" w:eastAsia="en-GB"/>
    </w:rPr>
  </w:style>
  <w:style w:type="paragraph" w:customStyle="1" w:styleId="ListNumber1Level2">
    <w:name w:val="List Number 1 (Level 2)"/>
    <w:basedOn w:val="Text1"/>
    <w:rsid w:val="002A2DB6"/>
    <w:pPr>
      <w:numPr>
        <w:ilvl w:val="1"/>
        <w:numId w:val="12"/>
      </w:numPr>
    </w:pPr>
    <w:rPr>
      <w:rFonts w:eastAsia="Times New Roman"/>
      <w:lang w:val="fr-FR" w:eastAsia="en-GB"/>
    </w:rPr>
  </w:style>
  <w:style w:type="paragraph" w:customStyle="1" w:styleId="ListNumber2Level2">
    <w:name w:val="List Number 2 (Level 2)"/>
    <w:basedOn w:val="Text2"/>
    <w:rsid w:val="002A2DB6"/>
    <w:pPr>
      <w:numPr>
        <w:ilvl w:val="1"/>
        <w:numId w:val="13"/>
      </w:numPr>
    </w:pPr>
    <w:rPr>
      <w:rFonts w:eastAsia="Times New Roman"/>
      <w:lang w:val="fr-FR" w:eastAsia="en-GB"/>
    </w:rPr>
  </w:style>
  <w:style w:type="paragraph" w:customStyle="1" w:styleId="ListNumber3Level2">
    <w:name w:val="List Number 3 (Level 2)"/>
    <w:basedOn w:val="Text3"/>
    <w:rsid w:val="002A2DB6"/>
    <w:pPr>
      <w:numPr>
        <w:ilvl w:val="1"/>
        <w:numId w:val="14"/>
      </w:numPr>
    </w:pPr>
    <w:rPr>
      <w:rFonts w:eastAsia="Times New Roman"/>
      <w:lang w:val="fr-FR" w:eastAsia="en-GB"/>
    </w:rPr>
  </w:style>
  <w:style w:type="paragraph" w:customStyle="1" w:styleId="ListNumber4Level2">
    <w:name w:val="List Number 4 (Level 2)"/>
    <w:basedOn w:val="Text4"/>
    <w:rsid w:val="002A2DB6"/>
    <w:pPr>
      <w:numPr>
        <w:ilvl w:val="1"/>
        <w:numId w:val="15"/>
      </w:numPr>
    </w:pPr>
    <w:rPr>
      <w:rFonts w:eastAsia="Times New Roman"/>
      <w:lang w:val="fr-FR" w:eastAsia="en-GB"/>
    </w:rPr>
  </w:style>
  <w:style w:type="paragraph" w:customStyle="1" w:styleId="ListNumber1Level3">
    <w:name w:val="List Number 1 (Level 3)"/>
    <w:basedOn w:val="Text1"/>
    <w:rsid w:val="002A2DB6"/>
    <w:pPr>
      <w:numPr>
        <w:ilvl w:val="2"/>
        <w:numId w:val="12"/>
      </w:numPr>
    </w:pPr>
    <w:rPr>
      <w:rFonts w:eastAsia="Times New Roman"/>
      <w:lang w:val="fr-FR" w:eastAsia="en-GB"/>
    </w:rPr>
  </w:style>
  <w:style w:type="paragraph" w:customStyle="1" w:styleId="ListNumber2Level3">
    <w:name w:val="List Number 2 (Level 3)"/>
    <w:basedOn w:val="Text2"/>
    <w:rsid w:val="002A2DB6"/>
    <w:pPr>
      <w:numPr>
        <w:ilvl w:val="2"/>
        <w:numId w:val="13"/>
      </w:numPr>
    </w:pPr>
    <w:rPr>
      <w:rFonts w:eastAsia="Times New Roman"/>
      <w:lang w:val="fr-FR" w:eastAsia="en-GB"/>
    </w:rPr>
  </w:style>
  <w:style w:type="paragraph" w:customStyle="1" w:styleId="ListNumber3Level3">
    <w:name w:val="List Number 3 (Level 3)"/>
    <w:basedOn w:val="Text3"/>
    <w:rsid w:val="002A2DB6"/>
    <w:pPr>
      <w:numPr>
        <w:ilvl w:val="2"/>
        <w:numId w:val="14"/>
      </w:numPr>
    </w:pPr>
    <w:rPr>
      <w:rFonts w:eastAsia="Times New Roman"/>
      <w:lang w:val="fr-FR" w:eastAsia="en-GB"/>
    </w:rPr>
  </w:style>
  <w:style w:type="paragraph" w:customStyle="1" w:styleId="ListNumber4Level3">
    <w:name w:val="List Number 4 (Level 3)"/>
    <w:basedOn w:val="Text4"/>
    <w:rsid w:val="002A2DB6"/>
    <w:pPr>
      <w:numPr>
        <w:ilvl w:val="2"/>
        <w:numId w:val="15"/>
      </w:numPr>
    </w:pPr>
    <w:rPr>
      <w:rFonts w:eastAsia="Times New Roman"/>
      <w:lang w:val="fr-FR" w:eastAsia="en-GB"/>
    </w:rPr>
  </w:style>
  <w:style w:type="paragraph" w:customStyle="1" w:styleId="ListNumber1Level4">
    <w:name w:val="List Number 1 (Level 4)"/>
    <w:basedOn w:val="Text1"/>
    <w:rsid w:val="002A2DB6"/>
    <w:pPr>
      <w:numPr>
        <w:ilvl w:val="3"/>
        <w:numId w:val="12"/>
      </w:numPr>
    </w:pPr>
    <w:rPr>
      <w:rFonts w:eastAsia="Times New Roman"/>
      <w:lang w:val="fr-FR" w:eastAsia="en-GB"/>
    </w:rPr>
  </w:style>
  <w:style w:type="paragraph" w:customStyle="1" w:styleId="ListNumber2Level4">
    <w:name w:val="List Number 2 (Level 4)"/>
    <w:basedOn w:val="Text2"/>
    <w:rsid w:val="002A2DB6"/>
    <w:pPr>
      <w:numPr>
        <w:ilvl w:val="3"/>
        <w:numId w:val="13"/>
      </w:numPr>
    </w:pPr>
    <w:rPr>
      <w:rFonts w:eastAsia="Times New Roman"/>
      <w:lang w:val="fr-FR" w:eastAsia="en-GB"/>
    </w:rPr>
  </w:style>
  <w:style w:type="paragraph" w:customStyle="1" w:styleId="ListNumber3Level4">
    <w:name w:val="List Number 3 (Level 4)"/>
    <w:basedOn w:val="Text3"/>
    <w:rsid w:val="002A2DB6"/>
    <w:pPr>
      <w:numPr>
        <w:ilvl w:val="3"/>
        <w:numId w:val="14"/>
      </w:numPr>
    </w:pPr>
    <w:rPr>
      <w:rFonts w:eastAsia="Times New Roman"/>
      <w:lang w:val="fr-FR" w:eastAsia="en-GB"/>
    </w:rPr>
  </w:style>
  <w:style w:type="paragraph" w:customStyle="1" w:styleId="ListNumber4Level4">
    <w:name w:val="List Number 4 (Level 4)"/>
    <w:basedOn w:val="Text4"/>
    <w:rsid w:val="002A2DB6"/>
    <w:pPr>
      <w:numPr>
        <w:ilvl w:val="3"/>
        <w:numId w:val="15"/>
      </w:numPr>
    </w:pPr>
    <w:rPr>
      <w:rFonts w:eastAsia="Times New Roman"/>
      <w:lang w:val="fr-FR" w:eastAsia="en-GB"/>
    </w:rPr>
  </w:style>
  <w:style w:type="paragraph" w:customStyle="1" w:styleId="Annexetitreacte">
    <w:name w:val="Annexe titre (acte)"/>
    <w:basedOn w:val="Normal"/>
    <w:next w:val="Normal"/>
    <w:rsid w:val="002A2DB6"/>
    <w:pPr>
      <w:jc w:val="center"/>
    </w:pPr>
    <w:rPr>
      <w:rFonts w:eastAsia="Times New Roman"/>
      <w:b/>
      <w:u w:val="single"/>
      <w:lang w:val="fr-FR" w:eastAsia="en-GB"/>
    </w:rPr>
  </w:style>
  <w:style w:type="paragraph" w:customStyle="1" w:styleId="Annexetitreexposglobal">
    <w:name w:val="Annexe titre (exposé global)"/>
    <w:basedOn w:val="Normal"/>
    <w:next w:val="Normal"/>
    <w:rsid w:val="002A2DB6"/>
    <w:pPr>
      <w:jc w:val="center"/>
    </w:pPr>
    <w:rPr>
      <w:rFonts w:eastAsia="Times New Roman"/>
      <w:b/>
      <w:u w:val="single"/>
      <w:lang w:val="fr-FR" w:eastAsia="en-GB"/>
    </w:rPr>
  </w:style>
  <w:style w:type="paragraph" w:customStyle="1" w:styleId="Annexetitrefichefinacte">
    <w:name w:val="Annexe titre (fiche fin. acte)"/>
    <w:basedOn w:val="Normal"/>
    <w:next w:val="Normal"/>
    <w:rsid w:val="002A2DB6"/>
    <w:pPr>
      <w:jc w:val="center"/>
    </w:pPr>
    <w:rPr>
      <w:rFonts w:eastAsia="Times New Roman"/>
      <w:b/>
      <w:u w:val="single"/>
      <w:lang w:val="fr-FR" w:eastAsia="en-GB"/>
    </w:rPr>
  </w:style>
  <w:style w:type="paragraph" w:customStyle="1" w:styleId="Annexetitrefichefinglobale">
    <w:name w:val="Annexe titre (fiche fin. globale)"/>
    <w:basedOn w:val="Normal"/>
    <w:next w:val="Normal"/>
    <w:rsid w:val="002A2DB6"/>
    <w:pPr>
      <w:jc w:val="center"/>
    </w:pPr>
    <w:rPr>
      <w:rFonts w:eastAsia="Times New Roman"/>
      <w:b/>
      <w:u w:val="single"/>
      <w:lang w:val="fr-FR" w:eastAsia="en-GB"/>
    </w:rPr>
  </w:style>
  <w:style w:type="paragraph" w:customStyle="1" w:styleId="Annexetitreglobale">
    <w:name w:val="Annexe titre (globale)"/>
    <w:basedOn w:val="Normal"/>
    <w:next w:val="Normal"/>
    <w:rsid w:val="002A2DB6"/>
    <w:pPr>
      <w:jc w:val="center"/>
    </w:pPr>
    <w:rPr>
      <w:rFonts w:eastAsia="Times New Roman"/>
      <w:b/>
      <w:u w:val="single"/>
      <w:lang w:val="fr-FR" w:eastAsia="en-GB"/>
    </w:rPr>
  </w:style>
  <w:style w:type="paragraph" w:customStyle="1" w:styleId="Exposdesmotifstitreglobal">
    <w:name w:val="Exposé des motifs titre (global)"/>
    <w:basedOn w:val="Normal"/>
    <w:next w:val="Normal"/>
    <w:rsid w:val="002A2DB6"/>
    <w:pPr>
      <w:jc w:val="center"/>
    </w:pPr>
    <w:rPr>
      <w:rFonts w:eastAsia="Times New Roman"/>
      <w:b/>
      <w:u w:val="single"/>
      <w:lang w:val="fr-FR" w:eastAsia="en-GB"/>
    </w:rPr>
  </w:style>
  <w:style w:type="paragraph" w:customStyle="1" w:styleId="Langueoriginale">
    <w:name w:val="Langue originale"/>
    <w:basedOn w:val="Normal"/>
    <w:rsid w:val="002A2DB6"/>
    <w:pPr>
      <w:spacing w:before="360"/>
      <w:jc w:val="center"/>
    </w:pPr>
    <w:rPr>
      <w:rFonts w:eastAsia="Times New Roman"/>
      <w:caps/>
      <w:lang w:val="fr-FR" w:eastAsia="en-GB"/>
    </w:rPr>
  </w:style>
  <w:style w:type="paragraph" w:customStyle="1" w:styleId="Phrasefinale">
    <w:name w:val="Phrase finale"/>
    <w:basedOn w:val="Normal"/>
    <w:next w:val="Normal"/>
    <w:rsid w:val="002A2DB6"/>
    <w:pPr>
      <w:spacing w:before="360" w:after="0"/>
      <w:jc w:val="center"/>
    </w:pPr>
    <w:rPr>
      <w:rFonts w:eastAsia="Times New Roman"/>
      <w:lang w:val="fr-FR" w:eastAsia="en-GB"/>
    </w:rPr>
  </w:style>
  <w:style w:type="paragraph" w:customStyle="1" w:styleId="Prliminairetitre">
    <w:name w:val="Préliminaire titre"/>
    <w:basedOn w:val="Normal"/>
    <w:next w:val="Normal"/>
    <w:rsid w:val="002A2DB6"/>
    <w:pPr>
      <w:spacing w:before="360" w:after="360"/>
      <w:jc w:val="center"/>
    </w:pPr>
    <w:rPr>
      <w:rFonts w:eastAsia="Times New Roman"/>
      <w:b/>
      <w:lang w:val="fr-FR" w:eastAsia="en-GB"/>
    </w:rPr>
  </w:style>
  <w:style w:type="paragraph" w:customStyle="1" w:styleId="Prliminairetype">
    <w:name w:val="Préliminaire type"/>
    <w:basedOn w:val="Normal"/>
    <w:next w:val="Normal"/>
    <w:rsid w:val="002A2DB6"/>
    <w:pPr>
      <w:spacing w:before="360" w:after="0"/>
      <w:jc w:val="center"/>
    </w:pPr>
    <w:rPr>
      <w:rFonts w:eastAsia="Times New Roman"/>
      <w:b/>
      <w:lang w:val="fr-FR" w:eastAsia="en-GB"/>
    </w:rPr>
  </w:style>
  <w:style w:type="paragraph" w:customStyle="1" w:styleId="Rfrenceinstitutionelle">
    <w:name w:val="Référence institutionelle"/>
    <w:basedOn w:val="Normal"/>
    <w:next w:val="Statut"/>
    <w:rsid w:val="002A2DB6"/>
    <w:pPr>
      <w:spacing w:before="0" w:after="240"/>
      <w:ind w:left="5103"/>
      <w:jc w:val="left"/>
    </w:pPr>
    <w:rPr>
      <w:rFonts w:eastAsia="Times New Roman"/>
      <w:lang w:val="fr-FR" w:eastAsia="en-GB"/>
    </w:rPr>
  </w:style>
  <w:style w:type="paragraph" w:customStyle="1" w:styleId="Rfrenceinterinstitutionelle">
    <w:name w:val="Référence interinstitutionelle"/>
    <w:basedOn w:val="Normal"/>
    <w:next w:val="Statut"/>
    <w:rsid w:val="002A2DB6"/>
    <w:pPr>
      <w:spacing w:before="0" w:after="0"/>
      <w:ind w:left="5103"/>
      <w:jc w:val="left"/>
    </w:pPr>
    <w:rPr>
      <w:rFonts w:eastAsia="Times New Roman"/>
      <w:lang w:val="fr-FR" w:eastAsia="en-GB"/>
    </w:rPr>
  </w:style>
  <w:style w:type="paragraph" w:customStyle="1" w:styleId="Rfrenceinterinstitutionelleprliminaire">
    <w:name w:val="Référence interinstitutionelle (préliminaire)"/>
    <w:basedOn w:val="Normal"/>
    <w:next w:val="Normal"/>
    <w:rsid w:val="002A2DB6"/>
    <w:pPr>
      <w:spacing w:before="0" w:after="0"/>
      <w:ind w:left="5103"/>
      <w:jc w:val="left"/>
    </w:pPr>
    <w:rPr>
      <w:rFonts w:eastAsia="Times New Roman"/>
      <w:lang w:val="fr-FR" w:eastAsia="en-GB"/>
    </w:rPr>
  </w:style>
  <w:style w:type="paragraph" w:customStyle="1" w:styleId="Sous-titreobjetprliminaire">
    <w:name w:val="Sous-titre objet (préliminaire)"/>
    <w:basedOn w:val="Normal"/>
    <w:rsid w:val="002A2DB6"/>
    <w:pPr>
      <w:spacing w:before="0" w:after="0"/>
      <w:jc w:val="center"/>
    </w:pPr>
    <w:rPr>
      <w:rFonts w:eastAsia="Times New Roman"/>
      <w:b/>
      <w:lang w:val="fr-FR" w:eastAsia="en-GB"/>
    </w:rPr>
  </w:style>
  <w:style w:type="paragraph" w:customStyle="1" w:styleId="Statutprliminaire">
    <w:name w:val="Statut (préliminaire)"/>
    <w:basedOn w:val="Normal"/>
    <w:next w:val="Normal"/>
    <w:rsid w:val="002A2DB6"/>
    <w:pPr>
      <w:spacing w:before="360" w:after="0"/>
      <w:jc w:val="center"/>
    </w:pPr>
    <w:rPr>
      <w:rFonts w:eastAsia="Times New Roman"/>
      <w:lang w:val="fr-FR" w:eastAsia="en-GB"/>
    </w:rPr>
  </w:style>
  <w:style w:type="paragraph" w:customStyle="1" w:styleId="Titreobjetprliminaire">
    <w:name w:val="Titre objet (préliminaire)"/>
    <w:basedOn w:val="Normal"/>
    <w:next w:val="Normal"/>
    <w:rsid w:val="002A2DB6"/>
    <w:pPr>
      <w:spacing w:before="360" w:after="360"/>
      <w:jc w:val="center"/>
    </w:pPr>
    <w:rPr>
      <w:rFonts w:eastAsia="Times New Roman"/>
      <w:b/>
      <w:lang w:val="fr-FR" w:eastAsia="en-GB"/>
    </w:rPr>
  </w:style>
  <w:style w:type="paragraph" w:customStyle="1" w:styleId="Typedudocumentprliminaire">
    <w:name w:val="Type du document (préliminaire)"/>
    <w:basedOn w:val="Normal"/>
    <w:next w:val="Normal"/>
    <w:rsid w:val="002A2DB6"/>
    <w:pPr>
      <w:spacing w:before="360" w:after="0"/>
      <w:jc w:val="center"/>
    </w:pPr>
    <w:rPr>
      <w:rFonts w:eastAsia="Times New Roman"/>
      <w:b/>
      <w:lang w:val="fr-FR" w:eastAsia="en-GB"/>
    </w:rPr>
  </w:style>
  <w:style w:type="paragraph" w:customStyle="1" w:styleId="Fichefinancirestandardtitre">
    <w:name w:val="Fiche financière (standard) titre"/>
    <w:basedOn w:val="Normal"/>
    <w:next w:val="Normal"/>
    <w:rsid w:val="002A2DB6"/>
    <w:pPr>
      <w:jc w:val="center"/>
    </w:pPr>
    <w:rPr>
      <w:rFonts w:eastAsia="Times New Roman"/>
      <w:b/>
      <w:u w:val="single"/>
      <w:lang w:val="fr-FR" w:eastAsia="en-GB"/>
    </w:rPr>
  </w:style>
  <w:style w:type="paragraph" w:customStyle="1" w:styleId="Fichefinancirestandardtitreacte">
    <w:name w:val="Fiche financière (standard) titre (acte)"/>
    <w:basedOn w:val="Normal"/>
    <w:next w:val="Normal"/>
    <w:rsid w:val="002A2DB6"/>
    <w:pPr>
      <w:jc w:val="center"/>
    </w:pPr>
    <w:rPr>
      <w:rFonts w:eastAsia="Times New Roman"/>
      <w:b/>
      <w:u w:val="single"/>
      <w:lang w:val="fr-FR" w:eastAsia="en-GB"/>
    </w:rPr>
  </w:style>
  <w:style w:type="paragraph" w:customStyle="1" w:styleId="Fichefinanciretravailtitre">
    <w:name w:val="Fiche financière (travail) titre"/>
    <w:basedOn w:val="Normal"/>
    <w:next w:val="Normal"/>
    <w:rsid w:val="002A2DB6"/>
    <w:pPr>
      <w:jc w:val="center"/>
    </w:pPr>
    <w:rPr>
      <w:rFonts w:eastAsia="Times New Roman"/>
      <w:b/>
      <w:u w:val="single"/>
      <w:lang w:val="fr-FR" w:eastAsia="en-GB"/>
    </w:rPr>
  </w:style>
  <w:style w:type="paragraph" w:customStyle="1" w:styleId="Fichefinanciretravailtitreacte">
    <w:name w:val="Fiche financière (travail) titre (acte)"/>
    <w:basedOn w:val="Normal"/>
    <w:next w:val="Normal"/>
    <w:rsid w:val="002A2DB6"/>
    <w:pPr>
      <w:jc w:val="center"/>
    </w:pPr>
    <w:rPr>
      <w:rFonts w:eastAsia="Times New Roman"/>
      <w:b/>
      <w:u w:val="single"/>
      <w:lang w:val="fr-FR" w:eastAsia="en-GB"/>
    </w:rPr>
  </w:style>
  <w:style w:type="paragraph" w:customStyle="1" w:styleId="Fichefinancireattributiontitre">
    <w:name w:val="Fiche financière (attribution) titre"/>
    <w:basedOn w:val="Normal"/>
    <w:next w:val="Normal"/>
    <w:rsid w:val="002A2DB6"/>
    <w:pPr>
      <w:jc w:val="center"/>
    </w:pPr>
    <w:rPr>
      <w:rFonts w:eastAsia="Times New Roman"/>
      <w:b/>
      <w:u w:val="single"/>
      <w:lang w:val="fr-FR" w:eastAsia="en-GB"/>
    </w:rPr>
  </w:style>
  <w:style w:type="paragraph" w:customStyle="1" w:styleId="Fichefinancireattributiontitreacte">
    <w:name w:val="Fiche financière (attribution) titre (acte)"/>
    <w:basedOn w:val="Normal"/>
    <w:next w:val="Normal"/>
    <w:rsid w:val="002A2DB6"/>
    <w:pPr>
      <w:jc w:val="center"/>
    </w:pPr>
    <w:rPr>
      <w:rFonts w:eastAsia="Times New Roman"/>
      <w:b/>
      <w:u w:val="single"/>
      <w:lang w:val="fr-FR" w:eastAsia="en-GB"/>
    </w:rPr>
  </w:style>
  <w:style w:type="character" w:styleId="CommentReference">
    <w:name w:val="annotation reference"/>
    <w:rsid w:val="002A2DB6"/>
    <w:rPr>
      <w:rFonts w:cs="Times New Roman"/>
      <w:sz w:val="16"/>
      <w:szCs w:val="16"/>
    </w:rPr>
  </w:style>
  <w:style w:type="paragraph" w:styleId="CommentText">
    <w:name w:val="annotation text"/>
    <w:basedOn w:val="Normal"/>
    <w:link w:val="CommentTextChar"/>
    <w:rsid w:val="002A2DB6"/>
    <w:rPr>
      <w:rFonts w:eastAsia="Times New Roman"/>
      <w:sz w:val="20"/>
      <w:szCs w:val="20"/>
      <w:lang w:val="fr-FR" w:eastAsia="en-GB"/>
    </w:rPr>
  </w:style>
  <w:style w:type="character" w:customStyle="1" w:styleId="CommentTextChar">
    <w:name w:val="Comment Text Char"/>
    <w:basedOn w:val="DefaultParagraphFont"/>
    <w:link w:val="CommentText"/>
    <w:rsid w:val="002A2DB6"/>
    <w:rPr>
      <w:rFonts w:ascii="Times New Roman" w:eastAsia="Times New Roman" w:hAnsi="Times New Roman" w:cs="Times New Roman"/>
      <w:sz w:val="20"/>
      <w:szCs w:val="20"/>
      <w:lang w:val="fr-FR" w:eastAsia="en-GB"/>
    </w:rPr>
  </w:style>
  <w:style w:type="paragraph" w:styleId="CommentSubject">
    <w:name w:val="annotation subject"/>
    <w:basedOn w:val="CommentText"/>
    <w:next w:val="CommentText"/>
    <w:link w:val="CommentSubjectChar"/>
    <w:uiPriority w:val="99"/>
    <w:rsid w:val="002A2DB6"/>
    <w:rPr>
      <w:b/>
      <w:bCs/>
    </w:rPr>
  </w:style>
  <w:style w:type="character" w:customStyle="1" w:styleId="CommentSubjectChar">
    <w:name w:val="Comment Subject Char"/>
    <w:basedOn w:val="CommentTextChar"/>
    <w:link w:val="CommentSubject"/>
    <w:uiPriority w:val="99"/>
    <w:rsid w:val="002A2DB6"/>
    <w:rPr>
      <w:rFonts w:ascii="Times New Roman" w:eastAsia="Times New Roman" w:hAnsi="Times New Roman" w:cs="Times New Roman"/>
      <w:b/>
      <w:bCs/>
      <w:sz w:val="20"/>
      <w:szCs w:val="20"/>
      <w:lang w:val="fr-FR" w:eastAsia="en-GB"/>
    </w:rPr>
  </w:style>
  <w:style w:type="paragraph" w:styleId="BalloonText">
    <w:name w:val="Balloon Text"/>
    <w:basedOn w:val="Normal"/>
    <w:link w:val="BalloonTextChar"/>
    <w:uiPriority w:val="99"/>
    <w:rsid w:val="002A2DB6"/>
    <w:rPr>
      <w:rFonts w:ascii="Tahoma" w:eastAsia="Times New Roman" w:hAnsi="Tahoma" w:cs="Tahoma"/>
      <w:sz w:val="16"/>
      <w:szCs w:val="16"/>
      <w:lang w:val="fr-FR" w:eastAsia="en-GB"/>
    </w:rPr>
  </w:style>
  <w:style w:type="character" w:customStyle="1" w:styleId="BalloonTextChar">
    <w:name w:val="Balloon Text Char"/>
    <w:basedOn w:val="DefaultParagraphFont"/>
    <w:link w:val="BalloonText"/>
    <w:uiPriority w:val="99"/>
    <w:rsid w:val="002A2DB6"/>
    <w:rPr>
      <w:rFonts w:ascii="Tahoma" w:eastAsia="Times New Roman" w:hAnsi="Tahoma" w:cs="Tahoma"/>
      <w:sz w:val="16"/>
      <w:szCs w:val="16"/>
      <w:lang w:val="fr-FR" w:eastAsia="en-GB"/>
    </w:rPr>
  </w:style>
  <w:style w:type="paragraph" w:styleId="Caption">
    <w:name w:val="caption"/>
    <w:basedOn w:val="Normal"/>
    <w:next w:val="Normal"/>
    <w:qFormat/>
    <w:rsid w:val="002A2DB6"/>
    <w:rPr>
      <w:rFonts w:eastAsia="Times New Roman"/>
      <w:b/>
      <w:bCs/>
      <w:sz w:val="20"/>
      <w:szCs w:val="20"/>
      <w:lang w:val="fr-FR" w:eastAsia="en-GB"/>
    </w:rPr>
  </w:style>
  <w:style w:type="paragraph" w:styleId="TableofFigures">
    <w:name w:val="table of figures"/>
    <w:basedOn w:val="Normal"/>
    <w:next w:val="Normal"/>
    <w:rsid w:val="002A2DB6"/>
    <w:rPr>
      <w:rFonts w:eastAsia="Times New Roman"/>
      <w:lang w:val="fr-FR" w:eastAsia="en-GB"/>
    </w:rPr>
  </w:style>
  <w:style w:type="character" w:styleId="PageNumber">
    <w:name w:val="page number"/>
    <w:rsid w:val="002A2DB6"/>
  </w:style>
  <w:style w:type="character" w:customStyle="1" w:styleId="tw4winMark">
    <w:name w:val="tw4winMark"/>
    <w:rsid w:val="002A2DB6"/>
    <w:rPr>
      <w:vanish/>
      <w:color w:val="800080"/>
      <w:vertAlign w:val="subscript"/>
    </w:rPr>
  </w:style>
  <w:style w:type="character" w:styleId="FollowedHyperlink">
    <w:name w:val="FollowedHyperlink"/>
    <w:uiPriority w:val="99"/>
    <w:rsid w:val="002A2DB6"/>
    <w:rPr>
      <w:color w:val="800080"/>
      <w:u w:val="single"/>
    </w:rPr>
  </w:style>
  <w:style w:type="paragraph" w:customStyle="1" w:styleId="Sous-titreobjet">
    <w:name w:val="Sous-titre objet"/>
    <w:basedOn w:val="Normal"/>
    <w:rsid w:val="002A2DB6"/>
    <w:pPr>
      <w:spacing w:before="0" w:after="0"/>
      <w:jc w:val="center"/>
    </w:pPr>
    <w:rPr>
      <w:rFonts w:eastAsia="Times New Roman"/>
      <w:b/>
      <w:lang w:eastAsia="en-GB"/>
    </w:rPr>
  </w:style>
  <w:style w:type="paragraph" w:customStyle="1" w:styleId="Sous-titreobjetPagedecouverture">
    <w:name w:val="Sous-titre objet (Page de couverture)"/>
    <w:basedOn w:val="Sous-titreobjet"/>
    <w:rsid w:val="002A2DB6"/>
  </w:style>
  <w:style w:type="paragraph" w:styleId="Revision">
    <w:name w:val="Revision"/>
    <w:hidden/>
    <w:uiPriority w:val="99"/>
    <w:semiHidden/>
    <w:rsid w:val="002A2DB6"/>
    <w:rPr>
      <w:rFonts w:ascii="Calibri" w:eastAsia="Calibri" w:hAnsi="Calibri" w:cs="Times New Roman"/>
      <w:sz w:val="24"/>
      <w:lang w:val="en-GB" w:eastAsia="en-GB"/>
    </w:rPr>
  </w:style>
  <w:style w:type="paragraph" w:customStyle="1" w:styleId="FooterCoverPage">
    <w:name w:val="Footer Cover Page"/>
    <w:basedOn w:val="Normal"/>
    <w:link w:val="FooterCoverPageChar"/>
    <w:uiPriority w:val="1"/>
    <w:rsid w:val="002A2DB6"/>
    <w:pPr>
      <w:tabs>
        <w:tab w:val="center" w:pos="4535"/>
        <w:tab w:val="right" w:pos="9071"/>
        <w:tab w:val="right" w:pos="9921"/>
      </w:tabs>
      <w:spacing w:before="360" w:after="0"/>
      <w:ind w:left="-850" w:right="-850"/>
      <w:jc w:val="left"/>
    </w:pPr>
    <w:rPr>
      <w:rFonts w:eastAsia="Calibri"/>
      <w:lang w:eastAsia="en-GB"/>
    </w:rPr>
  </w:style>
  <w:style w:type="character" w:customStyle="1" w:styleId="TOCHeadingChar">
    <w:name w:val="TOC Heading Char"/>
    <w:uiPriority w:val="39"/>
    <w:rsid w:val="002A2DB6"/>
    <w:rPr>
      <w:rFonts w:ascii="Times New Roman" w:hAnsi="Times New Roman" w:cs="Times New Roman"/>
      <w:b/>
      <w:sz w:val="28"/>
      <w:lang w:val="en-GB"/>
    </w:rPr>
  </w:style>
  <w:style w:type="character" w:customStyle="1" w:styleId="FooterCoverPageChar">
    <w:name w:val="Footer Cover Page Char"/>
    <w:link w:val="FooterCoverPage"/>
    <w:rsid w:val="002A2DB6"/>
    <w:rPr>
      <w:rFonts w:ascii="Times New Roman" w:eastAsia="Calibri" w:hAnsi="Times New Roman" w:cs="Times New Roman"/>
      <w:sz w:val="24"/>
      <w:lang w:val="en-GB" w:eastAsia="en-GB"/>
    </w:rPr>
  </w:style>
  <w:style w:type="paragraph" w:customStyle="1" w:styleId="HeaderCoverPage">
    <w:name w:val="Header Cover Page"/>
    <w:basedOn w:val="Normal"/>
    <w:link w:val="HeaderCoverPageChar"/>
    <w:uiPriority w:val="1"/>
    <w:rsid w:val="002A2DB6"/>
    <w:pPr>
      <w:tabs>
        <w:tab w:val="center" w:pos="4535"/>
        <w:tab w:val="right" w:pos="9071"/>
      </w:tabs>
      <w:spacing w:before="0"/>
    </w:pPr>
    <w:rPr>
      <w:rFonts w:eastAsia="Calibri"/>
      <w:lang w:eastAsia="en-GB"/>
    </w:rPr>
  </w:style>
  <w:style w:type="character" w:customStyle="1" w:styleId="HeaderCoverPageChar">
    <w:name w:val="Header Cover Page Char"/>
    <w:link w:val="HeaderCoverPage"/>
    <w:rsid w:val="002A2DB6"/>
    <w:rPr>
      <w:rFonts w:ascii="Times New Roman" w:eastAsia="Calibri" w:hAnsi="Times New Roman" w:cs="Times New Roman"/>
      <w:sz w:val="24"/>
      <w:lang w:val="en-GB" w:eastAsia="en-GB"/>
    </w:rPr>
  </w:style>
  <w:style w:type="character" w:customStyle="1" w:styleId="FooterSensitivityChar">
    <w:name w:val="Footer Sensitivity Char"/>
    <w:rsid w:val="002A2DB6"/>
    <w:rPr>
      <w:rFonts w:ascii="Times New Roman" w:hAnsi="Times New Roman" w:cs="Times New Roman"/>
      <w:b/>
      <w:sz w:val="32"/>
      <w:lang w:val="en-GB"/>
    </w:rPr>
  </w:style>
  <w:style w:type="character" w:customStyle="1" w:styleId="HeaderSensitivityChar">
    <w:name w:val="Header Sensitivity Char"/>
    <w:rsid w:val="002A2DB6"/>
    <w:rPr>
      <w:rFonts w:ascii="Times New Roman" w:hAnsi="Times New Roman" w:cs="Times New Roman"/>
      <w:b/>
      <w:sz w:val="32"/>
      <w:lang w:val="en-GB"/>
    </w:rPr>
  </w:style>
  <w:style w:type="character" w:customStyle="1" w:styleId="HeaderSensitivityRightChar">
    <w:name w:val="Header Sensitivity Right Char"/>
    <w:rsid w:val="002A2DB6"/>
    <w:rPr>
      <w:rFonts w:ascii="Times New Roman" w:hAnsi="Times New Roman" w:cs="Times New Roman"/>
      <w:sz w:val="28"/>
      <w:lang w:val="en-GB"/>
    </w:rPr>
  </w:style>
  <w:style w:type="paragraph" w:customStyle="1" w:styleId="LegalNumPar">
    <w:name w:val="LegalNumPar"/>
    <w:basedOn w:val="Normal"/>
    <w:rsid w:val="002A2DB6"/>
    <w:pPr>
      <w:numPr>
        <w:numId w:val="16"/>
      </w:numPr>
      <w:spacing w:line="360" w:lineRule="auto"/>
    </w:pPr>
    <w:rPr>
      <w:rFonts w:eastAsia="Times New Roman"/>
      <w:lang w:eastAsia="en-GB"/>
    </w:rPr>
  </w:style>
  <w:style w:type="paragraph" w:customStyle="1" w:styleId="LegalNumPar2">
    <w:name w:val="LegalNumPar2"/>
    <w:basedOn w:val="Normal"/>
    <w:rsid w:val="002A2DB6"/>
    <w:pPr>
      <w:numPr>
        <w:ilvl w:val="1"/>
        <w:numId w:val="16"/>
      </w:numPr>
      <w:spacing w:line="360" w:lineRule="auto"/>
    </w:pPr>
    <w:rPr>
      <w:rFonts w:eastAsia="Times New Roman"/>
      <w:lang w:eastAsia="en-GB"/>
    </w:rPr>
  </w:style>
  <w:style w:type="paragraph" w:customStyle="1" w:styleId="LegalNumPar3">
    <w:name w:val="LegalNumPar3"/>
    <w:basedOn w:val="Normal"/>
    <w:rsid w:val="002A2DB6"/>
    <w:pPr>
      <w:numPr>
        <w:ilvl w:val="2"/>
        <w:numId w:val="16"/>
      </w:numPr>
      <w:spacing w:line="360" w:lineRule="auto"/>
    </w:pPr>
    <w:rPr>
      <w:rFonts w:eastAsia="Times New Roman"/>
      <w:lang w:eastAsia="en-GB"/>
    </w:rPr>
  </w:style>
  <w:style w:type="paragraph" w:styleId="ListParagraph">
    <w:name w:val="List Paragraph"/>
    <w:basedOn w:val="Normal"/>
    <w:link w:val="ListParagraphChar"/>
    <w:uiPriority w:val="34"/>
    <w:qFormat/>
    <w:rsid w:val="002A2DB6"/>
    <w:pPr>
      <w:ind w:left="720"/>
      <w:contextualSpacing/>
    </w:pPr>
    <w:rPr>
      <w:rFonts w:eastAsia="Times New Roman"/>
      <w:lang w:eastAsia="en-GB"/>
    </w:rPr>
  </w:style>
  <w:style w:type="character" w:customStyle="1" w:styleId="UnresolvedMention">
    <w:name w:val="Unresolved Mention"/>
    <w:basedOn w:val="DefaultParagraphFont"/>
    <w:uiPriority w:val="99"/>
    <w:semiHidden/>
    <w:unhideWhenUsed/>
    <w:rsid w:val="002A2DB6"/>
    <w:rPr>
      <w:color w:val="605E5C"/>
      <w:shd w:val="clear" w:color="auto" w:fill="E1DFDD"/>
    </w:rPr>
  </w:style>
  <w:style w:type="character" w:styleId="Strong">
    <w:name w:val="Strong"/>
    <w:basedOn w:val="DefaultParagraphFont"/>
    <w:uiPriority w:val="22"/>
    <w:qFormat/>
    <w:rsid w:val="002A2DB6"/>
    <w:rPr>
      <w:b/>
      <w:bCs/>
    </w:rPr>
  </w:style>
  <w:style w:type="character" w:styleId="Emphasis">
    <w:name w:val="Emphasis"/>
    <w:basedOn w:val="DefaultParagraphFont"/>
    <w:qFormat/>
    <w:rsid w:val="002A2DB6"/>
    <w:rPr>
      <w:i/>
      <w:iCs/>
    </w:rPr>
  </w:style>
  <w:style w:type="character" w:customStyle="1" w:styleId="Mention">
    <w:name w:val="Mention"/>
    <w:basedOn w:val="DefaultParagraphFont"/>
    <w:uiPriority w:val="99"/>
    <w:unhideWhenUsed/>
    <w:rsid w:val="002A2DB6"/>
    <w:rPr>
      <w:color w:val="2B579A"/>
      <w:shd w:val="clear" w:color="auto" w:fill="E1DFDD"/>
    </w:rPr>
  </w:style>
  <w:style w:type="character" w:customStyle="1" w:styleId="normaltextrun">
    <w:name w:val="normaltextrun"/>
    <w:basedOn w:val="DefaultParagraphFont"/>
    <w:rsid w:val="002A2DB6"/>
  </w:style>
  <w:style w:type="character" w:customStyle="1" w:styleId="eop">
    <w:name w:val="eop"/>
    <w:basedOn w:val="DefaultParagraphFont"/>
    <w:rsid w:val="002A2DB6"/>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qFormat/>
    <w:rsid w:val="00273F36"/>
    <w:pPr>
      <w:spacing w:before="0" w:after="160" w:line="240" w:lineRule="exact"/>
      <w:jc w:val="left"/>
    </w:pPr>
    <w:rPr>
      <w:rFonts w:asciiTheme="minorHAnsi" w:hAnsiTheme="minorHAnsi" w:cstheme="minorBidi"/>
      <w:sz w:val="22"/>
      <w:vertAlign w:val="superscript"/>
      <w:lang w:val="en-US"/>
    </w:rPr>
  </w:style>
  <w:style w:type="character" w:customStyle="1" w:styleId="ListParagraphChar">
    <w:name w:val="List Paragraph Char"/>
    <w:basedOn w:val="DefaultParagraphFont"/>
    <w:link w:val="ListParagraph"/>
    <w:uiPriority w:val="34"/>
    <w:locked/>
    <w:rsid w:val="00273F36"/>
    <w:rPr>
      <w:rFonts w:ascii="Times New Roman" w:eastAsia="Times New Roman" w:hAnsi="Times New Roman" w:cs="Times New Roman"/>
      <w:sz w:val="24"/>
      <w:lang w:val="en-GB" w:eastAsia="en-GB"/>
    </w:rPr>
  </w:style>
  <w:style w:type="paragraph" w:customStyle="1" w:styleId="paragraph">
    <w:name w:val="paragraph"/>
    <w:basedOn w:val="Normal"/>
    <w:uiPriority w:val="1"/>
    <w:rsid w:val="00273F36"/>
    <w:pPr>
      <w:spacing w:before="100" w:beforeAutospacing="1" w:after="100" w:afterAutospacing="1"/>
      <w:jc w:val="left"/>
    </w:pPr>
    <w:rPr>
      <w:rFonts w:eastAsia="Times New Roman"/>
      <w:szCs w:val="24"/>
      <w:lang w:val="en-IE" w:eastAsia="en-IE"/>
    </w:rPr>
  </w:style>
  <w:style w:type="character" w:customStyle="1" w:styleId="Bodytext1">
    <w:name w:val="Body text|1_"/>
    <w:basedOn w:val="DefaultParagraphFont"/>
    <w:link w:val="Bodytext10"/>
    <w:locked/>
    <w:rsid w:val="00273F36"/>
    <w:rPr>
      <w:color w:val="231F20"/>
      <w:sz w:val="19"/>
      <w:szCs w:val="19"/>
    </w:rPr>
  </w:style>
  <w:style w:type="paragraph" w:customStyle="1" w:styleId="Bodytext10">
    <w:name w:val="Body text|1"/>
    <w:basedOn w:val="Normal"/>
    <w:link w:val="Bodytext1"/>
    <w:rsid w:val="00273F36"/>
    <w:pPr>
      <w:widowControl w:val="0"/>
      <w:spacing w:before="0" w:after="280"/>
      <w:jc w:val="left"/>
    </w:pPr>
    <w:rPr>
      <w:rFonts w:asciiTheme="minorHAnsi" w:hAnsiTheme="minorHAnsi" w:cstheme="minorBidi"/>
      <w:color w:val="231F20"/>
      <w:sz w:val="19"/>
      <w:szCs w:val="19"/>
      <w:lang w:val="en-US"/>
    </w:rPr>
  </w:style>
  <w:style w:type="character" w:customStyle="1" w:styleId="Bodytext2">
    <w:name w:val="Body text|2_"/>
    <w:basedOn w:val="DefaultParagraphFont"/>
    <w:link w:val="Bodytext20"/>
    <w:rsid w:val="00273F36"/>
    <w:rPr>
      <w:b/>
      <w:bCs/>
      <w:color w:val="231F20"/>
      <w:sz w:val="17"/>
      <w:szCs w:val="17"/>
    </w:rPr>
  </w:style>
  <w:style w:type="paragraph" w:customStyle="1" w:styleId="Bodytext20">
    <w:name w:val="Body text|2"/>
    <w:basedOn w:val="Normal"/>
    <w:link w:val="Bodytext2"/>
    <w:rsid w:val="00273F36"/>
    <w:pPr>
      <w:widowControl w:val="0"/>
      <w:spacing w:before="0" w:after="340"/>
      <w:ind w:left="1180"/>
      <w:jc w:val="left"/>
    </w:pPr>
    <w:rPr>
      <w:rFonts w:asciiTheme="minorHAnsi" w:hAnsiTheme="minorHAnsi" w:cstheme="minorBidi"/>
      <w:b/>
      <w:bCs/>
      <w:color w:val="231F20"/>
      <w:sz w:val="17"/>
      <w:szCs w:val="17"/>
      <w:lang w:val="en-US"/>
    </w:rPr>
  </w:style>
  <w:style w:type="character" w:customStyle="1" w:styleId="cf01">
    <w:name w:val="cf01"/>
    <w:basedOn w:val="DefaultParagraphFont"/>
    <w:rsid w:val="00273F36"/>
    <w:rPr>
      <w:rFonts w:ascii="Segoe UI" w:hAnsi="Segoe UI" w:cs="Segoe UI" w:hint="default"/>
      <w:sz w:val="18"/>
      <w:szCs w:val="18"/>
    </w:rPr>
  </w:style>
  <w:style w:type="paragraph" w:styleId="NormalWeb">
    <w:name w:val="Normal (Web)"/>
    <w:basedOn w:val="Normal"/>
    <w:uiPriority w:val="99"/>
    <w:semiHidden/>
    <w:unhideWhenUsed/>
    <w:rsid w:val="007966CD"/>
    <w:rPr>
      <w:szCs w:val="24"/>
    </w:rPr>
  </w:style>
  <w:style w:type="table" w:customStyle="1" w:styleId="TableGrid1">
    <w:name w:val="Table Grid1"/>
    <w:basedOn w:val="TableNormal"/>
    <w:next w:val="TableGrid"/>
    <w:uiPriority w:val="39"/>
    <w:rsid w:val="007966CD"/>
    <w:pPr>
      <w:spacing w:before="120" w:after="120" w:line="240" w:lineRule="auto"/>
      <w:jc w:val="both"/>
    </w:pPr>
    <w:rPr>
      <w:rFonts w:ascii="Times New Roman" w:eastAsia="Times New Roman" w:hAnsi="Times New Roman" w:cs="Times New Roman"/>
      <w:sz w:val="20"/>
      <w:szCs w:val="20"/>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966CD"/>
  </w:style>
  <w:style w:type="table" w:customStyle="1" w:styleId="TableGrid2">
    <w:name w:val="Table Grid2"/>
    <w:basedOn w:val="TableNormal"/>
    <w:next w:val="TableGrid"/>
    <w:uiPriority w:val="39"/>
    <w:rsid w:val="007966CD"/>
    <w:pPr>
      <w:spacing w:before="120" w:after="120" w:line="240" w:lineRule="auto"/>
      <w:jc w:val="both"/>
    </w:pPr>
    <w:rPr>
      <w:rFonts w:ascii="Times New Roman" w:eastAsia="Times New Roman" w:hAnsi="Times New Roman" w:cs="Times New Roman"/>
      <w:sz w:val="20"/>
      <w:szCs w:val="20"/>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E934F2"/>
    <w:pPr>
      <w:spacing w:before="0" w:after="0"/>
      <w:jc w:val="left"/>
    </w:pPr>
    <w:rPr>
      <w:rFonts w:ascii="Arial Narrow" w:hAnsi="Arial Narrow" w:cstheme="minorBidi"/>
      <w:color w:val="000000" w:themeColor="text1"/>
      <w:sz w:val="20"/>
      <w:szCs w:val="20"/>
    </w:rPr>
  </w:style>
  <w:style w:type="character" w:customStyle="1" w:styleId="EndnoteTextChar">
    <w:name w:val="Endnote Text Char"/>
    <w:basedOn w:val="DefaultParagraphFont"/>
    <w:link w:val="EndnoteText"/>
    <w:uiPriority w:val="99"/>
    <w:semiHidden/>
    <w:rsid w:val="00E934F2"/>
    <w:rPr>
      <w:rFonts w:ascii="Arial Narrow" w:hAnsi="Arial Narrow"/>
      <w:color w:val="000000" w:themeColor="text1"/>
      <w:sz w:val="20"/>
      <w:szCs w:val="20"/>
      <w:lang w:val="en-GB"/>
    </w:rPr>
  </w:style>
  <w:style w:type="character" w:styleId="EndnoteReference">
    <w:name w:val="endnote reference"/>
    <w:basedOn w:val="DefaultParagraphFont"/>
    <w:uiPriority w:val="99"/>
    <w:semiHidden/>
    <w:unhideWhenUsed/>
    <w:rsid w:val="00E934F2"/>
    <w:rPr>
      <w:vertAlign w:val="superscript"/>
    </w:rPr>
  </w:style>
  <w:style w:type="paragraph" w:customStyle="1" w:styleId="ListBulletLevel2">
    <w:name w:val="List Bullet (Level 2)"/>
    <w:uiPriority w:val="5"/>
    <w:qFormat/>
    <w:rsid w:val="00E934F2"/>
    <w:pPr>
      <w:spacing w:before="80" w:after="80" w:line="264" w:lineRule="auto"/>
      <w:ind w:left="1440" w:hanging="363"/>
    </w:pPr>
    <w:rPr>
      <w:rFonts w:ascii="Arial" w:eastAsia="Times New Roman" w:hAnsi="Arial" w:cs="Times New Roman"/>
      <w:sz w:val="24"/>
      <w:szCs w:val="24"/>
      <w:lang w:val="en-GB" w:eastAsia="de-DE"/>
    </w:rPr>
  </w:style>
  <w:style w:type="paragraph" w:customStyle="1" w:styleId="ListBulletLevel3">
    <w:name w:val="List Bullet (Level 3)"/>
    <w:uiPriority w:val="5"/>
    <w:qFormat/>
    <w:rsid w:val="00E934F2"/>
    <w:pPr>
      <w:spacing w:before="80" w:after="80" w:line="264" w:lineRule="auto"/>
      <w:ind w:left="2160" w:hanging="363"/>
    </w:pPr>
    <w:rPr>
      <w:rFonts w:ascii="Arial" w:eastAsia="Times New Roman" w:hAnsi="Arial" w:cs="Times New Roman"/>
      <w:sz w:val="24"/>
      <w:szCs w:val="24"/>
      <w:lang w:val="en-GB" w:eastAsia="de-DE"/>
    </w:rPr>
  </w:style>
  <w:style w:type="paragraph" w:customStyle="1" w:styleId="ListBulletLevel4">
    <w:name w:val="List Bullet (Level 4)"/>
    <w:uiPriority w:val="5"/>
    <w:qFormat/>
    <w:rsid w:val="00E934F2"/>
    <w:pPr>
      <w:spacing w:before="80" w:after="80" w:line="264" w:lineRule="auto"/>
      <w:ind w:left="2880" w:hanging="363"/>
    </w:pPr>
    <w:rPr>
      <w:rFonts w:ascii="Arial" w:eastAsia="Times New Roman" w:hAnsi="Arial" w:cs="Times New Roman"/>
      <w:sz w:val="24"/>
      <w:szCs w:val="24"/>
      <w:lang w:val="en-GB" w:eastAsia="de-DE"/>
    </w:rPr>
  </w:style>
  <w:style w:type="paragraph" w:styleId="Bibliography">
    <w:name w:val="Bibliography"/>
    <w:basedOn w:val="Normal"/>
    <w:next w:val="Normal"/>
    <w:uiPriority w:val="37"/>
    <w:semiHidden/>
    <w:unhideWhenUsed/>
    <w:rsid w:val="00E934F2"/>
    <w:pPr>
      <w:spacing w:before="0" w:after="160" w:line="259" w:lineRule="auto"/>
      <w:jc w:val="left"/>
    </w:pPr>
    <w:rPr>
      <w:rFonts w:asciiTheme="minorHAnsi" w:hAnsiTheme="minorHAnsi" w:cstheme="minorBidi"/>
      <w:sz w:val="22"/>
      <w:lang w:val="en-IE"/>
    </w:rPr>
  </w:style>
  <w:style w:type="paragraph" w:customStyle="1" w:styleId="Para">
    <w:name w:val="Para #"/>
    <w:uiPriority w:val="4"/>
    <w:qFormat/>
    <w:rsid w:val="00E934F2"/>
    <w:pPr>
      <w:numPr>
        <w:numId w:val="27"/>
      </w:numPr>
      <w:spacing w:before="120" w:after="120" w:line="260" w:lineRule="atLeast"/>
      <w:jc w:val="both"/>
    </w:pPr>
    <w:rPr>
      <w:sz w:val="20"/>
      <w:lang w:val="en-GB"/>
    </w:rPr>
  </w:style>
  <w:style w:type="paragraph" w:styleId="NoSpacing">
    <w:name w:val="No Spacing"/>
    <w:link w:val="NoSpacingChar"/>
    <w:uiPriority w:val="1"/>
    <w:qFormat/>
    <w:rsid w:val="00E934F2"/>
    <w:pPr>
      <w:spacing w:after="0" w:line="240" w:lineRule="auto"/>
    </w:pPr>
    <w:rPr>
      <w:rFonts w:eastAsiaTheme="minorEastAsia"/>
    </w:rPr>
  </w:style>
  <w:style w:type="character" w:customStyle="1" w:styleId="NoSpacingChar">
    <w:name w:val="No Spacing Char"/>
    <w:basedOn w:val="DefaultParagraphFont"/>
    <w:link w:val="NoSpacing"/>
    <w:uiPriority w:val="1"/>
    <w:rsid w:val="00E934F2"/>
    <w:rPr>
      <w:rFonts w:eastAsiaTheme="minorEastAsia"/>
    </w:rPr>
  </w:style>
  <w:style w:type="paragraph" w:styleId="Title">
    <w:name w:val="Title"/>
    <w:basedOn w:val="Normal"/>
    <w:next w:val="Normal"/>
    <w:link w:val="TitleChar"/>
    <w:uiPriority w:val="10"/>
    <w:qFormat/>
    <w:rsid w:val="00E934F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34F2"/>
    <w:rPr>
      <w:rFonts w:asciiTheme="majorHAnsi" w:eastAsiaTheme="majorEastAsia" w:hAnsiTheme="majorHAnsi" w:cstheme="majorBidi"/>
      <w:spacing w:val="-10"/>
      <w:kern w:val="28"/>
      <w:sz w:val="56"/>
      <w:szCs w:val="56"/>
      <w:lang w:val="en-GB"/>
    </w:rPr>
  </w:style>
  <w:style w:type="paragraph" w:customStyle="1" w:styleId="Doublepoint">
    <w:name w:val="Double point"/>
    <w:basedOn w:val="Tiret4"/>
    <w:rsid w:val="009C38AD"/>
    <w:rPr>
      <w:lang w:val="en-IE" w:eastAsia="en-GB"/>
    </w:rPr>
  </w:style>
  <w:style w:type="paragraph" w:customStyle="1" w:styleId="norm">
    <w:name w:val="norm"/>
    <w:basedOn w:val="Normal"/>
    <w:rsid w:val="004F7E58"/>
    <w:pPr>
      <w:spacing w:before="100" w:beforeAutospacing="1" w:after="100" w:afterAutospacing="1"/>
      <w:jc w:val="left"/>
    </w:pPr>
    <w:rPr>
      <w:rFonts w:eastAsia="Times New Roman"/>
      <w:szCs w:val="24"/>
      <w:lang w:val="en-IE" w:eastAsia="en-IE"/>
    </w:rPr>
  </w:style>
  <w:style w:type="character" w:customStyle="1" w:styleId="HeaderChar">
    <w:name w:val="Header Char"/>
    <w:basedOn w:val="DefaultParagraphFont"/>
    <w:link w:val="Header"/>
    <w:uiPriority w:val="99"/>
    <w:rsid w:val="007A289E"/>
    <w:rPr>
      <w:rFonts w:ascii="Times New Roman" w:hAnsi="Times New Roman" w:cs="Times New Roman"/>
      <w:sz w:val="24"/>
      <w:lang w:val="en-GB"/>
    </w:rPr>
  </w:style>
  <w:style w:type="character" w:customStyle="1" w:styleId="FooterChar">
    <w:name w:val="Footer Char"/>
    <w:basedOn w:val="DefaultParagraphFont"/>
    <w:link w:val="Footer"/>
    <w:uiPriority w:val="99"/>
    <w:rsid w:val="007A289E"/>
    <w:rPr>
      <w:rFonts w:ascii="Times New Roman" w:hAnsi="Times New Roman" w:cs="Times New Roman"/>
      <w:sz w:val="24"/>
      <w:lang w:val="en-GB"/>
    </w:rPr>
  </w:style>
  <w:style w:type="paragraph" w:styleId="FootnoteText">
    <w:name w:val="footnote text"/>
    <w:basedOn w:val="Normal"/>
    <w:link w:val="FootnoteTextChar"/>
    <w:uiPriority w:val="99"/>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lang w:val="en-GB"/>
    </w:rPr>
  </w:style>
  <w:style w:type="character" w:customStyle="1" w:styleId="Heading5Char">
    <w:name w:val="Heading 5 Char"/>
    <w:basedOn w:val="DefaultParagraphFont"/>
    <w:link w:val="Heading5"/>
    <w:uiPriority w:val="9"/>
    <w:semiHidden/>
    <w:rPr>
      <w:rFonts w:ascii="Times New Roman" w:eastAsiaTheme="majorEastAsia" w:hAnsi="Times New Roman" w:cs="Times New Roman"/>
      <w:sz w:val="24"/>
      <w:lang w:val="en-GB"/>
    </w:rPr>
  </w:style>
  <w:style w:type="character" w:customStyle="1" w:styleId="Heading6Char">
    <w:name w:val="Heading 6 Char"/>
    <w:basedOn w:val="DefaultParagraphFont"/>
    <w:link w:val="Heading6"/>
    <w:uiPriority w:val="9"/>
    <w:semiHidden/>
    <w:rPr>
      <w:rFonts w:ascii="Times New Roman" w:eastAsiaTheme="majorEastAsia" w:hAnsi="Times New Roman" w:cs="Times New Roman"/>
      <w:iCs/>
      <w:sz w:val="24"/>
      <w:lang w:val="en-GB"/>
    </w:rPr>
  </w:style>
  <w:style w:type="character" w:customStyle="1" w:styleId="Heading7Char">
    <w:name w:val="Heading 7 Char"/>
    <w:basedOn w:val="DefaultParagraphFont"/>
    <w:link w:val="Heading7"/>
    <w:uiPriority w:val="9"/>
    <w:semiHidden/>
    <w:rPr>
      <w:rFonts w:ascii="Times New Roman" w:eastAsiaTheme="majorEastAsia" w:hAnsi="Times New Roman" w:cs="Times New Roman"/>
      <w:iCs/>
      <w:sz w:val="24"/>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ind w:left="1417" w:hanging="1417"/>
      <w:jc w:val="left"/>
    </w:pPr>
  </w:style>
  <w:style w:type="character" w:styleId="FootnoteReference">
    <w:name w:val="footnote reference"/>
    <w:basedOn w:val="DefaultParagraphFont"/>
    <w:link w:val="FootnoteReferenceCharCarCharCharCarCharCarCharCarCharCarCharCharCarCarCharCharCharCharCharCarCharCarCharCharCarCharCar"/>
    <w:uiPriority w:val="99"/>
    <w:semiHidden/>
    <w:unhideWhenUsed/>
    <w:rPr>
      <w:shd w:val="clear" w:color="auto" w:fill="auto"/>
      <w:vertAlign w:val="superscript"/>
    </w:rPr>
  </w:style>
  <w:style w:type="paragraph" w:customStyle="1" w:styleId="HeaderSensitivity">
    <w:name w:val="Header Sensitivity"/>
    <w:basedOn w:val="Normal"/>
    <w:rsid w:val="007A289E"/>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HeaderSensitivityRight">
    <w:name w:val="Header Sensitivity Right"/>
    <w:basedOn w:val="Normal"/>
    <w:rsid w:val="007A289E"/>
    <w:pPr>
      <w:spacing w:before="0"/>
      <w:jc w:val="right"/>
    </w:pPr>
    <w:rPr>
      <w:sz w:val="28"/>
    </w:rPr>
  </w:style>
  <w:style w:type="paragraph" w:customStyle="1" w:styleId="FooterSensitivity">
    <w:name w:val="Footer Sensitivity"/>
    <w:basedOn w:val="Normal"/>
    <w:rsid w:val="007A289E"/>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Text5">
    <w:name w:val="Text 5"/>
    <w:basedOn w:val="Normal"/>
    <w:pPr>
      <w:ind w:left="3118"/>
    </w:pPr>
  </w:style>
  <w:style w:type="paragraph" w:customStyle="1" w:styleId="Text6">
    <w:name w:val="Text 6"/>
    <w:basedOn w:val="Normal"/>
    <w:pPr>
      <w:ind w:left="3685"/>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Point5">
    <w:name w:val="Point 5"/>
    <w:basedOn w:val="Normal"/>
    <w:pPr>
      <w:ind w:left="3685" w:hanging="567"/>
    </w:pPr>
  </w:style>
  <w:style w:type="paragraph" w:customStyle="1" w:styleId="Tiret0">
    <w:name w:val="Tiret 0"/>
    <w:basedOn w:val="Point0"/>
    <w:pPr>
      <w:numPr>
        <w:numId w:val="36"/>
      </w:numPr>
    </w:pPr>
  </w:style>
  <w:style w:type="paragraph" w:customStyle="1" w:styleId="Tiret1">
    <w:name w:val="Tiret 1"/>
    <w:basedOn w:val="Point1"/>
    <w:pPr>
      <w:numPr>
        <w:numId w:val="37"/>
      </w:numPr>
    </w:pPr>
  </w:style>
  <w:style w:type="paragraph" w:customStyle="1" w:styleId="Tiret2">
    <w:name w:val="Tiret 2"/>
    <w:basedOn w:val="Point2"/>
    <w:pPr>
      <w:numPr>
        <w:numId w:val="38"/>
      </w:numPr>
    </w:pPr>
  </w:style>
  <w:style w:type="paragraph" w:customStyle="1" w:styleId="Tiret3">
    <w:name w:val="Tiret 3"/>
    <w:basedOn w:val="Point3"/>
    <w:pPr>
      <w:numPr>
        <w:numId w:val="39"/>
      </w:numPr>
    </w:pPr>
  </w:style>
  <w:style w:type="paragraph" w:customStyle="1" w:styleId="Tiret4">
    <w:name w:val="Tiret 4"/>
    <w:basedOn w:val="Point4"/>
    <w:pPr>
      <w:numPr>
        <w:numId w:val="40"/>
      </w:numPr>
    </w:pPr>
  </w:style>
  <w:style w:type="paragraph" w:customStyle="1" w:styleId="Tiret5">
    <w:name w:val="Tiret 5"/>
    <w:basedOn w:val="Point5"/>
    <w:pPr>
      <w:numPr>
        <w:numId w:val="41"/>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42"/>
      </w:numPr>
    </w:pPr>
  </w:style>
  <w:style w:type="paragraph" w:customStyle="1" w:styleId="NumPar2">
    <w:name w:val="NumPar 2"/>
    <w:basedOn w:val="Normal"/>
    <w:next w:val="Text1"/>
    <w:pPr>
      <w:numPr>
        <w:ilvl w:val="1"/>
        <w:numId w:val="42"/>
      </w:numPr>
    </w:pPr>
  </w:style>
  <w:style w:type="paragraph" w:customStyle="1" w:styleId="NumPar3">
    <w:name w:val="NumPar 3"/>
    <w:basedOn w:val="Normal"/>
    <w:next w:val="Text1"/>
    <w:pPr>
      <w:numPr>
        <w:ilvl w:val="2"/>
        <w:numId w:val="42"/>
      </w:numPr>
    </w:pPr>
  </w:style>
  <w:style w:type="paragraph" w:customStyle="1" w:styleId="NumPar4">
    <w:name w:val="NumPar 4"/>
    <w:basedOn w:val="Normal"/>
    <w:next w:val="Text1"/>
    <w:pPr>
      <w:numPr>
        <w:ilvl w:val="3"/>
        <w:numId w:val="42"/>
      </w:numPr>
    </w:pPr>
  </w:style>
  <w:style w:type="paragraph" w:customStyle="1" w:styleId="NumPar5">
    <w:name w:val="NumPar 5"/>
    <w:basedOn w:val="Normal"/>
    <w:next w:val="Text2"/>
    <w:pPr>
      <w:numPr>
        <w:ilvl w:val="4"/>
        <w:numId w:val="42"/>
      </w:numPr>
    </w:pPr>
  </w:style>
  <w:style w:type="paragraph" w:customStyle="1" w:styleId="NumPar6">
    <w:name w:val="NumPar 6"/>
    <w:basedOn w:val="Normal"/>
    <w:next w:val="Text2"/>
    <w:pPr>
      <w:numPr>
        <w:ilvl w:val="5"/>
        <w:numId w:val="42"/>
      </w:numPr>
    </w:pPr>
  </w:style>
  <w:style w:type="paragraph" w:customStyle="1" w:styleId="NumPar7">
    <w:name w:val="NumPar 7"/>
    <w:basedOn w:val="Normal"/>
    <w:next w:val="Text2"/>
    <w:pPr>
      <w:numPr>
        <w:ilvl w:val="6"/>
        <w:numId w:val="42"/>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ManualNumPar5">
    <w:name w:val="Manual NumPar 5"/>
    <w:basedOn w:val="Normal"/>
    <w:next w:val="Text2"/>
    <w:pPr>
      <w:ind w:left="1417" w:hanging="1417"/>
    </w:pPr>
  </w:style>
  <w:style w:type="paragraph" w:customStyle="1" w:styleId="ManualNumPar6">
    <w:name w:val="Manual NumPar 6"/>
    <w:basedOn w:val="Normal"/>
    <w:next w:val="Text2"/>
    <w:pPr>
      <w:ind w:left="1417" w:hanging="1417"/>
    </w:pPr>
  </w:style>
  <w:style w:type="paragraph" w:customStyle="1" w:styleId="ManualNumPar7">
    <w:name w:val="Manual NumPar 7"/>
    <w:basedOn w:val="Normal"/>
    <w:next w:val="Text2"/>
    <w:pPr>
      <w:ind w:left="1417" w:hanging="1417"/>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ManualHeading5">
    <w:name w:val="Manual Heading 5"/>
    <w:basedOn w:val="Normal"/>
    <w:next w:val="Text2"/>
    <w:pPr>
      <w:keepNext/>
      <w:tabs>
        <w:tab w:val="left" w:pos="1417"/>
      </w:tabs>
      <w:ind w:left="1417" w:hanging="1417"/>
      <w:outlineLvl w:val="4"/>
    </w:pPr>
  </w:style>
  <w:style w:type="paragraph" w:customStyle="1" w:styleId="ManualHeading6">
    <w:name w:val="Manual Heading 6"/>
    <w:basedOn w:val="Normal"/>
    <w:next w:val="Text2"/>
    <w:pPr>
      <w:keepNext/>
      <w:tabs>
        <w:tab w:val="left" w:pos="1417"/>
      </w:tabs>
      <w:ind w:left="1417" w:hanging="1417"/>
      <w:outlineLvl w:val="5"/>
    </w:pPr>
  </w:style>
  <w:style w:type="paragraph" w:customStyle="1" w:styleId="ManualHeading7">
    <w:name w:val="Manual Heading 7"/>
    <w:basedOn w:val="Normal"/>
    <w:next w:val="Text2"/>
    <w:pPr>
      <w:keepNext/>
      <w:tabs>
        <w:tab w:val="left" w:pos="1417"/>
      </w:tabs>
      <w:ind w:left="1417" w:hanging="1417"/>
      <w:outlineLvl w:val="6"/>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44"/>
      </w:numPr>
    </w:pPr>
  </w:style>
  <w:style w:type="paragraph" w:customStyle="1" w:styleId="Point1number">
    <w:name w:val="Point 1 (number)"/>
    <w:basedOn w:val="Normal"/>
    <w:pPr>
      <w:numPr>
        <w:ilvl w:val="2"/>
        <w:numId w:val="44"/>
      </w:numPr>
    </w:pPr>
  </w:style>
  <w:style w:type="paragraph" w:customStyle="1" w:styleId="Point2number">
    <w:name w:val="Point 2 (number)"/>
    <w:basedOn w:val="Normal"/>
    <w:pPr>
      <w:numPr>
        <w:ilvl w:val="4"/>
        <w:numId w:val="44"/>
      </w:numPr>
    </w:pPr>
  </w:style>
  <w:style w:type="paragraph" w:customStyle="1" w:styleId="Point3number">
    <w:name w:val="Point 3 (number)"/>
    <w:basedOn w:val="Normal"/>
    <w:pPr>
      <w:numPr>
        <w:ilvl w:val="6"/>
        <w:numId w:val="44"/>
      </w:numPr>
    </w:pPr>
  </w:style>
  <w:style w:type="paragraph" w:customStyle="1" w:styleId="Point0letter">
    <w:name w:val="Point 0 (letter)"/>
    <w:basedOn w:val="Normal"/>
    <w:pPr>
      <w:numPr>
        <w:ilvl w:val="1"/>
        <w:numId w:val="44"/>
      </w:numPr>
    </w:pPr>
  </w:style>
  <w:style w:type="paragraph" w:customStyle="1" w:styleId="Point1letter">
    <w:name w:val="Point 1 (letter)"/>
    <w:basedOn w:val="Normal"/>
    <w:pPr>
      <w:numPr>
        <w:ilvl w:val="3"/>
        <w:numId w:val="44"/>
      </w:numPr>
    </w:pPr>
  </w:style>
  <w:style w:type="paragraph" w:customStyle="1" w:styleId="Point2letter">
    <w:name w:val="Point 2 (letter)"/>
    <w:basedOn w:val="Normal"/>
    <w:pPr>
      <w:numPr>
        <w:ilvl w:val="5"/>
        <w:numId w:val="44"/>
      </w:numPr>
    </w:pPr>
  </w:style>
  <w:style w:type="paragraph" w:customStyle="1" w:styleId="Point3letter">
    <w:name w:val="Point 3 (letter)"/>
    <w:basedOn w:val="Normal"/>
    <w:pPr>
      <w:numPr>
        <w:ilvl w:val="7"/>
        <w:numId w:val="44"/>
      </w:numPr>
    </w:pPr>
  </w:style>
  <w:style w:type="paragraph" w:customStyle="1" w:styleId="Point4letter">
    <w:name w:val="Point 4 (letter)"/>
    <w:basedOn w:val="Normal"/>
    <w:pPr>
      <w:numPr>
        <w:ilvl w:val="8"/>
        <w:numId w:val="44"/>
      </w:numPr>
    </w:pPr>
  </w:style>
  <w:style w:type="paragraph" w:customStyle="1" w:styleId="Bullet0">
    <w:name w:val="Bullet 0"/>
    <w:basedOn w:val="Normal"/>
    <w:pPr>
      <w:numPr>
        <w:numId w:val="45"/>
      </w:numPr>
    </w:pPr>
  </w:style>
  <w:style w:type="paragraph" w:customStyle="1" w:styleId="Bullet1">
    <w:name w:val="Bullet 1"/>
    <w:basedOn w:val="Normal"/>
    <w:pPr>
      <w:numPr>
        <w:numId w:val="46"/>
      </w:numPr>
    </w:pPr>
  </w:style>
  <w:style w:type="paragraph" w:customStyle="1" w:styleId="Bullet2">
    <w:name w:val="Bullet 2"/>
    <w:basedOn w:val="Normal"/>
    <w:pPr>
      <w:numPr>
        <w:numId w:val="47"/>
      </w:numPr>
    </w:pPr>
  </w:style>
  <w:style w:type="paragraph" w:customStyle="1" w:styleId="Bullet3">
    <w:name w:val="Bullet 3"/>
    <w:basedOn w:val="Normal"/>
    <w:pPr>
      <w:numPr>
        <w:numId w:val="48"/>
      </w:numPr>
    </w:pPr>
  </w:style>
  <w:style w:type="paragraph" w:customStyle="1" w:styleId="Bullet4">
    <w:name w:val="Bullet 4"/>
    <w:basedOn w:val="Normal"/>
    <w:pPr>
      <w:numPr>
        <w:numId w:val="49"/>
      </w:numPr>
    </w:p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Emission">
    <w:name w:val="Emission"/>
    <w:basedOn w:val="Normal"/>
    <w:next w:val="Rfrenceinstitutionnelle"/>
    <w:pPr>
      <w:spacing w:before="0" w:after="0"/>
      <w:ind w:left="5103"/>
      <w:jc w:val="left"/>
    </w:pPr>
  </w:style>
  <w:style w:type="paragraph" w:customStyle="1" w:styleId="Rfrenceinstitutionnelle">
    <w:name w:val="Référence institutionnelle"/>
    <w:basedOn w:val="Normal"/>
    <w:next w:val="Confidentialit"/>
    <w:pPr>
      <w:spacing w:before="0" w:after="240"/>
      <w:ind w:left="5103"/>
      <w:jc w:val="left"/>
    </w:pPr>
  </w:style>
  <w:style w:type="paragraph" w:customStyle="1" w:styleId="Pagedecouverture">
    <w:name w:val="Page de couverture"/>
    <w:basedOn w:val="Normal"/>
    <w:next w:val="Normal"/>
    <w:pPr>
      <w:spacing w:before="0" w:after="0"/>
    </w:pPr>
  </w:style>
  <w:style w:type="paragraph" w:customStyle="1" w:styleId="Declassification">
    <w:name w:val="Declassification"/>
    <w:basedOn w:val="Normal"/>
    <w:next w:val="Normal"/>
    <w:pPr>
      <w:spacing w:before="0" w:after="0"/>
    </w:p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customStyle="1" w:styleId="SecurityMarking">
    <w:name w:val="SecurityMarking"/>
    <w:basedOn w:val="Normal"/>
    <w:pPr>
      <w:spacing w:before="0" w:after="0" w:line="276" w:lineRule="auto"/>
      <w:ind w:left="5103"/>
      <w:jc w:val="left"/>
    </w:pPr>
    <w:rPr>
      <w:sz w:val="28"/>
    </w:rPr>
  </w:style>
  <w:style w:type="paragraph" w:customStyle="1" w:styleId="DateMarking">
    <w:name w:val="DateMarking"/>
    <w:basedOn w:val="Normal"/>
    <w:pPr>
      <w:spacing w:before="0" w:after="0" w:line="276" w:lineRule="auto"/>
      <w:ind w:left="5103"/>
      <w:jc w:val="left"/>
    </w:pPr>
    <w:rPr>
      <w:i/>
      <w:sz w:val="28"/>
    </w:rPr>
  </w:style>
  <w:style w:type="paragraph" w:customStyle="1" w:styleId="ReleasableTo">
    <w:name w:val="ReleasableTo"/>
    <w:basedOn w:val="Normal"/>
    <w:pPr>
      <w:spacing w:before="0" w:after="0" w:line="276" w:lineRule="auto"/>
      <w:ind w:left="5103"/>
      <w:jc w:val="left"/>
    </w:pPr>
    <w:rPr>
      <w:i/>
      <w:sz w:val="28"/>
    </w:r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50"/>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Titreobjet"/>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IntrtEEE"/>
    <w:pPr>
      <w:spacing w:before="360" w:after="360"/>
      <w:jc w:val="center"/>
    </w:pPr>
    <w:rPr>
      <w:b/>
    </w:rPr>
  </w:style>
  <w:style w:type="paragraph" w:customStyle="1" w:styleId="Typedudocument">
    <w:name w:val="Type du document"/>
    <w:basedOn w:val="Normal"/>
    <w:next w:val="Titreobjet"/>
    <w:pPr>
      <w:spacing w:before="360" w:after="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rsid w:val="00E664ED"/>
    <w:pPr>
      <w:spacing w:before="360" w:after="24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IntrtEEE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rsid w:val="00E664ED"/>
    <w:pPr>
      <w:spacing w:after="0"/>
    </w:pPr>
  </w:style>
  <w:style w:type="paragraph" w:customStyle="1" w:styleId="Accompagnant">
    <w:name w:val="Accompagnant"/>
    <w:basedOn w:val="Normal"/>
    <w:next w:val="Typeacteprincipal"/>
    <w:pPr>
      <w:spacing w:before="0" w:after="240"/>
      <w:jc w:val="center"/>
    </w:pPr>
    <w:rPr>
      <w:b/>
      <w:i/>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Normal"/>
    <w:rsid w:val="00E664ED"/>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Rfrencecroise"/>
    <w:rsid w:val="00E664ED"/>
    <w:pPr>
      <w:spacing w:before="360" w:after="240"/>
      <w:jc w:val="center"/>
    </w:pPr>
  </w:style>
  <w:style w:type="paragraph" w:styleId="Header">
    <w:name w:val="header"/>
    <w:basedOn w:val="Normal"/>
    <w:link w:val="HeaderChar"/>
    <w:uiPriority w:val="99"/>
    <w:unhideWhenUsed/>
    <w:rsid w:val="007A289E"/>
    <w:pPr>
      <w:tabs>
        <w:tab w:val="center" w:pos="4535"/>
        <w:tab w:val="right" w:pos="9071"/>
      </w:tabs>
      <w:spacing w:before="0"/>
    </w:pPr>
  </w:style>
  <w:style w:type="paragraph" w:customStyle="1" w:styleId="HeaderLandscape">
    <w:name w:val="HeaderLandscape"/>
    <w:basedOn w:val="Normal"/>
    <w:rsid w:val="007A289E"/>
    <w:pPr>
      <w:tabs>
        <w:tab w:val="center" w:pos="7285"/>
        <w:tab w:val="right" w:pos="14003"/>
      </w:tabs>
      <w:spacing w:before="0"/>
    </w:pPr>
  </w:style>
  <w:style w:type="paragraph" w:styleId="Footer">
    <w:name w:val="footer"/>
    <w:basedOn w:val="Normal"/>
    <w:link w:val="FooterChar"/>
    <w:uiPriority w:val="99"/>
    <w:unhideWhenUsed/>
    <w:rsid w:val="007A289E"/>
    <w:pPr>
      <w:tabs>
        <w:tab w:val="center" w:pos="4535"/>
        <w:tab w:val="right" w:pos="9071"/>
        <w:tab w:val="right" w:pos="9921"/>
      </w:tabs>
      <w:spacing w:before="360" w:after="0"/>
      <w:ind w:left="-850" w:right="-850"/>
      <w:jc w:val="left"/>
    </w:pPr>
  </w:style>
  <w:style w:type="paragraph" w:customStyle="1" w:styleId="FooterLandscape">
    <w:name w:val="FooterLandscape"/>
    <w:basedOn w:val="Normal"/>
    <w:rsid w:val="007A289E"/>
    <w:pPr>
      <w:tabs>
        <w:tab w:val="center" w:pos="7285"/>
        <w:tab w:val="center" w:pos="10913"/>
        <w:tab w:val="right" w:pos="15137"/>
      </w:tabs>
      <w:spacing w:before="360" w:after="0"/>
      <w:ind w:left="-567" w:right="-567"/>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01568">
      <w:bodyDiv w:val="1"/>
      <w:marLeft w:val="0"/>
      <w:marRight w:val="0"/>
      <w:marTop w:val="0"/>
      <w:marBottom w:val="0"/>
      <w:divBdr>
        <w:top w:val="none" w:sz="0" w:space="0" w:color="auto"/>
        <w:left w:val="none" w:sz="0" w:space="0" w:color="auto"/>
        <w:bottom w:val="none" w:sz="0" w:space="0" w:color="auto"/>
        <w:right w:val="none" w:sz="0" w:space="0" w:color="auto"/>
      </w:divBdr>
    </w:div>
    <w:div w:id="34278862">
      <w:bodyDiv w:val="1"/>
      <w:marLeft w:val="0"/>
      <w:marRight w:val="0"/>
      <w:marTop w:val="0"/>
      <w:marBottom w:val="0"/>
      <w:divBdr>
        <w:top w:val="none" w:sz="0" w:space="0" w:color="auto"/>
        <w:left w:val="none" w:sz="0" w:space="0" w:color="auto"/>
        <w:bottom w:val="none" w:sz="0" w:space="0" w:color="auto"/>
        <w:right w:val="none" w:sz="0" w:space="0" w:color="auto"/>
      </w:divBdr>
    </w:div>
    <w:div w:id="36510140">
      <w:bodyDiv w:val="1"/>
      <w:marLeft w:val="0"/>
      <w:marRight w:val="0"/>
      <w:marTop w:val="0"/>
      <w:marBottom w:val="0"/>
      <w:divBdr>
        <w:top w:val="none" w:sz="0" w:space="0" w:color="auto"/>
        <w:left w:val="none" w:sz="0" w:space="0" w:color="auto"/>
        <w:bottom w:val="none" w:sz="0" w:space="0" w:color="auto"/>
        <w:right w:val="none" w:sz="0" w:space="0" w:color="auto"/>
      </w:divBdr>
    </w:div>
    <w:div w:id="41254146">
      <w:bodyDiv w:val="1"/>
      <w:marLeft w:val="0"/>
      <w:marRight w:val="0"/>
      <w:marTop w:val="0"/>
      <w:marBottom w:val="0"/>
      <w:divBdr>
        <w:top w:val="none" w:sz="0" w:space="0" w:color="auto"/>
        <w:left w:val="none" w:sz="0" w:space="0" w:color="auto"/>
        <w:bottom w:val="none" w:sz="0" w:space="0" w:color="auto"/>
        <w:right w:val="none" w:sz="0" w:space="0" w:color="auto"/>
      </w:divBdr>
    </w:div>
    <w:div w:id="55009985">
      <w:bodyDiv w:val="1"/>
      <w:marLeft w:val="0"/>
      <w:marRight w:val="0"/>
      <w:marTop w:val="0"/>
      <w:marBottom w:val="0"/>
      <w:divBdr>
        <w:top w:val="none" w:sz="0" w:space="0" w:color="auto"/>
        <w:left w:val="none" w:sz="0" w:space="0" w:color="auto"/>
        <w:bottom w:val="none" w:sz="0" w:space="0" w:color="auto"/>
        <w:right w:val="none" w:sz="0" w:space="0" w:color="auto"/>
      </w:divBdr>
      <w:divsChild>
        <w:div w:id="557327534">
          <w:marLeft w:val="0"/>
          <w:marRight w:val="0"/>
          <w:marTop w:val="0"/>
          <w:marBottom w:val="0"/>
          <w:divBdr>
            <w:top w:val="none" w:sz="0" w:space="0" w:color="auto"/>
            <w:left w:val="none" w:sz="0" w:space="0" w:color="auto"/>
            <w:bottom w:val="none" w:sz="0" w:space="0" w:color="auto"/>
            <w:right w:val="none" w:sz="0" w:space="0" w:color="auto"/>
          </w:divBdr>
          <w:divsChild>
            <w:div w:id="53165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7239">
      <w:bodyDiv w:val="1"/>
      <w:marLeft w:val="0"/>
      <w:marRight w:val="0"/>
      <w:marTop w:val="0"/>
      <w:marBottom w:val="0"/>
      <w:divBdr>
        <w:top w:val="none" w:sz="0" w:space="0" w:color="auto"/>
        <w:left w:val="none" w:sz="0" w:space="0" w:color="auto"/>
        <w:bottom w:val="none" w:sz="0" w:space="0" w:color="auto"/>
        <w:right w:val="none" w:sz="0" w:space="0" w:color="auto"/>
      </w:divBdr>
    </w:div>
    <w:div w:id="72751405">
      <w:bodyDiv w:val="1"/>
      <w:marLeft w:val="0"/>
      <w:marRight w:val="0"/>
      <w:marTop w:val="0"/>
      <w:marBottom w:val="0"/>
      <w:divBdr>
        <w:top w:val="none" w:sz="0" w:space="0" w:color="auto"/>
        <w:left w:val="none" w:sz="0" w:space="0" w:color="auto"/>
        <w:bottom w:val="none" w:sz="0" w:space="0" w:color="auto"/>
        <w:right w:val="none" w:sz="0" w:space="0" w:color="auto"/>
      </w:divBdr>
    </w:div>
    <w:div w:id="92751507">
      <w:bodyDiv w:val="1"/>
      <w:marLeft w:val="0"/>
      <w:marRight w:val="0"/>
      <w:marTop w:val="0"/>
      <w:marBottom w:val="0"/>
      <w:divBdr>
        <w:top w:val="none" w:sz="0" w:space="0" w:color="auto"/>
        <w:left w:val="none" w:sz="0" w:space="0" w:color="auto"/>
        <w:bottom w:val="none" w:sz="0" w:space="0" w:color="auto"/>
        <w:right w:val="none" w:sz="0" w:space="0" w:color="auto"/>
      </w:divBdr>
    </w:div>
    <w:div w:id="119615030">
      <w:bodyDiv w:val="1"/>
      <w:marLeft w:val="0"/>
      <w:marRight w:val="0"/>
      <w:marTop w:val="0"/>
      <w:marBottom w:val="0"/>
      <w:divBdr>
        <w:top w:val="none" w:sz="0" w:space="0" w:color="auto"/>
        <w:left w:val="none" w:sz="0" w:space="0" w:color="auto"/>
        <w:bottom w:val="none" w:sz="0" w:space="0" w:color="auto"/>
        <w:right w:val="none" w:sz="0" w:space="0" w:color="auto"/>
      </w:divBdr>
    </w:div>
    <w:div w:id="206111116">
      <w:bodyDiv w:val="1"/>
      <w:marLeft w:val="0"/>
      <w:marRight w:val="0"/>
      <w:marTop w:val="0"/>
      <w:marBottom w:val="0"/>
      <w:divBdr>
        <w:top w:val="none" w:sz="0" w:space="0" w:color="auto"/>
        <w:left w:val="none" w:sz="0" w:space="0" w:color="auto"/>
        <w:bottom w:val="none" w:sz="0" w:space="0" w:color="auto"/>
        <w:right w:val="none" w:sz="0" w:space="0" w:color="auto"/>
      </w:divBdr>
    </w:div>
    <w:div w:id="211622805">
      <w:bodyDiv w:val="1"/>
      <w:marLeft w:val="0"/>
      <w:marRight w:val="0"/>
      <w:marTop w:val="0"/>
      <w:marBottom w:val="0"/>
      <w:divBdr>
        <w:top w:val="none" w:sz="0" w:space="0" w:color="auto"/>
        <w:left w:val="none" w:sz="0" w:space="0" w:color="auto"/>
        <w:bottom w:val="none" w:sz="0" w:space="0" w:color="auto"/>
        <w:right w:val="none" w:sz="0" w:space="0" w:color="auto"/>
      </w:divBdr>
    </w:div>
    <w:div w:id="241915850">
      <w:bodyDiv w:val="1"/>
      <w:marLeft w:val="0"/>
      <w:marRight w:val="0"/>
      <w:marTop w:val="0"/>
      <w:marBottom w:val="0"/>
      <w:divBdr>
        <w:top w:val="none" w:sz="0" w:space="0" w:color="auto"/>
        <w:left w:val="none" w:sz="0" w:space="0" w:color="auto"/>
        <w:bottom w:val="none" w:sz="0" w:space="0" w:color="auto"/>
        <w:right w:val="none" w:sz="0" w:space="0" w:color="auto"/>
      </w:divBdr>
    </w:div>
    <w:div w:id="307129712">
      <w:bodyDiv w:val="1"/>
      <w:marLeft w:val="0"/>
      <w:marRight w:val="0"/>
      <w:marTop w:val="0"/>
      <w:marBottom w:val="0"/>
      <w:divBdr>
        <w:top w:val="none" w:sz="0" w:space="0" w:color="auto"/>
        <w:left w:val="none" w:sz="0" w:space="0" w:color="auto"/>
        <w:bottom w:val="none" w:sz="0" w:space="0" w:color="auto"/>
        <w:right w:val="none" w:sz="0" w:space="0" w:color="auto"/>
      </w:divBdr>
    </w:div>
    <w:div w:id="323243921">
      <w:bodyDiv w:val="1"/>
      <w:marLeft w:val="0"/>
      <w:marRight w:val="0"/>
      <w:marTop w:val="0"/>
      <w:marBottom w:val="0"/>
      <w:divBdr>
        <w:top w:val="none" w:sz="0" w:space="0" w:color="auto"/>
        <w:left w:val="none" w:sz="0" w:space="0" w:color="auto"/>
        <w:bottom w:val="none" w:sz="0" w:space="0" w:color="auto"/>
        <w:right w:val="none" w:sz="0" w:space="0" w:color="auto"/>
      </w:divBdr>
    </w:div>
    <w:div w:id="357699622">
      <w:bodyDiv w:val="1"/>
      <w:marLeft w:val="0"/>
      <w:marRight w:val="0"/>
      <w:marTop w:val="0"/>
      <w:marBottom w:val="0"/>
      <w:divBdr>
        <w:top w:val="none" w:sz="0" w:space="0" w:color="auto"/>
        <w:left w:val="none" w:sz="0" w:space="0" w:color="auto"/>
        <w:bottom w:val="none" w:sz="0" w:space="0" w:color="auto"/>
        <w:right w:val="none" w:sz="0" w:space="0" w:color="auto"/>
      </w:divBdr>
    </w:div>
    <w:div w:id="358973417">
      <w:bodyDiv w:val="1"/>
      <w:marLeft w:val="0"/>
      <w:marRight w:val="0"/>
      <w:marTop w:val="0"/>
      <w:marBottom w:val="0"/>
      <w:divBdr>
        <w:top w:val="none" w:sz="0" w:space="0" w:color="auto"/>
        <w:left w:val="none" w:sz="0" w:space="0" w:color="auto"/>
        <w:bottom w:val="none" w:sz="0" w:space="0" w:color="auto"/>
        <w:right w:val="none" w:sz="0" w:space="0" w:color="auto"/>
      </w:divBdr>
    </w:div>
    <w:div w:id="372193176">
      <w:bodyDiv w:val="1"/>
      <w:marLeft w:val="0"/>
      <w:marRight w:val="0"/>
      <w:marTop w:val="0"/>
      <w:marBottom w:val="0"/>
      <w:divBdr>
        <w:top w:val="none" w:sz="0" w:space="0" w:color="auto"/>
        <w:left w:val="none" w:sz="0" w:space="0" w:color="auto"/>
        <w:bottom w:val="none" w:sz="0" w:space="0" w:color="auto"/>
        <w:right w:val="none" w:sz="0" w:space="0" w:color="auto"/>
      </w:divBdr>
    </w:div>
    <w:div w:id="415323523">
      <w:bodyDiv w:val="1"/>
      <w:marLeft w:val="0"/>
      <w:marRight w:val="0"/>
      <w:marTop w:val="0"/>
      <w:marBottom w:val="0"/>
      <w:divBdr>
        <w:top w:val="none" w:sz="0" w:space="0" w:color="auto"/>
        <w:left w:val="none" w:sz="0" w:space="0" w:color="auto"/>
        <w:bottom w:val="none" w:sz="0" w:space="0" w:color="auto"/>
        <w:right w:val="none" w:sz="0" w:space="0" w:color="auto"/>
      </w:divBdr>
    </w:div>
    <w:div w:id="428082372">
      <w:bodyDiv w:val="1"/>
      <w:marLeft w:val="0"/>
      <w:marRight w:val="0"/>
      <w:marTop w:val="0"/>
      <w:marBottom w:val="0"/>
      <w:divBdr>
        <w:top w:val="none" w:sz="0" w:space="0" w:color="auto"/>
        <w:left w:val="none" w:sz="0" w:space="0" w:color="auto"/>
        <w:bottom w:val="none" w:sz="0" w:space="0" w:color="auto"/>
        <w:right w:val="none" w:sz="0" w:space="0" w:color="auto"/>
      </w:divBdr>
      <w:divsChild>
        <w:div w:id="2142796953">
          <w:marLeft w:val="0"/>
          <w:marRight w:val="0"/>
          <w:marTop w:val="0"/>
          <w:marBottom w:val="0"/>
          <w:divBdr>
            <w:top w:val="none" w:sz="0" w:space="0" w:color="auto"/>
            <w:left w:val="none" w:sz="0" w:space="0" w:color="auto"/>
            <w:bottom w:val="none" w:sz="0" w:space="0" w:color="auto"/>
            <w:right w:val="none" w:sz="0" w:space="0" w:color="auto"/>
          </w:divBdr>
          <w:divsChild>
            <w:div w:id="2033606726">
              <w:marLeft w:val="0"/>
              <w:marRight w:val="0"/>
              <w:marTop w:val="0"/>
              <w:marBottom w:val="0"/>
              <w:divBdr>
                <w:top w:val="none" w:sz="0" w:space="0" w:color="auto"/>
                <w:left w:val="none" w:sz="0" w:space="0" w:color="auto"/>
                <w:bottom w:val="none" w:sz="0" w:space="0" w:color="auto"/>
                <w:right w:val="none" w:sz="0" w:space="0" w:color="auto"/>
              </w:divBdr>
              <w:divsChild>
                <w:div w:id="1725182279">
                  <w:marLeft w:val="0"/>
                  <w:marRight w:val="0"/>
                  <w:marTop w:val="0"/>
                  <w:marBottom w:val="0"/>
                  <w:divBdr>
                    <w:top w:val="none" w:sz="0" w:space="0" w:color="auto"/>
                    <w:left w:val="none" w:sz="0" w:space="0" w:color="auto"/>
                    <w:bottom w:val="none" w:sz="0" w:space="0" w:color="auto"/>
                    <w:right w:val="none" w:sz="0" w:space="0" w:color="auto"/>
                  </w:divBdr>
                  <w:divsChild>
                    <w:div w:id="722829197">
                      <w:marLeft w:val="0"/>
                      <w:marRight w:val="0"/>
                      <w:marTop w:val="0"/>
                      <w:marBottom w:val="0"/>
                      <w:divBdr>
                        <w:top w:val="none" w:sz="0" w:space="0" w:color="auto"/>
                        <w:left w:val="none" w:sz="0" w:space="0" w:color="auto"/>
                        <w:bottom w:val="none" w:sz="0" w:space="0" w:color="auto"/>
                        <w:right w:val="none" w:sz="0" w:space="0" w:color="auto"/>
                      </w:divBdr>
                      <w:divsChild>
                        <w:div w:id="1455171581">
                          <w:marLeft w:val="0"/>
                          <w:marRight w:val="0"/>
                          <w:marTop w:val="0"/>
                          <w:marBottom w:val="0"/>
                          <w:divBdr>
                            <w:top w:val="none" w:sz="0" w:space="0" w:color="auto"/>
                            <w:left w:val="none" w:sz="0" w:space="0" w:color="auto"/>
                            <w:bottom w:val="none" w:sz="0" w:space="0" w:color="auto"/>
                            <w:right w:val="none" w:sz="0" w:space="0" w:color="auto"/>
                          </w:divBdr>
                          <w:divsChild>
                            <w:div w:id="2082671993">
                              <w:marLeft w:val="0"/>
                              <w:marRight w:val="0"/>
                              <w:marTop w:val="0"/>
                              <w:marBottom w:val="0"/>
                              <w:divBdr>
                                <w:top w:val="none" w:sz="0" w:space="0" w:color="auto"/>
                                <w:left w:val="none" w:sz="0" w:space="0" w:color="auto"/>
                                <w:bottom w:val="none" w:sz="0" w:space="0" w:color="auto"/>
                                <w:right w:val="none" w:sz="0" w:space="0" w:color="auto"/>
                              </w:divBdr>
                              <w:divsChild>
                                <w:div w:id="20587016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101986">
      <w:bodyDiv w:val="1"/>
      <w:marLeft w:val="0"/>
      <w:marRight w:val="0"/>
      <w:marTop w:val="0"/>
      <w:marBottom w:val="0"/>
      <w:divBdr>
        <w:top w:val="none" w:sz="0" w:space="0" w:color="auto"/>
        <w:left w:val="none" w:sz="0" w:space="0" w:color="auto"/>
        <w:bottom w:val="none" w:sz="0" w:space="0" w:color="auto"/>
        <w:right w:val="none" w:sz="0" w:space="0" w:color="auto"/>
      </w:divBdr>
    </w:div>
    <w:div w:id="436294159">
      <w:bodyDiv w:val="1"/>
      <w:marLeft w:val="0"/>
      <w:marRight w:val="0"/>
      <w:marTop w:val="0"/>
      <w:marBottom w:val="0"/>
      <w:divBdr>
        <w:top w:val="none" w:sz="0" w:space="0" w:color="auto"/>
        <w:left w:val="none" w:sz="0" w:space="0" w:color="auto"/>
        <w:bottom w:val="none" w:sz="0" w:space="0" w:color="auto"/>
        <w:right w:val="none" w:sz="0" w:space="0" w:color="auto"/>
      </w:divBdr>
    </w:div>
    <w:div w:id="463276111">
      <w:bodyDiv w:val="1"/>
      <w:marLeft w:val="0"/>
      <w:marRight w:val="0"/>
      <w:marTop w:val="0"/>
      <w:marBottom w:val="0"/>
      <w:divBdr>
        <w:top w:val="none" w:sz="0" w:space="0" w:color="auto"/>
        <w:left w:val="none" w:sz="0" w:space="0" w:color="auto"/>
        <w:bottom w:val="none" w:sz="0" w:space="0" w:color="auto"/>
        <w:right w:val="none" w:sz="0" w:space="0" w:color="auto"/>
      </w:divBdr>
    </w:div>
    <w:div w:id="474294891">
      <w:bodyDiv w:val="1"/>
      <w:marLeft w:val="0"/>
      <w:marRight w:val="0"/>
      <w:marTop w:val="0"/>
      <w:marBottom w:val="0"/>
      <w:divBdr>
        <w:top w:val="none" w:sz="0" w:space="0" w:color="auto"/>
        <w:left w:val="none" w:sz="0" w:space="0" w:color="auto"/>
        <w:bottom w:val="none" w:sz="0" w:space="0" w:color="auto"/>
        <w:right w:val="none" w:sz="0" w:space="0" w:color="auto"/>
      </w:divBdr>
      <w:divsChild>
        <w:div w:id="830949757">
          <w:marLeft w:val="0"/>
          <w:marRight w:val="0"/>
          <w:marTop w:val="0"/>
          <w:marBottom w:val="0"/>
          <w:divBdr>
            <w:top w:val="none" w:sz="0" w:space="0" w:color="auto"/>
            <w:left w:val="none" w:sz="0" w:space="0" w:color="auto"/>
            <w:bottom w:val="none" w:sz="0" w:space="0" w:color="auto"/>
            <w:right w:val="none" w:sz="0" w:space="0" w:color="auto"/>
          </w:divBdr>
          <w:divsChild>
            <w:div w:id="357850603">
              <w:marLeft w:val="0"/>
              <w:marRight w:val="0"/>
              <w:marTop w:val="0"/>
              <w:marBottom w:val="0"/>
              <w:divBdr>
                <w:top w:val="none" w:sz="0" w:space="0" w:color="auto"/>
                <w:left w:val="none" w:sz="0" w:space="0" w:color="auto"/>
                <w:bottom w:val="none" w:sz="0" w:space="0" w:color="auto"/>
                <w:right w:val="none" w:sz="0" w:space="0" w:color="auto"/>
              </w:divBdr>
              <w:divsChild>
                <w:div w:id="211956889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513571895">
      <w:bodyDiv w:val="1"/>
      <w:marLeft w:val="0"/>
      <w:marRight w:val="0"/>
      <w:marTop w:val="0"/>
      <w:marBottom w:val="0"/>
      <w:divBdr>
        <w:top w:val="none" w:sz="0" w:space="0" w:color="auto"/>
        <w:left w:val="none" w:sz="0" w:space="0" w:color="auto"/>
        <w:bottom w:val="none" w:sz="0" w:space="0" w:color="auto"/>
        <w:right w:val="none" w:sz="0" w:space="0" w:color="auto"/>
      </w:divBdr>
    </w:div>
    <w:div w:id="518860210">
      <w:bodyDiv w:val="1"/>
      <w:marLeft w:val="0"/>
      <w:marRight w:val="0"/>
      <w:marTop w:val="0"/>
      <w:marBottom w:val="0"/>
      <w:divBdr>
        <w:top w:val="none" w:sz="0" w:space="0" w:color="auto"/>
        <w:left w:val="none" w:sz="0" w:space="0" w:color="auto"/>
        <w:bottom w:val="none" w:sz="0" w:space="0" w:color="auto"/>
        <w:right w:val="none" w:sz="0" w:space="0" w:color="auto"/>
      </w:divBdr>
    </w:div>
    <w:div w:id="542404586">
      <w:bodyDiv w:val="1"/>
      <w:marLeft w:val="0"/>
      <w:marRight w:val="0"/>
      <w:marTop w:val="0"/>
      <w:marBottom w:val="0"/>
      <w:divBdr>
        <w:top w:val="none" w:sz="0" w:space="0" w:color="auto"/>
        <w:left w:val="none" w:sz="0" w:space="0" w:color="auto"/>
        <w:bottom w:val="none" w:sz="0" w:space="0" w:color="auto"/>
        <w:right w:val="none" w:sz="0" w:space="0" w:color="auto"/>
      </w:divBdr>
    </w:div>
    <w:div w:id="630139147">
      <w:bodyDiv w:val="1"/>
      <w:marLeft w:val="0"/>
      <w:marRight w:val="0"/>
      <w:marTop w:val="0"/>
      <w:marBottom w:val="0"/>
      <w:divBdr>
        <w:top w:val="none" w:sz="0" w:space="0" w:color="auto"/>
        <w:left w:val="none" w:sz="0" w:space="0" w:color="auto"/>
        <w:bottom w:val="none" w:sz="0" w:space="0" w:color="auto"/>
        <w:right w:val="none" w:sz="0" w:space="0" w:color="auto"/>
      </w:divBdr>
    </w:div>
    <w:div w:id="633682681">
      <w:bodyDiv w:val="1"/>
      <w:marLeft w:val="0"/>
      <w:marRight w:val="0"/>
      <w:marTop w:val="0"/>
      <w:marBottom w:val="0"/>
      <w:divBdr>
        <w:top w:val="none" w:sz="0" w:space="0" w:color="auto"/>
        <w:left w:val="none" w:sz="0" w:space="0" w:color="auto"/>
        <w:bottom w:val="none" w:sz="0" w:space="0" w:color="auto"/>
        <w:right w:val="none" w:sz="0" w:space="0" w:color="auto"/>
      </w:divBdr>
    </w:div>
    <w:div w:id="642739363">
      <w:bodyDiv w:val="1"/>
      <w:marLeft w:val="0"/>
      <w:marRight w:val="0"/>
      <w:marTop w:val="0"/>
      <w:marBottom w:val="0"/>
      <w:divBdr>
        <w:top w:val="none" w:sz="0" w:space="0" w:color="auto"/>
        <w:left w:val="none" w:sz="0" w:space="0" w:color="auto"/>
        <w:bottom w:val="none" w:sz="0" w:space="0" w:color="auto"/>
        <w:right w:val="none" w:sz="0" w:space="0" w:color="auto"/>
      </w:divBdr>
    </w:div>
    <w:div w:id="643587472">
      <w:bodyDiv w:val="1"/>
      <w:marLeft w:val="0"/>
      <w:marRight w:val="0"/>
      <w:marTop w:val="0"/>
      <w:marBottom w:val="0"/>
      <w:divBdr>
        <w:top w:val="none" w:sz="0" w:space="0" w:color="auto"/>
        <w:left w:val="none" w:sz="0" w:space="0" w:color="auto"/>
        <w:bottom w:val="none" w:sz="0" w:space="0" w:color="auto"/>
        <w:right w:val="none" w:sz="0" w:space="0" w:color="auto"/>
      </w:divBdr>
    </w:div>
    <w:div w:id="682511807">
      <w:bodyDiv w:val="1"/>
      <w:marLeft w:val="0"/>
      <w:marRight w:val="0"/>
      <w:marTop w:val="0"/>
      <w:marBottom w:val="0"/>
      <w:divBdr>
        <w:top w:val="none" w:sz="0" w:space="0" w:color="auto"/>
        <w:left w:val="none" w:sz="0" w:space="0" w:color="auto"/>
        <w:bottom w:val="none" w:sz="0" w:space="0" w:color="auto"/>
        <w:right w:val="none" w:sz="0" w:space="0" w:color="auto"/>
      </w:divBdr>
      <w:divsChild>
        <w:div w:id="1233808029">
          <w:marLeft w:val="0"/>
          <w:marRight w:val="0"/>
          <w:marTop w:val="0"/>
          <w:marBottom w:val="0"/>
          <w:divBdr>
            <w:top w:val="none" w:sz="0" w:space="0" w:color="auto"/>
            <w:left w:val="none" w:sz="0" w:space="0" w:color="auto"/>
            <w:bottom w:val="none" w:sz="0" w:space="0" w:color="auto"/>
            <w:right w:val="none" w:sz="0" w:space="0" w:color="auto"/>
          </w:divBdr>
          <w:divsChild>
            <w:div w:id="923032698">
              <w:marLeft w:val="0"/>
              <w:marRight w:val="0"/>
              <w:marTop w:val="0"/>
              <w:marBottom w:val="0"/>
              <w:divBdr>
                <w:top w:val="none" w:sz="0" w:space="0" w:color="auto"/>
                <w:left w:val="none" w:sz="0" w:space="0" w:color="auto"/>
                <w:bottom w:val="none" w:sz="0" w:space="0" w:color="auto"/>
                <w:right w:val="none" w:sz="0" w:space="0" w:color="auto"/>
              </w:divBdr>
              <w:divsChild>
                <w:div w:id="867454366">
                  <w:marLeft w:val="0"/>
                  <w:marRight w:val="0"/>
                  <w:marTop w:val="0"/>
                  <w:marBottom w:val="0"/>
                  <w:divBdr>
                    <w:top w:val="none" w:sz="0" w:space="0" w:color="auto"/>
                    <w:left w:val="none" w:sz="0" w:space="0" w:color="auto"/>
                    <w:bottom w:val="none" w:sz="0" w:space="0" w:color="auto"/>
                    <w:right w:val="none" w:sz="0" w:space="0" w:color="auto"/>
                  </w:divBdr>
                  <w:divsChild>
                    <w:div w:id="888958545">
                      <w:marLeft w:val="0"/>
                      <w:marRight w:val="0"/>
                      <w:marTop w:val="0"/>
                      <w:marBottom w:val="0"/>
                      <w:divBdr>
                        <w:top w:val="none" w:sz="0" w:space="0" w:color="auto"/>
                        <w:left w:val="none" w:sz="0" w:space="0" w:color="auto"/>
                        <w:bottom w:val="none" w:sz="0" w:space="0" w:color="auto"/>
                        <w:right w:val="none" w:sz="0" w:space="0" w:color="auto"/>
                      </w:divBdr>
                      <w:divsChild>
                        <w:div w:id="1743485111">
                          <w:marLeft w:val="0"/>
                          <w:marRight w:val="0"/>
                          <w:marTop w:val="0"/>
                          <w:marBottom w:val="0"/>
                          <w:divBdr>
                            <w:top w:val="none" w:sz="0" w:space="0" w:color="auto"/>
                            <w:left w:val="none" w:sz="0" w:space="0" w:color="auto"/>
                            <w:bottom w:val="none" w:sz="0" w:space="0" w:color="auto"/>
                            <w:right w:val="none" w:sz="0" w:space="0" w:color="auto"/>
                          </w:divBdr>
                          <w:divsChild>
                            <w:div w:id="2124879429">
                              <w:marLeft w:val="0"/>
                              <w:marRight w:val="0"/>
                              <w:marTop w:val="0"/>
                              <w:marBottom w:val="0"/>
                              <w:divBdr>
                                <w:top w:val="none" w:sz="0" w:space="0" w:color="auto"/>
                                <w:left w:val="none" w:sz="0" w:space="0" w:color="auto"/>
                                <w:bottom w:val="none" w:sz="0" w:space="0" w:color="auto"/>
                                <w:right w:val="none" w:sz="0" w:space="0" w:color="auto"/>
                              </w:divBdr>
                              <w:divsChild>
                                <w:div w:id="1136413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6585789">
      <w:bodyDiv w:val="1"/>
      <w:marLeft w:val="0"/>
      <w:marRight w:val="0"/>
      <w:marTop w:val="0"/>
      <w:marBottom w:val="0"/>
      <w:divBdr>
        <w:top w:val="none" w:sz="0" w:space="0" w:color="auto"/>
        <w:left w:val="none" w:sz="0" w:space="0" w:color="auto"/>
        <w:bottom w:val="none" w:sz="0" w:space="0" w:color="auto"/>
        <w:right w:val="none" w:sz="0" w:space="0" w:color="auto"/>
      </w:divBdr>
    </w:div>
    <w:div w:id="730812648">
      <w:bodyDiv w:val="1"/>
      <w:marLeft w:val="0"/>
      <w:marRight w:val="0"/>
      <w:marTop w:val="0"/>
      <w:marBottom w:val="0"/>
      <w:divBdr>
        <w:top w:val="none" w:sz="0" w:space="0" w:color="auto"/>
        <w:left w:val="none" w:sz="0" w:space="0" w:color="auto"/>
        <w:bottom w:val="none" w:sz="0" w:space="0" w:color="auto"/>
        <w:right w:val="none" w:sz="0" w:space="0" w:color="auto"/>
      </w:divBdr>
    </w:div>
    <w:div w:id="733432918">
      <w:bodyDiv w:val="1"/>
      <w:marLeft w:val="0"/>
      <w:marRight w:val="0"/>
      <w:marTop w:val="0"/>
      <w:marBottom w:val="0"/>
      <w:divBdr>
        <w:top w:val="none" w:sz="0" w:space="0" w:color="auto"/>
        <w:left w:val="none" w:sz="0" w:space="0" w:color="auto"/>
        <w:bottom w:val="none" w:sz="0" w:space="0" w:color="auto"/>
        <w:right w:val="none" w:sz="0" w:space="0" w:color="auto"/>
      </w:divBdr>
    </w:div>
    <w:div w:id="808060106">
      <w:bodyDiv w:val="1"/>
      <w:marLeft w:val="0"/>
      <w:marRight w:val="0"/>
      <w:marTop w:val="0"/>
      <w:marBottom w:val="0"/>
      <w:divBdr>
        <w:top w:val="none" w:sz="0" w:space="0" w:color="auto"/>
        <w:left w:val="none" w:sz="0" w:space="0" w:color="auto"/>
        <w:bottom w:val="none" w:sz="0" w:space="0" w:color="auto"/>
        <w:right w:val="none" w:sz="0" w:space="0" w:color="auto"/>
      </w:divBdr>
    </w:div>
    <w:div w:id="826242206">
      <w:bodyDiv w:val="1"/>
      <w:marLeft w:val="0"/>
      <w:marRight w:val="0"/>
      <w:marTop w:val="0"/>
      <w:marBottom w:val="0"/>
      <w:divBdr>
        <w:top w:val="none" w:sz="0" w:space="0" w:color="auto"/>
        <w:left w:val="none" w:sz="0" w:space="0" w:color="auto"/>
        <w:bottom w:val="none" w:sz="0" w:space="0" w:color="auto"/>
        <w:right w:val="none" w:sz="0" w:space="0" w:color="auto"/>
      </w:divBdr>
    </w:div>
    <w:div w:id="829056392">
      <w:bodyDiv w:val="1"/>
      <w:marLeft w:val="0"/>
      <w:marRight w:val="0"/>
      <w:marTop w:val="0"/>
      <w:marBottom w:val="0"/>
      <w:divBdr>
        <w:top w:val="none" w:sz="0" w:space="0" w:color="auto"/>
        <w:left w:val="none" w:sz="0" w:space="0" w:color="auto"/>
        <w:bottom w:val="none" w:sz="0" w:space="0" w:color="auto"/>
        <w:right w:val="none" w:sz="0" w:space="0" w:color="auto"/>
      </w:divBdr>
    </w:div>
    <w:div w:id="851720916">
      <w:bodyDiv w:val="1"/>
      <w:marLeft w:val="0"/>
      <w:marRight w:val="0"/>
      <w:marTop w:val="0"/>
      <w:marBottom w:val="0"/>
      <w:divBdr>
        <w:top w:val="none" w:sz="0" w:space="0" w:color="auto"/>
        <w:left w:val="none" w:sz="0" w:space="0" w:color="auto"/>
        <w:bottom w:val="none" w:sz="0" w:space="0" w:color="auto"/>
        <w:right w:val="none" w:sz="0" w:space="0" w:color="auto"/>
      </w:divBdr>
    </w:div>
    <w:div w:id="860050612">
      <w:bodyDiv w:val="1"/>
      <w:marLeft w:val="0"/>
      <w:marRight w:val="0"/>
      <w:marTop w:val="0"/>
      <w:marBottom w:val="0"/>
      <w:divBdr>
        <w:top w:val="none" w:sz="0" w:space="0" w:color="auto"/>
        <w:left w:val="none" w:sz="0" w:space="0" w:color="auto"/>
        <w:bottom w:val="none" w:sz="0" w:space="0" w:color="auto"/>
        <w:right w:val="none" w:sz="0" w:space="0" w:color="auto"/>
      </w:divBdr>
    </w:div>
    <w:div w:id="877087669">
      <w:bodyDiv w:val="1"/>
      <w:marLeft w:val="0"/>
      <w:marRight w:val="0"/>
      <w:marTop w:val="0"/>
      <w:marBottom w:val="0"/>
      <w:divBdr>
        <w:top w:val="none" w:sz="0" w:space="0" w:color="auto"/>
        <w:left w:val="none" w:sz="0" w:space="0" w:color="auto"/>
        <w:bottom w:val="none" w:sz="0" w:space="0" w:color="auto"/>
        <w:right w:val="none" w:sz="0" w:space="0" w:color="auto"/>
      </w:divBdr>
    </w:div>
    <w:div w:id="899364826">
      <w:bodyDiv w:val="1"/>
      <w:marLeft w:val="0"/>
      <w:marRight w:val="0"/>
      <w:marTop w:val="0"/>
      <w:marBottom w:val="0"/>
      <w:divBdr>
        <w:top w:val="none" w:sz="0" w:space="0" w:color="auto"/>
        <w:left w:val="none" w:sz="0" w:space="0" w:color="auto"/>
        <w:bottom w:val="none" w:sz="0" w:space="0" w:color="auto"/>
        <w:right w:val="none" w:sz="0" w:space="0" w:color="auto"/>
      </w:divBdr>
    </w:div>
    <w:div w:id="912588907">
      <w:bodyDiv w:val="1"/>
      <w:marLeft w:val="0"/>
      <w:marRight w:val="0"/>
      <w:marTop w:val="0"/>
      <w:marBottom w:val="0"/>
      <w:divBdr>
        <w:top w:val="none" w:sz="0" w:space="0" w:color="auto"/>
        <w:left w:val="none" w:sz="0" w:space="0" w:color="auto"/>
        <w:bottom w:val="none" w:sz="0" w:space="0" w:color="auto"/>
        <w:right w:val="none" w:sz="0" w:space="0" w:color="auto"/>
      </w:divBdr>
    </w:div>
    <w:div w:id="1018581118">
      <w:bodyDiv w:val="1"/>
      <w:marLeft w:val="0"/>
      <w:marRight w:val="0"/>
      <w:marTop w:val="0"/>
      <w:marBottom w:val="0"/>
      <w:divBdr>
        <w:top w:val="none" w:sz="0" w:space="0" w:color="auto"/>
        <w:left w:val="none" w:sz="0" w:space="0" w:color="auto"/>
        <w:bottom w:val="none" w:sz="0" w:space="0" w:color="auto"/>
        <w:right w:val="none" w:sz="0" w:space="0" w:color="auto"/>
      </w:divBdr>
    </w:div>
    <w:div w:id="1051348978">
      <w:bodyDiv w:val="1"/>
      <w:marLeft w:val="0"/>
      <w:marRight w:val="0"/>
      <w:marTop w:val="0"/>
      <w:marBottom w:val="0"/>
      <w:divBdr>
        <w:top w:val="none" w:sz="0" w:space="0" w:color="auto"/>
        <w:left w:val="none" w:sz="0" w:space="0" w:color="auto"/>
        <w:bottom w:val="none" w:sz="0" w:space="0" w:color="auto"/>
        <w:right w:val="none" w:sz="0" w:space="0" w:color="auto"/>
      </w:divBdr>
    </w:div>
    <w:div w:id="1060246736">
      <w:bodyDiv w:val="1"/>
      <w:marLeft w:val="0"/>
      <w:marRight w:val="0"/>
      <w:marTop w:val="0"/>
      <w:marBottom w:val="0"/>
      <w:divBdr>
        <w:top w:val="none" w:sz="0" w:space="0" w:color="auto"/>
        <w:left w:val="none" w:sz="0" w:space="0" w:color="auto"/>
        <w:bottom w:val="none" w:sz="0" w:space="0" w:color="auto"/>
        <w:right w:val="none" w:sz="0" w:space="0" w:color="auto"/>
      </w:divBdr>
    </w:div>
    <w:div w:id="1078014870">
      <w:bodyDiv w:val="1"/>
      <w:marLeft w:val="0"/>
      <w:marRight w:val="0"/>
      <w:marTop w:val="0"/>
      <w:marBottom w:val="0"/>
      <w:divBdr>
        <w:top w:val="none" w:sz="0" w:space="0" w:color="auto"/>
        <w:left w:val="none" w:sz="0" w:space="0" w:color="auto"/>
        <w:bottom w:val="none" w:sz="0" w:space="0" w:color="auto"/>
        <w:right w:val="none" w:sz="0" w:space="0" w:color="auto"/>
      </w:divBdr>
    </w:div>
    <w:div w:id="1147745149">
      <w:bodyDiv w:val="1"/>
      <w:marLeft w:val="0"/>
      <w:marRight w:val="0"/>
      <w:marTop w:val="0"/>
      <w:marBottom w:val="0"/>
      <w:divBdr>
        <w:top w:val="none" w:sz="0" w:space="0" w:color="auto"/>
        <w:left w:val="none" w:sz="0" w:space="0" w:color="auto"/>
        <w:bottom w:val="none" w:sz="0" w:space="0" w:color="auto"/>
        <w:right w:val="none" w:sz="0" w:space="0" w:color="auto"/>
      </w:divBdr>
    </w:div>
    <w:div w:id="1210072565">
      <w:bodyDiv w:val="1"/>
      <w:marLeft w:val="0"/>
      <w:marRight w:val="0"/>
      <w:marTop w:val="0"/>
      <w:marBottom w:val="0"/>
      <w:divBdr>
        <w:top w:val="none" w:sz="0" w:space="0" w:color="auto"/>
        <w:left w:val="none" w:sz="0" w:space="0" w:color="auto"/>
        <w:bottom w:val="none" w:sz="0" w:space="0" w:color="auto"/>
        <w:right w:val="none" w:sz="0" w:space="0" w:color="auto"/>
      </w:divBdr>
    </w:div>
    <w:div w:id="1221986479">
      <w:bodyDiv w:val="1"/>
      <w:marLeft w:val="0"/>
      <w:marRight w:val="0"/>
      <w:marTop w:val="0"/>
      <w:marBottom w:val="0"/>
      <w:divBdr>
        <w:top w:val="none" w:sz="0" w:space="0" w:color="auto"/>
        <w:left w:val="none" w:sz="0" w:space="0" w:color="auto"/>
        <w:bottom w:val="none" w:sz="0" w:space="0" w:color="auto"/>
        <w:right w:val="none" w:sz="0" w:space="0" w:color="auto"/>
      </w:divBdr>
    </w:div>
    <w:div w:id="1237011856">
      <w:bodyDiv w:val="1"/>
      <w:marLeft w:val="0"/>
      <w:marRight w:val="0"/>
      <w:marTop w:val="0"/>
      <w:marBottom w:val="0"/>
      <w:divBdr>
        <w:top w:val="none" w:sz="0" w:space="0" w:color="auto"/>
        <w:left w:val="none" w:sz="0" w:space="0" w:color="auto"/>
        <w:bottom w:val="none" w:sz="0" w:space="0" w:color="auto"/>
        <w:right w:val="none" w:sz="0" w:space="0" w:color="auto"/>
      </w:divBdr>
    </w:div>
    <w:div w:id="1241450759">
      <w:bodyDiv w:val="1"/>
      <w:marLeft w:val="0"/>
      <w:marRight w:val="0"/>
      <w:marTop w:val="0"/>
      <w:marBottom w:val="0"/>
      <w:divBdr>
        <w:top w:val="none" w:sz="0" w:space="0" w:color="auto"/>
        <w:left w:val="none" w:sz="0" w:space="0" w:color="auto"/>
        <w:bottom w:val="none" w:sz="0" w:space="0" w:color="auto"/>
        <w:right w:val="none" w:sz="0" w:space="0" w:color="auto"/>
      </w:divBdr>
    </w:div>
    <w:div w:id="1255018705">
      <w:bodyDiv w:val="1"/>
      <w:marLeft w:val="0"/>
      <w:marRight w:val="0"/>
      <w:marTop w:val="0"/>
      <w:marBottom w:val="0"/>
      <w:divBdr>
        <w:top w:val="none" w:sz="0" w:space="0" w:color="auto"/>
        <w:left w:val="none" w:sz="0" w:space="0" w:color="auto"/>
        <w:bottom w:val="none" w:sz="0" w:space="0" w:color="auto"/>
        <w:right w:val="none" w:sz="0" w:space="0" w:color="auto"/>
      </w:divBdr>
    </w:div>
    <w:div w:id="1256748837">
      <w:bodyDiv w:val="1"/>
      <w:marLeft w:val="0"/>
      <w:marRight w:val="0"/>
      <w:marTop w:val="0"/>
      <w:marBottom w:val="0"/>
      <w:divBdr>
        <w:top w:val="none" w:sz="0" w:space="0" w:color="auto"/>
        <w:left w:val="none" w:sz="0" w:space="0" w:color="auto"/>
        <w:bottom w:val="none" w:sz="0" w:space="0" w:color="auto"/>
        <w:right w:val="none" w:sz="0" w:space="0" w:color="auto"/>
      </w:divBdr>
    </w:div>
    <w:div w:id="1288587413">
      <w:bodyDiv w:val="1"/>
      <w:marLeft w:val="0"/>
      <w:marRight w:val="0"/>
      <w:marTop w:val="0"/>
      <w:marBottom w:val="0"/>
      <w:divBdr>
        <w:top w:val="none" w:sz="0" w:space="0" w:color="auto"/>
        <w:left w:val="none" w:sz="0" w:space="0" w:color="auto"/>
        <w:bottom w:val="none" w:sz="0" w:space="0" w:color="auto"/>
        <w:right w:val="none" w:sz="0" w:space="0" w:color="auto"/>
      </w:divBdr>
    </w:div>
    <w:div w:id="1301224441">
      <w:bodyDiv w:val="1"/>
      <w:marLeft w:val="0"/>
      <w:marRight w:val="0"/>
      <w:marTop w:val="0"/>
      <w:marBottom w:val="0"/>
      <w:divBdr>
        <w:top w:val="none" w:sz="0" w:space="0" w:color="auto"/>
        <w:left w:val="none" w:sz="0" w:space="0" w:color="auto"/>
        <w:bottom w:val="none" w:sz="0" w:space="0" w:color="auto"/>
        <w:right w:val="none" w:sz="0" w:space="0" w:color="auto"/>
      </w:divBdr>
    </w:div>
    <w:div w:id="1330059454">
      <w:bodyDiv w:val="1"/>
      <w:marLeft w:val="0"/>
      <w:marRight w:val="0"/>
      <w:marTop w:val="0"/>
      <w:marBottom w:val="0"/>
      <w:divBdr>
        <w:top w:val="none" w:sz="0" w:space="0" w:color="auto"/>
        <w:left w:val="none" w:sz="0" w:space="0" w:color="auto"/>
        <w:bottom w:val="none" w:sz="0" w:space="0" w:color="auto"/>
        <w:right w:val="none" w:sz="0" w:space="0" w:color="auto"/>
      </w:divBdr>
    </w:div>
    <w:div w:id="1340811667">
      <w:bodyDiv w:val="1"/>
      <w:marLeft w:val="0"/>
      <w:marRight w:val="0"/>
      <w:marTop w:val="0"/>
      <w:marBottom w:val="0"/>
      <w:divBdr>
        <w:top w:val="none" w:sz="0" w:space="0" w:color="auto"/>
        <w:left w:val="none" w:sz="0" w:space="0" w:color="auto"/>
        <w:bottom w:val="none" w:sz="0" w:space="0" w:color="auto"/>
        <w:right w:val="none" w:sz="0" w:space="0" w:color="auto"/>
      </w:divBdr>
    </w:div>
    <w:div w:id="1400206778">
      <w:bodyDiv w:val="1"/>
      <w:marLeft w:val="0"/>
      <w:marRight w:val="0"/>
      <w:marTop w:val="0"/>
      <w:marBottom w:val="0"/>
      <w:divBdr>
        <w:top w:val="none" w:sz="0" w:space="0" w:color="auto"/>
        <w:left w:val="none" w:sz="0" w:space="0" w:color="auto"/>
        <w:bottom w:val="none" w:sz="0" w:space="0" w:color="auto"/>
        <w:right w:val="none" w:sz="0" w:space="0" w:color="auto"/>
      </w:divBdr>
      <w:divsChild>
        <w:div w:id="2092313563">
          <w:marLeft w:val="0"/>
          <w:marRight w:val="0"/>
          <w:marTop w:val="0"/>
          <w:marBottom w:val="0"/>
          <w:divBdr>
            <w:top w:val="none" w:sz="0" w:space="0" w:color="auto"/>
            <w:left w:val="none" w:sz="0" w:space="0" w:color="auto"/>
            <w:bottom w:val="none" w:sz="0" w:space="0" w:color="auto"/>
            <w:right w:val="none" w:sz="0" w:space="0" w:color="auto"/>
          </w:divBdr>
          <w:divsChild>
            <w:div w:id="41058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50630">
      <w:bodyDiv w:val="1"/>
      <w:marLeft w:val="0"/>
      <w:marRight w:val="0"/>
      <w:marTop w:val="0"/>
      <w:marBottom w:val="0"/>
      <w:divBdr>
        <w:top w:val="none" w:sz="0" w:space="0" w:color="auto"/>
        <w:left w:val="none" w:sz="0" w:space="0" w:color="auto"/>
        <w:bottom w:val="none" w:sz="0" w:space="0" w:color="auto"/>
        <w:right w:val="none" w:sz="0" w:space="0" w:color="auto"/>
      </w:divBdr>
    </w:div>
    <w:div w:id="1467317160">
      <w:bodyDiv w:val="1"/>
      <w:marLeft w:val="0"/>
      <w:marRight w:val="0"/>
      <w:marTop w:val="0"/>
      <w:marBottom w:val="0"/>
      <w:divBdr>
        <w:top w:val="none" w:sz="0" w:space="0" w:color="auto"/>
        <w:left w:val="none" w:sz="0" w:space="0" w:color="auto"/>
        <w:bottom w:val="none" w:sz="0" w:space="0" w:color="auto"/>
        <w:right w:val="none" w:sz="0" w:space="0" w:color="auto"/>
      </w:divBdr>
    </w:div>
    <w:div w:id="1469207564">
      <w:bodyDiv w:val="1"/>
      <w:marLeft w:val="0"/>
      <w:marRight w:val="0"/>
      <w:marTop w:val="0"/>
      <w:marBottom w:val="0"/>
      <w:divBdr>
        <w:top w:val="none" w:sz="0" w:space="0" w:color="auto"/>
        <w:left w:val="none" w:sz="0" w:space="0" w:color="auto"/>
        <w:bottom w:val="none" w:sz="0" w:space="0" w:color="auto"/>
        <w:right w:val="none" w:sz="0" w:space="0" w:color="auto"/>
      </w:divBdr>
    </w:div>
    <w:div w:id="1489591203">
      <w:bodyDiv w:val="1"/>
      <w:marLeft w:val="0"/>
      <w:marRight w:val="0"/>
      <w:marTop w:val="0"/>
      <w:marBottom w:val="0"/>
      <w:divBdr>
        <w:top w:val="none" w:sz="0" w:space="0" w:color="auto"/>
        <w:left w:val="none" w:sz="0" w:space="0" w:color="auto"/>
        <w:bottom w:val="none" w:sz="0" w:space="0" w:color="auto"/>
        <w:right w:val="none" w:sz="0" w:space="0" w:color="auto"/>
      </w:divBdr>
    </w:div>
    <w:div w:id="1502086886">
      <w:bodyDiv w:val="1"/>
      <w:marLeft w:val="0"/>
      <w:marRight w:val="0"/>
      <w:marTop w:val="0"/>
      <w:marBottom w:val="0"/>
      <w:divBdr>
        <w:top w:val="none" w:sz="0" w:space="0" w:color="auto"/>
        <w:left w:val="none" w:sz="0" w:space="0" w:color="auto"/>
        <w:bottom w:val="none" w:sz="0" w:space="0" w:color="auto"/>
        <w:right w:val="none" w:sz="0" w:space="0" w:color="auto"/>
      </w:divBdr>
    </w:div>
    <w:div w:id="1510178529">
      <w:bodyDiv w:val="1"/>
      <w:marLeft w:val="0"/>
      <w:marRight w:val="0"/>
      <w:marTop w:val="0"/>
      <w:marBottom w:val="0"/>
      <w:divBdr>
        <w:top w:val="none" w:sz="0" w:space="0" w:color="auto"/>
        <w:left w:val="none" w:sz="0" w:space="0" w:color="auto"/>
        <w:bottom w:val="none" w:sz="0" w:space="0" w:color="auto"/>
        <w:right w:val="none" w:sz="0" w:space="0" w:color="auto"/>
      </w:divBdr>
      <w:divsChild>
        <w:div w:id="1753158371">
          <w:marLeft w:val="0"/>
          <w:marRight w:val="0"/>
          <w:marTop w:val="0"/>
          <w:marBottom w:val="0"/>
          <w:divBdr>
            <w:top w:val="none" w:sz="0" w:space="0" w:color="auto"/>
            <w:left w:val="none" w:sz="0" w:space="0" w:color="auto"/>
            <w:bottom w:val="none" w:sz="0" w:space="0" w:color="auto"/>
            <w:right w:val="none" w:sz="0" w:space="0" w:color="auto"/>
          </w:divBdr>
          <w:divsChild>
            <w:div w:id="1414664746">
              <w:marLeft w:val="0"/>
              <w:marRight w:val="0"/>
              <w:marTop w:val="0"/>
              <w:marBottom w:val="0"/>
              <w:divBdr>
                <w:top w:val="none" w:sz="0" w:space="0" w:color="auto"/>
                <w:left w:val="none" w:sz="0" w:space="0" w:color="auto"/>
                <w:bottom w:val="none" w:sz="0" w:space="0" w:color="auto"/>
                <w:right w:val="none" w:sz="0" w:space="0" w:color="auto"/>
              </w:divBdr>
              <w:divsChild>
                <w:div w:id="61868656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518959939">
      <w:bodyDiv w:val="1"/>
      <w:marLeft w:val="0"/>
      <w:marRight w:val="0"/>
      <w:marTop w:val="0"/>
      <w:marBottom w:val="0"/>
      <w:divBdr>
        <w:top w:val="none" w:sz="0" w:space="0" w:color="auto"/>
        <w:left w:val="none" w:sz="0" w:space="0" w:color="auto"/>
        <w:bottom w:val="none" w:sz="0" w:space="0" w:color="auto"/>
        <w:right w:val="none" w:sz="0" w:space="0" w:color="auto"/>
      </w:divBdr>
    </w:div>
    <w:div w:id="1531723590">
      <w:bodyDiv w:val="1"/>
      <w:marLeft w:val="0"/>
      <w:marRight w:val="0"/>
      <w:marTop w:val="0"/>
      <w:marBottom w:val="0"/>
      <w:divBdr>
        <w:top w:val="none" w:sz="0" w:space="0" w:color="auto"/>
        <w:left w:val="none" w:sz="0" w:space="0" w:color="auto"/>
        <w:bottom w:val="none" w:sz="0" w:space="0" w:color="auto"/>
        <w:right w:val="none" w:sz="0" w:space="0" w:color="auto"/>
      </w:divBdr>
    </w:div>
    <w:div w:id="1548104740">
      <w:bodyDiv w:val="1"/>
      <w:marLeft w:val="0"/>
      <w:marRight w:val="0"/>
      <w:marTop w:val="0"/>
      <w:marBottom w:val="0"/>
      <w:divBdr>
        <w:top w:val="none" w:sz="0" w:space="0" w:color="auto"/>
        <w:left w:val="none" w:sz="0" w:space="0" w:color="auto"/>
        <w:bottom w:val="none" w:sz="0" w:space="0" w:color="auto"/>
        <w:right w:val="none" w:sz="0" w:space="0" w:color="auto"/>
      </w:divBdr>
    </w:div>
    <w:div w:id="1552107920">
      <w:bodyDiv w:val="1"/>
      <w:marLeft w:val="0"/>
      <w:marRight w:val="0"/>
      <w:marTop w:val="0"/>
      <w:marBottom w:val="0"/>
      <w:divBdr>
        <w:top w:val="none" w:sz="0" w:space="0" w:color="auto"/>
        <w:left w:val="none" w:sz="0" w:space="0" w:color="auto"/>
        <w:bottom w:val="none" w:sz="0" w:space="0" w:color="auto"/>
        <w:right w:val="none" w:sz="0" w:space="0" w:color="auto"/>
      </w:divBdr>
    </w:div>
    <w:div w:id="1575317059">
      <w:bodyDiv w:val="1"/>
      <w:marLeft w:val="0"/>
      <w:marRight w:val="0"/>
      <w:marTop w:val="0"/>
      <w:marBottom w:val="0"/>
      <w:divBdr>
        <w:top w:val="none" w:sz="0" w:space="0" w:color="auto"/>
        <w:left w:val="none" w:sz="0" w:space="0" w:color="auto"/>
        <w:bottom w:val="none" w:sz="0" w:space="0" w:color="auto"/>
        <w:right w:val="none" w:sz="0" w:space="0" w:color="auto"/>
      </w:divBdr>
    </w:div>
    <w:div w:id="1590654551">
      <w:bodyDiv w:val="1"/>
      <w:marLeft w:val="0"/>
      <w:marRight w:val="0"/>
      <w:marTop w:val="0"/>
      <w:marBottom w:val="0"/>
      <w:divBdr>
        <w:top w:val="none" w:sz="0" w:space="0" w:color="auto"/>
        <w:left w:val="none" w:sz="0" w:space="0" w:color="auto"/>
        <w:bottom w:val="none" w:sz="0" w:space="0" w:color="auto"/>
        <w:right w:val="none" w:sz="0" w:space="0" w:color="auto"/>
      </w:divBdr>
    </w:div>
    <w:div w:id="1592201955">
      <w:bodyDiv w:val="1"/>
      <w:marLeft w:val="0"/>
      <w:marRight w:val="0"/>
      <w:marTop w:val="0"/>
      <w:marBottom w:val="0"/>
      <w:divBdr>
        <w:top w:val="none" w:sz="0" w:space="0" w:color="auto"/>
        <w:left w:val="none" w:sz="0" w:space="0" w:color="auto"/>
        <w:bottom w:val="none" w:sz="0" w:space="0" w:color="auto"/>
        <w:right w:val="none" w:sz="0" w:space="0" w:color="auto"/>
      </w:divBdr>
    </w:div>
    <w:div w:id="1628470235">
      <w:bodyDiv w:val="1"/>
      <w:marLeft w:val="0"/>
      <w:marRight w:val="0"/>
      <w:marTop w:val="0"/>
      <w:marBottom w:val="0"/>
      <w:divBdr>
        <w:top w:val="none" w:sz="0" w:space="0" w:color="auto"/>
        <w:left w:val="none" w:sz="0" w:space="0" w:color="auto"/>
        <w:bottom w:val="none" w:sz="0" w:space="0" w:color="auto"/>
        <w:right w:val="none" w:sz="0" w:space="0" w:color="auto"/>
      </w:divBdr>
    </w:div>
    <w:div w:id="1646734276">
      <w:bodyDiv w:val="1"/>
      <w:marLeft w:val="0"/>
      <w:marRight w:val="0"/>
      <w:marTop w:val="0"/>
      <w:marBottom w:val="0"/>
      <w:divBdr>
        <w:top w:val="none" w:sz="0" w:space="0" w:color="auto"/>
        <w:left w:val="none" w:sz="0" w:space="0" w:color="auto"/>
        <w:bottom w:val="none" w:sz="0" w:space="0" w:color="auto"/>
        <w:right w:val="none" w:sz="0" w:space="0" w:color="auto"/>
      </w:divBdr>
    </w:div>
    <w:div w:id="1711301186">
      <w:bodyDiv w:val="1"/>
      <w:marLeft w:val="0"/>
      <w:marRight w:val="0"/>
      <w:marTop w:val="0"/>
      <w:marBottom w:val="0"/>
      <w:divBdr>
        <w:top w:val="none" w:sz="0" w:space="0" w:color="auto"/>
        <w:left w:val="none" w:sz="0" w:space="0" w:color="auto"/>
        <w:bottom w:val="none" w:sz="0" w:space="0" w:color="auto"/>
        <w:right w:val="none" w:sz="0" w:space="0" w:color="auto"/>
      </w:divBdr>
    </w:div>
    <w:div w:id="1714958295">
      <w:bodyDiv w:val="1"/>
      <w:marLeft w:val="0"/>
      <w:marRight w:val="0"/>
      <w:marTop w:val="0"/>
      <w:marBottom w:val="0"/>
      <w:divBdr>
        <w:top w:val="none" w:sz="0" w:space="0" w:color="auto"/>
        <w:left w:val="none" w:sz="0" w:space="0" w:color="auto"/>
        <w:bottom w:val="none" w:sz="0" w:space="0" w:color="auto"/>
        <w:right w:val="none" w:sz="0" w:space="0" w:color="auto"/>
      </w:divBdr>
    </w:div>
    <w:div w:id="1730379116">
      <w:bodyDiv w:val="1"/>
      <w:marLeft w:val="0"/>
      <w:marRight w:val="0"/>
      <w:marTop w:val="0"/>
      <w:marBottom w:val="0"/>
      <w:divBdr>
        <w:top w:val="none" w:sz="0" w:space="0" w:color="auto"/>
        <w:left w:val="none" w:sz="0" w:space="0" w:color="auto"/>
        <w:bottom w:val="none" w:sz="0" w:space="0" w:color="auto"/>
        <w:right w:val="none" w:sz="0" w:space="0" w:color="auto"/>
      </w:divBdr>
    </w:div>
    <w:div w:id="1772125423">
      <w:bodyDiv w:val="1"/>
      <w:marLeft w:val="0"/>
      <w:marRight w:val="0"/>
      <w:marTop w:val="0"/>
      <w:marBottom w:val="0"/>
      <w:divBdr>
        <w:top w:val="none" w:sz="0" w:space="0" w:color="auto"/>
        <w:left w:val="none" w:sz="0" w:space="0" w:color="auto"/>
        <w:bottom w:val="none" w:sz="0" w:space="0" w:color="auto"/>
        <w:right w:val="none" w:sz="0" w:space="0" w:color="auto"/>
      </w:divBdr>
    </w:div>
    <w:div w:id="1775785282">
      <w:bodyDiv w:val="1"/>
      <w:marLeft w:val="0"/>
      <w:marRight w:val="0"/>
      <w:marTop w:val="0"/>
      <w:marBottom w:val="0"/>
      <w:divBdr>
        <w:top w:val="none" w:sz="0" w:space="0" w:color="auto"/>
        <w:left w:val="none" w:sz="0" w:space="0" w:color="auto"/>
        <w:bottom w:val="none" w:sz="0" w:space="0" w:color="auto"/>
        <w:right w:val="none" w:sz="0" w:space="0" w:color="auto"/>
      </w:divBdr>
    </w:div>
    <w:div w:id="1785726780">
      <w:bodyDiv w:val="1"/>
      <w:marLeft w:val="0"/>
      <w:marRight w:val="0"/>
      <w:marTop w:val="0"/>
      <w:marBottom w:val="0"/>
      <w:divBdr>
        <w:top w:val="none" w:sz="0" w:space="0" w:color="auto"/>
        <w:left w:val="none" w:sz="0" w:space="0" w:color="auto"/>
        <w:bottom w:val="none" w:sz="0" w:space="0" w:color="auto"/>
        <w:right w:val="none" w:sz="0" w:space="0" w:color="auto"/>
      </w:divBdr>
    </w:div>
    <w:div w:id="1797522062">
      <w:bodyDiv w:val="1"/>
      <w:marLeft w:val="0"/>
      <w:marRight w:val="0"/>
      <w:marTop w:val="0"/>
      <w:marBottom w:val="0"/>
      <w:divBdr>
        <w:top w:val="none" w:sz="0" w:space="0" w:color="auto"/>
        <w:left w:val="none" w:sz="0" w:space="0" w:color="auto"/>
        <w:bottom w:val="none" w:sz="0" w:space="0" w:color="auto"/>
        <w:right w:val="none" w:sz="0" w:space="0" w:color="auto"/>
      </w:divBdr>
      <w:divsChild>
        <w:div w:id="2078162833">
          <w:marLeft w:val="0"/>
          <w:marRight w:val="0"/>
          <w:marTop w:val="0"/>
          <w:marBottom w:val="0"/>
          <w:divBdr>
            <w:top w:val="none" w:sz="0" w:space="0" w:color="auto"/>
            <w:left w:val="none" w:sz="0" w:space="0" w:color="auto"/>
            <w:bottom w:val="none" w:sz="0" w:space="0" w:color="auto"/>
            <w:right w:val="none" w:sz="0" w:space="0" w:color="auto"/>
          </w:divBdr>
          <w:divsChild>
            <w:div w:id="83958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16240">
      <w:bodyDiv w:val="1"/>
      <w:marLeft w:val="0"/>
      <w:marRight w:val="0"/>
      <w:marTop w:val="0"/>
      <w:marBottom w:val="0"/>
      <w:divBdr>
        <w:top w:val="none" w:sz="0" w:space="0" w:color="auto"/>
        <w:left w:val="none" w:sz="0" w:space="0" w:color="auto"/>
        <w:bottom w:val="none" w:sz="0" w:space="0" w:color="auto"/>
        <w:right w:val="none" w:sz="0" w:space="0" w:color="auto"/>
      </w:divBdr>
    </w:div>
    <w:div w:id="1873612924">
      <w:bodyDiv w:val="1"/>
      <w:marLeft w:val="0"/>
      <w:marRight w:val="0"/>
      <w:marTop w:val="0"/>
      <w:marBottom w:val="0"/>
      <w:divBdr>
        <w:top w:val="none" w:sz="0" w:space="0" w:color="auto"/>
        <w:left w:val="none" w:sz="0" w:space="0" w:color="auto"/>
        <w:bottom w:val="none" w:sz="0" w:space="0" w:color="auto"/>
        <w:right w:val="none" w:sz="0" w:space="0" w:color="auto"/>
      </w:divBdr>
    </w:div>
    <w:div w:id="1887136187">
      <w:bodyDiv w:val="1"/>
      <w:marLeft w:val="0"/>
      <w:marRight w:val="0"/>
      <w:marTop w:val="0"/>
      <w:marBottom w:val="0"/>
      <w:divBdr>
        <w:top w:val="none" w:sz="0" w:space="0" w:color="auto"/>
        <w:left w:val="none" w:sz="0" w:space="0" w:color="auto"/>
        <w:bottom w:val="none" w:sz="0" w:space="0" w:color="auto"/>
        <w:right w:val="none" w:sz="0" w:space="0" w:color="auto"/>
      </w:divBdr>
    </w:div>
    <w:div w:id="1895240529">
      <w:bodyDiv w:val="1"/>
      <w:marLeft w:val="0"/>
      <w:marRight w:val="0"/>
      <w:marTop w:val="0"/>
      <w:marBottom w:val="0"/>
      <w:divBdr>
        <w:top w:val="none" w:sz="0" w:space="0" w:color="auto"/>
        <w:left w:val="none" w:sz="0" w:space="0" w:color="auto"/>
        <w:bottom w:val="none" w:sz="0" w:space="0" w:color="auto"/>
        <w:right w:val="none" w:sz="0" w:space="0" w:color="auto"/>
      </w:divBdr>
      <w:divsChild>
        <w:div w:id="2082680520">
          <w:marLeft w:val="0"/>
          <w:marRight w:val="0"/>
          <w:marTop w:val="0"/>
          <w:marBottom w:val="0"/>
          <w:divBdr>
            <w:top w:val="none" w:sz="0" w:space="0" w:color="auto"/>
            <w:left w:val="none" w:sz="0" w:space="0" w:color="auto"/>
            <w:bottom w:val="none" w:sz="0" w:space="0" w:color="auto"/>
            <w:right w:val="none" w:sz="0" w:space="0" w:color="auto"/>
          </w:divBdr>
          <w:divsChild>
            <w:div w:id="658116449">
              <w:marLeft w:val="0"/>
              <w:marRight w:val="0"/>
              <w:marTop w:val="0"/>
              <w:marBottom w:val="0"/>
              <w:divBdr>
                <w:top w:val="none" w:sz="0" w:space="0" w:color="auto"/>
                <w:left w:val="none" w:sz="0" w:space="0" w:color="auto"/>
                <w:bottom w:val="none" w:sz="0" w:space="0" w:color="auto"/>
                <w:right w:val="none" w:sz="0" w:space="0" w:color="auto"/>
              </w:divBdr>
              <w:divsChild>
                <w:div w:id="1782410552">
                  <w:marLeft w:val="0"/>
                  <w:marRight w:val="0"/>
                  <w:marTop w:val="0"/>
                  <w:marBottom w:val="0"/>
                  <w:divBdr>
                    <w:top w:val="none" w:sz="0" w:space="0" w:color="auto"/>
                    <w:left w:val="none" w:sz="0" w:space="0" w:color="auto"/>
                    <w:bottom w:val="none" w:sz="0" w:space="0" w:color="auto"/>
                    <w:right w:val="none" w:sz="0" w:space="0" w:color="auto"/>
                  </w:divBdr>
                  <w:divsChild>
                    <w:div w:id="86633658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10673">
      <w:bodyDiv w:val="1"/>
      <w:marLeft w:val="0"/>
      <w:marRight w:val="0"/>
      <w:marTop w:val="0"/>
      <w:marBottom w:val="0"/>
      <w:divBdr>
        <w:top w:val="none" w:sz="0" w:space="0" w:color="auto"/>
        <w:left w:val="none" w:sz="0" w:space="0" w:color="auto"/>
        <w:bottom w:val="none" w:sz="0" w:space="0" w:color="auto"/>
        <w:right w:val="none" w:sz="0" w:space="0" w:color="auto"/>
      </w:divBdr>
    </w:div>
    <w:div w:id="1941796417">
      <w:bodyDiv w:val="1"/>
      <w:marLeft w:val="0"/>
      <w:marRight w:val="0"/>
      <w:marTop w:val="0"/>
      <w:marBottom w:val="0"/>
      <w:divBdr>
        <w:top w:val="none" w:sz="0" w:space="0" w:color="auto"/>
        <w:left w:val="none" w:sz="0" w:space="0" w:color="auto"/>
        <w:bottom w:val="none" w:sz="0" w:space="0" w:color="auto"/>
        <w:right w:val="none" w:sz="0" w:space="0" w:color="auto"/>
      </w:divBdr>
    </w:div>
    <w:div w:id="1982997528">
      <w:bodyDiv w:val="1"/>
      <w:marLeft w:val="0"/>
      <w:marRight w:val="0"/>
      <w:marTop w:val="0"/>
      <w:marBottom w:val="0"/>
      <w:divBdr>
        <w:top w:val="none" w:sz="0" w:space="0" w:color="auto"/>
        <w:left w:val="none" w:sz="0" w:space="0" w:color="auto"/>
        <w:bottom w:val="none" w:sz="0" w:space="0" w:color="auto"/>
        <w:right w:val="none" w:sz="0" w:space="0" w:color="auto"/>
      </w:divBdr>
    </w:div>
    <w:div w:id="2010869707">
      <w:bodyDiv w:val="1"/>
      <w:marLeft w:val="0"/>
      <w:marRight w:val="0"/>
      <w:marTop w:val="0"/>
      <w:marBottom w:val="0"/>
      <w:divBdr>
        <w:top w:val="none" w:sz="0" w:space="0" w:color="auto"/>
        <w:left w:val="none" w:sz="0" w:space="0" w:color="auto"/>
        <w:bottom w:val="none" w:sz="0" w:space="0" w:color="auto"/>
        <w:right w:val="none" w:sz="0" w:space="0" w:color="auto"/>
      </w:divBdr>
    </w:div>
    <w:div w:id="2024934495">
      <w:bodyDiv w:val="1"/>
      <w:marLeft w:val="0"/>
      <w:marRight w:val="0"/>
      <w:marTop w:val="0"/>
      <w:marBottom w:val="0"/>
      <w:divBdr>
        <w:top w:val="none" w:sz="0" w:space="0" w:color="auto"/>
        <w:left w:val="none" w:sz="0" w:space="0" w:color="auto"/>
        <w:bottom w:val="none" w:sz="0" w:space="0" w:color="auto"/>
        <w:right w:val="none" w:sz="0" w:space="0" w:color="auto"/>
      </w:divBdr>
    </w:div>
    <w:div w:id="2103917482">
      <w:bodyDiv w:val="1"/>
      <w:marLeft w:val="0"/>
      <w:marRight w:val="0"/>
      <w:marTop w:val="0"/>
      <w:marBottom w:val="0"/>
      <w:divBdr>
        <w:top w:val="none" w:sz="0" w:space="0" w:color="auto"/>
        <w:left w:val="none" w:sz="0" w:space="0" w:color="auto"/>
        <w:bottom w:val="none" w:sz="0" w:space="0" w:color="auto"/>
        <w:right w:val="none" w:sz="0" w:space="0" w:color="auto"/>
      </w:divBdr>
    </w:div>
    <w:div w:id="2122451885">
      <w:bodyDiv w:val="1"/>
      <w:marLeft w:val="0"/>
      <w:marRight w:val="0"/>
      <w:marTop w:val="0"/>
      <w:marBottom w:val="0"/>
      <w:divBdr>
        <w:top w:val="none" w:sz="0" w:space="0" w:color="auto"/>
        <w:left w:val="none" w:sz="0" w:space="0" w:color="auto"/>
        <w:bottom w:val="none" w:sz="0" w:space="0" w:color="auto"/>
        <w:right w:val="none" w:sz="0" w:space="0" w:color="auto"/>
      </w:divBdr>
    </w:div>
    <w:div w:id="213413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data.europa.eu/eli/reg/2024/1689/oj"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data.europa.eu/eli/reg/2017/745/oj"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ec.europa.eu/info/law/better-regulation/have-your-say/initiatives/14627-Biotech-Act/public-consultation_en" TargetMode="External"/><Relationship Id="rId20" Type="http://schemas.openxmlformats.org/officeDocument/2006/relationships/footer" Target="footer3.xml"/><Relationship Id="rId29" Type="http://schemas.openxmlformats.org/officeDocument/2006/relationships/hyperlink" Target="http://data.europa.eu/eli/reg/2014/910/o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data.europa.eu/eli/reg/2017/746/oj" TargetMode="External"/><Relationship Id="rId32" Type="http://schemas.openxmlformats.org/officeDocument/2006/relationships/hyperlink" Target="https://op.europa.eu/en/web/eu-vocabularies/concept-scheme/-/resource?uri=http://data.europa.eu/7yx/cofo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5.xml"/><Relationship Id="rId28" Type="http://schemas.openxmlformats.org/officeDocument/2006/relationships/hyperlink" Target="http://data.europa.eu/eli/reg/2025/327/oj"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1.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c.europa.eu/info/law/better-regulation/have-your-say/initiatives/14627-Biotech-Act_en" TargetMode="External"/><Relationship Id="rId22" Type="http://schemas.openxmlformats.org/officeDocument/2006/relationships/header" Target="header2.xml"/><Relationship Id="rId27" Type="http://schemas.openxmlformats.org/officeDocument/2006/relationships/hyperlink" Target="http://data.europa.eu/eli/reg/2016/679/oj" TargetMode="External"/><Relationship Id="rId30" Type="http://schemas.openxmlformats.org/officeDocument/2006/relationships/header" Target="header3.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data.europa.eu/eli/reg/2024/1938/oj" TargetMode="External"/><Relationship Id="rId18" Type="http://schemas.openxmlformats.org/officeDocument/2006/relationships/hyperlink" Target="http://data.europa.eu/eli/reg/2017/746/oj" TargetMode="External"/><Relationship Id="rId26" Type="http://schemas.openxmlformats.org/officeDocument/2006/relationships/hyperlink" Target="https://ec.europa.eu/info/law/better-regulation/have-your-say/initiatives/14593-European-Innovation-Act_en" TargetMode="External"/><Relationship Id="rId39" Type="http://schemas.openxmlformats.org/officeDocument/2006/relationships/hyperlink" Target="http://data.europa.eu/eli/reg/2024/795/oj" TargetMode="External"/><Relationship Id="rId21" Type="http://schemas.openxmlformats.org/officeDocument/2006/relationships/hyperlink" Target="https://commission.europa.eu/topics/competitiveness/competitiveness-compass_en" TargetMode="External"/><Relationship Id="rId34" Type="http://schemas.openxmlformats.org/officeDocument/2006/relationships/hyperlink" Target="https://ec.europa.eu/info/law/better-regulation/have-your-say/initiatives/14627-Biotech-Act/public-consultation_en" TargetMode="External"/><Relationship Id="rId42" Type="http://schemas.openxmlformats.org/officeDocument/2006/relationships/hyperlink" Target="https://data.europa.eu/doi/10.2777/8697309" TargetMode="External"/><Relationship Id="rId47" Type="http://schemas.openxmlformats.org/officeDocument/2006/relationships/hyperlink" Target="http://data.europa.eu/eli/reg/2024/795/oj" TargetMode="External"/><Relationship Id="rId50" Type="http://schemas.openxmlformats.org/officeDocument/2006/relationships/hyperlink" Target="http://data.europa.eu/eli/reg/2025/327/oj" TargetMode="External"/><Relationship Id="rId55" Type="http://schemas.openxmlformats.org/officeDocument/2006/relationships/hyperlink" Target="http://data.europa.eu/eli/reg/2014/651/2023-07-01" TargetMode="External"/><Relationship Id="rId63" Type="http://schemas.openxmlformats.org/officeDocument/2006/relationships/hyperlink" Target="http://data.europa.eu/eli/dir/2000/54/oj" TargetMode="External"/><Relationship Id="rId68" Type="http://schemas.openxmlformats.org/officeDocument/2006/relationships/hyperlink" Target="http://data.europa.eu/eli/reg/2021/523/oj" TargetMode="External"/><Relationship Id="rId7" Type="http://schemas.openxmlformats.org/officeDocument/2006/relationships/hyperlink" Target="https://commission.europa.eu/document/download/97e481fd-2dc3-412d-be4c-f152a8232961_en" TargetMode="External"/><Relationship Id="rId71" Type="http://schemas.openxmlformats.org/officeDocument/2006/relationships/hyperlink" Target="http://data.europa.eu/eli/reg/2019/1148/oj" TargetMode="External"/><Relationship Id="rId2" Type="http://schemas.openxmlformats.org/officeDocument/2006/relationships/hyperlink" Target="https://efpia.eu/media/3edpooqp/assessing-the-clinical-trial-ecosystem-in-europe.pdf" TargetMode="External"/><Relationship Id="rId16" Type="http://schemas.openxmlformats.org/officeDocument/2006/relationships/hyperlink" Target="http://data.europa.eu/eli/dir/2001/18/oj" TargetMode="External"/><Relationship Id="rId29" Type="http://schemas.openxmlformats.org/officeDocument/2006/relationships/hyperlink" Target="http://data.europa.eu/eli/reg/2006/1907/2025-09-01" TargetMode="External"/><Relationship Id="rId1" Type="http://schemas.openxmlformats.org/officeDocument/2006/relationships/hyperlink" Target="http://data.europa.eu/eli/reg/2024/1689/oj" TargetMode="External"/><Relationship Id="rId6" Type="http://schemas.openxmlformats.org/officeDocument/2006/relationships/hyperlink" Target="https://www.consilium.europa.eu/media/ny3j24sm/much-more-than-a-market-report-by-enrico-letta.pdf" TargetMode="External"/><Relationship Id="rId11" Type="http://schemas.openxmlformats.org/officeDocument/2006/relationships/hyperlink" Target="http://data.europa.eu/eli/reg/2014/536/oj" TargetMode="External"/><Relationship Id="rId24" Type="http://schemas.openxmlformats.org/officeDocument/2006/relationships/hyperlink" Target="https://ec.europa.eu/newsroom/dae/redirection/document/114523" TargetMode="External"/><Relationship Id="rId32" Type="http://schemas.openxmlformats.org/officeDocument/2006/relationships/hyperlink" Target="http://data.europa.eu/eli/reg/2019/881/oj" TargetMode="External"/><Relationship Id="rId37" Type="http://schemas.openxmlformats.org/officeDocument/2006/relationships/hyperlink" Target="https://www.consilium.europa.eu/media/ny3j24sm/much-more-than-a-market-report-by-enrico-letta.pdf" TargetMode="External"/><Relationship Id="rId40" Type="http://schemas.openxmlformats.org/officeDocument/2006/relationships/hyperlink" Target="http://data.europa.eu/eli/reg/2002/178/oj" TargetMode="External"/><Relationship Id="rId45" Type="http://schemas.openxmlformats.org/officeDocument/2006/relationships/hyperlink" Target="http://data.europa.eu/eli/reg/2006/1907/2025-09-01" TargetMode="External"/><Relationship Id="rId53" Type="http://schemas.openxmlformats.org/officeDocument/2006/relationships/hyperlink" Target="http://data.europa.eu/eli/dir/2000/60/oj" TargetMode="External"/><Relationship Id="rId58" Type="http://schemas.openxmlformats.org/officeDocument/2006/relationships/hyperlink" Target="http://data.europa.eu/eli/dir/2001/83/oj" TargetMode="External"/><Relationship Id="rId66" Type="http://schemas.openxmlformats.org/officeDocument/2006/relationships/hyperlink" Target="http://data.europa.eu/eli/reg/2018/1725/oj" TargetMode="External"/><Relationship Id="rId5" Type="http://schemas.openxmlformats.org/officeDocument/2006/relationships/hyperlink" Target="https://commission.europa.eu/document/download/e6cd4328-673c-4e7a-8683-f63ffb2cf648_en?filename=Political%20Guidelines%202024-2029_EN.pdf" TargetMode="External"/><Relationship Id="rId15" Type="http://schemas.openxmlformats.org/officeDocument/2006/relationships/hyperlink" Target="http://data.europa.eu/eli/reg/2002/178/oj" TargetMode="External"/><Relationship Id="rId23" Type="http://schemas.openxmlformats.org/officeDocument/2006/relationships/hyperlink" Target="https://strategic-technologies.europa.eu/index_en" TargetMode="External"/><Relationship Id="rId28" Type="http://schemas.openxmlformats.org/officeDocument/2006/relationships/hyperlink" Target="http://data.europa.eu/eli/reg/2021/1119/oj" TargetMode="External"/><Relationship Id="rId36" Type="http://schemas.openxmlformats.org/officeDocument/2006/relationships/hyperlink" Target="file:///C:/Users/eftimcr/Downloads/Enrico%20Letta%20-%20Much%20more%20than%20a%20market%20(April%202024)" TargetMode="External"/><Relationship Id="rId49" Type="http://schemas.openxmlformats.org/officeDocument/2006/relationships/hyperlink" Target="http://data.europa.eu/eli/dir/2022/2555/oj" TargetMode="External"/><Relationship Id="rId57" Type="http://schemas.openxmlformats.org/officeDocument/2006/relationships/hyperlink" Target="http://data.europa.eu/eli/reg/2025/327/oj" TargetMode="External"/><Relationship Id="rId61" Type="http://schemas.openxmlformats.org/officeDocument/2006/relationships/hyperlink" Target="http://data.europa.eu/eli/reg/2021/821/oj" TargetMode="External"/><Relationship Id="rId10" Type="http://schemas.openxmlformats.org/officeDocument/2006/relationships/hyperlink" Target="https://data.consilium.europa.eu/doc/document/ST-13323-2025-INIT/en/pdf" TargetMode="External"/><Relationship Id="rId19" Type="http://schemas.openxmlformats.org/officeDocument/2006/relationships/hyperlink" Target="https://health.ec.europa.eu/medicinal-products/legal-framework-governing-medicinal-products-human-use-eu/critical-medicines-act_en" TargetMode="External"/><Relationship Id="rId31" Type="http://schemas.openxmlformats.org/officeDocument/2006/relationships/hyperlink" Target="http://data.europa.eu/eli/reg/2024/1689/oj" TargetMode="External"/><Relationship Id="rId44" Type="http://schemas.openxmlformats.org/officeDocument/2006/relationships/hyperlink" Target="http://data.europa.eu/eli/dir/2010/63/2019-06-26" TargetMode="External"/><Relationship Id="rId52" Type="http://schemas.openxmlformats.org/officeDocument/2006/relationships/hyperlink" Target="http://data.europa.eu/eli/dir/2011/24/oj" TargetMode="External"/><Relationship Id="rId60" Type="http://schemas.openxmlformats.org/officeDocument/2006/relationships/hyperlink" Target="http://data.europa.eu/eli/reg/2022/2371/oj" TargetMode="External"/><Relationship Id="rId65" Type="http://schemas.openxmlformats.org/officeDocument/2006/relationships/hyperlink" Target="http://data.europa.eu/eli/reg/2022/2371/oj" TargetMode="External"/><Relationship Id="rId4" Type="http://schemas.openxmlformats.org/officeDocument/2006/relationships/hyperlink" Target="https://commission.europa.eu/document/download/97e481fd-2dc3-412d-be4c-f152a8232961_en" TargetMode="External"/><Relationship Id="rId9" Type="http://schemas.openxmlformats.org/officeDocument/2006/relationships/hyperlink" Target="https://oeil.europarl.europa.eu/oeil/en/procedure-file?reference=2025/2087(INI)" TargetMode="External"/><Relationship Id="rId14" Type="http://schemas.openxmlformats.org/officeDocument/2006/relationships/hyperlink" Target="http://data.europa.eu/eli/reg/2019/6/oj" TargetMode="External"/><Relationship Id="rId22" Type="http://schemas.openxmlformats.org/officeDocument/2006/relationships/hyperlink" Target="http://data.europa.eu/eli/reg/2022/2371/oj" TargetMode="External"/><Relationship Id="rId27" Type="http://schemas.openxmlformats.org/officeDocument/2006/relationships/hyperlink" Target="https://ec.europa.eu/info/law/better-regulation/have-your-say/initiatives/14555-Towards-a-circular-regenerative-and-competitive-bioeconomy_en" TargetMode="External"/><Relationship Id="rId30" Type="http://schemas.openxmlformats.org/officeDocument/2006/relationships/hyperlink" Target="http://data.europa.eu/eli/reg/2024/1735/2025-08-17" TargetMode="External"/><Relationship Id="rId35" Type="http://schemas.openxmlformats.org/officeDocument/2006/relationships/hyperlink" Target="https://commission.europa.eu/document/download/97e481fd-2dc3-412d-be4c-f152a8232961_en" TargetMode="External"/><Relationship Id="rId43" Type="http://schemas.openxmlformats.org/officeDocument/2006/relationships/hyperlink" Target="http://data.europa.eu/eli/reg/2002/178/oj" TargetMode="External"/><Relationship Id="rId48" Type="http://schemas.openxmlformats.org/officeDocument/2006/relationships/hyperlink" Target="https://commission.europa.eu/document/download/97e481fd-2dc3-412d-be4c-f152a8232961_en" TargetMode="External"/><Relationship Id="rId56" Type="http://schemas.openxmlformats.org/officeDocument/2006/relationships/hyperlink" Target="https://www.ema.europa.eu/en/documents/other/reflection-paper-tailored-clinical-approach-biosimilar-development_en.pdf" TargetMode="External"/><Relationship Id="rId64" Type="http://schemas.openxmlformats.org/officeDocument/2006/relationships/hyperlink" Target="http://data.europa.eu/eli/dir/2001/18/oj" TargetMode="External"/><Relationship Id="rId69" Type="http://schemas.openxmlformats.org/officeDocument/2006/relationships/hyperlink" Target="http://data.europa.eu/eli/dir/2022/2555/oj" TargetMode="External"/><Relationship Id="rId8" Type="http://schemas.openxmlformats.org/officeDocument/2006/relationships/hyperlink" Target="https://www.europarl.europa.eu/doceo/document/TA-10-2025-0165_EN.html" TargetMode="External"/><Relationship Id="rId51" Type="http://schemas.openxmlformats.org/officeDocument/2006/relationships/hyperlink" Target="https://ec.europa.eu/newsroom/dae/redirection/document/114523" TargetMode="External"/><Relationship Id="rId72" Type="http://schemas.openxmlformats.org/officeDocument/2006/relationships/hyperlink" Target="https://myintracomm.ec.europa.eu/corp/budget/financial-rules/budget-implementation/Pages/implementation-methods.aspx" TargetMode="External"/><Relationship Id="rId3" Type="http://schemas.openxmlformats.org/officeDocument/2006/relationships/hyperlink" Target="https://www.iqvia.com/insights/the-iqvia-institute/reports-and-publications/reports/global-trends-in-r-and-d-2025" TargetMode="External"/><Relationship Id="rId12" Type="http://schemas.openxmlformats.org/officeDocument/2006/relationships/hyperlink" Target="http://data.europa.eu/eli/reg/2007/1394/oj" TargetMode="External"/><Relationship Id="rId17" Type="http://schemas.openxmlformats.org/officeDocument/2006/relationships/hyperlink" Target="http://data.europa.eu/eli/reg/2017/745/oj" TargetMode="External"/><Relationship Id="rId25" Type="http://schemas.openxmlformats.org/officeDocument/2006/relationships/hyperlink" Target="http://data.europa.eu/eli/reg/2024/1689/oj" TargetMode="External"/><Relationship Id="rId33" Type="http://schemas.openxmlformats.org/officeDocument/2006/relationships/hyperlink" Target="https://ec.europa.eu/info/law/better-regulation/have-your-say/initiatives/14627-Biotech-Act_en" TargetMode="External"/><Relationship Id="rId38" Type="http://schemas.openxmlformats.org/officeDocument/2006/relationships/hyperlink" Target="http://data.europa.eu/eli/treaty/char_2012/oj" TargetMode="External"/><Relationship Id="rId46" Type="http://schemas.openxmlformats.org/officeDocument/2006/relationships/hyperlink" Target="http://data.europa.eu/eli/reg/2024/1735/oj" TargetMode="External"/><Relationship Id="rId59" Type="http://schemas.openxmlformats.org/officeDocument/2006/relationships/hyperlink" Target="http://data.europa.eu/eli/reg/2007/1394/oj" TargetMode="External"/><Relationship Id="rId67" Type="http://schemas.openxmlformats.org/officeDocument/2006/relationships/hyperlink" Target="http://data.europa.eu/eli/reco/2003/361/oj" TargetMode="External"/><Relationship Id="rId20" Type="http://schemas.openxmlformats.org/officeDocument/2006/relationships/hyperlink" Target="https://health.ec.europa.eu/medicinal-products/legal-framework-governing-medicinal-products-human-use-eu/reform-eu-pharmaceutical-legislation_en" TargetMode="External"/><Relationship Id="rId41" Type="http://schemas.openxmlformats.org/officeDocument/2006/relationships/hyperlink" Target="http://data.europa.eu/eli/reg/2019/6/oj" TargetMode="External"/><Relationship Id="rId54" Type="http://schemas.openxmlformats.org/officeDocument/2006/relationships/hyperlink" Target="http://data.europa.eu/eli/reg/2021/695/oj" TargetMode="External"/><Relationship Id="rId62" Type="http://schemas.openxmlformats.org/officeDocument/2006/relationships/hyperlink" Target="http://data.europa.eu/eli/dir/2009/41/oj" TargetMode="External"/><Relationship Id="rId70" Type="http://schemas.openxmlformats.org/officeDocument/2006/relationships/hyperlink" Target="http://data.europa.eu/eli/reg/2021/821/oj"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CO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94B9B-D42F-4966-B70C-FC6600BFCB9A}">
  <ds:schemaRefs>
    <ds:schemaRef ds:uri="http://schemas.openxmlformats.org/officeDocument/2006/bibliography"/>
  </ds:schemaRefs>
</ds:datastoreItem>
</file>

<file path=docMetadata/LabelInfo.xml><?xml version="1.0" encoding="utf-8"?>
<clbl:labelList xmlns:clbl="http://schemas.microsoft.com/office/2020/mipLabelMetadata">
  <clbl:label id="{b24c8b06-522c-46fe-9080-70926f8dddb1}" enabled="0" method="" siteId="{b24c8b06-522c-46fe-9080-70926f8dddb1}" removed="1"/>
</clbl:labelList>
</file>

<file path=docProps/app.xml><?xml version="1.0" encoding="utf-8"?>
<Properties xmlns="http://schemas.openxmlformats.org/officeDocument/2006/extended-properties" xmlns:vt="http://schemas.openxmlformats.org/officeDocument/2006/docPropsVTypes">
  <Template>COM.dotm</Template>
  <TotalTime>0</TotalTime>
  <Pages>71</Pages>
  <Words>90424</Words>
  <Characters>515419</Characters>
  <Application>Microsoft Office Word</Application>
  <DocSecurity>0</DocSecurity>
  <Lines>4295</Lines>
  <Paragraphs>1209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604634</CharactersWithSpaces>
  <SharedDoc>false</SharedDoc>
  <HLinks>
    <vt:vector size="486" baseType="variant">
      <vt:variant>
        <vt:i4>65559</vt:i4>
      </vt:variant>
      <vt:variant>
        <vt:i4>183</vt:i4>
      </vt:variant>
      <vt:variant>
        <vt:i4>0</vt:i4>
      </vt:variant>
      <vt:variant>
        <vt:i4>5</vt:i4>
      </vt:variant>
      <vt:variant>
        <vt:lpwstr>https://op.europa.eu/en/web/eu-vocabularies/concept-scheme/-/resource?uri=http://data.europa.eu/7yx/cofog</vt:lpwstr>
      </vt:variant>
      <vt:variant>
        <vt:lpwstr/>
      </vt:variant>
      <vt:variant>
        <vt:i4>5177374</vt:i4>
      </vt:variant>
      <vt:variant>
        <vt:i4>24</vt:i4>
      </vt:variant>
      <vt:variant>
        <vt:i4>0</vt:i4>
      </vt:variant>
      <vt:variant>
        <vt:i4>5</vt:i4>
      </vt:variant>
      <vt:variant>
        <vt:lpwstr>http://data.europa.eu/eli/reg/2014/910/oj</vt:lpwstr>
      </vt:variant>
      <vt:variant>
        <vt:lpwstr/>
      </vt:variant>
      <vt:variant>
        <vt:i4>4390942</vt:i4>
      </vt:variant>
      <vt:variant>
        <vt:i4>18</vt:i4>
      </vt:variant>
      <vt:variant>
        <vt:i4>0</vt:i4>
      </vt:variant>
      <vt:variant>
        <vt:i4>5</vt:i4>
      </vt:variant>
      <vt:variant>
        <vt:lpwstr>http://data.europa.eu/eli/reg/2025/327/oj</vt:lpwstr>
      </vt:variant>
      <vt:variant>
        <vt:lpwstr/>
      </vt:variant>
      <vt:variant>
        <vt:i4>4915224</vt:i4>
      </vt:variant>
      <vt:variant>
        <vt:i4>15</vt:i4>
      </vt:variant>
      <vt:variant>
        <vt:i4>0</vt:i4>
      </vt:variant>
      <vt:variant>
        <vt:i4>5</vt:i4>
      </vt:variant>
      <vt:variant>
        <vt:lpwstr>http://data.europa.eu/eli/reg/2016/679/oj</vt:lpwstr>
      </vt:variant>
      <vt:variant>
        <vt:lpwstr/>
      </vt:variant>
      <vt:variant>
        <vt:i4>6619235</vt:i4>
      </vt:variant>
      <vt:variant>
        <vt:i4>12</vt:i4>
      </vt:variant>
      <vt:variant>
        <vt:i4>0</vt:i4>
      </vt:variant>
      <vt:variant>
        <vt:i4>5</vt:i4>
      </vt:variant>
      <vt:variant>
        <vt:lpwstr>http://data.europa.eu/eli/reg/2024/1689/oj</vt:lpwstr>
      </vt:variant>
      <vt:variant>
        <vt:lpwstr/>
      </vt:variant>
      <vt:variant>
        <vt:i4>4653083</vt:i4>
      </vt:variant>
      <vt:variant>
        <vt:i4>9</vt:i4>
      </vt:variant>
      <vt:variant>
        <vt:i4>0</vt:i4>
      </vt:variant>
      <vt:variant>
        <vt:i4>5</vt:i4>
      </vt:variant>
      <vt:variant>
        <vt:lpwstr>http://data.europa.eu/eli/reg/2017/745/oj</vt:lpwstr>
      </vt:variant>
      <vt:variant>
        <vt:lpwstr/>
      </vt:variant>
      <vt:variant>
        <vt:i4>4456475</vt:i4>
      </vt:variant>
      <vt:variant>
        <vt:i4>6</vt:i4>
      </vt:variant>
      <vt:variant>
        <vt:i4>0</vt:i4>
      </vt:variant>
      <vt:variant>
        <vt:i4>5</vt:i4>
      </vt:variant>
      <vt:variant>
        <vt:lpwstr>http://data.europa.eu/eli/reg/2017/746/oj</vt:lpwstr>
      </vt:variant>
      <vt:variant>
        <vt:lpwstr/>
      </vt:variant>
      <vt:variant>
        <vt:i4>5570612</vt:i4>
      </vt:variant>
      <vt:variant>
        <vt:i4>3</vt:i4>
      </vt:variant>
      <vt:variant>
        <vt:i4>0</vt:i4>
      </vt:variant>
      <vt:variant>
        <vt:i4>5</vt:i4>
      </vt:variant>
      <vt:variant>
        <vt:lpwstr>https://ec.europa.eu/info/law/better-regulation/have-your-say/initiatives/14627-Biotech-Act/public-consultation_en</vt:lpwstr>
      </vt:variant>
      <vt:variant>
        <vt:lpwstr/>
      </vt:variant>
      <vt:variant>
        <vt:i4>1507444</vt:i4>
      </vt:variant>
      <vt:variant>
        <vt:i4>0</vt:i4>
      </vt:variant>
      <vt:variant>
        <vt:i4>0</vt:i4>
      </vt:variant>
      <vt:variant>
        <vt:i4>5</vt:i4>
      </vt:variant>
      <vt:variant>
        <vt:lpwstr>https://ec.europa.eu/info/law/better-regulation/have-your-say/initiatives/14627-Biotech-Act_en</vt:lpwstr>
      </vt:variant>
      <vt:variant>
        <vt:lpwstr/>
      </vt:variant>
      <vt:variant>
        <vt:i4>262150</vt:i4>
      </vt:variant>
      <vt:variant>
        <vt:i4>216</vt:i4>
      </vt:variant>
      <vt:variant>
        <vt:i4>0</vt:i4>
      </vt:variant>
      <vt:variant>
        <vt:i4>5</vt:i4>
      </vt:variant>
      <vt:variant>
        <vt:lpwstr>https://myintracomm.ec.europa.eu/corp/budget/financial-rules/budget-implementation/Pages/implementation-methods.aspx</vt:lpwstr>
      </vt:variant>
      <vt:variant>
        <vt:lpwstr/>
      </vt:variant>
      <vt:variant>
        <vt:i4>6553702</vt:i4>
      </vt:variant>
      <vt:variant>
        <vt:i4>213</vt:i4>
      </vt:variant>
      <vt:variant>
        <vt:i4>0</vt:i4>
      </vt:variant>
      <vt:variant>
        <vt:i4>5</vt:i4>
      </vt:variant>
      <vt:variant>
        <vt:lpwstr>http://data.europa.eu/eli/reg/2019/1148/oj</vt:lpwstr>
      </vt:variant>
      <vt:variant>
        <vt:lpwstr/>
      </vt:variant>
      <vt:variant>
        <vt:i4>4849694</vt:i4>
      </vt:variant>
      <vt:variant>
        <vt:i4>210</vt:i4>
      </vt:variant>
      <vt:variant>
        <vt:i4>0</vt:i4>
      </vt:variant>
      <vt:variant>
        <vt:i4>5</vt:i4>
      </vt:variant>
      <vt:variant>
        <vt:lpwstr>http://data.europa.eu/eli/reg/2021/821/oj</vt:lpwstr>
      </vt:variant>
      <vt:variant>
        <vt:lpwstr/>
      </vt:variant>
      <vt:variant>
        <vt:i4>4390942</vt:i4>
      </vt:variant>
      <vt:variant>
        <vt:i4>207</vt:i4>
      </vt:variant>
      <vt:variant>
        <vt:i4>0</vt:i4>
      </vt:variant>
      <vt:variant>
        <vt:i4>5</vt:i4>
      </vt:variant>
      <vt:variant>
        <vt:lpwstr>http://data.europa.eu/eli/reg/2025/327/oj</vt:lpwstr>
      </vt:variant>
      <vt:variant>
        <vt:lpwstr/>
      </vt:variant>
      <vt:variant>
        <vt:i4>6357103</vt:i4>
      </vt:variant>
      <vt:variant>
        <vt:i4>204</vt:i4>
      </vt:variant>
      <vt:variant>
        <vt:i4>0</vt:i4>
      </vt:variant>
      <vt:variant>
        <vt:i4>5</vt:i4>
      </vt:variant>
      <vt:variant>
        <vt:lpwstr>http://data.europa.eu/eli/dir/2022/2555/oj</vt:lpwstr>
      </vt:variant>
      <vt:variant>
        <vt:lpwstr/>
      </vt:variant>
      <vt:variant>
        <vt:i4>4522014</vt:i4>
      </vt:variant>
      <vt:variant>
        <vt:i4>201</vt:i4>
      </vt:variant>
      <vt:variant>
        <vt:i4>0</vt:i4>
      </vt:variant>
      <vt:variant>
        <vt:i4>5</vt:i4>
      </vt:variant>
      <vt:variant>
        <vt:lpwstr>http://data.europa.eu/eli/reg/2021/523/oj</vt:lpwstr>
      </vt:variant>
      <vt:variant>
        <vt:lpwstr/>
      </vt:variant>
      <vt:variant>
        <vt:i4>3342441</vt:i4>
      </vt:variant>
      <vt:variant>
        <vt:i4>198</vt:i4>
      </vt:variant>
      <vt:variant>
        <vt:i4>0</vt:i4>
      </vt:variant>
      <vt:variant>
        <vt:i4>5</vt:i4>
      </vt:variant>
      <vt:variant>
        <vt:lpwstr>http://data.europa.eu/eli/reco/2003/361/oj</vt:lpwstr>
      </vt:variant>
      <vt:variant>
        <vt:lpwstr/>
      </vt:variant>
      <vt:variant>
        <vt:i4>6488173</vt:i4>
      </vt:variant>
      <vt:variant>
        <vt:i4>195</vt:i4>
      </vt:variant>
      <vt:variant>
        <vt:i4>0</vt:i4>
      </vt:variant>
      <vt:variant>
        <vt:i4>5</vt:i4>
      </vt:variant>
      <vt:variant>
        <vt:lpwstr>http://data.europa.eu/eli/reg/2018/1725/oj</vt:lpwstr>
      </vt:variant>
      <vt:variant>
        <vt:lpwstr/>
      </vt:variant>
      <vt:variant>
        <vt:i4>7274606</vt:i4>
      </vt:variant>
      <vt:variant>
        <vt:i4>192</vt:i4>
      </vt:variant>
      <vt:variant>
        <vt:i4>0</vt:i4>
      </vt:variant>
      <vt:variant>
        <vt:i4>5</vt:i4>
      </vt:variant>
      <vt:variant>
        <vt:lpwstr>http://data.europa.eu/eli/reg/2022/2371/oj</vt:lpwstr>
      </vt:variant>
      <vt:variant>
        <vt:lpwstr/>
      </vt:variant>
      <vt:variant>
        <vt:i4>5308505</vt:i4>
      </vt:variant>
      <vt:variant>
        <vt:i4>189</vt:i4>
      </vt:variant>
      <vt:variant>
        <vt:i4>0</vt:i4>
      </vt:variant>
      <vt:variant>
        <vt:i4>5</vt:i4>
      </vt:variant>
      <vt:variant>
        <vt:lpwstr>http://data.europa.eu/eli/dir/2000/54/oj</vt:lpwstr>
      </vt:variant>
      <vt:variant>
        <vt:lpwstr/>
      </vt:variant>
      <vt:variant>
        <vt:i4>5832796</vt:i4>
      </vt:variant>
      <vt:variant>
        <vt:i4>186</vt:i4>
      </vt:variant>
      <vt:variant>
        <vt:i4>0</vt:i4>
      </vt:variant>
      <vt:variant>
        <vt:i4>5</vt:i4>
      </vt:variant>
      <vt:variant>
        <vt:lpwstr>http://data.europa.eu/eli/dir/2009/41/oj</vt:lpwstr>
      </vt:variant>
      <vt:variant>
        <vt:lpwstr/>
      </vt:variant>
      <vt:variant>
        <vt:i4>4849694</vt:i4>
      </vt:variant>
      <vt:variant>
        <vt:i4>183</vt:i4>
      </vt:variant>
      <vt:variant>
        <vt:i4>0</vt:i4>
      </vt:variant>
      <vt:variant>
        <vt:i4>5</vt:i4>
      </vt:variant>
      <vt:variant>
        <vt:lpwstr>http://data.europa.eu/eli/reg/2021/821/oj</vt:lpwstr>
      </vt:variant>
      <vt:variant>
        <vt:lpwstr/>
      </vt:variant>
      <vt:variant>
        <vt:i4>7274606</vt:i4>
      </vt:variant>
      <vt:variant>
        <vt:i4>180</vt:i4>
      </vt:variant>
      <vt:variant>
        <vt:i4>0</vt:i4>
      </vt:variant>
      <vt:variant>
        <vt:i4>5</vt:i4>
      </vt:variant>
      <vt:variant>
        <vt:lpwstr>http://data.europa.eu/eli/reg/2022/2371/oj</vt:lpwstr>
      </vt:variant>
      <vt:variant>
        <vt:lpwstr/>
      </vt:variant>
      <vt:variant>
        <vt:i4>6750313</vt:i4>
      </vt:variant>
      <vt:variant>
        <vt:i4>177</vt:i4>
      </vt:variant>
      <vt:variant>
        <vt:i4>0</vt:i4>
      </vt:variant>
      <vt:variant>
        <vt:i4>5</vt:i4>
      </vt:variant>
      <vt:variant>
        <vt:lpwstr>http://data.europa.eu/eli/reg/2007/1394/oj</vt:lpwstr>
      </vt:variant>
      <vt:variant>
        <vt:lpwstr/>
      </vt:variant>
      <vt:variant>
        <vt:i4>6094942</vt:i4>
      </vt:variant>
      <vt:variant>
        <vt:i4>174</vt:i4>
      </vt:variant>
      <vt:variant>
        <vt:i4>0</vt:i4>
      </vt:variant>
      <vt:variant>
        <vt:i4>5</vt:i4>
      </vt:variant>
      <vt:variant>
        <vt:lpwstr>http://data.europa.eu/eli/dir/2001/83/oj</vt:lpwstr>
      </vt:variant>
      <vt:variant>
        <vt:lpwstr/>
      </vt:variant>
      <vt:variant>
        <vt:i4>4390942</vt:i4>
      </vt:variant>
      <vt:variant>
        <vt:i4>171</vt:i4>
      </vt:variant>
      <vt:variant>
        <vt:i4>0</vt:i4>
      </vt:variant>
      <vt:variant>
        <vt:i4>5</vt:i4>
      </vt:variant>
      <vt:variant>
        <vt:lpwstr>http://data.europa.eu/eli/reg/2025/327/oj</vt:lpwstr>
      </vt:variant>
      <vt:variant>
        <vt:lpwstr/>
      </vt:variant>
      <vt:variant>
        <vt:i4>852073</vt:i4>
      </vt:variant>
      <vt:variant>
        <vt:i4>168</vt:i4>
      </vt:variant>
      <vt:variant>
        <vt:i4>0</vt:i4>
      </vt:variant>
      <vt:variant>
        <vt:i4>5</vt:i4>
      </vt:variant>
      <vt:variant>
        <vt:lpwstr>https://www.ema.europa.eu/en/documents/other/reflection-paper-tailored-clinical-approach-biosimilar-development_en.pdf</vt:lpwstr>
      </vt:variant>
      <vt:variant>
        <vt:lpwstr/>
      </vt:variant>
      <vt:variant>
        <vt:i4>262148</vt:i4>
      </vt:variant>
      <vt:variant>
        <vt:i4>165</vt:i4>
      </vt:variant>
      <vt:variant>
        <vt:i4>0</vt:i4>
      </vt:variant>
      <vt:variant>
        <vt:i4>5</vt:i4>
      </vt:variant>
      <vt:variant>
        <vt:lpwstr>http://data.europa.eu/eli/reg/2014/651/2023-07-01</vt:lpwstr>
      </vt:variant>
      <vt:variant>
        <vt:lpwstr/>
      </vt:variant>
      <vt:variant>
        <vt:i4>4194325</vt:i4>
      </vt:variant>
      <vt:variant>
        <vt:i4>162</vt:i4>
      </vt:variant>
      <vt:variant>
        <vt:i4>0</vt:i4>
      </vt:variant>
      <vt:variant>
        <vt:i4>5</vt:i4>
      </vt:variant>
      <vt:variant>
        <vt:lpwstr>http://data.europa.eu/eli/reg/2021/695/oj</vt:lpwstr>
      </vt:variant>
      <vt:variant>
        <vt:lpwstr/>
      </vt:variant>
      <vt:variant>
        <vt:i4>5374045</vt:i4>
      </vt:variant>
      <vt:variant>
        <vt:i4>159</vt:i4>
      </vt:variant>
      <vt:variant>
        <vt:i4>0</vt:i4>
      </vt:variant>
      <vt:variant>
        <vt:i4>5</vt:i4>
      </vt:variant>
      <vt:variant>
        <vt:lpwstr>http://data.europa.eu/eli/dir/2000/60/oj</vt:lpwstr>
      </vt:variant>
      <vt:variant>
        <vt:lpwstr/>
      </vt:variant>
      <vt:variant>
        <vt:i4>5701720</vt:i4>
      </vt:variant>
      <vt:variant>
        <vt:i4>156</vt:i4>
      </vt:variant>
      <vt:variant>
        <vt:i4>0</vt:i4>
      </vt:variant>
      <vt:variant>
        <vt:i4>5</vt:i4>
      </vt:variant>
      <vt:variant>
        <vt:lpwstr>http://data.europa.eu/eli/dir/2011/24/oj</vt:lpwstr>
      </vt:variant>
      <vt:variant>
        <vt:lpwstr/>
      </vt:variant>
      <vt:variant>
        <vt:i4>4849664</vt:i4>
      </vt:variant>
      <vt:variant>
        <vt:i4>153</vt:i4>
      </vt:variant>
      <vt:variant>
        <vt:i4>0</vt:i4>
      </vt:variant>
      <vt:variant>
        <vt:i4>5</vt:i4>
      </vt:variant>
      <vt:variant>
        <vt:lpwstr>https://ec.europa.eu/newsroom/dae/redirection/document/114523</vt:lpwstr>
      </vt:variant>
      <vt:variant>
        <vt:lpwstr/>
      </vt:variant>
      <vt:variant>
        <vt:i4>4390942</vt:i4>
      </vt:variant>
      <vt:variant>
        <vt:i4>150</vt:i4>
      </vt:variant>
      <vt:variant>
        <vt:i4>0</vt:i4>
      </vt:variant>
      <vt:variant>
        <vt:i4>5</vt:i4>
      </vt:variant>
      <vt:variant>
        <vt:lpwstr>http://data.europa.eu/eli/reg/2025/327/oj</vt:lpwstr>
      </vt:variant>
      <vt:variant>
        <vt:lpwstr/>
      </vt:variant>
      <vt:variant>
        <vt:i4>6357103</vt:i4>
      </vt:variant>
      <vt:variant>
        <vt:i4>144</vt:i4>
      </vt:variant>
      <vt:variant>
        <vt:i4>0</vt:i4>
      </vt:variant>
      <vt:variant>
        <vt:i4>5</vt:i4>
      </vt:variant>
      <vt:variant>
        <vt:lpwstr>http://data.europa.eu/eli/dir/2022/2555/oj</vt:lpwstr>
      </vt:variant>
      <vt:variant>
        <vt:lpwstr/>
      </vt:variant>
      <vt:variant>
        <vt:i4>1704063</vt:i4>
      </vt:variant>
      <vt:variant>
        <vt:i4>141</vt:i4>
      </vt:variant>
      <vt:variant>
        <vt:i4>0</vt:i4>
      </vt:variant>
      <vt:variant>
        <vt:i4>5</vt:i4>
      </vt:variant>
      <vt:variant>
        <vt:lpwstr>https://commission.europa.eu/document/download/97e481fd-2dc3-412d-be4c-f152a8232961_en</vt:lpwstr>
      </vt:variant>
      <vt:variant>
        <vt:lpwstr/>
      </vt:variant>
      <vt:variant>
        <vt:i4>4456469</vt:i4>
      </vt:variant>
      <vt:variant>
        <vt:i4>138</vt:i4>
      </vt:variant>
      <vt:variant>
        <vt:i4>0</vt:i4>
      </vt:variant>
      <vt:variant>
        <vt:i4>5</vt:i4>
      </vt:variant>
      <vt:variant>
        <vt:lpwstr>http://data.europa.eu/eli/reg/2024/795/oj</vt:lpwstr>
      </vt:variant>
      <vt:variant>
        <vt:lpwstr/>
      </vt:variant>
      <vt:variant>
        <vt:i4>7209070</vt:i4>
      </vt:variant>
      <vt:variant>
        <vt:i4>135</vt:i4>
      </vt:variant>
      <vt:variant>
        <vt:i4>0</vt:i4>
      </vt:variant>
      <vt:variant>
        <vt:i4>5</vt:i4>
      </vt:variant>
      <vt:variant>
        <vt:lpwstr>http://data.europa.eu/eli/reg/2024/1735/oj</vt:lpwstr>
      </vt:variant>
      <vt:variant>
        <vt:lpwstr/>
      </vt:variant>
      <vt:variant>
        <vt:i4>2883627</vt:i4>
      </vt:variant>
      <vt:variant>
        <vt:i4>132</vt:i4>
      </vt:variant>
      <vt:variant>
        <vt:i4>0</vt:i4>
      </vt:variant>
      <vt:variant>
        <vt:i4>5</vt:i4>
      </vt:variant>
      <vt:variant>
        <vt:lpwstr>http://data.europa.eu/eli/reg/2006/1907/2025-09-01</vt:lpwstr>
      </vt:variant>
      <vt:variant>
        <vt:lpwstr/>
      </vt:variant>
      <vt:variant>
        <vt:i4>1703962</vt:i4>
      </vt:variant>
      <vt:variant>
        <vt:i4>129</vt:i4>
      </vt:variant>
      <vt:variant>
        <vt:i4>0</vt:i4>
      </vt:variant>
      <vt:variant>
        <vt:i4>5</vt:i4>
      </vt:variant>
      <vt:variant>
        <vt:lpwstr>http://data.europa.eu/eli/dir/2010/63/2019-06-26</vt:lpwstr>
      </vt:variant>
      <vt:variant>
        <vt:lpwstr/>
      </vt:variant>
      <vt:variant>
        <vt:i4>4784153</vt:i4>
      </vt:variant>
      <vt:variant>
        <vt:i4>126</vt:i4>
      </vt:variant>
      <vt:variant>
        <vt:i4>0</vt:i4>
      </vt:variant>
      <vt:variant>
        <vt:i4>5</vt:i4>
      </vt:variant>
      <vt:variant>
        <vt:lpwstr>http://data.europa.eu/eli/reg/2002/178/oj</vt:lpwstr>
      </vt:variant>
      <vt:variant>
        <vt:lpwstr/>
      </vt:variant>
      <vt:variant>
        <vt:i4>3407908</vt:i4>
      </vt:variant>
      <vt:variant>
        <vt:i4>123</vt:i4>
      </vt:variant>
      <vt:variant>
        <vt:i4>0</vt:i4>
      </vt:variant>
      <vt:variant>
        <vt:i4>5</vt:i4>
      </vt:variant>
      <vt:variant>
        <vt:lpwstr>https://data.europa.eu/doi/10.2777/8697309</vt:lpwstr>
      </vt:variant>
      <vt:variant>
        <vt:lpwstr/>
      </vt:variant>
      <vt:variant>
        <vt:i4>8192047</vt:i4>
      </vt:variant>
      <vt:variant>
        <vt:i4>120</vt:i4>
      </vt:variant>
      <vt:variant>
        <vt:i4>0</vt:i4>
      </vt:variant>
      <vt:variant>
        <vt:i4>5</vt:i4>
      </vt:variant>
      <vt:variant>
        <vt:lpwstr>http://data.europa.eu/eli/reg/2019/6/oj</vt:lpwstr>
      </vt:variant>
      <vt:variant>
        <vt:lpwstr/>
      </vt:variant>
      <vt:variant>
        <vt:i4>4784153</vt:i4>
      </vt:variant>
      <vt:variant>
        <vt:i4>117</vt:i4>
      </vt:variant>
      <vt:variant>
        <vt:i4>0</vt:i4>
      </vt:variant>
      <vt:variant>
        <vt:i4>5</vt:i4>
      </vt:variant>
      <vt:variant>
        <vt:lpwstr>http://data.europa.eu/eli/reg/2002/178/oj</vt:lpwstr>
      </vt:variant>
      <vt:variant>
        <vt:lpwstr/>
      </vt:variant>
      <vt:variant>
        <vt:i4>4456469</vt:i4>
      </vt:variant>
      <vt:variant>
        <vt:i4>114</vt:i4>
      </vt:variant>
      <vt:variant>
        <vt:i4>0</vt:i4>
      </vt:variant>
      <vt:variant>
        <vt:i4>5</vt:i4>
      </vt:variant>
      <vt:variant>
        <vt:lpwstr>http://data.europa.eu/eli/reg/2024/795/oj</vt:lpwstr>
      </vt:variant>
      <vt:variant>
        <vt:lpwstr/>
      </vt:variant>
      <vt:variant>
        <vt:i4>3997765</vt:i4>
      </vt:variant>
      <vt:variant>
        <vt:i4>111</vt:i4>
      </vt:variant>
      <vt:variant>
        <vt:i4>0</vt:i4>
      </vt:variant>
      <vt:variant>
        <vt:i4>5</vt:i4>
      </vt:variant>
      <vt:variant>
        <vt:lpwstr>http://data.europa.eu/eli/treaty/char_2012/oj</vt:lpwstr>
      </vt:variant>
      <vt:variant>
        <vt:lpwstr/>
      </vt:variant>
      <vt:variant>
        <vt:i4>6225928</vt:i4>
      </vt:variant>
      <vt:variant>
        <vt:i4>108</vt:i4>
      </vt:variant>
      <vt:variant>
        <vt:i4>0</vt:i4>
      </vt:variant>
      <vt:variant>
        <vt:i4>5</vt:i4>
      </vt:variant>
      <vt:variant>
        <vt:lpwstr>https://www.consilium.europa.eu/media/ny3j24sm/much-more-than-a-market-report-by-enrico-letta.pdf</vt:lpwstr>
      </vt:variant>
      <vt:variant>
        <vt:lpwstr/>
      </vt:variant>
      <vt:variant>
        <vt:i4>3539042</vt:i4>
      </vt:variant>
      <vt:variant>
        <vt:i4>105</vt:i4>
      </vt:variant>
      <vt:variant>
        <vt:i4>0</vt:i4>
      </vt:variant>
      <vt:variant>
        <vt:i4>5</vt:i4>
      </vt:variant>
      <vt:variant>
        <vt:lpwstr>C:\Users\eftimcr\Downloads\Enrico Letta - Much more than a market (April 2024)</vt:lpwstr>
      </vt:variant>
      <vt:variant>
        <vt:lpwstr/>
      </vt:variant>
      <vt:variant>
        <vt:i4>1704063</vt:i4>
      </vt:variant>
      <vt:variant>
        <vt:i4>102</vt:i4>
      </vt:variant>
      <vt:variant>
        <vt:i4>0</vt:i4>
      </vt:variant>
      <vt:variant>
        <vt:i4>5</vt:i4>
      </vt:variant>
      <vt:variant>
        <vt:lpwstr>https://commission.europa.eu/document/download/97e481fd-2dc3-412d-be4c-f152a8232961_en</vt:lpwstr>
      </vt:variant>
      <vt:variant>
        <vt:lpwstr/>
      </vt:variant>
      <vt:variant>
        <vt:i4>5570612</vt:i4>
      </vt:variant>
      <vt:variant>
        <vt:i4>99</vt:i4>
      </vt:variant>
      <vt:variant>
        <vt:i4>0</vt:i4>
      </vt:variant>
      <vt:variant>
        <vt:i4>5</vt:i4>
      </vt:variant>
      <vt:variant>
        <vt:lpwstr>https://ec.europa.eu/info/law/better-regulation/have-your-say/initiatives/14627-Biotech-Act/public-consultation_en</vt:lpwstr>
      </vt:variant>
      <vt:variant>
        <vt:lpwstr/>
      </vt:variant>
      <vt:variant>
        <vt:i4>1507444</vt:i4>
      </vt:variant>
      <vt:variant>
        <vt:i4>96</vt:i4>
      </vt:variant>
      <vt:variant>
        <vt:i4>0</vt:i4>
      </vt:variant>
      <vt:variant>
        <vt:i4>5</vt:i4>
      </vt:variant>
      <vt:variant>
        <vt:lpwstr>https://ec.europa.eu/info/law/better-regulation/have-your-say/initiatives/14627-Biotech-Act_en</vt:lpwstr>
      </vt:variant>
      <vt:variant>
        <vt:lpwstr/>
      </vt:variant>
      <vt:variant>
        <vt:i4>4325399</vt:i4>
      </vt:variant>
      <vt:variant>
        <vt:i4>93</vt:i4>
      </vt:variant>
      <vt:variant>
        <vt:i4>0</vt:i4>
      </vt:variant>
      <vt:variant>
        <vt:i4>5</vt:i4>
      </vt:variant>
      <vt:variant>
        <vt:lpwstr>http://data.europa.eu/eli/reg/2019/881/oj</vt:lpwstr>
      </vt:variant>
      <vt:variant>
        <vt:lpwstr/>
      </vt:variant>
      <vt:variant>
        <vt:i4>6619235</vt:i4>
      </vt:variant>
      <vt:variant>
        <vt:i4>90</vt:i4>
      </vt:variant>
      <vt:variant>
        <vt:i4>0</vt:i4>
      </vt:variant>
      <vt:variant>
        <vt:i4>5</vt:i4>
      </vt:variant>
      <vt:variant>
        <vt:lpwstr>http://data.europa.eu/eli/reg/2024/1689/oj</vt:lpwstr>
      </vt:variant>
      <vt:variant>
        <vt:lpwstr/>
      </vt:variant>
      <vt:variant>
        <vt:i4>2818085</vt:i4>
      </vt:variant>
      <vt:variant>
        <vt:i4>87</vt:i4>
      </vt:variant>
      <vt:variant>
        <vt:i4>0</vt:i4>
      </vt:variant>
      <vt:variant>
        <vt:i4>5</vt:i4>
      </vt:variant>
      <vt:variant>
        <vt:lpwstr>http://data.europa.eu/eli/reg/2024/1735/2025-08-17</vt:lpwstr>
      </vt:variant>
      <vt:variant>
        <vt:lpwstr/>
      </vt:variant>
      <vt:variant>
        <vt:i4>2883627</vt:i4>
      </vt:variant>
      <vt:variant>
        <vt:i4>84</vt:i4>
      </vt:variant>
      <vt:variant>
        <vt:i4>0</vt:i4>
      </vt:variant>
      <vt:variant>
        <vt:i4>5</vt:i4>
      </vt:variant>
      <vt:variant>
        <vt:lpwstr>http://data.europa.eu/eli/reg/2006/1907/2025-09-01</vt:lpwstr>
      </vt:variant>
      <vt:variant>
        <vt:lpwstr/>
      </vt:variant>
      <vt:variant>
        <vt:i4>6881380</vt:i4>
      </vt:variant>
      <vt:variant>
        <vt:i4>81</vt:i4>
      </vt:variant>
      <vt:variant>
        <vt:i4>0</vt:i4>
      </vt:variant>
      <vt:variant>
        <vt:i4>5</vt:i4>
      </vt:variant>
      <vt:variant>
        <vt:lpwstr>http://data.europa.eu/eli/reg/2021/1119/oj</vt:lpwstr>
      </vt:variant>
      <vt:variant>
        <vt:lpwstr/>
      </vt:variant>
      <vt:variant>
        <vt:i4>6160511</vt:i4>
      </vt:variant>
      <vt:variant>
        <vt:i4>78</vt:i4>
      </vt:variant>
      <vt:variant>
        <vt:i4>0</vt:i4>
      </vt:variant>
      <vt:variant>
        <vt:i4>5</vt:i4>
      </vt:variant>
      <vt:variant>
        <vt:lpwstr>https://ec.europa.eu/info/law/better-regulation/have-your-say/initiatives/14555-Towards-a-circular-regenerative-and-competitive-bioeconomy_en</vt:lpwstr>
      </vt:variant>
      <vt:variant>
        <vt:lpwstr/>
      </vt:variant>
      <vt:variant>
        <vt:i4>1638463</vt:i4>
      </vt:variant>
      <vt:variant>
        <vt:i4>75</vt:i4>
      </vt:variant>
      <vt:variant>
        <vt:i4>0</vt:i4>
      </vt:variant>
      <vt:variant>
        <vt:i4>5</vt:i4>
      </vt:variant>
      <vt:variant>
        <vt:lpwstr>https://ec.europa.eu/info/law/better-regulation/have-your-say/initiatives/14593-European-Innovation-Act_en</vt:lpwstr>
      </vt:variant>
      <vt:variant>
        <vt:lpwstr/>
      </vt:variant>
      <vt:variant>
        <vt:i4>6619235</vt:i4>
      </vt:variant>
      <vt:variant>
        <vt:i4>72</vt:i4>
      </vt:variant>
      <vt:variant>
        <vt:i4>0</vt:i4>
      </vt:variant>
      <vt:variant>
        <vt:i4>5</vt:i4>
      </vt:variant>
      <vt:variant>
        <vt:lpwstr>http://data.europa.eu/eli/reg/2024/1689/oj</vt:lpwstr>
      </vt:variant>
      <vt:variant>
        <vt:lpwstr/>
      </vt:variant>
      <vt:variant>
        <vt:i4>4849664</vt:i4>
      </vt:variant>
      <vt:variant>
        <vt:i4>69</vt:i4>
      </vt:variant>
      <vt:variant>
        <vt:i4>0</vt:i4>
      </vt:variant>
      <vt:variant>
        <vt:i4>5</vt:i4>
      </vt:variant>
      <vt:variant>
        <vt:lpwstr>https://ec.europa.eu/newsroom/dae/redirection/document/114523</vt:lpwstr>
      </vt:variant>
      <vt:variant>
        <vt:lpwstr/>
      </vt:variant>
      <vt:variant>
        <vt:i4>1966189</vt:i4>
      </vt:variant>
      <vt:variant>
        <vt:i4>66</vt:i4>
      </vt:variant>
      <vt:variant>
        <vt:i4>0</vt:i4>
      </vt:variant>
      <vt:variant>
        <vt:i4>5</vt:i4>
      </vt:variant>
      <vt:variant>
        <vt:lpwstr>https://strategic-technologies.europa.eu/index_en</vt:lpwstr>
      </vt:variant>
      <vt:variant>
        <vt:lpwstr/>
      </vt:variant>
      <vt:variant>
        <vt:i4>7274606</vt:i4>
      </vt:variant>
      <vt:variant>
        <vt:i4>63</vt:i4>
      </vt:variant>
      <vt:variant>
        <vt:i4>0</vt:i4>
      </vt:variant>
      <vt:variant>
        <vt:i4>5</vt:i4>
      </vt:variant>
      <vt:variant>
        <vt:lpwstr>http://data.europa.eu/eli/reg/2022/2371/oj</vt:lpwstr>
      </vt:variant>
      <vt:variant>
        <vt:lpwstr/>
      </vt:variant>
      <vt:variant>
        <vt:i4>4980776</vt:i4>
      </vt:variant>
      <vt:variant>
        <vt:i4>60</vt:i4>
      </vt:variant>
      <vt:variant>
        <vt:i4>0</vt:i4>
      </vt:variant>
      <vt:variant>
        <vt:i4>5</vt:i4>
      </vt:variant>
      <vt:variant>
        <vt:lpwstr>https://commission.europa.eu/topics/competitiveness/competitiveness-compass_en</vt:lpwstr>
      </vt:variant>
      <vt:variant>
        <vt:lpwstr/>
      </vt:variant>
      <vt:variant>
        <vt:i4>3866627</vt:i4>
      </vt:variant>
      <vt:variant>
        <vt:i4>57</vt:i4>
      </vt:variant>
      <vt:variant>
        <vt:i4>0</vt:i4>
      </vt:variant>
      <vt:variant>
        <vt:i4>5</vt:i4>
      </vt:variant>
      <vt:variant>
        <vt:lpwstr>https://health.ec.europa.eu/medicinal-products/legal-framework-governing-medicinal-products-human-use-eu/reform-eu-pharmaceutical-legislation_en</vt:lpwstr>
      </vt:variant>
      <vt:variant>
        <vt:lpwstr/>
      </vt:variant>
      <vt:variant>
        <vt:i4>5242940</vt:i4>
      </vt:variant>
      <vt:variant>
        <vt:i4>54</vt:i4>
      </vt:variant>
      <vt:variant>
        <vt:i4>0</vt:i4>
      </vt:variant>
      <vt:variant>
        <vt:i4>5</vt:i4>
      </vt:variant>
      <vt:variant>
        <vt:lpwstr>https://health.ec.europa.eu/medicinal-products/legal-framework-governing-medicinal-products-human-use-eu/critical-medicines-act_en</vt:lpwstr>
      </vt:variant>
      <vt:variant>
        <vt:lpwstr/>
      </vt:variant>
      <vt:variant>
        <vt:i4>4456475</vt:i4>
      </vt:variant>
      <vt:variant>
        <vt:i4>51</vt:i4>
      </vt:variant>
      <vt:variant>
        <vt:i4>0</vt:i4>
      </vt:variant>
      <vt:variant>
        <vt:i4>5</vt:i4>
      </vt:variant>
      <vt:variant>
        <vt:lpwstr>http://data.europa.eu/eli/reg/2017/746/oj</vt:lpwstr>
      </vt:variant>
      <vt:variant>
        <vt:lpwstr/>
      </vt:variant>
      <vt:variant>
        <vt:i4>4653083</vt:i4>
      </vt:variant>
      <vt:variant>
        <vt:i4>48</vt:i4>
      </vt:variant>
      <vt:variant>
        <vt:i4>0</vt:i4>
      </vt:variant>
      <vt:variant>
        <vt:i4>5</vt:i4>
      </vt:variant>
      <vt:variant>
        <vt:lpwstr>http://data.europa.eu/eli/reg/2017/745/oj</vt:lpwstr>
      </vt:variant>
      <vt:variant>
        <vt:lpwstr/>
      </vt:variant>
      <vt:variant>
        <vt:i4>5505109</vt:i4>
      </vt:variant>
      <vt:variant>
        <vt:i4>45</vt:i4>
      </vt:variant>
      <vt:variant>
        <vt:i4>0</vt:i4>
      </vt:variant>
      <vt:variant>
        <vt:i4>5</vt:i4>
      </vt:variant>
      <vt:variant>
        <vt:lpwstr>http://data.europa.eu/eli/dir/2001/18/oj</vt:lpwstr>
      </vt:variant>
      <vt:variant>
        <vt:lpwstr/>
      </vt:variant>
      <vt:variant>
        <vt:i4>4784153</vt:i4>
      </vt:variant>
      <vt:variant>
        <vt:i4>42</vt:i4>
      </vt:variant>
      <vt:variant>
        <vt:i4>0</vt:i4>
      </vt:variant>
      <vt:variant>
        <vt:i4>5</vt:i4>
      </vt:variant>
      <vt:variant>
        <vt:lpwstr>http://data.europa.eu/eli/reg/2002/178/oj</vt:lpwstr>
      </vt:variant>
      <vt:variant>
        <vt:lpwstr/>
      </vt:variant>
      <vt:variant>
        <vt:i4>8192047</vt:i4>
      </vt:variant>
      <vt:variant>
        <vt:i4>39</vt:i4>
      </vt:variant>
      <vt:variant>
        <vt:i4>0</vt:i4>
      </vt:variant>
      <vt:variant>
        <vt:i4>5</vt:i4>
      </vt:variant>
      <vt:variant>
        <vt:lpwstr>http://data.europa.eu/eli/reg/2019/6/oj</vt:lpwstr>
      </vt:variant>
      <vt:variant>
        <vt:lpwstr/>
      </vt:variant>
      <vt:variant>
        <vt:i4>7209069</vt:i4>
      </vt:variant>
      <vt:variant>
        <vt:i4>36</vt:i4>
      </vt:variant>
      <vt:variant>
        <vt:i4>0</vt:i4>
      </vt:variant>
      <vt:variant>
        <vt:i4>5</vt:i4>
      </vt:variant>
      <vt:variant>
        <vt:lpwstr>http://data.europa.eu/eli/reg/2024/1938/oj</vt:lpwstr>
      </vt:variant>
      <vt:variant>
        <vt:lpwstr/>
      </vt:variant>
      <vt:variant>
        <vt:i4>6750313</vt:i4>
      </vt:variant>
      <vt:variant>
        <vt:i4>33</vt:i4>
      </vt:variant>
      <vt:variant>
        <vt:i4>0</vt:i4>
      </vt:variant>
      <vt:variant>
        <vt:i4>5</vt:i4>
      </vt:variant>
      <vt:variant>
        <vt:lpwstr>http://data.europa.eu/eli/reg/2007/1394/oj</vt:lpwstr>
      </vt:variant>
      <vt:variant>
        <vt:lpwstr/>
      </vt:variant>
      <vt:variant>
        <vt:i4>4522012</vt:i4>
      </vt:variant>
      <vt:variant>
        <vt:i4>30</vt:i4>
      </vt:variant>
      <vt:variant>
        <vt:i4>0</vt:i4>
      </vt:variant>
      <vt:variant>
        <vt:i4>5</vt:i4>
      </vt:variant>
      <vt:variant>
        <vt:lpwstr>http://data.europa.eu/eli/reg/2014/536/oj</vt:lpwstr>
      </vt:variant>
      <vt:variant>
        <vt:lpwstr/>
      </vt:variant>
      <vt:variant>
        <vt:i4>3997801</vt:i4>
      </vt:variant>
      <vt:variant>
        <vt:i4>27</vt:i4>
      </vt:variant>
      <vt:variant>
        <vt:i4>0</vt:i4>
      </vt:variant>
      <vt:variant>
        <vt:i4>5</vt:i4>
      </vt:variant>
      <vt:variant>
        <vt:lpwstr>https://data.consilium.europa.eu/doc/document/ST-13323-2025-INIT/en/pdf</vt:lpwstr>
      </vt:variant>
      <vt:variant>
        <vt:lpwstr/>
      </vt:variant>
      <vt:variant>
        <vt:i4>3276841</vt:i4>
      </vt:variant>
      <vt:variant>
        <vt:i4>24</vt:i4>
      </vt:variant>
      <vt:variant>
        <vt:i4>0</vt:i4>
      </vt:variant>
      <vt:variant>
        <vt:i4>5</vt:i4>
      </vt:variant>
      <vt:variant>
        <vt:lpwstr>https://oeil.europarl.europa.eu/oeil/en/procedure-file?reference=2025/2087(INI)</vt:lpwstr>
      </vt:variant>
      <vt:variant>
        <vt:lpwstr/>
      </vt:variant>
      <vt:variant>
        <vt:i4>6946843</vt:i4>
      </vt:variant>
      <vt:variant>
        <vt:i4>21</vt:i4>
      </vt:variant>
      <vt:variant>
        <vt:i4>0</vt:i4>
      </vt:variant>
      <vt:variant>
        <vt:i4>5</vt:i4>
      </vt:variant>
      <vt:variant>
        <vt:lpwstr>https://www.europarl.europa.eu/doceo/document/TA-10-2025-0165_EN.html</vt:lpwstr>
      </vt:variant>
      <vt:variant>
        <vt:lpwstr/>
      </vt:variant>
      <vt:variant>
        <vt:i4>1704063</vt:i4>
      </vt:variant>
      <vt:variant>
        <vt:i4>18</vt:i4>
      </vt:variant>
      <vt:variant>
        <vt:i4>0</vt:i4>
      </vt:variant>
      <vt:variant>
        <vt:i4>5</vt:i4>
      </vt:variant>
      <vt:variant>
        <vt:lpwstr>https://commission.europa.eu/document/download/97e481fd-2dc3-412d-be4c-f152a8232961_en</vt:lpwstr>
      </vt:variant>
      <vt:variant>
        <vt:lpwstr/>
      </vt:variant>
      <vt:variant>
        <vt:i4>6225928</vt:i4>
      </vt:variant>
      <vt:variant>
        <vt:i4>15</vt:i4>
      </vt:variant>
      <vt:variant>
        <vt:i4>0</vt:i4>
      </vt:variant>
      <vt:variant>
        <vt:i4>5</vt:i4>
      </vt:variant>
      <vt:variant>
        <vt:lpwstr>https://www.consilium.europa.eu/media/ny3j24sm/much-more-than-a-market-report-by-enrico-letta.pdf</vt:lpwstr>
      </vt:variant>
      <vt:variant>
        <vt:lpwstr/>
      </vt:variant>
      <vt:variant>
        <vt:i4>3932201</vt:i4>
      </vt:variant>
      <vt:variant>
        <vt:i4>12</vt:i4>
      </vt:variant>
      <vt:variant>
        <vt:i4>0</vt:i4>
      </vt:variant>
      <vt:variant>
        <vt:i4>5</vt:i4>
      </vt:variant>
      <vt:variant>
        <vt:lpwstr>https://commission.europa.eu/document/download/e6cd4328-673c-4e7a-8683-f63ffb2cf648_en?filename=Political%20Guidelines%202024-2029_EN.pdf</vt:lpwstr>
      </vt:variant>
      <vt:variant>
        <vt:lpwstr/>
      </vt:variant>
      <vt:variant>
        <vt:i4>1704063</vt:i4>
      </vt:variant>
      <vt:variant>
        <vt:i4>9</vt:i4>
      </vt:variant>
      <vt:variant>
        <vt:i4>0</vt:i4>
      </vt:variant>
      <vt:variant>
        <vt:i4>5</vt:i4>
      </vt:variant>
      <vt:variant>
        <vt:lpwstr>https://commission.europa.eu/document/download/97e481fd-2dc3-412d-be4c-f152a8232961_en</vt:lpwstr>
      </vt:variant>
      <vt:variant>
        <vt:lpwstr/>
      </vt:variant>
      <vt:variant>
        <vt:i4>786510</vt:i4>
      </vt:variant>
      <vt:variant>
        <vt:i4>6</vt:i4>
      </vt:variant>
      <vt:variant>
        <vt:i4>0</vt:i4>
      </vt:variant>
      <vt:variant>
        <vt:i4>5</vt:i4>
      </vt:variant>
      <vt:variant>
        <vt:lpwstr>https://www.iqvia.com/insights/the-iqvia-institute/reports-and-publications/reports/global-trends-in-r-and-d-2025</vt:lpwstr>
      </vt:variant>
      <vt:variant>
        <vt:lpwstr/>
      </vt:variant>
      <vt:variant>
        <vt:i4>1245264</vt:i4>
      </vt:variant>
      <vt:variant>
        <vt:i4>3</vt:i4>
      </vt:variant>
      <vt:variant>
        <vt:i4>0</vt:i4>
      </vt:variant>
      <vt:variant>
        <vt:i4>5</vt:i4>
      </vt:variant>
      <vt:variant>
        <vt:lpwstr>https://efpia.eu/media/3edpooqp/assessing-the-clinical-trial-ecosystem-in-europe.pdf</vt:lpwstr>
      </vt:variant>
      <vt:variant>
        <vt:lpwstr/>
      </vt:variant>
      <vt:variant>
        <vt:i4>6619235</vt:i4>
      </vt:variant>
      <vt:variant>
        <vt:i4>0</vt:i4>
      </vt:variant>
      <vt:variant>
        <vt:i4>0</vt:i4>
      </vt:variant>
      <vt:variant>
        <vt:i4>5</vt:i4>
      </vt:variant>
      <vt:variant>
        <vt:lpwstr>http://data.europa.eu/eli/reg/2024/1689/oj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2025-12-16T10:11:00Z</dcterms:created>
  <dcterms:modified xsi:type="dcterms:W3CDTF">2025-12-16T11:07:00Z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2025-12-14T10:38:53Z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ff245cdf-bcaa-4219-bd0a-2e373af4670f</vt:lpwstr>
  </property>
  <property fmtid="{D5CDD505-2E9C-101B-9397-08002B2CF9AE}" pid="8" name="MSIP_Label_6bd9ddd1-4d20-43f6-abfa-fc3c07406f94_ContentBits">
    <vt:lpwstr>0</vt:lpwstr>
  </property>
  <property fmtid="{D5CDD505-2E9C-101B-9397-08002B2CF9AE}" pid="9" name="MSIP_Label_6bd9ddd1-4d20-43f6-abfa-fc3c07406f94_Tag">
    <vt:lpwstr>10, 3, 0, 1</vt:lpwstr>
  </property>
  <property fmtid="{D5CDD505-2E9C-101B-9397-08002B2CF9AE}" pid="10" name="Level of sensitivity">
    <vt:lpwstr>Standard treatment</vt:lpwstr>
  </property>
  <property fmtid="{D5CDD505-2E9C-101B-9397-08002B2CF9AE}" pid="11" name="Category">
    <vt:lpwstr>COM/PL/ORG</vt:lpwstr>
  </property>
  <property fmtid="{D5CDD505-2E9C-101B-9397-08002B2CF9AE}" pid="12" name="Last edited using">
    <vt:lpwstr>LW 9.2, Build 20250828</vt:lpwstr>
  </property>
  <property fmtid="{D5CDD505-2E9C-101B-9397-08002B2CF9AE}" pid="13" name="Part">
    <vt:lpwstr>1</vt:lpwstr>
  </property>
  <property fmtid="{D5CDD505-2E9C-101B-9397-08002B2CF9AE}" pid="14" name="Total parts">
    <vt:lpwstr>1</vt:lpwstr>
  </property>
  <property fmtid="{D5CDD505-2E9C-101B-9397-08002B2CF9AE}" pid="15" name="LWTemplateID">
    <vt:lpwstr>SJ-023</vt:lpwstr>
  </property>
  <property fmtid="{D5CDD505-2E9C-101B-9397-08002B2CF9AE}" pid="16" name="DQCStatus">
    <vt:lpwstr>Yellow (DQC version 03)</vt:lpwstr>
  </property>
</Properties>
</file>