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A0" w:rsidRPr="00324597" w:rsidRDefault="00450FD9" w:rsidP="00450FD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CA37B40-4B94-4034-82F2-5EE5CAA9AE48" style="width:455.25pt;height:357.75pt">
            <v:imagedata r:id="rId7" o:title=""/>
          </v:shape>
        </w:pict>
      </w:r>
    </w:p>
    <w:p w:rsidR="00B001A0" w:rsidRPr="00324597" w:rsidRDefault="00B001A0" w:rsidP="00B001A0">
      <w:pPr>
        <w:rPr>
          <w:noProof/>
        </w:rPr>
        <w:sectPr w:rsidR="00B001A0" w:rsidRPr="00324597" w:rsidSect="00450FD9">
          <w:footerReference w:type="even" r:id="rId8"/>
          <w:footerReference w:type="default" r:id="rId9"/>
          <w:pgSz w:w="11907" w:h="16839"/>
          <w:pgMar w:top="1134" w:right="1417" w:bottom="1134" w:left="1417" w:header="709" w:footer="709" w:gutter="0"/>
          <w:pgNumType w:start="0"/>
          <w:cols w:space="720"/>
          <w:docGrid w:linePitch="360"/>
        </w:sectPr>
      </w:pPr>
    </w:p>
    <w:p w:rsidR="00B001A0" w:rsidRPr="00324597" w:rsidRDefault="00B001A0" w:rsidP="00BB6B30">
      <w:pPr>
        <w:pStyle w:val="Exposdesmotifstitre"/>
        <w:rPr>
          <w:noProof/>
        </w:rPr>
      </w:pPr>
      <w:bookmarkStart w:id="0" w:name="_GoBack"/>
      <w:bookmarkEnd w:id="0"/>
      <w:r w:rsidRPr="00324597">
        <w:rPr>
          <w:noProof/>
        </w:rPr>
        <w:lastRenderedPageBreak/>
        <w:t>OBRAZLOŽITVENI MEMORANDUM</w:t>
      </w:r>
    </w:p>
    <w:p w:rsidR="00B001A0" w:rsidRPr="00324597" w:rsidRDefault="00B001A0" w:rsidP="006B7567">
      <w:pPr>
        <w:pStyle w:val="ManualHeading1"/>
        <w:rPr>
          <w:rFonts w:eastAsia="Arial Unicode MS"/>
          <w:noProof/>
        </w:rPr>
      </w:pPr>
      <w:r>
        <w:rPr>
          <w:noProof/>
        </w:rPr>
        <w:t>1.</w:t>
      </w:r>
      <w:r>
        <w:rPr>
          <w:noProof/>
        </w:rPr>
        <w:tab/>
      </w:r>
      <w:r w:rsidRPr="00324597">
        <w:rPr>
          <w:noProof/>
        </w:rPr>
        <w:t>Predmet urejanja predloga</w:t>
      </w:r>
    </w:p>
    <w:p w:rsidR="00B001A0" w:rsidRPr="00324597" w:rsidRDefault="00B001A0" w:rsidP="00B001A0">
      <w:pPr>
        <w:rPr>
          <w:rFonts w:eastAsia="Arial Unicode MS"/>
          <w:noProof/>
        </w:rPr>
      </w:pPr>
      <w:r w:rsidRPr="00324597">
        <w:rPr>
          <w:noProof/>
        </w:rPr>
        <w:t>Ta predlog se nanaša na:</w:t>
      </w:r>
    </w:p>
    <w:p w:rsidR="00B001A0" w:rsidRPr="00324597" w:rsidRDefault="00B001A0" w:rsidP="00B001A0">
      <w:pPr>
        <w:rPr>
          <w:rFonts w:eastAsia="Arial Unicode MS"/>
          <w:i/>
          <w:iCs/>
          <w:noProof/>
        </w:rPr>
      </w:pPr>
      <w:r w:rsidRPr="00324597">
        <w:rPr>
          <w:noProof/>
        </w:rPr>
        <w:t xml:space="preserve">(i) stališče, ki se v imenu Unije zastopa na 237. zasedanju Sveta Mednarodne organizacije civilnega letalstva (ICAO) v zvezi s predvideno spremembo 20 Priloge 13 – </w:t>
      </w:r>
      <w:r w:rsidRPr="00324597">
        <w:rPr>
          <w:i/>
          <w:noProof/>
        </w:rPr>
        <w:t>Preiskovanje letalskih nesreč in incidentov</w:t>
      </w:r>
      <w:r w:rsidRPr="00324597">
        <w:rPr>
          <w:noProof/>
        </w:rPr>
        <w:t>;</w:t>
      </w:r>
    </w:p>
    <w:p w:rsidR="00B001A0" w:rsidRPr="00324597" w:rsidRDefault="00B001A0" w:rsidP="00B001A0">
      <w:pPr>
        <w:rPr>
          <w:rFonts w:eastAsia="Arial Unicode MS"/>
          <w:i/>
          <w:iCs/>
          <w:noProof/>
        </w:rPr>
      </w:pPr>
      <w:r w:rsidRPr="00324597">
        <w:rPr>
          <w:noProof/>
        </w:rPr>
        <w:t xml:space="preserve">(ii) stališče, ki se v imenu Unije zastopa po tem, ko ICAO v svojih dopisih napove sprejetje spremembe 20 Priloge 13 – </w:t>
      </w:r>
      <w:r w:rsidRPr="00324597">
        <w:rPr>
          <w:i/>
          <w:noProof/>
        </w:rPr>
        <w:t>Preiskovanje letalskih nesreč in incidentov</w:t>
      </w:r>
      <w:r w:rsidRPr="00324597">
        <w:rPr>
          <w:noProof/>
        </w:rPr>
        <w:t xml:space="preserve"> h Konvenciji o mednarodnem civilnem letalstvu, pri čemer države pogodbenice pozove, naj priglasijo morebitna odstopanja ali skladnost s sprejetimi ukrepi.</w:t>
      </w:r>
    </w:p>
    <w:p w:rsidR="00B001A0" w:rsidRPr="00324597" w:rsidRDefault="00B001A0" w:rsidP="00B001A0">
      <w:pPr>
        <w:pStyle w:val="ManualHeading1"/>
        <w:rPr>
          <w:noProof/>
        </w:rPr>
      </w:pPr>
      <w:r w:rsidRPr="00324597">
        <w:rPr>
          <w:noProof/>
        </w:rPr>
        <w:t>2.</w:t>
      </w:r>
      <w:r w:rsidRPr="00324597">
        <w:rPr>
          <w:noProof/>
        </w:rPr>
        <w:tab/>
        <w:t>Ozadje predloga</w:t>
      </w:r>
    </w:p>
    <w:p w:rsidR="00B001A0" w:rsidRPr="00324597" w:rsidRDefault="00B001A0" w:rsidP="00B001A0">
      <w:pPr>
        <w:pStyle w:val="ManualHeading2"/>
        <w:rPr>
          <w:noProof/>
        </w:rPr>
      </w:pPr>
      <w:r w:rsidRPr="00324597">
        <w:rPr>
          <w:noProof/>
        </w:rPr>
        <w:t>2.1</w:t>
      </w:r>
      <w:r w:rsidRPr="00324597">
        <w:rPr>
          <w:noProof/>
        </w:rPr>
        <w:tab/>
        <w:t>Konvencija o mednarodnem civilnem letalstvu</w:t>
      </w:r>
    </w:p>
    <w:p w:rsidR="00B001A0" w:rsidRPr="00324597" w:rsidRDefault="00B001A0" w:rsidP="00B001A0">
      <w:pPr>
        <w:ind w:left="-5"/>
        <w:rPr>
          <w:noProof/>
        </w:rPr>
      </w:pPr>
      <w:r w:rsidRPr="00324597">
        <w:rPr>
          <w:noProof/>
        </w:rPr>
        <w:t>Namen Konvencije o mednarodnem civilnem letalstvu (v nadaljnjem besedilu: Čikaška konvencija) je urejanje mednarodnega letalskega prometa. Čikaška konvencija je začela veljati 4. aprila 1947 in z njo je bila ustanovljena Mednarodna organizacija civilnega letalstva.</w:t>
      </w:r>
    </w:p>
    <w:p w:rsidR="00B001A0" w:rsidRPr="00324597" w:rsidRDefault="00B001A0" w:rsidP="00B001A0">
      <w:pPr>
        <w:ind w:left="-5"/>
        <w:rPr>
          <w:rFonts w:eastAsia="Arial Unicode MS"/>
          <w:noProof/>
        </w:rPr>
      </w:pPr>
      <w:r w:rsidRPr="00324597">
        <w:rPr>
          <w:noProof/>
        </w:rPr>
        <w:t>Vse države članice EU so države pogodbenice Čikaške konvencije.</w:t>
      </w:r>
    </w:p>
    <w:p w:rsidR="00B001A0" w:rsidRPr="00324597" w:rsidRDefault="00B001A0" w:rsidP="00B001A0">
      <w:pPr>
        <w:pStyle w:val="ManualHeading2"/>
        <w:rPr>
          <w:noProof/>
        </w:rPr>
      </w:pPr>
      <w:r w:rsidRPr="00324597">
        <w:rPr>
          <w:noProof/>
        </w:rPr>
        <w:t>2.2</w:t>
      </w:r>
      <w:r w:rsidRPr="00324597">
        <w:rPr>
          <w:noProof/>
        </w:rPr>
        <w:tab/>
        <w:t>Mednarodna organizacija civilnega letalstva</w:t>
      </w:r>
    </w:p>
    <w:p w:rsidR="00B001A0" w:rsidRPr="00324597" w:rsidRDefault="00B001A0" w:rsidP="00B001A0">
      <w:pPr>
        <w:rPr>
          <w:rFonts w:eastAsia="Arial Unicode MS"/>
          <w:noProof/>
        </w:rPr>
      </w:pPr>
      <w:r w:rsidRPr="00324597">
        <w:rPr>
          <w:noProof/>
        </w:rPr>
        <w:t xml:space="preserve">Mednarodna organizacija civilnega letalstva je specializirana agencija Združenih narodov. Njen namen in cilji so oblikovati načela in tehnike mednarodne zračne plovbe ter spodbujati načrtovanje in razvoj mednarodnega zračnega prometa. </w:t>
      </w:r>
    </w:p>
    <w:p w:rsidR="00B001A0" w:rsidRPr="00324597" w:rsidRDefault="00B001A0" w:rsidP="00B001A0">
      <w:pPr>
        <w:rPr>
          <w:rFonts w:eastAsia="Arial Unicode MS"/>
          <w:noProof/>
        </w:rPr>
      </w:pPr>
      <w:r w:rsidRPr="00324597">
        <w:rPr>
          <w:noProof/>
        </w:rPr>
        <w:t>Svet ICAO je stalni organ ICAO, ki ga sestavlja 36 držav pogodbenic, ki jih izvoli Skupščina ICAO za obdobje treh let. V obdobju 2025–2028 je v Svetu ICAO zastopanih šest držav članic EU.</w:t>
      </w:r>
    </w:p>
    <w:p w:rsidR="00B001A0" w:rsidRPr="00324597" w:rsidRDefault="00B001A0" w:rsidP="00B001A0">
      <w:pPr>
        <w:rPr>
          <w:rFonts w:eastAsia="Arial Unicode MS"/>
          <w:noProof/>
        </w:rPr>
      </w:pPr>
      <w:r w:rsidRPr="00324597">
        <w:rPr>
          <w:noProof/>
        </w:rPr>
        <w:t>Obvezne naloge Sveta ICAO, navedene v členu 54 Čikaške konvencije, vključujejo sprejetje mednarodnih standardov in priporočenih praks v obliki prilog k Čikaški konvenciji.</w:t>
      </w:r>
    </w:p>
    <w:p w:rsidR="00B001A0" w:rsidRPr="00324597" w:rsidRDefault="00B001A0" w:rsidP="00B001A0">
      <w:pPr>
        <w:rPr>
          <w:rFonts w:eastAsia="Arial Unicode MS"/>
          <w:noProof/>
        </w:rPr>
      </w:pPr>
      <w:r w:rsidRPr="00324597">
        <w:rPr>
          <w:noProof/>
        </w:rPr>
        <w:t>V skladu s členom 90 Čikaške konvencije vsaka taka priloga ali vsaka sprememba priloge začne veljati v treh mesecih po njeni predložitvi državam pogodbenicam ICAO ali po izteku daljšega časovnega obdobja, ki ga morda predpiše Svet ICAO, razen če medtem večina držav pogodbenic ICAO sporoči svoje nestrinjanje.</w:t>
      </w:r>
    </w:p>
    <w:p w:rsidR="00B001A0" w:rsidRPr="00324597" w:rsidRDefault="00B001A0" w:rsidP="00B001A0">
      <w:pPr>
        <w:rPr>
          <w:rFonts w:eastAsia="Arial Unicode MS"/>
          <w:noProof/>
        </w:rPr>
      </w:pPr>
      <w:bookmarkStart w:id="1" w:name="_Hlk124333172"/>
      <w:r w:rsidRPr="00324597">
        <w:rPr>
          <w:noProof/>
        </w:rPr>
        <w:t>Po sprejetju takih ukrepov jih morajo države pogodbenice ICAO upoštevati ali pa priglasiti svoje nestrinjanje z ukrepi ali morebitne odstopanja v primerjavi z njimi, preden ti začnejo veljati in postanejo pravno zavezujoči.</w:t>
      </w:r>
    </w:p>
    <w:bookmarkEnd w:id="1"/>
    <w:p w:rsidR="00B001A0" w:rsidRPr="00324597" w:rsidRDefault="00B001A0" w:rsidP="00B001A0">
      <w:pPr>
        <w:rPr>
          <w:rFonts w:eastAsia="Arial Unicode MS"/>
          <w:noProof/>
        </w:rPr>
      </w:pPr>
      <w:r w:rsidRPr="00324597">
        <w:rPr>
          <w:noProof/>
        </w:rPr>
        <w:t xml:space="preserve">V skladu s členom 38 Čikaške konvencije vsaka država, ki meni, da ne more v celoti spoštovati takega mednarodnega standarda ali postopka ali v celoti uskladiti svojih predpisov ali praks s takim mednarodnim standardom ali postopkom, ali meni, da mora sprejeti predpise in prakse, ki se v nekaterih pogledih razlikujejo od tistih, predpisanih v mednarodnih standardih, ICAO takoj obvesti o odstopanjih med lastno prakso in prakso, ki jo določa mednarodni standard. </w:t>
      </w:r>
    </w:p>
    <w:p w:rsidR="00B001A0" w:rsidRPr="00324597" w:rsidRDefault="00B001A0" w:rsidP="00B001A0">
      <w:pPr>
        <w:pStyle w:val="ManualHeading2"/>
        <w:rPr>
          <w:noProof/>
        </w:rPr>
      </w:pPr>
      <w:r w:rsidRPr="00324597">
        <w:rPr>
          <w:noProof/>
        </w:rPr>
        <w:t>2.3</w:t>
      </w:r>
      <w:r w:rsidRPr="00324597">
        <w:rPr>
          <w:noProof/>
        </w:rPr>
        <w:tab/>
        <w:t>Predvideni akt ICAO in njegova povezava z veljavnimi pravili Unije</w:t>
      </w:r>
    </w:p>
    <w:p w:rsidR="00B001A0" w:rsidRPr="00324597" w:rsidRDefault="00B001A0" w:rsidP="00B001A0">
      <w:pPr>
        <w:spacing w:after="0" w:line="374" w:lineRule="auto"/>
        <w:ind w:left="-5"/>
        <w:jc w:val="left"/>
        <w:rPr>
          <w:noProof/>
        </w:rPr>
      </w:pPr>
      <w:r w:rsidRPr="00324597">
        <w:rPr>
          <w:noProof/>
        </w:rPr>
        <w:t>Svet ICAO naj bi na 237. ali katerem koli poznejšem zasedanju proučil in sprejel naslednje spremembe:</w:t>
      </w:r>
    </w:p>
    <w:p w:rsidR="00B001A0" w:rsidRPr="00324597" w:rsidRDefault="00B001A0" w:rsidP="006B7567">
      <w:pPr>
        <w:pStyle w:val="Tiret0"/>
        <w:numPr>
          <w:ilvl w:val="0"/>
          <w:numId w:val="2"/>
        </w:numPr>
        <w:rPr>
          <w:noProof/>
        </w:rPr>
      </w:pPr>
      <w:r w:rsidRPr="00324597">
        <w:rPr>
          <w:noProof/>
        </w:rPr>
        <w:lastRenderedPageBreak/>
        <w:t xml:space="preserve">Sprememba 20 Priloge 13 – </w:t>
      </w:r>
      <w:r w:rsidRPr="00324597">
        <w:rPr>
          <w:i/>
          <w:noProof/>
        </w:rPr>
        <w:t>Preiskovanje letalskih nesreč in incidentov</w:t>
      </w:r>
      <w:r w:rsidRPr="00324597">
        <w:rPr>
          <w:noProof/>
        </w:rPr>
        <w:t xml:space="preserve">, kot je navedena v dopisih AN 6/1.2.2, AN 11/1.1.36-25/43 in AN 8/3-23/18, izhaja iz posvetovanj na sedmem oziroma osmem sestanku odbora za preiskave nesreč (AIGP/7 in AIGP/8) in tretjem sestanku izvedbene skupine za zaščito informacij o varnosti (SIP-IG/3) ter iz posvetovanj </w:t>
      </w:r>
      <w:r w:rsidRPr="00324597">
        <w:rPr>
          <w:noProof/>
          <w:sz w:val="22"/>
        </w:rPr>
        <w:t>na petem sestanku odbora za upravljanje varnosti (SMP/5), devetem sestanku odbora za sisteme daljinsko pilotiranih zrakoplovov (RPASP/9) in petem sestanku delovne skupine odbora za zasnovo aerodroma in operacije (ADOP/WG/5).</w:t>
      </w:r>
    </w:p>
    <w:p w:rsidR="00B001A0" w:rsidRPr="00324597" w:rsidRDefault="00B001A0" w:rsidP="006B7567">
      <w:pPr>
        <w:pStyle w:val="Tiret0"/>
        <w:numPr>
          <w:ilvl w:val="0"/>
          <w:numId w:val="2"/>
        </w:numPr>
        <w:rPr>
          <w:noProof/>
        </w:rPr>
      </w:pPr>
      <w:r w:rsidRPr="00324597">
        <w:rPr>
          <w:noProof/>
        </w:rPr>
        <w:t>Nanaša se na določbe o letalskih nesrečah, vključno z nezakonitim vmešavanjem, preiskavami v scenarijih navzkrižja interesov (sestrelitev zrakoplovov), dokaznim gradivom in zahtevami glede poročanja o nesrečah/incidentih (ADREP). Sklici na Prilogo 13 so navedeni v predlaganih spremembah Priloge 6 v zvezi z varstvom zapisov podatkov o letih in ne vplivajo na Prilogo 13. Sprememba vključuje tudi pomembno posodobitev Priloge 19 v zvezi z opredelitvijo državnega varnostnega programa in opombo, ki se nanaša na sistem za zbiranje in obdelavo varnostnih podatkov.</w:t>
      </w:r>
    </w:p>
    <w:p w:rsidR="00B001A0" w:rsidRPr="00324597" w:rsidRDefault="00B001A0" w:rsidP="00B001A0">
      <w:pPr>
        <w:pStyle w:val="Tiret0"/>
        <w:rPr>
          <w:noProof/>
        </w:rPr>
      </w:pPr>
      <w:r w:rsidRPr="00324597">
        <w:rPr>
          <w:noProof/>
        </w:rPr>
        <w:t xml:space="preserve">Navedena sprememba bi lahko vplivala na pravo EU, kot je podrobneje pojasnjeno v nadaljevanju. </w:t>
      </w:r>
    </w:p>
    <w:p w:rsidR="00B001A0" w:rsidRPr="00324597" w:rsidRDefault="00B001A0" w:rsidP="00B001A0">
      <w:pPr>
        <w:ind w:left="-5"/>
        <w:rPr>
          <w:noProof/>
        </w:rPr>
      </w:pPr>
      <w:r w:rsidRPr="00324597">
        <w:rPr>
          <w:noProof/>
        </w:rPr>
        <w:t>Predvidena sprememba zajema naslednja področja:</w:t>
      </w:r>
    </w:p>
    <w:p w:rsidR="00B001A0" w:rsidRPr="00324597" w:rsidRDefault="00B001A0" w:rsidP="006B7567">
      <w:pPr>
        <w:pStyle w:val="Tiret0"/>
        <w:numPr>
          <w:ilvl w:val="0"/>
          <w:numId w:val="2"/>
        </w:numPr>
        <w:rPr>
          <w:noProof/>
        </w:rPr>
      </w:pPr>
      <w:r w:rsidRPr="00324597">
        <w:rPr>
          <w:noProof/>
        </w:rPr>
        <w:t xml:space="preserve">V zvezi s posodobitvijo glede nezakonitega vmešavanja in preiskav v primerih navzkrižja interesov je namen predlagane spremembe pojasniti in okrepiti odgovornost države dogodka pri preiskavah letalskih nesreč, zlasti v zvezi s primeri nezakonitega vmešavanja. Nekatere države so v primerih, ko je tako vmešavanje privedlo do nesreč, preiskave v zvezi z varnostjo zaključile, ne da bi izdale končno poročilo, kar spodkopava cilj, da se opredelijo spoznanja z namenom izboljšanja varnosti v letalstvu. Sprememba vključuje opombo, ki pojasnjuje to obveznost, da se zagotovi, da se preiskave v zvezi z varnostjo zaključijo ne glede na obstoj nezakonitih dejanj. </w:t>
      </w:r>
    </w:p>
    <w:p w:rsidR="00B001A0" w:rsidRPr="00324597" w:rsidRDefault="00B001A0" w:rsidP="00B344AA">
      <w:pPr>
        <w:pStyle w:val="Tiret0"/>
        <w:rPr>
          <w:noProof/>
        </w:rPr>
      </w:pPr>
      <w:r w:rsidRPr="00324597">
        <w:rPr>
          <w:noProof/>
        </w:rPr>
        <w:t>Poleg tega sprememba obravnava morebitna navzkrižja interesov, ki se lahko pojavijo, kadar je država dogodka povezana z dejanjem nezakonitega vmešavanja, kar lahko privede do pomislekov glede nepristranskosti preiskav. Za zaščito preglednosti, neodvisnosti, verodostojnosti in objektivnosti se državo dogodka spodbuja, naj preiskave prostovoljno prenese na tretje države ali regionalne organizacije ali kot opazovalca vključi ICAO. Ta predlog je v obliki smernic vključen v Dodatek G k Prilogi 13, njegov cilj pa je izboljšati verodostojnost preiskav, kadar bi lahko prišlo do navzkrižja interesov.</w:t>
      </w:r>
    </w:p>
    <w:p w:rsidR="00B001A0" w:rsidRPr="00324597" w:rsidRDefault="00B001A0" w:rsidP="006B7567">
      <w:pPr>
        <w:pStyle w:val="Tiret0"/>
        <w:numPr>
          <w:ilvl w:val="0"/>
          <w:numId w:val="2"/>
        </w:numPr>
        <w:rPr>
          <w:noProof/>
        </w:rPr>
      </w:pPr>
      <w:r w:rsidRPr="00324597">
        <w:rPr>
          <w:noProof/>
        </w:rPr>
        <w:t xml:space="preserve">V zvezi s spremembo glede dokaznega gradiva se predlaga črtanje besedne zveze „na voljo“ iz obstoječega besedila, saj je pomenila korak nazaj, kar se tiče dostopa do dokaznega gradiva med preiskavami s strani preiskovalcev nesreč/incidentov. Ta besedna zveza uvaja omejitev ali pogoj in bi jo bilo mogoče napačno razlagati, ko gre za izmenjavo občutljivih podatkov s preiskovalci nesreč/incidentov. </w:t>
      </w:r>
    </w:p>
    <w:p w:rsidR="00B001A0" w:rsidRPr="00324597" w:rsidRDefault="00B001A0" w:rsidP="006B7567">
      <w:pPr>
        <w:pStyle w:val="Tiret0"/>
        <w:numPr>
          <w:ilvl w:val="0"/>
          <w:numId w:val="2"/>
        </w:numPr>
        <w:rPr>
          <w:noProof/>
        </w:rPr>
      </w:pPr>
      <w:r w:rsidRPr="00324597">
        <w:rPr>
          <w:noProof/>
        </w:rPr>
        <w:t>Kar zadeva odpravo predhodnega poročila v okviru sistema za poročanje o nesrečah/incidentih (ADREP), je cilj poenostaviti zahteve držav za poročanje ICAO o nesrečah in incidentih v okviru sistema ADREP. Poleg tega se predlaga, da se zahteva glede največje mase za predložitev končnih poročil ICAO s 5 700 kg zmanjša na 2 250 kg, da se uskladi z zahtevami ADREP glede poročanja in poročanjem o nesrečah/incidentih.</w:t>
      </w:r>
    </w:p>
    <w:p w:rsidR="00B001A0" w:rsidRPr="00324597" w:rsidRDefault="00B001A0" w:rsidP="006B7567">
      <w:pPr>
        <w:pStyle w:val="Tiret0"/>
        <w:numPr>
          <w:ilvl w:val="0"/>
          <w:numId w:val="2"/>
        </w:numPr>
        <w:rPr>
          <w:noProof/>
        </w:rPr>
      </w:pPr>
      <w:r w:rsidRPr="00324597">
        <w:rPr>
          <w:noProof/>
        </w:rPr>
        <w:lastRenderedPageBreak/>
        <w:t xml:space="preserve">Nazadnje, posodobitev izraza „državni varnostni program“ (State Safety Programme, SSP) pomeni spremembo njegove opredelitve iz Priloge 13, da bo odražala novo opredelitev. Predlog spreminja tudi vsebino opombe k oddelku 8.1 Priloge 13 z uvedbo izraza „sistem za zbiranje in obdelavo varnostnih podatkov“ (Safety Data Collection and Processing System, SDCPS). V obeh primerih je namen predloga zagotoviti skladnost Priloge 13 z drugimi prilogami ICAO. </w:t>
      </w:r>
    </w:p>
    <w:p w:rsidR="00B001A0" w:rsidRPr="00324597" w:rsidRDefault="00B001A0" w:rsidP="00B001A0">
      <w:pPr>
        <w:rPr>
          <w:noProof/>
        </w:rPr>
      </w:pPr>
      <w:r w:rsidRPr="00324597">
        <w:rPr>
          <w:noProof/>
        </w:rPr>
        <w:t xml:space="preserve">Če bo sprememba sprejeta, naj bi se uporabljala od 23. novembra 2028, razen določb v zvezi z opredelitvami državnega varnostnega programa in opombe v zvezi s sistemom za zbiranje in obdelavo varnostnih podatkov, ki naj bi se začele uporabljati 26. novembra 2026. </w:t>
      </w:r>
    </w:p>
    <w:p w:rsidR="00B35BEF" w:rsidRPr="00324597" w:rsidRDefault="002610B2" w:rsidP="00B001A0">
      <w:pPr>
        <w:rPr>
          <w:noProof/>
        </w:rPr>
      </w:pPr>
      <w:r w:rsidRPr="00324597">
        <w:rPr>
          <w:noProof/>
        </w:rPr>
        <w:t>Medtem ko nekatere predlagane spremembe ustrezajo delom Priloge 13 ICAO, ki niso bili vključeni v Uredbo (EU) št. 996/2010</w:t>
      </w:r>
      <w:r w:rsidRPr="00324597">
        <w:rPr>
          <w:rStyle w:val="FootnoteReference"/>
          <w:noProof/>
        </w:rPr>
        <w:footnoteReference w:id="1"/>
      </w:r>
      <w:r w:rsidRPr="00324597">
        <w:rPr>
          <w:noProof/>
        </w:rPr>
        <w:t xml:space="preserve">, so preostale že vključene v Uredbo (EU) št. 996/2010, in naj ne bi, če bodo sprejete, zahtevale spremembe prava Unije. Vendar pa bo treba po sprejetju spremembe opraviti temeljito oceno, vključno z oceno potrebe po priglasitvi odstopanj. </w:t>
      </w:r>
    </w:p>
    <w:p w:rsidR="00B001A0" w:rsidRPr="00324597" w:rsidRDefault="00B001A0" w:rsidP="00B001A0">
      <w:pPr>
        <w:rPr>
          <w:noProof/>
        </w:rPr>
      </w:pPr>
      <w:r w:rsidRPr="00324597">
        <w:rPr>
          <w:noProof/>
        </w:rPr>
        <w:t xml:space="preserve">Zgornja ocena je bila pripravljena na podlagi prispevka Evropskega omrežja organov za preiskave v zvezi z varnostjo civilnega letalstva (v nadaljnjem besedilu: ENCASIA). Omrežje je vzpostavljeno s členom 7(1) Uredbe (EU) št. 996/2010 in ga sestavljajo vodje organov za preiskave v zvezi z varnostjo iz vsake države članice in/ali, v primeru multimodalnega organa, vodja letalskega oddelka ali njihovi predstavniki. ENCASIA je med drugim odgovorna za pripravo predlogov in svetovanje institucijam Unije o vseh vidikih oblikovanja ter izvajanja politik Unije in predpisov o preiskavah v zvezi z varnostjo ter o preprečevanju nesreč in incidentov. </w:t>
      </w:r>
    </w:p>
    <w:p w:rsidR="00B001A0" w:rsidRPr="00324597" w:rsidRDefault="00B001A0" w:rsidP="00B001A0">
      <w:pPr>
        <w:pStyle w:val="ManualHeading1"/>
        <w:rPr>
          <w:noProof/>
        </w:rPr>
      </w:pPr>
      <w:r w:rsidRPr="00324597">
        <w:rPr>
          <w:noProof/>
        </w:rPr>
        <w:t>3.</w:t>
      </w:r>
      <w:r w:rsidRPr="00324597">
        <w:rPr>
          <w:noProof/>
        </w:rPr>
        <w:tab/>
        <w:t>Stališče, ki se zastopa v imenu Unije</w:t>
      </w:r>
    </w:p>
    <w:p w:rsidR="00B001A0" w:rsidRPr="00324597" w:rsidRDefault="00B001A0" w:rsidP="00B001A0">
      <w:pPr>
        <w:pStyle w:val="ManualHeading2"/>
        <w:rPr>
          <w:noProof/>
        </w:rPr>
      </w:pPr>
      <w:r w:rsidRPr="00324597">
        <w:rPr>
          <w:noProof/>
        </w:rPr>
        <w:t>3.1</w:t>
      </w:r>
      <w:r w:rsidRPr="00324597">
        <w:rPr>
          <w:noProof/>
        </w:rPr>
        <w:tab/>
        <w:t>Predlagana sprememba in njena povezava z veljavnimi predpisi Unije</w:t>
      </w:r>
    </w:p>
    <w:p w:rsidR="00B001A0" w:rsidRPr="00324597" w:rsidRDefault="00B001A0" w:rsidP="00B001A0">
      <w:pPr>
        <w:spacing w:after="0"/>
        <w:ind w:left="-5"/>
        <w:rPr>
          <w:b/>
          <w:bCs/>
          <w:i/>
          <w:iCs/>
          <w:noProof/>
        </w:rPr>
      </w:pPr>
      <w:r w:rsidRPr="00324597">
        <w:rPr>
          <w:b/>
          <w:i/>
          <w:noProof/>
        </w:rPr>
        <w:t xml:space="preserve">Sprememba 20 Priloge 13 </w:t>
      </w:r>
    </w:p>
    <w:p w:rsidR="00B001A0" w:rsidRPr="00324597" w:rsidRDefault="00B001A0" w:rsidP="00B001A0">
      <w:pPr>
        <w:rPr>
          <w:noProof/>
        </w:rPr>
      </w:pPr>
      <w:r w:rsidRPr="00324597">
        <w:rPr>
          <w:noProof/>
        </w:rPr>
        <w:t xml:space="preserve">Predlagana sprememba, kot je navedena v dopisih AN 6/1.2.2, AN 11/1.1.36–25/43 in AN 8/3–23/18, zajema določbe Uredbe (EU) št. 996/2010. </w:t>
      </w:r>
    </w:p>
    <w:p w:rsidR="00B001A0" w:rsidRPr="00324597" w:rsidRDefault="00B001A0" w:rsidP="00B001A0">
      <w:pPr>
        <w:rPr>
          <w:noProof/>
        </w:rPr>
      </w:pPr>
      <w:r w:rsidRPr="00324597">
        <w:rPr>
          <w:noProof/>
        </w:rPr>
        <w:t>Vsebina predvidenih sprememb spada v izključno pristojnost Unije na podlagi zadnjega dela člena 3(2) PDEU.</w:t>
      </w:r>
    </w:p>
    <w:p w:rsidR="00B001A0" w:rsidRPr="00324597" w:rsidRDefault="00B001A0" w:rsidP="00B001A0">
      <w:pPr>
        <w:spacing w:before="100" w:beforeAutospacing="1" w:after="100" w:afterAutospacing="1"/>
        <w:rPr>
          <w:noProof/>
        </w:rPr>
      </w:pPr>
      <w:r w:rsidRPr="00324597">
        <w:rPr>
          <w:noProof/>
        </w:rPr>
        <w:t xml:space="preserve">Predlagana sprememba bi pripomogla k izboljšanju varnosti v letalstvu z zagotavljanjem visoke učinkovitosti, primernosti in kakovosti preiskav v zvezi z varnostjo v civilnem letalstvu, katerih edini namen je preprečiti nesreče in incidente v prihodnosti in ne ugotavljati krivde ali odgovornosti. Unija priznava potrebo po izboljšanju preiskav nesreč in incidentov, vključno s pojasnitvijo in povečanjem odgovornosti države dogodka pri preiskavah letalskih nesreč, zlasti v zvezi s primeri nezakonitega vmešavanja, pojasnitvijo dokaznega gradiva, poenostavitvijo poročanja ADREP, zmanjšanjem največje mase za predložitev končnih poročil o nesrečah ICAO, in novi opredelitvi državnega varnostnega programa z uvedbo sprememb Priloge 13 – </w:t>
      </w:r>
      <w:r w:rsidRPr="00324597">
        <w:rPr>
          <w:i/>
          <w:iCs/>
          <w:noProof/>
        </w:rPr>
        <w:t>Preiskovanje letalskih nesreč in incidentov</w:t>
      </w:r>
      <w:r w:rsidRPr="00324597">
        <w:rPr>
          <w:noProof/>
        </w:rPr>
        <w:t xml:space="preserve">. </w:t>
      </w:r>
    </w:p>
    <w:p w:rsidR="00B001A0" w:rsidRPr="00324597" w:rsidRDefault="00B001A0" w:rsidP="00B001A0">
      <w:pPr>
        <w:spacing w:before="100" w:beforeAutospacing="1" w:after="100" w:afterAutospacing="1"/>
        <w:rPr>
          <w:noProof/>
        </w:rPr>
      </w:pPr>
      <w:r w:rsidRPr="00324597">
        <w:rPr>
          <w:noProof/>
        </w:rPr>
        <w:t xml:space="preserve">Namen predlaganih sprememb je obravnavati več različnih ciljev: njihov namen je pojasniti odgovornost držav za dokončanje preiskav v zvezi z varnostjo in objavo končnih poročil, tudi kadar gre za nezakonito vmešavanje, s čimer se krepi varnost v letalstvu s preprečevanjem </w:t>
      </w:r>
      <w:r w:rsidRPr="00324597">
        <w:rPr>
          <w:noProof/>
        </w:rPr>
        <w:lastRenderedPageBreak/>
        <w:t>prezgodnjega zaključka preiskav. Obravnavajo tudi morebitna navzkrižja interesov s predlogom, naj države prenesejo preiskave na tretje subjekte, da se zagotovita nepristranskost in preglednost. Poleg tega je njihov namen izboljšati dostop preiskovalcev do potrebnih podatkov brez omejitev. Namen odprave predhodnega poročila ADREP in zmanjšanja največje mase za poročanje ICAO je poenostaviti postopke in zagotoviti celovitejše zbiranje podatkov. Nazadnje, namen posodobitev terminologije, kot je „državni varnostni program“, in uvedbe izraza „sistem za zbiranje in obdelavo podatkov o varnosti“, je ohraniti skladnost med prilogami ICAO.</w:t>
      </w:r>
    </w:p>
    <w:p w:rsidR="00AA1177" w:rsidRPr="00324597" w:rsidRDefault="00B001A0" w:rsidP="00AA1177">
      <w:pPr>
        <w:spacing w:before="100" w:beforeAutospacing="1" w:after="100" w:afterAutospacing="1"/>
        <w:rPr>
          <w:noProof/>
        </w:rPr>
      </w:pPr>
      <w:r w:rsidRPr="00324597">
        <w:rPr>
          <w:noProof/>
        </w:rPr>
        <w:t xml:space="preserve">V sedanjem zakonodajnem okviru EU, tj. Uredbi (EU) št. 996/2010, je navedeno, da bi bilo treba zlasti upoštevati Prilogo 13 k Čikaški konvenciji in njene poznejše spremembe, ki določajo mednarodne standarde in priporočene prakse za preiskave letalskih nesreč in incidentov. Sprememba Uredbe (EU) št. 996/2010 ali sprejetje novega zakonodajnega akta se ne zdita potrebna. </w:t>
      </w:r>
    </w:p>
    <w:p w:rsidR="00B001A0" w:rsidRPr="00324597" w:rsidRDefault="00B001A0" w:rsidP="00B001A0">
      <w:pPr>
        <w:spacing w:before="100" w:beforeAutospacing="1" w:after="100" w:afterAutospacing="1"/>
        <w:rPr>
          <w:noProof/>
        </w:rPr>
      </w:pPr>
      <w:r w:rsidRPr="00324597">
        <w:rPr>
          <w:noProof/>
        </w:rPr>
        <w:t>Predstavniki držav članic EU in Agencije Evropske unije za varnost v letalstvu (EASA) kot člani in opazovalci delovne skupine 7 ENCASIA, ki je zadolžena za usklajevanje stališč organov za preiskave v zvezi z varnostjo (SIA) kar zadeva dopise ICAO v zvezi s preiskavami v zvezi z varnostjo, so prispevali k pripravi predloga v zvezi s spremembo 20.</w:t>
      </w:r>
    </w:p>
    <w:p w:rsidR="00B001A0" w:rsidRPr="00324597" w:rsidRDefault="00B001A0" w:rsidP="00B001A0">
      <w:pPr>
        <w:spacing w:before="100" w:beforeAutospacing="1" w:after="100" w:afterAutospacing="1"/>
        <w:rPr>
          <w:noProof/>
        </w:rPr>
      </w:pPr>
      <w:r w:rsidRPr="00324597">
        <w:rPr>
          <w:noProof/>
        </w:rPr>
        <w:t>Predlagano stališče, ki se zastopa v imenu Unije, je podpreti to spremembo.</w:t>
      </w:r>
    </w:p>
    <w:p w:rsidR="00B001A0" w:rsidRPr="00324597" w:rsidRDefault="00B001A0" w:rsidP="00B001A0">
      <w:pPr>
        <w:rPr>
          <w:rFonts w:eastAsia="Arial Unicode MS"/>
          <w:noProof/>
        </w:rPr>
      </w:pPr>
      <w:r w:rsidRPr="00324597">
        <w:rPr>
          <w:noProof/>
        </w:rPr>
        <w:t xml:space="preserve">Stališče, ki se zastopa v imenu Unije, pod pogojem, da Svet ICAO brez bistvenih sprememb sprejme predlagano spremembo 20 Priloge 13 – </w:t>
      </w:r>
      <w:r w:rsidRPr="00324597">
        <w:rPr>
          <w:i/>
          <w:noProof/>
        </w:rPr>
        <w:t>Preiskovanje letalskih nesreč in incidentov</w:t>
      </w:r>
      <w:r w:rsidRPr="00324597">
        <w:rPr>
          <w:noProof/>
        </w:rPr>
        <w:t xml:space="preserve">, bi zato moralo biti, da se v odgovor na ustrezni dopis ICAO ne priglasi nestrinjanje in da se zagotovi skladnost s sprejetim ukrepom. Če bi zakonodaja Unije odstopala od novo sprejetih standardov ICAO po predvidenem datumu začetka njihove uporabe, bi morale države članice ICAO priglasiti stališče Unije o odstopanjih od zadevnih standardov na podlagi pripravljalnega dokumenta, ki ga Komisija pravočasno predloži Svetu v razpravo in odobritev ter v katerem so navedena podrobna odstopanja za čas, potreben za dokončno uvedbo. </w:t>
      </w:r>
    </w:p>
    <w:p w:rsidR="00B001A0" w:rsidRPr="00324597" w:rsidRDefault="00B001A0" w:rsidP="00B001A0">
      <w:pPr>
        <w:pStyle w:val="ManualHeading1"/>
        <w:rPr>
          <w:noProof/>
        </w:rPr>
      </w:pPr>
      <w:r w:rsidRPr="00324597">
        <w:rPr>
          <w:noProof/>
        </w:rPr>
        <w:t>4.</w:t>
      </w:r>
      <w:r w:rsidRPr="00324597">
        <w:rPr>
          <w:noProof/>
        </w:rPr>
        <w:tab/>
        <w:t>Pravna podlaga</w:t>
      </w:r>
    </w:p>
    <w:p w:rsidR="00B001A0" w:rsidRPr="00324597" w:rsidRDefault="00B001A0" w:rsidP="00B001A0">
      <w:pPr>
        <w:pStyle w:val="ManualHeading2"/>
        <w:rPr>
          <w:noProof/>
        </w:rPr>
      </w:pPr>
      <w:r w:rsidRPr="00324597">
        <w:rPr>
          <w:noProof/>
        </w:rPr>
        <w:t>4.1</w:t>
      </w:r>
      <w:r w:rsidRPr="00324597">
        <w:rPr>
          <w:noProof/>
        </w:rPr>
        <w:tab/>
        <w:t>Postopkovna pravna podlaga</w:t>
      </w:r>
    </w:p>
    <w:p w:rsidR="00B001A0" w:rsidRPr="00324597" w:rsidRDefault="00B001A0" w:rsidP="00B001A0">
      <w:pPr>
        <w:pStyle w:val="ManualHeading3"/>
        <w:rPr>
          <w:noProof/>
        </w:rPr>
      </w:pPr>
      <w:r w:rsidRPr="00324597">
        <w:rPr>
          <w:noProof/>
        </w:rPr>
        <w:t>4.1.1</w:t>
      </w:r>
      <w:r w:rsidRPr="00324597">
        <w:rPr>
          <w:noProof/>
        </w:rPr>
        <w:tab/>
        <w:t>Načela</w:t>
      </w:r>
    </w:p>
    <w:p w:rsidR="00B001A0" w:rsidRPr="00324597" w:rsidRDefault="00B001A0" w:rsidP="00B001A0">
      <w:pPr>
        <w:rPr>
          <w:noProof/>
        </w:rPr>
      </w:pPr>
      <w:r w:rsidRPr="00324597">
        <w:rPr>
          <w:noProof/>
        </w:rPr>
        <w:t>Člen 218(9) Pogodbe o delovanju Evropske unije (PDEU) ureja sklepe o določitvi „stališč, ki naj se v imenu Unije zastopajo v organu, ustanovljenem s sporazumom, kadar ta organ sprejema akte s pravnim učinkom, razen aktov o spremembah ali dopolnitvah institucionalnega okvira sporazuma“.</w:t>
      </w:r>
    </w:p>
    <w:p w:rsidR="00B001A0" w:rsidRPr="00324597" w:rsidRDefault="00B001A0" w:rsidP="00B001A0">
      <w:pPr>
        <w:rPr>
          <w:noProof/>
        </w:rPr>
      </w:pPr>
      <w:r w:rsidRPr="00324597">
        <w:rPr>
          <w:noProof/>
        </w:rPr>
        <w:t>Člen 218(9) PDEU se uporablja ne glede na to, ali je Unija članica organa ali pogodbenica sporazuma</w:t>
      </w:r>
      <w:r w:rsidRPr="00324597">
        <w:rPr>
          <w:rStyle w:val="FootnoteReference"/>
          <w:noProof/>
        </w:rPr>
        <w:footnoteReference w:id="2"/>
      </w:r>
      <w:r w:rsidRPr="00324597">
        <w:rPr>
          <w:noProof/>
        </w:rPr>
        <w:t>.</w:t>
      </w:r>
    </w:p>
    <w:p w:rsidR="00B001A0" w:rsidRPr="00324597" w:rsidRDefault="00B001A0" w:rsidP="00B001A0">
      <w:pPr>
        <w:rPr>
          <w:noProof/>
        </w:rPr>
      </w:pPr>
      <w:r w:rsidRPr="00324597">
        <w:rPr>
          <w:noProof/>
        </w:rPr>
        <w:t>Pojem „akti s pravnim učinkom“ vključuje tudi akte, ki imajo pravni učinek zaradi pravil mednarodnega prava, ki veljajo za zadevni organ. Vključuje tudi instrumente, ki nimajo zavezujočega učinka v mednarodnem pravu, a lahko „odločilno vpliva[jo] na vsebino ureditve, ki jo [sprejme] zakonodajalec Unije“</w:t>
      </w:r>
      <w:r w:rsidRPr="00324597">
        <w:rPr>
          <w:rStyle w:val="FootnoteReference"/>
          <w:noProof/>
        </w:rPr>
        <w:footnoteReference w:id="3"/>
      </w:r>
      <w:r w:rsidRPr="00324597">
        <w:rPr>
          <w:noProof/>
        </w:rPr>
        <w:t>. Kot je pojasnjeno zgoraj, vsebina predlagane spremembe spada na področje, na katerem obstaja pravo Unije (tj. Uredba (EU) št. 996/2010).</w:t>
      </w:r>
    </w:p>
    <w:p w:rsidR="00B001A0" w:rsidRPr="00324597" w:rsidRDefault="00B001A0" w:rsidP="00B001A0">
      <w:pPr>
        <w:pStyle w:val="ManualHeading3"/>
        <w:rPr>
          <w:noProof/>
        </w:rPr>
      </w:pPr>
      <w:r w:rsidRPr="00324597">
        <w:rPr>
          <w:noProof/>
        </w:rPr>
        <w:lastRenderedPageBreak/>
        <w:t>4.1.2</w:t>
      </w:r>
      <w:r w:rsidRPr="00324597">
        <w:rPr>
          <w:noProof/>
        </w:rPr>
        <w:tab/>
        <w:t>Uporaba v obravnavanem primeru</w:t>
      </w:r>
    </w:p>
    <w:p w:rsidR="00B001A0" w:rsidRPr="00324597" w:rsidRDefault="00B001A0" w:rsidP="00B001A0">
      <w:pPr>
        <w:ind w:left="-5"/>
        <w:rPr>
          <w:noProof/>
        </w:rPr>
      </w:pPr>
      <w:r w:rsidRPr="00324597">
        <w:rPr>
          <w:noProof/>
        </w:rPr>
        <w:t>Svet ICAO je organ, ustanovljen s sporazumom, in sicer s Konvencijo o mednarodnem civilnem letalstvu (v nadaljnjem besedilu: Čikaška konvencija).</w:t>
      </w:r>
    </w:p>
    <w:p w:rsidR="00B001A0" w:rsidRPr="00324597" w:rsidRDefault="00B001A0" w:rsidP="00B001A0">
      <w:pPr>
        <w:spacing w:before="100" w:beforeAutospacing="1" w:after="100" w:afterAutospacing="1"/>
        <w:rPr>
          <w:noProof/>
        </w:rPr>
      </w:pPr>
      <w:r w:rsidRPr="00324597">
        <w:rPr>
          <w:noProof/>
        </w:rPr>
        <w:t>V skladu s členom 54 Čikaške konvencije sprejema mednarodne standarde in priporočene prakse v obliki prilog k Čikaški konvenciji. To so akti s pravnim učinkom. Ko bodo standardi in priporočene prakse, ki jih je sprejela ICAO, sprejeti in veljavni, bodo zavezujoči za vse države pogodbenice ICAO na podlagi člena 90(a) Čikaške konvencije, ki določa: „V Svetu sta za sprejetje prilog, opisanih v pododstavku I) člena 54, potrebni dve tretjini glasov Sveta na seji, sklicani v ta namen, nato pa jih Svet predloži vsaki državi pogodbenici.</w:t>
      </w:r>
      <w:r w:rsidRPr="00324597">
        <w:rPr>
          <w:i/>
          <w:noProof/>
        </w:rPr>
        <w:t xml:space="preserve"> </w:t>
      </w:r>
      <w:r w:rsidRPr="00324597">
        <w:rPr>
          <w:noProof/>
        </w:rPr>
        <w:t xml:space="preserve">Vsaka taka priloga ali vsaka sprememba priloge začne veljati v treh mesecih po predložitvi državam pogodbenicam ali po izteku daljšega časovnega obdobja, ki ga lahko predpiše Svet, razen če medtem večina držav pogodbenic sporoči svoje nestrinjanje“. Kot je pojasnjeno zgoraj, lahko predvidena sprememba Priloge 13 odločilno vpliva na vsebino zakonodaje Unije. Ustvarila bi namreč potrebo po prilagoditvi sedanjih delovnih postopkov organov za preiskave v zvezi z varnostjo, ki jih ureja Uredba (EU) št. 996/2010. </w:t>
      </w:r>
    </w:p>
    <w:p w:rsidR="00B001A0" w:rsidRPr="00324597" w:rsidRDefault="00B001A0" w:rsidP="00B001A0">
      <w:pPr>
        <w:ind w:left="-5"/>
        <w:rPr>
          <w:noProof/>
        </w:rPr>
      </w:pPr>
      <w:r w:rsidRPr="00324597">
        <w:rPr>
          <w:noProof/>
        </w:rPr>
        <w:t>Predvideni akti ne dopolnjujejo ali spreminjajo institucionalnega okvira Sporazuma.</w:t>
      </w:r>
    </w:p>
    <w:p w:rsidR="00B001A0" w:rsidRPr="00324597" w:rsidRDefault="00B001A0" w:rsidP="00B001A0">
      <w:pPr>
        <w:ind w:left="-5"/>
        <w:rPr>
          <w:noProof/>
        </w:rPr>
      </w:pPr>
      <w:r w:rsidRPr="00324597">
        <w:rPr>
          <w:noProof/>
        </w:rPr>
        <w:t>Postopkovna pravna podlaga za predlagani sklep je zato člen 218(9) PDEU.</w:t>
      </w:r>
    </w:p>
    <w:p w:rsidR="00B001A0" w:rsidRPr="00324597" w:rsidRDefault="00B001A0" w:rsidP="00B001A0">
      <w:pPr>
        <w:pStyle w:val="ManualHeading2"/>
        <w:rPr>
          <w:noProof/>
        </w:rPr>
      </w:pPr>
      <w:r w:rsidRPr="00324597">
        <w:rPr>
          <w:noProof/>
        </w:rPr>
        <w:t>4.2</w:t>
      </w:r>
      <w:r w:rsidRPr="00324597">
        <w:rPr>
          <w:noProof/>
        </w:rPr>
        <w:tab/>
        <w:t>Materialna pravna podlaga</w:t>
      </w:r>
    </w:p>
    <w:p w:rsidR="00B001A0" w:rsidRPr="00324597" w:rsidRDefault="00B001A0" w:rsidP="00B001A0">
      <w:pPr>
        <w:pStyle w:val="ManualHeading3"/>
        <w:rPr>
          <w:noProof/>
        </w:rPr>
      </w:pPr>
      <w:r w:rsidRPr="00324597">
        <w:rPr>
          <w:noProof/>
        </w:rPr>
        <w:t>4.2.1</w:t>
      </w:r>
      <w:r w:rsidRPr="00324597">
        <w:rPr>
          <w:noProof/>
        </w:rPr>
        <w:tab/>
        <w:t>Načela</w:t>
      </w:r>
    </w:p>
    <w:p w:rsidR="00B001A0" w:rsidRPr="00324597" w:rsidRDefault="00B001A0" w:rsidP="00B001A0">
      <w:pPr>
        <w:rPr>
          <w:noProof/>
        </w:rPr>
      </w:pPr>
      <w:r w:rsidRPr="00324597">
        <w:rPr>
          <w:noProof/>
        </w:rPr>
        <w:t>Materialna pravna podlaga za sklep po členu 218(9) PDEU je odvisna predvsem od cilja in vsebine predvidenega akta, glede katerega naj bi se v imenu Unije zastopalo stališče. Če ima predvideni akt dva cilja ali elementa in je eden od teh ciljev ali elementov glavni, drugi pa postranski, mora sklep po členu 218(9) PDEU temeljiti na samo eni materialni pravni podlagi, in sicer na tisti, ki se zahteva za glavni ali prevladujoči cilj ali element.</w:t>
      </w:r>
    </w:p>
    <w:p w:rsidR="00B001A0" w:rsidRPr="00324597" w:rsidRDefault="00B001A0" w:rsidP="00B001A0">
      <w:pPr>
        <w:pStyle w:val="ManualHeading3"/>
        <w:rPr>
          <w:noProof/>
        </w:rPr>
      </w:pPr>
      <w:r w:rsidRPr="00324597">
        <w:rPr>
          <w:noProof/>
        </w:rPr>
        <w:t>4.2.2</w:t>
      </w:r>
      <w:r w:rsidRPr="00324597">
        <w:rPr>
          <w:noProof/>
        </w:rPr>
        <w:tab/>
        <w:t>Uporaba v obravnavanem primeru</w:t>
      </w:r>
    </w:p>
    <w:p w:rsidR="00B001A0" w:rsidRPr="00324597" w:rsidRDefault="00B001A0" w:rsidP="00B001A0">
      <w:pPr>
        <w:ind w:left="-5"/>
        <w:rPr>
          <w:noProof/>
        </w:rPr>
      </w:pPr>
      <w:r w:rsidRPr="00324597">
        <w:rPr>
          <w:noProof/>
        </w:rPr>
        <w:t>Glavni cilj in vsebina sprejetega akta se nanašata na skupno prometno politiko.</w:t>
      </w:r>
    </w:p>
    <w:p w:rsidR="00B001A0" w:rsidRPr="00324597" w:rsidRDefault="00B001A0" w:rsidP="00B001A0">
      <w:pPr>
        <w:rPr>
          <w:noProof/>
        </w:rPr>
      </w:pPr>
      <w:r w:rsidRPr="00324597">
        <w:rPr>
          <w:noProof/>
        </w:rPr>
        <w:t>Materialna pravna podlaga za predlagani sklep je zato člen 100(2) PDEU.</w:t>
      </w:r>
    </w:p>
    <w:p w:rsidR="00B001A0" w:rsidRPr="00324597" w:rsidRDefault="00B001A0" w:rsidP="00B001A0">
      <w:pPr>
        <w:pStyle w:val="ManualHeading2"/>
        <w:rPr>
          <w:noProof/>
        </w:rPr>
      </w:pPr>
      <w:r w:rsidRPr="00324597">
        <w:rPr>
          <w:noProof/>
        </w:rPr>
        <w:t>4.3</w:t>
      </w:r>
      <w:r w:rsidRPr="00324597">
        <w:rPr>
          <w:noProof/>
        </w:rPr>
        <w:tab/>
        <w:t>Zaključek</w:t>
      </w:r>
    </w:p>
    <w:p w:rsidR="00B001A0" w:rsidRPr="00324597" w:rsidRDefault="00B001A0" w:rsidP="00B001A0">
      <w:pPr>
        <w:ind w:left="-5"/>
        <w:rPr>
          <w:noProof/>
        </w:rPr>
      </w:pPr>
      <w:r w:rsidRPr="00324597">
        <w:rPr>
          <w:noProof/>
        </w:rPr>
        <w:t>Pravna podlaga predlaganega sklepa Sveta je člen 100(2) PDEU v povezavi s členom 218(9) PDEU.</w:t>
      </w:r>
    </w:p>
    <w:p w:rsidR="00B001A0" w:rsidRPr="00324597" w:rsidRDefault="00B001A0" w:rsidP="00B001A0">
      <w:pPr>
        <w:rPr>
          <w:noProof/>
        </w:rPr>
        <w:sectPr w:rsidR="00B001A0" w:rsidRPr="00324597" w:rsidSect="00450FD9">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08"/>
          <w:docGrid w:linePitch="360"/>
        </w:sectPr>
      </w:pPr>
    </w:p>
    <w:p w:rsidR="00656AF8" w:rsidRDefault="000E6F6D">
      <w:pPr>
        <w:pStyle w:val="Rfrenceinterinstitutionnelle"/>
        <w:rPr>
          <w:noProof/>
        </w:rPr>
      </w:pPr>
      <w:r>
        <w:rPr>
          <w:noProof/>
        </w:rPr>
        <w:lastRenderedPageBreak/>
        <w:t>2026/0028 (NLE)</w:t>
      </w:r>
    </w:p>
    <w:p w:rsidR="00B001A0" w:rsidRPr="00324597" w:rsidRDefault="00324597" w:rsidP="00324597">
      <w:pPr>
        <w:pStyle w:val="Statut"/>
        <w:rPr>
          <w:noProof/>
        </w:rPr>
      </w:pPr>
      <w:r w:rsidRPr="00324597">
        <w:rPr>
          <w:noProof/>
        </w:rPr>
        <w:t>Predlog</w:t>
      </w:r>
    </w:p>
    <w:p w:rsidR="00B001A0" w:rsidRPr="00324597" w:rsidRDefault="00324597" w:rsidP="00324597">
      <w:pPr>
        <w:pStyle w:val="Typedudocument"/>
        <w:rPr>
          <w:noProof/>
        </w:rPr>
      </w:pPr>
      <w:r w:rsidRPr="00324597">
        <w:rPr>
          <w:noProof/>
        </w:rPr>
        <w:t>SKLEP SVETA</w:t>
      </w:r>
    </w:p>
    <w:p w:rsidR="00B001A0" w:rsidRPr="00324597" w:rsidRDefault="00324597" w:rsidP="00324597">
      <w:pPr>
        <w:pStyle w:val="Titreobjet"/>
        <w:rPr>
          <w:noProof/>
        </w:rPr>
      </w:pPr>
      <w:r w:rsidRPr="00324597">
        <w:rPr>
          <w:noProof/>
        </w:rPr>
        <w:t xml:space="preserve">o stališču, ki se v imenu Evropske unije zastopa na 237. zasedanju Sveta Mednarodne organizacije civilnega letalstva (ICAO) v zvezi s predvideno spremembo Priloge 13 – </w:t>
      </w:r>
      <w:r w:rsidRPr="00324597">
        <w:rPr>
          <w:i/>
          <w:noProof/>
        </w:rPr>
        <w:t>Preiskovanje letalskih nesreč in incidentov</w:t>
      </w:r>
    </w:p>
    <w:p w:rsidR="00B001A0" w:rsidRPr="00324597" w:rsidRDefault="00B001A0" w:rsidP="00B001A0">
      <w:pPr>
        <w:pStyle w:val="Institutionquiagit"/>
        <w:rPr>
          <w:noProof/>
        </w:rPr>
      </w:pPr>
      <w:r w:rsidRPr="00324597">
        <w:rPr>
          <w:noProof/>
        </w:rPr>
        <w:t>SVET EVROPSKE UNIJE JE –</w:t>
      </w:r>
    </w:p>
    <w:p w:rsidR="00B001A0" w:rsidRPr="00324597" w:rsidRDefault="00B001A0" w:rsidP="00B001A0">
      <w:pPr>
        <w:rPr>
          <w:noProof/>
        </w:rPr>
      </w:pPr>
      <w:r w:rsidRPr="00324597">
        <w:rPr>
          <w:noProof/>
        </w:rPr>
        <w:t>ob upoštevanju Pogodbe o delovanju Evropske unije in zlasti člena 100(2) v povezavi s členom 218(9) Pogodbe,</w:t>
      </w:r>
    </w:p>
    <w:p w:rsidR="00B001A0" w:rsidRPr="00324597" w:rsidRDefault="00B001A0" w:rsidP="00B001A0">
      <w:pPr>
        <w:rPr>
          <w:noProof/>
        </w:rPr>
      </w:pPr>
      <w:r w:rsidRPr="00324597">
        <w:rPr>
          <w:noProof/>
        </w:rPr>
        <w:t>ob upoštevanju predloga Evropske komisije,</w:t>
      </w:r>
    </w:p>
    <w:p w:rsidR="00B001A0" w:rsidRPr="00324597" w:rsidRDefault="00B001A0" w:rsidP="00B001A0">
      <w:pPr>
        <w:rPr>
          <w:noProof/>
        </w:rPr>
      </w:pPr>
      <w:r w:rsidRPr="00324597">
        <w:rPr>
          <w:noProof/>
        </w:rPr>
        <w:t>ob upoštevanju naslednjega:</w:t>
      </w:r>
    </w:p>
    <w:p w:rsidR="00B001A0" w:rsidRPr="00324597" w:rsidRDefault="00B001A0" w:rsidP="00B001A0">
      <w:pPr>
        <w:pStyle w:val="ManualConsidrant"/>
        <w:rPr>
          <w:noProof/>
        </w:rPr>
      </w:pPr>
      <w:r w:rsidRPr="00324597">
        <w:rPr>
          <w:noProof/>
        </w:rPr>
        <w:t>(1)</w:t>
      </w:r>
      <w:r w:rsidRPr="00324597">
        <w:rPr>
          <w:noProof/>
        </w:rPr>
        <w:tab/>
        <w:t>Konvencija o mednarodnem civilnem letalstvu (v nadaljnjem besedilu: Čikaška konvencija), ki ureja mednarodni letalski promet, je začela veljati 4. aprila 1947. Z njo je bila ustanovljena Mednarodna organizacija civilnega letalstva (ICAO).</w:t>
      </w:r>
    </w:p>
    <w:p w:rsidR="00B001A0" w:rsidRPr="00324597" w:rsidRDefault="00B001A0" w:rsidP="00B001A0">
      <w:pPr>
        <w:pStyle w:val="ManualConsidrant"/>
        <w:rPr>
          <w:noProof/>
        </w:rPr>
      </w:pPr>
      <w:r w:rsidRPr="00324597">
        <w:rPr>
          <w:noProof/>
        </w:rPr>
        <w:t>(2)</w:t>
      </w:r>
      <w:r w:rsidRPr="00324597">
        <w:rPr>
          <w:noProof/>
        </w:rPr>
        <w:tab/>
        <w:t>Države članice so države pogodbenice Čikaške konvencije in članice ICAO, Unija pa ima status opazovalke v nekaterih organih ICAO. V Svetu ICAO je zastopanih šest držav članic.</w:t>
      </w:r>
    </w:p>
    <w:p w:rsidR="00B001A0" w:rsidRPr="00324597" w:rsidRDefault="00B001A0" w:rsidP="00B001A0">
      <w:pPr>
        <w:pStyle w:val="ManualConsidrant"/>
        <w:rPr>
          <w:noProof/>
        </w:rPr>
      </w:pPr>
      <w:r w:rsidRPr="00324597">
        <w:rPr>
          <w:noProof/>
        </w:rPr>
        <w:t>(3)</w:t>
      </w:r>
      <w:r w:rsidRPr="00324597">
        <w:rPr>
          <w:noProof/>
        </w:rPr>
        <w:tab/>
        <w:t>Svet ICAO lahko v skladu s členom 54 Čikaške konvencije sprejme mednarodne standarde in priporočene prakse v obliki prilog k Čikaški konvenciji.</w:t>
      </w:r>
    </w:p>
    <w:p w:rsidR="00B001A0" w:rsidRPr="00324597" w:rsidRDefault="00B001A0" w:rsidP="00B001A0">
      <w:pPr>
        <w:pStyle w:val="ManualConsidrant"/>
        <w:rPr>
          <w:noProof/>
        </w:rPr>
      </w:pPr>
      <w:r w:rsidRPr="00324597">
        <w:rPr>
          <w:noProof/>
        </w:rPr>
        <w:t>(4)</w:t>
      </w:r>
      <w:r w:rsidRPr="00324597">
        <w:rPr>
          <w:noProof/>
        </w:rPr>
        <w:tab/>
        <w:t xml:space="preserve">Svet ICAO naj bi na 237. zasedanju sprejel spremembo 20 Priloge 13 – </w:t>
      </w:r>
      <w:r w:rsidRPr="00324597">
        <w:rPr>
          <w:i/>
          <w:noProof/>
        </w:rPr>
        <w:t>Preiskovanje letalskih nesreč in incidentov</w:t>
      </w:r>
      <w:r w:rsidRPr="00324597">
        <w:rPr>
          <w:noProof/>
        </w:rPr>
        <w:t xml:space="preserve"> k Čikaški konvenciji. </w:t>
      </w:r>
    </w:p>
    <w:p w:rsidR="00B001A0" w:rsidRPr="00324597" w:rsidRDefault="00B001A0" w:rsidP="00B001A0">
      <w:pPr>
        <w:pStyle w:val="ManualConsidrant"/>
        <w:rPr>
          <w:noProof/>
        </w:rPr>
      </w:pPr>
      <w:r w:rsidRPr="00324597">
        <w:rPr>
          <w:noProof/>
        </w:rPr>
        <w:t>(5)</w:t>
      </w:r>
      <w:r w:rsidRPr="00324597">
        <w:rPr>
          <w:noProof/>
        </w:rPr>
        <w:tab/>
        <w:t xml:space="preserve">Glavni namen spremembe 20 Priloge 13 – </w:t>
      </w:r>
      <w:r w:rsidRPr="00324597">
        <w:rPr>
          <w:i/>
          <w:noProof/>
        </w:rPr>
        <w:t>Preiskovanje letalskih nesreč in incidentov</w:t>
      </w:r>
      <w:r w:rsidRPr="00324597">
        <w:rPr>
          <w:noProof/>
        </w:rPr>
        <w:t xml:space="preserve"> k Čikaški konvenciji je izboljšati varnost v letalstvu z zagotavljanjem visoke ravni učinkovitosti, hitrosti in kakovosti preiskav v zvezi z varnostjo v civilnem letalstvu. </w:t>
      </w:r>
    </w:p>
    <w:p w:rsidR="00B001A0" w:rsidRPr="00324597" w:rsidRDefault="00B001A0" w:rsidP="00B001A0">
      <w:pPr>
        <w:pStyle w:val="ManualConsidrant"/>
        <w:rPr>
          <w:noProof/>
        </w:rPr>
      </w:pPr>
      <w:r w:rsidRPr="00324597">
        <w:rPr>
          <w:noProof/>
        </w:rPr>
        <w:t>(6)</w:t>
      </w:r>
      <w:r w:rsidRPr="00324597">
        <w:rPr>
          <w:noProof/>
        </w:rPr>
        <w:tab/>
        <w:t>Namen predlaganih sprememb je doseči te cilje s pojasnitvijo odgovornosti držav za dokončanje preiskav v zvezi z varnostjo in objavo končnih poročil, tudi v primerih nezakonitega vmešavanja, s čimer se prepreči prezgodnji zaključek preiskav. Obravnavajo morebitna nasprotja interesov s predlogom, naj se za večjo nepristranskost in preglednost preiskave prenesejo na tretje subjekte. Spremembe z odpravo omejitev izboljšujejo tudi dostop preiskovalcev do podatkov. Prav tako poenostavljajo postopke za predložitev poročil ICAO, saj odpravljajo zahtevo po predhodnem poročilu ADREP in zmanjšujejo zahteve glede največje mase zrakoplovov za predložitev končnih poročil ICAO. Poleg tega posodabljajo terminologijo, da se zagotovi skladnost med prilogami ICAO.</w:t>
      </w:r>
    </w:p>
    <w:p w:rsidR="00B001A0" w:rsidRPr="00324597" w:rsidRDefault="00B001A0" w:rsidP="00B001A0">
      <w:pPr>
        <w:pStyle w:val="ManualConsidrant"/>
        <w:rPr>
          <w:noProof/>
        </w:rPr>
      </w:pPr>
      <w:r w:rsidRPr="00324597">
        <w:rPr>
          <w:noProof/>
        </w:rPr>
        <w:t xml:space="preserve">(7) </w:t>
      </w:r>
      <w:r w:rsidRPr="00324597">
        <w:rPr>
          <w:noProof/>
        </w:rPr>
        <w:tab/>
        <w:t>Evropsko omrežje organov za preiskave v zvezi z varnostjo civilnega letalstva (ENCASIA), vzpostavljeno s členom 7 Uredbe (EU) št. 996/2010</w:t>
      </w:r>
      <w:r w:rsidRPr="00324597">
        <w:rPr>
          <w:rStyle w:val="FootnoteReference"/>
          <w:noProof/>
        </w:rPr>
        <w:footnoteReference w:id="4"/>
      </w:r>
      <w:r w:rsidRPr="00324597">
        <w:rPr>
          <w:noProof/>
        </w:rPr>
        <w:t xml:space="preserve">, katerega naloga je svetovanje institucijam Unije o vseh vidikih oblikovanja ter izvajanja politik Unije in </w:t>
      </w:r>
      <w:r w:rsidRPr="00324597">
        <w:rPr>
          <w:noProof/>
        </w:rPr>
        <w:lastRenderedPageBreak/>
        <w:t>predpisov o preiskavah v zvezi z varnostjo ter o preprečevanju nesreč in incidentov, je prispevalo k pripravi predloga v zvezi s spremembo 20.</w:t>
      </w:r>
    </w:p>
    <w:p w:rsidR="00B001A0" w:rsidRPr="00324597" w:rsidRDefault="00B001A0" w:rsidP="00B001A0">
      <w:pPr>
        <w:pStyle w:val="ManualConsidrant"/>
        <w:rPr>
          <w:rFonts w:eastAsia="Arial Unicode MS"/>
          <w:noProof/>
        </w:rPr>
      </w:pPr>
      <w:r w:rsidRPr="00324597">
        <w:rPr>
          <w:noProof/>
        </w:rPr>
        <w:t>(8)</w:t>
      </w:r>
      <w:r w:rsidRPr="00324597">
        <w:rPr>
          <w:noProof/>
        </w:rPr>
        <w:tab/>
        <w:t xml:space="preserve">Primerno je določiti stališče, ki se v imenu Unije zastopa v Svetu ICAO, saj bo sprememba 20 Priloge 13 – </w:t>
      </w:r>
      <w:r w:rsidRPr="00324597">
        <w:rPr>
          <w:i/>
          <w:noProof/>
        </w:rPr>
        <w:t>Preiskovanje letalskih nesreč in incidentov</w:t>
      </w:r>
      <w:r w:rsidRPr="00324597">
        <w:rPr>
          <w:noProof/>
        </w:rPr>
        <w:t xml:space="preserve"> k Čikaški konvenciji zavezujoča v mednarodnem pravu v skladu s členom 90(a) Čikaške konvencije in bo lahko odločilno vplivala na pravo EU, zlasti Uredbo (EU) št. 996/2010. </w:t>
      </w:r>
    </w:p>
    <w:p w:rsidR="00B001A0" w:rsidRPr="00324597" w:rsidRDefault="00B001A0" w:rsidP="00B001A0">
      <w:pPr>
        <w:pStyle w:val="ManualConsidrant"/>
        <w:rPr>
          <w:noProof/>
        </w:rPr>
      </w:pPr>
      <w:r w:rsidRPr="00324597">
        <w:rPr>
          <w:noProof/>
        </w:rPr>
        <w:t>(9)</w:t>
      </w:r>
      <w:r w:rsidRPr="00324597">
        <w:rPr>
          <w:noProof/>
        </w:rPr>
        <w:tab/>
        <w:t xml:space="preserve">Stališče Unije na 237. zasedanju Sveta ICAO ali katerem koli poznejšem zasedanju v zvezi s sprejetjem predvidene spremembe 20 Priloge 13 – </w:t>
      </w:r>
      <w:r w:rsidRPr="00324597">
        <w:rPr>
          <w:i/>
          <w:noProof/>
        </w:rPr>
        <w:t>Preiskovanje letalskih nesreč in incidentov</w:t>
      </w:r>
      <w:r w:rsidRPr="00324597">
        <w:rPr>
          <w:noProof/>
        </w:rPr>
        <w:t xml:space="preserve"> k Čikaški konvenciji bi moralo biti, da se te spremembe v celoti podprejo in upoštevajo. </w:t>
      </w:r>
    </w:p>
    <w:p w:rsidR="00B001A0" w:rsidRPr="00324597" w:rsidRDefault="00B001A0" w:rsidP="00B001A0">
      <w:pPr>
        <w:pStyle w:val="ManualConsidrant"/>
        <w:rPr>
          <w:noProof/>
        </w:rPr>
      </w:pPr>
      <w:r w:rsidRPr="00324597">
        <w:rPr>
          <w:noProof/>
        </w:rPr>
        <w:t>(10)</w:t>
      </w:r>
      <w:r w:rsidRPr="00324597">
        <w:rPr>
          <w:noProof/>
        </w:rPr>
        <w:tab/>
        <w:t>V skladu s členom 38 Čikaške konvencije bi morala vsaka država, ki meni, da ne more v celoti spoštovati takega mednarodnega standarda ali postopka ali v celoti uskladiti svojih predpisov ali praks s takim mednarodnim standardom ali postopkom, ali meni, da mora sprejeti predpise in prakse, ki se v nekaterih pogledih razlikujejo od tistih, predpisanih v mednarodnih standardih, ICAO takoj obvestiti o odstopanjih med lastno prakso in prakso, ki jo določa mednarodni standard.</w:t>
      </w:r>
    </w:p>
    <w:p w:rsidR="00B001A0" w:rsidRPr="00324597" w:rsidRDefault="00B001A0" w:rsidP="00B001A0">
      <w:pPr>
        <w:pStyle w:val="ManualConsidrant"/>
        <w:rPr>
          <w:noProof/>
        </w:rPr>
      </w:pPr>
      <w:r w:rsidRPr="00324597">
        <w:rPr>
          <w:noProof/>
        </w:rPr>
        <w:t>(11)</w:t>
      </w:r>
      <w:r w:rsidRPr="00324597">
        <w:rPr>
          <w:noProof/>
        </w:rPr>
        <w:tab/>
        <w:t>V skladu s členom 90 Čikaške konvencije vsaka taka priloga ali vsaka sprememba priloge začne veljati v treh mesecih po njeni predložitvi državam pogodbenicam ICAO ali po izteku daljšega časovnega obdobja, ki ga morda predpiše Svet ICAO, razen če medtem večina držav pogodbenic ICAO sporoči svoje nestrinjanje.</w:t>
      </w:r>
    </w:p>
    <w:p w:rsidR="00B001A0" w:rsidRPr="00324597" w:rsidRDefault="00B001A0" w:rsidP="00B001A0">
      <w:pPr>
        <w:pStyle w:val="ManualConsidrant"/>
        <w:rPr>
          <w:noProof/>
        </w:rPr>
      </w:pPr>
      <w:r w:rsidRPr="00324597">
        <w:rPr>
          <w:noProof/>
        </w:rPr>
        <w:t>(12)</w:t>
      </w:r>
      <w:r w:rsidRPr="00324597">
        <w:rPr>
          <w:noProof/>
        </w:rPr>
        <w:tab/>
        <w:t xml:space="preserve">Stališče Unije, potem ko bo Svet ICAO sprejel spremembo 20 Priloge 13 – </w:t>
      </w:r>
      <w:r w:rsidRPr="00324597">
        <w:rPr>
          <w:i/>
          <w:noProof/>
        </w:rPr>
        <w:t>Preiskovanje letalskih nesreč in incidentov</w:t>
      </w:r>
      <w:r w:rsidRPr="00324597">
        <w:rPr>
          <w:noProof/>
        </w:rPr>
        <w:t xml:space="preserve"> k Čikaški konvenciji, kar naznani generalni sekretar ICAO v postopku z dopisom ICAO, je, da se ne priglasi nestrinjanje in da se zagotovi skladnost s spremembo. Če bi zakonodaja Unije odstopala od novo sprejetih standardov in priporočenih praks po predvidenem datumu začetka njihove uporabe, bi bilo treba ICAO priglasiti odstopanja v primerjavi z navedenimi standardi in priporočenimi praksami. Stališče Unije v zvezi s takim odstopanjem bi moralo temeljiti na pisnem dokumentu, ki ga Komisija predloži Svetu v razpravo in odobritev – </w:t>
      </w:r>
    </w:p>
    <w:p w:rsidR="00B001A0" w:rsidRPr="00324597" w:rsidRDefault="00B001A0" w:rsidP="00B001A0">
      <w:pPr>
        <w:pStyle w:val="ManualConsidrant"/>
        <w:rPr>
          <w:noProof/>
        </w:rPr>
      </w:pPr>
    </w:p>
    <w:p w:rsidR="00B001A0" w:rsidRPr="00324597" w:rsidRDefault="00B001A0" w:rsidP="00B001A0">
      <w:pPr>
        <w:pStyle w:val="Formuledadoption"/>
        <w:rPr>
          <w:noProof/>
        </w:rPr>
      </w:pPr>
      <w:r w:rsidRPr="00324597">
        <w:rPr>
          <w:noProof/>
        </w:rPr>
        <w:t>SPREJEL NASLEDNJI SKLEP:</w:t>
      </w:r>
    </w:p>
    <w:p w:rsidR="00B001A0" w:rsidRPr="00324597" w:rsidRDefault="00B001A0" w:rsidP="00B001A0">
      <w:pPr>
        <w:pStyle w:val="Titrearticle"/>
        <w:rPr>
          <w:noProof/>
        </w:rPr>
      </w:pPr>
      <w:r w:rsidRPr="00324597">
        <w:rPr>
          <w:noProof/>
        </w:rPr>
        <w:t>Člen 1</w:t>
      </w:r>
    </w:p>
    <w:p w:rsidR="00B001A0" w:rsidRPr="00324597" w:rsidRDefault="00B001A0" w:rsidP="00B001A0">
      <w:pPr>
        <w:pStyle w:val="Point0"/>
        <w:rPr>
          <w:noProof/>
        </w:rPr>
      </w:pPr>
      <w:r w:rsidRPr="00324597">
        <w:rPr>
          <w:noProof/>
        </w:rPr>
        <w:t>(1)</w:t>
      </w:r>
      <w:r w:rsidRPr="00324597">
        <w:rPr>
          <w:noProof/>
        </w:rPr>
        <w:tab/>
        <w:t xml:space="preserve">Stališče, ki se v imenu Unije zastopa na 237. ali na enem od poznejših zasedanj Sveta ICAO, je, da se v celoti podpre predlagana sprememba Priloge 13 – </w:t>
      </w:r>
      <w:r w:rsidRPr="00324597">
        <w:rPr>
          <w:i/>
          <w:noProof/>
        </w:rPr>
        <w:t>Preiskovanje letalskih nesreč in incidentov</w:t>
      </w:r>
      <w:r w:rsidRPr="00324597">
        <w:rPr>
          <w:noProof/>
        </w:rPr>
        <w:t xml:space="preserve"> k Čikaški konvenciji.</w:t>
      </w:r>
    </w:p>
    <w:p w:rsidR="00B001A0" w:rsidRPr="00324597" w:rsidRDefault="00B001A0" w:rsidP="00B001A0">
      <w:pPr>
        <w:pStyle w:val="Point0"/>
        <w:rPr>
          <w:noProof/>
        </w:rPr>
      </w:pPr>
      <w:r w:rsidRPr="00324597">
        <w:rPr>
          <w:noProof/>
        </w:rPr>
        <w:t>(2)</w:t>
      </w:r>
      <w:r w:rsidRPr="00324597">
        <w:rPr>
          <w:noProof/>
        </w:rPr>
        <w:tab/>
        <w:t xml:space="preserve">Stališče, ki se zastopa v imenu Unije, pod pogojem, da Svet ICAO brez bistvenih sprememb sprejme predlagano spremembo Priloge 13 – </w:t>
      </w:r>
      <w:r w:rsidRPr="00324597">
        <w:rPr>
          <w:i/>
          <w:noProof/>
        </w:rPr>
        <w:t>Preiskovanje letalskih nesreč in incidentov</w:t>
      </w:r>
      <w:r w:rsidRPr="00324597">
        <w:rPr>
          <w:noProof/>
        </w:rPr>
        <w:t xml:space="preserve"> k Čikaški konvenciji iz odstavka 1, je, da se v odgovor na ustrezni dopis ICAO ne priglasi nestrinjanje in da se priglasi skladnost s sprejetim ukrepom. Če bi zakonodaja Unije odstopala od novo sprejetih mednarodnih standardov po predvidenem datumu začetka njihove uporabe, se odstopanja v primerjavi z navedenimi mednarodnimi standardi priglasijo ICAO v skladu s členom 38 Čikaške konvencije.</w:t>
      </w:r>
    </w:p>
    <w:p w:rsidR="00B001A0" w:rsidRPr="00324597" w:rsidRDefault="00B001A0" w:rsidP="00B001A0">
      <w:pPr>
        <w:ind w:left="850"/>
        <w:rPr>
          <w:i/>
          <w:noProof/>
        </w:rPr>
      </w:pPr>
      <w:r w:rsidRPr="00324597">
        <w:rPr>
          <w:noProof/>
        </w:rPr>
        <w:lastRenderedPageBreak/>
        <w:t xml:space="preserve">V primeru, da bi zakonodaja Unije odstopala od standardov iz Priloge 13 k Čikaški konvenciji, Komisija pravočasno in vsaj dva meseca pred rokom, ki ga ICAO določi za priglasitev odstopanj, Svetu v razpravo in odobritev predloži pripravljalni dokument, v katerem je določeno stališče Unije o podrobnih odstopanjih, ki jih morajo države članice v imenu Unije priglasiti ICAO. </w:t>
      </w:r>
    </w:p>
    <w:p w:rsidR="00B001A0" w:rsidRPr="00324597" w:rsidRDefault="00B001A0" w:rsidP="00B001A0">
      <w:pPr>
        <w:pStyle w:val="Titrearticle"/>
        <w:rPr>
          <w:noProof/>
        </w:rPr>
      </w:pPr>
      <w:r w:rsidRPr="00324597">
        <w:rPr>
          <w:noProof/>
        </w:rPr>
        <w:t>Člen 2</w:t>
      </w:r>
    </w:p>
    <w:p w:rsidR="00B001A0" w:rsidRPr="00324597" w:rsidRDefault="00B001A0" w:rsidP="00B001A0">
      <w:pPr>
        <w:spacing w:after="0"/>
        <w:ind w:left="-5"/>
        <w:rPr>
          <w:noProof/>
        </w:rPr>
      </w:pPr>
      <w:r w:rsidRPr="00324597">
        <w:rPr>
          <w:noProof/>
        </w:rPr>
        <w:t>Stališče iz člena 1(1) izrazijo države članice Unije, ki so članice Sveta ICAO, pri čemer delujejo skupaj v interesu Unije.</w:t>
      </w:r>
    </w:p>
    <w:p w:rsidR="00B001A0" w:rsidRPr="00324597" w:rsidRDefault="00B001A0" w:rsidP="00B001A0">
      <w:pPr>
        <w:spacing w:after="348"/>
        <w:ind w:left="-5"/>
        <w:rPr>
          <w:noProof/>
        </w:rPr>
      </w:pPr>
      <w:r w:rsidRPr="00324597">
        <w:rPr>
          <w:noProof/>
        </w:rPr>
        <w:t>Stališče iz člena 1(2) izrazijo vse države članice Unije, pri čemer delujejo skupaj v interesu Unije.</w:t>
      </w:r>
    </w:p>
    <w:p w:rsidR="00B001A0" w:rsidRPr="00324597" w:rsidRDefault="00B001A0" w:rsidP="00FA075F">
      <w:pPr>
        <w:pStyle w:val="Titrearticle"/>
        <w:rPr>
          <w:noProof/>
        </w:rPr>
      </w:pPr>
      <w:r w:rsidRPr="00324597">
        <w:rPr>
          <w:noProof/>
        </w:rPr>
        <w:t>Člen 3</w:t>
      </w:r>
    </w:p>
    <w:p w:rsidR="00B001A0" w:rsidRPr="00324597" w:rsidRDefault="00B001A0" w:rsidP="00B001A0">
      <w:pPr>
        <w:rPr>
          <w:noProof/>
        </w:rPr>
      </w:pPr>
      <w:r w:rsidRPr="00324597">
        <w:rPr>
          <w:noProof/>
        </w:rPr>
        <w:t>Ta sklep je naslovljen na države članice.</w:t>
      </w:r>
    </w:p>
    <w:p w:rsidR="00B001A0" w:rsidRPr="00324597" w:rsidRDefault="00324597" w:rsidP="00FA075F">
      <w:pPr>
        <w:pStyle w:val="Fait"/>
        <w:rPr>
          <w:noProof/>
        </w:rPr>
      </w:pPr>
      <w:r>
        <w:rPr>
          <w:noProof/>
        </w:rPr>
        <w:t>V Bruslju,</w:t>
      </w:r>
    </w:p>
    <w:p w:rsidR="00B001A0" w:rsidRPr="00324597" w:rsidRDefault="00B001A0" w:rsidP="00FA075F">
      <w:pPr>
        <w:pStyle w:val="Institutionquisigne"/>
        <w:rPr>
          <w:noProof/>
        </w:rPr>
      </w:pPr>
      <w:r w:rsidRPr="00324597">
        <w:rPr>
          <w:noProof/>
        </w:rPr>
        <w:tab/>
        <w:t>Za Svet</w:t>
      </w:r>
    </w:p>
    <w:p w:rsidR="00B001A0" w:rsidRPr="00324597" w:rsidRDefault="00B001A0" w:rsidP="00B40CDB">
      <w:pPr>
        <w:pStyle w:val="Personnequisigne"/>
        <w:rPr>
          <w:noProof/>
        </w:rPr>
      </w:pPr>
      <w:r w:rsidRPr="00324597">
        <w:rPr>
          <w:noProof/>
        </w:rPr>
        <w:tab/>
        <w:t>predsednik/predsednica</w:t>
      </w:r>
    </w:p>
    <w:sectPr w:rsidR="00B001A0" w:rsidRPr="00324597" w:rsidSect="00450FD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A0" w:rsidRDefault="00B001A0" w:rsidP="00B001A0">
      <w:pPr>
        <w:spacing w:before="0" w:after="0"/>
      </w:pPr>
      <w:r>
        <w:separator/>
      </w:r>
    </w:p>
  </w:endnote>
  <w:endnote w:type="continuationSeparator" w:id="0">
    <w:p w:rsidR="00B001A0" w:rsidRDefault="00B001A0" w:rsidP="00B001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Pr="00450FD9" w:rsidRDefault="00450FD9" w:rsidP="00450FD9">
    <w:pPr>
      <w:pStyle w:val="Footer"/>
      <w:rPr>
        <w:rFonts w:ascii="Arial" w:hAnsi="Arial" w:cs="Arial"/>
        <w:b/>
        <w:sz w:val="48"/>
      </w:rPr>
    </w:pPr>
    <w:r w:rsidRPr="00450FD9">
      <w:rPr>
        <w:rFonts w:ascii="Arial" w:hAnsi="Arial" w:cs="Arial"/>
        <w:b/>
        <w:sz w:val="48"/>
      </w:rPr>
      <w:t>SL</w:t>
    </w:r>
    <w:r w:rsidRPr="00450FD9">
      <w:rPr>
        <w:rFonts w:ascii="Arial" w:hAnsi="Arial" w:cs="Arial"/>
        <w:b/>
        <w:sz w:val="48"/>
      </w:rPr>
      <w:tab/>
    </w:r>
    <w:r w:rsidRPr="00450FD9">
      <w:rPr>
        <w:rFonts w:ascii="Arial" w:hAnsi="Arial" w:cs="Arial"/>
        <w:b/>
        <w:sz w:val="48"/>
      </w:rPr>
      <w:tab/>
    </w:r>
    <w:r w:rsidRPr="00450FD9">
      <w:tab/>
    </w:r>
    <w:r w:rsidRPr="00450FD9">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Pr="00450FD9" w:rsidRDefault="00450FD9" w:rsidP="00450FD9">
    <w:pPr>
      <w:pStyle w:val="Footer"/>
      <w:rPr>
        <w:rFonts w:ascii="Arial" w:hAnsi="Arial" w:cs="Arial"/>
        <w:b/>
        <w:sz w:val="48"/>
      </w:rPr>
    </w:pPr>
    <w:r w:rsidRPr="00450FD9">
      <w:rPr>
        <w:rFonts w:ascii="Arial" w:hAnsi="Arial" w:cs="Arial"/>
        <w:b/>
        <w:sz w:val="48"/>
      </w:rPr>
      <w:t>SL</w:t>
    </w:r>
    <w:r w:rsidRPr="00450FD9">
      <w:rPr>
        <w:rFonts w:ascii="Arial" w:hAnsi="Arial" w:cs="Arial"/>
        <w:b/>
        <w:sz w:val="48"/>
      </w:rPr>
      <w:tab/>
    </w:r>
    <w:r w:rsidRPr="00450FD9">
      <w:rPr>
        <w:rFonts w:ascii="Arial" w:hAnsi="Arial" w:cs="Arial"/>
        <w:b/>
        <w:sz w:val="48"/>
      </w:rPr>
      <w:tab/>
    </w:r>
    <w:r w:rsidRPr="00450FD9">
      <w:tab/>
    </w:r>
    <w:r w:rsidRPr="00450FD9">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Default="00450F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Pr="00450FD9" w:rsidRDefault="00450FD9" w:rsidP="00450FD9">
    <w:pPr>
      <w:pStyle w:val="Footer"/>
      <w:rPr>
        <w:rFonts w:ascii="Arial" w:hAnsi="Arial" w:cs="Arial"/>
        <w:b/>
        <w:sz w:val="48"/>
      </w:rPr>
    </w:pPr>
    <w:r w:rsidRPr="00450FD9">
      <w:rPr>
        <w:rFonts w:ascii="Arial" w:hAnsi="Arial" w:cs="Arial"/>
        <w:b/>
        <w:sz w:val="48"/>
      </w:rPr>
      <w:t>SL</w:t>
    </w:r>
    <w:r w:rsidRPr="00450FD9">
      <w:rPr>
        <w:rFonts w:ascii="Arial" w:hAnsi="Arial" w:cs="Arial"/>
        <w:b/>
        <w:sz w:val="48"/>
      </w:rPr>
      <w:tab/>
    </w:r>
    <w:r>
      <w:fldChar w:fldCharType="begin"/>
    </w:r>
    <w:r>
      <w:instrText xml:space="preserve"> PAGE  \* MERGEFORMAT </w:instrText>
    </w:r>
    <w:r>
      <w:fldChar w:fldCharType="separate"/>
    </w:r>
    <w:r w:rsidR="000E6F6D">
      <w:rPr>
        <w:noProof/>
      </w:rPr>
      <w:t>1</w:t>
    </w:r>
    <w:r>
      <w:fldChar w:fldCharType="end"/>
    </w:r>
    <w:r>
      <w:tab/>
    </w:r>
    <w:r w:rsidRPr="00450FD9">
      <w:tab/>
    </w:r>
    <w:r w:rsidRPr="00450FD9">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Default="00450FD9" w:rsidP="0045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A0" w:rsidRDefault="00B001A0" w:rsidP="00B001A0">
      <w:pPr>
        <w:spacing w:before="0" w:after="0"/>
      </w:pPr>
      <w:r>
        <w:separator/>
      </w:r>
    </w:p>
  </w:footnote>
  <w:footnote w:type="continuationSeparator" w:id="0">
    <w:p w:rsidR="00B001A0" w:rsidRDefault="00B001A0" w:rsidP="00B001A0">
      <w:pPr>
        <w:spacing w:before="0" w:after="0"/>
      </w:pPr>
      <w:r>
        <w:continuationSeparator/>
      </w:r>
    </w:p>
  </w:footnote>
  <w:footnote w:id="1">
    <w:p w:rsidR="005C0104" w:rsidRPr="0095634C" w:rsidRDefault="005C0104" w:rsidP="005C0104">
      <w:pPr>
        <w:pStyle w:val="FootnoteText"/>
      </w:pPr>
      <w:r>
        <w:rPr>
          <w:rStyle w:val="FootnoteReference"/>
        </w:rPr>
        <w:footnoteRef/>
      </w:r>
      <w:r>
        <w:tab/>
        <w:t xml:space="preserve">Uredba (EU) št. 996/2010 Evropskega parlamenta in Sveta z dne 20. oktobra 2010 o preiskavah in preprečevanju nesreč in incidentov v civilnem letalstvu ter razveljavitvi Direktive 94/56/ES (UL L 295, 12.11.2010, str. 35, ELI: </w:t>
      </w:r>
      <w:hyperlink r:id="rId1" w:tooltip="Povezava ELI na ta dokument" w:history="1">
        <w:r>
          <w:rPr>
            <w:rStyle w:val="Hyperlink"/>
          </w:rPr>
          <w:t>http://data.europa.eu/eli/reg/2010/996/oj</w:t>
        </w:r>
      </w:hyperlink>
      <w:r>
        <w:t>).</w:t>
      </w:r>
    </w:p>
  </w:footnote>
  <w:footnote w:id="2">
    <w:p w:rsidR="00B001A0" w:rsidRPr="00B035F8" w:rsidRDefault="00B001A0" w:rsidP="00B001A0">
      <w:pPr>
        <w:pStyle w:val="FootnoteText"/>
      </w:pPr>
      <w:r>
        <w:rPr>
          <w:rStyle w:val="FootnoteReference"/>
        </w:rPr>
        <w:footnoteRef/>
      </w:r>
      <w:r>
        <w:tab/>
        <w:t xml:space="preserve">Sodba Sodišča z dne 7. oktobra 2014, Nemčija/Svet, C-399/12, ECLI:EU:C:2014:2258, točka 64. </w:t>
      </w:r>
    </w:p>
  </w:footnote>
  <w:footnote w:id="3">
    <w:p w:rsidR="00B001A0" w:rsidRPr="00B035F8" w:rsidRDefault="00B001A0" w:rsidP="00B001A0">
      <w:pPr>
        <w:pStyle w:val="FootnoteText"/>
      </w:pPr>
      <w:r>
        <w:rPr>
          <w:rStyle w:val="FootnoteReference"/>
        </w:rPr>
        <w:footnoteRef/>
      </w:r>
      <w:r>
        <w:tab/>
        <w:t xml:space="preserve">Sodba Sodišča z dne 7. oktobra 2014, Nemčija/Svet, C-399/12, ECLI:EU:C:2014:2258, točke 61 do 64. </w:t>
      </w:r>
    </w:p>
  </w:footnote>
  <w:footnote w:id="4">
    <w:p w:rsidR="00B001A0" w:rsidRPr="00524F05" w:rsidRDefault="00B001A0" w:rsidP="00B001A0">
      <w:pPr>
        <w:pStyle w:val="FootnoteText"/>
      </w:pPr>
      <w:r>
        <w:rPr>
          <w:rStyle w:val="FootnoteReference"/>
        </w:rPr>
        <w:footnoteRef/>
      </w:r>
      <w:r>
        <w:tab/>
        <w:t xml:space="preserve">Uredba (EU) št. 996/2010 Evropskega parlamenta in Sveta z dne 20. oktobra 2010 o preiskavah in preprečevanju nesreč in incidentov v civilnem letalstvu ter razveljavitvi Direktive 94/56/ES (UL L 295, 12.11.2010, str. 35, ELI: </w:t>
      </w:r>
      <w:hyperlink r:id="rId2" w:tooltip="Povezava ELI na ta dokument" w:history="1">
        <w:r>
          <w:rPr>
            <w:rStyle w:val="Hyperlink"/>
          </w:rPr>
          <w:t>http://data.europa.eu/eli/reg/2010/996/oj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Default="00450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D9" w:rsidRDefault="0045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62A9D58"/>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F18C2CF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CACDEA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48CC5E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F00FD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6"/>
    <w:lvlOverride w:ilvl="0">
      <w:startOverride w:val="1"/>
    </w:lvlOverride>
  </w:num>
  <w:num w:numId="3">
    <w:abstractNumId w:val="4"/>
  </w:num>
  <w:num w:numId="4">
    <w:abstractNumId w:val="3"/>
  </w:num>
  <w:num w:numId="5">
    <w:abstractNumId w:val="2"/>
  </w:num>
  <w:num w:numId="6">
    <w:abstractNumId w:val="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8"/>
  </w:num>
  <w:num w:numId="11">
    <w:abstractNumId w:val="8"/>
  </w:num>
  <w:num w:numId="12">
    <w:abstractNumId w:val="10"/>
  </w:num>
  <w:num w:numId="13">
    <w:abstractNumId w:val="11"/>
  </w:num>
  <w:num w:numId="14">
    <w:abstractNumId w:val="6"/>
  </w:num>
  <w:num w:numId="15">
    <w:abstractNumId w:val="17"/>
  </w:num>
  <w:num w:numId="16">
    <w:abstractNumId w:val="5"/>
  </w:num>
  <w:num w:numId="17">
    <w:abstractNumId w:val="12"/>
  </w:num>
  <w:num w:numId="18">
    <w:abstractNumId w:val="14"/>
  </w:num>
  <w:num w:numId="19">
    <w:abstractNumId w:val="15"/>
  </w:num>
  <w:num w:numId="20">
    <w:abstractNumId w:val="7"/>
  </w:num>
  <w:num w:numId="21">
    <w:abstractNumId w:val="13"/>
  </w:num>
  <w:num w:numId="22">
    <w:abstractNumId w:val="19"/>
  </w:num>
  <w:num w:numId="23">
    <w:abstractNumId w:val="16"/>
  </w:num>
  <w:num w:numId="24">
    <w:abstractNumId w:val="9"/>
  </w:num>
  <w:num w:numId="25">
    <w:abstractNumId w:val="18"/>
  </w:num>
  <w:num w:numId="26">
    <w:abstractNumId w:val="8"/>
  </w:num>
  <w:num w:numId="27">
    <w:abstractNumId w:val="10"/>
  </w:num>
  <w:num w:numId="28">
    <w:abstractNumId w:val="11"/>
  </w:num>
  <w:num w:numId="29">
    <w:abstractNumId w:val="6"/>
  </w:num>
  <w:num w:numId="30">
    <w:abstractNumId w:val="17"/>
  </w:num>
  <w:num w:numId="31">
    <w:abstractNumId w:val="5"/>
  </w:num>
  <w:num w:numId="32">
    <w:abstractNumId w:val="12"/>
  </w:num>
  <w:num w:numId="33">
    <w:abstractNumId w:val="14"/>
  </w:num>
  <w:num w:numId="34">
    <w:abstractNumId w:val="15"/>
  </w:num>
  <w:num w:numId="35">
    <w:abstractNumId w:val="7"/>
  </w:num>
  <w:num w:numId="36">
    <w:abstractNumId w:val="13"/>
  </w:num>
  <w:num w:numId="3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1-30 09:07:2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CA37B40-4B94-4034-82F2-5EE5CAA9AE48"/>
    <w:docVar w:name="LW_COVERPAGE_TYPE" w:val="1"/>
    <w:docVar w:name="LW_CreatedUtc" w:val="2025-12-08T12:00:16.6210990Z"/>
    <w:docVar w:name="LW_CROSSREFERENCE" w:val="&lt;UNUSED&gt;"/>
    <w:docVar w:name="LW_DocType" w:val="COM"/>
    <w:docVar w:name="LW_EMISSION" w:val="30.1.2026"/>
    <w:docVar w:name="LW_EMISSION_ISODATE" w:val="2026-01-30"/>
    <w:docVar w:name="LW_EMISSION_LOCATION" w:val="BRX"/>
    <w:docVar w:name="LW_EMISSION_PREFIX" w:val="Bruselj,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028"/>
    <w:docVar w:name="LW_REF.II.NEW.CP_YEAR" w:val="2026"/>
    <w:docVar w:name="LW_REF.INST.NEW" w:val="COM"/>
    <w:docVar w:name="LW_REF.INST.NEW_ADOPTED" w:val="final"/>
    <w:docVar w:name="LW_REF.INST.NEW_TEXT" w:val="(2026) 4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tali\u353?\u269?u, ki se v imenu Evropske unije zastopa na 237. zasedanju Sveta Mednarodne organizacije civilnega letalstva (ICAO) v zvezi s predvideno spremembo Priloge 13 \u8211? &lt;FMT:Italic&gt;Preiskovanje letalskih nesre\u269? in incidentov&lt;/FMT&gt;"/>
    <w:docVar w:name="LW_TYPE.DOC.CP" w:val="SKLEP SVETA"/>
    <w:docVar w:name="LwApiVersions" w:val="LW4CoDe 1.24.5.0; LW 9.2, Build 20251112"/>
  </w:docVars>
  <w:rsids>
    <w:rsidRoot w:val="00B001A0"/>
    <w:rsid w:val="000471A3"/>
    <w:rsid w:val="00060387"/>
    <w:rsid w:val="000E6F6D"/>
    <w:rsid w:val="001065F5"/>
    <w:rsid w:val="001238EF"/>
    <w:rsid w:val="001928ED"/>
    <w:rsid w:val="00197613"/>
    <w:rsid w:val="001B3B0E"/>
    <w:rsid w:val="001E21EC"/>
    <w:rsid w:val="002223C3"/>
    <w:rsid w:val="00233DC7"/>
    <w:rsid w:val="00245498"/>
    <w:rsid w:val="00247779"/>
    <w:rsid w:val="002610B2"/>
    <w:rsid w:val="0028517F"/>
    <w:rsid w:val="00285BEE"/>
    <w:rsid w:val="0029533F"/>
    <w:rsid w:val="002A4AFE"/>
    <w:rsid w:val="002B30AF"/>
    <w:rsid w:val="002B617B"/>
    <w:rsid w:val="002E1585"/>
    <w:rsid w:val="002E5844"/>
    <w:rsid w:val="002F4BBE"/>
    <w:rsid w:val="00322AB0"/>
    <w:rsid w:val="00324597"/>
    <w:rsid w:val="0033344A"/>
    <w:rsid w:val="00385BAD"/>
    <w:rsid w:val="00397F2E"/>
    <w:rsid w:val="003C70AE"/>
    <w:rsid w:val="003E0E2A"/>
    <w:rsid w:val="003F7AB2"/>
    <w:rsid w:val="0040059C"/>
    <w:rsid w:val="0042648E"/>
    <w:rsid w:val="00450FD9"/>
    <w:rsid w:val="004936D2"/>
    <w:rsid w:val="004A449F"/>
    <w:rsid w:val="00501603"/>
    <w:rsid w:val="005268CF"/>
    <w:rsid w:val="00527162"/>
    <w:rsid w:val="00531F0A"/>
    <w:rsid w:val="005356FF"/>
    <w:rsid w:val="0054393F"/>
    <w:rsid w:val="00555EEA"/>
    <w:rsid w:val="0057549C"/>
    <w:rsid w:val="005B1EB6"/>
    <w:rsid w:val="005C0104"/>
    <w:rsid w:val="005C37D3"/>
    <w:rsid w:val="005D1F90"/>
    <w:rsid w:val="005E4240"/>
    <w:rsid w:val="005E51F3"/>
    <w:rsid w:val="00604DA4"/>
    <w:rsid w:val="00622A78"/>
    <w:rsid w:val="00625CF4"/>
    <w:rsid w:val="00650DD9"/>
    <w:rsid w:val="00656AF8"/>
    <w:rsid w:val="006B7567"/>
    <w:rsid w:val="007418DE"/>
    <w:rsid w:val="00742B8A"/>
    <w:rsid w:val="00753195"/>
    <w:rsid w:val="00773331"/>
    <w:rsid w:val="007932EF"/>
    <w:rsid w:val="007947CE"/>
    <w:rsid w:val="007D5075"/>
    <w:rsid w:val="007E05B0"/>
    <w:rsid w:val="007E3B78"/>
    <w:rsid w:val="007E7EED"/>
    <w:rsid w:val="007F6940"/>
    <w:rsid w:val="0083788E"/>
    <w:rsid w:val="00844D5E"/>
    <w:rsid w:val="00874D22"/>
    <w:rsid w:val="00886954"/>
    <w:rsid w:val="008A2914"/>
    <w:rsid w:val="008C51D1"/>
    <w:rsid w:val="008D6CBA"/>
    <w:rsid w:val="008E4D8E"/>
    <w:rsid w:val="008F30AC"/>
    <w:rsid w:val="009825BD"/>
    <w:rsid w:val="009F7055"/>
    <w:rsid w:val="00A25985"/>
    <w:rsid w:val="00AA1177"/>
    <w:rsid w:val="00AC11A9"/>
    <w:rsid w:val="00B001A0"/>
    <w:rsid w:val="00B10D9B"/>
    <w:rsid w:val="00B32D63"/>
    <w:rsid w:val="00B344AA"/>
    <w:rsid w:val="00B35BEF"/>
    <w:rsid w:val="00B40CDB"/>
    <w:rsid w:val="00BB7520"/>
    <w:rsid w:val="00BC3397"/>
    <w:rsid w:val="00BF194D"/>
    <w:rsid w:val="00BF6F3D"/>
    <w:rsid w:val="00C12301"/>
    <w:rsid w:val="00C22FAA"/>
    <w:rsid w:val="00C330C2"/>
    <w:rsid w:val="00CB0C4C"/>
    <w:rsid w:val="00CC3218"/>
    <w:rsid w:val="00CD0C45"/>
    <w:rsid w:val="00CE5287"/>
    <w:rsid w:val="00D00ABA"/>
    <w:rsid w:val="00D0767A"/>
    <w:rsid w:val="00D20381"/>
    <w:rsid w:val="00D32EBD"/>
    <w:rsid w:val="00D35E46"/>
    <w:rsid w:val="00D77125"/>
    <w:rsid w:val="00D82740"/>
    <w:rsid w:val="00DE3727"/>
    <w:rsid w:val="00E32103"/>
    <w:rsid w:val="00E35328"/>
    <w:rsid w:val="00E664ED"/>
    <w:rsid w:val="00E87A83"/>
    <w:rsid w:val="00EA2BA1"/>
    <w:rsid w:val="00EE6DFA"/>
    <w:rsid w:val="00F07B8B"/>
    <w:rsid w:val="00F2485B"/>
    <w:rsid w:val="00F65BFD"/>
    <w:rsid w:val="00F77A00"/>
    <w:rsid w:val="00F90194"/>
    <w:rsid w:val="00F95895"/>
    <w:rsid w:val="00FA046A"/>
    <w:rsid w:val="00FA075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E15EC4A-1021-441D-8661-14F7DF93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rsid w:val="00B001A0"/>
    <w:pPr>
      <w:numPr>
        <w:numId w:val="1"/>
      </w:numPr>
      <w:contextualSpacing/>
    </w:pPr>
  </w:style>
  <w:style w:type="character" w:styleId="CommentReference">
    <w:name w:val="annotation reference"/>
    <w:basedOn w:val="DefaultParagraphFont"/>
    <w:uiPriority w:val="99"/>
    <w:semiHidden/>
    <w:unhideWhenUsed/>
    <w:rsid w:val="00604DA4"/>
    <w:rPr>
      <w:sz w:val="16"/>
      <w:szCs w:val="16"/>
    </w:rPr>
  </w:style>
  <w:style w:type="paragraph" w:styleId="CommentText">
    <w:name w:val="annotation text"/>
    <w:basedOn w:val="Normal"/>
    <w:link w:val="CommentTextChar"/>
    <w:uiPriority w:val="99"/>
    <w:unhideWhenUsed/>
    <w:rsid w:val="00604DA4"/>
    <w:rPr>
      <w:sz w:val="20"/>
      <w:szCs w:val="20"/>
    </w:rPr>
  </w:style>
  <w:style w:type="character" w:customStyle="1" w:styleId="CommentTextChar">
    <w:name w:val="Comment Text Char"/>
    <w:basedOn w:val="DefaultParagraphFont"/>
    <w:link w:val="CommentText"/>
    <w:uiPriority w:val="99"/>
    <w:rsid w:val="00604DA4"/>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604DA4"/>
    <w:rPr>
      <w:b/>
      <w:bCs/>
    </w:rPr>
  </w:style>
  <w:style w:type="character" w:customStyle="1" w:styleId="CommentSubjectChar">
    <w:name w:val="Comment Subject Char"/>
    <w:basedOn w:val="CommentTextChar"/>
    <w:link w:val="CommentSubject"/>
    <w:uiPriority w:val="99"/>
    <w:semiHidden/>
    <w:rsid w:val="00604DA4"/>
    <w:rPr>
      <w:rFonts w:ascii="Times New Roman" w:hAnsi="Times New Roman" w:cs="Times New Roman"/>
      <w:b/>
      <w:bCs/>
      <w:sz w:val="20"/>
      <w:szCs w:val="20"/>
      <w:lang w:val="sl-SI"/>
    </w:rPr>
  </w:style>
  <w:style w:type="paragraph" w:styleId="Revision">
    <w:name w:val="Revision"/>
    <w:hidden/>
    <w:uiPriority w:val="99"/>
    <w:semiHidden/>
    <w:rsid w:val="00604DA4"/>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CB0C4C"/>
    <w:pPr>
      <w:numPr>
        <w:numId w:val="3"/>
      </w:numPr>
      <w:contextualSpacing/>
    </w:pPr>
  </w:style>
  <w:style w:type="paragraph" w:styleId="ListBullet2">
    <w:name w:val="List Bullet 2"/>
    <w:basedOn w:val="Normal"/>
    <w:uiPriority w:val="99"/>
    <w:semiHidden/>
    <w:unhideWhenUsed/>
    <w:rsid w:val="00CB0C4C"/>
    <w:pPr>
      <w:numPr>
        <w:numId w:val="4"/>
      </w:numPr>
      <w:contextualSpacing/>
    </w:pPr>
  </w:style>
  <w:style w:type="paragraph" w:styleId="ListBullet3">
    <w:name w:val="List Bullet 3"/>
    <w:basedOn w:val="Normal"/>
    <w:uiPriority w:val="99"/>
    <w:semiHidden/>
    <w:unhideWhenUsed/>
    <w:rsid w:val="00CB0C4C"/>
    <w:pPr>
      <w:numPr>
        <w:numId w:val="5"/>
      </w:numPr>
      <w:contextualSpacing/>
    </w:pPr>
  </w:style>
  <w:style w:type="paragraph" w:styleId="ListBullet4">
    <w:name w:val="List Bullet 4"/>
    <w:basedOn w:val="Normal"/>
    <w:uiPriority w:val="99"/>
    <w:semiHidden/>
    <w:unhideWhenUsed/>
    <w:rsid w:val="00CB0C4C"/>
    <w:pPr>
      <w:numPr>
        <w:numId w:val="6"/>
      </w:numPr>
      <w:contextualSpacing/>
    </w:pPr>
  </w:style>
  <w:style w:type="character" w:styleId="Hyperlink">
    <w:name w:val="Hyperlink"/>
    <w:basedOn w:val="DefaultParagraphFont"/>
    <w:uiPriority w:val="99"/>
    <w:unhideWhenUsed/>
    <w:rsid w:val="00B344AA"/>
    <w:rPr>
      <w:color w:val="0000FF" w:themeColor="hyperlink"/>
      <w:u w:val="single"/>
    </w:rPr>
  </w:style>
  <w:style w:type="character" w:customStyle="1" w:styleId="UnresolvedMention">
    <w:name w:val="Unresolved Mention"/>
    <w:basedOn w:val="DefaultParagraphFont"/>
    <w:uiPriority w:val="99"/>
    <w:semiHidden/>
    <w:unhideWhenUsed/>
    <w:rsid w:val="00B344AA"/>
    <w:rPr>
      <w:color w:val="605E5C"/>
      <w:shd w:val="clear" w:color="auto" w:fill="E1DFDD"/>
    </w:rPr>
  </w:style>
  <w:style w:type="character" w:customStyle="1" w:styleId="HeaderChar">
    <w:name w:val="Header Char"/>
    <w:basedOn w:val="DefaultParagraphFont"/>
    <w:link w:val="Header"/>
    <w:uiPriority w:val="99"/>
    <w:rsid w:val="00450FD9"/>
    <w:rPr>
      <w:rFonts w:ascii="Times New Roman" w:hAnsi="Times New Roman" w:cs="Times New Roman"/>
      <w:sz w:val="24"/>
      <w:lang w:val="sl-SI"/>
    </w:rPr>
  </w:style>
  <w:style w:type="character" w:customStyle="1" w:styleId="FooterChar">
    <w:name w:val="Footer Char"/>
    <w:basedOn w:val="DefaultParagraphFont"/>
    <w:link w:val="Footer"/>
    <w:uiPriority w:val="99"/>
    <w:rsid w:val="00450FD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50FD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50FD9"/>
    <w:pPr>
      <w:spacing w:before="0"/>
      <w:jc w:val="right"/>
    </w:pPr>
    <w:rPr>
      <w:sz w:val="28"/>
    </w:rPr>
  </w:style>
  <w:style w:type="paragraph" w:customStyle="1" w:styleId="FooterSensitivity">
    <w:name w:val="Footer Sensitivity"/>
    <w:basedOn w:val="Normal"/>
    <w:rsid w:val="00450FD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450FD9"/>
    <w:pPr>
      <w:tabs>
        <w:tab w:val="center" w:pos="4535"/>
        <w:tab w:val="right" w:pos="9071"/>
      </w:tabs>
      <w:spacing w:before="0"/>
    </w:pPr>
  </w:style>
  <w:style w:type="paragraph" w:customStyle="1" w:styleId="HeaderLandscape">
    <w:name w:val="HeaderLandscape"/>
    <w:basedOn w:val="Normal"/>
    <w:rsid w:val="00450FD9"/>
    <w:pPr>
      <w:tabs>
        <w:tab w:val="center" w:pos="7285"/>
        <w:tab w:val="right" w:pos="14003"/>
      </w:tabs>
      <w:spacing w:before="0"/>
    </w:pPr>
  </w:style>
  <w:style w:type="paragraph" w:styleId="Footer">
    <w:name w:val="footer"/>
    <w:basedOn w:val="Normal"/>
    <w:link w:val="FooterChar"/>
    <w:uiPriority w:val="99"/>
    <w:unhideWhenUsed/>
    <w:rsid w:val="00450FD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50FD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59694">
      <w:bodyDiv w:val="1"/>
      <w:marLeft w:val="0"/>
      <w:marRight w:val="0"/>
      <w:marTop w:val="0"/>
      <w:marBottom w:val="0"/>
      <w:divBdr>
        <w:top w:val="none" w:sz="0" w:space="0" w:color="auto"/>
        <w:left w:val="none" w:sz="0" w:space="0" w:color="auto"/>
        <w:bottom w:val="none" w:sz="0" w:space="0" w:color="auto"/>
        <w:right w:val="none" w:sz="0" w:space="0" w:color="auto"/>
      </w:divBdr>
    </w:div>
    <w:div w:id="877670853">
      <w:bodyDiv w:val="1"/>
      <w:marLeft w:val="0"/>
      <w:marRight w:val="0"/>
      <w:marTop w:val="0"/>
      <w:marBottom w:val="0"/>
      <w:divBdr>
        <w:top w:val="none" w:sz="0" w:space="0" w:color="auto"/>
        <w:left w:val="none" w:sz="0" w:space="0" w:color="auto"/>
        <w:bottom w:val="none" w:sz="0" w:space="0" w:color="auto"/>
        <w:right w:val="none" w:sz="0" w:space="0" w:color="auto"/>
      </w:divBdr>
    </w:div>
    <w:div w:id="909198286">
      <w:bodyDiv w:val="1"/>
      <w:marLeft w:val="0"/>
      <w:marRight w:val="0"/>
      <w:marTop w:val="0"/>
      <w:marBottom w:val="0"/>
      <w:divBdr>
        <w:top w:val="none" w:sz="0" w:space="0" w:color="auto"/>
        <w:left w:val="none" w:sz="0" w:space="0" w:color="auto"/>
        <w:bottom w:val="none" w:sz="0" w:space="0" w:color="auto"/>
        <w:right w:val="none" w:sz="0" w:space="0" w:color="auto"/>
      </w:divBdr>
    </w:div>
    <w:div w:id="18022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10/996/oj" TargetMode="External"/><Relationship Id="rId1" Type="http://schemas.openxmlformats.org/officeDocument/2006/relationships/hyperlink" Target="http://data.europa.eu/eli/reg/2010/99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6</TotalTime>
  <Pages>9</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dcterms:created xsi:type="dcterms:W3CDTF">2026-01-20T12:12:00Z</dcterms:created>
  <dcterms:modified xsi:type="dcterms:W3CDTF">2026-01-30T08:07:00Z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2025-12-08T12:01:39Z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a30a1e00-c21e-46e9-ab44-301073858cff</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ies>
</file>