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FD5C" w14:textId="2F6E1329" w:rsidR="003759FF" w:rsidRDefault="00521429" w:rsidP="00521429">
      <w:pPr>
        <w:pStyle w:val="Pagedecouverture"/>
        <w:rPr>
          <w:noProof/>
        </w:rPr>
      </w:pPr>
      <w:bookmarkStart w:id="0" w:name="LW_BM_COVERPAGE"/>
      <w:r>
        <w:rPr>
          <w:noProof/>
        </w:rPr>
        <w:pict w14:anchorId="17ED0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69467430-E304-4E8B-8965-39661078BE6F" style="width:455.25pt;height:286.5pt">
            <v:imagedata r:id="rId11" o:title=""/>
          </v:shape>
        </w:pict>
      </w:r>
    </w:p>
    <w:bookmarkEnd w:id="0"/>
    <w:p w14:paraId="19770EB2" w14:textId="77777777" w:rsidR="00132AE2" w:rsidRDefault="00132AE2" w:rsidP="00132AE2">
      <w:pPr>
        <w:rPr>
          <w:noProof/>
        </w:rPr>
        <w:sectPr w:rsidR="00132AE2" w:rsidSect="0052142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62095E8E" w14:textId="03B389CF" w:rsidR="003707C5" w:rsidRPr="00E4479F" w:rsidRDefault="003707C5" w:rsidP="1EF30FC0">
      <w:pPr>
        <w:pBdr>
          <w:top w:val="single" w:sz="4" w:space="1" w:color="auto"/>
          <w:left w:val="single" w:sz="4" w:space="4" w:color="auto"/>
          <w:bottom w:val="single" w:sz="4" w:space="1" w:color="auto"/>
          <w:right w:val="single" w:sz="4" w:space="4" w:color="auto"/>
        </w:pBdr>
        <w:spacing w:after="200" w:line="276" w:lineRule="auto"/>
        <w:jc w:val="both"/>
        <w:rPr>
          <w:rFonts w:cs="Times New Roman"/>
          <w:b/>
          <w:bCs/>
          <w:smallCaps/>
          <w:noProof/>
          <w:szCs w:val="24"/>
        </w:rPr>
      </w:pPr>
      <w:bookmarkStart w:id="1" w:name="_GoBack"/>
      <w:bookmarkEnd w:id="1"/>
      <w:r>
        <w:rPr>
          <w:i/>
          <w:noProof/>
        </w:rPr>
        <w:lastRenderedPageBreak/>
        <w:t xml:space="preserve">Plan Europske unije (EU) za kardiovaskularno zdravlje (Plan za zdravlje srca) strateški je odgovor na glavni zdravstveni izazov u EU-u. Njegov je cilj ostvariti konkretne koristi za građane, zdravstvene sustave i društvo usmjerenim ambicioznim i visokoučinkovitim mjerama. Plan za zdravlje srca temelji se na tri stupa, </w:t>
      </w:r>
      <w:r>
        <w:rPr>
          <w:b/>
          <w:i/>
          <w:noProof/>
        </w:rPr>
        <w:t>prevenciji, ranom otkrivanju i probiru te liječenju i skrbi (uključujući rehabilitaciju)</w:t>
      </w:r>
      <w:r>
        <w:rPr>
          <w:i/>
          <w:noProof/>
        </w:rPr>
        <w:t xml:space="preserve">, a njegovu ostvarenju doprinose tri međusektorske teme, </w:t>
      </w:r>
      <w:r>
        <w:rPr>
          <w:b/>
          <w:i/>
          <w:noProof/>
        </w:rPr>
        <w:t>digitalne inovacije, istraživanje i znanje te smanjenje nejednakosti</w:t>
      </w:r>
      <w:r>
        <w:rPr>
          <w:i/>
          <w:noProof/>
        </w:rPr>
        <w:t>. Njime se nastoji ojačati nacionalne politike uz istodobno stvaranje jasne dodane vrijednosti EU-a.</w:t>
      </w:r>
    </w:p>
    <w:p w14:paraId="00800DBA" w14:textId="31A2E2C5" w:rsidR="00DE54C7" w:rsidRPr="000E1D82" w:rsidRDefault="00DE54C7" w:rsidP="003E1314">
      <w:pPr>
        <w:pStyle w:val="Heading1"/>
        <w:numPr>
          <w:ilvl w:val="0"/>
          <w:numId w:val="127"/>
        </w:numPr>
        <w:spacing w:before="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 xml:space="preserve">Poboljšanje kardiovaskularnog zdravlja u EU-u: predstojeći izazovi </w:t>
      </w:r>
    </w:p>
    <w:p w14:paraId="4B9B429B" w14:textId="77777777" w:rsidR="00DE54C7" w:rsidRPr="000E1D82" w:rsidRDefault="00DE54C7" w:rsidP="00DE54C7">
      <w:pPr>
        <w:jc w:val="both"/>
        <w:rPr>
          <w:rStyle w:val="Strong"/>
          <w:rFonts w:cs="Times New Roman"/>
          <w:noProof/>
        </w:rPr>
      </w:pPr>
      <w:r>
        <w:rPr>
          <w:rStyle w:val="Strong"/>
          <w:noProof/>
        </w:rPr>
        <w:t xml:space="preserve">Uvod </w:t>
      </w:r>
    </w:p>
    <w:p w14:paraId="1E570A54" w14:textId="4760F0F8" w:rsidR="00DE54C7" w:rsidRPr="000E1D82" w:rsidRDefault="00DE54C7" w:rsidP="00DE54C7">
      <w:pPr>
        <w:spacing w:after="200" w:line="276" w:lineRule="auto"/>
        <w:jc w:val="both"/>
        <w:rPr>
          <w:rFonts w:eastAsia="Times New Roman" w:cs="Times New Roman"/>
          <w:noProof/>
        </w:rPr>
      </w:pPr>
      <w:bookmarkStart w:id="2" w:name="_Hlk210546557"/>
      <w:bookmarkEnd w:id="2"/>
      <w:r>
        <w:rPr>
          <w:rStyle w:val="Strong"/>
          <w:b w:val="0"/>
          <w:noProof/>
        </w:rPr>
        <w:t xml:space="preserve">Unatoč napretku u prevenciji i upravljanju kardiovaskularnim bolestima, one su i dalje </w:t>
      </w:r>
      <w:r>
        <w:rPr>
          <w:rStyle w:val="Strong"/>
          <w:noProof/>
        </w:rPr>
        <w:t>najveći izazov u području javnog zdravlja u EU-u</w:t>
      </w:r>
      <w:r>
        <w:rPr>
          <w:rStyle w:val="FootnoteReference"/>
          <w:rFonts w:cs="Times New Roman"/>
          <w:noProof/>
        </w:rPr>
        <w:footnoteReference w:id="2"/>
      </w:r>
      <w:r>
        <w:rPr>
          <w:rStyle w:val="Strong"/>
          <w:b w:val="0"/>
          <w:noProof/>
        </w:rPr>
        <w:t xml:space="preserve">. Glavni </w:t>
      </w:r>
      <w:r>
        <w:rPr>
          <w:noProof/>
        </w:rPr>
        <w:t>su uzrok smrti i invaliditeta u EU-u – svake godine odnose 1,7 milijuna života</w:t>
      </w:r>
      <w:r>
        <w:rPr>
          <w:rStyle w:val="FootnoteReference"/>
          <w:rFonts w:cs="Times New Roman"/>
          <w:noProof/>
          <w:lang w:eastAsia="en-IE"/>
        </w:rPr>
        <w:footnoteReference w:id="3"/>
      </w:r>
      <w:r>
        <w:rPr>
          <w:noProof/>
        </w:rPr>
        <w:t xml:space="preserve"> i pogađaju oko </w:t>
      </w:r>
      <w:r>
        <w:rPr>
          <w:b/>
          <w:noProof/>
        </w:rPr>
        <w:t>62 milijuna ljudi</w:t>
      </w:r>
      <w:r>
        <w:rPr>
          <w:noProof/>
        </w:rPr>
        <w:t xml:space="preserve"> na mnoge načine, koji nadilaze isključivo fizičke simptome. Gospodarski troškovi povezani s njima premašuju </w:t>
      </w:r>
      <w:r>
        <w:rPr>
          <w:b/>
          <w:noProof/>
        </w:rPr>
        <w:t>282 milijarde EUR godišnje</w:t>
      </w:r>
      <w:r>
        <w:rPr>
          <w:noProof/>
        </w:rPr>
        <w:t>, što uključuje gubitak produktivnosti u vrijednosti od 47 milijardi EUR</w:t>
      </w:r>
      <w:r>
        <w:rPr>
          <w:rStyle w:val="FootnoteReference"/>
          <w:rFonts w:cs="Times New Roman"/>
          <w:noProof/>
          <w:lang w:eastAsia="en-IE"/>
        </w:rPr>
        <w:footnoteReference w:id="4"/>
      </w:r>
      <w:r>
        <w:rPr>
          <w:noProof/>
        </w:rPr>
        <w:t>.</w:t>
      </w:r>
    </w:p>
    <w:p w14:paraId="0C340B8A" w14:textId="351873D5" w:rsidR="00DE54C7" w:rsidRPr="000E1D82" w:rsidRDefault="00DE54C7" w:rsidP="00DE54C7">
      <w:pPr>
        <w:spacing w:after="200" w:line="276" w:lineRule="auto"/>
        <w:jc w:val="both"/>
        <w:rPr>
          <w:rFonts w:cs="Times New Roman"/>
          <w:noProof/>
        </w:rPr>
      </w:pPr>
      <w:r>
        <w:rPr>
          <w:noProof/>
        </w:rPr>
        <w:t>Osim tog znatnog društvenog i gospodarskog opterećenja, prisutne su i izražene zemljopisne, rodne i socioekonomske nejednakosti te nejednakosti povezane s invaliditetom, što dodatno naglašava potrebu za odlučnom intervencijom na razini EU-a i nacionalnoj razini za dobrobit sadašnjih i budućih generacija. Stope smrtnosti od kardiovaskularnih bolesti gotovo su 6,3 puta više u nekim državama članicama nego u drugima</w:t>
      </w:r>
      <w:r>
        <w:rPr>
          <w:rStyle w:val="FootnoteReference"/>
          <w:rFonts w:cs="Times New Roman"/>
          <w:noProof/>
          <w:lang w:eastAsia="en-IE"/>
        </w:rPr>
        <w:footnoteReference w:id="5"/>
      </w:r>
      <w:r>
        <w:rPr>
          <w:noProof/>
        </w:rPr>
        <w:t xml:space="preserve">. Unutar samih država članica prevalencija kardiovaskularnih bolesti i s njima povezana smrtnost veće su u skupinama stanovništva s nižim prihodima i razinom obrazovanja. Kardiovaskularne bolesti često se javljaju zajedno s medicinskim stanjima kao što su dijabetes i pretilost, što znatno utječe na kvalitetu života građana. Potrebno je objediniti resurse, znanja i iskustvo te u najvećoj mogućoj mjeri iskoristiti sinergije i ekonomije razmjera na razini EU-a. </w:t>
      </w:r>
    </w:p>
    <w:p w14:paraId="4FB27540" w14:textId="043AF112" w:rsidR="002C491A" w:rsidRDefault="00DE54C7" w:rsidP="00DE54C7">
      <w:pPr>
        <w:spacing w:after="200" w:line="276" w:lineRule="auto"/>
        <w:jc w:val="both"/>
        <w:rPr>
          <w:rFonts w:cs="Times New Roman"/>
          <w:noProof/>
        </w:rPr>
      </w:pPr>
      <w:r>
        <w:rPr>
          <w:noProof/>
        </w:rPr>
        <w:t>Bez odlučnog i koordiniranog djelovanja EU-a teret kardiovaskularnih bolesti nastavit će se povećavati te će ugrožavati zdravlje i dobrobit budućih generacija, opterećivati zdravstvene sustave i smanjivati gospodarsku otpornost EU-a. U razdoblju od 2025. do 2050. predviđa se porast prevalencije kardiovaskularnih bolesti za 90 % i očekuje se povećanje smrtnosti za 73,4 % na procijenjenih 35,6 milijuna smrtnih slučajeva u 2050. (u odnosu na 20,5 milijuna u 2025.)</w:t>
      </w:r>
      <w:r>
        <w:rPr>
          <w:rStyle w:val="FootnoteReference"/>
          <w:rFonts w:cs="Times New Roman"/>
          <w:noProof/>
          <w:lang w:eastAsia="en-IE"/>
        </w:rPr>
        <w:footnoteReference w:id="6"/>
      </w:r>
      <w:r>
        <w:rPr>
          <w:noProof/>
        </w:rPr>
        <w:t>. Očekuje se da će ishemijska bolest srca</w:t>
      </w:r>
      <w:r>
        <w:rPr>
          <w:rStyle w:val="FootnoteReference"/>
          <w:rFonts w:cs="Times New Roman"/>
          <w:noProof/>
          <w:lang w:eastAsia="en-IE"/>
        </w:rPr>
        <w:footnoteReference w:id="7"/>
      </w:r>
      <w:r>
        <w:rPr>
          <w:noProof/>
        </w:rPr>
        <w:t xml:space="preserve"> i dalje ostati glavni uzrok smrti od kardiovaskularnih bolesti, dok će visok krvni tlak ostati glavni čimbenik rizika. </w:t>
      </w:r>
    </w:p>
    <w:p w14:paraId="22218146" w14:textId="124E858D" w:rsidR="00DE54C7" w:rsidRPr="000E1D82" w:rsidRDefault="00DE54C7" w:rsidP="00DE54C7">
      <w:pPr>
        <w:spacing w:after="200" w:line="276" w:lineRule="auto"/>
        <w:jc w:val="both"/>
        <w:rPr>
          <w:noProof/>
        </w:rPr>
      </w:pPr>
      <w:r>
        <w:rPr>
          <w:b/>
          <w:noProof/>
        </w:rPr>
        <w:t>Plan za zdravlje srca</w:t>
      </w:r>
      <w:r>
        <w:rPr>
          <w:noProof/>
        </w:rPr>
        <w:t xml:space="preserve"> izravan je odgovor na zahtjeve država članica</w:t>
      </w:r>
      <w:r>
        <w:rPr>
          <w:rFonts w:cs="Times New Roman"/>
          <w:noProof/>
          <w:vertAlign w:val="superscript"/>
          <w:lang w:eastAsia="en-IE"/>
        </w:rPr>
        <w:footnoteReference w:id="8"/>
      </w:r>
      <w:r>
        <w:rPr>
          <w:noProof/>
        </w:rPr>
        <w:t xml:space="preserve"> i Europskog parlamenta</w:t>
      </w:r>
      <w:r>
        <w:rPr>
          <w:rFonts w:cs="Times New Roman"/>
          <w:noProof/>
          <w:vertAlign w:val="superscript"/>
          <w:lang w:eastAsia="en-IE"/>
        </w:rPr>
        <w:footnoteReference w:id="9"/>
      </w:r>
      <w:r>
        <w:rPr>
          <w:noProof/>
        </w:rPr>
        <w:t xml:space="preserve"> za snažnijim djelovanjem na razini EU-a, a temelji se na doprinosima prikupljenima u okviru raznih savjetodavnih aktivnosti</w:t>
      </w:r>
      <w:r>
        <w:rPr>
          <w:rStyle w:val="FootnoteReference"/>
          <w:rFonts w:cs="Times New Roman"/>
          <w:noProof/>
          <w:lang w:eastAsia="en-IE"/>
        </w:rPr>
        <w:footnoteReference w:id="10"/>
      </w:r>
      <w:r>
        <w:rPr>
          <w:noProof/>
        </w:rPr>
        <w:t>.</w:t>
      </w:r>
      <w:r>
        <w:rPr>
          <w:rFonts w:asciiTheme="minorHAnsi" w:hAnsiTheme="minorHAnsi"/>
          <w:noProof/>
        </w:rPr>
        <w:t xml:space="preserve"> </w:t>
      </w:r>
      <w:r>
        <w:rPr>
          <w:noProof/>
        </w:rPr>
        <w:t xml:space="preserve">Obuhvaća ciljane djelotvorne mjere s dokazanom dodanom vrijednošću EU-a za građane, vlade i dionike kako bi se državama članicama pružila potpora u suočavanju s jednim od najvećih zajedničkih zdravstvenih izazova. </w:t>
      </w:r>
    </w:p>
    <w:p w14:paraId="7A692CEC" w14:textId="54BFC864" w:rsidR="00DE54C7" w:rsidRPr="000E1D82" w:rsidRDefault="00DE54C7" w:rsidP="00DE54C7">
      <w:pPr>
        <w:spacing w:after="200" w:line="276" w:lineRule="auto"/>
        <w:jc w:val="both"/>
        <w:rPr>
          <w:noProof/>
        </w:rPr>
      </w:pPr>
      <w:r>
        <w:rPr>
          <w:noProof/>
        </w:rPr>
        <w:t>Plan za zdravlje srca dio je Europske zdravstvene unije</w:t>
      </w:r>
      <w:r>
        <w:rPr>
          <w:rStyle w:val="FootnoteReference"/>
          <w:noProof/>
        </w:rPr>
        <w:footnoteReference w:id="11"/>
      </w:r>
      <w:r>
        <w:rPr>
          <w:noProof/>
        </w:rPr>
        <w:t>, stoga iskorištava sinergije sa strateškim inicijativama i temelji se na mjerama povezanima s nezaraznim bolestima, uključujući inicijativu „Zdravije zajedno” za nezarazne bolesti</w:t>
      </w:r>
      <w:r>
        <w:rPr>
          <w:rStyle w:val="FootnoteReference"/>
          <w:noProof/>
        </w:rPr>
        <w:footnoteReference w:id="12"/>
      </w:r>
      <w:r>
        <w:rPr>
          <w:noProof/>
        </w:rPr>
        <w:t>, Europski plan za borbu protiv raka</w:t>
      </w:r>
      <w:r>
        <w:rPr>
          <w:rStyle w:val="FootnoteReference"/>
          <w:noProof/>
        </w:rPr>
        <w:footnoteReference w:id="13"/>
      </w:r>
      <w:r>
        <w:rPr>
          <w:noProof/>
        </w:rPr>
        <w:t>, Misiju EU-a za borbu protiv raka</w:t>
      </w:r>
      <w:r>
        <w:rPr>
          <w:rStyle w:val="FootnoteReference"/>
          <w:noProof/>
        </w:rPr>
        <w:footnoteReference w:id="14"/>
      </w:r>
      <w:r>
        <w:rPr>
          <w:noProof/>
        </w:rPr>
        <w:t>, sveobuhvatan pristup mentalnom zdravlju</w:t>
      </w:r>
      <w:r>
        <w:rPr>
          <w:rStyle w:val="FootnoteReference"/>
          <w:noProof/>
        </w:rPr>
        <w:footnoteReference w:id="15"/>
      </w:r>
      <w:r>
        <w:rPr>
          <w:noProof/>
        </w:rPr>
        <w:t>, akcijski plan za postizanje nulte stope onečišćenja</w:t>
      </w:r>
      <w:r>
        <w:rPr>
          <w:noProof/>
          <w:vertAlign w:val="superscript"/>
        </w:rPr>
        <w:footnoteReference w:id="16"/>
      </w:r>
      <w:r>
        <w:rPr>
          <w:noProof/>
        </w:rPr>
        <w:t xml:space="preserve"> i Strategiju za europske biološke znanosti</w:t>
      </w:r>
      <w:r>
        <w:rPr>
          <w:rStyle w:val="FootnoteReference"/>
          <w:noProof/>
        </w:rPr>
        <w:footnoteReference w:id="17"/>
      </w:r>
      <w:r>
        <w:rPr>
          <w:noProof/>
        </w:rPr>
        <w:t>, kao i na zakonodavnim okvirima za europski prostor za zdravstvene podatke</w:t>
      </w:r>
      <w:r>
        <w:rPr>
          <w:rStyle w:val="FootnoteReference"/>
          <w:noProof/>
        </w:rPr>
        <w:footnoteReference w:id="18"/>
      </w:r>
      <w:r>
        <w:rPr>
          <w:noProof/>
        </w:rPr>
        <w:t xml:space="preserve"> i tvari ljudskog podrijetla</w:t>
      </w:r>
      <w:r>
        <w:rPr>
          <w:rStyle w:val="FootnoteReference"/>
          <w:noProof/>
        </w:rPr>
        <w:footnoteReference w:id="19"/>
      </w:r>
      <w:r>
        <w:rPr>
          <w:noProof/>
        </w:rPr>
        <w:t>, predloženoj reviziji zakonodavstva o lijekovima i medicinskim proizvodima, predloženom Aktu o kritičnim lijekovima te Prijedlogu europskog akta o biotehnologiji</w:t>
      </w:r>
      <w:r>
        <w:rPr>
          <w:noProof/>
          <w:vertAlign w:val="superscript"/>
        </w:rPr>
        <w:footnoteReference w:id="20"/>
      </w:r>
      <w:r>
        <w:rPr>
          <w:noProof/>
        </w:rPr>
        <w:t>. Temelji se i na kontinuiranoj potpori EU-a državama članicama</w:t>
      </w:r>
      <w:r>
        <w:rPr>
          <w:noProof/>
          <w:vertAlign w:val="superscript"/>
        </w:rPr>
        <w:footnoteReference w:id="21"/>
      </w:r>
      <w:r>
        <w:rPr>
          <w:noProof/>
        </w:rPr>
        <w:t xml:space="preserve"> i dionicima za poboljšanje kardiovaskularnog zdravlja te pojačava tu potporu. </w:t>
      </w:r>
    </w:p>
    <w:p w14:paraId="2FED596A" w14:textId="1D7C9C4A" w:rsidR="00DE54C7" w:rsidRPr="000E1D82" w:rsidRDefault="4EB03D1C" w:rsidP="00DE54C7">
      <w:pPr>
        <w:spacing w:after="200" w:line="276" w:lineRule="auto"/>
        <w:jc w:val="both"/>
        <w:rPr>
          <w:noProof/>
        </w:rPr>
      </w:pPr>
      <w:r>
        <w:rPr>
          <w:noProof/>
        </w:rPr>
        <w:t xml:space="preserve">Plan za zdravlje srca doprinijet će napretku država članica u ostvarivanju cilja održivog razvoja 3.4. (smanjenje preuranjene smrtnosti od kardiovaskularnih bolesti, dijabetesa i drugih ključnih nezaraznih bolesti prevencijom i liječenjem za trećinu do 2030.). </w:t>
      </w:r>
    </w:p>
    <w:p w14:paraId="2EACB698" w14:textId="0936B3AC" w:rsidR="6B1A555A" w:rsidRPr="00E4479F" w:rsidRDefault="6B1A555A" w:rsidP="00E4479F">
      <w:pPr>
        <w:spacing w:after="200" w:line="276" w:lineRule="auto"/>
        <w:jc w:val="both"/>
        <w:rPr>
          <w:rFonts w:eastAsia="Times New Roman" w:cs="Times New Roman"/>
          <w:noProof/>
          <w:szCs w:val="24"/>
        </w:rPr>
      </w:pPr>
      <w:r>
        <w:rPr>
          <w:noProof/>
        </w:rPr>
        <w:t xml:space="preserve">Plan za zdravlje srca potkrijepljen je dokazima iz nedavno objavljenog izvješća </w:t>
      </w:r>
      <w:r>
        <w:rPr>
          <w:i/>
          <w:iCs/>
          <w:noProof/>
        </w:rPr>
        <w:t>The State of Cardiovascular Health in the EU</w:t>
      </w:r>
      <w:r>
        <w:rPr>
          <w:rStyle w:val="FootnoteReference"/>
          <w:rFonts w:eastAsia="Times New Roman" w:cs="Times New Roman"/>
          <w:noProof/>
          <w:szCs w:val="24"/>
        </w:rPr>
        <w:footnoteReference w:id="22"/>
      </w:r>
      <w:r>
        <w:rPr>
          <w:noProof/>
        </w:rPr>
        <w:t>. To izvješće OECD-a sufinancirano je sredstvima iz programa „EU za zdravlje”</w:t>
      </w:r>
      <w:r>
        <w:rPr>
          <w:rStyle w:val="FootnoteReference"/>
          <w:rFonts w:cs="Times New Roman"/>
          <w:noProof/>
          <w:lang w:eastAsia="en-IE"/>
        </w:rPr>
        <w:footnoteReference w:id="23"/>
      </w:r>
      <w:r>
        <w:rPr>
          <w:noProof/>
        </w:rPr>
        <w:t xml:space="preserve"> i temelji se na dugogodišnjoj suradnji OECD-a i Komisije u praćenju i poboljšavanju zdravlja stanovništva, među ostalim u okviru inicijative „Stanje zdravlja u EU-u”</w:t>
      </w:r>
      <w:r>
        <w:rPr>
          <w:rStyle w:val="FootnoteReference"/>
          <w:rFonts w:eastAsia="Times New Roman" w:cs="Times New Roman"/>
          <w:noProof/>
          <w:szCs w:val="24"/>
        </w:rPr>
        <w:footnoteReference w:id="24"/>
      </w:r>
      <w:r>
        <w:rPr>
          <w:noProof/>
        </w:rPr>
        <w:t>, koja obuhvaća seriju „Ukratko o zdravlju: Europa” i zdravstvene profile zemalja EU-a. U izvješću je dana sveobuhvatna procjena kardiovaskularnog zdravlja u EU-u koja će poslužiti za izradu budućih mjera politike na razini EU-a i nacionalnoj razini. Primjenom digitalnih zdravstvenih tehnologija, promicanjem skrbi usmjerene na ljude te usklađivanjem politika i međusektorskih aktivnosti može se potaknuti napredak, smanjiti nejednakosti, prvenstveno za žene, i povećati učinkovitost kardiovaskularne skrbi.</w:t>
      </w:r>
    </w:p>
    <w:p w14:paraId="3F8BFEC4" w14:textId="77777777" w:rsidR="00DE54C7" w:rsidRPr="00E0064F" w:rsidRDefault="00DE54C7" w:rsidP="00E0064F">
      <w:pPr>
        <w:jc w:val="both"/>
        <w:rPr>
          <w:rFonts w:ascii="Times New Roman Bold" w:hAnsi="Times New Roman Bold" w:cs="Times New Roman"/>
          <w:b/>
          <w:noProof/>
          <w:szCs w:val="24"/>
        </w:rPr>
      </w:pPr>
      <w:r>
        <w:rPr>
          <w:rFonts w:ascii="Times New Roman Bold" w:hAnsi="Times New Roman Bold"/>
          <w:b/>
          <w:noProof/>
        </w:rPr>
        <w:t>Izazovi na razini EU-a</w:t>
      </w:r>
    </w:p>
    <w:p w14:paraId="78B97513" w14:textId="77777777" w:rsidR="00DE54C7" w:rsidRPr="000E1D82" w:rsidRDefault="00DE54C7" w:rsidP="00DE54C7">
      <w:pPr>
        <w:spacing w:after="200" w:line="276" w:lineRule="auto"/>
        <w:jc w:val="both"/>
        <w:rPr>
          <w:rFonts w:cs="Times New Roman"/>
          <w:noProof/>
        </w:rPr>
      </w:pPr>
      <w:r>
        <w:rPr>
          <w:noProof/>
        </w:rPr>
        <w:t xml:space="preserve">Više je velikih izazova u suzbijanju kardiovaskularnih bolesti i njihovih glavnih čimbenika rizika. </w:t>
      </w:r>
    </w:p>
    <w:p w14:paraId="7DCD4BDD" w14:textId="17A15C83" w:rsidR="00DE54C7" w:rsidRPr="000E1D82" w:rsidRDefault="00DE54C7" w:rsidP="00DE54C7">
      <w:pPr>
        <w:spacing w:before="120" w:after="60" w:line="276" w:lineRule="auto"/>
        <w:jc w:val="both"/>
        <w:rPr>
          <w:rFonts w:cs="Times New Roman"/>
          <w:noProof/>
        </w:rPr>
      </w:pPr>
      <w:r>
        <w:rPr>
          <w:b/>
          <w:noProof/>
        </w:rPr>
        <w:t>Premalo se pozornosti posvećuje prevenciji</w:t>
      </w:r>
      <w:r>
        <w:rPr>
          <w:noProof/>
        </w:rPr>
        <w:t>: gotovo 80 % kardiovaskularnih bolesti može se spriječiti promjenom načina života</w:t>
      </w:r>
      <w:r>
        <w:rPr>
          <w:noProof/>
          <w:vertAlign w:val="superscript"/>
        </w:rPr>
        <w:footnoteReference w:id="25"/>
      </w:r>
      <w:r>
        <w:rPr>
          <w:noProof/>
        </w:rPr>
        <w:t>, ali u Europskoj uniji za prevenciju se izdvaja tek 3 % ukupnih rashoda u zdravstvu iako je riječ o najisplativijem ulaganju u općem kontekstu sve većih proračunskih zahtjeva. Jasni su razmjeri tog problema:</w:t>
      </w:r>
    </w:p>
    <w:p w14:paraId="5B176F23" w14:textId="77777777" w:rsidR="007503DB"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 xml:space="preserve">u razdoblju od 2012. do 2022. prevalencija dijabetesa porasla je za 22 %, a od 1990. se udvostručila, pa dijabetes pogađa 7,8 % stanovništva. Hipertenzija pogađa gotovo 25 % odraslih, a njezina je prevalencija u porastu, </w:t>
      </w:r>
    </w:p>
    <w:p w14:paraId="47528D95" w14:textId="3A947B00" w:rsidR="007503DB" w:rsidRPr="009167E6" w:rsidRDefault="009167E6" w:rsidP="00DE54C7">
      <w:pPr>
        <w:pStyle w:val="ListParagraph"/>
        <w:numPr>
          <w:ilvl w:val="0"/>
          <w:numId w:val="4"/>
        </w:numPr>
        <w:spacing w:before="60" w:after="60" w:line="276" w:lineRule="auto"/>
        <w:ind w:left="714" w:hanging="357"/>
        <w:contextualSpacing w:val="0"/>
        <w:jc w:val="both"/>
        <w:rPr>
          <w:rFonts w:cs="Times New Roman"/>
          <w:noProof/>
        </w:rPr>
      </w:pPr>
      <w:r>
        <w:rPr>
          <w:noProof/>
        </w:rPr>
        <w:t>pretilost je učestala i s njome živi 15 % odraslih i 9 % djece</w:t>
      </w:r>
      <w:r>
        <w:rPr>
          <w:rStyle w:val="FootnoteReference"/>
          <w:rFonts w:cs="Times New Roman"/>
          <w:noProof/>
        </w:rPr>
        <w:footnoteReference w:id="26"/>
      </w:r>
      <w:r>
        <w:rPr>
          <w:noProof/>
        </w:rPr>
        <w:t>. Čak 75 % prekomjernih smrtnih slučajeva povezanih s pretilošću može se pripisati kardiovaskularnim bolestima</w:t>
      </w:r>
      <w:r>
        <w:rPr>
          <w:rStyle w:val="FootnoteReference"/>
          <w:rFonts w:cs="Times New Roman"/>
          <w:noProof/>
        </w:rPr>
        <w:footnoteReference w:id="27"/>
      </w:r>
      <w:r>
        <w:rPr>
          <w:noProof/>
        </w:rPr>
        <w:t xml:space="preserve">. </w:t>
      </w:r>
      <w:bookmarkStart w:id="3" w:name="_Hlk215823423"/>
      <w:r>
        <w:rPr>
          <w:noProof/>
        </w:rPr>
        <w:t>Osim toga, više od polovine odraslih osoba u EU-u ima prekomjernu tjelesnu težinu, dok se stopa prekomjerne tjelesne težine među adolescentima povećala sa 17 % u 2014. na 21 % u 2022.</w:t>
      </w:r>
      <w:r>
        <w:rPr>
          <w:rStyle w:val="FootnoteReference"/>
          <w:rFonts w:cs="Times New Roman"/>
          <w:noProof/>
        </w:rPr>
        <w:footnoteReference w:id="28"/>
      </w:r>
      <w:r>
        <w:rPr>
          <w:noProof/>
        </w:rPr>
        <w:t xml:space="preserve">, </w:t>
      </w:r>
    </w:p>
    <w:p w14:paraId="47E46821" w14:textId="12977919" w:rsidR="00DE54C7" w:rsidRPr="000E1D82" w:rsidRDefault="004D514A" w:rsidP="00DE54C7">
      <w:pPr>
        <w:pStyle w:val="ListParagraph"/>
        <w:numPr>
          <w:ilvl w:val="0"/>
          <w:numId w:val="4"/>
        </w:numPr>
        <w:spacing w:before="60" w:after="60" w:line="276" w:lineRule="auto"/>
        <w:ind w:left="714" w:hanging="357"/>
        <w:contextualSpacing w:val="0"/>
        <w:jc w:val="both"/>
        <w:rPr>
          <w:rFonts w:cs="Times New Roman"/>
          <w:noProof/>
        </w:rPr>
      </w:pPr>
      <w:r>
        <w:rPr>
          <w:noProof/>
        </w:rPr>
        <w:t>gotovo trećina morbiditeta i smrtnosti povezanih s kardiovaskularnim bolestima u Europi posljedica je nekontroliranog kolesterola</w:t>
      </w:r>
      <w:r>
        <w:rPr>
          <w:rStyle w:val="FootnoteReference"/>
          <w:rFonts w:cs="Times New Roman"/>
          <w:noProof/>
        </w:rPr>
        <w:footnoteReference w:id="29"/>
      </w:r>
      <w:r>
        <w:rPr>
          <w:noProof/>
        </w:rPr>
        <w:t>, a prevalencija povišenog/nekontroliranog kolesterola u Europi veća je od 50 %</w:t>
      </w:r>
      <w:r>
        <w:rPr>
          <w:rStyle w:val="FootnoteReference"/>
          <w:rFonts w:cs="Times New Roman"/>
          <w:noProof/>
        </w:rPr>
        <w:footnoteReference w:id="30"/>
      </w:r>
      <w:r>
        <w:rPr>
          <w:noProof/>
        </w:rPr>
        <w:t>.</w:t>
      </w:r>
      <w:bookmarkEnd w:id="3"/>
      <w:r>
        <w:rPr>
          <w:noProof/>
        </w:rPr>
        <w:t xml:space="preserve"> Osim toga, ukupnom teretu kardiovaskularnih bolesti doprinose i nasljedni čimbenici rizika, kao što je povišen lipoprotein (a), obiteljska hiperkolesterolemija ili kardiomiopatija. Nadalje, dokazi pokazuju da su i poremećaji spavanja čimbenici rizika za kardiovaskularne bolesti</w:t>
      </w:r>
      <w:r>
        <w:rPr>
          <w:rStyle w:val="FootnoteReference"/>
          <w:rFonts w:cs="Times New Roman"/>
          <w:noProof/>
        </w:rPr>
        <w:footnoteReference w:id="31"/>
      </w:r>
      <w:r>
        <w:rPr>
          <w:noProof/>
        </w:rPr>
        <w:t>,</w:t>
      </w:r>
    </w:p>
    <w:p w14:paraId="207B83CB" w14:textId="70E9089B" w:rsidR="00DE54C7" w:rsidRPr="000961FD" w:rsidRDefault="00DE54C7" w:rsidP="000961FD">
      <w:pPr>
        <w:pStyle w:val="ListParagraph"/>
        <w:numPr>
          <w:ilvl w:val="0"/>
          <w:numId w:val="4"/>
        </w:numPr>
        <w:spacing w:before="60" w:after="60" w:line="276" w:lineRule="auto"/>
        <w:ind w:left="714" w:hanging="357"/>
        <w:contextualSpacing w:val="0"/>
        <w:jc w:val="both"/>
        <w:rPr>
          <w:rFonts w:cs="Times New Roman"/>
          <w:noProof/>
        </w:rPr>
      </w:pPr>
      <w:r>
        <w:rPr>
          <w:noProof/>
        </w:rPr>
        <w:t>prevalencija čimbenika rizika povezanih s načinom života neujednačeno se mijenja</w:t>
      </w:r>
      <w:r>
        <w:rPr>
          <w:rStyle w:val="FootnoteReference"/>
          <w:rFonts w:cs="Times New Roman"/>
          <w:noProof/>
        </w:rPr>
        <w:footnoteReference w:id="32"/>
      </w:r>
      <w:r>
        <w:rPr>
          <w:noProof/>
        </w:rPr>
        <w:t>. Konzumacija duhana smanjila se u proteklih deset godina, no porast korištenja e-cigareta za 45 % izaziva zabrinutost zbog novih nikotinskih navika. Više od 25 % stanovništva ima nedovoljnu razinu tjelesne aktivnosti, a samo oko 60 % odraslih osoba svakodnevno konzumira svježe voće i povrće</w:t>
      </w:r>
      <w:r>
        <w:rPr>
          <w:rStyle w:val="FootnoteReference"/>
          <w:rFonts w:cs="Times New Roman"/>
          <w:noProof/>
        </w:rPr>
        <w:footnoteReference w:id="33"/>
      </w:r>
      <w:r>
        <w:rPr>
          <w:noProof/>
        </w:rPr>
        <w:t>. Konzumacija alkohola blago se smanjila</w:t>
      </w:r>
      <w:r>
        <w:rPr>
          <w:rStyle w:val="FootnoteReference"/>
          <w:rFonts w:cs="Times New Roman"/>
          <w:noProof/>
        </w:rPr>
        <w:footnoteReference w:id="34"/>
      </w:r>
      <w:r>
        <w:rPr>
          <w:noProof/>
        </w:rPr>
        <w:t>, no štetna konzumacija alkohola i dalje je jedan od ključnih čimbenika rizika za kardiovaskularne i druge nezarazne bolesti, osobito među mladima</w:t>
      </w:r>
      <w:r>
        <w:rPr>
          <w:rStyle w:val="FootnoteReference"/>
          <w:rFonts w:cs="Times New Roman"/>
          <w:noProof/>
        </w:rPr>
        <w:footnoteReference w:id="35"/>
      </w:r>
      <w:r>
        <w:rPr>
          <w:noProof/>
        </w:rPr>
        <w:t xml:space="preserve">, </w:t>
      </w:r>
    </w:p>
    <w:p w14:paraId="534E9DB9" w14:textId="197805A5"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procijepljenost rizičnih skupina u mnogim državama članicama i dalje je nedostatna za cjepiva kojima se mogu smanjiti kardiovaskularne komplikacije (npr. cjepiva protiv gripe</w:t>
      </w:r>
      <w:r>
        <w:rPr>
          <w:rStyle w:val="FootnoteReference"/>
          <w:rFonts w:cs="Times New Roman"/>
          <w:noProof/>
        </w:rPr>
        <w:footnoteReference w:id="36"/>
      </w:r>
      <w:r>
        <w:rPr>
          <w:noProof/>
        </w:rPr>
        <w:t xml:space="preserve"> i bolesti COVID-19</w:t>
      </w:r>
      <w:r>
        <w:rPr>
          <w:rStyle w:val="FootnoteReference"/>
          <w:rFonts w:cs="Times New Roman"/>
          <w:noProof/>
        </w:rPr>
        <w:footnoteReference w:id="37"/>
      </w:r>
      <w:r>
        <w:rPr>
          <w:noProof/>
        </w:rPr>
        <w:t>),</w:t>
      </w:r>
    </w:p>
    <w:p w14:paraId="0A05B35A" w14:textId="77777777"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oko 18 % smrtnih slučajeva od kardiovaskularnih bolesti u EU-u uzrokovano je okolišnim čimbenicima, kao što je onečišćenje</w:t>
      </w:r>
      <w:r>
        <w:rPr>
          <w:rStyle w:val="FootnoteReference"/>
          <w:rFonts w:cs="Times New Roman"/>
          <w:noProof/>
        </w:rPr>
        <w:footnoteReference w:id="38"/>
      </w:r>
      <w:r>
        <w:rPr>
          <w:noProof/>
        </w:rPr>
        <w:t xml:space="preserve">. </w:t>
      </w:r>
    </w:p>
    <w:p w14:paraId="17BE41D0" w14:textId="79738224" w:rsidR="00DE54C7" w:rsidRPr="000E1D82" w:rsidRDefault="00DE54C7" w:rsidP="00DE54C7">
      <w:pPr>
        <w:spacing w:before="60" w:after="60" w:line="276" w:lineRule="auto"/>
        <w:jc w:val="both"/>
        <w:rPr>
          <w:rFonts w:cs="Times New Roman"/>
          <w:noProof/>
        </w:rPr>
      </w:pPr>
      <w:r>
        <w:rPr>
          <w:b/>
          <w:noProof/>
        </w:rPr>
        <w:t>Za suzbijanje kardiovaskularnih bolesti potreban je angažman u svim dobnim skupinama. Međutim, osobito zabrinjavaju izazovi i trendovi među djecom i adolescentima</w:t>
      </w:r>
      <w:r>
        <w:rPr>
          <w:noProof/>
        </w:rPr>
        <w:t xml:space="preserve">: </w:t>
      </w:r>
    </w:p>
    <w:p w14:paraId="78EF924A" w14:textId="6F8EABFB"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dijabetes tipa 1 obično počinje u ranoj životnoj dobi, a dijabetes tipa 2 također sve češće pogađa djecu i mlade zbog rasta stope pretilosti i čimbenika nezdravog načina života,</w:t>
      </w:r>
    </w:p>
    <w:p w14:paraId="19CC16E6" w14:textId="623FD64D"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 xml:space="preserve">korištenje e-cigareta među mladima posebno je zabrinjavajuće te ukazuje na razvoj novih nikotinskih navika, </w:t>
      </w:r>
    </w:p>
    <w:p w14:paraId="45972C54" w14:textId="04355371" w:rsidR="00DE54C7" w:rsidRPr="00646EE8" w:rsidRDefault="00DE54C7" w:rsidP="00DE54C7">
      <w:pPr>
        <w:pStyle w:val="ListParagraph"/>
        <w:numPr>
          <w:ilvl w:val="0"/>
          <w:numId w:val="70"/>
        </w:numPr>
        <w:spacing w:before="60" w:after="60" w:line="276" w:lineRule="auto"/>
        <w:jc w:val="both"/>
        <w:rPr>
          <w:rFonts w:cs="Times New Roman"/>
          <w:noProof/>
        </w:rPr>
      </w:pPr>
      <w:r>
        <w:rPr>
          <w:noProof/>
        </w:rPr>
        <w:t>povećanje vremena provedenog pred zaslonima i manjak tjelesne aktivnosti utječu na zdravlje mladih</w:t>
      </w:r>
      <w:r>
        <w:rPr>
          <w:rStyle w:val="FootnoteReference"/>
          <w:rFonts w:cs="Times New Roman"/>
          <w:noProof/>
        </w:rPr>
        <w:footnoteReference w:id="39"/>
      </w:r>
      <w:r>
        <w:rPr>
          <w:noProof/>
        </w:rPr>
        <w:t>,</w:t>
      </w:r>
    </w:p>
    <w:p w14:paraId="4BE0DF58" w14:textId="721791CF" w:rsidR="00DE54C7" w:rsidRDefault="00DE54C7" w:rsidP="00DE54C7">
      <w:pPr>
        <w:pStyle w:val="ListParagraph"/>
        <w:numPr>
          <w:ilvl w:val="0"/>
          <w:numId w:val="70"/>
        </w:numPr>
        <w:spacing w:before="60" w:after="60" w:line="276" w:lineRule="auto"/>
        <w:jc w:val="both"/>
        <w:rPr>
          <w:rFonts w:cs="Times New Roman"/>
          <w:noProof/>
        </w:rPr>
      </w:pPr>
      <w:r>
        <w:rPr>
          <w:noProof/>
        </w:rPr>
        <w:t>20 % mladih ima prekomjernu tjelesnu težinu ili je pretilo</w:t>
      </w:r>
      <w:r>
        <w:rPr>
          <w:rStyle w:val="FootnoteReference"/>
          <w:rFonts w:cs="Times New Roman"/>
          <w:noProof/>
        </w:rPr>
        <w:footnoteReference w:id="40"/>
      </w:r>
      <w:r>
        <w:rPr>
          <w:noProof/>
        </w:rPr>
        <w:t>,</w:t>
      </w:r>
    </w:p>
    <w:p w14:paraId="4AE40A77" w14:textId="0FF5CBFD" w:rsidR="00DE54C7" w:rsidRPr="005C261A" w:rsidRDefault="00DE54C7" w:rsidP="00DE54C7">
      <w:pPr>
        <w:pStyle w:val="ListParagraph"/>
        <w:numPr>
          <w:ilvl w:val="0"/>
          <w:numId w:val="70"/>
        </w:numPr>
        <w:spacing w:before="60" w:after="60" w:line="276" w:lineRule="auto"/>
        <w:jc w:val="both"/>
        <w:rPr>
          <w:rFonts w:cs="Times New Roman"/>
          <w:noProof/>
        </w:rPr>
      </w:pPr>
      <w:r>
        <w:rPr>
          <w:noProof/>
        </w:rPr>
        <w:t>unos šećera među djecom i mladima premašuje preporučene razine, posebno zbog konzumacije zašećerenih bezalkoholnih pića</w:t>
      </w:r>
      <w:r>
        <w:rPr>
          <w:noProof/>
          <w:vertAlign w:val="superscript"/>
        </w:rPr>
        <w:footnoteReference w:id="41"/>
      </w:r>
      <w:r>
        <w:rPr>
          <w:noProof/>
        </w:rPr>
        <w:t>,</w:t>
      </w:r>
    </w:p>
    <w:p w14:paraId="2972514C" w14:textId="322F6A55"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samo 12 % adolescenata unosi preporučeni minimum od pet porcija voća i povrća dnevno, dok 42 % uopće svakodnevno ne konzumira voće i povrće</w:t>
      </w:r>
      <w:r>
        <w:rPr>
          <w:noProof/>
          <w:vertAlign w:val="superscript"/>
        </w:rPr>
        <w:footnoteReference w:id="42"/>
      </w:r>
      <w:r>
        <w:rPr>
          <w:noProof/>
        </w:rPr>
        <w:t>,</w:t>
      </w:r>
    </w:p>
    <w:p w14:paraId="21A590D3" w14:textId="2A0C135E" w:rsidR="00DE54C7" w:rsidRPr="000E1D82" w:rsidRDefault="00DE54C7" w:rsidP="00DE54C7">
      <w:pPr>
        <w:pStyle w:val="ListParagraph"/>
        <w:numPr>
          <w:ilvl w:val="0"/>
          <w:numId w:val="70"/>
        </w:numPr>
        <w:spacing w:before="60" w:after="60" w:line="276" w:lineRule="auto"/>
        <w:jc w:val="both"/>
        <w:rPr>
          <w:rFonts w:cs="Times New Roman"/>
          <w:noProof/>
        </w:rPr>
      </w:pPr>
      <w:r>
        <w:rPr>
          <w:noProof/>
        </w:rPr>
        <w:t>štetna konzumacija alkohola, uključujući nekontrolirano opijanje, ozbiljan je problem među mladima</w:t>
      </w:r>
      <w:r>
        <w:rPr>
          <w:noProof/>
          <w:vertAlign w:val="superscript"/>
        </w:rPr>
        <w:footnoteReference w:id="43"/>
      </w:r>
      <w:r>
        <w:rPr>
          <w:noProof/>
        </w:rPr>
        <w:t>. Čini se da su mladima posebno privlačna alkoholna pića kao što su „alcopops”</w:t>
      </w:r>
      <w:r>
        <w:rPr>
          <w:noProof/>
          <w:vertAlign w:val="superscript"/>
        </w:rPr>
        <w:footnoteReference w:id="44"/>
      </w:r>
      <w:r>
        <w:rPr>
          <w:noProof/>
        </w:rPr>
        <w:t xml:space="preserve">, </w:t>
      </w:r>
    </w:p>
    <w:p w14:paraId="67B1BBAD" w14:textId="0CC3E76C" w:rsidR="00DE54C7" w:rsidRPr="00DE54C7" w:rsidRDefault="00DE54C7" w:rsidP="00DE54C7">
      <w:pPr>
        <w:pStyle w:val="ListParagraph"/>
        <w:numPr>
          <w:ilvl w:val="0"/>
          <w:numId w:val="70"/>
        </w:numPr>
        <w:spacing w:before="60" w:after="60" w:line="276" w:lineRule="auto"/>
        <w:jc w:val="both"/>
        <w:rPr>
          <w:rFonts w:cs="Times New Roman"/>
          <w:noProof/>
        </w:rPr>
      </w:pPr>
      <w:r>
        <w:rPr>
          <w:noProof/>
        </w:rPr>
        <w:t>anksioznost i problemi u mentalnom zdravlju među adolescentima mogu doprinijeti nezdravim odlukama o načinu života i riziku od kardiovaskularnih bolesti</w:t>
      </w:r>
      <w:r>
        <w:rPr>
          <w:rStyle w:val="FootnoteReference"/>
          <w:rFonts w:cs="Times New Roman"/>
          <w:noProof/>
        </w:rPr>
        <w:footnoteReference w:id="45"/>
      </w:r>
      <w:r>
        <w:rPr>
          <w:noProof/>
        </w:rPr>
        <w:t>.</w:t>
      </w:r>
    </w:p>
    <w:p w14:paraId="2879D190" w14:textId="580D5C9E" w:rsidR="00DE54C7" w:rsidRPr="000E1D82" w:rsidRDefault="00DE54C7" w:rsidP="00DE54C7">
      <w:pPr>
        <w:spacing w:before="120" w:after="60" w:line="276" w:lineRule="auto"/>
        <w:jc w:val="both"/>
        <w:rPr>
          <w:rFonts w:cs="Times New Roman"/>
          <w:noProof/>
        </w:rPr>
      </w:pPr>
      <w:r>
        <w:rPr>
          <w:b/>
          <w:noProof/>
        </w:rPr>
        <w:t>Ograničen pristup ranom otkrivanju i dijagnostici</w:t>
      </w:r>
      <w:r>
        <w:rPr>
          <w:noProof/>
        </w:rPr>
        <w:t>: rano otkrivanje iznimno je važno jer čimbenici rizika (npr. visok krvni tlak, visok kolesterol i dijabetes</w:t>
      </w:r>
      <w:r>
        <w:rPr>
          <w:rStyle w:val="FootnoteReference"/>
          <w:rFonts w:cs="Times New Roman"/>
          <w:noProof/>
          <w:lang w:eastAsia="en-IE"/>
        </w:rPr>
        <w:footnoteReference w:id="46"/>
      </w:r>
      <w:r>
        <w:rPr>
          <w:noProof/>
        </w:rPr>
        <w:t xml:space="preserve">) mogu proći nezapaženo, a time se povećava rizik od srčanog ili moždanog udara: </w:t>
      </w:r>
    </w:p>
    <w:p w14:paraId="35290364" w14:textId="08ACEF7A" w:rsidR="00DE54C7" w:rsidRPr="00D15C5D" w:rsidRDefault="00DE54C7" w:rsidP="00DE54C7">
      <w:pPr>
        <w:pStyle w:val="ListParagraph"/>
        <w:numPr>
          <w:ilvl w:val="0"/>
          <w:numId w:val="4"/>
        </w:numPr>
        <w:spacing w:before="60" w:after="60" w:line="276" w:lineRule="auto"/>
        <w:ind w:left="714" w:hanging="357"/>
        <w:contextualSpacing w:val="0"/>
        <w:jc w:val="both"/>
        <w:rPr>
          <w:noProof/>
        </w:rPr>
      </w:pPr>
      <w:r>
        <w:rPr>
          <w:noProof/>
        </w:rPr>
        <w:t>mjerenje krvnog tlaka široko je dostupno, ali 14,3 % građana u dobi od 65 godina i više navodi da ga u posljednje vrijeme nije mjerilo</w:t>
      </w:r>
      <w:r>
        <w:rPr>
          <w:rStyle w:val="FootnoteReference"/>
          <w:rFonts w:cs="Times New Roman"/>
          <w:noProof/>
          <w:lang w:eastAsia="en-IE"/>
        </w:rPr>
        <w:footnoteReference w:id="47"/>
      </w:r>
      <w:r>
        <w:rPr>
          <w:noProof/>
        </w:rPr>
        <w:t xml:space="preserve"> iako je hipertenzija jedan od glavnih čimbenika rizika za kardiovaskularne bolesti,</w:t>
      </w:r>
    </w:p>
    <w:p w14:paraId="0173D379" w14:textId="5D284B6D" w:rsidR="00DE54C7" w:rsidRPr="000E1D82" w:rsidRDefault="00DE54C7" w:rsidP="00DE54C7">
      <w:pPr>
        <w:pStyle w:val="ListParagraph"/>
        <w:numPr>
          <w:ilvl w:val="0"/>
          <w:numId w:val="4"/>
        </w:numPr>
        <w:spacing w:before="60" w:after="60" w:line="276" w:lineRule="auto"/>
        <w:ind w:left="714" w:hanging="357"/>
        <w:contextualSpacing w:val="0"/>
        <w:jc w:val="both"/>
        <w:rPr>
          <w:noProof/>
        </w:rPr>
      </w:pPr>
      <w:r>
        <w:rPr>
          <w:noProof/>
        </w:rPr>
        <w:t>strukturni poremećaji srca i dalje se nedovoljno dijagnosticiraju, zbog čega su pacijenti izloženi opasnosti od iznenadnih i ozbiljnih problema,</w:t>
      </w:r>
    </w:p>
    <w:p w14:paraId="538468A7" w14:textId="5D0ECEBB" w:rsidR="00DE54C7" w:rsidRDefault="00DE54C7" w:rsidP="00DE54C7">
      <w:pPr>
        <w:pStyle w:val="ListParagraph"/>
        <w:numPr>
          <w:ilvl w:val="0"/>
          <w:numId w:val="4"/>
        </w:numPr>
        <w:ind w:left="720"/>
        <w:jc w:val="both"/>
        <w:rPr>
          <w:rFonts w:cs="Times New Roman"/>
          <w:noProof/>
          <w:kern w:val="2"/>
          <w14:ligatures w14:val="standardContextual"/>
        </w:rPr>
      </w:pPr>
      <w:r>
        <w:rPr>
          <w:noProof/>
        </w:rPr>
        <w:t xml:space="preserve">na razini EU-a ne postoji protokol ni smjernice koje bi državama članicama pomogle u razvoju programa ranog otkrivanja i dijagnosticiranja, što je dovelo do fragmentiranih pristupa u EU-u te otežava objedinjavanje podataka i prikupljanje usporedivih podataka, </w:t>
      </w:r>
    </w:p>
    <w:p w14:paraId="18500C76" w14:textId="278D5299" w:rsidR="00D5786C" w:rsidRPr="003C642F" w:rsidRDefault="00C76012" w:rsidP="00DE54C7">
      <w:pPr>
        <w:pStyle w:val="ListParagraph"/>
        <w:numPr>
          <w:ilvl w:val="0"/>
          <w:numId w:val="4"/>
        </w:numPr>
        <w:ind w:left="720"/>
        <w:jc w:val="both"/>
        <w:rPr>
          <w:rFonts w:cs="Times New Roman"/>
          <w:noProof/>
          <w:kern w:val="2"/>
          <w14:ligatures w14:val="standardContextual"/>
        </w:rPr>
      </w:pPr>
      <w:bookmarkStart w:id="4" w:name="_Hlk216006665"/>
      <w:r>
        <w:rPr>
          <w:noProof/>
        </w:rPr>
        <w:t>u žena je veća vjerojatnost pogrešne dijagnoze i one se češće suočavaju s kašnjenjima u pružanju hitne medicinske pomoći i s nedovoljnim liječenjem, osobito nakon kardiovaskularnih problema, djelomično zbog nedovoljne informiranosti pacijenata i zdravstvenih radnika</w:t>
      </w:r>
      <w:bookmarkEnd w:id="4"/>
      <w:r>
        <w:rPr>
          <w:noProof/>
        </w:rPr>
        <w:t>.</w:t>
      </w:r>
    </w:p>
    <w:p w14:paraId="19AFA224" w14:textId="1C1DC091" w:rsidR="00DE54C7" w:rsidRPr="000E1D82" w:rsidRDefault="00DE54C7" w:rsidP="00DE54C7">
      <w:pPr>
        <w:spacing w:before="120" w:after="60" w:line="276" w:lineRule="auto"/>
        <w:jc w:val="both"/>
        <w:rPr>
          <w:rFonts w:cs="Times New Roman"/>
          <w:noProof/>
        </w:rPr>
      </w:pPr>
      <w:r>
        <w:rPr>
          <w:b/>
          <w:noProof/>
        </w:rPr>
        <w:t>Liječenje i skrb</w:t>
      </w:r>
      <w:r>
        <w:rPr>
          <w:noProof/>
        </w:rPr>
        <w:t xml:space="preserve">: pacijentima koji boluju od kardiovaskularnih bolesti često je potrebno dugotrajno upravljanje bolešću i višedimenzionalan pristup, što uključuje izazove koji mogu utjecati na ishode liječenja: </w:t>
      </w:r>
    </w:p>
    <w:p w14:paraId="01EC0B5C" w14:textId="3CE9B6E5" w:rsidR="00DE54C7" w:rsidRPr="00AA2C50" w:rsidRDefault="00DA1A2C" w:rsidP="00DE54C7">
      <w:pPr>
        <w:pStyle w:val="ListParagraph"/>
        <w:numPr>
          <w:ilvl w:val="0"/>
          <w:numId w:val="4"/>
        </w:numPr>
        <w:spacing w:after="60" w:line="276" w:lineRule="auto"/>
        <w:ind w:left="714" w:hanging="357"/>
        <w:contextualSpacing w:val="0"/>
        <w:jc w:val="both"/>
        <w:rPr>
          <w:rFonts w:cs="Times New Roman"/>
          <w:noProof/>
        </w:rPr>
      </w:pPr>
      <w:r>
        <w:rPr>
          <w:noProof/>
        </w:rPr>
        <w:t xml:space="preserve">neoptimalna primjena kardiovaskularnih lijekova (npr. antihipertenzivi, lijekovi za snižavanje lipida i antikoagulansi) znatan je nedostatak u skrbi u cijelom EU-u – postoje različite kliničke smjernice, ali nedostaje opći pristup na razini EU-a,  </w:t>
      </w:r>
    </w:p>
    <w:p w14:paraId="577C7873" w14:textId="77777777"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kontinuitet skrbi nije primjeren. Mnogi pacijenti imaju fragmentirane puteve skrbi i nejednak pristup liječenju. Često im je otežano snalaženje u mreži primarne zdravstvene zaštite, bolnica i rehabilitacijskih usluga, čime se narušavaju dugoročno upravljanje bolešću i oporavak,</w:t>
      </w:r>
    </w:p>
    <w:p w14:paraId="5D25BE2D" w14:textId="78CB6238"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rStyle w:val="Strong"/>
          <w:b w:val="0"/>
          <w:noProof/>
        </w:rPr>
        <w:t>nedostatak</w:t>
      </w:r>
      <w:r>
        <w:rPr>
          <w:noProof/>
        </w:rPr>
        <w:t xml:space="preserve"> zajedničkih standarda za liječenje i skrb u državama članicama dovodi do nejednakosti i neučinkovitosti jer inovativne terapije i tehnologije nisu jednako dostupne u cijelom EU-u, </w:t>
      </w:r>
    </w:p>
    <w:p w14:paraId="0BFDB27F" w14:textId="3C72AB0D" w:rsidR="00DE54C7" w:rsidRPr="008A1CAC"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multimorbiditet je ozbiljan problem kod pacijenata koji boluju od kardiovaskularnih bolesti te je blisko povezan s lošijim zdravljem prema samoprocjeni pacijenta i nižom kvalitetom života, ponekad čak i više nego sama prisutnost kardiovaskularne bolesti</w:t>
      </w:r>
      <w:r>
        <w:rPr>
          <w:rStyle w:val="FootnoteReference"/>
          <w:noProof/>
        </w:rPr>
        <w:footnoteReference w:id="48"/>
      </w:r>
      <w:r>
        <w:rPr>
          <w:noProof/>
        </w:rPr>
        <w:t xml:space="preserve">. </w:t>
      </w:r>
    </w:p>
    <w:p w14:paraId="1EB56610" w14:textId="5525E414" w:rsidR="00DE54C7" w:rsidRPr="000E1D82" w:rsidRDefault="00DE54C7" w:rsidP="00DE54C7">
      <w:pPr>
        <w:spacing w:before="120" w:after="60" w:line="276" w:lineRule="auto"/>
        <w:jc w:val="both"/>
        <w:rPr>
          <w:rFonts w:cs="Times New Roman"/>
          <w:noProof/>
        </w:rPr>
      </w:pPr>
      <w:r>
        <w:rPr>
          <w:b/>
          <w:noProof/>
        </w:rPr>
        <w:t>Digitalni i podatkovni izazovi</w:t>
      </w:r>
      <w:r>
        <w:rPr>
          <w:noProof/>
        </w:rPr>
        <w:t xml:space="preserve">: bez vodstva na razini EU-a u području digitalnih standarda i ulaganja napredak će ostati fragmentiran, neujednačen i neprilagodljiv: </w:t>
      </w:r>
    </w:p>
    <w:p w14:paraId="301948EF" w14:textId="3B7886D5" w:rsidR="00DE54C7" w:rsidRPr="00BC5296"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samo šest država članica koristi elektroničku zdravstvenu evidenciju za sustavno praćenje ishoda liječenja kardiovaskularnih bolesti</w:t>
      </w:r>
      <w:r>
        <w:rPr>
          <w:rStyle w:val="FootnoteReference"/>
          <w:rFonts w:cs="Times New Roman"/>
          <w:noProof/>
          <w:lang w:eastAsia="en-IE"/>
        </w:rPr>
        <w:footnoteReference w:id="49"/>
      </w:r>
      <w:r>
        <w:rPr>
          <w:noProof/>
        </w:rPr>
        <w:t>,</w:t>
      </w:r>
    </w:p>
    <w:p w14:paraId="550FB97D" w14:textId="6229F37C" w:rsidR="00DE54C7" w:rsidRPr="00BC5296"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većina registara</w:t>
      </w:r>
      <w:r>
        <w:rPr>
          <w:rStyle w:val="FootnoteReference"/>
          <w:rFonts w:cs="Times New Roman"/>
          <w:noProof/>
          <w:lang w:eastAsia="en-IE"/>
        </w:rPr>
        <w:footnoteReference w:id="50"/>
      </w:r>
      <w:r>
        <w:rPr>
          <w:noProof/>
        </w:rPr>
        <w:t xml:space="preserve"> nije interoperabilna, što otežava razmjenu ili usporedbu podataka preko granica,</w:t>
      </w:r>
    </w:p>
    <w:p w14:paraId="574BC0E2" w14:textId="77777777"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protokoli i standardi za prikupljanje kliničkih podataka nisu dovoljno usklađeni,</w:t>
      </w:r>
    </w:p>
    <w:p w14:paraId="10337B17" w14:textId="4CDFE26D"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u kardiologiji postoje alati umjetne inteligencije i digitalni alati, ali se rijetko primjenjuju u širim razmjerima u nacionalnim zdravstvenim sustavima. Time se ograničavaju mogućnosti za ranije otkrivanje, personalizirano liječenje i poboljšanja na razini sustava. Pri primjeni alata umjetne inteligencije važno je izbjeći pristranosti na temelju roda ili invaliditeta i druge pristranosti.</w:t>
      </w:r>
    </w:p>
    <w:p w14:paraId="2205E4CB" w14:textId="5A12B292" w:rsidR="00DE54C7" w:rsidRPr="000E1D82" w:rsidRDefault="00DE54C7" w:rsidP="00DE54C7">
      <w:pPr>
        <w:spacing w:before="120" w:after="60" w:line="276" w:lineRule="auto"/>
        <w:jc w:val="both"/>
        <w:rPr>
          <w:rFonts w:cs="Times New Roman"/>
          <w:b/>
          <w:bCs/>
          <w:noProof/>
        </w:rPr>
      </w:pPr>
      <w:r>
        <w:rPr>
          <w:b/>
          <w:noProof/>
        </w:rPr>
        <w:t xml:space="preserve">Nedostaci u istraživanjima i inovacijama: </w:t>
      </w:r>
      <w:r>
        <w:rPr>
          <w:noProof/>
        </w:rPr>
        <w:t xml:space="preserve">unatoč znatnim ulaganjima u istraživanja i inovacije, još postoje veliki izazovi: </w:t>
      </w:r>
    </w:p>
    <w:p w14:paraId="57270581" w14:textId="745D07F0" w:rsidR="00DE54C7"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i dalje je premalo saznanja, osobito u razumijevanju mehanizama nastanka i razvoja bolesti,</w:t>
      </w:r>
    </w:p>
    <w:p w14:paraId="0F0B03D4" w14:textId="34AF3BCA" w:rsidR="00DE54C7" w:rsidRPr="000E1D82"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postoje nedostaci u razumijevanju bioloških mehanizama različitih kardiovaskularnih bolesti,</w:t>
      </w:r>
    </w:p>
    <w:p w14:paraId="349E86F3" w14:textId="38BBBEA9" w:rsidR="00DE54C7" w:rsidRDefault="0032525B" w:rsidP="00DE54C7">
      <w:pPr>
        <w:pStyle w:val="ListParagraph"/>
        <w:numPr>
          <w:ilvl w:val="0"/>
          <w:numId w:val="4"/>
        </w:numPr>
        <w:spacing w:before="60" w:after="60" w:line="276" w:lineRule="auto"/>
        <w:ind w:left="714" w:hanging="357"/>
        <w:contextualSpacing w:val="0"/>
        <w:jc w:val="both"/>
        <w:rPr>
          <w:rFonts w:cs="Times New Roman"/>
          <w:noProof/>
        </w:rPr>
      </w:pPr>
      <w:r>
        <w:rPr>
          <w:noProof/>
        </w:rPr>
        <w:t>potrebno je poticati prijenos rezultata istraživanja jer inovacije sporo dolaze do pacijenata,</w:t>
      </w:r>
    </w:p>
    <w:p w14:paraId="46FF1A14" w14:textId="77777777" w:rsidR="0032525B" w:rsidRPr="00E4479F" w:rsidRDefault="00DE54C7" w:rsidP="00914153">
      <w:pPr>
        <w:pStyle w:val="ListParagraph"/>
        <w:numPr>
          <w:ilvl w:val="0"/>
          <w:numId w:val="4"/>
        </w:numPr>
        <w:spacing w:before="60" w:after="60" w:line="276" w:lineRule="auto"/>
        <w:ind w:left="714" w:hanging="357"/>
        <w:contextualSpacing w:val="0"/>
        <w:jc w:val="both"/>
        <w:rPr>
          <w:rFonts w:cs="Times New Roman"/>
          <w:noProof/>
        </w:rPr>
      </w:pPr>
      <w:r>
        <w:rPr>
          <w:noProof/>
        </w:rPr>
        <w:t>i dalje nema dovoljno saznanja o načinima dosljedne primjene učinkovitih preventivnih mjera i poticanja rane intervencije u raznim skupinama stanovništva,</w:t>
      </w:r>
    </w:p>
    <w:p w14:paraId="40ABF530" w14:textId="1934C912" w:rsidR="00DE54C7" w:rsidRPr="00914153" w:rsidRDefault="0032525B" w:rsidP="00914153">
      <w:pPr>
        <w:pStyle w:val="ListParagraph"/>
        <w:numPr>
          <w:ilvl w:val="0"/>
          <w:numId w:val="4"/>
        </w:numPr>
        <w:spacing w:before="60" w:after="60" w:line="276" w:lineRule="auto"/>
        <w:ind w:left="714" w:hanging="357"/>
        <w:contextualSpacing w:val="0"/>
        <w:jc w:val="both"/>
        <w:rPr>
          <w:rFonts w:cs="Times New Roman"/>
          <w:noProof/>
        </w:rPr>
      </w:pPr>
      <w:r>
        <w:rPr>
          <w:noProof/>
        </w:rPr>
        <w:t xml:space="preserve">nedovoljno se podupiru inovacije potaknute potražnjom, </w:t>
      </w:r>
    </w:p>
    <w:p w14:paraId="1FEA1545" w14:textId="158E2E5E" w:rsidR="00DE54C7" w:rsidRPr="006E2F2A" w:rsidRDefault="00DE54C7" w:rsidP="00DE54C7">
      <w:pPr>
        <w:pStyle w:val="ListParagraph"/>
        <w:numPr>
          <w:ilvl w:val="0"/>
          <w:numId w:val="4"/>
        </w:numPr>
        <w:spacing w:before="60" w:after="60" w:line="276" w:lineRule="auto"/>
        <w:ind w:left="714" w:hanging="357"/>
        <w:contextualSpacing w:val="0"/>
        <w:jc w:val="both"/>
        <w:rPr>
          <w:rFonts w:cs="Times New Roman"/>
          <w:noProof/>
        </w:rPr>
      </w:pPr>
      <w:r>
        <w:rPr>
          <w:noProof/>
        </w:rPr>
        <w:t>nedovoljna dostupnost visokokvalitetnih podataka otežava prekograničnu suradnju i inovacije u području umjetne inteligencije za kardiovaskularne bolesti. Od ključne su važnosti podaci razvrstani prema spolu i rodu te podaci o drugim zaštićenim obilježjima, među ostalim o osobama s invaliditetom.</w:t>
      </w:r>
    </w:p>
    <w:p w14:paraId="723EC1F1" w14:textId="30068863" w:rsidR="00DE54C7" w:rsidRPr="000E1D82" w:rsidRDefault="00DE54C7" w:rsidP="00914153">
      <w:pPr>
        <w:spacing w:before="60" w:after="60" w:line="276" w:lineRule="auto"/>
        <w:jc w:val="both"/>
        <w:rPr>
          <w:rFonts w:cs="Times New Roman"/>
          <w:noProof/>
        </w:rPr>
      </w:pPr>
      <w:r>
        <w:rPr>
          <w:b/>
          <w:noProof/>
        </w:rPr>
        <w:t>Postojane zdravstvene nejednakosti</w:t>
      </w:r>
      <w:r>
        <w:rPr>
          <w:noProof/>
        </w:rPr>
        <w:t xml:space="preserve">: postoje izražene razlike i nejednakosti među državama članicama i regijama te rodnim i socioekonomskim skupinama: </w:t>
      </w:r>
    </w:p>
    <w:p w14:paraId="6CA33E7F" w14:textId="24313018" w:rsidR="00DE54C7" w:rsidRPr="003C642F" w:rsidRDefault="00DE54C7" w:rsidP="00DE54C7">
      <w:pPr>
        <w:pStyle w:val="ListParagraph"/>
        <w:numPr>
          <w:ilvl w:val="0"/>
          <w:numId w:val="4"/>
        </w:numPr>
        <w:spacing w:after="60" w:line="276" w:lineRule="auto"/>
        <w:ind w:left="714" w:hanging="357"/>
        <w:contextualSpacing w:val="0"/>
        <w:jc w:val="both"/>
        <w:rPr>
          <w:rFonts w:cs="Times New Roman"/>
          <w:noProof/>
        </w:rPr>
      </w:pPr>
      <w:r>
        <w:rPr>
          <w:noProof/>
        </w:rPr>
        <w:t>medicinska stanja specifična za žene tijekom životnog vijeka, uključujući ranu i kasnu menarhu, sindrom policističnih jajnika, neplodnost, tehnologiju za potpomognutu oplodnju, nepovoljne ishode trudnoće, hormonsku kontracepciju i prelazak u menopauzu, povećavaju rizik od kardiovaskularnih bolesti kod žena</w:t>
      </w:r>
      <w:r>
        <w:rPr>
          <w:rStyle w:val="FootnoteReference"/>
          <w:rFonts w:cs="Times New Roman"/>
          <w:noProof/>
          <w:lang w:eastAsia="en-IE"/>
        </w:rPr>
        <w:footnoteReference w:id="51"/>
      </w:r>
      <w:r>
        <w:rPr>
          <w:noProof/>
        </w:rPr>
        <w:t>,</w:t>
      </w:r>
    </w:p>
    <w:p w14:paraId="4DA18965" w14:textId="7902A210" w:rsidR="00DE54C7" w:rsidRPr="000E1D82" w:rsidRDefault="00DE54C7" w:rsidP="00DE54C7">
      <w:pPr>
        <w:pStyle w:val="ListParagraph"/>
        <w:numPr>
          <w:ilvl w:val="0"/>
          <w:numId w:val="4"/>
        </w:numPr>
        <w:spacing w:after="60" w:line="276" w:lineRule="auto"/>
        <w:ind w:left="714" w:hanging="357"/>
        <w:contextualSpacing w:val="0"/>
        <w:jc w:val="both"/>
        <w:rPr>
          <w:rFonts w:cs="Times New Roman"/>
          <w:noProof/>
        </w:rPr>
      </w:pPr>
      <w:r>
        <w:rPr>
          <w:noProof/>
        </w:rPr>
        <w:t>mogućnost pristupa visokokvalitetnoj kardiološkoj skrbi znatno se razlikuje među državama članicama, što dovodi do razlika u stopama preživljavanja i kvaliteti života. Smrtnost od kardiovaskularnih bolesti u pojedinim je regijama znatno viša zbog razlika u prevenciji, pristupu skrbi i resursima zdravstvenih sustava</w:t>
      </w:r>
      <w:r>
        <w:rPr>
          <w:rFonts w:cs="Times New Roman"/>
          <w:noProof/>
          <w:vertAlign w:val="superscript"/>
          <w:lang w:eastAsia="en-IE"/>
        </w:rPr>
        <w:footnoteReference w:id="52"/>
      </w:r>
      <w:r>
        <w:rPr>
          <w:noProof/>
        </w:rPr>
        <w:t xml:space="preserve">, </w:t>
      </w:r>
    </w:p>
    <w:p w14:paraId="4920B9E3" w14:textId="5D287848" w:rsidR="00DE54C7" w:rsidRPr="000E1D82" w:rsidRDefault="00DE54C7" w:rsidP="00DE54C7">
      <w:pPr>
        <w:pStyle w:val="ListParagraph"/>
        <w:numPr>
          <w:ilvl w:val="0"/>
          <w:numId w:val="4"/>
        </w:numPr>
        <w:spacing w:after="60" w:line="276" w:lineRule="auto"/>
        <w:ind w:left="714" w:hanging="357"/>
        <w:contextualSpacing w:val="0"/>
        <w:jc w:val="both"/>
        <w:rPr>
          <w:rFonts w:cs="Times New Roman"/>
          <w:noProof/>
        </w:rPr>
      </w:pPr>
      <w:r>
        <w:rPr>
          <w:noProof/>
        </w:rPr>
        <w:t>skupine stanovništva u nepovoljnom socioekonomskom položaju nerazmjerno su izložene čimbenicima rizika kao što su nezdrava prehrana, pušenje, onečišćenje zraka</w:t>
      </w:r>
      <w:r>
        <w:rPr>
          <w:rStyle w:val="FootnoteReference"/>
          <w:rFonts w:cs="Times New Roman"/>
          <w:noProof/>
          <w:lang w:eastAsia="en-IE"/>
        </w:rPr>
        <w:footnoteReference w:id="53"/>
      </w:r>
      <w:r>
        <w:rPr>
          <w:noProof/>
        </w:rPr>
        <w:t xml:space="preserve"> i onečišćenje bukom</w:t>
      </w:r>
      <w:r>
        <w:rPr>
          <w:rStyle w:val="FootnoteReference"/>
          <w:rFonts w:cs="Times New Roman"/>
          <w:noProof/>
          <w:lang w:eastAsia="en-IE"/>
        </w:rPr>
        <w:footnoteReference w:id="54"/>
      </w:r>
      <w:r>
        <w:rPr>
          <w:noProof/>
        </w:rPr>
        <w:t>. Uz to, često imaju ograničen pristup prevenciji i liječenju. To rezultira lošijim zdravstvenim ishodima i većim brojem kroničnih bolesti, čime se dodatno produbljuju nejednakosti u prevenciji, liječenju i upravljanju bolestima.</w:t>
      </w:r>
    </w:p>
    <w:p w14:paraId="07881D46" w14:textId="749B3E04"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Mjere na razini EU-a u području kardiovaskularnog zdravlja: ciljani pristup</w:t>
      </w:r>
    </w:p>
    <w:p w14:paraId="0BD7B7D0" w14:textId="02A713D2" w:rsidR="00DE54C7" w:rsidRPr="000E1D82" w:rsidRDefault="00DE54C7" w:rsidP="00DE54C7">
      <w:pPr>
        <w:spacing w:after="200" w:line="276" w:lineRule="auto"/>
        <w:jc w:val="both"/>
        <w:rPr>
          <w:rFonts w:cs="Times New Roman"/>
          <w:noProof/>
        </w:rPr>
      </w:pPr>
      <w:r>
        <w:rPr>
          <w:b/>
          <w:noProof/>
        </w:rPr>
        <w:t>Plan za zdravlje srca strateški je odgovor na opisane izazove</w:t>
      </w:r>
      <w:r>
        <w:rPr>
          <w:noProof/>
        </w:rPr>
        <w:t xml:space="preserve">. Svrha mu je provesti ograničen broj ambicioznih i ciljanih mjera kojima se može ostvariti jasna dodana vrijednost EU-a za građane, vlade i dionike u skladu s programom EU-a za konkurentnost i brzim razvojem digitalnih inovacija. Namijenjen je poboljšanju kvalitete života građana i javnog zdravlja na razini društva, jačanju konkurentnosti, poticanju inovacija i ulaganju u održive zdravstvene sustave. </w:t>
      </w:r>
    </w:p>
    <w:p w14:paraId="6DB34E92" w14:textId="2450F4EE" w:rsidR="00DE54C7" w:rsidRPr="000E1D82" w:rsidRDefault="00DE54C7" w:rsidP="00DE54C7">
      <w:pPr>
        <w:spacing w:after="200" w:line="276" w:lineRule="auto"/>
        <w:jc w:val="both"/>
        <w:rPr>
          <w:rFonts w:cs="Times New Roman"/>
          <w:noProof/>
        </w:rPr>
      </w:pPr>
      <w:r>
        <w:rPr>
          <w:noProof/>
        </w:rPr>
        <w:t>Za suzbijanje kardiovaskularnih bolesti potreban je preventivan, međusektorski i višedionički pristup, u skladu s pristupom „Jedno zdravlje”</w:t>
      </w:r>
      <w:r>
        <w:rPr>
          <w:rStyle w:val="FootnoteReference"/>
          <w:rFonts w:cs="Times New Roman"/>
          <w:noProof/>
          <w:lang w:eastAsia="en-IE"/>
        </w:rPr>
        <w:footnoteReference w:id="55"/>
      </w:r>
      <w:r>
        <w:rPr>
          <w:noProof/>
        </w:rPr>
        <w:t>, koji se temelji na međupovezanosti i međuovisnosti zdravlja ljudi, životinja, bilja i šireg okoliša. Plan je fokusiran na pacijente i građane, a cilj mu je dopuniti nacionalne politike te promicati učinkovitost i konkurentnost pomoću suradničkih istraživanja i inovacija.</w:t>
      </w:r>
    </w:p>
    <w:p w14:paraId="12DA3718" w14:textId="7AB4F63C" w:rsidR="00DE54C7" w:rsidRDefault="00DE54C7" w:rsidP="00DE54C7">
      <w:pPr>
        <w:spacing w:after="200" w:line="276" w:lineRule="auto"/>
        <w:jc w:val="both"/>
        <w:rPr>
          <w:rFonts w:cs="Times New Roman"/>
          <w:noProof/>
        </w:rPr>
      </w:pPr>
      <w:r>
        <w:rPr>
          <w:noProof/>
        </w:rPr>
        <w:t xml:space="preserve">Plan za zdravlje srca temelji se na </w:t>
      </w:r>
      <w:r>
        <w:rPr>
          <w:b/>
          <w:noProof/>
        </w:rPr>
        <w:t>tri ključna stupa na cjelokupnom putu koji prolaze pacijenti s kardiovaskularnim bolestima</w:t>
      </w:r>
      <w:r>
        <w:rPr>
          <w:noProof/>
        </w:rPr>
        <w:t xml:space="preserve">: 1. prevenciji, 2. ranom otkrivanju i probiru te 3. liječenju i skrbi, uključujući rehabilitaciju. </w:t>
      </w:r>
    </w:p>
    <w:p w14:paraId="58805787" w14:textId="0B574E71" w:rsidR="00DE54C7" w:rsidRDefault="00DE54C7" w:rsidP="00914153">
      <w:pPr>
        <w:spacing w:after="60" w:line="276" w:lineRule="auto"/>
        <w:jc w:val="both"/>
        <w:rPr>
          <w:rFonts w:cs="Times New Roman"/>
          <w:noProof/>
        </w:rPr>
      </w:pPr>
      <w:r>
        <w:rPr>
          <w:noProof/>
        </w:rPr>
        <w:t xml:space="preserve">Njegovu ostvarenju doprinose tri </w:t>
      </w:r>
      <w:r>
        <w:rPr>
          <w:b/>
          <w:noProof/>
        </w:rPr>
        <w:t>međusektorske teme</w:t>
      </w:r>
      <w:r>
        <w:rPr>
          <w:noProof/>
        </w:rPr>
        <w:t xml:space="preserve">: </w:t>
      </w:r>
    </w:p>
    <w:p w14:paraId="4EAABEA4" w14:textId="2A5A26AF" w:rsidR="00DE54C7" w:rsidRDefault="00DE54C7" w:rsidP="00914153">
      <w:pPr>
        <w:spacing w:after="60" w:line="276" w:lineRule="auto"/>
        <w:jc w:val="both"/>
        <w:rPr>
          <w:rFonts w:cs="Times New Roman"/>
          <w:noProof/>
        </w:rPr>
      </w:pPr>
      <w:r>
        <w:rPr>
          <w:noProof/>
        </w:rPr>
        <w:t xml:space="preserve">1. obećavajuće mogućnosti digitalnih rješenja, uključujući tehnologije umjetne inteligencije i personalizirane medicinske pristupe; </w:t>
      </w:r>
    </w:p>
    <w:p w14:paraId="0760894D" w14:textId="193BAE1B" w:rsidR="00DE54C7" w:rsidRDefault="00DE54C7" w:rsidP="00914153">
      <w:pPr>
        <w:spacing w:after="60" w:line="276" w:lineRule="auto"/>
        <w:jc w:val="both"/>
        <w:rPr>
          <w:rFonts w:cs="Times New Roman"/>
          <w:noProof/>
        </w:rPr>
      </w:pPr>
      <w:r>
        <w:rPr>
          <w:noProof/>
        </w:rPr>
        <w:t xml:space="preserve">2. uklanjanje nedostataka u istraživanjima i inovacijama na cjelokupnom putu liječenja kardiovaskularnih bolesti kao jedan od ključnih pokretača visokokvalitetnih rješenja za znanje, informacije i zdravstvenu skrb, kao i digitalnih alata; te </w:t>
      </w:r>
    </w:p>
    <w:p w14:paraId="1D7FFBC8" w14:textId="2192F6A3" w:rsidR="00DE54C7" w:rsidRDefault="00DE54C7" w:rsidP="00DE54C7">
      <w:pPr>
        <w:spacing w:after="200" w:line="276" w:lineRule="auto"/>
        <w:jc w:val="both"/>
        <w:rPr>
          <w:rFonts w:cs="Times New Roman"/>
          <w:noProof/>
        </w:rPr>
      </w:pPr>
      <w:r>
        <w:rPr>
          <w:noProof/>
        </w:rPr>
        <w:t xml:space="preserve">3. dopiranje do svih građana jer postoje nejednakosti među zemljama i regijama, skupinama stanovništva i rodovima. </w:t>
      </w:r>
    </w:p>
    <w:p w14:paraId="51EAF2F5" w14:textId="1E0C80DE" w:rsidR="00DE54C7" w:rsidRPr="000E1D82" w:rsidRDefault="00DE54C7" w:rsidP="00DE54C7">
      <w:pPr>
        <w:spacing w:after="200" w:line="276" w:lineRule="auto"/>
        <w:jc w:val="both"/>
        <w:rPr>
          <w:rFonts w:cs="Times New Roman"/>
          <w:noProof/>
          <w:szCs w:val="24"/>
        </w:rPr>
      </w:pPr>
      <w:r>
        <w:rPr>
          <w:noProof/>
        </w:rPr>
        <w:t xml:space="preserve">Svaki stup uključuje </w:t>
      </w:r>
      <w:r>
        <w:rPr>
          <w:b/>
          <w:noProof/>
        </w:rPr>
        <w:t>vodeće inicijative</w:t>
      </w:r>
      <w:r>
        <w:rPr>
          <w:noProof/>
        </w:rPr>
        <w:t xml:space="preserve"> i druge mjere kojima se može ostvariti dodana vrijednost EU-a uz poštovanje nacionalnih nadležnosti u području zdravstvene politike.  </w:t>
      </w:r>
    </w:p>
    <w:p w14:paraId="2D91E647" w14:textId="0BDB36F0" w:rsidR="00370C7B" w:rsidRDefault="00DE54C7" w:rsidP="004D514A">
      <w:pPr>
        <w:spacing w:before="60" w:after="60" w:line="276" w:lineRule="auto"/>
        <w:jc w:val="both"/>
        <w:rPr>
          <w:rFonts w:eastAsia="Times New Roman" w:cs="Times New Roman"/>
          <w:noProof/>
        </w:rPr>
      </w:pPr>
      <w:bookmarkStart w:id="5" w:name="_Hlk216168950"/>
      <w:r>
        <w:rPr>
          <w:noProof/>
        </w:rPr>
        <w:t>EU će tim inicijativama nastojati do 2035. ostvariti sljedeće ciljeve</w:t>
      </w:r>
      <w:r>
        <w:rPr>
          <w:rStyle w:val="FootnoteReference"/>
          <w:rFonts w:eastAsia="Times New Roman" w:cs="Times New Roman"/>
          <w:noProof/>
        </w:rPr>
        <w:footnoteReference w:id="56"/>
      </w:r>
      <w:r>
        <w:rPr>
          <w:noProof/>
        </w:rPr>
        <w:t xml:space="preserve">: </w:t>
      </w:r>
    </w:p>
    <w:p w14:paraId="60476ACB" w14:textId="30DBE237" w:rsidR="00DE54C7" w:rsidRDefault="00DE54C7" w:rsidP="00096A0A">
      <w:pPr>
        <w:pStyle w:val="ListParagraph"/>
        <w:numPr>
          <w:ilvl w:val="0"/>
          <w:numId w:val="126"/>
        </w:numPr>
        <w:spacing w:before="60" w:after="60" w:line="276" w:lineRule="auto"/>
        <w:jc w:val="both"/>
        <w:rPr>
          <w:rFonts w:eastAsia="Times New Roman" w:cs="Times New Roman"/>
          <w:noProof/>
        </w:rPr>
      </w:pPr>
      <w:r>
        <w:rPr>
          <w:noProof/>
        </w:rPr>
        <w:t>da se preuranjena smrtnost od kardiovaskularnih bolesti smanji za 25 % u odnosu na referentnu godinu 2022.</w:t>
      </w:r>
      <w:r>
        <w:rPr>
          <w:rStyle w:val="FootnoteReference"/>
          <w:rFonts w:eastAsia="Times New Roman" w:cs="Times New Roman"/>
          <w:noProof/>
        </w:rPr>
        <w:footnoteReference w:id="57"/>
      </w:r>
      <w:r>
        <w:rPr>
          <w:noProof/>
        </w:rPr>
        <w:t>,</w:t>
      </w:r>
    </w:p>
    <w:p w14:paraId="397FE3DE" w14:textId="46D4216C" w:rsidR="005804EF" w:rsidRPr="00E55438" w:rsidRDefault="005804EF" w:rsidP="00144A67">
      <w:pPr>
        <w:pStyle w:val="ListParagraph"/>
        <w:numPr>
          <w:ilvl w:val="0"/>
          <w:numId w:val="126"/>
        </w:numPr>
        <w:spacing w:before="60" w:after="60" w:line="276" w:lineRule="auto"/>
        <w:jc w:val="both"/>
        <w:rPr>
          <w:rFonts w:eastAsia="Times New Roman" w:cs="Times New Roman"/>
          <w:noProof/>
        </w:rPr>
      </w:pPr>
      <w:r>
        <w:rPr>
          <w:noProof/>
        </w:rPr>
        <w:t>da u mjerenju krvnog tlaka koje provode zdravstveni radnici jednom godišnje sudjeluje najmanje 75 % osoba u dobi od 25 do 64 godine i najmanje 90 % osoba u dobi od 65 godina i više</w:t>
      </w:r>
      <w:r>
        <w:rPr>
          <w:rStyle w:val="FootnoteReference"/>
          <w:rFonts w:eastAsia="Times New Roman" w:cs="Times New Roman"/>
          <w:noProof/>
        </w:rPr>
        <w:footnoteReference w:id="58"/>
      </w:r>
      <w:r>
        <w:rPr>
          <w:noProof/>
        </w:rPr>
        <w:t>,</w:t>
      </w:r>
    </w:p>
    <w:p w14:paraId="4F582088" w14:textId="5312FE48" w:rsidR="005804EF" w:rsidRPr="00AD4EC2" w:rsidRDefault="005804EF" w:rsidP="00144A67">
      <w:pPr>
        <w:pStyle w:val="ListParagraph"/>
        <w:numPr>
          <w:ilvl w:val="0"/>
          <w:numId w:val="126"/>
        </w:numPr>
        <w:spacing w:before="60" w:after="60" w:line="276" w:lineRule="auto"/>
        <w:jc w:val="both"/>
        <w:rPr>
          <w:rFonts w:eastAsia="Times New Roman" w:cs="Times New Roman"/>
          <w:noProof/>
        </w:rPr>
      </w:pPr>
      <w:r>
        <w:rPr>
          <w:noProof/>
        </w:rPr>
        <w:t>da u mjerenju kolesterola koje provode zdravstveni radnici jednom godišnje sudjeluje najmanje 65 % osoba u dobi od 25 do 64 godine i najmanje 80 % osoba u dobi od 65 godina i više</w:t>
      </w:r>
      <w:r>
        <w:rPr>
          <w:rStyle w:val="FootnoteReference"/>
          <w:rFonts w:eastAsia="Times New Roman" w:cs="Times New Roman"/>
          <w:noProof/>
        </w:rPr>
        <w:footnoteReference w:id="59"/>
      </w:r>
      <w:r>
        <w:rPr>
          <w:noProof/>
        </w:rPr>
        <w:t>,</w:t>
      </w:r>
    </w:p>
    <w:p w14:paraId="2ED8E7BB" w14:textId="1360DA61" w:rsidR="00DE54C7" w:rsidRPr="001202CB" w:rsidRDefault="005804EF" w:rsidP="00144A67">
      <w:pPr>
        <w:pStyle w:val="ListParagraph"/>
        <w:numPr>
          <w:ilvl w:val="0"/>
          <w:numId w:val="126"/>
        </w:numPr>
        <w:spacing w:before="60" w:after="60" w:line="276" w:lineRule="auto"/>
        <w:ind w:left="714" w:hanging="357"/>
        <w:contextualSpacing w:val="0"/>
        <w:jc w:val="both"/>
        <w:rPr>
          <w:rFonts w:eastAsia="Times New Roman" w:cs="Times New Roman"/>
          <w:strike/>
          <w:noProof/>
          <w:szCs w:val="24"/>
        </w:rPr>
      </w:pPr>
      <w:r>
        <w:rPr>
          <w:noProof/>
        </w:rPr>
        <w:t>da u mjerenju razine šećera u krvi koje provode zdravstveni radnici jednom godišnje sudjeluje najmanje 65 % osoba u dobi od 25 do 64 godine i najmanje 80 % osoba u dobi od 65 godina i više</w:t>
      </w:r>
      <w:r>
        <w:rPr>
          <w:rStyle w:val="FootnoteReference"/>
          <w:rFonts w:eastAsia="Times New Roman" w:cs="Times New Roman"/>
          <w:noProof/>
        </w:rPr>
        <w:footnoteReference w:id="60"/>
      </w:r>
      <w:r>
        <w:rPr>
          <w:noProof/>
        </w:rPr>
        <w:t xml:space="preserve">. </w:t>
      </w:r>
    </w:p>
    <w:bookmarkEnd w:id="5"/>
    <w:p w14:paraId="523EBFAF"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Prvi stup: prevencija – cjeloživotni personalizirani pristup</w:t>
      </w:r>
    </w:p>
    <w:p w14:paraId="4C4C72BE" w14:textId="77777777" w:rsidR="00DE54C7" w:rsidRPr="000E1D82" w:rsidRDefault="00DE54C7" w:rsidP="00DE54C7">
      <w:pPr>
        <w:jc w:val="both"/>
        <w:rPr>
          <w:rFonts w:cs="Times New Roman"/>
          <w:noProof/>
        </w:rPr>
      </w:pPr>
      <w:r>
        <w:rPr>
          <w:b/>
          <w:noProof/>
        </w:rPr>
        <w:t xml:space="preserve">Prevencija je troškovno najučinkovitija metoda </w:t>
      </w:r>
      <w:r>
        <w:rPr>
          <w:noProof/>
        </w:rPr>
        <w:t xml:space="preserve">za smanjenje velikog tereta </w:t>
      </w:r>
      <w:r>
        <w:rPr>
          <w:b/>
          <w:noProof/>
        </w:rPr>
        <w:t>kardiovaskularnih bolesti</w:t>
      </w:r>
      <w:r>
        <w:rPr>
          <w:noProof/>
        </w:rPr>
        <w:t xml:space="preserve"> i glavnih čimbenika rizika, kao što su </w:t>
      </w:r>
      <w:r>
        <w:rPr>
          <w:b/>
          <w:noProof/>
        </w:rPr>
        <w:t>dijabetes</w:t>
      </w:r>
      <w:r>
        <w:rPr>
          <w:noProof/>
        </w:rPr>
        <w:t xml:space="preserve"> i </w:t>
      </w:r>
      <w:r>
        <w:rPr>
          <w:b/>
          <w:noProof/>
        </w:rPr>
        <w:t>pretilost.</w:t>
      </w:r>
      <w:r>
        <w:rPr>
          <w:noProof/>
        </w:rPr>
        <w:t xml:space="preserve"> </w:t>
      </w:r>
    </w:p>
    <w:p w14:paraId="2BDAB885" w14:textId="29E33B76" w:rsidR="00DE54C7" w:rsidRDefault="00DE54C7" w:rsidP="00DE54C7">
      <w:pPr>
        <w:jc w:val="both"/>
        <w:rPr>
          <w:rFonts w:cs="Times New Roman"/>
          <w:noProof/>
        </w:rPr>
      </w:pPr>
      <w:r>
        <w:rPr>
          <w:noProof/>
        </w:rPr>
        <w:t xml:space="preserve">Kardiovaskularne bolesti velikim se dijelom mogu spriječiti mjerama posvećenima ključnim čimbenicima rizika koji se mogu promijeniti (npr. prehrana, tjelesna aktivnost, konzumacija duhana i štetna konzumacija alkohola). Ključnu ulogu u smanjenju rizika od kardiovaskularnih bolesti, posebno u ranjivim skupinama stanovništva, imaju i okolišne i javnozdravstvene mjere, kao što je smanjenje izloženosti onečišćenju i uzročnicima stresa povezanima s klimom. </w:t>
      </w:r>
    </w:p>
    <w:p w14:paraId="00E58376" w14:textId="0D37476C" w:rsidR="00DE54C7" w:rsidRDefault="00DE54C7" w:rsidP="00DE54C7">
      <w:pPr>
        <w:jc w:val="both"/>
        <w:rPr>
          <w:rStyle w:val="Strong"/>
          <w:b w:val="0"/>
          <w:bCs w:val="0"/>
          <w:noProof/>
        </w:rPr>
      </w:pPr>
      <w:r>
        <w:rPr>
          <w:noProof/>
        </w:rPr>
        <w:t xml:space="preserve">Kako bi se potencijal za prevenciju pretvorio u konkretne mjere, Komisija će pokrenuti novi vodeći program cjeloživotne, personalizirane i digitalne prevencije kardiovaskularnih bolesti </w:t>
      </w:r>
      <w:r>
        <w:rPr>
          <w:rStyle w:val="Strong"/>
          <w:noProof/>
        </w:rPr>
        <w:t>„EU brine o vašem srcu”</w:t>
      </w:r>
      <w:r>
        <w:rPr>
          <w:noProof/>
        </w:rPr>
        <w:t>.</w:t>
      </w:r>
      <w:r>
        <w:rPr>
          <w:rStyle w:val="Strong"/>
          <w:noProof/>
        </w:rPr>
        <w:t xml:space="preserve"> </w:t>
      </w:r>
      <w:r>
        <w:rPr>
          <w:rStyle w:val="Strong"/>
          <w:b w:val="0"/>
          <w:noProof/>
        </w:rPr>
        <w:t xml:space="preserve">Ta vodeća inicijativa pomoći će državama članicama u izgradnji kapaciteta za razvoj ili jačanje nacionalnih planova za kardiovaskularno zdravlje i u njihovu radu na jačanju prevencije, među ostalim primjenom personaliziranih pristupa i digitalnih alata. </w:t>
      </w:r>
    </w:p>
    <w:p w14:paraId="7FF101BB" w14:textId="46DC1699" w:rsidR="00DE54C7" w:rsidRDefault="00DE54C7" w:rsidP="00DE54C7">
      <w:pPr>
        <w:jc w:val="both"/>
        <w:rPr>
          <w:rFonts w:cs="Times New Roman"/>
          <w:noProof/>
        </w:rPr>
      </w:pPr>
      <w:r>
        <w:rPr>
          <w:noProof/>
        </w:rPr>
        <w:t>Nacionalne planove ili strategije za kardiovaskularno zdravlje već ima 13 država članica</w:t>
      </w:r>
      <w:r>
        <w:rPr>
          <w:rStyle w:val="FootnoteReference"/>
          <w:rFonts w:eastAsia="Times New Roman" w:cs="Times New Roman"/>
          <w:noProof/>
        </w:rPr>
        <w:footnoteReference w:id="61"/>
      </w:r>
      <w:r>
        <w:rPr>
          <w:noProof/>
        </w:rPr>
        <w:t>, a taj vodeći program poduprijet će svih 27 država članica</w:t>
      </w:r>
      <w:r>
        <w:rPr>
          <w:rStyle w:val="FootnoteReference"/>
          <w:rFonts w:eastAsia="Times New Roman" w:cs="Times New Roman"/>
          <w:noProof/>
        </w:rPr>
        <w:footnoteReference w:id="62"/>
      </w:r>
      <w:r>
        <w:rPr>
          <w:noProof/>
        </w:rPr>
        <w:t xml:space="preserve"> u izradi i provedbi politika za smanjenje tereta kardiovaskularnih bolesti. U okviru projekta OECD-a koji se financira sredstvima EU-a</w:t>
      </w:r>
      <w:r>
        <w:rPr>
          <w:rStyle w:val="FootnoteReference"/>
          <w:rFonts w:cs="Times New Roman"/>
          <w:noProof/>
        </w:rPr>
        <w:footnoteReference w:id="63"/>
      </w:r>
      <w:r>
        <w:rPr>
          <w:noProof/>
        </w:rPr>
        <w:t xml:space="preserve"> izradit će se ažurirane procjene nacionalnih rashoda za prevenciju u području kardiovaskularnog zdravlja, koje će državama članicama omogućiti da usporede ulaganja, utvrde nedostatke i dobiju strateške smjernice za učinkovitiju raspodjelu resursa. </w:t>
      </w:r>
    </w:p>
    <w:p w14:paraId="5BDC6828" w14:textId="4C73C51E" w:rsidR="00DE54C7" w:rsidRPr="000E1D82" w:rsidRDefault="00DE54C7" w:rsidP="00DE54C7">
      <w:pPr>
        <w:jc w:val="both"/>
        <w:rPr>
          <w:rFonts w:eastAsia="Times New Roman" w:cs="Times New Roman"/>
          <w:noProof/>
        </w:rPr>
      </w:pPr>
      <w:r>
        <w:rPr>
          <w:noProof/>
        </w:rPr>
        <w:t>U okviru tog vodećeg programa uložit će se u potporu državama članicama za poboljšanje prevencije, ranog otkrivanja i skrbi. Primjenjivat će se digitalni alati i personalizirani medicinski pristupi, posebno za ranjive skupine. Cilj će mu biti da se pacijentima i zdravstvenim radnicima pruže digitalni alati za bolju prevenciju te će se u okviru njega ulagati u ciljane mjere dionika za prevenciju i rano otkrivanje</w:t>
      </w:r>
      <w:r>
        <w:rPr>
          <w:rStyle w:val="FootnoteReference"/>
          <w:rFonts w:eastAsia="Times New Roman" w:cs="Times New Roman"/>
          <w:noProof/>
        </w:rPr>
        <w:footnoteReference w:id="64"/>
      </w:r>
      <w:r>
        <w:rPr>
          <w:noProof/>
        </w:rPr>
        <w:t xml:space="preserve"> koje su fokusirane na ranjive skupine.</w:t>
      </w:r>
    </w:p>
    <w:p w14:paraId="62552F66" w14:textId="0D2A4072" w:rsidR="003C642F" w:rsidRDefault="00DE54C7" w:rsidP="00DE54C7">
      <w:pPr>
        <w:jc w:val="both"/>
        <w:rPr>
          <w:rFonts w:eastAsia="Times New Roman" w:cs="Times New Roman"/>
          <w:noProof/>
          <w:szCs w:val="24"/>
        </w:rPr>
      </w:pPr>
      <w:r>
        <w:rPr>
          <w:noProof/>
        </w:rPr>
        <w:t>Neke su države članice</w:t>
      </w:r>
      <w:r>
        <w:rPr>
          <w:rStyle w:val="FootnoteReference"/>
          <w:rFonts w:eastAsia="Times New Roman" w:cs="Times New Roman"/>
          <w:noProof/>
        </w:rPr>
        <w:footnoteReference w:id="65"/>
      </w:r>
      <w:r>
        <w:rPr>
          <w:noProof/>
        </w:rPr>
        <w:t xml:space="preserve"> razvile vlastite integrirane nacionalne ili regionalne digitalne zdravstvene platforme. Sad raspolažu kapacitetima za uvođenje sustava koji se temelje na podacima i umjetnoj inteligenciji u okviru redovitog pružanja zdravstvenih usluga. Njihova iskustva pokazuju postojeći potencijal, od prediktivne analitike i automatizacije dijagnostike do optimizacije sustava i personaliziranih puteva skrbi. Na temelju iskustava tih država članica ciljana ulaganja EU-a mogla bi doprinijeti širenju interoperabilnih rješenja u području skrbi koja se temelje na podacima i umjetnoj inteligenciji u cijelom EU-u. Nekoliko projekata sufinanciranih sredstvima EU-a, kao što je JADECARE</w:t>
      </w:r>
      <w:r>
        <w:rPr>
          <w:rStyle w:val="FootnoteReference"/>
          <w:rFonts w:eastAsia="Times New Roman" w:cs="Times New Roman"/>
          <w:noProof/>
        </w:rPr>
        <w:footnoteReference w:id="66"/>
      </w:r>
      <w:r>
        <w:rPr>
          <w:noProof/>
        </w:rPr>
        <w:t>, već je postavilo temelje za modele digitalno potpomognute skrbi. Komisija namjerava mobilizirati zajednice stvorene u okviru tih projekata, unaprijediti njihove najbolje primjere iz prakse i proširiti njihove inovacije u cijelom EU-u. Sad je vrijeme da se ta postignuća primijene u praksi i tako povežu digitalni resursi EU-a, potakne interoperabilnost i ubrza uvođenje rješenja koja se temelje na umjetnoj inteligenciji kako bi zdravstveni sustavi bili otporniji, pravedniji i učinkovitiji.</w:t>
      </w:r>
    </w:p>
    <w:tbl>
      <w:tblPr>
        <w:tblStyle w:val="TableGrid"/>
        <w:tblW w:w="8921" w:type="dxa"/>
        <w:tblLayout w:type="fixed"/>
        <w:tblLook w:val="04A0" w:firstRow="1" w:lastRow="0" w:firstColumn="1" w:lastColumn="0" w:noHBand="0" w:noVBand="1"/>
      </w:tblPr>
      <w:tblGrid>
        <w:gridCol w:w="8921"/>
      </w:tblGrid>
      <w:tr w:rsidR="00DE54C7" w:rsidRPr="000E1D82" w14:paraId="63398FCA" w14:textId="77777777">
        <w:trPr>
          <w:trHeight w:val="43"/>
        </w:trPr>
        <w:tc>
          <w:tcPr>
            <w:tcW w:w="8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8C1277" w14:textId="662CDD2D" w:rsidR="00D8171C" w:rsidRPr="00DA7334" w:rsidRDefault="00DE54C7" w:rsidP="00337309">
            <w:pPr>
              <w:spacing w:before="120" w:after="160" w:line="259" w:lineRule="auto"/>
              <w:jc w:val="both"/>
              <w:rPr>
                <w:rFonts w:eastAsia="Times New Roman" w:cs="Times New Roman"/>
                <w:b/>
                <w:noProof/>
                <w:szCs w:val="24"/>
              </w:rPr>
            </w:pPr>
            <w:r>
              <w:rPr>
                <w:b/>
                <w:noProof/>
              </w:rPr>
              <w:t xml:space="preserve">Vodeća inicijativa: cjeloživotna, personalizirana i digitalna prevencija – program „EU brine o vašem srcu” </w:t>
            </w:r>
          </w:p>
          <w:p w14:paraId="758081F6" w14:textId="01D9265E" w:rsidR="00DE54C7" w:rsidRPr="000E1D82" w:rsidRDefault="00DE54C7" w:rsidP="00337309">
            <w:pPr>
              <w:spacing w:before="120" w:after="160" w:line="259" w:lineRule="auto"/>
              <w:jc w:val="both"/>
              <w:rPr>
                <w:noProof/>
                <w:color w:val="000000" w:themeColor="text1"/>
              </w:rPr>
            </w:pPr>
            <w:r>
              <w:rPr>
                <w:noProof/>
                <w:color w:val="000000" w:themeColor="text1"/>
              </w:rPr>
              <w:t xml:space="preserve">Plan za zdravlje srca potiče države članice da, uzimajući u obzir postojeće inicijative, izrade ili provedu samostalne ili integrirane </w:t>
            </w:r>
            <w:r>
              <w:rPr>
                <w:b/>
                <w:noProof/>
                <w:color w:val="000000" w:themeColor="text1"/>
              </w:rPr>
              <w:t>nacionalne planove za kardiovaskularno zdravlje do 2027.</w:t>
            </w:r>
            <w:r>
              <w:rPr>
                <w:noProof/>
                <w:color w:val="000000" w:themeColor="text1"/>
              </w:rPr>
              <w:t xml:space="preserve"> i u njemu će se predložiti mjere koje će državama članicama pomoći </w:t>
            </w:r>
            <w:r>
              <w:rPr>
                <w:noProof/>
              </w:rPr>
              <w:t>u</w:t>
            </w:r>
            <w:r>
              <w:rPr>
                <w:noProof/>
                <w:color w:val="000000" w:themeColor="text1"/>
              </w:rPr>
              <w:t xml:space="preserve"> tome. </w:t>
            </w:r>
          </w:p>
          <w:p w14:paraId="41B1F610" w14:textId="492CBB0C" w:rsidR="00DE54C7" w:rsidRPr="000E1D82" w:rsidRDefault="00DE54C7" w:rsidP="00DE54C7">
            <w:pPr>
              <w:spacing w:after="240"/>
              <w:jc w:val="both"/>
              <w:rPr>
                <w:rFonts w:eastAsia="Calibri"/>
                <w:noProof/>
              </w:rPr>
            </w:pPr>
            <w:r>
              <w:rPr>
                <w:noProof/>
              </w:rPr>
              <w:t xml:space="preserve">Komisija namjerava oblikovati taj vodeći program zajedno s državama članicama i dionicima, uključujući bolnice, javnozdravstvenu zajednicu, industriju, akademsku zajednicu i građane, osobito mlade, kako bi program podupro nacionalne zdravstvene sustave i stavio građane u središte radi boljeg zdravlja u budućnosti. </w:t>
            </w:r>
          </w:p>
        </w:tc>
      </w:tr>
    </w:tbl>
    <w:p w14:paraId="324E1944" w14:textId="4656A8E1" w:rsidR="00DE54C7" w:rsidRPr="000E1D82" w:rsidRDefault="00DE54C7" w:rsidP="00DE54C7">
      <w:pPr>
        <w:tabs>
          <w:tab w:val="left" w:pos="5780"/>
          <w:tab w:val="left" w:pos="8180"/>
        </w:tabs>
        <w:spacing w:before="120" w:after="240"/>
        <w:jc w:val="both"/>
        <w:rPr>
          <w:rFonts w:cs="Times New Roman"/>
          <w:noProof/>
        </w:rPr>
      </w:pPr>
      <w:r>
        <w:rPr>
          <w:b/>
          <w:noProof/>
          <w:color w:val="000000"/>
          <w:shd w:val="clear" w:color="auto" w:fill="FFFFFF"/>
        </w:rPr>
        <w:t xml:space="preserve">Zdrave prehrambene navike </w:t>
      </w:r>
      <w:r>
        <w:rPr>
          <w:noProof/>
          <w:color w:val="000000"/>
          <w:shd w:val="clear" w:color="auto" w:fill="FFFFFF"/>
        </w:rPr>
        <w:t>(npr.</w:t>
      </w:r>
      <w:r>
        <w:rPr>
          <w:b/>
          <w:noProof/>
          <w:color w:val="000000"/>
          <w:shd w:val="clear" w:color="auto" w:fill="FFFFFF"/>
        </w:rPr>
        <w:t xml:space="preserve"> </w:t>
      </w:r>
      <w:r>
        <w:rPr>
          <w:noProof/>
          <w:color w:val="000000"/>
          <w:shd w:val="clear" w:color="auto" w:fill="FFFFFF"/>
        </w:rPr>
        <w:t>svakodnevni unos voća i povrća te konzumiranje</w:t>
      </w:r>
      <w:r>
        <w:rPr>
          <w:noProof/>
          <w:color w:val="000000" w:themeColor="text1"/>
        </w:rPr>
        <w:t xml:space="preserve"> </w:t>
      </w:r>
      <w:r>
        <w:rPr>
          <w:noProof/>
          <w:color w:val="000000"/>
          <w:shd w:val="clear" w:color="auto" w:fill="FFFFFF"/>
        </w:rPr>
        <w:t>manje šećera, zasićenih masti i soli</w:t>
      </w:r>
      <w:r>
        <w:rPr>
          <w:noProof/>
          <w:color w:val="000000" w:themeColor="text1"/>
        </w:rPr>
        <w:t xml:space="preserve"> kad negativno utječu na zdravlje i nerazmjerno se konzumiraju u okviru dnevne ili tjedne prehrane)</w:t>
      </w:r>
      <w:r>
        <w:rPr>
          <w:noProof/>
          <w:color w:val="000000"/>
          <w:shd w:val="clear" w:color="auto" w:fill="FFFFFF"/>
        </w:rPr>
        <w:t xml:space="preserve"> smanjuju rizik od kardiovaskularnih bolesti. </w:t>
      </w:r>
      <w:r>
        <w:rPr>
          <w:noProof/>
        </w:rPr>
        <w:t>U novim istraživanjima</w:t>
      </w:r>
      <w:r>
        <w:rPr>
          <w:rStyle w:val="FootnoteReference"/>
          <w:rFonts w:cs="Times New Roman"/>
          <w:noProof/>
        </w:rPr>
        <w:footnoteReference w:id="67"/>
      </w:r>
      <w:r>
        <w:rPr>
          <w:noProof/>
        </w:rPr>
        <w:t xml:space="preserve"> istaknuta je i uloga prehrane u oblikovanju crijevnog mikrobioma, što nudi nove mogućnosti za personaliziranu medicinu kako bi se ublažili čimbenici rizika. Prehrambene navike utječu i na oralno zdravlje, koje je pak važan element kardiovaskularnog zdravlja</w:t>
      </w:r>
      <w:r>
        <w:rPr>
          <w:rStyle w:val="FootnoteReference"/>
          <w:rFonts w:cs="Times New Roman"/>
          <w:noProof/>
        </w:rPr>
        <w:footnoteReference w:id="68"/>
      </w:r>
      <w:r>
        <w:rPr>
          <w:noProof/>
        </w:rPr>
        <w:t xml:space="preserve">. </w:t>
      </w:r>
    </w:p>
    <w:p w14:paraId="792C1A38" w14:textId="69BAABDF" w:rsidR="00DE54C7" w:rsidRDefault="00DE54C7" w:rsidP="00DE54C7">
      <w:pPr>
        <w:jc w:val="both"/>
        <w:rPr>
          <w:rFonts w:eastAsiaTheme="minorEastAsia" w:cs="Times New Roman"/>
          <w:noProof/>
        </w:rPr>
      </w:pPr>
      <w:r>
        <w:rPr>
          <w:noProof/>
          <w:color w:val="000000" w:themeColor="text1"/>
        </w:rPr>
        <w:t>Komisija podupire mjere za poboljšanje prehrambenih navika, među ostalim EU-ovim Kodeksom ponašanja za odgovorno poslovanje s hranom i postupanje na tržištu</w:t>
      </w:r>
      <w:r>
        <w:rPr>
          <w:rStyle w:val="FootnoteReference"/>
          <w:noProof/>
          <w:color w:val="000000" w:themeColor="text1"/>
        </w:rPr>
        <w:footnoteReference w:id="69"/>
      </w:r>
      <w:r>
        <w:rPr>
          <w:noProof/>
          <w:color w:val="000000" w:themeColor="text1"/>
        </w:rPr>
        <w:t xml:space="preserve"> (poznat i kao „Kodeks ponašanja u poljoprivredno-prehrambenom sektoru”), koji je izradila prehrambena industrija, kao i okvira politike za istraživanja i inovacije Food 2030</w:t>
      </w:r>
      <w:r>
        <w:rPr>
          <w:rStyle w:val="FootnoteReference"/>
          <w:noProof/>
          <w:color w:val="000000" w:themeColor="text1"/>
        </w:rPr>
        <w:footnoteReference w:id="70"/>
      </w:r>
      <w:r>
        <w:rPr>
          <w:noProof/>
          <w:color w:val="000000" w:themeColor="text1"/>
        </w:rPr>
        <w:t xml:space="preserve"> uvedenog u sklopu programa Obzor Europa. Osim toga, Komisija </w:t>
      </w:r>
      <w:r>
        <w:rPr>
          <w:noProof/>
          <w:color w:val="000000"/>
          <w:shd w:val="clear" w:color="auto" w:fill="FFFFFF"/>
        </w:rPr>
        <w:t xml:space="preserve">podupire nacionalne inicijative za reformulaciju hrane kako bi se smanjile razine zasićenih masti, šećera i soli </w:t>
      </w:r>
      <w:r>
        <w:rPr>
          <w:noProof/>
          <w:color w:val="000000" w:themeColor="text1"/>
        </w:rPr>
        <w:t xml:space="preserve">u cjelokupnoj dnevnoj ili tjednoj prehrani </w:t>
      </w:r>
      <w:r>
        <w:rPr>
          <w:noProof/>
          <w:color w:val="000000"/>
          <w:shd w:val="clear" w:color="auto" w:fill="FFFFFF"/>
        </w:rPr>
        <w:t>te promiče konzumaciju</w:t>
      </w:r>
      <w:r>
        <w:rPr>
          <w:noProof/>
          <w:color w:val="000000" w:themeColor="text1"/>
        </w:rPr>
        <w:t xml:space="preserve"> voća i povrća. </w:t>
      </w:r>
      <w:r>
        <w:rPr>
          <w:noProof/>
        </w:rPr>
        <w:t>Završila je preispitivanje uspješnog EU-ova programa voća, povrća i mlijeka i mliječnih proizvoda u školama te je predložila da se on nastavi i nakon 2027.</w:t>
      </w:r>
      <w:r>
        <w:rPr>
          <w:rStyle w:val="FootnoteReference"/>
          <w:noProof/>
        </w:rPr>
        <w:footnoteReference w:id="71"/>
      </w:r>
      <w:r>
        <w:rPr>
          <w:noProof/>
        </w:rPr>
        <w:t xml:space="preserve"> Moglo bi se poduprijeti i potaknuti lokalne vlasti da vode računa o tome da se u javnim ustanovama kao što su škole, bolnice i državni objekti poslužuje zdrava hrana. Da bi zajamčile posluživanje zdrave hrane u javnim ustanovama, lokalne vlasti mogu koristiti izvješće o kriterijima za održivu javnu nabavu hrane, ugostiteljskih usluga i automata za prodaju koje je nedavno objavio Zajednički istraživački centar</w:t>
      </w:r>
      <w:r>
        <w:rPr>
          <w:rStyle w:val="FootnoteReference"/>
          <w:rFonts w:eastAsiaTheme="minorEastAsia" w:cs="Times New Roman"/>
          <w:noProof/>
        </w:rPr>
        <w:footnoteReference w:id="72"/>
      </w:r>
      <w:r>
        <w:rPr>
          <w:noProof/>
        </w:rPr>
        <w:t xml:space="preserve">. </w:t>
      </w:r>
    </w:p>
    <w:p w14:paraId="36F091D9" w14:textId="5AF9189E" w:rsidR="00DE54C7" w:rsidRPr="00914153" w:rsidRDefault="00DE54C7" w:rsidP="00DE54C7">
      <w:pPr>
        <w:jc w:val="both"/>
        <w:rPr>
          <w:rFonts w:eastAsiaTheme="minorEastAsia"/>
          <w:noProof/>
        </w:rPr>
      </w:pPr>
      <w:r>
        <w:rPr>
          <w:noProof/>
        </w:rPr>
        <w:t>S obzirom na povećanje nezaraznih bolesti povezanih s nezdravom prehranom i takozvanom ultraprerađenom hranom potrebno je pružiti jasne informacije kako bi građani bili svjesni prehrambene ponude i po mogućnosti odabrali zdraviju hranu. Informacije o hrani koje se temelje na dokazima također mogu poslužiti kao osnova za intervencije EU-a ili nacionalne intervencije usmjerene na nezdrave prehrambene proizvode i poticanje reformulacije hrane.</w:t>
      </w:r>
    </w:p>
    <w:p w14:paraId="1CC8FE89" w14:textId="19C21E2D" w:rsidR="00DE54C7" w:rsidRDefault="00DE54C7" w:rsidP="00914153">
      <w:pPr>
        <w:jc w:val="both"/>
        <w:rPr>
          <w:rFonts w:eastAsiaTheme="minorEastAsia" w:cs="Times New Roman"/>
          <w:noProof/>
        </w:rPr>
      </w:pPr>
      <w:r>
        <w:rPr>
          <w:noProof/>
        </w:rPr>
        <w:t>Komisija je pokrenula studiju</w:t>
      </w:r>
      <w:r>
        <w:rPr>
          <w:rStyle w:val="FootnoteReference"/>
          <w:rFonts w:eastAsiaTheme="minorEastAsia" w:cs="Times New Roman"/>
          <w:noProof/>
        </w:rPr>
        <w:footnoteReference w:id="73"/>
      </w:r>
      <w:r>
        <w:rPr>
          <w:noProof/>
        </w:rPr>
        <w:t xml:space="preserve"> o učinku konzumacije takozvane ultraprerađene hrane na temelju mišljenja Znanstvenog savjetodavnog mehanizma (SAM) i Europske skupine za etiku (EGE). Ta će mišljenja doprinijeti godišnjem dijalogu o hrani uspostavljenom u okviru Vizije za hranu i poljoprivredu</w:t>
      </w:r>
      <w:r>
        <w:rPr>
          <w:rStyle w:val="FootnoteReference"/>
          <w:rFonts w:eastAsiaTheme="minorEastAsia" w:cs="Times New Roman"/>
          <w:noProof/>
        </w:rPr>
        <w:footnoteReference w:id="74"/>
      </w:r>
      <w:r>
        <w:rPr>
          <w:noProof/>
        </w:rPr>
        <w:t xml:space="preserve">. </w:t>
      </w:r>
    </w:p>
    <w:tbl>
      <w:tblPr>
        <w:tblStyle w:val="TableGrid"/>
        <w:tblW w:w="8921" w:type="dxa"/>
        <w:tblLayout w:type="fixed"/>
        <w:tblLook w:val="04A0" w:firstRow="1" w:lastRow="0" w:firstColumn="1" w:lastColumn="0" w:noHBand="0" w:noVBand="1"/>
      </w:tblPr>
      <w:tblGrid>
        <w:gridCol w:w="8921"/>
      </w:tblGrid>
      <w:tr w:rsidR="008111F6" w:rsidRPr="000E1D82" w14:paraId="519302F3" w14:textId="77777777">
        <w:trPr>
          <w:trHeight w:val="43"/>
        </w:trPr>
        <w:tc>
          <w:tcPr>
            <w:tcW w:w="8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1B8C1B" w14:textId="6150E4CF" w:rsidR="008111F6" w:rsidRPr="00DA7334" w:rsidRDefault="008111F6">
            <w:pPr>
              <w:spacing w:before="120" w:after="160" w:line="259" w:lineRule="auto"/>
              <w:jc w:val="both"/>
              <w:rPr>
                <w:rFonts w:eastAsia="Times New Roman" w:cs="Times New Roman"/>
                <w:b/>
                <w:noProof/>
                <w:szCs w:val="24"/>
              </w:rPr>
            </w:pPr>
            <w:r>
              <w:rPr>
                <w:b/>
                <w:noProof/>
              </w:rPr>
              <w:t xml:space="preserve">Vodeća inicijativa: informiranje potrošača o preradi hrane u EU-u kako bi im se omogućilo donošenje boljih odluka </w:t>
            </w:r>
          </w:p>
          <w:p w14:paraId="5879BEA1" w14:textId="3F4ECA63" w:rsidR="008111F6" w:rsidRPr="000E1D82" w:rsidRDefault="008111F6" w:rsidP="008111F6">
            <w:pPr>
              <w:spacing w:before="120" w:after="160" w:line="259" w:lineRule="auto"/>
              <w:jc w:val="both"/>
              <w:rPr>
                <w:rFonts w:eastAsia="Calibri"/>
                <w:noProof/>
              </w:rPr>
            </w:pPr>
            <w:r>
              <w:rPr>
                <w:noProof/>
                <w:color w:val="000000" w:themeColor="text1"/>
              </w:rPr>
              <w:t>Komisija će raditi na novom sveobuhvatnom sustavu ocjene prerade hrane te će analizirati porcije, učestalost unosa i ulogu u prehrani kako bi se potrošačima pružile transparentne, dostupne i znanstveno utemeljene digitalne informacije o preradi hrane da bi im se omogućilo donošenje boljih odluka</w:t>
            </w:r>
            <w:r>
              <w:rPr>
                <w:noProof/>
              </w:rPr>
              <w:t xml:space="preserve"> i u konačnici ih se potaknulo da prijeđu na zdraviju prehranu.</w:t>
            </w:r>
          </w:p>
        </w:tc>
      </w:tr>
    </w:tbl>
    <w:p w14:paraId="630BE759" w14:textId="27E95B39" w:rsidR="00DE54C7" w:rsidRPr="000E1D82" w:rsidRDefault="00DE54C7" w:rsidP="00DE54C7">
      <w:pPr>
        <w:spacing w:before="120"/>
        <w:jc w:val="both"/>
        <w:rPr>
          <w:noProof/>
        </w:rPr>
      </w:pPr>
      <w:r>
        <w:rPr>
          <w:b/>
          <w:noProof/>
        </w:rPr>
        <w:t>Pušenje</w:t>
      </w:r>
      <w:r>
        <w:rPr>
          <w:noProof/>
        </w:rPr>
        <w:t xml:space="preserve"> je jedan od glavnih uzroka kardiovaskularnih i drugih nezaraznih bolesti. Oko 20 % koronarnih bolesti srca uzrokovano je aktivnim pušenjem i izloženošću duhanskom dimu iz druge ruke. Iako je već ostvaren znatan napredak, udio pušača u EU-u i dalje je visok, posebno među mladima. Godine 2022.</w:t>
      </w:r>
      <w:r>
        <w:rPr>
          <w:rStyle w:val="FootnoteReference"/>
          <w:noProof/>
        </w:rPr>
        <w:footnoteReference w:id="75"/>
      </w:r>
      <w:r>
        <w:rPr>
          <w:noProof/>
        </w:rPr>
        <w:t xml:space="preserve"> više od 16 % petnaestogodišnjaka koji su sudjelovali u istraživanju izjavilo je da je barem jednom u prethodnih mjesec dana pušilo cigarete. </w:t>
      </w:r>
    </w:p>
    <w:p w14:paraId="5AB73AB7" w14:textId="32A25F74" w:rsidR="00DE54C7" w:rsidRDefault="00DE54C7" w:rsidP="00DE54C7">
      <w:pPr>
        <w:jc w:val="both"/>
        <w:rPr>
          <w:noProof/>
        </w:rPr>
      </w:pPr>
      <w:r>
        <w:rPr>
          <w:noProof/>
        </w:rPr>
        <w:t>Zakonodavni okvir EU-a o nadzoru nad duhanom</w:t>
      </w:r>
      <w:r>
        <w:rPr>
          <w:rStyle w:val="FootnoteReference"/>
          <w:rFonts w:eastAsiaTheme="minorEastAsia" w:cs="Times New Roman"/>
          <w:noProof/>
        </w:rPr>
        <w:footnoteReference w:id="76"/>
      </w:r>
      <w:r>
        <w:rPr>
          <w:noProof/>
        </w:rPr>
        <w:t xml:space="preserve"> uspješno je doprinio znatnom smanjenju udjela pušača, pa tako i među mladima</w:t>
      </w:r>
      <w:r>
        <w:rPr>
          <w:rStyle w:val="FootnoteReference"/>
          <w:rFonts w:cs="Times New Roman"/>
          <w:noProof/>
        </w:rPr>
        <w:footnoteReference w:id="77"/>
      </w:r>
      <w:r>
        <w:rPr>
          <w:noProof/>
        </w:rPr>
        <w:t xml:space="preserve">. Međutim, novi duhanski i nikotinski proizvodi, kao što su grijani duhanski proizvodi, e-cigarete i nikotinske vrećice, sve su popularniji posljednjih godina, posebno među mladima. Novi dokazi ukazuju na zdravstvene rizike povezane s tim proizvodima i pokazuju da ti proizvodi mogu predstavljati međukorak prema ovisnosti o nikotinu i konzumaciji tradicionalnih duhanskih proizvoda. Kako bi se zaštitilo mlade posebno od štetnih učinaka duhana i srodnih proizvoda, Komisija uzima u obzir ta nova kretanja i tržišne trendove u svojoj aktualnoj evaluaciji zakonodavnog okvira o nadzoru nad duhanom. </w:t>
      </w:r>
    </w:p>
    <w:p w14:paraId="3A488264" w14:textId="4CB6FE9F" w:rsidR="00DE54C7" w:rsidRDefault="00DE54C7" w:rsidP="00DE54C7">
      <w:pPr>
        <w:jc w:val="both"/>
        <w:rPr>
          <w:noProof/>
        </w:rPr>
      </w:pPr>
      <w:r>
        <w:rPr>
          <w:noProof/>
        </w:rPr>
        <w:t>Oporezivanje na razini EU-a ima ključnu ulogu u smanjenju čimbenika rizika povezanih s načinom života. Oko 40 % smanjenja pušenja u EU-u u proteklih deset godina može se pripisati oporezivanju</w:t>
      </w:r>
      <w:r>
        <w:rPr>
          <w:rStyle w:val="FootnoteReference"/>
          <w:noProof/>
        </w:rPr>
        <w:footnoteReference w:id="78"/>
      </w:r>
      <w:r>
        <w:rPr>
          <w:noProof/>
        </w:rPr>
        <w:t>. Prema Svjetskoj zdravstvenoj organizaciji (SZO), oporezivanje je jedan od najučinkovitijih načina smanjenja konzumacije duhana</w:t>
      </w:r>
      <w:r>
        <w:rPr>
          <w:rStyle w:val="FootnoteReference"/>
          <w:noProof/>
        </w:rPr>
        <w:footnoteReference w:id="79"/>
      </w:r>
      <w:r>
        <w:rPr>
          <w:noProof/>
        </w:rPr>
        <w:t>. Komisija je 16. srpnja 2025. donijela Prijedlog izmjene Direktive o oporezivanju duhana</w:t>
      </w:r>
      <w:r>
        <w:rPr>
          <w:rStyle w:val="FootnoteReference"/>
          <w:noProof/>
        </w:rPr>
        <w:footnoteReference w:id="80"/>
      </w:r>
      <w:r>
        <w:rPr>
          <w:noProof/>
        </w:rPr>
        <w:t xml:space="preserve"> kako bi se povećale trošarine na tradicionalne duhanske proizvode i uskladilo oporezivanje novih duhanskih i nikotinskih proizvoda, kao što su e-cigarete, grijani duhanski proizvodi, nikotinske vrećice i drugi nikotinski proizvodi. S obzirom na nove izazove u području javnog zdravlja i znatne promjene na tržištu, ta reforma ima za cilj modernizirati Direktivu o oporezivanju duhana u skladu sa zdravstvenim i gospodarskim prioritetima EU-a te ojačati jedinstveno tržište. Revizija te direktive na bitan će način doprinijeti ostvarenju cilja generacije bez duhana iz europskog plana za borbu protiv raka, prema kojem treba postići da do 2040. manje od 5 % stanovništva konzumira duhan.</w:t>
      </w:r>
    </w:p>
    <w:tbl>
      <w:tblPr>
        <w:tblStyle w:val="TableGrid"/>
        <w:tblW w:w="9015" w:type="dxa"/>
        <w:tblLayout w:type="fixed"/>
        <w:tblLook w:val="04A0" w:firstRow="1" w:lastRow="0" w:firstColumn="1" w:lastColumn="0" w:noHBand="0" w:noVBand="1"/>
      </w:tblPr>
      <w:tblGrid>
        <w:gridCol w:w="9015"/>
      </w:tblGrid>
      <w:tr w:rsidR="00DE54C7" w:rsidRPr="000E1D82" w14:paraId="64C47091"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BF08D4" w14:textId="5D98563A" w:rsidR="00DE54C7" w:rsidRPr="00DA7334" w:rsidRDefault="00DE54C7" w:rsidP="00DA7334">
            <w:pPr>
              <w:spacing w:before="120" w:after="160" w:line="259" w:lineRule="auto"/>
              <w:jc w:val="both"/>
              <w:rPr>
                <w:rFonts w:eastAsia="Times New Roman" w:cs="Times New Roman"/>
                <w:b/>
                <w:noProof/>
                <w:szCs w:val="24"/>
              </w:rPr>
            </w:pPr>
            <w:r>
              <w:rPr>
                <w:b/>
                <w:noProof/>
              </w:rPr>
              <w:t xml:space="preserve">Vodeća inicijativa: modernizacija propisa o nadzoru nad duhanom </w:t>
            </w:r>
          </w:p>
          <w:p w14:paraId="5DC25FF7" w14:textId="0A395C66" w:rsidR="00DE54C7" w:rsidRPr="00E4479F" w:rsidRDefault="00DE54C7" w:rsidP="007371CA">
            <w:pPr>
              <w:spacing w:before="120" w:after="160" w:line="259" w:lineRule="auto"/>
              <w:jc w:val="both"/>
              <w:rPr>
                <w:noProof/>
                <w:color w:val="000000" w:themeColor="text1"/>
              </w:rPr>
            </w:pPr>
            <w:r>
              <w:rPr>
                <w:noProof/>
                <w:color w:val="000000" w:themeColor="text1"/>
              </w:rPr>
              <w:t xml:space="preserve">Komisija 2026. planira predložiti reviziju zakonodavnog okvira o nadzoru nad duhanom.  </w:t>
            </w:r>
          </w:p>
          <w:p w14:paraId="04E8745B" w14:textId="18A048AD" w:rsidR="00DE54C7" w:rsidRPr="000E1D82" w:rsidRDefault="00DE54C7" w:rsidP="00E4479F">
            <w:pPr>
              <w:spacing w:before="120" w:after="160" w:line="259" w:lineRule="auto"/>
              <w:jc w:val="both"/>
              <w:rPr>
                <w:rFonts w:eastAsia="Calibri" w:cs="Times New Roman"/>
                <w:noProof/>
              </w:rPr>
            </w:pPr>
            <w:r>
              <w:rPr>
                <w:noProof/>
                <w:color w:val="000000" w:themeColor="text1"/>
              </w:rPr>
              <w:t>Dugoročni je cilj da do 2040. manje od 5 % odraslih konzumira duhan</w:t>
            </w:r>
            <w:r>
              <w:rPr>
                <w:rStyle w:val="FootnoteReference"/>
                <w:rFonts w:eastAsia="Times New Roman" w:cs="Times New Roman"/>
                <w:noProof/>
              </w:rPr>
              <w:footnoteReference w:id="81"/>
            </w:r>
            <w:r>
              <w:rPr>
                <w:noProof/>
              </w:rPr>
              <w:t xml:space="preserve">. </w:t>
            </w:r>
          </w:p>
        </w:tc>
      </w:tr>
    </w:tbl>
    <w:p w14:paraId="5F1F5CA4" w14:textId="06716027" w:rsidR="00DE54C7" w:rsidRPr="000E1D82" w:rsidRDefault="00DE54C7" w:rsidP="00DE54C7">
      <w:pPr>
        <w:spacing w:before="120" w:after="60"/>
        <w:jc w:val="both"/>
        <w:rPr>
          <w:noProof/>
        </w:rPr>
      </w:pPr>
      <w:r>
        <w:rPr>
          <w:b/>
          <w:noProof/>
          <w:color w:val="000000"/>
          <w:shd w:val="clear" w:color="auto" w:fill="FFFFFF"/>
        </w:rPr>
        <w:t>Štetna konzumacija alkohola</w:t>
      </w:r>
      <w:r>
        <w:rPr>
          <w:b/>
          <w:noProof/>
        </w:rPr>
        <w:t xml:space="preserve"> </w:t>
      </w:r>
      <w:r>
        <w:rPr>
          <w:noProof/>
        </w:rPr>
        <w:t xml:space="preserve">čimbenik je rizika za kardiovaskularne bolesti. Razine i obrasci konzumacije alkohola znatno se razlikuju u EU-u. </w:t>
      </w:r>
    </w:p>
    <w:p w14:paraId="5131E3FB" w14:textId="4D6613D3" w:rsidR="00DE54C7" w:rsidRPr="000E1D82" w:rsidRDefault="00DE54C7" w:rsidP="00DE54C7">
      <w:pPr>
        <w:spacing w:before="120" w:after="60"/>
        <w:jc w:val="both"/>
        <w:rPr>
          <w:noProof/>
        </w:rPr>
      </w:pPr>
      <w:r>
        <w:rPr>
          <w:noProof/>
        </w:rPr>
        <w:t>Štetna konzumacija alkohola, uključujući konzumaciju među maloljetnicima i nekontrolirano opijanje od rane dobi, velik je problem</w:t>
      </w:r>
      <w:r>
        <w:rPr>
          <w:rStyle w:val="FootnoteReference"/>
          <w:noProof/>
        </w:rPr>
        <w:footnoteReference w:id="82"/>
      </w:r>
      <w:r>
        <w:rPr>
          <w:noProof/>
        </w:rPr>
        <w:t>. Čini se da su alkoholna pića kao što su „alcopops”</w:t>
      </w:r>
      <w:r>
        <w:rPr>
          <w:rStyle w:val="FootnoteReference"/>
          <w:noProof/>
        </w:rPr>
        <w:footnoteReference w:id="83"/>
      </w:r>
      <w:r>
        <w:rPr>
          <w:noProof/>
        </w:rPr>
        <w:t xml:space="preserve"> posebno privlačna mladima. Zbog toga su potrebni ciljani pristupi koji se primarno bave štetnom konzumacijom alkohola, posebno konzumacijom među maloljetnicima i nekontroliranim opijanjem</w:t>
      </w:r>
      <w:r>
        <w:rPr>
          <w:rStyle w:val="FootnoteReference"/>
          <w:noProof/>
        </w:rPr>
        <w:footnoteReference w:id="84"/>
      </w:r>
      <w:r>
        <w:rPr>
          <w:noProof/>
        </w:rPr>
        <w:t>.</w:t>
      </w:r>
    </w:p>
    <w:p w14:paraId="0203FD50" w14:textId="35FF63CD" w:rsidR="00DE54C7" w:rsidRDefault="00DE54C7" w:rsidP="00DE54C7">
      <w:pPr>
        <w:spacing w:before="120" w:after="240"/>
        <w:jc w:val="both"/>
        <w:rPr>
          <w:noProof/>
        </w:rPr>
      </w:pPr>
      <w:r>
        <w:rPr>
          <w:noProof/>
        </w:rPr>
        <w:t>Pristojbe, carine i porezi mogu utjecati na ponašanje potrošača i potaknuti ih da donose zdravije odluke o hrani, među ostalim ograničavanjem konzumacije zašećerenih bezalkoholnih pića i alkoholnih pića</w:t>
      </w:r>
      <w:r>
        <w:rPr>
          <w:noProof/>
          <w:vertAlign w:val="superscript"/>
        </w:rPr>
        <w:footnoteReference w:id="85"/>
      </w:r>
      <w:r>
        <w:rPr>
          <w:noProof/>
        </w:rPr>
        <w:t>. Od 2015. 13 država članica uvelo je poreze na nezdrave prehrambene proizvode – većina se odnosi na zašećerena bezalkoholna pića, a neki na prehrambene proizvode s visokim udjelom masti, šećera i soli</w:t>
      </w:r>
      <w:r>
        <w:rPr>
          <w:noProof/>
          <w:vertAlign w:val="superscript"/>
        </w:rPr>
        <w:footnoteReference w:id="86"/>
      </w:r>
      <w:r>
        <w:rPr>
          <w:noProof/>
        </w:rPr>
        <w:t xml:space="preserve">. Komisija će nastaviti podupirati države članice u daljnjem oporezivanju tako što će s njima raspravljati o oblikovanju i praktičnoj provedbi mjera koje se primjenjuju na bezalkoholna pića. </w:t>
      </w:r>
    </w:p>
    <w:p w14:paraId="00DAA5BD" w14:textId="2E6DBDE9" w:rsidR="00E82A17" w:rsidRDefault="00E82A17" w:rsidP="00DF4938">
      <w:pPr>
        <w:jc w:val="both"/>
        <w:rPr>
          <w:noProof/>
        </w:rPr>
      </w:pPr>
      <w:r>
        <w:rPr>
          <w:b/>
          <w:noProof/>
        </w:rPr>
        <w:t>Održiva potpora prevenciji na razini EU-a:</w:t>
      </w:r>
      <w:r>
        <w:rPr>
          <w:noProof/>
        </w:rPr>
        <w:t xml:space="preserve"> prema istraživanju Eurobarometra iz 2025. građani smatraju da je javno zdravlje jedno od pet najvažnijih područja za EU</w:t>
      </w:r>
      <w:r>
        <w:rPr>
          <w:rStyle w:val="FootnoteReference"/>
          <w:noProof/>
        </w:rPr>
        <w:footnoteReference w:id="87"/>
      </w:r>
      <w:r>
        <w:rPr>
          <w:noProof/>
        </w:rPr>
        <w:t>. U 2022. na preventivne usluge odnosilo se 5,5 % ukupnih rashoda EU-a za zdravstvenu skrb. Najveći udio imala je skrb u obliku liječenja i rehabilitacije (51,9 %), a slijedili su je medicinski proizvodi kao što su lijekovi (17,8 %) i dugotrajna skrb (16,2 %). U većini nacionalnih proračuna za zdravstvenu skrb rashodi za prevenciju manji su od 5 %</w:t>
      </w:r>
      <w:r>
        <w:rPr>
          <w:rStyle w:val="FootnoteReference"/>
          <w:noProof/>
        </w:rPr>
        <w:footnoteReference w:id="88"/>
      </w:r>
      <w:r>
        <w:rPr>
          <w:noProof/>
        </w:rPr>
        <w:t xml:space="preserve">. U tom se kontekstu predlaže da se državama članicama pruži potpora u radu na primarnoj prevenciji. </w:t>
      </w:r>
    </w:p>
    <w:p w14:paraId="770C2181" w14:textId="431B57E8" w:rsidR="00DF4938" w:rsidRDefault="00DE54C7" w:rsidP="00DF4938">
      <w:pPr>
        <w:jc w:val="both"/>
        <w:rPr>
          <w:noProof/>
        </w:rPr>
      </w:pPr>
      <w:r>
        <w:rPr>
          <w:noProof/>
        </w:rPr>
        <w:t>Postoje dokazi koji povezuju unos takozvane ultraprerađene hrane s visokim udjelom šećera, masti i soli s rizikom od razvoja pretilosti, dijabetesa i niza metaboličkih bolesti, koji su čimbenici rizika za kardiovaskularne bolesti</w:t>
      </w:r>
      <w:r>
        <w:rPr>
          <w:rStyle w:val="FootnoteReference"/>
          <w:noProof/>
        </w:rPr>
        <w:footnoteReference w:id="89"/>
      </w:r>
      <w:r>
        <w:rPr>
          <w:noProof/>
        </w:rPr>
        <w:t xml:space="preserve">. Stoga te bolesti ozbiljno utječu ne samo na građane EU-a, nego i na zdravstvene sustave i opću konkurentnost EU-a. U tom bi kontekstu trebalo razmotriti inicijativu o takozvanoj ultraprerađenoj hrani povezanu s tim morbiditetima. </w:t>
      </w:r>
    </w:p>
    <w:p w14:paraId="79AC232A" w14:textId="59DC77D5" w:rsidR="00DE54C7" w:rsidRPr="000E1D82" w:rsidRDefault="00DE54C7" w:rsidP="00755B39">
      <w:pPr>
        <w:jc w:val="both"/>
        <w:rPr>
          <w:noProof/>
        </w:rPr>
      </w:pPr>
      <w:r>
        <w:rPr>
          <w:noProof/>
        </w:rPr>
        <w:t>Komisija namjerava:</w:t>
      </w:r>
    </w:p>
    <w:p w14:paraId="751B2D53" w14:textId="7244B9A2" w:rsidR="001A0F9F" w:rsidRPr="00A93909" w:rsidRDefault="00DE54C7" w:rsidP="00144A67">
      <w:pPr>
        <w:numPr>
          <w:ilvl w:val="0"/>
          <w:numId w:val="3"/>
        </w:numPr>
        <w:spacing w:before="120"/>
        <w:jc w:val="both"/>
        <w:rPr>
          <w:rFonts w:eastAsia="Times New Roman" w:cs="Times New Roman"/>
          <w:noProof/>
        </w:rPr>
      </w:pPr>
      <w:r>
        <w:rPr>
          <w:noProof/>
        </w:rPr>
        <w:t xml:space="preserve">uspostaviti mrežu nadležnih tijela kao forum za suradnju i koordinaciju u području oporezivanja nezdravih prehrambenih proizvoda kako bi potaknula države članice da razmjenjuju informacije i najbolje primjere iz prakse, </w:t>
      </w:r>
    </w:p>
    <w:p w14:paraId="44B838F4" w14:textId="69379F41" w:rsidR="00345865" w:rsidRPr="00DC1CFE" w:rsidRDefault="00DE54C7" w:rsidP="002B57F2">
      <w:pPr>
        <w:numPr>
          <w:ilvl w:val="0"/>
          <w:numId w:val="3"/>
        </w:numPr>
        <w:spacing w:before="120"/>
        <w:jc w:val="both"/>
        <w:rPr>
          <w:noProof/>
        </w:rPr>
      </w:pPr>
      <w:r>
        <w:rPr>
          <w:noProof/>
        </w:rPr>
        <w:t>uspostaviti bazu podataka o takvim porezima i pristojbama koji su na snazi u državama članicama.</w:t>
      </w:r>
    </w:p>
    <w:tbl>
      <w:tblPr>
        <w:tblStyle w:val="TableGrid"/>
        <w:tblW w:w="9015" w:type="dxa"/>
        <w:tblLayout w:type="fixed"/>
        <w:tblLook w:val="04A0" w:firstRow="1" w:lastRow="0" w:firstColumn="1" w:lastColumn="0" w:noHBand="0" w:noVBand="1"/>
      </w:tblPr>
      <w:tblGrid>
        <w:gridCol w:w="9015"/>
      </w:tblGrid>
      <w:tr w:rsidR="00DC1CFE" w:rsidRPr="000E1D82" w14:paraId="0B1626C4"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C5673C" w14:textId="74A54A8F" w:rsidR="00DC1CFE" w:rsidRPr="000E1D82" w:rsidRDefault="00DC1CFE" w:rsidP="00755B39">
            <w:pPr>
              <w:spacing w:before="120" w:after="160" w:line="259" w:lineRule="auto"/>
              <w:jc w:val="both"/>
              <w:rPr>
                <w:rFonts w:eastAsia="Calibri" w:cs="Times New Roman"/>
                <w:noProof/>
              </w:rPr>
            </w:pPr>
            <w:r>
              <w:rPr>
                <w:b/>
                <w:noProof/>
              </w:rPr>
              <w:t xml:space="preserve">Vodeća inicijativa: </w:t>
            </w:r>
            <w:r>
              <w:rPr>
                <w:noProof/>
              </w:rPr>
              <w:t xml:space="preserve">na temelju rezultata studije o takozvanoj ultraprerađenoj hrani </w:t>
            </w:r>
            <w:r>
              <w:rPr>
                <w:b/>
                <w:noProof/>
              </w:rPr>
              <w:t>Komisija će ispitati prikladne instrumente, uključujući eventualne financijske mjere</w:t>
            </w:r>
            <w:r>
              <w:rPr>
                <w:noProof/>
              </w:rPr>
              <w:t>, koji bi se mogli primijeniti za pružanje potpore/ sredstava za javnozdravstvene mjere u području primarne prevencije te za poticanje reformulacije hrane i zdravijih odluka potrošača.</w:t>
            </w:r>
          </w:p>
        </w:tc>
      </w:tr>
    </w:tbl>
    <w:p w14:paraId="28A659AC" w14:textId="16DB87C9" w:rsidR="00DE54C7" w:rsidRDefault="00DE54C7" w:rsidP="00DE54C7">
      <w:pPr>
        <w:spacing w:before="120" w:after="240"/>
        <w:jc w:val="both"/>
        <w:rPr>
          <w:noProof/>
        </w:rPr>
      </w:pPr>
      <w:r>
        <w:rPr>
          <w:b/>
          <w:noProof/>
        </w:rPr>
        <w:t>Sport i redovita tjelesna aktivnost</w:t>
      </w:r>
      <w:r>
        <w:rPr>
          <w:noProof/>
        </w:rPr>
        <w:t xml:space="preserve"> imaju znatne koristi za kardiovaskularno zdravlje jer jačaju srčani mišić, poboljšavaju cirkulaciju krvi te pomažu u regulaciji krvnog tlaka i razina kolesterola. Promicanje redovite tjelesne aktivnosti i dalje je važno za zdravije zajednice, prevenciju bolesti i opću dobrobit u EU-u.</w:t>
      </w:r>
    </w:p>
    <w:p w14:paraId="10CAEDE9" w14:textId="3788BCCC" w:rsidR="00DE54C7" w:rsidRPr="000E1D82" w:rsidRDefault="00DE54C7" w:rsidP="00DE54C7">
      <w:pPr>
        <w:jc w:val="both"/>
        <w:rPr>
          <w:rFonts w:eastAsia="Calibri" w:cs="Times New Roman"/>
          <w:bCs/>
          <w:noProof/>
        </w:rPr>
      </w:pPr>
      <w:r>
        <w:rPr>
          <w:noProof/>
        </w:rPr>
        <w:t xml:space="preserve">Komisija namjerava: </w:t>
      </w:r>
    </w:p>
    <w:p w14:paraId="5415AFA0" w14:textId="73CB7C6B" w:rsidR="00DE54C7" w:rsidRPr="000E1D82" w:rsidRDefault="00DE54C7" w:rsidP="00DE54C7">
      <w:pPr>
        <w:numPr>
          <w:ilvl w:val="0"/>
          <w:numId w:val="3"/>
        </w:numPr>
        <w:spacing w:before="120"/>
        <w:jc w:val="both"/>
        <w:rPr>
          <w:rFonts w:eastAsia="Times New Roman" w:cs="Times New Roman"/>
          <w:noProof/>
        </w:rPr>
      </w:pPr>
      <w:r>
        <w:rPr>
          <w:noProof/>
        </w:rPr>
        <w:t xml:space="preserve">predložiti ažuriranje Preporuke Vijeća o međusektorskom promicanju tjelesne aktivnosti korisne za zdravlje, </w:t>
      </w:r>
    </w:p>
    <w:p w14:paraId="5EFF7EDD" w14:textId="6D92C807" w:rsidR="00DE54C7" w:rsidRDefault="00DE54C7" w:rsidP="00DE54C7">
      <w:pPr>
        <w:numPr>
          <w:ilvl w:val="0"/>
          <w:numId w:val="3"/>
        </w:numPr>
        <w:spacing w:before="120"/>
        <w:jc w:val="both"/>
        <w:rPr>
          <w:noProof/>
        </w:rPr>
      </w:pPr>
      <w:r>
        <w:rPr>
          <w:noProof/>
        </w:rPr>
        <w:t>poboljšati informiranost o povezanosti redovite tjelesne aktivnosti i kardiovaskularnog zdravlja godišnjim kampanjama na razini cijele Europe, uključujući kampanju #BeActive i Europski tjedan sporta</w:t>
      </w:r>
      <w:r>
        <w:rPr>
          <w:rStyle w:val="FootnoteReference"/>
          <w:noProof/>
        </w:rPr>
        <w:footnoteReference w:id="90"/>
      </w:r>
      <w:r>
        <w:rPr>
          <w:noProof/>
        </w:rPr>
        <w:t>,</w:t>
      </w:r>
    </w:p>
    <w:p w14:paraId="2009DC8C" w14:textId="434BE897" w:rsidR="00D04FA3" w:rsidRDefault="00D04FA3" w:rsidP="007E7755">
      <w:pPr>
        <w:pStyle w:val="ListParagraph"/>
        <w:numPr>
          <w:ilvl w:val="0"/>
          <w:numId w:val="3"/>
        </w:numPr>
        <w:spacing w:before="120" w:after="240"/>
        <w:jc w:val="both"/>
        <w:rPr>
          <w:noProof/>
        </w:rPr>
      </w:pPr>
      <w:r>
        <w:rPr>
          <w:noProof/>
        </w:rPr>
        <w:t>nastaviti osiguravati financijska sredstva EU-a za potporu tjelesnoj aktivnosti, uključujući njezinu ključnu ulogu u prevenciji, u okviru programa kao što su Erasmus+</w:t>
      </w:r>
      <w:r>
        <w:rPr>
          <w:rStyle w:val="FootnoteReference"/>
          <w:noProof/>
        </w:rPr>
        <w:footnoteReference w:id="91"/>
      </w:r>
      <w:r>
        <w:rPr>
          <w:noProof/>
        </w:rPr>
        <w:t xml:space="preserve"> i „EU za zdravlje”. </w:t>
      </w:r>
    </w:p>
    <w:p w14:paraId="58834F9A" w14:textId="47FFC271" w:rsidR="00CF4FDF" w:rsidRPr="000E1D82" w:rsidRDefault="00DE54C7" w:rsidP="00914153">
      <w:pPr>
        <w:spacing w:before="120"/>
        <w:jc w:val="both"/>
        <w:rPr>
          <w:b/>
          <w:noProof/>
          <w:color w:val="000000" w:themeColor="text1"/>
        </w:rPr>
      </w:pPr>
      <w:r>
        <w:rPr>
          <w:b/>
          <w:noProof/>
          <w:color w:val="000000" w:themeColor="text1"/>
        </w:rPr>
        <w:t xml:space="preserve">Djeca i mladi u prvom planu </w:t>
      </w:r>
    </w:p>
    <w:p w14:paraId="0A67B2EF" w14:textId="63A598B1" w:rsidR="00DE54C7" w:rsidRPr="000E1D82" w:rsidRDefault="00DE54C7" w:rsidP="00DE54C7">
      <w:pPr>
        <w:spacing w:before="120"/>
        <w:jc w:val="both"/>
        <w:rPr>
          <w:bCs/>
          <w:noProof/>
          <w:color w:val="000000" w:themeColor="text1"/>
        </w:rPr>
      </w:pPr>
      <w:r>
        <w:rPr>
          <w:noProof/>
          <w:color w:val="000000" w:themeColor="text1"/>
        </w:rPr>
        <w:t xml:space="preserve">Prevenciju kardiovaskularnih bolesti, dijabetesa i pretilosti treba započeti u djetinjstvu. Prevencija pretilosti djece posebno je važna za smanjenje rizika od dijabetesa i kardiovaskularnih bolesti u ranoj odrasloj dobi. </w:t>
      </w:r>
    </w:p>
    <w:p w14:paraId="4748271B" w14:textId="06DB7CAA" w:rsidR="00DE54C7" w:rsidRDefault="00DE54C7" w:rsidP="00DE54C7">
      <w:pPr>
        <w:spacing w:before="120"/>
        <w:jc w:val="both"/>
        <w:rPr>
          <w:bCs/>
          <w:noProof/>
          <w:color w:val="000000" w:themeColor="text1"/>
        </w:rPr>
      </w:pPr>
      <w:r>
        <w:rPr>
          <w:noProof/>
          <w:color w:val="000000" w:themeColor="text1"/>
        </w:rPr>
        <w:t>Rana intervencija kod djece i mladih jedinstvena je prilika za stjecanje cjeloživotnih zdravih navika, uključujući zdravu prehranu i tjelesnu aktivnost</w:t>
      </w:r>
      <w:r>
        <w:rPr>
          <w:rStyle w:val="FootnoteReference"/>
          <w:bCs/>
          <w:noProof/>
          <w:color w:val="000000" w:themeColor="text1"/>
        </w:rPr>
        <w:footnoteReference w:id="92"/>
      </w:r>
      <w:r>
        <w:rPr>
          <w:noProof/>
          <w:color w:val="000000" w:themeColor="text1"/>
        </w:rPr>
        <w:t>. Komisija će nastaviti promicati konzumaciju voća i povrća. Nalazi iz studije SZO-a</w:t>
      </w:r>
      <w:r>
        <w:rPr>
          <w:rStyle w:val="FootnoteReference"/>
          <w:noProof/>
          <w:color w:val="000000" w:themeColor="text1"/>
        </w:rPr>
        <w:footnoteReference w:id="93"/>
      </w:r>
      <w:r>
        <w:rPr>
          <w:noProof/>
          <w:color w:val="000000" w:themeColor="text1"/>
        </w:rPr>
        <w:t xml:space="preserve"> o prehrambenim navikama djece pokazuju da su potrebne mjere za promicanje zdravih prehrambenih navika među djecom kako bi se povećao dnevni unos svježeg voća i povrća. Prekomjerna konzumacija hrane i bezalkoholnih pića s visokim udjelom šećera povezana je s većim rizikom od pretilosti. Škole i druga obrazovna okruženja mogu znatno utjecati na prehrambene navike djece i mladih tako da ih obrazuju i ponude im zdraviju hranu, kao što su voće i povrće, kako bi potaknule njezin unos. </w:t>
      </w:r>
    </w:p>
    <w:p w14:paraId="36111E10" w14:textId="28D3FF12" w:rsidR="00DE54C7" w:rsidRPr="000E1D82" w:rsidRDefault="00DE54C7" w:rsidP="00DE54C7">
      <w:pPr>
        <w:spacing w:before="120"/>
        <w:jc w:val="both"/>
        <w:rPr>
          <w:noProof/>
          <w:color w:val="000000" w:themeColor="text1"/>
        </w:rPr>
      </w:pPr>
      <w:r>
        <w:rPr>
          <w:noProof/>
          <w:color w:val="000000" w:themeColor="text1"/>
        </w:rPr>
        <w:t>Komisija financira zajedničke aktivnosti država članica i projekte dionika u okviru kojih se obrazovanjem, sudjelovanjem u politikama i uključivanjem zajednice promiču zdrava prehrana i tjelesna aktivnost</w:t>
      </w:r>
      <w:r>
        <w:rPr>
          <w:noProof/>
          <w:color w:val="000000" w:themeColor="text1"/>
          <w:vertAlign w:val="superscript"/>
        </w:rPr>
        <w:footnoteReference w:id="94"/>
      </w:r>
      <w:r>
        <w:rPr>
          <w:noProof/>
          <w:color w:val="000000" w:themeColor="text1"/>
        </w:rPr>
        <w:t>. Osim toga, provode se istraživački projekti</w:t>
      </w:r>
      <w:r>
        <w:rPr>
          <w:noProof/>
          <w:color w:val="000000" w:themeColor="text1"/>
          <w:vertAlign w:val="superscript"/>
        </w:rPr>
        <w:footnoteReference w:id="95"/>
      </w:r>
      <w:r>
        <w:rPr>
          <w:noProof/>
          <w:color w:val="000000" w:themeColor="text1"/>
        </w:rPr>
        <w:t xml:space="preserve"> koji se primarno bave utvrđivanjem čimbenika rizika, primjerice za pretilost, i poboljšanjem zdrave prehrane</w:t>
      </w:r>
      <w:r>
        <w:rPr>
          <w:rStyle w:val="FootnoteReference"/>
          <w:noProof/>
          <w:color w:val="000000" w:themeColor="text1"/>
        </w:rPr>
        <w:footnoteReference w:id="96"/>
      </w:r>
      <w:r>
        <w:rPr>
          <w:noProof/>
          <w:color w:val="000000" w:themeColor="text1"/>
        </w:rPr>
        <w:t>, promicanjem prevencije i razvojem personaliziranih intervencija kako bi se doprinijelo cjeloživotnom zdravom načinu života, posebno kod djece i mladih. Sport i redovita tjelesna aktivnost imaju znatne koristi za kardiovaskularno zdravlje jer jačaju srčani mišić, poboljšavaju cirkulaciju krvi te pomažu u regulaciji krvnog tlaka i razina kolesterola. Međutim, manje od 20 % dječaka i 10 % djevojčica (u dobi od 5 do 17 godina) ima razinu tjelesne aktivnosti koju preporučuje SZO</w:t>
      </w:r>
      <w:r>
        <w:rPr>
          <w:noProof/>
          <w:color w:val="000000" w:themeColor="text1"/>
          <w:vertAlign w:val="superscript"/>
        </w:rPr>
        <w:footnoteReference w:id="97"/>
      </w:r>
      <w:r>
        <w:rPr>
          <w:noProof/>
          <w:color w:val="000000" w:themeColor="text1"/>
        </w:rPr>
        <w:t xml:space="preserve">. </w:t>
      </w:r>
    </w:p>
    <w:p w14:paraId="49BB0AD4" w14:textId="3B181DFF" w:rsidR="00DE54C7" w:rsidRPr="000E1D82" w:rsidRDefault="00DE54C7" w:rsidP="00DE54C7">
      <w:pPr>
        <w:spacing w:before="120"/>
        <w:jc w:val="both"/>
        <w:rPr>
          <w:bCs/>
          <w:noProof/>
          <w:color w:val="000000" w:themeColor="text1"/>
        </w:rPr>
      </w:pPr>
      <w:r>
        <w:rPr>
          <w:noProof/>
          <w:color w:val="000000" w:themeColor="text1"/>
        </w:rPr>
        <w:t>Zabrinjava brz rast potrošnje i prodaje novih duhanskih i nikotinskih proizvoda među mladima, npr. grijanih duhanskih proizvoda, e-cigareta i nikotinskih vrećica. Otprilike svaka peta mlada osoba (od 15 do 19 godina) koja konzumira duhanske i nikotinske proizvode prvo je počela s redovitom upotrebom e-cigareta</w:t>
      </w:r>
      <w:r>
        <w:rPr>
          <w:rStyle w:val="FootnoteReference"/>
          <w:bCs/>
          <w:noProof/>
          <w:color w:val="000000" w:themeColor="text1"/>
        </w:rPr>
        <w:footnoteReference w:id="98"/>
      </w:r>
      <w:r>
        <w:rPr>
          <w:noProof/>
          <w:color w:val="000000" w:themeColor="text1"/>
        </w:rPr>
        <w:t xml:space="preserve">. To očigledno upućuje na to da e-cigarete vode k ovisnosti o nikotinu i konzumaciji duhana među mladima. </w:t>
      </w:r>
    </w:p>
    <w:p w14:paraId="279B37A4" w14:textId="594B8497" w:rsidR="00DE54C7" w:rsidRDefault="00DE54C7" w:rsidP="00DE54C7">
      <w:pPr>
        <w:spacing w:before="120"/>
        <w:jc w:val="both"/>
        <w:rPr>
          <w:noProof/>
          <w:color w:val="000000" w:themeColor="text1"/>
        </w:rPr>
      </w:pPr>
      <w:r>
        <w:rPr>
          <w:noProof/>
          <w:color w:val="000000" w:themeColor="text1"/>
        </w:rPr>
        <w:t>Djeca i mladi posebno su osjetljivi na marketing za takozvanu ultraprerađenu hranu i hranu s visokim udjelom masti, šećera i soli, kao i za duhan i nove proizvode. Cilj je Direktive o audiovizualnim medijskim uslugama</w:t>
      </w:r>
      <w:r>
        <w:rPr>
          <w:noProof/>
          <w:color w:val="000000" w:themeColor="text1"/>
          <w:vertAlign w:val="superscript"/>
        </w:rPr>
        <w:footnoteReference w:id="99"/>
      </w:r>
      <w:r>
        <w:rPr>
          <w:noProof/>
          <w:color w:val="000000" w:themeColor="text1"/>
        </w:rPr>
        <w:t xml:space="preserve"> zaštititi gledatelje, uključujući djecu, od štetnog oglašavanja. Njome se potiču koregulacija i samoregulacija kako bi se ograničila izloženost djece marketingu za nezdravu hranu i piće. </w:t>
      </w:r>
    </w:p>
    <w:p w14:paraId="4E8CA372" w14:textId="77777777" w:rsidR="000A24BE" w:rsidRPr="000E1D82" w:rsidRDefault="000A24BE" w:rsidP="000A24BE">
      <w:pPr>
        <w:jc w:val="both"/>
        <w:rPr>
          <w:rFonts w:eastAsia="Calibri" w:cs="Times New Roman"/>
          <w:bCs/>
          <w:noProof/>
        </w:rPr>
      </w:pPr>
      <w:r>
        <w:rPr>
          <w:noProof/>
        </w:rPr>
        <w:t xml:space="preserve">Komisija namjerava: </w:t>
      </w:r>
    </w:p>
    <w:p w14:paraId="779F3FF8" w14:textId="51484282" w:rsidR="000A24BE" w:rsidRPr="000A24BE" w:rsidRDefault="000A24BE" w:rsidP="000A24BE">
      <w:pPr>
        <w:numPr>
          <w:ilvl w:val="0"/>
          <w:numId w:val="3"/>
        </w:numPr>
        <w:spacing w:before="120"/>
        <w:jc w:val="both"/>
        <w:rPr>
          <w:rFonts w:eastAsia="Times New Roman" w:cs="Times New Roman"/>
          <w:noProof/>
        </w:rPr>
      </w:pPr>
      <w:r>
        <w:rPr>
          <w:noProof/>
        </w:rPr>
        <w:t>do kraja 2026. ocijeniti Direktivu o audiovizualnim medijskim uslugama, koja uključuje pravila za zaštitu maloljetnika od štetnog sadržaja, te razmotriti prijedlog njezine revizije,</w:t>
      </w:r>
      <w:r>
        <w:rPr>
          <w:noProof/>
          <w:color w:val="000000" w:themeColor="text1"/>
        </w:rPr>
        <w:t xml:space="preserve"> </w:t>
      </w:r>
    </w:p>
    <w:p w14:paraId="2141E972" w14:textId="18EA675D" w:rsidR="000A24BE" w:rsidRDefault="000A24BE" w:rsidP="000A24BE">
      <w:pPr>
        <w:numPr>
          <w:ilvl w:val="0"/>
          <w:numId w:val="3"/>
        </w:numPr>
        <w:spacing w:before="120"/>
        <w:jc w:val="both"/>
        <w:rPr>
          <w:rFonts w:eastAsia="Times New Roman" w:cs="Times New Roman"/>
          <w:noProof/>
        </w:rPr>
      </w:pPr>
      <w:r>
        <w:rPr>
          <w:noProof/>
        </w:rPr>
        <w:t xml:space="preserve">do </w:t>
      </w:r>
      <w:r>
        <w:rPr>
          <w:noProof/>
          <w:color w:val="000000" w:themeColor="text1"/>
        </w:rPr>
        <w:t>kraja 2026. predstaviti „Paket mjera za promicanje zdravlja i mentalne dobrobiti djece i adolescenata” kako bi se tvorcima politika pružila potpora u poboljšanju fizičkog i mentalnog zdravlja djece</w:t>
      </w:r>
      <w:r>
        <w:rPr>
          <w:noProof/>
          <w:vertAlign w:val="superscript"/>
        </w:rPr>
        <w:footnoteReference w:id="100"/>
      </w:r>
      <w:r>
        <w:rPr>
          <w:noProof/>
        </w:rPr>
        <w:t>.</w:t>
      </w:r>
    </w:p>
    <w:p w14:paraId="18B780BA" w14:textId="37B16214" w:rsidR="000815C8" w:rsidRDefault="00DE54C7" w:rsidP="000815C8">
      <w:pPr>
        <w:spacing w:before="120"/>
        <w:jc w:val="both"/>
        <w:rPr>
          <w:rFonts w:cs="Times New Roman"/>
          <w:i/>
          <w:iCs/>
          <w:noProof/>
        </w:rPr>
      </w:pPr>
      <w:r>
        <w:rPr>
          <w:b/>
          <w:noProof/>
          <w:color w:val="000000" w:themeColor="text1"/>
        </w:rPr>
        <w:t>Klimatske promjene i okolišni čimbenici, kao što su onečišćenje zraka ili onečišćenje bukom</w:t>
      </w:r>
      <w:r>
        <w:rPr>
          <w:noProof/>
          <w:color w:val="000000" w:themeColor="text1"/>
        </w:rPr>
        <w:t xml:space="preserve">, znatno utječu na kardiovaskularne bolesti, posebno u ranjivim skupinama. Izgaranje fosilnih goriva i ekstremni vremenski uvjeti mogu uzrokovati ili pogoršati kardiovaskularne bolesti. </w:t>
      </w:r>
      <w:r>
        <w:rPr>
          <w:noProof/>
        </w:rPr>
        <w:t>Rizici od kardiovaskularnih bolesti povezani s klimom već su uključeni u 20 od 27 nacionalnih politika prilagodbe</w:t>
      </w:r>
      <w:r>
        <w:rPr>
          <w:rStyle w:val="FootnoteReference"/>
          <w:noProof/>
          <w:color w:val="000000"/>
          <w:shd w:val="clear" w:color="auto" w:fill="FFFFFF"/>
        </w:rPr>
        <w:footnoteReference w:id="101"/>
      </w:r>
      <w:r>
        <w:rPr>
          <w:noProof/>
          <w:color w:val="000000"/>
          <w:shd w:val="clear" w:color="auto" w:fill="FFFFFF"/>
        </w:rPr>
        <w:t xml:space="preserve">. </w:t>
      </w:r>
      <w:r>
        <w:rPr>
          <w:noProof/>
        </w:rPr>
        <w:t>Prelazak na gospodarstvo s čistom energijom, smanjenje onečišćenja i uključivanje zdravlja u planove za prilagodbu klimatskim promjenama, posebno na lokalnoj razini, ključni su kako bi se zajamčile odgovarajuće reakcije i postigle niže stope kardiovaskularnih bolesti</w:t>
      </w:r>
      <w:r>
        <w:rPr>
          <w:b/>
          <w:noProof/>
        </w:rPr>
        <w:t xml:space="preserve">. </w:t>
      </w:r>
      <w:r>
        <w:rPr>
          <w:noProof/>
        </w:rPr>
        <w:t xml:space="preserve"> </w:t>
      </w:r>
    </w:p>
    <w:p w14:paraId="417CFAA2" w14:textId="45829976" w:rsidR="00DE54C7" w:rsidRPr="000E1D82" w:rsidRDefault="00DE54C7" w:rsidP="00DE54C7">
      <w:pPr>
        <w:jc w:val="both"/>
        <w:rPr>
          <w:rFonts w:cs="Times New Roman"/>
          <w:noProof/>
        </w:rPr>
      </w:pPr>
      <w:r>
        <w:rPr>
          <w:b/>
          <w:noProof/>
        </w:rPr>
        <w:t xml:space="preserve">Cijepljenje </w:t>
      </w:r>
      <w:r>
        <w:rPr>
          <w:noProof/>
        </w:rPr>
        <w:t>protiv infekcija, npr. gripe, virusa SARS-CoV-2 (COVID-19), respiratornog sincicijskog virusa, pneumokokne bolesti i herpesa zostera, djelotvorna je mjera za prevenciju kardiovaskularnih komplikacija u visokorizičnim skupinama</w:t>
      </w:r>
      <w:r>
        <w:rPr>
          <w:rStyle w:val="FootnoteReference"/>
          <w:noProof/>
        </w:rPr>
        <w:footnoteReference w:id="102"/>
      </w:r>
      <w:r>
        <w:rPr>
          <w:noProof/>
        </w:rPr>
        <w:t>. Cijepljenjem osoba u dobi od 65 godina i više te osoba s kardiovaskularnim bolestima protiv svih navedenih bolesti smanjuje se rizik od srčanih i moždanih udara te drugih akutnih događaja. Cijepljenje protiv gripe povezano je sa smanjenjem rizika od ozbiljnih štetnih kardiovaskularnih događaja za 34 %</w:t>
      </w:r>
      <w:r>
        <w:rPr>
          <w:rStyle w:val="FootnoteReference"/>
          <w:rFonts w:cs="Times New Roman"/>
          <w:noProof/>
        </w:rPr>
        <w:footnoteReference w:id="103"/>
      </w:r>
      <w:r>
        <w:rPr>
          <w:noProof/>
        </w:rPr>
        <w:t>, zbog čega se ono smatra važnom preventivnom strategijom</w:t>
      </w:r>
      <w:r>
        <w:rPr>
          <w:rStyle w:val="FootnoteReference"/>
          <w:rFonts w:cs="Times New Roman"/>
          <w:noProof/>
        </w:rPr>
        <w:footnoteReference w:id="104"/>
      </w:r>
      <w:r>
        <w:rPr>
          <w:noProof/>
        </w:rPr>
        <w:t xml:space="preserve">. </w:t>
      </w:r>
    </w:p>
    <w:p w14:paraId="72A7FEFA" w14:textId="77777777" w:rsidR="00DE54C7" w:rsidRDefault="00DE54C7" w:rsidP="00DE54C7">
      <w:pPr>
        <w:jc w:val="both"/>
        <w:rPr>
          <w:rFonts w:eastAsiaTheme="minorEastAsia" w:cs="Times New Roman"/>
          <w:noProof/>
        </w:rPr>
      </w:pPr>
      <w:r>
        <w:rPr>
          <w:noProof/>
        </w:rPr>
        <w:t>Komisija podupire nacionalna nastojanja za povećanje procijepljenosti pomoću projekata koje financira EU</w:t>
      </w:r>
      <w:r>
        <w:rPr>
          <w:rStyle w:val="FootnoteReference"/>
          <w:rFonts w:eastAsiaTheme="minorEastAsia" w:cs="Times New Roman"/>
          <w:noProof/>
        </w:rPr>
        <w:footnoteReference w:id="105"/>
      </w:r>
      <w:r>
        <w:rPr>
          <w:noProof/>
        </w:rPr>
        <w:t>, Europskog portala za informacije o cijepljenju</w:t>
      </w:r>
      <w:r>
        <w:rPr>
          <w:rStyle w:val="FootnoteReference"/>
          <w:rFonts w:eastAsiaTheme="minorEastAsia" w:cs="Times New Roman"/>
          <w:noProof/>
        </w:rPr>
        <w:footnoteReference w:id="106"/>
      </w:r>
      <w:r>
        <w:rPr>
          <w:noProof/>
        </w:rPr>
        <w:t xml:space="preserve"> i kampanja kao što je #Ujedinjeni u zaštiti</w:t>
      </w:r>
      <w:r>
        <w:rPr>
          <w:rStyle w:val="FootnoteReference"/>
          <w:rFonts w:eastAsiaTheme="minorEastAsia" w:cs="Times New Roman"/>
          <w:noProof/>
        </w:rPr>
        <w:footnoteReference w:id="107"/>
      </w:r>
      <w:r>
        <w:rPr>
          <w:noProof/>
        </w:rPr>
        <w:t xml:space="preserve">. Komisija surađuje s Europskim centrom za prevenciju i kontrolu bolesti (ECDC) i Europskom agencijom za lijekove (EMA) na suzbijanju dezinformacija, potkrepljivanju nacionalnih strategija cijepljenja znanstvenim dokazima, praćenju uspješnosti programa cijepljenja, postizanju transparentnosti u odobravanju cjepiva i održavanju neovisnog nadzora nakon izdavanja odobrenja. </w:t>
      </w:r>
    </w:p>
    <w:p w14:paraId="31EDACC4" w14:textId="0475342C" w:rsidR="00DE54C7" w:rsidRPr="000E1D82" w:rsidRDefault="00DE54C7" w:rsidP="00DE54C7">
      <w:pPr>
        <w:jc w:val="both"/>
        <w:rPr>
          <w:rFonts w:eastAsiaTheme="minorEastAsia" w:cs="Times New Roman"/>
          <w:noProof/>
        </w:rPr>
      </w:pPr>
      <w:r>
        <w:rPr>
          <w:noProof/>
        </w:rPr>
        <w:t xml:space="preserve">ECDC bi državama članicama pomogao na sljedeće načine: </w:t>
      </w:r>
    </w:p>
    <w:p w14:paraId="6FE7F7C2" w14:textId="77777777" w:rsidR="000815C8" w:rsidRDefault="00DE54C7" w:rsidP="0086514B">
      <w:pPr>
        <w:pStyle w:val="ListParagraph"/>
        <w:numPr>
          <w:ilvl w:val="0"/>
          <w:numId w:val="3"/>
        </w:numPr>
        <w:spacing w:after="120"/>
        <w:ind w:left="714" w:hanging="357"/>
        <w:contextualSpacing w:val="0"/>
        <w:jc w:val="both"/>
        <w:rPr>
          <w:rFonts w:eastAsiaTheme="minorEastAsia" w:cs="Times New Roman"/>
          <w:noProof/>
        </w:rPr>
      </w:pPr>
      <w:r>
        <w:rPr>
          <w:noProof/>
        </w:rPr>
        <w:t xml:space="preserve">pružanjem smjernica i izgradnjom kapaciteta za poboljšanje nacionalnih sustava za informiranje o cijepljenju i registara za skupine koje su rizične s obzirom na kardiovaskularne bolesti, uključujući standarde interoperabilnosti i pokazatelje za izvješćivanje, u skladu s pravnim okvirom europskog prostora za zdravstvene podatke (EHDS), </w:t>
      </w:r>
    </w:p>
    <w:p w14:paraId="55AF8B4D" w14:textId="208B0D10" w:rsidR="0086514B" w:rsidRDefault="000815C8" w:rsidP="0086514B">
      <w:pPr>
        <w:pStyle w:val="ListParagraph"/>
        <w:numPr>
          <w:ilvl w:val="0"/>
          <w:numId w:val="3"/>
        </w:numPr>
        <w:spacing w:after="120"/>
        <w:ind w:left="714" w:hanging="357"/>
        <w:contextualSpacing w:val="0"/>
        <w:jc w:val="both"/>
        <w:rPr>
          <w:rFonts w:eastAsiaTheme="minorEastAsia" w:cs="Times New Roman"/>
          <w:noProof/>
        </w:rPr>
      </w:pPr>
      <w:r>
        <w:rPr>
          <w:noProof/>
        </w:rPr>
        <w:t>pružanjem ciljanog osposobljavanja zdravstvenim radnicima o vezi između ključnih bolesti koje se mogu spriječiti cijepljenjem i kardiovaskularnih bolesti.</w:t>
      </w:r>
    </w:p>
    <w:tbl>
      <w:tblPr>
        <w:tblStyle w:val="TableGrid"/>
        <w:tblW w:w="9015" w:type="dxa"/>
        <w:tblLayout w:type="fixed"/>
        <w:tblLook w:val="04A0" w:firstRow="1" w:lastRow="0" w:firstColumn="1" w:lastColumn="0" w:noHBand="0" w:noVBand="1"/>
      </w:tblPr>
      <w:tblGrid>
        <w:gridCol w:w="9015"/>
      </w:tblGrid>
      <w:tr w:rsidR="00F86B07" w:rsidRPr="000E1D82" w14:paraId="13078DD7" w14:textId="77777777" w:rsidTr="1A90AEB0">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594C07" w14:textId="250045B9" w:rsidR="00F86B07" w:rsidRPr="00F86B07" w:rsidRDefault="37674D2E">
            <w:pPr>
              <w:spacing w:before="120" w:after="60"/>
              <w:jc w:val="both"/>
              <w:rPr>
                <w:b/>
                <w:bCs/>
                <w:noProof/>
              </w:rPr>
            </w:pPr>
            <w:r>
              <w:rPr>
                <w:b/>
                <w:noProof/>
              </w:rPr>
              <w:t xml:space="preserve">Vodeća inicijativa: Prijedlog preporuke Vijeća o cijepljenju protiv respiratornih infekcija kao mjeri za prevenciju kardiovaskularnih bolesti </w:t>
            </w:r>
          </w:p>
          <w:p w14:paraId="0E53BADB" w14:textId="754005E5" w:rsidR="00F86B07" w:rsidRPr="00E4479F" w:rsidRDefault="00F86B07" w:rsidP="00E4479F">
            <w:pPr>
              <w:spacing w:before="120" w:after="160" w:line="259" w:lineRule="auto"/>
              <w:jc w:val="both"/>
              <w:rPr>
                <w:noProof/>
                <w:color w:val="000000" w:themeColor="text1"/>
              </w:rPr>
            </w:pPr>
            <w:r>
              <w:rPr>
                <w:noProof/>
              </w:rPr>
              <w:t>Komisija namjerava predložiti preporuku Vijeća za promicanje cijepljenja</w:t>
            </w:r>
            <w:r>
              <w:rPr>
                <w:noProof/>
                <w:color w:val="000000" w:themeColor="text1"/>
                <w:vertAlign w:val="superscript"/>
                <w:lang w:eastAsia="en-IE"/>
              </w:rPr>
              <w:footnoteReference w:id="108"/>
            </w:r>
            <w:r>
              <w:rPr>
                <w:noProof/>
              </w:rPr>
              <w:t xml:space="preserve"> kao mjere za prevenciju kardiovaskularnih bolesti, dakle uz cjeloživotni pristup i rješavanje problema visokorizičnih ranjivih skupina.</w:t>
            </w:r>
            <w:r>
              <w:rPr>
                <w:noProof/>
                <w:color w:val="000000" w:themeColor="text1"/>
              </w:rPr>
              <w:t xml:space="preserve"> Plan je da će se državama članicama ponuditi potpora u utvrđivanju ciljane populacije za cijepljenje te u praćenju i povećanju procijepljenosti.</w:t>
            </w:r>
          </w:p>
          <w:p w14:paraId="040D7329" w14:textId="3E461E75" w:rsidR="00F86B07" w:rsidRPr="000E1D82" w:rsidRDefault="00F86B07" w:rsidP="00E4479F">
            <w:pPr>
              <w:spacing w:before="120" w:after="160" w:line="259" w:lineRule="auto"/>
              <w:jc w:val="both"/>
              <w:rPr>
                <w:rFonts w:cs="Times New Roman"/>
                <w:noProof/>
              </w:rPr>
            </w:pPr>
            <w:r>
              <w:rPr>
                <w:noProof/>
                <w:color w:val="000000" w:themeColor="text1"/>
              </w:rPr>
              <w:t>Cilj prijedloga preporuke Vijeća bio bi sve države članice potaknuti da do 2029. počnu dostavljati podatke o procijepljenosti osoba s kroničnim bolestima, uključujući kardiovaskularne bolesti, protiv gripe, bolesti COVID-19, respiratornog sincicijskog virusa i pneumokokne bolesti te virusnih infekcija kao što je herpes zoster</w:t>
            </w:r>
            <w:r>
              <w:rPr>
                <w:noProof/>
              </w:rPr>
              <w:t>.</w:t>
            </w:r>
          </w:p>
        </w:tc>
      </w:tr>
    </w:tbl>
    <w:p w14:paraId="658C1E46" w14:textId="230B3922" w:rsidR="002E2C3F" w:rsidRPr="00E4479F" w:rsidRDefault="00DE54C7" w:rsidP="00DE54C7">
      <w:pPr>
        <w:spacing w:before="120"/>
        <w:jc w:val="both"/>
        <w:rPr>
          <w:rFonts w:eastAsia="Times New Roman" w:cs="Times New Roman"/>
          <w:noProof/>
        </w:rPr>
      </w:pPr>
      <w:r>
        <w:rPr>
          <w:b/>
          <w:bCs/>
          <w:noProof/>
        </w:rPr>
        <w:t>Zdravstvena pismenost</w:t>
      </w:r>
      <w:r>
        <w:rPr>
          <w:rFonts w:eastAsia="Times New Roman" w:cs="Times New Roman"/>
          <w:noProof/>
          <w:vertAlign w:val="superscript"/>
        </w:rPr>
        <w:footnoteReference w:id="109"/>
      </w:r>
      <w:r>
        <w:rPr>
          <w:noProof/>
        </w:rPr>
        <w:t xml:space="preserve"> ključna je za omogućivanje građanima da donose informirane odluke o svojem načinu života i navikama, da se uključe u personaliziranu prevenciju i rano otkrivanje bolesti radi upravljanja čimbenicima rizika kao što je visok krvni tlak te da pravodobno potraže pomoć. Komisija s državama članicama surađuje na poboljšanju zdravstvene pismenosti, npr. razvojem novih sredstava za informiranje građana o zdravom načinu života i stvaranjem europskog prostora za zdravstvenu pismenost</w:t>
      </w:r>
      <w:r>
        <w:rPr>
          <w:rFonts w:eastAsia="Times New Roman" w:cs="Times New Roman"/>
          <w:noProof/>
          <w:vertAlign w:val="superscript"/>
        </w:rPr>
        <w:footnoteReference w:id="110"/>
      </w:r>
      <w:r>
        <w:rPr>
          <w:noProof/>
        </w:rPr>
        <w:t>. Osim toga, putem platforme eTwinning Komisija promiče osposobljavanje nastavnika te suradničke školske projekte u području zdravstvene pismenosti koji se odnose na zdravlje, dobrobit, digitalno zdravlje, uključenost, zdrave navike i obrazovanje o mentalnom zdravlju.</w:t>
      </w:r>
    </w:p>
    <w:p w14:paraId="1EA574E5" w14:textId="2FDDA83E" w:rsidR="00DE54C7" w:rsidRPr="000E1D82" w:rsidRDefault="00DE54C7" w:rsidP="00DE54C7">
      <w:pPr>
        <w:spacing w:before="120"/>
        <w:jc w:val="both"/>
        <w:rPr>
          <w:rFonts w:eastAsia="Times New Roman" w:cs="Times New Roman"/>
          <w:noProof/>
        </w:rPr>
      </w:pPr>
      <w:r>
        <w:rPr>
          <w:noProof/>
        </w:rPr>
        <w:t>Kako bi se dodatno poduprla ta nastojanja:</w:t>
      </w:r>
    </w:p>
    <w:p w14:paraId="4C8244FD" w14:textId="7FD7677C" w:rsidR="00DE54C7" w:rsidRPr="000E1D82" w:rsidRDefault="00DE54C7" w:rsidP="00DE54C7">
      <w:pPr>
        <w:numPr>
          <w:ilvl w:val="0"/>
          <w:numId w:val="3"/>
        </w:numPr>
        <w:spacing w:before="120"/>
        <w:jc w:val="both"/>
        <w:rPr>
          <w:rFonts w:eastAsia="Times New Roman" w:cs="Times New Roman"/>
          <w:noProof/>
        </w:rPr>
      </w:pPr>
      <w:r>
        <w:rPr>
          <w:noProof/>
        </w:rPr>
        <w:t>Europski kodeks protiv raka koji financira EU</w:t>
      </w:r>
      <w:r>
        <w:rPr>
          <w:rFonts w:eastAsia="Times New Roman" w:cs="Times New Roman"/>
          <w:noProof/>
          <w:vertAlign w:val="superscript"/>
        </w:rPr>
        <w:footnoteReference w:id="111"/>
      </w:r>
      <w:r>
        <w:rPr>
          <w:noProof/>
        </w:rPr>
        <w:t xml:space="preserve"> ažurirat će se preporukama za prevenciju raka i drugih nezaraznih bolesti, kao što su kardiovaskularne bolesti, s istim čimbenicima rizika. </w:t>
      </w:r>
    </w:p>
    <w:p w14:paraId="3C9D88E9" w14:textId="05AA0BB8"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Drugi stup: rano otkrivanje bolesti i probir osoba izloženih riziku</w:t>
      </w:r>
    </w:p>
    <w:p w14:paraId="029A14CF" w14:textId="6C073476" w:rsidR="00DE54C7" w:rsidRPr="00D807AD" w:rsidRDefault="00DE54C7" w:rsidP="00DE54C7">
      <w:pPr>
        <w:jc w:val="both"/>
        <w:rPr>
          <w:rFonts w:cs="Times New Roman"/>
          <w:noProof/>
        </w:rPr>
      </w:pPr>
      <w:bookmarkStart w:id="6" w:name="_Hlk207805279"/>
      <w:r>
        <w:rPr>
          <w:noProof/>
        </w:rPr>
        <w:t>Rano otkrivanje i probir važna su javnozdravstvena sredstva za prevenciju bolesti, posebno kardiovaskularnih bolesti, s obzirom na njihovu raširenost, povezane troškove i činjenicu da se uvelike mogu spriječiti. Ulaganjem u programe ranog otkrivanja i probira zdravstvenim pregledima može se omogućiti pravodobna identifikacija osoba izloženih visokom riziku (npr. osoba s visokim krvnim tlakom, visokim kolesterolom ili pretilošću) prije pojave simptoma. Personalizirani medicinski pristupi ključni su za omogućivanje ranog otkrivanja i dijagnosticiranja bolesti identifikacijom pacijenata izloženih riziku</w:t>
      </w:r>
      <w:r>
        <w:rPr>
          <w:rStyle w:val="FootnoteReference"/>
          <w:rFonts w:cs="Times New Roman"/>
          <w:noProof/>
        </w:rPr>
        <w:footnoteReference w:id="112"/>
      </w:r>
      <w:r>
        <w:rPr>
          <w:noProof/>
        </w:rPr>
        <w:t xml:space="preserve">. </w:t>
      </w:r>
    </w:p>
    <w:p w14:paraId="6C1D0B95" w14:textId="6AA72E1B" w:rsidR="00DE54C7" w:rsidRDefault="00DE54C7" w:rsidP="00DE54C7">
      <w:pPr>
        <w:jc w:val="both"/>
        <w:rPr>
          <w:rFonts w:cs="Times New Roman"/>
          <w:noProof/>
        </w:rPr>
      </w:pPr>
      <w:r>
        <w:rPr>
          <w:noProof/>
        </w:rPr>
        <w:t xml:space="preserve">Osim tradicionalnih područja uključenih u probir, trebalo bi dodati i otkrivanje bubrežnih bolesti te prirođenih medicinskih stanja kao što su povišena razina lipoproteina (a) (koja je prisutna kod svake pete osobe), prisutnost obiteljske hiperkolesterolemije i kardiomiopatije te rano otkrivanje rizika od zatajenja srca ili otkrivanje opstruktivne apneje u snu. </w:t>
      </w:r>
    </w:p>
    <w:p w14:paraId="315250CA" w14:textId="3F5CB0D4" w:rsidR="00DE54C7" w:rsidRPr="000E1D82" w:rsidRDefault="00DE54C7" w:rsidP="00DE54C7">
      <w:pPr>
        <w:jc w:val="both"/>
        <w:rPr>
          <w:rFonts w:cs="Times New Roman"/>
          <w:noProof/>
        </w:rPr>
      </w:pPr>
      <w:r>
        <w:rPr>
          <w:noProof/>
        </w:rPr>
        <w:t>Važno je da građani znaju koji su ključni čimbenici rizika od kardiovaskularnih bolesti, npr. visok krvni tlak, kolesterol, razina šećera u krvi i tjelesna težina te genska predispozicija, jer ti podaci daju jasnu sliku rizika od lošijeg zdravlja srca. Osobe koje razumiju vlastiti profil rizika imaju bolje temelje za promjene načina života i proaktivnu suradnju sa zdravstvenim sustavom, što dovodi do ranijeg otkrivanja bolesti, djelotvornog upravljanja bolestima i znatno niže vjerojatnosti kardiovaskularnih događaja. Ranim otkrivanjem bolesti može se spriječiti njezino napredovanje, smanjiti broj hospitalizacija i izbjeći skupa hitna skrb. Inicijative probira trebalo bi prilagoditi nacionalnim i regionalnim okolnostima te bi trebale uključivati opsežan probir definirane skupine stanovništva na temelju dobi, spola, roda i drugih zaštićenih obilježja</w:t>
      </w:r>
      <w:r>
        <w:rPr>
          <w:rStyle w:val="FootnoteReference"/>
          <w:rFonts w:cs="Times New Roman"/>
          <w:noProof/>
        </w:rPr>
        <w:footnoteReference w:id="113"/>
      </w:r>
      <w:r>
        <w:rPr>
          <w:noProof/>
        </w:rPr>
        <w:t xml:space="preserve"> ili zemljopisnog područja. Trebale bi biti usmjerene i na posebne podskupine stanovništva koje su izložene većem riziku zbog obiteljske ili osobne anamneze ili pak zbog načina života ili okolišnih čimbenika. </w:t>
      </w:r>
    </w:p>
    <w:p w14:paraId="3DF210F4" w14:textId="5CC4880F" w:rsidR="00DE54C7" w:rsidRPr="000E1D82" w:rsidRDefault="00DE54C7" w:rsidP="00DE54C7">
      <w:pPr>
        <w:jc w:val="both"/>
        <w:rPr>
          <w:rFonts w:cs="Times New Roman"/>
          <w:noProof/>
          <w:kern w:val="2"/>
          <w14:ligatures w14:val="standardContextual"/>
        </w:rPr>
      </w:pPr>
      <w:r>
        <w:rPr>
          <w:noProof/>
        </w:rPr>
        <w:t>Za procjenu individualnog rizika od pojave kardiovaskularnih bolesti upotrebljavaju se alati za predviđanje rizika</w:t>
      </w:r>
      <w:r>
        <w:rPr>
          <w:rFonts w:cs="Times New Roman"/>
          <w:noProof/>
          <w:vertAlign w:val="superscript"/>
        </w:rPr>
        <w:footnoteReference w:id="114"/>
      </w:r>
      <w:r>
        <w:rPr>
          <w:noProof/>
        </w:rPr>
        <w:t xml:space="preserve">. Obično uključuju pokazatelje (npr. razine šećera i lipida u krvi, mjerenja krvnog tlaka i indeks tjelesne mase) i procjenu čimbenika načina života (npr. pušenje, tjelesna aktivnost i prehrana). Međutim, stope praćenja krvnog tlaka i dalje su neoptimalne na razini EU-a, posebno među starijim osobama. Redovitim praćenjem na zdravstvenim pregledima omogućilo bi se rano otkrivanje i pravodobno upravljanje visokim krvnim tlakom, čime bi se znatno smanjio rizik od srčanih i moždanih udara te drugih kardiovaskularnih komplikacija, uz istodobno pospješivanje zdravijeg starenja i bolje kvalitete života. </w:t>
      </w:r>
    </w:p>
    <w:p w14:paraId="0A8123A1" w14:textId="03C6CDF5" w:rsidR="00DE54C7" w:rsidRPr="000E1D82" w:rsidRDefault="00DE54C7" w:rsidP="00DE54C7">
      <w:pPr>
        <w:jc w:val="both"/>
        <w:rPr>
          <w:rFonts w:cs="Times New Roman"/>
          <w:i/>
          <w:iCs/>
          <w:noProof/>
        </w:rPr>
      </w:pPr>
      <w:r>
        <w:rPr>
          <w:noProof/>
        </w:rPr>
        <w:t>Kako bi se zajamčio širok opseg programa probira, Komisija je spremna poduprijeti države članice u organizaciji inicijativa probira na razini zajednice kojima se preventivne zdravstvene usluge izravno pružaju stanovništvu. Relevantne dionike trebalo bi pozvati da sudjeluju i doprinesu svojim stručnim znanjem.</w:t>
      </w:r>
    </w:p>
    <w:p w14:paraId="174099CD" w14:textId="6DEB5A29" w:rsidR="00DE54C7" w:rsidRDefault="00DE54C7" w:rsidP="00DE54C7">
      <w:pPr>
        <w:spacing w:after="240"/>
        <w:jc w:val="both"/>
        <w:rPr>
          <w:rFonts w:eastAsia="Times New Roman" w:cs="Times New Roman"/>
          <w:noProof/>
        </w:rPr>
      </w:pPr>
      <w:r>
        <w:rPr>
          <w:noProof/>
        </w:rPr>
        <w:t>Sadašnje loše stanje kardiovaskularnog zdravlja može se pripisati i drugim čimbenicima rizika, kao što su genski uvjetovana medicinska stanja, uključujući obiteljsku hiperkolesterolemiju (FH) ili povišenu razinu lipoproteina (a), koja se sad mogu lako otkriti probirom. Ta naslijeđena zdravstvena stanja na razini EU-a i dalje se dijagnosticiraju mnogo rjeđe nego što bi trebao biti slučaj. Obiteljska hiperkolesterolemija pogađa otprilike jednu od 250 osoba, ali otkriva se u manje od 10 % slučajeva, a često se dijagnosticira tek nakon kardiovaskularnog događaja. Kako bi se poboljšala prevencija kardiovaskularnih bolesti, posebno među djecom i mladima, tekućim projektima koje financira EU</w:t>
      </w:r>
      <w:r>
        <w:rPr>
          <w:rStyle w:val="FootnoteReference"/>
          <w:rFonts w:eastAsia="Times New Roman" w:cs="Times New Roman"/>
          <w:noProof/>
        </w:rPr>
        <w:footnoteReference w:id="115"/>
      </w:r>
      <w:r>
        <w:rPr>
          <w:noProof/>
        </w:rPr>
        <w:t xml:space="preserve"> podupire se razvoj strategija za ranije dijagnosticiranje i upravljanje naslijeđenim zdravstvenim stanjima kako bi se poboljšali ishodi za pacijente i njihove obitelji.  </w:t>
      </w:r>
    </w:p>
    <w:p w14:paraId="24591DCC" w14:textId="34ACE6CB" w:rsidR="00DE54C7" w:rsidRDefault="00DE54C7" w:rsidP="00DE54C7">
      <w:pPr>
        <w:spacing w:after="240"/>
        <w:jc w:val="both"/>
        <w:rPr>
          <w:rFonts w:eastAsia="Calibri" w:cs="Times New Roman"/>
          <w:noProof/>
        </w:rPr>
      </w:pPr>
      <w:r>
        <w:rPr>
          <w:noProof/>
        </w:rPr>
        <w:t xml:space="preserve">Komisija namjerava: </w:t>
      </w:r>
    </w:p>
    <w:p w14:paraId="09D8EA2A" w14:textId="7F059743" w:rsidR="00DE54C7" w:rsidRPr="00005513" w:rsidRDefault="00DE54C7" w:rsidP="00914153">
      <w:pPr>
        <w:pStyle w:val="ListParagraph"/>
        <w:numPr>
          <w:ilvl w:val="0"/>
          <w:numId w:val="3"/>
        </w:numPr>
        <w:spacing w:after="240"/>
        <w:jc w:val="both"/>
        <w:rPr>
          <w:rFonts w:eastAsia="Calibri" w:cs="Times New Roman"/>
          <w:noProof/>
        </w:rPr>
      </w:pPr>
      <w:r>
        <w:rPr>
          <w:noProof/>
        </w:rPr>
        <w:t xml:space="preserve">blisko surađivati s državama članicama kako bi se poduprlo uvođenje inicijativa ranog otkrivanja ili programa probira za obiteljsku hiperkolesterolemiju, ovisno o riziku za stanovništvo. </w:t>
      </w:r>
    </w:p>
    <w:p w14:paraId="36B5B66A" w14:textId="519B03E2" w:rsidR="00DE54C7" w:rsidRPr="000E1D82" w:rsidRDefault="00DE54C7" w:rsidP="00DE54C7">
      <w:pPr>
        <w:jc w:val="both"/>
        <w:rPr>
          <w:noProof/>
        </w:rPr>
      </w:pPr>
      <w:r>
        <w:rPr>
          <w:noProof/>
        </w:rPr>
        <w:t>Osim toga, države članice mogle bi iskoristiti kohezijske fondove za poboljšanje laboratorijskih kapaciteta, usluga genetičkog testiranja i digitalnih registara. Države članice mogu razmotriti poticaje za sudjelovanje u programima probira, na primjer inicijative za olakšavanje pravodobnih daljnjih pregleda nakon probira, čime bi se građanima omogućila korist od ranog otkrivanja uz potpuno poštovanje odgovornosti država članica za organizaciju nacionalnih zdravstvenih sustava i upravljanje njima.</w:t>
      </w:r>
    </w:p>
    <w:p w14:paraId="76F14DB0" w14:textId="34650C7F" w:rsidR="00F6256D" w:rsidRDefault="00DE54C7" w:rsidP="00DE54C7">
      <w:pPr>
        <w:jc w:val="both"/>
        <w:rPr>
          <w:rFonts w:eastAsia="Times New Roman" w:cs="Times New Roman"/>
          <w:noProof/>
        </w:rPr>
      </w:pPr>
      <w:r>
        <w:rPr>
          <w:noProof/>
        </w:rPr>
        <w:t>Integracija alata za predviđanje rizika građanima i pružateljima zdravstvene zaštite omogućuje donošenje informiranih odluka i primjenu personaliziranih planova prevencije. Na primjer, uz pomoć ocjena poligenskog rizika</w:t>
      </w:r>
      <w:r>
        <w:rPr>
          <w:rStyle w:val="FootnoteReference"/>
          <w:rFonts w:cs="Times New Roman"/>
          <w:noProof/>
        </w:rPr>
        <w:footnoteReference w:id="116"/>
      </w:r>
      <w:r>
        <w:rPr>
          <w:noProof/>
        </w:rPr>
        <w:t xml:space="preserve"> moguće je procijeniti osobni rizik od razvoja kardiovaskularnih bolesti s genskom uvjetovanošću. U kombinaciji s digitalnim alatima, umjetna inteligencija i napredni računalni modeli, uključujući inicijativu virtualnih ljudskih blizanaca Virtual Human Twins</w:t>
      </w:r>
      <w:r>
        <w:rPr>
          <w:rStyle w:val="FootnoteReference"/>
          <w:rFonts w:eastAsia="Times New Roman" w:cs="Times New Roman"/>
          <w:noProof/>
        </w:rPr>
        <w:footnoteReference w:id="117"/>
      </w:r>
      <w:r>
        <w:rPr>
          <w:noProof/>
        </w:rPr>
        <w:t xml:space="preserve">, mogli bi u okviru mjera ranog otkrivanja dodatno smanjiti broj hospitalizacija, poboljšati zdravstvene ishode i stvoriti gospodarsku korist prebacivanjem fokusa s liječenja na prevenciju bolesti. Tim bi se pristupom mogli spasiti životi i ostvariti dugoročne gospodarske i društvene koristi. </w:t>
      </w:r>
      <w:bookmarkStart w:id="7" w:name="_Hlk210549018"/>
    </w:p>
    <w:p w14:paraId="45BD8B84" w14:textId="42F0D59C" w:rsidR="00DE54C7" w:rsidRPr="000E1D82" w:rsidRDefault="00DE54C7" w:rsidP="00DE54C7">
      <w:pPr>
        <w:jc w:val="both"/>
        <w:rPr>
          <w:rFonts w:cs="Times New Roman"/>
          <w:noProof/>
        </w:rPr>
      </w:pPr>
      <w:r>
        <w:rPr>
          <w:noProof/>
        </w:rPr>
        <w:t xml:space="preserve">Za razliku od raka, za kardiovaskularne bolesti ne postoji usklađen protokol za rano otkrivanje i dijagnosticiranje. To dovodi do fragmentiranih pristupa u EU-u, što pak otežava izradu federacije podataka i prikupljanje usporedivih podataka. </w:t>
      </w:r>
      <w:bookmarkEnd w:id="7"/>
      <w:r>
        <w:rPr>
          <w:noProof/>
        </w:rPr>
        <w:t xml:space="preserve">Plan za zdravlje srca uključuje razvoj </w:t>
      </w:r>
      <w:r>
        <w:rPr>
          <w:b/>
          <w:noProof/>
        </w:rPr>
        <w:t>protokola EU-a za zdravstvene preglede</w:t>
      </w:r>
      <w:r>
        <w:rPr>
          <w:noProof/>
        </w:rPr>
        <w:t xml:space="preserve"> kako bi se poboljšalo pravodobno otkrivanje i rano dijagnosticiranje bolesti te smanjile zdravstvene nejednakosti i troškovi zdravstvene skrbi. Taj bi protokol državama članicama služio kao okvir za provedbu zdravstvenih pregleda kako bi se poduprlo rano otkrivanje kardiovaskularnih bolesti, dijabetesa i pretilosti. Njime bi se olakšao i prelazak fokusa s liječenja na prevenciju jer bi se identificirale rizične osobe i pomoglo bi im se da bolje razumiju svoje zdravlje i proaktivno upravljaju njime. Cilj mu je i svladati izazove povezane sa standardizacijom u svim državama članicama, upravljanjem podacima, integracijom puteva skrbi i sveobuhvatnošću programa probira. </w:t>
      </w:r>
    </w:p>
    <w:p w14:paraId="139E2D9C" w14:textId="4800FFCF" w:rsidR="00DE54C7" w:rsidRDefault="00DE54C7" w:rsidP="00DE54C7">
      <w:pPr>
        <w:jc w:val="both"/>
        <w:rPr>
          <w:rFonts w:eastAsia="Times New Roman" w:cs="Times New Roman"/>
          <w:noProof/>
          <w:szCs w:val="24"/>
        </w:rPr>
      </w:pPr>
      <w:r>
        <w:rPr>
          <w:noProof/>
        </w:rPr>
        <w:t>Vrijednost mobilnih modela pružanja zdravstvene skrbi i modela na razini zajednice već je postala očita u cijeloj Europi. Nekoliko inicijativa probira na razini EU-a</w:t>
      </w:r>
      <w:r>
        <w:rPr>
          <w:rStyle w:val="FootnoteReference"/>
          <w:rFonts w:eastAsia="Times New Roman" w:cs="Times New Roman"/>
          <w:noProof/>
        </w:rPr>
        <w:footnoteReference w:id="118"/>
      </w:r>
      <w:r>
        <w:rPr>
          <w:noProof/>
        </w:rPr>
        <w:t xml:space="preserve"> pokazuje da se izravnim pružanjem usluga probira i zdravstvenih usluga povećava korištenje tih usluga, gradi povjerenje i poboljšava stopa ranog otkrivanja bolesti. Proširenjem takvih modela u različitim državama članicama mogu se poboljšati prevencija, rano dijagnosticiranje i angažman građana, posebno u ruralnim ili nedovoljno pokrivenim područjima.</w:t>
      </w:r>
    </w:p>
    <w:tbl>
      <w:tblPr>
        <w:tblStyle w:val="TableGrid"/>
        <w:tblW w:w="9015" w:type="dxa"/>
        <w:tblLayout w:type="fixed"/>
        <w:tblLook w:val="04A0" w:firstRow="1" w:lastRow="0" w:firstColumn="1" w:lastColumn="0" w:noHBand="0" w:noVBand="1"/>
      </w:tblPr>
      <w:tblGrid>
        <w:gridCol w:w="9015"/>
      </w:tblGrid>
      <w:tr w:rsidR="00DE54C7" w:rsidRPr="000E1D82" w14:paraId="581E15F1"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48674E" w14:textId="2A17A215" w:rsidR="00DE54C7" w:rsidRPr="00F86B07" w:rsidRDefault="00DE54C7" w:rsidP="00DE54C7">
            <w:pPr>
              <w:spacing w:before="120" w:after="60"/>
              <w:jc w:val="both"/>
              <w:rPr>
                <w:b/>
                <w:bCs/>
                <w:noProof/>
              </w:rPr>
            </w:pPr>
            <w:bookmarkStart w:id="8" w:name="_Hlk203318613"/>
            <w:bookmarkEnd w:id="6"/>
            <w:r>
              <w:rPr>
                <w:b/>
                <w:noProof/>
              </w:rPr>
              <w:t xml:space="preserve">Vodeća inicijativa: protokol EU-a za zdravstvene preglede za kardiovaskularne bolesti </w:t>
            </w:r>
          </w:p>
          <w:p w14:paraId="12AFE691" w14:textId="4340A5C8" w:rsidR="00DE54C7" w:rsidRPr="00E4479F" w:rsidRDefault="00DE54C7" w:rsidP="00E4479F">
            <w:pPr>
              <w:spacing w:before="120" w:after="160" w:line="259" w:lineRule="auto"/>
              <w:jc w:val="both"/>
              <w:rPr>
                <w:noProof/>
                <w:color w:val="000000" w:themeColor="text1"/>
              </w:rPr>
            </w:pPr>
            <w:r>
              <w:rPr>
                <w:noProof/>
              </w:rPr>
              <w:t>Komisija će 2026. predložiti preporuku Vijeća o zdravstvenim pregledima za kardiovaskularne bolesti kako bi poduprla zajednički pristup država članica u razvoju i provedbi nacionalnih programa zdravstvenih pregleda.</w:t>
            </w:r>
            <w:r>
              <w:rPr>
                <w:noProof/>
                <w:color w:val="000000" w:themeColor="text1"/>
              </w:rPr>
              <w:t xml:space="preserve"> Komisija namjerava poduprijeti pilot-testiranje i pokretanje protokola EU-a za zdravstvenim pregledima u državama članicama te pokrenuti informativne kampanje („Saznajte svoje brojeve”) za potporu toj inicijativi.</w:t>
            </w:r>
          </w:p>
          <w:p w14:paraId="012D0A3E" w14:textId="0BEB58A0" w:rsidR="00DE54C7" w:rsidRPr="00E4479F" w:rsidRDefault="00DE54C7" w:rsidP="00E4479F">
            <w:pPr>
              <w:spacing w:before="120" w:after="160" w:line="259" w:lineRule="auto"/>
              <w:jc w:val="both"/>
              <w:rPr>
                <w:noProof/>
                <w:color w:val="000000" w:themeColor="text1"/>
              </w:rPr>
            </w:pPr>
            <w:r>
              <w:rPr>
                <w:noProof/>
                <w:color w:val="000000" w:themeColor="text1"/>
              </w:rPr>
              <w:t>Planirano je da se u prijedlogu preporuke Vijeća preporuči probir radi ostvarenja konkretnih ciljeva kojima se podupiru opći ciljevi i međuciljevi povezani sa smanjenjem tereta kardiovaskularnih bolesti. Preporukom Vijeća poduprli bi se i utvrđivanje i provedba poticaja za sudjelovanje u programima probira.</w:t>
            </w:r>
          </w:p>
          <w:p w14:paraId="37EE9D87" w14:textId="6691CBDA" w:rsidR="00DE54C7" w:rsidRPr="000E1D82" w:rsidRDefault="00DE54C7" w:rsidP="00E4479F">
            <w:pPr>
              <w:spacing w:before="120" w:after="160" w:line="259" w:lineRule="auto"/>
              <w:jc w:val="both"/>
              <w:rPr>
                <w:rFonts w:cs="Times New Roman"/>
                <w:noProof/>
              </w:rPr>
            </w:pPr>
            <w:r>
              <w:rPr>
                <w:noProof/>
                <w:color w:val="000000" w:themeColor="text1"/>
              </w:rPr>
              <w:t>Komisija namjerava poduprijeti države članice u pilot-programu informiranja javnosti o mobilnom probiru kako bi se ostvarila visoka razina pokrivenosti probirom.</w:t>
            </w:r>
          </w:p>
        </w:tc>
      </w:tr>
    </w:tbl>
    <w:bookmarkEnd w:id="8"/>
    <w:p w14:paraId="153C91F3" w14:textId="77777777" w:rsidR="00DE54C7" w:rsidRPr="000E1D82" w:rsidRDefault="00DE54C7" w:rsidP="003E1314">
      <w:pPr>
        <w:pStyle w:val="Heading1"/>
        <w:numPr>
          <w:ilvl w:val="0"/>
          <w:numId w:val="127"/>
        </w:numPr>
        <w:spacing w:before="240" w:after="120"/>
        <w:jc w:val="both"/>
        <w:rPr>
          <w:rFonts w:ascii="Times New Roman" w:hAnsi="Times New Roman" w:cs="Times New Roman"/>
          <w:b/>
          <w:bCs/>
          <w:smallCaps/>
          <w:noProof/>
          <w:color w:val="auto"/>
          <w:sz w:val="24"/>
          <w:szCs w:val="24"/>
        </w:rPr>
      </w:pPr>
      <w:r>
        <w:rPr>
          <w:rFonts w:ascii="Times New Roman" w:hAnsi="Times New Roman"/>
          <w:b/>
          <w:smallCaps/>
          <w:noProof/>
          <w:color w:val="auto"/>
          <w:sz w:val="24"/>
        </w:rPr>
        <w:t>Treći stup: život s kardiovaskularnim bolestima – poboljšanje liječenja i skrbi za pacijente</w:t>
      </w:r>
    </w:p>
    <w:p w14:paraId="4FB7D11F" w14:textId="7F497BBC" w:rsidR="00DE54C7" w:rsidRPr="000E1D82" w:rsidRDefault="00DE54C7" w:rsidP="00DE54C7">
      <w:pPr>
        <w:jc w:val="both"/>
        <w:rPr>
          <w:rStyle w:val="Strong"/>
          <w:rFonts w:eastAsia="Times New Roman" w:cs="Times New Roman"/>
          <w:b w:val="0"/>
          <w:bCs w:val="0"/>
          <w:noProof/>
        </w:rPr>
      </w:pPr>
      <w:r>
        <w:rPr>
          <w:rStyle w:val="Strong"/>
          <w:b w:val="0"/>
          <w:noProof/>
        </w:rPr>
        <w:t xml:space="preserve">Prevencija je ključna za smanjenje učestalosti kardiovaskularnih bolesti, ali i dalje je ključan i pristup visokokvalitetnoj i koordiniranoj skrbi s fokusom na pacijente. Mnoge osobe žive s više kroničnih bolesti i stoga im je potrebna </w:t>
      </w:r>
      <w:r>
        <w:rPr>
          <w:noProof/>
        </w:rPr>
        <w:t>dugoročna multidisciplinarna potpora i skrb</w:t>
      </w:r>
      <w:r>
        <w:rPr>
          <w:rStyle w:val="Strong"/>
          <w:b w:val="0"/>
          <w:noProof/>
        </w:rPr>
        <w:t>. Mlade i starije osobe koje žive s kardiovaskularnim bolestima imaju različite potrebe. Dokazi pokazuju da personalizirano liječenje i skrb mogu smanjiti troškove zdravstvene skrbi i poboljšati kvalitetu života</w:t>
      </w:r>
      <w:r>
        <w:rPr>
          <w:rStyle w:val="FootnoteReference"/>
          <w:rFonts w:eastAsia="Times New Roman" w:cs="Times New Roman"/>
          <w:noProof/>
        </w:rPr>
        <w:footnoteReference w:id="119"/>
      </w:r>
      <w:r>
        <w:rPr>
          <w:rStyle w:val="Strong"/>
          <w:b w:val="0"/>
          <w:noProof/>
        </w:rPr>
        <w:t>. Pristupi koji se primjenjuju za stratifikaciju pacijenata, kao što je farmakogenomika, mogu poboljšati ishode liječenja, posebno predviđanjem reakcija na liječenje i smanjenjem komplikacija te štetnih učinaka</w:t>
      </w:r>
      <w:r>
        <w:rPr>
          <w:rStyle w:val="FootnoteReference"/>
          <w:rFonts w:eastAsia="Times New Roman" w:cs="Times New Roman"/>
          <w:noProof/>
        </w:rPr>
        <w:footnoteReference w:id="120"/>
      </w:r>
      <w:r>
        <w:rPr>
          <w:rStyle w:val="Strong"/>
          <w:b w:val="0"/>
          <w:noProof/>
        </w:rPr>
        <w:t xml:space="preserve">. </w:t>
      </w:r>
    </w:p>
    <w:p w14:paraId="59DE74CB" w14:textId="0888E5D6" w:rsidR="00DE54C7" w:rsidRPr="00AD4EC2" w:rsidRDefault="00DE54C7" w:rsidP="00DE54C7">
      <w:pPr>
        <w:jc w:val="both"/>
        <w:rPr>
          <w:rFonts w:eastAsia="Times New Roman" w:cs="Times New Roman"/>
          <w:noProof/>
        </w:rPr>
      </w:pPr>
      <w:r>
        <w:rPr>
          <w:b/>
          <w:noProof/>
        </w:rPr>
        <w:t>Kliničke smjernice</w:t>
      </w:r>
      <w:r>
        <w:rPr>
          <w:noProof/>
        </w:rPr>
        <w:t xml:space="preserve"> mogu poboljšati učinkovitost zdravstvenog sustava i doprinijeti boljim ishodima za pacijente. </w:t>
      </w:r>
      <w:r>
        <w:rPr>
          <w:rStyle w:val="Strong"/>
          <w:b w:val="0"/>
          <w:noProof/>
        </w:rPr>
        <w:t xml:space="preserve">Međutim, nedostatak </w:t>
      </w:r>
      <w:r>
        <w:rPr>
          <w:noProof/>
        </w:rPr>
        <w:t xml:space="preserve">zajedničkih standarda za liječenje i skrb u državama članicama dovodi do nejednakosti i neučinkovitosti. Pacijentima su potrebni alati i smjernice za praćenje vlastitog zdravlja i puteva liječenja, primjerice o tome kako pratiti krvni tlak, kako se pridržavati terapije lijekovima i kako uvesti promjene u načinu života. </w:t>
      </w:r>
      <w:r>
        <w:rPr>
          <w:b/>
          <w:noProof/>
        </w:rPr>
        <w:t>Digitalni alati</w:t>
      </w:r>
      <w:r>
        <w:rPr>
          <w:noProof/>
        </w:rPr>
        <w:t>, kao što su telemedicina, elektronički kartoni i povezani uređaji, mogu pomoći u upravljanju vlastitim zdravljem i doprinijeti kontinuitetu i pristupu skrbi, posebno u ruralnim i nedovoljno pokrivenim regijama. Te tehnologije pomažu i u sprečavanju hospitalizacija koje se mogu izbjeći i podupiru integrirane modele skrbi s fokusom na pacijente. Važno je da takvi alati budu dostupni starijim osobama i osobama s invaliditetom te da se zajamči interoperabilnost s pomagalima.</w:t>
      </w:r>
    </w:p>
    <w:p w14:paraId="4633641E" w14:textId="557E293B" w:rsidR="00DE54C7" w:rsidRDefault="00DE54C7" w:rsidP="00DE54C7">
      <w:pPr>
        <w:jc w:val="both"/>
        <w:rPr>
          <w:rFonts w:eastAsia="Times New Roman" w:cs="Times New Roman"/>
          <w:noProof/>
        </w:rPr>
      </w:pPr>
      <w:r>
        <w:rPr>
          <w:noProof/>
        </w:rPr>
        <w:t>Integrirani modeli skrbi u okviru primarne zdravstvene zaštite i zajednice mogu, posebno za osobe s multimorbiditetom, primjerice s kroničnim bolestima bubrega, dijabetesom i kardiovaskularnim bolestima, smanjiti broj neplaniranih hospitalizacija i poboljšati kvalitetu života uz uštedu troškova. Pristupi s fokusom na pacijente imaju prednosti, ali rjeđe su obuhvaćeni nacionalnim planovima za kardiovaskularno zdravlje</w:t>
      </w:r>
      <w:r>
        <w:rPr>
          <w:rStyle w:val="FootnoteReference"/>
          <w:rFonts w:eastAsiaTheme="minorEastAsia" w:cs="Times New Roman"/>
          <w:noProof/>
        </w:rPr>
        <w:footnoteReference w:id="121"/>
      </w:r>
      <w:r>
        <w:rPr>
          <w:noProof/>
        </w:rPr>
        <w:t>. U okviru višedržavnih pilot-projekata može se ispitati mogu li se digitalni modeli skrbi za oboljele od raka s fokusom na pojedinačne pacijente</w:t>
      </w:r>
      <w:r>
        <w:rPr>
          <w:rStyle w:val="FootnoteReference"/>
          <w:rFonts w:eastAsia="Times New Roman" w:cs="Times New Roman"/>
          <w:noProof/>
        </w:rPr>
        <w:footnoteReference w:id="122"/>
      </w:r>
      <w:r>
        <w:rPr>
          <w:noProof/>
        </w:rPr>
        <w:t xml:space="preserve"> prilagoditi za kardiovaskularnu skrb (npr. kardiovaskularna rehabilitacija te praćenje simptoma i zdravstvenih parametara). Moguće je i poboljšati te uvesti inovativna informatička rješenja za integriranu skrb posebno prilagođena za unapređenje multidisciplinarnog zdravlja i skrbi za pacijente s kroničnim zatajenjem srca</w:t>
      </w:r>
      <w:r>
        <w:rPr>
          <w:rStyle w:val="FootnoteReference"/>
          <w:rFonts w:eastAsia="Times New Roman" w:cs="Times New Roman"/>
          <w:noProof/>
        </w:rPr>
        <w:footnoteReference w:id="123"/>
      </w:r>
      <w:r>
        <w:rPr>
          <w:noProof/>
        </w:rPr>
        <w:t>.</w:t>
      </w:r>
    </w:p>
    <w:p w14:paraId="3C949A9B" w14:textId="274385EC" w:rsidR="00DE54C7" w:rsidRPr="000E1D82" w:rsidRDefault="00DE54C7" w:rsidP="00DE54C7">
      <w:pPr>
        <w:jc w:val="both"/>
        <w:rPr>
          <w:rFonts w:eastAsia="Times New Roman" w:cs="Times New Roman"/>
          <w:noProof/>
        </w:rPr>
      </w:pPr>
      <w:r>
        <w:rPr>
          <w:noProof/>
        </w:rPr>
        <w:t>Komisija namjerava:</w:t>
      </w:r>
    </w:p>
    <w:p w14:paraId="2BFBFFA1" w14:textId="5151D845" w:rsidR="00DE54C7" w:rsidRPr="000E1D82" w:rsidRDefault="0086514B" w:rsidP="00DE54C7">
      <w:pPr>
        <w:pStyle w:val="ListParagraph"/>
        <w:numPr>
          <w:ilvl w:val="0"/>
          <w:numId w:val="6"/>
        </w:numPr>
        <w:jc w:val="both"/>
        <w:rPr>
          <w:rFonts w:eastAsia="Times New Roman" w:cs="Times New Roman"/>
          <w:noProof/>
        </w:rPr>
      </w:pPr>
      <w:r>
        <w:rPr>
          <w:noProof/>
        </w:rPr>
        <w:t>uspostaviti mrežu centara za kardiovaskularno zdravlje na razini EU-a kako bi se objedinilo stručno znanje i olakšalo pristupanje dijagnosticiranju i liječenju, kao i rehabilitacija i dugotrajna skrb te djelotvorno upravljanje, uključujući praćenje liječenja i liječničkih savjeta</w:t>
      </w:r>
      <w:r>
        <w:rPr>
          <w:rStyle w:val="FootnoteReference"/>
          <w:rFonts w:eastAsia="Calibri" w:cs="Times New Roman"/>
          <w:noProof/>
        </w:rPr>
        <w:footnoteReference w:id="124"/>
      </w:r>
      <w:r>
        <w:rPr>
          <w:noProof/>
        </w:rPr>
        <w:t>.</w:t>
      </w:r>
    </w:p>
    <w:p w14:paraId="7D8A9CB9" w14:textId="3E9C7A18" w:rsidR="00DE54C7" w:rsidRPr="007E4B00" w:rsidRDefault="00DE54C7" w:rsidP="00DE54C7">
      <w:pPr>
        <w:tabs>
          <w:tab w:val="left" w:pos="5780"/>
          <w:tab w:val="left" w:pos="8180"/>
        </w:tabs>
        <w:spacing w:line="257" w:lineRule="auto"/>
        <w:jc w:val="both"/>
        <w:rPr>
          <w:rFonts w:eastAsia="Times New Roman" w:cs="Times New Roman"/>
          <w:noProof/>
        </w:rPr>
      </w:pPr>
      <w:r>
        <w:rPr>
          <w:noProof/>
        </w:rPr>
        <w:t>Osobe koje žive s kardiovaskularnim bolestima često osjećaju tjeskobu i strah od recidiva i teško im je prilagoditi se promjenama u načinu života i dugoročnom liječenju. Svi ti čimbenici mogu negativno utjecati na kvalitetu života i mentalno zdravlje. U Komisijinu sveobuhvatnom pristupu mentalnom zdravlju</w:t>
      </w:r>
      <w:r>
        <w:rPr>
          <w:rStyle w:val="FootnoteReference"/>
          <w:rFonts w:eastAsia="Times New Roman" w:cs="Times New Roman"/>
          <w:noProof/>
        </w:rPr>
        <w:footnoteReference w:id="125"/>
      </w:r>
      <w:r>
        <w:rPr>
          <w:noProof/>
        </w:rPr>
        <w:t xml:space="preserve"> prepoznaje se veza između fizičkog i mentalnog zdravlja te se prednost daje potpori ranjivim skupinama stanovništva, uključujući one s kroničnim bolestima. Komisija će nastaviti zdravstvenim radnicima i stručnjacima u području socijalne skrbi i obrazovanja osiguravati vještine potrebne za pružanje integrirane i multidisciplinarne skrbi za mentalno zdravlje s fokusom na pacijente, i to inicijativama kao što je program EU-a PROMENS</w:t>
      </w:r>
      <w:r>
        <w:rPr>
          <w:rStyle w:val="FootnoteReference"/>
          <w:rFonts w:eastAsia="Times New Roman" w:cs="Times New Roman"/>
          <w:noProof/>
        </w:rPr>
        <w:footnoteReference w:id="126"/>
      </w:r>
      <w:r>
        <w:rPr>
          <w:noProof/>
        </w:rPr>
        <w:t xml:space="preserve"> za osposobljavanje i razmjenu u području mentalnog zdravlja. Uz to će nastaviti podupirati obrazovanje i osposobljavanje budućih stručnjaka za kardiovaskularne bolesti te interdisciplinarno osposobljavanje u području dobrobiti, među ostalim putem savezâ europskih sveučilišta</w:t>
      </w:r>
      <w:r>
        <w:rPr>
          <w:rStyle w:val="FootnoteReference"/>
          <w:rFonts w:eastAsia="Times New Roman" w:cs="Times New Roman"/>
          <w:noProof/>
        </w:rPr>
        <w:footnoteReference w:id="127"/>
      </w:r>
      <w:r>
        <w:rPr>
          <w:noProof/>
        </w:rPr>
        <w:t>.</w:t>
      </w:r>
    </w:p>
    <w:p w14:paraId="49AB7239" w14:textId="1C482647" w:rsidR="00DE54C7" w:rsidRDefault="00DE54C7" w:rsidP="00DE54C7">
      <w:pPr>
        <w:jc w:val="both"/>
        <w:rPr>
          <w:noProof/>
        </w:rPr>
      </w:pPr>
      <w:r>
        <w:rPr>
          <w:noProof/>
        </w:rPr>
        <w:t>Rehabilitacija nakon akutnih događaja, kao što su srčani ili moždani udar, ključna je za smanjenje rizika od smrtnog slučaja i invaliditeta tijekom puteva skrbi o pacijentima. Mora biti multidisciplinarna i sveobuhvatna te nastojati ispuniti fizičke, psihološke i društvene potrebe. Rehabilitacija i kontinuitet skrbi moraju se uključiti u nacionalne strategije. Da bi se zajamčila istinski personalizirana skrb, ključno je primijeniti životno iskustvo u cijelom kontekstu kardiovaskularnih bolesti, posebno u pristupima upravljanju i skrbi.</w:t>
      </w:r>
    </w:p>
    <w:p w14:paraId="5149C8DA" w14:textId="26DC6389" w:rsidR="00DE54C7" w:rsidRPr="000E1D82" w:rsidRDefault="00DE54C7" w:rsidP="00DE54C7">
      <w:pPr>
        <w:jc w:val="both"/>
        <w:rPr>
          <w:noProof/>
        </w:rPr>
      </w:pPr>
      <w:bookmarkStart w:id="9" w:name="_Hlk216189316"/>
      <w:r>
        <w:rPr>
          <w:b/>
          <w:noProof/>
        </w:rPr>
        <w:t>Medicinski proizvodi</w:t>
      </w:r>
      <w:r>
        <w:rPr>
          <w:noProof/>
        </w:rPr>
        <w:t xml:space="preserve"> i inovativne tehnologije imaju ključnu ulogu u kardiovaskularnoj skrbi. Komisija je predložila reviziju zakonodavnog okvira EU-a o medicinskim proizvodima</w:t>
      </w:r>
      <w:r>
        <w:rPr>
          <w:rFonts w:eastAsiaTheme="minorEastAsia"/>
          <w:noProof/>
          <w:vertAlign w:val="superscript"/>
        </w:rPr>
        <w:footnoteReference w:id="128"/>
      </w:r>
      <w:r>
        <w:rPr>
          <w:noProof/>
        </w:rPr>
        <w:t xml:space="preserve"> i </w:t>
      </w:r>
      <w:r>
        <w:rPr>
          <w:i/>
          <w:iCs/>
          <w:noProof/>
        </w:rPr>
        <w:t>in vitro</w:t>
      </w:r>
      <w:r>
        <w:rPr>
          <w:noProof/>
        </w:rPr>
        <w:t xml:space="preserve"> dijagnostičkim medicinskim proizvodima</w:t>
      </w:r>
      <w:r>
        <w:rPr>
          <w:rFonts w:eastAsiaTheme="minorEastAsia"/>
          <w:noProof/>
          <w:vertAlign w:val="superscript"/>
        </w:rPr>
        <w:footnoteReference w:id="129"/>
      </w:r>
      <w:r>
        <w:rPr>
          <w:noProof/>
        </w:rPr>
        <w:t xml:space="preserve"> kako bi se pojednostavnili postupci, a zahtjevi učinili troškovno učinkovitijima i proporcionalnijima, uz očuvanje visoke razine zaštite pacijenata. To uključuje ubrzan regulatorni postupak za revolucionarne medicinske proizvode kako bi se zajamčila njihova pravodobna dostupnost građanima EU-a. U pripremi je pilot-projekt takvog postupka koji će biti pokrenut početkom 2026. U njemu će se poseban fokus staviti na revolucionarne proizvode za kardiovaskularnu i pedijatrijsku skrb.</w:t>
      </w:r>
    </w:p>
    <w:bookmarkEnd w:id="9"/>
    <w:p w14:paraId="16AB2C5D" w14:textId="718D5B5A" w:rsidR="00DE54C7" w:rsidRDefault="00DE54C7" w:rsidP="00DE54C7">
      <w:pPr>
        <w:jc w:val="both"/>
        <w:rPr>
          <w:rFonts w:eastAsia="Calibri"/>
          <w:noProof/>
        </w:rPr>
      </w:pPr>
      <w:r>
        <w:rPr>
          <w:b/>
          <w:noProof/>
        </w:rPr>
        <w:t>Pristup cjenovno pristupačnim, sigurnim i inovativnim lijekovima</w:t>
      </w:r>
      <w:r>
        <w:rPr>
          <w:noProof/>
        </w:rPr>
        <w:t xml:space="preserve"> ključan je za smanjenje broja smrtnih slučajeva uslijed kardiovaskularnih bolesti. Revizijom zakonodavstva EU-a o farmaceutskim proizvodima namjerava se modernizirati regulatorni okvir, potaknuti istraživanja i inovacije, pojednostavniti postupak odobravanja i smanjiti birokraciju, čime će se omogućiti brže odobravanje i pristup pacijenata inovativnim načinima liječenja. Cilj je i povećati agilnost Europske agencije za lijekove te poduprijeti pristup najvažnijim lijekovima za kardiovaskularne bolesti. Nadalje, predloženim Aktom o kritičnim lijekovima</w:t>
      </w:r>
      <w:r>
        <w:rPr>
          <w:rStyle w:val="FootnoteReference"/>
          <w:rFonts w:eastAsia="Calibri" w:cs="Times New Roman"/>
          <w:noProof/>
        </w:rPr>
        <w:footnoteReference w:id="130"/>
      </w:r>
      <w:r>
        <w:rPr>
          <w:noProof/>
        </w:rPr>
        <w:t xml:space="preserve"> nastoji se poboljšati dostupnost, opskrba i proizvodnja ključnih lijekova u EU-u, uključujući određene lijekove koji se upotrebljavaju za kardiovaskularne bolesti</w:t>
      </w:r>
      <w:r>
        <w:rPr>
          <w:rStyle w:val="FootnoteReference"/>
          <w:rFonts w:eastAsia="Calibri" w:cs="Times New Roman"/>
          <w:noProof/>
        </w:rPr>
        <w:footnoteReference w:id="131"/>
      </w:r>
      <w:r>
        <w:rPr>
          <w:noProof/>
        </w:rPr>
        <w:t xml:space="preserve">. </w:t>
      </w:r>
    </w:p>
    <w:p w14:paraId="3CBA412F" w14:textId="0E4DCC36" w:rsidR="00D53EA1" w:rsidRPr="000E1D82" w:rsidRDefault="00DE54C7" w:rsidP="00DE54C7">
      <w:pPr>
        <w:jc w:val="both"/>
        <w:rPr>
          <w:rFonts w:eastAsia="Calibri"/>
          <w:noProof/>
        </w:rPr>
      </w:pPr>
      <w:r>
        <w:rPr>
          <w:noProof/>
        </w:rPr>
        <w:t>Cilj je prijedloga Akta o biotehnologiji</w:t>
      </w:r>
      <w:r>
        <w:rPr>
          <w:rStyle w:val="FootnoteReference"/>
          <w:noProof/>
        </w:rPr>
        <w:footnoteReference w:id="132"/>
      </w:r>
      <w:r>
        <w:rPr>
          <w:noProof/>
        </w:rPr>
        <w:t xml:space="preserve"> dovesti biotehnologiju iz laboratorija u tvornicu pa na tržište, s fokusom na zdravlju, skratiti vrijeme potrebno za stavljanje biotehnoloških proizvoda na tržište i potaknuti cijeli ekosustav kako bi se stvorilo okruženje pogodnije za inovacije. </w:t>
      </w:r>
    </w:p>
    <w:p w14:paraId="68B7D4EC" w14:textId="11F0631B" w:rsidR="00DE54C7" w:rsidRDefault="00DE54C7" w:rsidP="00914153">
      <w:pPr>
        <w:jc w:val="both"/>
        <w:rPr>
          <w:rFonts w:eastAsia="Times New Roman" w:cs="Times New Roman"/>
          <w:noProof/>
        </w:rPr>
      </w:pPr>
      <w:r>
        <w:rPr>
          <w:noProof/>
        </w:rPr>
        <w:t xml:space="preserve">U EU-u su </w:t>
      </w:r>
      <w:r>
        <w:rPr>
          <w:b/>
          <w:noProof/>
        </w:rPr>
        <w:t>klinička ispitivanja</w:t>
      </w:r>
      <w:r>
        <w:rPr>
          <w:noProof/>
        </w:rPr>
        <w:t xml:space="preserve"> temelj za prikupljanje potrebnih dokaza kako bi se omogućilo sigurno, djelotvorno i inovativno liječenje koje može poboljšati ishode kardiovaskularnih bolesti. Decentralizirana klinička ispitivanja uz potporu digitalnih zdravstvenih tehnologija ključna su za povećanje sudjelovanja pacijenata, pojednostavnjenje praćenja i poboljšanje kliničkih ishoda. Omogućivanje decentraliziranih pristupa posebno je važno u kardiovaskularnim ispitivanjima, u kojima je ciljana populacija često tjelesno slabija i stoga može biti teško pronaći ili zadržati ispitanike. Cilj je prijedloga Akta o biotehnologiji omogućiti odobravanje kliničkih ispitivanja s decentraliziranim elementima kako bi se pojednostavnila pravila za odobravanje i provedbu kliničkih ispitivanja te skratilo vrijeme potrebno za stavljanje na tržište inovativnih lijekova, među ostalim onih koji se upotrebljavaju u kardiovaskularnoj skrbi. U predstojećem Planu ulaganja u klinička istraživanja predložit će se načini za olakšavanje financiranja kliničkih ispitivanja koja se provode u više zemalja i daljnje pojednostavnjenje europskih istraživačkih infrastruktura u području kliničkih istraživanja</w:t>
      </w:r>
      <w:r>
        <w:rPr>
          <w:rStyle w:val="FootnoteReference"/>
          <w:rFonts w:eastAsia="Times New Roman" w:cs="Times New Roman"/>
          <w:noProof/>
        </w:rPr>
        <w:footnoteReference w:id="133"/>
      </w:r>
      <w:r>
        <w:rPr>
          <w:noProof/>
        </w:rPr>
        <w:t>.</w:t>
      </w:r>
    </w:p>
    <w:p w14:paraId="6F7052F3" w14:textId="4F04792F" w:rsidR="00DE54C7" w:rsidRDefault="00DE54C7" w:rsidP="00DE54C7">
      <w:pPr>
        <w:spacing w:after="120"/>
        <w:jc w:val="both"/>
        <w:rPr>
          <w:rFonts w:eastAsia="Times New Roman" w:cs="Times New Roman"/>
          <w:noProof/>
        </w:rPr>
      </w:pPr>
      <w:r>
        <w:rPr>
          <w:noProof/>
        </w:rPr>
        <w:t>Cilj je ažuriranih usklađenih smjernica o najboljoj praksi na razini EU-a u okviru inicijative „ubrzavanje kliničkih ispitivanja” (ACT EU)</w:t>
      </w:r>
      <w:r>
        <w:rPr>
          <w:rStyle w:val="FootnoteReference"/>
          <w:rFonts w:cs="Times New Roman"/>
          <w:noProof/>
        </w:rPr>
        <w:footnoteReference w:id="134"/>
      </w:r>
      <w:r>
        <w:rPr>
          <w:noProof/>
        </w:rPr>
        <w:t xml:space="preserve"> pomoći u prihvaćanju decentraliziranih elemenata u kliničkim ispitivanjima pružanjem dosljednih, praktičnih uputa naručiteljima ispitivanja i mjestima ispitivanja u svim državama članicama.  </w:t>
      </w:r>
    </w:p>
    <w:p w14:paraId="432B1FBA" w14:textId="45A2C546" w:rsidR="00DE54C7" w:rsidRPr="00F96E6F" w:rsidRDefault="00DE54C7" w:rsidP="00DE54C7">
      <w:pPr>
        <w:tabs>
          <w:tab w:val="left" w:pos="5780"/>
          <w:tab w:val="left" w:pos="8180"/>
        </w:tabs>
        <w:spacing w:before="120" w:line="257" w:lineRule="auto"/>
        <w:jc w:val="both"/>
        <w:rPr>
          <w:noProof/>
        </w:rPr>
      </w:pPr>
      <w:r>
        <w:rPr>
          <w:noProof/>
        </w:rPr>
        <w:t xml:space="preserve">Uredbom EU-a </w:t>
      </w:r>
      <w:r>
        <w:rPr>
          <w:b/>
          <w:noProof/>
        </w:rPr>
        <w:t>o procjeni zdravstvenih tehnologija</w:t>
      </w:r>
      <w:r>
        <w:rPr>
          <w:rStyle w:val="FootnoteReference"/>
          <w:bCs/>
          <w:noProof/>
        </w:rPr>
        <w:footnoteReference w:id="135"/>
      </w:r>
      <w:r>
        <w:rPr>
          <w:noProof/>
        </w:rPr>
        <w:t xml:space="preserve"> podupire se suradnja država članica u kliničkoj procjeni novih zdravstvenih tehnologija usporedbom tih tehnologija s postojećim načinima liječenja. Od početka 2025. lijekovi za naprednu terapiju za kardiovaskularne bolesti podliježu zajedničkoj kliničkoj procjeni. Većina prihvatljivih visokorizičnih medicinskih proizvoda može se implantirati i namijenjena je liječenju kardiovaskularnih bolesti. U 2026. počet će se provoditi zajedničke kliničke procjene visokorizičnih medicinskih proizvoda, kao što su stentovi ili umjetni zalisci, čime će se državama članicama pomoći u donošenju bržih i informiranih odluka o određivanju njihovih cijena i naknadi troškova. Nadalje, pomoću zajedničkih znanstvenih savjetovanja subjektima koji razvijaju zdravstvene tehnologije pružit će se preporuke o njihovim razvojnim planovima da bi se poboljšala kvaliteta kliničkih studija.</w:t>
      </w:r>
    </w:p>
    <w:p w14:paraId="686CE854" w14:textId="79A9D976" w:rsidR="00DE54C7" w:rsidRPr="00914153" w:rsidRDefault="00DE54C7" w:rsidP="00914153">
      <w:pPr>
        <w:tabs>
          <w:tab w:val="left" w:pos="5780"/>
          <w:tab w:val="left" w:pos="8180"/>
        </w:tabs>
        <w:spacing w:before="120" w:line="257" w:lineRule="auto"/>
        <w:jc w:val="both"/>
        <w:rPr>
          <w:noProof/>
        </w:rPr>
      </w:pPr>
      <w:r>
        <w:rPr>
          <w:noProof/>
        </w:rPr>
        <w:t>Državama članicama dostupne su mogućnosti financiranja u okviru Instrumenta za tehničku potporu</w:t>
      </w:r>
      <w:r>
        <w:rPr>
          <w:rStyle w:val="FootnoteReference"/>
          <w:rFonts w:cs="Times New Roman"/>
          <w:noProof/>
        </w:rPr>
        <w:footnoteReference w:id="136"/>
      </w:r>
      <w:r>
        <w:rPr>
          <w:noProof/>
        </w:rPr>
        <w:t>, koji nudi prilagođeno tehničko stručno znanje za osmišljavanje i provedbu reformi</w:t>
      </w:r>
      <w:r>
        <w:rPr>
          <w:rStyle w:val="FootnoteReference"/>
          <w:rFonts w:cs="Times New Roman"/>
          <w:noProof/>
        </w:rPr>
        <w:footnoteReference w:id="137"/>
      </w:r>
      <w:r>
        <w:rPr>
          <w:noProof/>
        </w:rPr>
        <w:t xml:space="preserve">. Osim toga, za relevantna ulaganja za poboljšanje zdravstvenih ishoda stanovništva općenito, među ostalim za kardiovaskularne bolesti, mogu se iskoristiti sredstva iz kohezijskih fondova EU-a. Države članice dodijelile su 7,3 milijarde EUR iz Europskog fonda za regionalni razvoj nacionalnim i regionalnim programima te programima Interreg za ulaganja u zdravstvenu infrastrukturu, opremu i prekograničnu suradnju.  </w:t>
      </w:r>
    </w:p>
    <w:p w14:paraId="08273B50" w14:textId="3E90F040" w:rsidR="00DE54C7" w:rsidRPr="000E1D82" w:rsidRDefault="00DE54C7" w:rsidP="00914153">
      <w:pPr>
        <w:tabs>
          <w:tab w:val="left" w:pos="5780"/>
          <w:tab w:val="left" w:pos="8180"/>
        </w:tabs>
        <w:spacing w:before="120" w:line="257" w:lineRule="auto"/>
        <w:jc w:val="both"/>
        <w:rPr>
          <w:rFonts w:eastAsia="Calibri" w:cs="Times New Roman"/>
          <w:noProof/>
        </w:rPr>
      </w:pPr>
      <w:r>
        <w:rPr>
          <w:noProof/>
        </w:rPr>
        <w:t xml:space="preserve">Nakon razvoja djelotvornog pristupa za rano otkrivanje bolesti i probir Komisija namjerava poduprijeti razvoj i pilot-projekt </w:t>
      </w:r>
      <w:r>
        <w:rPr>
          <w:b/>
          <w:noProof/>
        </w:rPr>
        <w:t>smjernica EU-a o personaliziranom liječenju i praćenju kardiovaskularnih bolesti</w:t>
      </w:r>
      <w:r>
        <w:rPr>
          <w:noProof/>
        </w:rPr>
        <w:t xml:space="preserve"> kako bi se zajamčila primjerena daljnja skrb. Time bi se doprinijelo poboljšanju kardiovaskularne skrbi, poduprlo prikupljanje podataka, olakšala integracija podataka u cijelom EU-u i pomoglo u razvoju boljih metoda liječenja i strategija upravljanja za kardiovaskularne bolesti i njihove komorbiditete. </w:t>
      </w:r>
    </w:p>
    <w:tbl>
      <w:tblPr>
        <w:tblStyle w:val="TableGrid"/>
        <w:tblW w:w="9015" w:type="dxa"/>
        <w:tblLayout w:type="fixed"/>
        <w:tblLook w:val="04A0" w:firstRow="1" w:lastRow="0" w:firstColumn="1" w:lastColumn="0" w:noHBand="0" w:noVBand="1"/>
      </w:tblPr>
      <w:tblGrid>
        <w:gridCol w:w="9015"/>
      </w:tblGrid>
      <w:tr w:rsidR="00DE54C7" w:rsidRPr="000E1D82" w14:paraId="7DDC41A0"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1B2887" w14:textId="0D8ADC4A" w:rsidR="00DE54C7" w:rsidRPr="00914153" w:rsidRDefault="00DE54C7" w:rsidP="00914153">
            <w:pPr>
              <w:tabs>
                <w:tab w:val="left" w:pos="5780"/>
                <w:tab w:val="left" w:pos="8180"/>
              </w:tabs>
              <w:spacing w:after="240"/>
              <w:jc w:val="both"/>
              <w:rPr>
                <w:rFonts w:eastAsia="Calibri" w:cs="Times New Roman"/>
                <w:noProof/>
              </w:rPr>
            </w:pPr>
            <w:r>
              <w:rPr>
                <w:b/>
                <w:noProof/>
              </w:rPr>
              <w:t xml:space="preserve">Vodeća inicijativa: Prijedlog preporuke Vijeća o personaliziranom liječenju i praćenju kardiovaskularnih bolesti </w:t>
            </w:r>
          </w:p>
          <w:p w14:paraId="00EEB34A" w14:textId="5401EC41" w:rsidR="00DE54C7" w:rsidRPr="00E4479F" w:rsidRDefault="00DE54C7" w:rsidP="00E4479F">
            <w:pPr>
              <w:spacing w:before="120" w:after="160" w:line="259" w:lineRule="auto"/>
              <w:jc w:val="both"/>
              <w:rPr>
                <w:noProof/>
                <w:color w:val="000000" w:themeColor="text1"/>
              </w:rPr>
            </w:pPr>
            <w:r>
              <w:rPr>
                <w:noProof/>
                <w:color w:val="000000" w:themeColor="text1"/>
              </w:rPr>
              <w:t xml:space="preserve">Komisija namjerava 2027. predložiti preporuku Vijeća za poboljšanje kvalitete i dosljednosti personaliziranih i integriranih puteva skrbi za kardiovaskularne bolesti i povezana stanja, među ostalim upotrebom digitalnih alata. </w:t>
            </w:r>
          </w:p>
          <w:p w14:paraId="6060D51A" w14:textId="4B6B5655" w:rsidR="00DE54C7" w:rsidRPr="000E1D82" w:rsidRDefault="00DE54C7" w:rsidP="00E4479F">
            <w:pPr>
              <w:spacing w:before="120" w:after="160" w:line="259" w:lineRule="auto"/>
              <w:jc w:val="both"/>
              <w:rPr>
                <w:rFonts w:eastAsia="Calibri" w:cs="Times New Roman"/>
                <w:noProof/>
              </w:rPr>
            </w:pPr>
            <w:r>
              <w:rPr>
                <w:noProof/>
                <w:color w:val="000000" w:themeColor="text1"/>
              </w:rPr>
              <w:t>Tim se prijedlogom nastoji dopuniti i usmjeriti uvođenje digitalnih rješenja i rješenja koja se temelje na umjetnoj inteligenciji koja se podupiru u okviru programa „EU za zdravlje” (vidjeti šesto poglavlje) te doprinijeti poboljšanju pristupa osnovnom liječenju u cijelom EU-u.</w:t>
            </w:r>
          </w:p>
        </w:tc>
      </w:tr>
    </w:tbl>
    <w:p w14:paraId="05CE941C" w14:textId="77777777" w:rsidR="00DE54C7" w:rsidRPr="000E1D82" w:rsidRDefault="00DE54C7" w:rsidP="003E1314">
      <w:pPr>
        <w:pStyle w:val="Heading1"/>
        <w:numPr>
          <w:ilvl w:val="0"/>
          <w:numId w:val="127"/>
        </w:numPr>
        <w:spacing w:before="120" w:after="120"/>
        <w:jc w:val="both"/>
        <w:rPr>
          <w:rFonts w:ascii="Times New Roman" w:hAnsi="Times New Roman" w:cs="Times New Roman"/>
          <w:b/>
          <w:bCs/>
          <w:smallCaps/>
          <w:noProof/>
          <w:color w:val="auto"/>
          <w:sz w:val="24"/>
          <w:szCs w:val="24"/>
        </w:rPr>
      </w:pPr>
      <w:r>
        <w:rPr>
          <w:rFonts w:ascii="Times New Roman" w:hAnsi="Times New Roman"/>
          <w:b/>
          <w:smallCaps/>
          <w:noProof/>
          <w:color w:val="auto"/>
          <w:sz w:val="24"/>
        </w:rPr>
        <w:t xml:space="preserve">Integracija podataka i digitalizacije u kardiovaskularno zdravlje </w:t>
      </w:r>
    </w:p>
    <w:p w14:paraId="6114A8BF" w14:textId="4CC85D58" w:rsidR="00DE54C7" w:rsidRPr="000E1D82" w:rsidRDefault="00DE54C7" w:rsidP="00DE54C7">
      <w:pPr>
        <w:jc w:val="both"/>
        <w:rPr>
          <w:rFonts w:eastAsia="Times New Roman" w:cs="Times New Roman"/>
          <w:noProof/>
        </w:rPr>
      </w:pPr>
      <w:r>
        <w:rPr>
          <w:b/>
          <w:noProof/>
        </w:rPr>
        <w:t>Digitalne tehnologije i umjetna inteligencija</w:t>
      </w:r>
      <w:r>
        <w:rPr>
          <w:noProof/>
        </w:rPr>
        <w:t xml:space="preserve"> mijenjaju načine sprečavanja i otkrivanja kardiovaskularnih bolesti te upravljanja njima. Mogu promijeniti i načine na koje liječnici i pacijenti nastoje liječiti povezana stanja kao što su hipertenzija, dijabetes i pretilost, koji su ključni čimbenici rizika za kardiovaskularne bolesti. Integriranjem genetičkih informacija, kliničkih podataka i nalaza snimanja, obrazaca načina života i okolišnih odrednica umjetna inteligencija može omogućiti preciznije predviđanje rizika od kardiovaskularnih bolesti i odgovarajuće prilagođene intervencije. Personalizirana prevencija može poboljšati postojeće mjere na razini stanovništva i omogućiti građanima da se izravno uključe u upravljanje vlastitim kardiovaskularnim zdravljem. Digitalni alati i alati koji se temelje na podacima ključni su za ostvarenje te promjene jer omogućuju ranije otkrivanje bolesti, ciljano liječenje i učinkovitiju upotrebu resursa zdravstvenog sustava, čime se povećava učinak strategija prevencije u svim državama članicama.</w:t>
      </w:r>
    </w:p>
    <w:p w14:paraId="709A9887" w14:textId="6914C4E3" w:rsidR="00DE54C7" w:rsidRPr="000E1D82" w:rsidRDefault="00DE54C7" w:rsidP="00DE54C7">
      <w:pPr>
        <w:jc w:val="both"/>
        <w:rPr>
          <w:rFonts w:eastAsia="Times New Roman" w:cs="Times New Roman"/>
          <w:noProof/>
        </w:rPr>
      </w:pPr>
      <w:r>
        <w:rPr>
          <w:noProof/>
        </w:rPr>
        <w:t>Digitalna transformacija zdravstva u EU-u ulazi u novu fazu i prelazi s pristupa podacima i razmjene podataka na praktične primjene temeljene na podacima kojima se poboljšavaju prevencija, dijagnosticiranje i skrb. Kako bi se to postiglo, Komisija namjerava poduprijeti uvođenje interoperabilnih digitalnih infrastruktura i pouzdanih rješenja umjetne inteligencije u skladu s europskim prostorom za zdravstvene podatke</w:t>
      </w:r>
      <w:r>
        <w:rPr>
          <w:rStyle w:val="FootnoteReference"/>
          <w:rFonts w:eastAsia="Times New Roman" w:cs="Times New Roman"/>
          <w:noProof/>
        </w:rPr>
        <w:footnoteReference w:id="138"/>
      </w:r>
      <w:r>
        <w:rPr>
          <w:noProof/>
        </w:rPr>
        <w:t xml:space="preserve">, nadovezujući se na prethodne mjere u okviru programa „EU za zdravlje” i Digitalna Europa. Za to su potrebni i klinički potvrđeni alati umjetne inteligencije potkrijepljeni čvrstim dokazima o učinkovitosti, sigurnosti i stvarnoj djelotvornosti u jasno definiranim kliničkim postupcima. Istodobno, sve veća upotreba potrošačkih digitalnih uređaja za praćenje može pomoći građanima u praćenju načina života i čimbenika rizika od kardiovaskularnih bolesti, pod uvjetom da se podaci upotrebljavaju na zaštićen i odgovoran način. </w:t>
      </w:r>
    </w:p>
    <w:p w14:paraId="75DA5785" w14:textId="4E16CAD0" w:rsidR="00DE54C7" w:rsidRPr="00914153" w:rsidRDefault="00DE54C7" w:rsidP="00DE54C7">
      <w:pPr>
        <w:jc w:val="both"/>
        <w:rPr>
          <w:rFonts w:eastAsia="Times New Roman" w:cs="Times New Roman"/>
          <w:noProof/>
          <w:szCs w:val="24"/>
        </w:rPr>
      </w:pPr>
      <w:r>
        <w:rPr>
          <w:noProof/>
        </w:rPr>
        <w:t>Brzi razvoj digitalnih tehnologija i umjetne inteligencije otvara nove mogućnosti. Nekad je fokus bio na dostupnosti podataka, razmjeni podataka i interoperabilnosti, a sad se treba usmjeriti na zdravstvene primjene temeljene na podacima kojima se aktivno podupiru prevencija, dijagnosticiranje i optimizacija zdravstvene skrbi,</w:t>
      </w:r>
      <w:r>
        <w:rPr>
          <w:noProof/>
          <w:color w:val="D13438"/>
          <w:bdr w:val="none" w:sz="0" w:space="0" w:color="auto" w:frame="1"/>
        </w:rPr>
        <w:t xml:space="preserve"> </w:t>
      </w:r>
      <w:r>
        <w:rPr>
          <w:noProof/>
        </w:rPr>
        <w:t>uz istodobno povećanje učinkovitosti i pospješivanje održivosti zdravstvenih sustava. U sljedećoj fazi digitalne transformacije zdravstva u EU-u trebalo bi prijeći s puke razmjene zdravstvenih podataka na razvoj inteligentnih alata koji mogu predviđati rizik, usmjeravati personaliziranu prevenciju, automatizirati dijagnostiku, poboljšati donošenje kliničkih odluka i optimizirati različite aspekte zdravstvenih usluga.</w:t>
      </w:r>
    </w:p>
    <w:p w14:paraId="68651291" w14:textId="76916EB3" w:rsidR="00DE54C7" w:rsidRPr="001F53C9" w:rsidRDefault="00DE54C7" w:rsidP="00DE54C7">
      <w:pPr>
        <w:spacing w:line="257" w:lineRule="auto"/>
        <w:jc w:val="both"/>
        <w:rPr>
          <w:rFonts w:eastAsia="Calibri"/>
          <w:noProof/>
        </w:rPr>
      </w:pPr>
      <w:r>
        <w:rPr>
          <w:noProof/>
        </w:rPr>
        <w:t>Međutim, postoje kontinuirane prepreke koje ograničavaju napredak u kardiovaskularnoj medicini. Podaci relevantni za kardiovaskularne bolesti, uključujući one povezane s hipertenzijom, dijabetesom i pretilošću te drugim čimbenicima rizika, i dalje su fragmentirani u raznim zdravstvenim okruženjima i registrima podataka te se stoga ne mogu iskoristiti za djelotvorne zdravstvene mjere. Često su nepotpuni, nedovoljno standardizirani ili nisu dovoljno reprezentativni za različite populacije. U većini slučajeva skupovi kardiovaskularnih podataka također nisu sustavno povezani s podacima o okolišnim čimbenicima rizika (npr. onečišćenje zraka), iako bi se takvom integracijom mogle poboljšati strategije predviđanja i sprečavanja rizika. To otežava razvoj točnih i pravednih modela umjetne inteligencije za predviđanje rizika od kardiovaskularnih bolesti i optimizaciju liječenja. Nedostaci u interoperabilnosti i ograničena integracija digitalnih alata u kardiološke postupke ograničavaju njihovu kliničku validaciju i svakodnevnu upotrebu. Manjak visokokvalitetnih prekograničnih i longitudinalnih podataka dodatno ograničava mogućnost dobivanja stvarnih dokaza te sigurnog i djelotvornog uvođenja pouzdanih aplikacija umjetne inteligencije u cijelom EU-u. Važno je i zajamčiti raznolikost i reprezentativnost skupova podataka kako bi se izbjegla algoritamska pristranost jer modeli umjetne inteligencije trenirani na nepotpunim ili neuravnoteženim podacima sa sobom nose rizik od zanemarivanja spolno i rodno uvjetovanih razlika u simptomima, čimbenicima rizika i reakcijama na liječenje</w:t>
      </w:r>
      <w:r>
        <w:rPr>
          <w:rStyle w:val="FootnoteReference"/>
          <w:rFonts w:eastAsia="Calibri"/>
          <w:noProof/>
        </w:rPr>
        <w:footnoteReference w:id="139"/>
      </w:r>
      <w:r>
        <w:rPr>
          <w:noProof/>
        </w:rPr>
        <w:t xml:space="preserve">.  </w:t>
      </w:r>
    </w:p>
    <w:p w14:paraId="088631B3" w14:textId="56ED8B59" w:rsidR="00DE54C7" w:rsidRPr="000E1D82" w:rsidRDefault="00DE54C7" w:rsidP="00DE54C7">
      <w:pPr>
        <w:tabs>
          <w:tab w:val="left" w:pos="5780"/>
          <w:tab w:val="left" w:pos="8180"/>
        </w:tabs>
        <w:spacing w:line="257" w:lineRule="auto"/>
        <w:jc w:val="both"/>
        <w:rPr>
          <w:rFonts w:eastAsia="Calibri"/>
          <w:noProof/>
        </w:rPr>
      </w:pPr>
      <w:r>
        <w:rPr>
          <w:noProof/>
        </w:rPr>
        <w:t>U Planu za zdravlje srca fokus se prebacuje s fragmentiranih pilot-inicijativa na koordinirano uvođenje u širim razmjerima. Cilj mu je mobilizirati raznolike, visokokvalitetne zdravstvene podatke uz pomoć interoperabilnih digitalnih infrastruktura i promicati pouzdana, klinički potvrđena rješenja umjetne inteligencije. Plan može poduprijeti bolje uvođenje javne računalne infrastrukture i dijeljenje zdravstvenih aplikacija. Njegova će primjena poboljšati prevenciju, kliničke puteve i puteve skrbi, smanjiti nejednakosti među regijama i podupirati personalizirano liječenje kardiovaskularnih bolesti temeljeno na podacima. Uz to, njime će se povećati kapacitet EU-a za inovacije i globalnu konkurentnost u području digitalnog zdravstva i kardiovaskularne medicine.</w:t>
      </w:r>
    </w:p>
    <w:p w14:paraId="1F2D5E85" w14:textId="2E0EB8B7" w:rsidR="00DE54C7" w:rsidRPr="000E1D82" w:rsidRDefault="00DE54C7" w:rsidP="00DE54C7">
      <w:pPr>
        <w:tabs>
          <w:tab w:val="left" w:pos="5780"/>
          <w:tab w:val="left" w:pos="8180"/>
        </w:tabs>
        <w:spacing w:line="257" w:lineRule="auto"/>
        <w:jc w:val="both"/>
        <w:rPr>
          <w:rFonts w:eastAsia="Calibri"/>
          <w:noProof/>
        </w:rPr>
      </w:pPr>
      <w:r>
        <w:rPr>
          <w:b/>
          <w:noProof/>
        </w:rPr>
        <w:t>Visokokvalitetni, raznoliki i reprezentativni zdravstveni podaci</w:t>
      </w:r>
      <w:r>
        <w:rPr>
          <w:noProof/>
        </w:rPr>
        <w:t xml:space="preserve"> ključni su za unapređenje kardiovaskularnih istraživanja, inovacija i skrbi za pacijente. Međutim, većina država članica nema sveobuhvatne nacionalne registre za kardiovaskularne bolesti i dijabetes, a to ograničava kvalitetna klinička istraživanja, razvoj personaliziranih rješenja za skrb i informirano donošenje javne politike. </w:t>
      </w:r>
    </w:p>
    <w:p w14:paraId="1EF8C55E" w14:textId="5B6F7CC1" w:rsidR="003C642F" w:rsidRDefault="00DE54C7" w:rsidP="00DE54C7">
      <w:pPr>
        <w:jc w:val="both"/>
        <w:rPr>
          <w:noProof/>
          <w:color w:val="000000"/>
          <w:shd w:val="clear" w:color="auto" w:fill="FFFFFF"/>
        </w:rPr>
      </w:pPr>
      <w:r>
        <w:rPr>
          <w:noProof/>
          <w:color w:val="000000"/>
          <w:shd w:val="clear" w:color="auto" w:fill="FFFFFF"/>
        </w:rPr>
        <w:t>Europski prostor za zdravstvene podatke podupire se ulaganjima EU-a u infrastrukturu i standarde te je jedan od osnovnih elemenata</w:t>
      </w:r>
      <w:r>
        <w:rPr>
          <w:noProof/>
        </w:rPr>
        <w:t xml:space="preserve"> EU-ovih inovacija temeljenih na podacima u području kardiovaskularne medicine. </w:t>
      </w:r>
      <w:r>
        <w:rPr>
          <w:noProof/>
          <w:color w:val="000000"/>
          <w:shd w:val="clear" w:color="auto" w:fill="FFFFFF"/>
        </w:rPr>
        <w:t xml:space="preserve">Europski prostor za zdravstvene podatke </w:t>
      </w:r>
      <w:r>
        <w:rPr>
          <w:noProof/>
        </w:rPr>
        <w:t>služi kao zajednički okvir kojim će se olakšati rad na sigurnom pristupanju i povezivanju kliničkih podataka, podataka o načinu života i genomskih podataka u cijelom EU-u. Njime će se povezati i ostvariti puna vrijednost inicijativa kao što su „1+ milijun genoma”</w:t>
      </w:r>
      <w:r>
        <w:rPr>
          <w:rStyle w:val="FootnoteReference"/>
          <w:rFonts w:eastAsia="Times New Roman" w:cs="Times New Roman"/>
          <w:noProof/>
        </w:rPr>
        <w:footnoteReference w:id="140"/>
      </w:r>
      <w:r>
        <w:rPr>
          <w:noProof/>
        </w:rPr>
        <w:t xml:space="preserve"> i Genom Europe</w:t>
      </w:r>
      <w:r>
        <w:rPr>
          <w:rStyle w:val="FootnoteReference"/>
          <w:rFonts w:eastAsia="Times New Roman" w:cs="Times New Roman"/>
          <w:noProof/>
        </w:rPr>
        <w:footnoteReference w:id="141"/>
      </w:r>
      <w:r>
        <w:rPr>
          <w:noProof/>
        </w:rPr>
        <w:t xml:space="preserve">, čime će se njihova sredstva pretvoriti u interoperabilne resurse za prevenciju, skrb i istraživanja. </w:t>
      </w:r>
      <w:r>
        <w:rPr>
          <w:noProof/>
          <w:color w:val="000000"/>
          <w:shd w:val="clear" w:color="auto" w:fill="FFFFFF"/>
        </w:rPr>
        <w:t xml:space="preserve">To </w:t>
      </w:r>
      <w:r>
        <w:rPr>
          <w:noProof/>
        </w:rPr>
        <w:t xml:space="preserve">će </w:t>
      </w:r>
      <w:r>
        <w:rPr>
          <w:noProof/>
          <w:color w:val="000000"/>
          <w:shd w:val="clear" w:color="auto" w:fill="FFFFFF"/>
        </w:rPr>
        <w:t xml:space="preserve">omogućiti ranije utvrđivanje rizika, </w:t>
      </w:r>
      <w:r>
        <w:rPr>
          <w:noProof/>
        </w:rPr>
        <w:t>bolju</w:t>
      </w:r>
      <w:r>
        <w:rPr>
          <w:noProof/>
          <w:color w:val="000000"/>
          <w:shd w:val="clear" w:color="auto" w:fill="FFFFFF"/>
        </w:rPr>
        <w:t xml:space="preserve"> stratifikaciju pacijenata i ciljanije intervencije. </w:t>
      </w:r>
    </w:p>
    <w:p w14:paraId="2A8FDA87" w14:textId="2C3F99B7" w:rsidR="00DE54C7" w:rsidRDefault="00DE54C7" w:rsidP="00DE54C7">
      <w:pPr>
        <w:jc w:val="both"/>
        <w:rPr>
          <w:rFonts w:eastAsia="Times New Roman" w:cs="Times New Roman"/>
          <w:noProof/>
        </w:rPr>
      </w:pPr>
      <w:r>
        <w:rPr>
          <w:noProof/>
        </w:rPr>
        <w:t>Umjetna inteligencija drastično mijenja kardiovaskularnu skrb zahvaljujući ranijem otkrivanju bolesti, točnijem predviđanju rizika i personaliziranom liječenju. Aktom o umjetnoj inteligenciji utvrđuju se jasna pravila za visokorizične sustave umjetne inteligencije u zdravstvu, a Akcijski plan za kontinent umjetne inteligencije</w:t>
      </w:r>
      <w:r>
        <w:rPr>
          <w:rStyle w:val="FootnoteReference"/>
          <w:rFonts w:eastAsia="Times New Roman" w:cs="Times New Roman"/>
          <w:noProof/>
          <w:lang w:eastAsia="de-DE"/>
        </w:rPr>
        <w:footnoteReference w:id="142"/>
      </w:r>
      <w:r>
        <w:rPr>
          <w:noProof/>
        </w:rPr>
        <w:t xml:space="preserve"> i Strategija za primjenu umjetne inteligencije</w:t>
      </w:r>
      <w:r>
        <w:rPr>
          <w:rStyle w:val="FootnoteReference"/>
          <w:rFonts w:eastAsia="Times New Roman" w:cs="Times New Roman"/>
          <w:noProof/>
          <w:lang w:eastAsia="de-DE"/>
        </w:rPr>
        <w:footnoteReference w:id="143"/>
      </w:r>
      <w:r>
        <w:rPr>
          <w:noProof/>
        </w:rPr>
        <w:t xml:space="preserve"> usmjeravat će ulaganja i uvođenje. Time će se potaknuti inovacije i konkurentnost u zdravstvu i drugim strateškim sektorima.</w:t>
      </w:r>
    </w:p>
    <w:p w14:paraId="6BBF2816" w14:textId="7CC3FAA7" w:rsidR="00DE54C7" w:rsidRPr="000E1D82" w:rsidRDefault="00DE54C7" w:rsidP="00DE54C7">
      <w:pPr>
        <w:jc w:val="both"/>
        <w:rPr>
          <w:rFonts w:eastAsia="Times New Roman" w:cs="Times New Roman"/>
          <w:noProof/>
        </w:rPr>
      </w:pPr>
      <w:r>
        <w:rPr>
          <w:noProof/>
        </w:rPr>
        <w:t>Komisija financira višedržavne evaluacije u stvarnim uvjetima i odgovorno uvođenje alata umjetne inteligencije u klinička okruženja</w:t>
      </w:r>
      <w:r>
        <w:rPr>
          <w:rStyle w:val="FootnoteReference"/>
          <w:rFonts w:eastAsia="Times New Roman" w:cs="Times New Roman"/>
          <w:noProof/>
          <w:lang w:eastAsia="de-DE"/>
        </w:rPr>
        <w:footnoteReference w:id="144"/>
      </w:r>
      <w:r>
        <w:rPr>
          <w:noProof/>
        </w:rPr>
        <w:t xml:space="preserve"> u okviru nekoliko mjera koje se podupiru iz programa „EU za zdravlje” i Digitalna Europa. Primjena umjetne inteligencije na medicinska snimanja jedno je od najboljih područja po zrelosti, učinku i brzini razvoja</w:t>
      </w:r>
      <w:r>
        <w:rPr>
          <w:rStyle w:val="FootnoteReference"/>
          <w:rFonts w:eastAsia="Times New Roman" w:cs="Times New Roman"/>
          <w:noProof/>
        </w:rPr>
        <w:footnoteReference w:id="145"/>
      </w:r>
      <w:r>
        <w:rPr>
          <w:noProof/>
        </w:rPr>
        <w:t xml:space="preserve">. Tim nastojanjima doprinose objekti za testiranje i eksperimentiranje u okviru </w:t>
      </w:r>
      <w:bookmarkStart w:id="10" w:name="_Hlk214284796"/>
      <w:r>
        <w:rPr>
          <w:noProof/>
        </w:rPr>
        <w:t>programa Digitalna Europa</w:t>
      </w:r>
      <w:bookmarkEnd w:id="10"/>
      <w:r>
        <w:rPr>
          <w:noProof/>
        </w:rPr>
        <w:t xml:space="preserve"> i EU-ova mreža naprednih centara za probir u okviru Strategije za primjenu umjetne inteligencije</w:t>
      </w:r>
      <w:r>
        <w:rPr>
          <w:rStyle w:val="FootnoteReference"/>
          <w:rFonts w:eastAsia="Times New Roman" w:cs="Times New Roman"/>
          <w:noProof/>
          <w:lang w:eastAsia="de-DE"/>
        </w:rPr>
        <w:footnoteReference w:id="146"/>
      </w:r>
      <w:r>
        <w:rPr>
          <w:noProof/>
        </w:rPr>
        <w:t xml:space="preserve">, koji djeluju kao testne platforme za početak primjene multimodalnih rješenja za snimanja koja se temelje na umjetnoj inteligenciji u kardiologiji i onkologiji. </w:t>
      </w:r>
    </w:p>
    <w:p w14:paraId="1F71B2EE" w14:textId="1ED7EBFD" w:rsidR="00DE54C7" w:rsidRPr="000E1D82" w:rsidRDefault="00DE54C7" w:rsidP="00DE54C7">
      <w:pPr>
        <w:jc w:val="both"/>
        <w:rPr>
          <w:noProof/>
        </w:rPr>
      </w:pPr>
      <w:r>
        <w:rPr>
          <w:noProof/>
        </w:rPr>
        <w:t>Države članice u okviru Instrumenta za tehničku potporu mogu zatražiti prilagođenu tehničku pomoć za pripremu upravljačkih, regulatornih i organizacijskih reformi koje omogućuju integraciju umjetne inteligencije u kardiovaskularnu skrb, u skladu s Uredbom o europskom prostoru za zdravstvene podatke i drugim relevantnim regulatornim okvirima EU-a.</w:t>
      </w:r>
    </w:p>
    <w:p w14:paraId="67EA0D54" w14:textId="77777777" w:rsidR="00DE54C7" w:rsidRPr="000E1D82" w:rsidRDefault="00DE54C7" w:rsidP="00DE54C7">
      <w:pPr>
        <w:jc w:val="both"/>
        <w:rPr>
          <w:rFonts w:eastAsia="Times New Roman" w:cs="Times New Roman"/>
          <w:noProof/>
        </w:rPr>
      </w:pPr>
      <w:r>
        <w:rPr>
          <w:noProof/>
        </w:rPr>
        <w:t xml:space="preserve">Komisija će to nadograditi pokretanjem vodeće inicijative za unapređenje rješenja za kardiovaskularne i povezane bolesti temeljenih na umjetnoj inteligenciji i podacima, čime će se omogućiti ranije otkrivanje bolesti te personalizirana skrb i rehabilitacija, među ostalim za rijetke i složene slučajeve. </w:t>
      </w:r>
    </w:p>
    <w:tbl>
      <w:tblPr>
        <w:tblStyle w:val="TableGrid"/>
        <w:tblW w:w="9015" w:type="dxa"/>
        <w:tblLayout w:type="fixed"/>
        <w:tblLook w:val="04A0" w:firstRow="1" w:lastRow="0" w:firstColumn="1" w:lastColumn="0" w:noHBand="0" w:noVBand="1"/>
      </w:tblPr>
      <w:tblGrid>
        <w:gridCol w:w="9015"/>
      </w:tblGrid>
      <w:tr w:rsidR="00DE54C7" w:rsidRPr="000E1D82" w14:paraId="20BC5F88" w14:textId="77777777">
        <w:trPr>
          <w:trHeight w:val="689"/>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0E4A8D" w14:textId="75CD4862" w:rsidR="00DE54C7" w:rsidRPr="00F477D2" w:rsidRDefault="00DE54C7" w:rsidP="00F477D2">
            <w:pPr>
              <w:spacing w:before="120" w:after="60"/>
              <w:jc w:val="both"/>
              <w:rPr>
                <w:rFonts w:eastAsia="Times New Roman" w:cs="Times New Roman"/>
                <w:b/>
                <w:bCs/>
                <w:noProof/>
                <w:szCs w:val="24"/>
              </w:rPr>
            </w:pPr>
            <w:bookmarkStart w:id="11" w:name="_Hlk208330979"/>
            <w:r>
              <w:rPr>
                <w:b/>
                <w:noProof/>
              </w:rPr>
              <w:t>Vodeća inicijativa: inkubator za inovacije i integraciju umjetne inteligencije i digitalnih tehnologija u kardiovaskularnu skrb</w:t>
            </w:r>
          </w:p>
          <w:p w14:paraId="544EC070" w14:textId="5F5ECA17" w:rsidR="00DE54C7" w:rsidRPr="00E4479F" w:rsidRDefault="00DE54C7" w:rsidP="00E4479F">
            <w:pPr>
              <w:spacing w:before="120" w:after="160" w:line="259" w:lineRule="auto"/>
              <w:jc w:val="both"/>
              <w:rPr>
                <w:noProof/>
                <w:color w:val="000000" w:themeColor="text1"/>
              </w:rPr>
            </w:pPr>
            <w:r>
              <w:rPr>
                <w:noProof/>
                <w:color w:val="000000" w:themeColor="text1"/>
              </w:rPr>
              <w:t>Komisija će poduprijeti vodeću inicijativu vrijednu 20 milijuna EUR</w:t>
            </w:r>
            <w:r>
              <w:rPr>
                <w:noProof/>
                <w:color w:val="000000" w:themeColor="text1"/>
                <w:vertAlign w:val="superscript"/>
                <w:lang w:eastAsia="en-IE"/>
              </w:rPr>
              <w:footnoteReference w:id="147"/>
            </w:r>
            <w:r>
              <w:rPr>
                <w:noProof/>
                <w:color w:val="000000" w:themeColor="text1"/>
              </w:rPr>
              <w:t xml:space="preserve"> za ubrzavanje uvođenja i primjene umjetne inteligencije i alata temeljenih na podacima za rano otkrivanje bolesti, personaliziranu prevenciju, integriranu skrb za kardiovaskularne bolesti, dijabetes i pretilost. Inkubator će prioritet dati primjeni u stvarnim uvjetima, prekograničnom vrednovanju i integraciji u puteve skrbi, među ostalim za rijetke i složene slučajeve. Komisija će povećati opseg uspješnih mjera kako bi poduprla širu upotrebu digitalnih alata za personaliziranu prevenciju i upravljanje. </w:t>
            </w:r>
          </w:p>
          <w:p w14:paraId="6C3971E2" w14:textId="7054BD52" w:rsidR="00DE54C7" w:rsidRPr="00E4479F" w:rsidRDefault="00DE54C7" w:rsidP="00E4479F">
            <w:pPr>
              <w:spacing w:before="120" w:after="160" w:line="259" w:lineRule="auto"/>
              <w:jc w:val="both"/>
              <w:rPr>
                <w:noProof/>
                <w:color w:val="000000" w:themeColor="text1"/>
              </w:rPr>
            </w:pPr>
            <w:r>
              <w:rPr>
                <w:noProof/>
                <w:color w:val="000000" w:themeColor="text1"/>
              </w:rPr>
              <w:t xml:space="preserve">Cilj je te vodeće inicijative do 2030. utvrditi </w:t>
            </w:r>
            <w:r>
              <w:rPr>
                <w:b/>
                <w:noProof/>
                <w:color w:val="000000" w:themeColor="text1"/>
              </w:rPr>
              <w:t>zajedničku definiciju osnovnog skupa tehničkih specifikacija za skupove podataka koji će se upotrebljavati u razvoju i validaciji umjetne inteligencije</w:t>
            </w:r>
            <w:r>
              <w:rPr>
                <w:noProof/>
                <w:color w:val="000000" w:themeColor="text1"/>
              </w:rPr>
              <w:t>, čime će se zajamčiti pravedan pristup tim inovacijama u svim državama članicama sudionicama.</w:t>
            </w:r>
          </w:p>
          <w:p w14:paraId="72D2EC33" w14:textId="77777777" w:rsidR="00DE54C7" w:rsidRPr="000E1D82" w:rsidRDefault="00DE54C7" w:rsidP="00E4479F">
            <w:pPr>
              <w:spacing w:before="120" w:after="160" w:line="259" w:lineRule="auto"/>
              <w:jc w:val="both"/>
              <w:rPr>
                <w:rFonts w:eastAsia="Times New Roman" w:cs="Times New Roman"/>
                <w:noProof/>
              </w:rPr>
            </w:pPr>
            <w:r>
              <w:rPr>
                <w:noProof/>
              </w:rPr>
              <w:t xml:space="preserve">Cilj joj je i objaviti </w:t>
            </w:r>
            <w:r>
              <w:rPr>
                <w:b/>
                <w:noProof/>
              </w:rPr>
              <w:t>nacrt za početak primjene umjetne inteligencije u kardiologiji</w:t>
            </w:r>
            <w:r>
              <w:rPr>
                <w:noProof/>
              </w:rPr>
              <w:t>, kojim će se usmjeravati validacija, klinička integracija i praćenje alata umjetne inteligencije u kardiologiji</w:t>
            </w:r>
            <w:r>
              <w:rPr>
                <w:noProof/>
                <w:color w:val="000000" w:themeColor="text1"/>
              </w:rPr>
              <w:t>.</w:t>
            </w:r>
          </w:p>
        </w:tc>
      </w:tr>
    </w:tbl>
    <w:bookmarkEnd w:id="11"/>
    <w:p w14:paraId="75A9B9BF"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Dopiranje do svih građana</w:t>
      </w:r>
    </w:p>
    <w:p w14:paraId="0B47D052" w14:textId="4EF9F541" w:rsidR="00DE54C7" w:rsidRPr="000E1D82" w:rsidRDefault="00DE54C7" w:rsidP="00DE54C7">
      <w:pPr>
        <w:jc w:val="both"/>
        <w:rPr>
          <w:rFonts w:cs="Times New Roman"/>
          <w:noProof/>
        </w:rPr>
      </w:pPr>
      <w:r>
        <w:rPr>
          <w:noProof/>
        </w:rPr>
        <w:t>Žene su u nepovoljnom položaju zbog znatnih nejednakosti u kardiovaskularnoj skrbi jer često ne dobiju dijagnozu i liječenje te su nedovoljno zastupljene u kliničkim ispitivanjima</w:t>
      </w:r>
      <w:r>
        <w:rPr>
          <w:rStyle w:val="FootnoteReference"/>
          <w:rFonts w:cs="Times New Roman"/>
          <w:noProof/>
        </w:rPr>
        <w:footnoteReference w:id="148"/>
      </w:r>
      <w:r>
        <w:rPr>
          <w:noProof/>
        </w:rPr>
        <w:t>. To dovodi do kašnjenja u dijagnosticiranju i liječenju</w:t>
      </w:r>
      <w:r>
        <w:rPr>
          <w:rStyle w:val="FootnoteReference"/>
          <w:rFonts w:cs="Times New Roman"/>
          <w:noProof/>
          <w:lang w:eastAsia="en-IE"/>
        </w:rPr>
        <w:footnoteReference w:id="149"/>
      </w:r>
      <w:r>
        <w:rPr>
          <w:noProof/>
        </w:rPr>
        <w:t>. Kampanje za zdravstvenu pismenost ključne su za informiranje pacijenata i zdravstvenih radnika o specifičnim simptomima i rizicima</w:t>
      </w:r>
      <w:r>
        <w:rPr>
          <w:rFonts w:cs="Times New Roman"/>
          <w:noProof/>
          <w:vertAlign w:val="superscript"/>
        </w:rPr>
        <w:footnoteReference w:id="150"/>
      </w:r>
      <w:r>
        <w:rPr>
          <w:noProof/>
        </w:rPr>
        <w:t>. Mladi imaju središnju ulogu u mjerama prevencije. Mjere moraju započeti rano i biti prilagođene njihovim potrebama te se mora zajamčiti međusektorski pristup poboljšanju zdravlja mladih. Skupine u nepovoljnom socioekonomskom položaju imaju lošije zdravstvene ishode i ograničen pristup preventivnoj skrbi</w:t>
      </w:r>
      <w:r>
        <w:rPr>
          <w:rStyle w:val="FootnoteReference"/>
          <w:rFonts w:cs="Times New Roman"/>
          <w:noProof/>
          <w:lang w:eastAsia="en-IE"/>
        </w:rPr>
        <w:footnoteReference w:id="151"/>
      </w:r>
      <w:r>
        <w:rPr>
          <w:noProof/>
        </w:rPr>
        <w:t xml:space="preserve">. Za smanjenje tih nejednakosti potreban je koordiniran pristup u svim fazama puteva skrbi. </w:t>
      </w:r>
    </w:p>
    <w:tbl>
      <w:tblPr>
        <w:tblStyle w:val="TableGrid"/>
        <w:tblW w:w="9015" w:type="dxa"/>
        <w:tblLayout w:type="fixed"/>
        <w:tblLook w:val="04A0" w:firstRow="1" w:lastRow="0" w:firstColumn="1" w:lastColumn="0" w:noHBand="0" w:noVBand="1"/>
      </w:tblPr>
      <w:tblGrid>
        <w:gridCol w:w="9015"/>
      </w:tblGrid>
      <w:tr w:rsidR="00DE54C7" w:rsidRPr="000E1D82" w14:paraId="12323801" w14:textId="77777777" w:rsidTr="00914153">
        <w:trPr>
          <w:trHeight w:val="2532"/>
        </w:trPr>
        <w:tc>
          <w:tcPr>
            <w:tcW w:w="90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0F9E0C" w14:textId="66428F29" w:rsidR="00DE54C7" w:rsidRPr="000E1D82" w:rsidRDefault="00DE54C7" w:rsidP="00DE54C7">
            <w:pPr>
              <w:spacing w:before="120" w:after="60"/>
              <w:jc w:val="both"/>
              <w:rPr>
                <w:rFonts w:eastAsia="Times New Roman" w:cs="Times New Roman"/>
                <w:b/>
                <w:bCs/>
                <w:noProof/>
                <w:szCs w:val="24"/>
              </w:rPr>
            </w:pPr>
            <w:r>
              <w:rPr>
                <w:b/>
                <w:noProof/>
              </w:rPr>
              <w:t>Vodeća inicijativa: smanjenje nejednakosti</w:t>
            </w:r>
          </w:p>
          <w:p w14:paraId="3B2F1E68" w14:textId="227AFBDA" w:rsidR="00DE54C7" w:rsidRPr="000E1D82" w:rsidRDefault="00DE54C7" w:rsidP="00DE54C7">
            <w:pPr>
              <w:spacing w:before="120"/>
              <w:jc w:val="both"/>
              <w:rPr>
                <w:rFonts w:eastAsia="Times New Roman" w:cs="Times New Roman"/>
                <w:noProof/>
                <w:szCs w:val="24"/>
              </w:rPr>
            </w:pPr>
            <w:r>
              <w:rPr>
                <w:noProof/>
              </w:rPr>
              <w:t>Komisija namjerava:</w:t>
            </w:r>
          </w:p>
          <w:p w14:paraId="19AE52C7" w14:textId="09343271" w:rsidR="00DE54C7" w:rsidRPr="00742C36" w:rsidRDefault="00DE54C7" w:rsidP="00742C36">
            <w:pPr>
              <w:numPr>
                <w:ilvl w:val="0"/>
                <w:numId w:val="3"/>
              </w:numPr>
              <w:spacing w:before="120"/>
              <w:jc w:val="both"/>
              <w:rPr>
                <w:rFonts w:eastAsia="Times New Roman" w:cs="Times New Roman"/>
                <w:noProof/>
              </w:rPr>
            </w:pPr>
            <w:r>
              <w:rPr>
                <w:noProof/>
              </w:rPr>
              <w:t>razviti pregled zdravstvenih nejednakosti u području kardiovaskularnih bolesti na razini EU-a po uzoru na Europski registar nejednakosti u području raka</w:t>
            </w:r>
            <w:r>
              <w:rPr>
                <w:rStyle w:val="FootnoteReference"/>
                <w:rFonts w:eastAsia="Times New Roman" w:cs="Times New Roman"/>
                <w:noProof/>
              </w:rPr>
              <w:footnoteReference w:id="152"/>
            </w:r>
            <w:r>
              <w:rPr>
                <w:noProof/>
              </w:rPr>
              <w:t xml:space="preserve"> i na temelju postojećih podataka, i </w:t>
            </w:r>
          </w:p>
          <w:p w14:paraId="531971DE" w14:textId="5D624CF8" w:rsidR="00DE54C7" w:rsidRPr="000E1D82" w:rsidRDefault="00DE54C7" w:rsidP="00742C36">
            <w:pPr>
              <w:numPr>
                <w:ilvl w:val="0"/>
                <w:numId w:val="3"/>
              </w:numPr>
              <w:spacing w:before="120"/>
              <w:jc w:val="both"/>
              <w:rPr>
                <w:noProof/>
                <w:szCs w:val="24"/>
              </w:rPr>
            </w:pPr>
            <w:r>
              <w:rPr>
                <w:noProof/>
              </w:rPr>
              <w:t>ulagati u istraživanja u okviru programa Obzor Europa kako bi se unaprijedilo razumijevanje spolno i/ili rodno specifičnih mehanizama kardiovaskularnih bolesti, uključujući čimbenike rizika i puteve bolesti</w:t>
            </w:r>
            <w:r>
              <w:rPr>
                <w:rStyle w:val="FootnoteReference"/>
                <w:rFonts w:eastAsia="Times New Roman" w:cs="Times New Roman"/>
                <w:noProof/>
              </w:rPr>
              <w:footnoteReference w:id="153"/>
            </w:r>
            <w:r>
              <w:rPr>
                <w:i/>
                <w:noProof/>
              </w:rPr>
              <w:t>.</w:t>
            </w:r>
          </w:p>
        </w:tc>
      </w:tr>
    </w:tbl>
    <w:p w14:paraId="2B9B367C"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Uklanjanje nedostataka u istraživanjima i inovacijama</w:t>
      </w:r>
    </w:p>
    <w:p w14:paraId="7C860EC1" w14:textId="1F2FBB95" w:rsidR="00DE54C7" w:rsidRDefault="00DE54C7" w:rsidP="00DE54C7">
      <w:pPr>
        <w:spacing w:after="240"/>
        <w:jc w:val="both"/>
        <w:rPr>
          <w:rFonts w:cs="Times New Roman"/>
          <w:noProof/>
        </w:rPr>
      </w:pPr>
      <w:r>
        <w:rPr>
          <w:noProof/>
        </w:rPr>
        <w:t>EU je dosad uložio gotovo 2,3 milijarde EUR u kardiovaskularna i povezana istraživanja unutar okvirnih programa EU-a za istraživanje i inovacije</w:t>
      </w:r>
      <w:r>
        <w:rPr>
          <w:rStyle w:val="FootnoteReference"/>
          <w:rFonts w:cs="Times New Roman"/>
          <w:noProof/>
        </w:rPr>
        <w:footnoteReference w:id="154"/>
      </w:r>
      <w:r>
        <w:rPr>
          <w:noProof/>
        </w:rPr>
        <w:t>. Tim se sredstvima podupiru istraživanja o razvoju učinkovitijih pristupa prevenciji, dijagnostici, liječenju i praćenju kako bi se poboljšalo zdravlje građana.</w:t>
      </w:r>
    </w:p>
    <w:p w14:paraId="3DF10EE7" w14:textId="79C1C08C" w:rsidR="00DE54C7" w:rsidRPr="000E1D82" w:rsidRDefault="00DE54C7" w:rsidP="00DE54C7">
      <w:pPr>
        <w:spacing w:after="240"/>
        <w:jc w:val="both"/>
        <w:rPr>
          <w:rFonts w:cs="Times New Roman"/>
          <w:noProof/>
        </w:rPr>
      </w:pPr>
      <w:r>
        <w:rPr>
          <w:noProof/>
        </w:rPr>
        <w:t>Međutim, revolucionarne terapijske inovacije za kardiovaskularne bolesti i dalje su ograničene. Posljednjih je godina na tržište dospjelo malo novih načina liječenja</w:t>
      </w:r>
      <w:r>
        <w:rPr>
          <w:rStyle w:val="FootnoteReference"/>
          <w:rFonts w:cs="Times New Roman"/>
          <w:noProof/>
        </w:rPr>
        <w:footnoteReference w:id="155"/>
      </w:r>
      <w:r>
        <w:rPr>
          <w:noProof/>
        </w:rPr>
        <w:t>. Većina napretka temelji se na postojećim načinima liječenja, a ne na razvoju novih</w:t>
      </w:r>
      <w:r>
        <w:rPr>
          <w:rStyle w:val="FootnoteReference"/>
          <w:rFonts w:cs="Times New Roman"/>
          <w:noProof/>
        </w:rPr>
        <w:footnoteReference w:id="156"/>
      </w:r>
      <w:r>
        <w:rPr>
          <w:noProof/>
        </w:rPr>
        <w:t xml:space="preserve">. </w:t>
      </w:r>
    </w:p>
    <w:p w14:paraId="63D59972" w14:textId="18A3CE97" w:rsidR="00DE54C7" w:rsidRPr="000E1D82" w:rsidRDefault="00DE54C7" w:rsidP="00DE54C7">
      <w:pPr>
        <w:spacing w:after="240"/>
        <w:jc w:val="both"/>
        <w:rPr>
          <w:rFonts w:cs="Times New Roman"/>
          <w:noProof/>
        </w:rPr>
      </w:pPr>
      <w:r>
        <w:rPr>
          <w:noProof/>
        </w:rPr>
        <w:t>Potrebno je poboljšati naše razumijevanje mehanizama bolesti, rane prevencije, personaliziranog predviđanja rizika i optimizacije liječenja kako bismo zajamčili djelotvornu i prilagođenu skrb s fokusom na pacijente te razvili inovativnu dijagnostiku, lijekove i digitalne alate. Nekoliko sustavnih prepreka, uključujući visoke troškove i složenost opsežnih kliničkih ispitivanja te fragmentirana istraživanja, dodatno smanjuje angažman privatnog sektora. Nadalje, potrebno je uložiti konkretan trud da bi se razumjeli mehanizmi koji dovode do razlika između muškaraca i žena u kontekstu kardiovaskularnog zdravlja.  </w:t>
      </w:r>
    </w:p>
    <w:p w14:paraId="146C88FA" w14:textId="561B3F6E" w:rsidR="00DE54C7" w:rsidRPr="00465449" w:rsidRDefault="00DE54C7" w:rsidP="00DE54C7">
      <w:pPr>
        <w:spacing w:before="120" w:after="240"/>
        <w:jc w:val="both"/>
        <w:rPr>
          <w:rFonts w:cs="Times New Roman"/>
          <w:noProof/>
        </w:rPr>
      </w:pPr>
      <w:r>
        <w:rPr>
          <w:noProof/>
        </w:rPr>
        <w:t>Da bi se riješila ta pitanja, postojeće javne i privatne inicijative koje financira EU, kao što je Inicijativa za inovativno zdravlje</w:t>
      </w:r>
      <w:r>
        <w:rPr>
          <w:rStyle w:val="FootnoteReference"/>
          <w:rFonts w:cs="Times New Roman"/>
          <w:noProof/>
        </w:rPr>
        <w:footnoteReference w:id="157"/>
      </w:r>
      <w:r>
        <w:rPr>
          <w:noProof/>
        </w:rPr>
        <w:t xml:space="preserve"> (IHI), potiču suradnju akademske zajednice, industrije i liječnika u zajedničkom razvoju novih terapija i tehnologija za prevenciju, otkrivanje, dijagnostiku, liječenje i skrb u kontekstu kardiovaskularnih bolesti i drugih kroničnih bolesti. IHI pokreće veliki projekt koji povezuje općine iz cijele Europe s istraživačima, pružateljima zdravstvene zaštite, farmaceutskom industrijom i industrijom medicinske tehnologije kako bi dobili bolji uvid u organizaciju i pružanje kardiovaskularne skrbi, utvrdili najbolje primjere iz prakse i promicali integrirana rješenja s fokusom na pacijente u cijelom EU-u.</w:t>
      </w:r>
    </w:p>
    <w:p w14:paraId="22CF9B24" w14:textId="537C41CC" w:rsidR="00DE54C7" w:rsidRDefault="00DE54C7" w:rsidP="00DE54C7">
      <w:pPr>
        <w:spacing w:before="120" w:after="240"/>
        <w:jc w:val="both"/>
        <w:rPr>
          <w:rFonts w:eastAsia="Times New Roman" w:cs="Times New Roman"/>
          <w:noProof/>
        </w:rPr>
      </w:pPr>
      <w:r>
        <w:rPr>
          <w:noProof/>
        </w:rPr>
        <w:t>Boljim razumijevanjem mikrobioma zahvaljujući pristupu „Jedno zdravlje” stvorit će se prilike za poboljšanje i stvaranje novih zdravstvenih proizvoda, kako je navedeno u Strategiji za europske biološke znanosti. U okviru projekta PROPHET</w:t>
      </w:r>
      <w:r>
        <w:rPr>
          <w:rStyle w:val="FootnoteReference"/>
          <w:rFonts w:cs="Times New Roman"/>
          <w:noProof/>
          <w:lang w:val="en-US"/>
        </w:rPr>
        <w:footnoteReference w:id="158"/>
      </w:r>
      <w:r>
        <w:rPr>
          <w:noProof/>
        </w:rPr>
        <w:t>, koji se financira iz programa Obzor Europa, do kraja 2025. izradit će se Strateški program za istraživanja i inovacije u području personalizirane prevencije (SRIA) kako bi se pružila potpora definiranju i provedbi inovativnih, održivih i visokokvalitetnih personaliziranih strategija koje su djelotvorne u prevenciji kroničnih bolesti. U okviru projekta PROFID</w:t>
      </w:r>
      <w:r>
        <w:rPr>
          <w:rStyle w:val="FootnoteReference"/>
          <w:rFonts w:eastAsia="Times New Roman" w:cs="Times New Roman"/>
          <w:noProof/>
        </w:rPr>
        <w:footnoteReference w:id="159"/>
      </w:r>
      <w:r>
        <w:rPr>
          <w:noProof/>
        </w:rPr>
        <w:t xml:space="preserve"> za prevenciju iznenadne smrti nakon infarkta miokarda ugradnjom defibrilatora otkriveni su važni podaci o djelotvornosti ugradnje defibrilatora. Takve inicijative treba nastaviti kako bi se donositeljima odluka omogućilo da odaberu najučinkovitije zdravstvene tehnologije u području kardiovaskularne skrbi. Europska inicijativa virtualnih ljudskih blizanaca Virtual Human Twins</w:t>
      </w:r>
      <w:r>
        <w:rPr>
          <w:rStyle w:val="FootnoteReference"/>
          <w:rFonts w:cs="Times New Roman"/>
          <w:noProof/>
        </w:rPr>
        <w:footnoteReference w:id="160"/>
      </w:r>
      <w:r>
        <w:rPr>
          <w:noProof/>
        </w:rPr>
        <w:t xml:space="preserve"> podupire mjere kojima se unapređuje personalizirana kardiovaskularna skrb i ubrzava usvajanje digitalnih rješenja sljedeće generacije. Takve inicijative treba nastaviti kako bi se donositeljima odluka omogućilo da odaberu najučinkovitije zdravstvene tehnologije u području kardiovaskularne skrbi. </w:t>
      </w:r>
    </w:p>
    <w:p w14:paraId="117F7006" w14:textId="47B05367" w:rsidR="00DE54C7" w:rsidRDefault="00DE54C7" w:rsidP="00DE54C7">
      <w:pPr>
        <w:spacing w:after="240"/>
        <w:jc w:val="both"/>
        <w:rPr>
          <w:rFonts w:eastAsia="Times New Roman" w:cs="Times New Roman"/>
          <w:noProof/>
        </w:rPr>
      </w:pPr>
      <w:r>
        <w:rPr>
          <w:noProof/>
        </w:rPr>
        <w:t>Države članice i regije mogle bi iskoristiti dodijeljena kohezijska sredstva iz Europskog fonda za regionalni razvoj</w:t>
      </w:r>
      <w:r>
        <w:rPr>
          <w:rStyle w:val="FootnoteReference"/>
          <w:rFonts w:eastAsia="Times New Roman" w:cs="Times New Roman"/>
          <w:noProof/>
        </w:rPr>
        <w:footnoteReference w:id="161"/>
      </w:r>
      <w:r>
        <w:rPr>
          <w:noProof/>
        </w:rPr>
        <w:t xml:space="preserve"> za poboljšanje svojih istraživačkih i inovacijskih ekosustava u području zdravlja. Nadalje, Instrument za ulaganja u međuregionalne inovacije (I3)</w:t>
      </w:r>
      <w:r>
        <w:rPr>
          <w:rStyle w:val="FootnoteReference"/>
          <w:rFonts w:eastAsia="Times New Roman" w:cs="Times New Roman"/>
          <w:noProof/>
        </w:rPr>
        <w:footnoteReference w:id="162"/>
      </w:r>
      <w:r>
        <w:rPr>
          <w:noProof/>
        </w:rPr>
        <w:t xml:space="preserve"> mogao bi pomoći u širenju inovativnih zdravstvenih rješenja, jačanju teritorijalnih veza i boljoj integraciji istraživanja i inovacija u svim zemljama i regijama.</w:t>
      </w:r>
    </w:p>
    <w:p w14:paraId="27DD0522" w14:textId="372AF87F" w:rsidR="00FA232E" w:rsidRDefault="00FA232E" w:rsidP="00DE54C7">
      <w:pPr>
        <w:spacing w:after="240"/>
        <w:jc w:val="both"/>
        <w:rPr>
          <w:rFonts w:eastAsia="Times New Roman" w:cs="Times New Roman"/>
          <w:noProof/>
        </w:rPr>
      </w:pPr>
      <w:r>
        <w:rPr>
          <w:noProof/>
        </w:rPr>
        <w:t>Javna nabava snažan je katalizator za inovacije prilagođene potrebama korisnika. U okviru programa financiranja EU-a ulaže se u javnu nabavu inovativnih rješenja kako bi se potaknule inovacije temeljene na potražnji kojima se dobavljače potiče na zajedničke inovacije s naručiteljima i pružanje inovativnih rješenja za potrebe zdravstvenih radnika.</w:t>
      </w:r>
    </w:p>
    <w:p w14:paraId="60F955A4" w14:textId="5F0B9CCB" w:rsidR="00DE54C7" w:rsidRDefault="00DE54C7" w:rsidP="00DE54C7">
      <w:pPr>
        <w:spacing w:after="240"/>
        <w:jc w:val="both"/>
        <w:rPr>
          <w:rFonts w:cs="Times New Roman"/>
          <w:noProof/>
        </w:rPr>
      </w:pPr>
      <w:r>
        <w:rPr>
          <w:noProof/>
        </w:rPr>
        <w:t xml:space="preserve">Kako bi se poboljšala istraživanja o personaliziranoj prevenciji i ostvario puni potencijal inovacija, EU-u je potreban </w:t>
      </w:r>
      <w:r>
        <w:rPr>
          <w:b/>
          <w:noProof/>
        </w:rPr>
        <w:t>plan za istraživanja i inovacije u području kardiovaskularnih bolesti</w:t>
      </w:r>
      <w:r>
        <w:rPr>
          <w:noProof/>
        </w:rPr>
        <w:t xml:space="preserve"> kojim se pojednostavnjuje financiranje, povećavaju istraživački kapaciteti i ciljano ostvaruju nezadovoljene potrebe.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DE54C7" w:rsidRPr="000E1D82" w14:paraId="2D4A984A" w14:textId="77777777" w:rsidTr="004F7DB8">
        <w:tc>
          <w:tcPr>
            <w:tcW w:w="9016" w:type="dxa"/>
          </w:tcPr>
          <w:p w14:paraId="58576F03" w14:textId="06F183EF" w:rsidR="00DE54C7" w:rsidRPr="000E1D82" w:rsidRDefault="00DE54C7" w:rsidP="00DE54C7">
            <w:pPr>
              <w:spacing w:before="120" w:after="60"/>
              <w:jc w:val="both"/>
              <w:rPr>
                <w:rFonts w:eastAsia="Calibri" w:cs="Times New Roman"/>
                <w:b/>
                <w:noProof/>
                <w:szCs w:val="24"/>
              </w:rPr>
            </w:pPr>
            <w:r>
              <w:rPr>
                <w:b/>
                <w:noProof/>
              </w:rPr>
              <w:t>Vodeća inicijativa: uklanjanje nedostataka u istraživanjima u području kardiovaskularnih bolesti</w:t>
            </w:r>
          </w:p>
        </w:tc>
      </w:tr>
      <w:tr w:rsidR="00DE54C7" w:rsidRPr="000E1D82" w14:paraId="0602A3E6" w14:textId="77777777" w:rsidTr="004F7DB8">
        <w:tc>
          <w:tcPr>
            <w:tcW w:w="9016" w:type="dxa"/>
          </w:tcPr>
          <w:p w14:paraId="1BE81E0E" w14:textId="77777777" w:rsidR="000815C8" w:rsidRDefault="00DE54C7" w:rsidP="00DE54C7">
            <w:pPr>
              <w:spacing w:before="120" w:after="60"/>
              <w:jc w:val="both"/>
              <w:rPr>
                <w:rFonts w:cs="Times New Roman"/>
                <w:noProof/>
              </w:rPr>
            </w:pPr>
            <w:r>
              <w:rPr>
                <w:noProof/>
              </w:rPr>
              <w:t xml:space="preserve">Komisija namjerava pokrenuti vodeću inicijativu za uklanjanje nedostataka u istraživanjima i inovacijama u području kardiovaskularnih bolesti kako bi se poboljšalo razumijevanje mehanizama kardiovaskularnih bolesti i poduprlo uvođenje inovativnih alata za personalizirano predviđanje rizika i optimizaciju liječenja. </w:t>
            </w:r>
          </w:p>
          <w:p w14:paraId="21C10C54" w14:textId="493BF30D" w:rsidR="00DE54C7" w:rsidRPr="000E1D82" w:rsidRDefault="00DE54C7" w:rsidP="00DE54C7">
            <w:pPr>
              <w:spacing w:before="120" w:after="60"/>
              <w:jc w:val="both"/>
              <w:rPr>
                <w:rFonts w:eastAsia="Calibri" w:cs="Times New Roman"/>
                <w:bCs/>
                <w:noProof/>
                <w:szCs w:val="24"/>
              </w:rPr>
            </w:pPr>
            <w:r>
              <w:rPr>
                <w:noProof/>
              </w:rPr>
              <w:t>To će uključivati:</w:t>
            </w:r>
          </w:p>
        </w:tc>
      </w:tr>
      <w:tr w:rsidR="00DE54C7" w:rsidRPr="000E1D82" w14:paraId="4143D25D" w14:textId="77777777" w:rsidTr="004F7DB8">
        <w:tc>
          <w:tcPr>
            <w:tcW w:w="9016" w:type="dxa"/>
          </w:tcPr>
          <w:p w14:paraId="2E565691" w14:textId="068BF5EF" w:rsidR="00DE54C7" w:rsidRPr="000E1D82" w:rsidRDefault="00DE54C7" w:rsidP="000815C8">
            <w:pPr>
              <w:numPr>
                <w:ilvl w:val="0"/>
                <w:numId w:val="3"/>
              </w:numPr>
              <w:spacing w:before="60" w:after="60"/>
              <w:ind w:left="714" w:hanging="357"/>
              <w:jc w:val="both"/>
              <w:rPr>
                <w:rFonts w:eastAsia="Times New Roman" w:cs="Times New Roman"/>
                <w:noProof/>
              </w:rPr>
            </w:pPr>
            <w:r>
              <w:rPr>
                <w:noProof/>
              </w:rPr>
              <w:t xml:space="preserve">izradu </w:t>
            </w:r>
            <w:r>
              <w:rPr>
                <w:b/>
                <w:noProof/>
              </w:rPr>
              <w:t>plana za istraživanja i inovacije u području kardiovaskularnih bolesti</w:t>
            </w:r>
            <w:r>
              <w:rPr>
                <w:noProof/>
              </w:rPr>
              <w:t xml:space="preserve"> kako bi se ubrzao razvoj inovacija, prenošenja rezultata istraživanja u praksu u području predviđanja rizika te personaliziranih i digitalnih pristupa za rano otkrivanje bolesti i probir, posebno za žene i ranjive skupine</w:t>
            </w:r>
            <w:r>
              <w:rPr>
                <w:rStyle w:val="FootnoteReference"/>
                <w:rFonts w:eastAsia="Times New Roman" w:cs="Times New Roman"/>
                <w:noProof/>
              </w:rPr>
              <w:footnoteReference w:id="163"/>
            </w:r>
            <w:r>
              <w:rPr>
                <w:noProof/>
              </w:rPr>
              <w:t>,</w:t>
            </w:r>
          </w:p>
        </w:tc>
      </w:tr>
      <w:tr w:rsidR="00DE54C7" w:rsidRPr="000E1D82" w14:paraId="6E6F76BB" w14:textId="77777777" w:rsidTr="004F7DB8">
        <w:tc>
          <w:tcPr>
            <w:tcW w:w="9016" w:type="dxa"/>
          </w:tcPr>
          <w:p w14:paraId="61EA23E2" w14:textId="4266847A" w:rsidR="00DE54C7" w:rsidRPr="000E1D82" w:rsidRDefault="00DE54C7" w:rsidP="000815C8">
            <w:pPr>
              <w:numPr>
                <w:ilvl w:val="0"/>
                <w:numId w:val="3"/>
              </w:numPr>
              <w:spacing w:before="60" w:after="60"/>
              <w:ind w:left="714" w:hanging="357"/>
              <w:jc w:val="both"/>
              <w:rPr>
                <w:rFonts w:eastAsia="Times New Roman" w:cs="Times New Roman"/>
                <w:noProof/>
              </w:rPr>
            </w:pPr>
            <w:r>
              <w:rPr>
                <w:noProof/>
              </w:rPr>
              <w:t xml:space="preserve">istraživanja o </w:t>
            </w:r>
            <w:r>
              <w:rPr>
                <w:b/>
                <w:noProof/>
              </w:rPr>
              <w:t>inovativnim zdravstvenim intervencijama za kardiovaskularne bolesti i dijabetes</w:t>
            </w:r>
            <w:r>
              <w:rPr>
                <w:noProof/>
              </w:rPr>
              <w:t>, uključujući umjetnu inteligenciju i digitalne pristupe, kako bi se poboljšalo predviđanje rizika, rano otkrivanje bolesti i probir personaliziranim putevima prevencije i skrbi</w:t>
            </w:r>
            <w:r>
              <w:rPr>
                <w:rStyle w:val="FootnoteReference"/>
                <w:rFonts w:eastAsia="Times New Roman" w:cs="Times New Roman"/>
                <w:noProof/>
              </w:rPr>
              <w:footnoteReference w:id="164"/>
            </w:r>
            <w:r>
              <w:rPr>
                <w:noProof/>
              </w:rPr>
              <w:t>,</w:t>
            </w:r>
          </w:p>
        </w:tc>
      </w:tr>
      <w:tr w:rsidR="00DE54C7" w:rsidRPr="000E1D82" w14:paraId="17A499E1" w14:textId="77777777" w:rsidTr="004F7DB8">
        <w:tc>
          <w:tcPr>
            <w:tcW w:w="9016" w:type="dxa"/>
          </w:tcPr>
          <w:p w14:paraId="452AD7C6" w14:textId="71F50E10" w:rsidR="00DE54C7" w:rsidRPr="000E1D82" w:rsidRDefault="00DE54C7" w:rsidP="000815C8">
            <w:pPr>
              <w:numPr>
                <w:ilvl w:val="0"/>
                <w:numId w:val="3"/>
              </w:numPr>
              <w:spacing w:before="60" w:after="60"/>
              <w:jc w:val="both"/>
              <w:rPr>
                <w:rFonts w:eastAsia="Times New Roman" w:cs="Times New Roman"/>
                <w:noProof/>
              </w:rPr>
            </w:pPr>
            <w:r>
              <w:rPr>
                <w:noProof/>
              </w:rPr>
              <w:t xml:space="preserve">istraživanja o ulozi </w:t>
            </w:r>
            <w:r>
              <w:rPr>
                <w:b/>
                <w:noProof/>
              </w:rPr>
              <w:t>održive i zdrave prehrane</w:t>
            </w:r>
            <w:r>
              <w:rPr>
                <w:noProof/>
              </w:rPr>
              <w:t xml:space="preserve"> u prevenciji kardiovaskularnih bolesti uz potporu digitalnih alata, uključujući povezanost prehrane, crijevnog mikrobioma i kardiovaskularnih bolesti</w:t>
            </w:r>
            <w:r>
              <w:rPr>
                <w:rStyle w:val="FootnoteReference"/>
                <w:rFonts w:eastAsia="Times New Roman" w:cs="Times New Roman"/>
                <w:noProof/>
              </w:rPr>
              <w:footnoteReference w:id="165"/>
            </w:r>
            <w:r>
              <w:rPr>
                <w:noProof/>
              </w:rPr>
              <w:t>,</w:t>
            </w:r>
          </w:p>
        </w:tc>
      </w:tr>
      <w:tr w:rsidR="00DE54C7" w:rsidRPr="000E1D82" w14:paraId="1B752A9C" w14:textId="77777777" w:rsidTr="004F7DB8">
        <w:tc>
          <w:tcPr>
            <w:tcW w:w="9016" w:type="dxa"/>
          </w:tcPr>
          <w:p w14:paraId="4D5AEAD6" w14:textId="61298288" w:rsidR="00DE54C7" w:rsidRPr="00E4479F" w:rsidRDefault="00DE54C7" w:rsidP="000815C8">
            <w:pPr>
              <w:numPr>
                <w:ilvl w:val="0"/>
                <w:numId w:val="3"/>
              </w:numPr>
              <w:spacing w:before="60" w:after="60"/>
              <w:jc w:val="both"/>
              <w:rPr>
                <w:rFonts w:eastAsia="Times New Roman" w:cs="Times New Roman"/>
                <w:noProof/>
              </w:rPr>
            </w:pPr>
            <w:r>
              <w:rPr>
                <w:noProof/>
              </w:rPr>
              <w:t xml:space="preserve">istraživanja o </w:t>
            </w:r>
            <w:r>
              <w:rPr>
                <w:b/>
                <w:noProof/>
              </w:rPr>
              <w:t>kardiovaskularnim, metaboličkim i bubrežnim bolestima</w:t>
            </w:r>
            <w:r>
              <w:rPr>
                <w:noProof/>
              </w:rPr>
              <w:t xml:space="preserve"> u okviru Europskog partnerstva za personaliziranu medicinu</w:t>
            </w:r>
            <w:r>
              <w:rPr>
                <w:rStyle w:val="FootnoteReference"/>
                <w:rFonts w:cs="Times New Roman"/>
                <w:noProof/>
              </w:rPr>
              <w:footnoteReference w:id="166"/>
            </w:r>
            <w:r>
              <w:rPr>
                <w:noProof/>
              </w:rPr>
              <w:t>,</w:t>
            </w:r>
          </w:p>
          <w:p w14:paraId="20B00323" w14:textId="10818C07" w:rsidR="00DE54C7" w:rsidRPr="000E1D82" w:rsidRDefault="00BF2771" w:rsidP="000815C8">
            <w:pPr>
              <w:numPr>
                <w:ilvl w:val="0"/>
                <w:numId w:val="3"/>
              </w:numPr>
              <w:spacing w:before="60" w:after="60"/>
              <w:jc w:val="both"/>
              <w:rPr>
                <w:rFonts w:eastAsia="Times New Roman" w:cs="Times New Roman"/>
                <w:noProof/>
              </w:rPr>
            </w:pPr>
            <w:r>
              <w:rPr>
                <w:noProof/>
              </w:rPr>
              <w:t xml:space="preserve">financiranje </w:t>
            </w:r>
            <w:r>
              <w:rPr>
                <w:b/>
                <w:noProof/>
              </w:rPr>
              <w:t>javne nabave inovacija</w:t>
            </w:r>
            <w:r>
              <w:rPr>
                <w:noProof/>
              </w:rPr>
              <w:t xml:space="preserve"> za personalizirane pristupe zdravstvenoj skrbi, uključujući kardiovaskularne bolesti</w:t>
            </w:r>
            <w:r>
              <w:rPr>
                <w:rStyle w:val="FootnoteReference"/>
                <w:rFonts w:eastAsia="Times New Roman" w:cs="Times New Roman"/>
                <w:noProof/>
              </w:rPr>
              <w:footnoteReference w:id="167"/>
            </w:r>
            <w:r>
              <w:rPr>
                <w:noProof/>
              </w:rPr>
              <w:t>,</w:t>
            </w:r>
          </w:p>
        </w:tc>
      </w:tr>
      <w:tr w:rsidR="00DE54C7" w:rsidRPr="000E1D82" w14:paraId="3BBD6C95" w14:textId="77777777" w:rsidTr="004F7DB8">
        <w:tc>
          <w:tcPr>
            <w:tcW w:w="9016" w:type="dxa"/>
          </w:tcPr>
          <w:p w14:paraId="78F074CA" w14:textId="0F27B491" w:rsidR="00DE54C7" w:rsidRPr="000E1D82" w:rsidRDefault="00DE54C7" w:rsidP="000815C8">
            <w:pPr>
              <w:numPr>
                <w:ilvl w:val="0"/>
                <w:numId w:val="3"/>
              </w:numPr>
              <w:spacing w:before="60" w:after="60"/>
              <w:ind w:left="714" w:hanging="357"/>
              <w:jc w:val="both"/>
              <w:rPr>
                <w:rFonts w:cs="Times New Roman"/>
                <w:noProof/>
              </w:rPr>
            </w:pPr>
            <w:r>
              <w:rPr>
                <w:b/>
                <w:bCs/>
                <w:noProof/>
              </w:rPr>
              <w:t>pretklinička istraživanja i višedržavna klinička ispitivanja</w:t>
            </w:r>
            <w:r>
              <w:rPr>
                <w:noProof/>
              </w:rPr>
              <w:t xml:space="preserve"> u području kardiovaskularnih bolesti, nanomedicine, prehrane i zdravog načina života u okviru europskog partnerstva kojim se potiče europski istraživački prostor za istraživanja u području zdravlja (ERA4Health)</w:t>
            </w:r>
            <w:r>
              <w:rPr>
                <w:rStyle w:val="FootnoteReference"/>
                <w:rFonts w:cs="Times New Roman"/>
                <w:noProof/>
              </w:rPr>
              <w:footnoteReference w:id="168"/>
            </w:r>
            <w:r>
              <w:rPr>
                <w:noProof/>
              </w:rPr>
              <w:t xml:space="preserve">. </w:t>
            </w:r>
          </w:p>
        </w:tc>
      </w:tr>
    </w:tbl>
    <w:p w14:paraId="046D9D26"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Zajednički rad: okvir za suradnju i praćenje</w:t>
      </w:r>
    </w:p>
    <w:p w14:paraId="7C326DAD" w14:textId="530D9EA4" w:rsidR="00DE54C7" w:rsidRDefault="00DE54C7" w:rsidP="00DE54C7">
      <w:pPr>
        <w:jc w:val="both"/>
        <w:rPr>
          <w:rFonts w:cs="Times New Roman"/>
          <w:noProof/>
        </w:rPr>
      </w:pPr>
      <w:r>
        <w:rPr>
          <w:noProof/>
        </w:rPr>
        <w:t xml:space="preserve">Borba protiv kardiovaskularnih bolesti iziskuje </w:t>
      </w:r>
      <w:r>
        <w:rPr>
          <w:b/>
          <w:bCs/>
          <w:noProof/>
        </w:rPr>
        <w:t>trud više dionika i sektora</w:t>
      </w:r>
      <w:r>
        <w:rPr>
          <w:noProof/>
        </w:rPr>
        <w:t xml:space="preserve"> koji okuplja tvorce javne politike, zdravstvene radnike, istraživače, zdravstvene ustanove, industriju, civilno društvo i osobe s iskustvom bolesti kako bi se potaknule inovacije i razmjenjivalo znanje te kako bi građani bili glavni faktor u oblikovanju naših rješenja.</w:t>
      </w:r>
    </w:p>
    <w:p w14:paraId="35A692DD" w14:textId="14275F4E" w:rsidR="00DE54C7" w:rsidRDefault="00DE54C7" w:rsidP="00DE54C7">
      <w:pPr>
        <w:spacing w:before="120"/>
        <w:jc w:val="both"/>
        <w:rPr>
          <w:noProof/>
        </w:rPr>
      </w:pPr>
      <w:r>
        <w:rPr>
          <w:rStyle w:val="Strong"/>
          <w:b w:val="0"/>
          <w:noProof/>
        </w:rPr>
        <w:t>Savjetodavna skupina za mlade</w:t>
      </w:r>
      <w:r>
        <w:rPr>
          <w:rStyle w:val="FootnoteReference"/>
          <w:rFonts w:cs="Times New Roman"/>
          <w:noProof/>
        </w:rPr>
        <w:footnoteReference w:id="169"/>
      </w:r>
      <w:r>
        <w:rPr>
          <w:rStyle w:val="Strong"/>
          <w:b w:val="0"/>
          <w:noProof/>
        </w:rPr>
        <w:t xml:space="preserve"> u okviru Zajedničke akcije za prevenciju nezaraznih bolesti pruža nacrt načina na koji se perspektive mladih mogu integrirati, među ostalim na nacionalnoj razini, u prevenciju i liječenje nezaraznih bolesti</w:t>
      </w:r>
      <w:r>
        <w:rPr>
          <w:noProof/>
        </w:rPr>
        <w:t>, kao što su kardiovaskularne bolesti</w:t>
      </w:r>
      <w:r>
        <w:rPr>
          <w:rStyle w:val="FootnoteReference"/>
          <w:noProof/>
        </w:rPr>
        <w:footnoteReference w:id="170"/>
      </w:r>
      <w:r>
        <w:rPr>
          <w:noProof/>
        </w:rPr>
        <w:t xml:space="preserve">. </w:t>
      </w:r>
    </w:p>
    <w:p w14:paraId="525CFC6E" w14:textId="457FDD39" w:rsidR="00DE54C7" w:rsidRPr="000E1D82" w:rsidRDefault="00DE54C7" w:rsidP="00DE54C7">
      <w:pPr>
        <w:jc w:val="both"/>
        <w:rPr>
          <w:rFonts w:cs="Times New Roman"/>
          <w:noProof/>
        </w:rPr>
      </w:pPr>
      <w:r>
        <w:rPr>
          <w:noProof/>
        </w:rPr>
        <w:t>Komisija namjerava:</w:t>
      </w:r>
    </w:p>
    <w:p w14:paraId="544CE120" w14:textId="2AED2465" w:rsidR="00DE54C7" w:rsidRPr="000E1D82" w:rsidRDefault="00DE54C7" w:rsidP="00DE54C7">
      <w:pPr>
        <w:numPr>
          <w:ilvl w:val="0"/>
          <w:numId w:val="3"/>
        </w:numPr>
        <w:spacing w:before="120" w:after="0" w:line="240" w:lineRule="auto"/>
        <w:jc w:val="both"/>
        <w:rPr>
          <w:rFonts w:eastAsia="Times New Roman" w:cs="Times New Roman"/>
          <w:noProof/>
        </w:rPr>
      </w:pPr>
      <w:r>
        <w:rPr>
          <w:noProof/>
        </w:rPr>
        <w:t>nastaviti s državama članicama razvijati mjere u okviru Stručne skupine za javno zdravlje</w:t>
      </w:r>
      <w:r>
        <w:rPr>
          <w:rStyle w:val="FootnoteReference"/>
          <w:rFonts w:eastAsia="Times New Roman" w:cs="Times New Roman"/>
          <w:noProof/>
        </w:rPr>
        <w:footnoteReference w:id="171"/>
      </w:r>
      <w:r>
        <w:rPr>
          <w:noProof/>
        </w:rPr>
        <w:t>, koja je glavni forum za rasprave o prevenciji i upravljanju kardiovaskularnim i drugim nezaraznim bolestima,</w:t>
      </w:r>
    </w:p>
    <w:p w14:paraId="2465684F" w14:textId="3DFAB447" w:rsidR="00DE54C7" w:rsidRPr="000E1D82" w:rsidRDefault="00DE54C7" w:rsidP="00DE54C7">
      <w:pPr>
        <w:numPr>
          <w:ilvl w:val="0"/>
          <w:numId w:val="3"/>
        </w:numPr>
        <w:spacing w:before="120" w:after="0" w:line="240" w:lineRule="auto"/>
        <w:jc w:val="both"/>
        <w:rPr>
          <w:rFonts w:eastAsia="Times New Roman" w:cs="Times New Roman"/>
          <w:noProof/>
        </w:rPr>
      </w:pPr>
      <w:r>
        <w:rPr>
          <w:noProof/>
        </w:rPr>
        <w:t>stvoriti mrežu stručnjaka za kardiovaskularne bolesti i dijabetes</w:t>
      </w:r>
      <w:r>
        <w:rPr>
          <w:rFonts w:eastAsia="Times New Roman"/>
          <w:noProof/>
          <w:vertAlign w:val="superscript"/>
        </w:rPr>
        <w:footnoteReference w:id="172"/>
      </w:r>
      <w:r>
        <w:rPr>
          <w:noProof/>
        </w:rPr>
        <w:t>, uključujući medicinska društva i organizacije pacijenata,</w:t>
      </w:r>
    </w:p>
    <w:p w14:paraId="615F76D0" w14:textId="7D8C2349" w:rsidR="00DE54C7" w:rsidRPr="000E1D82" w:rsidRDefault="00DE54C7" w:rsidP="00DE54C7">
      <w:pPr>
        <w:numPr>
          <w:ilvl w:val="0"/>
          <w:numId w:val="3"/>
        </w:numPr>
        <w:spacing w:before="120" w:after="0" w:line="240" w:lineRule="auto"/>
        <w:jc w:val="both"/>
        <w:rPr>
          <w:rFonts w:eastAsia="Times New Roman" w:cs="Times New Roman"/>
          <w:noProof/>
        </w:rPr>
      </w:pPr>
      <w:r>
        <w:rPr>
          <w:noProof/>
        </w:rPr>
        <w:t>poduprijeti ciljane mjere</w:t>
      </w:r>
      <w:r>
        <w:rPr>
          <w:rFonts w:eastAsia="Times New Roman"/>
          <w:noProof/>
          <w:vertAlign w:val="superscript"/>
        </w:rPr>
        <w:footnoteReference w:id="173"/>
      </w:r>
      <w:r>
        <w:rPr>
          <w:noProof/>
        </w:rPr>
        <w:t xml:space="preserve"> za smanjenje rizika od kardiovaskularnih bolesti i dijabetesa među ranjivim skupinama, posebno ženama,</w:t>
      </w:r>
    </w:p>
    <w:p w14:paraId="053A72F0" w14:textId="0FD24AD6" w:rsidR="0066220B" w:rsidRPr="000E1D82" w:rsidRDefault="0066220B" w:rsidP="00DE54C7">
      <w:pPr>
        <w:numPr>
          <w:ilvl w:val="0"/>
          <w:numId w:val="3"/>
        </w:numPr>
        <w:spacing w:before="120" w:after="0" w:line="240" w:lineRule="auto"/>
        <w:jc w:val="both"/>
        <w:rPr>
          <w:rFonts w:eastAsia="Times New Roman" w:cs="Times New Roman"/>
          <w:noProof/>
        </w:rPr>
      </w:pPr>
      <w:bookmarkStart w:id="12" w:name="_Hlk216356633"/>
      <w:r>
        <w:rPr>
          <w:noProof/>
        </w:rPr>
        <w:t>poboljšati suradnju kardioloških i onkoloških stručnjaka kako bi se poduprla zajednička nastojanja u prevenciji bolesti,</w:t>
      </w:r>
    </w:p>
    <w:bookmarkEnd w:id="12"/>
    <w:p w14:paraId="265DFAC8" w14:textId="45CC0287" w:rsidR="00DE54C7" w:rsidRPr="00914153" w:rsidRDefault="00DE54C7" w:rsidP="00DE54C7">
      <w:pPr>
        <w:numPr>
          <w:ilvl w:val="0"/>
          <w:numId w:val="3"/>
        </w:numPr>
        <w:spacing w:before="120" w:after="0" w:line="240" w:lineRule="auto"/>
        <w:jc w:val="both"/>
        <w:rPr>
          <w:rFonts w:eastAsia="Times New Roman" w:cs="Times New Roman"/>
          <w:noProof/>
        </w:rPr>
      </w:pPr>
      <w:r>
        <w:rPr>
          <w:noProof/>
        </w:rPr>
        <w:t>poduprijeti tematsku mrežu u okviru Platforme za zdravstvenu politiku EU-a</w:t>
      </w:r>
      <w:r>
        <w:rPr>
          <w:rStyle w:val="FootnoteReference"/>
          <w:rFonts w:eastAsia="Times New Roman" w:cs="Times New Roman"/>
          <w:noProof/>
        </w:rPr>
        <w:footnoteReference w:id="174"/>
      </w:r>
      <w:r>
        <w:rPr>
          <w:noProof/>
        </w:rPr>
        <w:t>, čime će se omogućiti kontinuiran dijalog i djelovanje dionika, s fokusom na mlade,</w:t>
      </w:r>
    </w:p>
    <w:p w14:paraId="7E6A8FBD" w14:textId="11119A98" w:rsidR="00DE54C7" w:rsidRDefault="00DE54C7" w:rsidP="00DE54C7">
      <w:pPr>
        <w:numPr>
          <w:ilvl w:val="0"/>
          <w:numId w:val="3"/>
        </w:numPr>
        <w:spacing w:before="120" w:after="0" w:line="240" w:lineRule="auto"/>
        <w:jc w:val="both"/>
        <w:rPr>
          <w:rFonts w:eastAsia="Times New Roman" w:cs="Times New Roman"/>
          <w:noProof/>
        </w:rPr>
      </w:pPr>
      <w:r>
        <w:rPr>
          <w:noProof/>
        </w:rPr>
        <w:t>na Portalu najbolje prakse EU-a</w:t>
      </w:r>
      <w:r>
        <w:rPr>
          <w:rFonts w:eastAsia="Times New Roman"/>
          <w:noProof/>
          <w:vertAlign w:val="superscript"/>
        </w:rPr>
        <w:footnoteReference w:id="175"/>
      </w:r>
      <w:r>
        <w:rPr>
          <w:noProof/>
        </w:rPr>
        <w:t xml:space="preserve"> objaviti poziv za javnozdravstvene intervencije utemeljene na dokazima u vezi s kardiovaskularnim bolestima i povezanim čimbenicima rizika, uključujući dijabetes i pretilost.</w:t>
      </w:r>
    </w:p>
    <w:p w14:paraId="591931A1" w14:textId="5FC967C9" w:rsidR="00DE54C7" w:rsidRPr="000E1D82" w:rsidRDefault="00DE54C7" w:rsidP="00DE54C7">
      <w:pPr>
        <w:spacing w:before="120"/>
        <w:jc w:val="both"/>
        <w:rPr>
          <w:noProof/>
        </w:rPr>
      </w:pPr>
      <w:r>
        <w:rPr>
          <w:noProof/>
        </w:rPr>
        <w:t xml:space="preserve">Kardiovaskularne bolesti </w:t>
      </w:r>
      <w:r>
        <w:rPr>
          <w:b/>
          <w:noProof/>
        </w:rPr>
        <w:t>izazov su za javno zdravlje u cijelom svijetu</w:t>
      </w:r>
      <w:r>
        <w:rPr>
          <w:noProof/>
        </w:rPr>
        <w:t>. Glavni su svjetski uzrok smrti – uzrokuju 32 % svih smrtnih slučajeva. Za rješavanje tog problema potrebna je suradnja sa zemljama koje se suočavaju sa zajedničkim izazovima. Na globalnoj razini Komisija će surađivati u borbi protiv kardiovaskularnih bolesti i drugih nezaraznih bolesti ubrzavanjem napretka pomoću zajedničkih projekata kako bi se smanjilo njihovo opterećenje razmjenom najboljih primjera iz prakse i pristupa u kontekstu globalne suradnje sa zemljama izvan EU-a, međunarodnim partnerima, globalnim zdravstvenim institucijama i subjektima te dionicima, među ostalim u kontekstu Globalnog saveza za kronične bolesti (GACD), koji Komisija sufinancira</w:t>
      </w:r>
      <w:r>
        <w:rPr>
          <w:rStyle w:val="FootnoteReference"/>
          <w:noProof/>
        </w:rPr>
        <w:footnoteReference w:id="176"/>
      </w:r>
      <w:r>
        <w:rPr>
          <w:noProof/>
        </w:rPr>
        <w:t>.</w:t>
      </w:r>
    </w:p>
    <w:p w14:paraId="3691E3F3" w14:textId="77777777" w:rsidR="00DE54C7" w:rsidRPr="000E1D82" w:rsidRDefault="00DE54C7" w:rsidP="003E1314">
      <w:pPr>
        <w:pStyle w:val="Heading1"/>
        <w:numPr>
          <w:ilvl w:val="0"/>
          <w:numId w:val="127"/>
        </w:numPr>
        <w:spacing w:before="240" w:after="120"/>
        <w:jc w:val="both"/>
        <w:rPr>
          <w:rFonts w:ascii="Times New Roman" w:hAnsi="Times New Roman" w:cs="Times New Roman"/>
          <w:b/>
          <w:smallCaps/>
          <w:noProof/>
          <w:color w:val="auto"/>
          <w:sz w:val="24"/>
          <w:szCs w:val="24"/>
        </w:rPr>
      </w:pPr>
      <w:r>
        <w:rPr>
          <w:rFonts w:ascii="Times New Roman" w:hAnsi="Times New Roman"/>
          <w:b/>
          <w:smallCaps/>
          <w:noProof/>
          <w:color w:val="auto"/>
          <w:sz w:val="24"/>
        </w:rPr>
        <w:t xml:space="preserve">Zaključak </w:t>
      </w:r>
    </w:p>
    <w:p w14:paraId="15E2C1CA" w14:textId="564DFD61" w:rsidR="00DE54C7" w:rsidRPr="00DE54C7" w:rsidRDefault="00DE54C7" w:rsidP="00DE54C7">
      <w:pPr>
        <w:jc w:val="both"/>
        <w:rPr>
          <w:noProof/>
        </w:rPr>
      </w:pPr>
      <w:r>
        <w:rPr>
          <w:noProof/>
        </w:rPr>
        <w:t xml:space="preserve">Plan za zdravlje srca sadržava konkretne i ambiciozne mjere kojima će se osjetno poboljšati kardiovaskularno zdravlje i kvaliteta života ljudi te smanjiti teret kardiovaskularnih bolesti, dijabetesa i pretilosti jačanjem personalizirane prevencije, uvođenjem programa ranog otkrivanja bolesti i probira te primjenom inovativnih metoda za poboljšanje pristupa liječenju, skrbi i rehabilitaciji. </w:t>
      </w:r>
    </w:p>
    <w:p w14:paraId="37311410" w14:textId="29DEB131" w:rsidR="00DE54C7" w:rsidRPr="000E1D82" w:rsidRDefault="00DE54C7" w:rsidP="00DE54C7">
      <w:pPr>
        <w:jc w:val="both"/>
        <w:rPr>
          <w:rFonts w:cs="Times New Roman"/>
          <w:noProof/>
        </w:rPr>
      </w:pPr>
      <w:r>
        <w:rPr>
          <w:noProof/>
        </w:rPr>
        <w:t xml:space="preserve">Izazov koji je pred nama utječe na sve nas. Uspjeh ovisi o aktivnom angažmanu država članica, istraživača, inovatora, industrije, civilnog društva, pružatelja zdravstvene zaštite, zdravstvenih radnika, pacijenata, akademske zajednice i međunarodnih partnera te o njihovoj suradnji na lokalnoj i nacionalnoj razini i na razini EU-a. Taj zajednički angažman ključan je za smanjenje zdravstvenih nejednakosti među državama članicama, skupinama stanovništva i rodovima. Plan za zdravlje srca postavlja temelje za održive mjere s fokusom na pacijente na nacionalnoj razini i razini EU-a. </w:t>
      </w:r>
    </w:p>
    <w:p w14:paraId="0D30B6DB" w14:textId="63E35F9F" w:rsidR="0079613D" w:rsidRDefault="00DE54C7" w:rsidP="00DE54C7">
      <w:pPr>
        <w:jc w:val="both"/>
        <w:rPr>
          <w:noProof/>
        </w:rPr>
      </w:pPr>
      <w:r>
        <w:rPr>
          <w:noProof/>
        </w:rPr>
        <w:t xml:space="preserve">Taj će rad omogućiti da stanovništvo postane zdravije i otpornije, što će potaknuti inovacije i konkurentnost u cijelom EU-u. </w:t>
      </w:r>
    </w:p>
    <w:sectPr w:rsidR="0079613D" w:rsidSect="00C616F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62A5A" w14:textId="77777777" w:rsidR="006D608B" w:rsidRDefault="006D608B" w:rsidP="00DE54C7">
      <w:pPr>
        <w:spacing w:after="0" w:line="240" w:lineRule="auto"/>
      </w:pPr>
      <w:r>
        <w:separator/>
      </w:r>
    </w:p>
  </w:endnote>
  <w:endnote w:type="continuationSeparator" w:id="0">
    <w:p w14:paraId="26B5C156" w14:textId="77777777" w:rsidR="006D608B" w:rsidRDefault="006D608B" w:rsidP="00DE54C7">
      <w:pPr>
        <w:spacing w:after="0" w:line="240" w:lineRule="auto"/>
      </w:pPr>
      <w:r>
        <w:continuationSeparator/>
      </w:r>
    </w:p>
  </w:endnote>
  <w:endnote w:type="continuationNotice" w:id="1">
    <w:p w14:paraId="562DE5E1" w14:textId="77777777" w:rsidR="006D608B" w:rsidRDefault="006D6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88A1" w14:textId="410F9A33" w:rsidR="00521429" w:rsidRPr="00521429" w:rsidRDefault="00521429" w:rsidP="00521429">
    <w:pPr>
      <w:pStyle w:val="FooterCoverPage"/>
      <w:rPr>
        <w:rFonts w:ascii="Arial" w:hAnsi="Arial" w:cs="Arial"/>
        <w:b/>
        <w:sz w:val="48"/>
      </w:rPr>
    </w:pPr>
    <w:r w:rsidRPr="00521429">
      <w:rPr>
        <w:rFonts w:ascii="Arial" w:hAnsi="Arial" w:cs="Arial"/>
        <w:b/>
        <w:sz w:val="48"/>
      </w:rPr>
      <w:t>HR</w:t>
    </w:r>
    <w:r w:rsidRPr="00521429">
      <w:rPr>
        <w:rFonts w:ascii="Arial" w:hAnsi="Arial" w:cs="Arial"/>
        <w:b/>
        <w:sz w:val="48"/>
      </w:rPr>
      <w:tab/>
    </w:r>
    <w:r w:rsidRPr="00521429">
      <w:rPr>
        <w:rFonts w:ascii="Arial" w:hAnsi="Arial" w:cs="Arial"/>
        <w:b/>
        <w:sz w:val="48"/>
      </w:rPr>
      <w:tab/>
    </w:r>
    <w:r w:rsidRPr="00521429">
      <w:tab/>
    </w:r>
    <w:r w:rsidRPr="00521429">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530E" w14:textId="54D33D50" w:rsidR="00521429" w:rsidRPr="00521429" w:rsidRDefault="00521429" w:rsidP="00521429">
    <w:pPr>
      <w:pStyle w:val="FooterCoverPage"/>
      <w:rPr>
        <w:rFonts w:ascii="Arial" w:hAnsi="Arial" w:cs="Arial"/>
        <w:b/>
        <w:sz w:val="48"/>
      </w:rPr>
    </w:pPr>
    <w:r w:rsidRPr="00521429">
      <w:rPr>
        <w:rFonts w:ascii="Arial" w:hAnsi="Arial" w:cs="Arial"/>
        <w:b/>
        <w:sz w:val="48"/>
      </w:rPr>
      <w:t>HR</w:t>
    </w:r>
    <w:r w:rsidRPr="00521429">
      <w:rPr>
        <w:rFonts w:ascii="Arial" w:hAnsi="Arial" w:cs="Arial"/>
        <w:b/>
        <w:sz w:val="48"/>
      </w:rPr>
      <w:tab/>
    </w:r>
    <w:r w:rsidRPr="00521429">
      <w:rPr>
        <w:rFonts w:ascii="Arial" w:hAnsi="Arial" w:cs="Arial"/>
        <w:b/>
        <w:sz w:val="48"/>
      </w:rPr>
      <w:tab/>
    </w:r>
    <w:r w:rsidRPr="00521429">
      <w:tab/>
    </w:r>
    <w:r w:rsidRPr="00521429">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149B" w14:textId="77777777" w:rsidR="00521429" w:rsidRPr="00521429" w:rsidRDefault="00521429" w:rsidP="0052142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3438" w14:textId="77777777" w:rsidR="00441B58" w:rsidRDefault="00441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270130"/>
      <w:docPartObj>
        <w:docPartGallery w:val="Page Numbers (Bottom of Page)"/>
        <w:docPartUnique/>
      </w:docPartObj>
    </w:sdtPr>
    <w:sdtEndPr>
      <w:rPr>
        <w:noProof/>
      </w:rPr>
    </w:sdtEndPr>
    <w:sdtContent>
      <w:p w14:paraId="7482E9A0" w14:textId="5E59E109" w:rsidR="0021688B" w:rsidRDefault="0021688B">
        <w:pPr>
          <w:pStyle w:val="Footer"/>
          <w:jc w:val="right"/>
        </w:pPr>
        <w:r>
          <w:fldChar w:fldCharType="begin"/>
        </w:r>
        <w:r>
          <w:instrText xml:space="preserve"> PAGE   \* MERGEFORMAT </w:instrText>
        </w:r>
        <w:r>
          <w:fldChar w:fldCharType="separate"/>
        </w:r>
        <w:r w:rsidR="00521429">
          <w:rPr>
            <w:noProof/>
          </w:rPr>
          <w:t>1</w:t>
        </w:r>
        <w:r>
          <w:fldChar w:fldCharType="end"/>
        </w:r>
      </w:p>
    </w:sdtContent>
  </w:sdt>
  <w:p w14:paraId="5D49A013" w14:textId="77777777" w:rsidR="0021688B" w:rsidRDefault="002168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6213" w14:textId="77777777" w:rsidR="00DE0A8A" w:rsidRDefault="00DE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08F1" w14:textId="77777777" w:rsidR="006D608B" w:rsidRDefault="006D608B" w:rsidP="00DE54C7">
      <w:pPr>
        <w:spacing w:after="0" w:line="240" w:lineRule="auto"/>
      </w:pPr>
      <w:r>
        <w:separator/>
      </w:r>
    </w:p>
  </w:footnote>
  <w:footnote w:type="continuationSeparator" w:id="0">
    <w:p w14:paraId="0D8695CE" w14:textId="77777777" w:rsidR="006D608B" w:rsidRDefault="006D608B" w:rsidP="00DE54C7">
      <w:pPr>
        <w:spacing w:after="0" w:line="240" w:lineRule="auto"/>
      </w:pPr>
      <w:r>
        <w:continuationSeparator/>
      </w:r>
    </w:p>
  </w:footnote>
  <w:footnote w:type="continuationNotice" w:id="1">
    <w:p w14:paraId="180E0CAF" w14:textId="77777777" w:rsidR="006D608B" w:rsidRDefault="006D608B">
      <w:pPr>
        <w:spacing w:after="0" w:line="240" w:lineRule="auto"/>
      </w:pPr>
    </w:p>
  </w:footnote>
  <w:footnote w:id="2">
    <w:p w14:paraId="5C595806" w14:textId="77777777" w:rsidR="00DE54C7" w:rsidRPr="000E1D82" w:rsidRDefault="00DE54C7" w:rsidP="00D8171C">
      <w:pPr>
        <w:pStyle w:val="FootnoteText"/>
      </w:pPr>
      <w:r>
        <w:rPr>
          <w:rStyle w:val="FootnoteReference"/>
        </w:rPr>
        <w:footnoteRef/>
      </w:r>
      <w:r>
        <w:t xml:space="preserve"> Kardiovaskularne bolesti zahvaćaju srce i krvne žile. Uključuju srčani i moždani udar, zatajenje srca, ishemijske bolesti srca, poremećaje srčanog ritma, strukturne bolesti srca, kardiomiopatiju i prirođene bolesti srca.</w:t>
      </w:r>
    </w:p>
  </w:footnote>
  <w:footnote w:id="3">
    <w:p w14:paraId="6A92B325" w14:textId="7594F6C5" w:rsidR="00DE54C7" w:rsidRPr="003502ED" w:rsidRDefault="00DE54C7" w:rsidP="00D8171C">
      <w:pPr>
        <w:pStyle w:val="FootnoteText"/>
      </w:pPr>
      <w:r>
        <w:rPr>
          <w:rStyle w:val="FootnoteReference"/>
        </w:rPr>
        <w:footnoteRef/>
      </w:r>
      <w:r>
        <w:t xml:space="preserve"> Ako nije drukčije navedeno, izvor podataka je izvješće OECD-a (2025.) o stanju kardiovaskularnog zdravlja u EU-u – </w:t>
      </w:r>
      <w:hyperlink r:id="rId1" w:history="1">
        <w:r>
          <w:rPr>
            <w:rStyle w:val="Hyperlink"/>
            <w:i/>
            <w:iCs/>
          </w:rPr>
          <w:t>Full Report:</w:t>
        </w:r>
      </w:hyperlink>
      <w:hyperlink r:id="rId2" w:history="1">
        <w:r>
          <w:rPr>
            <w:rStyle w:val="Hyperlink"/>
          </w:rPr>
          <w:t xml:space="preserve"> </w:t>
        </w:r>
        <w:r>
          <w:rPr>
            <w:rStyle w:val="Hyperlink"/>
            <w:i/>
            <w:iCs/>
          </w:rPr>
          <w:t>The State of Cardiovascular Health in the European Union</w:t>
        </w:r>
        <w:r>
          <w:rPr>
            <w:rStyle w:val="Hyperlink"/>
          </w:rPr>
          <w:t xml:space="preserve"> |</w:t>
        </w:r>
      </w:hyperlink>
      <w:hyperlink r:id="rId3" w:history="1">
        <w:r>
          <w:rPr>
            <w:rStyle w:val="Hyperlink"/>
          </w:rPr>
          <w:t xml:space="preserve"> OECD</w:t>
        </w:r>
      </w:hyperlink>
      <w:r>
        <w:t>.</w:t>
      </w:r>
    </w:p>
  </w:footnote>
  <w:footnote w:id="4">
    <w:p w14:paraId="18EF91E6" w14:textId="77777777" w:rsidR="00DE54C7" w:rsidRPr="000E1D82" w:rsidRDefault="00DE54C7" w:rsidP="00D8171C">
      <w:pPr>
        <w:pStyle w:val="FootnoteText"/>
      </w:pPr>
      <w:r>
        <w:rPr>
          <w:rStyle w:val="FootnoteReference"/>
        </w:rPr>
        <w:footnoteRef/>
      </w:r>
      <w:r>
        <w:t xml:space="preserve"> Samo 2021. izgubljeno je 256 milijuna radnih dana zbog bolesti i invaliditeta te 1,3 milijuna radnih godina zbog prijevremenih smrtnih slučajeva. </w:t>
      </w:r>
    </w:p>
  </w:footnote>
  <w:footnote w:id="5">
    <w:p w14:paraId="39BCD6E8" w14:textId="77777777" w:rsidR="00DE54C7" w:rsidRPr="000E1D82" w:rsidRDefault="00DE54C7" w:rsidP="00D8171C">
      <w:pPr>
        <w:pStyle w:val="FootnoteText"/>
      </w:pPr>
      <w:r>
        <w:rPr>
          <w:rStyle w:val="FootnoteReference"/>
        </w:rPr>
        <w:footnoteRef/>
      </w:r>
      <w:r>
        <w:t xml:space="preserve"> </w:t>
      </w:r>
      <w:hyperlink r:id="rId4" w:history="1">
        <w:r>
          <w:rPr>
            <w:rStyle w:val="Hyperlink"/>
          </w:rPr>
          <w:t>Statistički podaci o kardiovaskularnim bolestima – Platforma Statistics Explained – Eurostat</w:t>
        </w:r>
      </w:hyperlink>
      <w:r>
        <w:t xml:space="preserve">. </w:t>
      </w:r>
    </w:p>
  </w:footnote>
  <w:footnote w:id="6">
    <w:p w14:paraId="1C8D5E85" w14:textId="77777777" w:rsidR="00DE54C7" w:rsidRPr="001D733D" w:rsidRDefault="00DE54C7" w:rsidP="005F0923">
      <w:pPr>
        <w:pStyle w:val="FootnoteText"/>
      </w:pPr>
      <w:r>
        <w:rPr>
          <w:rStyle w:val="FootnoteReference"/>
        </w:rPr>
        <w:footnoteRef/>
      </w:r>
      <w:r>
        <w:t xml:space="preserve"> </w:t>
      </w:r>
      <w:hyperlink r:id="rId5" w:history="1">
        <w:r>
          <w:rPr>
            <w:rStyle w:val="Hyperlink"/>
            <w:i/>
            <w:iCs/>
          </w:rPr>
          <w:t>Global burden of cardiovascular diseases:</w:t>
        </w:r>
      </w:hyperlink>
      <w:hyperlink r:id="rId6" w:history="1">
        <w:r>
          <w:rPr>
            <w:rStyle w:val="Hyperlink"/>
          </w:rPr>
          <w:t xml:space="preserve"> </w:t>
        </w:r>
        <w:r>
          <w:rPr>
            <w:rStyle w:val="Hyperlink"/>
            <w:i/>
            <w:iCs/>
          </w:rPr>
          <w:t>projections from 2025 to 2050 – PubMed</w:t>
        </w:r>
        <w:r>
          <w:rPr>
            <w:rStyle w:val="Hyperlink"/>
          </w:rPr>
          <w:t xml:space="preserve"> (Globalni teret kardiovaskularnih bolesti: projekcije od 2025. do 2050.)</w:t>
        </w:r>
      </w:hyperlink>
      <w:r>
        <w:t>.</w:t>
      </w:r>
    </w:p>
  </w:footnote>
  <w:footnote w:id="7">
    <w:p w14:paraId="766FDECB" w14:textId="6ECBE8C9" w:rsidR="00DE54C7" w:rsidRPr="000E1D82" w:rsidRDefault="00DE54C7" w:rsidP="00D8171C">
      <w:pPr>
        <w:pStyle w:val="FootnoteText"/>
      </w:pPr>
      <w:r>
        <w:rPr>
          <w:rStyle w:val="FootnoteReference"/>
        </w:rPr>
        <w:footnoteRef/>
      </w:r>
      <w:r>
        <w:t xml:space="preserve"> Ishemijska bolest srca poznata je i kao koronarna bolest srca ili koronarna arterijska bolest.</w:t>
      </w:r>
    </w:p>
  </w:footnote>
  <w:footnote w:id="8">
    <w:p w14:paraId="3CC300B7" w14:textId="28AC71BD" w:rsidR="00DE54C7" w:rsidRPr="000E1D82" w:rsidRDefault="00DE54C7" w:rsidP="00FE56F3">
      <w:pPr>
        <w:pStyle w:val="FootnoteText"/>
      </w:pPr>
      <w:r>
        <w:rPr>
          <w:vertAlign w:val="superscript"/>
        </w:rPr>
        <w:footnoteRef/>
      </w:r>
      <w:r>
        <w:t xml:space="preserve"> Vijeće Europske unije, </w:t>
      </w:r>
      <w:hyperlink r:id="rId7" w:history="1">
        <w:r>
          <w:rPr>
            <w:rStyle w:val="Hyperlink"/>
          </w:rPr>
          <w:t>Zaključci Vijeća o poboljšanju kardiovaskularnog zdravlja u Europskoj uniji</w:t>
        </w:r>
      </w:hyperlink>
      <w:r>
        <w:t>, ST 15315/24 INIT. al</w:t>
      </w:r>
      <w:hyperlink r:id="rId8" w:history="1">
        <w:r>
          <w:rPr>
            <w:rStyle w:val="Hyperlink"/>
            <w:u w:val="none"/>
          </w:rPr>
          <w:t xml:space="preserve"> x</w:t>
        </w:r>
      </w:hyperlink>
      <w:r>
        <w:rPr>
          <w:color w:val="000000" w:themeColor="text1"/>
        </w:rPr>
        <w:t>.</w:t>
      </w:r>
    </w:p>
  </w:footnote>
  <w:footnote w:id="9">
    <w:p w14:paraId="1FFF46C5" w14:textId="1A63D73B" w:rsidR="00DE54C7" w:rsidRPr="001D733D" w:rsidRDefault="00DE54C7" w:rsidP="00D8171C">
      <w:pPr>
        <w:pStyle w:val="FootnoteText"/>
      </w:pPr>
      <w:r>
        <w:rPr>
          <w:vertAlign w:val="superscript"/>
        </w:rPr>
        <w:footnoteRef/>
      </w:r>
      <w:r>
        <w:t xml:space="preserve"> </w:t>
      </w:r>
      <w:hyperlink r:id="rId9" w:history="1">
        <w:r>
          <w:rPr>
            <w:rStyle w:val="Hyperlink"/>
          </w:rPr>
          <w:t>Skupina zastupnika u Europskom parlamentu za kardiovaskularno zdravlje</w:t>
        </w:r>
      </w:hyperlink>
      <w:r>
        <w:t xml:space="preserve"> i Europski parlament, </w:t>
      </w:r>
      <w:hyperlink r:id="rId10" w:history="1">
        <w:r>
          <w:rPr>
            <w:rStyle w:val="Hyperlink"/>
          </w:rPr>
          <w:t xml:space="preserve">Izvješće o nezaraznim bolestima, A9-0366/2023, doneseno 13. prosinca 2023.| </w:t>
        </w:r>
      </w:hyperlink>
    </w:p>
  </w:footnote>
  <w:footnote w:id="10">
    <w:p w14:paraId="1F4AC8B0" w14:textId="7E32F2EE" w:rsidR="00DE54C7" w:rsidRPr="000E1D82" w:rsidRDefault="00DE54C7" w:rsidP="00D8171C">
      <w:pPr>
        <w:pStyle w:val="FootnoteText"/>
      </w:pPr>
      <w:r>
        <w:rPr>
          <w:rStyle w:val="FootnoteReference"/>
        </w:rPr>
        <w:footnoteRef/>
      </w:r>
      <w:r>
        <w:t xml:space="preserve"> Vidjeti npr. platformu </w:t>
      </w:r>
      <w:hyperlink r:id="rId11" w:history="1">
        <w:r>
          <w:rPr>
            <w:rStyle w:val="Hyperlink"/>
          </w:rPr>
          <w:t>Iznesite svoje mišljenje</w:t>
        </w:r>
      </w:hyperlink>
      <w:r>
        <w:t>.</w:t>
      </w:r>
    </w:p>
  </w:footnote>
  <w:footnote w:id="11">
    <w:p w14:paraId="1301C89B" w14:textId="77777777" w:rsidR="00DE54C7" w:rsidRPr="004D633C" w:rsidRDefault="00DE54C7" w:rsidP="00D8171C">
      <w:pPr>
        <w:pStyle w:val="FootnoteText"/>
      </w:pPr>
      <w:r>
        <w:rPr>
          <w:rStyle w:val="FootnoteReference"/>
        </w:rPr>
        <w:footnoteRef/>
      </w:r>
      <w:r>
        <w:t xml:space="preserve"> Europska zdravstvena unija: </w:t>
      </w:r>
      <w:hyperlink r:id="rId12" w:history="1">
        <w:r>
          <w:rPr>
            <w:rStyle w:val="Hyperlink"/>
          </w:rPr>
          <w:t>https://commission.europa.eu/topics/public-health/european-health-union_hr</w:t>
        </w:r>
      </w:hyperlink>
      <w:r>
        <w:t xml:space="preserve">. </w:t>
      </w:r>
    </w:p>
  </w:footnote>
  <w:footnote w:id="12">
    <w:p w14:paraId="46798C6B" w14:textId="77777777" w:rsidR="00DE54C7" w:rsidRPr="001D733D" w:rsidRDefault="00DE54C7" w:rsidP="00D8171C">
      <w:pPr>
        <w:pStyle w:val="FootnoteText"/>
      </w:pPr>
      <w:r>
        <w:rPr>
          <w:rStyle w:val="FootnoteReference"/>
        </w:rPr>
        <w:footnoteRef/>
      </w:r>
      <w:r>
        <w:t xml:space="preserve"> </w:t>
      </w:r>
      <w:hyperlink r:id="rId13" w:history="1">
        <w:r>
          <w:rPr>
            <w:rStyle w:val="Hyperlink"/>
          </w:rPr>
          <w:t>Inicijativa EU-a za nezarazne bolesti „Zdravije zajedno” – Javno zdravlje</w:t>
        </w:r>
      </w:hyperlink>
      <w:r>
        <w:t>.</w:t>
      </w:r>
    </w:p>
  </w:footnote>
  <w:footnote w:id="13">
    <w:p w14:paraId="400CC1DC" w14:textId="4E1878AE" w:rsidR="00DE54C7" w:rsidRPr="008100AB" w:rsidRDefault="00DE54C7" w:rsidP="00D8171C">
      <w:pPr>
        <w:pStyle w:val="FootnoteText"/>
      </w:pPr>
      <w:r>
        <w:rPr>
          <w:rStyle w:val="FootnoteReference"/>
        </w:rPr>
        <w:footnoteRef/>
      </w:r>
      <w:r>
        <w:t xml:space="preserve"> Komunikacija Komisije Europskom parlamentu i Vijeću, </w:t>
      </w:r>
      <w:hyperlink r:id="rId14" w:history="1">
        <w:r>
          <w:rPr>
            <w:rStyle w:val="Hyperlink"/>
          </w:rPr>
          <w:t>Europski plan za borbu protiv raka</w:t>
        </w:r>
      </w:hyperlink>
      <w:r>
        <w:t xml:space="preserve">, COM(2021) 44 final. </w:t>
      </w:r>
    </w:p>
  </w:footnote>
  <w:footnote w:id="14">
    <w:p w14:paraId="15C3044B" w14:textId="6D1FBEA6" w:rsidR="00134491" w:rsidRPr="00134491" w:rsidRDefault="00134491">
      <w:pPr>
        <w:pStyle w:val="FootnoteText"/>
      </w:pPr>
      <w:r>
        <w:rPr>
          <w:rStyle w:val="FootnoteReference"/>
        </w:rPr>
        <w:footnoteRef/>
      </w:r>
      <w:r>
        <w:t xml:space="preserve"> </w:t>
      </w:r>
      <w:hyperlink r:id="rId15" w:history="1">
        <w:r>
          <w:rPr>
            <w:rStyle w:val="Hyperlink"/>
          </w:rPr>
          <w:t>Misija EU-a</w:t>
        </w:r>
      </w:hyperlink>
      <w:hyperlink r:id="rId16" w:history="1">
        <w:r>
          <w:rPr>
            <w:rStyle w:val="Hyperlink"/>
          </w:rPr>
          <w:t xml:space="preserve"> za borbu protiv raka – Istraživanja i inovacije – Europska komisija</w:t>
        </w:r>
      </w:hyperlink>
      <w:r>
        <w:t>.</w:t>
      </w:r>
    </w:p>
  </w:footnote>
  <w:footnote w:id="15">
    <w:p w14:paraId="77FA072D" w14:textId="20DE8A77" w:rsidR="00DE54C7" w:rsidRPr="00F42133" w:rsidRDefault="00DE54C7" w:rsidP="00D8171C">
      <w:pPr>
        <w:pStyle w:val="FootnoteText"/>
      </w:pPr>
      <w:r>
        <w:rPr>
          <w:rStyle w:val="FootnoteReference"/>
        </w:rPr>
        <w:footnoteRef/>
      </w:r>
      <w:r>
        <w:t xml:space="preserve"> Komunikacija Komisije Europskom parlamentu, Vijeću, Europskom gospodarskom i socijalnom odboru i Odboru regija o </w:t>
      </w:r>
      <w:hyperlink r:id="rId17" w:history="1">
        <w:r>
          <w:rPr>
            <w:rStyle w:val="Hyperlink"/>
          </w:rPr>
          <w:t>sveobuhvatnom pristupu mentalnom zdravlju</w:t>
        </w:r>
      </w:hyperlink>
      <w:r>
        <w:t>, COM(2023) 298 final.</w:t>
      </w:r>
    </w:p>
  </w:footnote>
  <w:footnote w:id="16">
    <w:p w14:paraId="4DF24DAC" w14:textId="1FAE65BA" w:rsidR="00DE54C7" w:rsidRPr="00E4479F" w:rsidRDefault="00DE54C7" w:rsidP="00D8171C">
      <w:pPr>
        <w:pStyle w:val="FootnoteText"/>
      </w:pPr>
      <w:r>
        <w:rPr>
          <w:rStyle w:val="FootnoteReference"/>
        </w:rPr>
        <w:footnoteRef/>
      </w:r>
      <w:r>
        <w:t xml:space="preserve"> Komunikacija Komisije Europskom parlamentu, Vijeću, Europskom gospodarskom i socijalnom odboru i Odboru regija, </w:t>
      </w:r>
      <w:hyperlink r:id="rId18" w:history="1">
        <w:r>
          <w:rPr>
            <w:rStyle w:val="Hyperlink"/>
          </w:rPr>
          <w:t>Put prema zdravom planetu za sve – Akcijski plan EU-a:</w:t>
        </w:r>
      </w:hyperlink>
      <w:hyperlink r:id="rId19" w:history="1">
        <w:r>
          <w:rPr>
            <w:rStyle w:val="Hyperlink"/>
          </w:rPr>
          <w:t xml:space="preserve"> Prema postizanju nulte stope onečišćenja zraka, vode i tla</w:t>
        </w:r>
      </w:hyperlink>
      <w:r>
        <w:t>, COM(2021) 400 final.</w:t>
      </w:r>
    </w:p>
  </w:footnote>
  <w:footnote w:id="17">
    <w:p w14:paraId="639A90EE" w14:textId="77777777" w:rsidR="00DE54C7" w:rsidRPr="000E1D82" w:rsidRDefault="00DE54C7" w:rsidP="00D8171C">
      <w:pPr>
        <w:pStyle w:val="FootnoteText"/>
      </w:pPr>
      <w:r>
        <w:rPr>
          <w:rStyle w:val="FootnoteReference"/>
        </w:rPr>
        <w:footnoteRef/>
      </w:r>
      <w:r>
        <w:t xml:space="preserve"> </w:t>
      </w:r>
      <w:hyperlink r:id="rId20" w:history="1">
        <w:r>
          <w:rPr>
            <w:rStyle w:val="Hyperlink"/>
          </w:rPr>
          <w:t>Strategija za europske biološke znanosti – Istraživanja i inovacije</w:t>
        </w:r>
      </w:hyperlink>
      <w:r>
        <w:t>.</w:t>
      </w:r>
    </w:p>
  </w:footnote>
  <w:footnote w:id="18">
    <w:p w14:paraId="3BB6E54F" w14:textId="3E897072" w:rsidR="00DE54C7" w:rsidRPr="000E1D82" w:rsidRDefault="00DE54C7" w:rsidP="00D8171C">
      <w:pPr>
        <w:pStyle w:val="FootnoteText"/>
      </w:pPr>
      <w:r>
        <w:rPr>
          <w:rStyle w:val="FootnoteReference"/>
        </w:rPr>
        <w:footnoteRef/>
      </w:r>
      <w:r>
        <w:t xml:space="preserve"> </w:t>
      </w:r>
      <w:hyperlink r:id="rId21" w:history="1">
        <w:r>
          <w:rPr>
            <w:rStyle w:val="Hyperlink"/>
          </w:rPr>
          <w:t>Uredba (EU) 2025/327 o europskom prostoru za zdravstvene podatke</w:t>
        </w:r>
      </w:hyperlink>
      <w:r>
        <w:rPr>
          <w:rStyle w:val="Hyperlink"/>
        </w:rPr>
        <w:t xml:space="preserve"> i o izmjeni Direktive 2011/24/EU i Uredbe (EU) 2024/2847</w:t>
      </w:r>
      <w:r>
        <w:t>.</w:t>
      </w:r>
    </w:p>
  </w:footnote>
  <w:footnote w:id="19">
    <w:p w14:paraId="7287E249" w14:textId="2184ED8D" w:rsidR="00DE54C7" w:rsidRPr="000E1D82" w:rsidRDefault="00DE54C7" w:rsidP="00D8171C">
      <w:pPr>
        <w:pStyle w:val="FootnoteText"/>
      </w:pPr>
      <w:r>
        <w:rPr>
          <w:rStyle w:val="FootnoteReference"/>
        </w:rPr>
        <w:footnoteRef/>
      </w:r>
      <w:r>
        <w:t xml:space="preserve"> </w:t>
      </w:r>
      <w:hyperlink r:id="rId22" w:history="1">
        <w:r>
          <w:rPr>
            <w:rStyle w:val="Hyperlink"/>
          </w:rPr>
          <w:t>Reforma zakonodavstva o lijekovima i mjere za suzbijanje antimikrobne otpornosti</w:t>
        </w:r>
      </w:hyperlink>
      <w:r>
        <w:t xml:space="preserve">, COM(2023) 190 final, </w:t>
      </w:r>
      <w:hyperlink r:id="rId23" w:history="1">
        <w:r>
          <w:rPr>
            <w:rStyle w:val="Hyperlink"/>
          </w:rPr>
          <w:t>Medicinski proizvodi – Javno zdravlje – Europska komisija</w:t>
        </w:r>
      </w:hyperlink>
      <w:r>
        <w:t xml:space="preserve">, </w:t>
      </w:r>
      <w:hyperlink r:id="rId24" w:history="1">
        <w:r>
          <w:rPr>
            <w:rStyle w:val="Hyperlink"/>
          </w:rPr>
          <w:t>Akt o kritičnim lijekovima – Javno zdravlje – Europska komisija</w:t>
        </w:r>
      </w:hyperlink>
      <w:r>
        <w:t xml:space="preserve"> i </w:t>
      </w:r>
      <w:hyperlink r:id="rId25" w:history="1">
        <w:r>
          <w:rPr>
            <w:rStyle w:val="Hyperlink"/>
          </w:rPr>
          <w:t>Nova pravila EU-a o tvarima ljudskog podrijetla – Javno zdravlje</w:t>
        </w:r>
      </w:hyperlink>
      <w:r>
        <w:t>.</w:t>
      </w:r>
    </w:p>
  </w:footnote>
  <w:footnote w:id="20">
    <w:p w14:paraId="38C19553" w14:textId="0E9FD449" w:rsidR="00DE54C7" w:rsidRPr="00AD12E6" w:rsidRDefault="00DE54C7" w:rsidP="00D8171C">
      <w:pPr>
        <w:pStyle w:val="FootnoteText"/>
      </w:pPr>
      <w:r>
        <w:rPr>
          <w:rStyle w:val="FootnoteReference"/>
        </w:rPr>
        <w:footnoteRef/>
      </w:r>
      <w:r>
        <w:t xml:space="preserve"> </w:t>
      </w:r>
      <w:hyperlink r:id="rId26" w:history="1">
        <w:r>
          <w:rPr>
            <w:rStyle w:val="Hyperlink"/>
          </w:rPr>
          <w:t>Akt o biotehnologiji</w:t>
        </w:r>
      </w:hyperlink>
      <w:r>
        <w:t>.</w:t>
      </w:r>
    </w:p>
  </w:footnote>
  <w:footnote w:id="21">
    <w:p w14:paraId="5893B6D3" w14:textId="0ED4E808" w:rsidR="00DE54C7" w:rsidRPr="000E1D82" w:rsidRDefault="00DE54C7" w:rsidP="00D8171C">
      <w:pPr>
        <w:pStyle w:val="FootnoteText"/>
      </w:pPr>
      <w:r>
        <w:rPr>
          <w:rStyle w:val="FootnoteReference"/>
        </w:rPr>
        <w:footnoteRef/>
      </w:r>
      <w:r>
        <w:t xml:space="preserve"> Npr. zajedničkim akcijama: </w:t>
      </w:r>
      <w:hyperlink r:id="rId27" w:history="1">
        <w:r>
          <w:rPr>
            <w:rStyle w:val="Hyperlink"/>
          </w:rPr>
          <w:t>JACARDI</w:t>
        </w:r>
      </w:hyperlink>
      <w:r>
        <w:t xml:space="preserve">, </w:t>
      </w:r>
      <w:hyperlink r:id="rId28" w:history="1">
        <w:r>
          <w:rPr>
            <w:rStyle w:val="Hyperlink"/>
          </w:rPr>
          <w:t>PreventNCD</w:t>
        </w:r>
      </w:hyperlink>
      <w:r>
        <w:t xml:space="preserve"> i </w:t>
      </w:r>
      <w:hyperlink r:id="rId29" w:history="1">
        <w:r>
          <w:rPr>
            <w:rStyle w:val="Hyperlink"/>
          </w:rPr>
          <w:t>JARED</w:t>
        </w:r>
      </w:hyperlink>
      <w:r>
        <w:t>.</w:t>
      </w:r>
    </w:p>
  </w:footnote>
  <w:footnote w:id="22">
    <w:p w14:paraId="49043064" w14:textId="47BE89F8" w:rsidR="00BD1B23" w:rsidRPr="00BD1B23" w:rsidRDefault="00BD1B23">
      <w:pPr>
        <w:pStyle w:val="FootnoteText"/>
      </w:pPr>
      <w:r>
        <w:rPr>
          <w:rStyle w:val="FootnoteReference"/>
        </w:rPr>
        <w:footnoteRef/>
      </w:r>
      <w:r>
        <w:t xml:space="preserve"> </w:t>
      </w:r>
      <w:r>
        <w:rPr>
          <w:rStyle w:val="FootnoteReference"/>
          <w:vertAlign w:val="baseline"/>
        </w:rPr>
        <w:t>Izvješće OECD-a (</w:t>
      </w:r>
      <w:r>
        <w:t xml:space="preserve">2025.) o stanju kardiovaskularnog zdravlja u EU-u – </w:t>
      </w:r>
      <w:hyperlink r:id="rId30" w:history="1">
        <w:r>
          <w:rPr>
            <w:rStyle w:val="Hyperlink"/>
            <w:i/>
            <w:iCs/>
          </w:rPr>
          <w:t>Full Report:</w:t>
        </w:r>
      </w:hyperlink>
      <w:hyperlink r:id="rId31" w:history="1">
        <w:r>
          <w:rPr>
            <w:rStyle w:val="Hyperlink"/>
          </w:rPr>
          <w:t xml:space="preserve"> </w:t>
        </w:r>
        <w:r>
          <w:rPr>
            <w:rStyle w:val="Hyperlink"/>
            <w:i/>
            <w:iCs/>
          </w:rPr>
          <w:t>The State of Cardiovascular Health in the European Union</w:t>
        </w:r>
        <w:r>
          <w:rPr>
            <w:rStyle w:val="Hyperlink"/>
          </w:rPr>
          <w:t xml:space="preserve"> |</w:t>
        </w:r>
      </w:hyperlink>
      <w:hyperlink r:id="rId32" w:history="1">
        <w:r>
          <w:rPr>
            <w:rStyle w:val="Hyperlink"/>
          </w:rPr>
          <w:t xml:space="preserve"> OECD</w:t>
        </w:r>
      </w:hyperlink>
      <w:r>
        <w:t>.</w:t>
      </w:r>
    </w:p>
  </w:footnote>
  <w:footnote w:id="23">
    <w:p w14:paraId="6E4549E0" w14:textId="7C7750CE" w:rsidR="006C4648" w:rsidRPr="006C4648" w:rsidRDefault="006C4648">
      <w:pPr>
        <w:pStyle w:val="FootnoteText"/>
      </w:pPr>
      <w:r>
        <w:rPr>
          <w:rStyle w:val="FootnoteReference"/>
        </w:rPr>
        <w:footnoteRef/>
      </w:r>
      <w:r>
        <w:t xml:space="preserve"> </w:t>
      </w:r>
      <w:hyperlink r:id="rId33" w:history="1">
        <w:r>
          <w:rPr>
            <w:rStyle w:val="Hyperlink"/>
          </w:rPr>
          <w:t>Program „EU za zdravlje” 2021. – 2027. – vizija za zdraviju Europsku uniju – Javno zdravlje</w:t>
        </w:r>
      </w:hyperlink>
      <w:r>
        <w:t>.</w:t>
      </w:r>
    </w:p>
  </w:footnote>
  <w:footnote w:id="24">
    <w:p w14:paraId="66FD5698" w14:textId="12BE208A" w:rsidR="00374A91" w:rsidRPr="00374A91" w:rsidRDefault="00374A91">
      <w:pPr>
        <w:pStyle w:val="FootnoteText"/>
      </w:pPr>
      <w:r>
        <w:rPr>
          <w:rStyle w:val="FootnoteReference"/>
        </w:rPr>
        <w:footnoteRef/>
      </w:r>
      <w:r>
        <w:t xml:space="preserve"> </w:t>
      </w:r>
      <w:hyperlink r:id="rId34" w:history="1">
        <w:r>
          <w:rPr>
            <w:rStyle w:val="Hyperlink"/>
          </w:rPr>
          <w:t>Stanje zdravlja u EU-u – Javno zdravlje – Europska komisija</w:t>
        </w:r>
      </w:hyperlink>
      <w:r>
        <w:t>.</w:t>
      </w:r>
    </w:p>
  </w:footnote>
  <w:footnote w:id="25">
    <w:p w14:paraId="35D9B045" w14:textId="77777777" w:rsidR="00DE54C7" w:rsidRPr="000E1D82" w:rsidRDefault="00DE54C7" w:rsidP="00D8171C">
      <w:pPr>
        <w:pStyle w:val="FootnoteText"/>
      </w:pPr>
      <w:r>
        <w:rPr>
          <w:rStyle w:val="FootnoteReference"/>
        </w:rPr>
        <w:footnoteRef/>
      </w:r>
      <w:r>
        <w:t xml:space="preserve"> </w:t>
      </w:r>
      <w:hyperlink r:id="rId35" w:history="1">
        <w:r>
          <w:rPr>
            <w:rStyle w:val="Hyperlink"/>
          </w:rPr>
          <w:t>Svjetska kardiološka federacija</w:t>
        </w:r>
      </w:hyperlink>
      <w:r>
        <w:t xml:space="preserve"> – gotovo 80 % smrtnih slučajeva od kardiovaskularnih bolesti posljedica je čimbenika rizika koji se mogu promijeniti (npr. nezdrava prehrana i sjedilački način života).</w:t>
      </w:r>
    </w:p>
  </w:footnote>
  <w:footnote w:id="26">
    <w:p w14:paraId="52534436" w14:textId="0967EC83" w:rsidR="00AE1D92" w:rsidRPr="002F1D93" w:rsidRDefault="00AE1D92" w:rsidP="00AE1D92">
      <w:pPr>
        <w:pStyle w:val="FootnoteText"/>
      </w:pPr>
      <w:r>
        <w:rPr>
          <w:rStyle w:val="FootnoteReference"/>
        </w:rPr>
        <w:footnoteRef/>
      </w:r>
      <w:r>
        <w:t xml:space="preserve"> </w:t>
      </w:r>
      <w:r>
        <w:rPr>
          <w:rStyle w:val="FootnoteReference"/>
          <w:vertAlign w:val="baseline"/>
        </w:rPr>
        <w:t>Izvješće OECD-a (</w:t>
      </w:r>
      <w:r>
        <w:t xml:space="preserve">2025.) o stanju kardiovaskularnog zdravlja u EU-u – </w:t>
      </w:r>
      <w:hyperlink r:id="rId36" w:history="1">
        <w:r>
          <w:rPr>
            <w:rStyle w:val="Hyperlink"/>
            <w:i/>
            <w:iCs/>
          </w:rPr>
          <w:t>Full Report:</w:t>
        </w:r>
      </w:hyperlink>
      <w:hyperlink r:id="rId37" w:history="1">
        <w:r>
          <w:rPr>
            <w:rStyle w:val="Hyperlink"/>
          </w:rPr>
          <w:t xml:space="preserve"> </w:t>
        </w:r>
        <w:r>
          <w:rPr>
            <w:rStyle w:val="Hyperlink"/>
            <w:i/>
            <w:iCs/>
          </w:rPr>
          <w:t>The State of Cardiovascular Health in the European Union</w:t>
        </w:r>
        <w:r>
          <w:rPr>
            <w:rStyle w:val="Hyperlink"/>
          </w:rPr>
          <w:t xml:space="preserve"> |</w:t>
        </w:r>
      </w:hyperlink>
      <w:hyperlink r:id="rId38" w:history="1">
        <w:r>
          <w:rPr>
            <w:rStyle w:val="Hyperlink"/>
          </w:rPr>
          <w:t xml:space="preserve"> OECD</w:t>
        </w:r>
      </w:hyperlink>
      <w:r>
        <w:t>.</w:t>
      </w:r>
      <w:r>
        <w:rPr>
          <w:rStyle w:val="FootnoteReference"/>
          <w:vertAlign w:val="baseline"/>
        </w:rPr>
        <w:t xml:space="preserve"> </w:t>
      </w:r>
    </w:p>
  </w:footnote>
  <w:footnote w:id="27">
    <w:p w14:paraId="416561E3" w14:textId="0BBAE91F" w:rsidR="00DE54C7" w:rsidRPr="00BC171B" w:rsidRDefault="00DE54C7" w:rsidP="00D8171C">
      <w:pPr>
        <w:pStyle w:val="FootnoteText"/>
      </w:pPr>
      <w:r>
        <w:rPr>
          <w:rStyle w:val="FootnoteReference"/>
        </w:rPr>
        <w:footnoteRef/>
      </w:r>
      <w:r>
        <w:t xml:space="preserve"> Koskinas, K. C., Van Craenenbroeck, E. M., Antoniades, C. i dr., </w:t>
      </w:r>
      <w:r>
        <w:rPr>
          <w:i/>
          <w:iCs/>
        </w:rPr>
        <w:t>Obesity and cardiovascular disease:</w:t>
      </w:r>
      <w:r>
        <w:t xml:space="preserve"> </w:t>
      </w:r>
      <w:r>
        <w:rPr>
          <w:i/>
          <w:iCs/>
        </w:rPr>
        <w:t>An ESC clinical consensus statement</w:t>
      </w:r>
      <w:r>
        <w:t xml:space="preserve">, </w:t>
      </w:r>
      <w:r>
        <w:rPr>
          <w:i/>
        </w:rPr>
        <w:t>European Heart Journal</w:t>
      </w:r>
      <w:r>
        <w:t xml:space="preserve">, sv. 45, br. 38, 2024., str. 4063–4098. </w:t>
      </w:r>
      <w:hyperlink r:id="rId39" w:history="1">
        <w:r>
          <w:rPr>
            <w:rStyle w:val="Hyperlink"/>
          </w:rPr>
          <w:t>https://doi.org/10.1093/eurheartj/ehae508</w:t>
        </w:r>
      </w:hyperlink>
      <w:r>
        <w:t xml:space="preserve">. </w:t>
      </w:r>
    </w:p>
  </w:footnote>
  <w:footnote w:id="28">
    <w:p w14:paraId="3850DA9D" w14:textId="41E9A192" w:rsidR="009873D6" w:rsidRPr="009873D6" w:rsidRDefault="009873D6">
      <w:pPr>
        <w:pStyle w:val="FootnoteText"/>
      </w:pPr>
      <w:r>
        <w:rPr>
          <w:rStyle w:val="FootnoteReference"/>
        </w:rPr>
        <w:footnoteRef/>
      </w:r>
      <w:r>
        <w:t xml:space="preserve"> </w:t>
      </w:r>
      <w:hyperlink r:id="rId40" w:history="1">
        <w:r>
          <w:rPr>
            <w:rStyle w:val="Hyperlink"/>
          </w:rPr>
          <w:t>https://cancer-inequalities.jrc.ec.europa.eu/sites/default/files/docs/ccp2025/ec-oecd-synthesis-report-250124-1422.pdf</w:t>
        </w:r>
      </w:hyperlink>
      <w:r>
        <w:t xml:space="preserve">. </w:t>
      </w:r>
    </w:p>
  </w:footnote>
  <w:footnote w:id="29">
    <w:p w14:paraId="2A996BE9" w14:textId="04761B2C" w:rsidR="007F25E8" w:rsidRPr="00914153" w:rsidRDefault="007F25E8" w:rsidP="00D8171C">
      <w:pPr>
        <w:pStyle w:val="FootnoteText"/>
      </w:pPr>
      <w:r>
        <w:rPr>
          <w:rStyle w:val="FootnoteReference"/>
        </w:rPr>
        <w:footnoteRef/>
      </w:r>
      <w:r>
        <w:t xml:space="preserve"> </w:t>
      </w:r>
      <w:hyperlink r:id="rId41" w:history="1">
        <w:r>
          <w:rPr>
            <w:rStyle w:val="Hyperlink"/>
          </w:rPr>
          <w:t xml:space="preserve">Gill, J., Miracolo, A., Politopoulou, K., Jayawardana, S., Carter, A., Apostolou, E. i Kanavos, P., </w:t>
        </w:r>
      </w:hyperlink>
      <w:hyperlink r:id="rId42" w:history="1">
        <w:r>
          <w:rPr>
            <w:rStyle w:val="Hyperlink"/>
            <w:i/>
          </w:rPr>
          <w:t>How can we improve secondary prevention of cardiovascular disease?</w:t>
        </w:r>
      </w:hyperlink>
      <w:r>
        <w:t xml:space="preserve"> London School of Economics and Political Science, 2024. </w:t>
      </w:r>
    </w:p>
  </w:footnote>
  <w:footnote w:id="30">
    <w:p w14:paraId="63FFD374" w14:textId="57B1DC10" w:rsidR="00D7378C" w:rsidRDefault="007F25E8" w:rsidP="00D7378C">
      <w:pPr>
        <w:pStyle w:val="FootnoteText"/>
      </w:pPr>
      <w:r>
        <w:rPr>
          <w:rStyle w:val="FootnoteReference"/>
        </w:rPr>
        <w:footnoteRef/>
      </w:r>
      <w:r>
        <w:t xml:space="preserve"> Timmis, A., Vardas, P., Townsend, N., Torbica, A., Katus, H., De Smedt, D. i dr.,</w:t>
      </w:r>
    </w:p>
    <w:p w14:paraId="12E12B0D" w14:textId="23083CDF" w:rsidR="007F25E8" w:rsidRPr="00914153" w:rsidRDefault="007F25E8" w:rsidP="00D8171C">
      <w:pPr>
        <w:pStyle w:val="FootnoteText"/>
      </w:pPr>
      <w:r>
        <w:rPr>
          <w:i/>
          <w:iCs/>
        </w:rPr>
        <w:t>European Society of Cardiology:</w:t>
      </w:r>
      <w:r>
        <w:t xml:space="preserve"> </w:t>
      </w:r>
      <w:r>
        <w:rPr>
          <w:i/>
          <w:iCs/>
        </w:rPr>
        <w:t>Cardiovascular disease statistics 2021.</w:t>
      </w:r>
      <w:r>
        <w:t xml:space="preserve">, </w:t>
      </w:r>
      <w:r>
        <w:rPr>
          <w:i/>
        </w:rPr>
        <w:t>European Heart Journal</w:t>
      </w:r>
      <w:r>
        <w:t xml:space="preserve">, sv. 43, br. 8, 2022., str. 716–799. </w:t>
      </w:r>
      <w:hyperlink r:id="rId43" w:history="1">
        <w:r>
          <w:rPr>
            <w:rStyle w:val="Hyperlink"/>
          </w:rPr>
          <w:t>https://doi.org/10.1093/eurheartj/ehab892</w:t>
        </w:r>
      </w:hyperlink>
      <w:r>
        <w:t>.</w:t>
      </w:r>
    </w:p>
  </w:footnote>
  <w:footnote w:id="31">
    <w:p w14:paraId="11D52CD6" w14:textId="53FEE612" w:rsidR="0061042F" w:rsidRPr="009F0188" w:rsidRDefault="0061042F" w:rsidP="00D8171C">
      <w:pPr>
        <w:pStyle w:val="FootnoteText"/>
      </w:pPr>
      <w:r>
        <w:rPr>
          <w:rStyle w:val="FootnoteReference"/>
        </w:rPr>
        <w:footnoteRef/>
      </w:r>
      <w:r>
        <w:t xml:space="preserve"> Kwon, Y., Tzeng, W.S., Seo, J. i dr., </w:t>
      </w:r>
      <w:r>
        <w:rPr>
          <w:i/>
          <w:iCs/>
        </w:rPr>
        <w:t>Obstructive sleep apnea and hypertension;</w:t>
      </w:r>
      <w:r>
        <w:t xml:space="preserve"> </w:t>
      </w:r>
      <w:r>
        <w:rPr>
          <w:i/>
          <w:iCs/>
        </w:rPr>
        <w:t>critical overview</w:t>
      </w:r>
      <w:r>
        <w:t xml:space="preserve">, </w:t>
      </w:r>
      <w:r>
        <w:rPr>
          <w:i/>
        </w:rPr>
        <w:t>Clin Hypertension</w:t>
      </w:r>
      <w:r>
        <w:t xml:space="preserve">, sv. 30, br. 1, 2024., str. 19. </w:t>
      </w:r>
      <w:hyperlink r:id="rId44" w:history="1">
        <w:r>
          <w:rPr>
            <w:rStyle w:val="Hyperlink"/>
          </w:rPr>
          <w:t>https://doi.org/10.1186/s40885-024-00276-7</w:t>
        </w:r>
      </w:hyperlink>
      <w:r>
        <w:t>.</w:t>
      </w:r>
    </w:p>
  </w:footnote>
  <w:footnote w:id="32">
    <w:p w14:paraId="6969245E" w14:textId="73759FE3" w:rsidR="00DE54C7" w:rsidRPr="00914153" w:rsidRDefault="00DE54C7" w:rsidP="00D8171C">
      <w:pPr>
        <w:pStyle w:val="FootnoteText"/>
      </w:pPr>
      <w:r>
        <w:rPr>
          <w:rStyle w:val="FootnoteReference"/>
        </w:rPr>
        <w:footnoteRef/>
      </w:r>
      <w:r>
        <w:t xml:space="preserve"> </w:t>
      </w:r>
      <w:r>
        <w:rPr>
          <w:rStyle w:val="FootnoteReference"/>
          <w:vertAlign w:val="baseline"/>
        </w:rPr>
        <w:t>Izvješće OECD-a (</w:t>
      </w:r>
      <w:r>
        <w:t xml:space="preserve">2025.) o stanju kardiovaskularnog zdravlja u EU-u – </w:t>
      </w:r>
      <w:hyperlink r:id="rId45" w:history="1">
        <w:r>
          <w:rPr>
            <w:rStyle w:val="Hyperlink"/>
            <w:i/>
            <w:iCs/>
          </w:rPr>
          <w:t>Full Report:</w:t>
        </w:r>
      </w:hyperlink>
      <w:hyperlink r:id="rId46" w:history="1">
        <w:r>
          <w:rPr>
            <w:rStyle w:val="Hyperlink"/>
          </w:rPr>
          <w:t xml:space="preserve"> </w:t>
        </w:r>
        <w:r>
          <w:rPr>
            <w:rStyle w:val="Hyperlink"/>
            <w:i/>
            <w:iCs/>
          </w:rPr>
          <w:t>The State of Cardiovascular Health in the European Union</w:t>
        </w:r>
        <w:r>
          <w:rPr>
            <w:rStyle w:val="Hyperlink"/>
          </w:rPr>
          <w:t xml:space="preserve"> |</w:t>
        </w:r>
      </w:hyperlink>
      <w:hyperlink r:id="rId47" w:history="1">
        <w:r>
          <w:rPr>
            <w:rStyle w:val="Hyperlink"/>
          </w:rPr>
          <w:t xml:space="preserve"> OECD</w:t>
        </w:r>
      </w:hyperlink>
      <w:r>
        <w:t>.</w:t>
      </w:r>
    </w:p>
  </w:footnote>
  <w:footnote w:id="33">
    <w:p w14:paraId="36FD9FE3" w14:textId="77777777" w:rsidR="00DE54C7" w:rsidRPr="001D733D" w:rsidRDefault="00DE54C7" w:rsidP="00D8171C">
      <w:pPr>
        <w:pStyle w:val="FootnoteText"/>
      </w:pPr>
      <w:r>
        <w:rPr>
          <w:rStyle w:val="FootnoteReference"/>
        </w:rPr>
        <w:footnoteRef/>
      </w:r>
      <w:r>
        <w:t xml:space="preserve"> </w:t>
      </w:r>
      <w:hyperlink r:id="rId48" w:history="1">
        <w:r>
          <w:rPr>
            <w:rStyle w:val="Hyperlink"/>
          </w:rPr>
          <w:t>[ilc_hch11] Osobe koje konzumiraju voće, povrće ili salatu prema stupnju obrazovanja, pragu rizika od siromaštva, najčešćem statusu aktivnosti i spolu</w:t>
        </w:r>
      </w:hyperlink>
      <w:r>
        <w:t>.</w:t>
      </w:r>
    </w:p>
  </w:footnote>
  <w:footnote w:id="34">
    <w:p w14:paraId="3AEB9CA9" w14:textId="1955B936" w:rsidR="00DE54C7" w:rsidRPr="000E1D82" w:rsidRDefault="00DE54C7" w:rsidP="00D8171C">
      <w:pPr>
        <w:pStyle w:val="FootnoteText"/>
      </w:pPr>
      <w:r>
        <w:rPr>
          <w:rStyle w:val="FootnoteReference"/>
        </w:rPr>
        <w:footnoteRef/>
      </w:r>
      <w:r>
        <w:t xml:space="preserve"> Prosječna konzumacija alkohola smanjila se za 3 % u razdoblju od 2010. do 2022.</w:t>
      </w:r>
    </w:p>
  </w:footnote>
  <w:footnote w:id="35">
    <w:p w14:paraId="7BE5D27D" w14:textId="2C1E1699" w:rsidR="00DE54C7" w:rsidRPr="000E1D82" w:rsidRDefault="00DE54C7" w:rsidP="00D8171C">
      <w:pPr>
        <w:pStyle w:val="FootnoteText"/>
      </w:pPr>
      <w:r>
        <w:rPr>
          <w:rStyle w:val="FootnoteReference"/>
        </w:rPr>
        <w:footnoteRef/>
      </w:r>
      <w:r>
        <w:t xml:space="preserve"> Ključni nalazi Europskog istraživanja o pušenju, konzumaciji alkohola i uzimanju droga među učenicima (ESPAD) iz 2024.: </w:t>
      </w:r>
      <w:hyperlink r:id="rId49" w:history="1">
        <w:r>
          <w:rPr>
            <w:rStyle w:val="Hyperlink"/>
          </w:rPr>
          <w:t>www.euda.europa.eu</w:t>
        </w:r>
      </w:hyperlink>
      <w:r>
        <w:t>.</w:t>
      </w:r>
    </w:p>
  </w:footnote>
  <w:footnote w:id="36">
    <w:p w14:paraId="3AC8F01C" w14:textId="203F6AF3" w:rsidR="00DE54C7" w:rsidRPr="000E1D82" w:rsidRDefault="00DE54C7" w:rsidP="00D8171C">
      <w:pPr>
        <w:pStyle w:val="FootnoteText"/>
      </w:pPr>
      <w:r>
        <w:rPr>
          <w:rStyle w:val="FootnoteReference"/>
        </w:rPr>
        <w:footnoteRef/>
      </w:r>
      <w:r>
        <w:t xml:space="preserve"> Europski centar za sprečavanje i kontrolu bolesti (2024.). </w:t>
      </w:r>
      <w:r>
        <w:rPr>
          <w:i/>
          <w:iCs/>
        </w:rPr>
        <w:t>Survey report on national seasonal influenza vaccination recommendations and coverage rates in EU/EEA countries</w:t>
      </w:r>
      <w:r>
        <w:t xml:space="preserve"> (Izvješće o istraživanju preporuka o cijepljenju protiv sezonske gripe i stopa procijepljenosti u zemljama EU-a/EGP-a). </w:t>
      </w:r>
    </w:p>
  </w:footnote>
  <w:footnote w:id="37">
    <w:p w14:paraId="49B02ED3" w14:textId="61DBDEEC" w:rsidR="00DE54C7" w:rsidRPr="000E1D82" w:rsidRDefault="00DE54C7" w:rsidP="00D8171C">
      <w:pPr>
        <w:pStyle w:val="FootnoteText"/>
      </w:pPr>
      <w:r>
        <w:rPr>
          <w:rStyle w:val="FootnoteReference"/>
        </w:rPr>
        <w:footnoteRef/>
      </w:r>
      <w:r>
        <w:t xml:space="preserve"> Europski centar za sprečavanje i kontrolu bolesti. </w:t>
      </w:r>
      <w:r>
        <w:rPr>
          <w:i/>
          <w:iCs/>
        </w:rPr>
        <w:t>COVID-19 vaccination coverage in the EU/EEA during the 2024–25 season campaigns</w:t>
      </w:r>
      <w:r>
        <w:t xml:space="preserve"> (Procijepljenosti protiv bolesti COVID-19 u EU-u/EGP-u u sezoni 2024./2025.), 1. kolovoza 2024. – 28. ožujka 2025.</w:t>
      </w:r>
    </w:p>
  </w:footnote>
  <w:footnote w:id="38">
    <w:p w14:paraId="07012787" w14:textId="098FBDFD" w:rsidR="00DE54C7" w:rsidRPr="00AB3ADE" w:rsidRDefault="00DE54C7" w:rsidP="00D8171C">
      <w:pPr>
        <w:pStyle w:val="FootnoteText"/>
      </w:pPr>
      <w:r>
        <w:rPr>
          <w:rStyle w:val="FootnoteReference"/>
        </w:rPr>
        <w:footnoteRef/>
      </w:r>
      <w:r>
        <w:t xml:space="preserve"> Europska agencija za okoliš (2025.): </w:t>
      </w:r>
      <w:hyperlink r:id="rId50" w:history="1">
        <w:r>
          <w:rPr>
            <w:rStyle w:val="Hyperlink"/>
            <w:i/>
            <w:iCs/>
          </w:rPr>
          <w:t>Preventing cardiovascular disease through a healthy environment</w:t>
        </w:r>
        <w:r>
          <w:rPr>
            <w:rStyle w:val="Hyperlink"/>
          </w:rPr>
          <w:t xml:space="preserve"> (Prevencija kardiovaskularnih bolesti postizanjem zdravog okruženja)</w:t>
        </w:r>
      </w:hyperlink>
      <w:r>
        <w:t>.</w:t>
      </w:r>
    </w:p>
  </w:footnote>
  <w:footnote w:id="39">
    <w:p w14:paraId="52561579" w14:textId="77777777" w:rsidR="00DE54C7" w:rsidRPr="004672A6" w:rsidRDefault="00DE54C7" w:rsidP="00D8171C">
      <w:pPr>
        <w:pStyle w:val="FootnoteText"/>
      </w:pPr>
      <w:r>
        <w:rPr>
          <w:rStyle w:val="FootnoteReference"/>
        </w:rPr>
        <w:footnoteRef/>
      </w:r>
      <w:r>
        <w:t xml:space="preserve"> </w:t>
      </w:r>
      <w:hyperlink r:id="rId51" w:history="1">
        <w:r>
          <w:rPr>
            <w:rStyle w:val="Hyperlink"/>
            <w:i/>
            <w:iCs/>
          </w:rPr>
          <w:t>Combinations of physical activity, sedentary time, and sleep duration and their associations with depressive symptoms and other mental health problems in children and adolescents:</w:t>
        </w:r>
        <w:r>
          <w:rPr>
            <w:rStyle w:val="Hyperlink"/>
          </w:rPr>
          <w:t xml:space="preserve"> </w:t>
        </w:r>
        <w:r>
          <w:rPr>
            <w:rStyle w:val="Hyperlink"/>
            <w:i/>
            <w:iCs/>
          </w:rPr>
          <w:t>a systematic review</w:t>
        </w:r>
        <w:r>
          <w:rPr>
            <w:rStyle w:val="Hyperlink"/>
          </w:rPr>
          <w:t xml:space="preserve"> (Kombinacije tjelesne aktivnosti, vremena provedenog u sjedilačkim aktivnostima i duljine spavanja te njihova povezanost s depresivnim simptomima i drugim problemima s mentalnim zdravljem djece i adolescenata: sustavni pregled) – PubMed</w:t>
        </w:r>
      </w:hyperlink>
      <w:r>
        <w:t>.</w:t>
      </w:r>
    </w:p>
  </w:footnote>
  <w:footnote w:id="40">
    <w:p w14:paraId="4B829BF9" w14:textId="6097E084" w:rsidR="00DE54C7" w:rsidRPr="001D733D" w:rsidRDefault="00DE54C7" w:rsidP="00D8171C">
      <w:pPr>
        <w:pStyle w:val="FootnoteText"/>
      </w:pPr>
      <w:r>
        <w:rPr>
          <w:rStyle w:val="FootnoteReference"/>
        </w:rPr>
        <w:footnoteRef/>
      </w:r>
      <w:r>
        <w:t xml:space="preserve"> Eurostat, EU-SILC, Raspodjela osoba prema indeksu tjelesne mase, stupnju obrazovanja, spolu i dobi: </w:t>
      </w:r>
      <w:hyperlink r:id="rId52" w:history="1">
        <w:r>
          <w:rPr>
            <w:rStyle w:val="Hyperlink"/>
          </w:rPr>
          <w:t>ilc_hch10</w:t>
        </w:r>
      </w:hyperlink>
      <w:r>
        <w:t>.</w:t>
      </w:r>
    </w:p>
  </w:footnote>
  <w:footnote w:id="41">
    <w:p w14:paraId="6CA67134" w14:textId="2349F8CC" w:rsidR="00DE54C7" w:rsidRPr="000E1D82" w:rsidRDefault="00DE54C7" w:rsidP="00D8171C">
      <w:pPr>
        <w:pStyle w:val="FootnoteText"/>
      </w:pPr>
      <w:r>
        <w:rPr>
          <w:rStyle w:val="FootnoteReference"/>
        </w:rPr>
        <w:footnoteRef/>
      </w:r>
      <w:r>
        <w:t xml:space="preserve"> Azaïs-Braesco, V., Sluik, D., Maillot, M., Kok, F. i Moreno, L. A., </w:t>
      </w:r>
      <w:r>
        <w:rPr>
          <w:i/>
          <w:iCs/>
        </w:rPr>
        <w:t>A review of total &amp; added sugar intakes and dietary sources in Europe</w:t>
      </w:r>
      <w:r>
        <w:t xml:space="preserve">, </w:t>
      </w:r>
      <w:r>
        <w:rPr>
          <w:i/>
        </w:rPr>
        <w:t>Nutrition Journal</w:t>
      </w:r>
      <w:r>
        <w:t>, sv. 16, br.</w:t>
      </w:r>
      <w:r>
        <w:rPr>
          <w:i/>
        </w:rPr>
        <w:t> </w:t>
      </w:r>
      <w:r>
        <w:t xml:space="preserve">1, 2017., str. 6. </w:t>
      </w:r>
      <w:hyperlink r:id="rId53" w:history="1">
        <w:r>
          <w:rPr>
            <w:rStyle w:val="Hyperlink"/>
          </w:rPr>
          <w:t>https://doi.org/10.1186/s12937-016-0225-2</w:t>
        </w:r>
      </w:hyperlink>
      <w:r>
        <w:t xml:space="preserve">; </w:t>
      </w:r>
      <w:hyperlink r:id="rId54" w:history="1">
        <w:r>
          <w:rPr>
            <w:rStyle w:val="Hyperlink"/>
          </w:rPr>
          <w:t>Šećeri i sladila |</w:t>
        </w:r>
      </w:hyperlink>
      <w:hyperlink r:id="rId55" w:history="1">
        <w:r>
          <w:rPr>
            <w:rStyle w:val="Hyperlink"/>
          </w:rPr>
          <w:t xml:space="preserve"> Znanje za politiku</w:t>
        </w:r>
      </w:hyperlink>
      <w:r>
        <w:t xml:space="preserve">. </w:t>
      </w:r>
    </w:p>
  </w:footnote>
  <w:footnote w:id="42">
    <w:p w14:paraId="02163982" w14:textId="721F5D93" w:rsidR="00DE54C7" w:rsidRPr="000E1D82" w:rsidRDefault="00DE54C7" w:rsidP="00D8171C">
      <w:pPr>
        <w:pStyle w:val="FootnoteText"/>
      </w:pPr>
      <w:r>
        <w:rPr>
          <w:rStyle w:val="FootnoteReference"/>
        </w:rPr>
        <w:footnoteRef/>
      </w:r>
      <w:r>
        <w:t xml:space="preserve"> Baza podataka Eurostata: </w:t>
      </w:r>
      <w:hyperlink r:id="rId56" w:history="1">
        <w:r>
          <w:rPr>
            <w:rStyle w:val="Hyperlink"/>
          </w:rPr>
          <w:t>[hlth_ehis_fv3e] Dnevna konzumacija voća i povrća prema spolu, dobi i stupnju obrazovanja</w:t>
        </w:r>
      </w:hyperlink>
      <w:r>
        <w:t>.</w:t>
      </w:r>
    </w:p>
  </w:footnote>
  <w:footnote w:id="43">
    <w:p w14:paraId="29A8E3EE" w14:textId="2D8E0532" w:rsidR="00DE54C7" w:rsidRPr="000E1D82" w:rsidRDefault="00DE54C7" w:rsidP="00D8171C">
      <w:pPr>
        <w:pStyle w:val="FootnoteText"/>
      </w:pPr>
      <w:r>
        <w:rPr>
          <w:rStyle w:val="FootnoteReference"/>
        </w:rPr>
        <w:footnoteRef/>
      </w:r>
      <w:r>
        <w:t xml:space="preserve"> </w:t>
      </w:r>
      <w:hyperlink r:id="rId57" w:anchor="0-level-3" w:history="1">
        <w:r>
          <w:rPr>
            <w:rStyle w:val="Hyperlink"/>
          </w:rPr>
          <w:t>Ključni nalazi Europskog istraživanja o pušenju, konzumaciji alkohola i uzimanju droga među učenicima (ESPAD) iz 2024.</w:t>
        </w:r>
      </w:hyperlink>
    </w:p>
  </w:footnote>
  <w:footnote w:id="44">
    <w:p w14:paraId="4F3CE1AD" w14:textId="77777777" w:rsidR="00DE54C7" w:rsidRPr="000E1D82" w:rsidRDefault="00DE54C7" w:rsidP="00D8171C">
      <w:pPr>
        <w:pStyle w:val="FootnoteText"/>
      </w:pPr>
      <w:r>
        <w:rPr>
          <w:rStyle w:val="FootnoteReference"/>
        </w:rPr>
        <w:footnoteRef/>
      </w:r>
      <w:r>
        <w:t xml:space="preserve"> „Alcopops” su unaprijed pomiješana alkoholna pića koja okusom nalikuju bezalkoholnim pićima, ali sadržavaju alkohol.</w:t>
      </w:r>
    </w:p>
  </w:footnote>
  <w:footnote w:id="45">
    <w:p w14:paraId="6DAA8DE0" w14:textId="7DD7862A" w:rsidR="00DE54C7" w:rsidRPr="004672A6" w:rsidRDefault="00DE54C7" w:rsidP="00D8171C">
      <w:pPr>
        <w:pStyle w:val="FootnoteText"/>
      </w:pPr>
      <w:r>
        <w:rPr>
          <w:rStyle w:val="FootnoteReference"/>
        </w:rPr>
        <w:footnoteRef/>
      </w:r>
      <w:r>
        <w:t xml:space="preserve"> </w:t>
      </w:r>
      <w:hyperlink r:id="rId58" w:history="1">
        <w:r>
          <w:rPr>
            <w:rStyle w:val="Hyperlink"/>
          </w:rPr>
          <w:t>Izvješće UNICEF-a:</w:t>
        </w:r>
      </w:hyperlink>
      <w:hyperlink r:id="rId59" w:history="1">
        <w:r>
          <w:rPr>
            <w:rStyle w:val="Hyperlink"/>
          </w:rPr>
          <w:t xml:space="preserve"> </w:t>
        </w:r>
        <w:r>
          <w:rPr>
            <w:rStyle w:val="Hyperlink"/>
            <w:i/>
            <w:iCs/>
          </w:rPr>
          <w:t>The State of Children in the European Union:</w:t>
        </w:r>
      </w:hyperlink>
      <w:hyperlink r:id="rId60" w:history="1">
        <w:r>
          <w:rPr>
            <w:rStyle w:val="Hyperlink"/>
          </w:rPr>
          <w:t xml:space="preserve"> </w:t>
        </w:r>
        <w:r>
          <w:rPr>
            <w:rStyle w:val="Hyperlink"/>
            <w:i/>
            <w:iCs/>
          </w:rPr>
          <w:t>Addressing the needs and rights of the EU’s youngest generation</w:t>
        </w:r>
        <w:r>
          <w:rPr>
            <w:rStyle w:val="Hyperlink"/>
          </w:rPr>
          <w:t xml:space="preserve"> (Stanje djece u Europskoj uniji: potrebe i prava najmlađe generacije u EU-u).</w:t>
        </w:r>
      </w:hyperlink>
      <w:hyperlink r:id="rId61" w:history="1">
        <w:r>
          <w:rPr>
            <w:rStyle w:val="Hyperlink"/>
          </w:rPr>
          <w:t xml:space="preserve"> (2024.)</w:t>
        </w:r>
      </w:hyperlink>
      <w:r>
        <w:t>.</w:t>
      </w:r>
    </w:p>
  </w:footnote>
  <w:footnote w:id="46">
    <w:p w14:paraId="6A1924F6" w14:textId="053D1650" w:rsidR="00504544" w:rsidRPr="00E4479F" w:rsidRDefault="00504544">
      <w:pPr>
        <w:pStyle w:val="FootnoteText"/>
      </w:pPr>
      <w:r>
        <w:rPr>
          <w:rStyle w:val="FootnoteReference"/>
        </w:rPr>
        <w:footnoteRef/>
      </w:r>
      <w:r>
        <w:t xml:space="preserve"> Marx, N., Federici, M., Schütt, K., Müller-Wieland, D. i dr., </w:t>
      </w:r>
      <w:r>
        <w:rPr>
          <w:i/>
          <w:iCs/>
        </w:rPr>
        <w:t>2023 ESC Guidelines for the management of cardiovascular disease in patients with diabetes:</w:t>
      </w:r>
      <w:r>
        <w:t xml:space="preserve"> </w:t>
      </w:r>
      <w:r>
        <w:rPr>
          <w:i/>
          <w:iCs/>
        </w:rPr>
        <w:t>Developed by the task force on the management of cardiovascular disease in patients with diabetes of the European Society of Cardiology (ESC)</w:t>
      </w:r>
      <w:r>
        <w:t xml:space="preserve">”, </w:t>
      </w:r>
      <w:r>
        <w:rPr>
          <w:i/>
        </w:rPr>
        <w:t>European Heart Journal</w:t>
      </w:r>
      <w:r>
        <w:t xml:space="preserve">, sv. 44, br. 39, 2023., str. 4043–4140, </w:t>
      </w:r>
      <w:hyperlink r:id="rId62" w:history="1">
        <w:r>
          <w:rPr>
            <w:rStyle w:val="Hyperlink"/>
          </w:rPr>
          <w:t>https://doi.org/10.1093/eurheartj/ehad192</w:t>
        </w:r>
      </w:hyperlink>
      <w:r>
        <w:t>.</w:t>
      </w:r>
    </w:p>
  </w:footnote>
  <w:footnote w:id="47">
    <w:p w14:paraId="4311B705" w14:textId="6F5E97E2" w:rsidR="00DE54C7" w:rsidRPr="001D733D" w:rsidRDefault="00DE54C7" w:rsidP="00D8171C">
      <w:pPr>
        <w:pStyle w:val="FootnoteText"/>
      </w:pPr>
      <w:r>
        <w:rPr>
          <w:rStyle w:val="FootnoteReference"/>
        </w:rPr>
        <w:footnoteRef/>
      </w:r>
      <w:r>
        <w:t xml:space="preserve"> Baza podataka Eurostata: </w:t>
      </w:r>
      <w:hyperlink r:id="rId63" w:history="1">
        <w:r>
          <w:rPr>
            <w:rStyle w:val="Hyperlink"/>
          </w:rPr>
          <w:t>[hlth_ehis_pa2e] Samoprijavljeni probir rizika od kardiovaskularnih bolesti i dijabetesa prema spolu, dobi i stupnju obrazovanja</w:t>
        </w:r>
      </w:hyperlink>
      <w:r>
        <w:t>.</w:t>
      </w:r>
    </w:p>
  </w:footnote>
  <w:footnote w:id="48">
    <w:p w14:paraId="19A72358" w14:textId="3BF6C13F" w:rsidR="00DE54C7" w:rsidRDefault="00DE54C7" w:rsidP="00D8171C">
      <w:pPr>
        <w:pStyle w:val="FootnoteText"/>
      </w:pPr>
      <w:r>
        <w:rPr>
          <w:rStyle w:val="FootnoteReference"/>
        </w:rPr>
        <w:footnoteRef/>
      </w:r>
      <w:r>
        <w:t xml:space="preserve"> Dunlay, S. M. i Chamberlain, A. M., </w:t>
      </w:r>
      <w:r>
        <w:rPr>
          <w:i/>
          <w:iCs/>
        </w:rPr>
        <w:t>Multimorbidity in Older Patients with Cardiovascular Disease</w:t>
      </w:r>
      <w:r>
        <w:t xml:space="preserve">, </w:t>
      </w:r>
      <w:r>
        <w:rPr>
          <w:i/>
        </w:rPr>
        <w:t>Current cardiovascular risk reports</w:t>
      </w:r>
      <w:r>
        <w:t xml:space="preserve">, sv. 10, 3, 2016. </w:t>
      </w:r>
      <w:hyperlink r:id="rId64" w:history="1">
        <w:r>
          <w:rPr>
            <w:rStyle w:val="Hyperlink"/>
          </w:rPr>
          <w:t>https://doi.org/10.1007/s12170-016-0491-8</w:t>
        </w:r>
      </w:hyperlink>
      <w:r>
        <w:t xml:space="preserve">; Skou, S. T. i dr., </w:t>
      </w:r>
      <w:r>
        <w:rPr>
          <w:i/>
          <w:iCs/>
        </w:rPr>
        <w:t>Multimorbidity</w:t>
      </w:r>
      <w:r>
        <w:t xml:space="preserve">, </w:t>
      </w:r>
      <w:r>
        <w:rPr>
          <w:i/>
        </w:rPr>
        <w:t>Nature Reviews Disease Primers</w:t>
      </w:r>
      <w:r>
        <w:t xml:space="preserve">, sv. 8, br. 1, 2022., str. 48. </w:t>
      </w:r>
      <w:hyperlink r:id="rId65" w:history="1">
        <w:r>
          <w:rPr>
            <w:rStyle w:val="Hyperlink"/>
          </w:rPr>
          <w:t>https://doi.org/10.1038/s41572-022-00376-4</w:t>
        </w:r>
      </w:hyperlink>
      <w:r>
        <w:t xml:space="preserve">. </w:t>
      </w:r>
    </w:p>
  </w:footnote>
  <w:footnote w:id="49">
    <w:p w14:paraId="7384DF59" w14:textId="7319DDB5" w:rsidR="00DE54C7" w:rsidRPr="001D733D" w:rsidRDefault="00DE54C7" w:rsidP="00D8171C">
      <w:pPr>
        <w:pStyle w:val="FootnoteText"/>
      </w:pPr>
      <w:r>
        <w:rPr>
          <w:rStyle w:val="FootnoteReference"/>
        </w:rPr>
        <w:footnoteRef/>
      </w:r>
      <w:r>
        <w:t xml:space="preserve"> </w:t>
      </w:r>
      <w:r>
        <w:rPr>
          <w:rStyle w:val="FootnoteReference"/>
          <w:vertAlign w:val="baseline"/>
        </w:rPr>
        <w:t>Izvješće OECD-a (</w:t>
      </w:r>
      <w:r>
        <w:t xml:space="preserve">2025.) o stanju kardiovaskularnog zdravlja u EU-u – </w:t>
      </w:r>
      <w:hyperlink r:id="rId66" w:history="1">
        <w:r>
          <w:rPr>
            <w:rStyle w:val="Hyperlink"/>
            <w:i/>
            <w:iCs/>
          </w:rPr>
          <w:t>Full Report:</w:t>
        </w:r>
      </w:hyperlink>
      <w:hyperlink r:id="rId67" w:history="1">
        <w:r>
          <w:rPr>
            <w:rStyle w:val="Hyperlink"/>
          </w:rPr>
          <w:t xml:space="preserve"> </w:t>
        </w:r>
        <w:r>
          <w:rPr>
            <w:rStyle w:val="Hyperlink"/>
            <w:i/>
            <w:iCs/>
          </w:rPr>
          <w:t>The State of Cardiovascular Health in the European Union</w:t>
        </w:r>
        <w:r>
          <w:rPr>
            <w:rStyle w:val="Hyperlink"/>
          </w:rPr>
          <w:t xml:space="preserve"> |</w:t>
        </w:r>
      </w:hyperlink>
      <w:hyperlink r:id="rId68" w:history="1">
        <w:r>
          <w:rPr>
            <w:rStyle w:val="Hyperlink"/>
          </w:rPr>
          <w:t xml:space="preserve"> OECD</w:t>
        </w:r>
      </w:hyperlink>
      <w:r>
        <w:t xml:space="preserve">. </w:t>
      </w:r>
    </w:p>
  </w:footnote>
  <w:footnote w:id="50">
    <w:p w14:paraId="7E6ED068" w14:textId="51DFABEA" w:rsidR="00622289" w:rsidRPr="00E4479F" w:rsidRDefault="00622289">
      <w:pPr>
        <w:pStyle w:val="FootnoteText"/>
      </w:pPr>
      <w:r>
        <w:rPr>
          <w:rStyle w:val="FootnoteReference"/>
        </w:rPr>
        <w:footnoteRef/>
      </w:r>
      <w:r>
        <w:t xml:space="preserve"> Na primjer europski kardiovaskularni registri kao što je istraživački program Europskog društva za kardiologiju (ESC) „EURObservational Research Programme” (EORP) i nacionalni posebni registri bolesti navedeni na Europskom popisu registara. Njihove heterogene strukture podataka i standardi ograničavaju prekograničnu interoperabilnost.</w:t>
      </w:r>
    </w:p>
  </w:footnote>
  <w:footnote w:id="51">
    <w:p w14:paraId="2DB269AA" w14:textId="67838104" w:rsidR="00374A91" w:rsidRPr="00374A91" w:rsidRDefault="00374A91">
      <w:pPr>
        <w:pStyle w:val="FootnoteText"/>
      </w:pPr>
      <w:r>
        <w:rPr>
          <w:rStyle w:val="FootnoteReference"/>
        </w:rPr>
        <w:footnoteRef/>
      </w:r>
      <w:r>
        <w:t xml:space="preserve"> Vogel, B. i dr., </w:t>
      </w:r>
      <w:r>
        <w:rPr>
          <w:i/>
          <w:iCs/>
        </w:rPr>
        <w:t>The Lancet women and cardiovascular disease Commission:</w:t>
      </w:r>
      <w:r>
        <w:t xml:space="preserve"> </w:t>
      </w:r>
      <w:r>
        <w:rPr>
          <w:i/>
          <w:iCs/>
        </w:rPr>
        <w:t>reducing the global burden by 2030.</w:t>
      </w:r>
      <w:r>
        <w:t xml:space="preserve">, </w:t>
      </w:r>
      <w:r>
        <w:rPr>
          <w:i/>
          <w:iCs/>
        </w:rPr>
        <w:t>The Lancet</w:t>
      </w:r>
      <w:r>
        <w:t>, sv. 379, br. 10292, 2021., str. 2385–2438.</w:t>
      </w:r>
    </w:p>
  </w:footnote>
  <w:footnote w:id="52">
    <w:p w14:paraId="0730A82E" w14:textId="77777777" w:rsidR="00DE54C7" w:rsidRPr="002110D9" w:rsidRDefault="00DE54C7" w:rsidP="00D8171C">
      <w:pPr>
        <w:pStyle w:val="FootnoteText"/>
      </w:pPr>
      <w:r>
        <w:rPr>
          <w:rStyle w:val="FootnoteReference"/>
        </w:rPr>
        <w:footnoteRef/>
      </w:r>
      <w:r>
        <w:t xml:space="preserve"> U 2022. regionalne stope smrtnosti kretale su se u rasponu od 139 do 1196 smrtnih slučajeva na 100 000 stanovnika. Izvor: Eurostat </w:t>
      </w:r>
      <w:hyperlink r:id="rId69" w:history="1">
        <w:r>
          <w:rPr>
            <w:rStyle w:val="Hyperlink"/>
          </w:rPr>
          <w:t>https://ec.europa.eu/eurostat/web/products-datasets/-/hlth_cd_asdr2</w:t>
        </w:r>
      </w:hyperlink>
      <w:r>
        <w:t xml:space="preserve">.   </w:t>
      </w:r>
    </w:p>
  </w:footnote>
  <w:footnote w:id="53">
    <w:p w14:paraId="70B0AE32" w14:textId="77777777" w:rsidR="00DE54C7" w:rsidRPr="001D733D" w:rsidRDefault="00DE54C7" w:rsidP="00D8171C">
      <w:pPr>
        <w:pStyle w:val="FootnoteText"/>
      </w:pPr>
      <w:r>
        <w:rPr>
          <w:rStyle w:val="FootnoteReference"/>
        </w:rPr>
        <w:footnoteRef/>
      </w:r>
      <w:r>
        <w:t xml:space="preserve"> Iako su trendovi općenito sve bolji, i dalje su prisutne nejednakosti, a u najsiromašnijim regijama koncentracije PM</w:t>
      </w:r>
      <w:r>
        <w:rPr>
          <w:vertAlign w:val="subscript"/>
        </w:rPr>
        <w:t>2,5</w:t>
      </w:r>
      <w:r>
        <w:t xml:space="preserve"> stalno su za oko trećinu više: </w:t>
      </w:r>
      <w:hyperlink r:id="rId70" w:history="1">
        <w:r>
          <w:rPr>
            <w:rStyle w:val="Hyperlink"/>
          </w:rPr>
          <w:t>https://www.eea.europa.eu/en/analysis/indicators/income-related-environmental-inequalities-associated</w:t>
        </w:r>
      </w:hyperlink>
      <w:r>
        <w:t xml:space="preserve">.  </w:t>
      </w:r>
    </w:p>
  </w:footnote>
  <w:footnote w:id="54">
    <w:p w14:paraId="3A90B220" w14:textId="22EE3135" w:rsidR="00D37A0D" w:rsidRDefault="00DE54C7" w:rsidP="00D8171C">
      <w:pPr>
        <w:pStyle w:val="FootnoteText"/>
      </w:pPr>
      <w:r>
        <w:rPr>
          <w:rStyle w:val="FootnoteReference"/>
        </w:rPr>
        <w:footnoteRef/>
      </w:r>
      <w:r>
        <w:t xml:space="preserve"> Ranjive zajednice i zajednice s niskim prihodima ponekad su nerazmjerno izložene onečišćenju bukom:  </w:t>
      </w:r>
    </w:p>
    <w:p w14:paraId="38051C31" w14:textId="5B78E417" w:rsidR="00DE54C7" w:rsidRPr="001D733D" w:rsidRDefault="00521429" w:rsidP="00D8171C">
      <w:pPr>
        <w:pStyle w:val="FootnoteText"/>
      </w:pPr>
      <w:hyperlink r:id="rId71" w:history="1">
        <w:r w:rsidR="00144A67">
          <w:rPr>
            <w:rStyle w:val="Hyperlink"/>
          </w:rPr>
          <w:t>https://www.eea.europa.eu/en/analysis/publications/environmental-noise-in-europe-2025</w:t>
        </w:r>
      </w:hyperlink>
      <w:r w:rsidR="00144A67">
        <w:t xml:space="preserve">.   </w:t>
      </w:r>
    </w:p>
  </w:footnote>
  <w:footnote w:id="55">
    <w:p w14:paraId="37175254" w14:textId="77777777" w:rsidR="00DE54C7" w:rsidRPr="000E1D82" w:rsidRDefault="00DE54C7" w:rsidP="00D8171C">
      <w:pPr>
        <w:pStyle w:val="FootnoteText"/>
      </w:pPr>
      <w:r>
        <w:rPr>
          <w:rStyle w:val="FootnoteReference"/>
        </w:rPr>
        <w:footnoteRef/>
      </w:r>
      <w:r>
        <w:t xml:space="preserve"> </w:t>
      </w:r>
      <w:hyperlink r:id="rId72" w:history="1">
        <w:r>
          <w:rPr>
            <w:rStyle w:val="Hyperlink"/>
          </w:rPr>
          <w:t>Jedno zdravlje – Javno zdravlje – Europska komisija</w:t>
        </w:r>
      </w:hyperlink>
      <w:r>
        <w:t>.</w:t>
      </w:r>
    </w:p>
  </w:footnote>
  <w:footnote w:id="56">
    <w:p w14:paraId="14BE21C8" w14:textId="45D701D4" w:rsidR="00DE54C7" w:rsidRPr="00AD4EC2" w:rsidRDefault="00DE54C7" w:rsidP="00D8171C">
      <w:pPr>
        <w:pStyle w:val="FootnoteText"/>
      </w:pPr>
      <w:r>
        <w:rPr>
          <w:rStyle w:val="FootnoteReference"/>
        </w:rPr>
        <w:footnoteRef/>
      </w:r>
      <w:r>
        <w:t xml:space="preserve"> Definicije tih ciljeva razmotrit će se u protokolu za rano otkrivanje i probir te smjernicama za liječenje. Ciljevi će se dodatno definirati pri izradi programa ranog otkrivanja i probira.</w:t>
      </w:r>
    </w:p>
  </w:footnote>
  <w:footnote w:id="57">
    <w:p w14:paraId="16F2E130" w14:textId="1FA3A081" w:rsidR="00DE54C7" w:rsidRPr="001D733D" w:rsidRDefault="00DE54C7" w:rsidP="00D8171C">
      <w:pPr>
        <w:pStyle w:val="FootnoteText"/>
      </w:pPr>
      <w:r>
        <w:rPr>
          <w:rStyle w:val="FootnoteReference"/>
        </w:rPr>
        <w:footnoteRef/>
      </w:r>
      <w:r>
        <w:t xml:space="preserve"> Najčešći uzrok prijevremenih smrtnih slučajeva u 2022. bila je ishemijska bolest srca, od koje su umrle 77 704 osobe (17,9 smrtnih slučajeva na 100 000 stanovnika). Izvor: Eurostat </w:t>
      </w:r>
      <w:hyperlink r:id="rId73" w:history="1">
        <w:r>
          <w:rPr>
            <w:rStyle w:val="Hyperlink"/>
          </w:rPr>
          <w:t>[hlth_cd_apr] Stopa smrtnosti od bolesti koje se mogu liječiti i spriječiti prema uzroku i spolu</w:t>
        </w:r>
      </w:hyperlink>
      <w:r>
        <w:t>.</w:t>
      </w:r>
    </w:p>
  </w:footnote>
  <w:footnote w:id="58">
    <w:p w14:paraId="740B7FCB" w14:textId="4ACBA470" w:rsidR="00E55438" w:rsidRPr="00E55438" w:rsidRDefault="00E55438">
      <w:pPr>
        <w:pStyle w:val="FootnoteText"/>
      </w:pPr>
      <w:r>
        <w:rPr>
          <w:rStyle w:val="FootnoteReference"/>
        </w:rPr>
        <w:footnoteRef/>
      </w:r>
      <w:r>
        <w:t xml:space="preserve"> Internetska baza podataka Eurostata, </w:t>
      </w:r>
      <w:hyperlink r:id="rId74" w:history="1">
        <w:r>
          <w:rPr>
            <w:rStyle w:val="Hyperlink"/>
            <w:color w:val="auto"/>
            <w:u w:val="none"/>
          </w:rPr>
          <w:t>Samoprijavljeni probir za kardiovaskularne bolesti i dijabetese prema spolu, dobi i stupnju obrazovanja[hlth_ehis_pa2e__custom_19301842]</w:t>
        </w:r>
      </w:hyperlink>
      <w:r>
        <w:t>.</w:t>
      </w:r>
    </w:p>
  </w:footnote>
  <w:footnote w:id="59">
    <w:p w14:paraId="6A2D04B6" w14:textId="0EAE28B6" w:rsidR="005804EF" w:rsidRPr="000C13D1" w:rsidRDefault="005804EF" w:rsidP="000C13D1">
      <w:pPr>
        <w:pStyle w:val="FootnoteText"/>
      </w:pPr>
      <w:r>
        <w:rPr>
          <w:rStyle w:val="FootnoteReference"/>
        </w:rPr>
        <w:footnoteRef/>
      </w:r>
      <w:r>
        <w:rPr>
          <w:rStyle w:val="FootnoteReference"/>
        </w:rPr>
        <w:t xml:space="preserve"> </w:t>
      </w:r>
      <w:r>
        <w:t xml:space="preserve">Internetska baza podataka Eurostata, </w:t>
      </w:r>
      <w:hyperlink r:id="rId75" w:history="1">
        <w:r>
          <w:rPr>
            <w:rStyle w:val="Hyperlink"/>
            <w:color w:val="auto"/>
            <w:u w:val="none"/>
          </w:rPr>
          <w:t>Samoprijavljeni probir za kardiovaskularne bolesti i dijabetes prema spolu, dobi i stupnju obrazovanja[hlth_ehis_pa2e__custom_19301918]</w:t>
        </w:r>
      </w:hyperlink>
      <w:r>
        <w:t>.</w:t>
      </w:r>
    </w:p>
  </w:footnote>
  <w:footnote w:id="60">
    <w:p w14:paraId="7421E714" w14:textId="39E9A9A7" w:rsidR="005804EF" w:rsidRPr="000C13D1" w:rsidRDefault="005804EF" w:rsidP="000C13D1">
      <w:pPr>
        <w:pStyle w:val="FootnoteText"/>
      </w:pPr>
      <w:r>
        <w:rPr>
          <w:rStyle w:val="FootnoteReference"/>
        </w:rPr>
        <w:footnoteRef/>
      </w:r>
      <w:r>
        <w:rPr>
          <w:rStyle w:val="FootnoteReference"/>
        </w:rPr>
        <w:t xml:space="preserve"> </w:t>
      </w:r>
      <w:r>
        <w:t xml:space="preserve">Internetska baza podataka Eurostata, </w:t>
      </w:r>
      <w:hyperlink r:id="rId76" w:history="1">
        <w:r>
          <w:rPr>
            <w:rStyle w:val="Hyperlink"/>
            <w:color w:val="auto"/>
            <w:u w:val="none"/>
          </w:rPr>
          <w:t>Samoprijavljeni probir za kardiovaskularne bolesti i dijabetes prema spolu, dobi i stupnju obrazovanja[hlth_ehis_pa2e__custom_19301947]</w:t>
        </w:r>
      </w:hyperlink>
      <w:r>
        <w:t>.</w:t>
      </w:r>
    </w:p>
  </w:footnote>
  <w:footnote w:id="61">
    <w:p w14:paraId="1BE89EF6" w14:textId="77777777" w:rsidR="00DE54C7" w:rsidRPr="00E86653" w:rsidRDefault="00DE54C7" w:rsidP="00D8171C">
      <w:pPr>
        <w:pStyle w:val="FootnoteText"/>
      </w:pPr>
      <w:r>
        <w:rPr>
          <w:rStyle w:val="FootnoteReference"/>
        </w:rPr>
        <w:footnoteRef/>
      </w:r>
      <w:r>
        <w:t xml:space="preserve"> Hrvatska, Češka, Estonija, Finska, Francuska, Latvija, Luksemburg, Nizozemska, Poljska, Portugal, Rumunjska, Španjolska i Švedska imaju nacionalne planove za kontrolu kardiovaskularnih bolesti.</w:t>
      </w:r>
    </w:p>
  </w:footnote>
  <w:footnote w:id="62">
    <w:p w14:paraId="46271603" w14:textId="77777777" w:rsidR="00DE54C7" w:rsidRPr="000E1D82" w:rsidRDefault="00DE54C7" w:rsidP="00D8171C">
      <w:pPr>
        <w:pStyle w:val="FootnoteText"/>
      </w:pPr>
      <w:r>
        <w:rPr>
          <w:rStyle w:val="FootnoteReference"/>
        </w:rPr>
        <w:footnoteRef/>
      </w:r>
      <w:r>
        <w:t xml:space="preserve"> </w:t>
      </w:r>
      <w:hyperlink r:id="rId77" w:history="1">
        <w:r>
          <w:rPr>
            <w:rStyle w:val="Hyperlink"/>
          </w:rPr>
          <w:t>Program rada za 2025. za program „EU za zdravlje”</w:t>
        </w:r>
      </w:hyperlink>
      <w:r>
        <w:t>.</w:t>
      </w:r>
    </w:p>
  </w:footnote>
  <w:footnote w:id="63">
    <w:p w14:paraId="64845857" w14:textId="6BBC1AE4" w:rsidR="00DE54C7" w:rsidRPr="000E1D82" w:rsidRDefault="00DE54C7" w:rsidP="00D8171C">
      <w:pPr>
        <w:pStyle w:val="FootnoteText"/>
      </w:pPr>
      <w:r>
        <w:rPr>
          <w:rStyle w:val="FootnoteReference"/>
        </w:rPr>
        <w:footnoteRef/>
      </w:r>
      <w:r>
        <w:t xml:space="preserve"> Partnerstvo EU-a i OECD-a: </w:t>
      </w:r>
      <w:hyperlink r:id="rId78" w:history="1">
        <w:r>
          <w:rPr>
            <w:rStyle w:val="Hyperlink"/>
          </w:rPr>
          <w:t>26284fbb-0c7b-4d4d-ae57-f7f2a47e493f_en</w:t>
        </w:r>
      </w:hyperlink>
      <w:r>
        <w:t>.</w:t>
      </w:r>
    </w:p>
  </w:footnote>
  <w:footnote w:id="64">
    <w:p w14:paraId="443DE6FC" w14:textId="77777777" w:rsidR="00DE54C7" w:rsidRPr="000E1D82" w:rsidRDefault="00DE54C7" w:rsidP="00D8171C">
      <w:pPr>
        <w:pStyle w:val="FootnoteText"/>
      </w:pPr>
      <w:r>
        <w:rPr>
          <w:rStyle w:val="FootnoteReference"/>
        </w:rPr>
        <w:footnoteRef/>
      </w:r>
      <w:r>
        <w:t xml:space="preserve"> Europska komisija, Poziv na podnošenje prijedloga za cjeloživotnu prevenciju za zdrav život s naglaskom na kardiovaskularne bolesti, CR/CV&amp;NCD-g-25-18, </w:t>
      </w:r>
      <w:hyperlink r:id="rId79" w:history="1">
        <w:r>
          <w:rPr>
            <w:rStyle w:val="Hyperlink"/>
          </w:rPr>
          <w:t>26284fbb-0c7b-4d4d-ae57-f7f2a47e493f_en</w:t>
        </w:r>
      </w:hyperlink>
      <w:r>
        <w:t>.</w:t>
      </w:r>
    </w:p>
  </w:footnote>
  <w:footnote w:id="65">
    <w:p w14:paraId="15D3222C" w14:textId="77777777" w:rsidR="00DE54C7" w:rsidRPr="00916525" w:rsidRDefault="00DE54C7" w:rsidP="00D8171C">
      <w:pPr>
        <w:pStyle w:val="FootnoteText"/>
      </w:pPr>
      <w:r>
        <w:rPr>
          <w:rStyle w:val="FootnoteReference"/>
        </w:rPr>
        <w:footnoteRef/>
      </w:r>
      <w:r>
        <w:t xml:space="preserve"> Npr. Finska, Danska i Estonija.</w:t>
      </w:r>
    </w:p>
  </w:footnote>
  <w:footnote w:id="66">
    <w:p w14:paraId="5FD2B68B" w14:textId="6F4AB2B4" w:rsidR="00DE54C7" w:rsidRDefault="00DE54C7" w:rsidP="00D8171C">
      <w:pPr>
        <w:pStyle w:val="FootnoteText"/>
      </w:pPr>
      <w:r>
        <w:rPr>
          <w:rStyle w:val="FootnoteReference"/>
        </w:rPr>
        <w:footnoteRef/>
      </w:r>
      <w:r>
        <w:t xml:space="preserve"> </w:t>
      </w:r>
      <w:hyperlink r:id="rId80" w:history="1">
        <w:r>
          <w:rPr>
            <w:rStyle w:val="Hyperlink"/>
          </w:rPr>
          <w:t>JADECARE, Zajednička akcija za uvođenje digitalizirane integrirane i personalizirane skrbi</w:t>
        </w:r>
      </w:hyperlink>
      <w:r>
        <w:t>.</w:t>
      </w:r>
    </w:p>
  </w:footnote>
  <w:footnote w:id="67">
    <w:p w14:paraId="31B1D40E" w14:textId="7703B9FD" w:rsidR="00DE54C7" w:rsidRPr="00656FB3" w:rsidRDefault="00DE54C7" w:rsidP="00D8171C">
      <w:pPr>
        <w:pStyle w:val="FootnoteText"/>
        <w:rPr>
          <w:highlight w:val="yellow"/>
        </w:rPr>
      </w:pPr>
      <w:r>
        <w:rPr>
          <w:rStyle w:val="FootnoteReference"/>
        </w:rPr>
        <w:footnoteRef/>
      </w:r>
      <w:r>
        <w:t xml:space="preserve"> Ahmad, A. F., Dwivedi, G., O'Gara, F., Caparros-Martin, J. i Ward, N. C., </w:t>
      </w:r>
      <w:r>
        <w:rPr>
          <w:i/>
          <w:iCs/>
        </w:rPr>
        <w:t>The gut microbiome and cardiovascular disease:</w:t>
      </w:r>
      <w:r>
        <w:t xml:space="preserve"> </w:t>
      </w:r>
      <w:r>
        <w:rPr>
          <w:i/>
          <w:iCs/>
        </w:rPr>
        <w:t>Current knowledge and clinical potential</w:t>
      </w:r>
      <w:r>
        <w:t xml:space="preserve">, </w:t>
      </w:r>
      <w:r>
        <w:rPr>
          <w:i/>
        </w:rPr>
        <w:t>American Journal of Physiology-Heart and Circulatory Physiology</w:t>
      </w:r>
      <w:r>
        <w:t xml:space="preserve">, sv. 317, br. 5, 2019., str. H923–H938. </w:t>
      </w:r>
      <w:hyperlink r:id="rId81" w:history="1">
        <w:r>
          <w:rPr>
            <w:rStyle w:val="Hyperlink"/>
          </w:rPr>
          <w:t>https://doi.org/10.1152/ajpheart.00376.2019</w:t>
        </w:r>
      </w:hyperlink>
      <w:r>
        <w:t xml:space="preserve">. </w:t>
      </w:r>
    </w:p>
  </w:footnote>
  <w:footnote w:id="68">
    <w:p w14:paraId="0E20E399" w14:textId="04644135" w:rsidR="00DE54C7" w:rsidRPr="001D733D" w:rsidRDefault="00DE54C7" w:rsidP="00D8171C">
      <w:pPr>
        <w:pStyle w:val="FootnoteText"/>
      </w:pPr>
      <w:r>
        <w:rPr>
          <w:rStyle w:val="FootnoteReference"/>
        </w:rPr>
        <w:footnoteRef/>
      </w:r>
      <w:r>
        <w:t xml:space="preserve"> Hopkins, S., Gajagowni, S., Qadeer, Y., Wang, Z., Virani, S. S., Meurman, J. H., Leischik, R., Lavie, C. J., Strauss, M., Krittanawong, C., </w:t>
      </w:r>
      <w:r>
        <w:rPr>
          <w:i/>
          <w:iCs/>
        </w:rPr>
        <w:t>More than just teeth:</w:t>
      </w:r>
      <w:r>
        <w:t xml:space="preserve"> </w:t>
      </w:r>
      <w:r>
        <w:rPr>
          <w:i/>
          <w:iCs/>
        </w:rPr>
        <w:t>How oral health can affect the heart</w:t>
      </w:r>
      <w:r>
        <w:t xml:space="preserve">, </w:t>
      </w:r>
      <w:r>
        <w:rPr>
          <w:i/>
          <w:iCs/>
        </w:rPr>
        <w:t>Am Heart J Plus</w:t>
      </w:r>
      <w:r>
        <w:t xml:space="preserve">. 24. svibnja 2024.; 43:100407. doi: 10.1016/j.ahjo.2024.100407. PMID: 38873102; PMCID: </w:t>
      </w:r>
      <w:hyperlink r:id="rId82" w:history="1">
        <w:r>
          <w:rPr>
            <w:rStyle w:val="Hyperlink"/>
          </w:rPr>
          <w:t>PMC11169959</w:t>
        </w:r>
      </w:hyperlink>
      <w:r>
        <w:t>.</w:t>
      </w:r>
    </w:p>
  </w:footnote>
  <w:footnote w:id="69">
    <w:p w14:paraId="1EC81523" w14:textId="4527AD47" w:rsidR="00DE54C7" w:rsidRPr="000E1D82" w:rsidRDefault="00DE54C7" w:rsidP="00D8171C">
      <w:pPr>
        <w:pStyle w:val="FootnoteText"/>
      </w:pPr>
      <w:r>
        <w:rPr>
          <w:rStyle w:val="FootnoteReference"/>
        </w:rPr>
        <w:footnoteRef/>
      </w:r>
      <w:r>
        <w:t xml:space="preserve"> </w:t>
      </w:r>
      <w:hyperlink r:id="rId83" w:history="1">
        <w:r>
          <w:rPr>
            <w:rStyle w:val="Hyperlink"/>
          </w:rPr>
          <w:t>Kodeks ponašanja – Sigurnost hrane – Europska komisija</w:t>
        </w:r>
      </w:hyperlink>
      <w:r>
        <w:t>.</w:t>
      </w:r>
    </w:p>
  </w:footnote>
  <w:footnote w:id="70">
    <w:p w14:paraId="7CDFAE29" w14:textId="77777777" w:rsidR="00DE54C7" w:rsidRDefault="00DE54C7" w:rsidP="00D8171C">
      <w:pPr>
        <w:pStyle w:val="FootnoteText"/>
      </w:pPr>
      <w:r>
        <w:rPr>
          <w:rStyle w:val="FootnoteReference"/>
        </w:rPr>
        <w:footnoteRef/>
      </w:r>
      <w:r>
        <w:t xml:space="preserve"> </w:t>
      </w:r>
      <w:hyperlink r:id="rId84" w:history="1">
        <w:r>
          <w:rPr>
            <w:rStyle w:val="Hyperlink"/>
          </w:rPr>
          <w:t>Food 2030 – Istraživanja i inovacije – Europska komisija</w:t>
        </w:r>
      </w:hyperlink>
      <w:r>
        <w:t>.</w:t>
      </w:r>
    </w:p>
  </w:footnote>
  <w:footnote w:id="71">
    <w:p w14:paraId="3242EC4C" w14:textId="77777777" w:rsidR="00DE54C7" w:rsidRPr="000E1D82" w:rsidRDefault="00DE54C7" w:rsidP="00D8171C">
      <w:pPr>
        <w:pStyle w:val="FootnoteText"/>
      </w:pPr>
      <w:r>
        <w:rPr>
          <w:rStyle w:val="FootnoteReference"/>
        </w:rPr>
        <w:footnoteRef/>
      </w:r>
      <w:r>
        <w:t xml:space="preserve"> </w:t>
      </w:r>
      <w:hyperlink r:id="rId85" w:history="1">
        <w:r>
          <w:rPr>
            <w:rStyle w:val="Hyperlink"/>
          </w:rPr>
          <w:t>Objašnjenje programa u školama – Europska komisija</w:t>
        </w:r>
      </w:hyperlink>
      <w:r>
        <w:t>.</w:t>
      </w:r>
    </w:p>
  </w:footnote>
  <w:footnote w:id="72">
    <w:p w14:paraId="7B23EC17" w14:textId="635141AA" w:rsidR="00DE54C7" w:rsidRDefault="00DE54C7" w:rsidP="00D8171C">
      <w:pPr>
        <w:pStyle w:val="FootnoteText"/>
      </w:pPr>
      <w:r>
        <w:rPr>
          <w:rStyle w:val="FootnoteReference"/>
        </w:rPr>
        <w:footnoteRef/>
      </w:r>
      <w:r>
        <w:t xml:space="preserve"> Kriteriji za održivu javnu nabavu hrane, prehrambenih usluga i automata za prodaju (2025.), Zajednički istraživački centar, </w:t>
      </w:r>
      <w:hyperlink r:id="rId86" w:history="1">
        <w:r>
          <w:rPr>
            <w:rStyle w:val="Hyperlink"/>
          </w:rPr>
          <w:t>https://publications.jrc.ec.europa.eu/repository/handle/JRC139495</w:t>
        </w:r>
      </w:hyperlink>
      <w:r>
        <w:t>.</w:t>
      </w:r>
    </w:p>
  </w:footnote>
  <w:footnote w:id="73">
    <w:p w14:paraId="270B11A2" w14:textId="08C17541" w:rsidR="00DE54C7" w:rsidRPr="000E1D82" w:rsidRDefault="00DE54C7" w:rsidP="00D8171C">
      <w:pPr>
        <w:pStyle w:val="FootnoteText"/>
      </w:pPr>
      <w:r>
        <w:rPr>
          <w:rStyle w:val="FootnoteReference"/>
        </w:rPr>
        <w:footnoteRef/>
      </w:r>
      <w:r>
        <w:t xml:space="preserve"> Kako je predviđeno u Komunikaciji Komisije Europskom parlamentu, Vijeću, Europskom gospodarskom i socijalnom odboru i Odboru regija, </w:t>
      </w:r>
      <w:hyperlink r:id="rId87" w:history="1">
        <w:r>
          <w:rPr>
            <w:rStyle w:val="Hyperlink"/>
          </w:rPr>
          <w:t>Vizija za poljoprivredu i hranu – Zajedničko oblikovanje privlačnog poljoprivrednog i prehrambenog sektora EU-a za buduće generacije</w:t>
        </w:r>
      </w:hyperlink>
      <w:r>
        <w:t>, COM(2025) 75 final.</w:t>
      </w:r>
    </w:p>
  </w:footnote>
  <w:footnote w:id="74">
    <w:p w14:paraId="6EB035A3" w14:textId="166D59C2" w:rsidR="00DE54C7" w:rsidRDefault="00DE54C7" w:rsidP="00D8171C">
      <w:pPr>
        <w:pStyle w:val="FootnoteText"/>
      </w:pPr>
      <w:r>
        <w:rPr>
          <w:rStyle w:val="FootnoteReference"/>
        </w:rPr>
        <w:footnoteRef/>
      </w:r>
      <w:r>
        <w:t xml:space="preserve"> Komunikacija Komisije Europskom parlamentu, Vijeću, Europskom gospodarskom i socijalnom odboru i Odboru regija, </w:t>
      </w:r>
      <w:hyperlink r:id="rId88" w:history="1">
        <w:r>
          <w:rPr>
            <w:rStyle w:val="Hyperlink"/>
          </w:rPr>
          <w:t>Vizija za poljoprivredu i hranu – Zajedničko oblikovanje privlačnog poljoprivrednog i prehrambenog sektora EU-a za buduće generacije</w:t>
        </w:r>
      </w:hyperlink>
      <w:r>
        <w:t xml:space="preserve">, COM(2025) 75 final. </w:t>
      </w:r>
    </w:p>
  </w:footnote>
  <w:footnote w:id="75">
    <w:p w14:paraId="79069A7C" w14:textId="75BD5882" w:rsidR="00DE54C7" w:rsidRPr="000E1D82" w:rsidRDefault="00DE54C7" w:rsidP="00D8171C">
      <w:pPr>
        <w:pStyle w:val="FootnoteText"/>
      </w:pPr>
      <w:r>
        <w:rPr>
          <w:rStyle w:val="FootnoteReference"/>
        </w:rPr>
        <w:footnoteRef/>
      </w:r>
      <w:r>
        <w:t xml:space="preserve"> </w:t>
      </w:r>
      <w:hyperlink r:id="rId89" w:history="1">
        <w:r>
          <w:rPr>
            <w:rStyle w:val="Hyperlink"/>
          </w:rPr>
          <w:t>Istraživanje Eurobarometra o stavovima Europljana o duhanskim i srodnim proizvodima</w:t>
        </w:r>
      </w:hyperlink>
      <w:r>
        <w:t>.</w:t>
      </w:r>
    </w:p>
  </w:footnote>
  <w:footnote w:id="76">
    <w:p w14:paraId="0D617306" w14:textId="204128F4" w:rsidR="00DE54C7" w:rsidRPr="000E1D82" w:rsidRDefault="00DE54C7" w:rsidP="00D8171C">
      <w:pPr>
        <w:pStyle w:val="FootnoteText"/>
      </w:pPr>
      <w:r>
        <w:rPr>
          <w:rStyle w:val="FootnoteReference"/>
        </w:rPr>
        <w:footnoteRef/>
      </w:r>
      <w:r>
        <w:t xml:space="preserve"> </w:t>
      </w:r>
      <w:hyperlink r:id="rId90" w:history="1">
        <w:r>
          <w:rPr>
            <w:rStyle w:val="Hyperlink"/>
          </w:rPr>
          <w:t>Direktiva 2014/40/EU Europskog parlamenta i Vijeća od 3. travnja 2014. o usklađivanju zakona i drugih propisa država članica o proizvodnji, predstavljanju i prodaji duhanskih i srodnih proizvoda i o stavljanju izvan snage Direktive 2001/37/EZ</w:t>
        </w:r>
      </w:hyperlink>
      <w:r>
        <w:t xml:space="preserve">, SL L 127, 29.4.2014., str. 1.; </w:t>
      </w:r>
      <w:hyperlink r:id="rId91" w:history="1">
        <w:r>
          <w:rPr>
            <w:rStyle w:val="Hyperlink"/>
          </w:rPr>
          <w:t>Direktiva 2003/33/EZ Europskog parlamenta i Vijeća od 26. svibnja 2003. o usklađivanju zakona i drugih propisa država članica o oglašavanju i sponzorstvu duhanskih proizvoda</w:t>
        </w:r>
      </w:hyperlink>
      <w:r>
        <w:t xml:space="preserve">, SL L 152, 20.6.2003., str. 16. </w:t>
      </w:r>
    </w:p>
  </w:footnote>
  <w:footnote w:id="77">
    <w:p w14:paraId="6E8656EA" w14:textId="093C9B5F" w:rsidR="00DE54C7" w:rsidRPr="000E1D82" w:rsidRDefault="00DE54C7" w:rsidP="00D8171C">
      <w:pPr>
        <w:pStyle w:val="FootnoteText"/>
      </w:pPr>
      <w:r>
        <w:rPr>
          <w:rStyle w:val="FootnoteReference"/>
        </w:rPr>
        <w:footnoteRef/>
      </w:r>
      <w:r>
        <w:t xml:space="preserve"> </w:t>
      </w:r>
      <w:hyperlink r:id="rId92" w:history="1">
        <w:r>
          <w:rPr>
            <w:rStyle w:val="Hyperlink"/>
          </w:rPr>
          <w:t>Istraživanje Eurobarometra o stavovima Europljana o duhanskim i srodnim proizvodima</w:t>
        </w:r>
      </w:hyperlink>
      <w:r>
        <w:t>.</w:t>
      </w:r>
    </w:p>
  </w:footnote>
  <w:footnote w:id="78">
    <w:p w14:paraId="32C12F84" w14:textId="77777777" w:rsidR="00DE54C7" w:rsidRDefault="00DE54C7" w:rsidP="00D8171C">
      <w:pPr>
        <w:pStyle w:val="FootnoteText"/>
      </w:pPr>
      <w:r>
        <w:rPr>
          <w:rStyle w:val="FootnoteReference"/>
        </w:rPr>
        <w:footnoteRef/>
      </w:r>
      <w:r>
        <w:t xml:space="preserve"> </w:t>
      </w:r>
      <w:hyperlink r:id="rId93" w:history="1">
        <w:r>
          <w:rPr>
            <w:rStyle w:val="Hyperlink"/>
          </w:rPr>
          <w:t>Analiza učinka preispitivanja pravila o trošarinama na duhan – Ured za publikacije EU-a</w:t>
        </w:r>
      </w:hyperlink>
      <w:r>
        <w:t>.</w:t>
      </w:r>
    </w:p>
  </w:footnote>
  <w:footnote w:id="79">
    <w:p w14:paraId="3848B2FF" w14:textId="77777777" w:rsidR="00DE54C7" w:rsidRDefault="00DE54C7" w:rsidP="00D8171C">
      <w:pPr>
        <w:pStyle w:val="FootnoteText"/>
      </w:pPr>
      <w:r>
        <w:rPr>
          <w:rStyle w:val="FootnoteReference"/>
        </w:rPr>
        <w:footnoteRef/>
      </w:r>
      <w:r>
        <w:t xml:space="preserve"> </w:t>
      </w:r>
      <w:hyperlink r:id="rId94" w:history="1">
        <w:r>
          <w:rPr>
            <w:rStyle w:val="Hyperlink"/>
          </w:rPr>
          <w:t>Promicanje zdravlja</w:t>
        </w:r>
      </w:hyperlink>
      <w:r>
        <w:t xml:space="preserve"> – SZO, oporezivanje duhana.</w:t>
      </w:r>
    </w:p>
  </w:footnote>
  <w:footnote w:id="80">
    <w:p w14:paraId="5807A485" w14:textId="50075EAE" w:rsidR="00DE54C7" w:rsidRDefault="00DE54C7" w:rsidP="00D8171C">
      <w:pPr>
        <w:pStyle w:val="FootnoteText"/>
      </w:pPr>
      <w:r>
        <w:rPr>
          <w:rStyle w:val="FootnoteReference"/>
        </w:rPr>
        <w:footnoteRef/>
      </w:r>
      <w:r>
        <w:t xml:space="preserve"> </w:t>
      </w:r>
      <w:hyperlink r:id="rId95" w:history="1">
        <w:r>
          <w:rPr>
            <w:rStyle w:val="Hyperlink"/>
          </w:rPr>
          <w:t>Direktiva Vijeća 2011/64/EU od 21. lipnja 2011. o strukturi i stopama trošarine koje se primjenjuju na prerađeni duhan</w:t>
        </w:r>
      </w:hyperlink>
      <w:r>
        <w:t>, SL L 176, str. 24.</w:t>
      </w:r>
    </w:p>
  </w:footnote>
  <w:footnote w:id="81">
    <w:p w14:paraId="3C396493" w14:textId="6D1644F5" w:rsidR="00DE54C7" w:rsidRPr="000E1D82" w:rsidRDefault="00DE54C7" w:rsidP="00D8171C">
      <w:pPr>
        <w:pStyle w:val="FootnoteText"/>
      </w:pPr>
      <w:r>
        <w:rPr>
          <w:rStyle w:val="FootnoteReference"/>
        </w:rPr>
        <w:footnoteRef/>
      </w:r>
      <w:r>
        <w:t xml:space="preserve"> Komunikacija Komisije Europskom parlamentu i Vijeću, </w:t>
      </w:r>
      <w:hyperlink r:id="rId96" w:history="1">
        <w:r>
          <w:rPr>
            <w:rStyle w:val="Hyperlink"/>
          </w:rPr>
          <w:t>Europski plan za borbu protiv raka</w:t>
        </w:r>
      </w:hyperlink>
      <w:r>
        <w:t>, COM(2021) 44 final.</w:t>
      </w:r>
    </w:p>
  </w:footnote>
  <w:footnote w:id="82">
    <w:p w14:paraId="00D42343" w14:textId="65FE5F6A" w:rsidR="00DE54C7" w:rsidRPr="000E1D82" w:rsidRDefault="00DE54C7" w:rsidP="00D8171C">
      <w:pPr>
        <w:pStyle w:val="FootnoteText"/>
      </w:pPr>
      <w:r>
        <w:rPr>
          <w:rStyle w:val="FootnoteReference"/>
        </w:rPr>
        <w:footnoteRef/>
      </w:r>
      <w:r>
        <w:t xml:space="preserve"> Ključni nalazi Europskog istraživanja o pušenju, konzumaciji alkohola i uzimanju droga među učenicima (ESPAD) iz 2024.: </w:t>
      </w:r>
      <w:hyperlink r:id="rId97" w:history="1">
        <w:r>
          <w:rPr>
            <w:rStyle w:val="Hyperlink"/>
          </w:rPr>
          <w:t>www.euda.europa.eu</w:t>
        </w:r>
      </w:hyperlink>
      <w:r>
        <w:t>.</w:t>
      </w:r>
    </w:p>
  </w:footnote>
  <w:footnote w:id="83">
    <w:p w14:paraId="65597C3B" w14:textId="77777777" w:rsidR="00DE54C7" w:rsidRPr="000E1D82" w:rsidRDefault="00DE54C7" w:rsidP="00D8171C">
      <w:pPr>
        <w:pStyle w:val="FootnoteText"/>
      </w:pPr>
      <w:r>
        <w:rPr>
          <w:rStyle w:val="FootnoteReference"/>
        </w:rPr>
        <w:footnoteRef/>
      </w:r>
      <w:r>
        <w:t xml:space="preserve"> Unaprijed pomiješana alkoholna pića koja okusom nalikuju bezalkoholnim pićima, ali sadržavaju alkohol.</w:t>
      </w:r>
    </w:p>
  </w:footnote>
  <w:footnote w:id="84">
    <w:p w14:paraId="34FFDACC" w14:textId="3AADC567" w:rsidR="00DE54C7" w:rsidRDefault="00DE54C7" w:rsidP="00D8171C">
      <w:pPr>
        <w:pStyle w:val="FootnoteText"/>
      </w:pPr>
      <w:r>
        <w:rPr>
          <w:rStyle w:val="FootnoteReference"/>
        </w:rPr>
        <w:footnoteRef/>
      </w:r>
      <w:r>
        <w:t xml:space="preserve"> Portal za promicanje zdravlja i sprečavanje bolesti: </w:t>
      </w:r>
      <w:hyperlink r:id="rId98" w:history="1">
        <w:r>
          <w:rPr>
            <w:rStyle w:val="Hyperlink"/>
          </w:rPr>
          <w:t>https://knowledge4policy.ec.europa.eu/health-promotion-knowledge-gateway/alcoholic-beverages_en</w:t>
        </w:r>
      </w:hyperlink>
      <w:r>
        <w:t>.</w:t>
      </w:r>
    </w:p>
  </w:footnote>
  <w:footnote w:id="85">
    <w:p w14:paraId="5679909C" w14:textId="77777777" w:rsidR="00DE54C7" w:rsidRPr="000E1D82" w:rsidRDefault="00DE54C7" w:rsidP="00D8171C">
      <w:pPr>
        <w:pStyle w:val="FootnoteText"/>
      </w:pPr>
      <w:r>
        <w:rPr>
          <w:rStyle w:val="FootnoteReference"/>
        </w:rPr>
        <w:footnoteRef/>
      </w:r>
      <w:r>
        <w:t xml:space="preserve"> </w:t>
      </w:r>
      <w:hyperlink r:id="rId99" w:history="1">
        <w:r>
          <w:rPr>
            <w:rStyle w:val="Hyperlink"/>
          </w:rPr>
          <w:t>Studija o porezima za zdravlje iz perspektive EU-a – Oporezivanje i carinska unija</w:t>
        </w:r>
      </w:hyperlink>
      <w:r>
        <w:t>.</w:t>
      </w:r>
    </w:p>
  </w:footnote>
  <w:footnote w:id="86">
    <w:p w14:paraId="10AD9BF9" w14:textId="77777777" w:rsidR="00DE54C7" w:rsidRPr="000E1D82" w:rsidRDefault="00DE54C7" w:rsidP="00D8171C">
      <w:pPr>
        <w:pStyle w:val="FootnoteText"/>
      </w:pPr>
      <w:r>
        <w:rPr>
          <w:rStyle w:val="FootnoteReference"/>
        </w:rPr>
        <w:footnoteRef/>
      </w:r>
      <w:r>
        <w:t xml:space="preserve"> Danska oporezuje sladoled i konditorske proizvode, a Mađarska prehrambene proizvode s visokim razinama soli i zašećerena bezalkoholna pića. </w:t>
      </w:r>
    </w:p>
  </w:footnote>
  <w:footnote w:id="87">
    <w:p w14:paraId="264EB348" w14:textId="13D73767" w:rsidR="006C4648" w:rsidRPr="00236C38" w:rsidRDefault="00E82A17" w:rsidP="00E82A17">
      <w:pPr>
        <w:pStyle w:val="FootnoteText"/>
      </w:pPr>
      <w:r>
        <w:rPr>
          <w:rStyle w:val="FootnoteReference"/>
        </w:rPr>
        <w:footnoteRef/>
      </w:r>
      <w:r>
        <w:t xml:space="preserve"> </w:t>
      </w:r>
      <w:hyperlink r:id="rId100" w:history="1">
        <w:r>
          <w:rPr>
            <w:rStyle w:val="Hyperlink"/>
          </w:rPr>
          <w:t>https://europa.eu/eurobarometer/surveys/detail/3380</w:t>
        </w:r>
      </w:hyperlink>
      <w:r>
        <w:t>.</w:t>
      </w:r>
    </w:p>
  </w:footnote>
  <w:footnote w:id="88">
    <w:p w14:paraId="06B789FE" w14:textId="701EC180" w:rsidR="006C4648" w:rsidRPr="00521D64" w:rsidRDefault="00E82A17" w:rsidP="00E82A17">
      <w:pPr>
        <w:pStyle w:val="FootnoteText"/>
      </w:pPr>
      <w:r>
        <w:rPr>
          <w:rStyle w:val="FootnoteReference"/>
        </w:rPr>
        <w:footnoteRef/>
      </w:r>
      <w:r>
        <w:t xml:space="preserve"> </w:t>
      </w:r>
      <w:hyperlink r:id="rId101" w:history="1">
        <w:r>
          <w:rPr>
            <w:rStyle w:val="Hyperlink"/>
          </w:rPr>
          <w:t>https://data.europa.eu/en/publications/datastories/health-and-well-being-eu-investing-where-it-matters</w:t>
        </w:r>
      </w:hyperlink>
      <w:r>
        <w:t>.</w:t>
      </w:r>
    </w:p>
  </w:footnote>
  <w:footnote w:id="89">
    <w:p w14:paraId="7CD9FE76" w14:textId="422714A3" w:rsidR="00F71FEB" w:rsidRPr="00914153" w:rsidRDefault="00F71FEB" w:rsidP="00D8171C">
      <w:pPr>
        <w:pStyle w:val="FootnoteText"/>
      </w:pPr>
      <w:r>
        <w:rPr>
          <w:rStyle w:val="FootnoteReference"/>
        </w:rPr>
        <w:footnoteRef/>
      </w:r>
      <w:r>
        <w:t xml:space="preserve"> </w:t>
      </w:r>
      <w:hyperlink r:id="rId102" w:history="1">
        <w:r>
          <w:rPr>
            <w:rStyle w:val="Hyperlink"/>
          </w:rPr>
          <w:t xml:space="preserve">Ultraprerađena hrana i ljudsko zdravlje, serija medicinskog časopisa </w:t>
        </w:r>
        <w:r>
          <w:rPr>
            <w:rStyle w:val="Hyperlink"/>
            <w:i/>
            <w:iCs/>
          </w:rPr>
          <w:t>The Lancet</w:t>
        </w:r>
      </w:hyperlink>
      <w:r>
        <w:t xml:space="preserve">. </w:t>
      </w:r>
    </w:p>
  </w:footnote>
  <w:footnote w:id="90">
    <w:p w14:paraId="0C35478F" w14:textId="77777777" w:rsidR="00DE54C7" w:rsidRDefault="00DE54C7" w:rsidP="00D8171C">
      <w:pPr>
        <w:pStyle w:val="FootnoteText"/>
      </w:pPr>
      <w:r>
        <w:rPr>
          <w:rStyle w:val="FootnoteReference"/>
        </w:rPr>
        <w:footnoteRef/>
      </w:r>
      <w:r>
        <w:t xml:space="preserve"> Od lipnja 2026. tim će se inicijativama nastojati uključiti milijune Europljana u više od 50 000 događaja svake godine te tako potaknuti zdraviji način života i smanjiti rizike od kardiovaskularnih bolesti.</w:t>
      </w:r>
    </w:p>
  </w:footnote>
  <w:footnote w:id="91">
    <w:p w14:paraId="5226CCBC" w14:textId="668AE31E" w:rsidR="00EF0BA4" w:rsidRPr="00EF0BA4" w:rsidRDefault="00EF0BA4">
      <w:pPr>
        <w:pStyle w:val="FootnoteText"/>
      </w:pPr>
      <w:r>
        <w:rPr>
          <w:rStyle w:val="FootnoteReference"/>
        </w:rPr>
        <w:footnoteRef/>
      </w:r>
      <w:r>
        <w:t xml:space="preserve"> </w:t>
      </w:r>
      <w:hyperlink r:id="rId103" w:history="1">
        <w:r>
          <w:rPr>
            <w:rStyle w:val="Hyperlink"/>
          </w:rPr>
          <w:t>Početna stranica – Erasmus+</w:t>
        </w:r>
      </w:hyperlink>
      <w:r>
        <w:t>.</w:t>
      </w:r>
    </w:p>
  </w:footnote>
  <w:footnote w:id="92">
    <w:p w14:paraId="760F9AFE" w14:textId="04AD55E5" w:rsidR="004D317B" w:rsidRPr="004D317B" w:rsidRDefault="004D317B" w:rsidP="00D8171C">
      <w:pPr>
        <w:pStyle w:val="FootnoteText"/>
      </w:pPr>
      <w:r>
        <w:rPr>
          <w:rStyle w:val="FootnoteReference"/>
        </w:rPr>
        <w:footnoteRef/>
      </w:r>
      <w:r>
        <w:t xml:space="preserve"> Studija o evaluaciji </w:t>
      </w:r>
      <w:hyperlink r:id="rId104" w:history="1">
        <w:r>
          <w:rPr>
            <w:rStyle w:val="Hyperlink"/>
          </w:rPr>
          <w:t>Akcijskog plana EU-a za suzbijanje pretilosti djece</w:t>
        </w:r>
      </w:hyperlink>
      <w:r>
        <w:t>.</w:t>
      </w:r>
    </w:p>
  </w:footnote>
  <w:footnote w:id="93">
    <w:p w14:paraId="7306DD5D" w14:textId="77777777" w:rsidR="00DE54C7" w:rsidRDefault="00DE54C7" w:rsidP="00D8171C">
      <w:pPr>
        <w:pStyle w:val="FootnoteText"/>
      </w:pPr>
      <w:r>
        <w:rPr>
          <w:rStyle w:val="FootnoteReference"/>
        </w:rPr>
        <w:footnoteRef/>
      </w:r>
      <w:r>
        <w:t xml:space="preserve"> </w:t>
      </w:r>
      <w:hyperlink r:id="rId105" w:history="1">
        <w:r>
          <w:rPr>
            <w:rStyle w:val="Hyperlink"/>
          </w:rPr>
          <w:t>Koliko su zdrave prehrambene navike djece?</w:t>
        </w:r>
      </w:hyperlink>
      <w:hyperlink r:id="rId106" w:history="1">
        <w:r>
          <w:rPr>
            <w:rStyle w:val="Hyperlink"/>
          </w:rPr>
          <w:t xml:space="preserve"> – Rezultati nadzora SZO-a za Europu</w:t>
        </w:r>
      </w:hyperlink>
      <w:r>
        <w:t>.</w:t>
      </w:r>
    </w:p>
  </w:footnote>
  <w:footnote w:id="94">
    <w:p w14:paraId="60F3E8D8" w14:textId="77777777" w:rsidR="00DE54C7" w:rsidRPr="000E1D82" w:rsidRDefault="00DE54C7" w:rsidP="00D8171C">
      <w:pPr>
        <w:pStyle w:val="FootnoteText"/>
      </w:pPr>
      <w:r>
        <w:rPr>
          <w:rStyle w:val="FootnoteReference"/>
        </w:rPr>
        <w:footnoteRef/>
      </w:r>
      <w:r>
        <w:t xml:space="preserve"> Financiraju se u okviru programa „EU za zdravlje”: </w:t>
      </w:r>
      <w:hyperlink r:id="rId107" w:tgtFrame="_blank" w:tooltip="https://www.dypede.gr/health4eukids/" w:history="1">
        <w:r>
          <w:rPr>
            <w:rStyle w:val="Hyperlink"/>
          </w:rPr>
          <w:t>Health4EUKids</w:t>
        </w:r>
      </w:hyperlink>
      <w:r>
        <w:t xml:space="preserve">, </w:t>
      </w:r>
      <w:hyperlink r:id="rId108" w:tgtFrame="_blank" w:tooltip="https://schools4health.eu/" w:history="1">
        <w:r>
          <w:rPr>
            <w:rStyle w:val="Hyperlink"/>
          </w:rPr>
          <w:t>Schools4Health</w:t>
        </w:r>
      </w:hyperlink>
      <w:r>
        <w:t xml:space="preserve">, </w:t>
      </w:r>
      <w:hyperlink r:id="rId109" w:tgtFrame="_blank" w:tooltip="https://site.unibo.it/duse/en/project" w:history="1">
        <w:r>
          <w:rPr>
            <w:rStyle w:val="Hyperlink"/>
          </w:rPr>
          <w:t>DUSE</w:t>
        </w:r>
      </w:hyperlink>
      <w:r>
        <w:t xml:space="preserve">, </w:t>
      </w:r>
      <w:hyperlink r:id="rId110" w:tgtFrame="_blank" w:tooltip="https://ryhealth.net/" w:history="1">
        <w:r>
          <w:rPr>
            <w:rStyle w:val="Hyperlink"/>
          </w:rPr>
          <w:t>RYHEALTH</w:t>
        </w:r>
      </w:hyperlink>
      <w:r>
        <w:t>.</w:t>
      </w:r>
    </w:p>
  </w:footnote>
  <w:footnote w:id="95">
    <w:p w14:paraId="08387F6A" w14:textId="75CCCE1A" w:rsidR="00DE54C7" w:rsidRPr="000E1D82" w:rsidRDefault="00DE54C7" w:rsidP="00D8171C">
      <w:pPr>
        <w:pStyle w:val="FootnoteText"/>
      </w:pPr>
      <w:r>
        <w:rPr>
          <w:rStyle w:val="FootnoteReference"/>
        </w:rPr>
        <w:footnoteRef/>
      </w:r>
      <w:r>
        <w:t xml:space="preserve"> </w:t>
      </w:r>
      <w:hyperlink r:id="rId111" w:history="1">
        <w:r>
          <w:rPr>
            <w:rStyle w:val="Hyperlink"/>
          </w:rPr>
          <w:t>BIO-STREAMS</w:t>
        </w:r>
      </w:hyperlink>
      <w:r>
        <w:t xml:space="preserve">, </w:t>
      </w:r>
      <w:hyperlink r:id="rId112" w:history="1">
        <w:r>
          <w:rPr>
            <w:rStyle w:val="Hyperlink"/>
          </w:rPr>
          <w:t>OBELISK</w:t>
        </w:r>
      </w:hyperlink>
      <w:r>
        <w:t xml:space="preserve">, </w:t>
      </w:r>
      <w:hyperlink r:id="rId113" w:history="1">
        <w:r>
          <w:rPr>
            <w:rStyle w:val="Hyperlink"/>
          </w:rPr>
          <w:t>PAS GRAS</w:t>
        </w:r>
      </w:hyperlink>
      <w:r>
        <w:t xml:space="preserve">, </w:t>
      </w:r>
      <w:hyperlink r:id="rId114" w:history="1">
        <w:r>
          <w:rPr>
            <w:rStyle w:val="Hyperlink"/>
          </w:rPr>
          <w:t>HealthyW8</w:t>
        </w:r>
      </w:hyperlink>
      <w:r>
        <w:t xml:space="preserve"> (40 milijuna EUR iz programa Obzor Europa), </w:t>
      </w:r>
      <w:hyperlink r:id="rId115" w:history="1">
        <w:r>
          <w:rPr>
            <w:rStyle w:val="Hyperlink"/>
          </w:rPr>
          <w:t>Živi laboratoriji u okviru projekta PREVENT:</w:t>
        </w:r>
      </w:hyperlink>
      <w:hyperlink r:id="rId116" w:history="1">
        <w:r>
          <w:rPr>
            <w:rStyle w:val="Hyperlink"/>
          </w:rPr>
          <w:t xml:space="preserve"> Novi pristup suzbijanju pretilosti djece – PREVENT</w:t>
        </w:r>
      </w:hyperlink>
      <w:r>
        <w:t>.</w:t>
      </w:r>
    </w:p>
  </w:footnote>
  <w:footnote w:id="96">
    <w:p w14:paraId="710EB2C8" w14:textId="7ECEEAC0" w:rsidR="00DE54C7" w:rsidRDefault="00DE54C7" w:rsidP="00D8171C">
      <w:pPr>
        <w:pStyle w:val="FootnoteText"/>
      </w:pPr>
      <w:r>
        <w:rPr>
          <w:rStyle w:val="FootnoteReference"/>
        </w:rPr>
        <w:footnoteRef/>
      </w:r>
      <w:r>
        <w:t xml:space="preserve"> </w:t>
      </w:r>
      <w:hyperlink r:id="rId117" w:history="1">
        <w:r>
          <w:rPr>
            <w:rStyle w:val="Hyperlink"/>
          </w:rPr>
          <w:t>Bez skrivene gladi u EU-u</w:t>
        </w:r>
      </w:hyperlink>
      <w:r>
        <w:t xml:space="preserve">, </w:t>
      </w:r>
      <w:hyperlink r:id="rId118" w:history="1">
        <w:r>
          <w:rPr>
            <w:rStyle w:val="Hyperlink"/>
          </w:rPr>
          <w:t>PLAN’EAT</w:t>
        </w:r>
      </w:hyperlink>
      <w:r>
        <w:t xml:space="preserve">,  </w:t>
      </w:r>
      <w:hyperlink r:id="rId119" w:history="1">
        <w:r>
          <w:rPr>
            <w:rStyle w:val="Hyperlink"/>
          </w:rPr>
          <w:t>Co Diet</w:t>
        </w:r>
      </w:hyperlink>
      <w:r>
        <w:t xml:space="preserve"> (27 milijuna EUR iz programa Obzor 2020.).</w:t>
      </w:r>
    </w:p>
  </w:footnote>
  <w:footnote w:id="97">
    <w:p w14:paraId="5BED9FA3" w14:textId="19684718" w:rsidR="00DE54C7" w:rsidRPr="000E1D82" w:rsidRDefault="00DE54C7" w:rsidP="00D8171C">
      <w:pPr>
        <w:pStyle w:val="FootnoteText"/>
      </w:pPr>
      <w:r>
        <w:rPr>
          <w:rStyle w:val="FootnoteReference"/>
        </w:rPr>
        <w:footnoteRef/>
      </w:r>
      <w:r>
        <w:t xml:space="preserve"> </w:t>
      </w:r>
      <w:hyperlink r:id="rId120" w:history="1">
        <w:r>
          <w:rPr>
            <w:rStyle w:val="Hyperlink"/>
            <w:i/>
            <w:iCs/>
          </w:rPr>
          <w:t>Step Up!</w:t>
        </w:r>
      </w:hyperlink>
      <w:hyperlink r:id="rId121" w:history="1">
        <w:r>
          <w:rPr>
            <w:rStyle w:val="Hyperlink"/>
          </w:rPr>
          <w:t xml:space="preserve"> </w:t>
        </w:r>
        <w:r>
          <w:rPr>
            <w:rStyle w:val="Hyperlink"/>
            <w:i/>
            <w:iCs/>
          </w:rPr>
          <w:t>Tackling the Burden of Insufficient Physical Activity in Europe</w:t>
        </w:r>
        <w:r>
          <w:rPr>
            <w:rStyle w:val="Hyperlink"/>
          </w:rPr>
          <w:t xml:space="preserve"> (Pokrenimo se! Suočavanje s teretom nedovoljne tjelesne aktivnosti u Europi) |</w:t>
        </w:r>
      </w:hyperlink>
      <w:hyperlink r:id="rId122" w:history="1">
        <w:r>
          <w:rPr>
            <w:rStyle w:val="Hyperlink"/>
          </w:rPr>
          <w:t xml:space="preserve"> OECD</w:t>
        </w:r>
      </w:hyperlink>
      <w:r>
        <w:t>.</w:t>
      </w:r>
    </w:p>
  </w:footnote>
  <w:footnote w:id="98">
    <w:p w14:paraId="46120928" w14:textId="0A604E36" w:rsidR="00DE54C7" w:rsidRPr="000E1D82" w:rsidRDefault="00DE54C7" w:rsidP="00D8171C">
      <w:pPr>
        <w:pStyle w:val="FootnoteText"/>
      </w:pPr>
      <w:r>
        <w:rPr>
          <w:rStyle w:val="FootnoteReference"/>
        </w:rPr>
        <w:footnoteRef/>
      </w:r>
      <w:r>
        <w:t xml:space="preserve"> </w:t>
      </w:r>
      <w:hyperlink r:id="rId123" w:history="1">
        <w:r>
          <w:rPr>
            <w:rStyle w:val="Hyperlink"/>
          </w:rPr>
          <w:t>Stavovi Europljana o duhanskim i srodnim proizvodima – lipanj 2024. – istraživanje Eurobarometra</w:t>
        </w:r>
      </w:hyperlink>
      <w:r>
        <w:t>.</w:t>
      </w:r>
    </w:p>
  </w:footnote>
  <w:footnote w:id="99">
    <w:p w14:paraId="3CF60E4F" w14:textId="329E4004" w:rsidR="00DE54C7" w:rsidRPr="000E1D82" w:rsidRDefault="00DE54C7" w:rsidP="00D8171C">
      <w:pPr>
        <w:pStyle w:val="FootnoteText"/>
      </w:pPr>
      <w:r>
        <w:rPr>
          <w:rStyle w:val="FootnoteReference"/>
        </w:rPr>
        <w:footnoteRef/>
      </w:r>
      <w:r>
        <w:t xml:space="preserve"> </w:t>
      </w:r>
      <w:hyperlink r:id="rId124" w:history="1">
        <w:r>
          <w:rPr>
            <w:rStyle w:val="Hyperlink"/>
          </w:rPr>
          <w:t>Direktiva o audiovizualnim medijskim uslugama</w:t>
        </w:r>
      </w:hyperlink>
      <w:r>
        <w:t>.</w:t>
      </w:r>
    </w:p>
  </w:footnote>
  <w:footnote w:id="100">
    <w:p w14:paraId="1AC2374F" w14:textId="77777777" w:rsidR="000A24BE" w:rsidRPr="000E1D82" w:rsidRDefault="000A24BE" w:rsidP="000A24BE">
      <w:pPr>
        <w:pStyle w:val="FootnoteText"/>
      </w:pPr>
      <w:r>
        <w:rPr>
          <w:rStyle w:val="FootnoteReference"/>
        </w:rPr>
        <w:footnoteRef/>
      </w:r>
      <w:r>
        <w:t xml:space="preserve"> </w:t>
      </w:r>
      <w:hyperlink r:id="rId125" w:history="1">
        <w:r>
          <w:rPr>
            <w:rStyle w:val="Hyperlink"/>
          </w:rPr>
          <w:t>Europska komisija i UNICEF najavili novo partnerstvo za poboljšanje zdravstvenih ishoda kod djece</w:t>
        </w:r>
      </w:hyperlink>
      <w:r>
        <w:t>.</w:t>
      </w:r>
    </w:p>
  </w:footnote>
  <w:footnote w:id="101">
    <w:p w14:paraId="480E61C2" w14:textId="5ADC8EC9" w:rsidR="00DE54C7" w:rsidRPr="000E1D82" w:rsidRDefault="00DE54C7" w:rsidP="00D8171C">
      <w:pPr>
        <w:pStyle w:val="FootnoteText"/>
      </w:pPr>
      <w:r>
        <w:rPr>
          <w:rStyle w:val="FootnoteReference"/>
        </w:rPr>
        <w:footnoteRef/>
      </w:r>
      <w:r>
        <w:t xml:space="preserve"> </w:t>
      </w:r>
      <w:hyperlink r:id="rId126" w:history="1">
        <w:r>
          <w:rPr>
            <w:rStyle w:val="Hyperlink"/>
          </w:rPr>
          <w:t>Europski opservatorij za klimu i zdravlje</w:t>
        </w:r>
      </w:hyperlink>
      <w:r>
        <w:t xml:space="preserve">. </w:t>
      </w:r>
    </w:p>
  </w:footnote>
  <w:footnote w:id="102">
    <w:p w14:paraId="6AC9378D" w14:textId="448AD04F" w:rsidR="00DE54C7" w:rsidRPr="000E1D82" w:rsidRDefault="00DE54C7" w:rsidP="00D8171C">
      <w:pPr>
        <w:pStyle w:val="FootnoteText"/>
      </w:pPr>
      <w:r>
        <w:rPr>
          <w:rStyle w:val="FootnoteReference"/>
        </w:rPr>
        <w:footnoteRef/>
      </w:r>
      <w:r>
        <w:t xml:space="preserve"> Heidecker, B., Libby, P., Vassiliou, V. S., Roubille, F., Vardeny, O., Hassager, C. i dr., </w:t>
      </w:r>
      <w:r>
        <w:rPr>
          <w:i/>
          <w:iCs/>
        </w:rPr>
        <w:t>Vaccination as a new form of cardiovascular prevention:</w:t>
      </w:r>
      <w:r>
        <w:t xml:space="preserve"> </w:t>
      </w:r>
      <w:r>
        <w:rPr>
          <w:i/>
          <w:iCs/>
        </w:rPr>
        <w:t>A European Society of Cardiology clinical consensus statement:</w:t>
      </w:r>
      <w:r>
        <w:t xml:space="preserve"> </w:t>
      </w:r>
      <w:r>
        <w:rPr>
          <w:i/>
          <w:iCs/>
        </w:rPr>
        <w:t>With the contribution of the European Association of Preventive Cardiology (EAPC), the Association for Acute CardioVascular Care (ACVC), and the Heart Failure Association (HFA) of the ESC)</w:t>
      </w:r>
      <w:r>
        <w:t xml:space="preserve">. </w:t>
      </w:r>
      <w:r>
        <w:rPr>
          <w:i/>
        </w:rPr>
        <w:t>European Heart Journal</w:t>
      </w:r>
      <w:r>
        <w:t>,</w:t>
      </w:r>
      <w:r>
        <w:rPr>
          <w:i/>
        </w:rPr>
        <w:t xml:space="preserve"> </w:t>
      </w:r>
      <w:r>
        <w:t xml:space="preserve">sv. 46, br. 36, 2025., str, 3518–3531. </w:t>
      </w:r>
      <w:hyperlink r:id="rId127" w:history="1">
        <w:r>
          <w:rPr>
            <w:rStyle w:val="Hyperlink"/>
          </w:rPr>
          <w:t>https://doi.org/10.1093/eurheartj/ehaf384</w:t>
        </w:r>
      </w:hyperlink>
      <w:r>
        <w:t>.</w:t>
      </w:r>
    </w:p>
  </w:footnote>
  <w:footnote w:id="103">
    <w:p w14:paraId="44650187" w14:textId="77072381" w:rsidR="00DE54C7" w:rsidRPr="000E1D82" w:rsidRDefault="00DE54C7" w:rsidP="00D8171C">
      <w:pPr>
        <w:pStyle w:val="FootnoteText"/>
      </w:pPr>
      <w:r>
        <w:rPr>
          <w:rStyle w:val="FootnoteReference"/>
        </w:rPr>
        <w:footnoteRef/>
      </w:r>
      <w:r>
        <w:t xml:space="preserve"> Behrouzi, B., Bhatt, D. L., Cannon, C. P. i dr., </w:t>
      </w:r>
      <w:r>
        <w:rPr>
          <w:i/>
          <w:iCs/>
        </w:rPr>
        <w:t>Association of influenza vaccination with cardiovascular risk:</w:t>
      </w:r>
      <w:r>
        <w:t xml:space="preserve"> </w:t>
      </w:r>
      <w:r>
        <w:rPr>
          <w:i/>
          <w:iCs/>
        </w:rPr>
        <w:t>A meta-analysis</w:t>
      </w:r>
      <w:r>
        <w:t xml:space="preserve">, </w:t>
      </w:r>
      <w:r>
        <w:rPr>
          <w:i/>
        </w:rPr>
        <w:t>JAMA Network Open</w:t>
      </w:r>
      <w:r>
        <w:t xml:space="preserve">, sv. 5, br. 4, 2022., e228873. </w:t>
      </w:r>
      <w:hyperlink r:id="rId128" w:history="1">
        <w:r>
          <w:rPr>
            <w:rStyle w:val="Hyperlink"/>
          </w:rPr>
          <w:t>https://doi.org/10.1001/jamanetworkopen.2022.8873</w:t>
        </w:r>
      </w:hyperlink>
      <w:r>
        <w:t xml:space="preserve">.  </w:t>
      </w:r>
    </w:p>
  </w:footnote>
  <w:footnote w:id="104">
    <w:p w14:paraId="71F861B2" w14:textId="77777777" w:rsidR="00DE54C7" w:rsidRPr="000E1D82" w:rsidRDefault="00DE54C7" w:rsidP="00D8171C">
      <w:pPr>
        <w:pStyle w:val="FootnoteText"/>
      </w:pPr>
      <w:r>
        <w:rPr>
          <w:rStyle w:val="FootnoteReference"/>
        </w:rPr>
        <w:footnoteRef/>
      </w:r>
      <w:r>
        <w:t xml:space="preserve"> U nedavnom </w:t>
      </w:r>
      <w:hyperlink r:id="rId129" w:history="1">
        <w:r>
          <w:rPr>
            <w:rStyle w:val="Hyperlink"/>
          </w:rPr>
          <w:t>dokumentu o kliničkom konsenzusu</w:t>
        </w:r>
      </w:hyperlink>
      <w:r>
        <w:t xml:space="preserve"> Europskog kardiološkog društva ističe se važnost cijepljenja kao preventivne strategije kojom se poboljšava preživljavanje bolesti, smanjuje broj hospitalizacija i poboljšava kvaliteta života.</w:t>
      </w:r>
    </w:p>
  </w:footnote>
  <w:footnote w:id="105">
    <w:p w14:paraId="60C8D8B5" w14:textId="77777777" w:rsidR="00DE54C7" w:rsidRPr="000E1D82" w:rsidRDefault="00DE54C7" w:rsidP="00D8171C">
      <w:pPr>
        <w:pStyle w:val="FootnoteText"/>
      </w:pPr>
      <w:r>
        <w:rPr>
          <w:rStyle w:val="FootnoteReference"/>
        </w:rPr>
        <w:footnoteRef/>
      </w:r>
      <w:r>
        <w:t xml:space="preserve"> </w:t>
      </w:r>
      <w:hyperlink r:id="rId130" w:history="1">
        <w:r>
          <w:rPr>
            <w:rStyle w:val="Hyperlink"/>
          </w:rPr>
          <w:t>Europski tjedan cijepljenja 2025.:</w:t>
        </w:r>
      </w:hyperlink>
      <w:hyperlink r:id="rId131" w:history="1">
        <w:r>
          <w:rPr>
            <w:rStyle w:val="Hyperlink"/>
          </w:rPr>
          <w:t xml:space="preserve"> projekti u okviru programa „EU za zdravlje” i Obzor Europa za zaštitu zdravlja svih dobnih skupina – Europska komisija</w:t>
        </w:r>
      </w:hyperlink>
      <w:r>
        <w:t>.</w:t>
      </w:r>
    </w:p>
  </w:footnote>
  <w:footnote w:id="106">
    <w:p w14:paraId="142E7917" w14:textId="5368FB56" w:rsidR="00DE54C7" w:rsidRPr="000E1D82" w:rsidRDefault="00DE54C7" w:rsidP="00D8171C">
      <w:pPr>
        <w:pStyle w:val="FootnoteText"/>
      </w:pPr>
      <w:r>
        <w:rPr>
          <w:rStyle w:val="FootnoteReference"/>
        </w:rPr>
        <w:footnoteRef/>
      </w:r>
      <w:r>
        <w:t xml:space="preserve"> </w:t>
      </w:r>
      <w:hyperlink r:id="rId132" w:history="1">
        <w:r>
          <w:rPr>
            <w:rStyle w:val="Hyperlink"/>
          </w:rPr>
          <w:t>Europski portal za informacije o cijepljenju</w:t>
        </w:r>
      </w:hyperlink>
      <w:r>
        <w:t>.</w:t>
      </w:r>
    </w:p>
  </w:footnote>
  <w:footnote w:id="107">
    <w:p w14:paraId="55E818F5" w14:textId="10738B63" w:rsidR="00DE54C7" w:rsidRPr="000E1D82" w:rsidRDefault="00DE54C7" w:rsidP="00D8171C">
      <w:pPr>
        <w:pStyle w:val="FootnoteText"/>
      </w:pPr>
      <w:r>
        <w:rPr>
          <w:rStyle w:val="FootnoteReference"/>
        </w:rPr>
        <w:footnoteRef/>
      </w:r>
      <w:r>
        <w:t xml:space="preserve"> </w:t>
      </w:r>
      <w:hyperlink r:id="rId133" w:history="1">
        <w:r>
          <w:rPr>
            <w:rStyle w:val="Hyperlink"/>
          </w:rPr>
          <w:t>Mjere Europske komisije u području cijepljenja.</w:t>
        </w:r>
      </w:hyperlink>
    </w:p>
  </w:footnote>
  <w:footnote w:id="108">
    <w:p w14:paraId="72BF8588" w14:textId="2BA533FA" w:rsidR="006A312F" w:rsidRPr="006A312F" w:rsidRDefault="006A312F">
      <w:pPr>
        <w:pStyle w:val="FootnoteText"/>
      </w:pPr>
      <w:r>
        <w:rPr>
          <w:rStyle w:val="FootnoteReference"/>
        </w:rPr>
        <w:footnoteRef/>
      </w:r>
      <w:r>
        <w:t xml:space="preserve"> </w:t>
      </w:r>
      <w:hyperlink r:id="rId134" w:history="1">
        <w:r>
          <w:rPr>
            <w:rStyle w:val="Hyperlink"/>
          </w:rPr>
          <w:t>Novi sustavni pregled i metaanaliza pokazuju povezanost cijepljenja protiv herpesa zostera s manjim rizikom od srčanog i moždanog udara</w:t>
        </w:r>
      </w:hyperlink>
      <w:r>
        <w:t>.</w:t>
      </w:r>
    </w:p>
  </w:footnote>
  <w:footnote w:id="109">
    <w:p w14:paraId="44125249" w14:textId="6D15FD21" w:rsidR="00DE54C7" w:rsidRPr="000E1D82" w:rsidRDefault="00DE54C7" w:rsidP="00D8171C">
      <w:pPr>
        <w:pStyle w:val="FootnoteText"/>
      </w:pPr>
      <w:r>
        <w:rPr>
          <w:rStyle w:val="FootnoteReference"/>
        </w:rPr>
        <w:footnoteRef/>
      </w:r>
      <w:r>
        <w:t xml:space="preserve"> Sposobnost razumijevanja, pristupanja i korištenja zdravstvenih informacija koje su ključne za prevenciju kardiovaskularnih bolesti.</w:t>
      </w:r>
    </w:p>
  </w:footnote>
  <w:footnote w:id="110">
    <w:p w14:paraId="0DEB87D9" w14:textId="72C8FCAD" w:rsidR="00DE54C7" w:rsidRPr="000E1D82" w:rsidRDefault="00DE54C7" w:rsidP="00D8171C">
      <w:pPr>
        <w:pStyle w:val="FootnoteText"/>
      </w:pPr>
      <w:r>
        <w:rPr>
          <w:rStyle w:val="FootnoteReference"/>
        </w:rPr>
        <w:footnoteRef/>
      </w:r>
      <w:r>
        <w:t xml:space="preserve"> </w:t>
      </w:r>
      <w:hyperlink r:id="rId135" w:history="1">
        <w:r>
          <w:rPr>
            <w:rStyle w:val="Hyperlink"/>
          </w:rPr>
          <w:t>Poboljšanje zdravstvene pismenosti kako bi se smanjile nejednakosti u području raka i drugih nezaraznih bolesti.</w:t>
        </w:r>
      </w:hyperlink>
      <w:hyperlink r:id="rId136" w:history="1">
        <w:r>
          <w:rPr>
            <w:rStyle w:val="Hyperlink"/>
          </w:rPr>
          <w:t xml:space="preserve"> JA PreventNCD</w:t>
        </w:r>
      </w:hyperlink>
      <w:r>
        <w:t>.</w:t>
      </w:r>
    </w:p>
  </w:footnote>
  <w:footnote w:id="111">
    <w:p w14:paraId="1FC754B2" w14:textId="139B9AC0" w:rsidR="00DE54C7" w:rsidRPr="000E1D82" w:rsidRDefault="00DE54C7" w:rsidP="00D8171C">
      <w:pPr>
        <w:pStyle w:val="FootnoteText"/>
      </w:pPr>
      <w:r>
        <w:rPr>
          <w:rStyle w:val="FootnoteReference"/>
        </w:rPr>
        <w:footnoteRef/>
      </w:r>
      <w:r>
        <w:t xml:space="preserve"> </w:t>
      </w:r>
      <w:hyperlink r:id="rId137" w:history="1">
        <w:r>
          <w:rPr>
            <w:rStyle w:val="Hyperlink"/>
          </w:rPr>
          <w:t>Projekt ECAC5 – Revizija i ažuriranje Europskog kodeksa protiv raka</w:t>
        </w:r>
      </w:hyperlink>
      <w:r>
        <w:t>.</w:t>
      </w:r>
    </w:p>
  </w:footnote>
  <w:footnote w:id="112">
    <w:p w14:paraId="3D08E15E" w14:textId="6B1F7265" w:rsidR="00DE54C7" w:rsidRPr="001D733D" w:rsidRDefault="00DE54C7" w:rsidP="00D8171C">
      <w:pPr>
        <w:pStyle w:val="FootnoteText"/>
      </w:pPr>
      <w:r>
        <w:rPr>
          <w:rStyle w:val="FootnoteReference"/>
        </w:rPr>
        <w:footnoteRef/>
      </w:r>
      <w:r>
        <w:t xml:space="preserve"> </w:t>
      </w:r>
      <w:hyperlink r:id="rId138" w:history="1">
        <w:r>
          <w:rPr>
            <w:rStyle w:val="Hyperlink"/>
          </w:rPr>
          <w:t>Projekt POCCardio</w:t>
        </w:r>
      </w:hyperlink>
      <w:r>
        <w:t xml:space="preserve">, koji se financira iz programa Obzor Europa (14 milijuna EUR). </w:t>
      </w:r>
    </w:p>
  </w:footnote>
  <w:footnote w:id="113">
    <w:p w14:paraId="10D46CA6" w14:textId="431EB05E" w:rsidR="00EF55CD" w:rsidRPr="00E4479F" w:rsidRDefault="00EF55CD">
      <w:pPr>
        <w:pStyle w:val="FootnoteText"/>
      </w:pPr>
      <w:r>
        <w:rPr>
          <w:rStyle w:val="FootnoteReference"/>
        </w:rPr>
        <w:footnoteRef/>
      </w:r>
      <w:r>
        <w:t xml:space="preserve"> </w:t>
      </w:r>
      <w:hyperlink r:id="rId139" w:history="1">
        <w:r>
          <w:rPr>
            <w:rStyle w:val="Hyperlink"/>
          </w:rPr>
          <w:t>Nediskriminacija – Europska komisija</w:t>
        </w:r>
      </w:hyperlink>
      <w:r>
        <w:t>.</w:t>
      </w:r>
    </w:p>
  </w:footnote>
  <w:footnote w:id="114">
    <w:p w14:paraId="62F1A45B" w14:textId="17083AB8" w:rsidR="007E4B00" w:rsidRPr="001D733D" w:rsidRDefault="00DE54C7" w:rsidP="00D8171C">
      <w:pPr>
        <w:pStyle w:val="FootnoteText"/>
      </w:pPr>
      <w:r>
        <w:rPr>
          <w:rStyle w:val="FootnoteReference"/>
        </w:rPr>
        <w:footnoteRef/>
      </w:r>
      <w:hyperlink r:id="rId140" w:history="1">
        <w:r>
          <w:t xml:space="preserve"> </w:t>
        </w:r>
      </w:hyperlink>
      <w:r>
        <w:rPr>
          <w:i/>
          <w:iCs/>
        </w:rPr>
        <w:t>SCORE2 risk prediction algorithms:</w:t>
      </w:r>
      <w:r>
        <w:t xml:space="preserve"> </w:t>
      </w:r>
      <w:r>
        <w:rPr>
          <w:i/>
          <w:iCs/>
        </w:rPr>
        <w:t>new models to estimate 10-year risk of cardiovascular disease in Europe</w:t>
      </w:r>
      <w:r>
        <w:t xml:space="preserve">, </w:t>
      </w:r>
      <w:r>
        <w:rPr>
          <w:i/>
        </w:rPr>
        <w:t>European Heart Journal</w:t>
      </w:r>
      <w:r>
        <w:t xml:space="preserve">, sv. 42, br. 25, 2021., str. 2439–2454. </w:t>
      </w:r>
      <w:hyperlink r:id="rId141" w:history="1">
        <w:r>
          <w:rPr>
            <w:rStyle w:val="Hyperlink"/>
          </w:rPr>
          <w:t>https://doi.org/10.1093/eurheartj/ehab309</w:t>
        </w:r>
      </w:hyperlink>
      <w:r>
        <w:t>.</w:t>
      </w:r>
    </w:p>
  </w:footnote>
  <w:footnote w:id="115">
    <w:p w14:paraId="4CECF32F" w14:textId="6B12FE22" w:rsidR="00DE54C7" w:rsidRPr="001D733D" w:rsidRDefault="00DE54C7" w:rsidP="00D8171C">
      <w:pPr>
        <w:pStyle w:val="FootnoteText"/>
      </w:pPr>
      <w:r>
        <w:rPr>
          <w:rStyle w:val="FootnoteReference"/>
        </w:rPr>
        <w:footnoteRef/>
      </w:r>
      <w:r>
        <w:t xml:space="preserve"> </w:t>
      </w:r>
      <w:hyperlink r:id="rId142" w:history="1">
        <w:r>
          <w:rPr>
            <w:rStyle w:val="Hyperlink"/>
          </w:rPr>
          <w:t>FH-EARLY</w:t>
        </w:r>
      </w:hyperlink>
      <w:r>
        <w:t xml:space="preserve"> i </w:t>
      </w:r>
      <w:hyperlink r:id="rId143" w:history="1">
        <w:r>
          <w:rPr>
            <w:rStyle w:val="Hyperlink"/>
          </w:rPr>
          <w:t>BIOMARCARE</w:t>
        </w:r>
      </w:hyperlink>
      <w:r>
        <w:t xml:space="preserve">; </w:t>
      </w:r>
      <w:hyperlink r:id="rId144" w:history="1">
        <w:r>
          <w:rPr>
            <w:rStyle w:val="Hyperlink"/>
          </w:rPr>
          <w:t>PERFECTO</w:t>
        </w:r>
      </w:hyperlink>
      <w:r>
        <w:t>.</w:t>
      </w:r>
    </w:p>
  </w:footnote>
  <w:footnote w:id="116">
    <w:p w14:paraId="47C2CA0C" w14:textId="470552AA" w:rsidR="00DE54C7" w:rsidRPr="00F81B96" w:rsidRDefault="00DE54C7" w:rsidP="00D8171C">
      <w:pPr>
        <w:pStyle w:val="FootnoteText"/>
      </w:pPr>
      <w:r>
        <w:rPr>
          <w:rStyle w:val="FootnoteReference"/>
        </w:rPr>
        <w:footnoteRef/>
      </w:r>
      <w:r>
        <w:t xml:space="preserve"> Schunkert, H., Di Angelantonio, E., Inouye, M., Patel, R. S. i dr., </w:t>
      </w:r>
      <w:hyperlink r:id="rId145" w:history="1">
        <w:r>
          <w:rPr>
            <w:rStyle w:val="Hyperlink"/>
            <w:i/>
            <w:iCs/>
          </w:rPr>
          <w:t>Clinical utility and implementation of polygenic risk scores for predicting cardiovascular disease</w:t>
        </w:r>
        <w:r>
          <w:rPr>
            <w:rStyle w:val="Hyperlink"/>
          </w:rPr>
          <w:t xml:space="preserve">, </w:t>
        </w:r>
        <w:r>
          <w:rPr>
            <w:rStyle w:val="Hyperlink"/>
            <w:i/>
          </w:rPr>
          <w:t>European Heart Journal</w:t>
        </w:r>
        <w:r>
          <w:rPr>
            <w:rStyle w:val="Hyperlink"/>
          </w:rPr>
          <w:t>, Oxford Academic,</w:t>
        </w:r>
      </w:hyperlink>
      <w:r>
        <w:t xml:space="preserve"> sv. 46, br. 15, 2025., str. 1372–1383. https://doi.org/10.1093/eurheartj/ehae649.</w:t>
      </w:r>
    </w:p>
  </w:footnote>
  <w:footnote w:id="117">
    <w:p w14:paraId="16CE0235" w14:textId="2D66F77E" w:rsidR="00DE54C7" w:rsidRPr="001D733D" w:rsidRDefault="00DE54C7" w:rsidP="00D8171C">
      <w:pPr>
        <w:pStyle w:val="FootnoteText"/>
      </w:pPr>
      <w:r>
        <w:rPr>
          <w:rStyle w:val="FootnoteReference"/>
        </w:rPr>
        <w:footnoteRef/>
      </w:r>
      <w:r>
        <w:t xml:space="preserve"> </w:t>
      </w:r>
      <w:hyperlink r:id="rId146" w:history="1">
        <w:r>
          <w:rPr>
            <w:rStyle w:val="Hyperlink"/>
          </w:rPr>
          <w:t>Inicijativa virtualnih ljudskih blizanaca Virtual Human Twins za zdravstvo i skrb</w:t>
        </w:r>
      </w:hyperlink>
      <w:r>
        <w:rPr>
          <w:rStyle w:val="Hyperlink"/>
        </w:rPr>
        <w:t>.</w:t>
      </w:r>
      <w:r>
        <w:t xml:space="preserve"> </w:t>
      </w:r>
    </w:p>
  </w:footnote>
  <w:footnote w:id="118">
    <w:p w14:paraId="025D4BE5" w14:textId="31A2F027" w:rsidR="00057F97" w:rsidRPr="00695AB7" w:rsidRDefault="00057F97" w:rsidP="00D8171C">
      <w:pPr>
        <w:pStyle w:val="FootnoteText"/>
      </w:pPr>
      <w:r>
        <w:rPr>
          <w:rStyle w:val="FootnoteReference"/>
        </w:rPr>
        <w:footnoteRef/>
      </w:r>
      <w:r>
        <w:t xml:space="preserve"> </w:t>
      </w:r>
      <w:hyperlink r:id="rId147" w:history="1">
        <w:r>
          <w:rPr>
            <w:rStyle w:val="Hyperlink"/>
          </w:rPr>
          <w:t>EUCanScreen</w:t>
        </w:r>
      </w:hyperlink>
      <w:r>
        <w:t xml:space="preserve">, </w:t>
      </w:r>
      <w:hyperlink r:id="rId148" w:history="1">
        <w:r>
          <w:rPr>
            <w:rStyle w:val="Hyperlink"/>
          </w:rPr>
          <w:t>Solace</w:t>
        </w:r>
      </w:hyperlink>
      <w:r>
        <w:t xml:space="preserve">, </w:t>
      </w:r>
      <w:hyperlink r:id="rId149" w:history="1">
        <w:r>
          <w:rPr>
            <w:rStyle w:val="Hyperlink"/>
          </w:rPr>
          <w:t>Oncoscreen</w:t>
        </w:r>
      </w:hyperlink>
      <w:r>
        <w:t>.</w:t>
      </w:r>
    </w:p>
  </w:footnote>
  <w:footnote w:id="119">
    <w:p w14:paraId="5CCB2C73" w14:textId="2D5C6FB2" w:rsidR="00DE54C7" w:rsidRPr="000E1D82" w:rsidRDefault="00DE54C7" w:rsidP="00D8171C">
      <w:pPr>
        <w:pStyle w:val="FootnoteText"/>
      </w:pPr>
      <w:r>
        <w:rPr>
          <w:rStyle w:val="FootnoteReference"/>
        </w:rPr>
        <w:footnoteRef/>
      </w:r>
      <w:r>
        <w:t xml:space="preserve"> Casassus, B., </w:t>
      </w:r>
      <w:r>
        <w:rPr>
          <w:i/>
          <w:iCs/>
        </w:rPr>
        <w:t>Patients with chronic diseases do better with personalised care, international survey finds</w:t>
      </w:r>
      <w:r>
        <w:t xml:space="preserve">, </w:t>
      </w:r>
      <w:r>
        <w:rPr>
          <w:rStyle w:val="Emphasis"/>
        </w:rPr>
        <w:t>BMJ</w:t>
      </w:r>
      <w:r>
        <w:rPr>
          <w:rStyle w:val="Emphasis"/>
          <w:i w:val="0"/>
          <w:iCs w:val="0"/>
        </w:rPr>
        <w:t>,</w:t>
      </w:r>
      <w:r>
        <w:rPr>
          <w:rStyle w:val="Emphasis"/>
        </w:rPr>
        <w:t xml:space="preserve"> </w:t>
      </w:r>
      <w:r>
        <w:rPr>
          <w:rStyle w:val="Emphasis"/>
          <w:i w:val="0"/>
          <w:iCs w:val="0"/>
        </w:rPr>
        <w:t>388</w:t>
      </w:r>
      <w:r>
        <w:t xml:space="preserve">, 2025., r365. </w:t>
      </w:r>
      <w:hyperlink r:id="rId150" w:history="1">
        <w:r>
          <w:rPr>
            <w:rStyle w:val="Hyperlink"/>
          </w:rPr>
          <w:t>https://doi.org/10.1136/bmj.r365</w:t>
        </w:r>
      </w:hyperlink>
      <w:r>
        <w:t>.</w:t>
      </w:r>
    </w:p>
  </w:footnote>
  <w:footnote w:id="120">
    <w:p w14:paraId="797517AF" w14:textId="425B4B23" w:rsidR="00DE54C7" w:rsidRPr="004D4955" w:rsidRDefault="00DE54C7" w:rsidP="00D8171C">
      <w:pPr>
        <w:pStyle w:val="FootnoteText"/>
      </w:pPr>
      <w:r>
        <w:rPr>
          <w:rStyle w:val="FootnoteReference"/>
        </w:rPr>
        <w:footnoteRef/>
      </w:r>
      <w:r>
        <w:t xml:space="preserve"> </w:t>
      </w:r>
      <w:hyperlink r:id="rId151" w:history="1">
        <w:r>
          <w:rPr>
            <w:rStyle w:val="Hyperlink"/>
          </w:rPr>
          <w:t>HT-ADVANCE</w:t>
        </w:r>
      </w:hyperlink>
      <w:r>
        <w:t xml:space="preserve">, projekt financiran u okviru programa Obzor Europa; Shorbaji, A., Pushparaj, P. N., Al-Ghafari, A. B. i dr., </w:t>
      </w:r>
      <w:r>
        <w:rPr>
          <w:i/>
          <w:iCs/>
        </w:rPr>
        <w:t>A narrative review of research advancements in pharmacogenetics of cardiovascular disease and impact on clinical implications</w:t>
      </w:r>
      <w:r>
        <w:t>,  </w:t>
      </w:r>
      <w:r>
        <w:rPr>
          <w:i/>
        </w:rPr>
        <w:t>NPJ Genom</w:t>
      </w:r>
      <w:r>
        <w:t xml:space="preserve">. </w:t>
      </w:r>
      <w:r>
        <w:rPr>
          <w:i/>
        </w:rPr>
        <w:t>Med.</w:t>
      </w:r>
      <w:r>
        <w:t xml:space="preserve"> sv. 10, 2025., str. 54. </w:t>
      </w:r>
      <w:hyperlink r:id="rId152" w:history="1">
        <w:r>
          <w:rPr>
            <w:rStyle w:val="Hyperlink"/>
            <w:u w:val="none"/>
          </w:rPr>
          <w:t>https://pubmed.ncbi.nlm.nih.gov/40640196/</w:t>
        </w:r>
      </w:hyperlink>
      <w:r>
        <w:t>.</w:t>
      </w:r>
    </w:p>
  </w:footnote>
  <w:footnote w:id="121">
    <w:p w14:paraId="1C1A8D10" w14:textId="215A4664" w:rsidR="00DE54C7" w:rsidRPr="00B479F4" w:rsidRDefault="00DE54C7" w:rsidP="00D8171C">
      <w:pPr>
        <w:pStyle w:val="FootnoteText"/>
        <w:rPr>
          <w:szCs w:val="20"/>
        </w:rPr>
      </w:pPr>
      <w:r>
        <w:rPr>
          <w:rStyle w:val="FootnoteReference"/>
          <w:szCs w:val="20"/>
        </w:rPr>
        <w:footnoteRef/>
      </w:r>
      <w:r>
        <w:t xml:space="preserve"> </w:t>
      </w:r>
      <w:r>
        <w:rPr>
          <w:rStyle w:val="FootnoteReference"/>
          <w:vertAlign w:val="baseline"/>
        </w:rPr>
        <w:t>Izvješće OECD-a (</w:t>
      </w:r>
      <w:r>
        <w:t>2025.)</w:t>
      </w:r>
      <w:r>
        <w:rPr>
          <w:rStyle w:val="FootnoteReference"/>
          <w:vertAlign w:val="baseline"/>
        </w:rPr>
        <w:t xml:space="preserve"> o stanju kardiovaskularnog zdravlja u EU-u – </w:t>
      </w:r>
      <w:hyperlink r:id="rId153" w:history="1">
        <w:r>
          <w:rPr>
            <w:rStyle w:val="Hyperlink"/>
            <w:i/>
            <w:iCs/>
          </w:rPr>
          <w:t>The state of cardiovascular health in the EU</w:t>
        </w:r>
      </w:hyperlink>
      <w:r>
        <w:rPr>
          <w:rStyle w:val="FootnoteReference"/>
          <w:vertAlign w:val="baseline"/>
        </w:rPr>
        <w:t xml:space="preserve">. </w:t>
      </w:r>
    </w:p>
  </w:footnote>
  <w:footnote w:id="122">
    <w:p w14:paraId="41A25549" w14:textId="77777777" w:rsidR="00DE54C7" w:rsidRPr="000E1D82" w:rsidRDefault="00DE54C7" w:rsidP="00DE54C7">
      <w:pPr>
        <w:spacing w:after="0" w:line="240" w:lineRule="auto"/>
        <w:rPr>
          <w:rFonts w:eastAsia="Times New Roman" w:cs="Times New Roman"/>
          <w:color w:val="333333"/>
          <w:sz w:val="20"/>
          <w:szCs w:val="20"/>
        </w:rPr>
      </w:pPr>
      <w:r>
        <w:rPr>
          <w:rStyle w:val="FootnoteReference"/>
          <w:rFonts w:eastAsiaTheme="minorEastAsia" w:cs="Times New Roman"/>
          <w:sz w:val="20"/>
          <w:szCs w:val="20"/>
        </w:rPr>
        <w:footnoteRef/>
      </w:r>
      <w:r>
        <w:rPr>
          <w:sz w:val="20"/>
        </w:rPr>
        <w:t xml:space="preserve"> </w:t>
      </w:r>
      <w:hyperlink r:id="rId154" w:history="1">
        <w:r>
          <w:rPr>
            <w:rStyle w:val="Hyperlink"/>
            <w:sz w:val="20"/>
          </w:rPr>
          <w:t>eCAN – Zajednička akcija</w:t>
        </w:r>
      </w:hyperlink>
      <w:r>
        <w:t>.</w:t>
      </w:r>
    </w:p>
  </w:footnote>
  <w:footnote w:id="123">
    <w:p w14:paraId="0BAEAD63" w14:textId="70B65F19" w:rsidR="00DE54C7" w:rsidRPr="00B479F4" w:rsidRDefault="00DE54C7" w:rsidP="00D8171C">
      <w:pPr>
        <w:pStyle w:val="FootnoteText"/>
        <w:rPr>
          <w:szCs w:val="20"/>
        </w:rPr>
      </w:pPr>
      <w:r>
        <w:rPr>
          <w:rStyle w:val="FootnoteReference"/>
          <w:szCs w:val="20"/>
        </w:rPr>
        <w:footnoteRef/>
      </w:r>
      <w:r>
        <w:t xml:space="preserve"> </w:t>
      </w:r>
      <w:hyperlink r:id="rId155" w:history="1">
        <w:r>
          <w:rPr>
            <w:rStyle w:val="Hyperlink"/>
          </w:rPr>
          <w:t>INCAREHEART</w:t>
        </w:r>
      </w:hyperlink>
      <w:r>
        <w:t xml:space="preserve">, projekt financiran u okviru programa Obzor 2020. </w:t>
      </w:r>
    </w:p>
  </w:footnote>
  <w:footnote w:id="124">
    <w:p w14:paraId="473E569A" w14:textId="059E8A9D" w:rsidR="00DE54C7" w:rsidRPr="00B479F4" w:rsidRDefault="00DE54C7" w:rsidP="00D8171C">
      <w:pPr>
        <w:pStyle w:val="FootnoteText"/>
        <w:rPr>
          <w:szCs w:val="20"/>
        </w:rPr>
      </w:pPr>
      <w:r>
        <w:rPr>
          <w:rStyle w:val="FootnoteReference"/>
          <w:szCs w:val="20"/>
        </w:rPr>
        <w:footnoteRef/>
      </w:r>
      <w:r>
        <w:t xml:space="preserve"> To će se temeljiti na projektima kao što su </w:t>
      </w:r>
      <w:hyperlink r:id="rId156" w:history="1">
        <w:r>
          <w:rPr>
            <w:rStyle w:val="Hyperlink"/>
          </w:rPr>
          <w:t>JACARDI</w:t>
        </w:r>
      </w:hyperlink>
      <w:r>
        <w:t xml:space="preserve"> i projekti pod vodstvom dionika.</w:t>
      </w:r>
    </w:p>
  </w:footnote>
  <w:footnote w:id="125">
    <w:p w14:paraId="3D8D2F28" w14:textId="677D3CD7" w:rsidR="00DE54C7" w:rsidRPr="00B479F4" w:rsidRDefault="00DE54C7" w:rsidP="00D8171C">
      <w:pPr>
        <w:pStyle w:val="FootnoteText"/>
        <w:rPr>
          <w:szCs w:val="20"/>
        </w:rPr>
      </w:pPr>
      <w:r>
        <w:rPr>
          <w:rStyle w:val="FootnoteReference"/>
          <w:szCs w:val="20"/>
        </w:rPr>
        <w:footnoteRef/>
      </w:r>
      <w:r>
        <w:t xml:space="preserve"> </w:t>
      </w:r>
      <w:hyperlink r:id="rId157" w:history="1">
        <w:r>
          <w:rPr>
            <w:rStyle w:val="Hyperlink"/>
          </w:rPr>
          <w:t>Sveobuhvatan pristup EU-a mentalnom zdravlju</w:t>
        </w:r>
      </w:hyperlink>
      <w:r>
        <w:t>.</w:t>
      </w:r>
    </w:p>
  </w:footnote>
  <w:footnote w:id="126">
    <w:p w14:paraId="6C56E9DF" w14:textId="77777777" w:rsidR="00DE54C7" w:rsidRPr="00B479F4" w:rsidRDefault="00DE54C7" w:rsidP="00D8171C">
      <w:pPr>
        <w:pStyle w:val="FootnoteText"/>
        <w:rPr>
          <w:szCs w:val="20"/>
        </w:rPr>
      </w:pPr>
      <w:r>
        <w:rPr>
          <w:rStyle w:val="FootnoteReference"/>
          <w:szCs w:val="20"/>
        </w:rPr>
        <w:footnoteRef/>
      </w:r>
      <w:r>
        <w:t xml:space="preserve"> </w:t>
      </w:r>
      <w:hyperlink r:id="rId158" w:history="1">
        <w:r>
          <w:rPr>
            <w:rStyle w:val="Hyperlink"/>
          </w:rPr>
          <w:t>Stranica projekta EU-PROMENS – EU-PROMENS</w:t>
        </w:r>
      </w:hyperlink>
      <w:r>
        <w:t>.</w:t>
      </w:r>
    </w:p>
  </w:footnote>
  <w:footnote w:id="127">
    <w:p w14:paraId="35D2CC5E" w14:textId="3588A74E" w:rsidR="007E4B00" w:rsidRPr="007E4B00" w:rsidRDefault="007E4B00">
      <w:pPr>
        <w:pStyle w:val="FootnoteText"/>
      </w:pPr>
      <w:r>
        <w:rPr>
          <w:rStyle w:val="FootnoteReference"/>
        </w:rPr>
        <w:footnoteRef/>
      </w:r>
      <w:r>
        <w:t xml:space="preserve"> </w:t>
      </w:r>
      <w:hyperlink r:id="rId159" w:history="1">
        <w:r>
          <w:rPr>
            <w:rStyle w:val="Hyperlink"/>
          </w:rPr>
          <w:t>Savez EUTOPIA</w:t>
        </w:r>
      </w:hyperlink>
      <w:r>
        <w:t xml:space="preserve">, </w:t>
      </w:r>
      <w:hyperlink r:id="rId160" w:history="1">
        <w:r>
          <w:rPr>
            <w:rStyle w:val="Hyperlink"/>
          </w:rPr>
          <w:t>Savez europskih sveučilišta CIVIS</w:t>
        </w:r>
      </w:hyperlink>
      <w:r>
        <w:t xml:space="preserve">, </w:t>
      </w:r>
      <w:hyperlink r:id="rId161" w:history="1">
        <w:r>
          <w:rPr>
            <w:rStyle w:val="Hyperlink"/>
          </w:rPr>
          <w:t>Savez europskih sveučilišta za globalno zdravlje</w:t>
        </w:r>
      </w:hyperlink>
      <w:r>
        <w:t xml:space="preserve"> i </w:t>
      </w:r>
      <w:hyperlink r:id="rId162" w:history="1">
        <w:r>
          <w:rPr>
            <w:rStyle w:val="Hyperlink"/>
          </w:rPr>
          <w:t>Savez EC2U</w:t>
        </w:r>
      </w:hyperlink>
      <w:r>
        <w:t xml:space="preserve"> nude obrazovanje i osposobljavanje relevantno za javno zdravlje.</w:t>
      </w:r>
    </w:p>
  </w:footnote>
  <w:footnote w:id="128">
    <w:p w14:paraId="5D56EFC5" w14:textId="15DBAE0E" w:rsidR="00DE54C7" w:rsidRPr="00A313E9" w:rsidRDefault="00DE54C7" w:rsidP="00D8171C">
      <w:pPr>
        <w:pStyle w:val="FootnoteText"/>
        <w:rPr>
          <w:szCs w:val="20"/>
        </w:rPr>
      </w:pPr>
      <w:r>
        <w:rPr>
          <w:rStyle w:val="FootnoteReference"/>
          <w:szCs w:val="20"/>
        </w:rPr>
        <w:footnoteRef/>
      </w:r>
      <w:r>
        <w:t xml:space="preserve"> </w:t>
      </w:r>
      <w:hyperlink r:id="rId163" w:history="1">
        <w:r>
          <w:rPr>
            <w:rStyle w:val="Hyperlink"/>
          </w:rPr>
          <w:t xml:space="preserve">Prijedlog uredbe Europskog parlamenta i Vijeća o izmjeni uredaba (EU) 2017/745 i (EU) 2017/746 u pogledu pojednostavnjenja i smanjenja opterećenja pravilima o medicinskim proizvodima i </w:t>
        </w:r>
        <w:r>
          <w:rPr>
            <w:rStyle w:val="Hyperlink"/>
            <w:i/>
            <w:iCs/>
          </w:rPr>
          <w:t>in vitro</w:t>
        </w:r>
        <w:r>
          <w:rPr>
            <w:rStyle w:val="Hyperlink"/>
          </w:rPr>
          <w:t xml:space="preserve"> dijagnostičkim medicinskim proizvodima te o izmjeni Uredbe (EU) 2022/123 u pogledu potpore Europske agencije za lijekove stručnim skupinama za medicinske proizvode i Uredbe (EU) 2024/1689 u pogledu popisa zakonodavstva Unije o usklađivanju iz njezina Priloga I.</w:t>
        </w:r>
      </w:hyperlink>
    </w:p>
  </w:footnote>
  <w:footnote w:id="129">
    <w:p w14:paraId="6B3937CC" w14:textId="69A6267F" w:rsidR="00DE54C7" w:rsidRPr="00E86653" w:rsidRDefault="00DE54C7" w:rsidP="00D8171C">
      <w:pPr>
        <w:pStyle w:val="FootnoteText"/>
      </w:pPr>
      <w:r>
        <w:rPr>
          <w:rStyle w:val="FootnoteReference"/>
          <w:szCs w:val="20"/>
        </w:rPr>
        <w:footnoteRef/>
      </w:r>
      <w:r>
        <w:t xml:space="preserve"> </w:t>
      </w:r>
      <w:hyperlink r:id="rId164" w:tgtFrame="_blank" w:history="1">
        <w:r>
          <w:rPr>
            <w:rStyle w:val="Hyperlink"/>
          </w:rPr>
          <w:t xml:space="preserve">Uredba (EU) 2017/746 Europskog parlamenta i Vijeća od 5. travnja 2017. o </w:t>
        </w:r>
        <w:r>
          <w:rPr>
            <w:rStyle w:val="Hyperlink"/>
            <w:i/>
            <w:iCs/>
          </w:rPr>
          <w:t>in vitro</w:t>
        </w:r>
        <w:r>
          <w:rPr>
            <w:rStyle w:val="Hyperlink"/>
          </w:rPr>
          <w:t xml:space="preserve"> dijagnostičkim medicinskim proizvodima, SL L 117, 5.5.2017., str. 176</w:t>
        </w:r>
      </w:hyperlink>
      <w:r>
        <w:t>.</w:t>
      </w:r>
    </w:p>
  </w:footnote>
  <w:footnote w:id="130">
    <w:p w14:paraId="0D1E8825" w14:textId="20363456" w:rsidR="00DE54C7" w:rsidRPr="00E86653" w:rsidRDefault="00DE54C7" w:rsidP="00D8171C">
      <w:pPr>
        <w:pStyle w:val="FootnoteText"/>
      </w:pPr>
      <w:r>
        <w:rPr>
          <w:rStyle w:val="FootnoteReference"/>
        </w:rPr>
        <w:footnoteRef/>
      </w:r>
      <w:r>
        <w:t xml:space="preserve"> </w:t>
      </w:r>
      <w:hyperlink r:id="rId165" w:history="1">
        <w:r>
          <w:rPr>
            <w:rStyle w:val="Hyperlink"/>
          </w:rPr>
          <w:t>Akt o kritičnim lijekovima – Javno zdravlje – Europska komisija</w:t>
        </w:r>
      </w:hyperlink>
      <w:r>
        <w:t>.</w:t>
      </w:r>
    </w:p>
  </w:footnote>
  <w:footnote w:id="131">
    <w:p w14:paraId="6759B0CE" w14:textId="5A5E3B12" w:rsidR="00DE54C7" w:rsidRPr="000E1D82" w:rsidRDefault="00DE54C7" w:rsidP="00D8171C">
      <w:pPr>
        <w:pStyle w:val="FootnoteText"/>
      </w:pPr>
      <w:r>
        <w:rPr>
          <w:rStyle w:val="FootnoteReference"/>
        </w:rPr>
        <w:footnoteRef/>
      </w:r>
      <w:r>
        <w:t xml:space="preserve"> Trenutačni EU-ov popis kritičnih lijekova uključuje lijekove koji su relevantni za kardiovaskularnu skrb. </w:t>
      </w:r>
      <w:hyperlink r:id="rId166" w:history="1">
        <w:r>
          <w:rPr>
            <w:rStyle w:val="Hyperlink"/>
          </w:rPr>
          <w:t>Europska agencija za lijekove (EMA)</w:t>
        </w:r>
      </w:hyperlink>
      <w:r>
        <w:t>.</w:t>
      </w:r>
    </w:p>
  </w:footnote>
  <w:footnote w:id="132">
    <w:p w14:paraId="599FF94D" w14:textId="27AFD6FA" w:rsidR="0033265A" w:rsidRPr="00967957" w:rsidRDefault="0033265A">
      <w:pPr>
        <w:pStyle w:val="FootnoteText"/>
      </w:pPr>
      <w:r>
        <w:rPr>
          <w:rStyle w:val="FootnoteReference"/>
        </w:rPr>
        <w:footnoteRef/>
      </w:r>
      <w:r>
        <w:t xml:space="preserve"> COM(2025) 1022 [Prijedlog uredbe Europskog parlamenta i Vijeća o uspostavi okvira mjera za jačanje sektora biotehnologije i bioproizvodnje u Uniji, posebno u području zdravlja, i o izmjeni uredaba (EZ) br. 178/2002, (EZ) br. 1394/2007, (EU) br. 536/2014, (EU) 2019/6, (EU) 2024/795 i (EU) 2024/1938]; COM(2025) 1031 [Prijedlog direktive Europskog parlamenta i Vijeća o izmjeni direktiva 2001/18/EZ i 2010/53/EU u pogledu stavljanja na tržište genetički modificiranih mikroorganizama i obrade organa].</w:t>
      </w:r>
    </w:p>
  </w:footnote>
  <w:footnote w:id="133">
    <w:p w14:paraId="7FB059D3" w14:textId="386437CF" w:rsidR="00B83D76" w:rsidRPr="00B83D76" w:rsidRDefault="00B83D76">
      <w:pPr>
        <w:pStyle w:val="FootnoteText"/>
      </w:pPr>
      <w:r>
        <w:rPr>
          <w:rStyle w:val="FootnoteReference"/>
        </w:rPr>
        <w:footnoteRef/>
      </w:r>
      <w:r>
        <w:t xml:space="preserve"> </w:t>
      </w:r>
      <w:hyperlink r:id="rId167" w:history="1">
        <w:r>
          <w:rPr>
            <w:rStyle w:val="Hyperlink"/>
          </w:rPr>
          <w:t>Strategija za europske biološke znanosti – Istraživanja i inovacije</w:t>
        </w:r>
      </w:hyperlink>
      <w:r>
        <w:t xml:space="preserve">. </w:t>
      </w:r>
    </w:p>
  </w:footnote>
  <w:footnote w:id="134">
    <w:p w14:paraId="305F7108" w14:textId="0CD8635D" w:rsidR="00DE54C7" w:rsidRPr="008E2BC8" w:rsidRDefault="00DE54C7" w:rsidP="00D8171C">
      <w:pPr>
        <w:pStyle w:val="FootnoteText"/>
      </w:pPr>
      <w:r>
        <w:rPr>
          <w:rStyle w:val="FootnoteReference"/>
        </w:rPr>
        <w:footnoteRef/>
      </w:r>
      <w:r>
        <w:t xml:space="preserve"> </w:t>
      </w:r>
      <w:hyperlink r:id="rId168" w:history="1">
        <w:r>
          <w:rPr>
            <w:rStyle w:val="Hyperlink"/>
          </w:rPr>
          <w:t>Dokument s preporukama o decentraliziranim elementima u kliničkim ispitivanjima</w:t>
        </w:r>
      </w:hyperlink>
      <w:r>
        <w:t>.</w:t>
      </w:r>
    </w:p>
  </w:footnote>
  <w:footnote w:id="135">
    <w:p w14:paraId="58800E21" w14:textId="5EA448BC" w:rsidR="00DE54C7" w:rsidRDefault="00DE54C7" w:rsidP="00D8171C">
      <w:pPr>
        <w:pStyle w:val="FootnoteText"/>
      </w:pPr>
      <w:r>
        <w:rPr>
          <w:rStyle w:val="FootnoteReference"/>
        </w:rPr>
        <w:footnoteRef/>
      </w:r>
      <w:r>
        <w:t xml:space="preserve"> Uredba (EU) 2021/2282 Europskog parlamenta i Vijeća od 15. prosinca 2021. o </w:t>
      </w:r>
      <w:hyperlink r:id="rId169" w:history="1">
        <w:r>
          <w:rPr>
            <w:rStyle w:val="Hyperlink"/>
          </w:rPr>
          <w:t>procjeni zdravstvenih tehnologija</w:t>
        </w:r>
      </w:hyperlink>
      <w:r>
        <w:t>, SL L 458, 22.12.2021., str. 1.</w:t>
      </w:r>
    </w:p>
  </w:footnote>
  <w:footnote w:id="136">
    <w:p w14:paraId="1149A9CA" w14:textId="77777777" w:rsidR="00DE54C7" w:rsidRPr="00E86653" w:rsidRDefault="00DE54C7" w:rsidP="00D8171C">
      <w:pPr>
        <w:pStyle w:val="FootnoteText"/>
      </w:pPr>
      <w:r>
        <w:rPr>
          <w:rStyle w:val="FootnoteReference"/>
        </w:rPr>
        <w:footnoteRef/>
      </w:r>
      <w:r>
        <w:t xml:space="preserve"> </w:t>
      </w:r>
      <w:hyperlink r:id="rId170" w:history="1">
        <w:r>
          <w:rPr>
            <w:rStyle w:val="Hyperlink"/>
          </w:rPr>
          <w:t>Instrument za tehničku potporu (TSI)</w:t>
        </w:r>
      </w:hyperlink>
      <w:r>
        <w:t>.</w:t>
      </w:r>
    </w:p>
  </w:footnote>
  <w:footnote w:id="137">
    <w:p w14:paraId="520364E7" w14:textId="1A903AE5" w:rsidR="00DE54C7" w:rsidRPr="00E86653" w:rsidRDefault="00DE54C7" w:rsidP="00D8171C">
      <w:pPr>
        <w:pStyle w:val="FootnoteText"/>
      </w:pPr>
      <w:r>
        <w:rPr>
          <w:rStyle w:val="FootnoteReference"/>
        </w:rPr>
        <w:footnoteRef/>
      </w:r>
      <w:r>
        <w:t xml:space="preserve"> </w:t>
      </w:r>
      <w:hyperlink r:id="rId171" w:history="1">
        <w:r>
          <w:rPr>
            <w:rStyle w:val="Hyperlink"/>
          </w:rPr>
          <w:t>Uredba (EU) 2021/240 Europskog parlamenta i Vijeća od 10. veljače 2021. o uspostavi Instrumenta za tehničku potporu, SL L 57, 18.2.2021., str. 1.</w:t>
        </w:r>
      </w:hyperlink>
    </w:p>
  </w:footnote>
  <w:footnote w:id="138">
    <w:p w14:paraId="6742C66F" w14:textId="3A02A9B5" w:rsidR="00DE54C7" w:rsidRPr="001D733D" w:rsidRDefault="00DE54C7" w:rsidP="00D8171C">
      <w:pPr>
        <w:pStyle w:val="FootnoteText"/>
      </w:pPr>
      <w:r>
        <w:rPr>
          <w:rStyle w:val="FootnoteReference"/>
        </w:rPr>
        <w:footnoteRef/>
      </w:r>
      <w:r>
        <w:t xml:space="preserve"> I njegovim povezivanjem s drugim relevantnim europskim podatkovnim prostorima, kao što je podatkovni prostor za zeleni plan.</w:t>
      </w:r>
    </w:p>
  </w:footnote>
  <w:footnote w:id="139">
    <w:p w14:paraId="07C38C56" w14:textId="64F2BCD4" w:rsidR="00DE54C7" w:rsidRDefault="00DE54C7" w:rsidP="00D8171C">
      <w:pPr>
        <w:pStyle w:val="FootnoteText"/>
      </w:pPr>
      <w:r>
        <w:rPr>
          <w:rStyle w:val="FootnoteReference"/>
        </w:rPr>
        <w:footnoteRef/>
      </w:r>
      <w:r>
        <w:t xml:space="preserve"> Na primjer, projekt </w:t>
      </w:r>
      <w:hyperlink r:id="rId172" w:history="1">
        <w:r>
          <w:rPr>
            <w:rStyle w:val="Hyperlink"/>
          </w:rPr>
          <w:t>CARAMEL</w:t>
        </w:r>
      </w:hyperlink>
      <w:r>
        <w:t xml:space="preserve"> financiran u okviru programa Obzor Europa. </w:t>
      </w:r>
    </w:p>
  </w:footnote>
  <w:footnote w:id="140">
    <w:p w14:paraId="73EB63F4" w14:textId="48C66114" w:rsidR="00DE54C7" w:rsidRPr="000E1D82" w:rsidRDefault="00DE54C7" w:rsidP="00D8171C">
      <w:pPr>
        <w:pStyle w:val="FootnoteText"/>
      </w:pPr>
      <w:r>
        <w:rPr>
          <w:rStyle w:val="FootnoteReference"/>
        </w:rPr>
        <w:footnoteRef/>
      </w:r>
      <w:r>
        <w:t xml:space="preserve"> </w:t>
      </w:r>
      <w:hyperlink r:id="rId173" w:history="1">
        <w:r>
          <w:rPr>
            <w:rStyle w:val="Hyperlink"/>
          </w:rPr>
          <w:t>Europska inicijativa „1+ milijun genoma”.</w:t>
        </w:r>
      </w:hyperlink>
    </w:p>
  </w:footnote>
  <w:footnote w:id="141">
    <w:p w14:paraId="286687FF" w14:textId="0549C9B2" w:rsidR="00DE54C7" w:rsidRPr="000E1D82" w:rsidRDefault="00DE54C7" w:rsidP="00D8171C">
      <w:pPr>
        <w:pStyle w:val="FootnoteText"/>
      </w:pPr>
      <w:r>
        <w:rPr>
          <w:rStyle w:val="FootnoteReference"/>
        </w:rPr>
        <w:footnoteRef/>
      </w:r>
      <w:r>
        <w:t xml:space="preserve"> </w:t>
      </w:r>
      <w:hyperlink r:id="rId174" w:history="1">
        <w:r>
          <w:rPr>
            <w:rStyle w:val="Hyperlink"/>
          </w:rPr>
          <w:t>Pokrenut projekt Genom Europe:</w:t>
        </w:r>
      </w:hyperlink>
      <w:hyperlink r:id="rId175" w:history="1">
        <w:r>
          <w:rPr>
            <w:rStyle w:val="Hyperlink"/>
          </w:rPr>
          <w:t xml:space="preserve"> prvi korak prema europskom referentnom genomu.</w:t>
        </w:r>
      </w:hyperlink>
    </w:p>
  </w:footnote>
  <w:footnote w:id="142">
    <w:p w14:paraId="2F57611F" w14:textId="540CF449" w:rsidR="00DE54C7" w:rsidRPr="000E1D82" w:rsidRDefault="00DE54C7" w:rsidP="00D8171C">
      <w:pPr>
        <w:pStyle w:val="FootnoteText"/>
      </w:pPr>
      <w:r>
        <w:rPr>
          <w:rStyle w:val="FootnoteReference"/>
        </w:rPr>
        <w:footnoteRef/>
      </w:r>
      <w:r>
        <w:t xml:space="preserve"> </w:t>
      </w:r>
      <w:hyperlink r:id="rId176" w:history="1">
        <w:r>
          <w:rPr>
            <w:rStyle w:val="Hyperlink"/>
          </w:rPr>
          <w:t>Akcijski plan za kontinent umjetne inteligencije.</w:t>
        </w:r>
      </w:hyperlink>
    </w:p>
  </w:footnote>
  <w:footnote w:id="143">
    <w:p w14:paraId="4635AD1E" w14:textId="0822B0CC" w:rsidR="00DE54C7" w:rsidRPr="001D733D" w:rsidRDefault="00DE54C7" w:rsidP="00D8171C">
      <w:pPr>
        <w:pStyle w:val="FootnoteText"/>
      </w:pPr>
      <w:r>
        <w:rPr>
          <w:rStyle w:val="FootnoteReference"/>
        </w:rPr>
        <w:footnoteRef/>
      </w:r>
      <w:r>
        <w:t xml:space="preserve"> </w:t>
      </w:r>
      <w:hyperlink r:id="rId177" w:history="1">
        <w:r>
          <w:rPr>
            <w:rStyle w:val="Hyperlink"/>
          </w:rPr>
          <w:t>Strategija za primjenu umjetne inteligencije</w:t>
        </w:r>
      </w:hyperlink>
      <w:r>
        <w:t>.</w:t>
      </w:r>
    </w:p>
  </w:footnote>
  <w:footnote w:id="144">
    <w:p w14:paraId="143F287D" w14:textId="77777777" w:rsidR="00DE54C7" w:rsidRPr="000E1D82" w:rsidRDefault="00DE54C7" w:rsidP="00D8171C">
      <w:pPr>
        <w:pStyle w:val="FootnoteText"/>
      </w:pPr>
      <w:r>
        <w:rPr>
          <w:rStyle w:val="FootnoteReference"/>
        </w:rPr>
        <w:footnoteRef/>
      </w:r>
      <w:r>
        <w:t xml:space="preserve"> Projekt </w:t>
      </w:r>
      <w:hyperlink r:id="rId178" w:history="1">
        <w:r>
          <w:rPr>
            <w:rStyle w:val="Hyperlink"/>
          </w:rPr>
          <w:t>SHAIPED</w:t>
        </w:r>
      </w:hyperlink>
      <w:r>
        <w:t xml:space="preserve"> financira se u okviru programa Digitalna Europa.</w:t>
      </w:r>
    </w:p>
  </w:footnote>
  <w:footnote w:id="145">
    <w:p w14:paraId="5600F144" w14:textId="2A302548" w:rsidR="00DE54C7" w:rsidRPr="00DF6469" w:rsidRDefault="00DE54C7" w:rsidP="00D8171C">
      <w:pPr>
        <w:pStyle w:val="FootnoteText"/>
      </w:pPr>
      <w:r>
        <w:rPr>
          <w:rStyle w:val="FootnoteReference"/>
        </w:rPr>
        <w:footnoteRef/>
      </w:r>
      <w:r>
        <w:t xml:space="preserve"> Europska komisija: Zajednički istraživački centar (2025., </w:t>
      </w:r>
      <w:hyperlink r:id="rId179" w:history="1">
        <w:r>
          <w:rPr>
            <w:rStyle w:val="Hyperlink"/>
            <w:i/>
          </w:rPr>
          <w:t>Inovacije u medicinskim snimanjima koje se temelje na umjetnoj inteligenciji – fokus na raku pluća i kardiovaskularnim bolestima</w:t>
        </w:r>
      </w:hyperlink>
      <w:r>
        <w:t xml:space="preserve">;  ciljane inicijative temeljit će se na projektima kao što su </w:t>
      </w:r>
      <w:hyperlink r:id="rId180" w:history="1">
        <w:r>
          <w:rPr>
            <w:rStyle w:val="Hyperlink"/>
          </w:rPr>
          <w:t>COMPASS AI</w:t>
        </w:r>
      </w:hyperlink>
      <w:r>
        <w:t xml:space="preserve">, infrastrukture </w:t>
      </w:r>
      <w:hyperlink r:id="rId181" w:history="1">
        <w:r>
          <w:rPr>
            <w:rStyle w:val="Hyperlink"/>
          </w:rPr>
          <w:t>europskog prostora za zdravstvene podatke</w:t>
        </w:r>
      </w:hyperlink>
      <w:r>
        <w:t xml:space="preserve">, </w:t>
      </w:r>
      <w:hyperlink r:id="rId182" w:history="1">
        <w:r>
          <w:rPr>
            <w:rStyle w:val="Hyperlink"/>
          </w:rPr>
          <w:t>ICUdata4EU</w:t>
        </w:r>
      </w:hyperlink>
      <w:r>
        <w:t xml:space="preserve"> i </w:t>
      </w:r>
      <w:hyperlink r:id="rId183" w:history="1">
        <w:r>
          <w:rPr>
            <w:rStyle w:val="Hyperlink"/>
          </w:rPr>
          <w:t>INDICATE</w:t>
        </w:r>
      </w:hyperlink>
      <w:r>
        <w:t xml:space="preserve">. </w:t>
      </w:r>
    </w:p>
  </w:footnote>
  <w:footnote w:id="146">
    <w:p w14:paraId="6697F64D" w14:textId="7B1D169F" w:rsidR="00DE54C7" w:rsidRDefault="00DE54C7" w:rsidP="00D8171C">
      <w:pPr>
        <w:pStyle w:val="FootnoteText"/>
      </w:pPr>
      <w:r>
        <w:rPr>
          <w:rStyle w:val="FootnoteReference"/>
        </w:rPr>
        <w:footnoteRef/>
      </w:r>
      <w:r>
        <w:t xml:space="preserve"> </w:t>
      </w:r>
      <w:hyperlink r:id="rId184" w:history="1">
        <w:r>
          <w:rPr>
            <w:rStyle w:val="Hyperlink"/>
          </w:rPr>
          <w:t>Strategija za primjenu umjetne inteligencije</w:t>
        </w:r>
      </w:hyperlink>
      <w:r>
        <w:t>;</w:t>
      </w:r>
      <w:hyperlink r:id="rId185" w:history="1">
        <w:r>
          <w:rPr>
            <w:rStyle w:val="Hyperlink"/>
          </w:rPr>
          <w:t xml:space="preserve"> </w:t>
        </w:r>
        <w:hyperlink r:id="rId186" w:history="1">
          <w:r>
            <w:rPr>
              <w:rStyle w:val="Hyperlink"/>
            </w:rPr>
            <w:t>Početna stranica – TEF-Health – objekt za testiranje i eksperimentiranje u zdravstvu i robotici</w:t>
          </w:r>
        </w:hyperlink>
        <w:r>
          <w:rPr>
            <w:rStyle w:val="Hyperlink"/>
          </w:rPr>
          <w:t>.</w:t>
        </w:r>
      </w:hyperlink>
    </w:p>
  </w:footnote>
  <w:footnote w:id="147">
    <w:p w14:paraId="6ED0E6F9" w14:textId="1CFDA7C5" w:rsidR="00DE54C7" w:rsidRPr="007003DB" w:rsidRDefault="00DE54C7" w:rsidP="00D8171C">
      <w:pPr>
        <w:pStyle w:val="FootnoteText"/>
        <w:rPr>
          <w:szCs w:val="20"/>
        </w:rPr>
      </w:pPr>
      <w:r>
        <w:rPr>
          <w:rStyle w:val="FootnoteReference"/>
        </w:rPr>
        <w:footnoteRef/>
      </w:r>
      <w:r>
        <w:t xml:space="preserve"> </w:t>
      </w:r>
      <w:hyperlink r:id="rId187" w:history="1">
        <w:r>
          <w:rPr>
            <w:rStyle w:val="Hyperlink"/>
          </w:rPr>
          <w:t>Program rada za 2025. za program „EU za zdravlje”</w:t>
        </w:r>
      </w:hyperlink>
      <w:r>
        <w:t xml:space="preserve">. </w:t>
      </w:r>
    </w:p>
  </w:footnote>
  <w:footnote w:id="148">
    <w:p w14:paraId="5F39DA16" w14:textId="16176D8D" w:rsidR="00DE54C7" w:rsidRPr="00E4479F" w:rsidRDefault="00DE54C7" w:rsidP="00D8171C">
      <w:pPr>
        <w:pStyle w:val="FootnoteText"/>
        <w:rPr>
          <w:szCs w:val="20"/>
        </w:rPr>
      </w:pPr>
      <w:r>
        <w:rPr>
          <w:rStyle w:val="FootnoteReference"/>
          <w:szCs w:val="20"/>
        </w:rPr>
        <w:footnoteRef/>
      </w:r>
      <w:r>
        <w:t xml:space="preserve"> Zannad, F., Berwanger, O., Corda, S. i dr., </w:t>
      </w:r>
      <w:r>
        <w:rPr>
          <w:i/>
          <w:iCs/>
        </w:rPr>
        <w:t>How to make cardiology clinical trials more inclusive</w:t>
      </w:r>
      <w:r>
        <w:t xml:space="preserve">, </w:t>
      </w:r>
      <w:r>
        <w:rPr>
          <w:i/>
        </w:rPr>
        <w:t>Nature Medicine</w:t>
      </w:r>
      <w:r>
        <w:t xml:space="preserve">, 30, 2024., str. 2745–2755. </w:t>
      </w:r>
      <w:hyperlink r:id="rId188" w:history="1">
        <w:r>
          <w:rPr>
            <w:rStyle w:val="Hyperlink"/>
          </w:rPr>
          <w:t>https://doi.org/10.1038/s41591-024-03273-3</w:t>
        </w:r>
      </w:hyperlink>
      <w:r>
        <w:t xml:space="preserve">. </w:t>
      </w:r>
    </w:p>
  </w:footnote>
  <w:footnote w:id="149">
    <w:p w14:paraId="4970731B" w14:textId="1412F694" w:rsidR="00DE54C7" w:rsidRPr="007003DB" w:rsidRDefault="00DE54C7" w:rsidP="00D8171C">
      <w:pPr>
        <w:pStyle w:val="FootnoteText"/>
        <w:rPr>
          <w:szCs w:val="20"/>
        </w:rPr>
      </w:pPr>
      <w:r>
        <w:rPr>
          <w:rStyle w:val="FootnoteReference"/>
          <w:szCs w:val="20"/>
        </w:rPr>
        <w:footnoteRef/>
      </w:r>
      <w:r>
        <w:t xml:space="preserve"> El Bassiri, Y., Azeem, A., Sharma, A. C., Hassan, M., Hassan, M. i Omari, I., </w:t>
      </w:r>
      <w:r>
        <w:rPr>
          <w:i/>
          <w:iCs/>
        </w:rPr>
        <w:t>Gender disparities in ischemic heart disease management:</w:t>
      </w:r>
      <w:r>
        <w:t xml:space="preserve"> </w:t>
      </w:r>
      <w:r>
        <w:rPr>
          <w:i/>
          <w:iCs/>
        </w:rPr>
        <w:t>Underdiagnosis in women and differences in treatment</w:t>
      </w:r>
      <w:r>
        <w:t xml:space="preserve">, </w:t>
      </w:r>
      <w:r>
        <w:rPr>
          <w:i/>
        </w:rPr>
        <w:t>Cureus</w:t>
      </w:r>
      <w:r>
        <w:t xml:space="preserve">, sv. 17, br. 8, 2025., e89912. </w:t>
      </w:r>
      <w:hyperlink r:id="rId189" w:history="1">
        <w:r>
          <w:rPr>
            <w:rStyle w:val="Hyperlink"/>
          </w:rPr>
          <w:t>https://doi.org/10.7759/cureus.89912</w:t>
        </w:r>
      </w:hyperlink>
      <w:r>
        <w:t xml:space="preserve">; </w:t>
      </w:r>
      <w:hyperlink r:id="rId190" w:history="1">
        <w:r>
          <w:rPr>
            <w:rStyle w:val="Hyperlink"/>
          </w:rPr>
          <w:t>Eurostat</w:t>
        </w:r>
      </w:hyperlink>
      <w:r>
        <w:t xml:space="preserve">; </w:t>
      </w:r>
      <w:hyperlink r:id="rId191" w:history="1">
        <w:r>
          <w:rPr>
            <w:rStyle w:val="Hyperlink"/>
            <w:i/>
            <w:iCs/>
          </w:rPr>
          <w:t>ESC Statement – Lancet Commission Report – CVD in Women</w:t>
        </w:r>
        <w:r>
          <w:rPr>
            <w:rStyle w:val="Hyperlink"/>
          </w:rPr>
          <w:t xml:space="preserve"> (Izjava ESC-a – Izvješće Komisije Lancet – kardiovaskularne bolesti kod žena).</w:t>
        </w:r>
      </w:hyperlink>
    </w:p>
  </w:footnote>
  <w:footnote w:id="150">
    <w:p w14:paraId="1B0E64A5" w14:textId="2B37EED7" w:rsidR="00DE54C7" w:rsidRPr="007003DB" w:rsidRDefault="00DE54C7" w:rsidP="00DE54C7">
      <w:pPr>
        <w:spacing w:after="0" w:line="240" w:lineRule="auto"/>
        <w:rPr>
          <w:rStyle w:val="FootnoteTextChar"/>
          <w:rFonts w:eastAsiaTheme="minorHAnsi"/>
          <w:szCs w:val="20"/>
        </w:rPr>
      </w:pPr>
      <w:r>
        <w:rPr>
          <w:rFonts w:eastAsia="Times New Roman" w:cs="Times New Roman"/>
          <w:sz w:val="20"/>
          <w:szCs w:val="20"/>
          <w:vertAlign w:val="superscript"/>
        </w:rPr>
        <w:footnoteRef/>
      </w:r>
      <w:r>
        <w:rPr>
          <w:sz w:val="20"/>
        </w:rPr>
        <w:t xml:space="preserve"> Al Hamid, A., Beckett, R., Wilson, M. i dr., </w:t>
      </w:r>
      <w:r>
        <w:rPr>
          <w:i/>
          <w:iCs/>
          <w:sz w:val="20"/>
        </w:rPr>
        <w:t>Gender bias in diagnosis, prevention, and treatment of cardiovascular diseases:</w:t>
      </w:r>
      <w:r>
        <w:rPr>
          <w:sz w:val="20"/>
        </w:rPr>
        <w:t xml:space="preserve"> </w:t>
      </w:r>
      <w:r>
        <w:rPr>
          <w:i/>
          <w:iCs/>
          <w:sz w:val="20"/>
        </w:rPr>
        <w:t>A systematic review</w:t>
      </w:r>
      <w:r>
        <w:rPr>
          <w:sz w:val="20"/>
        </w:rPr>
        <w:t xml:space="preserve">, </w:t>
      </w:r>
      <w:r>
        <w:rPr>
          <w:i/>
          <w:sz w:val="20"/>
        </w:rPr>
        <w:t>Cureus</w:t>
      </w:r>
      <w:r>
        <w:t>, sv. 16, br. </w:t>
      </w:r>
      <w:r>
        <w:rPr>
          <w:sz w:val="20"/>
        </w:rPr>
        <w:t xml:space="preserve">2, 2024., e54264. </w:t>
      </w:r>
      <w:hyperlink r:id="rId192" w:history="1">
        <w:r>
          <w:rPr>
            <w:rStyle w:val="Hyperlink"/>
            <w:sz w:val="20"/>
          </w:rPr>
          <w:t>https://doi.org/10.7759/cureus.54264</w:t>
        </w:r>
      </w:hyperlink>
      <w:r>
        <w:rPr>
          <w:sz w:val="20"/>
        </w:rPr>
        <w:t xml:space="preserve">. </w:t>
      </w:r>
    </w:p>
  </w:footnote>
  <w:footnote w:id="151">
    <w:p w14:paraId="1237D0DB" w14:textId="709959C8" w:rsidR="00DE54C7" w:rsidRPr="007003DB" w:rsidRDefault="00DE54C7" w:rsidP="00D8171C">
      <w:pPr>
        <w:pStyle w:val="FootnoteText"/>
        <w:rPr>
          <w:szCs w:val="20"/>
        </w:rPr>
      </w:pPr>
      <w:r>
        <w:rPr>
          <w:rStyle w:val="FootnoteReference"/>
          <w:szCs w:val="20"/>
        </w:rPr>
        <w:footnoteRef/>
      </w:r>
      <w:r>
        <w:t xml:space="preserve"> </w:t>
      </w:r>
      <w:r>
        <w:rPr>
          <w:rStyle w:val="FootnoteReference"/>
          <w:vertAlign w:val="baseline"/>
        </w:rPr>
        <w:t>Izvješće OECD-a (</w:t>
      </w:r>
      <w:r>
        <w:t xml:space="preserve">2025.) o stanju kardiovaskularnog zdravlja u EU-u – </w:t>
      </w:r>
      <w:hyperlink r:id="rId193" w:history="1">
        <w:r>
          <w:rPr>
            <w:rStyle w:val="Hyperlink"/>
            <w:i/>
            <w:iCs/>
          </w:rPr>
          <w:t>Full Report:</w:t>
        </w:r>
      </w:hyperlink>
      <w:hyperlink r:id="rId194" w:history="1">
        <w:r>
          <w:rPr>
            <w:rStyle w:val="Hyperlink"/>
          </w:rPr>
          <w:t xml:space="preserve"> </w:t>
        </w:r>
        <w:r>
          <w:rPr>
            <w:rStyle w:val="Hyperlink"/>
            <w:i/>
            <w:iCs/>
          </w:rPr>
          <w:t>The State of Cardiovascular Health in the European Union</w:t>
        </w:r>
        <w:r>
          <w:rPr>
            <w:rStyle w:val="Hyperlink"/>
          </w:rPr>
          <w:t xml:space="preserve"> |</w:t>
        </w:r>
      </w:hyperlink>
      <w:hyperlink r:id="rId195" w:history="1">
        <w:r>
          <w:rPr>
            <w:rStyle w:val="Hyperlink"/>
          </w:rPr>
          <w:t xml:space="preserve"> OECD</w:t>
        </w:r>
      </w:hyperlink>
      <w:r>
        <w:t>.</w:t>
      </w:r>
    </w:p>
  </w:footnote>
  <w:footnote w:id="152">
    <w:p w14:paraId="65849786" w14:textId="68DE5A38" w:rsidR="005F76FD" w:rsidRPr="005F76FD" w:rsidRDefault="005F76FD">
      <w:pPr>
        <w:pStyle w:val="FootnoteText"/>
      </w:pPr>
      <w:r>
        <w:rPr>
          <w:rStyle w:val="FootnoteReference"/>
        </w:rPr>
        <w:footnoteRef/>
      </w:r>
      <w:r>
        <w:t xml:space="preserve"> </w:t>
      </w:r>
      <w:hyperlink r:id="rId196" w:history="1">
        <w:r>
          <w:rPr>
            <w:rStyle w:val="Hyperlink"/>
          </w:rPr>
          <w:t>Europski registar nejednakosti u području raka (ECIR).</w:t>
        </w:r>
      </w:hyperlink>
    </w:p>
  </w:footnote>
  <w:footnote w:id="153">
    <w:p w14:paraId="6FE59E5C" w14:textId="267693A5" w:rsidR="00DE54C7" w:rsidRPr="001D733D" w:rsidRDefault="00DE54C7" w:rsidP="00D8171C">
      <w:pPr>
        <w:pStyle w:val="FootnoteText"/>
      </w:pPr>
      <w:r>
        <w:rPr>
          <w:rStyle w:val="FootnoteReference"/>
          <w:szCs w:val="20"/>
        </w:rPr>
        <w:footnoteRef/>
      </w:r>
      <w:r>
        <w:t xml:space="preserve"> </w:t>
      </w:r>
      <w:hyperlink r:id="rId197" w:history="1">
        <w:r>
          <w:rPr>
            <w:rStyle w:val="Hyperlink"/>
          </w:rPr>
          <w:t>Program rada prvog klastera programa Obzor Europa za razdoblje 2026. – 2027.:</w:t>
        </w:r>
      </w:hyperlink>
      <w:r>
        <w:t xml:space="preserve"> indikativna financijska sredstva iznose 40 milijuna EUR.</w:t>
      </w:r>
    </w:p>
  </w:footnote>
  <w:footnote w:id="154">
    <w:p w14:paraId="56F92476" w14:textId="69989815" w:rsidR="00DE54C7" w:rsidRPr="007003DB" w:rsidRDefault="00DE54C7" w:rsidP="00D8171C">
      <w:pPr>
        <w:pStyle w:val="FootnoteText"/>
        <w:rPr>
          <w:szCs w:val="20"/>
        </w:rPr>
      </w:pPr>
      <w:r>
        <w:rPr>
          <w:rStyle w:val="FootnoteReference"/>
        </w:rPr>
        <w:footnoteRef/>
      </w:r>
      <w:r>
        <w:t xml:space="preserve"> </w:t>
      </w:r>
      <w:hyperlink r:id="rId198" w:tgtFrame="_blank" w:history="1">
        <w:r>
          <w:rPr>
            <w:rStyle w:val="Hyperlink"/>
          </w:rPr>
          <w:t>Obzor 2020.</w:t>
        </w:r>
      </w:hyperlink>
      <w:r>
        <w:rPr>
          <w:u w:val="single"/>
        </w:rPr>
        <w:t>; </w:t>
      </w:r>
      <w:hyperlink r:id="rId199" w:tgtFrame="_blank" w:history="1">
        <w:r>
          <w:rPr>
            <w:rStyle w:val="Hyperlink"/>
          </w:rPr>
          <w:t>Obzor Europa</w:t>
        </w:r>
      </w:hyperlink>
      <w:r>
        <w:rPr>
          <w:u w:val="single"/>
        </w:rPr>
        <w:t>.</w:t>
      </w:r>
    </w:p>
  </w:footnote>
  <w:footnote w:id="155">
    <w:p w14:paraId="2EF8A925" w14:textId="366D33F5" w:rsidR="00DE54C7" w:rsidRPr="007003DB" w:rsidRDefault="00DE54C7" w:rsidP="00D8171C">
      <w:pPr>
        <w:pStyle w:val="FootnoteText"/>
        <w:rPr>
          <w:szCs w:val="20"/>
        </w:rPr>
      </w:pPr>
      <w:r>
        <w:rPr>
          <w:rStyle w:val="FootnoteReference"/>
          <w:szCs w:val="20"/>
        </w:rPr>
        <w:footnoteRef/>
      </w:r>
      <w:r>
        <w:t xml:space="preserve"> </w:t>
      </w:r>
      <w:hyperlink r:id="rId200" w:history="1">
        <w:r>
          <w:rPr>
            <w:rStyle w:val="Hyperlink"/>
            <w:i/>
            <w:iCs/>
          </w:rPr>
          <w:t>Global Trends in R&amp;D 2024:</w:t>
        </w:r>
      </w:hyperlink>
      <w:hyperlink r:id="rId201" w:history="1">
        <w:r>
          <w:rPr>
            <w:rStyle w:val="Hyperlink"/>
          </w:rPr>
          <w:t xml:space="preserve"> </w:t>
        </w:r>
        <w:r>
          <w:rPr>
            <w:rStyle w:val="Hyperlink"/>
            <w:i/>
            <w:iCs/>
          </w:rPr>
          <w:t>Activity, productivity, and enablers</w:t>
        </w:r>
        <w:r>
          <w:rPr>
            <w:rStyle w:val="Hyperlink"/>
          </w:rPr>
          <w:t xml:space="preserve"> (Globalni trendovi u području istraživanja i razvoja 2024.: aktivnost, produktivnost i pospješitelji) – IQVIA</w:t>
        </w:r>
      </w:hyperlink>
      <w:r>
        <w:t>.</w:t>
      </w:r>
    </w:p>
  </w:footnote>
  <w:footnote w:id="156">
    <w:p w14:paraId="147DC7F6" w14:textId="461649E3" w:rsidR="00DE54C7" w:rsidRPr="007003DB" w:rsidRDefault="00DE54C7" w:rsidP="00D8171C">
      <w:pPr>
        <w:pStyle w:val="FootnoteText"/>
        <w:rPr>
          <w:szCs w:val="20"/>
        </w:rPr>
      </w:pPr>
      <w:r>
        <w:rPr>
          <w:rStyle w:val="FootnoteReference"/>
          <w:szCs w:val="20"/>
        </w:rPr>
        <w:footnoteRef/>
      </w:r>
      <w:r>
        <w:t xml:space="preserve"> Jackson, N., Atar, D., Borentain, M. i dr., </w:t>
      </w:r>
      <w:r>
        <w:rPr>
          <w:i/>
          <w:iCs/>
        </w:rPr>
        <w:t>Improving clinical trials for cardiovascular diseases:</w:t>
      </w:r>
      <w:r>
        <w:t xml:space="preserve"> </w:t>
      </w:r>
      <w:r>
        <w:rPr>
          <w:i/>
          <w:iCs/>
        </w:rPr>
        <w:t>A position paper from the Cardiovascular Round Table of the European Society of Cardiology</w:t>
      </w:r>
      <w:r>
        <w:t xml:space="preserve">, </w:t>
      </w:r>
      <w:r>
        <w:rPr>
          <w:i/>
        </w:rPr>
        <w:t>European Heart Journal</w:t>
      </w:r>
      <w:r>
        <w:t xml:space="preserve">, sv. 37, br. 9, 2016., str. 747–754. </w:t>
      </w:r>
      <w:hyperlink r:id="rId202" w:history="1">
        <w:r>
          <w:rPr>
            <w:rStyle w:val="Hyperlink"/>
          </w:rPr>
          <w:t>https://doi.org/10.1093/eurheartj/ehv213</w:t>
        </w:r>
      </w:hyperlink>
      <w:r>
        <w:t>.</w:t>
      </w:r>
    </w:p>
  </w:footnote>
  <w:footnote w:id="157">
    <w:p w14:paraId="4420B4CB" w14:textId="7D3927D8" w:rsidR="00DE54C7" w:rsidRPr="007003DB" w:rsidRDefault="00DE54C7" w:rsidP="00D8171C">
      <w:pPr>
        <w:pStyle w:val="FootnoteText"/>
        <w:rPr>
          <w:szCs w:val="20"/>
        </w:rPr>
      </w:pPr>
      <w:r>
        <w:rPr>
          <w:rStyle w:val="FootnoteReference"/>
          <w:szCs w:val="20"/>
        </w:rPr>
        <w:footnoteRef/>
      </w:r>
      <w:r>
        <w:t xml:space="preserve"> </w:t>
      </w:r>
      <w:hyperlink r:id="rId203" w:history="1">
        <w:r>
          <w:rPr>
            <w:rStyle w:val="Hyperlink"/>
          </w:rPr>
          <w:t>Zajedničko poduzeće za inicijativu za inovativno zdravlje</w:t>
        </w:r>
      </w:hyperlink>
      <w:r>
        <w:t>.</w:t>
      </w:r>
    </w:p>
  </w:footnote>
  <w:footnote w:id="158">
    <w:p w14:paraId="56EF570A" w14:textId="77777777" w:rsidR="00DE54C7" w:rsidRPr="007003DB" w:rsidRDefault="00DE54C7" w:rsidP="00D8171C">
      <w:pPr>
        <w:pStyle w:val="FootnoteText"/>
        <w:rPr>
          <w:szCs w:val="20"/>
        </w:rPr>
      </w:pPr>
      <w:r>
        <w:rPr>
          <w:rStyle w:val="FootnoteReference"/>
          <w:szCs w:val="20"/>
        </w:rPr>
        <w:footnoteRef/>
      </w:r>
      <w:r>
        <w:t xml:space="preserve"> </w:t>
      </w:r>
      <w:hyperlink r:id="rId204" w:history="1">
        <w:r>
          <w:rPr>
            <w:rStyle w:val="Hyperlink"/>
          </w:rPr>
          <w:t>PROPHET</w:t>
        </w:r>
      </w:hyperlink>
      <w:r>
        <w:t>.</w:t>
      </w:r>
    </w:p>
  </w:footnote>
  <w:footnote w:id="159">
    <w:p w14:paraId="5CB43E53" w14:textId="5978C502" w:rsidR="009F2A6E" w:rsidRPr="007003DB" w:rsidRDefault="009F2A6E">
      <w:pPr>
        <w:pStyle w:val="FootnoteText"/>
        <w:rPr>
          <w:szCs w:val="20"/>
        </w:rPr>
      </w:pPr>
      <w:r>
        <w:rPr>
          <w:rStyle w:val="FootnoteReference"/>
          <w:szCs w:val="20"/>
        </w:rPr>
        <w:footnoteRef/>
      </w:r>
      <w:r>
        <w:t xml:space="preserve"> </w:t>
      </w:r>
      <w:hyperlink r:id="rId205" w:history="1">
        <w:r>
          <w:rPr>
            <w:rStyle w:val="Hyperlink"/>
          </w:rPr>
          <w:t>Projekt PROFID</w:t>
        </w:r>
      </w:hyperlink>
      <w:r>
        <w:t>.</w:t>
      </w:r>
    </w:p>
  </w:footnote>
  <w:footnote w:id="160">
    <w:p w14:paraId="705B047C" w14:textId="4389F837" w:rsidR="00DE54C7" w:rsidRPr="000E1D82" w:rsidRDefault="00DE54C7" w:rsidP="00DE54C7">
      <w:pPr>
        <w:spacing w:after="0"/>
        <w:rPr>
          <w:rFonts w:eastAsia="Times New Roman" w:cs="Times New Roman"/>
          <w:sz w:val="20"/>
          <w:szCs w:val="20"/>
        </w:rPr>
      </w:pPr>
      <w:r>
        <w:rPr>
          <w:rStyle w:val="FootnoteReference"/>
          <w:sz w:val="20"/>
          <w:szCs w:val="20"/>
        </w:rPr>
        <w:footnoteRef/>
      </w:r>
      <w:r>
        <w:t xml:space="preserve"> </w:t>
      </w:r>
      <w:hyperlink r:id="rId206" w:history="1">
        <w:r>
          <w:rPr>
            <w:rStyle w:val="Hyperlink"/>
            <w:sz w:val="20"/>
          </w:rPr>
          <w:t>Inicijativa virtualnih ljudskih blizanaca Virtual Human Twins za zdravstvo i skrb</w:t>
        </w:r>
      </w:hyperlink>
      <w:r>
        <w:rPr>
          <w:sz w:val="20"/>
        </w:rPr>
        <w:t>.</w:t>
      </w:r>
    </w:p>
  </w:footnote>
  <w:footnote w:id="161">
    <w:p w14:paraId="6EC80CB1" w14:textId="77777777" w:rsidR="00DE54C7" w:rsidRDefault="00DE54C7" w:rsidP="00D8171C">
      <w:pPr>
        <w:pStyle w:val="FootnoteText"/>
      </w:pPr>
      <w:r>
        <w:rPr>
          <w:rStyle w:val="FootnoteReference"/>
        </w:rPr>
        <w:footnoteRef/>
      </w:r>
      <w:r>
        <w:t xml:space="preserve"> </w:t>
      </w:r>
      <w:hyperlink r:id="rId207" w:history="1">
        <w:r>
          <w:rPr>
            <w:rStyle w:val="Hyperlink"/>
          </w:rPr>
          <w:t>Europski fond za regionalni razvoj (EFRR) – Europska komisija</w:t>
        </w:r>
      </w:hyperlink>
      <w:r>
        <w:t>.</w:t>
      </w:r>
    </w:p>
  </w:footnote>
  <w:footnote w:id="162">
    <w:p w14:paraId="0B9BE80D" w14:textId="77777777" w:rsidR="00DE54C7" w:rsidRDefault="00DE54C7" w:rsidP="00D8171C">
      <w:pPr>
        <w:pStyle w:val="FootnoteText"/>
      </w:pPr>
      <w:r>
        <w:rPr>
          <w:rStyle w:val="FootnoteReference"/>
        </w:rPr>
        <w:footnoteRef/>
      </w:r>
      <w:r>
        <w:t xml:space="preserve"> </w:t>
      </w:r>
      <w:hyperlink r:id="rId208" w:history="1">
        <w:r>
          <w:rPr>
            <w:rStyle w:val="Hyperlink"/>
          </w:rPr>
          <w:t>Instrument za ulaganja u međuregionalne inovacije (I3) – Izvršna agencija za Europsko vijeće za inovacije i MSP-ove (EISMEA)</w:t>
        </w:r>
      </w:hyperlink>
      <w:r>
        <w:t>.</w:t>
      </w:r>
    </w:p>
  </w:footnote>
  <w:footnote w:id="163">
    <w:p w14:paraId="7721F709" w14:textId="34A3D718" w:rsidR="00DE54C7" w:rsidRPr="001D733D" w:rsidRDefault="00DE54C7" w:rsidP="00D8171C">
      <w:pPr>
        <w:pStyle w:val="FootnoteText"/>
      </w:pPr>
      <w:r>
        <w:rPr>
          <w:rStyle w:val="FootnoteReference"/>
        </w:rPr>
        <w:footnoteRef/>
      </w:r>
      <w:r>
        <w:t xml:space="preserve"> </w:t>
      </w:r>
      <w:hyperlink r:id="rId209" w:history="1">
        <w:r>
          <w:rPr>
            <w:rStyle w:val="Hyperlink"/>
          </w:rPr>
          <w:t>Program rada prvog klastera programa Obzor Europa za razdoblje 2026. – 2027.</w:t>
        </w:r>
      </w:hyperlink>
      <w:r>
        <w:t>: indikativna financijska sredstva iznose 2 milijuna EUR.</w:t>
      </w:r>
    </w:p>
  </w:footnote>
  <w:footnote w:id="164">
    <w:p w14:paraId="6D0F1CF0" w14:textId="48FCDD64" w:rsidR="00DE54C7" w:rsidRPr="001D733D" w:rsidRDefault="00DE54C7" w:rsidP="00D8171C">
      <w:pPr>
        <w:pStyle w:val="FootnoteText"/>
      </w:pPr>
      <w:r>
        <w:rPr>
          <w:rStyle w:val="FootnoteReference"/>
        </w:rPr>
        <w:footnoteRef/>
      </w:r>
      <w:r>
        <w:t xml:space="preserve"> </w:t>
      </w:r>
      <w:hyperlink r:id="rId210" w:history="1">
        <w:r>
          <w:rPr>
            <w:rStyle w:val="Hyperlink"/>
          </w:rPr>
          <w:t>Program rada prvog klastera programa Obzor Europa za razdoblje 2026. – 2027.</w:t>
        </w:r>
      </w:hyperlink>
      <w:r>
        <w:t>: indikativna financijska sredstva iznose 64 milijuna EUR.</w:t>
      </w:r>
    </w:p>
  </w:footnote>
  <w:footnote w:id="165">
    <w:p w14:paraId="77D60903" w14:textId="6A8D6FC3" w:rsidR="00DE54C7" w:rsidRPr="001D733D" w:rsidRDefault="00DE54C7" w:rsidP="00D8171C">
      <w:pPr>
        <w:pStyle w:val="FootnoteText"/>
      </w:pPr>
      <w:r>
        <w:rPr>
          <w:rStyle w:val="FootnoteReference"/>
        </w:rPr>
        <w:footnoteRef/>
      </w:r>
      <w:r>
        <w:t xml:space="preserve"> </w:t>
      </w:r>
      <w:hyperlink r:id="rId211" w:history="1">
        <w:r>
          <w:rPr>
            <w:rStyle w:val="Hyperlink"/>
          </w:rPr>
          <w:t>Program rada šestog klastera programa Obzor Europa za razdoblje 2026. – 2027.</w:t>
        </w:r>
      </w:hyperlink>
      <w:r>
        <w:t>: indikativna financijska sredstva iznose 12 milijuna EUR.</w:t>
      </w:r>
    </w:p>
  </w:footnote>
  <w:footnote w:id="166">
    <w:p w14:paraId="6924B298" w14:textId="5A362ADE" w:rsidR="00DE54C7" w:rsidRPr="001D733D" w:rsidRDefault="00DE54C7" w:rsidP="00D8171C">
      <w:pPr>
        <w:pStyle w:val="FootnoteText"/>
      </w:pPr>
      <w:r>
        <w:rPr>
          <w:rStyle w:val="FootnoteReference"/>
        </w:rPr>
        <w:footnoteRef/>
      </w:r>
      <w:r>
        <w:t xml:space="preserve"> Obzor Europa: indikativna financijska sredstva iznose 38 milijuna EUR.</w:t>
      </w:r>
    </w:p>
  </w:footnote>
  <w:footnote w:id="167">
    <w:p w14:paraId="0DCAFE2C" w14:textId="4CAF8AF8" w:rsidR="00F8695E" w:rsidRPr="00F8695E" w:rsidRDefault="00F8695E">
      <w:pPr>
        <w:pStyle w:val="FootnoteText"/>
      </w:pPr>
      <w:r>
        <w:rPr>
          <w:rStyle w:val="FootnoteReference"/>
        </w:rPr>
        <w:footnoteRef/>
      </w:r>
      <w:r>
        <w:t xml:space="preserve"> Program rada prvog klastera programa Obzor Europa za razdoblje 2026. – 2027.: indikativna financijska sredstva iznose 24,5 milijuna EUR.</w:t>
      </w:r>
    </w:p>
  </w:footnote>
  <w:footnote w:id="168">
    <w:p w14:paraId="39C90EF1" w14:textId="77777777" w:rsidR="00DE54C7" w:rsidRPr="000E1D82" w:rsidRDefault="00DE54C7" w:rsidP="00D8171C">
      <w:pPr>
        <w:pStyle w:val="FootnoteText"/>
      </w:pPr>
      <w:r>
        <w:rPr>
          <w:rStyle w:val="FootnoteReference"/>
        </w:rPr>
        <w:footnoteRef/>
      </w:r>
      <w:r>
        <w:t xml:space="preserve"> Europsko partnerstvo za poticanje europskog istraživačkog prostora za istraživanja u području zdravlja (ERA4Health).</w:t>
      </w:r>
    </w:p>
  </w:footnote>
  <w:footnote w:id="169">
    <w:p w14:paraId="714F078B" w14:textId="08453AD2" w:rsidR="00DE54C7" w:rsidRPr="000E1D82" w:rsidRDefault="00DE54C7" w:rsidP="00D8171C">
      <w:pPr>
        <w:pStyle w:val="FootnoteText"/>
      </w:pPr>
      <w:r>
        <w:rPr>
          <w:rStyle w:val="FootnoteReference"/>
        </w:rPr>
        <w:footnoteRef/>
      </w:r>
      <w:r>
        <w:t xml:space="preserve"> </w:t>
      </w:r>
      <w:hyperlink r:id="rId212" w:history="1">
        <w:r>
          <w:rPr>
            <w:rStyle w:val="Hyperlink"/>
          </w:rPr>
          <w:t>Savjetodavna skupina za mlade u okviru Zajedničke akcije za prevenciju nezaraznih bolesti (JA PreventNCD).</w:t>
        </w:r>
      </w:hyperlink>
    </w:p>
  </w:footnote>
  <w:footnote w:id="170">
    <w:p w14:paraId="7FE15115" w14:textId="10E1AF46" w:rsidR="00DE54C7" w:rsidRPr="00BD32FC" w:rsidRDefault="00DE54C7" w:rsidP="00D8171C">
      <w:pPr>
        <w:pStyle w:val="FootnoteText"/>
      </w:pPr>
      <w:r>
        <w:rPr>
          <w:rStyle w:val="FootnoteReference"/>
        </w:rPr>
        <w:footnoteRef/>
      </w:r>
      <w:r>
        <w:t xml:space="preserve"> Komisija je održala raspravu sa skupinom mladih s iskustvom bolesti koji su podijelili svoje osobne priče o životu s kardiovaskularnim bolestima ili povezanim bolestima – </w:t>
      </w:r>
      <w:hyperlink r:id="rId213" w:history="1">
        <w:r>
          <w:rPr>
            <w:rStyle w:val="Hyperlink"/>
          </w:rPr>
          <w:t>Kardiovaskularno zdravlje – javno zdravlje – Europska komisija</w:t>
        </w:r>
      </w:hyperlink>
      <w:r>
        <w:t>.</w:t>
      </w:r>
    </w:p>
  </w:footnote>
  <w:footnote w:id="171">
    <w:p w14:paraId="01F0A0EC" w14:textId="77777777" w:rsidR="00DE54C7" w:rsidRPr="000E1D82" w:rsidRDefault="00DE54C7" w:rsidP="00D8171C">
      <w:pPr>
        <w:pStyle w:val="FootnoteText"/>
      </w:pPr>
      <w:r>
        <w:rPr>
          <w:rStyle w:val="FootnoteReference"/>
        </w:rPr>
        <w:footnoteRef/>
      </w:r>
      <w:r>
        <w:t xml:space="preserve"> </w:t>
      </w:r>
      <w:hyperlink r:id="rId214" w:history="1">
        <w:r>
          <w:rPr>
            <w:rStyle w:val="Hyperlink"/>
          </w:rPr>
          <w:t>Stručna skupina za javno zdravlje – javno zdravlje – Europska komisija</w:t>
        </w:r>
      </w:hyperlink>
      <w:r>
        <w:t>.</w:t>
      </w:r>
    </w:p>
  </w:footnote>
  <w:footnote w:id="172">
    <w:p w14:paraId="075A2ED1" w14:textId="77777777" w:rsidR="00DE54C7" w:rsidRPr="000E1D82" w:rsidRDefault="00DE54C7" w:rsidP="00D8171C">
      <w:pPr>
        <w:pStyle w:val="FootnoteText"/>
      </w:pPr>
      <w:r>
        <w:rPr>
          <w:rStyle w:val="FootnoteReference"/>
        </w:rPr>
        <w:footnoteRef/>
      </w:r>
      <w:r>
        <w:t xml:space="preserve"> Izravna bespovratna sredstva za države članice financirana omotnicom od 5 milijuna EUR u okviru programa rada programa „EU za zdravlje” za 2025.</w:t>
      </w:r>
    </w:p>
  </w:footnote>
  <w:footnote w:id="173">
    <w:p w14:paraId="29C2BA6E" w14:textId="77777777" w:rsidR="00DE54C7" w:rsidRPr="000E1D82" w:rsidRDefault="00DE54C7" w:rsidP="00D8171C">
      <w:pPr>
        <w:pStyle w:val="FootnoteText"/>
      </w:pPr>
      <w:r>
        <w:rPr>
          <w:rStyle w:val="FootnoteReference"/>
        </w:rPr>
        <w:footnoteRef/>
      </w:r>
      <w:r>
        <w:t xml:space="preserve"> Ta bespovratna sredstva za djelovanja financirat će se omotnicom od 2 milijuna EUR u okviru programa rada programa „EU za zdravlje” za 2025.</w:t>
      </w:r>
    </w:p>
  </w:footnote>
  <w:footnote w:id="174">
    <w:p w14:paraId="3E89E12A" w14:textId="11AB6B74" w:rsidR="008B3E96" w:rsidRPr="008B3E96" w:rsidRDefault="008B3E96">
      <w:pPr>
        <w:pStyle w:val="FootnoteText"/>
      </w:pPr>
      <w:r>
        <w:rPr>
          <w:rStyle w:val="FootnoteReference"/>
        </w:rPr>
        <w:footnoteRef/>
      </w:r>
      <w:r>
        <w:t xml:space="preserve"> </w:t>
      </w:r>
      <w:hyperlink r:id="rId215" w:history="1">
        <w:r>
          <w:rPr>
            <w:rStyle w:val="Hyperlink"/>
          </w:rPr>
          <w:t>Platforma za zdravstvenu politiku EU-a – Platforma za zdravstvenu politiku EU-a</w:t>
        </w:r>
      </w:hyperlink>
      <w:r>
        <w:t>.</w:t>
      </w:r>
    </w:p>
  </w:footnote>
  <w:footnote w:id="175">
    <w:p w14:paraId="2E76E8C4" w14:textId="77777777" w:rsidR="00DE54C7" w:rsidRPr="000E1D82" w:rsidRDefault="00DE54C7" w:rsidP="00D8171C">
      <w:pPr>
        <w:pStyle w:val="FootnoteText"/>
      </w:pPr>
      <w:r>
        <w:rPr>
          <w:rStyle w:val="FootnoteReference"/>
        </w:rPr>
        <w:footnoteRef/>
      </w:r>
      <w:r>
        <w:t xml:space="preserve"> </w:t>
      </w:r>
      <w:hyperlink r:id="rId216" w:history="1">
        <w:r>
          <w:rPr>
            <w:rStyle w:val="Hyperlink"/>
          </w:rPr>
          <w:t>Portal najbolje prakse</w:t>
        </w:r>
      </w:hyperlink>
      <w:r>
        <w:t>.</w:t>
      </w:r>
    </w:p>
  </w:footnote>
  <w:footnote w:id="176">
    <w:p w14:paraId="70D2D9C4" w14:textId="29BB420A" w:rsidR="00123448" w:rsidRPr="00E4479F" w:rsidRDefault="00123448">
      <w:pPr>
        <w:pStyle w:val="FootnoteText"/>
      </w:pPr>
      <w:r>
        <w:rPr>
          <w:rStyle w:val="FootnoteReference"/>
        </w:rPr>
        <w:footnoteRef/>
      </w:r>
      <w:r>
        <w:t xml:space="preserve"> </w:t>
      </w:r>
      <w:hyperlink r:id="rId217" w:history="1">
        <w:r>
          <w:rPr>
            <w:rStyle w:val="Hyperlink"/>
          </w:rPr>
          <w:t>Globalni savez za kronične bolesti (GACD).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5971" w14:textId="77777777" w:rsidR="00521429" w:rsidRPr="00521429" w:rsidRDefault="00521429" w:rsidP="0052142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37D9" w14:textId="77777777" w:rsidR="00521429" w:rsidRPr="00521429" w:rsidRDefault="00521429" w:rsidP="0052142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6F1D" w14:textId="77777777" w:rsidR="00521429" w:rsidRPr="00521429" w:rsidRDefault="00521429" w:rsidP="0052142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488B" w14:textId="77777777" w:rsidR="00FD1799" w:rsidRDefault="00FD17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2820" w14:textId="77777777" w:rsidR="00132AE2" w:rsidRDefault="00132AE2" w:rsidP="001A0F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4C6A" w14:textId="77777777" w:rsidR="00AF7935" w:rsidRDefault="00AF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CB8"/>
    <w:multiLevelType w:val="hybridMultilevel"/>
    <w:tmpl w:val="EAEAD386"/>
    <w:lvl w:ilvl="0" w:tplc="651ECA74">
      <w:start w:val="1"/>
      <w:numFmt w:val="decimal"/>
      <w:lvlText w:val="%1."/>
      <w:lvlJc w:val="left"/>
      <w:pPr>
        <w:ind w:left="720" w:hanging="360"/>
      </w:pPr>
      <w:rPr>
        <w:rFonts w:ascii="Aptos" w:eastAsia="Aptos" w:hAnsi="Aptos" w:cs="Calibri"/>
        <w:b/>
        <w:i/>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0C654B1"/>
    <w:multiLevelType w:val="hybridMultilevel"/>
    <w:tmpl w:val="9274028A"/>
    <w:lvl w:ilvl="0" w:tplc="1809000B">
      <w:start w:val="1"/>
      <w:numFmt w:val="bullet"/>
      <w:lvlText w:val=""/>
      <w:lvlJc w:val="left"/>
      <w:pPr>
        <w:ind w:left="781" w:hanging="360"/>
      </w:pPr>
      <w:rPr>
        <w:rFonts w:ascii="Wingdings" w:hAnsi="Wingdings"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2" w15:restartNumberingAfterBreak="0">
    <w:nsid w:val="049A3B6A"/>
    <w:multiLevelType w:val="hybridMultilevel"/>
    <w:tmpl w:val="33A23DDE"/>
    <w:lvl w:ilvl="0" w:tplc="C49AD9C2">
      <w:start w:val="1"/>
      <w:numFmt w:val="decimal"/>
      <w:lvlText w:val="%1)"/>
      <w:lvlJc w:val="left"/>
      <w:pPr>
        <w:ind w:left="720" w:hanging="360"/>
      </w:pPr>
    </w:lvl>
    <w:lvl w:ilvl="1" w:tplc="697A08CC">
      <w:start w:val="1"/>
      <w:numFmt w:val="decimal"/>
      <w:lvlText w:val="%2)"/>
      <w:lvlJc w:val="left"/>
      <w:pPr>
        <w:ind w:left="720" w:hanging="360"/>
      </w:pPr>
    </w:lvl>
    <w:lvl w:ilvl="2" w:tplc="C6507594">
      <w:start w:val="1"/>
      <w:numFmt w:val="decimal"/>
      <w:lvlText w:val="%3)"/>
      <w:lvlJc w:val="left"/>
      <w:pPr>
        <w:ind w:left="720" w:hanging="360"/>
      </w:pPr>
    </w:lvl>
    <w:lvl w:ilvl="3" w:tplc="3170062A">
      <w:start w:val="1"/>
      <w:numFmt w:val="decimal"/>
      <w:lvlText w:val="%4)"/>
      <w:lvlJc w:val="left"/>
      <w:pPr>
        <w:ind w:left="720" w:hanging="360"/>
      </w:pPr>
    </w:lvl>
    <w:lvl w:ilvl="4" w:tplc="E4A2D94C">
      <w:start w:val="1"/>
      <w:numFmt w:val="decimal"/>
      <w:lvlText w:val="%5)"/>
      <w:lvlJc w:val="left"/>
      <w:pPr>
        <w:ind w:left="720" w:hanging="360"/>
      </w:pPr>
    </w:lvl>
    <w:lvl w:ilvl="5" w:tplc="EA1CE582">
      <w:start w:val="1"/>
      <w:numFmt w:val="decimal"/>
      <w:lvlText w:val="%6)"/>
      <w:lvlJc w:val="left"/>
      <w:pPr>
        <w:ind w:left="720" w:hanging="360"/>
      </w:pPr>
    </w:lvl>
    <w:lvl w:ilvl="6" w:tplc="682E42DA">
      <w:start w:val="1"/>
      <w:numFmt w:val="decimal"/>
      <w:lvlText w:val="%7)"/>
      <w:lvlJc w:val="left"/>
      <w:pPr>
        <w:ind w:left="720" w:hanging="360"/>
      </w:pPr>
    </w:lvl>
    <w:lvl w:ilvl="7" w:tplc="26168B28">
      <w:start w:val="1"/>
      <w:numFmt w:val="decimal"/>
      <w:lvlText w:val="%8)"/>
      <w:lvlJc w:val="left"/>
      <w:pPr>
        <w:ind w:left="720" w:hanging="360"/>
      </w:pPr>
    </w:lvl>
    <w:lvl w:ilvl="8" w:tplc="2354C2F2">
      <w:start w:val="1"/>
      <w:numFmt w:val="decimal"/>
      <w:lvlText w:val="%9)"/>
      <w:lvlJc w:val="left"/>
      <w:pPr>
        <w:ind w:left="720" w:hanging="360"/>
      </w:pPr>
    </w:lvl>
  </w:abstractNum>
  <w:abstractNum w:abstractNumId="3" w15:restartNumberingAfterBreak="0">
    <w:nsid w:val="04D2220E"/>
    <w:multiLevelType w:val="hybridMultilevel"/>
    <w:tmpl w:val="6CBA9C28"/>
    <w:lvl w:ilvl="0" w:tplc="54AA4FBA">
      <w:start w:val="1"/>
      <w:numFmt w:val="decimal"/>
      <w:lvlText w:val="%1."/>
      <w:lvlJc w:val="left"/>
      <w:pPr>
        <w:ind w:left="720" w:hanging="360"/>
      </w:pPr>
    </w:lvl>
    <w:lvl w:ilvl="1" w:tplc="1F3E003C">
      <w:start w:val="1"/>
      <w:numFmt w:val="decimal"/>
      <w:lvlText w:val="%2."/>
      <w:lvlJc w:val="left"/>
      <w:pPr>
        <w:ind w:left="720" w:hanging="360"/>
      </w:pPr>
    </w:lvl>
    <w:lvl w:ilvl="2" w:tplc="76A8A7E2">
      <w:start w:val="1"/>
      <w:numFmt w:val="decimal"/>
      <w:lvlText w:val="%3."/>
      <w:lvlJc w:val="left"/>
      <w:pPr>
        <w:ind w:left="720" w:hanging="360"/>
      </w:pPr>
    </w:lvl>
    <w:lvl w:ilvl="3" w:tplc="FC4C85EE">
      <w:start w:val="1"/>
      <w:numFmt w:val="decimal"/>
      <w:lvlText w:val="%4."/>
      <w:lvlJc w:val="left"/>
      <w:pPr>
        <w:ind w:left="720" w:hanging="360"/>
      </w:pPr>
    </w:lvl>
    <w:lvl w:ilvl="4" w:tplc="8156665E">
      <w:start w:val="1"/>
      <w:numFmt w:val="decimal"/>
      <w:lvlText w:val="%5."/>
      <w:lvlJc w:val="left"/>
      <w:pPr>
        <w:ind w:left="720" w:hanging="360"/>
      </w:pPr>
    </w:lvl>
    <w:lvl w:ilvl="5" w:tplc="7D20B042">
      <w:start w:val="1"/>
      <w:numFmt w:val="decimal"/>
      <w:lvlText w:val="%6."/>
      <w:lvlJc w:val="left"/>
      <w:pPr>
        <w:ind w:left="720" w:hanging="360"/>
      </w:pPr>
    </w:lvl>
    <w:lvl w:ilvl="6" w:tplc="79BED380">
      <w:start w:val="1"/>
      <w:numFmt w:val="decimal"/>
      <w:lvlText w:val="%7."/>
      <w:lvlJc w:val="left"/>
      <w:pPr>
        <w:ind w:left="720" w:hanging="360"/>
      </w:pPr>
    </w:lvl>
    <w:lvl w:ilvl="7" w:tplc="505689B2">
      <w:start w:val="1"/>
      <w:numFmt w:val="decimal"/>
      <w:lvlText w:val="%8."/>
      <w:lvlJc w:val="left"/>
      <w:pPr>
        <w:ind w:left="720" w:hanging="360"/>
      </w:pPr>
    </w:lvl>
    <w:lvl w:ilvl="8" w:tplc="EBEC796C">
      <w:start w:val="1"/>
      <w:numFmt w:val="decimal"/>
      <w:lvlText w:val="%9."/>
      <w:lvlJc w:val="left"/>
      <w:pPr>
        <w:ind w:left="720" w:hanging="360"/>
      </w:pPr>
    </w:lvl>
  </w:abstractNum>
  <w:abstractNum w:abstractNumId="4" w15:restartNumberingAfterBreak="0">
    <w:nsid w:val="05901942"/>
    <w:multiLevelType w:val="hybridMultilevel"/>
    <w:tmpl w:val="415A781E"/>
    <w:lvl w:ilvl="0" w:tplc="8AFA3702">
      <w:start w:val="1"/>
      <w:numFmt w:val="decimal"/>
      <w:lvlText w:val="%1."/>
      <w:lvlJc w:val="left"/>
      <w:pPr>
        <w:ind w:left="1440" w:hanging="360"/>
      </w:pPr>
    </w:lvl>
    <w:lvl w:ilvl="1" w:tplc="A9FA5994">
      <w:start w:val="1"/>
      <w:numFmt w:val="decimal"/>
      <w:lvlText w:val="%2."/>
      <w:lvlJc w:val="left"/>
      <w:pPr>
        <w:ind w:left="1440" w:hanging="360"/>
      </w:pPr>
    </w:lvl>
    <w:lvl w:ilvl="2" w:tplc="F46A51C2">
      <w:start w:val="1"/>
      <w:numFmt w:val="decimal"/>
      <w:lvlText w:val="%3."/>
      <w:lvlJc w:val="left"/>
      <w:pPr>
        <w:ind w:left="1440" w:hanging="360"/>
      </w:pPr>
    </w:lvl>
    <w:lvl w:ilvl="3" w:tplc="F6803000">
      <w:start w:val="1"/>
      <w:numFmt w:val="decimal"/>
      <w:lvlText w:val="%4."/>
      <w:lvlJc w:val="left"/>
      <w:pPr>
        <w:ind w:left="1440" w:hanging="360"/>
      </w:pPr>
    </w:lvl>
    <w:lvl w:ilvl="4" w:tplc="E9AABCD8">
      <w:start w:val="1"/>
      <w:numFmt w:val="decimal"/>
      <w:lvlText w:val="%5."/>
      <w:lvlJc w:val="left"/>
      <w:pPr>
        <w:ind w:left="1440" w:hanging="360"/>
      </w:pPr>
    </w:lvl>
    <w:lvl w:ilvl="5" w:tplc="49603B5E">
      <w:start w:val="1"/>
      <w:numFmt w:val="decimal"/>
      <w:lvlText w:val="%6."/>
      <w:lvlJc w:val="left"/>
      <w:pPr>
        <w:ind w:left="1440" w:hanging="360"/>
      </w:pPr>
    </w:lvl>
    <w:lvl w:ilvl="6" w:tplc="F2D221F8">
      <w:start w:val="1"/>
      <w:numFmt w:val="decimal"/>
      <w:lvlText w:val="%7."/>
      <w:lvlJc w:val="left"/>
      <w:pPr>
        <w:ind w:left="1440" w:hanging="360"/>
      </w:pPr>
    </w:lvl>
    <w:lvl w:ilvl="7" w:tplc="7164796C">
      <w:start w:val="1"/>
      <w:numFmt w:val="decimal"/>
      <w:lvlText w:val="%8."/>
      <w:lvlJc w:val="left"/>
      <w:pPr>
        <w:ind w:left="1440" w:hanging="360"/>
      </w:pPr>
    </w:lvl>
    <w:lvl w:ilvl="8" w:tplc="AF84CB3C">
      <w:start w:val="1"/>
      <w:numFmt w:val="decimal"/>
      <w:lvlText w:val="%9."/>
      <w:lvlJc w:val="left"/>
      <w:pPr>
        <w:ind w:left="1440" w:hanging="360"/>
      </w:pPr>
    </w:lvl>
  </w:abstractNum>
  <w:abstractNum w:abstractNumId="5" w15:restartNumberingAfterBreak="0">
    <w:nsid w:val="059E32AF"/>
    <w:multiLevelType w:val="hybridMultilevel"/>
    <w:tmpl w:val="3224F49A"/>
    <w:lvl w:ilvl="0" w:tplc="78BAD9E6">
      <w:start w:val="1"/>
      <w:numFmt w:val="bullet"/>
      <w:lvlText w:val=""/>
      <w:lvlJc w:val="left"/>
      <w:pPr>
        <w:ind w:left="2040" w:hanging="360"/>
      </w:pPr>
      <w:rPr>
        <w:rFonts w:ascii="Symbol" w:hAnsi="Symbol"/>
      </w:rPr>
    </w:lvl>
    <w:lvl w:ilvl="1" w:tplc="F3D4C51A">
      <w:start w:val="1"/>
      <w:numFmt w:val="bullet"/>
      <w:lvlText w:val=""/>
      <w:lvlJc w:val="left"/>
      <w:pPr>
        <w:ind w:left="2040" w:hanging="360"/>
      </w:pPr>
      <w:rPr>
        <w:rFonts w:ascii="Symbol" w:hAnsi="Symbol"/>
      </w:rPr>
    </w:lvl>
    <w:lvl w:ilvl="2" w:tplc="FB12A26E">
      <w:start w:val="1"/>
      <w:numFmt w:val="bullet"/>
      <w:lvlText w:val=""/>
      <w:lvlJc w:val="left"/>
      <w:pPr>
        <w:ind w:left="2040" w:hanging="360"/>
      </w:pPr>
      <w:rPr>
        <w:rFonts w:ascii="Symbol" w:hAnsi="Symbol"/>
      </w:rPr>
    </w:lvl>
    <w:lvl w:ilvl="3" w:tplc="D9AC52E8">
      <w:start w:val="1"/>
      <w:numFmt w:val="bullet"/>
      <w:lvlText w:val=""/>
      <w:lvlJc w:val="left"/>
      <w:pPr>
        <w:ind w:left="2040" w:hanging="360"/>
      </w:pPr>
      <w:rPr>
        <w:rFonts w:ascii="Symbol" w:hAnsi="Symbol"/>
      </w:rPr>
    </w:lvl>
    <w:lvl w:ilvl="4" w:tplc="F77C07AC">
      <w:start w:val="1"/>
      <w:numFmt w:val="bullet"/>
      <w:lvlText w:val=""/>
      <w:lvlJc w:val="left"/>
      <w:pPr>
        <w:ind w:left="2040" w:hanging="360"/>
      </w:pPr>
      <w:rPr>
        <w:rFonts w:ascii="Symbol" w:hAnsi="Symbol"/>
      </w:rPr>
    </w:lvl>
    <w:lvl w:ilvl="5" w:tplc="AB28D31E">
      <w:start w:val="1"/>
      <w:numFmt w:val="bullet"/>
      <w:lvlText w:val=""/>
      <w:lvlJc w:val="left"/>
      <w:pPr>
        <w:ind w:left="2040" w:hanging="360"/>
      </w:pPr>
      <w:rPr>
        <w:rFonts w:ascii="Symbol" w:hAnsi="Symbol"/>
      </w:rPr>
    </w:lvl>
    <w:lvl w:ilvl="6" w:tplc="BED45EF2">
      <w:start w:val="1"/>
      <w:numFmt w:val="bullet"/>
      <w:lvlText w:val=""/>
      <w:lvlJc w:val="left"/>
      <w:pPr>
        <w:ind w:left="2040" w:hanging="360"/>
      </w:pPr>
      <w:rPr>
        <w:rFonts w:ascii="Symbol" w:hAnsi="Symbol"/>
      </w:rPr>
    </w:lvl>
    <w:lvl w:ilvl="7" w:tplc="BF92CC8C">
      <w:start w:val="1"/>
      <w:numFmt w:val="bullet"/>
      <w:lvlText w:val=""/>
      <w:lvlJc w:val="left"/>
      <w:pPr>
        <w:ind w:left="2040" w:hanging="360"/>
      </w:pPr>
      <w:rPr>
        <w:rFonts w:ascii="Symbol" w:hAnsi="Symbol"/>
      </w:rPr>
    </w:lvl>
    <w:lvl w:ilvl="8" w:tplc="96E8DA40">
      <w:start w:val="1"/>
      <w:numFmt w:val="bullet"/>
      <w:lvlText w:val=""/>
      <w:lvlJc w:val="left"/>
      <w:pPr>
        <w:ind w:left="2040" w:hanging="360"/>
      </w:pPr>
      <w:rPr>
        <w:rFonts w:ascii="Symbol" w:hAnsi="Symbol"/>
      </w:rPr>
    </w:lvl>
  </w:abstractNum>
  <w:abstractNum w:abstractNumId="6" w15:restartNumberingAfterBreak="0">
    <w:nsid w:val="05F66FAF"/>
    <w:multiLevelType w:val="multilevel"/>
    <w:tmpl w:val="79B81B5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theme="minorBidi"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3741D"/>
    <w:multiLevelType w:val="multilevel"/>
    <w:tmpl w:val="BA56E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80481"/>
    <w:multiLevelType w:val="multilevel"/>
    <w:tmpl w:val="2A1600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F03BE7"/>
    <w:multiLevelType w:val="hybridMultilevel"/>
    <w:tmpl w:val="B068F30E"/>
    <w:lvl w:ilvl="0" w:tplc="29A2AA38">
      <w:start w:val="1"/>
      <w:numFmt w:val="decimal"/>
      <w:lvlText w:val="%1."/>
      <w:lvlJc w:val="left"/>
      <w:pPr>
        <w:ind w:left="1440" w:hanging="360"/>
      </w:pPr>
    </w:lvl>
    <w:lvl w:ilvl="1" w:tplc="AB4AE938">
      <w:start w:val="1"/>
      <w:numFmt w:val="decimal"/>
      <w:lvlText w:val="%2."/>
      <w:lvlJc w:val="left"/>
      <w:pPr>
        <w:ind w:left="1440" w:hanging="360"/>
      </w:pPr>
    </w:lvl>
    <w:lvl w:ilvl="2" w:tplc="86784434">
      <w:start w:val="1"/>
      <w:numFmt w:val="decimal"/>
      <w:lvlText w:val="%3."/>
      <w:lvlJc w:val="left"/>
      <w:pPr>
        <w:ind w:left="1440" w:hanging="360"/>
      </w:pPr>
    </w:lvl>
    <w:lvl w:ilvl="3" w:tplc="FE2C89FC">
      <w:start w:val="1"/>
      <w:numFmt w:val="decimal"/>
      <w:lvlText w:val="%4."/>
      <w:lvlJc w:val="left"/>
      <w:pPr>
        <w:ind w:left="1440" w:hanging="360"/>
      </w:pPr>
    </w:lvl>
    <w:lvl w:ilvl="4" w:tplc="F362ADB2">
      <w:start w:val="1"/>
      <w:numFmt w:val="decimal"/>
      <w:lvlText w:val="%5."/>
      <w:lvlJc w:val="left"/>
      <w:pPr>
        <w:ind w:left="1440" w:hanging="360"/>
      </w:pPr>
    </w:lvl>
    <w:lvl w:ilvl="5" w:tplc="07EC3AEA">
      <w:start w:val="1"/>
      <w:numFmt w:val="decimal"/>
      <w:lvlText w:val="%6."/>
      <w:lvlJc w:val="left"/>
      <w:pPr>
        <w:ind w:left="1440" w:hanging="360"/>
      </w:pPr>
    </w:lvl>
    <w:lvl w:ilvl="6" w:tplc="7DD83210">
      <w:start w:val="1"/>
      <w:numFmt w:val="decimal"/>
      <w:lvlText w:val="%7."/>
      <w:lvlJc w:val="left"/>
      <w:pPr>
        <w:ind w:left="1440" w:hanging="360"/>
      </w:pPr>
    </w:lvl>
    <w:lvl w:ilvl="7" w:tplc="169E17F4">
      <w:start w:val="1"/>
      <w:numFmt w:val="decimal"/>
      <w:lvlText w:val="%8."/>
      <w:lvlJc w:val="left"/>
      <w:pPr>
        <w:ind w:left="1440" w:hanging="360"/>
      </w:pPr>
    </w:lvl>
    <w:lvl w:ilvl="8" w:tplc="636ED500">
      <w:start w:val="1"/>
      <w:numFmt w:val="decimal"/>
      <w:lvlText w:val="%9."/>
      <w:lvlJc w:val="left"/>
      <w:pPr>
        <w:ind w:left="1440" w:hanging="360"/>
      </w:pPr>
    </w:lvl>
  </w:abstractNum>
  <w:abstractNum w:abstractNumId="10" w15:restartNumberingAfterBreak="0">
    <w:nsid w:val="09874292"/>
    <w:multiLevelType w:val="hybridMultilevel"/>
    <w:tmpl w:val="48EA8ECA"/>
    <w:lvl w:ilvl="0" w:tplc="5FF8349C">
      <w:start w:val="1"/>
      <w:numFmt w:val="bullet"/>
      <w:lvlText w:val=""/>
      <w:lvlJc w:val="left"/>
      <w:pPr>
        <w:ind w:left="2040" w:hanging="360"/>
      </w:pPr>
      <w:rPr>
        <w:rFonts w:ascii="Symbol" w:hAnsi="Symbol"/>
      </w:rPr>
    </w:lvl>
    <w:lvl w:ilvl="1" w:tplc="AF20CB6A">
      <w:start w:val="1"/>
      <w:numFmt w:val="bullet"/>
      <w:lvlText w:val=""/>
      <w:lvlJc w:val="left"/>
      <w:pPr>
        <w:ind w:left="2040" w:hanging="360"/>
      </w:pPr>
      <w:rPr>
        <w:rFonts w:ascii="Symbol" w:hAnsi="Symbol"/>
      </w:rPr>
    </w:lvl>
    <w:lvl w:ilvl="2" w:tplc="49C2037E">
      <w:start w:val="1"/>
      <w:numFmt w:val="bullet"/>
      <w:lvlText w:val=""/>
      <w:lvlJc w:val="left"/>
      <w:pPr>
        <w:ind w:left="2040" w:hanging="360"/>
      </w:pPr>
      <w:rPr>
        <w:rFonts w:ascii="Symbol" w:hAnsi="Symbol"/>
      </w:rPr>
    </w:lvl>
    <w:lvl w:ilvl="3" w:tplc="5F64F302">
      <w:start w:val="1"/>
      <w:numFmt w:val="bullet"/>
      <w:lvlText w:val=""/>
      <w:lvlJc w:val="left"/>
      <w:pPr>
        <w:ind w:left="2040" w:hanging="360"/>
      </w:pPr>
      <w:rPr>
        <w:rFonts w:ascii="Symbol" w:hAnsi="Symbol"/>
      </w:rPr>
    </w:lvl>
    <w:lvl w:ilvl="4" w:tplc="2D4E560E">
      <w:start w:val="1"/>
      <w:numFmt w:val="bullet"/>
      <w:lvlText w:val=""/>
      <w:lvlJc w:val="left"/>
      <w:pPr>
        <w:ind w:left="2040" w:hanging="360"/>
      </w:pPr>
      <w:rPr>
        <w:rFonts w:ascii="Symbol" w:hAnsi="Symbol"/>
      </w:rPr>
    </w:lvl>
    <w:lvl w:ilvl="5" w:tplc="D0BEA5AA">
      <w:start w:val="1"/>
      <w:numFmt w:val="bullet"/>
      <w:lvlText w:val=""/>
      <w:lvlJc w:val="left"/>
      <w:pPr>
        <w:ind w:left="2040" w:hanging="360"/>
      </w:pPr>
      <w:rPr>
        <w:rFonts w:ascii="Symbol" w:hAnsi="Symbol"/>
      </w:rPr>
    </w:lvl>
    <w:lvl w:ilvl="6" w:tplc="00BA3D64">
      <w:start w:val="1"/>
      <w:numFmt w:val="bullet"/>
      <w:lvlText w:val=""/>
      <w:lvlJc w:val="left"/>
      <w:pPr>
        <w:ind w:left="2040" w:hanging="360"/>
      </w:pPr>
      <w:rPr>
        <w:rFonts w:ascii="Symbol" w:hAnsi="Symbol"/>
      </w:rPr>
    </w:lvl>
    <w:lvl w:ilvl="7" w:tplc="7A8E3F1C">
      <w:start w:val="1"/>
      <w:numFmt w:val="bullet"/>
      <w:lvlText w:val=""/>
      <w:lvlJc w:val="left"/>
      <w:pPr>
        <w:ind w:left="2040" w:hanging="360"/>
      </w:pPr>
      <w:rPr>
        <w:rFonts w:ascii="Symbol" w:hAnsi="Symbol"/>
      </w:rPr>
    </w:lvl>
    <w:lvl w:ilvl="8" w:tplc="92042FF4">
      <w:start w:val="1"/>
      <w:numFmt w:val="bullet"/>
      <w:lvlText w:val=""/>
      <w:lvlJc w:val="left"/>
      <w:pPr>
        <w:ind w:left="2040" w:hanging="360"/>
      </w:pPr>
      <w:rPr>
        <w:rFonts w:ascii="Symbol" w:hAnsi="Symbol"/>
      </w:rPr>
    </w:lvl>
  </w:abstractNum>
  <w:abstractNum w:abstractNumId="11" w15:restartNumberingAfterBreak="0">
    <w:nsid w:val="09BA55D2"/>
    <w:multiLevelType w:val="hybridMultilevel"/>
    <w:tmpl w:val="4FE20740"/>
    <w:lvl w:ilvl="0" w:tplc="6D5E0FDC">
      <w:start w:val="1"/>
      <w:numFmt w:val="bullet"/>
      <w:lvlText w:val=""/>
      <w:lvlJc w:val="left"/>
      <w:pPr>
        <w:ind w:left="2040" w:hanging="360"/>
      </w:pPr>
      <w:rPr>
        <w:rFonts w:ascii="Symbol" w:hAnsi="Symbol"/>
      </w:rPr>
    </w:lvl>
    <w:lvl w:ilvl="1" w:tplc="EBF6D054">
      <w:start w:val="1"/>
      <w:numFmt w:val="bullet"/>
      <w:lvlText w:val=""/>
      <w:lvlJc w:val="left"/>
      <w:pPr>
        <w:ind w:left="2040" w:hanging="360"/>
      </w:pPr>
      <w:rPr>
        <w:rFonts w:ascii="Symbol" w:hAnsi="Symbol"/>
      </w:rPr>
    </w:lvl>
    <w:lvl w:ilvl="2" w:tplc="E3327FE6">
      <w:start w:val="1"/>
      <w:numFmt w:val="bullet"/>
      <w:lvlText w:val=""/>
      <w:lvlJc w:val="left"/>
      <w:pPr>
        <w:ind w:left="2040" w:hanging="360"/>
      </w:pPr>
      <w:rPr>
        <w:rFonts w:ascii="Symbol" w:hAnsi="Symbol"/>
      </w:rPr>
    </w:lvl>
    <w:lvl w:ilvl="3" w:tplc="2DC2E970">
      <w:start w:val="1"/>
      <w:numFmt w:val="bullet"/>
      <w:lvlText w:val=""/>
      <w:lvlJc w:val="left"/>
      <w:pPr>
        <w:ind w:left="2040" w:hanging="360"/>
      </w:pPr>
      <w:rPr>
        <w:rFonts w:ascii="Symbol" w:hAnsi="Symbol"/>
      </w:rPr>
    </w:lvl>
    <w:lvl w:ilvl="4" w:tplc="084C9692">
      <w:start w:val="1"/>
      <w:numFmt w:val="bullet"/>
      <w:lvlText w:val=""/>
      <w:lvlJc w:val="left"/>
      <w:pPr>
        <w:ind w:left="2040" w:hanging="360"/>
      </w:pPr>
      <w:rPr>
        <w:rFonts w:ascii="Symbol" w:hAnsi="Symbol"/>
      </w:rPr>
    </w:lvl>
    <w:lvl w:ilvl="5" w:tplc="DF185B44">
      <w:start w:val="1"/>
      <w:numFmt w:val="bullet"/>
      <w:lvlText w:val=""/>
      <w:lvlJc w:val="left"/>
      <w:pPr>
        <w:ind w:left="2040" w:hanging="360"/>
      </w:pPr>
      <w:rPr>
        <w:rFonts w:ascii="Symbol" w:hAnsi="Symbol"/>
      </w:rPr>
    </w:lvl>
    <w:lvl w:ilvl="6" w:tplc="CC0C7D64">
      <w:start w:val="1"/>
      <w:numFmt w:val="bullet"/>
      <w:lvlText w:val=""/>
      <w:lvlJc w:val="left"/>
      <w:pPr>
        <w:ind w:left="2040" w:hanging="360"/>
      </w:pPr>
      <w:rPr>
        <w:rFonts w:ascii="Symbol" w:hAnsi="Symbol"/>
      </w:rPr>
    </w:lvl>
    <w:lvl w:ilvl="7" w:tplc="D24891F8">
      <w:start w:val="1"/>
      <w:numFmt w:val="bullet"/>
      <w:lvlText w:val=""/>
      <w:lvlJc w:val="left"/>
      <w:pPr>
        <w:ind w:left="2040" w:hanging="360"/>
      </w:pPr>
      <w:rPr>
        <w:rFonts w:ascii="Symbol" w:hAnsi="Symbol"/>
      </w:rPr>
    </w:lvl>
    <w:lvl w:ilvl="8" w:tplc="5CB624AC">
      <w:start w:val="1"/>
      <w:numFmt w:val="bullet"/>
      <w:lvlText w:val=""/>
      <w:lvlJc w:val="left"/>
      <w:pPr>
        <w:ind w:left="2040" w:hanging="360"/>
      </w:pPr>
      <w:rPr>
        <w:rFonts w:ascii="Symbol" w:hAnsi="Symbol"/>
      </w:rPr>
    </w:lvl>
  </w:abstractNum>
  <w:abstractNum w:abstractNumId="12" w15:restartNumberingAfterBreak="0">
    <w:nsid w:val="0A2A1600"/>
    <w:multiLevelType w:val="hybridMultilevel"/>
    <w:tmpl w:val="7D6642D0"/>
    <w:lvl w:ilvl="0" w:tplc="78E2D26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A922BDC"/>
    <w:multiLevelType w:val="hybridMultilevel"/>
    <w:tmpl w:val="9202CB96"/>
    <w:lvl w:ilvl="0" w:tplc="CE263F94">
      <w:start w:val="1"/>
      <w:numFmt w:val="decimal"/>
      <w:lvlText w:val="%1."/>
      <w:lvlJc w:val="left"/>
      <w:pPr>
        <w:ind w:left="720" w:hanging="360"/>
      </w:pPr>
    </w:lvl>
    <w:lvl w:ilvl="1" w:tplc="A4CCC048">
      <w:start w:val="1"/>
      <w:numFmt w:val="decimal"/>
      <w:lvlText w:val="%2."/>
      <w:lvlJc w:val="left"/>
      <w:pPr>
        <w:ind w:left="720" w:hanging="360"/>
      </w:pPr>
    </w:lvl>
    <w:lvl w:ilvl="2" w:tplc="44340160">
      <w:start w:val="1"/>
      <w:numFmt w:val="decimal"/>
      <w:lvlText w:val="%3."/>
      <w:lvlJc w:val="left"/>
      <w:pPr>
        <w:ind w:left="720" w:hanging="360"/>
      </w:pPr>
    </w:lvl>
    <w:lvl w:ilvl="3" w:tplc="0DBC39DE">
      <w:start w:val="1"/>
      <w:numFmt w:val="decimal"/>
      <w:lvlText w:val="%4."/>
      <w:lvlJc w:val="left"/>
      <w:pPr>
        <w:ind w:left="720" w:hanging="360"/>
      </w:pPr>
    </w:lvl>
    <w:lvl w:ilvl="4" w:tplc="6394B99E">
      <w:start w:val="1"/>
      <w:numFmt w:val="decimal"/>
      <w:lvlText w:val="%5."/>
      <w:lvlJc w:val="left"/>
      <w:pPr>
        <w:ind w:left="720" w:hanging="360"/>
      </w:pPr>
    </w:lvl>
    <w:lvl w:ilvl="5" w:tplc="552C13E8">
      <w:start w:val="1"/>
      <w:numFmt w:val="decimal"/>
      <w:lvlText w:val="%6."/>
      <w:lvlJc w:val="left"/>
      <w:pPr>
        <w:ind w:left="720" w:hanging="360"/>
      </w:pPr>
    </w:lvl>
    <w:lvl w:ilvl="6" w:tplc="3412EBF2">
      <w:start w:val="1"/>
      <w:numFmt w:val="decimal"/>
      <w:lvlText w:val="%7."/>
      <w:lvlJc w:val="left"/>
      <w:pPr>
        <w:ind w:left="720" w:hanging="360"/>
      </w:pPr>
    </w:lvl>
    <w:lvl w:ilvl="7" w:tplc="5D481214">
      <w:start w:val="1"/>
      <w:numFmt w:val="decimal"/>
      <w:lvlText w:val="%8."/>
      <w:lvlJc w:val="left"/>
      <w:pPr>
        <w:ind w:left="720" w:hanging="360"/>
      </w:pPr>
    </w:lvl>
    <w:lvl w:ilvl="8" w:tplc="DC146B5E">
      <w:start w:val="1"/>
      <w:numFmt w:val="decimal"/>
      <w:lvlText w:val="%9."/>
      <w:lvlJc w:val="left"/>
      <w:pPr>
        <w:ind w:left="720" w:hanging="360"/>
      </w:pPr>
    </w:lvl>
  </w:abstractNum>
  <w:abstractNum w:abstractNumId="14" w15:restartNumberingAfterBreak="0">
    <w:nsid w:val="0E1F6ACA"/>
    <w:multiLevelType w:val="hybridMultilevel"/>
    <w:tmpl w:val="3FF63D88"/>
    <w:lvl w:ilvl="0" w:tplc="EF1227F6">
      <w:start w:val="1"/>
      <w:numFmt w:val="decimal"/>
      <w:lvlText w:val="%1)"/>
      <w:lvlJc w:val="left"/>
      <w:pPr>
        <w:ind w:left="1080" w:hanging="360"/>
      </w:pPr>
    </w:lvl>
    <w:lvl w:ilvl="1" w:tplc="5AC6F7DA">
      <w:start w:val="1"/>
      <w:numFmt w:val="decimal"/>
      <w:lvlText w:val="%2)"/>
      <w:lvlJc w:val="left"/>
      <w:pPr>
        <w:ind w:left="1080" w:hanging="360"/>
      </w:pPr>
    </w:lvl>
    <w:lvl w:ilvl="2" w:tplc="292AA1F2">
      <w:start w:val="1"/>
      <w:numFmt w:val="decimal"/>
      <w:lvlText w:val="%3)"/>
      <w:lvlJc w:val="left"/>
      <w:pPr>
        <w:ind w:left="1080" w:hanging="360"/>
      </w:pPr>
    </w:lvl>
    <w:lvl w:ilvl="3" w:tplc="5EAA2B64">
      <w:start w:val="1"/>
      <w:numFmt w:val="decimal"/>
      <w:lvlText w:val="%4)"/>
      <w:lvlJc w:val="left"/>
      <w:pPr>
        <w:ind w:left="1080" w:hanging="360"/>
      </w:pPr>
    </w:lvl>
    <w:lvl w:ilvl="4" w:tplc="FA621734">
      <w:start w:val="1"/>
      <w:numFmt w:val="decimal"/>
      <w:lvlText w:val="%5)"/>
      <w:lvlJc w:val="left"/>
      <w:pPr>
        <w:ind w:left="1080" w:hanging="360"/>
      </w:pPr>
    </w:lvl>
    <w:lvl w:ilvl="5" w:tplc="6930EC64">
      <w:start w:val="1"/>
      <w:numFmt w:val="decimal"/>
      <w:lvlText w:val="%6)"/>
      <w:lvlJc w:val="left"/>
      <w:pPr>
        <w:ind w:left="1080" w:hanging="360"/>
      </w:pPr>
    </w:lvl>
    <w:lvl w:ilvl="6" w:tplc="4E5C9636">
      <w:start w:val="1"/>
      <w:numFmt w:val="decimal"/>
      <w:lvlText w:val="%7)"/>
      <w:lvlJc w:val="left"/>
      <w:pPr>
        <w:ind w:left="1080" w:hanging="360"/>
      </w:pPr>
    </w:lvl>
    <w:lvl w:ilvl="7" w:tplc="37FE9C5A">
      <w:start w:val="1"/>
      <w:numFmt w:val="decimal"/>
      <w:lvlText w:val="%8)"/>
      <w:lvlJc w:val="left"/>
      <w:pPr>
        <w:ind w:left="1080" w:hanging="360"/>
      </w:pPr>
    </w:lvl>
    <w:lvl w:ilvl="8" w:tplc="A1B4F0F0">
      <w:start w:val="1"/>
      <w:numFmt w:val="decimal"/>
      <w:lvlText w:val="%9)"/>
      <w:lvlJc w:val="left"/>
      <w:pPr>
        <w:ind w:left="1080" w:hanging="360"/>
      </w:pPr>
    </w:lvl>
  </w:abstractNum>
  <w:abstractNum w:abstractNumId="15" w15:restartNumberingAfterBreak="0">
    <w:nsid w:val="0EE92BBC"/>
    <w:multiLevelType w:val="hybridMultilevel"/>
    <w:tmpl w:val="B07890BE"/>
    <w:lvl w:ilvl="0" w:tplc="AEEE756C">
      <w:start w:val="5"/>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F1A1986"/>
    <w:multiLevelType w:val="hybridMultilevel"/>
    <w:tmpl w:val="BCF0F2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F961CBA"/>
    <w:multiLevelType w:val="hybridMultilevel"/>
    <w:tmpl w:val="8EFCCC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01062B4"/>
    <w:multiLevelType w:val="hybridMultilevel"/>
    <w:tmpl w:val="D098D188"/>
    <w:lvl w:ilvl="0" w:tplc="F68E58E6">
      <w:start w:val="1"/>
      <w:numFmt w:val="decimal"/>
      <w:lvlText w:val="%1."/>
      <w:lvlJc w:val="left"/>
      <w:pPr>
        <w:ind w:left="720" w:hanging="360"/>
      </w:pPr>
    </w:lvl>
    <w:lvl w:ilvl="1" w:tplc="D30861BE">
      <w:start w:val="1"/>
      <w:numFmt w:val="decimal"/>
      <w:lvlText w:val="%2."/>
      <w:lvlJc w:val="left"/>
      <w:pPr>
        <w:ind w:left="720" w:hanging="360"/>
      </w:pPr>
    </w:lvl>
    <w:lvl w:ilvl="2" w:tplc="21528A8E">
      <w:start w:val="1"/>
      <w:numFmt w:val="decimal"/>
      <w:lvlText w:val="%3."/>
      <w:lvlJc w:val="left"/>
      <w:pPr>
        <w:ind w:left="720" w:hanging="360"/>
      </w:pPr>
    </w:lvl>
    <w:lvl w:ilvl="3" w:tplc="FFD415BC">
      <w:start w:val="1"/>
      <w:numFmt w:val="decimal"/>
      <w:lvlText w:val="%4."/>
      <w:lvlJc w:val="left"/>
      <w:pPr>
        <w:ind w:left="720" w:hanging="360"/>
      </w:pPr>
    </w:lvl>
    <w:lvl w:ilvl="4" w:tplc="4294B278">
      <w:start w:val="1"/>
      <w:numFmt w:val="decimal"/>
      <w:lvlText w:val="%5."/>
      <w:lvlJc w:val="left"/>
      <w:pPr>
        <w:ind w:left="720" w:hanging="360"/>
      </w:pPr>
    </w:lvl>
    <w:lvl w:ilvl="5" w:tplc="2EF8679C">
      <w:start w:val="1"/>
      <w:numFmt w:val="decimal"/>
      <w:lvlText w:val="%6."/>
      <w:lvlJc w:val="left"/>
      <w:pPr>
        <w:ind w:left="720" w:hanging="360"/>
      </w:pPr>
    </w:lvl>
    <w:lvl w:ilvl="6" w:tplc="336E7468">
      <w:start w:val="1"/>
      <w:numFmt w:val="decimal"/>
      <w:lvlText w:val="%7."/>
      <w:lvlJc w:val="left"/>
      <w:pPr>
        <w:ind w:left="720" w:hanging="360"/>
      </w:pPr>
    </w:lvl>
    <w:lvl w:ilvl="7" w:tplc="31366FB4">
      <w:start w:val="1"/>
      <w:numFmt w:val="decimal"/>
      <w:lvlText w:val="%8."/>
      <w:lvlJc w:val="left"/>
      <w:pPr>
        <w:ind w:left="720" w:hanging="360"/>
      </w:pPr>
    </w:lvl>
    <w:lvl w:ilvl="8" w:tplc="B6848A8E">
      <w:start w:val="1"/>
      <w:numFmt w:val="decimal"/>
      <w:lvlText w:val="%9."/>
      <w:lvlJc w:val="left"/>
      <w:pPr>
        <w:ind w:left="720" w:hanging="360"/>
      </w:pPr>
    </w:lvl>
  </w:abstractNum>
  <w:abstractNum w:abstractNumId="19" w15:restartNumberingAfterBreak="0">
    <w:nsid w:val="10582EEC"/>
    <w:multiLevelType w:val="hybridMultilevel"/>
    <w:tmpl w:val="7CBE0DA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0B06E0F"/>
    <w:multiLevelType w:val="hybridMultilevel"/>
    <w:tmpl w:val="3E664E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12321A0"/>
    <w:multiLevelType w:val="hybridMultilevel"/>
    <w:tmpl w:val="7AFA3FC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11BD3108"/>
    <w:multiLevelType w:val="hybridMultilevel"/>
    <w:tmpl w:val="F0581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3BC35F2"/>
    <w:multiLevelType w:val="hybridMultilevel"/>
    <w:tmpl w:val="1D1C432E"/>
    <w:lvl w:ilvl="0" w:tplc="FFFFFFFF">
      <w:start w:val="1"/>
      <w:numFmt w:val="bullet"/>
      <w:lvlText w:val=""/>
      <w:lvlJc w:val="left"/>
      <w:pPr>
        <w:ind w:left="720" w:hanging="360"/>
      </w:pPr>
      <w:rPr>
        <w:rFonts w:ascii="Wingdings" w:hAnsi="Wingdings"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67B15E8"/>
    <w:multiLevelType w:val="hybridMultilevel"/>
    <w:tmpl w:val="152EC4A8"/>
    <w:lvl w:ilvl="0" w:tplc="E004B774">
      <w:start w:val="1"/>
      <w:numFmt w:val="decimal"/>
      <w:lvlText w:val="%1."/>
      <w:lvlJc w:val="left"/>
      <w:pPr>
        <w:ind w:left="720" w:hanging="360"/>
      </w:pPr>
    </w:lvl>
    <w:lvl w:ilvl="1" w:tplc="85F69B98">
      <w:start w:val="1"/>
      <w:numFmt w:val="decimal"/>
      <w:lvlText w:val="%2."/>
      <w:lvlJc w:val="left"/>
      <w:pPr>
        <w:ind w:left="720" w:hanging="360"/>
      </w:pPr>
    </w:lvl>
    <w:lvl w:ilvl="2" w:tplc="B4768434">
      <w:start w:val="1"/>
      <w:numFmt w:val="decimal"/>
      <w:lvlText w:val="%3."/>
      <w:lvlJc w:val="left"/>
      <w:pPr>
        <w:ind w:left="720" w:hanging="360"/>
      </w:pPr>
    </w:lvl>
    <w:lvl w:ilvl="3" w:tplc="42AEA2B8">
      <w:start w:val="1"/>
      <w:numFmt w:val="decimal"/>
      <w:lvlText w:val="%4."/>
      <w:lvlJc w:val="left"/>
      <w:pPr>
        <w:ind w:left="720" w:hanging="360"/>
      </w:pPr>
    </w:lvl>
    <w:lvl w:ilvl="4" w:tplc="FCA271B4">
      <w:start w:val="1"/>
      <w:numFmt w:val="decimal"/>
      <w:lvlText w:val="%5."/>
      <w:lvlJc w:val="left"/>
      <w:pPr>
        <w:ind w:left="720" w:hanging="360"/>
      </w:pPr>
    </w:lvl>
    <w:lvl w:ilvl="5" w:tplc="69009BA6">
      <w:start w:val="1"/>
      <w:numFmt w:val="decimal"/>
      <w:lvlText w:val="%6."/>
      <w:lvlJc w:val="left"/>
      <w:pPr>
        <w:ind w:left="720" w:hanging="360"/>
      </w:pPr>
    </w:lvl>
    <w:lvl w:ilvl="6" w:tplc="98743CE2">
      <w:start w:val="1"/>
      <w:numFmt w:val="decimal"/>
      <w:lvlText w:val="%7."/>
      <w:lvlJc w:val="left"/>
      <w:pPr>
        <w:ind w:left="720" w:hanging="360"/>
      </w:pPr>
    </w:lvl>
    <w:lvl w:ilvl="7" w:tplc="1AEE7712">
      <w:start w:val="1"/>
      <w:numFmt w:val="decimal"/>
      <w:lvlText w:val="%8."/>
      <w:lvlJc w:val="left"/>
      <w:pPr>
        <w:ind w:left="720" w:hanging="360"/>
      </w:pPr>
    </w:lvl>
    <w:lvl w:ilvl="8" w:tplc="48D4626A">
      <w:start w:val="1"/>
      <w:numFmt w:val="decimal"/>
      <w:lvlText w:val="%9."/>
      <w:lvlJc w:val="left"/>
      <w:pPr>
        <w:ind w:left="720" w:hanging="360"/>
      </w:pPr>
    </w:lvl>
  </w:abstractNum>
  <w:abstractNum w:abstractNumId="25" w15:restartNumberingAfterBreak="0">
    <w:nsid w:val="17460F6F"/>
    <w:multiLevelType w:val="hybridMultilevel"/>
    <w:tmpl w:val="BD805252"/>
    <w:lvl w:ilvl="0" w:tplc="E90C03F8">
      <w:numFmt w:val="bullet"/>
      <w:lvlText w:val="-"/>
      <w:lvlJc w:val="left"/>
      <w:pPr>
        <w:ind w:left="1212" w:hanging="360"/>
      </w:pPr>
      <w:rPr>
        <w:rFonts w:ascii="Times New Roman" w:eastAsiaTheme="minorHAnsi" w:hAnsi="Times New Roman" w:cs="Times New Roman" w:hint="default"/>
      </w:rPr>
    </w:lvl>
    <w:lvl w:ilvl="1" w:tplc="18090003" w:tentative="1">
      <w:start w:val="1"/>
      <w:numFmt w:val="bullet"/>
      <w:lvlText w:val="o"/>
      <w:lvlJc w:val="left"/>
      <w:pPr>
        <w:ind w:left="1932" w:hanging="360"/>
      </w:pPr>
      <w:rPr>
        <w:rFonts w:ascii="Courier New" w:hAnsi="Courier New" w:cs="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cs="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cs="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26" w15:restartNumberingAfterBreak="0">
    <w:nsid w:val="17FF590F"/>
    <w:multiLevelType w:val="hybridMultilevel"/>
    <w:tmpl w:val="B15833E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18051B6B"/>
    <w:multiLevelType w:val="hybridMultilevel"/>
    <w:tmpl w:val="31D2BAAC"/>
    <w:lvl w:ilvl="0" w:tplc="E5A444E4">
      <w:start w:val="1"/>
      <w:numFmt w:val="decimal"/>
      <w:lvlText w:val="%1."/>
      <w:lvlJc w:val="left"/>
      <w:pPr>
        <w:ind w:left="1440" w:hanging="360"/>
      </w:pPr>
    </w:lvl>
    <w:lvl w:ilvl="1" w:tplc="6F4404BC">
      <w:start w:val="1"/>
      <w:numFmt w:val="decimal"/>
      <w:lvlText w:val="%2."/>
      <w:lvlJc w:val="left"/>
      <w:pPr>
        <w:ind w:left="1440" w:hanging="360"/>
      </w:pPr>
    </w:lvl>
    <w:lvl w:ilvl="2" w:tplc="0F6E4658">
      <w:start w:val="1"/>
      <w:numFmt w:val="decimal"/>
      <w:lvlText w:val="%3."/>
      <w:lvlJc w:val="left"/>
      <w:pPr>
        <w:ind w:left="1440" w:hanging="360"/>
      </w:pPr>
    </w:lvl>
    <w:lvl w:ilvl="3" w:tplc="EECA5058">
      <w:start w:val="1"/>
      <w:numFmt w:val="decimal"/>
      <w:lvlText w:val="%4."/>
      <w:lvlJc w:val="left"/>
      <w:pPr>
        <w:ind w:left="1440" w:hanging="360"/>
      </w:pPr>
    </w:lvl>
    <w:lvl w:ilvl="4" w:tplc="B68EDA2E">
      <w:start w:val="1"/>
      <w:numFmt w:val="decimal"/>
      <w:lvlText w:val="%5."/>
      <w:lvlJc w:val="left"/>
      <w:pPr>
        <w:ind w:left="1440" w:hanging="360"/>
      </w:pPr>
    </w:lvl>
    <w:lvl w:ilvl="5" w:tplc="DA163FF6">
      <w:start w:val="1"/>
      <w:numFmt w:val="decimal"/>
      <w:lvlText w:val="%6."/>
      <w:lvlJc w:val="left"/>
      <w:pPr>
        <w:ind w:left="1440" w:hanging="360"/>
      </w:pPr>
    </w:lvl>
    <w:lvl w:ilvl="6" w:tplc="468497A6">
      <w:start w:val="1"/>
      <w:numFmt w:val="decimal"/>
      <w:lvlText w:val="%7."/>
      <w:lvlJc w:val="left"/>
      <w:pPr>
        <w:ind w:left="1440" w:hanging="360"/>
      </w:pPr>
    </w:lvl>
    <w:lvl w:ilvl="7" w:tplc="31667216">
      <w:start w:val="1"/>
      <w:numFmt w:val="decimal"/>
      <w:lvlText w:val="%8."/>
      <w:lvlJc w:val="left"/>
      <w:pPr>
        <w:ind w:left="1440" w:hanging="360"/>
      </w:pPr>
    </w:lvl>
    <w:lvl w:ilvl="8" w:tplc="1C928B40">
      <w:start w:val="1"/>
      <w:numFmt w:val="decimal"/>
      <w:lvlText w:val="%9."/>
      <w:lvlJc w:val="left"/>
      <w:pPr>
        <w:ind w:left="1440" w:hanging="360"/>
      </w:pPr>
    </w:lvl>
  </w:abstractNum>
  <w:abstractNum w:abstractNumId="28" w15:restartNumberingAfterBreak="0">
    <w:nsid w:val="18441C7E"/>
    <w:multiLevelType w:val="multilevel"/>
    <w:tmpl w:val="80246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622F72"/>
    <w:multiLevelType w:val="hybridMultilevel"/>
    <w:tmpl w:val="E7E02A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1A9B618F"/>
    <w:multiLevelType w:val="hybridMultilevel"/>
    <w:tmpl w:val="1000376A"/>
    <w:lvl w:ilvl="0" w:tplc="5D62D2D2">
      <w:start w:val="1"/>
      <w:numFmt w:val="decimal"/>
      <w:lvlText w:val="%1)"/>
      <w:lvlJc w:val="left"/>
      <w:pPr>
        <w:ind w:left="1080" w:hanging="360"/>
      </w:pPr>
    </w:lvl>
    <w:lvl w:ilvl="1" w:tplc="39B8AD44">
      <w:start w:val="1"/>
      <w:numFmt w:val="decimal"/>
      <w:lvlText w:val="%2)"/>
      <w:lvlJc w:val="left"/>
      <w:pPr>
        <w:ind w:left="1080" w:hanging="360"/>
      </w:pPr>
    </w:lvl>
    <w:lvl w:ilvl="2" w:tplc="98100F46">
      <w:start w:val="1"/>
      <w:numFmt w:val="decimal"/>
      <w:lvlText w:val="%3)"/>
      <w:lvlJc w:val="left"/>
      <w:pPr>
        <w:ind w:left="1080" w:hanging="360"/>
      </w:pPr>
    </w:lvl>
    <w:lvl w:ilvl="3" w:tplc="667657A4">
      <w:start w:val="1"/>
      <w:numFmt w:val="decimal"/>
      <w:lvlText w:val="%4)"/>
      <w:lvlJc w:val="left"/>
      <w:pPr>
        <w:ind w:left="1080" w:hanging="360"/>
      </w:pPr>
    </w:lvl>
    <w:lvl w:ilvl="4" w:tplc="83A24CCA">
      <w:start w:val="1"/>
      <w:numFmt w:val="decimal"/>
      <w:lvlText w:val="%5)"/>
      <w:lvlJc w:val="left"/>
      <w:pPr>
        <w:ind w:left="1080" w:hanging="360"/>
      </w:pPr>
    </w:lvl>
    <w:lvl w:ilvl="5" w:tplc="42E49608">
      <w:start w:val="1"/>
      <w:numFmt w:val="decimal"/>
      <w:lvlText w:val="%6)"/>
      <w:lvlJc w:val="left"/>
      <w:pPr>
        <w:ind w:left="1080" w:hanging="360"/>
      </w:pPr>
    </w:lvl>
    <w:lvl w:ilvl="6" w:tplc="35E4FCBC">
      <w:start w:val="1"/>
      <w:numFmt w:val="decimal"/>
      <w:lvlText w:val="%7)"/>
      <w:lvlJc w:val="left"/>
      <w:pPr>
        <w:ind w:left="1080" w:hanging="360"/>
      </w:pPr>
    </w:lvl>
    <w:lvl w:ilvl="7" w:tplc="53B223E4">
      <w:start w:val="1"/>
      <w:numFmt w:val="decimal"/>
      <w:lvlText w:val="%8)"/>
      <w:lvlJc w:val="left"/>
      <w:pPr>
        <w:ind w:left="1080" w:hanging="360"/>
      </w:pPr>
    </w:lvl>
    <w:lvl w:ilvl="8" w:tplc="49663F5A">
      <w:start w:val="1"/>
      <w:numFmt w:val="decimal"/>
      <w:lvlText w:val="%9)"/>
      <w:lvlJc w:val="left"/>
      <w:pPr>
        <w:ind w:left="1080" w:hanging="360"/>
      </w:pPr>
    </w:lvl>
  </w:abstractNum>
  <w:abstractNum w:abstractNumId="31" w15:restartNumberingAfterBreak="0">
    <w:nsid w:val="1ED5176C"/>
    <w:multiLevelType w:val="multilevel"/>
    <w:tmpl w:val="1444D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2F7B2B"/>
    <w:multiLevelType w:val="hybridMultilevel"/>
    <w:tmpl w:val="1C3C813E"/>
    <w:lvl w:ilvl="0" w:tplc="FFFFFFFF">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175347A"/>
    <w:multiLevelType w:val="multilevel"/>
    <w:tmpl w:val="F5E6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DE3057"/>
    <w:multiLevelType w:val="multilevel"/>
    <w:tmpl w:val="2738FCE0"/>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24B601E7"/>
    <w:multiLevelType w:val="hybridMultilevel"/>
    <w:tmpl w:val="64AC746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25BB33E7"/>
    <w:multiLevelType w:val="hybridMultilevel"/>
    <w:tmpl w:val="D708074A"/>
    <w:lvl w:ilvl="0" w:tplc="EC38AF46">
      <w:start w:val="1"/>
      <w:numFmt w:val="decimal"/>
      <w:lvlText w:val="%1."/>
      <w:lvlJc w:val="left"/>
      <w:pPr>
        <w:ind w:left="1440" w:hanging="360"/>
      </w:pPr>
    </w:lvl>
    <w:lvl w:ilvl="1" w:tplc="82E28CA6">
      <w:start w:val="1"/>
      <w:numFmt w:val="decimal"/>
      <w:lvlText w:val="%2."/>
      <w:lvlJc w:val="left"/>
      <w:pPr>
        <w:ind w:left="1440" w:hanging="360"/>
      </w:pPr>
    </w:lvl>
    <w:lvl w:ilvl="2" w:tplc="3702BC46">
      <w:start w:val="1"/>
      <w:numFmt w:val="decimal"/>
      <w:lvlText w:val="%3."/>
      <w:lvlJc w:val="left"/>
      <w:pPr>
        <w:ind w:left="1440" w:hanging="360"/>
      </w:pPr>
    </w:lvl>
    <w:lvl w:ilvl="3" w:tplc="4BBA72D6">
      <w:start w:val="1"/>
      <w:numFmt w:val="decimal"/>
      <w:lvlText w:val="%4."/>
      <w:lvlJc w:val="left"/>
      <w:pPr>
        <w:ind w:left="1440" w:hanging="360"/>
      </w:pPr>
    </w:lvl>
    <w:lvl w:ilvl="4" w:tplc="EF5C352E">
      <w:start w:val="1"/>
      <w:numFmt w:val="decimal"/>
      <w:lvlText w:val="%5."/>
      <w:lvlJc w:val="left"/>
      <w:pPr>
        <w:ind w:left="1440" w:hanging="360"/>
      </w:pPr>
    </w:lvl>
    <w:lvl w:ilvl="5" w:tplc="B484DE98">
      <w:start w:val="1"/>
      <w:numFmt w:val="decimal"/>
      <w:lvlText w:val="%6."/>
      <w:lvlJc w:val="left"/>
      <w:pPr>
        <w:ind w:left="1440" w:hanging="360"/>
      </w:pPr>
    </w:lvl>
    <w:lvl w:ilvl="6" w:tplc="320A278A">
      <w:start w:val="1"/>
      <w:numFmt w:val="decimal"/>
      <w:lvlText w:val="%7."/>
      <w:lvlJc w:val="left"/>
      <w:pPr>
        <w:ind w:left="1440" w:hanging="360"/>
      </w:pPr>
    </w:lvl>
    <w:lvl w:ilvl="7" w:tplc="2398F04C">
      <w:start w:val="1"/>
      <w:numFmt w:val="decimal"/>
      <w:lvlText w:val="%8."/>
      <w:lvlJc w:val="left"/>
      <w:pPr>
        <w:ind w:left="1440" w:hanging="360"/>
      </w:pPr>
    </w:lvl>
    <w:lvl w:ilvl="8" w:tplc="255E107A">
      <w:start w:val="1"/>
      <w:numFmt w:val="decimal"/>
      <w:lvlText w:val="%9."/>
      <w:lvlJc w:val="left"/>
      <w:pPr>
        <w:ind w:left="1440" w:hanging="360"/>
      </w:pPr>
    </w:lvl>
  </w:abstractNum>
  <w:abstractNum w:abstractNumId="37" w15:restartNumberingAfterBreak="0">
    <w:nsid w:val="268F680A"/>
    <w:multiLevelType w:val="hybridMultilevel"/>
    <w:tmpl w:val="1E0CF7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69B352D"/>
    <w:multiLevelType w:val="hybridMultilevel"/>
    <w:tmpl w:val="6960E76E"/>
    <w:lvl w:ilvl="0" w:tplc="FB8E1E4E">
      <w:start w:val="1"/>
      <w:numFmt w:val="decimal"/>
      <w:lvlText w:val="%1."/>
      <w:lvlJc w:val="left"/>
      <w:pPr>
        <w:ind w:left="720" w:hanging="360"/>
      </w:pPr>
    </w:lvl>
    <w:lvl w:ilvl="1" w:tplc="EAA68E0E">
      <w:start w:val="1"/>
      <w:numFmt w:val="decimal"/>
      <w:lvlText w:val="%2."/>
      <w:lvlJc w:val="left"/>
      <w:pPr>
        <w:ind w:left="720" w:hanging="360"/>
      </w:pPr>
    </w:lvl>
    <w:lvl w:ilvl="2" w:tplc="21FAC54C">
      <w:start w:val="1"/>
      <w:numFmt w:val="decimal"/>
      <w:lvlText w:val="%3."/>
      <w:lvlJc w:val="left"/>
      <w:pPr>
        <w:ind w:left="720" w:hanging="360"/>
      </w:pPr>
    </w:lvl>
    <w:lvl w:ilvl="3" w:tplc="7988B8C8">
      <w:start w:val="1"/>
      <w:numFmt w:val="decimal"/>
      <w:lvlText w:val="%4."/>
      <w:lvlJc w:val="left"/>
      <w:pPr>
        <w:ind w:left="720" w:hanging="360"/>
      </w:pPr>
    </w:lvl>
    <w:lvl w:ilvl="4" w:tplc="44246D36">
      <w:start w:val="1"/>
      <w:numFmt w:val="decimal"/>
      <w:lvlText w:val="%5."/>
      <w:lvlJc w:val="left"/>
      <w:pPr>
        <w:ind w:left="720" w:hanging="360"/>
      </w:pPr>
    </w:lvl>
    <w:lvl w:ilvl="5" w:tplc="49D608D8">
      <w:start w:val="1"/>
      <w:numFmt w:val="decimal"/>
      <w:lvlText w:val="%6."/>
      <w:lvlJc w:val="left"/>
      <w:pPr>
        <w:ind w:left="720" w:hanging="360"/>
      </w:pPr>
    </w:lvl>
    <w:lvl w:ilvl="6" w:tplc="BABEAFFC">
      <w:start w:val="1"/>
      <w:numFmt w:val="decimal"/>
      <w:lvlText w:val="%7."/>
      <w:lvlJc w:val="left"/>
      <w:pPr>
        <w:ind w:left="720" w:hanging="360"/>
      </w:pPr>
    </w:lvl>
    <w:lvl w:ilvl="7" w:tplc="0B18F5B2">
      <w:start w:val="1"/>
      <w:numFmt w:val="decimal"/>
      <w:lvlText w:val="%8."/>
      <w:lvlJc w:val="left"/>
      <w:pPr>
        <w:ind w:left="720" w:hanging="360"/>
      </w:pPr>
    </w:lvl>
    <w:lvl w:ilvl="8" w:tplc="4240E4AC">
      <w:start w:val="1"/>
      <w:numFmt w:val="decimal"/>
      <w:lvlText w:val="%9."/>
      <w:lvlJc w:val="left"/>
      <w:pPr>
        <w:ind w:left="720" w:hanging="360"/>
      </w:pPr>
    </w:lvl>
  </w:abstractNum>
  <w:abstractNum w:abstractNumId="39" w15:restartNumberingAfterBreak="0">
    <w:nsid w:val="26BC2FFB"/>
    <w:multiLevelType w:val="hybridMultilevel"/>
    <w:tmpl w:val="F4262126"/>
    <w:lvl w:ilvl="0" w:tplc="78E2D262">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26BDEC23"/>
    <w:multiLevelType w:val="hybridMultilevel"/>
    <w:tmpl w:val="FFFFFFFF"/>
    <w:lvl w:ilvl="0" w:tplc="E6805544">
      <w:start w:val="1"/>
      <w:numFmt w:val="bullet"/>
      <w:lvlText w:val=""/>
      <w:lvlJc w:val="left"/>
      <w:pPr>
        <w:ind w:left="720" w:hanging="360"/>
      </w:pPr>
      <w:rPr>
        <w:rFonts w:ascii="Wingdings" w:hAnsi="Wingdings" w:hint="default"/>
      </w:rPr>
    </w:lvl>
    <w:lvl w:ilvl="1" w:tplc="62AE030C">
      <w:start w:val="1"/>
      <w:numFmt w:val="bullet"/>
      <w:lvlText w:val="o"/>
      <w:lvlJc w:val="left"/>
      <w:pPr>
        <w:ind w:left="1440" w:hanging="360"/>
      </w:pPr>
      <w:rPr>
        <w:rFonts w:ascii="Courier New" w:hAnsi="Courier New" w:hint="default"/>
      </w:rPr>
    </w:lvl>
    <w:lvl w:ilvl="2" w:tplc="6442BF90">
      <w:start w:val="1"/>
      <w:numFmt w:val="bullet"/>
      <w:lvlText w:val=""/>
      <w:lvlJc w:val="left"/>
      <w:pPr>
        <w:ind w:left="2160" w:hanging="360"/>
      </w:pPr>
      <w:rPr>
        <w:rFonts w:ascii="Wingdings" w:hAnsi="Wingdings" w:hint="default"/>
      </w:rPr>
    </w:lvl>
    <w:lvl w:ilvl="3" w:tplc="95068F6E">
      <w:start w:val="1"/>
      <w:numFmt w:val="bullet"/>
      <w:lvlText w:val=""/>
      <w:lvlJc w:val="left"/>
      <w:pPr>
        <w:ind w:left="2880" w:hanging="360"/>
      </w:pPr>
      <w:rPr>
        <w:rFonts w:ascii="Symbol" w:hAnsi="Symbol" w:hint="default"/>
      </w:rPr>
    </w:lvl>
    <w:lvl w:ilvl="4" w:tplc="EC38B9E4">
      <w:start w:val="1"/>
      <w:numFmt w:val="bullet"/>
      <w:lvlText w:val="o"/>
      <w:lvlJc w:val="left"/>
      <w:pPr>
        <w:ind w:left="3600" w:hanging="360"/>
      </w:pPr>
      <w:rPr>
        <w:rFonts w:ascii="Courier New" w:hAnsi="Courier New" w:hint="default"/>
      </w:rPr>
    </w:lvl>
    <w:lvl w:ilvl="5" w:tplc="F69E974C">
      <w:start w:val="1"/>
      <w:numFmt w:val="bullet"/>
      <w:lvlText w:val=""/>
      <w:lvlJc w:val="left"/>
      <w:pPr>
        <w:ind w:left="4320" w:hanging="360"/>
      </w:pPr>
      <w:rPr>
        <w:rFonts w:ascii="Wingdings" w:hAnsi="Wingdings" w:hint="default"/>
      </w:rPr>
    </w:lvl>
    <w:lvl w:ilvl="6" w:tplc="AF607B9E">
      <w:start w:val="1"/>
      <w:numFmt w:val="bullet"/>
      <w:lvlText w:val=""/>
      <w:lvlJc w:val="left"/>
      <w:pPr>
        <w:ind w:left="5040" w:hanging="360"/>
      </w:pPr>
      <w:rPr>
        <w:rFonts w:ascii="Symbol" w:hAnsi="Symbol" w:hint="default"/>
      </w:rPr>
    </w:lvl>
    <w:lvl w:ilvl="7" w:tplc="D1961262">
      <w:start w:val="1"/>
      <w:numFmt w:val="bullet"/>
      <w:lvlText w:val="o"/>
      <w:lvlJc w:val="left"/>
      <w:pPr>
        <w:ind w:left="5760" w:hanging="360"/>
      </w:pPr>
      <w:rPr>
        <w:rFonts w:ascii="Courier New" w:hAnsi="Courier New" w:hint="default"/>
      </w:rPr>
    </w:lvl>
    <w:lvl w:ilvl="8" w:tplc="AEDE09F6">
      <w:start w:val="1"/>
      <w:numFmt w:val="bullet"/>
      <w:lvlText w:val=""/>
      <w:lvlJc w:val="left"/>
      <w:pPr>
        <w:ind w:left="6480" w:hanging="360"/>
      </w:pPr>
      <w:rPr>
        <w:rFonts w:ascii="Wingdings" w:hAnsi="Wingdings" w:hint="default"/>
      </w:rPr>
    </w:lvl>
  </w:abstractNum>
  <w:abstractNum w:abstractNumId="41" w15:restartNumberingAfterBreak="0">
    <w:nsid w:val="27791615"/>
    <w:multiLevelType w:val="hybridMultilevel"/>
    <w:tmpl w:val="CF7C7CC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281A1638"/>
    <w:multiLevelType w:val="hybridMultilevel"/>
    <w:tmpl w:val="C414DDF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2865703B"/>
    <w:multiLevelType w:val="multilevel"/>
    <w:tmpl w:val="2A1600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87F3BA4"/>
    <w:multiLevelType w:val="hybridMultilevel"/>
    <w:tmpl w:val="E1946F3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924009D"/>
    <w:multiLevelType w:val="multilevel"/>
    <w:tmpl w:val="515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9AF1EF"/>
    <w:multiLevelType w:val="hybridMultilevel"/>
    <w:tmpl w:val="4894DD1A"/>
    <w:lvl w:ilvl="0" w:tplc="C88A1166">
      <w:start w:val="1"/>
      <w:numFmt w:val="bullet"/>
      <w:lvlText w:val=""/>
      <w:lvlJc w:val="left"/>
      <w:pPr>
        <w:ind w:left="720" w:hanging="360"/>
      </w:pPr>
      <w:rPr>
        <w:rFonts w:ascii="Wingdings" w:hAnsi="Wingdings" w:hint="default"/>
      </w:rPr>
    </w:lvl>
    <w:lvl w:ilvl="1" w:tplc="DA56A066">
      <w:start w:val="1"/>
      <w:numFmt w:val="bullet"/>
      <w:lvlText w:val="o"/>
      <w:lvlJc w:val="left"/>
      <w:pPr>
        <w:ind w:left="1440" w:hanging="360"/>
      </w:pPr>
      <w:rPr>
        <w:rFonts w:ascii="Courier New" w:hAnsi="Courier New" w:hint="default"/>
      </w:rPr>
    </w:lvl>
    <w:lvl w:ilvl="2" w:tplc="1938EF30">
      <w:start w:val="1"/>
      <w:numFmt w:val="bullet"/>
      <w:lvlText w:val=""/>
      <w:lvlJc w:val="left"/>
      <w:pPr>
        <w:ind w:left="2160" w:hanging="360"/>
      </w:pPr>
      <w:rPr>
        <w:rFonts w:ascii="Wingdings" w:hAnsi="Wingdings" w:hint="default"/>
      </w:rPr>
    </w:lvl>
    <w:lvl w:ilvl="3" w:tplc="98C06B4A">
      <w:start w:val="1"/>
      <w:numFmt w:val="bullet"/>
      <w:lvlText w:val=""/>
      <w:lvlJc w:val="left"/>
      <w:pPr>
        <w:ind w:left="2880" w:hanging="360"/>
      </w:pPr>
      <w:rPr>
        <w:rFonts w:ascii="Symbol" w:hAnsi="Symbol" w:hint="default"/>
      </w:rPr>
    </w:lvl>
    <w:lvl w:ilvl="4" w:tplc="92AAFE26">
      <w:start w:val="1"/>
      <w:numFmt w:val="bullet"/>
      <w:lvlText w:val="o"/>
      <w:lvlJc w:val="left"/>
      <w:pPr>
        <w:ind w:left="3600" w:hanging="360"/>
      </w:pPr>
      <w:rPr>
        <w:rFonts w:ascii="Courier New" w:hAnsi="Courier New" w:hint="default"/>
      </w:rPr>
    </w:lvl>
    <w:lvl w:ilvl="5" w:tplc="8998F246">
      <w:start w:val="1"/>
      <w:numFmt w:val="bullet"/>
      <w:lvlText w:val=""/>
      <w:lvlJc w:val="left"/>
      <w:pPr>
        <w:ind w:left="4320" w:hanging="360"/>
      </w:pPr>
      <w:rPr>
        <w:rFonts w:ascii="Wingdings" w:hAnsi="Wingdings" w:hint="default"/>
      </w:rPr>
    </w:lvl>
    <w:lvl w:ilvl="6" w:tplc="2DA6A5FE">
      <w:start w:val="1"/>
      <w:numFmt w:val="bullet"/>
      <w:lvlText w:val=""/>
      <w:lvlJc w:val="left"/>
      <w:pPr>
        <w:ind w:left="5040" w:hanging="360"/>
      </w:pPr>
      <w:rPr>
        <w:rFonts w:ascii="Symbol" w:hAnsi="Symbol" w:hint="default"/>
      </w:rPr>
    </w:lvl>
    <w:lvl w:ilvl="7" w:tplc="89D41E60">
      <w:start w:val="1"/>
      <w:numFmt w:val="bullet"/>
      <w:lvlText w:val="o"/>
      <w:lvlJc w:val="left"/>
      <w:pPr>
        <w:ind w:left="5760" w:hanging="360"/>
      </w:pPr>
      <w:rPr>
        <w:rFonts w:ascii="Courier New" w:hAnsi="Courier New" w:hint="default"/>
      </w:rPr>
    </w:lvl>
    <w:lvl w:ilvl="8" w:tplc="C8D6681E">
      <w:start w:val="1"/>
      <w:numFmt w:val="bullet"/>
      <w:lvlText w:val=""/>
      <w:lvlJc w:val="left"/>
      <w:pPr>
        <w:ind w:left="6480" w:hanging="360"/>
      </w:pPr>
      <w:rPr>
        <w:rFonts w:ascii="Wingdings" w:hAnsi="Wingdings" w:hint="default"/>
      </w:rPr>
    </w:lvl>
  </w:abstractNum>
  <w:abstractNum w:abstractNumId="47" w15:restartNumberingAfterBreak="0">
    <w:nsid w:val="2B517CFB"/>
    <w:multiLevelType w:val="hybridMultilevel"/>
    <w:tmpl w:val="1EAC35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2D5557BE"/>
    <w:multiLevelType w:val="hybridMultilevel"/>
    <w:tmpl w:val="D0C6CBC4"/>
    <w:lvl w:ilvl="0" w:tplc="CA8289F8">
      <w:start w:val="1"/>
      <w:numFmt w:val="decimal"/>
      <w:lvlText w:val="%1."/>
      <w:lvlJc w:val="left"/>
      <w:pPr>
        <w:ind w:left="720" w:hanging="360"/>
      </w:pPr>
    </w:lvl>
    <w:lvl w:ilvl="1" w:tplc="7C4017D8">
      <w:start w:val="1"/>
      <w:numFmt w:val="decimal"/>
      <w:lvlText w:val="%2."/>
      <w:lvlJc w:val="left"/>
      <w:pPr>
        <w:ind w:left="720" w:hanging="360"/>
      </w:pPr>
    </w:lvl>
    <w:lvl w:ilvl="2" w:tplc="24986286">
      <w:start w:val="1"/>
      <w:numFmt w:val="decimal"/>
      <w:lvlText w:val="%3."/>
      <w:lvlJc w:val="left"/>
      <w:pPr>
        <w:ind w:left="720" w:hanging="360"/>
      </w:pPr>
    </w:lvl>
    <w:lvl w:ilvl="3" w:tplc="07C2F688">
      <w:start w:val="1"/>
      <w:numFmt w:val="decimal"/>
      <w:lvlText w:val="%4."/>
      <w:lvlJc w:val="left"/>
      <w:pPr>
        <w:ind w:left="720" w:hanging="360"/>
      </w:pPr>
    </w:lvl>
    <w:lvl w:ilvl="4" w:tplc="58E48ABA">
      <w:start w:val="1"/>
      <w:numFmt w:val="decimal"/>
      <w:lvlText w:val="%5."/>
      <w:lvlJc w:val="left"/>
      <w:pPr>
        <w:ind w:left="720" w:hanging="360"/>
      </w:pPr>
    </w:lvl>
    <w:lvl w:ilvl="5" w:tplc="66321484">
      <w:start w:val="1"/>
      <w:numFmt w:val="decimal"/>
      <w:lvlText w:val="%6."/>
      <w:lvlJc w:val="left"/>
      <w:pPr>
        <w:ind w:left="720" w:hanging="360"/>
      </w:pPr>
    </w:lvl>
    <w:lvl w:ilvl="6" w:tplc="489C06A2">
      <w:start w:val="1"/>
      <w:numFmt w:val="decimal"/>
      <w:lvlText w:val="%7."/>
      <w:lvlJc w:val="left"/>
      <w:pPr>
        <w:ind w:left="720" w:hanging="360"/>
      </w:pPr>
    </w:lvl>
    <w:lvl w:ilvl="7" w:tplc="BEFE95CC">
      <w:start w:val="1"/>
      <w:numFmt w:val="decimal"/>
      <w:lvlText w:val="%8."/>
      <w:lvlJc w:val="left"/>
      <w:pPr>
        <w:ind w:left="720" w:hanging="360"/>
      </w:pPr>
    </w:lvl>
    <w:lvl w:ilvl="8" w:tplc="2EE2EF20">
      <w:start w:val="1"/>
      <w:numFmt w:val="decimal"/>
      <w:lvlText w:val="%9."/>
      <w:lvlJc w:val="left"/>
      <w:pPr>
        <w:ind w:left="720" w:hanging="360"/>
      </w:pPr>
    </w:lvl>
  </w:abstractNum>
  <w:abstractNum w:abstractNumId="49" w15:restartNumberingAfterBreak="0">
    <w:nsid w:val="2E540667"/>
    <w:multiLevelType w:val="hybridMultilevel"/>
    <w:tmpl w:val="86026AE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2E577641"/>
    <w:multiLevelType w:val="hybridMultilevel"/>
    <w:tmpl w:val="F9D619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311F2648"/>
    <w:multiLevelType w:val="multilevel"/>
    <w:tmpl w:val="9622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9C5E45"/>
    <w:multiLevelType w:val="hybridMultilevel"/>
    <w:tmpl w:val="9B082AB6"/>
    <w:lvl w:ilvl="0" w:tplc="F21EEC40">
      <w:start w:val="1"/>
      <w:numFmt w:val="decimal"/>
      <w:lvlText w:val="%1."/>
      <w:lvlJc w:val="left"/>
      <w:pPr>
        <w:ind w:left="1440" w:hanging="360"/>
      </w:pPr>
    </w:lvl>
    <w:lvl w:ilvl="1" w:tplc="165E5798">
      <w:start w:val="1"/>
      <w:numFmt w:val="decimal"/>
      <w:lvlText w:val="%2."/>
      <w:lvlJc w:val="left"/>
      <w:pPr>
        <w:ind w:left="1440" w:hanging="360"/>
      </w:pPr>
    </w:lvl>
    <w:lvl w:ilvl="2" w:tplc="C6264F42">
      <w:start w:val="1"/>
      <w:numFmt w:val="decimal"/>
      <w:lvlText w:val="%3."/>
      <w:lvlJc w:val="left"/>
      <w:pPr>
        <w:ind w:left="1440" w:hanging="360"/>
      </w:pPr>
    </w:lvl>
    <w:lvl w:ilvl="3" w:tplc="0BF27DE0">
      <w:start w:val="1"/>
      <w:numFmt w:val="decimal"/>
      <w:lvlText w:val="%4."/>
      <w:lvlJc w:val="left"/>
      <w:pPr>
        <w:ind w:left="1440" w:hanging="360"/>
      </w:pPr>
    </w:lvl>
    <w:lvl w:ilvl="4" w:tplc="6D667228">
      <w:start w:val="1"/>
      <w:numFmt w:val="decimal"/>
      <w:lvlText w:val="%5."/>
      <w:lvlJc w:val="left"/>
      <w:pPr>
        <w:ind w:left="1440" w:hanging="360"/>
      </w:pPr>
    </w:lvl>
    <w:lvl w:ilvl="5" w:tplc="0A2A6E5E">
      <w:start w:val="1"/>
      <w:numFmt w:val="decimal"/>
      <w:lvlText w:val="%6."/>
      <w:lvlJc w:val="left"/>
      <w:pPr>
        <w:ind w:left="1440" w:hanging="360"/>
      </w:pPr>
    </w:lvl>
    <w:lvl w:ilvl="6" w:tplc="9E605F96">
      <w:start w:val="1"/>
      <w:numFmt w:val="decimal"/>
      <w:lvlText w:val="%7."/>
      <w:lvlJc w:val="left"/>
      <w:pPr>
        <w:ind w:left="1440" w:hanging="360"/>
      </w:pPr>
    </w:lvl>
    <w:lvl w:ilvl="7" w:tplc="8A1CC476">
      <w:start w:val="1"/>
      <w:numFmt w:val="decimal"/>
      <w:lvlText w:val="%8."/>
      <w:lvlJc w:val="left"/>
      <w:pPr>
        <w:ind w:left="1440" w:hanging="360"/>
      </w:pPr>
    </w:lvl>
    <w:lvl w:ilvl="8" w:tplc="66321B72">
      <w:start w:val="1"/>
      <w:numFmt w:val="decimal"/>
      <w:lvlText w:val="%9."/>
      <w:lvlJc w:val="left"/>
      <w:pPr>
        <w:ind w:left="1440" w:hanging="360"/>
      </w:pPr>
    </w:lvl>
  </w:abstractNum>
  <w:abstractNum w:abstractNumId="53" w15:restartNumberingAfterBreak="0">
    <w:nsid w:val="31B82EDC"/>
    <w:multiLevelType w:val="hybridMultilevel"/>
    <w:tmpl w:val="BCA21E40"/>
    <w:lvl w:ilvl="0" w:tplc="CEA08934">
      <w:start w:val="1"/>
      <w:numFmt w:val="bullet"/>
      <w:lvlText w:val=""/>
      <w:lvlJc w:val="left"/>
      <w:pPr>
        <w:ind w:left="2040" w:hanging="360"/>
      </w:pPr>
      <w:rPr>
        <w:rFonts w:ascii="Symbol" w:hAnsi="Symbol"/>
      </w:rPr>
    </w:lvl>
    <w:lvl w:ilvl="1" w:tplc="3684CD8A">
      <w:start w:val="1"/>
      <w:numFmt w:val="bullet"/>
      <w:lvlText w:val=""/>
      <w:lvlJc w:val="left"/>
      <w:pPr>
        <w:ind w:left="2040" w:hanging="360"/>
      </w:pPr>
      <w:rPr>
        <w:rFonts w:ascii="Symbol" w:hAnsi="Symbol"/>
      </w:rPr>
    </w:lvl>
    <w:lvl w:ilvl="2" w:tplc="A91C1FDE">
      <w:start w:val="1"/>
      <w:numFmt w:val="bullet"/>
      <w:lvlText w:val=""/>
      <w:lvlJc w:val="left"/>
      <w:pPr>
        <w:ind w:left="2040" w:hanging="360"/>
      </w:pPr>
      <w:rPr>
        <w:rFonts w:ascii="Symbol" w:hAnsi="Symbol"/>
      </w:rPr>
    </w:lvl>
    <w:lvl w:ilvl="3" w:tplc="EEB671DC">
      <w:start w:val="1"/>
      <w:numFmt w:val="bullet"/>
      <w:lvlText w:val=""/>
      <w:lvlJc w:val="left"/>
      <w:pPr>
        <w:ind w:left="2040" w:hanging="360"/>
      </w:pPr>
      <w:rPr>
        <w:rFonts w:ascii="Symbol" w:hAnsi="Symbol"/>
      </w:rPr>
    </w:lvl>
    <w:lvl w:ilvl="4" w:tplc="A8A2CEB0">
      <w:start w:val="1"/>
      <w:numFmt w:val="bullet"/>
      <w:lvlText w:val=""/>
      <w:lvlJc w:val="left"/>
      <w:pPr>
        <w:ind w:left="2040" w:hanging="360"/>
      </w:pPr>
      <w:rPr>
        <w:rFonts w:ascii="Symbol" w:hAnsi="Symbol"/>
      </w:rPr>
    </w:lvl>
    <w:lvl w:ilvl="5" w:tplc="CB26FF78">
      <w:start w:val="1"/>
      <w:numFmt w:val="bullet"/>
      <w:lvlText w:val=""/>
      <w:lvlJc w:val="left"/>
      <w:pPr>
        <w:ind w:left="2040" w:hanging="360"/>
      </w:pPr>
      <w:rPr>
        <w:rFonts w:ascii="Symbol" w:hAnsi="Symbol"/>
      </w:rPr>
    </w:lvl>
    <w:lvl w:ilvl="6" w:tplc="295CF3E4">
      <w:start w:val="1"/>
      <w:numFmt w:val="bullet"/>
      <w:lvlText w:val=""/>
      <w:lvlJc w:val="left"/>
      <w:pPr>
        <w:ind w:left="2040" w:hanging="360"/>
      </w:pPr>
      <w:rPr>
        <w:rFonts w:ascii="Symbol" w:hAnsi="Symbol"/>
      </w:rPr>
    </w:lvl>
    <w:lvl w:ilvl="7" w:tplc="00A05D16">
      <w:start w:val="1"/>
      <w:numFmt w:val="bullet"/>
      <w:lvlText w:val=""/>
      <w:lvlJc w:val="left"/>
      <w:pPr>
        <w:ind w:left="2040" w:hanging="360"/>
      </w:pPr>
      <w:rPr>
        <w:rFonts w:ascii="Symbol" w:hAnsi="Symbol"/>
      </w:rPr>
    </w:lvl>
    <w:lvl w:ilvl="8" w:tplc="982656B4">
      <w:start w:val="1"/>
      <w:numFmt w:val="bullet"/>
      <w:lvlText w:val=""/>
      <w:lvlJc w:val="left"/>
      <w:pPr>
        <w:ind w:left="2040" w:hanging="360"/>
      </w:pPr>
      <w:rPr>
        <w:rFonts w:ascii="Symbol" w:hAnsi="Symbol"/>
      </w:rPr>
    </w:lvl>
  </w:abstractNum>
  <w:abstractNum w:abstractNumId="54" w15:restartNumberingAfterBreak="0">
    <w:nsid w:val="324F4890"/>
    <w:multiLevelType w:val="hybridMultilevel"/>
    <w:tmpl w:val="0CE61356"/>
    <w:lvl w:ilvl="0" w:tplc="09BE38A6">
      <w:start w:val="1"/>
      <w:numFmt w:val="decimal"/>
      <w:lvlText w:val="%1."/>
      <w:lvlJc w:val="left"/>
      <w:pPr>
        <w:ind w:left="1440" w:hanging="360"/>
      </w:pPr>
    </w:lvl>
    <w:lvl w:ilvl="1" w:tplc="87427960">
      <w:start w:val="1"/>
      <w:numFmt w:val="decimal"/>
      <w:lvlText w:val="%2."/>
      <w:lvlJc w:val="left"/>
      <w:pPr>
        <w:ind w:left="1440" w:hanging="360"/>
      </w:pPr>
    </w:lvl>
    <w:lvl w:ilvl="2" w:tplc="C3B47306">
      <w:start w:val="1"/>
      <w:numFmt w:val="decimal"/>
      <w:lvlText w:val="%3."/>
      <w:lvlJc w:val="left"/>
      <w:pPr>
        <w:ind w:left="1440" w:hanging="360"/>
      </w:pPr>
    </w:lvl>
    <w:lvl w:ilvl="3" w:tplc="135AAD52">
      <w:start w:val="1"/>
      <w:numFmt w:val="decimal"/>
      <w:lvlText w:val="%4."/>
      <w:lvlJc w:val="left"/>
      <w:pPr>
        <w:ind w:left="1440" w:hanging="360"/>
      </w:pPr>
    </w:lvl>
    <w:lvl w:ilvl="4" w:tplc="A58EEB6A">
      <w:start w:val="1"/>
      <w:numFmt w:val="decimal"/>
      <w:lvlText w:val="%5."/>
      <w:lvlJc w:val="left"/>
      <w:pPr>
        <w:ind w:left="1440" w:hanging="360"/>
      </w:pPr>
    </w:lvl>
    <w:lvl w:ilvl="5" w:tplc="D6BA56B0">
      <w:start w:val="1"/>
      <w:numFmt w:val="decimal"/>
      <w:lvlText w:val="%6."/>
      <w:lvlJc w:val="left"/>
      <w:pPr>
        <w:ind w:left="1440" w:hanging="360"/>
      </w:pPr>
    </w:lvl>
    <w:lvl w:ilvl="6" w:tplc="2468FBC8">
      <w:start w:val="1"/>
      <w:numFmt w:val="decimal"/>
      <w:lvlText w:val="%7."/>
      <w:lvlJc w:val="left"/>
      <w:pPr>
        <w:ind w:left="1440" w:hanging="360"/>
      </w:pPr>
    </w:lvl>
    <w:lvl w:ilvl="7" w:tplc="DDF83526">
      <w:start w:val="1"/>
      <w:numFmt w:val="decimal"/>
      <w:lvlText w:val="%8."/>
      <w:lvlJc w:val="left"/>
      <w:pPr>
        <w:ind w:left="1440" w:hanging="360"/>
      </w:pPr>
    </w:lvl>
    <w:lvl w:ilvl="8" w:tplc="6E621A9E">
      <w:start w:val="1"/>
      <w:numFmt w:val="decimal"/>
      <w:lvlText w:val="%9."/>
      <w:lvlJc w:val="left"/>
      <w:pPr>
        <w:ind w:left="1440" w:hanging="360"/>
      </w:pPr>
    </w:lvl>
  </w:abstractNum>
  <w:abstractNum w:abstractNumId="55" w15:restartNumberingAfterBreak="0">
    <w:nsid w:val="34875F5F"/>
    <w:multiLevelType w:val="multilevel"/>
    <w:tmpl w:val="21EA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8B7FED"/>
    <w:multiLevelType w:val="multilevel"/>
    <w:tmpl w:val="F9D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53D1F1F"/>
    <w:multiLevelType w:val="hybridMultilevel"/>
    <w:tmpl w:val="37A631EE"/>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8" w15:restartNumberingAfterBreak="0">
    <w:nsid w:val="36481CC1"/>
    <w:multiLevelType w:val="hybridMultilevel"/>
    <w:tmpl w:val="AA88A1F0"/>
    <w:lvl w:ilvl="0" w:tplc="FA66D61C">
      <w:start w:val="1"/>
      <w:numFmt w:val="bullet"/>
      <w:lvlText w:val=""/>
      <w:lvlJc w:val="left"/>
      <w:pPr>
        <w:ind w:left="2040" w:hanging="360"/>
      </w:pPr>
      <w:rPr>
        <w:rFonts w:ascii="Symbol" w:hAnsi="Symbol"/>
      </w:rPr>
    </w:lvl>
    <w:lvl w:ilvl="1" w:tplc="7436D152">
      <w:start w:val="1"/>
      <w:numFmt w:val="bullet"/>
      <w:lvlText w:val=""/>
      <w:lvlJc w:val="left"/>
      <w:pPr>
        <w:ind w:left="2040" w:hanging="360"/>
      </w:pPr>
      <w:rPr>
        <w:rFonts w:ascii="Symbol" w:hAnsi="Symbol"/>
      </w:rPr>
    </w:lvl>
    <w:lvl w:ilvl="2" w:tplc="DAD6D0E6">
      <w:start w:val="1"/>
      <w:numFmt w:val="bullet"/>
      <w:lvlText w:val=""/>
      <w:lvlJc w:val="left"/>
      <w:pPr>
        <w:ind w:left="2040" w:hanging="360"/>
      </w:pPr>
      <w:rPr>
        <w:rFonts w:ascii="Symbol" w:hAnsi="Symbol"/>
      </w:rPr>
    </w:lvl>
    <w:lvl w:ilvl="3" w:tplc="A5042226">
      <w:start w:val="1"/>
      <w:numFmt w:val="bullet"/>
      <w:lvlText w:val=""/>
      <w:lvlJc w:val="left"/>
      <w:pPr>
        <w:ind w:left="2040" w:hanging="360"/>
      </w:pPr>
      <w:rPr>
        <w:rFonts w:ascii="Symbol" w:hAnsi="Symbol"/>
      </w:rPr>
    </w:lvl>
    <w:lvl w:ilvl="4" w:tplc="7B6432D6">
      <w:start w:val="1"/>
      <w:numFmt w:val="bullet"/>
      <w:lvlText w:val=""/>
      <w:lvlJc w:val="left"/>
      <w:pPr>
        <w:ind w:left="2040" w:hanging="360"/>
      </w:pPr>
      <w:rPr>
        <w:rFonts w:ascii="Symbol" w:hAnsi="Symbol"/>
      </w:rPr>
    </w:lvl>
    <w:lvl w:ilvl="5" w:tplc="B7801CF2">
      <w:start w:val="1"/>
      <w:numFmt w:val="bullet"/>
      <w:lvlText w:val=""/>
      <w:lvlJc w:val="left"/>
      <w:pPr>
        <w:ind w:left="2040" w:hanging="360"/>
      </w:pPr>
      <w:rPr>
        <w:rFonts w:ascii="Symbol" w:hAnsi="Symbol"/>
      </w:rPr>
    </w:lvl>
    <w:lvl w:ilvl="6" w:tplc="F362B194">
      <w:start w:val="1"/>
      <w:numFmt w:val="bullet"/>
      <w:lvlText w:val=""/>
      <w:lvlJc w:val="left"/>
      <w:pPr>
        <w:ind w:left="2040" w:hanging="360"/>
      </w:pPr>
      <w:rPr>
        <w:rFonts w:ascii="Symbol" w:hAnsi="Symbol"/>
      </w:rPr>
    </w:lvl>
    <w:lvl w:ilvl="7" w:tplc="2B0235F6">
      <w:start w:val="1"/>
      <w:numFmt w:val="bullet"/>
      <w:lvlText w:val=""/>
      <w:lvlJc w:val="left"/>
      <w:pPr>
        <w:ind w:left="2040" w:hanging="360"/>
      </w:pPr>
      <w:rPr>
        <w:rFonts w:ascii="Symbol" w:hAnsi="Symbol"/>
      </w:rPr>
    </w:lvl>
    <w:lvl w:ilvl="8" w:tplc="9D483FB8">
      <w:start w:val="1"/>
      <w:numFmt w:val="bullet"/>
      <w:lvlText w:val=""/>
      <w:lvlJc w:val="left"/>
      <w:pPr>
        <w:ind w:left="2040" w:hanging="360"/>
      </w:pPr>
      <w:rPr>
        <w:rFonts w:ascii="Symbol" w:hAnsi="Symbol"/>
      </w:rPr>
    </w:lvl>
  </w:abstractNum>
  <w:abstractNum w:abstractNumId="59" w15:restartNumberingAfterBreak="0">
    <w:nsid w:val="36B6247F"/>
    <w:multiLevelType w:val="hybridMultilevel"/>
    <w:tmpl w:val="AA306F0C"/>
    <w:lvl w:ilvl="0" w:tplc="8B780E1A">
      <w:start w:val="1"/>
      <w:numFmt w:val="decimal"/>
      <w:lvlText w:val="%1."/>
      <w:lvlJc w:val="left"/>
      <w:pPr>
        <w:ind w:left="1440" w:hanging="360"/>
      </w:pPr>
    </w:lvl>
    <w:lvl w:ilvl="1" w:tplc="4AF04C04">
      <w:start w:val="1"/>
      <w:numFmt w:val="decimal"/>
      <w:lvlText w:val="%2."/>
      <w:lvlJc w:val="left"/>
      <w:pPr>
        <w:ind w:left="1440" w:hanging="360"/>
      </w:pPr>
    </w:lvl>
    <w:lvl w:ilvl="2" w:tplc="C2C6A7EA">
      <w:start w:val="1"/>
      <w:numFmt w:val="decimal"/>
      <w:lvlText w:val="%3."/>
      <w:lvlJc w:val="left"/>
      <w:pPr>
        <w:ind w:left="1440" w:hanging="360"/>
      </w:pPr>
    </w:lvl>
    <w:lvl w:ilvl="3" w:tplc="404AB43A">
      <w:start w:val="1"/>
      <w:numFmt w:val="decimal"/>
      <w:lvlText w:val="%4."/>
      <w:lvlJc w:val="left"/>
      <w:pPr>
        <w:ind w:left="1440" w:hanging="360"/>
      </w:pPr>
    </w:lvl>
    <w:lvl w:ilvl="4" w:tplc="C39A7F58">
      <w:start w:val="1"/>
      <w:numFmt w:val="decimal"/>
      <w:lvlText w:val="%5."/>
      <w:lvlJc w:val="left"/>
      <w:pPr>
        <w:ind w:left="1440" w:hanging="360"/>
      </w:pPr>
    </w:lvl>
    <w:lvl w:ilvl="5" w:tplc="CE04F5FA">
      <w:start w:val="1"/>
      <w:numFmt w:val="decimal"/>
      <w:lvlText w:val="%6."/>
      <w:lvlJc w:val="left"/>
      <w:pPr>
        <w:ind w:left="1440" w:hanging="360"/>
      </w:pPr>
    </w:lvl>
    <w:lvl w:ilvl="6" w:tplc="0F5A4E18">
      <w:start w:val="1"/>
      <w:numFmt w:val="decimal"/>
      <w:lvlText w:val="%7."/>
      <w:lvlJc w:val="left"/>
      <w:pPr>
        <w:ind w:left="1440" w:hanging="360"/>
      </w:pPr>
    </w:lvl>
    <w:lvl w:ilvl="7" w:tplc="6D4216C4">
      <w:start w:val="1"/>
      <w:numFmt w:val="decimal"/>
      <w:lvlText w:val="%8."/>
      <w:lvlJc w:val="left"/>
      <w:pPr>
        <w:ind w:left="1440" w:hanging="360"/>
      </w:pPr>
    </w:lvl>
    <w:lvl w:ilvl="8" w:tplc="BEC66946">
      <w:start w:val="1"/>
      <w:numFmt w:val="decimal"/>
      <w:lvlText w:val="%9."/>
      <w:lvlJc w:val="left"/>
      <w:pPr>
        <w:ind w:left="1440" w:hanging="360"/>
      </w:pPr>
    </w:lvl>
  </w:abstractNum>
  <w:abstractNum w:abstractNumId="60" w15:restartNumberingAfterBreak="0">
    <w:nsid w:val="36DE1548"/>
    <w:multiLevelType w:val="hybridMultilevel"/>
    <w:tmpl w:val="3EACDAB0"/>
    <w:lvl w:ilvl="0" w:tplc="3598591A">
      <w:start w:val="1"/>
      <w:numFmt w:val="decimal"/>
      <w:lvlText w:val="%1."/>
      <w:lvlJc w:val="left"/>
      <w:pPr>
        <w:ind w:left="720" w:hanging="360"/>
      </w:pPr>
    </w:lvl>
    <w:lvl w:ilvl="1" w:tplc="D0AAC53C">
      <w:start w:val="1"/>
      <w:numFmt w:val="decimal"/>
      <w:lvlText w:val="%2."/>
      <w:lvlJc w:val="left"/>
      <w:pPr>
        <w:ind w:left="720" w:hanging="360"/>
      </w:pPr>
    </w:lvl>
    <w:lvl w:ilvl="2" w:tplc="29F0572A">
      <w:start w:val="1"/>
      <w:numFmt w:val="decimal"/>
      <w:lvlText w:val="%3."/>
      <w:lvlJc w:val="left"/>
      <w:pPr>
        <w:ind w:left="720" w:hanging="360"/>
      </w:pPr>
    </w:lvl>
    <w:lvl w:ilvl="3" w:tplc="73E462EC">
      <w:start w:val="1"/>
      <w:numFmt w:val="decimal"/>
      <w:lvlText w:val="%4."/>
      <w:lvlJc w:val="left"/>
      <w:pPr>
        <w:ind w:left="720" w:hanging="360"/>
      </w:pPr>
    </w:lvl>
    <w:lvl w:ilvl="4" w:tplc="961A0EAA">
      <w:start w:val="1"/>
      <w:numFmt w:val="decimal"/>
      <w:lvlText w:val="%5."/>
      <w:lvlJc w:val="left"/>
      <w:pPr>
        <w:ind w:left="720" w:hanging="360"/>
      </w:pPr>
    </w:lvl>
    <w:lvl w:ilvl="5" w:tplc="FD101C70">
      <w:start w:val="1"/>
      <w:numFmt w:val="decimal"/>
      <w:lvlText w:val="%6."/>
      <w:lvlJc w:val="left"/>
      <w:pPr>
        <w:ind w:left="720" w:hanging="360"/>
      </w:pPr>
    </w:lvl>
    <w:lvl w:ilvl="6" w:tplc="7362FD52">
      <w:start w:val="1"/>
      <w:numFmt w:val="decimal"/>
      <w:lvlText w:val="%7."/>
      <w:lvlJc w:val="left"/>
      <w:pPr>
        <w:ind w:left="720" w:hanging="360"/>
      </w:pPr>
    </w:lvl>
    <w:lvl w:ilvl="7" w:tplc="BD561252">
      <w:start w:val="1"/>
      <w:numFmt w:val="decimal"/>
      <w:lvlText w:val="%8."/>
      <w:lvlJc w:val="left"/>
      <w:pPr>
        <w:ind w:left="720" w:hanging="360"/>
      </w:pPr>
    </w:lvl>
    <w:lvl w:ilvl="8" w:tplc="32988214">
      <w:start w:val="1"/>
      <w:numFmt w:val="decimal"/>
      <w:lvlText w:val="%9."/>
      <w:lvlJc w:val="left"/>
      <w:pPr>
        <w:ind w:left="720" w:hanging="360"/>
      </w:pPr>
    </w:lvl>
  </w:abstractNum>
  <w:abstractNum w:abstractNumId="61" w15:restartNumberingAfterBreak="0">
    <w:nsid w:val="38554A6A"/>
    <w:multiLevelType w:val="hybridMultilevel"/>
    <w:tmpl w:val="E560432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38D27F6F"/>
    <w:multiLevelType w:val="multilevel"/>
    <w:tmpl w:val="3A1C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BC1CF9"/>
    <w:multiLevelType w:val="multilevel"/>
    <w:tmpl w:val="C31CA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B1F4D69"/>
    <w:multiLevelType w:val="hybridMultilevel"/>
    <w:tmpl w:val="DB32A2DA"/>
    <w:lvl w:ilvl="0" w:tplc="D7DA512A">
      <w:start w:val="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5" w15:restartNumberingAfterBreak="0">
    <w:nsid w:val="3B8E04ED"/>
    <w:multiLevelType w:val="hybridMultilevel"/>
    <w:tmpl w:val="37D07B5E"/>
    <w:lvl w:ilvl="0" w:tplc="64023DFC">
      <w:start w:val="1"/>
      <w:numFmt w:val="decimal"/>
      <w:lvlText w:val="%1."/>
      <w:lvlJc w:val="left"/>
      <w:pPr>
        <w:ind w:left="1440" w:hanging="360"/>
      </w:pPr>
    </w:lvl>
    <w:lvl w:ilvl="1" w:tplc="395C05D2">
      <w:start w:val="1"/>
      <w:numFmt w:val="decimal"/>
      <w:lvlText w:val="%2."/>
      <w:lvlJc w:val="left"/>
      <w:pPr>
        <w:ind w:left="1440" w:hanging="360"/>
      </w:pPr>
    </w:lvl>
    <w:lvl w:ilvl="2" w:tplc="C78CCB28">
      <w:start w:val="1"/>
      <w:numFmt w:val="decimal"/>
      <w:lvlText w:val="%3."/>
      <w:lvlJc w:val="left"/>
      <w:pPr>
        <w:ind w:left="1440" w:hanging="360"/>
      </w:pPr>
    </w:lvl>
    <w:lvl w:ilvl="3" w:tplc="39B68E2C">
      <w:start w:val="1"/>
      <w:numFmt w:val="decimal"/>
      <w:lvlText w:val="%4."/>
      <w:lvlJc w:val="left"/>
      <w:pPr>
        <w:ind w:left="1440" w:hanging="360"/>
      </w:pPr>
    </w:lvl>
    <w:lvl w:ilvl="4" w:tplc="B7FE1E0C">
      <w:start w:val="1"/>
      <w:numFmt w:val="decimal"/>
      <w:lvlText w:val="%5."/>
      <w:lvlJc w:val="left"/>
      <w:pPr>
        <w:ind w:left="1440" w:hanging="360"/>
      </w:pPr>
    </w:lvl>
    <w:lvl w:ilvl="5" w:tplc="28C8DFC0">
      <w:start w:val="1"/>
      <w:numFmt w:val="decimal"/>
      <w:lvlText w:val="%6."/>
      <w:lvlJc w:val="left"/>
      <w:pPr>
        <w:ind w:left="1440" w:hanging="360"/>
      </w:pPr>
    </w:lvl>
    <w:lvl w:ilvl="6" w:tplc="8A903CC6">
      <w:start w:val="1"/>
      <w:numFmt w:val="decimal"/>
      <w:lvlText w:val="%7."/>
      <w:lvlJc w:val="left"/>
      <w:pPr>
        <w:ind w:left="1440" w:hanging="360"/>
      </w:pPr>
    </w:lvl>
    <w:lvl w:ilvl="7" w:tplc="EDCAE828">
      <w:start w:val="1"/>
      <w:numFmt w:val="decimal"/>
      <w:lvlText w:val="%8."/>
      <w:lvlJc w:val="left"/>
      <w:pPr>
        <w:ind w:left="1440" w:hanging="360"/>
      </w:pPr>
    </w:lvl>
    <w:lvl w:ilvl="8" w:tplc="C9F0B5CA">
      <w:start w:val="1"/>
      <w:numFmt w:val="decimal"/>
      <w:lvlText w:val="%9."/>
      <w:lvlJc w:val="left"/>
      <w:pPr>
        <w:ind w:left="1440" w:hanging="360"/>
      </w:pPr>
    </w:lvl>
  </w:abstractNum>
  <w:abstractNum w:abstractNumId="66" w15:restartNumberingAfterBreak="0">
    <w:nsid w:val="3B8F2503"/>
    <w:multiLevelType w:val="hybridMultilevel"/>
    <w:tmpl w:val="546AF54C"/>
    <w:lvl w:ilvl="0" w:tplc="2272ED48">
      <w:start w:val="1"/>
      <w:numFmt w:val="decimal"/>
      <w:lvlText w:val="%1."/>
      <w:lvlJc w:val="left"/>
      <w:pPr>
        <w:ind w:left="720" w:hanging="360"/>
      </w:pPr>
    </w:lvl>
    <w:lvl w:ilvl="1" w:tplc="90A0EE46">
      <w:start w:val="1"/>
      <w:numFmt w:val="decimal"/>
      <w:lvlText w:val="%2."/>
      <w:lvlJc w:val="left"/>
      <w:pPr>
        <w:ind w:left="720" w:hanging="360"/>
      </w:pPr>
    </w:lvl>
    <w:lvl w:ilvl="2" w:tplc="B21C6C0E">
      <w:start w:val="1"/>
      <w:numFmt w:val="decimal"/>
      <w:lvlText w:val="%3."/>
      <w:lvlJc w:val="left"/>
      <w:pPr>
        <w:ind w:left="720" w:hanging="360"/>
      </w:pPr>
    </w:lvl>
    <w:lvl w:ilvl="3" w:tplc="F42CEDD2">
      <w:start w:val="1"/>
      <w:numFmt w:val="decimal"/>
      <w:lvlText w:val="%4."/>
      <w:lvlJc w:val="left"/>
      <w:pPr>
        <w:ind w:left="720" w:hanging="360"/>
      </w:pPr>
    </w:lvl>
    <w:lvl w:ilvl="4" w:tplc="165AEC18">
      <w:start w:val="1"/>
      <w:numFmt w:val="decimal"/>
      <w:lvlText w:val="%5."/>
      <w:lvlJc w:val="left"/>
      <w:pPr>
        <w:ind w:left="720" w:hanging="360"/>
      </w:pPr>
    </w:lvl>
    <w:lvl w:ilvl="5" w:tplc="F5CC2194">
      <w:start w:val="1"/>
      <w:numFmt w:val="decimal"/>
      <w:lvlText w:val="%6."/>
      <w:lvlJc w:val="left"/>
      <w:pPr>
        <w:ind w:left="720" w:hanging="360"/>
      </w:pPr>
    </w:lvl>
    <w:lvl w:ilvl="6" w:tplc="83166E44">
      <w:start w:val="1"/>
      <w:numFmt w:val="decimal"/>
      <w:lvlText w:val="%7."/>
      <w:lvlJc w:val="left"/>
      <w:pPr>
        <w:ind w:left="720" w:hanging="360"/>
      </w:pPr>
    </w:lvl>
    <w:lvl w:ilvl="7" w:tplc="C3648668">
      <w:start w:val="1"/>
      <w:numFmt w:val="decimal"/>
      <w:lvlText w:val="%8."/>
      <w:lvlJc w:val="left"/>
      <w:pPr>
        <w:ind w:left="720" w:hanging="360"/>
      </w:pPr>
    </w:lvl>
    <w:lvl w:ilvl="8" w:tplc="C72099AE">
      <w:start w:val="1"/>
      <w:numFmt w:val="decimal"/>
      <w:lvlText w:val="%9."/>
      <w:lvlJc w:val="left"/>
      <w:pPr>
        <w:ind w:left="720" w:hanging="360"/>
      </w:pPr>
    </w:lvl>
  </w:abstractNum>
  <w:abstractNum w:abstractNumId="67" w15:restartNumberingAfterBreak="0">
    <w:nsid w:val="3C363684"/>
    <w:multiLevelType w:val="hybridMultilevel"/>
    <w:tmpl w:val="635C3A2E"/>
    <w:lvl w:ilvl="0" w:tplc="878A6168">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8" w15:restartNumberingAfterBreak="0">
    <w:nsid w:val="3C775C0C"/>
    <w:multiLevelType w:val="hybridMultilevel"/>
    <w:tmpl w:val="6F28DD8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3FC17EBB"/>
    <w:multiLevelType w:val="multilevel"/>
    <w:tmpl w:val="267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70384B"/>
    <w:multiLevelType w:val="hybridMultilevel"/>
    <w:tmpl w:val="75E413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21D09FB"/>
    <w:multiLevelType w:val="multilevel"/>
    <w:tmpl w:val="940C379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2AD30D1"/>
    <w:multiLevelType w:val="hybridMultilevel"/>
    <w:tmpl w:val="FD7E5A26"/>
    <w:lvl w:ilvl="0" w:tplc="E69EF310">
      <w:start w:val="1"/>
      <w:numFmt w:val="decimal"/>
      <w:lvlText w:val="%1."/>
      <w:lvlJc w:val="left"/>
      <w:pPr>
        <w:ind w:left="1440" w:hanging="360"/>
      </w:pPr>
    </w:lvl>
    <w:lvl w:ilvl="1" w:tplc="4E547C00">
      <w:start w:val="1"/>
      <w:numFmt w:val="decimal"/>
      <w:lvlText w:val="%2."/>
      <w:lvlJc w:val="left"/>
      <w:pPr>
        <w:ind w:left="1440" w:hanging="360"/>
      </w:pPr>
    </w:lvl>
    <w:lvl w:ilvl="2" w:tplc="8696CE94">
      <w:start w:val="1"/>
      <w:numFmt w:val="decimal"/>
      <w:lvlText w:val="%3."/>
      <w:lvlJc w:val="left"/>
      <w:pPr>
        <w:ind w:left="1440" w:hanging="360"/>
      </w:pPr>
    </w:lvl>
    <w:lvl w:ilvl="3" w:tplc="919A67FE">
      <w:start w:val="1"/>
      <w:numFmt w:val="decimal"/>
      <w:lvlText w:val="%4."/>
      <w:lvlJc w:val="left"/>
      <w:pPr>
        <w:ind w:left="1440" w:hanging="360"/>
      </w:pPr>
    </w:lvl>
    <w:lvl w:ilvl="4" w:tplc="FF98F7B0">
      <w:start w:val="1"/>
      <w:numFmt w:val="decimal"/>
      <w:lvlText w:val="%5."/>
      <w:lvlJc w:val="left"/>
      <w:pPr>
        <w:ind w:left="1440" w:hanging="360"/>
      </w:pPr>
    </w:lvl>
    <w:lvl w:ilvl="5" w:tplc="CC56BE30">
      <w:start w:val="1"/>
      <w:numFmt w:val="decimal"/>
      <w:lvlText w:val="%6."/>
      <w:lvlJc w:val="left"/>
      <w:pPr>
        <w:ind w:left="1440" w:hanging="360"/>
      </w:pPr>
    </w:lvl>
    <w:lvl w:ilvl="6" w:tplc="C3F87B0E">
      <w:start w:val="1"/>
      <w:numFmt w:val="decimal"/>
      <w:lvlText w:val="%7."/>
      <w:lvlJc w:val="left"/>
      <w:pPr>
        <w:ind w:left="1440" w:hanging="360"/>
      </w:pPr>
    </w:lvl>
    <w:lvl w:ilvl="7" w:tplc="39A6073C">
      <w:start w:val="1"/>
      <w:numFmt w:val="decimal"/>
      <w:lvlText w:val="%8."/>
      <w:lvlJc w:val="left"/>
      <w:pPr>
        <w:ind w:left="1440" w:hanging="360"/>
      </w:pPr>
    </w:lvl>
    <w:lvl w:ilvl="8" w:tplc="FF74C09A">
      <w:start w:val="1"/>
      <w:numFmt w:val="decimal"/>
      <w:lvlText w:val="%9."/>
      <w:lvlJc w:val="left"/>
      <w:pPr>
        <w:ind w:left="1440" w:hanging="360"/>
      </w:pPr>
    </w:lvl>
  </w:abstractNum>
  <w:abstractNum w:abstractNumId="73" w15:restartNumberingAfterBreak="0">
    <w:nsid w:val="42B25C46"/>
    <w:multiLevelType w:val="hybridMultilevel"/>
    <w:tmpl w:val="F5288044"/>
    <w:lvl w:ilvl="0" w:tplc="FFFFFFFF">
      <w:start w:val="1"/>
      <w:numFmt w:val="bullet"/>
      <w:lvlText w:val=""/>
      <w:lvlJc w:val="left"/>
      <w:pPr>
        <w:ind w:left="720" w:hanging="360"/>
      </w:pPr>
      <w:rPr>
        <w:rFonts w:ascii="Wingdings" w:hAnsi="Wingdings" w:hint="default"/>
      </w:rPr>
    </w:lvl>
    <w:lvl w:ilvl="1" w:tplc="E90C03F8">
      <w:numFmt w:val="bullet"/>
      <w:lvlText w:val="-"/>
      <w:lvlJc w:val="left"/>
      <w:pPr>
        <w:ind w:left="1212"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46647FB"/>
    <w:multiLevelType w:val="hybridMultilevel"/>
    <w:tmpl w:val="6D108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48360C95"/>
    <w:multiLevelType w:val="hybridMultilevel"/>
    <w:tmpl w:val="C1964A0A"/>
    <w:lvl w:ilvl="0" w:tplc="F81AABA6">
      <w:start w:val="1"/>
      <w:numFmt w:val="bullet"/>
      <w:lvlText w:val=""/>
      <w:lvlJc w:val="left"/>
      <w:pPr>
        <w:ind w:left="2040" w:hanging="360"/>
      </w:pPr>
      <w:rPr>
        <w:rFonts w:ascii="Symbol" w:hAnsi="Symbol"/>
      </w:rPr>
    </w:lvl>
    <w:lvl w:ilvl="1" w:tplc="793671A6">
      <w:start w:val="1"/>
      <w:numFmt w:val="bullet"/>
      <w:lvlText w:val=""/>
      <w:lvlJc w:val="left"/>
      <w:pPr>
        <w:ind w:left="2040" w:hanging="360"/>
      </w:pPr>
      <w:rPr>
        <w:rFonts w:ascii="Symbol" w:hAnsi="Symbol"/>
      </w:rPr>
    </w:lvl>
    <w:lvl w:ilvl="2" w:tplc="8E528B2C">
      <w:start w:val="1"/>
      <w:numFmt w:val="bullet"/>
      <w:lvlText w:val=""/>
      <w:lvlJc w:val="left"/>
      <w:pPr>
        <w:ind w:left="2040" w:hanging="360"/>
      </w:pPr>
      <w:rPr>
        <w:rFonts w:ascii="Symbol" w:hAnsi="Symbol"/>
      </w:rPr>
    </w:lvl>
    <w:lvl w:ilvl="3" w:tplc="AB568336">
      <w:start w:val="1"/>
      <w:numFmt w:val="bullet"/>
      <w:lvlText w:val=""/>
      <w:lvlJc w:val="left"/>
      <w:pPr>
        <w:ind w:left="2040" w:hanging="360"/>
      </w:pPr>
      <w:rPr>
        <w:rFonts w:ascii="Symbol" w:hAnsi="Symbol"/>
      </w:rPr>
    </w:lvl>
    <w:lvl w:ilvl="4" w:tplc="1FE052E4">
      <w:start w:val="1"/>
      <w:numFmt w:val="bullet"/>
      <w:lvlText w:val=""/>
      <w:lvlJc w:val="left"/>
      <w:pPr>
        <w:ind w:left="2040" w:hanging="360"/>
      </w:pPr>
      <w:rPr>
        <w:rFonts w:ascii="Symbol" w:hAnsi="Symbol"/>
      </w:rPr>
    </w:lvl>
    <w:lvl w:ilvl="5" w:tplc="6442A398">
      <w:start w:val="1"/>
      <w:numFmt w:val="bullet"/>
      <w:lvlText w:val=""/>
      <w:lvlJc w:val="left"/>
      <w:pPr>
        <w:ind w:left="2040" w:hanging="360"/>
      </w:pPr>
      <w:rPr>
        <w:rFonts w:ascii="Symbol" w:hAnsi="Symbol"/>
      </w:rPr>
    </w:lvl>
    <w:lvl w:ilvl="6" w:tplc="721AAE36">
      <w:start w:val="1"/>
      <w:numFmt w:val="bullet"/>
      <w:lvlText w:val=""/>
      <w:lvlJc w:val="left"/>
      <w:pPr>
        <w:ind w:left="2040" w:hanging="360"/>
      </w:pPr>
      <w:rPr>
        <w:rFonts w:ascii="Symbol" w:hAnsi="Symbol"/>
      </w:rPr>
    </w:lvl>
    <w:lvl w:ilvl="7" w:tplc="D282544C">
      <w:start w:val="1"/>
      <w:numFmt w:val="bullet"/>
      <w:lvlText w:val=""/>
      <w:lvlJc w:val="left"/>
      <w:pPr>
        <w:ind w:left="2040" w:hanging="360"/>
      </w:pPr>
      <w:rPr>
        <w:rFonts w:ascii="Symbol" w:hAnsi="Symbol"/>
      </w:rPr>
    </w:lvl>
    <w:lvl w:ilvl="8" w:tplc="79AAE10C">
      <w:start w:val="1"/>
      <w:numFmt w:val="bullet"/>
      <w:lvlText w:val=""/>
      <w:lvlJc w:val="left"/>
      <w:pPr>
        <w:ind w:left="2040" w:hanging="360"/>
      </w:pPr>
      <w:rPr>
        <w:rFonts w:ascii="Symbol" w:hAnsi="Symbol"/>
      </w:rPr>
    </w:lvl>
  </w:abstractNum>
  <w:abstractNum w:abstractNumId="76" w15:restartNumberingAfterBreak="0">
    <w:nsid w:val="487F6594"/>
    <w:multiLevelType w:val="multilevel"/>
    <w:tmpl w:val="222E85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89832A5"/>
    <w:multiLevelType w:val="hybridMultilevel"/>
    <w:tmpl w:val="34DAFE22"/>
    <w:lvl w:ilvl="0" w:tplc="E90C03F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498236EE"/>
    <w:multiLevelType w:val="hybridMultilevel"/>
    <w:tmpl w:val="1E82B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49E401AD"/>
    <w:multiLevelType w:val="hybridMultilevel"/>
    <w:tmpl w:val="E3E2E28E"/>
    <w:lvl w:ilvl="0" w:tplc="E8302F26">
      <w:start w:val="1"/>
      <w:numFmt w:val="decimal"/>
      <w:lvlText w:val="%1)"/>
      <w:lvlJc w:val="left"/>
      <w:pPr>
        <w:ind w:left="1080" w:hanging="360"/>
      </w:pPr>
    </w:lvl>
    <w:lvl w:ilvl="1" w:tplc="3B188B6E">
      <w:start w:val="1"/>
      <w:numFmt w:val="decimal"/>
      <w:lvlText w:val="%2)"/>
      <w:lvlJc w:val="left"/>
      <w:pPr>
        <w:ind w:left="1080" w:hanging="360"/>
      </w:pPr>
    </w:lvl>
    <w:lvl w:ilvl="2" w:tplc="71761874">
      <w:start w:val="1"/>
      <w:numFmt w:val="decimal"/>
      <w:lvlText w:val="%3)"/>
      <w:lvlJc w:val="left"/>
      <w:pPr>
        <w:ind w:left="1080" w:hanging="360"/>
      </w:pPr>
    </w:lvl>
    <w:lvl w:ilvl="3" w:tplc="92CE6AB2">
      <w:start w:val="1"/>
      <w:numFmt w:val="decimal"/>
      <w:lvlText w:val="%4)"/>
      <w:lvlJc w:val="left"/>
      <w:pPr>
        <w:ind w:left="1080" w:hanging="360"/>
      </w:pPr>
    </w:lvl>
    <w:lvl w:ilvl="4" w:tplc="98D0007E">
      <w:start w:val="1"/>
      <w:numFmt w:val="decimal"/>
      <w:lvlText w:val="%5)"/>
      <w:lvlJc w:val="left"/>
      <w:pPr>
        <w:ind w:left="1080" w:hanging="360"/>
      </w:pPr>
    </w:lvl>
    <w:lvl w:ilvl="5" w:tplc="4F06F18E">
      <w:start w:val="1"/>
      <w:numFmt w:val="decimal"/>
      <w:lvlText w:val="%6)"/>
      <w:lvlJc w:val="left"/>
      <w:pPr>
        <w:ind w:left="1080" w:hanging="360"/>
      </w:pPr>
    </w:lvl>
    <w:lvl w:ilvl="6" w:tplc="9412FA46">
      <w:start w:val="1"/>
      <w:numFmt w:val="decimal"/>
      <w:lvlText w:val="%7)"/>
      <w:lvlJc w:val="left"/>
      <w:pPr>
        <w:ind w:left="1080" w:hanging="360"/>
      </w:pPr>
    </w:lvl>
    <w:lvl w:ilvl="7" w:tplc="0AF23A68">
      <w:start w:val="1"/>
      <w:numFmt w:val="decimal"/>
      <w:lvlText w:val="%8)"/>
      <w:lvlJc w:val="left"/>
      <w:pPr>
        <w:ind w:left="1080" w:hanging="360"/>
      </w:pPr>
    </w:lvl>
    <w:lvl w:ilvl="8" w:tplc="1618048E">
      <w:start w:val="1"/>
      <w:numFmt w:val="decimal"/>
      <w:lvlText w:val="%9)"/>
      <w:lvlJc w:val="left"/>
      <w:pPr>
        <w:ind w:left="1080" w:hanging="360"/>
      </w:pPr>
    </w:lvl>
  </w:abstractNum>
  <w:abstractNum w:abstractNumId="80" w15:restartNumberingAfterBreak="0">
    <w:nsid w:val="4ADA60FD"/>
    <w:multiLevelType w:val="hybridMultilevel"/>
    <w:tmpl w:val="FFFFFFFF"/>
    <w:lvl w:ilvl="0" w:tplc="5C524C06">
      <w:start w:val="1"/>
      <w:numFmt w:val="bullet"/>
      <w:pStyle w:val="Para"/>
      <w:lvlText w:val=""/>
      <w:lvlJc w:val="left"/>
      <w:pPr>
        <w:ind w:left="720" w:hanging="360"/>
      </w:pPr>
      <w:rPr>
        <w:rFonts w:ascii="Symbol" w:hAnsi="Symbol" w:hint="default"/>
      </w:rPr>
    </w:lvl>
    <w:lvl w:ilvl="1" w:tplc="D6E46FA0">
      <w:start w:val="1"/>
      <w:numFmt w:val="bullet"/>
      <w:lvlText w:val="o"/>
      <w:lvlJc w:val="left"/>
      <w:pPr>
        <w:ind w:left="1440" w:hanging="360"/>
      </w:pPr>
      <w:rPr>
        <w:rFonts w:ascii="Courier New" w:hAnsi="Courier New" w:hint="default"/>
      </w:rPr>
    </w:lvl>
    <w:lvl w:ilvl="2" w:tplc="A7806ED6">
      <w:start w:val="1"/>
      <w:numFmt w:val="bullet"/>
      <w:lvlText w:val=""/>
      <w:lvlJc w:val="left"/>
      <w:pPr>
        <w:ind w:left="2160" w:hanging="360"/>
      </w:pPr>
      <w:rPr>
        <w:rFonts w:ascii="Wingdings" w:hAnsi="Wingdings" w:hint="default"/>
      </w:rPr>
    </w:lvl>
    <w:lvl w:ilvl="3" w:tplc="AB186C30">
      <w:start w:val="1"/>
      <w:numFmt w:val="bullet"/>
      <w:lvlText w:val=""/>
      <w:lvlJc w:val="left"/>
      <w:pPr>
        <w:ind w:left="2880" w:hanging="360"/>
      </w:pPr>
      <w:rPr>
        <w:rFonts w:ascii="Symbol" w:hAnsi="Symbol" w:hint="default"/>
      </w:rPr>
    </w:lvl>
    <w:lvl w:ilvl="4" w:tplc="EC8AF642">
      <w:start w:val="1"/>
      <w:numFmt w:val="bullet"/>
      <w:lvlText w:val="o"/>
      <w:lvlJc w:val="left"/>
      <w:pPr>
        <w:ind w:left="3600" w:hanging="360"/>
      </w:pPr>
      <w:rPr>
        <w:rFonts w:ascii="Courier New" w:hAnsi="Courier New" w:hint="default"/>
      </w:rPr>
    </w:lvl>
    <w:lvl w:ilvl="5" w:tplc="D63C6002">
      <w:start w:val="1"/>
      <w:numFmt w:val="bullet"/>
      <w:lvlText w:val=""/>
      <w:lvlJc w:val="left"/>
      <w:pPr>
        <w:ind w:left="4320" w:hanging="360"/>
      </w:pPr>
      <w:rPr>
        <w:rFonts w:ascii="Wingdings" w:hAnsi="Wingdings" w:hint="default"/>
      </w:rPr>
    </w:lvl>
    <w:lvl w:ilvl="6" w:tplc="84A07E5A">
      <w:start w:val="1"/>
      <w:numFmt w:val="bullet"/>
      <w:lvlText w:val=""/>
      <w:lvlJc w:val="left"/>
      <w:pPr>
        <w:ind w:left="5040" w:hanging="360"/>
      </w:pPr>
      <w:rPr>
        <w:rFonts w:ascii="Symbol" w:hAnsi="Symbol" w:hint="default"/>
      </w:rPr>
    </w:lvl>
    <w:lvl w:ilvl="7" w:tplc="C01C9F4E">
      <w:start w:val="1"/>
      <w:numFmt w:val="bullet"/>
      <w:lvlText w:val="o"/>
      <w:lvlJc w:val="left"/>
      <w:pPr>
        <w:ind w:left="5760" w:hanging="360"/>
      </w:pPr>
      <w:rPr>
        <w:rFonts w:ascii="Courier New" w:hAnsi="Courier New" w:hint="default"/>
      </w:rPr>
    </w:lvl>
    <w:lvl w:ilvl="8" w:tplc="E6CCBD3A">
      <w:start w:val="1"/>
      <w:numFmt w:val="bullet"/>
      <w:lvlText w:val=""/>
      <w:lvlJc w:val="left"/>
      <w:pPr>
        <w:ind w:left="6480" w:hanging="360"/>
      </w:pPr>
      <w:rPr>
        <w:rFonts w:ascii="Wingdings" w:hAnsi="Wingdings" w:hint="default"/>
      </w:rPr>
    </w:lvl>
  </w:abstractNum>
  <w:abstractNum w:abstractNumId="81" w15:restartNumberingAfterBreak="0">
    <w:nsid w:val="4E1834D9"/>
    <w:multiLevelType w:val="hybridMultilevel"/>
    <w:tmpl w:val="45288EEE"/>
    <w:lvl w:ilvl="0" w:tplc="ADA0495E">
      <w:start w:val="1"/>
      <w:numFmt w:val="decimal"/>
      <w:lvlText w:val="%1)"/>
      <w:lvlJc w:val="left"/>
      <w:pPr>
        <w:ind w:left="720" w:hanging="360"/>
      </w:pPr>
    </w:lvl>
    <w:lvl w:ilvl="1" w:tplc="09403374">
      <w:start w:val="1"/>
      <w:numFmt w:val="decimal"/>
      <w:lvlText w:val="%2)"/>
      <w:lvlJc w:val="left"/>
      <w:pPr>
        <w:ind w:left="720" w:hanging="360"/>
      </w:pPr>
    </w:lvl>
    <w:lvl w:ilvl="2" w:tplc="7076E130">
      <w:start w:val="1"/>
      <w:numFmt w:val="decimal"/>
      <w:lvlText w:val="%3)"/>
      <w:lvlJc w:val="left"/>
      <w:pPr>
        <w:ind w:left="720" w:hanging="360"/>
      </w:pPr>
    </w:lvl>
    <w:lvl w:ilvl="3" w:tplc="8A406388">
      <w:start w:val="1"/>
      <w:numFmt w:val="decimal"/>
      <w:lvlText w:val="%4)"/>
      <w:lvlJc w:val="left"/>
      <w:pPr>
        <w:ind w:left="720" w:hanging="360"/>
      </w:pPr>
    </w:lvl>
    <w:lvl w:ilvl="4" w:tplc="D2EC415E">
      <w:start w:val="1"/>
      <w:numFmt w:val="decimal"/>
      <w:lvlText w:val="%5)"/>
      <w:lvlJc w:val="left"/>
      <w:pPr>
        <w:ind w:left="720" w:hanging="360"/>
      </w:pPr>
    </w:lvl>
    <w:lvl w:ilvl="5" w:tplc="32BA8EA8">
      <w:start w:val="1"/>
      <w:numFmt w:val="decimal"/>
      <w:lvlText w:val="%6)"/>
      <w:lvlJc w:val="left"/>
      <w:pPr>
        <w:ind w:left="720" w:hanging="360"/>
      </w:pPr>
    </w:lvl>
    <w:lvl w:ilvl="6" w:tplc="30C2E2AE">
      <w:start w:val="1"/>
      <w:numFmt w:val="decimal"/>
      <w:lvlText w:val="%7)"/>
      <w:lvlJc w:val="left"/>
      <w:pPr>
        <w:ind w:left="720" w:hanging="360"/>
      </w:pPr>
    </w:lvl>
    <w:lvl w:ilvl="7" w:tplc="BFAEF110">
      <w:start w:val="1"/>
      <w:numFmt w:val="decimal"/>
      <w:lvlText w:val="%8)"/>
      <w:lvlJc w:val="left"/>
      <w:pPr>
        <w:ind w:left="720" w:hanging="360"/>
      </w:pPr>
    </w:lvl>
    <w:lvl w:ilvl="8" w:tplc="7586FC28">
      <w:start w:val="1"/>
      <w:numFmt w:val="decimal"/>
      <w:lvlText w:val="%9)"/>
      <w:lvlJc w:val="left"/>
      <w:pPr>
        <w:ind w:left="720" w:hanging="360"/>
      </w:pPr>
    </w:lvl>
  </w:abstractNum>
  <w:abstractNum w:abstractNumId="82" w15:restartNumberingAfterBreak="0">
    <w:nsid w:val="4E560F39"/>
    <w:multiLevelType w:val="hybridMultilevel"/>
    <w:tmpl w:val="541C4038"/>
    <w:lvl w:ilvl="0" w:tplc="1EBC6CF6">
      <w:start w:val="1"/>
      <w:numFmt w:val="bullet"/>
      <w:lvlText w:val=""/>
      <w:lvlJc w:val="left"/>
      <w:pPr>
        <w:ind w:left="720" w:hanging="360"/>
      </w:pPr>
      <w:rPr>
        <w:rFonts w:ascii="Symbol" w:hAnsi="Symbol" w:hint="default"/>
      </w:rPr>
    </w:lvl>
    <w:lvl w:ilvl="1" w:tplc="B2FE30E2" w:tentative="1">
      <w:start w:val="1"/>
      <w:numFmt w:val="bullet"/>
      <w:lvlText w:val="o"/>
      <w:lvlJc w:val="left"/>
      <w:pPr>
        <w:ind w:left="1440" w:hanging="360"/>
      </w:pPr>
      <w:rPr>
        <w:rFonts w:ascii="Courier New" w:hAnsi="Courier New" w:hint="default"/>
      </w:rPr>
    </w:lvl>
    <w:lvl w:ilvl="2" w:tplc="CDA4A5D4" w:tentative="1">
      <w:start w:val="1"/>
      <w:numFmt w:val="bullet"/>
      <w:lvlText w:val=""/>
      <w:lvlJc w:val="left"/>
      <w:pPr>
        <w:ind w:left="2160" w:hanging="360"/>
      </w:pPr>
      <w:rPr>
        <w:rFonts w:ascii="Wingdings" w:hAnsi="Wingdings" w:hint="default"/>
      </w:rPr>
    </w:lvl>
    <w:lvl w:ilvl="3" w:tplc="3ADC81FE" w:tentative="1">
      <w:start w:val="1"/>
      <w:numFmt w:val="bullet"/>
      <w:lvlText w:val=""/>
      <w:lvlJc w:val="left"/>
      <w:pPr>
        <w:ind w:left="2880" w:hanging="360"/>
      </w:pPr>
      <w:rPr>
        <w:rFonts w:ascii="Symbol" w:hAnsi="Symbol" w:hint="default"/>
      </w:rPr>
    </w:lvl>
    <w:lvl w:ilvl="4" w:tplc="4F42027C" w:tentative="1">
      <w:start w:val="1"/>
      <w:numFmt w:val="bullet"/>
      <w:lvlText w:val="o"/>
      <w:lvlJc w:val="left"/>
      <w:pPr>
        <w:ind w:left="3600" w:hanging="360"/>
      </w:pPr>
      <w:rPr>
        <w:rFonts w:ascii="Courier New" w:hAnsi="Courier New" w:hint="default"/>
      </w:rPr>
    </w:lvl>
    <w:lvl w:ilvl="5" w:tplc="D188DA16" w:tentative="1">
      <w:start w:val="1"/>
      <w:numFmt w:val="bullet"/>
      <w:lvlText w:val=""/>
      <w:lvlJc w:val="left"/>
      <w:pPr>
        <w:ind w:left="4320" w:hanging="360"/>
      </w:pPr>
      <w:rPr>
        <w:rFonts w:ascii="Wingdings" w:hAnsi="Wingdings" w:hint="default"/>
      </w:rPr>
    </w:lvl>
    <w:lvl w:ilvl="6" w:tplc="F7B6A720" w:tentative="1">
      <w:start w:val="1"/>
      <w:numFmt w:val="bullet"/>
      <w:lvlText w:val=""/>
      <w:lvlJc w:val="left"/>
      <w:pPr>
        <w:ind w:left="5040" w:hanging="360"/>
      </w:pPr>
      <w:rPr>
        <w:rFonts w:ascii="Symbol" w:hAnsi="Symbol" w:hint="default"/>
      </w:rPr>
    </w:lvl>
    <w:lvl w:ilvl="7" w:tplc="1E56446C" w:tentative="1">
      <w:start w:val="1"/>
      <w:numFmt w:val="bullet"/>
      <w:lvlText w:val="o"/>
      <w:lvlJc w:val="left"/>
      <w:pPr>
        <w:ind w:left="5760" w:hanging="360"/>
      </w:pPr>
      <w:rPr>
        <w:rFonts w:ascii="Courier New" w:hAnsi="Courier New" w:hint="default"/>
      </w:rPr>
    </w:lvl>
    <w:lvl w:ilvl="8" w:tplc="7068A46E" w:tentative="1">
      <w:start w:val="1"/>
      <w:numFmt w:val="bullet"/>
      <w:lvlText w:val=""/>
      <w:lvlJc w:val="left"/>
      <w:pPr>
        <w:ind w:left="6480" w:hanging="360"/>
      </w:pPr>
      <w:rPr>
        <w:rFonts w:ascii="Wingdings" w:hAnsi="Wingdings" w:hint="default"/>
      </w:rPr>
    </w:lvl>
  </w:abstractNum>
  <w:abstractNum w:abstractNumId="83" w15:restartNumberingAfterBreak="0">
    <w:nsid w:val="4F2924B4"/>
    <w:multiLevelType w:val="hybridMultilevel"/>
    <w:tmpl w:val="A18263B4"/>
    <w:lvl w:ilvl="0" w:tplc="6ACEB98A">
      <w:start w:val="1"/>
      <w:numFmt w:val="decimal"/>
      <w:lvlText w:val="%1."/>
      <w:lvlJc w:val="left"/>
      <w:pPr>
        <w:ind w:left="720" w:hanging="360"/>
      </w:pPr>
    </w:lvl>
    <w:lvl w:ilvl="1" w:tplc="77B27842">
      <w:start w:val="1"/>
      <w:numFmt w:val="decimal"/>
      <w:lvlText w:val="%2."/>
      <w:lvlJc w:val="left"/>
      <w:pPr>
        <w:ind w:left="720" w:hanging="360"/>
      </w:pPr>
    </w:lvl>
    <w:lvl w:ilvl="2" w:tplc="F0CED49E">
      <w:start w:val="1"/>
      <w:numFmt w:val="decimal"/>
      <w:lvlText w:val="%3."/>
      <w:lvlJc w:val="left"/>
      <w:pPr>
        <w:ind w:left="720" w:hanging="360"/>
      </w:pPr>
    </w:lvl>
    <w:lvl w:ilvl="3" w:tplc="50289958">
      <w:start w:val="1"/>
      <w:numFmt w:val="decimal"/>
      <w:lvlText w:val="%4."/>
      <w:lvlJc w:val="left"/>
      <w:pPr>
        <w:ind w:left="720" w:hanging="360"/>
      </w:pPr>
    </w:lvl>
    <w:lvl w:ilvl="4" w:tplc="36720AE2">
      <w:start w:val="1"/>
      <w:numFmt w:val="decimal"/>
      <w:lvlText w:val="%5."/>
      <w:lvlJc w:val="left"/>
      <w:pPr>
        <w:ind w:left="720" w:hanging="360"/>
      </w:pPr>
    </w:lvl>
    <w:lvl w:ilvl="5" w:tplc="E03885CE">
      <w:start w:val="1"/>
      <w:numFmt w:val="decimal"/>
      <w:lvlText w:val="%6."/>
      <w:lvlJc w:val="left"/>
      <w:pPr>
        <w:ind w:left="720" w:hanging="360"/>
      </w:pPr>
    </w:lvl>
    <w:lvl w:ilvl="6" w:tplc="B868F6A2">
      <w:start w:val="1"/>
      <w:numFmt w:val="decimal"/>
      <w:lvlText w:val="%7."/>
      <w:lvlJc w:val="left"/>
      <w:pPr>
        <w:ind w:left="720" w:hanging="360"/>
      </w:pPr>
    </w:lvl>
    <w:lvl w:ilvl="7" w:tplc="5920AF7E">
      <w:start w:val="1"/>
      <w:numFmt w:val="decimal"/>
      <w:lvlText w:val="%8."/>
      <w:lvlJc w:val="left"/>
      <w:pPr>
        <w:ind w:left="720" w:hanging="360"/>
      </w:pPr>
    </w:lvl>
    <w:lvl w:ilvl="8" w:tplc="FACC24C4">
      <w:start w:val="1"/>
      <w:numFmt w:val="decimal"/>
      <w:lvlText w:val="%9."/>
      <w:lvlJc w:val="left"/>
      <w:pPr>
        <w:ind w:left="720" w:hanging="360"/>
      </w:pPr>
    </w:lvl>
  </w:abstractNum>
  <w:abstractNum w:abstractNumId="84" w15:restartNumberingAfterBreak="0">
    <w:nsid w:val="4F4E23D1"/>
    <w:multiLevelType w:val="hybridMultilevel"/>
    <w:tmpl w:val="FFFFFFFF"/>
    <w:lvl w:ilvl="0" w:tplc="46967CFA">
      <w:start w:val="1"/>
      <w:numFmt w:val="bullet"/>
      <w:lvlText w:val=""/>
      <w:lvlJc w:val="left"/>
      <w:pPr>
        <w:ind w:left="720" w:hanging="360"/>
      </w:pPr>
      <w:rPr>
        <w:rFonts w:ascii="Symbol" w:hAnsi="Symbol" w:hint="default"/>
      </w:rPr>
    </w:lvl>
    <w:lvl w:ilvl="1" w:tplc="F65A6F44">
      <w:start w:val="1"/>
      <w:numFmt w:val="bullet"/>
      <w:lvlText w:val="o"/>
      <w:lvlJc w:val="left"/>
      <w:pPr>
        <w:ind w:left="1440" w:hanging="360"/>
      </w:pPr>
      <w:rPr>
        <w:rFonts w:ascii="Courier New" w:hAnsi="Courier New" w:hint="default"/>
      </w:rPr>
    </w:lvl>
    <w:lvl w:ilvl="2" w:tplc="2240763A">
      <w:start w:val="1"/>
      <w:numFmt w:val="bullet"/>
      <w:lvlText w:val=""/>
      <w:lvlJc w:val="left"/>
      <w:pPr>
        <w:ind w:left="2160" w:hanging="360"/>
      </w:pPr>
      <w:rPr>
        <w:rFonts w:ascii="Wingdings" w:hAnsi="Wingdings" w:hint="default"/>
      </w:rPr>
    </w:lvl>
    <w:lvl w:ilvl="3" w:tplc="126E7D5C">
      <w:start w:val="1"/>
      <w:numFmt w:val="bullet"/>
      <w:lvlText w:val=""/>
      <w:lvlJc w:val="left"/>
      <w:pPr>
        <w:ind w:left="2880" w:hanging="360"/>
      </w:pPr>
      <w:rPr>
        <w:rFonts w:ascii="Symbol" w:hAnsi="Symbol" w:hint="default"/>
      </w:rPr>
    </w:lvl>
    <w:lvl w:ilvl="4" w:tplc="90E40DD2">
      <w:start w:val="1"/>
      <w:numFmt w:val="bullet"/>
      <w:lvlText w:val="o"/>
      <w:lvlJc w:val="left"/>
      <w:pPr>
        <w:ind w:left="3600" w:hanging="360"/>
      </w:pPr>
      <w:rPr>
        <w:rFonts w:ascii="Courier New" w:hAnsi="Courier New" w:hint="default"/>
      </w:rPr>
    </w:lvl>
    <w:lvl w:ilvl="5" w:tplc="A52C2008">
      <w:start w:val="1"/>
      <w:numFmt w:val="bullet"/>
      <w:lvlText w:val=""/>
      <w:lvlJc w:val="left"/>
      <w:pPr>
        <w:ind w:left="4320" w:hanging="360"/>
      </w:pPr>
      <w:rPr>
        <w:rFonts w:ascii="Wingdings" w:hAnsi="Wingdings" w:hint="default"/>
      </w:rPr>
    </w:lvl>
    <w:lvl w:ilvl="6" w:tplc="3036F5B8">
      <w:start w:val="1"/>
      <w:numFmt w:val="bullet"/>
      <w:lvlText w:val=""/>
      <w:lvlJc w:val="left"/>
      <w:pPr>
        <w:ind w:left="5040" w:hanging="360"/>
      </w:pPr>
      <w:rPr>
        <w:rFonts w:ascii="Symbol" w:hAnsi="Symbol" w:hint="default"/>
      </w:rPr>
    </w:lvl>
    <w:lvl w:ilvl="7" w:tplc="2E54D2CC">
      <w:start w:val="1"/>
      <w:numFmt w:val="bullet"/>
      <w:lvlText w:val="o"/>
      <w:lvlJc w:val="left"/>
      <w:pPr>
        <w:ind w:left="5760" w:hanging="360"/>
      </w:pPr>
      <w:rPr>
        <w:rFonts w:ascii="Courier New" w:hAnsi="Courier New" w:hint="default"/>
      </w:rPr>
    </w:lvl>
    <w:lvl w:ilvl="8" w:tplc="71C4E176">
      <w:start w:val="1"/>
      <w:numFmt w:val="bullet"/>
      <w:lvlText w:val=""/>
      <w:lvlJc w:val="left"/>
      <w:pPr>
        <w:ind w:left="6480" w:hanging="360"/>
      </w:pPr>
      <w:rPr>
        <w:rFonts w:ascii="Wingdings" w:hAnsi="Wingdings" w:hint="default"/>
      </w:rPr>
    </w:lvl>
  </w:abstractNum>
  <w:abstractNum w:abstractNumId="85" w15:restartNumberingAfterBreak="0">
    <w:nsid w:val="4FB46CAD"/>
    <w:multiLevelType w:val="hybridMultilevel"/>
    <w:tmpl w:val="E130B4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15:restartNumberingAfterBreak="0">
    <w:nsid w:val="4FCD33E8"/>
    <w:multiLevelType w:val="hybridMultilevel"/>
    <w:tmpl w:val="F98AD51A"/>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507607F2"/>
    <w:multiLevelType w:val="hybridMultilevel"/>
    <w:tmpl w:val="F8740792"/>
    <w:lvl w:ilvl="0" w:tplc="EE7C9EBE">
      <w:start w:val="1"/>
      <w:numFmt w:val="decimal"/>
      <w:lvlText w:val="%1."/>
      <w:lvlJc w:val="left"/>
      <w:pPr>
        <w:ind w:left="1440" w:hanging="360"/>
      </w:pPr>
    </w:lvl>
    <w:lvl w:ilvl="1" w:tplc="6810ACB2">
      <w:start w:val="1"/>
      <w:numFmt w:val="decimal"/>
      <w:lvlText w:val="%2."/>
      <w:lvlJc w:val="left"/>
      <w:pPr>
        <w:ind w:left="1440" w:hanging="360"/>
      </w:pPr>
    </w:lvl>
    <w:lvl w:ilvl="2" w:tplc="C3342CD8">
      <w:start w:val="1"/>
      <w:numFmt w:val="decimal"/>
      <w:lvlText w:val="%3."/>
      <w:lvlJc w:val="left"/>
      <w:pPr>
        <w:ind w:left="1440" w:hanging="360"/>
      </w:pPr>
    </w:lvl>
    <w:lvl w:ilvl="3" w:tplc="BB6493B0">
      <w:start w:val="1"/>
      <w:numFmt w:val="decimal"/>
      <w:lvlText w:val="%4."/>
      <w:lvlJc w:val="left"/>
      <w:pPr>
        <w:ind w:left="1440" w:hanging="360"/>
      </w:pPr>
    </w:lvl>
    <w:lvl w:ilvl="4" w:tplc="3F2E4FC6">
      <w:start w:val="1"/>
      <w:numFmt w:val="decimal"/>
      <w:lvlText w:val="%5."/>
      <w:lvlJc w:val="left"/>
      <w:pPr>
        <w:ind w:left="1440" w:hanging="360"/>
      </w:pPr>
    </w:lvl>
    <w:lvl w:ilvl="5" w:tplc="F45C10F4">
      <w:start w:val="1"/>
      <w:numFmt w:val="decimal"/>
      <w:lvlText w:val="%6."/>
      <w:lvlJc w:val="left"/>
      <w:pPr>
        <w:ind w:left="1440" w:hanging="360"/>
      </w:pPr>
    </w:lvl>
    <w:lvl w:ilvl="6" w:tplc="E7C41202">
      <w:start w:val="1"/>
      <w:numFmt w:val="decimal"/>
      <w:lvlText w:val="%7."/>
      <w:lvlJc w:val="left"/>
      <w:pPr>
        <w:ind w:left="1440" w:hanging="360"/>
      </w:pPr>
    </w:lvl>
    <w:lvl w:ilvl="7" w:tplc="5C709B7E">
      <w:start w:val="1"/>
      <w:numFmt w:val="decimal"/>
      <w:lvlText w:val="%8."/>
      <w:lvlJc w:val="left"/>
      <w:pPr>
        <w:ind w:left="1440" w:hanging="360"/>
      </w:pPr>
    </w:lvl>
    <w:lvl w:ilvl="8" w:tplc="BD2CBF54">
      <w:start w:val="1"/>
      <w:numFmt w:val="decimal"/>
      <w:lvlText w:val="%9."/>
      <w:lvlJc w:val="left"/>
      <w:pPr>
        <w:ind w:left="1440" w:hanging="360"/>
      </w:pPr>
    </w:lvl>
  </w:abstractNum>
  <w:abstractNum w:abstractNumId="88" w15:restartNumberingAfterBreak="0">
    <w:nsid w:val="50F353B3"/>
    <w:multiLevelType w:val="hybridMultilevel"/>
    <w:tmpl w:val="8D0C8BB4"/>
    <w:lvl w:ilvl="0" w:tplc="F438C27E">
      <w:start w:val="1"/>
      <w:numFmt w:val="decimal"/>
      <w:lvlText w:val="%1."/>
      <w:lvlJc w:val="left"/>
      <w:pPr>
        <w:ind w:left="1440" w:hanging="360"/>
      </w:pPr>
    </w:lvl>
    <w:lvl w:ilvl="1" w:tplc="0F3EFEC6">
      <w:start w:val="1"/>
      <w:numFmt w:val="decimal"/>
      <w:lvlText w:val="%2."/>
      <w:lvlJc w:val="left"/>
      <w:pPr>
        <w:ind w:left="1440" w:hanging="360"/>
      </w:pPr>
    </w:lvl>
    <w:lvl w:ilvl="2" w:tplc="8CECBA78">
      <w:start w:val="1"/>
      <w:numFmt w:val="decimal"/>
      <w:lvlText w:val="%3."/>
      <w:lvlJc w:val="left"/>
      <w:pPr>
        <w:ind w:left="1440" w:hanging="360"/>
      </w:pPr>
    </w:lvl>
    <w:lvl w:ilvl="3" w:tplc="1E46B798">
      <w:start w:val="1"/>
      <w:numFmt w:val="decimal"/>
      <w:lvlText w:val="%4."/>
      <w:lvlJc w:val="left"/>
      <w:pPr>
        <w:ind w:left="1440" w:hanging="360"/>
      </w:pPr>
    </w:lvl>
    <w:lvl w:ilvl="4" w:tplc="F4BC613C">
      <w:start w:val="1"/>
      <w:numFmt w:val="decimal"/>
      <w:lvlText w:val="%5."/>
      <w:lvlJc w:val="left"/>
      <w:pPr>
        <w:ind w:left="1440" w:hanging="360"/>
      </w:pPr>
    </w:lvl>
    <w:lvl w:ilvl="5" w:tplc="A80EA1F8">
      <w:start w:val="1"/>
      <w:numFmt w:val="decimal"/>
      <w:lvlText w:val="%6."/>
      <w:lvlJc w:val="left"/>
      <w:pPr>
        <w:ind w:left="1440" w:hanging="360"/>
      </w:pPr>
    </w:lvl>
    <w:lvl w:ilvl="6" w:tplc="0F58E33C">
      <w:start w:val="1"/>
      <w:numFmt w:val="decimal"/>
      <w:lvlText w:val="%7."/>
      <w:lvlJc w:val="left"/>
      <w:pPr>
        <w:ind w:left="1440" w:hanging="360"/>
      </w:pPr>
    </w:lvl>
    <w:lvl w:ilvl="7" w:tplc="0882C848">
      <w:start w:val="1"/>
      <w:numFmt w:val="decimal"/>
      <w:lvlText w:val="%8."/>
      <w:lvlJc w:val="left"/>
      <w:pPr>
        <w:ind w:left="1440" w:hanging="360"/>
      </w:pPr>
    </w:lvl>
    <w:lvl w:ilvl="8" w:tplc="160AC01C">
      <w:start w:val="1"/>
      <w:numFmt w:val="decimal"/>
      <w:lvlText w:val="%9."/>
      <w:lvlJc w:val="left"/>
      <w:pPr>
        <w:ind w:left="1440" w:hanging="360"/>
      </w:pPr>
    </w:lvl>
  </w:abstractNum>
  <w:abstractNum w:abstractNumId="89" w15:restartNumberingAfterBreak="0">
    <w:nsid w:val="5176726A"/>
    <w:multiLevelType w:val="hybridMultilevel"/>
    <w:tmpl w:val="2496E552"/>
    <w:lvl w:ilvl="0" w:tplc="3FDC4480">
      <w:start w:val="1"/>
      <w:numFmt w:val="bullet"/>
      <w:pStyle w:val="BulletedList"/>
      <w:lvlText w:val=""/>
      <w:lvlJc w:val="left"/>
      <w:pPr>
        <w:ind w:left="680" w:hanging="340"/>
      </w:pPr>
      <w:rPr>
        <w:rFonts w:ascii="Symbol" w:hAnsi="Symbol" w:hint="default"/>
        <w:color w:val="156082" w:themeColor="accent1"/>
      </w:rPr>
    </w:lvl>
    <w:lvl w:ilvl="1" w:tplc="70DAC4A6">
      <w:start w:val="1"/>
      <w:numFmt w:val="bullet"/>
      <w:lvlText w:val="o"/>
      <w:lvlJc w:val="left"/>
      <w:pPr>
        <w:tabs>
          <w:tab w:val="num" w:pos="680"/>
        </w:tabs>
        <w:ind w:left="1021" w:hanging="341"/>
      </w:pPr>
      <w:rPr>
        <w:rFonts w:ascii="Courier New" w:hAnsi="Courier New" w:hint="default"/>
      </w:rPr>
    </w:lvl>
    <w:lvl w:ilvl="2" w:tplc="B314BC2A">
      <w:start w:val="1"/>
      <w:numFmt w:val="bullet"/>
      <w:lvlText w:val="‒"/>
      <w:lvlJc w:val="left"/>
      <w:pPr>
        <w:tabs>
          <w:tab w:val="num" w:pos="1021"/>
        </w:tabs>
        <w:ind w:left="1361" w:hanging="340"/>
      </w:pPr>
      <w:rPr>
        <w:rFonts w:ascii="Calibri" w:hAnsi="Calibri" w:hint="default"/>
      </w:rPr>
    </w:lvl>
    <w:lvl w:ilvl="3" w:tplc="3522BB54">
      <w:start w:val="1"/>
      <w:numFmt w:val="bullet"/>
      <w:lvlText w:val="‒"/>
      <w:lvlJc w:val="left"/>
      <w:pPr>
        <w:tabs>
          <w:tab w:val="num" w:pos="1361"/>
        </w:tabs>
        <w:ind w:left="1701" w:hanging="340"/>
      </w:pPr>
      <w:rPr>
        <w:rFonts w:ascii="Calibri" w:hAnsi="Calibri" w:hint="default"/>
      </w:rPr>
    </w:lvl>
    <w:lvl w:ilvl="4" w:tplc="2D28C6B4">
      <w:start w:val="1"/>
      <w:numFmt w:val="bullet"/>
      <w:lvlText w:val="‒"/>
      <w:lvlJc w:val="left"/>
      <w:pPr>
        <w:tabs>
          <w:tab w:val="num" w:pos="1701"/>
        </w:tabs>
        <w:ind w:left="2041" w:hanging="340"/>
      </w:pPr>
      <w:rPr>
        <w:rFonts w:ascii="Calibri" w:hAnsi="Calibri" w:hint="default"/>
      </w:rPr>
    </w:lvl>
    <w:lvl w:ilvl="5" w:tplc="8BE2FB6E" w:tentative="1">
      <w:start w:val="1"/>
      <w:numFmt w:val="bullet"/>
      <w:lvlText w:val=""/>
      <w:lvlJc w:val="left"/>
      <w:pPr>
        <w:ind w:left="4774" w:hanging="360"/>
      </w:pPr>
      <w:rPr>
        <w:rFonts w:ascii="Wingdings" w:hAnsi="Wingdings" w:hint="default"/>
      </w:rPr>
    </w:lvl>
    <w:lvl w:ilvl="6" w:tplc="63D08252" w:tentative="1">
      <w:start w:val="1"/>
      <w:numFmt w:val="bullet"/>
      <w:lvlText w:val=""/>
      <w:lvlJc w:val="left"/>
      <w:pPr>
        <w:ind w:left="5494" w:hanging="360"/>
      </w:pPr>
      <w:rPr>
        <w:rFonts w:ascii="Symbol" w:hAnsi="Symbol" w:hint="default"/>
      </w:rPr>
    </w:lvl>
    <w:lvl w:ilvl="7" w:tplc="005AB462" w:tentative="1">
      <w:start w:val="1"/>
      <w:numFmt w:val="bullet"/>
      <w:lvlText w:val="o"/>
      <w:lvlJc w:val="left"/>
      <w:pPr>
        <w:ind w:left="6214" w:hanging="360"/>
      </w:pPr>
      <w:rPr>
        <w:rFonts w:ascii="Courier New" w:hAnsi="Courier New" w:hint="default"/>
      </w:rPr>
    </w:lvl>
    <w:lvl w:ilvl="8" w:tplc="B8F65D3C" w:tentative="1">
      <w:start w:val="1"/>
      <w:numFmt w:val="bullet"/>
      <w:lvlText w:val=""/>
      <w:lvlJc w:val="left"/>
      <w:pPr>
        <w:ind w:left="6934" w:hanging="360"/>
      </w:pPr>
      <w:rPr>
        <w:rFonts w:ascii="Wingdings" w:hAnsi="Wingdings" w:hint="default"/>
      </w:rPr>
    </w:lvl>
  </w:abstractNum>
  <w:abstractNum w:abstractNumId="90" w15:restartNumberingAfterBreak="0">
    <w:nsid w:val="5258472E"/>
    <w:multiLevelType w:val="multilevel"/>
    <w:tmpl w:val="D8446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25D0F3F"/>
    <w:multiLevelType w:val="hybridMultilevel"/>
    <w:tmpl w:val="5DE8E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5B53B6B"/>
    <w:multiLevelType w:val="hybridMultilevel"/>
    <w:tmpl w:val="68AADE04"/>
    <w:lvl w:ilvl="0" w:tplc="78E2D262">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3" w15:restartNumberingAfterBreak="0">
    <w:nsid w:val="5795337F"/>
    <w:multiLevelType w:val="hybridMultilevel"/>
    <w:tmpl w:val="AB00B022"/>
    <w:lvl w:ilvl="0" w:tplc="9CBA26E8">
      <w:start w:val="1"/>
      <w:numFmt w:val="bullet"/>
      <w:lvlText w:val=""/>
      <w:lvlJc w:val="left"/>
      <w:pPr>
        <w:ind w:left="2040" w:hanging="360"/>
      </w:pPr>
      <w:rPr>
        <w:rFonts w:ascii="Symbol" w:hAnsi="Symbol"/>
      </w:rPr>
    </w:lvl>
    <w:lvl w:ilvl="1" w:tplc="151AD4AE">
      <w:start w:val="1"/>
      <w:numFmt w:val="bullet"/>
      <w:lvlText w:val=""/>
      <w:lvlJc w:val="left"/>
      <w:pPr>
        <w:ind w:left="2040" w:hanging="360"/>
      </w:pPr>
      <w:rPr>
        <w:rFonts w:ascii="Symbol" w:hAnsi="Symbol"/>
      </w:rPr>
    </w:lvl>
    <w:lvl w:ilvl="2" w:tplc="D714C670">
      <w:start w:val="1"/>
      <w:numFmt w:val="bullet"/>
      <w:lvlText w:val=""/>
      <w:lvlJc w:val="left"/>
      <w:pPr>
        <w:ind w:left="2040" w:hanging="360"/>
      </w:pPr>
      <w:rPr>
        <w:rFonts w:ascii="Symbol" w:hAnsi="Symbol"/>
      </w:rPr>
    </w:lvl>
    <w:lvl w:ilvl="3" w:tplc="6046B3F6">
      <w:start w:val="1"/>
      <w:numFmt w:val="bullet"/>
      <w:lvlText w:val=""/>
      <w:lvlJc w:val="left"/>
      <w:pPr>
        <w:ind w:left="2040" w:hanging="360"/>
      </w:pPr>
      <w:rPr>
        <w:rFonts w:ascii="Symbol" w:hAnsi="Symbol"/>
      </w:rPr>
    </w:lvl>
    <w:lvl w:ilvl="4" w:tplc="51BE603C">
      <w:start w:val="1"/>
      <w:numFmt w:val="bullet"/>
      <w:lvlText w:val=""/>
      <w:lvlJc w:val="left"/>
      <w:pPr>
        <w:ind w:left="2040" w:hanging="360"/>
      </w:pPr>
      <w:rPr>
        <w:rFonts w:ascii="Symbol" w:hAnsi="Symbol"/>
      </w:rPr>
    </w:lvl>
    <w:lvl w:ilvl="5" w:tplc="5A001C8C">
      <w:start w:val="1"/>
      <w:numFmt w:val="bullet"/>
      <w:lvlText w:val=""/>
      <w:lvlJc w:val="left"/>
      <w:pPr>
        <w:ind w:left="2040" w:hanging="360"/>
      </w:pPr>
      <w:rPr>
        <w:rFonts w:ascii="Symbol" w:hAnsi="Symbol"/>
      </w:rPr>
    </w:lvl>
    <w:lvl w:ilvl="6" w:tplc="AF967EDC">
      <w:start w:val="1"/>
      <w:numFmt w:val="bullet"/>
      <w:lvlText w:val=""/>
      <w:lvlJc w:val="left"/>
      <w:pPr>
        <w:ind w:left="2040" w:hanging="360"/>
      </w:pPr>
      <w:rPr>
        <w:rFonts w:ascii="Symbol" w:hAnsi="Symbol"/>
      </w:rPr>
    </w:lvl>
    <w:lvl w:ilvl="7" w:tplc="394EEA5C">
      <w:start w:val="1"/>
      <w:numFmt w:val="bullet"/>
      <w:lvlText w:val=""/>
      <w:lvlJc w:val="left"/>
      <w:pPr>
        <w:ind w:left="2040" w:hanging="360"/>
      </w:pPr>
      <w:rPr>
        <w:rFonts w:ascii="Symbol" w:hAnsi="Symbol"/>
      </w:rPr>
    </w:lvl>
    <w:lvl w:ilvl="8" w:tplc="5E6CBCB0">
      <w:start w:val="1"/>
      <w:numFmt w:val="bullet"/>
      <w:lvlText w:val=""/>
      <w:lvlJc w:val="left"/>
      <w:pPr>
        <w:ind w:left="2040" w:hanging="360"/>
      </w:pPr>
      <w:rPr>
        <w:rFonts w:ascii="Symbol" w:hAnsi="Symbol"/>
      </w:rPr>
    </w:lvl>
  </w:abstractNum>
  <w:abstractNum w:abstractNumId="94" w15:restartNumberingAfterBreak="0">
    <w:nsid w:val="589937BE"/>
    <w:multiLevelType w:val="hybridMultilevel"/>
    <w:tmpl w:val="44024D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8D818BE"/>
    <w:multiLevelType w:val="hybridMultilevel"/>
    <w:tmpl w:val="AA6EE9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6" w15:restartNumberingAfterBreak="0">
    <w:nsid w:val="59AB4A28"/>
    <w:multiLevelType w:val="hybridMultilevel"/>
    <w:tmpl w:val="1A92B836"/>
    <w:lvl w:ilvl="0" w:tplc="AEEE756C">
      <w:start w:val="5"/>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5A374359"/>
    <w:multiLevelType w:val="hybridMultilevel"/>
    <w:tmpl w:val="E4EA6B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8" w15:restartNumberingAfterBreak="0">
    <w:nsid w:val="5B0E0128"/>
    <w:multiLevelType w:val="hybridMultilevel"/>
    <w:tmpl w:val="C1C2B936"/>
    <w:lvl w:ilvl="0" w:tplc="78E2D26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5B453D08"/>
    <w:multiLevelType w:val="hybridMultilevel"/>
    <w:tmpl w:val="1C0C68AE"/>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0" w15:restartNumberingAfterBreak="0">
    <w:nsid w:val="5BE81A96"/>
    <w:multiLevelType w:val="hybridMultilevel"/>
    <w:tmpl w:val="49DCD896"/>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1" w15:restartNumberingAfterBreak="0">
    <w:nsid w:val="5E4011A3"/>
    <w:multiLevelType w:val="hybridMultilevel"/>
    <w:tmpl w:val="C144F70E"/>
    <w:lvl w:ilvl="0" w:tplc="88661850">
      <w:start w:val="1"/>
      <w:numFmt w:val="decimal"/>
      <w:lvlText w:val="%1."/>
      <w:lvlJc w:val="left"/>
      <w:pPr>
        <w:ind w:left="1440" w:hanging="360"/>
      </w:pPr>
    </w:lvl>
    <w:lvl w:ilvl="1" w:tplc="0BFACB8A">
      <w:start w:val="1"/>
      <w:numFmt w:val="decimal"/>
      <w:lvlText w:val="%2."/>
      <w:lvlJc w:val="left"/>
      <w:pPr>
        <w:ind w:left="1440" w:hanging="360"/>
      </w:pPr>
    </w:lvl>
    <w:lvl w:ilvl="2" w:tplc="E4261F98">
      <w:start w:val="1"/>
      <w:numFmt w:val="decimal"/>
      <w:lvlText w:val="%3."/>
      <w:lvlJc w:val="left"/>
      <w:pPr>
        <w:ind w:left="1440" w:hanging="360"/>
      </w:pPr>
    </w:lvl>
    <w:lvl w:ilvl="3" w:tplc="89367462">
      <w:start w:val="1"/>
      <w:numFmt w:val="decimal"/>
      <w:lvlText w:val="%4."/>
      <w:lvlJc w:val="left"/>
      <w:pPr>
        <w:ind w:left="1440" w:hanging="360"/>
      </w:pPr>
    </w:lvl>
    <w:lvl w:ilvl="4" w:tplc="7388936A">
      <w:start w:val="1"/>
      <w:numFmt w:val="decimal"/>
      <w:lvlText w:val="%5."/>
      <w:lvlJc w:val="left"/>
      <w:pPr>
        <w:ind w:left="1440" w:hanging="360"/>
      </w:pPr>
    </w:lvl>
    <w:lvl w:ilvl="5" w:tplc="E668DEFC">
      <w:start w:val="1"/>
      <w:numFmt w:val="decimal"/>
      <w:lvlText w:val="%6."/>
      <w:lvlJc w:val="left"/>
      <w:pPr>
        <w:ind w:left="1440" w:hanging="360"/>
      </w:pPr>
    </w:lvl>
    <w:lvl w:ilvl="6" w:tplc="EA3A719C">
      <w:start w:val="1"/>
      <w:numFmt w:val="decimal"/>
      <w:lvlText w:val="%7."/>
      <w:lvlJc w:val="left"/>
      <w:pPr>
        <w:ind w:left="1440" w:hanging="360"/>
      </w:pPr>
    </w:lvl>
    <w:lvl w:ilvl="7" w:tplc="D8E6A324">
      <w:start w:val="1"/>
      <w:numFmt w:val="decimal"/>
      <w:lvlText w:val="%8."/>
      <w:lvlJc w:val="left"/>
      <w:pPr>
        <w:ind w:left="1440" w:hanging="360"/>
      </w:pPr>
    </w:lvl>
    <w:lvl w:ilvl="8" w:tplc="46EC5C02">
      <w:start w:val="1"/>
      <w:numFmt w:val="decimal"/>
      <w:lvlText w:val="%9."/>
      <w:lvlJc w:val="left"/>
      <w:pPr>
        <w:ind w:left="1440" w:hanging="360"/>
      </w:pPr>
    </w:lvl>
  </w:abstractNum>
  <w:abstractNum w:abstractNumId="102" w15:restartNumberingAfterBreak="0">
    <w:nsid w:val="600528A4"/>
    <w:multiLevelType w:val="hybridMultilevel"/>
    <w:tmpl w:val="FFFFFFFF"/>
    <w:lvl w:ilvl="0" w:tplc="814247CE">
      <w:start w:val="1"/>
      <w:numFmt w:val="bullet"/>
      <w:lvlText w:val=""/>
      <w:lvlJc w:val="left"/>
      <w:pPr>
        <w:ind w:left="720" w:hanging="360"/>
      </w:pPr>
      <w:rPr>
        <w:rFonts w:ascii="Symbol" w:hAnsi="Symbol" w:hint="default"/>
      </w:rPr>
    </w:lvl>
    <w:lvl w:ilvl="1" w:tplc="2C18D966">
      <w:start w:val="1"/>
      <w:numFmt w:val="bullet"/>
      <w:lvlText w:val="o"/>
      <w:lvlJc w:val="left"/>
      <w:pPr>
        <w:ind w:left="1440" w:hanging="360"/>
      </w:pPr>
      <w:rPr>
        <w:rFonts w:ascii="Courier New" w:hAnsi="Courier New" w:hint="default"/>
      </w:rPr>
    </w:lvl>
    <w:lvl w:ilvl="2" w:tplc="99C6CA9A">
      <w:start w:val="1"/>
      <w:numFmt w:val="bullet"/>
      <w:lvlText w:val=""/>
      <w:lvlJc w:val="left"/>
      <w:pPr>
        <w:ind w:left="2160" w:hanging="360"/>
      </w:pPr>
      <w:rPr>
        <w:rFonts w:ascii="Wingdings" w:hAnsi="Wingdings" w:hint="default"/>
      </w:rPr>
    </w:lvl>
    <w:lvl w:ilvl="3" w:tplc="3356F488">
      <w:start w:val="1"/>
      <w:numFmt w:val="bullet"/>
      <w:lvlText w:val=""/>
      <w:lvlJc w:val="left"/>
      <w:pPr>
        <w:ind w:left="2880" w:hanging="360"/>
      </w:pPr>
      <w:rPr>
        <w:rFonts w:ascii="Symbol" w:hAnsi="Symbol" w:hint="default"/>
      </w:rPr>
    </w:lvl>
    <w:lvl w:ilvl="4" w:tplc="C44AF102">
      <w:start w:val="1"/>
      <w:numFmt w:val="bullet"/>
      <w:lvlText w:val="o"/>
      <w:lvlJc w:val="left"/>
      <w:pPr>
        <w:ind w:left="3600" w:hanging="360"/>
      </w:pPr>
      <w:rPr>
        <w:rFonts w:ascii="Courier New" w:hAnsi="Courier New" w:hint="default"/>
      </w:rPr>
    </w:lvl>
    <w:lvl w:ilvl="5" w:tplc="6F164244">
      <w:start w:val="1"/>
      <w:numFmt w:val="bullet"/>
      <w:lvlText w:val=""/>
      <w:lvlJc w:val="left"/>
      <w:pPr>
        <w:ind w:left="4320" w:hanging="360"/>
      </w:pPr>
      <w:rPr>
        <w:rFonts w:ascii="Wingdings" w:hAnsi="Wingdings" w:hint="default"/>
      </w:rPr>
    </w:lvl>
    <w:lvl w:ilvl="6" w:tplc="982AF768">
      <w:start w:val="1"/>
      <w:numFmt w:val="bullet"/>
      <w:lvlText w:val=""/>
      <w:lvlJc w:val="left"/>
      <w:pPr>
        <w:ind w:left="5040" w:hanging="360"/>
      </w:pPr>
      <w:rPr>
        <w:rFonts w:ascii="Symbol" w:hAnsi="Symbol" w:hint="default"/>
      </w:rPr>
    </w:lvl>
    <w:lvl w:ilvl="7" w:tplc="1BA61826">
      <w:start w:val="1"/>
      <w:numFmt w:val="bullet"/>
      <w:lvlText w:val="o"/>
      <w:lvlJc w:val="left"/>
      <w:pPr>
        <w:ind w:left="5760" w:hanging="360"/>
      </w:pPr>
      <w:rPr>
        <w:rFonts w:ascii="Courier New" w:hAnsi="Courier New" w:hint="default"/>
      </w:rPr>
    </w:lvl>
    <w:lvl w:ilvl="8" w:tplc="E848C676">
      <w:start w:val="1"/>
      <w:numFmt w:val="bullet"/>
      <w:lvlText w:val=""/>
      <w:lvlJc w:val="left"/>
      <w:pPr>
        <w:ind w:left="6480" w:hanging="360"/>
      </w:pPr>
      <w:rPr>
        <w:rFonts w:ascii="Wingdings" w:hAnsi="Wingdings" w:hint="default"/>
      </w:rPr>
    </w:lvl>
  </w:abstractNum>
  <w:abstractNum w:abstractNumId="103" w15:restartNumberingAfterBreak="0">
    <w:nsid w:val="60393D2F"/>
    <w:multiLevelType w:val="hybridMultilevel"/>
    <w:tmpl w:val="13DA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151390B"/>
    <w:multiLevelType w:val="multilevel"/>
    <w:tmpl w:val="568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2F645BF"/>
    <w:multiLevelType w:val="multilevel"/>
    <w:tmpl w:val="FE2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4097E43"/>
    <w:multiLevelType w:val="hybridMultilevel"/>
    <w:tmpl w:val="2D961DFC"/>
    <w:lvl w:ilvl="0" w:tplc="B23E8640">
      <w:start w:val="1"/>
      <w:numFmt w:val="decimal"/>
      <w:lvlText w:val="%1."/>
      <w:lvlJc w:val="left"/>
      <w:pPr>
        <w:ind w:left="1440" w:hanging="360"/>
      </w:pPr>
    </w:lvl>
    <w:lvl w:ilvl="1" w:tplc="C1682750">
      <w:start w:val="1"/>
      <w:numFmt w:val="decimal"/>
      <w:lvlText w:val="%2."/>
      <w:lvlJc w:val="left"/>
      <w:pPr>
        <w:ind w:left="1440" w:hanging="360"/>
      </w:pPr>
    </w:lvl>
    <w:lvl w:ilvl="2" w:tplc="B1466562">
      <w:start w:val="1"/>
      <w:numFmt w:val="decimal"/>
      <w:lvlText w:val="%3."/>
      <w:lvlJc w:val="left"/>
      <w:pPr>
        <w:ind w:left="1440" w:hanging="360"/>
      </w:pPr>
    </w:lvl>
    <w:lvl w:ilvl="3" w:tplc="D6725A7A">
      <w:start w:val="1"/>
      <w:numFmt w:val="decimal"/>
      <w:lvlText w:val="%4."/>
      <w:lvlJc w:val="left"/>
      <w:pPr>
        <w:ind w:left="1440" w:hanging="360"/>
      </w:pPr>
    </w:lvl>
    <w:lvl w:ilvl="4" w:tplc="6B8C7332">
      <w:start w:val="1"/>
      <w:numFmt w:val="decimal"/>
      <w:lvlText w:val="%5."/>
      <w:lvlJc w:val="left"/>
      <w:pPr>
        <w:ind w:left="1440" w:hanging="360"/>
      </w:pPr>
    </w:lvl>
    <w:lvl w:ilvl="5" w:tplc="CBA86256">
      <w:start w:val="1"/>
      <w:numFmt w:val="decimal"/>
      <w:lvlText w:val="%6."/>
      <w:lvlJc w:val="left"/>
      <w:pPr>
        <w:ind w:left="1440" w:hanging="360"/>
      </w:pPr>
    </w:lvl>
    <w:lvl w:ilvl="6" w:tplc="D41487C2">
      <w:start w:val="1"/>
      <w:numFmt w:val="decimal"/>
      <w:lvlText w:val="%7."/>
      <w:lvlJc w:val="left"/>
      <w:pPr>
        <w:ind w:left="1440" w:hanging="360"/>
      </w:pPr>
    </w:lvl>
    <w:lvl w:ilvl="7" w:tplc="C1324EB0">
      <w:start w:val="1"/>
      <w:numFmt w:val="decimal"/>
      <w:lvlText w:val="%8."/>
      <w:lvlJc w:val="left"/>
      <w:pPr>
        <w:ind w:left="1440" w:hanging="360"/>
      </w:pPr>
    </w:lvl>
    <w:lvl w:ilvl="8" w:tplc="1A28BF4C">
      <w:start w:val="1"/>
      <w:numFmt w:val="decimal"/>
      <w:lvlText w:val="%9."/>
      <w:lvlJc w:val="left"/>
      <w:pPr>
        <w:ind w:left="1440" w:hanging="360"/>
      </w:pPr>
    </w:lvl>
  </w:abstractNum>
  <w:abstractNum w:abstractNumId="107" w15:restartNumberingAfterBreak="0">
    <w:nsid w:val="6477710A"/>
    <w:multiLevelType w:val="hybridMultilevel"/>
    <w:tmpl w:val="B5A622CA"/>
    <w:lvl w:ilvl="0" w:tplc="F6FA7C80">
      <w:start w:val="1"/>
      <w:numFmt w:val="decimal"/>
      <w:lvlText w:val="%1."/>
      <w:lvlJc w:val="left"/>
      <w:pPr>
        <w:ind w:left="1440" w:hanging="360"/>
      </w:pPr>
    </w:lvl>
    <w:lvl w:ilvl="1" w:tplc="C448B77E">
      <w:start w:val="1"/>
      <w:numFmt w:val="decimal"/>
      <w:lvlText w:val="%2."/>
      <w:lvlJc w:val="left"/>
      <w:pPr>
        <w:ind w:left="1440" w:hanging="360"/>
      </w:pPr>
    </w:lvl>
    <w:lvl w:ilvl="2" w:tplc="07DA8626">
      <w:start w:val="1"/>
      <w:numFmt w:val="decimal"/>
      <w:lvlText w:val="%3."/>
      <w:lvlJc w:val="left"/>
      <w:pPr>
        <w:ind w:left="1440" w:hanging="360"/>
      </w:pPr>
    </w:lvl>
    <w:lvl w:ilvl="3" w:tplc="0568A93C">
      <w:start w:val="1"/>
      <w:numFmt w:val="decimal"/>
      <w:lvlText w:val="%4."/>
      <w:lvlJc w:val="left"/>
      <w:pPr>
        <w:ind w:left="1440" w:hanging="360"/>
      </w:pPr>
    </w:lvl>
    <w:lvl w:ilvl="4" w:tplc="069602CA">
      <w:start w:val="1"/>
      <w:numFmt w:val="decimal"/>
      <w:lvlText w:val="%5."/>
      <w:lvlJc w:val="left"/>
      <w:pPr>
        <w:ind w:left="1440" w:hanging="360"/>
      </w:pPr>
    </w:lvl>
    <w:lvl w:ilvl="5" w:tplc="42169292">
      <w:start w:val="1"/>
      <w:numFmt w:val="decimal"/>
      <w:lvlText w:val="%6."/>
      <w:lvlJc w:val="left"/>
      <w:pPr>
        <w:ind w:left="1440" w:hanging="360"/>
      </w:pPr>
    </w:lvl>
    <w:lvl w:ilvl="6" w:tplc="8438F5AE">
      <w:start w:val="1"/>
      <w:numFmt w:val="decimal"/>
      <w:lvlText w:val="%7."/>
      <w:lvlJc w:val="left"/>
      <w:pPr>
        <w:ind w:left="1440" w:hanging="360"/>
      </w:pPr>
    </w:lvl>
    <w:lvl w:ilvl="7" w:tplc="C94AB7F4">
      <w:start w:val="1"/>
      <w:numFmt w:val="decimal"/>
      <w:lvlText w:val="%8."/>
      <w:lvlJc w:val="left"/>
      <w:pPr>
        <w:ind w:left="1440" w:hanging="360"/>
      </w:pPr>
    </w:lvl>
    <w:lvl w:ilvl="8" w:tplc="C57CCC04">
      <w:start w:val="1"/>
      <w:numFmt w:val="decimal"/>
      <w:lvlText w:val="%9."/>
      <w:lvlJc w:val="left"/>
      <w:pPr>
        <w:ind w:left="1440" w:hanging="360"/>
      </w:pPr>
    </w:lvl>
  </w:abstractNum>
  <w:abstractNum w:abstractNumId="108" w15:restartNumberingAfterBreak="0">
    <w:nsid w:val="65EE24F8"/>
    <w:multiLevelType w:val="hybridMultilevel"/>
    <w:tmpl w:val="CCA805F2"/>
    <w:lvl w:ilvl="0" w:tplc="9580CB90">
      <w:start w:val="1"/>
      <w:numFmt w:val="decimal"/>
      <w:lvlText w:val="%1)"/>
      <w:lvlJc w:val="left"/>
      <w:pPr>
        <w:ind w:left="720" w:hanging="360"/>
      </w:pPr>
    </w:lvl>
    <w:lvl w:ilvl="1" w:tplc="118EEC0C">
      <w:start w:val="1"/>
      <w:numFmt w:val="decimal"/>
      <w:lvlText w:val="%2)"/>
      <w:lvlJc w:val="left"/>
      <w:pPr>
        <w:ind w:left="720" w:hanging="360"/>
      </w:pPr>
    </w:lvl>
    <w:lvl w:ilvl="2" w:tplc="40BCBF94">
      <w:start w:val="1"/>
      <w:numFmt w:val="decimal"/>
      <w:lvlText w:val="%3)"/>
      <w:lvlJc w:val="left"/>
      <w:pPr>
        <w:ind w:left="720" w:hanging="360"/>
      </w:pPr>
    </w:lvl>
    <w:lvl w:ilvl="3" w:tplc="38C65D2A">
      <w:start w:val="1"/>
      <w:numFmt w:val="decimal"/>
      <w:lvlText w:val="%4)"/>
      <w:lvlJc w:val="left"/>
      <w:pPr>
        <w:ind w:left="720" w:hanging="360"/>
      </w:pPr>
    </w:lvl>
    <w:lvl w:ilvl="4" w:tplc="6BCA989C">
      <w:start w:val="1"/>
      <w:numFmt w:val="decimal"/>
      <w:lvlText w:val="%5)"/>
      <w:lvlJc w:val="left"/>
      <w:pPr>
        <w:ind w:left="720" w:hanging="360"/>
      </w:pPr>
    </w:lvl>
    <w:lvl w:ilvl="5" w:tplc="1FD0B216">
      <w:start w:val="1"/>
      <w:numFmt w:val="decimal"/>
      <w:lvlText w:val="%6)"/>
      <w:lvlJc w:val="left"/>
      <w:pPr>
        <w:ind w:left="720" w:hanging="360"/>
      </w:pPr>
    </w:lvl>
    <w:lvl w:ilvl="6" w:tplc="AD783FD2">
      <w:start w:val="1"/>
      <w:numFmt w:val="decimal"/>
      <w:lvlText w:val="%7)"/>
      <w:lvlJc w:val="left"/>
      <w:pPr>
        <w:ind w:left="720" w:hanging="360"/>
      </w:pPr>
    </w:lvl>
    <w:lvl w:ilvl="7" w:tplc="CF8CD2EA">
      <w:start w:val="1"/>
      <w:numFmt w:val="decimal"/>
      <w:lvlText w:val="%8)"/>
      <w:lvlJc w:val="left"/>
      <w:pPr>
        <w:ind w:left="720" w:hanging="360"/>
      </w:pPr>
    </w:lvl>
    <w:lvl w:ilvl="8" w:tplc="154C785E">
      <w:start w:val="1"/>
      <w:numFmt w:val="decimal"/>
      <w:lvlText w:val="%9)"/>
      <w:lvlJc w:val="left"/>
      <w:pPr>
        <w:ind w:left="720" w:hanging="360"/>
      </w:pPr>
    </w:lvl>
  </w:abstractNum>
  <w:abstractNum w:abstractNumId="109" w15:restartNumberingAfterBreak="0">
    <w:nsid w:val="65F36684"/>
    <w:multiLevelType w:val="hybridMultilevel"/>
    <w:tmpl w:val="4000C272"/>
    <w:lvl w:ilvl="0" w:tplc="0E1232C4">
      <w:start w:val="1"/>
      <w:numFmt w:val="decimal"/>
      <w:lvlText w:val="%1)"/>
      <w:lvlJc w:val="left"/>
      <w:pPr>
        <w:ind w:left="1080" w:hanging="360"/>
      </w:pPr>
    </w:lvl>
    <w:lvl w:ilvl="1" w:tplc="DBD28A88">
      <w:start w:val="1"/>
      <w:numFmt w:val="decimal"/>
      <w:lvlText w:val="%2)"/>
      <w:lvlJc w:val="left"/>
      <w:pPr>
        <w:ind w:left="1080" w:hanging="360"/>
      </w:pPr>
    </w:lvl>
    <w:lvl w:ilvl="2" w:tplc="05D0360E">
      <w:start w:val="1"/>
      <w:numFmt w:val="decimal"/>
      <w:lvlText w:val="%3)"/>
      <w:lvlJc w:val="left"/>
      <w:pPr>
        <w:ind w:left="1080" w:hanging="360"/>
      </w:pPr>
    </w:lvl>
    <w:lvl w:ilvl="3" w:tplc="FF9EE5B8">
      <w:start w:val="1"/>
      <w:numFmt w:val="decimal"/>
      <w:lvlText w:val="%4)"/>
      <w:lvlJc w:val="left"/>
      <w:pPr>
        <w:ind w:left="1080" w:hanging="360"/>
      </w:pPr>
    </w:lvl>
    <w:lvl w:ilvl="4" w:tplc="5510AD6E">
      <w:start w:val="1"/>
      <w:numFmt w:val="decimal"/>
      <w:lvlText w:val="%5)"/>
      <w:lvlJc w:val="left"/>
      <w:pPr>
        <w:ind w:left="1080" w:hanging="360"/>
      </w:pPr>
    </w:lvl>
    <w:lvl w:ilvl="5" w:tplc="EA0EC7B4">
      <w:start w:val="1"/>
      <w:numFmt w:val="decimal"/>
      <w:lvlText w:val="%6)"/>
      <w:lvlJc w:val="left"/>
      <w:pPr>
        <w:ind w:left="1080" w:hanging="360"/>
      </w:pPr>
    </w:lvl>
    <w:lvl w:ilvl="6" w:tplc="FC7E1DD4">
      <w:start w:val="1"/>
      <w:numFmt w:val="decimal"/>
      <w:lvlText w:val="%7)"/>
      <w:lvlJc w:val="left"/>
      <w:pPr>
        <w:ind w:left="1080" w:hanging="360"/>
      </w:pPr>
    </w:lvl>
    <w:lvl w:ilvl="7" w:tplc="D53AB1C0">
      <w:start w:val="1"/>
      <w:numFmt w:val="decimal"/>
      <w:lvlText w:val="%8)"/>
      <w:lvlJc w:val="left"/>
      <w:pPr>
        <w:ind w:left="1080" w:hanging="360"/>
      </w:pPr>
    </w:lvl>
    <w:lvl w:ilvl="8" w:tplc="B86C93D0">
      <w:start w:val="1"/>
      <w:numFmt w:val="decimal"/>
      <w:lvlText w:val="%9)"/>
      <w:lvlJc w:val="left"/>
      <w:pPr>
        <w:ind w:left="1080" w:hanging="360"/>
      </w:pPr>
    </w:lvl>
  </w:abstractNum>
  <w:abstractNum w:abstractNumId="110" w15:restartNumberingAfterBreak="0">
    <w:nsid w:val="66841CCA"/>
    <w:multiLevelType w:val="hybridMultilevel"/>
    <w:tmpl w:val="74B2492C"/>
    <w:lvl w:ilvl="0" w:tplc="716476BC">
      <w:start w:val="1"/>
      <w:numFmt w:val="decimal"/>
      <w:lvlText w:val="%1)"/>
      <w:lvlJc w:val="left"/>
      <w:pPr>
        <w:ind w:left="1080" w:hanging="360"/>
      </w:pPr>
    </w:lvl>
    <w:lvl w:ilvl="1" w:tplc="6F08F500">
      <w:start w:val="1"/>
      <w:numFmt w:val="decimal"/>
      <w:lvlText w:val="%2)"/>
      <w:lvlJc w:val="left"/>
      <w:pPr>
        <w:ind w:left="1080" w:hanging="360"/>
      </w:pPr>
    </w:lvl>
    <w:lvl w:ilvl="2" w:tplc="83060176">
      <w:start w:val="1"/>
      <w:numFmt w:val="decimal"/>
      <w:lvlText w:val="%3)"/>
      <w:lvlJc w:val="left"/>
      <w:pPr>
        <w:ind w:left="1080" w:hanging="360"/>
      </w:pPr>
    </w:lvl>
    <w:lvl w:ilvl="3" w:tplc="68D645CC">
      <w:start w:val="1"/>
      <w:numFmt w:val="decimal"/>
      <w:lvlText w:val="%4)"/>
      <w:lvlJc w:val="left"/>
      <w:pPr>
        <w:ind w:left="1080" w:hanging="360"/>
      </w:pPr>
    </w:lvl>
    <w:lvl w:ilvl="4" w:tplc="35125906">
      <w:start w:val="1"/>
      <w:numFmt w:val="decimal"/>
      <w:lvlText w:val="%5)"/>
      <w:lvlJc w:val="left"/>
      <w:pPr>
        <w:ind w:left="1080" w:hanging="360"/>
      </w:pPr>
    </w:lvl>
    <w:lvl w:ilvl="5" w:tplc="BC92C868">
      <w:start w:val="1"/>
      <w:numFmt w:val="decimal"/>
      <w:lvlText w:val="%6)"/>
      <w:lvlJc w:val="left"/>
      <w:pPr>
        <w:ind w:left="1080" w:hanging="360"/>
      </w:pPr>
    </w:lvl>
    <w:lvl w:ilvl="6" w:tplc="B580A032">
      <w:start w:val="1"/>
      <w:numFmt w:val="decimal"/>
      <w:lvlText w:val="%7)"/>
      <w:lvlJc w:val="left"/>
      <w:pPr>
        <w:ind w:left="1080" w:hanging="360"/>
      </w:pPr>
    </w:lvl>
    <w:lvl w:ilvl="7" w:tplc="151E82E8">
      <w:start w:val="1"/>
      <w:numFmt w:val="decimal"/>
      <w:lvlText w:val="%8)"/>
      <w:lvlJc w:val="left"/>
      <w:pPr>
        <w:ind w:left="1080" w:hanging="360"/>
      </w:pPr>
    </w:lvl>
    <w:lvl w:ilvl="8" w:tplc="A6B88B86">
      <w:start w:val="1"/>
      <w:numFmt w:val="decimal"/>
      <w:lvlText w:val="%9)"/>
      <w:lvlJc w:val="left"/>
      <w:pPr>
        <w:ind w:left="1080" w:hanging="360"/>
      </w:pPr>
    </w:lvl>
  </w:abstractNum>
  <w:abstractNum w:abstractNumId="111" w15:restartNumberingAfterBreak="0">
    <w:nsid w:val="69AC2F8C"/>
    <w:multiLevelType w:val="hybridMultilevel"/>
    <w:tmpl w:val="806293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15:restartNumberingAfterBreak="0">
    <w:nsid w:val="6A0F1796"/>
    <w:multiLevelType w:val="hybridMultilevel"/>
    <w:tmpl w:val="F320BFC6"/>
    <w:lvl w:ilvl="0" w:tplc="90B84E2C">
      <w:start w:val="1"/>
      <w:numFmt w:val="decimal"/>
      <w:lvlText w:val="%1."/>
      <w:lvlJc w:val="left"/>
      <w:pPr>
        <w:ind w:left="1440" w:hanging="360"/>
      </w:pPr>
    </w:lvl>
    <w:lvl w:ilvl="1" w:tplc="6EB6DA02">
      <w:start w:val="1"/>
      <w:numFmt w:val="decimal"/>
      <w:lvlText w:val="%2."/>
      <w:lvlJc w:val="left"/>
      <w:pPr>
        <w:ind w:left="1440" w:hanging="360"/>
      </w:pPr>
    </w:lvl>
    <w:lvl w:ilvl="2" w:tplc="1A269BF0">
      <w:start w:val="1"/>
      <w:numFmt w:val="decimal"/>
      <w:lvlText w:val="%3."/>
      <w:lvlJc w:val="left"/>
      <w:pPr>
        <w:ind w:left="1440" w:hanging="360"/>
      </w:pPr>
    </w:lvl>
    <w:lvl w:ilvl="3" w:tplc="D7EAD084">
      <w:start w:val="1"/>
      <w:numFmt w:val="decimal"/>
      <w:lvlText w:val="%4."/>
      <w:lvlJc w:val="left"/>
      <w:pPr>
        <w:ind w:left="1440" w:hanging="360"/>
      </w:pPr>
    </w:lvl>
    <w:lvl w:ilvl="4" w:tplc="F05466FC">
      <w:start w:val="1"/>
      <w:numFmt w:val="decimal"/>
      <w:lvlText w:val="%5."/>
      <w:lvlJc w:val="left"/>
      <w:pPr>
        <w:ind w:left="1440" w:hanging="360"/>
      </w:pPr>
    </w:lvl>
    <w:lvl w:ilvl="5" w:tplc="61C8BB14">
      <w:start w:val="1"/>
      <w:numFmt w:val="decimal"/>
      <w:lvlText w:val="%6."/>
      <w:lvlJc w:val="left"/>
      <w:pPr>
        <w:ind w:left="1440" w:hanging="360"/>
      </w:pPr>
    </w:lvl>
    <w:lvl w:ilvl="6" w:tplc="72A6EF5C">
      <w:start w:val="1"/>
      <w:numFmt w:val="decimal"/>
      <w:lvlText w:val="%7."/>
      <w:lvlJc w:val="left"/>
      <w:pPr>
        <w:ind w:left="1440" w:hanging="360"/>
      </w:pPr>
    </w:lvl>
    <w:lvl w:ilvl="7" w:tplc="3D72C100">
      <w:start w:val="1"/>
      <w:numFmt w:val="decimal"/>
      <w:lvlText w:val="%8."/>
      <w:lvlJc w:val="left"/>
      <w:pPr>
        <w:ind w:left="1440" w:hanging="360"/>
      </w:pPr>
    </w:lvl>
    <w:lvl w:ilvl="8" w:tplc="C0147542">
      <w:start w:val="1"/>
      <w:numFmt w:val="decimal"/>
      <w:lvlText w:val="%9."/>
      <w:lvlJc w:val="left"/>
      <w:pPr>
        <w:ind w:left="1440" w:hanging="360"/>
      </w:pPr>
    </w:lvl>
  </w:abstractNum>
  <w:abstractNum w:abstractNumId="113" w15:restartNumberingAfterBreak="0">
    <w:nsid w:val="6A7E3C3F"/>
    <w:multiLevelType w:val="hybridMultilevel"/>
    <w:tmpl w:val="E166B4DA"/>
    <w:lvl w:ilvl="0" w:tplc="BD3AFAAA">
      <w:start w:val="1"/>
      <w:numFmt w:val="decimal"/>
      <w:lvlText w:val="%1."/>
      <w:lvlJc w:val="left"/>
      <w:pPr>
        <w:ind w:left="1440" w:hanging="360"/>
      </w:pPr>
    </w:lvl>
    <w:lvl w:ilvl="1" w:tplc="1876B494">
      <w:start w:val="1"/>
      <w:numFmt w:val="decimal"/>
      <w:lvlText w:val="%2."/>
      <w:lvlJc w:val="left"/>
      <w:pPr>
        <w:ind w:left="1440" w:hanging="360"/>
      </w:pPr>
    </w:lvl>
    <w:lvl w:ilvl="2" w:tplc="2D269754">
      <w:start w:val="1"/>
      <w:numFmt w:val="decimal"/>
      <w:lvlText w:val="%3."/>
      <w:lvlJc w:val="left"/>
      <w:pPr>
        <w:ind w:left="1440" w:hanging="360"/>
      </w:pPr>
    </w:lvl>
    <w:lvl w:ilvl="3" w:tplc="06C65DAC">
      <w:start w:val="1"/>
      <w:numFmt w:val="decimal"/>
      <w:lvlText w:val="%4."/>
      <w:lvlJc w:val="left"/>
      <w:pPr>
        <w:ind w:left="1440" w:hanging="360"/>
      </w:pPr>
    </w:lvl>
    <w:lvl w:ilvl="4" w:tplc="E1D6677C">
      <w:start w:val="1"/>
      <w:numFmt w:val="decimal"/>
      <w:lvlText w:val="%5."/>
      <w:lvlJc w:val="left"/>
      <w:pPr>
        <w:ind w:left="1440" w:hanging="360"/>
      </w:pPr>
    </w:lvl>
    <w:lvl w:ilvl="5" w:tplc="88361D4C">
      <w:start w:val="1"/>
      <w:numFmt w:val="decimal"/>
      <w:lvlText w:val="%6."/>
      <w:lvlJc w:val="left"/>
      <w:pPr>
        <w:ind w:left="1440" w:hanging="360"/>
      </w:pPr>
    </w:lvl>
    <w:lvl w:ilvl="6" w:tplc="69E616F8">
      <w:start w:val="1"/>
      <w:numFmt w:val="decimal"/>
      <w:lvlText w:val="%7."/>
      <w:lvlJc w:val="left"/>
      <w:pPr>
        <w:ind w:left="1440" w:hanging="360"/>
      </w:pPr>
    </w:lvl>
    <w:lvl w:ilvl="7" w:tplc="AF4224D8">
      <w:start w:val="1"/>
      <w:numFmt w:val="decimal"/>
      <w:lvlText w:val="%8."/>
      <w:lvlJc w:val="left"/>
      <w:pPr>
        <w:ind w:left="1440" w:hanging="360"/>
      </w:pPr>
    </w:lvl>
    <w:lvl w:ilvl="8" w:tplc="F49C88F2">
      <w:start w:val="1"/>
      <w:numFmt w:val="decimal"/>
      <w:lvlText w:val="%9."/>
      <w:lvlJc w:val="left"/>
      <w:pPr>
        <w:ind w:left="1440" w:hanging="360"/>
      </w:pPr>
    </w:lvl>
  </w:abstractNum>
  <w:abstractNum w:abstractNumId="114" w15:restartNumberingAfterBreak="0">
    <w:nsid w:val="6CDB511B"/>
    <w:multiLevelType w:val="hybridMultilevel"/>
    <w:tmpl w:val="8C1CB460"/>
    <w:lvl w:ilvl="0" w:tplc="4D9E3230">
      <w:start w:val="1"/>
      <w:numFmt w:val="decimal"/>
      <w:lvlText w:val="%1."/>
      <w:lvlJc w:val="left"/>
      <w:pPr>
        <w:ind w:left="1440" w:hanging="360"/>
      </w:pPr>
    </w:lvl>
    <w:lvl w:ilvl="1" w:tplc="C820F9C0">
      <w:start w:val="1"/>
      <w:numFmt w:val="decimal"/>
      <w:lvlText w:val="%2."/>
      <w:lvlJc w:val="left"/>
      <w:pPr>
        <w:ind w:left="1440" w:hanging="360"/>
      </w:pPr>
    </w:lvl>
    <w:lvl w:ilvl="2" w:tplc="F9A83B1E">
      <w:start w:val="1"/>
      <w:numFmt w:val="decimal"/>
      <w:lvlText w:val="%3."/>
      <w:lvlJc w:val="left"/>
      <w:pPr>
        <w:ind w:left="1440" w:hanging="360"/>
      </w:pPr>
    </w:lvl>
    <w:lvl w:ilvl="3" w:tplc="5C300C32">
      <w:start w:val="1"/>
      <w:numFmt w:val="decimal"/>
      <w:lvlText w:val="%4."/>
      <w:lvlJc w:val="left"/>
      <w:pPr>
        <w:ind w:left="1440" w:hanging="360"/>
      </w:pPr>
    </w:lvl>
    <w:lvl w:ilvl="4" w:tplc="21EA515C">
      <w:start w:val="1"/>
      <w:numFmt w:val="decimal"/>
      <w:lvlText w:val="%5."/>
      <w:lvlJc w:val="left"/>
      <w:pPr>
        <w:ind w:left="1440" w:hanging="360"/>
      </w:pPr>
    </w:lvl>
    <w:lvl w:ilvl="5" w:tplc="CF941AEE">
      <w:start w:val="1"/>
      <w:numFmt w:val="decimal"/>
      <w:lvlText w:val="%6."/>
      <w:lvlJc w:val="left"/>
      <w:pPr>
        <w:ind w:left="1440" w:hanging="360"/>
      </w:pPr>
    </w:lvl>
    <w:lvl w:ilvl="6" w:tplc="78B8A658">
      <w:start w:val="1"/>
      <w:numFmt w:val="decimal"/>
      <w:lvlText w:val="%7."/>
      <w:lvlJc w:val="left"/>
      <w:pPr>
        <w:ind w:left="1440" w:hanging="360"/>
      </w:pPr>
    </w:lvl>
    <w:lvl w:ilvl="7" w:tplc="F0B61458">
      <w:start w:val="1"/>
      <w:numFmt w:val="decimal"/>
      <w:lvlText w:val="%8."/>
      <w:lvlJc w:val="left"/>
      <w:pPr>
        <w:ind w:left="1440" w:hanging="360"/>
      </w:pPr>
    </w:lvl>
    <w:lvl w:ilvl="8" w:tplc="C486BE3C">
      <w:start w:val="1"/>
      <w:numFmt w:val="decimal"/>
      <w:lvlText w:val="%9."/>
      <w:lvlJc w:val="left"/>
      <w:pPr>
        <w:ind w:left="1440" w:hanging="360"/>
      </w:pPr>
    </w:lvl>
  </w:abstractNum>
  <w:abstractNum w:abstractNumId="115" w15:restartNumberingAfterBreak="0">
    <w:nsid w:val="6D2071DD"/>
    <w:multiLevelType w:val="hybridMultilevel"/>
    <w:tmpl w:val="32764D72"/>
    <w:lvl w:ilvl="0" w:tplc="29783326">
      <w:start w:val="1"/>
      <w:numFmt w:val="bullet"/>
      <w:lvlText w:val=""/>
      <w:lvlJc w:val="left"/>
      <w:pPr>
        <w:ind w:left="720" w:hanging="360"/>
      </w:pPr>
      <w:rPr>
        <w:rFonts w:ascii="Symbol" w:hAnsi="Symbol" w:hint="default"/>
      </w:rPr>
    </w:lvl>
    <w:lvl w:ilvl="1" w:tplc="B8ECAECA">
      <w:start w:val="1"/>
      <w:numFmt w:val="bullet"/>
      <w:lvlText w:val="o"/>
      <w:lvlJc w:val="left"/>
      <w:pPr>
        <w:ind w:left="1440" w:hanging="360"/>
      </w:pPr>
      <w:rPr>
        <w:rFonts w:ascii="Courier New" w:hAnsi="Courier New" w:hint="default"/>
      </w:rPr>
    </w:lvl>
    <w:lvl w:ilvl="2" w:tplc="3038429A">
      <w:start w:val="1"/>
      <w:numFmt w:val="bullet"/>
      <w:lvlText w:val=""/>
      <w:lvlJc w:val="left"/>
      <w:pPr>
        <w:ind w:left="2160" w:hanging="360"/>
      </w:pPr>
      <w:rPr>
        <w:rFonts w:ascii="Wingdings" w:hAnsi="Wingdings" w:hint="default"/>
      </w:rPr>
    </w:lvl>
    <w:lvl w:ilvl="3" w:tplc="7444B6D2">
      <w:start w:val="1"/>
      <w:numFmt w:val="bullet"/>
      <w:lvlText w:val=""/>
      <w:lvlJc w:val="left"/>
      <w:pPr>
        <w:ind w:left="2880" w:hanging="360"/>
      </w:pPr>
      <w:rPr>
        <w:rFonts w:ascii="Symbol" w:hAnsi="Symbol" w:hint="default"/>
      </w:rPr>
    </w:lvl>
    <w:lvl w:ilvl="4" w:tplc="11C8ABDC">
      <w:start w:val="1"/>
      <w:numFmt w:val="bullet"/>
      <w:lvlText w:val="o"/>
      <w:lvlJc w:val="left"/>
      <w:pPr>
        <w:ind w:left="3600" w:hanging="360"/>
      </w:pPr>
      <w:rPr>
        <w:rFonts w:ascii="Courier New" w:hAnsi="Courier New" w:hint="default"/>
      </w:rPr>
    </w:lvl>
    <w:lvl w:ilvl="5" w:tplc="B8123972">
      <w:start w:val="1"/>
      <w:numFmt w:val="bullet"/>
      <w:lvlText w:val=""/>
      <w:lvlJc w:val="left"/>
      <w:pPr>
        <w:ind w:left="4320" w:hanging="360"/>
      </w:pPr>
      <w:rPr>
        <w:rFonts w:ascii="Wingdings" w:hAnsi="Wingdings" w:hint="default"/>
      </w:rPr>
    </w:lvl>
    <w:lvl w:ilvl="6" w:tplc="480C5F40">
      <w:start w:val="1"/>
      <w:numFmt w:val="bullet"/>
      <w:lvlText w:val=""/>
      <w:lvlJc w:val="left"/>
      <w:pPr>
        <w:ind w:left="5040" w:hanging="360"/>
      </w:pPr>
      <w:rPr>
        <w:rFonts w:ascii="Symbol" w:hAnsi="Symbol" w:hint="default"/>
      </w:rPr>
    </w:lvl>
    <w:lvl w:ilvl="7" w:tplc="7D661248">
      <w:start w:val="1"/>
      <w:numFmt w:val="bullet"/>
      <w:lvlText w:val="o"/>
      <w:lvlJc w:val="left"/>
      <w:pPr>
        <w:ind w:left="5760" w:hanging="360"/>
      </w:pPr>
      <w:rPr>
        <w:rFonts w:ascii="Courier New" w:hAnsi="Courier New" w:hint="default"/>
      </w:rPr>
    </w:lvl>
    <w:lvl w:ilvl="8" w:tplc="C00C15C8">
      <w:start w:val="1"/>
      <w:numFmt w:val="bullet"/>
      <w:lvlText w:val=""/>
      <w:lvlJc w:val="left"/>
      <w:pPr>
        <w:ind w:left="6480" w:hanging="360"/>
      </w:pPr>
      <w:rPr>
        <w:rFonts w:ascii="Wingdings" w:hAnsi="Wingdings" w:hint="default"/>
      </w:rPr>
    </w:lvl>
  </w:abstractNum>
  <w:abstractNum w:abstractNumId="116" w15:restartNumberingAfterBreak="0">
    <w:nsid w:val="6D6C14F8"/>
    <w:multiLevelType w:val="hybridMultilevel"/>
    <w:tmpl w:val="529EF8CC"/>
    <w:lvl w:ilvl="0" w:tplc="45BE1184">
      <w:start w:val="1"/>
      <w:numFmt w:val="decimal"/>
      <w:lvlText w:val="%1)"/>
      <w:lvlJc w:val="left"/>
      <w:pPr>
        <w:ind w:left="720" w:hanging="360"/>
      </w:pPr>
    </w:lvl>
    <w:lvl w:ilvl="1" w:tplc="645EBF44">
      <w:start w:val="1"/>
      <w:numFmt w:val="decimal"/>
      <w:lvlText w:val="%2)"/>
      <w:lvlJc w:val="left"/>
      <w:pPr>
        <w:ind w:left="720" w:hanging="360"/>
      </w:pPr>
    </w:lvl>
    <w:lvl w:ilvl="2" w:tplc="2124CDA0">
      <w:start w:val="1"/>
      <w:numFmt w:val="decimal"/>
      <w:lvlText w:val="%3)"/>
      <w:lvlJc w:val="left"/>
      <w:pPr>
        <w:ind w:left="720" w:hanging="360"/>
      </w:pPr>
    </w:lvl>
    <w:lvl w:ilvl="3" w:tplc="13644E6A">
      <w:start w:val="1"/>
      <w:numFmt w:val="decimal"/>
      <w:lvlText w:val="%4)"/>
      <w:lvlJc w:val="left"/>
      <w:pPr>
        <w:ind w:left="720" w:hanging="360"/>
      </w:pPr>
    </w:lvl>
    <w:lvl w:ilvl="4" w:tplc="94A0322A">
      <w:start w:val="1"/>
      <w:numFmt w:val="decimal"/>
      <w:lvlText w:val="%5)"/>
      <w:lvlJc w:val="left"/>
      <w:pPr>
        <w:ind w:left="720" w:hanging="360"/>
      </w:pPr>
    </w:lvl>
    <w:lvl w:ilvl="5" w:tplc="F07ED714">
      <w:start w:val="1"/>
      <w:numFmt w:val="decimal"/>
      <w:lvlText w:val="%6)"/>
      <w:lvlJc w:val="left"/>
      <w:pPr>
        <w:ind w:left="720" w:hanging="360"/>
      </w:pPr>
    </w:lvl>
    <w:lvl w:ilvl="6" w:tplc="AB2E9F8A">
      <w:start w:val="1"/>
      <w:numFmt w:val="decimal"/>
      <w:lvlText w:val="%7)"/>
      <w:lvlJc w:val="left"/>
      <w:pPr>
        <w:ind w:left="720" w:hanging="360"/>
      </w:pPr>
    </w:lvl>
    <w:lvl w:ilvl="7" w:tplc="FC0296AC">
      <w:start w:val="1"/>
      <w:numFmt w:val="decimal"/>
      <w:lvlText w:val="%8)"/>
      <w:lvlJc w:val="left"/>
      <w:pPr>
        <w:ind w:left="720" w:hanging="360"/>
      </w:pPr>
    </w:lvl>
    <w:lvl w:ilvl="8" w:tplc="ACF81F2E">
      <w:start w:val="1"/>
      <w:numFmt w:val="decimal"/>
      <w:lvlText w:val="%9)"/>
      <w:lvlJc w:val="left"/>
      <w:pPr>
        <w:ind w:left="720" w:hanging="360"/>
      </w:pPr>
    </w:lvl>
  </w:abstractNum>
  <w:abstractNum w:abstractNumId="117" w15:restartNumberingAfterBreak="0">
    <w:nsid w:val="6EFF7A2D"/>
    <w:multiLevelType w:val="hybridMultilevel"/>
    <w:tmpl w:val="D1E60C2C"/>
    <w:lvl w:ilvl="0" w:tplc="E90C03F8">
      <w:numFmt w:val="bullet"/>
      <w:lvlText w:val="-"/>
      <w:lvlJc w:val="left"/>
      <w:pPr>
        <w:ind w:left="1077" w:hanging="360"/>
      </w:pPr>
      <w:rPr>
        <w:rFonts w:ascii="Times New Roman" w:eastAsiaTheme="minorHAnsi" w:hAnsi="Times New Roman" w:cs="Times New Roman"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18" w15:restartNumberingAfterBreak="0">
    <w:nsid w:val="6FBC5ECD"/>
    <w:multiLevelType w:val="hybridMultilevel"/>
    <w:tmpl w:val="30B05382"/>
    <w:lvl w:ilvl="0" w:tplc="132CFD8A">
      <w:start w:val="1"/>
      <w:numFmt w:val="bullet"/>
      <w:lvlText w:val=""/>
      <w:lvlJc w:val="left"/>
      <w:pPr>
        <w:ind w:left="2040" w:hanging="360"/>
      </w:pPr>
      <w:rPr>
        <w:rFonts w:ascii="Symbol" w:hAnsi="Symbol"/>
      </w:rPr>
    </w:lvl>
    <w:lvl w:ilvl="1" w:tplc="4316FC14">
      <w:start w:val="1"/>
      <w:numFmt w:val="bullet"/>
      <w:lvlText w:val=""/>
      <w:lvlJc w:val="left"/>
      <w:pPr>
        <w:ind w:left="2040" w:hanging="360"/>
      </w:pPr>
      <w:rPr>
        <w:rFonts w:ascii="Symbol" w:hAnsi="Symbol"/>
      </w:rPr>
    </w:lvl>
    <w:lvl w:ilvl="2" w:tplc="42C4C49C">
      <w:start w:val="1"/>
      <w:numFmt w:val="bullet"/>
      <w:lvlText w:val=""/>
      <w:lvlJc w:val="left"/>
      <w:pPr>
        <w:ind w:left="2040" w:hanging="360"/>
      </w:pPr>
      <w:rPr>
        <w:rFonts w:ascii="Symbol" w:hAnsi="Symbol"/>
      </w:rPr>
    </w:lvl>
    <w:lvl w:ilvl="3" w:tplc="348E762E">
      <w:start w:val="1"/>
      <w:numFmt w:val="bullet"/>
      <w:lvlText w:val=""/>
      <w:lvlJc w:val="left"/>
      <w:pPr>
        <w:ind w:left="2040" w:hanging="360"/>
      </w:pPr>
      <w:rPr>
        <w:rFonts w:ascii="Symbol" w:hAnsi="Symbol"/>
      </w:rPr>
    </w:lvl>
    <w:lvl w:ilvl="4" w:tplc="5C8E4FFA">
      <w:start w:val="1"/>
      <w:numFmt w:val="bullet"/>
      <w:lvlText w:val=""/>
      <w:lvlJc w:val="left"/>
      <w:pPr>
        <w:ind w:left="2040" w:hanging="360"/>
      </w:pPr>
      <w:rPr>
        <w:rFonts w:ascii="Symbol" w:hAnsi="Symbol"/>
      </w:rPr>
    </w:lvl>
    <w:lvl w:ilvl="5" w:tplc="7EF4FC98">
      <w:start w:val="1"/>
      <w:numFmt w:val="bullet"/>
      <w:lvlText w:val=""/>
      <w:lvlJc w:val="left"/>
      <w:pPr>
        <w:ind w:left="2040" w:hanging="360"/>
      </w:pPr>
      <w:rPr>
        <w:rFonts w:ascii="Symbol" w:hAnsi="Symbol"/>
      </w:rPr>
    </w:lvl>
    <w:lvl w:ilvl="6" w:tplc="DB44649E">
      <w:start w:val="1"/>
      <w:numFmt w:val="bullet"/>
      <w:lvlText w:val=""/>
      <w:lvlJc w:val="left"/>
      <w:pPr>
        <w:ind w:left="2040" w:hanging="360"/>
      </w:pPr>
      <w:rPr>
        <w:rFonts w:ascii="Symbol" w:hAnsi="Symbol"/>
      </w:rPr>
    </w:lvl>
    <w:lvl w:ilvl="7" w:tplc="602CE24C">
      <w:start w:val="1"/>
      <w:numFmt w:val="bullet"/>
      <w:lvlText w:val=""/>
      <w:lvlJc w:val="left"/>
      <w:pPr>
        <w:ind w:left="2040" w:hanging="360"/>
      </w:pPr>
      <w:rPr>
        <w:rFonts w:ascii="Symbol" w:hAnsi="Symbol"/>
      </w:rPr>
    </w:lvl>
    <w:lvl w:ilvl="8" w:tplc="F9421CBE">
      <w:start w:val="1"/>
      <w:numFmt w:val="bullet"/>
      <w:lvlText w:val=""/>
      <w:lvlJc w:val="left"/>
      <w:pPr>
        <w:ind w:left="2040" w:hanging="360"/>
      </w:pPr>
      <w:rPr>
        <w:rFonts w:ascii="Symbol" w:hAnsi="Symbol"/>
      </w:rPr>
    </w:lvl>
  </w:abstractNum>
  <w:abstractNum w:abstractNumId="119" w15:restartNumberingAfterBreak="0">
    <w:nsid w:val="71580845"/>
    <w:multiLevelType w:val="hybridMultilevel"/>
    <w:tmpl w:val="D430B776"/>
    <w:lvl w:ilvl="0" w:tplc="C64E44B0">
      <w:start w:val="1"/>
      <w:numFmt w:val="decimal"/>
      <w:lvlText w:val="%1)"/>
      <w:lvlJc w:val="left"/>
      <w:pPr>
        <w:ind w:left="720" w:hanging="360"/>
      </w:pPr>
    </w:lvl>
    <w:lvl w:ilvl="1" w:tplc="857ECC92">
      <w:start w:val="1"/>
      <w:numFmt w:val="decimal"/>
      <w:lvlText w:val="%2)"/>
      <w:lvlJc w:val="left"/>
      <w:pPr>
        <w:ind w:left="720" w:hanging="360"/>
      </w:pPr>
    </w:lvl>
    <w:lvl w:ilvl="2" w:tplc="BCE64382">
      <w:start w:val="1"/>
      <w:numFmt w:val="decimal"/>
      <w:lvlText w:val="%3)"/>
      <w:lvlJc w:val="left"/>
      <w:pPr>
        <w:ind w:left="720" w:hanging="360"/>
      </w:pPr>
    </w:lvl>
    <w:lvl w:ilvl="3" w:tplc="2CDA09FC">
      <w:start w:val="1"/>
      <w:numFmt w:val="decimal"/>
      <w:lvlText w:val="%4)"/>
      <w:lvlJc w:val="left"/>
      <w:pPr>
        <w:ind w:left="720" w:hanging="360"/>
      </w:pPr>
    </w:lvl>
    <w:lvl w:ilvl="4" w:tplc="57EC6688">
      <w:start w:val="1"/>
      <w:numFmt w:val="decimal"/>
      <w:lvlText w:val="%5)"/>
      <w:lvlJc w:val="left"/>
      <w:pPr>
        <w:ind w:left="720" w:hanging="360"/>
      </w:pPr>
    </w:lvl>
    <w:lvl w:ilvl="5" w:tplc="068EF356">
      <w:start w:val="1"/>
      <w:numFmt w:val="decimal"/>
      <w:lvlText w:val="%6)"/>
      <w:lvlJc w:val="left"/>
      <w:pPr>
        <w:ind w:left="720" w:hanging="360"/>
      </w:pPr>
    </w:lvl>
    <w:lvl w:ilvl="6" w:tplc="F4F4BAA8">
      <w:start w:val="1"/>
      <w:numFmt w:val="decimal"/>
      <w:lvlText w:val="%7)"/>
      <w:lvlJc w:val="left"/>
      <w:pPr>
        <w:ind w:left="720" w:hanging="360"/>
      </w:pPr>
    </w:lvl>
    <w:lvl w:ilvl="7" w:tplc="438A7FC2">
      <w:start w:val="1"/>
      <w:numFmt w:val="decimal"/>
      <w:lvlText w:val="%8)"/>
      <w:lvlJc w:val="left"/>
      <w:pPr>
        <w:ind w:left="720" w:hanging="360"/>
      </w:pPr>
    </w:lvl>
    <w:lvl w:ilvl="8" w:tplc="A3C2CDC0">
      <w:start w:val="1"/>
      <w:numFmt w:val="decimal"/>
      <w:lvlText w:val="%9)"/>
      <w:lvlJc w:val="left"/>
      <w:pPr>
        <w:ind w:left="720" w:hanging="360"/>
      </w:pPr>
    </w:lvl>
  </w:abstractNum>
  <w:abstractNum w:abstractNumId="120" w15:restartNumberingAfterBreak="0">
    <w:nsid w:val="72092499"/>
    <w:multiLevelType w:val="hybridMultilevel"/>
    <w:tmpl w:val="5DE8E0F4"/>
    <w:lvl w:ilvl="0" w:tplc="AB06798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73E14443"/>
    <w:multiLevelType w:val="multilevel"/>
    <w:tmpl w:val="E2E6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F2591D"/>
    <w:multiLevelType w:val="hybridMultilevel"/>
    <w:tmpl w:val="ED06BAAC"/>
    <w:lvl w:ilvl="0" w:tplc="0832B7C8">
      <w:start w:val="1"/>
      <w:numFmt w:val="decimal"/>
      <w:lvlText w:val="%1)"/>
      <w:lvlJc w:val="left"/>
      <w:pPr>
        <w:ind w:left="720" w:hanging="360"/>
      </w:pPr>
    </w:lvl>
    <w:lvl w:ilvl="1" w:tplc="020A8678">
      <w:start w:val="1"/>
      <w:numFmt w:val="decimal"/>
      <w:lvlText w:val="%2)"/>
      <w:lvlJc w:val="left"/>
      <w:pPr>
        <w:ind w:left="720" w:hanging="360"/>
      </w:pPr>
    </w:lvl>
    <w:lvl w:ilvl="2" w:tplc="346A1E08">
      <w:start w:val="1"/>
      <w:numFmt w:val="decimal"/>
      <w:lvlText w:val="%3)"/>
      <w:lvlJc w:val="left"/>
      <w:pPr>
        <w:ind w:left="720" w:hanging="360"/>
      </w:pPr>
    </w:lvl>
    <w:lvl w:ilvl="3" w:tplc="85AC79B4">
      <w:start w:val="1"/>
      <w:numFmt w:val="decimal"/>
      <w:lvlText w:val="%4)"/>
      <w:lvlJc w:val="left"/>
      <w:pPr>
        <w:ind w:left="720" w:hanging="360"/>
      </w:pPr>
    </w:lvl>
    <w:lvl w:ilvl="4" w:tplc="9432D0D2">
      <w:start w:val="1"/>
      <w:numFmt w:val="decimal"/>
      <w:lvlText w:val="%5)"/>
      <w:lvlJc w:val="left"/>
      <w:pPr>
        <w:ind w:left="720" w:hanging="360"/>
      </w:pPr>
    </w:lvl>
    <w:lvl w:ilvl="5" w:tplc="C1EE4A0A">
      <w:start w:val="1"/>
      <w:numFmt w:val="decimal"/>
      <w:lvlText w:val="%6)"/>
      <w:lvlJc w:val="left"/>
      <w:pPr>
        <w:ind w:left="720" w:hanging="360"/>
      </w:pPr>
    </w:lvl>
    <w:lvl w:ilvl="6" w:tplc="B90C9EA8">
      <w:start w:val="1"/>
      <w:numFmt w:val="decimal"/>
      <w:lvlText w:val="%7)"/>
      <w:lvlJc w:val="left"/>
      <w:pPr>
        <w:ind w:left="720" w:hanging="360"/>
      </w:pPr>
    </w:lvl>
    <w:lvl w:ilvl="7" w:tplc="3DECD4E0">
      <w:start w:val="1"/>
      <w:numFmt w:val="decimal"/>
      <w:lvlText w:val="%8)"/>
      <w:lvlJc w:val="left"/>
      <w:pPr>
        <w:ind w:left="720" w:hanging="360"/>
      </w:pPr>
    </w:lvl>
    <w:lvl w:ilvl="8" w:tplc="5508673A">
      <w:start w:val="1"/>
      <w:numFmt w:val="decimal"/>
      <w:lvlText w:val="%9)"/>
      <w:lvlJc w:val="left"/>
      <w:pPr>
        <w:ind w:left="720" w:hanging="360"/>
      </w:pPr>
    </w:lvl>
  </w:abstractNum>
  <w:abstractNum w:abstractNumId="123" w15:restartNumberingAfterBreak="0">
    <w:nsid w:val="745D768E"/>
    <w:multiLevelType w:val="multilevel"/>
    <w:tmpl w:val="E094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4AA63B0"/>
    <w:multiLevelType w:val="hybridMultilevel"/>
    <w:tmpl w:val="64880F9C"/>
    <w:lvl w:ilvl="0" w:tplc="5A26EEB2">
      <w:start w:val="1"/>
      <w:numFmt w:val="decimal"/>
      <w:lvlText w:val="%1."/>
      <w:lvlJc w:val="left"/>
      <w:pPr>
        <w:ind w:left="1440" w:hanging="360"/>
      </w:pPr>
    </w:lvl>
    <w:lvl w:ilvl="1" w:tplc="EBB87132">
      <w:start w:val="1"/>
      <w:numFmt w:val="decimal"/>
      <w:lvlText w:val="%2."/>
      <w:lvlJc w:val="left"/>
      <w:pPr>
        <w:ind w:left="1440" w:hanging="360"/>
      </w:pPr>
    </w:lvl>
    <w:lvl w:ilvl="2" w:tplc="0D7A5B38">
      <w:start w:val="1"/>
      <w:numFmt w:val="decimal"/>
      <w:lvlText w:val="%3."/>
      <w:lvlJc w:val="left"/>
      <w:pPr>
        <w:ind w:left="1440" w:hanging="360"/>
      </w:pPr>
    </w:lvl>
    <w:lvl w:ilvl="3" w:tplc="E0EC6552">
      <w:start w:val="1"/>
      <w:numFmt w:val="decimal"/>
      <w:lvlText w:val="%4."/>
      <w:lvlJc w:val="left"/>
      <w:pPr>
        <w:ind w:left="1440" w:hanging="360"/>
      </w:pPr>
    </w:lvl>
    <w:lvl w:ilvl="4" w:tplc="5890252E">
      <w:start w:val="1"/>
      <w:numFmt w:val="decimal"/>
      <w:lvlText w:val="%5."/>
      <w:lvlJc w:val="left"/>
      <w:pPr>
        <w:ind w:left="1440" w:hanging="360"/>
      </w:pPr>
    </w:lvl>
    <w:lvl w:ilvl="5" w:tplc="A1D03B80">
      <w:start w:val="1"/>
      <w:numFmt w:val="decimal"/>
      <w:lvlText w:val="%6."/>
      <w:lvlJc w:val="left"/>
      <w:pPr>
        <w:ind w:left="1440" w:hanging="360"/>
      </w:pPr>
    </w:lvl>
    <w:lvl w:ilvl="6" w:tplc="F01AD908">
      <w:start w:val="1"/>
      <w:numFmt w:val="decimal"/>
      <w:lvlText w:val="%7."/>
      <w:lvlJc w:val="left"/>
      <w:pPr>
        <w:ind w:left="1440" w:hanging="360"/>
      </w:pPr>
    </w:lvl>
    <w:lvl w:ilvl="7" w:tplc="8AA8BDD2">
      <w:start w:val="1"/>
      <w:numFmt w:val="decimal"/>
      <w:lvlText w:val="%8."/>
      <w:lvlJc w:val="left"/>
      <w:pPr>
        <w:ind w:left="1440" w:hanging="360"/>
      </w:pPr>
    </w:lvl>
    <w:lvl w:ilvl="8" w:tplc="AB9CFA86">
      <w:start w:val="1"/>
      <w:numFmt w:val="decimal"/>
      <w:lvlText w:val="%9."/>
      <w:lvlJc w:val="left"/>
      <w:pPr>
        <w:ind w:left="1440" w:hanging="360"/>
      </w:pPr>
    </w:lvl>
  </w:abstractNum>
  <w:abstractNum w:abstractNumId="125" w15:restartNumberingAfterBreak="0">
    <w:nsid w:val="751A40CD"/>
    <w:multiLevelType w:val="hybridMultilevel"/>
    <w:tmpl w:val="82DA76D2"/>
    <w:lvl w:ilvl="0" w:tplc="E90C03F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6" w15:restartNumberingAfterBreak="0">
    <w:nsid w:val="75936B15"/>
    <w:multiLevelType w:val="hybridMultilevel"/>
    <w:tmpl w:val="BD16A490"/>
    <w:lvl w:ilvl="0" w:tplc="A65EF7C2">
      <w:start w:val="1"/>
      <w:numFmt w:val="decimal"/>
      <w:lvlText w:val="%1."/>
      <w:lvlJc w:val="left"/>
      <w:pPr>
        <w:ind w:left="1440" w:hanging="360"/>
      </w:pPr>
    </w:lvl>
    <w:lvl w:ilvl="1" w:tplc="8754215A">
      <w:start w:val="1"/>
      <w:numFmt w:val="decimal"/>
      <w:lvlText w:val="%2."/>
      <w:lvlJc w:val="left"/>
      <w:pPr>
        <w:ind w:left="1440" w:hanging="360"/>
      </w:pPr>
    </w:lvl>
    <w:lvl w:ilvl="2" w:tplc="BADAB9E6">
      <w:start w:val="1"/>
      <w:numFmt w:val="decimal"/>
      <w:lvlText w:val="%3."/>
      <w:lvlJc w:val="left"/>
      <w:pPr>
        <w:ind w:left="1440" w:hanging="360"/>
      </w:pPr>
    </w:lvl>
    <w:lvl w:ilvl="3" w:tplc="251C0356">
      <w:start w:val="1"/>
      <w:numFmt w:val="decimal"/>
      <w:lvlText w:val="%4."/>
      <w:lvlJc w:val="left"/>
      <w:pPr>
        <w:ind w:left="1440" w:hanging="360"/>
      </w:pPr>
    </w:lvl>
    <w:lvl w:ilvl="4" w:tplc="41A48A58">
      <w:start w:val="1"/>
      <w:numFmt w:val="decimal"/>
      <w:lvlText w:val="%5."/>
      <w:lvlJc w:val="left"/>
      <w:pPr>
        <w:ind w:left="1440" w:hanging="360"/>
      </w:pPr>
    </w:lvl>
    <w:lvl w:ilvl="5" w:tplc="DB1097A0">
      <w:start w:val="1"/>
      <w:numFmt w:val="decimal"/>
      <w:lvlText w:val="%6."/>
      <w:lvlJc w:val="left"/>
      <w:pPr>
        <w:ind w:left="1440" w:hanging="360"/>
      </w:pPr>
    </w:lvl>
    <w:lvl w:ilvl="6" w:tplc="51BCF030">
      <w:start w:val="1"/>
      <w:numFmt w:val="decimal"/>
      <w:lvlText w:val="%7."/>
      <w:lvlJc w:val="left"/>
      <w:pPr>
        <w:ind w:left="1440" w:hanging="360"/>
      </w:pPr>
    </w:lvl>
    <w:lvl w:ilvl="7" w:tplc="F8C42416">
      <w:start w:val="1"/>
      <w:numFmt w:val="decimal"/>
      <w:lvlText w:val="%8."/>
      <w:lvlJc w:val="left"/>
      <w:pPr>
        <w:ind w:left="1440" w:hanging="360"/>
      </w:pPr>
    </w:lvl>
    <w:lvl w:ilvl="8" w:tplc="A3DA669C">
      <w:start w:val="1"/>
      <w:numFmt w:val="decimal"/>
      <w:lvlText w:val="%9."/>
      <w:lvlJc w:val="left"/>
      <w:pPr>
        <w:ind w:left="1440" w:hanging="360"/>
      </w:pPr>
    </w:lvl>
  </w:abstractNum>
  <w:abstractNum w:abstractNumId="127" w15:restartNumberingAfterBreak="0">
    <w:nsid w:val="78396D63"/>
    <w:multiLevelType w:val="hybridMultilevel"/>
    <w:tmpl w:val="D9B6AD6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7A9453FA"/>
    <w:multiLevelType w:val="hybridMultilevel"/>
    <w:tmpl w:val="C014676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7B5823FA"/>
    <w:multiLevelType w:val="hybridMultilevel"/>
    <w:tmpl w:val="CF9C37D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D586025"/>
    <w:multiLevelType w:val="hybridMultilevel"/>
    <w:tmpl w:val="5BAC3B8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1" w15:restartNumberingAfterBreak="0">
    <w:nsid w:val="7F791957"/>
    <w:multiLevelType w:val="hybridMultilevel"/>
    <w:tmpl w:val="DB6C4B48"/>
    <w:lvl w:ilvl="0" w:tplc="78E2D26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0"/>
  </w:num>
  <w:num w:numId="2">
    <w:abstractNumId w:val="89"/>
  </w:num>
  <w:num w:numId="3">
    <w:abstractNumId w:val="129"/>
  </w:num>
  <w:num w:numId="4">
    <w:abstractNumId w:val="25"/>
  </w:num>
  <w:num w:numId="5">
    <w:abstractNumId w:val="76"/>
  </w:num>
  <w:num w:numId="6">
    <w:abstractNumId w:val="35"/>
  </w:num>
  <w:num w:numId="7">
    <w:abstractNumId w:val="40"/>
  </w:num>
  <w:num w:numId="8">
    <w:abstractNumId w:val="46"/>
  </w:num>
  <w:num w:numId="9">
    <w:abstractNumId w:val="8"/>
  </w:num>
  <w:num w:numId="10">
    <w:abstractNumId w:val="115"/>
  </w:num>
  <w:num w:numId="11">
    <w:abstractNumId w:val="102"/>
  </w:num>
  <w:num w:numId="12">
    <w:abstractNumId w:val="82"/>
  </w:num>
  <w:num w:numId="13">
    <w:abstractNumId w:val="44"/>
  </w:num>
  <w:num w:numId="14">
    <w:abstractNumId w:val="70"/>
  </w:num>
  <w:num w:numId="15">
    <w:abstractNumId w:val="103"/>
  </w:num>
  <w:num w:numId="16">
    <w:abstractNumId w:val="74"/>
  </w:num>
  <w:num w:numId="17">
    <w:abstractNumId w:val="17"/>
  </w:num>
  <w:num w:numId="18">
    <w:abstractNumId w:val="78"/>
  </w:num>
  <w:num w:numId="19">
    <w:abstractNumId w:val="64"/>
  </w:num>
  <w:num w:numId="20">
    <w:abstractNumId w:val="96"/>
  </w:num>
  <w:num w:numId="21">
    <w:abstractNumId w:val="22"/>
  </w:num>
  <w:num w:numId="22">
    <w:abstractNumId w:val="111"/>
  </w:num>
  <w:num w:numId="23">
    <w:abstractNumId w:val="49"/>
  </w:num>
  <w:num w:numId="24">
    <w:abstractNumId w:val="131"/>
  </w:num>
  <w:num w:numId="25">
    <w:abstractNumId w:val="51"/>
  </w:num>
  <w:num w:numId="26">
    <w:abstractNumId w:val="56"/>
  </w:num>
  <w:num w:numId="27">
    <w:abstractNumId w:val="92"/>
  </w:num>
  <w:num w:numId="28">
    <w:abstractNumId w:val="12"/>
  </w:num>
  <w:num w:numId="29">
    <w:abstractNumId w:val="7"/>
  </w:num>
  <w:num w:numId="30">
    <w:abstractNumId w:val="39"/>
  </w:num>
  <w:num w:numId="31">
    <w:abstractNumId w:val="31"/>
  </w:num>
  <w:num w:numId="32">
    <w:abstractNumId w:val="105"/>
  </w:num>
  <w:num w:numId="33">
    <w:abstractNumId w:val="45"/>
  </w:num>
  <w:num w:numId="34">
    <w:abstractNumId w:val="90"/>
  </w:num>
  <w:num w:numId="35">
    <w:abstractNumId w:val="98"/>
  </w:num>
  <w:num w:numId="36">
    <w:abstractNumId w:val="33"/>
  </w:num>
  <w:num w:numId="37">
    <w:abstractNumId w:val="123"/>
  </w:num>
  <w:num w:numId="38">
    <w:abstractNumId w:val="42"/>
  </w:num>
  <w:num w:numId="39">
    <w:abstractNumId w:val="61"/>
  </w:num>
  <w:num w:numId="40">
    <w:abstractNumId w:val="28"/>
  </w:num>
  <w:num w:numId="41">
    <w:abstractNumId w:val="68"/>
  </w:num>
  <w:num w:numId="42">
    <w:abstractNumId w:val="32"/>
  </w:num>
  <w:num w:numId="43">
    <w:abstractNumId w:val="127"/>
  </w:num>
  <w:num w:numId="44">
    <w:abstractNumId w:val="63"/>
  </w:num>
  <w:num w:numId="45">
    <w:abstractNumId w:val="26"/>
  </w:num>
  <w:num w:numId="46">
    <w:abstractNumId w:val="62"/>
  </w:num>
  <w:num w:numId="47">
    <w:abstractNumId w:val="34"/>
  </w:num>
  <w:num w:numId="48">
    <w:abstractNumId w:val="55"/>
  </w:num>
  <w:num w:numId="49">
    <w:abstractNumId w:val="69"/>
  </w:num>
  <w:num w:numId="50">
    <w:abstractNumId w:val="121"/>
  </w:num>
  <w:num w:numId="51">
    <w:abstractNumId w:val="6"/>
  </w:num>
  <w:num w:numId="52">
    <w:abstractNumId w:val="97"/>
  </w:num>
  <w:num w:numId="53">
    <w:abstractNumId w:val="128"/>
  </w:num>
  <w:num w:numId="54">
    <w:abstractNumId w:val="37"/>
  </w:num>
  <w:num w:numId="55">
    <w:abstractNumId w:val="84"/>
  </w:num>
  <w:num w:numId="56">
    <w:abstractNumId w:val="20"/>
  </w:num>
  <w:num w:numId="57">
    <w:abstractNumId w:val="130"/>
  </w:num>
  <w:num w:numId="58">
    <w:abstractNumId w:val="21"/>
  </w:num>
  <w:num w:numId="59">
    <w:abstractNumId w:val="85"/>
  </w:num>
  <w:num w:numId="60">
    <w:abstractNumId w:val="71"/>
  </w:num>
  <w:num w:numId="61">
    <w:abstractNumId w:val="120"/>
  </w:num>
  <w:num w:numId="62">
    <w:abstractNumId w:val="91"/>
  </w:num>
  <w:num w:numId="63">
    <w:abstractNumId w:val="67"/>
  </w:num>
  <w:num w:numId="64">
    <w:abstractNumId w:val="19"/>
  </w:num>
  <w:num w:numId="65">
    <w:abstractNumId w:val="15"/>
  </w:num>
  <w:num w:numId="66">
    <w:abstractNumId w:val="47"/>
  </w:num>
  <w:num w:numId="67">
    <w:abstractNumId w:val="1"/>
  </w:num>
  <w:num w:numId="68">
    <w:abstractNumId w:val="16"/>
  </w:num>
  <w:num w:numId="69">
    <w:abstractNumId w:val="117"/>
  </w:num>
  <w:num w:numId="70">
    <w:abstractNumId w:val="77"/>
  </w:num>
  <w:num w:numId="71">
    <w:abstractNumId w:val="94"/>
  </w:num>
  <w:num w:numId="72">
    <w:abstractNumId w:val="87"/>
  </w:num>
  <w:num w:numId="73">
    <w:abstractNumId w:val="4"/>
  </w:num>
  <w:num w:numId="74">
    <w:abstractNumId w:val="106"/>
  </w:num>
  <w:num w:numId="75">
    <w:abstractNumId w:val="101"/>
  </w:num>
  <w:num w:numId="76">
    <w:abstractNumId w:val="53"/>
  </w:num>
  <w:num w:numId="77">
    <w:abstractNumId w:val="5"/>
  </w:num>
  <w:num w:numId="78">
    <w:abstractNumId w:val="65"/>
  </w:num>
  <w:num w:numId="79">
    <w:abstractNumId w:val="52"/>
  </w:num>
  <w:num w:numId="80">
    <w:abstractNumId w:val="27"/>
  </w:num>
  <w:num w:numId="81">
    <w:abstractNumId w:val="88"/>
  </w:num>
  <w:num w:numId="82">
    <w:abstractNumId w:val="59"/>
  </w:num>
  <w:num w:numId="83">
    <w:abstractNumId w:val="107"/>
  </w:num>
  <w:num w:numId="84">
    <w:abstractNumId w:val="54"/>
  </w:num>
  <w:num w:numId="85">
    <w:abstractNumId w:val="118"/>
  </w:num>
  <w:num w:numId="86">
    <w:abstractNumId w:val="11"/>
  </w:num>
  <w:num w:numId="87">
    <w:abstractNumId w:val="126"/>
  </w:num>
  <w:num w:numId="88">
    <w:abstractNumId w:val="9"/>
  </w:num>
  <w:num w:numId="89">
    <w:abstractNumId w:val="36"/>
  </w:num>
  <w:num w:numId="90">
    <w:abstractNumId w:val="60"/>
  </w:num>
  <w:num w:numId="91">
    <w:abstractNumId w:val="3"/>
  </w:num>
  <w:num w:numId="92">
    <w:abstractNumId w:val="24"/>
  </w:num>
  <w:num w:numId="93">
    <w:abstractNumId w:val="13"/>
  </w:num>
  <w:num w:numId="94">
    <w:abstractNumId w:val="75"/>
  </w:num>
  <w:num w:numId="95">
    <w:abstractNumId w:val="93"/>
  </w:num>
  <w:num w:numId="96">
    <w:abstractNumId w:val="113"/>
  </w:num>
  <w:num w:numId="97">
    <w:abstractNumId w:val="114"/>
  </w:num>
  <w:num w:numId="98">
    <w:abstractNumId w:val="72"/>
  </w:num>
  <w:num w:numId="99">
    <w:abstractNumId w:val="66"/>
  </w:num>
  <w:num w:numId="100">
    <w:abstractNumId w:val="83"/>
  </w:num>
  <w:num w:numId="101">
    <w:abstractNumId w:val="48"/>
  </w:num>
  <w:num w:numId="102">
    <w:abstractNumId w:val="38"/>
  </w:num>
  <w:num w:numId="103">
    <w:abstractNumId w:val="10"/>
  </w:num>
  <w:num w:numId="104">
    <w:abstractNumId w:val="58"/>
  </w:num>
  <w:num w:numId="105">
    <w:abstractNumId w:val="18"/>
  </w:num>
  <w:num w:numId="106">
    <w:abstractNumId w:val="124"/>
  </w:num>
  <w:num w:numId="107">
    <w:abstractNumId w:val="112"/>
  </w:num>
  <w:num w:numId="108">
    <w:abstractNumId w:val="2"/>
  </w:num>
  <w:num w:numId="109">
    <w:abstractNumId w:val="110"/>
  </w:num>
  <w:num w:numId="110">
    <w:abstractNumId w:val="119"/>
  </w:num>
  <w:num w:numId="111">
    <w:abstractNumId w:val="109"/>
  </w:num>
  <w:num w:numId="112">
    <w:abstractNumId w:val="116"/>
  </w:num>
  <w:num w:numId="113">
    <w:abstractNumId w:val="14"/>
  </w:num>
  <w:num w:numId="114">
    <w:abstractNumId w:val="108"/>
  </w:num>
  <w:num w:numId="115">
    <w:abstractNumId w:val="79"/>
  </w:num>
  <w:num w:numId="116">
    <w:abstractNumId w:val="81"/>
  </w:num>
  <w:num w:numId="117">
    <w:abstractNumId w:val="30"/>
  </w:num>
  <w:num w:numId="118">
    <w:abstractNumId w:val="122"/>
  </w:num>
  <w:num w:numId="119">
    <w:abstractNumId w:val="41"/>
  </w:num>
  <w:num w:numId="120">
    <w:abstractNumId w:val="104"/>
  </w:num>
  <w:num w:numId="121">
    <w:abstractNumId w:val="95"/>
  </w:num>
  <w:num w:numId="122">
    <w:abstractNumId w:val="57"/>
  </w:num>
  <w:num w:numId="123">
    <w:abstractNumId w:val="86"/>
  </w:num>
  <w:num w:numId="124">
    <w:abstractNumId w:val="23"/>
  </w:num>
  <w:num w:numId="125">
    <w:abstractNumId w:val="73"/>
  </w:num>
  <w:num w:numId="126">
    <w:abstractNumId w:val="125"/>
  </w:num>
  <w:num w:numId="127">
    <w:abstractNumId w:val="50"/>
  </w:num>
  <w:num w:numId="128">
    <w:abstractNumId w:val="43"/>
  </w:num>
  <w:num w:numId="129">
    <w:abstractNumId w:val="29"/>
  </w:num>
  <w:num w:numId="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0"/>
  </w:num>
  <w:num w:numId="132">
    <w:abstractNumId w:val="100"/>
  </w:num>
  <w:num w:numId="133">
    <w:abstractNumId w:val="9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9467430-E304-4E8B-8965-39661078BE6F"/>
    <w:docVar w:name="LW_COVERPAGE_TYPE" w:val="1"/>
    <w:docVar w:name="LW_CROSSREFERENCE" w:val="&lt;UNUSED&gt;"/>
    <w:docVar w:name="LW_DocType" w:val="NORMAL"/>
    <w:docVar w:name="LW_EMISSION" w:val="16.12.2025."/>
    <w:docVar w:name="LW_EMISSION_ISODATE" w:val="2025-12-16"/>
    <w:docVar w:name="LW_EMISSION_LOCATION" w:val="STR"/>
    <w:docVar w:name="LW_EMISSION_PREFIX" w:val="Strasbourg,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5) 10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lan EU-a za kardiovaskularno zdravlje \u8211? Plan za zdravlje srca"/>
    <w:docVar w:name="LW_TYPE.DOC.CP" w:val="KOMUNIKACIJA KOMISIJE EUROPSKOM PARLAMENTU, VIJE\u262?U, EUROPSKOM GOSPODARSKOM I SOCIJALNOM ODBORU I ODBORU REGIJA"/>
    <w:docVar w:name="LW_TYPE.DOC.CP.USERTEXT" w:val="&lt;EMPTY&gt;"/>
    <w:docVar w:name="LwApiVersions" w:val="LW4CoDe 1.24.5.0; LW 9.2, Build 20251112"/>
  </w:docVars>
  <w:rsids>
    <w:rsidRoot w:val="00DE54C7"/>
    <w:rsid w:val="00001328"/>
    <w:rsid w:val="00005BC8"/>
    <w:rsid w:val="00006057"/>
    <w:rsid w:val="00006AA5"/>
    <w:rsid w:val="000078E3"/>
    <w:rsid w:val="00010AF6"/>
    <w:rsid w:val="00010FB9"/>
    <w:rsid w:val="000111CA"/>
    <w:rsid w:val="00012299"/>
    <w:rsid w:val="0001266C"/>
    <w:rsid w:val="00012E53"/>
    <w:rsid w:val="000167AA"/>
    <w:rsid w:val="00017A92"/>
    <w:rsid w:val="00017FEA"/>
    <w:rsid w:val="000219EC"/>
    <w:rsid w:val="00021EB4"/>
    <w:rsid w:val="000223AE"/>
    <w:rsid w:val="00022F6C"/>
    <w:rsid w:val="00023AC3"/>
    <w:rsid w:val="0002483B"/>
    <w:rsid w:val="000257FD"/>
    <w:rsid w:val="00025844"/>
    <w:rsid w:val="00030C05"/>
    <w:rsid w:val="00030E99"/>
    <w:rsid w:val="00034686"/>
    <w:rsid w:val="00040674"/>
    <w:rsid w:val="00042019"/>
    <w:rsid w:val="00042361"/>
    <w:rsid w:val="00042477"/>
    <w:rsid w:val="0004248D"/>
    <w:rsid w:val="000432BA"/>
    <w:rsid w:val="000434EB"/>
    <w:rsid w:val="00043FBC"/>
    <w:rsid w:val="000443B3"/>
    <w:rsid w:val="00044BC4"/>
    <w:rsid w:val="0004568D"/>
    <w:rsid w:val="0004668E"/>
    <w:rsid w:val="000467D9"/>
    <w:rsid w:val="000515AB"/>
    <w:rsid w:val="00051925"/>
    <w:rsid w:val="00051DBB"/>
    <w:rsid w:val="00053DF8"/>
    <w:rsid w:val="00055225"/>
    <w:rsid w:val="00056846"/>
    <w:rsid w:val="000574E0"/>
    <w:rsid w:val="00057941"/>
    <w:rsid w:val="00057F97"/>
    <w:rsid w:val="000613CB"/>
    <w:rsid w:val="00063BE2"/>
    <w:rsid w:val="00064028"/>
    <w:rsid w:val="00064258"/>
    <w:rsid w:val="00064D90"/>
    <w:rsid w:val="00064EF3"/>
    <w:rsid w:val="00065030"/>
    <w:rsid w:val="000651CB"/>
    <w:rsid w:val="000704BF"/>
    <w:rsid w:val="0007170D"/>
    <w:rsid w:val="00073448"/>
    <w:rsid w:val="00074639"/>
    <w:rsid w:val="00074F2A"/>
    <w:rsid w:val="0007696C"/>
    <w:rsid w:val="000815C8"/>
    <w:rsid w:val="000815E0"/>
    <w:rsid w:val="00082234"/>
    <w:rsid w:val="00082CAB"/>
    <w:rsid w:val="00082E88"/>
    <w:rsid w:val="000837EC"/>
    <w:rsid w:val="000844F7"/>
    <w:rsid w:val="0008455E"/>
    <w:rsid w:val="00084B7F"/>
    <w:rsid w:val="00084C23"/>
    <w:rsid w:val="00090D92"/>
    <w:rsid w:val="0009108B"/>
    <w:rsid w:val="000911E1"/>
    <w:rsid w:val="00091E95"/>
    <w:rsid w:val="00092740"/>
    <w:rsid w:val="00092EBA"/>
    <w:rsid w:val="00094EC9"/>
    <w:rsid w:val="000961FD"/>
    <w:rsid w:val="00096A0A"/>
    <w:rsid w:val="00096C93"/>
    <w:rsid w:val="0009743D"/>
    <w:rsid w:val="00097B14"/>
    <w:rsid w:val="000A05C9"/>
    <w:rsid w:val="000A0914"/>
    <w:rsid w:val="000A1080"/>
    <w:rsid w:val="000A24BE"/>
    <w:rsid w:val="000A4C05"/>
    <w:rsid w:val="000A62B4"/>
    <w:rsid w:val="000A663B"/>
    <w:rsid w:val="000B3F3A"/>
    <w:rsid w:val="000B4258"/>
    <w:rsid w:val="000B5497"/>
    <w:rsid w:val="000B619D"/>
    <w:rsid w:val="000B6D8B"/>
    <w:rsid w:val="000B71C4"/>
    <w:rsid w:val="000C0B10"/>
    <w:rsid w:val="000C0F53"/>
    <w:rsid w:val="000C13D1"/>
    <w:rsid w:val="000C3BB5"/>
    <w:rsid w:val="000C3C91"/>
    <w:rsid w:val="000C425F"/>
    <w:rsid w:val="000C57CD"/>
    <w:rsid w:val="000C65CB"/>
    <w:rsid w:val="000C6866"/>
    <w:rsid w:val="000C7E0F"/>
    <w:rsid w:val="000D1CA3"/>
    <w:rsid w:val="000D2026"/>
    <w:rsid w:val="000D2282"/>
    <w:rsid w:val="000D33A2"/>
    <w:rsid w:val="000D343D"/>
    <w:rsid w:val="000D361A"/>
    <w:rsid w:val="000D38A2"/>
    <w:rsid w:val="000D3E80"/>
    <w:rsid w:val="000D3F4D"/>
    <w:rsid w:val="000D6049"/>
    <w:rsid w:val="000D6678"/>
    <w:rsid w:val="000D6892"/>
    <w:rsid w:val="000D779B"/>
    <w:rsid w:val="000E1582"/>
    <w:rsid w:val="000E20F2"/>
    <w:rsid w:val="000E28E9"/>
    <w:rsid w:val="000E2D1E"/>
    <w:rsid w:val="000E3EA3"/>
    <w:rsid w:val="000E3FDC"/>
    <w:rsid w:val="000E45CC"/>
    <w:rsid w:val="000E6FCE"/>
    <w:rsid w:val="000E6FF4"/>
    <w:rsid w:val="000E7419"/>
    <w:rsid w:val="000E79F7"/>
    <w:rsid w:val="000F0DE0"/>
    <w:rsid w:val="000F2C41"/>
    <w:rsid w:val="000F2E48"/>
    <w:rsid w:val="000F3549"/>
    <w:rsid w:val="000F45FA"/>
    <w:rsid w:val="000F467C"/>
    <w:rsid w:val="000F4831"/>
    <w:rsid w:val="000F5466"/>
    <w:rsid w:val="000F56FF"/>
    <w:rsid w:val="000F59D2"/>
    <w:rsid w:val="000F69BC"/>
    <w:rsid w:val="000F6E59"/>
    <w:rsid w:val="000F7560"/>
    <w:rsid w:val="000F7735"/>
    <w:rsid w:val="001002FD"/>
    <w:rsid w:val="001007E2"/>
    <w:rsid w:val="00101184"/>
    <w:rsid w:val="00102773"/>
    <w:rsid w:val="00103DF1"/>
    <w:rsid w:val="00104911"/>
    <w:rsid w:val="0010500A"/>
    <w:rsid w:val="001062D7"/>
    <w:rsid w:val="001071ED"/>
    <w:rsid w:val="0010760A"/>
    <w:rsid w:val="00107634"/>
    <w:rsid w:val="001133E8"/>
    <w:rsid w:val="001148C4"/>
    <w:rsid w:val="00116108"/>
    <w:rsid w:val="0011740E"/>
    <w:rsid w:val="001175C4"/>
    <w:rsid w:val="0011797D"/>
    <w:rsid w:val="00117C7A"/>
    <w:rsid w:val="001202CB"/>
    <w:rsid w:val="00120AD3"/>
    <w:rsid w:val="00120B57"/>
    <w:rsid w:val="001212AB"/>
    <w:rsid w:val="00122D13"/>
    <w:rsid w:val="00123448"/>
    <w:rsid w:val="001235E3"/>
    <w:rsid w:val="00124E20"/>
    <w:rsid w:val="001254CB"/>
    <w:rsid w:val="00125D7F"/>
    <w:rsid w:val="00126106"/>
    <w:rsid w:val="00126A44"/>
    <w:rsid w:val="00126D12"/>
    <w:rsid w:val="00130ABE"/>
    <w:rsid w:val="00132AE2"/>
    <w:rsid w:val="001336C1"/>
    <w:rsid w:val="0013409F"/>
    <w:rsid w:val="00134491"/>
    <w:rsid w:val="00134986"/>
    <w:rsid w:val="00136E87"/>
    <w:rsid w:val="001408B6"/>
    <w:rsid w:val="00141F26"/>
    <w:rsid w:val="0014224E"/>
    <w:rsid w:val="00142392"/>
    <w:rsid w:val="0014312B"/>
    <w:rsid w:val="00143164"/>
    <w:rsid w:val="00144A67"/>
    <w:rsid w:val="001461B3"/>
    <w:rsid w:val="00146436"/>
    <w:rsid w:val="001469B3"/>
    <w:rsid w:val="00146C6F"/>
    <w:rsid w:val="00146D9B"/>
    <w:rsid w:val="001517CF"/>
    <w:rsid w:val="00151E7F"/>
    <w:rsid w:val="00152ED1"/>
    <w:rsid w:val="001536F8"/>
    <w:rsid w:val="001550DE"/>
    <w:rsid w:val="00155A2D"/>
    <w:rsid w:val="00157004"/>
    <w:rsid w:val="0016103E"/>
    <w:rsid w:val="00165A85"/>
    <w:rsid w:val="0016665F"/>
    <w:rsid w:val="001671B2"/>
    <w:rsid w:val="00170097"/>
    <w:rsid w:val="00170701"/>
    <w:rsid w:val="00170F5A"/>
    <w:rsid w:val="00171C09"/>
    <w:rsid w:val="001734DB"/>
    <w:rsid w:val="001735D5"/>
    <w:rsid w:val="00175ABE"/>
    <w:rsid w:val="00175BC2"/>
    <w:rsid w:val="001805A0"/>
    <w:rsid w:val="001807E2"/>
    <w:rsid w:val="00180B97"/>
    <w:rsid w:val="00181C27"/>
    <w:rsid w:val="001822A3"/>
    <w:rsid w:val="00183759"/>
    <w:rsid w:val="00183E1B"/>
    <w:rsid w:val="001845F4"/>
    <w:rsid w:val="0018514E"/>
    <w:rsid w:val="00185349"/>
    <w:rsid w:val="0018651B"/>
    <w:rsid w:val="00186D23"/>
    <w:rsid w:val="0019017C"/>
    <w:rsid w:val="0019087D"/>
    <w:rsid w:val="00191BAC"/>
    <w:rsid w:val="00192961"/>
    <w:rsid w:val="00192DD6"/>
    <w:rsid w:val="00195A19"/>
    <w:rsid w:val="00195B6E"/>
    <w:rsid w:val="001975A9"/>
    <w:rsid w:val="00197866"/>
    <w:rsid w:val="001979DB"/>
    <w:rsid w:val="001A01A9"/>
    <w:rsid w:val="001A0F83"/>
    <w:rsid w:val="001A0F9F"/>
    <w:rsid w:val="001A13FE"/>
    <w:rsid w:val="001A273C"/>
    <w:rsid w:val="001A32C2"/>
    <w:rsid w:val="001A3622"/>
    <w:rsid w:val="001A6089"/>
    <w:rsid w:val="001A666A"/>
    <w:rsid w:val="001B2159"/>
    <w:rsid w:val="001B341D"/>
    <w:rsid w:val="001B3BE1"/>
    <w:rsid w:val="001B545D"/>
    <w:rsid w:val="001B5D1E"/>
    <w:rsid w:val="001B7835"/>
    <w:rsid w:val="001B7CC6"/>
    <w:rsid w:val="001C164C"/>
    <w:rsid w:val="001C4486"/>
    <w:rsid w:val="001C5BC3"/>
    <w:rsid w:val="001C7868"/>
    <w:rsid w:val="001D13E6"/>
    <w:rsid w:val="001D1E29"/>
    <w:rsid w:val="001D3041"/>
    <w:rsid w:val="001D31E6"/>
    <w:rsid w:val="001D45A7"/>
    <w:rsid w:val="001D48D9"/>
    <w:rsid w:val="001D5C97"/>
    <w:rsid w:val="001D6C5B"/>
    <w:rsid w:val="001D78CD"/>
    <w:rsid w:val="001D7D96"/>
    <w:rsid w:val="001E0D92"/>
    <w:rsid w:val="001E2EB8"/>
    <w:rsid w:val="001E3043"/>
    <w:rsid w:val="001E6950"/>
    <w:rsid w:val="001E705C"/>
    <w:rsid w:val="001E7BA4"/>
    <w:rsid w:val="001F1684"/>
    <w:rsid w:val="001F1FFB"/>
    <w:rsid w:val="001F282B"/>
    <w:rsid w:val="001F2F67"/>
    <w:rsid w:val="001F3CEF"/>
    <w:rsid w:val="001F443D"/>
    <w:rsid w:val="001F4F7B"/>
    <w:rsid w:val="001F5BE6"/>
    <w:rsid w:val="001F7B9B"/>
    <w:rsid w:val="00200F89"/>
    <w:rsid w:val="002010B9"/>
    <w:rsid w:val="002016BD"/>
    <w:rsid w:val="00204192"/>
    <w:rsid w:val="00204E2D"/>
    <w:rsid w:val="002059F2"/>
    <w:rsid w:val="00205A22"/>
    <w:rsid w:val="00210CA9"/>
    <w:rsid w:val="00210CD5"/>
    <w:rsid w:val="00210FA3"/>
    <w:rsid w:val="002110D9"/>
    <w:rsid w:val="002115F1"/>
    <w:rsid w:val="00212BC0"/>
    <w:rsid w:val="00213647"/>
    <w:rsid w:val="002150B6"/>
    <w:rsid w:val="0021688B"/>
    <w:rsid w:val="002174AD"/>
    <w:rsid w:val="00221E7D"/>
    <w:rsid w:val="0022233E"/>
    <w:rsid w:val="00222A91"/>
    <w:rsid w:val="00222C2C"/>
    <w:rsid w:val="00223539"/>
    <w:rsid w:val="00223CE5"/>
    <w:rsid w:val="002262C5"/>
    <w:rsid w:val="002267DC"/>
    <w:rsid w:val="002267EC"/>
    <w:rsid w:val="00227144"/>
    <w:rsid w:val="00227861"/>
    <w:rsid w:val="002303B0"/>
    <w:rsid w:val="0023119B"/>
    <w:rsid w:val="00231955"/>
    <w:rsid w:val="00233ED1"/>
    <w:rsid w:val="00233FB1"/>
    <w:rsid w:val="00234BDA"/>
    <w:rsid w:val="00236126"/>
    <w:rsid w:val="002362CF"/>
    <w:rsid w:val="002431B4"/>
    <w:rsid w:val="00243E1D"/>
    <w:rsid w:val="002459ED"/>
    <w:rsid w:val="00250D29"/>
    <w:rsid w:val="00252BF7"/>
    <w:rsid w:val="002556D4"/>
    <w:rsid w:val="002559E2"/>
    <w:rsid w:val="00255DCC"/>
    <w:rsid w:val="002576EE"/>
    <w:rsid w:val="0026026F"/>
    <w:rsid w:val="00260A39"/>
    <w:rsid w:val="00261EA2"/>
    <w:rsid w:val="00263CFA"/>
    <w:rsid w:val="00265049"/>
    <w:rsid w:val="00265847"/>
    <w:rsid w:val="00265939"/>
    <w:rsid w:val="00265CB5"/>
    <w:rsid w:val="00266105"/>
    <w:rsid w:val="002713EF"/>
    <w:rsid w:val="0027186A"/>
    <w:rsid w:val="002729AE"/>
    <w:rsid w:val="002769F8"/>
    <w:rsid w:val="00276DF4"/>
    <w:rsid w:val="00281B3F"/>
    <w:rsid w:val="00281F60"/>
    <w:rsid w:val="002826AD"/>
    <w:rsid w:val="00282A58"/>
    <w:rsid w:val="00283F0F"/>
    <w:rsid w:val="0028405A"/>
    <w:rsid w:val="00284630"/>
    <w:rsid w:val="0028518D"/>
    <w:rsid w:val="00285F68"/>
    <w:rsid w:val="0028702A"/>
    <w:rsid w:val="0028780C"/>
    <w:rsid w:val="00287BC5"/>
    <w:rsid w:val="002907EE"/>
    <w:rsid w:val="00291B7C"/>
    <w:rsid w:val="00291CE7"/>
    <w:rsid w:val="002921F4"/>
    <w:rsid w:val="00293293"/>
    <w:rsid w:val="002934E6"/>
    <w:rsid w:val="00294333"/>
    <w:rsid w:val="002945AE"/>
    <w:rsid w:val="002948EB"/>
    <w:rsid w:val="002952E2"/>
    <w:rsid w:val="0029607B"/>
    <w:rsid w:val="00296E83"/>
    <w:rsid w:val="002973D9"/>
    <w:rsid w:val="00297FCC"/>
    <w:rsid w:val="002A1007"/>
    <w:rsid w:val="002A38D3"/>
    <w:rsid w:val="002A5607"/>
    <w:rsid w:val="002A6E3E"/>
    <w:rsid w:val="002A7119"/>
    <w:rsid w:val="002A719E"/>
    <w:rsid w:val="002A78DF"/>
    <w:rsid w:val="002B209B"/>
    <w:rsid w:val="002B270E"/>
    <w:rsid w:val="002B32A1"/>
    <w:rsid w:val="002B44B4"/>
    <w:rsid w:val="002B4691"/>
    <w:rsid w:val="002B57F2"/>
    <w:rsid w:val="002B6C32"/>
    <w:rsid w:val="002B7198"/>
    <w:rsid w:val="002C0C43"/>
    <w:rsid w:val="002C1768"/>
    <w:rsid w:val="002C2558"/>
    <w:rsid w:val="002C2A5F"/>
    <w:rsid w:val="002C2F4D"/>
    <w:rsid w:val="002C48DD"/>
    <w:rsid w:val="002C491A"/>
    <w:rsid w:val="002C499B"/>
    <w:rsid w:val="002C4F6F"/>
    <w:rsid w:val="002C58D3"/>
    <w:rsid w:val="002C594F"/>
    <w:rsid w:val="002C67EA"/>
    <w:rsid w:val="002C7D16"/>
    <w:rsid w:val="002D1593"/>
    <w:rsid w:val="002D1691"/>
    <w:rsid w:val="002D1F1B"/>
    <w:rsid w:val="002D2137"/>
    <w:rsid w:val="002D3E24"/>
    <w:rsid w:val="002D5061"/>
    <w:rsid w:val="002D50D3"/>
    <w:rsid w:val="002D53DA"/>
    <w:rsid w:val="002D5619"/>
    <w:rsid w:val="002D6A1A"/>
    <w:rsid w:val="002D6A38"/>
    <w:rsid w:val="002D7992"/>
    <w:rsid w:val="002E00E5"/>
    <w:rsid w:val="002E02E3"/>
    <w:rsid w:val="002E1AEB"/>
    <w:rsid w:val="002E1EBB"/>
    <w:rsid w:val="002E2C3F"/>
    <w:rsid w:val="002E2F8C"/>
    <w:rsid w:val="002E4923"/>
    <w:rsid w:val="002E4ACE"/>
    <w:rsid w:val="002E4D5E"/>
    <w:rsid w:val="002E5142"/>
    <w:rsid w:val="002E7051"/>
    <w:rsid w:val="002E7B87"/>
    <w:rsid w:val="002E7C67"/>
    <w:rsid w:val="002E7E5C"/>
    <w:rsid w:val="002F034D"/>
    <w:rsid w:val="002F0811"/>
    <w:rsid w:val="002F1D93"/>
    <w:rsid w:val="002F2153"/>
    <w:rsid w:val="002F2416"/>
    <w:rsid w:val="002F2B44"/>
    <w:rsid w:val="002F3286"/>
    <w:rsid w:val="002F3B3A"/>
    <w:rsid w:val="002F56F6"/>
    <w:rsid w:val="002F705D"/>
    <w:rsid w:val="0030074C"/>
    <w:rsid w:val="0030328F"/>
    <w:rsid w:val="00303602"/>
    <w:rsid w:val="00303FA4"/>
    <w:rsid w:val="003047B2"/>
    <w:rsid w:val="00304ED5"/>
    <w:rsid w:val="0030662F"/>
    <w:rsid w:val="00307365"/>
    <w:rsid w:val="003073B5"/>
    <w:rsid w:val="00311383"/>
    <w:rsid w:val="0031148E"/>
    <w:rsid w:val="00311B1E"/>
    <w:rsid w:val="00311EF3"/>
    <w:rsid w:val="00312BEE"/>
    <w:rsid w:val="00314E95"/>
    <w:rsid w:val="0031538F"/>
    <w:rsid w:val="003157AB"/>
    <w:rsid w:val="00315988"/>
    <w:rsid w:val="00315B35"/>
    <w:rsid w:val="00316A6D"/>
    <w:rsid w:val="0031788B"/>
    <w:rsid w:val="00321E8C"/>
    <w:rsid w:val="00322689"/>
    <w:rsid w:val="00322D96"/>
    <w:rsid w:val="00323749"/>
    <w:rsid w:val="00323D3C"/>
    <w:rsid w:val="0032401F"/>
    <w:rsid w:val="003250D8"/>
    <w:rsid w:val="0032525B"/>
    <w:rsid w:val="00325EE0"/>
    <w:rsid w:val="00325FA9"/>
    <w:rsid w:val="003278EE"/>
    <w:rsid w:val="00331D0D"/>
    <w:rsid w:val="00331D85"/>
    <w:rsid w:val="0033265A"/>
    <w:rsid w:val="00333058"/>
    <w:rsid w:val="0033434A"/>
    <w:rsid w:val="00334D2B"/>
    <w:rsid w:val="003354D9"/>
    <w:rsid w:val="003366CE"/>
    <w:rsid w:val="00337309"/>
    <w:rsid w:val="00337E9C"/>
    <w:rsid w:val="00340B85"/>
    <w:rsid w:val="00341CCB"/>
    <w:rsid w:val="00342DD9"/>
    <w:rsid w:val="0034361C"/>
    <w:rsid w:val="00343AA2"/>
    <w:rsid w:val="00344106"/>
    <w:rsid w:val="00344544"/>
    <w:rsid w:val="003455A9"/>
    <w:rsid w:val="00345865"/>
    <w:rsid w:val="00345F10"/>
    <w:rsid w:val="003468E1"/>
    <w:rsid w:val="003473D5"/>
    <w:rsid w:val="003501F8"/>
    <w:rsid w:val="003512E6"/>
    <w:rsid w:val="00351878"/>
    <w:rsid w:val="003535A3"/>
    <w:rsid w:val="00354697"/>
    <w:rsid w:val="003559BD"/>
    <w:rsid w:val="00355D0E"/>
    <w:rsid w:val="003575D3"/>
    <w:rsid w:val="00357A32"/>
    <w:rsid w:val="00357F57"/>
    <w:rsid w:val="00360C3B"/>
    <w:rsid w:val="00360D2F"/>
    <w:rsid w:val="0036121B"/>
    <w:rsid w:val="00361F7C"/>
    <w:rsid w:val="0036214E"/>
    <w:rsid w:val="00362408"/>
    <w:rsid w:val="003634DC"/>
    <w:rsid w:val="00363509"/>
    <w:rsid w:val="003635C6"/>
    <w:rsid w:val="00365689"/>
    <w:rsid w:val="003669F2"/>
    <w:rsid w:val="00366A7E"/>
    <w:rsid w:val="00366A8B"/>
    <w:rsid w:val="00366CDD"/>
    <w:rsid w:val="0037019B"/>
    <w:rsid w:val="003707C5"/>
    <w:rsid w:val="00370C7B"/>
    <w:rsid w:val="0037270A"/>
    <w:rsid w:val="00372DF4"/>
    <w:rsid w:val="0037302D"/>
    <w:rsid w:val="00374A91"/>
    <w:rsid w:val="003751F6"/>
    <w:rsid w:val="003759FF"/>
    <w:rsid w:val="00376493"/>
    <w:rsid w:val="00376FEB"/>
    <w:rsid w:val="00377232"/>
    <w:rsid w:val="00381110"/>
    <w:rsid w:val="00381558"/>
    <w:rsid w:val="00381ECF"/>
    <w:rsid w:val="00382203"/>
    <w:rsid w:val="0038391C"/>
    <w:rsid w:val="00384241"/>
    <w:rsid w:val="00384917"/>
    <w:rsid w:val="00385097"/>
    <w:rsid w:val="00385E36"/>
    <w:rsid w:val="0038640F"/>
    <w:rsid w:val="00387019"/>
    <w:rsid w:val="00387062"/>
    <w:rsid w:val="00387AC8"/>
    <w:rsid w:val="00391392"/>
    <w:rsid w:val="003916D9"/>
    <w:rsid w:val="003939C2"/>
    <w:rsid w:val="00395B4E"/>
    <w:rsid w:val="003A0AA0"/>
    <w:rsid w:val="003A236B"/>
    <w:rsid w:val="003A3BA7"/>
    <w:rsid w:val="003A3DF1"/>
    <w:rsid w:val="003A5601"/>
    <w:rsid w:val="003A58C8"/>
    <w:rsid w:val="003A76AB"/>
    <w:rsid w:val="003A78A8"/>
    <w:rsid w:val="003B125A"/>
    <w:rsid w:val="003B1C70"/>
    <w:rsid w:val="003B1F45"/>
    <w:rsid w:val="003B24B1"/>
    <w:rsid w:val="003B45E7"/>
    <w:rsid w:val="003B4619"/>
    <w:rsid w:val="003B4FFD"/>
    <w:rsid w:val="003B5680"/>
    <w:rsid w:val="003B6A6B"/>
    <w:rsid w:val="003B712F"/>
    <w:rsid w:val="003C1F6C"/>
    <w:rsid w:val="003C2385"/>
    <w:rsid w:val="003C4F80"/>
    <w:rsid w:val="003C642F"/>
    <w:rsid w:val="003C726A"/>
    <w:rsid w:val="003C73E5"/>
    <w:rsid w:val="003D1759"/>
    <w:rsid w:val="003D20E0"/>
    <w:rsid w:val="003D4FB8"/>
    <w:rsid w:val="003D56AB"/>
    <w:rsid w:val="003D5E74"/>
    <w:rsid w:val="003D6934"/>
    <w:rsid w:val="003D73C3"/>
    <w:rsid w:val="003D7741"/>
    <w:rsid w:val="003D7B2E"/>
    <w:rsid w:val="003E0999"/>
    <w:rsid w:val="003E0C89"/>
    <w:rsid w:val="003E11C6"/>
    <w:rsid w:val="003E1314"/>
    <w:rsid w:val="003E3AB8"/>
    <w:rsid w:val="003E48BF"/>
    <w:rsid w:val="003E64F0"/>
    <w:rsid w:val="003E6AA9"/>
    <w:rsid w:val="003E7487"/>
    <w:rsid w:val="003F054A"/>
    <w:rsid w:val="003F080B"/>
    <w:rsid w:val="003F0DA0"/>
    <w:rsid w:val="003F1C71"/>
    <w:rsid w:val="003F3EF1"/>
    <w:rsid w:val="003F49CF"/>
    <w:rsid w:val="003F51D2"/>
    <w:rsid w:val="003F6000"/>
    <w:rsid w:val="003F6216"/>
    <w:rsid w:val="003F6380"/>
    <w:rsid w:val="003F63C5"/>
    <w:rsid w:val="004000E3"/>
    <w:rsid w:val="00404401"/>
    <w:rsid w:val="0040651B"/>
    <w:rsid w:val="0041013F"/>
    <w:rsid w:val="00411857"/>
    <w:rsid w:val="00411D6C"/>
    <w:rsid w:val="00412251"/>
    <w:rsid w:val="00414F52"/>
    <w:rsid w:val="00415130"/>
    <w:rsid w:val="004154D9"/>
    <w:rsid w:val="0041724E"/>
    <w:rsid w:val="00420645"/>
    <w:rsid w:val="00420BAE"/>
    <w:rsid w:val="004219AC"/>
    <w:rsid w:val="00421B4C"/>
    <w:rsid w:val="004227E8"/>
    <w:rsid w:val="004233C3"/>
    <w:rsid w:val="004240F3"/>
    <w:rsid w:val="004254A9"/>
    <w:rsid w:val="004263AC"/>
    <w:rsid w:val="00426B3F"/>
    <w:rsid w:val="00426C14"/>
    <w:rsid w:val="00427786"/>
    <w:rsid w:val="004302AF"/>
    <w:rsid w:val="00432427"/>
    <w:rsid w:val="0043286F"/>
    <w:rsid w:val="0043291A"/>
    <w:rsid w:val="00433CF5"/>
    <w:rsid w:val="00435713"/>
    <w:rsid w:val="00435BFD"/>
    <w:rsid w:val="00436325"/>
    <w:rsid w:val="00436EE8"/>
    <w:rsid w:val="0043736B"/>
    <w:rsid w:val="00437E3F"/>
    <w:rsid w:val="004402B0"/>
    <w:rsid w:val="00441B58"/>
    <w:rsid w:val="00442247"/>
    <w:rsid w:val="00442958"/>
    <w:rsid w:val="00442F6C"/>
    <w:rsid w:val="004436D8"/>
    <w:rsid w:val="004442C6"/>
    <w:rsid w:val="00446C7C"/>
    <w:rsid w:val="0045275E"/>
    <w:rsid w:val="00453274"/>
    <w:rsid w:val="00453A86"/>
    <w:rsid w:val="00454065"/>
    <w:rsid w:val="00454213"/>
    <w:rsid w:val="00454BFD"/>
    <w:rsid w:val="004552AF"/>
    <w:rsid w:val="00455F36"/>
    <w:rsid w:val="00456C95"/>
    <w:rsid w:val="004577B8"/>
    <w:rsid w:val="0046062A"/>
    <w:rsid w:val="004620F7"/>
    <w:rsid w:val="004632EA"/>
    <w:rsid w:val="0046405A"/>
    <w:rsid w:val="004667A9"/>
    <w:rsid w:val="00466815"/>
    <w:rsid w:val="004737F0"/>
    <w:rsid w:val="00473DFE"/>
    <w:rsid w:val="00474830"/>
    <w:rsid w:val="00474D10"/>
    <w:rsid w:val="00474DB3"/>
    <w:rsid w:val="00476331"/>
    <w:rsid w:val="00476B7C"/>
    <w:rsid w:val="00476DB7"/>
    <w:rsid w:val="00477299"/>
    <w:rsid w:val="00481404"/>
    <w:rsid w:val="00481D8A"/>
    <w:rsid w:val="00481D95"/>
    <w:rsid w:val="00482063"/>
    <w:rsid w:val="00482B99"/>
    <w:rsid w:val="00482BD9"/>
    <w:rsid w:val="00482E0A"/>
    <w:rsid w:val="00484E7C"/>
    <w:rsid w:val="00485334"/>
    <w:rsid w:val="00486F34"/>
    <w:rsid w:val="004871AF"/>
    <w:rsid w:val="00490485"/>
    <w:rsid w:val="00490601"/>
    <w:rsid w:val="00490CE6"/>
    <w:rsid w:val="00493CCB"/>
    <w:rsid w:val="00494589"/>
    <w:rsid w:val="004945ED"/>
    <w:rsid w:val="004953BA"/>
    <w:rsid w:val="004958B1"/>
    <w:rsid w:val="0049670D"/>
    <w:rsid w:val="004969A1"/>
    <w:rsid w:val="004A2C4A"/>
    <w:rsid w:val="004A5209"/>
    <w:rsid w:val="004A5219"/>
    <w:rsid w:val="004A578A"/>
    <w:rsid w:val="004A5973"/>
    <w:rsid w:val="004A5F02"/>
    <w:rsid w:val="004A6304"/>
    <w:rsid w:val="004B0D78"/>
    <w:rsid w:val="004B1B5B"/>
    <w:rsid w:val="004B2927"/>
    <w:rsid w:val="004B2E1B"/>
    <w:rsid w:val="004B4B6C"/>
    <w:rsid w:val="004B519A"/>
    <w:rsid w:val="004B523E"/>
    <w:rsid w:val="004B5D02"/>
    <w:rsid w:val="004B5D49"/>
    <w:rsid w:val="004B6E54"/>
    <w:rsid w:val="004C0791"/>
    <w:rsid w:val="004C0A31"/>
    <w:rsid w:val="004C1108"/>
    <w:rsid w:val="004C193A"/>
    <w:rsid w:val="004C2232"/>
    <w:rsid w:val="004C3608"/>
    <w:rsid w:val="004C37AC"/>
    <w:rsid w:val="004C4CCD"/>
    <w:rsid w:val="004C7D2C"/>
    <w:rsid w:val="004D00B6"/>
    <w:rsid w:val="004D1882"/>
    <w:rsid w:val="004D2139"/>
    <w:rsid w:val="004D24CD"/>
    <w:rsid w:val="004D317B"/>
    <w:rsid w:val="004D4955"/>
    <w:rsid w:val="004D4B53"/>
    <w:rsid w:val="004D514A"/>
    <w:rsid w:val="004D609B"/>
    <w:rsid w:val="004D7B92"/>
    <w:rsid w:val="004E0564"/>
    <w:rsid w:val="004E271F"/>
    <w:rsid w:val="004E28A6"/>
    <w:rsid w:val="004E2C6F"/>
    <w:rsid w:val="004E3E76"/>
    <w:rsid w:val="004E5338"/>
    <w:rsid w:val="004E5E9C"/>
    <w:rsid w:val="004E782E"/>
    <w:rsid w:val="004F16CB"/>
    <w:rsid w:val="004F170D"/>
    <w:rsid w:val="004F37FA"/>
    <w:rsid w:val="004F401A"/>
    <w:rsid w:val="004F6ABC"/>
    <w:rsid w:val="004F6EFC"/>
    <w:rsid w:val="004F75C7"/>
    <w:rsid w:val="004F7882"/>
    <w:rsid w:val="004F79E8"/>
    <w:rsid w:val="004F7DB8"/>
    <w:rsid w:val="0050015F"/>
    <w:rsid w:val="005005A6"/>
    <w:rsid w:val="005005BD"/>
    <w:rsid w:val="00500A8C"/>
    <w:rsid w:val="005027F2"/>
    <w:rsid w:val="00503B34"/>
    <w:rsid w:val="00504544"/>
    <w:rsid w:val="0050497D"/>
    <w:rsid w:val="00505522"/>
    <w:rsid w:val="00505FB4"/>
    <w:rsid w:val="00505FD1"/>
    <w:rsid w:val="005109D2"/>
    <w:rsid w:val="00510DCE"/>
    <w:rsid w:val="00511CA9"/>
    <w:rsid w:val="00512AE7"/>
    <w:rsid w:val="005136B5"/>
    <w:rsid w:val="00513944"/>
    <w:rsid w:val="005148CB"/>
    <w:rsid w:val="005154AC"/>
    <w:rsid w:val="0051559F"/>
    <w:rsid w:val="0051782B"/>
    <w:rsid w:val="0051789F"/>
    <w:rsid w:val="00520236"/>
    <w:rsid w:val="00520CD8"/>
    <w:rsid w:val="00520EF0"/>
    <w:rsid w:val="00520F1A"/>
    <w:rsid w:val="005210B5"/>
    <w:rsid w:val="005210D4"/>
    <w:rsid w:val="00521429"/>
    <w:rsid w:val="00521DCB"/>
    <w:rsid w:val="00521E50"/>
    <w:rsid w:val="00524F92"/>
    <w:rsid w:val="00525585"/>
    <w:rsid w:val="00530B34"/>
    <w:rsid w:val="005323D2"/>
    <w:rsid w:val="005336B1"/>
    <w:rsid w:val="00533A90"/>
    <w:rsid w:val="00534E5B"/>
    <w:rsid w:val="00534FC5"/>
    <w:rsid w:val="0053518E"/>
    <w:rsid w:val="0053526A"/>
    <w:rsid w:val="0053694E"/>
    <w:rsid w:val="00537F21"/>
    <w:rsid w:val="0054051C"/>
    <w:rsid w:val="00541722"/>
    <w:rsid w:val="00542E2D"/>
    <w:rsid w:val="00544211"/>
    <w:rsid w:val="00544D58"/>
    <w:rsid w:val="005457F7"/>
    <w:rsid w:val="00545A57"/>
    <w:rsid w:val="00545C4E"/>
    <w:rsid w:val="0055249C"/>
    <w:rsid w:val="00557428"/>
    <w:rsid w:val="00557668"/>
    <w:rsid w:val="00560093"/>
    <w:rsid w:val="0056093D"/>
    <w:rsid w:val="00561AF1"/>
    <w:rsid w:val="00561C9B"/>
    <w:rsid w:val="00561DF7"/>
    <w:rsid w:val="0056307B"/>
    <w:rsid w:val="00563457"/>
    <w:rsid w:val="00564060"/>
    <w:rsid w:val="00564792"/>
    <w:rsid w:val="00564F65"/>
    <w:rsid w:val="00564FDF"/>
    <w:rsid w:val="00567588"/>
    <w:rsid w:val="00567625"/>
    <w:rsid w:val="0057286D"/>
    <w:rsid w:val="00572D55"/>
    <w:rsid w:val="0057562F"/>
    <w:rsid w:val="00576332"/>
    <w:rsid w:val="00576FE4"/>
    <w:rsid w:val="005773E4"/>
    <w:rsid w:val="005804EF"/>
    <w:rsid w:val="005809EB"/>
    <w:rsid w:val="005840C6"/>
    <w:rsid w:val="00584ED3"/>
    <w:rsid w:val="00585BD5"/>
    <w:rsid w:val="005907DD"/>
    <w:rsid w:val="00590FE4"/>
    <w:rsid w:val="00592544"/>
    <w:rsid w:val="00592BA5"/>
    <w:rsid w:val="00592E69"/>
    <w:rsid w:val="00592F7B"/>
    <w:rsid w:val="00593712"/>
    <w:rsid w:val="00595FE5"/>
    <w:rsid w:val="0059607D"/>
    <w:rsid w:val="005970D4"/>
    <w:rsid w:val="00597B7B"/>
    <w:rsid w:val="005A0EF9"/>
    <w:rsid w:val="005A10EB"/>
    <w:rsid w:val="005A276F"/>
    <w:rsid w:val="005A2E5A"/>
    <w:rsid w:val="005A32AB"/>
    <w:rsid w:val="005A37CE"/>
    <w:rsid w:val="005A45D1"/>
    <w:rsid w:val="005A5462"/>
    <w:rsid w:val="005A621E"/>
    <w:rsid w:val="005A7B4A"/>
    <w:rsid w:val="005B1064"/>
    <w:rsid w:val="005B13FF"/>
    <w:rsid w:val="005B1866"/>
    <w:rsid w:val="005B1A8E"/>
    <w:rsid w:val="005B1C91"/>
    <w:rsid w:val="005B26D1"/>
    <w:rsid w:val="005B4992"/>
    <w:rsid w:val="005B5B79"/>
    <w:rsid w:val="005B608D"/>
    <w:rsid w:val="005C01C7"/>
    <w:rsid w:val="005C06FA"/>
    <w:rsid w:val="005C0E6E"/>
    <w:rsid w:val="005C15F5"/>
    <w:rsid w:val="005C1CAA"/>
    <w:rsid w:val="005C24EF"/>
    <w:rsid w:val="005C3B0D"/>
    <w:rsid w:val="005C426F"/>
    <w:rsid w:val="005C4E8F"/>
    <w:rsid w:val="005C554B"/>
    <w:rsid w:val="005C5DD9"/>
    <w:rsid w:val="005C6848"/>
    <w:rsid w:val="005C6CC6"/>
    <w:rsid w:val="005C6E6B"/>
    <w:rsid w:val="005D154C"/>
    <w:rsid w:val="005D2503"/>
    <w:rsid w:val="005D51E3"/>
    <w:rsid w:val="005D55AB"/>
    <w:rsid w:val="005D59E8"/>
    <w:rsid w:val="005D62E6"/>
    <w:rsid w:val="005D7104"/>
    <w:rsid w:val="005D717D"/>
    <w:rsid w:val="005D786C"/>
    <w:rsid w:val="005E0FAF"/>
    <w:rsid w:val="005E19DA"/>
    <w:rsid w:val="005E352E"/>
    <w:rsid w:val="005E6760"/>
    <w:rsid w:val="005F0923"/>
    <w:rsid w:val="005F2916"/>
    <w:rsid w:val="005F3165"/>
    <w:rsid w:val="005F558B"/>
    <w:rsid w:val="005F6BF7"/>
    <w:rsid w:val="005F7267"/>
    <w:rsid w:val="005F76E3"/>
    <w:rsid w:val="005F76FD"/>
    <w:rsid w:val="00601232"/>
    <w:rsid w:val="00601E25"/>
    <w:rsid w:val="0060334F"/>
    <w:rsid w:val="006039ED"/>
    <w:rsid w:val="00604335"/>
    <w:rsid w:val="00605606"/>
    <w:rsid w:val="00605683"/>
    <w:rsid w:val="0061042F"/>
    <w:rsid w:val="00610857"/>
    <w:rsid w:val="00611163"/>
    <w:rsid w:val="00611887"/>
    <w:rsid w:val="006166B8"/>
    <w:rsid w:val="0062089E"/>
    <w:rsid w:val="006212A2"/>
    <w:rsid w:val="0062143A"/>
    <w:rsid w:val="00621990"/>
    <w:rsid w:val="00621B1C"/>
    <w:rsid w:val="00622289"/>
    <w:rsid w:val="0062261D"/>
    <w:rsid w:val="0062302F"/>
    <w:rsid w:val="00623FCA"/>
    <w:rsid w:val="006251C1"/>
    <w:rsid w:val="006261E4"/>
    <w:rsid w:val="006279FF"/>
    <w:rsid w:val="006312FF"/>
    <w:rsid w:val="006342B8"/>
    <w:rsid w:val="00635391"/>
    <w:rsid w:val="0063695C"/>
    <w:rsid w:val="006404DC"/>
    <w:rsid w:val="00640AC5"/>
    <w:rsid w:val="006410EC"/>
    <w:rsid w:val="00642150"/>
    <w:rsid w:val="0064433C"/>
    <w:rsid w:val="0064482C"/>
    <w:rsid w:val="00644EC8"/>
    <w:rsid w:val="00645221"/>
    <w:rsid w:val="00645355"/>
    <w:rsid w:val="00645AC7"/>
    <w:rsid w:val="00647AE6"/>
    <w:rsid w:val="00647AF1"/>
    <w:rsid w:val="00650238"/>
    <w:rsid w:val="006513C4"/>
    <w:rsid w:val="00652F32"/>
    <w:rsid w:val="00653B4A"/>
    <w:rsid w:val="00654CC3"/>
    <w:rsid w:val="006552E2"/>
    <w:rsid w:val="00655C9F"/>
    <w:rsid w:val="00656FB3"/>
    <w:rsid w:val="00660070"/>
    <w:rsid w:val="0066177F"/>
    <w:rsid w:val="0066220B"/>
    <w:rsid w:val="006622DD"/>
    <w:rsid w:val="0066274A"/>
    <w:rsid w:val="006635BE"/>
    <w:rsid w:val="00663A85"/>
    <w:rsid w:val="00665AAB"/>
    <w:rsid w:val="00665BAB"/>
    <w:rsid w:val="00667F5C"/>
    <w:rsid w:val="0067059B"/>
    <w:rsid w:val="00671E38"/>
    <w:rsid w:val="00671E3B"/>
    <w:rsid w:val="00673705"/>
    <w:rsid w:val="006745A0"/>
    <w:rsid w:val="006747B5"/>
    <w:rsid w:val="00675ED4"/>
    <w:rsid w:val="0067622E"/>
    <w:rsid w:val="00677846"/>
    <w:rsid w:val="0067790D"/>
    <w:rsid w:val="00682BC1"/>
    <w:rsid w:val="00682FCC"/>
    <w:rsid w:val="006835D6"/>
    <w:rsid w:val="00683737"/>
    <w:rsid w:val="00683996"/>
    <w:rsid w:val="006851D5"/>
    <w:rsid w:val="0068531C"/>
    <w:rsid w:val="00685E25"/>
    <w:rsid w:val="00687C04"/>
    <w:rsid w:val="00687D4B"/>
    <w:rsid w:val="00687DBE"/>
    <w:rsid w:val="006924EC"/>
    <w:rsid w:val="006937D4"/>
    <w:rsid w:val="00693BB7"/>
    <w:rsid w:val="0069402A"/>
    <w:rsid w:val="0069458A"/>
    <w:rsid w:val="006950FF"/>
    <w:rsid w:val="00695AB7"/>
    <w:rsid w:val="006A312F"/>
    <w:rsid w:val="006A47A1"/>
    <w:rsid w:val="006A49B5"/>
    <w:rsid w:val="006A4B17"/>
    <w:rsid w:val="006A5478"/>
    <w:rsid w:val="006A5E48"/>
    <w:rsid w:val="006A6361"/>
    <w:rsid w:val="006A7861"/>
    <w:rsid w:val="006B02A1"/>
    <w:rsid w:val="006B1477"/>
    <w:rsid w:val="006B1D52"/>
    <w:rsid w:val="006B2251"/>
    <w:rsid w:val="006B24EC"/>
    <w:rsid w:val="006B2DCB"/>
    <w:rsid w:val="006B3137"/>
    <w:rsid w:val="006B3B91"/>
    <w:rsid w:val="006B4072"/>
    <w:rsid w:val="006B4C4B"/>
    <w:rsid w:val="006B5924"/>
    <w:rsid w:val="006B6437"/>
    <w:rsid w:val="006B67E2"/>
    <w:rsid w:val="006B692C"/>
    <w:rsid w:val="006C0659"/>
    <w:rsid w:val="006C1604"/>
    <w:rsid w:val="006C2210"/>
    <w:rsid w:val="006C2FE6"/>
    <w:rsid w:val="006C3E1F"/>
    <w:rsid w:val="006C4648"/>
    <w:rsid w:val="006C51B9"/>
    <w:rsid w:val="006C5C73"/>
    <w:rsid w:val="006C6511"/>
    <w:rsid w:val="006C6B5F"/>
    <w:rsid w:val="006D1252"/>
    <w:rsid w:val="006D1323"/>
    <w:rsid w:val="006D2262"/>
    <w:rsid w:val="006D2338"/>
    <w:rsid w:val="006D46C7"/>
    <w:rsid w:val="006D475A"/>
    <w:rsid w:val="006D536F"/>
    <w:rsid w:val="006D538B"/>
    <w:rsid w:val="006D608B"/>
    <w:rsid w:val="006E17C5"/>
    <w:rsid w:val="006E1CAC"/>
    <w:rsid w:val="006E2F2A"/>
    <w:rsid w:val="006E3E93"/>
    <w:rsid w:val="006E4B14"/>
    <w:rsid w:val="006E4E4A"/>
    <w:rsid w:val="006E5DE5"/>
    <w:rsid w:val="006E7DA7"/>
    <w:rsid w:val="006F64BF"/>
    <w:rsid w:val="006F776F"/>
    <w:rsid w:val="007003DB"/>
    <w:rsid w:val="00700446"/>
    <w:rsid w:val="007020F7"/>
    <w:rsid w:val="007046EA"/>
    <w:rsid w:val="00704BC7"/>
    <w:rsid w:val="00705233"/>
    <w:rsid w:val="00705460"/>
    <w:rsid w:val="00706E15"/>
    <w:rsid w:val="007101C7"/>
    <w:rsid w:val="007108DD"/>
    <w:rsid w:val="00710D1E"/>
    <w:rsid w:val="00711825"/>
    <w:rsid w:val="00711BAC"/>
    <w:rsid w:val="00712094"/>
    <w:rsid w:val="00713FC2"/>
    <w:rsid w:val="00715CBD"/>
    <w:rsid w:val="00716DB6"/>
    <w:rsid w:val="007202B1"/>
    <w:rsid w:val="00720571"/>
    <w:rsid w:val="007206D1"/>
    <w:rsid w:val="00721968"/>
    <w:rsid w:val="00723A10"/>
    <w:rsid w:val="007240E4"/>
    <w:rsid w:val="00724E9E"/>
    <w:rsid w:val="00725801"/>
    <w:rsid w:val="00725A63"/>
    <w:rsid w:val="00726AB7"/>
    <w:rsid w:val="00731664"/>
    <w:rsid w:val="00733268"/>
    <w:rsid w:val="00735C89"/>
    <w:rsid w:val="00735E3A"/>
    <w:rsid w:val="007369CD"/>
    <w:rsid w:val="007371CA"/>
    <w:rsid w:val="0073754E"/>
    <w:rsid w:val="0074202C"/>
    <w:rsid w:val="00742105"/>
    <w:rsid w:val="00742C36"/>
    <w:rsid w:val="007447BF"/>
    <w:rsid w:val="00744801"/>
    <w:rsid w:val="007461CF"/>
    <w:rsid w:val="00746941"/>
    <w:rsid w:val="00747E59"/>
    <w:rsid w:val="00747F26"/>
    <w:rsid w:val="007503DB"/>
    <w:rsid w:val="007517CD"/>
    <w:rsid w:val="0075422A"/>
    <w:rsid w:val="007549E4"/>
    <w:rsid w:val="00755B39"/>
    <w:rsid w:val="00755E77"/>
    <w:rsid w:val="0075628A"/>
    <w:rsid w:val="0075654F"/>
    <w:rsid w:val="00757258"/>
    <w:rsid w:val="00760373"/>
    <w:rsid w:val="0076057D"/>
    <w:rsid w:val="00761375"/>
    <w:rsid w:val="00761379"/>
    <w:rsid w:val="00761F33"/>
    <w:rsid w:val="0076307F"/>
    <w:rsid w:val="00763D1E"/>
    <w:rsid w:val="00764655"/>
    <w:rsid w:val="0076548B"/>
    <w:rsid w:val="00767979"/>
    <w:rsid w:val="007703A8"/>
    <w:rsid w:val="00771A29"/>
    <w:rsid w:val="00772EC7"/>
    <w:rsid w:val="007733A2"/>
    <w:rsid w:val="00775677"/>
    <w:rsid w:val="007759A3"/>
    <w:rsid w:val="00776F5A"/>
    <w:rsid w:val="00782B6A"/>
    <w:rsid w:val="00782C5B"/>
    <w:rsid w:val="00782CA2"/>
    <w:rsid w:val="00782CB1"/>
    <w:rsid w:val="00782FE1"/>
    <w:rsid w:val="007847D3"/>
    <w:rsid w:val="0078531A"/>
    <w:rsid w:val="00785B7C"/>
    <w:rsid w:val="00786BB1"/>
    <w:rsid w:val="00787083"/>
    <w:rsid w:val="00787351"/>
    <w:rsid w:val="007878C4"/>
    <w:rsid w:val="007904C2"/>
    <w:rsid w:val="00790EDE"/>
    <w:rsid w:val="00791848"/>
    <w:rsid w:val="00791A83"/>
    <w:rsid w:val="00791FEB"/>
    <w:rsid w:val="00793A99"/>
    <w:rsid w:val="007953E4"/>
    <w:rsid w:val="00795DF9"/>
    <w:rsid w:val="0079613D"/>
    <w:rsid w:val="0079675E"/>
    <w:rsid w:val="007979FC"/>
    <w:rsid w:val="00797E3A"/>
    <w:rsid w:val="007A06D6"/>
    <w:rsid w:val="007A0F84"/>
    <w:rsid w:val="007A1211"/>
    <w:rsid w:val="007A2C73"/>
    <w:rsid w:val="007A33E6"/>
    <w:rsid w:val="007A7D09"/>
    <w:rsid w:val="007B1232"/>
    <w:rsid w:val="007B69B2"/>
    <w:rsid w:val="007B7127"/>
    <w:rsid w:val="007B73F0"/>
    <w:rsid w:val="007C0607"/>
    <w:rsid w:val="007C17FF"/>
    <w:rsid w:val="007C4EA2"/>
    <w:rsid w:val="007C537F"/>
    <w:rsid w:val="007D207B"/>
    <w:rsid w:val="007D2572"/>
    <w:rsid w:val="007D2A73"/>
    <w:rsid w:val="007D336C"/>
    <w:rsid w:val="007D415A"/>
    <w:rsid w:val="007D4B47"/>
    <w:rsid w:val="007D5C02"/>
    <w:rsid w:val="007D6178"/>
    <w:rsid w:val="007D6739"/>
    <w:rsid w:val="007E1AD5"/>
    <w:rsid w:val="007E26A8"/>
    <w:rsid w:val="007E29F8"/>
    <w:rsid w:val="007E2C2A"/>
    <w:rsid w:val="007E4470"/>
    <w:rsid w:val="007E4766"/>
    <w:rsid w:val="007E4B00"/>
    <w:rsid w:val="007E5674"/>
    <w:rsid w:val="007E59A8"/>
    <w:rsid w:val="007E6BC1"/>
    <w:rsid w:val="007E7755"/>
    <w:rsid w:val="007F02BC"/>
    <w:rsid w:val="007F1F0E"/>
    <w:rsid w:val="007F25E8"/>
    <w:rsid w:val="007F3797"/>
    <w:rsid w:val="007F772A"/>
    <w:rsid w:val="007F7AEE"/>
    <w:rsid w:val="0080128E"/>
    <w:rsid w:val="0080203A"/>
    <w:rsid w:val="00803883"/>
    <w:rsid w:val="00803C3D"/>
    <w:rsid w:val="0080477E"/>
    <w:rsid w:val="00807C42"/>
    <w:rsid w:val="00810502"/>
    <w:rsid w:val="0081103D"/>
    <w:rsid w:val="008111F6"/>
    <w:rsid w:val="00811920"/>
    <w:rsid w:val="00812D0B"/>
    <w:rsid w:val="00813796"/>
    <w:rsid w:val="00815175"/>
    <w:rsid w:val="00815853"/>
    <w:rsid w:val="00815911"/>
    <w:rsid w:val="00815C80"/>
    <w:rsid w:val="00817071"/>
    <w:rsid w:val="00817628"/>
    <w:rsid w:val="0082199B"/>
    <w:rsid w:val="0082215C"/>
    <w:rsid w:val="00822E3A"/>
    <w:rsid w:val="00823B25"/>
    <w:rsid w:val="00824CEC"/>
    <w:rsid w:val="00825248"/>
    <w:rsid w:val="00825F4E"/>
    <w:rsid w:val="00827806"/>
    <w:rsid w:val="0082782F"/>
    <w:rsid w:val="00830896"/>
    <w:rsid w:val="00831C42"/>
    <w:rsid w:val="00831F79"/>
    <w:rsid w:val="00832298"/>
    <w:rsid w:val="00835107"/>
    <w:rsid w:val="008351F5"/>
    <w:rsid w:val="00835C51"/>
    <w:rsid w:val="00836487"/>
    <w:rsid w:val="00836C7E"/>
    <w:rsid w:val="008379C4"/>
    <w:rsid w:val="00840B24"/>
    <w:rsid w:val="00840C03"/>
    <w:rsid w:val="00840DC7"/>
    <w:rsid w:val="00840EC3"/>
    <w:rsid w:val="008416B5"/>
    <w:rsid w:val="008432B6"/>
    <w:rsid w:val="0084353A"/>
    <w:rsid w:val="00846BC6"/>
    <w:rsid w:val="00847143"/>
    <w:rsid w:val="008527EF"/>
    <w:rsid w:val="008529E9"/>
    <w:rsid w:val="00853456"/>
    <w:rsid w:val="0085404D"/>
    <w:rsid w:val="008558CD"/>
    <w:rsid w:val="00856409"/>
    <w:rsid w:val="00857D25"/>
    <w:rsid w:val="008603DD"/>
    <w:rsid w:val="008603F0"/>
    <w:rsid w:val="00860FDE"/>
    <w:rsid w:val="00861209"/>
    <w:rsid w:val="00862841"/>
    <w:rsid w:val="00862B75"/>
    <w:rsid w:val="00862BC4"/>
    <w:rsid w:val="008635B2"/>
    <w:rsid w:val="008640CE"/>
    <w:rsid w:val="00864308"/>
    <w:rsid w:val="008643A9"/>
    <w:rsid w:val="0086514B"/>
    <w:rsid w:val="00865255"/>
    <w:rsid w:val="008661B8"/>
    <w:rsid w:val="00867BA4"/>
    <w:rsid w:val="008714D3"/>
    <w:rsid w:val="0087203E"/>
    <w:rsid w:val="00872634"/>
    <w:rsid w:val="00872986"/>
    <w:rsid w:val="00873F80"/>
    <w:rsid w:val="00874CD4"/>
    <w:rsid w:val="008753CD"/>
    <w:rsid w:val="00875974"/>
    <w:rsid w:val="00875DB9"/>
    <w:rsid w:val="00876225"/>
    <w:rsid w:val="008811E9"/>
    <w:rsid w:val="00885AAF"/>
    <w:rsid w:val="00885D94"/>
    <w:rsid w:val="008866D3"/>
    <w:rsid w:val="008903C4"/>
    <w:rsid w:val="00891FD9"/>
    <w:rsid w:val="008931D5"/>
    <w:rsid w:val="0089327F"/>
    <w:rsid w:val="00893F80"/>
    <w:rsid w:val="00894C50"/>
    <w:rsid w:val="00895060"/>
    <w:rsid w:val="00895CFC"/>
    <w:rsid w:val="0089624F"/>
    <w:rsid w:val="00896C4D"/>
    <w:rsid w:val="008A0049"/>
    <w:rsid w:val="008A0768"/>
    <w:rsid w:val="008A37BB"/>
    <w:rsid w:val="008A3840"/>
    <w:rsid w:val="008A468B"/>
    <w:rsid w:val="008A5BDA"/>
    <w:rsid w:val="008A679E"/>
    <w:rsid w:val="008A7C81"/>
    <w:rsid w:val="008A7E29"/>
    <w:rsid w:val="008B03BF"/>
    <w:rsid w:val="008B044D"/>
    <w:rsid w:val="008B1365"/>
    <w:rsid w:val="008B24AA"/>
    <w:rsid w:val="008B2F33"/>
    <w:rsid w:val="008B3822"/>
    <w:rsid w:val="008B3E96"/>
    <w:rsid w:val="008B4307"/>
    <w:rsid w:val="008B45B3"/>
    <w:rsid w:val="008B46FD"/>
    <w:rsid w:val="008B5337"/>
    <w:rsid w:val="008B5740"/>
    <w:rsid w:val="008B7556"/>
    <w:rsid w:val="008B7F61"/>
    <w:rsid w:val="008C22DE"/>
    <w:rsid w:val="008C356F"/>
    <w:rsid w:val="008C47FF"/>
    <w:rsid w:val="008C69B9"/>
    <w:rsid w:val="008D1175"/>
    <w:rsid w:val="008D14CA"/>
    <w:rsid w:val="008D24DB"/>
    <w:rsid w:val="008D5630"/>
    <w:rsid w:val="008D5757"/>
    <w:rsid w:val="008D639C"/>
    <w:rsid w:val="008E1011"/>
    <w:rsid w:val="008E27FF"/>
    <w:rsid w:val="008E2DEA"/>
    <w:rsid w:val="008E30D7"/>
    <w:rsid w:val="008E3B0D"/>
    <w:rsid w:val="008E5008"/>
    <w:rsid w:val="008E5164"/>
    <w:rsid w:val="008E65CD"/>
    <w:rsid w:val="008E7FA0"/>
    <w:rsid w:val="008F32FC"/>
    <w:rsid w:val="008F374C"/>
    <w:rsid w:val="008F54FC"/>
    <w:rsid w:val="008F5D33"/>
    <w:rsid w:val="0090005D"/>
    <w:rsid w:val="00902437"/>
    <w:rsid w:val="00903152"/>
    <w:rsid w:val="0090360C"/>
    <w:rsid w:val="00907566"/>
    <w:rsid w:val="00910603"/>
    <w:rsid w:val="009113EA"/>
    <w:rsid w:val="00914153"/>
    <w:rsid w:val="00914DE1"/>
    <w:rsid w:val="009167E6"/>
    <w:rsid w:val="00916CE3"/>
    <w:rsid w:val="00917971"/>
    <w:rsid w:val="009207ED"/>
    <w:rsid w:val="00920A44"/>
    <w:rsid w:val="009217BD"/>
    <w:rsid w:val="00925359"/>
    <w:rsid w:val="00926077"/>
    <w:rsid w:val="00930A32"/>
    <w:rsid w:val="00930B8A"/>
    <w:rsid w:val="0093437A"/>
    <w:rsid w:val="00935214"/>
    <w:rsid w:val="009364B1"/>
    <w:rsid w:val="009407EC"/>
    <w:rsid w:val="00940861"/>
    <w:rsid w:val="00940F15"/>
    <w:rsid w:val="00942461"/>
    <w:rsid w:val="009424E5"/>
    <w:rsid w:val="00942B57"/>
    <w:rsid w:val="009438E7"/>
    <w:rsid w:val="00947978"/>
    <w:rsid w:val="00947ABF"/>
    <w:rsid w:val="00947F02"/>
    <w:rsid w:val="009507F0"/>
    <w:rsid w:val="00951C07"/>
    <w:rsid w:val="00951DED"/>
    <w:rsid w:val="00952808"/>
    <w:rsid w:val="009528AA"/>
    <w:rsid w:val="00954B00"/>
    <w:rsid w:val="00956810"/>
    <w:rsid w:val="0095682C"/>
    <w:rsid w:val="0095746F"/>
    <w:rsid w:val="009613E4"/>
    <w:rsid w:val="00961550"/>
    <w:rsid w:val="009624C3"/>
    <w:rsid w:val="00964368"/>
    <w:rsid w:val="009645EE"/>
    <w:rsid w:val="00964A04"/>
    <w:rsid w:val="00964A56"/>
    <w:rsid w:val="00967957"/>
    <w:rsid w:val="00967A25"/>
    <w:rsid w:val="00970637"/>
    <w:rsid w:val="00970FF7"/>
    <w:rsid w:val="009713FA"/>
    <w:rsid w:val="009722AB"/>
    <w:rsid w:val="009728B3"/>
    <w:rsid w:val="00973CFD"/>
    <w:rsid w:val="00974453"/>
    <w:rsid w:val="0097454E"/>
    <w:rsid w:val="00975048"/>
    <w:rsid w:val="00975FC6"/>
    <w:rsid w:val="00977824"/>
    <w:rsid w:val="0097786F"/>
    <w:rsid w:val="009778FD"/>
    <w:rsid w:val="00977B76"/>
    <w:rsid w:val="00981A64"/>
    <w:rsid w:val="00982B1C"/>
    <w:rsid w:val="009850DC"/>
    <w:rsid w:val="009851B4"/>
    <w:rsid w:val="009852E7"/>
    <w:rsid w:val="009859D6"/>
    <w:rsid w:val="009871BB"/>
    <w:rsid w:val="009873D6"/>
    <w:rsid w:val="00990CDF"/>
    <w:rsid w:val="00994288"/>
    <w:rsid w:val="00994563"/>
    <w:rsid w:val="0099476A"/>
    <w:rsid w:val="009953C8"/>
    <w:rsid w:val="009959D0"/>
    <w:rsid w:val="00995F74"/>
    <w:rsid w:val="009961AD"/>
    <w:rsid w:val="00996238"/>
    <w:rsid w:val="00996BB8"/>
    <w:rsid w:val="00997C1E"/>
    <w:rsid w:val="009A10AC"/>
    <w:rsid w:val="009A1DDB"/>
    <w:rsid w:val="009A1E64"/>
    <w:rsid w:val="009A1E82"/>
    <w:rsid w:val="009A2353"/>
    <w:rsid w:val="009A237F"/>
    <w:rsid w:val="009A293B"/>
    <w:rsid w:val="009A393B"/>
    <w:rsid w:val="009A4D4C"/>
    <w:rsid w:val="009A5EFD"/>
    <w:rsid w:val="009A69F2"/>
    <w:rsid w:val="009A7781"/>
    <w:rsid w:val="009B068F"/>
    <w:rsid w:val="009B0ADE"/>
    <w:rsid w:val="009B1186"/>
    <w:rsid w:val="009B1A91"/>
    <w:rsid w:val="009B1CC4"/>
    <w:rsid w:val="009B1FBA"/>
    <w:rsid w:val="009B204F"/>
    <w:rsid w:val="009B2E08"/>
    <w:rsid w:val="009B4EF9"/>
    <w:rsid w:val="009B53E3"/>
    <w:rsid w:val="009B6E2E"/>
    <w:rsid w:val="009B7AC2"/>
    <w:rsid w:val="009C0C12"/>
    <w:rsid w:val="009C3410"/>
    <w:rsid w:val="009C3991"/>
    <w:rsid w:val="009C46D5"/>
    <w:rsid w:val="009C4B35"/>
    <w:rsid w:val="009C5FEB"/>
    <w:rsid w:val="009C638B"/>
    <w:rsid w:val="009C75E4"/>
    <w:rsid w:val="009C78F4"/>
    <w:rsid w:val="009C7A64"/>
    <w:rsid w:val="009C7DB8"/>
    <w:rsid w:val="009D0074"/>
    <w:rsid w:val="009D34E5"/>
    <w:rsid w:val="009D3FDE"/>
    <w:rsid w:val="009D54A4"/>
    <w:rsid w:val="009D6C46"/>
    <w:rsid w:val="009E0A5E"/>
    <w:rsid w:val="009E0D11"/>
    <w:rsid w:val="009E1722"/>
    <w:rsid w:val="009E192B"/>
    <w:rsid w:val="009E1AF2"/>
    <w:rsid w:val="009E1D52"/>
    <w:rsid w:val="009E1F2C"/>
    <w:rsid w:val="009E4DBD"/>
    <w:rsid w:val="009E5707"/>
    <w:rsid w:val="009E7019"/>
    <w:rsid w:val="009E706A"/>
    <w:rsid w:val="009E7116"/>
    <w:rsid w:val="009F031F"/>
    <w:rsid w:val="009F1A2E"/>
    <w:rsid w:val="009F1D4E"/>
    <w:rsid w:val="009F2A6E"/>
    <w:rsid w:val="009F4EF6"/>
    <w:rsid w:val="009F53A9"/>
    <w:rsid w:val="009F6AED"/>
    <w:rsid w:val="00A00A4F"/>
    <w:rsid w:val="00A00C22"/>
    <w:rsid w:val="00A00C75"/>
    <w:rsid w:val="00A018C2"/>
    <w:rsid w:val="00A04167"/>
    <w:rsid w:val="00A05762"/>
    <w:rsid w:val="00A07E64"/>
    <w:rsid w:val="00A10E28"/>
    <w:rsid w:val="00A11B3C"/>
    <w:rsid w:val="00A11F63"/>
    <w:rsid w:val="00A1202D"/>
    <w:rsid w:val="00A13DE0"/>
    <w:rsid w:val="00A13F01"/>
    <w:rsid w:val="00A14770"/>
    <w:rsid w:val="00A159E0"/>
    <w:rsid w:val="00A15B9B"/>
    <w:rsid w:val="00A1701F"/>
    <w:rsid w:val="00A22BB2"/>
    <w:rsid w:val="00A22E4E"/>
    <w:rsid w:val="00A23FDC"/>
    <w:rsid w:val="00A272C8"/>
    <w:rsid w:val="00A279E2"/>
    <w:rsid w:val="00A30168"/>
    <w:rsid w:val="00A30729"/>
    <w:rsid w:val="00A30AD4"/>
    <w:rsid w:val="00A30E28"/>
    <w:rsid w:val="00A313E9"/>
    <w:rsid w:val="00A32A74"/>
    <w:rsid w:val="00A33A80"/>
    <w:rsid w:val="00A341CD"/>
    <w:rsid w:val="00A35260"/>
    <w:rsid w:val="00A3775F"/>
    <w:rsid w:val="00A37AB4"/>
    <w:rsid w:val="00A40932"/>
    <w:rsid w:val="00A413F0"/>
    <w:rsid w:val="00A41BEC"/>
    <w:rsid w:val="00A43A8B"/>
    <w:rsid w:val="00A43EBC"/>
    <w:rsid w:val="00A44C95"/>
    <w:rsid w:val="00A45216"/>
    <w:rsid w:val="00A45253"/>
    <w:rsid w:val="00A45CF1"/>
    <w:rsid w:val="00A4712B"/>
    <w:rsid w:val="00A47971"/>
    <w:rsid w:val="00A47BDA"/>
    <w:rsid w:val="00A50894"/>
    <w:rsid w:val="00A51484"/>
    <w:rsid w:val="00A5192A"/>
    <w:rsid w:val="00A52498"/>
    <w:rsid w:val="00A5298A"/>
    <w:rsid w:val="00A52F48"/>
    <w:rsid w:val="00A5340F"/>
    <w:rsid w:val="00A54495"/>
    <w:rsid w:val="00A54AAF"/>
    <w:rsid w:val="00A56B92"/>
    <w:rsid w:val="00A57042"/>
    <w:rsid w:val="00A6237C"/>
    <w:rsid w:val="00A632F8"/>
    <w:rsid w:val="00A63AE3"/>
    <w:rsid w:val="00A63B3E"/>
    <w:rsid w:val="00A6422E"/>
    <w:rsid w:val="00A6423C"/>
    <w:rsid w:val="00A653B4"/>
    <w:rsid w:val="00A658F4"/>
    <w:rsid w:val="00A660F9"/>
    <w:rsid w:val="00A7038D"/>
    <w:rsid w:val="00A70885"/>
    <w:rsid w:val="00A71BDF"/>
    <w:rsid w:val="00A728A4"/>
    <w:rsid w:val="00A7376C"/>
    <w:rsid w:val="00A7482B"/>
    <w:rsid w:val="00A76A11"/>
    <w:rsid w:val="00A76D62"/>
    <w:rsid w:val="00A77704"/>
    <w:rsid w:val="00A80703"/>
    <w:rsid w:val="00A8285D"/>
    <w:rsid w:val="00A85103"/>
    <w:rsid w:val="00A85614"/>
    <w:rsid w:val="00A873BD"/>
    <w:rsid w:val="00A875E5"/>
    <w:rsid w:val="00A9016E"/>
    <w:rsid w:val="00A903EE"/>
    <w:rsid w:val="00A906C3"/>
    <w:rsid w:val="00A92FD4"/>
    <w:rsid w:val="00A93457"/>
    <w:rsid w:val="00A93909"/>
    <w:rsid w:val="00A9559B"/>
    <w:rsid w:val="00A95956"/>
    <w:rsid w:val="00A95CC8"/>
    <w:rsid w:val="00A97542"/>
    <w:rsid w:val="00A978DD"/>
    <w:rsid w:val="00A97C8B"/>
    <w:rsid w:val="00A97D7F"/>
    <w:rsid w:val="00AA06D1"/>
    <w:rsid w:val="00AA13C4"/>
    <w:rsid w:val="00AA14A7"/>
    <w:rsid w:val="00AA18BF"/>
    <w:rsid w:val="00AA2C50"/>
    <w:rsid w:val="00AA2F3F"/>
    <w:rsid w:val="00AA34A4"/>
    <w:rsid w:val="00AA35BD"/>
    <w:rsid w:val="00AA3BAF"/>
    <w:rsid w:val="00AA4614"/>
    <w:rsid w:val="00AA461F"/>
    <w:rsid w:val="00AA6349"/>
    <w:rsid w:val="00AA67C4"/>
    <w:rsid w:val="00AA7F5E"/>
    <w:rsid w:val="00AB0341"/>
    <w:rsid w:val="00AB03B8"/>
    <w:rsid w:val="00AB21BB"/>
    <w:rsid w:val="00AB2F8C"/>
    <w:rsid w:val="00AB35E9"/>
    <w:rsid w:val="00AB53B8"/>
    <w:rsid w:val="00AB5906"/>
    <w:rsid w:val="00AB79A4"/>
    <w:rsid w:val="00AC00D1"/>
    <w:rsid w:val="00AC0DF0"/>
    <w:rsid w:val="00AC2473"/>
    <w:rsid w:val="00AC3203"/>
    <w:rsid w:val="00AC37DB"/>
    <w:rsid w:val="00AC4297"/>
    <w:rsid w:val="00AC430A"/>
    <w:rsid w:val="00AC4B89"/>
    <w:rsid w:val="00AC58E9"/>
    <w:rsid w:val="00AC64A5"/>
    <w:rsid w:val="00AC6636"/>
    <w:rsid w:val="00AC6763"/>
    <w:rsid w:val="00AD07FA"/>
    <w:rsid w:val="00AD12E6"/>
    <w:rsid w:val="00AD13E4"/>
    <w:rsid w:val="00AD2283"/>
    <w:rsid w:val="00AD2BE5"/>
    <w:rsid w:val="00AD317F"/>
    <w:rsid w:val="00AD4629"/>
    <w:rsid w:val="00AD4EC2"/>
    <w:rsid w:val="00AD5C8B"/>
    <w:rsid w:val="00AD5F8B"/>
    <w:rsid w:val="00AD6949"/>
    <w:rsid w:val="00AD7420"/>
    <w:rsid w:val="00AD7E1D"/>
    <w:rsid w:val="00AE1D92"/>
    <w:rsid w:val="00AE1E04"/>
    <w:rsid w:val="00AE4167"/>
    <w:rsid w:val="00AE4329"/>
    <w:rsid w:val="00AE45C1"/>
    <w:rsid w:val="00AE4628"/>
    <w:rsid w:val="00AE6C6E"/>
    <w:rsid w:val="00AF1A68"/>
    <w:rsid w:val="00AF7935"/>
    <w:rsid w:val="00B00653"/>
    <w:rsid w:val="00B0265E"/>
    <w:rsid w:val="00B055B7"/>
    <w:rsid w:val="00B05FE7"/>
    <w:rsid w:val="00B06062"/>
    <w:rsid w:val="00B068DE"/>
    <w:rsid w:val="00B06CA8"/>
    <w:rsid w:val="00B12652"/>
    <w:rsid w:val="00B14164"/>
    <w:rsid w:val="00B15AE7"/>
    <w:rsid w:val="00B167D8"/>
    <w:rsid w:val="00B22465"/>
    <w:rsid w:val="00B22CCD"/>
    <w:rsid w:val="00B23837"/>
    <w:rsid w:val="00B25BB0"/>
    <w:rsid w:val="00B265B5"/>
    <w:rsid w:val="00B26682"/>
    <w:rsid w:val="00B26B9A"/>
    <w:rsid w:val="00B273C2"/>
    <w:rsid w:val="00B307F2"/>
    <w:rsid w:val="00B31524"/>
    <w:rsid w:val="00B3259C"/>
    <w:rsid w:val="00B351E6"/>
    <w:rsid w:val="00B35339"/>
    <w:rsid w:val="00B36396"/>
    <w:rsid w:val="00B36BAA"/>
    <w:rsid w:val="00B37C3A"/>
    <w:rsid w:val="00B42439"/>
    <w:rsid w:val="00B42A77"/>
    <w:rsid w:val="00B433CC"/>
    <w:rsid w:val="00B435E5"/>
    <w:rsid w:val="00B43AA0"/>
    <w:rsid w:val="00B44C6A"/>
    <w:rsid w:val="00B45494"/>
    <w:rsid w:val="00B4591B"/>
    <w:rsid w:val="00B45B5C"/>
    <w:rsid w:val="00B47086"/>
    <w:rsid w:val="00B479F4"/>
    <w:rsid w:val="00B47A56"/>
    <w:rsid w:val="00B500CA"/>
    <w:rsid w:val="00B509DA"/>
    <w:rsid w:val="00B547D4"/>
    <w:rsid w:val="00B54AD9"/>
    <w:rsid w:val="00B56EEC"/>
    <w:rsid w:val="00B571DE"/>
    <w:rsid w:val="00B60528"/>
    <w:rsid w:val="00B63DA1"/>
    <w:rsid w:val="00B645BF"/>
    <w:rsid w:val="00B67197"/>
    <w:rsid w:val="00B7183F"/>
    <w:rsid w:val="00B7531F"/>
    <w:rsid w:val="00B76F42"/>
    <w:rsid w:val="00B76FDD"/>
    <w:rsid w:val="00B7706C"/>
    <w:rsid w:val="00B77E53"/>
    <w:rsid w:val="00B802CF"/>
    <w:rsid w:val="00B80691"/>
    <w:rsid w:val="00B81BBC"/>
    <w:rsid w:val="00B83D76"/>
    <w:rsid w:val="00B83DB0"/>
    <w:rsid w:val="00B83E67"/>
    <w:rsid w:val="00B85129"/>
    <w:rsid w:val="00B855E6"/>
    <w:rsid w:val="00B865D8"/>
    <w:rsid w:val="00B87551"/>
    <w:rsid w:val="00B87645"/>
    <w:rsid w:val="00B90EC2"/>
    <w:rsid w:val="00B91C5E"/>
    <w:rsid w:val="00B930CA"/>
    <w:rsid w:val="00B935E4"/>
    <w:rsid w:val="00B939AE"/>
    <w:rsid w:val="00B94532"/>
    <w:rsid w:val="00B9513D"/>
    <w:rsid w:val="00B95D6C"/>
    <w:rsid w:val="00B96AD6"/>
    <w:rsid w:val="00B97DA6"/>
    <w:rsid w:val="00BA17FA"/>
    <w:rsid w:val="00BA2148"/>
    <w:rsid w:val="00BA39FD"/>
    <w:rsid w:val="00BA5E3E"/>
    <w:rsid w:val="00BA6C87"/>
    <w:rsid w:val="00BA7084"/>
    <w:rsid w:val="00BA73AC"/>
    <w:rsid w:val="00BA7AEF"/>
    <w:rsid w:val="00BA7BBE"/>
    <w:rsid w:val="00BB0218"/>
    <w:rsid w:val="00BB115E"/>
    <w:rsid w:val="00BB151A"/>
    <w:rsid w:val="00BB1F86"/>
    <w:rsid w:val="00BB2BED"/>
    <w:rsid w:val="00BB3E48"/>
    <w:rsid w:val="00BB5EC5"/>
    <w:rsid w:val="00BC171B"/>
    <w:rsid w:val="00BC302D"/>
    <w:rsid w:val="00BC5296"/>
    <w:rsid w:val="00BC6C04"/>
    <w:rsid w:val="00BD17B5"/>
    <w:rsid w:val="00BD1B23"/>
    <w:rsid w:val="00BD23B6"/>
    <w:rsid w:val="00BD3A43"/>
    <w:rsid w:val="00BD442F"/>
    <w:rsid w:val="00BD54E6"/>
    <w:rsid w:val="00BD6496"/>
    <w:rsid w:val="00BD7187"/>
    <w:rsid w:val="00BD74F3"/>
    <w:rsid w:val="00BD764D"/>
    <w:rsid w:val="00BD7EC6"/>
    <w:rsid w:val="00BE20BD"/>
    <w:rsid w:val="00BE2400"/>
    <w:rsid w:val="00BE2D3E"/>
    <w:rsid w:val="00BE34FF"/>
    <w:rsid w:val="00BE4775"/>
    <w:rsid w:val="00BE4E87"/>
    <w:rsid w:val="00BE65AB"/>
    <w:rsid w:val="00BE7F5F"/>
    <w:rsid w:val="00BF0569"/>
    <w:rsid w:val="00BF0647"/>
    <w:rsid w:val="00BF0A9B"/>
    <w:rsid w:val="00BF0AA6"/>
    <w:rsid w:val="00BF0EF8"/>
    <w:rsid w:val="00BF17C4"/>
    <w:rsid w:val="00BF1998"/>
    <w:rsid w:val="00BF2771"/>
    <w:rsid w:val="00BF3395"/>
    <w:rsid w:val="00BF53BE"/>
    <w:rsid w:val="00BF5FB4"/>
    <w:rsid w:val="00BF5FBD"/>
    <w:rsid w:val="00BF6CB8"/>
    <w:rsid w:val="00BF6FB5"/>
    <w:rsid w:val="00BF7DB0"/>
    <w:rsid w:val="00C001D0"/>
    <w:rsid w:val="00C01C40"/>
    <w:rsid w:val="00C01C83"/>
    <w:rsid w:val="00C03120"/>
    <w:rsid w:val="00C03D45"/>
    <w:rsid w:val="00C04A43"/>
    <w:rsid w:val="00C04E08"/>
    <w:rsid w:val="00C111E5"/>
    <w:rsid w:val="00C11E52"/>
    <w:rsid w:val="00C124E6"/>
    <w:rsid w:val="00C13538"/>
    <w:rsid w:val="00C13961"/>
    <w:rsid w:val="00C139D8"/>
    <w:rsid w:val="00C143BE"/>
    <w:rsid w:val="00C14CC5"/>
    <w:rsid w:val="00C1683E"/>
    <w:rsid w:val="00C170E6"/>
    <w:rsid w:val="00C171A9"/>
    <w:rsid w:val="00C17FE4"/>
    <w:rsid w:val="00C203BD"/>
    <w:rsid w:val="00C213A0"/>
    <w:rsid w:val="00C227B7"/>
    <w:rsid w:val="00C22B56"/>
    <w:rsid w:val="00C22D58"/>
    <w:rsid w:val="00C23B35"/>
    <w:rsid w:val="00C24490"/>
    <w:rsid w:val="00C26499"/>
    <w:rsid w:val="00C3239B"/>
    <w:rsid w:val="00C329FB"/>
    <w:rsid w:val="00C3314B"/>
    <w:rsid w:val="00C35C72"/>
    <w:rsid w:val="00C3685D"/>
    <w:rsid w:val="00C37551"/>
    <w:rsid w:val="00C378D4"/>
    <w:rsid w:val="00C4022A"/>
    <w:rsid w:val="00C42279"/>
    <w:rsid w:val="00C42E4A"/>
    <w:rsid w:val="00C45F86"/>
    <w:rsid w:val="00C46A17"/>
    <w:rsid w:val="00C46D37"/>
    <w:rsid w:val="00C47039"/>
    <w:rsid w:val="00C4778A"/>
    <w:rsid w:val="00C47E2A"/>
    <w:rsid w:val="00C50140"/>
    <w:rsid w:val="00C5062B"/>
    <w:rsid w:val="00C50F03"/>
    <w:rsid w:val="00C51D0A"/>
    <w:rsid w:val="00C52F20"/>
    <w:rsid w:val="00C530C1"/>
    <w:rsid w:val="00C54551"/>
    <w:rsid w:val="00C571FD"/>
    <w:rsid w:val="00C57FA1"/>
    <w:rsid w:val="00C6121B"/>
    <w:rsid w:val="00C616F0"/>
    <w:rsid w:val="00C61823"/>
    <w:rsid w:val="00C624AC"/>
    <w:rsid w:val="00C62BCF"/>
    <w:rsid w:val="00C63921"/>
    <w:rsid w:val="00C63D33"/>
    <w:rsid w:val="00C64588"/>
    <w:rsid w:val="00C651A2"/>
    <w:rsid w:val="00C66923"/>
    <w:rsid w:val="00C67E66"/>
    <w:rsid w:val="00C70D20"/>
    <w:rsid w:val="00C710E9"/>
    <w:rsid w:val="00C74E55"/>
    <w:rsid w:val="00C75A5A"/>
    <w:rsid w:val="00C76012"/>
    <w:rsid w:val="00C761F6"/>
    <w:rsid w:val="00C8030A"/>
    <w:rsid w:val="00C81614"/>
    <w:rsid w:val="00C81DA2"/>
    <w:rsid w:val="00C83F15"/>
    <w:rsid w:val="00C848E0"/>
    <w:rsid w:val="00C8494C"/>
    <w:rsid w:val="00C86B89"/>
    <w:rsid w:val="00C87934"/>
    <w:rsid w:val="00C9054E"/>
    <w:rsid w:val="00C906DD"/>
    <w:rsid w:val="00C90E2D"/>
    <w:rsid w:val="00C915DF"/>
    <w:rsid w:val="00C9289D"/>
    <w:rsid w:val="00C93A4B"/>
    <w:rsid w:val="00C9497E"/>
    <w:rsid w:val="00C94FBE"/>
    <w:rsid w:val="00C9751F"/>
    <w:rsid w:val="00CA2976"/>
    <w:rsid w:val="00CA3446"/>
    <w:rsid w:val="00CA5A3B"/>
    <w:rsid w:val="00CA600A"/>
    <w:rsid w:val="00CA6557"/>
    <w:rsid w:val="00CA72FD"/>
    <w:rsid w:val="00CB0A18"/>
    <w:rsid w:val="00CB0B2B"/>
    <w:rsid w:val="00CB0D73"/>
    <w:rsid w:val="00CB1361"/>
    <w:rsid w:val="00CB1FC7"/>
    <w:rsid w:val="00CB244A"/>
    <w:rsid w:val="00CB248B"/>
    <w:rsid w:val="00CB27EC"/>
    <w:rsid w:val="00CB3016"/>
    <w:rsid w:val="00CB30BE"/>
    <w:rsid w:val="00CB4188"/>
    <w:rsid w:val="00CB41EE"/>
    <w:rsid w:val="00CB46D6"/>
    <w:rsid w:val="00CB5F8B"/>
    <w:rsid w:val="00CB7941"/>
    <w:rsid w:val="00CC1314"/>
    <w:rsid w:val="00CC1FCD"/>
    <w:rsid w:val="00CC226F"/>
    <w:rsid w:val="00CC4F89"/>
    <w:rsid w:val="00CD0105"/>
    <w:rsid w:val="00CD0121"/>
    <w:rsid w:val="00CD0DF3"/>
    <w:rsid w:val="00CD10EC"/>
    <w:rsid w:val="00CD1171"/>
    <w:rsid w:val="00CD1863"/>
    <w:rsid w:val="00CD1C46"/>
    <w:rsid w:val="00CD1D20"/>
    <w:rsid w:val="00CD2E30"/>
    <w:rsid w:val="00CD3620"/>
    <w:rsid w:val="00CD3E7C"/>
    <w:rsid w:val="00CD4814"/>
    <w:rsid w:val="00CD5175"/>
    <w:rsid w:val="00CD5C47"/>
    <w:rsid w:val="00CD621A"/>
    <w:rsid w:val="00CD6950"/>
    <w:rsid w:val="00CD7399"/>
    <w:rsid w:val="00CD766E"/>
    <w:rsid w:val="00CD7700"/>
    <w:rsid w:val="00CE05CE"/>
    <w:rsid w:val="00CE0FC3"/>
    <w:rsid w:val="00CE134E"/>
    <w:rsid w:val="00CE32A2"/>
    <w:rsid w:val="00CE5B00"/>
    <w:rsid w:val="00CE6768"/>
    <w:rsid w:val="00CE69A4"/>
    <w:rsid w:val="00CE6ACD"/>
    <w:rsid w:val="00CE751D"/>
    <w:rsid w:val="00CE772D"/>
    <w:rsid w:val="00CF107B"/>
    <w:rsid w:val="00CF3044"/>
    <w:rsid w:val="00CF326E"/>
    <w:rsid w:val="00CF3462"/>
    <w:rsid w:val="00CF4B8E"/>
    <w:rsid w:val="00CF4FDF"/>
    <w:rsid w:val="00CF5ED0"/>
    <w:rsid w:val="00CF65A4"/>
    <w:rsid w:val="00CF7319"/>
    <w:rsid w:val="00CF794A"/>
    <w:rsid w:val="00CF79C2"/>
    <w:rsid w:val="00CF7BBC"/>
    <w:rsid w:val="00CF7FB8"/>
    <w:rsid w:val="00D0112F"/>
    <w:rsid w:val="00D034F7"/>
    <w:rsid w:val="00D03517"/>
    <w:rsid w:val="00D04BB7"/>
    <w:rsid w:val="00D04FA3"/>
    <w:rsid w:val="00D052AF"/>
    <w:rsid w:val="00D052C1"/>
    <w:rsid w:val="00D104E6"/>
    <w:rsid w:val="00D10CC4"/>
    <w:rsid w:val="00D10CD0"/>
    <w:rsid w:val="00D13DA7"/>
    <w:rsid w:val="00D14E2E"/>
    <w:rsid w:val="00D16FA6"/>
    <w:rsid w:val="00D2056A"/>
    <w:rsid w:val="00D20E4B"/>
    <w:rsid w:val="00D221D9"/>
    <w:rsid w:val="00D25780"/>
    <w:rsid w:val="00D2579E"/>
    <w:rsid w:val="00D27545"/>
    <w:rsid w:val="00D27A6D"/>
    <w:rsid w:val="00D303EB"/>
    <w:rsid w:val="00D305A6"/>
    <w:rsid w:val="00D30952"/>
    <w:rsid w:val="00D309C6"/>
    <w:rsid w:val="00D31216"/>
    <w:rsid w:val="00D318E2"/>
    <w:rsid w:val="00D32492"/>
    <w:rsid w:val="00D33600"/>
    <w:rsid w:val="00D34F30"/>
    <w:rsid w:val="00D353C5"/>
    <w:rsid w:val="00D353DC"/>
    <w:rsid w:val="00D35FB4"/>
    <w:rsid w:val="00D3635E"/>
    <w:rsid w:val="00D3654A"/>
    <w:rsid w:val="00D36AF2"/>
    <w:rsid w:val="00D36DD6"/>
    <w:rsid w:val="00D3733C"/>
    <w:rsid w:val="00D37A0D"/>
    <w:rsid w:val="00D410D0"/>
    <w:rsid w:val="00D41B1B"/>
    <w:rsid w:val="00D42115"/>
    <w:rsid w:val="00D42779"/>
    <w:rsid w:val="00D43202"/>
    <w:rsid w:val="00D433E9"/>
    <w:rsid w:val="00D43795"/>
    <w:rsid w:val="00D4408A"/>
    <w:rsid w:val="00D44363"/>
    <w:rsid w:val="00D469DD"/>
    <w:rsid w:val="00D47B96"/>
    <w:rsid w:val="00D47CB2"/>
    <w:rsid w:val="00D520EC"/>
    <w:rsid w:val="00D539DE"/>
    <w:rsid w:val="00D53EA1"/>
    <w:rsid w:val="00D53FCF"/>
    <w:rsid w:val="00D5480D"/>
    <w:rsid w:val="00D5491B"/>
    <w:rsid w:val="00D55603"/>
    <w:rsid w:val="00D5647D"/>
    <w:rsid w:val="00D567FD"/>
    <w:rsid w:val="00D5702E"/>
    <w:rsid w:val="00D5786C"/>
    <w:rsid w:val="00D63112"/>
    <w:rsid w:val="00D638D6"/>
    <w:rsid w:val="00D64AFD"/>
    <w:rsid w:val="00D653B2"/>
    <w:rsid w:val="00D65ACA"/>
    <w:rsid w:val="00D66ACE"/>
    <w:rsid w:val="00D66C9E"/>
    <w:rsid w:val="00D71B0E"/>
    <w:rsid w:val="00D72157"/>
    <w:rsid w:val="00D722C8"/>
    <w:rsid w:val="00D72E72"/>
    <w:rsid w:val="00D7378C"/>
    <w:rsid w:val="00D738EC"/>
    <w:rsid w:val="00D75FCE"/>
    <w:rsid w:val="00D7666E"/>
    <w:rsid w:val="00D76C30"/>
    <w:rsid w:val="00D76D7D"/>
    <w:rsid w:val="00D7738C"/>
    <w:rsid w:val="00D777FA"/>
    <w:rsid w:val="00D777FD"/>
    <w:rsid w:val="00D8012D"/>
    <w:rsid w:val="00D80B35"/>
    <w:rsid w:val="00D8171C"/>
    <w:rsid w:val="00D8349C"/>
    <w:rsid w:val="00D84221"/>
    <w:rsid w:val="00D85E8B"/>
    <w:rsid w:val="00D91170"/>
    <w:rsid w:val="00D91DE8"/>
    <w:rsid w:val="00D94319"/>
    <w:rsid w:val="00D94CD0"/>
    <w:rsid w:val="00D95D7D"/>
    <w:rsid w:val="00D978F0"/>
    <w:rsid w:val="00DA014D"/>
    <w:rsid w:val="00DA1A2C"/>
    <w:rsid w:val="00DA286A"/>
    <w:rsid w:val="00DA3278"/>
    <w:rsid w:val="00DA4650"/>
    <w:rsid w:val="00DA4CB8"/>
    <w:rsid w:val="00DA5193"/>
    <w:rsid w:val="00DA565A"/>
    <w:rsid w:val="00DA7334"/>
    <w:rsid w:val="00DB0EA7"/>
    <w:rsid w:val="00DB1B1C"/>
    <w:rsid w:val="00DB384F"/>
    <w:rsid w:val="00DB451A"/>
    <w:rsid w:val="00DB649E"/>
    <w:rsid w:val="00DB7B97"/>
    <w:rsid w:val="00DB7D9B"/>
    <w:rsid w:val="00DC10BA"/>
    <w:rsid w:val="00DC1906"/>
    <w:rsid w:val="00DC1CFE"/>
    <w:rsid w:val="00DC1DC7"/>
    <w:rsid w:val="00DC25F8"/>
    <w:rsid w:val="00DC319B"/>
    <w:rsid w:val="00DC5F01"/>
    <w:rsid w:val="00DC5F11"/>
    <w:rsid w:val="00DC6633"/>
    <w:rsid w:val="00DC6CD0"/>
    <w:rsid w:val="00DC7084"/>
    <w:rsid w:val="00DD0227"/>
    <w:rsid w:val="00DD1585"/>
    <w:rsid w:val="00DD1938"/>
    <w:rsid w:val="00DD4242"/>
    <w:rsid w:val="00DD4472"/>
    <w:rsid w:val="00DD473E"/>
    <w:rsid w:val="00DE0A8A"/>
    <w:rsid w:val="00DE0C9E"/>
    <w:rsid w:val="00DE1E51"/>
    <w:rsid w:val="00DE1F4B"/>
    <w:rsid w:val="00DE3077"/>
    <w:rsid w:val="00DE3D40"/>
    <w:rsid w:val="00DE3FE4"/>
    <w:rsid w:val="00DE54AF"/>
    <w:rsid w:val="00DE54C7"/>
    <w:rsid w:val="00DE6702"/>
    <w:rsid w:val="00DE77D8"/>
    <w:rsid w:val="00DE7BDE"/>
    <w:rsid w:val="00DF0AF1"/>
    <w:rsid w:val="00DF12E9"/>
    <w:rsid w:val="00DF1392"/>
    <w:rsid w:val="00DF204B"/>
    <w:rsid w:val="00DF2BC4"/>
    <w:rsid w:val="00DF471B"/>
    <w:rsid w:val="00DF4938"/>
    <w:rsid w:val="00DF5192"/>
    <w:rsid w:val="00DF5C63"/>
    <w:rsid w:val="00DF627F"/>
    <w:rsid w:val="00DF742B"/>
    <w:rsid w:val="00DF74B1"/>
    <w:rsid w:val="00E0064F"/>
    <w:rsid w:val="00E0315C"/>
    <w:rsid w:val="00E03861"/>
    <w:rsid w:val="00E07AEB"/>
    <w:rsid w:val="00E1006D"/>
    <w:rsid w:val="00E112A0"/>
    <w:rsid w:val="00E11EF4"/>
    <w:rsid w:val="00E121E8"/>
    <w:rsid w:val="00E12471"/>
    <w:rsid w:val="00E12B47"/>
    <w:rsid w:val="00E14B68"/>
    <w:rsid w:val="00E14E7B"/>
    <w:rsid w:val="00E152A3"/>
    <w:rsid w:val="00E16423"/>
    <w:rsid w:val="00E16CCB"/>
    <w:rsid w:val="00E16DC9"/>
    <w:rsid w:val="00E20BD7"/>
    <w:rsid w:val="00E2114D"/>
    <w:rsid w:val="00E2226B"/>
    <w:rsid w:val="00E2232F"/>
    <w:rsid w:val="00E233CA"/>
    <w:rsid w:val="00E24485"/>
    <w:rsid w:val="00E27120"/>
    <w:rsid w:val="00E27813"/>
    <w:rsid w:val="00E3135D"/>
    <w:rsid w:val="00E32C64"/>
    <w:rsid w:val="00E33EBA"/>
    <w:rsid w:val="00E34313"/>
    <w:rsid w:val="00E34400"/>
    <w:rsid w:val="00E3589A"/>
    <w:rsid w:val="00E379BD"/>
    <w:rsid w:val="00E40DF1"/>
    <w:rsid w:val="00E415AB"/>
    <w:rsid w:val="00E42426"/>
    <w:rsid w:val="00E429B8"/>
    <w:rsid w:val="00E4479F"/>
    <w:rsid w:val="00E45B67"/>
    <w:rsid w:val="00E4740A"/>
    <w:rsid w:val="00E50089"/>
    <w:rsid w:val="00E50A12"/>
    <w:rsid w:val="00E52A05"/>
    <w:rsid w:val="00E52D32"/>
    <w:rsid w:val="00E53DD2"/>
    <w:rsid w:val="00E55350"/>
    <w:rsid w:val="00E55438"/>
    <w:rsid w:val="00E55F74"/>
    <w:rsid w:val="00E563D0"/>
    <w:rsid w:val="00E5747F"/>
    <w:rsid w:val="00E6114F"/>
    <w:rsid w:val="00E61C29"/>
    <w:rsid w:val="00E61E42"/>
    <w:rsid w:val="00E6260A"/>
    <w:rsid w:val="00E63AD3"/>
    <w:rsid w:val="00E67D9F"/>
    <w:rsid w:val="00E67DBA"/>
    <w:rsid w:val="00E7113E"/>
    <w:rsid w:val="00E725D8"/>
    <w:rsid w:val="00E72D57"/>
    <w:rsid w:val="00E7330C"/>
    <w:rsid w:val="00E735AA"/>
    <w:rsid w:val="00E7399B"/>
    <w:rsid w:val="00E7646B"/>
    <w:rsid w:val="00E778B3"/>
    <w:rsid w:val="00E77CC6"/>
    <w:rsid w:val="00E808A4"/>
    <w:rsid w:val="00E80ED0"/>
    <w:rsid w:val="00E82939"/>
    <w:rsid w:val="00E82A17"/>
    <w:rsid w:val="00E85D21"/>
    <w:rsid w:val="00E86653"/>
    <w:rsid w:val="00E9102B"/>
    <w:rsid w:val="00E91391"/>
    <w:rsid w:val="00E91B2A"/>
    <w:rsid w:val="00E937B9"/>
    <w:rsid w:val="00E948C4"/>
    <w:rsid w:val="00E97A38"/>
    <w:rsid w:val="00EA0D56"/>
    <w:rsid w:val="00EA2637"/>
    <w:rsid w:val="00EA3025"/>
    <w:rsid w:val="00EA48B2"/>
    <w:rsid w:val="00EA4B49"/>
    <w:rsid w:val="00EA5C81"/>
    <w:rsid w:val="00EA71D3"/>
    <w:rsid w:val="00EB293A"/>
    <w:rsid w:val="00EB60A1"/>
    <w:rsid w:val="00EB6205"/>
    <w:rsid w:val="00EC1175"/>
    <w:rsid w:val="00EC3C19"/>
    <w:rsid w:val="00EC6190"/>
    <w:rsid w:val="00EC794B"/>
    <w:rsid w:val="00EC7D13"/>
    <w:rsid w:val="00ED05A1"/>
    <w:rsid w:val="00ED0A95"/>
    <w:rsid w:val="00ED0EEE"/>
    <w:rsid w:val="00ED1D04"/>
    <w:rsid w:val="00ED30F2"/>
    <w:rsid w:val="00ED348A"/>
    <w:rsid w:val="00ED3A00"/>
    <w:rsid w:val="00ED4366"/>
    <w:rsid w:val="00ED44D7"/>
    <w:rsid w:val="00ED540A"/>
    <w:rsid w:val="00EE113F"/>
    <w:rsid w:val="00EE1979"/>
    <w:rsid w:val="00EE22B2"/>
    <w:rsid w:val="00EE2B94"/>
    <w:rsid w:val="00EE2EF2"/>
    <w:rsid w:val="00EE5675"/>
    <w:rsid w:val="00EE7053"/>
    <w:rsid w:val="00EE730A"/>
    <w:rsid w:val="00EE7C3F"/>
    <w:rsid w:val="00EE7F3E"/>
    <w:rsid w:val="00EF0AC2"/>
    <w:rsid w:val="00EF0BA4"/>
    <w:rsid w:val="00EF0E56"/>
    <w:rsid w:val="00EF252D"/>
    <w:rsid w:val="00EF3D1D"/>
    <w:rsid w:val="00EF55CD"/>
    <w:rsid w:val="00EF63C1"/>
    <w:rsid w:val="00EF66CE"/>
    <w:rsid w:val="00EF6F99"/>
    <w:rsid w:val="00EF7CF4"/>
    <w:rsid w:val="00F0052B"/>
    <w:rsid w:val="00F01825"/>
    <w:rsid w:val="00F057AF"/>
    <w:rsid w:val="00F05C54"/>
    <w:rsid w:val="00F060F3"/>
    <w:rsid w:val="00F06BE5"/>
    <w:rsid w:val="00F0709D"/>
    <w:rsid w:val="00F07D0C"/>
    <w:rsid w:val="00F10843"/>
    <w:rsid w:val="00F134BC"/>
    <w:rsid w:val="00F13D18"/>
    <w:rsid w:val="00F168F6"/>
    <w:rsid w:val="00F20DCA"/>
    <w:rsid w:val="00F20ED9"/>
    <w:rsid w:val="00F23577"/>
    <w:rsid w:val="00F235B2"/>
    <w:rsid w:val="00F249B7"/>
    <w:rsid w:val="00F262CF"/>
    <w:rsid w:val="00F27354"/>
    <w:rsid w:val="00F27F10"/>
    <w:rsid w:val="00F27F5B"/>
    <w:rsid w:val="00F301B7"/>
    <w:rsid w:val="00F313EB"/>
    <w:rsid w:val="00F31C8E"/>
    <w:rsid w:val="00F31CBF"/>
    <w:rsid w:val="00F32157"/>
    <w:rsid w:val="00F32348"/>
    <w:rsid w:val="00F337AF"/>
    <w:rsid w:val="00F33B83"/>
    <w:rsid w:val="00F341B5"/>
    <w:rsid w:val="00F3569D"/>
    <w:rsid w:val="00F36221"/>
    <w:rsid w:val="00F36939"/>
    <w:rsid w:val="00F36EA6"/>
    <w:rsid w:val="00F37E23"/>
    <w:rsid w:val="00F40E6D"/>
    <w:rsid w:val="00F42177"/>
    <w:rsid w:val="00F43DAB"/>
    <w:rsid w:val="00F4459D"/>
    <w:rsid w:val="00F45075"/>
    <w:rsid w:val="00F4545C"/>
    <w:rsid w:val="00F457B7"/>
    <w:rsid w:val="00F4621F"/>
    <w:rsid w:val="00F46892"/>
    <w:rsid w:val="00F477D2"/>
    <w:rsid w:val="00F500F5"/>
    <w:rsid w:val="00F51008"/>
    <w:rsid w:val="00F5303A"/>
    <w:rsid w:val="00F53F01"/>
    <w:rsid w:val="00F5443B"/>
    <w:rsid w:val="00F547DE"/>
    <w:rsid w:val="00F54BF1"/>
    <w:rsid w:val="00F55B48"/>
    <w:rsid w:val="00F57124"/>
    <w:rsid w:val="00F57397"/>
    <w:rsid w:val="00F57D7D"/>
    <w:rsid w:val="00F57EF8"/>
    <w:rsid w:val="00F60367"/>
    <w:rsid w:val="00F6256D"/>
    <w:rsid w:val="00F629D1"/>
    <w:rsid w:val="00F6322E"/>
    <w:rsid w:val="00F63BFA"/>
    <w:rsid w:val="00F6557C"/>
    <w:rsid w:val="00F66E70"/>
    <w:rsid w:val="00F700FA"/>
    <w:rsid w:val="00F702DE"/>
    <w:rsid w:val="00F716D0"/>
    <w:rsid w:val="00F71FEB"/>
    <w:rsid w:val="00F7290E"/>
    <w:rsid w:val="00F72D18"/>
    <w:rsid w:val="00F73806"/>
    <w:rsid w:val="00F74176"/>
    <w:rsid w:val="00F74F84"/>
    <w:rsid w:val="00F7638E"/>
    <w:rsid w:val="00F76D92"/>
    <w:rsid w:val="00F805B2"/>
    <w:rsid w:val="00F82410"/>
    <w:rsid w:val="00F82E18"/>
    <w:rsid w:val="00F830D0"/>
    <w:rsid w:val="00F84B34"/>
    <w:rsid w:val="00F84BCB"/>
    <w:rsid w:val="00F8513B"/>
    <w:rsid w:val="00F85B7B"/>
    <w:rsid w:val="00F86056"/>
    <w:rsid w:val="00F8695E"/>
    <w:rsid w:val="00F86B07"/>
    <w:rsid w:val="00F9044A"/>
    <w:rsid w:val="00F90C4C"/>
    <w:rsid w:val="00F928A2"/>
    <w:rsid w:val="00F92AD1"/>
    <w:rsid w:val="00F92F19"/>
    <w:rsid w:val="00F948FA"/>
    <w:rsid w:val="00F95CDE"/>
    <w:rsid w:val="00F97733"/>
    <w:rsid w:val="00FA07B9"/>
    <w:rsid w:val="00FA0B45"/>
    <w:rsid w:val="00FA0EBE"/>
    <w:rsid w:val="00FA232E"/>
    <w:rsid w:val="00FA542E"/>
    <w:rsid w:val="00FA6018"/>
    <w:rsid w:val="00FA7493"/>
    <w:rsid w:val="00FB0B64"/>
    <w:rsid w:val="00FB133D"/>
    <w:rsid w:val="00FB4B69"/>
    <w:rsid w:val="00FB4C2E"/>
    <w:rsid w:val="00FB502B"/>
    <w:rsid w:val="00FB5340"/>
    <w:rsid w:val="00FB5C20"/>
    <w:rsid w:val="00FB659E"/>
    <w:rsid w:val="00FC0228"/>
    <w:rsid w:val="00FC03DF"/>
    <w:rsid w:val="00FC0711"/>
    <w:rsid w:val="00FC2794"/>
    <w:rsid w:val="00FC2F0F"/>
    <w:rsid w:val="00FC3EC8"/>
    <w:rsid w:val="00FC463F"/>
    <w:rsid w:val="00FC6D4C"/>
    <w:rsid w:val="00FC7B0B"/>
    <w:rsid w:val="00FC7E84"/>
    <w:rsid w:val="00FD076C"/>
    <w:rsid w:val="00FD1799"/>
    <w:rsid w:val="00FD18A9"/>
    <w:rsid w:val="00FD2EC9"/>
    <w:rsid w:val="00FD3462"/>
    <w:rsid w:val="00FD51D0"/>
    <w:rsid w:val="00FD5205"/>
    <w:rsid w:val="00FD5985"/>
    <w:rsid w:val="00FD5CA0"/>
    <w:rsid w:val="00FD6FB8"/>
    <w:rsid w:val="00FD7636"/>
    <w:rsid w:val="00FE062E"/>
    <w:rsid w:val="00FE0812"/>
    <w:rsid w:val="00FE1D61"/>
    <w:rsid w:val="00FE3595"/>
    <w:rsid w:val="00FE3F02"/>
    <w:rsid w:val="00FE4AF4"/>
    <w:rsid w:val="00FE4E38"/>
    <w:rsid w:val="00FE56F3"/>
    <w:rsid w:val="00FE5D71"/>
    <w:rsid w:val="00FE6610"/>
    <w:rsid w:val="00FE6C22"/>
    <w:rsid w:val="00FE6F4F"/>
    <w:rsid w:val="00FF01D1"/>
    <w:rsid w:val="00FF22BC"/>
    <w:rsid w:val="00FF2305"/>
    <w:rsid w:val="00FF2694"/>
    <w:rsid w:val="00FF3744"/>
    <w:rsid w:val="00FF721C"/>
    <w:rsid w:val="00FF7AD8"/>
    <w:rsid w:val="01290394"/>
    <w:rsid w:val="0185D84E"/>
    <w:rsid w:val="01D3487E"/>
    <w:rsid w:val="02BE2AFB"/>
    <w:rsid w:val="04C640B2"/>
    <w:rsid w:val="05A9C6EA"/>
    <w:rsid w:val="05D0B5EC"/>
    <w:rsid w:val="0645709B"/>
    <w:rsid w:val="066198E3"/>
    <w:rsid w:val="0754C128"/>
    <w:rsid w:val="0796C8E0"/>
    <w:rsid w:val="091E3C47"/>
    <w:rsid w:val="09B42B86"/>
    <w:rsid w:val="0DB7A635"/>
    <w:rsid w:val="0E128C6C"/>
    <w:rsid w:val="0E30E9AC"/>
    <w:rsid w:val="12044450"/>
    <w:rsid w:val="14876014"/>
    <w:rsid w:val="1628B0E7"/>
    <w:rsid w:val="174B62BB"/>
    <w:rsid w:val="18B0C4AE"/>
    <w:rsid w:val="1907D294"/>
    <w:rsid w:val="194A9F62"/>
    <w:rsid w:val="1975661D"/>
    <w:rsid w:val="1A05AA7E"/>
    <w:rsid w:val="1A90AEB0"/>
    <w:rsid w:val="1DA8728D"/>
    <w:rsid w:val="1DBA7AE6"/>
    <w:rsid w:val="1DBBE73C"/>
    <w:rsid w:val="1EA956C3"/>
    <w:rsid w:val="1EB61BA8"/>
    <w:rsid w:val="1EEA6C87"/>
    <w:rsid w:val="1EF30FC0"/>
    <w:rsid w:val="1FBC2FC0"/>
    <w:rsid w:val="1FF50169"/>
    <w:rsid w:val="20839147"/>
    <w:rsid w:val="214A27B6"/>
    <w:rsid w:val="25189689"/>
    <w:rsid w:val="26B70430"/>
    <w:rsid w:val="29CA962B"/>
    <w:rsid w:val="29D801DE"/>
    <w:rsid w:val="2C1FF649"/>
    <w:rsid w:val="2CF2C7C6"/>
    <w:rsid w:val="2D7219F2"/>
    <w:rsid w:val="2F1E6B48"/>
    <w:rsid w:val="30D5E4A5"/>
    <w:rsid w:val="31DA898F"/>
    <w:rsid w:val="35014B46"/>
    <w:rsid w:val="359CC5B6"/>
    <w:rsid w:val="37280DD0"/>
    <w:rsid w:val="37674D2E"/>
    <w:rsid w:val="3773F560"/>
    <w:rsid w:val="39A0F177"/>
    <w:rsid w:val="3A852FDD"/>
    <w:rsid w:val="3AB26A21"/>
    <w:rsid w:val="3AEB9FDF"/>
    <w:rsid w:val="3CD8859F"/>
    <w:rsid w:val="3DED528B"/>
    <w:rsid w:val="3E9E94B3"/>
    <w:rsid w:val="3F2C4D01"/>
    <w:rsid w:val="3FBA5923"/>
    <w:rsid w:val="403AA56A"/>
    <w:rsid w:val="40B27699"/>
    <w:rsid w:val="43205996"/>
    <w:rsid w:val="43DE7CE8"/>
    <w:rsid w:val="43F0360E"/>
    <w:rsid w:val="4416621A"/>
    <w:rsid w:val="4454E0AC"/>
    <w:rsid w:val="447C970A"/>
    <w:rsid w:val="44E677FD"/>
    <w:rsid w:val="4585D758"/>
    <w:rsid w:val="46CDCEB1"/>
    <w:rsid w:val="47E51080"/>
    <w:rsid w:val="4A7014BE"/>
    <w:rsid w:val="4AB1B6B4"/>
    <w:rsid w:val="4CC703C1"/>
    <w:rsid w:val="4EB03D1C"/>
    <w:rsid w:val="4FD287B9"/>
    <w:rsid w:val="532186A9"/>
    <w:rsid w:val="534B46CB"/>
    <w:rsid w:val="53D42962"/>
    <w:rsid w:val="550B8D04"/>
    <w:rsid w:val="584D2D12"/>
    <w:rsid w:val="584FD94F"/>
    <w:rsid w:val="59DD7C2D"/>
    <w:rsid w:val="5B719B6B"/>
    <w:rsid w:val="5C2D6063"/>
    <w:rsid w:val="5C635A6C"/>
    <w:rsid w:val="5CD44CDC"/>
    <w:rsid w:val="5DE2F10F"/>
    <w:rsid w:val="5EEE4F41"/>
    <w:rsid w:val="63086DF5"/>
    <w:rsid w:val="6394403C"/>
    <w:rsid w:val="64A389B4"/>
    <w:rsid w:val="64C38946"/>
    <w:rsid w:val="656234CA"/>
    <w:rsid w:val="67CF5906"/>
    <w:rsid w:val="684EC574"/>
    <w:rsid w:val="6AC1EFF4"/>
    <w:rsid w:val="6B1A555A"/>
    <w:rsid w:val="6C7848A8"/>
    <w:rsid w:val="6CE8BF76"/>
    <w:rsid w:val="6EC769E5"/>
    <w:rsid w:val="6ECFEE93"/>
    <w:rsid w:val="6F013928"/>
    <w:rsid w:val="703D47B7"/>
    <w:rsid w:val="71C289EE"/>
    <w:rsid w:val="758CA504"/>
    <w:rsid w:val="77771569"/>
    <w:rsid w:val="785B628C"/>
    <w:rsid w:val="7BDBE2C7"/>
    <w:rsid w:val="7DBAF7C4"/>
    <w:rsid w:val="7FBC69B4"/>
    <w:rsid w:val="7FDEF59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4CAA53"/>
  <w15:chartTrackingRefBased/>
  <w15:docId w15:val="{8576A0F1-C5C3-4B4A-9CC2-EECE6484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4C7"/>
    <w:rPr>
      <w:rFonts w:ascii="Times New Roman" w:hAnsi="Times New Roman"/>
      <w:sz w:val="24"/>
    </w:rPr>
  </w:style>
  <w:style w:type="paragraph" w:styleId="Heading1">
    <w:name w:val="heading 1"/>
    <w:basedOn w:val="Normal"/>
    <w:next w:val="Normal"/>
    <w:link w:val="Heading1Char"/>
    <w:uiPriority w:val="9"/>
    <w:qFormat/>
    <w:rsid w:val="00DE5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4C7"/>
    <w:rPr>
      <w:rFonts w:eastAsiaTheme="majorEastAsia" w:cstheme="majorBidi"/>
      <w:color w:val="272727" w:themeColor="text1" w:themeTint="D8"/>
    </w:rPr>
  </w:style>
  <w:style w:type="paragraph" w:styleId="Title">
    <w:name w:val="Title"/>
    <w:basedOn w:val="Normal"/>
    <w:next w:val="Normal"/>
    <w:link w:val="TitleChar"/>
    <w:uiPriority w:val="10"/>
    <w:qFormat/>
    <w:rsid w:val="00DE5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4C7"/>
    <w:pPr>
      <w:spacing w:before="160"/>
      <w:jc w:val="center"/>
    </w:pPr>
    <w:rPr>
      <w:i/>
      <w:iCs/>
      <w:color w:val="404040" w:themeColor="text1" w:themeTint="BF"/>
    </w:rPr>
  </w:style>
  <w:style w:type="character" w:customStyle="1" w:styleId="QuoteChar">
    <w:name w:val="Quote Char"/>
    <w:basedOn w:val="DefaultParagraphFont"/>
    <w:link w:val="Quote"/>
    <w:uiPriority w:val="29"/>
    <w:rsid w:val="00DE54C7"/>
    <w:rPr>
      <w:i/>
      <w:iCs/>
      <w:color w:val="404040" w:themeColor="text1" w:themeTint="BF"/>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Ha,L"/>
    <w:basedOn w:val="Normal"/>
    <w:link w:val="ListParagraphChar"/>
    <w:uiPriority w:val="34"/>
    <w:qFormat/>
    <w:rsid w:val="00DE54C7"/>
    <w:pPr>
      <w:ind w:left="720"/>
      <w:contextualSpacing/>
    </w:pPr>
  </w:style>
  <w:style w:type="character" w:styleId="IntenseEmphasis">
    <w:name w:val="Intense Emphasis"/>
    <w:basedOn w:val="DefaultParagraphFont"/>
    <w:uiPriority w:val="21"/>
    <w:qFormat/>
    <w:rsid w:val="00DE54C7"/>
    <w:rPr>
      <w:i/>
      <w:iCs/>
      <w:color w:val="0F4761" w:themeColor="accent1" w:themeShade="BF"/>
    </w:rPr>
  </w:style>
  <w:style w:type="paragraph" w:styleId="IntenseQuote">
    <w:name w:val="Intense Quote"/>
    <w:basedOn w:val="Normal"/>
    <w:next w:val="Normal"/>
    <w:link w:val="IntenseQuoteChar"/>
    <w:uiPriority w:val="30"/>
    <w:qFormat/>
    <w:rsid w:val="00DE5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4C7"/>
    <w:rPr>
      <w:i/>
      <w:iCs/>
      <w:color w:val="0F4761" w:themeColor="accent1" w:themeShade="BF"/>
    </w:rPr>
  </w:style>
  <w:style w:type="character" w:styleId="IntenseReference">
    <w:name w:val="Intense Reference"/>
    <w:basedOn w:val="DefaultParagraphFont"/>
    <w:uiPriority w:val="32"/>
    <w:qFormat/>
    <w:rsid w:val="00DE54C7"/>
    <w:rPr>
      <w:b/>
      <w:bCs/>
      <w:smallCaps/>
      <w:color w:val="0F4761" w:themeColor="accent1" w:themeShade="BF"/>
      <w:spacing w:val="5"/>
    </w:rPr>
  </w:style>
  <w:style w:type="character" w:customStyle="1" w:styleId="Marker">
    <w:name w:val="Marker"/>
    <w:basedOn w:val="DefaultParagraphFont"/>
    <w:rsid w:val="00DE54C7"/>
    <w:rPr>
      <w:color w:val="0000FF"/>
      <w:shd w:val="clear" w:color="auto" w:fill="auto"/>
    </w:rPr>
  </w:style>
  <w:style w:type="paragraph" w:styleId="Header">
    <w:name w:val="header"/>
    <w:basedOn w:val="Normal"/>
    <w:link w:val="HeaderChar"/>
    <w:uiPriority w:val="99"/>
    <w:unhideWhenUsed/>
    <w:rsid w:val="00DE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4C7"/>
  </w:style>
  <w:style w:type="paragraph" w:styleId="Footer">
    <w:name w:val="footer"/>
    <w:basedOn w:val="Normal"/>
    <w:link w:val="FooterChar"/>
    <w:uiPriority w:val="99"/>
    <w:unhideWhenUsed/>
    <w:rsid w:val="00DE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4C7"/>
  </w:style>
  <w:style w:type="paragraph" w:customStyle="1" w:styleId="Pagedecouverture">
    <w:name w:val="Page de couverture"/>
    <w:basedOn w:val="Normal"/>
    <w:next w:val="Normal"/>
    <w:rsid w:val="00DE54C7"/>
    <w:pPr>
      <w:spacing w:after="0" w:line="240" w:lineRule="auto"/>
      <w:jc w:val="both"/>
    </w:pPr>
    <w:rPr>
      <w:rFonts w:cs="Times New Roman"/>
    </w:rPr>
  </w:style>
  <w:style w:type="paragraph" w:customStyle="1" w:styleId="FooterCoverPage">
    <w:name w:val="Footer Cover Page"/>
    <w:basedOn w:val="Normal"/>
    <w:link w:val="FooterCoverPageChar"/>
    <w:rsid w:val="00DE54C7"/>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DE54C7"/>
    <w:rPr>
      <w:rFonts w:ascii="Times New Roman" w:hAnsi="Times New Roman"/>
      <w:sz w:val="24"/>
    </w:rPr>
  </w:style>
  <w:style w:type="paragraph" w:customStyle="1" w:styleId="FooterSensitivity">
    <w:name w:val="Footer Sensitivity"/>
    <w:basedOn w:val="Normal"/>
    <w:link w:val="FooterSensitivityChar"/>
    <w:rsid w:val="00DE54C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DE54C7"/>
    <w:rPr>
      <w:rFonts w:ascii="Times New Roman" w:hAnsi="Times New Roman"/>
      <w:b/>
      <w:sz w:val="32"/>
    </w:rPr>
  </w:style>
  <w:style w:type="paragraph" w:customStyle="1" w:styleId="HeaderCoverPage">
    <w:name w:val="Header Cover Page"/>
    <w:basedOn w:val="Normal"/>
    <w:link w:val="HeaderCoverPageChar"/>
    <w:rsid w:val="00DE54C7"/>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DE54C7"/>
    <w:rPr>
      <w:rFonts w:ascii="Times New Roman" w:hAnsi="Times New Roman"/>
      <w:sz w:val="24"/>
    </w:rPr>
  </w:style>
  <w:style w:type="paragraph" w:customStyle="1" w:styleId="HeaderSensitivity">
    <w:name w:val="Header Sensitivity"/>
    <w:basedOn w:val="Normal"/>
    <w:link w:val="HeaderSensitivityChar"/>
    <w:rsid w:val="00DE54C7"/>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DE54C7"/>
    <w:rPr>
      <w:rFonts w:ascii="Times New Roman" w:hAnsi="Times New Roman"/>
      <w:b/>
      <w:sz w:val="32"/>
    </w:rPr>
  </w:style>
  <w:style w:type="paragraph" w:customStyle="1" w:styleId="HeaderSensitivityRight">
    <w:name w:val="Header Sensitivity Right"/>
    <w:basedOn w:val="Normal"/>
    <w:link w:val="HeaderSensitivityRightChar"/>
    <w:rsid w:val="00822E3A"/>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DE54C7"/>
    <w:rPr>
      <w:rFonts w:ascii="Times New Roman" w:hAnsi="Times New Roman"/>
      <w:sz w:val="28"/>
    </w:rPr>
  </w:style>
  <w:style w:type="paragraph" w:styleId="TOC1">
    <w:name w:val="toc 1"/>
    <w:basedOn w:val="Normal"/>
    <w:next w:val="Normal"/>
    <w:uiPriority w:val="39"/>
    <w:unhideWhenUsed/>
    <w:rsid w:val="00DE54C7"/>
    <w:pPr>
      <w:spacing w:after="100"/>
      <w:jc w:val="both"/>
    </w:pPr>
  </w:style>
  <w:style w:type="character" w:styleId="Hyperlink">
    <w:name w:val="Hyperlink"/>
    <w:basedOn w:val="DefaultParagraphFont"/>
    <w:uiPriority w:val="99"/>
    <w:unhideWhenUsed/>
    <w:rsid w:val="00DE54C7"/>
    <w:rPr>
      <w:color w:val="467886"/>
      <w:u w:val="single"/>
    </w:rPr>
  </w:style>
  <w:style w:type="paragraph" w:styleId="TOC2">
    <w:name w:val="toc 2"/>
    <w:basedOn w:val="Normal"/>
    <w:next w:val="Normal"/>
    <w:uiPriority w:val="39"/>
    <w:unhideWhenUsed/>
    <w:rsid w:val="00DE54C7"/>
    <w:pPr>
      <w:spacing w:after="100"/>
      <w:ind w:left="220"/>
      <w:jc w:val="both"/>
    </w:pPr>
  </w:style>
  <w:style w:type="table" w:styleId="TableGrid">
    <w:name w:val="Table Grid"/>
    <w:basedOn w:val="TableNormal"/>
    <w:uiPriority w:val="39"/>
    <w:rsid w:val="00DE54C7"/>
    <w:pPr>
      <w:spacing w:after="0" w:line="240" w:lineRule="auto"/>
    </w:pPr>
    <w:tblPr/>
  </w:style>
  <w:style w:type="paragraph" w:styleId="Caption">
    <w:name w:val="caption"/>
    <w:basedOn w:val="Normal"/>
    <w:next w:val="Normal"/>
    <w:uiPriority w:val="35"/>
    <w:semiHidden/>
    <w:unhideWhenUsed/>
    <w:qFormat/>
    <w:rsid w:val="00DE54C7"/>
    <w:pPr>
      <w:spacing w:after="200" w:line="240" w:lineRule="auto"/>
      <w:jc w:val="both"/>
    </w:pPr>
    <w:rPr>
      <w:i/>
      <w:iCs/>
      <w:color w:val="0E2841" w:themeColor="text2"/>
      <w:kern w:val="2"/>
      <w:sz w:val="18"/>
      <w:szCs w:val="18"/>
      <w14:ligatures w14:val="standardContextual"/>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Ha Char"/>
    <w:basedOn w:val="DefaultParagraphFont"/>
    <w:link w:val="ListParagraph"/>
    <w:uiPriority w:val="34"/>
    <w:qFormat/>
    <w:locked/>
    <w:rsid w:val="00DE54C7"/>
  </w:style>
  <w:style w:type="character" w:styleId="Strong">
    <w:name w:val="Strong"/>
    <w:basedOn w:val="DefaultParagraphFont"/>
    <w:uiPriority w:val="22"/>
    <w:qFormat/>
    <w:rsid w:val="00DE54C7"/>
    <w:rPr>
      <w:b/>
      <w:bCs/>
      <w:color w:val="auto"/>
      <w:sz w:val="24"/>
    </w:rPr>
  </w:style>
  <w:style w:type="paragraph" w:styleId="FootnoteText">
    <w:name w:val="footnote text"/>
    <w:aliases w:val="Fußnotentext Char,fn,Footnote ak,FußnotentextE,Footnote ak Carattere,Note de bas de page Car Car,Note de bas de page Car Car Car Car Car,Note de bas de page Car Car Car Car,Note de bas de page Car Car Car,stile 1,o,f,Footnote text,Fußnote"/>
    <w:basedOn w:val="Normal"/>
    <w:link w:val="FootnoteTextChar"/>
    <w:autoRedefine/>
    <w:unhideWhenUsed/>
    <w:qFormat/>
    <w:rsid w:val="005F0923"/>
    <w:pPr>
      <w:spacing w:after="0" w:line="240" w:lineRule="auto"/>
      <w:jc w:val="both"/>
    </w:pPr>
    <w:rPr>
      <w:rFonts w:eastAsia="Times New Roman" w:cs="Times New Roman"/>
      <w:kern w:val="2"/>
      <w:sz w:val="20"/>
      <w:szCs w:val="24"/>
      <w14:ligatures w14:val="standardContextual"/>
    </w:rPr>
  </w:style>
  <w:style w:type="character" w:customStyle="1" w:styleId="FootnoteTextChar">
    <w:name w:val="Footnote Text Char"/>
    <w:aliases w:val="Fußnotentext Char Char,fn Char,Footnote ak Char,FußnotentextE Char,Footnote ak Carattere Char,Note de bas de page Car Car Char,Note de bas de page Car Car Car Car Car Char,Note de bas de page Car Car Car Car Char,stile 1 Char,o Char"/>
    <w:basedOn w:val="DefaultParagraphFont"/>
    <w:link w:val="FootnoteText"/>
    <w:qFormat/>
    <w:rsid w:val="005F0923"/>
    <w:rPr>
      <w:rFonts w:ascii="Times New Roman" w:eastAsia="Times New Roman" w:hAnsi="Times New Roman" w:cs="Times New Roman"/>
      <w:kern w:val="2"/>
      <w:sz w:val="20"/>
      <w:szCs w:val="24"/>
      <w:lang w:val="hr-HR"/>
      <w14:ligatures w14:val="standardContextual"/>
    </w:rPr>
  </w:style>
  <w:style w:type="character" w:styleId="FootnoteReference">
    <w:name w:val="footnote reference"/>
    <w:aliases w:val="Footnote symbol,Times 10 Point,Exposant 3 Point,Footnote reference number,SUPERS,EN Footnote Reference,note TESI,stylish,number,no...,Footnote,Footnote Reference/,Footnote Reference Superscript,(Footnote Reference),Footnote number,ftr"/>
    <w:basedOn w:val="DefaultParagraphFont"/>
    <w:link w:val="Appelnotedebasdep"/>
    <w:unhideWhenUsed/>
    <w:qFormat/>
    <w:rsid w:val="00DE54C7"/>
    <w:rPr>
      <w:vertAlign w:val="superscript"/>
    </w:rPr>
  </w:style>
  <w:style w:type="paragraph" w:customStyle="1" w:styleId="Appelnotedebasdep">
    <w:name w:val="Appel note de bas de p."/>
    <w:aliases w:val="BVI fnr Car Car Car Car,footnote reference,BVI fnr Car Car,BVI fnr Car,BVI fnr Car Car Car Car Char,Appel note de bas de p..BVI fnr Car Car Car Car,Appel note de bas de p..BVI fnr Car Car Car Car1, BVI fnr Car Car"/>
    <w:basedOn w:val="Normal"/>
    <w:link w:val="FootnoteReference"/>
    <w:rsid w:val="00DE54C7"/>
    <w:pPr>
      <w:spacing w:line="240" w:lineRule="exact"/>
      <w:jc w:val="both"/>
    </w:pPr>
    <w:rPr>
      <w:vertAlign w:val="superscript"/>
    </w:rPr>
  </w:style>
  <w:style w:type="paragraph" w:styleId="TOC3">
    <w:name w:val="toc 3"/>
    <w:basedOn w:val="Normal"/>
    <w:next w:val="Normal"/>
    <w:autoRedefine/>
    <w:uiPriority w:val="39"/>
    <w:unhideWhenUsed/>
    <w:rsid w:val="00DE54C7"/>
    <w:pPr>
      <w:spacing w:after="100"/>
      <w:ind w:left="480"/>
      <w:jc w:val="both"/>
    </w:pPr>
  </w:style>
  <w:style w:type="character" w:styleId="CommentReference">
    <w:name w:val="annotation reference"/>
    <w:basedOn w:val="DefaultParagraphFont"/>
    <w:uiPriority w:val="99"/>
    <w:unhideWhenUsed/>
    <w:rsid w:val="00DE54C7"/>
    <w:rPr>
      <w:sz w:val="16"/>
      <w:szCs w:val="16"/>
    </w:rPr>
  </w:style>
  <w:style w:type="paragraph" w:styleId="CommentText">
    <w:name w:val="annotation text"/>
    <w:basedOn w:val="Normal"/>
    <w:link w:val="CommentTextChar"/>
    <w:uiPriority w:val="99"/>
    <w:unhideWhenUsed/>
    <w:rsid w:val="00DE54C7"/>
    <w:pPr>
      <w:spacing w:line="240" w:lineRule="auto"/>
      <w:jc w:val="both"/>
    </w:pPr>
    <w:rPr>
      <w:sz w:val="20"/>
      <w:szCs w:val="20"/>
    </w:rPr>
  </w:style>
  <w:style w:type="character" w:customStyle="1" w:styleId="CommentTextChar">
    <w:name w:val="Comment Text Char"/>
    <w:basedOn w:val="DefaultParagraphFont"/>
    <w:link w:val="CommentText"/>
    <w:uiPriority w:val="99"/>
    <w:rsid w:val="00DE54C7"/>
    <w:rPr>
      <w:rFonts w:ascii="Times New Roman" w:hAnsi="Times New Roman"/>
      <w:sz w:val="20"/>
      <w:szCs w:val="20"/>
      <w:lang w:val="hr-HR"/>
    </w:rPr>
  </w:style>
  <w:style w:type="paragraph" w:styleId="CommentSubject">
    <w:name w:val="annotation subject"/>
    <w:basedOn w:val="CommentText"/>
    <w:next w:val="CommentText"/>
    <w:link w:val="CommentSubjectChar"/>
    <w:uiPriority w:val="99"/>
    <w:semiHidden/>
    <w:unhideWhenUsed/>
    <w:rsid w:val="00DE54C7"/>
    <w:rPr>
      <w:b/>
      <w:bCs/>
    </w:rPr>
  </w:style>
  <w:style w:type="character" w:customStyle="1" w:styleId="CommentSubjectChar">
    <w:name w:val="Comment Subject Char"/>
    <w:basedOn w:val="CommentTextChar"/>
    <w:link w:val="CommentSubject"/>
    <w:uiPriority w:val="99"/>
    <w:semiHidden/>
    <w:rsid w:val="00DE54C7"/>
    <w:rPr>
      <w:rFonts w:ascii="Times New Roman" w:hAnsi="Times New Roman"/>
      <w:b/>
      <w:bCs/>
      <w:sz w:val="20"/>
      <w:szCs w:val="20"/>
      <w:lang w:val="hr-HR"/>
    </w:rPr>
  </w:style>
  <w:style w:type="paragraph" w:customStyle="1" w:styleId="Text2">
    <w:name w:val="Text 2"/>
    <w:basedOn w:val="Normal"/>
    <w:rsid w:val="00DE54C7"/>
    <w:pPr>
      <w:tabs>
        <w:tab w:val="left" w:pos="2302"/>
      </w:tabs>
      <w:spacing w:after="120" w:line="240" w:lineRule="auto"/>
      <w:ind w:left="1202"/>
      <w:jc w:val="both"/>
    </w:pPr>
    <w:rPr>
      <w:rFonts w:eastAsia="Times New Roman" w:cs="Times New Roman"/>
      <w:szCs w:val="20"/>
    </w:rPr>
  </w:style>
  <w:style w:type="character" w:styleId="FollowedHyperlink">
    <w:name w:val="FollowedHyperlink"/>
    <w:basedOn w:val="DefaultParagraphFont"/>
    <w:uiPriority w:val="99"/>
    <w:semiHidden/>
    <w:unhideWhenUsed/>
    <w:rsid w:val="00DE54C7"/>
    <w:rPr>
      <w:color w:val="96607D" w:themeColor="followedHyperlink"/>
      <w:u w:val="single"/>
    </w:rPr>
  </w:style>
  <w:style w:type="character" w:customStyle="1" w:styleId="UnresolvedMention1">
    <w:name w:val="Unresolved Mention1"/>
    <w:basedOn w:val="DefaultParagraphFont"/>
    <w:uiPriority w:val="99"/>
    <w:semiHidden/>
    <w:unhideWhenUsed/>
    <w:rsid w:val="00DE54C7"/>
    <w:rPr>
      <w:color w:val="605E5C"/>
      <w:shd w:val="clear" w:color="auto" w:fill="E1DFDD"/>
    </w:rPr>
  </w:style>
  <w:style w:type="paragraph" w:styleId="Revision">
    <w:name w:val="Revision"/>
    <w:hidden/>
    <w:uiPriority w:val="99"/>
    <w:semiHidden/>
    <w:rsid w:val="00DE54C7"/>
    <w:pPr>
      <w:spacing w:after="0" w:line="240" w:lineRule="auto"/>
    </w:pPr>
    <w:rPr>
      <w:rFonts w:ascii="Times New Roman" w:hAnsi="Times New Roman"/>
      <w:sz w:val="24"/>
    </w:rPr>
  </w:style>
  <w:style w:type="character" w:customStyle="1" w:styleId="cf01">
    <w:name w:val="cf01"/>
    <w:basedOn w:val="DefaultParagraphFont"/>
    <w:rsid w:val="00DE54C7"/>
    <w:rPr>
      <w:rFonts w:ascii="Segoe UI" w:hAnsi="Segoe UI" w:cs="Segoe UI" w:hint="default"/>
      <w:sz w:val="18"/>
      <w:szCs w:val="18"/>
    </w:rPr>
  </w:style>
  <w:style w:type="paragraph" w:customStyle="1" w:styleId="Default">
    <w:name w:val="Default"/>
    <w:rsid w:val="00DE54C7"/>
    <w:pPr>
      <w:autoSpaceDE w:val="0"/>
      <w:autoSpaceDN w:val="0"/>
      <w:adjustRightInd w:val="0"/>
      <w:spacing w:after="0" w:line="240" w:lineRule="auto"/>
    </w:pPr>
    <w:rPr>
      <w:rFonts w:ascii="Arial" w:hAnsi="Arial" w:cs="Arial"/>
      <w:color w:val="000000"/>
      <w:sz w:val="24"/>
      <w:szCs w:val="24"/>
    </w:rPr>
  </w:style>
  <w:style w:type="paragraph" w:customStyle="1" w:styleId="footnote1">
    <w:name w:val="footnote1"/>
    <w:basedOn w:val="Normal"/>
    <w:qFormat/>
    <w:rsid w:val="00DE54C7"/>
    <w:pPr>
      <w:spacing w:after="0" w:line="240" w:lineRule="auto"/>
      <w:ind w:left="720" w:hanging="720"/>
      <w:jc w:val="both"/>
    </w:pPr>
    <w:rPr>
      <w:rFonts w:eastAsiaTheme="minorEastAsia"/>
      <w:sz w:val="20"/>
      <w:lang w:eastAsia="en-GB"/>
    </w:rPr>
  </w:style>
  <w:style w:type="paragraph" w:customStyle="1" w:styleId="BulletedList">
    <w:name w:val="Bulleted List"/>
    <w:uiPriority w:val="12"/>
    <w:qFormat/>
    <w:rsid w:val="00DE54C7"/>
    <w:pPr>
      <w:numPr>
        <w:numId w:val="2"/>
      </w:numPr>
      <w:spacing w:after="60" w:line="260" w:lineRule="exact"/>
      <w:jc w:val="both"/>
    </w:pPr>
    <w:rPr>
      <w:color w:val="000000" w:themeColor="text1"/>
      <w:sz w:val="20"/>
    </w:rPr>
  </w:style>
  <w:style w:type="character" w:styleId="Emphasis">
    <w:name w:val="Emphasis"/>
    <w:basedOn w:val="DefaultParagraphFont"/>
    <w:uiPriority w:val="20"/>
    <w:qFormat/>
    <w:rsid w:val="00DE54C7"/>
    <w:rPr>
      <w:i/>
      <w:iCs/>
    </w:rPr>
  </w:style>
  <w:style w:type="paragraph" w:customStyle="1" w:styleId="Para">
    <w:name w:val="Para #"/>
    <w:basedOn w:val="Normal"/>
    <w:link w:val="ParaChar"/>
    <w:uiPriority w:val="4"/>
    <w:qFormat/>
    <w:rsid w:val="00DE54C7"/>
    <w:pPr>
      <w:numPr>
        <w:numId w:val="1"/>
      </w:numPr>
      <w:spacing w:before="120" w:after="120" w:line="260" w:lineRule="atLeast"/>
      <w:jc w:val="both"/>
    </w:pPr>
    <w:rPr>
      <w:rFonts w:eastAsiaTheme="minorEastAsia"/>
      <w:sz w:val="20"/>
      <w:szCs w:val="20"/>
    </w:rPr>
  </w:style>
  <w:style w:type="character" w:customStyle="1" w:styleId="normaltextrun">
    <w:name w:val="normaltextrun"/>
    <w:basedOn w:val="DefaultParagraphFont"/>
    <w:rsid w:val="00DE54C7"/>
    <w:rPr>
      <w:rFonts w:asciiTheme="minorHAnsi" w:eastAsiaTheme="minorEastAsia" w:hAnsiTheme="minorHAnsi" w:cstheme="minorBidi"/>
      <w:sz w:val="22"/>
      <w:szCs w:val="22"/>
    </w:rPr>
  </w:style>
  <w:style w:type="character" w:customStyle="1" w:styleId="eop">
    <w:name w:val="eop"/>
    <w:basedOn w:val="DefaultParagraphFont"/>
    <w:rsid w:val="00DE54C7"/>
    <w:rPr>
      <w:rFonts w:asciiTheme="minorHAnsi" w:eastAsiaTheme="minorEastAsia" w:hAnsiTheme="minorHAnsi" w:cstheme="minorBidi"/>
      <w:sz w:val="22"/>
      <w:szCs w:val="22"/>
    </w:rPr>
  </w:style>
  <w:style w:type="paragraph" w:customStyle="1" w:styleId="paragraph">
    <w:name w:val="paragraph"/>
    <w:basedOn w:val="Normal"/>
    <w:rsid w:val="00DE54C7"/>
    <w:pPr>
      <w:spacing w:beforeAutospacing="1" w:afterAutospacing="1" w:line="240" w:lineRule="auto"/>
      <w:jc w:val="both"/>
    </w:pPr>
    <w:rPr>
      <w:rFonts w:eastAsiaTheme="minorEastAsia"/>
      <w:lang w:eastAsia="de-DE"/>
    </w:rPr>
  </w:style>
  <w:style w:type="character" w:customStyle="1" w:styleId="findhit">
    <w:name w:val="findhit"/>
    <w:basedOn w:val="DefaultParagraphFont"/>
    <w:rsid w:val="00DE54C7"/>
  </w:style>
  <w:style w:type="character" w:customStyle="1" w:styleId="contentcontrolboundarysink">
    <w:name w:val="contentcontrolboundarysink"/>
    <w:basedOn w:val="DefaultParagraphFont"/>
    <w:rsid w:val="00DE54C7"/>
  </w:style>
  <w:style w:type="character" w:customStyle="1" w:styleId="ParaChar">
    <w:name w:val="Para # Char"/>
    <w:basedOn w:val="DefaultParagraphFont"/>
    <w:link w:val="Para"/>
    <w:uiPriority w:val="4"/>
    <w:rsid w:val="00DE54C7"/>
    <w:rPr>
      <w:rFonts w:eastAsiaTheme="minorEastAsia"/>
      <w:sz w:val="20"/>
      <w:szCs w:val="20"/>
      <w:lang w:val="hr-HR"/>
    </w:rPr>
  </w:style>
  <w:style w:type="character" w:customStyle="1" w:styleId="Mention1">
    <w:name w:val="Mention1"/>
    <w:basedOn w:val="DefaultParagraphFont"/>
    <w:uiPriority w:val="99"/>
    <w:unhideWhenUsed/>
    <w:rsid w:val="00DE54C7"/>
    <w:rPr>
      <w:color w:val="2B579A"/>
      <w:shd w:val="clear" w:color="auto" w:fill="E1DFDD"/>
    </w:rPr>
  </w:style>
  <w:style w:type="paragraph" w:styleId="NormalWeb">
    <w:name w:val="Normal (Web)"/>
    <w:basedOn w:val="Normal"/>
    <w:uiPriority w:val="99"/>
    <w:unhideWhenUsed/>
    <w:rsid w:val="00DE54C7"/>
    <w:pPr>
      <w:jc w:val="both"/>
    </w:pPr>
    <w:rPr>
      <w:rFonts w:cs="Times New Roman"/>
      <w:szCs w:val="24"/>
    </w:rPr>
  </w:style>
  <w:style w:type="paragraph" w:customStyle="1" w:styleId="HeadingThree">
    <w:name w:val="HeadingThree"/>
    <w:basedOn w:val="Heading3"/>
    <w:next w:val="Normal"/>
    <w:link w:val="HeadingThreeChar"/>
    <w:qFormat/>
    <w:rsid w:val="00DE54C7"/>
    <w:pPr>
      <w:spacing w:before="240" w:after="240" w:line="276" w:lineRule="auto"/>
      <w:jc w:val="both"/>
    </w:pPr>
    <w:rPr>
      <w:rFonts w:cs="Times New Roman"/>
      <w:b/>
      <w:bCs/>
      <w:sz w:val="24"/>
      <w:lang w:eastAsia="en-GB"/>
    </w:rPr>
  </w:style>
  <w:style w:type="character" w:customStyle="1" w:styleId="HeadingThreeChar">
    <w:name w:val="HeadingThree Char"/>
    <w:basedOn w:val="Heading3Char"/>
    <w:link w:val="HeadingThree"/>
    <w:rsid w:val="00DE54C7"/>
    <w:rPr>
      <w:rFonts w:ascii="Times New Roman" w:eastAsiaTheme="majorEastAsia" w:hAnsi="Times New Roman" w:cs="Times New Roman"/>
      <w:b/>
      <w:bCs/>
      <w:color w:val="0F4761" w:themeColor="accent1" w:themeShade="BF"/>
      <w:sz w:val="24"/>
      <w:szCs w:val="28"/>
      <w:lang w:val="hr-HR" w:eastAsia="en-GB"/>
    </w:rPr>
  </w:style>
  <w:style w:type="paragraph" w:styleId="BodyText">
    <w:name w:val="Body Text"/>
    <w:basedOn w:val="Normal"/>
    <w:link w:val="BodyTextChar"/>
    <w:uiPriority w:val="1"/>
    <w:qFormat/>
    <w:rsid w:val="00DE54C7"/>
    <w:pPr>
      <w:widowControl w:val="0"/>
      <w:autoSpaceDE w:val="0"/>
      <w:autoSpaceDN w:val="0"/>
      <w:spacing w:after="0" w:line="240" w:lineRule="auto"/>
      <w:jc w:val="both"/>
    </w:pPr>
    <w:rPr>
      <w:rFonts w:eastAsia="Times New Roman" w:cs="Times New Roman"/>
    </w:rPr>
  </w:style>
  <w:style w:type="character" w:customStyle="1" w:styleId="BodyTextChar">
    <w:name w:val="Body Text Char"/>
    <w:basedOn w:val="DefaultParagraphFont"/>
    <w:link w:val="BodyText"/>
    <w:uiPriority w:val="1"/>
    <w:rsid w:val="00DE54C7"/>
    <w:rPr>
      <w:rFonts w:ascii="Times New Roman" w:eastAsia="Times New Roman" w:hAnsi="Times New Roman" w:cs="Times New Roman"/>
      <w:lang w:val="hr-HR"/>
    </w:rPr>
  </w:style>
  <w:style w:type="paragraph" w:customStyle="1" w:styleId="Disclaimer">
    <w:name w:val="Disclaimer"/>
    <w:basedOn w:val="Normal"/>
    <w:rsid w:val="00DE54C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cs="Times New Roman"/>
    </w:rPr>
  </w:style>
  <w:style w:type="paragraph" w:customStyle="1" w:styleId="SecurityMarking">
    <w:name w:val="SecurityMarking"/>
    <w:basedOn w:val="Normal"/>
    <w:rsid w:val="00822E3A"/>
    <w:pPr>
      <w:spacing w:after="0" w:line="276" w:lineRule="auto"/>
      <w:ind w:left="5103"/>
    </w:pPr>
    <w:rPr>
      <w:rFonts w:cs="Times New Roman"/>
      <w:sz w:val="28"/>
    </w:rPr>
  </w:style>
  <w:style w:type="paragraph" w:customStyle="1" w:styleId="DateMarking">
    <w:name w:val="DateMarking"/>
    <w:basedOn w:val="Normal"/>
    <w:rsid w:val="00822E3A"/>
    <w:pPr>
      <w:spacing w:after="0" w:line="276" w:lineRule="auto"/>
      <w:ind w:left="5103"/>
    </w:pPr>
    <w:rPr>
      <w:rFonts w:cs="Times New Roman"/>
      <w:i/>
      <w:sz w:val="28"/>
    </w:rPr>
  </w:style>
  <w:style w:type="paragraph" w:customStyle="1" w:styleId="ReleasableTo">
    <w:name w:val="ReleasableTo"/>
    <w:basedOn w:val="Normal"/>
    <w:rsid w:val="00822E3A"/>
    <w:pPr>
      <w:spacing w:after="0" w:line="276" w:lineRule="auto"/>
      <w:ind w:left="5103"/>
    </w:pPr>
    <w:rPr>
      <w:rFonts w:cs="Times New Roman"/>
      <w:i/>
      <w:sz w:val="28"/>
    </w:rPr>
  </w:style>
  <w:style w:type="paragraph" w:customStyle="1" w:styleId="pf0">
    <w:name w:val="pf0"/>
    <w:basedOn w:val="Normal"/>
    <w:rsid w:val="00DE54C7"/>
    <w:pPr>
      <w:spacing w:before="100" w:beforeAutospacing="1" w:after="100" w:afterAutospacing="1" w:line="240" w:lineRule="auto"/>
    </w:pPr>
    <w:rPr>
      <w:rFonts w:eastAsia="Times New Roman" w:cs="Times New Roman"/>
      <w:szCs w:val="24"/>
      <w:lang w:eastAsia="en-IE"/>
    </w:rPr>
  </w:style>
  <w:style w:type="character" w:customStyle="1" w:styleId="cf11">
    <w:name w:val="cf11"/>
    <w:basedOn w:val="DefaultParagraphFont"/>
    <w:rsid w:val="00DE54C7"/>
    <w:rPr>
      <w:rFonts w:ascii="Segoe UI" w:hAnsi="Segoe UI" w:cs="Segoe UI" w:hint="default"/>
      <w:color w:val="FF0000"/>
      <w:sz w:val="18"/>
      <w:szCs w:val="18"/>
    </w:rPr>
  </w:style>
  <w:style w:type="paragraph" w:customStyle="1" w:styleId="Pagenumbers">
    <w:name w:val="Page numbers"/>
    <w:basedOn w:val="Pagedecouverture"/>
    <w:rsid w:val="00914153"/>
  </w:style>
  <w:style w:type="paragraph" w:styleId="BalloonText">
    <w:name w:val="Balloon Text"/>
    <w:basedOn w:val="Normal"/>
    <w:link w:val="BalloonTextChar"/>
    <w:uiPriority w:val="99"/>
    <w:semiHidden/>
    <w:unhideWhenUsed/>
    <w:rsid w:val="00144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52871">
      <w:bodyDiv w:val="1"/>
      <w:marLeft w:val="0"/>
      <w:marRight w:val="0"/>
      <w:marTop w:val="0"/>
      <w:marBottom w:val="0"/>
      <w:divBdr>
        <w:top w:val="none" w:sz="0" w:space="0" w:color="auto"/>
        <w:left w:val="none" w:sz="0" w:space="0" w:color="auto"/>
        <w:bottom w:val="none" w:sz="0" w:space="0" w:color="auto"/>
        <w:right w:val="none" w:sz="0" w:space="0" w:color="auto"/>
      </w:divBdr>
    </w:div>
    <w:div w:id="556670644">
      <w:bodyDiv w:val="1"/>
      <w:marLeft w:val="0"/>
      <w:marRight w:val="0"/>
      <w:marTop w:val="0"/>
      <w:marBottom w:val="0"/>
      <w:divBdr>
        <w:top w:val="none" w:sz="0" w:space="0" w:color="auto"/>
        <w:left w:val="none" w:sz="0" w:space="0" w:color="auto"/>
        <w:bottom w:val="none" w:sz="0" w:space="0" w:color="auto"/>
        <w:right w:val="none" w:sz="0" w:space="0" w:color="auto"/>
      </w:divBdr>
    </w:div>
    <w:div w:id="760028506">
      <w:bodyDiv w:val="1"/>
      <w:marLeft w:val="0"/>
      <w:marRight w:val="0"/>
      <w:marTop w:val="0"/>
      <w:marBottom w:val="0"/>
      <w:divBdr>
        <w:top w:val="none" w:sz="0" w:space="0" w:color="auto"/>
        <w:left w:val="none" w:sz="0" w:space="0" w:color="auto"/>
        <w:bottom w:val="none" w:sz="0" w:space="0" w:color="auto"/>
        <w:right w:val="none" w:sz="0" w:space="0" w:color="auto"/>
      </w:divBdr>
    </w:div>
    <w:div w:id="852111536">
      <w:bodyDiv w:val="1"/>
      <w:marLeft w:val="0"/>
      <w:marRight w:val="0"/>
      <w:marTop w:val="0"/>
      <w:marBottom w:val="0"/>
      <w:divBdr>
        <w:top w:val="none" w:sz="0" w:space="0" w:color="auto"/>
        <w:left w:val="none" w:sz="0" w:space="0" w:color="auto"/>
        <w:bottom w:val="none" w:sz="0" w:space="0" w:color="auto"/>
        <w:right w:val="none" w:sz="0" w:space="0" w:color="auto"/>
      </w:divBdr>
    </w:div>
    <w:div w:id="982465342">
      <w:bodyDiv w:val="1"/>
      <w:marLeft w:val="0"/>
      <w:marRight w:val="0"/>
      <w:marTop w:val="0"/>
      <w:marBottom w:val="0"/>
      <w:divBdr>
        <w:top w:val="none" w:sz="0" w:space="0" w:color="auto"/>
        <w:left w:val="none" w:sz="0" w:space="0" w:color="auto"/>
        <w:bottom w:val="none" w:sz="0" w:space="0" w:color="auto"/>
        <w:right w:val="none" w:sz="0" w:space="0" w:color="auto"/>
      </w:divBdr>
    </w:div>
    <w:div w:id="1060443712">
      <w:bodyDiv w:val="1"/>
      <w:marLeft w:val="0"/>
      <w:marRight w:val="0"/>
      <w:marTop w:val="0"/>
      <w:marBottom w:val="0"/>
      <w:divBdr>
        <w:top w:val="none" w:sz="0" w:space="0" w:color="auto"/>
        <w:left w:val="none" w:sz="0" w:space="0" w:color="auto"/>
        <w:bottom w:val="none" w:sz="0" w:space="0" w:color="auto"/>
        <w:right w:val="none" w:sz="0" w:space="0" w:color="auto"/>
      </w:divBdr>
    </w:div>
    <w:div w:id="1071275338">
      <w:bodyDiv w:val="1"/>
      <w:marLeft w:val="0"/>
      <w:marRight w:val="0"/>
      <w:marTop w:val="0"/>
      <w:marBottom w:val="0"/>
      <w:divBdr>
        <w:top w:val="none" w:sz="0" w:space="0" w:color="auto"/>
        <w:left w:val="none" w:sz="0" w:space="0" w:color="auto"/>
        <w:bottom w:val="none" w:sz="0" w:space="0" w:color="auto"/>
        <w:right w:val="none" w:sz="0" w:space="0" w:color="auto"/>
      </w:divBdr>
    </w:div>
    <w:div w:id="1293825648">
      <w:bodyDiv w:val="1"/>
      <w:marLeft w:val="0"/>
      <w:marRight w:val="0"/>
      <w:marTop w:val="0"/>
      <w:marBottom w:val="0"/>
      <w:divBdr>
        <w:top w:val="none" w:sz="0" w:space="0" w:color="auto"/>
        <w:left w:val="none" w:sz="0" w:space="0" w:color="auto"/>
        <w:bottom w:val="none" w:sz="0" w:space="0" w:color="auto"/>
        <w:right w:val="none" w:sz="0" w:space="0" w:color="auto"/>
      </w:divBdr>
    </w:div>
    <w:div w:id="1475948499">
      <w:bodyDiv w:val="1"/>
      <w:marLeft w:val="0"/>
      <w:marRight w:val="0"/>
      <w:marTop w:val="0"/>
      <w:marBottom w:val="0"/>
      <w:divBdr>
        <w:top w:val="none" w:sz="0" w:space="0" w:color="auto"/>
        <w:left w:val="none" w:sz="0" w:space="0" w:color="auto"/>
        <w:bottom w:val="none" w:sz="0" w:space="0" w:color="auto"/>
        <w:right w:val="none" w:sz="0" w:space="0" w:color="auto"/>
      </w:divBdr>
    </w:div>
    <w:div w:id="1726566481">
      <w:bodyDiv w:val="1"/>
      <w:marLeft w:val="0"/>
      <w:marRight w:val="0"/>
      <w:marTop w:val="0"/>
      <w:marBottom w:val="0"/>
      <w:divBdr>
        <w:top w:val="none" w:sz="0" w:space="0" w:color="auto"/>
        <w:left w:val="none" w:sz="0" w:space="0" w:color="auto"/>
        <w:bottom w:val="none" w:sz="0" w:space="0" w:color="auto"/>
        <w:right w:val="none" w:sz="0" w:space="0" w:color="auto"/>
      </w:divBdr>
    </w:div>
    <w:div w:id="1824809640">
      <w:bodyDiv w:val="1"/>
      <w:marLeft w:val="0"/>
      <w:marRight w:val="0"/>
      <w:marTop w:val="0"/>
      <w:marBottom w:val="0"/>
      <w:divBdr>
        <w:top w:val="none" w:sz="0" w:space="0" w:color="auto"/>
        <w:left w:val="none" w:sz="0" w:space="0" w:color="auto"/>
        <w:bottom w:val="none" w:sz="0" w:space="0" w:color="auto"/>
        <w:right w:val="none" w:sz="0" w:space="0" w:color="auto"/>
      </w:divBdr>
    </w:div>
    <w:div w:id="1842239641">
      <w:bodyDiv w:val="1"/>
      <w:marLeft w:val="0"/>
      <w:marRight w:val="0"/>
      <w:marTop w:val="0"/>
      <w:marBottom w:val="0"/>
      <w:divBdr>
        <w:top w:val="none" w:sz="0" w:space="0" w:color="auto"/>
        <w:left w:val="none" w:sz="0" w:space="0" w:color="auto"/>
        <w:bottom w:val="none" w:sz="0" w:space="0" w:color="auto"/>
        <w:right w:val="none" w:sz="0" w:space="0" w:color="auto"/>
      </w:divBdr>
    </w:div>
    <w:div w:id="19961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17" Type="http://schemas.openxmlformats.org/officeDocument/2006/relationships/hyperlink" Target="https://food2030.eu/projects/zero-hidden-hunger-eu/" TargetMode="External"/><Relationship Id="rId21" Type="http://schemas.openxmlformats.org/officeDocument/2006/relationships/hyperlink" Target="https://eur-lex.europa.eu/eli/reg/2025/327/oj" TargetMode="External"/><Relationship Id="rId42" Type="http://schemas.openxmlformats.org/officeDocument/2006/relationships/hyperlink" Target="https://www.efpia.eu/media/movnhr0y/how-can-we-improve-secondary-cvd-prevention-lse_efpia.pdf" TargetMode="External"/><Relationship Id="rId63" Type="http://schemas.openxmlformats.org/officeDocument/2006/relationships/hyperlink" Target="https://ec.europa.eu/eurostat/databrowser/view/hlth_ehis_pa2e__custom_18900671/bookmark/table?lang=en&amp;bookmarkId=c8e6f582-0742-4889-89fc-44b17ee95566&amp;c=1763137097000" TargetMode="External"/><Relationship Id="rId84" Type="http://schemas.openxmlformats.org/officeDocument/2006/relationships/hyperlink" Target="https://research-and-innovation.ec.europa.eu/research-area/environment/bioeconomy/food-systems/food-2030_hr" TargetMode="External"/><Relationship Id="rId138" Type="http://schemas.openxmlformats.org/officeDocument/2006/relationships/hyperlink" Target="https://www.poccardio-project.eu/" TargetMode="External"/><Relationship Id="rId159" Type="http://schemas.openxmlformats.org/officeDocument/2006/relationships/hyperlink" Target="https://health.eutopia-university.eu/" TargetMode="External"/><Relationship Id="rId170" Type="http://schemas.openxmlformats.org/officeDocument/2006/relationships/hyperlink" Target="https://commission.europa.eu/funding-tenders/find-funding/eu-funding-programmes/technical-support-instrument/technical-support-instrument-tsi_hr" TargetMode="External"/><Relationship Id="rId191" Type="http://schemas.openxmlformats.org/officeDocument/2006/relationships/hyperlink" Target="https://www.escardio.org/static-file/Escardio/Advocacy/Documents/ESC%20Statement%20-%20Lancet%20Commission%20Report%20-%20CVD%20in%20Women.pdf" TargetMode="External"/><Relationship Id="rId205" Type="http://schemas.openxmlformats.org/officeDocument/2006/relationships/hyperlink" Target="https://profid-project.eu/" TargetMode="External"/><Relationship Id="rId107" Type="http://schemas.openxmlformats.org/officeDocument/2006/relationships/hyperlink" Target="https://www.dypede.gr/health4eukids/" TargetMode="External"/><Relationship Id="rId11" Type="http://schemas.openxmlformats.org/officeDocument/2006/relationships/hyperlink" Target="https://ec.europa.eu/info/law/better-regulation/have-your-say/initiatives/14755-Plan-EU-a-za-kardiovaskularno-zdravlje_hr" TargetMode="External"/><Relationship Id="rId32" Type="http://schemas.openxmlformats.org/officeDocument/2006/relationships/hyperlink" Target="https://www.oecd.org/en/publications/the-state-of-cardiovascular-health-in-the-european-union_ea7a15f4-en/full-report.html" TargetMode="External"/><Relationship Id="rId53" Type="http://schemas.openxmlformats.org/officeDocument/2006/relationships/hyperlink" Target="https://doi.org/10.1186/s12937-016-0225-2" TargetMode="External"/><Relationship Id="rId74" Type="http://schemas.openxmlformats.org/officeDocument/2006/relationships/hyperlink" Target="https://ec.europa.eu/eurostat/databrowser/bookmark/e7969425-7cae-4d0e-9452-5bc55dcc7991?lang=en&amp;createdAt=2025-12-11T12:51:57Z" TargetMode="External"/><Relationship Id="rId128" Type="http://schemas.openxmlformats.org/officeDocument/2006/relationships/hyperlink" Target="https://doi.org/10.1001/jamanetworkopen.2022.8873" TargetMode="External"/><Relationship Id="rId149" Type="http://schemas.openxmlformats.org/officeDocument/2006/relationships/hyperlink" Target="https://oncoscreen.health/" TargetMode="External"/><Relationship Id="rId5" Type="http://schemas.openxmlformats.org/officeDocument/2006/relationships/hyperlink" Target="https://pubmed.ncbi.nlm.nih.gov/39270739/" TargetMode="External"/><Relationship Id="rId90" Type="http://schemas.openxmlformats.org/officeDocument/2006/relationships/hyperlink" Target="https://eur-lex.europa.eu/eli/dir/2014/40/oj" TargetMode="External"/><Relationship Id="rId95" Type="http://schemas.openxmlformats.org/officeDocument/2006/relationships/hyperlink" Target="https://eur-lex.europa.eu/legal-content/HR/ALL/?uri=CELEX%3A32011L0064" TargetMode="External"/><Relationship Id="rId160" Type="http://schemas.openxmlformats.org/officeDocument/2006/relationships/hyperlink" Target="https://civis.eu/en/learn/civis-courses/challenges-and-innovative-approaches-in-cardiovascular-and-metabolic-disease-from-basic-research-to-clinical-practice" TargetMode="External"/><Relationship Id="rId165" Type="http://schemas.openxmlformats.org/officeDocument/2006/relationships/hyperlink" Target="https://health.ec.europa.eu/medicinal-products/legal-framework-governing-medicinal-products-human-use-eu/critical-medicines-act_hr" TargetMode="External"/><Relationship Id="rId181" Type="http://schemas.openxmlformats.org/officeDocument/2006/relationships/hyperlink" Target="https://health.ec.europa.eu/ehealth-digital-health-and-care/european-health-data-space-regulation-ehds_hr" TargetMode="External"/><Relationship Id="rId186" Type="http://schemas.openxmlformats.org/officeDocument/2006/relationships/hyperlink" Target="https://tefhealth.eu/home" TargetMode="External"/><Relationship Id="rId216" Type="http://schemas.openxmlformats.org/officeDocument/2006/relationships/hyperlink" Target="https://webgate.ec.europa.eu/dyna/bp-portal/" TargetMode="External"/><Relationship Id="rId211" Type="http://schemas.openxmlformats.org/officeDocument/2006/relationships/hyperlink" Target="https://ec.europa.eu/info/funding-tenders/opportunities/docs/2021-2027/horizon/wp-call/2026-2027/wp-9-food-bioeconomy-natural-resources-agriculture-and-environment_horizon-2026-2027_en.pdf" TargetMode="External"/><Relationship Id="rId22" Type="http://schemas.openxmlformats.org/officeDocument/2006/relationships/hyperlink" Target="https://eur-lex.europa.eu/legal-content/HR/ALL/?uri=COM%3A2023%3A190%3AFIN" TargetMode="External"/><Relationship Id="rId27" Type="http://schemas.openxmlformats.org/officeDocument/2006/relationships/hyperlink" Target="https://jacardi.eu/" TargetMode="External"/><Relationship Id="rId43" Type="http://schemas.openxmlformats.org/officeDocument/2006/relationships/hyperlink" Target="https://doi.org/10.1093/eurheartj/ehab892" TargetMode="External"/><Relationship Id="rId48" Type="http://schemas.openxmlformats.org/officeDocument/2006/relationships/hyperlink" Target="https://ec.europa.eu/eurostat/databrowser/view/ilc_hch11__custom_18924314/bookmark/table?lang=en&amp;bookmarkId=707da6f1-1a0d-4ff7-b2f0-ea792c34101d&amp;c=1763372911000" TargetMode="External"/><Relationship Id="rId64" Type="http://schemas.openxmlformats.org/officeDocument/2006/relationships/hyperlink" Target="https://doi.org/10.1007/s12170-016-0491-8" TargetMode="External"/><Relationship Id="rId69" Type="http://schemas.openxmlformats.org/officeDocument/2006/relationships/hyperlink" Target="https://ec.europa.eu/eurostat/web/products-datasets/-/hlth_cd_asdr2" TargetMode="External"/><Relationship Id="rId113" Type="http://schemas.openxmlformats.org/officeDocument/2006/relationships/hyperlink" Target="https://cordis.europa.eu/project/id/101080329" TargetMode="External"/><Relationship Id="rId118" Type="http://schemas.openxmlformats.org/officeDocument/2006/relationships/hyperlink" Target="https://cordis.europa.eu/project/id/101061023" TargetMode="External"/><Relationship Id="rId134" Type="http://schemas.openxmlformats.org/officeDocument/2006/relationships/hyperlink" Target="file:///C:\Users\takkima\AppData\Local\Microsoft\Windows\INetCache\Content.Outlook\GGZ5C8P0\New%20systematic%20review%20and%20meta-analysis%20shows%20an%20association%20between%20shingles%20vaccination%20and%20lower%20risk%20of%20heart%20attack%20and%20stroke&#8239;" TargetMode="External"/><Relationship Id="rId139" Type="http://schemas.openxmlformats.org/officeDocument/2006/relationships/hyperlink" Target="https://commission.europa.eu/aid-development-cooperation-fundamental-rights/your-fundamental-rights-eu/know-your-rights/equality/non-discrimination_hr" TargetMode="External"/><Relationship Id="rId80" Type="http://schemas.openxmlformats.org/officeDocument/2006/relationships/hyperlink" Target="https://www.jadecare.eu/" TargetMode="External"/><Relationship Id="rId85" Type="http://schemas.openxmlformats.org/officeDocument/2006/relationships/hyperlink" Target="https://agriculture.ec.europa.eu/common-agricultural-policy/market-measures/school-scheme-explained_hr" TargetMode="External"/><Relationship Id="rId150" Type="http://schemas.openxmlformats.org/officeDocument/2006/relationships/hyperlink" Target="https://doi.org/10.1136/bmj.r365" TargetMode="External"/><Relationship Id="rId155" Type="http://schemas.openxmlformats.org/officeDocument/2006/relationships/hyperlink" Target="https://incareheart.eu/" TargetMode="External"/><Relationship Id="rId171" Type="http://schemas.openxmlformats.org/officeDocument/2006/relationships/hyperlink" Target="https://eur-lex.europa.eu/eli/reg/2021/240/oj" TargetMode="External"/><Relationship Id="rId176" Type="http://schemas.openxmlformats.org/officeDocument/2006/relationships/hyperlink" Target="https://digital-strategy.ec.europa.eu/hr/library/ai-continent-action-plan" TargetMode="External"/><Relationship Id="rId192" Type="http://schemas.openxmlformats.org/officeDocument/2006/relationships/hyperlink" Target="https://doi.org/10.7759/cureus.54264" TargetMode="External"/><Relationship Id="rId197" Type="http://schemas.openxmlformats.org/officeDocument/2006/relationships/hyperlink" Target="https://ec.europa.eu/info/funding-tenders/opportunities/docs/2021-2027/horizon/wp-call/2026-2027/wp-4-health_horizon-2026-2027_en.pdf" TargetMode="External"/><Relationship Id="rId206" Type="http://schemas.openxmlformats.org/officeDocument/2006/relationships/hyperlink" Target="https://digital-strategy.ec.europa.eu/hr/policies/virtual-human-twins" TargetMode="External"/><Relationship Id="rId201" Type="http://schemas.openxmlformats.org/officeDocument/2006/relationships/hyperlink" Target="https://www.iqvia.com/insights/the-iqvia-institute/reports-and-publications/reports/global-trends-in-r-and-d-2024-activity-productivity-and-enablers" TargetMode="External"/><Relationship Id="rId12" Type="http://schemas.openxmlformats.org/officeDocument/2006/relationships/hyperlink" Target="https://commission.europa.eu/topics/public-health/european-health-union_hr" TargetMode="External"/><Relationship Id="rId17" Type="http://schemas.openxmlformats.org/officeDocument/2006/relationships/hyperlink" Target="https://eur-lex.europa.eu/legal-content/HR/ALL/?uri=COM%3A2023%3A298%3AFIN" TargetMode="External"/><Relationship Id="rId33" Type="http://schemas.openxmlformats.org/officeDocument/2006/relationships/hyperlink" Target="https://health.ec.europa.eu/funding/eu4health-programme-2021-2027-vision-healthier-european-union_hr" TargetMode="External"/><Relationship Id="rId38" Type="http://schemas.openxmlformats.org/officeDocument/2006/relationships/hyperlink" Target="https://www.oecd.org/en/publications/the-state-of-cardiovascular-health-in-the-european-union_ea7a15f4-en/full-report.html" TargetMode="External"/><Relationship Id="rId59" Type="http://schemas.openxmlformats.org/officeDocument/2006/relationships/hyperlink" Target="https://www.sportesalute.eu/images/studi-e-dati-dello-sport/schede/2024/177-The-State-of-Children-in-the-European-Union.pdf" TargetMode="External"/><Relationship Id="rId103" Type="http://schemas.openxmlformats.org/officeDocument/2006/relationships/hyperlink" Target="https://erasmus-plus.ec.europa.eu/" TargetMode="External"/><Relationship Id="rId108" Type="http://schemas.openxmlformats.org/officeDocument/2006/relationships/hyperlink" Target="https://schools4health.eu/" TargetMode="External"/><Relationship Id="rId124" Type="http://schemas.openxmlformats.org/officeDocument/2006/relationships/hyperlink" Target="https://digital-strategy.ec.europa.eu/hr/policies/audiovisual-and-media-services" TargetMode="External"/><Relationship Id="rId129" Type="http://schemas.openxmlformats.org/officeDocument/2006/relationships/hyperlink" Target="https://www.escardio.org/The-ESC/Press-Office/Press-releases/vaccination-as-a-new-form-of-cardiovascular-prevention-an-esc-clinical-consensu" TargetMode="External"/><Relationship Id="rId54" Type="http://schemas.openxmlformats.org/officeDocument/2006/relationships/hyperlink" Target="https://knowledge4policy.ec.europa.eu/health-promotion-knowledge-gateway/sugars-sweeteners_en" TargetMode="External"/><Relationship Id="rId70" Type="http://schemas.openxmlformats.org/officeDocument/2006/relationships/hyperlink" Target="https://www.eea.europa.eu/en/analysis/indicators/income-related-environmental-inequalities-associated" TargetMode="External"/><Relationship Id="rId75" Type="http://schemas.openxmlformats.org/officeDocument/2006/relationships/hyperlink" Target="https://ec.europa.eu/eurostat/databrowser/bookmark/ba76e3c3-04db-4350-b2fd-26de8a6a673c?lang=en&amp;createdAt=2025-12-11T12:54:35Z" TargetMode="External"/><Relationship Id="rId91" Type="http://schemas.openxmlformats.org/officeDocument/2006/relationships/hyperlink" Target="https://eur-lex.europa.eu/eli/dir/2003/33/oj" TargetMode="External"/><Relationship Id="rId96" Type="http://schemas.openxmlformats.org/officeDocument/2006/relationships/hyperlink" Target="https://eur-lex.europa.eu/legal-content/HR/TXT/?uri=CELEX%3A52021DC0044" TargetMode="External"/><Relationship Id="rId140" Type="http://schemas.openxmlformats.org/officeDocument/2006/relationships/hyperlink" Target="https://academic.oup.com/eurjpc/article/31/15/1899/7742632" TargetMode="External"/><Relationship Id="rId145" Type="http://schemas.openxmlformats.org/officeDocument/2006/relationships/hyperlink" Target="https://academic.oup.com/eurheartj/article/46/15/1372/8001983" TargetMode="External"/><Relationship Id="rId161" Type="http://schemas.openxmlformats.org/officeDocument/2006/relationships/hyperlink" Target="https://www.eugloh.eu/" TargetMode="External"/><Relationship Id="rId166" Type="http://schemas.openxmlformats.org/officeDocument/2006/relationships/hyperlink" Target="https://www.ema.europa.eu/en/human-regulatory-overview/post-authorisation/medicine-shortages-availability-issues/availability-medicines-during-crises/union-list-critical-medicines" TargetMode="External"/><Relationship Id="rId182" Type="http://schemas.openxmlformats.org/officeDocument/2006/relationships/hyperlink" Target="https://www.icudata4eu.com/" TargetMode="External"/><Relationship Id="rId187" Type="http://schemas.openxmlformats.org/officeDocument/2006/relationships/hyperlink" Target="https://health.ec.europa.eu/document/download/26284fbb-0c7b-4d4d-ae57-f7f2a47e493f_en" TargetMode="External"/><Relationship Id="rId217" Type="http://schemas.openxmlformats.org/officeDocument/2006/relationships/hyperlink" Target="https://www.gacd.org/about" TargetMode="External"/><Relationship Id="rId1" Type="http://schemas.openxmlformats.org/officeDocument/2006/relationships/hyperlink" Target="https://www.oecd.org/en/publications/the-state-of-cardiovascular-health-in-the-european-union_ea7a15f4-en/full-report.html" TargetMode="External"/><Relationship Id="rId6" Type="http://schemas.openxmlformats.org/officeDocument/2006/relationships/hyperlink" Target="https://pubmed.ncbi.nlm.nih.gov/39270739/" TargetMode="External"/><Relationship Id="rId212" Type="http://schemas.openxmlformats.org/officeDocument/2006/relationships/hyperlink" Target="https://www.preventncd.eu/newsroom/news-updates/announcing-the-ja-preventncd-youth-advisory-group/" TargetMode="External"/><Relationship Id="rId23" Type="http://schemas.openxmlformats.org/officeDocument/2006/relationships/hyperlink" Target="https://health.ec.europa.eu/medical-devices-sector_hr" TargetMode="External"/><Relationship Id="rId28" Type="http://schemas.openxmlformats.org/officeDocument/2006/relationships/hyperlink" Target="https://www.preventncd.eu/" TargetMode="External"/><Relationship Id="rId49" Type="http://schemas.openxmlformats.org/officeDocument/2006/relationships/hyperlink" Target="http://www.euda.europa.eu" TargetMode="External"/><Relationship Id="rId114" Type="http://schemas.openxmlformats.org/officeDocument/2006/relationships/hyperlink" Target="https://cordis.europa.eu/project/id/101080645" TargetMode="External"/><Relationship Id="rId119" Type="http://schemas.openxmlformats.org/officeDocument/2006/relationships/hyperlink" Target="https://cordis.europa.eu/project/id/101084642" TargetMode="External"/><Relationship Id="rId44" Type="http://schemas.openxmlformats.org/officeDocument/2006/relationships/hyperlink" Target="https://doi.org/10.1186/s40885-024-00276-7" TargetMode="External"/><Relationship Id="rId60" Type="http://schemas.openxmlformats.org/officeDocument/2006/relationships/hyperlink" Target="https://www.sportesalute.eu/images/studi-e-dati-dello-sport/schede/2024/177-The-State-of-Children-in-the-European-Union.pdf" TargetMode="External"/><Relationship Id="rId65" Type="http://schemas.openxmlformats.org/officeDocument/2006/relationships/hyperlink" Target="https://doi.org/10.1038/s41572-022-00376-4" TargetMode="External"/><Relationship Id="rId81" Type="http://schemas.openxmlformats.org/officeDocument/2006/relationships/hyperlink" Target="https://doi.org/10.1152/ajpheart.00376.2019" TargetMode="External"/><Relationship Id="rId86" Type="http://schemas.openxmlformats.org/officeDocument/2006/relationships/hyperlink" Target="https://publications.jrc.ec.europa.eu/repository/handle/JRC139495" TargetMode="External"/><Relationship Id="rId130" Type="http://schemas.openxmlformats.org/officeDocument/2006/relationships/hyperlink" Target="https://hadea.ec.europa.eu/news/european-immunisation-week-2025-eu4health-and-horizon-europe-projects-protecting-health-people-all-2025-04-28_en" TargetMode="External"/><Relationship Id="rId135" Type="http://schemas.openxmlformats.org/officeDocument/2006/relationships/hyperlink" Target="https://preventncd.eu/work-packages/wp-07/strengthening-health-literacy-to-reduce-inequalities-in-cancer-and-other-ncds/" TargetMode="External"/><Relationship Id="rId151" Type="http://schemas.openxmlformats.org/officeDocument/2006/relationships/hyperlink" Target="https://ht-advance.eu/" TargetMode="External"/><Relationship Id="rId156" Type="http://schemas.openxmlformats.org/officeDocument/2006/relationships/hyperlink" Target="https://jacardi.eu/" TargetMode="External"/><Relationship Id="rId177" Type="http://schemas.openxmlformats.org/officeDocument/2006/relationships/hyperlink" Target="https://digital-strategy.ec.europa.eu/hr/policies/apply-ai" TargetMode="External"/><Relationship Id="rId198" Type="http://schemas.openxmlformats.org/officeDocument/2006/relationships/hyperlink" Target="https://research-and-innovation.ec.europa.eu/funding/funding-opportunities/funding-programmes-and-open-calls/horizon-2020_hr" TargetMode="External"/><Relationship Id="rId172" Type="http://schemas.openxmlformats.org/officeDocument/2006/relationships/hyperlink" Target="https://www.caramel-project.eu/" TargetMode="External"/><Relationship Id="rId193" Type="http://schemas.openxmlformats.org/officeDocument/2006/relationships/hyperlink" Target="https://www.oecd.org/en/publications/the-state-of-cardiovascular-health-in-the-european-union_ea7a15f4-en/full-report.html" TargetMode="External"/><Relationship Id="rId202" Type="http://schemas.openxmlformats.org/officeDocument/2006/relationships/hyperlink" Target="https://doi.org/10.1093/eurheartj/ehv213" TargetMode="External"/><Relationship Id="rId207" Type="http://schemas.openxmlformats.org/officeDocument/2006/relationships/hyperlink" Target="https://commission.europa.eu/funding-tenders/find-funding/eu-funding-programmes/european-regional-development-fund-erdf_hr" TargetMode="External"/><Relationship Id="rId13" Type="http://schemas.openxmlformats.org/officeDocument/2006/relationships/hyperlink" Target="https://health.ec.europa.eu/non-communicable-diseases/healthier-together-eu-non-communicable-diseases-initiative_hr" TargetMode="External"/><Relationship Id="rId18" Type="http://schemas.openxmlformats.org/officeDocument/2006/relationships/hyperlink" Target="https://eur-lex.europa.eu/legal-content/HR/ALL/?uri=COM%3A2021%3A400%3AFIN" TargetMode="External"/><Relationship Id="rId39" Type="http://schemas.openxmlformats.org/officeDocument/2006/relationships/hyperlink" Target="https://doi.org/10.1093/eurheartj/ehae508" TargetMode="External"/><Relationship Id="rId109" Type="http://schemas.openxmlformats.org/officeDocument/2006/relationships/hyperlink" Target="https://site.unibo.it/duse/en/project" TargetMode="External"/><Relationship Id="rId34" Type="http://schemas.openxmlformats.org/officeDocument/2006/relationships/hyperlink" Target="https://health.ec.europa.eu/state-health-eu_hr" TargetMode="External"/><Relationship Id="rId50" Type="http://schemas.openxmlformats.org/officeDocument/2006/relationships/hyperlink" Target="https://www.eea.europa.eu/en/analysis/publications/preventing-cardiovascular-disease-through-a-healthy-environment" TargetMode="External"/><Relationship Id="rId55" Type="http://schemas.openxmlformats.org/officeDocument/2006/relationships/hyperlink" Target="https://knowledge4policy.ec.europa.eu/health-promotion-knowledge-gateway/sugars-sweeteners_en" TargetMode="External"/><Relationship Id="rId76" Type="http://schemas.openxmlformats.org/officeDocument/2006/relationships/hyperlink" Target="https://ec.europa.eu/eurostat/databrowser/bookmark/2555173c-0878-4506-ae96-358dda8a15a4?lang=en&amp;createdAt=2025-12-11T12:55:32Z" TargetMode="External"/><Relationship Id="rId97" Type="http://schemas.openxmlformats.org/officeDocument/2006/relationships/hyperlink" Target="http://www.euda.europa.eu" TargetMode="External"/><Relationship Id="rId104" Type="http://schemas.openxmlformats.org/officeDocument/2006/relationships/hyperlink" Target="https://health.ec.europa.eu/system/files/2016-11/childhoodobesity_actionplan_2014_2020_en_0.pdf" TargetMode="External"/><Relationship Id="rId120" Type="http://schemas.openxmlformats.org/officeDocument/2006/relationships/hyperlink" Target="https://www.oecd.org/en/publications/step-up-tackling-the-burden-of-insufficient-physical-activity-in-europe_500a9601-en.html" TargetMode="External"/><Relationship Id="rId125" Type="http://schemas.openxmlformats.org/officeDocument/2006/relationships/hyperlink" Target="https://www.unicef.org/eca/press-releases/european-commission-and-unicef-announce-new-partnership-improve-health-outcomes" TargetMode="External"/><Relationship Id="rId141" Type="http://schemas.openxmlformats.org/officeDocument/2006/relationships/hyperlink" Target="https://doi.org/10.1093/eurheartj/ehab309" TargetMode="External"/><Relationship Id="rId146" Type="http://schemas.openxmlformats.org/officeDocument/2006/relationships/hyperlink" Target="https://digital-strategy.ec.europa.eu/hr/policies/virtual-human-twins" TargetMode="External"/><Relationship Id="rId167" Type="http://schemas.openxmlformats.org/officeDocument/2006/relationships/hyperlink" Target="https://research-and-innovation.ec.europa.eu/strategy/strategy-research-and-innovation/jobs-and-economy/strategy-european-life-sciences_hr" TargetMode="External"/><Relationship Id="rId188" Type="http://schemas.openxmlformats.org/officeDocument/2006/relationships/hyperlink" Target="https://doi.org/10.1038/s41591-024-03273-3" TargetMode="External"/><Relationship Id="rId7" Type="http://schemas.openxmlformats.org/officeDocument/2006/relationships/hyperlink" Target="https://data.consilium.europa.eu/doc/document/ST-15315-2024-INIT/hr/pdf" TargetMode="External"/><Relationship Id="rId71" Type="http://schemas.openxmlformats.org/officeDocument/2006/relationships/hyperlink" Target="https://www.eea.europa.eu/en/analysis/publications/environmental-noise-in-europe-2025" TargetMode="External"/><Relationship Id="rId92" Type="http://schemas.openxmlformats.org/officeDocument/2006/relationships/hyperlink" Target="https://europa.eu/eurobarometer/surveys/detail/2995" TargetMode="External"/><Relationship Id="rId162" Type="http://schemas.openxmlformats.org/officeDocument/2006/relationships/hyperlink" Target="https://ec2u.eu/" TargetMode="External"/><Relationship Id="rId183" Type="http://schemas.openxmlformats.org/officeDocument/2006/relationships/hyperlink" Target="https://indicate-europe.eu/" TargetMode="External"/><Relationship Id="rId213" Type="http://schemas.openxmlformats.org/officeDocument/2006/relationships/hyperlink" Target="https://health.ec.europa.eu/non-communicable-diseases/cardiovascular-health_hr" TargetMode="External"/><Relationship Id="rId2" Type="http://schemas.openxmlformats.org/officeDocument/2006/relationships/hyperlink" Target="https://www.oecd.org/en/publications/the-state-of-cardiovascular-health-in-the-european-union_ea7a15f4-en/full-report.html" TargetMode="External"/><Relationship Id="rId29" Type="http://schemas.openxmlformats.org/officeDocument/2006/relationships/hyperlink" Target="https://ec.europa.eu/newsroom/sante/items/866453/en" TargetMode="External"/><Relationship Id="rId24" Type="http://schemas.openxmlformats.org/officeDocument/2006/relationships/hyperlink" Target="https://health.ec.europa.eu/medicinal-products/legal-framework-governing-medicinal-products-human-use-eu/critical-medicines-act_hr" TargetMode="External"/><Relationship Id="rId40" Type="http://schemas.openxmlformats.org/officeDocument/2006/relationships/hyperlink" Target="https://cancer-inequalities.jrc.ec.europa.eu/sites/default/files/docs/ccp2025/ec-oecd-synthesis-report-250124-1422.pdf" TargetMode="External"/><Relationship Id="rId45" Type="http://schemas.openxmlformats.org/officeDocument/2006/relationships/hyperlink" Target="https://www.oecd.org/en/publications/the-state-of-cardiovascular-health-in-the-european-union_ea7a15f4-en/full-report.html" TargetMode="External"/><Relationship Id="rId66" Type="http://schemas.openxmlformats.org/officeDocument/2006/relationships/hyperlink" Target="https://www.oecd.org/en/publications/the-state-of-cardiovascular-health-in-the-european-union_ea7a15f4-en/full-report.html" TargetMode="External"/><Relationship Id="rId87" Type="http://schemas.openxmlformats.org/officeDocument/2006/relationships/hyperlink" Target="https://eur-lex.europa.eu/legal-content/HR/TXT/?uri=celex%3A52025DC0075" TargetMode="External"/><Relationship Id="rId110" Type="http://schemas.openxmlformats.org/officeDocument/2006/relationships/hyperlink" Target="https://ryhealth.net/" TargetMode="External"/><Relationship Id="rId115" Type="http://schemas.openxmlformats.org/officeDocument/2006/relationships/hyperlink" Target="https://preventproject.eu/the-prevent-living-labs-a-new-approach-to-tackling-childhood-obesity/" TargetMode="External"/><Relationship Id="rId131" Type="http://schemas.openxmlformats.org/officeDocument/2006/relationships/hyperlink" Target="https://hadea.ec.europa.eu/news/european-immunisation-week-2025-eu4health-and-horizon-europe-projects-protecting-health-people-all-2025-04-28_en" TargetMode="External"/><Relationship Id="rId136" Type="http://schemas.openxmlformats.org/officeDocument/2006/relationships/hyperlink" Target="https://preventncd.eu/work-packages/wp-07/strengthening-health-literacy-to-reduce-inequalities-in-cancer-and-other-ncds/" TargetMode="External"/><Relationship Id="rId157" Type="http://schemas.openxmlformats.org/officeDocument/2006/relationships/hyperlink" Target="https://health.ec.europa.eu/non-communicable-diseases/mental-health_hr" TargetMode="External"/><Relationship Id="rId178" Type="http://schemas.openxmlformats.org/officeDocument/2006/relationships/hyperlink" Target="https://shaiped.eu/2025/03/24/successfully-launched-shaiped/" TargetMode="External"/><Relationship Id="rId61" Type="http://schemas.openxmlformats.org/officeDocument/2006/relationships/hyperlink" Target="https://www.sportesalute.eu/images/studi-e-dati-dello-sport/schede/2024/177-The-State-of-Children-in-the-European-Union.pdf" TargetMode="External"/><Relationship Id="rId82" Type="http://schemas.openxmlformats.org/officeDocument/2006/relationships/hyperlink" Target="https://pmc.ncbi.nlm.nih.gov/articles/PMC11169959/" TargetMode="External"/><Relationship Id="rId152" Type="http://schemas.openxmlformats.org/officeDocument/2006/relationships/hyperlink" Target="https://pubmed.ncbi.nlm.nih.gov/40640196/" TargetMode="External"/><Relationship Id="rId173" Type="http://schemas.openxmlformats.org/officeDocument/2006/relationships/hyperlink" Target="https://digital-strategy.ec.europa.eu/hr/policies/1-million-genomes" TargetMode="External"/><Relationship Id="rId194" Type="http://schemas.openxmlformats.org/officeDocument/2006/relationships/hyperlink" Target="https://www.oecd.org/en/publications/the-state-of-cardiovascular-health-in-the-european-union_ea7a15f4-en/full-report.html" TargetMode="External"/><Relationship Id="rId199" Type="http://schemas.openxmlformats.org/officeDocument/2006/relationships/hyperlink" Target="https://commission.europa.eu/funding-tenders/find-funding/eu-funding-programmes/horizon-europe_hr" TargetMode="External"/><Relationship Id="rId203" Type="http://schemas.openxmlformats.org/officeDocument/2006/relationships/hyperlink" Target="https://european-union.europa.eu/institutions-law-budget/institutions-and-bodies/search-all-eu-institutions-and-bodies/innovative-health-initiative-joint-undertaking-ihi-ju_hr" TargetMode="External"/><Relationship Id="rId208" Type="http://schemas.openxmlformats.org/officeDocument/2006/relationships/hyperlink" Target="https://eismea.ec.europa.eu/programmes/interregional-innovation-investments-i3-instrument_en" TargetMode="External"/><Relationship Id="rId19" Type="http://schemas.openxmlformats.org/officeDocument/2006/relationships/hyperlink" Target="https://eur-lex.europa.eu/legal-content/HR/ALL/?uri=COM%3A2021%3A400%3AFIN" TargetMode="External"/><Relationship Id="rId14" Type="http://schemas.openxmlformats.org/officeDocument/2006/relationships/hyperlink" Target="https://eur-lex.europa.eu/legal-content/HR/TXT/?uri=CELEX%3A52021DC0044" TargetMode="External"/><Relationship Id="rId30" Type="http://schemas.openxmlformats.org/officeDocument/2006/relationships/hyperlink" Target="https://www.oecd.org/en/publications/the-state-of-cardiovascular-health-in-the-european-union_ea7a15f4-en/full-report.html" TargetMode="External"/><Relationship Id="rId35" Type="http://schemas.openxmlformats.org/officeDocument/2006/relationships/hyperlink" Target="https://world-heart-federation.org/what-we-do/prevention/" TargetMode="External"/><Relationship Id="rId56" Type="http://schemas.openxmlformats.org/officeDocument/2006/relationships/hyperlink" Target="https://ec.europa.eu/eurostat/databrowser/view/hlth_ehis_fv3e__custom_18480344/bookmark/table?lang=en&amp;bookmarkId=417c3894-967a-4c1d-b67c-5be5c22a6bf5&amp;c=1760952223000" TargetMode="External"/><Relationship Id="rId77" Type="http://schemas.openxmlformats.org/officeDocument/2006/relationships/hyperlink" Target="https://health.ec.europa.eu/document/download/26284fbb-0c7b-4d4d-ae57-f7f2a47e493f_en?filename=funding_c2025_5148_annex_en.pdf" TargetMode="External"/><Relationship Id="rId100" Type="http://schemas.openxmlformats.org/officeDocument/2006/relationships/hyperlink" Target="https://europa.eu/eurobarometer/surveys/detail/3380" TargetMode="External"/><Relationship Id="rId105" Type="http://schemas.openxmlformats.org/officeDocument/2006/relationships/hyperlink" Target="https://www.who.int/europe/news/item/03-03-2021-how-healthy-are-children-s-eating-habits-who-europe-surveillance-results" TargetMode="External"/><Relationship Id="rId126" Type="http://schemas.openxmlformats.org/officeDocument/2006/relationships/hyperlink" Target="https://climate-adapt.eea.europa.eu/hr/observatory" TargetMode="External"/><Relationship Id="rId147" Type="http://schemas.openxmlformats.org/officeDocument/2006/relationships/hyperlink" Target="https://eucanscreen.eu/" TargetMode="External"/><Relationship Id="rId168" Type="http://schemas.openxmlformats.org/officeDocument/2006/relationships/hyperlink" Target="https://health.ec.europa.eu/system/files/2023-03/mp_decentralised-elements_clinical-trials_rec_en.pdf" TargetMode="External"/><Relationship Id="rId8" Type="http://schemas.openxmlformats.org/officeDocument/2006/relationships/hyperlink" Target="https://www.consilium.europa.eu/hr/press/press-releases/2024/12/03/cardiovascular-health-council-calls-for-more-robust-efforts-to-help-prevent-cardiovascular-diseases/" TargetMode="External"/><Relationship Id="rId51" Type="http://schemas.openxmlformats.org/officeDocument/2006/relationships/hyperlink" Target="https://pubmed.ncbi.nlm.nih.gov/32503638/" TargetMode="External"/><Relationship Id="rId72" Type="http://schemas.openxmlformats.org/officeDocument/2006/relationships/hyperlink" Target="https://health.ec.europa.eu/one-health_hr" TargetMode="External"/><Relationship Id="rId93" Type="http://schemas.openxmlformats.org/officeDocument/2006/relationships/hyperlink" Target="https://op.europa.eu/en/publication-detail/-/publication/f859d057-726e-11f0-bf4e-01aa75ed71a1" TargetMode="External"/><Relationship Id="rId98" Type="http://schemas.openxmlformats.org/officeDocument/2006/relationships/hyperlink" Target="https://knowledge4policy.ec.europa.eu/health-promotion-knowledge-gateway/alcoholic-beverages_en" TargetMode="External"/><Relationship Id="rId121" Type="http://schemas.openxmlformats.org/officeDocument/2006/relationships/hyperlink" Target="https://www.oecd.org/en/publications/step-up-tackling-the-burden-of-insufficient-physical-activity-in-europe_500a9601-en.html" TargetMode="External"/><Relationship Id="rId142" Type="http://schemas.openxmlformats.org/officeDocument/2006/relationships/hyperlink" Target="https://fh-early.eu/" TargetMode="External"/><Relationship Id="rId163" Type="http://schemas.openxmlformats.org/officeDocument/2006/relationships/hyperlink" Target="https://eur-lex.europa.eu/legal-content/HR/TXT/HTML/?uri=CELEX:02017R0745-20250110" TargetMode="External"/><Relationship Id="rId184" Type="http://schemas.openxmlformats.org/officeDocument/2006/relationships/hyperlink" Target="https://digital-strategy.ec.europa.eu/en/policies/apply-ai" TargetMode="External"/><Relationship Id="rId189" Type="http://schemas.openxmlformats.org/officeDocument/2006/relationships/hyperlink" Target="https://doi.org/10.7759/cureus.89912" TargetMode="External"/><Relationship Id="rId3" Type="http://schemas.openxmlformats.org/officeDocument/2006/relationships/hyperlink" Target="https://www.oecd.org/en/publications/the-state-of-cardiovascular-health-in-the-european-union_ea7a15f4-en/full-report.html" TargetMode="External"/><Relationship Id="rId214" Type="http://schemas.openxmlformats.org/officeDocument/2006/relationships/hyperlink" Target="https://health.ec.europa.eu/non-communicable-diseases/expert-group-public-health_hr" TargetMode="External"/><Relationship Id="rId25" Type="http://schemas.openxmlformats.org/officeDocument/2006/relationships/hyperlink" Target="https://health.ec.europa.eu/blood-tissues-cells-and-organs/soho-regulation/new-eu-rules-substances-human-origin_hr" TargetMode="External"/><Relationship Id="rId46" Type="http://schemas.openxmlformats.org/officeDocument/2006/relationships/hyperlink" Target="https://www.oecd.org/en/publications/the-state-of-cardiovascular-health-in-the-european-union_ea7a15f4-en/full-report.html" TargetMode="External"/><Relationship Id="rId67" Type="http://schemas.openxmlformats.org/officeDocument/2006/relationships/hyperlink" Target="https://www.oecd.org/en/publications/the-state-of-cardiovascular-health-in-the-european-union_ea7a15f4-en/full-report.html" TargetMode="External"/><Relationship Id="rId116" Type="http://schemas.openxmlformats.org/officeDocument/2006/relationships/hyperlink" Target="https://preventproject.eu/the-prevent-living-labs-a-new-approach-to-tackling-childhood-obesity/" TargetMode="External"/><Relationship Id="rId137" Type="http://schemas.openxmlformats.org/officeDocument/2006/relationships/hyperlink" Target="https://health.ec.europa.eu/non-communicable-diseases/cancer/europes-beating-cancer-plan-eu4health-financed-projects/projects/ecac5_hr" TargetMode="External"/><Relationship Id="rId158" Type="http://schemas.openxmlformats.org/officeDocument/2006/relationships/hyperlink" Target="https://eu-promens.eu/eu-promens" TargetMode="External"/><Relationship Id="rId20" Type="http://schemas.openxmlformats.org/officeDocument/2006/relationships/hyperlink" Target="https://research-and-innovation.ec.europa.eu/strategy/strategy-research-and-innovation/jobs-and-economy/strategy-european-life-sciences_hr" TargetMode="External"/><Relationship Id="rId41" Type="http://schemas.openxmlformats.org/officeDocument/2006/relationships/hyperlink" Target="https://www.efpia.eu/media/movnhr0y/how-can-we-improve-secondary-cvd-prevention-lse_efpia.pdf" TargetMode="External"/><Relationship Id="rId62" Type="http://schemas.openxmlformats.org/officeDocument/2006/relationships/hyperlink" Target="https://doi.org/10.1093/eurheartj/ehad192" TargetMode="External"/><Relationship Id="rId83" Type="http://schemas.openxmlformats.org/officeDocument/2006/relationships/hyperlink" Target="https://single-market-economy.ec.europa.eu/sectors/agri-food-industrial-ecosystem/agri-food-code_hr" TargetMode="External"/><Relationship Id="rId88" Type="http://schemas.openxmlformats.org/officeDocument/2006/relationships/hyperlink" Target="https://eur-lex.europa.eu/legal-content/HR/TXT/?uri=celex%3A52025DC0075" TargetMode="External"/><Relationship Id="rId111" Type="http://schemas.openxmlformats.org/officeDocument/2006/relationships/hyperlink" Target="https://cordis.europa.eu/project/id/101080718" TargetMode="External"/><Relationship Id="rId132" Type="http://schemas.openxmlformats.org/officeDocument/2006/relationships/hyperlink" Target="https://vaccination-info.europa.eu/hr" TargetMode="External"/><Relationship Id="rId153" Type="http://schemas.openxmlformats.org/officeDocument/2006/relationships/hyperlink" Target="https://www.oecd.org/en/publications/the-state-of-cardiovascular-health-in-the-european-union_ea7a1%e2%80%a6.html" TargetMode="External"/><Relationship Id="rId174" Type="http://schemas.openxmlformats.org/officeDocument/2006/relationships/hyperlink" Target="https://digital-strategy.ec.europa.eu/en/news/genome-europe-project-launched-first-step-towards-european-reference-genome" TargetMode="External"/><Relationship Id="rId179" Type="http://schemas.openxmlformats.org/officeDocument/2006/relationships/hyperlink" Target="https://op.europa.eu/hr/publication-detail/-/publication/97ad82f2-5244-11f0-a9d0-01aa75ed71a1" TargetMode="External"/><Relationship Id="rId195" Type="http://schemas.openxmlformats.org/officeDocument/2006/relationships/hyperlink" Target="https://www.oecd.org/en/publications/the-state-of-cardiovascular-health-in-the-european-union_ea7a15f4-en/full-report.html" TargetMode="External"/><Relationship Id="rId209" Type="http://schemas.openxmlformats.org/officeDocument/2006/relationships/hyperlink" Target="https://ec.europa.eu/info/funding-tenders/opportunities/docs/2021-2027/horizon/wp-call/2026-2027/wp-4-health_horizon-2026-2027_en.pdf" TargetMode="External"/><Relationship Id="rId190" Type="http://schemas.openxmlformats.org/officeDocument/2006/relationships/hyperlink" Target="https://ec.europa.eu/eurostat" TargetMode="External"/><Relationship Id="rId204" Type="http://schemas.openxmlformats.org/officeDocument/2006/relationships/hyperlink" Target="https://prophetproject.eu/" TargetMode="External"/><Relationship Id="rId15" Type="http://schemas.openxmlformats.org/officeDocument/2006/relationships/hyperlink" Target="https://research-and-innovation.ec.europa.eu/funding/funding-opportunities/funding-programmes-and-open-calls/horizon-europe/eu-missions-horizon-europe/eu-mission-cancer_hr" TargetMode="External"/><Relationship Id="rId36" Type="http://schemas.openxmlformats.org/officeDocument/2006/relationships/hyperlink" Target="https://www.oecd.org/en/publications/the-state-of-cardiovascular-health-in-the-european-union_ea7a15f4-en/full-report.html" TargetMode="External"/><Relationship Id="rId57" Type="http://schemas.openxmlformats.org/officeDocument/2006/relationships/hyperlink" Target="https://www.euda.europa.eu/publications/data-factsheets/espad-2024-key-findings_en" TargetMode="External"/><Relationship Id="rId106" Type="http://schemas.openxmlformats.org/officeDocument/2006/relationships/hyperlink" Target="https://www.who.int/europe/news/item/03-03-2021-how-healthy-are-children-s-eating-habits-who-europe-surveillance-results" TargetMode="External"/><Relationship Id="rId127" Type="http://schemas.openxmlformats.org/officeDocument/2006/relationships/hyperlink" Target="https://doi.org/10.1093/eurheartj/ehaf384" TargetMode="External"/><Relationship Id="rId10" Type="http://schemas.openxmlformats.org/officeDocument/2006/relationships/hyperlink" Target="https://www.europarl.europa.eu/doceo/document/A-9-2023-0366_HR.html" TargetMode="External"/><Relationship Id="rId31" Type="http://schemas.openxmlformats.org/officeDocument/2006/relationships/hyperlink" Target="https://www.oecd.org/en/publications/the-state-of-cardiovascular-health-in-the-european-union_ea7a15f4-en/full-report.html" TargetMode="External"/><Relationship Id="rId52" Type="http://schemas.openxmlformats.org/officeDocument/2006/relationships/hyperlink" Target="https://ec.europa.eu/eurostat/databrowser/bookmark/ab518af2-3323-4f46-a563-eac5109666af?lang=en&amp;createdAt=2025-11-17T10:00:04Z" TargetMode="External"/><Relationship Id="rId73" Type="http://schemas.openxmlformats.org/officeDocument/2006/relationships/hyperlink" Target="https://ec.europa.eu/eurostat/databrowser/view/hlth_cd_apr/default/table?lang=en" TargetMode="External"/><Relationship Id="rId78" Type="http://schemas.openxmlformats.org/officeDocument/2006/relationships/hyperlink" Target="https://health.ec.europa.eu/document/download/26284fbb-0c7b-4d4d-ae57-f7f2a47e493f_en?filename=funding_c2025_5148_annex_en.pdf" TargetMode="External"/><Relationship Id="rId94" Type="http://schemas.openxmlformats.org/officeDocument/2006/relationships/hyperlink" Target="https://www.who.int/teams/health-promotion/tobacco-control/economics/taxation" TargetMode="External"/><Relationship Id="rId99" Type="http://schemas.openxmlformats.org/officeDocument/2006/relationships/hyperlink" Target="https://taxation-customs.ec.europa.eu/news/study-health-taxes-eu-perspective-2025-05-16_hr" TargetMode="External"/><Relationship Id="rId101" Type="http://schemas.openxmlformats.org/officeDocument/2006/relationships/hyperlink" Target="https://data.europa.eu/hr/publications/datastories/health-and-well-being-eu-investing-where-it-matters" TargetMode="External"/><Relationship Id="rId122" Type="http://schemas.openxmlformats.org/officeDocument/2006/relationships/hyperlink" Target="https://www.oecd.org/en/publications/step-up-tackling-the-burden-of-insufficient-physical-activity-in-europe_500a9601-en.html" TargetMode="External"/><Relationship Id="rId143" Type="http://schemas.openxmlformats.org/officeDocument/2006/relationships/hyperlink" Target="https://cordis.europa.eu/article/id/92771-biomarkers-for-cardiovascular-diseases-expanded" TargetMode="External"/><Relationship Id="rId148" Type="http://schemas.openxmlformats.org/officeDocument/2006/relationships/hyperlink" Target="https://europeanlung.org/solace/" TargetMode="External"/><Relationship Id="rId164" Type="http://schemas.openxmlformats.org/officeDocument/2006/relationships/hyperlink" Target="https://eur-lex.europa.eu/legal-content/HR/TXT/HTML/?uri=CELEX:02017R0746-20250110" TargetMode="External"/><Relationship Id="rId169" Type="http://schemas.openxmlformats.org/officeDocument/2006/relationships/hyperlink" Target="https://eur-lex.europa.eu/eli/reg/2021/2282/oj" TargetMode="External"/><Relationship Id="rId185" Type="http://schemas.openxmlformats.org/officeDocument/2006/relationships/hyperlink" Target="https://digital-strategy.ec.europa.eu/en/policies/apply-ai" TargetMode="External"/><Relationship Id="rId4" Type="http://schemas.openxmlformats.org/officeDocument/2006/relationships/hyperlink" Target="https://ec.europa.eu/eurostat/statistics-explained/index.php?title=Cardiovascular_diseases_statistics" TargetMode="External"/><Relationship Id="rId9" Type="http://schemas.openxmlformats.org/officeDocument/2006/relationships/hyperlink" Target="https://www.cardiovascular-alliance.eu/mep-group/" TargetMode="External"/><Relationship Id="rId180" Type="http://schemas.openxmlformats.org/officeDocument/2006/relationships/hyperlink" Target="https://digital-strategy.ec.europa.eu/hr/news/commission-launches-flagship-initiative-increase-use-ai-healthcare" TargetMode="External"/><Relationship Id="rId210" Type="http://schemas.openxmlformats.org/officeDocument/2006/relationships/hyperlink" Target="https://ec.europa.eu/info/funding-tenders/opportunities/docs/2021-2027/horizon/wp-call/2026-2027/wp-4-health_horizon-2026-2027_en.pdf" TargetMode="External"/><Relationship Id="rId215" Type="http://schemas.openxmlformats.org/officeDocument/2006/relationships/hyperlink" Target="https://webgate.ec.europa.eu/hpf/hr" TargetMode="External"/><Relationship Id="rId26" Type="http://schemas.openxmlformats.org/officeDocument/2006/relationships/hyperlink" Target="https://ec.europa.eu/info/law/better-regulation/have-your-say/initiatives/14627-Biotech-Act/public-consultation_hr" TargetMode="External"/><Relationship Id="rId47" Type="http://schemas.openxmlformats.org/officeDocument/2006/relationships/hyperlink" Target="https://www.oecd.org/en/publications/the-state-of-cardiovascular-health-in-the-european-union_ea7a15f4-en/full-report.html" TargetMode="External"/><Relationship Id="rId68" Type="http://schemas.openxmlformats.org/officeDocument/2006/relationships/hyperlink" Target="https://www.oecd.org/en/publications/the-state-of-cardiovascular-health-in-the-european-union_ea7a15f4-en/full-report.html" TargetMode="External"/><Relationship Id="rId89" Type="http://schemas.openxmlformats.org/officeDocument/2006/relationships/hyperlink" Target="https://europa.eu/eurobarometer/surveys/detail/2995" TargetMode="External"/><Relationship Id="rId112" Type="http://schemas.openxmlformats.org/officeDocument/2006/relationships/hyperlink" Target="https://cordis.europa.eu/project/id/101080465" TargetMode="External"/><Relationship Id="rId133" Type="http://schemas.openxmlformats.org/officeDocument/2006/relationships/hyperlink" Target="https://health.ec.europa.eu/vaccination_hr" TargetMode="External"/><Relationship Id="rId154" Type="http://schemas.openxmlformats.org/officeDocument/2006/relationships/hyperlink" Target="https://ecanja.eu/" TargetMode="External"/><Relationship Id="rId175" Type="http://schemas.openxmlformats.org/officeDocument/2006/relationships/hyperlink" Target="https://digital-strategy.ec.europa.eu/en/news/genome-europe-project-launched-first-step-towards-european-reference-genome" TargetMode="External"/><Relationship Id="rId196" Type="http://schemas.openxmlformats.org/officeDocument/2006/relationships/hyperlink" Target="https://cancer-inequalities.jrc.ec.europa.eu/" TargetMode="External"/><Relationship Id="rId200" Type="http://schemas.openxmlformats.org/officeDocument/2006/relationships/hyperlink" Target="https://www.iqvia.com/insights/the-iqvia-institute/reports-and-publications/reports/global-trends-in-r-and-d-2024-activity-productivity-and-enablers" TargetMode="External"/><Relationship Id="rId16" Type="http://schemas.openxmlformats.org/officeDocument/2006/relationships/hyperlink" Target="https://research-and-innovation.ec.europa.eu/funding/funding-opportunities/funding-programmes-and-open-calls/horizon-europe/eu-missions-horizon-europe/eu-mission-cancer_hr" TargetMode="External"/><Relationship Id="rId37" Type="http://schemas.openxmlformats.org/officeDocument/2006/relationships/hyperlink" Target="https://www.oecd.org/en/publications/the-state-of-cardiovascular-health-in-the-european-union_ea7a15f4-en/full-report.html" TargetMode="External"/><Relationship Id="rId58" Type="http://schemas.openxmlformats.org/officeDocument/2006/relationships/hyperlink" Target="https://www.sportesalute.eu/images/studi-e-dati-dello-sport/schede/2024/177-The-State-of-Children-in-the-European-Union.pdf" TargetMode="External"/><Relationship Id="rId79" Type="http://schemas.openxmlformats.org/officeDocument/2006/relationships/hyperlink" Target="https://health.ec.europa.eu/document/download/26284fbb-0c7b-4d4d-ae57-f7f2a47e493f_en?filename=funding_c2025_5148_annex_en.pdf" TargetMode="External"/><Relationship Id="rId102" Type="http://schemas.openxmlformats.org/officeDocument/2006/relationships/hyperlink" Target="https://www.thelancet.com/series-do/ultra-processed-food" TargetMode="External"/><Relationship Id="rId123" Type="http://schemas.openxmlformats.org/officeDocument/2006/relationships/hyperlink" Target="https://europa.eu/eurobarometer/surveys/detail/2995" TargetMode="External"/><Relationship Id="rId144" Type="http://schemas.openxmlformats.org/officeDocument/2006/relationships/hyperlink" Target="https://perfecto-f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8" ma:contentTypeDescription="Create a new document." ma:contentTypeScope="" ma:versionID="ef3854a146db384c0ef069f7ac15a0b7">
  <xsd:schema xmlns:xsd="http://www.w3.org/2001/XMLSchema" xmlns:xs="http://www.w3.org/2001/XMLSchema" xmlns:p="http://schemas.microsoft.com/office/2006/metadata/properties" xmlns:ns2="2a565401-6124-4834-af4c-bc1a772a6083" targetNamespace="http://schemas.microsoft.com/office/2006/metadata/properties" ma:root="true" ma:fieldsID="c697d27d202e4a0e46264c9e1fab10e3"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38D1-6124-47FE-A540-1BB03E19F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43B4C-03BA-48A3-8936-A326EBEF628A}">
  <ds:schemaRefs>
    <ds:schemaRef ds:uri="http://schemas.microsoft.com/sharepoint/v3/contenttype/forms"/>
  </ds:schemaRefs>
</ds:datastoreItem>
</file>

<file path=customXml/itemProps3.xml><?xml version="1.0" encoding="utf-8"?>
<ds:datastoreItem xmlns:ds="http://schemas.openxmlformats.org/officeDocument/2006/customXml" ds:itemID="{9695D136-D65F-471F-B394-734DF02D41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FC2FF-C3EA-454F-B669-430FF858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11317</Words>
  <Characters>64507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75673</CharactersWithSpaces>
  <SharedDoc>false</SharedDoc>
  <HLinks>
    <vt:vector size="1116" baseType="variant">
      <vt:variant>
        <vt:i4>196678</vt:i4>
      </vt:variant>
      <vt:variant>
        <vt:i4>0</vt:i4>
      </vt:variant>
      <vt:variant>
        <vt:i4>0</vt:i4>
      </vt:variant>
      <vt:variant>
        <vt:i4>5</vt:i4>
      </vt:variant>
      <vt:variant>
        <vt:lpwstr>https://publications.jrc.ec.europa.eu/repository/handle/JRC139495</vt:lpwstr>
      </vt:variant>
      <vt:variant>
        <vt:lpwstr/>
      </vt:variant>
      <vt:variant>
        <vt:i4>4128800</vt:i4>
      </vt:variant>
      <vt:variant>
        <vt:i4>603</vt:i4>
      </vt:variant>
      <vt:variant>
        <vt:i4>0</vt:i4>
      </vt:variant>
      <vt:variant>
        <vt:i4>5</vt:i4>
      </vt:variant>
      <vt:variant>
        <vt:lpwstr>https://www.gacd.org/about</vt:lpwstr>
      </vt:variant>
      <vt:variant>
        <vt:lpwstr/>
      </vt:variant>
      <vt:variant>
        <vt:i4>983051</vt:i4>
      </vt:variant>
      <vt:variant>
        <vt:i4>600</vt:i4>
      </vt:variant>
      <vt:variant>
        <vt:i4>0</vt:i4>
      </vt:variant>
      <vt:variant>
        <vt:i4>5</vt:i4>
      </vt:variant>
      <vt:variant>
        <vt:lpwstr>https://webgate.ec.europa.eu/dyna/bp-portal/</vt:lpwstr>
      </vt:variant>
      <vt:variant>
        <vt:lpwstr/>
      </vt:variant>
      <vt:variant>
        <vt:i4>1572955</vt:i4>
      </vt:variant>
      <vt:variant>
        <vt:i4>597</vt:i4>
      </vt:variant>
      <vt:variant>
        <vt:i4>0</vt:i4>
      </vt:variant>
      <vt:variant>
        <vt:i4>5</vt:i4>
      </vt:variant>
      <vt:variant>
        <vt:lpwstr>https://webgate.ec.europa.eu/hpf/</vt:lpwstr>
      </vt:variant>
      <vt:variant>
        <vt:lpwstr/>
      </vt:variant>
      <vt:variant>
        <vt:i4>4128842</vt:i4>
      </vt:variant>
      <vt:variant>
        <vt:i4>594</vt:i4>
      </vt:variant>
      <vt:variant>
        <vt:i4>0</vt:i4>
      </vt:variant>
      <vt:variant>
        <vt:i4>5</vt:i4>
      </vt:variant>
      <vt:variant>
        <vt:lpwstr>https://health.ec.europa.eu/non-communicable-diseases/expert-group-public-health_en</vt:lpwstr>
      </vt:variant>
      <vt:variant>
        <vt:lpwstr/>
      </vt:variant>
      <vt:variant>
        <vt:i4>4587570</vt:i4>
      </vt:variant>
      <vt:variant>
        <vt:i4>591</vt:i4>
      </vt:variant>
      <vt:variant>
        <vt:i4>0</vt:i4>
      </vt:variant>
      <vt:variant>
        <vt:i4>5</vt:i4>
      </vt:variant>
      <vt:variant>
        <vt:lpwstr>https://health.ec.europa.eu/non-communicable-diseases/cardiovascular-health_en</vt:lpwstr>
      </vt:variant>
      <vt:variant>
        <vt:lpwstr/>
      </vt:variant>
      <vt:variant>
        <vt:i4>3735606</vt:i4>
      </vt:variant>
      <vt:variant>
        <vt:i4>588</vt:i4>
      </vt:variant>
      <vt:variant>
        <vt:i4>0</vt:i4>
      </vt:variant>
      <vt:variant>
        <vt:i4>5</vt:i4>
      </vt:variant>
      <vt:variant>
        <vt:lpwstr>https://www.preventncd.eu/newsroom/news-updates/announcing-the-ja-preventncd-youth-advisory-group/</vt:lpwstr>
      </vt:variant>
      <vt:variant>
        <vt:lpwstr/>
      </vt:variant>
      <vt:variant>
        <vt:i4>524295</vt:i4>
      </vt:variant>
      <vt:variant>
        <vt:i4>585</vt:i4>
      </vt:variant>
      <vt:variant>
        <vt:i4>0</vt:i4>
      </vt:variant>
      <vt:variant>
        <vt:i4>5</vt:i4>
      </vt:variant>
      <vt:variant>
        <vt:lpwstr>https://ec.europa.eu/info/funding-tenders/opportunities/docs/2021-2027/horizon/wp-call/2026-2027/wp-9-food-bioeconomy-natural-resources-agriculture-and-environment_horizon-2026-2027_en.pdf</vt:lpwstr>
      </vt:variant>
      <vt:variant>
        <vt:lpwstr/>
      </vt:variant>
      <vt:variant>
        <vt:i4>196614</vt:i4>
      </vt:variant>
      <vt:variant>
        <vt:i4>582</vt:i4>
      </vt:variant>
      <vt:variant>
        <vt:i4>0</vt:i4>
      </vt:variant>
      <vt:variant>
        <vt:i4>5</vt:i4>
      </vt:variant>
      <vt:variant>
        <vt:lpwstr>https://ec.europa.eu/info/funding-tenders/opportunities/docs/2021-2027/horizon/wp-call/2026-2027/wp-4-health_horizon-2026-2027_en.pdf</vt:lpwstr>
      </vt:variant>
      <vt:variant>
        <vt:lpwstr/>
      </vt:variant>
      <vt:variant>
        <vt:i4>196614</vt:i4>
      </vt:variant>
      <vt:variant>
        <vt:i4>579</vt:i4>
      </vt:variant>
      <vt:variant>
        <vt:i4>0</vt:i4>
      </vt:variant>
      <vt:variant>
        <vt:i4>5</vt:i4>
      </vt:variant>
      <vt:variant>
        <vt:lpwstr>https://ec.europa.eu/info/funding-tenders/opportunities/docs/2021-2027/horizon/wp-call/2026-2027/wp-4-health_horizon-2026-2027_en.pdf</vt:lpwstr>
      </vt:variant>
      <vt:variant>
        <vt:lpwstr/>
      </vt:variant>
      <vt:variant>
        <vt:i4>6815761</vt:i4>
      </vt:variant>
      <vt:variant>
        <vt:i4>576</vt:i4>
      </vt:variant>
      <vt:variant>
        <vt:i4>0</vt:i4>
      </vt:variant>
      <vt:variant>
        <vt:i4>5</vt:i4>
      </vt:variant>
      <vt:variant>
        <vt:lpwstr>https://eismea.ec.europa.eu/programmes/interregional-innovation-investments-i3-instrument_en</vt:lpwstr>
      </vt:variant>
      <vt:variant>
        <vt:lpwstr/>
      </vt:variant>
      <vt:variant>
        <vt:i4>5898303</vt:i4>
      </vt:variant>
      <vt:variant>
        <vt:i4>573</vt:i4>
      </vt:variant>
      <vt:variant>
        <vt:i4>0</vt:i4>
      </vt:variant>
      <vt:variant>
        <vt:i4>5</vt:i4>
      </vt:variant>
      <vt:variant>
        <vt:lpwstr>https://commission.europa.eu/funding-tenders/find-funding/eu-funding-programmes/european-regional-development-fund-erdf_en</vt:lpwstr>
      </vt:variant>
      <vt:variant>
        <vt:lpwstr/>
      </vt:variant>
      <vt:variant>
        <vt:i4>262149</vt:i4>
      </vt:variant>
      <vt:variant>
        <vt:i4>570</vt:i4>
      </vt:variant>
      <vt:variant>
        <vt:i4>0</vt:i4>
      </vt:variant>
      <vt:variant>
        <vt:i4>5</vt:i4>
      </vt:variant>
      <vt:variant>
        <vt:lpwstr>https://digital-strategy.ec.europa.eu/en/policies/virtual-human-twins</vt:lpwstr>
      </vt:variant>
      <vt:variant>
        <vt:lpwstr/>
      </vt:variant>
      <vt:variant>
        <vt:i4>2424891</vt:i4>
      </vt:variant>
      <vt:variant>
        <vt:i4>567</vt:i4>
      </vt:variant>
      <vt:variant>
        <vt:i4>0</vt:i4>
      </vt:variant>
      <vt:variant>
        <vt:i4>5</vt:i4>
      </vt:variant>
      <vt:variant>
        <vt:lpwstr>https://profid-project.eu/</vt:lpwstr>
      </vt:variant>
      <vt:variant>
        <vt:lpwstr/>
      </vt:variant>
      <vt:variant>
        <vt:i4>3276899</vt:i4>
      </vt:variant>
      <vt:variant>
        <vt:i4>564</vt:i4>
      </vt:variant>
      <vt:variant>
        <vt:i4>0</vt:i4>
      </vt:variant>
      <vt:variant>
        <vt:i4>5</vt:i4>
      </vt:variant>
      <vt:variant>
        <vt:lpwstr>https://prophetproject.eu/</vt:lpwstr>
      </vt:variant>
      <vt:variant>
        <vt:lpwstr/>
      </vt:variant>
      <vt:variant>
        <vt:i4>7798811</vt:i4>
      </vt:variant>
      <vt:variant>
        <vt:i4>561</vt:i4>
      </vt:variant>
      <vt:variant>
        <vt:i4>0</vt:i4>
      </vt:variant>
      <vt:variant>
        <vt:i4>5</vt:i4>
      </vt:variant>
      <vt:variant>
        <vt:lpwstr>https://european-union.europa.eu/institutions-law-budget/institutions-and-bodies/search-all-eu-institutions-and-bodies/innovative-health-initiative-joint-undertaking-ihi-ju_en</vt:lpwstr>
      </vt:variant>
      <vt:variant>
        <vt:lpwstr/>
      </vt:variant>
      <vt:variant>
        <vt:i4>5505041</vt:i4>
      </vt:variant>
      <vt:variant>
        <vt:i4>558</vt:i4>
      </vt:variant>
      <vt:variant>
        <vt:i4>0</vt:i4>
      </vt:variant>
      <vt:variant>
        <vt:i4>5</vt:i4>
      </vt:variant>
      <vt:variant>
        <vt:lpwstr>https://doi.org/10.1093/eurheartj/ehv213</vt:lpwstr>
      </vt:variant>
      <vt:variant>
        <vt:lpwstr/>
      </vt:variant>
      <vt:variant>
        <vt:i4>5439571</vt:i4>
      </vt:variant>
      <vt:variant>
        <vt:i4>555</vt:i4>
      </vt:variant>
      <vt:variant>
        <vt:i4>0</vt:i4>
      </vt:variant>
      <vt:variant>
        <vt:i4>5</vt:i4>
      </vt:variant>
      <vt:variant>
        <vt:lpwstr>https://www.iqvia.com/insights/the-iqvia-institute/reports-and-publications/reports/global-trends-in-r-and-d-2024-activity-productivity-and-enablers</vt:lpwstr>
      </vt:variant>
      <vt:variant>
        <vt:lpwstr/>
      </vt:variant>
      <vt:variant>
        <vt:i4>4391015</vt:i4>
      </vt:variant>
      <vt:variant>
        <vt:i4>552</vt:i4>
      </vt:variant>
      <vt:variant>
        <vt:i4>0</vt:i4>
      </vt:variant>
      <vt:variant>
        <vt:i4>5</vt:i4>
      </vt:variant>
      <vt:variant>
        <vt:lpwstr>https://commission.europa.eu/funding-tenders/find-funding/eu-funding-programmes/horizon-europe_en</vt:lpwstr>
      </vt:variant>
      <vt:variant>
        <vt:lpwstr/>
      </vt:variant>
      <vt:variant>
        <vt:i4>3014672</vt:i4>
      </vt:variant>
      <vt:variant>
        <vt:i4>549</vt:i4>
      </vt:variant>
      <vt:variant>
        <vt:i4>0</vt:i4>
      </vt:variant>
      <vt:variant>
        <vt:i4>5</vt:i4>
      </vt:variant>
      <vt:variant>
        <vt:lpwstr>https://research-and-innovation.ec.europa.eu/funding/funding-opportunities/funding-programmes-and-open-calls/horizon-2020_en</vt:lpwstr>
      </vt:variant>
      <vt:variant>
        <vt:lpwstr/>
      </vt:variant>
      <vt:variant>
        <vt:i4>196614</vt:i4>
      </vt:variant>
      <vt:variant>
        <vt:i4>546</vt:i4>
      </vt:variant>
      <vt:variant>
        <vt:i4>0</vt:i4>
      </vt:variant>
      <vt:variant>
        <vt:i4>5</vt:i4>
      </vt:variant>
      <vt:variant>
        <vt:lpwstr>https://ec.europa.eu/info/funding-tenders/opportunities/docs/2021-2027/horizon/wp-call/2026-2027/wp-4-health_horizon-2026-2027_en.pdf</vt:lpwstr>
      </vt:variant>
      <vt:variant>
        <vt:lpwstr/>
      </vt:variant>
      <vt:variant>
        <vt:i4>4718676</vt:i4>
      </vt:variant>
      <vt:variant>
        <vt:i4>543</vt:i4>
      </vt:variant>
      <vt:variant>
        <vt:i4>0</vt:i4>
      </vt:variant>
      <vt:variant>
        <vt:i4>5</vt:i4>
      </vt:variant>
      <vt:variant>
        <vt:lpwstr>https://cancer-inequalities.jrc.ec.europa.eu/</vt:lpwstr>
      </vt:variant>
      <vt:variant>
        <vt:lpwstr/>
      </vt:variant>
      <vt:variant>
        <vt:i4>2621442</vt:i4>
      </vt:variant>
      <vt:variant>
        <vt:i4>540</vt:i4>
      </vt:variant>
      <vt:variant>
        <vt:i4>0</vt:i4>
      </vt:variant>
      <vt:variant>
        <vt:i4>5</vt:i4>
      </vt:variant>
      <vt:variant>
        <vt:lpwstr>https://www.oecd.org/en/publications/the-state-of-cardiovascular-health-in-the-european-union_ea7a1%e2%80%a6.html</vt:lpwstr>
      </vt:variant>
      <vt:variant>
        <vt:lpwstr/>
      </vt:variant>
      <vt:variant>
        <vt:i4>4194332</vt:i4>
      </vt:variant>
      <vt:variant>
        <vt:i4>537</vt:i4>
      </vt:variant>
      <vt:variant>
        <vt:i4>0</vt:i4>
      </vt:variant>
      <vt:variant>
        <vt:i4>5</vt:i4>
      </vt:variant>
      <vt:variant>
        <vt:lpwstr>https://doi.org/10.7759/cureus.54264</vt:lpwstr>
      </vt:variant>
      <vt:variant>
        <vt:lpwstr/>
      </vt:variant>
      <vt:variant>
        <vt:i4>196685</vt:i4>
      </vt:variant>
      <vt:variant>
        <vt:i4>534</vt:i4>
      </vt:variant>
      <vt:variant>
        <vt:i4>0</vt:i4>
      </vt:variant>
      <vt:variant>
        <vt:i4>5</vt:i4>
      </vt:variant>
      <vt:variant>
        <vt:lpwstr>https://www.escardio.org/static-file/Escardio/Advocacy/Documents/ESC Statement - Lancet Commission Report - CVD in Women.pdf</vt:lpwstr>
      </vt:variant>
      <vt:variant>
        <vt:lpwstr/>
      </vt:variant>
      <vt:variant>
        <vt:i4>4915284</vt:i4>
      </vt:variant>
      <vt:variant>
        <vt:i4>531</vt:i4>
      </vt:variant>
      <vt:variant>
        <vt:i4>0</vt:i4>
      </vt:variant>
      <vt:variant>
        <vt:i4>5</vt:i4>
      </vt:variant>
      <vt:variant>
        <vt:lpwstr>https://ec.europa.eu/eurostat</vt:lpwstr>
      </vt:variant>
      <vt:variant>
        <vt:lpwstr/>
      </vt:variant>
      <vt:variant>
        <vt:i4>4194326</vt:i4>
      </vt:variant>
      <vt:variant>
        <vt:i4>528</vt:i4>
      </vt:variant>
      <vt:variant>
        <vt:i4>0</vt:i4>
      </vt:variant>
      <vt:variant>
        <vt:i4>5</vt:i4>
      </vt:variant>
      <vt:variant>
        <vt:lpwstr>https://doi.org/10.7759/cureus.89912</vt:lpwstr>
      </vt:variant>
      <vt:variant>
        <vt:lpwstr/>
      </vt:variant>
      <vt:variant>
        <vt:i4>2490418</vt:i4>
      </vt:variant>
      <vt:variant>
        <vt:i4>525</vt:i4>
      </vt:variant>
      <vt:variant>
        <vt:i4>0</vt:i4>
      </vt:variant>
      <vt:variant>
        <vt:i4>5</vt:i4>
      </vt:variant>
      <vt:variant>
        <vt:lpwstr>https://doi.org/10.1038/s41591-024-03273-3</vt:lpwstr>
      </vt:variant>
      <vt:variant>
        <vt:lpwstr/>
      </vt:variant>
      <vt:variant>
        <vt:i4>458854</vt:i4>
      </vt:variant>
      <vt:variant>
        <vt:i4>522</vt:i4>
      </vt:variant>
      <vt:variant>
        <vt:i4>0</vt:i4>
      </vt:variant>
      <vt:variant>
        <vt:i4>5</vt:i4>
      </vt:variant>
      <vt:variant>
        <vt:lpwstr>https://health.ec.europa.eu/document/download/26284fbb-0c7b-4d4d-ae57-f7f2a47e493f_en</vt:lpwstr>
      </vt:variant>
      <vt:variant>
        <vt:lpwstr/>
      </vt:variant>
      <vt:variant>
        <vt:i4>5701654</vt:i4>
      </vt:variant>
      <vt:variant>
        <vt:i4>518</vt:i4>
      </vt:variant>
      <vt:variant>
        <vt:i4>0</vt:i4>
      </vt:variant>
      <vt:variant>
        <vt:i4>5</vt:i4>
      </vt:variant>
      <vt:variant>
        <vt:lpwstr>https://tefhealth.eu/home</vt:lpwstr>
      </vt:variant>
      <vt:variant>
        <vt:lpwstr/>
      </vt:variant>
      <vt:variant>
        <vt:i4>2949223</vt:i4>
      </vt:variant>
      <vt:variant>
        <vt:i4>516</vt:i4>
      </vt:variant>
      <vt:variant>
        <vt:i4>0</vt:i4>
      </vt:variant>
      <vt:variant>
        <vt:i4>5</vt:i4>
      </vt:variant>
      <vt:variant>
        <vt:lpwstr>https://digital-strategy.ec.europa.eu/en/policies/apply-ai</vt:lpwstr>
      </vt:variant>
      <vt:variant>
        <vt:lpwstr/>
      </vt:variant>
      <vt:variant>
        <vt:i4>3014765</vt:i4>
      </vt:variant>
      <vt:variant>
        <vt:i4>513</vt:i4>
      </vt:variant>
      <vt:variant>
        <vt:i4>0</vt:i4>
      </vt:variant>
      <vt:variant>
        <vt:i4>5</vt:i4>
      </vt:variant>
      <vt:variant>
        <vt:lpwstr>https://indicate-europe.eu/</vt:lpwstr>
      </vt:variant>
      <vt:variant>
        <vt:lpwstr/>
      </vt:variant>
      <vt:variant>
        <vt:i4>7602296</vt:i4>
      </vt:variant>
      <vt:variant>
        <vt:i4>510</vt:i4>
      </vt:variant>
      <vt:variant>
        <vt:i4>0</vt:i4>
      </vt:variant>
      <vt:variant>
        <vt:i4>5</vt:i4>
      </vt:variant>
      <vt:variant>
        <vt:lpwstr>https://www.icudata4eu.com/</vt:lpwstr>
      </vt:variant>
      <vt:variant>
        <vt:lpwstr/>
      </vt:variant>
      <vt:variant>
        <vt:i4>4915237</vt:i4>
      </vt:variant>
      <vt:variant>
        <vt:i4>507</vt:i4>
      </vt:variant>
      <vt:variant>
        <vt:i4>0</vt:i4>
      </vt:variant>
      <vt:variant>
        <vt:i4>5</vt:i4>
      </vt:variant>
      <vt:variant>
        <vt:lpwstr>https://health.ec.europa.eu/ehealth-digital-health-and-care/european-health-data-space-regulation-ehds_en</vt:lpwstr>
      </vt:variant>
      <vt:variant>
        <vt:lpwstr/>
      </vt:variant>
      <vt:variant>
        <vt:i4>4587531</vt:i4>
      </vt:variant>
      <vt:variant>
        <vt:i4>504</vt:i4>
      </vt:variant>
      <vt:variant>
        <vt:i4>0</vt:i4>
      </vt:variant>
      <vt:variant>
        <vt:i4>5</vt:i4>
      </vt:variant>
      <vt:variant>
        <vt:lpwstr>https://digital-strategy.ec.europa.eu/en/news/commission-launches-flagship-initiative-increase-use-ai-healthcare</vt:lpwstr>
      </vt:variant>
      <vt:variant>
        <vt:lpwstr/>
      </vt:variant>
      <vt:variant>
        <vt:i4>4194334</vt:i4>
      </vt:variant>
      <vt:variant>
        <vt:i4>501</vt:i4>
      </vt:variant>
      <vt:variant>
        <vt:i4>0</vt:i4>
      </vt:variant>
      <vt:variant>
        <vt:i4>5</vt:i4>
      </vt:variant>
      <vt:variant>
        <vt:lpwstr>https://op.europa.eu/en/publication-detail/-/publication/97ad82f2-5244-11f0-a9d0-01aa75ed71a1/language-en</vt:lpwstr>
      </vt:variant>
      <vt:variant>
        <vt:lpwstr/>
      </vt:variant>
      <vt:variant>
        <vt:i4>4194325</vt:i4>
      </vt:variant>
      <vt:variant>
        <vt:i4>498</vt:i4>
      </vt:variant>
      <vt:variant>
        <vt:i4>0</vt:i4>
      </vt:variant>
      <vt:variant>
        <vt:i4>5</vt:i4>
      </vt:variant>
      <vt:variant>
        <vt:lpwstr>https://shaiped.eu/2025/03/24/successfully-launched-shaiped/</vt:lpwstr>
      </vt:variant>
      <vt:variant>
        <vt:lpwstr/>
      </vt:variant>
      <vt:variant>
        <vt:i4>2949223</vt:i4>
      </vt:variant>
      <vt:variant>
        <vt:i4>495</vt:i4>
      </vt:variant>
      <vt:variant>
        <vt:i4>0</vt:i4>
      </vt:variant>
      <vt:variant>
        <vt:i4>5</vt:i4>
      </vt:variant>
      <vt:variant>
        <vt:lpwstr>https://digital-strategy.ec.europa.eu/en/policies/apply-ai</vt:lpwstr>
      </vt:variant>
      <vt:variant>
        <vt:lpwstr/>
      </vt:variant>
      <vt:variant>
        <vt:i4>5832723</vt:i4>
      </vt:variant>
      <vt:variant>
        <vt:i4>492</vt:i4>
      </vt:variant>
      <vt:variant>
        <vt:i4>0</vt:i4>
      </vt:variant>
      <vt:variant>
        <vt:i4>5</vt:i4>
      </vt:variant>
      <vt:variant>
        <vt:lpwstr>https://digital-strategy.ec.europa.eu/en/library/ai-continent-action-plan</vt:lpwstr>
      </vt:variant>
      <vt:variant>
        <vt:lpwstr/>
      </vt:variant>
      <vt:variant>
        <vt:i4>131157</vt:i4>
      </vt:variant>
      <vt:variant>
        <vt:i4>486</vt:i4>
      </vt:variant>
      <vt:variant>
        <vt:i4>0</vt:i4>
      </vt:variant>
      <vt:variant>
        <vt:i4>5</vt:i4>
      </vt:variant>
      <vt:variant>
        <vt:lpwstr>https://digital-strategy.ec.europa.eu/en/news/genome-europe-project-launched-first-step-towards-european-reference-genome</vt:lpwstr>
      </vt:variant>
      <vt:variant>
        <vt:lpwstr/>
      </vt:variant>
      <vt:variant>
        <vt:i4>7340093</vt:i4>
      </vt:variant>
      <vt:variant>
        <vt:i4>483</vt:i4>
      </vt:variant>
      <vt:variant>
        <vt:i4>0</vt:i4>
      </vt:variant>
      <vt:variant>
        <vt:i4>5</vt:i4>
      </vt:variant>
      <vt:variant>
        <vt:lpwstr>https://digital-strategy.ec.europa.eu/en/policies/1-million-genomes</vt:lpwstr>
      </vt:variant>
      <vt:variant>
        <vt:lpwstr/>
      </vt:variant>
      <vt:variant>
        <vt:i4>2097211</vt:i4>
      </vt:variant>
      <vt:variant>
        <vt:i4>480</vt:i4>
      </vt:variant>
      <vt:variant>
        <vt:i4>0</vt:i4>
      </vt:variant>
      <vt:variant>
        <vt:i4>5</vt:i4>
      </vt:variant>
      <vt:variant>
        <vt:lpwstr>https://www.caramel-project.eu/</vt:lpwstr>
      </vt:variant>
      <vt:variant>
        <vt:lpwstr/>
      </vt:variant>
      <vt:variant>
        <vt:i4>1507421</vt:i4>
      </vt:variant>
      <vt:variant>
        <vt:i4>477</vt:i4>
      </vt:variant>
      <vt:variant>
        <vt:i4>0</vt:i4>
      </vt:variant>
      <vt:variant>
        <vt:i4>5</vt:i4>
      </vt:variant>
      <vt:variant>
        <vt:lpwstr>https://eur-lex.europa.eu/eli/reg/2021/240/oj/eng</vt:lpwstr>
      </vt:variant>
      <vt:variant>
        <vt:lpwstr/>
      </vt:variant>
      <vt:variant>
        <vt:i4>8060943</vt:i4>
      </vt:variant>
      <vt:variant>
        <vt:i4>474</vt:i4>
      </vt:variant>
      <vt:variant>
        <vt:i4>0</vt:i4>
      </vt:variant>
      <vt:variant>
        <vt:i4>5</vt:i4>
      </vt:variant>
      <vt:variant>
        <vt:lpwstr>https://commission.europa.eu/funding-tenders/find-funding/eu-funding-programmes/technical-support-instrument/technical-support-instrument-tsi_en</vt:lpwstr>
      </vt:variant>
      <vt:variant>
        <vt:lpwstr/>
      </vt:variant>
      <vt:variant>
        <vt:i4>7733351</vt:i4>
      </vt:variant>
      <vt:variant>
        <vt:i4>468</vt:i4>
      </vt:variant>
      <vt:variant>
        <vt:i4>0</vt:i4>
      </vt:variant>
      <vt:variant>
        <vt:i4>5</vt:i4>
      </vt:variant>
      <vt:variant>
        <vt:lpwstr>https://eur-lex.europa.eu/eli/reg/2021/2282/oj/eng</vt:lpwstr>
      </vt:variant>
      <vt:variant>
        <vt:lpwstr/>
      </vt:variant>
      <vt:variant>
        <vt:i4>6684768</vt:i4>
      </vt:variant>
      <vt:variant>
        <vt:i4>465</vt:i4>
      </vt:variant>
      <vt:variant>
        <vt:i4>0</vt:i4>
      </vt:variant>
      <vt:variant>
        <vt:i4>5</vt:i4>
      </vt:variant>
      <vt:variant>
        <vt:lpwstr>https://health.ec.europa.eu/system/files/2023-03/mp_decentralised-elements_clinical-trials_rec_en.pdf</vt:lpwstr>
      </vt:variant>
      <vt:variant>
        <vt:lpwstr/>
      </vt:variant>
      <vt:variant>
        <vt:i4>786467</vt:i4>
      </vt:variant>
      <vt:variant>
        <vt:i4>462</vt:i4>
      </vt:variant>
      <vt:variant>
        <vt:i4>0</vt:i4>
      </vt:variant>
      <vt:variant>
        <vt:i4>5</vt:i4>
      </vt:variant>
      <vt:variant>
        <vt:lpwstr>https://research-and-innovation.ec.europa.eu/strategy/strategy-research-and-innovation/jobs-and-economy/strategy-european-life-sciences_en</vt:lpwstr>
      </vt:variant>
      <vt:variant>
        <vt:lpwstr/>
      </vt:variant>
      <vt:variant>
        <vt:i4>7340131</vt:i4>
      </vt:variant>
      <vt:variant>
        <vt:i4>453</vt:i4>
      </vt:variant>
      <vt:variant>
        <vt:i4>0</vt:i4>
      </vt:variant>
      <vt:variant>
        <vt:i4>5</vt:i4>
      </vt:variant>
      <vt:variant>
        <vt:lpwstr>https://www.ema.europa.eu/en/human-regulatory-overview/post-authorisation/medicine-shortages-availability-issues/availability-medicines-during-crises/union-list-critical-medicines</vt:lpwstr>
      </vt:variant>
      <vt:variant>
        <vt:lpwstr/>
      </vt:variant>
      <vt:variant>
        <vt:i4>5242940</vt:i4>
      </vt:variant>
      <vt:variant>
        <vt:i4>447</vt:i4>
      </vt:variant>
      <vt:variant>
        <vt:i4>0</vt:i4>
      </vt:variant>
      <vt:variant>
        <vt:i4>5</vt:i4>
      </vt:variant>
      <vt:variant>
        <vt:lpwstr>https://health.ec.europa.eu/medicinal-products/legal-framework-governing-medicinal-products-human-use-eu/critical-medicines-act_en</vt:lpwstr>
      </vt:variant>
      <vt:variant>
        <vt:lpwstr/>
      </vt:variant>
      <vt:variant>
        <vt:i4>7012459</vt:i4>
      </vt:variant>
      <vt:variant>
        <vt:i4>444</vt:i4>
      </vt:variant>
      <vt:variant>
        <vt:i4>0</vt:i4>
      </vt:variant>
      <vt:variant>
        <vt:i4>5</vt:i4>
      </vt:variant>
      <vt:variant>
        <vt:lpwstr>https://eur-lex.europa.eu/legal-content/EN/TXT/?uri=CELEX%3A02017R0746-20250110</vt:lpwstr>
      </vt:variant>
      <vt:variant>
        <vt:lpwstr/>
      </vt:variant>
      <vt:variant>
        <vt:i4>6815851</vt:i4>
      </vt:variant>
      <vt:variant>
        <vt:i4>441</vt:i4>
      </vt:variant>
      <vt:variant>
        <vt:i4>0</vt:i4>
      </vt:variant>
      <vt:variant>
        <vt:i4>5</vt:i4>
      </vt:variant>
      <vt:variant>
        <vt:lpwstr>https://eur-lex.europa.eu/legal-content/EN/TXT/?uri=CELEX%3A02017R0745-20250110</vt:lpwstr>
      </vt:variant>
      <vt:variant>
        <vt:lpwstr/>
      </vt:variant>
      <vt:variant>
        <vt:i4>5046348</vt:i4>
      </vt:variant>
      <vt:variant>
        <vt:i4>438</vt:i4>
      </vt:variant>
      <vt:variant>
        <vt:i4>0</vt:i4>
      </vt:variant>
      <vt:variant>
        <vt:i4>5</vt:i4>
      </vt:variant>
      <vt:variant>
        <vt:lpwstr>https://ec2u.eu/</vt:lpwstr>
      </vt:variant>
      <vt:variant>
        <vt:lpwstr/>
      </vt:variant>
      <vt:variant>
        <vt:i4>7536758</vt:i4>
      </vt:variant>
      <vt:variant>
        <vt:i4>435</vt:i4>
      </vt:variant>
      <vt:variant>
        <vt:i4>0</vt:i4>
      </vt:variant>
      <vt:variant>
        <vt:i4>5</vt:i4>
      </vt:variant>
      <vt:variant>
        <vt:lpwstr>https://www.eugloh.eu/</vt:lpwstr>
      </vt:variant>
      <vt:variant>
        <vt:lpwstr/>
      </vt:variant>
      <vt:variant>
        <vt:i4>852044</vt:i4>
      </vt:variant>
      <vt:variant>
        <vt:i4>432</vt:i4>
      </vt:variant>
      <vt:variant>
        <vt:i4>0</vt:i4>
      </vt:variant>
      <vt:variant>
        <vt:i4>5</vt:i4>
      </vt:variant>
      <vt:variant>
        <vt:lpwstr>https://civis.eu/en/learn/civis-courses/challenges-and-innovative-approaches-in-cardiovascular-and-metabolic-disease-from-basic-research-to-clinical-practice</vt:lpwstr>
      </vt:variant>
      <vt:variant>
        <vt:lpwstr/>
      </vt:variant>
      <vt:variant>
        <vt:i4>5570642</vt:i4>
      </vt:variant>
      <vt:variant>
        <vt:i4>429</vt:i4>
      </vt:variant>
      <vt:variant>
        <vt:i4>0</vt:i4>
      </vt:variant>
      <vt:variant>
        <vt:i4>5</vt:i4>
      </vt:variant>
      <vt:variant>
        <vt:lpwstr>https://health.eutopia-university.eu/</vt:lpwstr>
      </vt:variant>
      <vt:variant>
        <vt:lpwstr/>
      </vt:variant>
      <vt:variant>
        <vt:i4>5963803</vt:i4>
      </vt:variant>
      <vt:variant>
        <vt:i4>423</vt:i4>
      </vt:variant>
      <vt:variant>
        <vt:i4>0</vt:i4>
      </vt:variant>
      <vt:variant>
        <vt:i4>5</vt:i4>
      </vt:variant>
      <vt:variant>
        <vt:lpwstr>https://eu-promens.eu/eu-promens</vt:lpwstr>
      </vt:variant>
      <vt:variant>
        <vt:lpwstr/>
      </vt:variant>
      <vt:variant>
        <vt:i4>5046329</vt:i4>
      </vt:variant>
      <vt:variant>
        <vt:i4>420</vt:i4>
      </vt:variant>
      <vt:variant>
        <vt:i4>0</vt:i4>
      </vt:variant>
      <vt:variant>
        <vt:i4>5</vt:i4>
      </vt:variant>
      <vt:variant>
        <vt:lpwstr>https://health.ec.europa.eu/non-communicable-diseases/mental-health_en</vt:lpwstr>
      </vt:variant>
      <vt:variant>
        <vt:lpwstr/>
      </vt:variant>
      <vt:variant>
        <vt:i4>3014711</vt:i4>
      </vt:variant>
      <vt:variant>
        <vt:i4>417</vt:i4>
      </vt:variant>
      <vt:variant>
        <vt:i4>0</vt:i4>
      </vt:variant>
      <vt:variant>
        <vt:i4>5</vt:i4>
      </vt:variant>
      <vt:variant>
        <vt:lpwstr>https://jacardi.eu/</vt:lpwstr>
      </vt:variant>
      <vt:variant>
        <vt:lpwstr/>
      </vt:variant>
      <vt:variant>
        <vt:i4>3604512</vt:i4>
      </vt:variant>
      <vt:variant>
        <vt:i4>414</vt:i4>
      </vt:variant>
      <vt:variant>
        <vt:i4>0</vt:i4>
      </vt:variant>
      <vt:variant>
        <vt:i4>5</vt:i4>
      </vt:variant>
      <vt:variant>
        <vt:lpwstr>https://incareheart.eu/</vt:lpwstr>
      </vt:variant>
      <vt:variant>
        <vt:lpwstr/>
      </vt:variant>
      <vt:variant>
        <vt:i4>3604597</vt:i4>
      </vt:variant>
      <vt:variant>
        <vt:i4>411</vt:i4>
      </vt:variant>
      <vt:variant>
        <vt:i4>0</vt:i4>
      </vt:variant>
      <vt:variant>
        <vt:i4>5</vt:i4>
      </vt:variant>
      <vt:variant>
        <vt:lpwstr>https://ecanja.eu/</vt:lpwstr>
      </vt:variant>
      <vt:variant>
        <vt:lpwstr/>
      </vt:variant>
      <vt:variant>
        <vt:i4>2621442</vt:i4>
      </vt:variant>
      <vt:variant>
        <vt:i4>408</vt:i4>
      </vt:variant>
      <vt:variant>
        <vt:i4>0</vt:i4>
      </vt:variant>
      <vt:variant>
        <vt:i4>5</vt:i4>
      </vt:variant>
      <vt:variant>
        <vt:lpwstr>https://www.oecd.org/en/publications/the-state-of-cardiovascular-health-in-the-european-union_ea7a1%e2%80%a6.html</vt:lpwstr>
      </vt:variant>
      <vt:variant>
        <vt:lpwstr/>
      </vt:variant>
      <vt:variant>
        <vt:i4>589836</vt:i4>
      </vt:variant>
      <vt:variant>
        <vt:i4>402</vt:i4>
      </vt:variant>
      <vt:variant>
        <vt:i4>0</vt:i4>
      </vt:variant>
      <vt:variant>
        <vt:i4>5</vt:i4>
      </vt:variant>
      <vt:variant>
        <vt:lpwstr>https://pubmed.ncbi.nlm.nih.gov/40640196/</vt:lpwstr>
      </vt:variant>
      <vt:variant>
        <vt:lpwstr/>
      </vt:variant>
      <vt:variant>
        <vt:i4>3342392</vt:i4>
      </vt:variant>
      <vt:variant>
        <vt:i4>399</vt:i4>
      </vt:variant>
      <vt:variant>
        <vt:i4>0</vt:i4>
      </vt:variant>
      <vt:variant>
        <vt:i4>5</vt:i4>
      </vt:variant>
      <vt:variant>
        <vt:lpwstr>https://ht-advance.eu/</vt:lpwstr>
      </vt:variant>
      <vt:variant>
        <vt:lpwstr/>
      </vt:variant>
      <vt:variant>
        <vt:i4>5570577</vt:i4>
      </vt:variant>
      <vt:variant>
        <vt:i4>396</vt:i4>
      </vt:variant>
      <vt:variant>
        <vt:i4>0</vt:i4>
      </vt:variant>
      <vt:variant>
        <vt:i4>5</vt:i4>
      </vt:variant>
      <vt:variant>
        <vt:lpwstr>https://doi.org/10.1136/bmj.r365</vt:lpwstr>
      </vt:variant>
      <vt:variant>
        <vt:lpwstr/>
      </vt:variant>
      <vt:variant>
        <vt:i4>2752615</vt:i4>
      </vt:variant>
      <vt:variant>
        <vt:i4>393</vt:i4>
      </vt:variant>
      <vt:variant>
        <vt:i4>0</vt:i4>
      </vt:variant>
      <vt:variant>
        <vt:i4>5</vt:i4>
      </vt:variant>
      <vt:variant>
        <vt:lpwstr>https://oncoscreen.health/</vt:lpwstr>
      </vt:variant>
      <vt:variant>
        <vt:lpwstr/>
      </vt:variant>
      <vt:variant>
        <vt:i4>4784220</vt:i4>
      </vt:variant>
      <vt:variant>
        <vt:i4>390</vt:i4>
      </vt:variant>
      <vt:variant>
        <vt:i4>0</vt:i4>
      </vt:variant>
      <vt:variant>
        <vt:i4>5</vt:i4>
      </vt:variant>
      <vt:variant>
        <vt:lpwstr>https://europeanlung.org/solace/</vt:lpwstr>
      </vt:variant>
      <vt:variant>
        <vt:lpwstr/>
      </vt:variant>
      <vt:variant>
        <vt:i4>3801125</vt:i4>
      </vt:variant>
      <vt:variant>
        <vt:i4>387</vt:i4>
      </vt:variant>
      <vt:variant>
        <vt:i4>0</vt:i4>
      </vt:variant>
      <vt:variant>
        <vt:i4>5</vt:i4>
      </vt:variant>
      <vt:variant>
        <vt:lpwstr>https://eucanscreen.eu/</vt:lpwstr>
      </vt:variant>
      <vt:variant>
        <vt:lpwstr/>
      </vt:variant>
      <vt:variant>
        <vt:i4>262149</vt:i4>
      </vt:variant>
      <vt:variant>
        <vt:i4>384</vt:i4>
      </vt:variant>
      <vt:variant>
        <vt:i4>0</vt:i4>
      </vt:variant>
      <vt:variant>
        <vt:i4>5</vt:i4>
      </vt:variant>
      <vt:variant>
        <vt:lpwstr>https://digital-strategy.ec.europa.eu/en/policies/virtual-human-twins</vt:lpwstr>
      </vt:variant>
      <vt:variant>
        <vt:lpwstr/>
      </vt:variant>
      <vt:variant>
        <vt:i4>5111838</vt:i4>
      </vt:variant>
      <vt:variant>
        <vt:i4>381</vt:i4>
      </vt:variant>
      <vt:variant>
        <vt:i4>0</vt:i4>
      </vt:variant>
      <vt:variant>
        <vt:i4>5</vt:i4>
      </vt:variant>
      <vt:variant>
        <vt:lpwstr>https://academic.oup.com/eurheartj/article/46/15/1372/8001983</vt:lpwstr>
      </vt:variant>
      <vt:variant>
        <vt:lpwstr/>
      </vt:variant>
      <vt:variant>
        <vt:i4>2293875</vt:i4>
      </vt:variant>
      <vt:variant>
        <vt:i4>378</vt:i4>
      </vt:variant>
      <vt:variant>
        <vt:i4>0</vt:i4>
      </vt:variant>
      <vt:variant>
        <vt:i4>5</vt:i4>
      </vt:variant>
      <vt:variant>
        <vt:lpwstr>https://perfecto-fh.eu/</vt:lpwstr>
      </vt:variant>
      <vt:variant>
        <vt:lpwstr/>
      </vt:variant>
      <vt:variant>
        <vt:i4>655371</vt:i4>
      </vt:variant>
      <vt:variant>
        <vt:i4>375</vt:i4>
      </vt:variant>
      <vt:variant>
        <vt:i4>0</vt:i4>
      </vt:variant>
      <vt:variant>
        <vt:i4>5</vt:i4>
      </vt:variant>
      <vt:variant>
        <vt:lpwstr>https://cordis.europa.eu/article/id/92771-biomarkers-for-cardiovascular-diseases-expanded</vt:lpwstr>
      </vt:variant>
      <vt:variant>
        <vt:lpwstr/>
      </vt:variant>
      <vt:variant>
        <vt:i4>6094941</vt:i4>
      </vt:variant>
      <vt:variant>
        <vt:i4>372</vt:i4>
      </vt:variant>
      <vt:variant>
        <vt:i4>0</vt:i4>
      </vt:variant>
      <vt:variant>
        <vt:i4>5</vt:i4>
      </vt:variant>
      <vt:variant>
        <vt:lpwstr>https://fh-early.eu/</vt:lpwstr>
      </vt:variant>
      <vt:variant>
        <vt:lpwstr/>
      </vt:variant>
      <vt:variant>
        <vt:i4>3145774</vt:i4>
      </vt:variant>
      <vt:variant>
        <vt:i4>363</vt:i4>
      </vt:variant>
      <vt:variant>
        <vt:i4>0</vt:i4>
      </vt:variant>
      <vt:variant>
        <vt:i4>5</vt:i4>
      </vt:variant>
      <vt:variant>
        <vt:lpwstr>https://academic.oup.com/eurjpc/article/31/15/1899/7742632</vt:lpwstr>
      </vt:variant>
      <vt:variant>
        <vt:lpwstr/>
      </vt:variant>
      <vt:variant>
        <vt:i4>1179703</vt:i4>
      </vt:variant>
      <vt:variant>
        <vt:i4>360</vt:i4>
      </vt:variant>
      <vt:variant>
        <vt:i4>0</vt:i4>
      </vt:variant>
      <vt:variant>
        <vt:i4>5</vt:i4>
      </vt:variant>
      <vt:variant>
        <vt:lpwstr>https://commission.europa.eu/aid-development-cooperation-fundamental-rights/your-fundamental-rights-eu/know-your-rights/equality/non-discrimination_en</vt:lpwstr>
      </vt:variant>
      <vt:variant>
        <vt:lpwstr/>
      </vt:variant>
      <vt:variant>
        <vt:i4>5374034</vt:i4>
      </vt:variant>
      <vt:variant>
        <vt:i4>357</vt:i4>
      </vt:variant>
      <vt:variant>
        <vt:i4>0</vt:i4>
      </vt:variant>
      <vt:variant>
        <vt:i4>5</vt:i4>
      </vt:variant>
      <vt:variant>
        <vt:lpwstr>https://www.poccardio-project.eu/</vt:lpwstr>
      </vt:variant>
      <vt:variant>
        <vt:lpwstr/>
      </vt:variant>
      <vt:variant>
        <vt:i4>5505070</vt:i4>
      </vt:variant>
      <vt:variant>
        <vt:i4>354</vt:i4>
      </vt:variant>
      <vt:variant>
        <vt:i4>0</vt:i4>
      </vt:variant>
      <vt:variant>
        <vt:i4>5</vt:i4>
      </vt:variant>
      <vt:variant>
        <vt:lpwstr>https://health.ec.europa.eu/non-communicable-diseases/cancer/europes-beating-cancer-plan-eu4health-financed-projects/projects/ecac5_en</vt:lpwstr>
      </vt:variant>
      <vt:variant>
        <vt:lpwstr/>
      </vt:variant>
      <vt:variant>
        <vt:i4>4522066</vt:i4>
      </vt:variant>
      <vt:variant>
        <vt:i4>351</vt:i4>
      </vt:variant>
      <vt:variant>
        <vt:i4>0</vt:i4>
      </vt:variant>
      <vt:variant>
        <vt:i4>5</vt:i4>
      </vt:variant>
      <vt:variant>
        <vt:lpwstr>https://preventncd.eu/work-packages/wp-07/strengthening-health-literacy-to-reduce-inequalities-in-cancer-and-other-ncds/</vt:lpwstr>
      </vt:variant>
      <vt:variant>
        <vt:lpwstr/>
      </vt:variant>
      <vt:variant>
        <vt:i4>543555647</vt:i4>
      </vt:variant>
      <vt:variant>
        <vt:i4>348</vt:i4>
      </vt:variant>
      <vt:variant>
        <vt:i4>0</vt:i4>
      </vt:variant>
      <vt:variant>
        <vt:i4>5</vt:i4>
      </vt:variant>
      <vt:variant>
        <vt:lpwstr>C:\Users\takkima\AppData\Local\Microsoft\Windows\INetCache\Content.Outlook\GGZ5C8P0\New systematic review and meta-analysis shows an association between shingles vaccination and lower risk of heart attack and stroke </vt:lpwstr>
      </vt:variant>
      <vt:variant>
        <vt:lpwstr/>
      </vt:variant>
      <vt:variant>
        <vt:i4>4980787</vt:i4>
      </vt:variant>
      <vt:variant>
        <vt:i4>345</vt:i4>
      </vt:variant>
      <vt:variant>
        <vt:i4>0</vt:i4>
      </vt:variant>
      <vt:variant>
        <vt:i4>5</vt:i4>
      </vt:variant>
      <vt:variant>
        <vt:lpwstr>https://health.ec.europa.eu/vaccination_en</vt:lpwstr>
      </vt:variant>
      <vt:variant>
        <vt:lpwstr/>
      </vt:variant>
      <vt:variant>
        <vt:i4>1245258</vt:i4>
      </vt:variant>
      <vt:variant>
        <vt:i4>342</vt:i4>
      </vt:variant>
      <vt:variant>
        <vt:i4>0</vt:i4>
      </vt:variant>
      <vt:variant>
        <vt:i4>5</vt:i4>
      </vt:variant>
      <vt:variant>
        <vt:lpwstr>https://vaccination-info.europa.eu/en</vt:lpwstr>
      </vt:variant>
      <vt:variant>
        <vt:lpwstr/>
      </vt:variant>
      <vt:variant>
        <vt:i4>7143496</vt:i4>
      </vt:variant>
      <vt:variant>
        <vt:i4>339</vt:i4>
      </vt:variant>
      <vt:variant>
        <vt:i4>0</vt:i4>
      </vt:variant>
      <vt:variant>
        <vt:i4>5</vt:i4>
      </vt:variant>
      <vt:variant>
        <vt:lpwstr>https://hadea.ec.europa.eu/news/european-immunisation-week-2025-eu4health-and-horizon-europe-projects-protecting-health-people-all-2025-04-28_en</vt:lpwstr>
      </vt:variant>
      <vt:variant>
        <vt:lpwstr/>
      </vt:variant>
      <vt:variant>
        <vt:i4>4325377</vt:i4>
      </vt:variant>
      <vt:variant>
        <vt:i4>336</vt:i4>
      </vt:variant>
      <vt:variant>
        <vt:i4>0</vt:i4>
      </vt:variant>
      <vt:variant>
        <vt:i4>5</vt:i4>
      </vt:variant>
      <vt:variant>
        <vt:lpwstr>https://www.escardio.org/The-ESC/Press-Office/Press-releases/vaccination-as-a-new-form-of-cardiovascular-prevention-an-esc-clinical-consensu</vt:lpwstr>
      </vt:variant>
      <vt:variant>
        <vt:lpwstr/>
      </vt:variant>
      <vt:variant>
        <vt:i4>5898314</vt:i4>
      </vt:variant>
      <vt:variant>
        <vt:i4>333</vt:i4>
      </vt:variant>
      <vt:variant>
        <vt:i4>0</vt:i4>
      </vt:variant>
      <vt:variant>
        <vt:i4>5</vt:i4>
      </vt:variant>
      <vt:variant>
        <vt:lpwstr>https://doi.org/10.1001/jamanetworkopen.2022.8873</vt:lpwstr>
      </vt:variant>
      <vt:variant>
        <vt:lpwstr/>
      </vt:variant>
      <vt:variant>
        <vt:i4>720900</vt:i4>
      </vt:variant>
      <vt:variant>
        <vt:i4>330</vt:i4>
      </vt:variant>
      <vt:variant>
        <vt:i4>0</vt:i4>
      </vt:variant>
      <vt:variant>
        <vt:i4>5</vt:i4>
      </vt:variant>
      <vt:variant>
        <vt:lpwstr>https://doi.org/10.1093/eurheartj/ehaf384</vt:lpwstr>
      </vt:variant>
      <vt:variant>
        <vt:lpwstr/>
      </vt:variant>
      <vt:variant>
        <vt:i4>8257599</vt:i4>
      </vt:variant>
      <vt:variant>
        <vt:i4>327</vt:i4>
      </vt:variant>
      <vt:variant>
        <vt:i4>0</vt:i4>
      </vt:variant>
      <vt:variant>
        <vt:i4>5</vt:i4>
      </vt:variant>
      <vt:variant>
        <vt:lpwstr>https://climate-adapt.eea.europa.eu/en/observatory</vt:lpwstr>
      </vt:variant>
      <vt:variant>
        <vt:lpwstr/>
      </vt:variant>
      <vt:variant>
        <vt:i4>1835019</vt:i4>
      </vt:variant>
      <vt:variant>
        <vt:i4>324</vt:i4>
      </vt:variant>
      <vt:variant>
        <vt:i4>0</vt:i4>
      </vt:variant>
      <vt:variant>
        <vt:i4>5</vt:i4>
      </vt:variant>
      <vt:variant>
        <vt:lpwstr>https://www.unicef.org/eca/press-releases/european-commission-and-unicef-announce-new-partnership-improve-health-outcomes</vt:lpwstr>
      </vt:variant>
      <vt:variant>
        <vt:lpwstr/>
      </vt:variant>
      <vt:variant>
        <vt:i4>4259860</vt:i4>
      </vt:variant>
      <vt:variant>
        <vt:i4>321</vt:i4>
      </vt:variant>
      <vt:variant>
        <vt:i4>0</vt:i4>
      </vt:variant>
      <vt:variant>
        <vt:i4>5</vt:i4>
      </vt:variant>
      <vt:variant>
        <vt:lpwstr>https://digital-strategy.ec.europa.eu/en/policies/audiovisual-and-media-services</vt:lpwstr>
      </vt:variant>
      <vt:variant>
        <vt:lpwstr/>
      </vt:variant>
      <vt:variant>
        <vt:i4>2949224</vt:i4>
      </vt:variant>
      <vt:variant>
        <vt:i4>318</vt:i4>
      </vt:variant>
      <vt:variant>
        <vt:i4>0</vt:i4>
      </vt:variant>
      <vt:variant>
        <vt:i4>5</vt:i4>
      </vt:variant>
      <vt:variant>
        <vt:lpwstr>https://europa.eu/eurobarometer/surveys/detail/2995</vt:lpwstr>
      </vt:variant>
      <vt:variant>
        <vt:lpwstr/>
      </vt:variant>
      <vt:variant>
        <vt:i4>5898298</vt:i4>
      </vt:variant>
      <vt:variant>
        <vt:i4>315</vt:i4>
      </vt:variant>
      <vt:variant>
        <vt:i4>0</vt:i4>
      </vt:variant>
      <vt:variant>
        <vt:i4>5</vt:i4>
      </vt:variant>
      <vt:variant>
        <vt:lpwstr>https://www.oecd.org/en/publications/step-up-tackling-the-burden-of-insufficient-physical-activity-in-europe_500a9601-en.html</vt:lpwstr>
      </vt:variant>
      <vt:variant>
        <vt:lpwstr/>
      </vt:variant>
      <vt:variant>
        <vt:i4>1900569</vt:i4>
      </vt:variant>
      <vt:variant>
        <vt:i4>312</vt:i4>
      </vt:variant>
      <vt:variant>
        <vt:i4>0</vt:i4>
      </vt:variant>
      <vt:variant>
        <vt:i4>5</vt:i4>
      </vt:variant>
      <vt:variant>
        <vt:lpwstr>https://cordis.europa.eu/project/id/101084642</vt:lpwstr>
      </vt:variant>
      <vt:variant>
        <vt:lpwstr/>
      </vt:variant>
      <vt:variant>
        <vt:i4>1966097</vt:i4>
      </vt:variant>
      <vt:variant>
        <vt:i4>309</vt:i4>
      </vt:variant>
      <vt:variant>
        <vt:i4>0</vt:i4>
      </vt:variant>
      <vt:variant>
        <vt:i4>5</vt:i4>
      </vt:variant>
      <vt:variant>
        <vt:lpwstr>https://cordis.europa.eu/project/id/101061023</vt:lpwstr>
      </vt:variant>
      <vt:variant>
        <vt:lpwstr/>
      </vt:variant>
      <vt:variant>
        <vt:i4>2424953</vt:i4>
      </vt:variant>
      <vt:variant>
        <vt:i4>306</vt:i4>
      </vt:variant>
      <vt:variant>
        <vt:i4>0</vt:i4>
      </vt:variant>
      <vt:variant>
        <vt:i4>5</vt:i4>
      </vt:variant>
      <vt:variant>
        <vt:lpwstr>https://food2030.eu/projects/zero-hidden-hunger-eu/</vt:lpwstr>
      </vt:variant>
      <vt:variant>
        <vt:lpwstr/>
      </vt:variant>
      <vt:variant>
        <vt:i4>3473518</vt:i4>
      </vt:variant>
      <vt:variant>
        <vt:i4>303</vt:i4>
      </vt:variant>
      <vt:variant>
        <vt:i4>0</vt:i4>
      </vt:variant>
      <vt:variant>
        <vt:i4>5</vt:i4>
      </vt:variant>
      <vt:variant>
        <vt:lpwstr>https://preventproject.eu/the-prevent-living-labs-a-new-approach-to-tackling-childhood-obesity/</vt:lpwstr>
      </vt:variant>
      <vt:variant>
        <vt:lpwstr/>
      </vt:variant>
      <vt:variant>
        <vt:i4>1638425</vt:i4>
      </vt:variant>
      <vt:variant>
        <vt:i4>300</vt:i4>
      </vt:variant>
      <vt:variant>
        <vt:i4>0</vt:i4>
      </vt:variant>
      <vt:variant>
        <vt:i4>5</vt:i4>
      </vt:variant>
      <vt:variant>
        <vt:lpwstr>https://cordis.europa.eu/project/id/101080645</vt:lpwstr>
      </vt:variant>
      <vt:variant>
        <vt:lpwstr/>
      </vt:variant>
      <vt:variant>
        <vt:i4>2031644</vt:i4>
      </vt:variant>
      <vt:variant>
        <vt:i4>297</vt:i4>
      </vt:variant>
      <vt:variant>
        <vt:i4>0</vt:i4>
      </vt:variant>
      <vt:variant>
        <vt:i4>5</vt:i4>
      </vt:variant>
      <vt:variant>
        <vt:lpwstr>https://cordis.europa.eu/project/id/101080329</vt:lpwstr>
      </vt:variant>
      <vt:variant>
        <vt:lpwstr/>
      </vt:variant>
      <vt:variant>
        <vt:i4>1769499</vt:i4>
      </vt:variant>
      <vt:variant>
        <vt:i4>294</vt:i4>
      </vt:variant>
      <vt:variant>
        <vt:i4>0</vt:i4>
      </vt:variant>
      <vt:variant>
        <vt:i4>5</vt:i4>
      </vt:variant>
      <vt:variant>
        <vt:lpwstr>https://cordis.europa.eu/project/id/101080465</vt:lpwstr>
      </vt:variant>
      <vt:variant>
        <vt:lpwstr/>
      </vt:variant>
      <vt:variant>
        <vt:i4>1835032</vt:i4>
      </vt:variant>
      <vt:variant>
        <vt:i4>291</vt:i4>
      </vt:variant>
      <vt:variant>
        <vt:i4>0</vt:i4>
      </vt:variant>
      <vt:variant>
        <vt:i4>5</vt:i4>
      </vt:variant>
      <vt:variant>
        <vt:lpwstr>https://cordis.europa.eu/project/id/101080718</vt:lpwstr>
      </vt:variant>
      <vt:variant>
        <vt:lpwstr/>
      </vt:variant>
      <vt:variant>
        <vt:i4>1245188</vt:i4>
      </vt:variant>
      <vt:variant>
        <vt:i4>288</vt:i4>
      </vt:variant>
      <vt:variant>
        <vt:i4>0</vt:i4>
      </vt:variant>
      <vt:variant>
        <vt:i4>5</vt:i4>
      </vt:variant>
      <vt:variant>
        <vt:lpwstr>https://ryhealth.net/</vt:lpwstr>
      </vt:variant>
      <vt:variant>
        <vt:lpwstr/>
      </vt:variant>
      <vt:variant>
        <vt:i4>589843</vt:i4>
      </vt:variant>
      <vt:variant>
        <vt:i4>285</vt:i4>
      </vt:variant>
      <vt:variant>
        <vt:i4>0</vt:i4>
      </vt:variant>
      <vt:variant>
        <vt:i4>5</vt:i4>
      </vt:variant>
      <vt:variant>
        <vt:lpwstr>https://site.unibo.it/duse/en/project</vt:lpwstr>
      </vt:variant>
      <vt:variant>
        <vt:lpwstr/>
      </vt:variant>
      <vt:variant>
        <vt:i4>7209057</vt:i4>
      </vt:variant>
      <vt:variant>
        <vt:i4>282</vt:i4>
      </vt:variant>
      <vt:variant>
        <vt:i4>0</vt:i4>
      </vt:variant>
      <vt:variant>
        <vt:i4>5</vt:i4>
      </vt:variant>
      <vt:variant>
        <vt:lpwstr>https://schools4health.eu/</vt:lpwstr>
      </vt:variant>
      <vt:variant>
        <vt:lpwstr/>
      </vt:variant>
      <vt:variant>
        <vt:i4>6094922</vt:i4>
      </vt:variant>
      <vt:variant>
        <vt:i4>279</vt:i4>
      </vt:variant>
      <vt:variant>
        <vt:i4>0</vt:i4>
      </vt:variant>
      <vt:variant>
        <vt:i4>5</vt:i4>
      </vt:variant>
      <vt:variant>
        <vt:lpwstr>https://www.dypede.gr/health4eukids/</vt:lpwstr>
      </vt:variant>
      <vt:variant>
        <vt:lpwstr/>
      </vt:variant>
      <vt:variant>
        <vt:i4>5111878</vt:i4>
      </vt:variant>
      <vt:variant>
        <vt:i4>276</vt:i4>
      </vt:variant>
      <vt:variant>
        <vt:i4>0</vt:i4>
      </vt:variant>
      <vt:variant>
        <vt:i4>5</vt:i4>
      </vt:variant>
      <vt:variant>
        <vt:lpwstr>https://www.who.int/europe/news/item/03-03-2021-how-healthy-are-children-s-eating-habits-who-europe-surveillance-results</vt:lpwstr>
      </vt:variant>
      <vt:variant>
        <vt:lpwstr/>
      </vt:variant>
      <vt:variant>
        <vt:i4>1638501</vt:i4>
      </vt:variant>
      <vt:variant>
        <vt:i4>273</vt:i4>
      </vt:variant>
      <vt:variant>
        <vt:i4>0</vt:i4>
      </vt:variant>
      <vt:variant>
        <vt:i4>5</vt:i4>
      </vt:variant>
      <vt:variant>
        <vt:lpwstr>https://health.ec.europa.eu/system/files/2016-11/childhoodobesity_actionplan_2014_2020_en_0.pdf</vt:lpwstr>
      </vt:variant>
      <vt:variant>
        <vt:lpwstr/>
      </vt:variant>
      <vt:variant>
        <vt:i4>2949166</vt:i4>
      </vt:variant>
      <vt:variant>
        <vt:i4>270</vt:i4>
      </vt:variant>
      <vt:variant>
        <vt:i4>0</vt:i4>
      </vt:variant>
      <vt:variant>
        <vt:i4>5</vt:i4>
      </vt:variant>
      <vt:variant>
        <vt:lpwstr>https://erasmus-plus.ec.europa.eu/</vt:lpwstr>
      </vt:variant>
      <vt:variant>
        <vt:lpwstr/>
      </vt:variant>
      <vt:variant>
        <vt:i4>983051</vt:i4>
      </vt:variant>
      <vt:variant>
        <vt:i4>264</vt:i4>
      </vt:variant>
      <vt:variant>
        <vt:i4>0</vt:i4>
      </vt:variant>
      <vt:variant>
        <vt:i4>5</vt:i4>
      </vt:variant>
      <vt:variant>
        <vt:lpwstr>https://www.thelancet.com/series-do/ultra-processed-food</vt:lpwstr>
      </vt:variant>
      <vt:variant>
        <vt:lpwstr/>
      </vt:variant>
      <vt:variant>
        <vt:i4>45</vt:i4>
      </vt:variant>
      <vt:variant>
        <vt:i4>261</vt:i4>
      </vt:variant>
      <vt:variant>
        <vt:i4>0</vt:i4>
      </vt:variant>
      <vt:variant>
        <vt:i4>5</vt:i4>
      </vt:variant>
      <vt:variant>
        <vt:lpwstr>https://taxation-customs.ec.europa.eu/news/study-health-taxes-eu-perspective-2025-05-16_en</vt:lpwstr>
      </vt:variant>
      <vt:variant>
        <vt:lpwstr/>
      </vt:variant>
      <vt:variant>
        <vt:i4>2818129</vt:i4>
      </vt:variant>
      <vt:variant>
        <vt:i4>258</vt:i4>
      </vt:variant>
      <vt:variant>
        <vt:i4>0</vt:i4>
      </vt:variant>
      <vt:variant>
        <vt:i4>5</vt:i4>
      </vt:variant>
      <vt:variant>
        <vt:lpwstr>https://knowledge4policy.ec.europa.eu/health-promotion-knowledge-gateway/alcoholic-beverages_en</vt:lpwstr>
      </vt:variant>
      <vt:variant>
        <vt:lpwstr/>
      </vt:variant>
      <vt:variant>
        <vt:i4>3473528</vt:i4>
      </vt:variant>
      <vt:variant>
        <vt:i4>255</vt:i4>
      </vt:variant>
      <vt:variant>
        <vt:i4>0</vt:i4>
      </vt:variant>
      <vt:variant>
        <vt:i4>5</vt:i4>
      </vt:variant>
      <vt:variant>
        <vt:lpwstr>http://www.euda.europa.eu/</vt:lpwstr>
      </vt:variant>
      <vt:variant>
        <vt:lpwstr/>
      </vt:variant>
      <vt:variant>
        <vt:i4>262165</vt:i4>
      </vt:variant>
      <vt:variant>
        <vt:i4>249</vt:i4>
      </vt:variant>
      <vt:variant>
        <vt:i4>0</vt:i4>
      </vt:variant>
      <vt:variant>
        <vt:i4>5</vt:i4>
      </vt:variant>
      <vt:variant>
        <vt:lpwstr>https://eur-lex.europa.eu/legal-content/EN/TXT/?uri=CELEX:52021DC0044</vt:lpwstr>
      </vt:variant>
      <vt:variant>
        <vt:lpwstr/>
      </vt:variant>
      <vt:variant>
        <vt:i4>8126561</vt:i4>
      </vt:variant>
      <vt:variant>
        <vt:i4>246</vt:i4>
      </vt:variant>
      <vt:variant>
        <vt:i4>0</vt:i4>
      </vt:variant>
      <vt:variant>
        <vt:i4>5</vt:i4>
      </vt:variant>
      <vt:variant>
        <vt:lpwstr>https://eur-lex.europa.eu/legal-content/en/ALL/?uri=CELEX%3A32011L0064</vt:lpwstr>
      </vt:variant>
      <vt:variant>
        <vt:lpwstr/>
      </vt:variant>
      <vt:variant>
        <vt:i4>2031622</vt:i4>
      </vt:variant>
      <vt:variant>
        <vt:i4>243</vt:i4>
      </vt:variant>
      <vt:variant>
        <vt:i4>0</vt:i4>
      </vt:variant>
      <vt:variant>
        <vt:i4>5</vt:i4>
      </vt:variant>
      <vt:variant>
        <vt:lpwstr>https://www.who.int/teams/health-promotion/tobacco-control/economics/taxation</vt:lpwstr>
      </vt:variant>
      <vt:variant>
        <vt:lpwstr/>
      </vt:variant>
      <vt:variant>
        <vt:i4>5701652</vt:i4>
      </vt:variant>
      <vt:variant>
        <vt:i4>240</vt:i4>
      </vt:variant>
      <vt:variant>
        <vt:i4>0</vt:i4>
      </vt:variant>
      <vt:variant>
        <vt:i4>5</vt:i4>
      </vt:variant>
      <vt:variant>
        <vt:lpwstr>https://op.europa.eu/en/publication-detail/-/publication/f859d057-726e-11f0-bf4e-01aa75ed71a1</vt:lpwstr>
      </vt:variant>
      <vt:variant>
        <vt:lpwstr/>
      </vt:variant>
      <vt:variant>
        <vt:i4>2949224</vt:i4>
      </vt:variant>
      <vt:variant>
        <vt:i4>237</vt:i4>
      </vt:variant>
      <vt:variant>
        <vt:i4>0</vt:i4>
      </vt:variant>
      <vt:variant>
        <vt:i4>5</vt:i4>
      </vt:variant>
      <vt:variant>
        <vt:lpwstr>https://europa.eu/eurobarometer/surveys/detail/2995</vt:lpwstr>
      </vt:variant>
      <vt:variant>
        <vt:lpwstr/>
      </vt:variant>
      <vt:variant>
        <vt:i4>4390932</vt:i4>
      </vt:variant>
      <vt:variant>
        <vt:i4>234</vt:i4>
      </vt:variant>
      <vt:variant>
        <vt:i4>0</vt:i4>
      </vt:variant>
      <vt:variant>
        <vt:i4>5</vt:i4>
      </vt:variant>
      <vt:variant>
        <vt:lpwstr>https://eur-lex.europa.eu/eli/dir/2003/33/oj</vt:lpwstr>
      </vt:variant>
      <vt:variant>
        <vt:lpwstr/>
      </vt:variant>
      <vt:variant>
        <vt:i4>4390934</vt:i4>
      </vt:variant>
      <vt:variant>
        <vt:i4>231</vt:i4>
      </vt:variant>
      <vt:variant>
        <vt:i4>0</vt:i4>
      </vt:variant>
      <vt:variant>
        <vt:i4>5</vt:i4>
      </vt:variant>
      <vt:variant>
        <vt:lpwstr>https://eur-lex.europa.eu/eli/dir/2014/40/oj</vt:lpwstr>
      </vt:variant>
      <vt:variant>
        <vt:lpwstr/>
      </vt:variant>
      <vt:variant>
        <vt:i4>2949224</vt:i4>
      </vt:variant>
      <vt:variant>
        <vt:i4>228</vt:i4>
      </vt:variant>
      <vt:variant>
        <vt:i4>0</vt:i4>
      </vt:variant>
      <vt:variant>
        <vt:i4>5</vt:i4>
      </vt:variant>
      <vt:variant>
        <vt:lpwstr>https://europa.eu/eurobarometer/surveys/detail/2995</vt:lpwstr>
      </vt:variant>
      <vt:variant>
        <vt:lpwstr/>
      </vt:variant>
      <vt:variant>
        <vt:i4>458769</vt:i4>
      </vt:variant>
      <vt:variant>
        <vt:i4>222</vt:i4>
      </vt:variant>
      <vt:variant>
        <vt:i4>0</vt:i4>
      </vt:variant>
      <vt:variant>
        <vt:i4>5</vt:i4>
      </vt:variant>
      <vt:variant>
        <vt:lpwstr>https://eur-lex.europa.eu/legal-content/EN/TXT/?uri=celex:52025DC0075</vt:lpwstr>
      </vt:variant>
      <vt:variant>
        <vt:lpwstr/>
      </vt:variant>
      <vt:variant>
        <vt:i4>458769</vt:i4>
      </vt:variant>
      <vt:variant>
        <vt:i4>216</vt:i4>
      </vt:variant>
      <vt:variant>
        <vt:i4>0</vt:i4>
      </vt:variant>
      <vt:variant>
        <vt:i4>5</vt:i4>
      </vt:variant>
      <vt:variant>
        <vt:lpwstr>https://eur-lex.europa.eu/legal-content/EN/TXT/?uri=celex:52025DC0075</vt:lpwstr>
      </vt:variant>
      <vt:variant>
        <vt:lpwstr/>
      </vt:variant>
      <vt:variant>
        <vt:i4>196678</vt:i4>
      </vt:variant>
      <vt:variant>
        <vt:i4>213</vt:i4>
      </vt:variant>
      <vt:variant>
        <vt:i4>0</vt:i4>
      </vt:variant>
      <vt:variant>
        <vt:i4>5</vt:i4>
      </vt:variant>
      <vt:variant>
        <vt:lpwstr>https://publications.jrc.ec.europa.eu/repository/handle/JRC139495</vt:lpwstr>
      </vt:variant>
      <vt:variant>
        <vt:lpwstr/>
      </vt:variant>
      <vt:variant>
        <vt:i4>5177441</vt:i4>
      </vt:variant>
      <vt:variant>
        <vt:i4>210</vt:i4>
      </vt:variant>
      <vt:variant>
        <vt:i4>0</vt:i4>
      </vt:variant>
      <vt:variant>
        <vt:i4>5</vt:i4>
      </vt:variant>
      <vt:variant>
        <vt:lpwstr>https://agriculture.ec.europa.eu/common-agricultural-policy/market-measures/school-scheme-explained_en</vt:lpwstr>
      </vt:variant>
      <vt:variant>
        <vt:lpwstr/>
      </vt:variant>
      <vt:variant>
        <vt:i4>2621454</vt:i4>
      </vt:variant>
      <vt:variant>
        <vt:i4>207</vt:i4>
      </vt:variant>
      <vt:variant>
        <vt:i4>0</vt:i4>
      </vt:variant>
      <vt:variant>
        <vt:i4>5</vt:i4>
      </vt:variant>
      <vt:variant>
        <vt:lpwstr>https://research-and-innovation.ec.europa.eu/research-area/environment/bioeconomy/food-systems/food-2030_en</vt:lpwstr>
      </vt:variant>
      <vt:variant>
        <vt:lpwstr/>
      </vt:variant>
      <vt:variant>
        <vt:i4>2686991</vt:i4>
      </vt:variant>
      <vt:variant>
        <vt:i4>204</vt:i4>
      </vt:variant>
      <vt:variant>
        <vt:i4>0</vt:i4>
      </vt:variant>
      <vt:variant>
        <vt:i4>5</vt:i4>
      </vt:variant>
      <vt:variant>
        <vt:lpwstr>https://single-market-economy.ec.europa.eu/sectors/agri-food-industrial-ecosystem/agri-food-code_en</vt:lpwstr>
      </vt:variant>
      <vt:variant>
        <vt:lpwstr/>
      </vt:variant>
      <vt:variant>
        <vt:i4>4063268</vt:i4>
      </vt:variant>
      <vt:variant>
        <vt:i4>201</vt:i4>
      </vt:variant>
      <vt:variant>
        <vt:i4>0</vt:i4>
      </vt:variant>
      <vt:variant>
        <vt:i4>5</vt:i4>
      </vt:variant>
      <vt:variant>
        <vt:lpwstr>https://pmc.ncbi.nlm.nih.gov/articles/PMC11169959/</vt:lpwstr>
      </vt:variant>
      <vt:variant>
        <vt:lpwstr/>
      </vt:variant>
      <vt:variant>
        <vt:i4>3604584</vt:i4>
      </vt:variant>
      <vt:variant>
        <vt:i4>198</vt:i4>
      </vt:variant>
      <vt:variant>
        <vt:i4>0</vt:i4>
      </vt:variant>
      <vt:variant>
        <vt:i4>5</vt:i4>
      </vt:variant>
      <vt:variant>
        <vt:lpwstr>https://doi.org/10.1152/ajpheart.00376.2019</vt:lpwstr>
      </vt:variant>
      <vt:variant>
        <vt:lpwstr/>
      </vt:variant>
      <vt:variant>
        <vt:i4>131076</vt:i4>
      </vt:variant>
      <vt:variant>
        <vt:i4>195</vt:i4>
      </vt:variant>
      <vt:variant>
        <vt:i4>0</vt:i4>
      </vt:variant>
      <vt:variant>
        <vt:i4>5</vt:i4>
      </vt:variant>
      <vt:variant>
        <vt:lpwstr>https://www.jadecare.eu/</vt:lpwstr>
      </vt:variant>
      <vt:variant>
        <vt:lpwstr/>
      </vt:variant>
      <vt:variant>
        <vt:i4>2228242</vt:i4>
      </vt:variant>
      <vt:variant>
        <vt:i4>192</vt:i4>
      </vt:variant>
      <vt:variant>
        <vt:i4>0</vt:i4>
      </vt:variant>
      <vt:variant>
        <vt:i4>5</vt:i4>
      </vt:variant>
      <vt:variant>
        <vt:lpwstr>https://health.ec.europa.eu/document/download/26284fbb-0c7b-4d4d-ae57-f7f2a47e493f_en?filename=funding_c2025_5148_annex_en.pdf</vt:lpwstr>
      </vt:variant>
      <vt:variant>
        <vt:lpwstr/>
      </vt:variant>
      <vt:variant>
        <vt:i4>2228242</vt:i4>
      </vt:variant>
      <vt:variant>
        <vt:i4>189</vt:i4>
      </vt:variant>
      <vt:variant>
        <vt:i4>0</vt:i4>
      </vt:variant>
      <vt:variant>
        <vt:i4>5</vt:i4>
      </vt:variant>
      <vt:variant>
        <vt:lpwstr>https://health.ec.europa.eu/document/download/26284fbb-0c7b-4d4d-ae57-f7f2a47e493f_en?filename=funding_c2025_5148_annex_en.pdf</vt:lpwstr>
      </vt:variant>
      <vt:variant>
        <vt:lpwstr/>
      </vt:variant>
      <vt:variant>
        <vt:i4>2228242</vt:i4>
      </vt:variant>
      <vt:variant>
        <vt:i4>186</vt:i4>
      </vt:variant>
      <vt:variant>
        <vt:i4>0</vt:i4>
      </vt:variant>
      <vt:variant>
        <vt:i4>5</vt:i4>
      </vt:variant>
      <vt:variant>
        <vt:lpwstr>https://health.ec.europa.eu/document/download/26284fbb-0c7b-4d4d-ae57-f7f2a47e493f_en?filename=funding_c2025_5148_annex_en.pdf</vt:lpwstr>
      </vt:variant>
      <vt:variant>
        <vt:lpwstr/>
      </vt:variant>
      <vt:variant>
        <vt:i4>5177403</vt:i4>
      </vt:variant>
      <vt:variant>
        <vt:i4>183</vt:i4>
      </vt:variant>
      <vt:variant>
        <vt:i4>0</vt:i4>
      </vt:variant>
      <vt:variant>
        <vt:i4>5</vt:i4>
      </vt:variant>
      <vt:variant>
        <vt:lpwstr>https://ec.europa.eu/eurostat/statistics-explained/index.php?title=Overweight_and_obesity_-_BMI_statistics</vt:lpwstr>
      </vt:variant>
      <vt:variant>
        <vt:lpwstr/>
      </vt:variant>
      <vt:variant>
        <vt:i4>1966153</vt:i4>
      </vt:variant>
      <vt:variant>
        <vt:i4>180</vt:i4>
      </vt:variant>
      <vt:variant>
        <vt:i4>0</vt:i4>
      </vt:variant>
      <vt:variant>
        <vt:i4>5</vt:i4>
      </vt:variant>
      <vt:variant>
        <vt:lpwstr>https://ec.europa.eu/eurostat/web/products-eurostat-news/-/edn-20171113-1</vt:lpwstr>
      </vt:variant>
      <vt:variant>
        <vt:lpwstr/>
      </vt:variant>
      <vt:variant>
        <vt:i4>2031693</vt:i4>
      </vt:variant>
      <vt:variant>
        <vt:i4>177</vt:i4>
      </vt:variant>
      <vt:variant>
        <vt:i4>0</vt:i4>
      </vt:variant>
      <vt:variant>
        <vt:i4>5</vt:i4>
      </vt:variant>
      <vt:variant>
        <vt:lpwstr>https://ec.europa.eu/eurostat/web/products-eurostat-news/-/edn-20210929-1</vt:lpwstr>
      </vt:variant>
      <vt:variant>
        <vt:lpwstr/>
      </vt:variant>
      <vt:variant>
        <vt:i4>2097265</vt:i4>
      </vt:variant>
      <vt:variant>
        <vt:i4>171</vt:i4>
      </vt:variant>
      <vt:variant>
        <vt:i4>0</vt:i4>
      </vt:variant>
      <vt:variant>
        <vt:i4>5</vt:i4>
      </vt:variant>
      <vt:variant>
        <vt:lpwstr>https://ec.europa.eu/eurostat/databrowser/view/hlth_cd_apr/default/table?lang=en</vt:lpwstr>
      </vt:variant>
      <vt:variant>
        <vt:lpwstr/>
      </vt:variant>
      <vt:variant>
        <vt:i4>5046372</vt:i4>
      </vt:variant>
      <vt:variant>
        <vt:i4>168</vt:i4>
      </vt:variant>
      <vt:variant>
        <vt:i4>0</vt:i4>
      </vt:variant>
      <vt:variant>
        <vt:i4>5</vt:i4>
      </vt:variant>
      <vt:variant>
        <vt:lpwstr>https://health.ec.europa.eu/one-health_en</vt:lpwstr>
      </vt:variant>
      <vt:variant>
        <vt:lpwstr/>
      </vt:variant>
      <vt:variant>
        <vt:i4>5898240</vt:i4>
      </vt:variant>
      <vt:variant>
        <vt:i4>165</vt:i4>
      </vt:variant>
      <vt:variant>
        <vt:i4>0</vt:i4>
      </vt:variant>
      <vt:variant>
        <vt:i4>5</vt:i4>
      </vt:variant>
      <vt:variant>
        <vt:lpwstr>https://www.eea.europa.eu/en/analysis/publications/environmental-noise-in-europe-2025</vt:lpwstr>
      </vt:variant>
      <vt:variant>
        <vt:lpwstr/>
      </vt:variant>
      <vt:variant>
        <vt:i4>4194375</vt:i4>
      </vt:variant>
      <vt:variant>
        <vt:i4>162</vt:i4>
      </vt:variant>
      <vt:variant>
        <vt:i4>0</vt:i4>
      </vt:variant>
      <vt:variant>
        <vt:i4>5</vt:i4>
      </vt:variant>
      <vt:variant>
        <vt:lpwstr>https://www.eea.europa.eu/en/analysis/indicators/income-related-environmental-inequalities-associated</vt:lpwstr>
      </vt:variant>
      <vt:variant>
        <vt:lpwstr/>
      </vt:variant>
      <vt:variant>
        <vt:i4>393247</vt:i4>
      </vt:variant>
      <vt:variant>
        <vt:i4>159</vt:i4>
      </vt:variant>
      <vt:variant>
        <vt:i4>0</vt:i4>
      </vt:variant>
      <vt:variant>
        <vt:i4>5</vt:i4>
      </vt:variant>
      <vt:variant>
        <vt:lpwstr>https://ec.europa.eu/eurostat/web/products-datasets/-/hlth_cd_asdr2</vt:lpwstr>
      </vt:variant>
      <vt:variant>
        <vt:lpwstr/>
      </vt:variant>
      <vt:variant>
        <vt:i4>2621442</vt:i4>
      </vt:variant>
      <vt:variant>
        <vt:i4>156</vt:i4>
      </vt:variant>
      <vt:variant>
        <vt:i4>0</vt:i4>
      </vt:variant>
      <vt:variant>
        <vt:i4>5</vt:i4>
      </vt:variant>
      <vt:variant>
        <vt:lpwstr>https://www.oecd.org/en/publications/the-state-of-cardiovascular-health-in-the-european-union_ea7a1%e2%80%a6.html</vt:lpwstr>
      </vt:variant>
      <vt:variant>
        <vt:lpwstr/>
      </vt:variant>
      <vt:variant>
        <vt:i4>2097215</vt:i4>
      </vt:variant>
      <vt:variant>
        <vt:i4>153</vt:i4>
      </vt:variant>
      <vt:variant>
        <vt:i4>0</vt:i4>
      </vt:variant>
      <vt:variant>
        <vt:i4>5</vt:i4>
      </vt:variant>
      <vt:variant>
        <vt:lpwstr>https://doi.org/10.1038/s41572-022-00376-4</vt:lpwstr>
      </vt:variant>
      <vt:variant>
        <vt:lpwstr/>
      </vt:variant>
      <vt:variant>
        <vt:i4>65567</vt:i4>
      </vt:variant>
      <vt:variant>
        <vt:i4>150</vt:i4>
      </vt:variant>
      <vt:variant>
        <vt:i4>0</vt:i4>
      </vt:variant>
      <vt:variant>
        <vt:i4>5</vt:i4>
      </vt:variant>
      <vt:variant>
        <vt:lpwstr>https://doi.org/10.1007/s12170-016-0491-8</vt:lpwstr>
      </vt:variant>
      <vt:variant>
        <vt:lpwstr/>
      </vt:variant>
      <vt:variant>
        <vt:i4>6815817</vt:i4>
      </vt:variant>
      <vt:variant>
        <vt:i4>147</vt:i4>
      </vt:variant>
      <vt:variant>
        <vt:i4>0</vt:i4>
      </vt:variant>
      <vt:variant>
        <vt:i4>5</vt:i4>
      </vt:variant>
      <vt:variant>
        <vt:lpwstr>https://ec.europa.eu/eurostat/databrowser/view/hlth_ehis_pa2e__custom_18900671/bookmark/table?lang=en&amp;bookmarkId=c8e6f582-0742-4889-89fc-44b17ee95566&amp;c=1763137097000</vt:lpwstr>
      </vt:variant>
      <vt:variant>
        <vt:lpwstr/>
      </vt:variant>
      <vt:variant>
        <vt:i4>524294</vt:i4>
      </vt:variant>
      <vt:variant>
        <vt:i4>144</vt:i4>
      </vt:variant>
      <vt:variant>
        <vt:i4>0</vt:i4>
      </vt:variant>
      <vt:variant>
        <vt:i4>5</vt:i4>
      </vt:variant>
      <vt:variant>
        <vt:lpwstr>https://doi.org/10.1093/eurheartj/ehad192</vt:lpwstr>
      </vt:variant>
      <vt:variant>
        <vt:lpwstr/>
      </vt:variant>
      <vt:variant>
        <vt:i4>3276849</vt:i4>
      </vt:variant>
      <vt:variant>
        <vt:i4>141</vt:i4>
      </vt:variant>
      <vt:variant>
        <vt:i4>0</vt:i4>
      </vt:variant>
      <vt:variant>
        <vt:i4>5</vt:i4>
      </vt:variant>
      <vt:variant>
        <vt:lpwstr>https://www.sportesalute.eu/images/studi-e-dati-dello-sport/schede/2024/177-The-State-of-Children-in-the-European-Union.pdf</vt:lpwstr>
      </vt:variant>
      <vt:variant>
        <vt:lpwstr/>
      </vt:variant>
      <vt:variant>
        <vt:i4>262205</vt:i4>
      </vt:variant>
      <vt:variant>
        <vt:i4>138</vt:i4>
      </vt:variant>
      <vt:variant>
        <vt:i4>0</vt:i4>
      </vt:variant>
      <vt:variant>
        <vt:i4>5</vt:i4>
      </vt:variant>
      <vt:variant>
        <vt:lpwstr>https://www.euda.europa.eu/publications/data-factsheets/espad-2024-key-findings_en</vt:lpwstr>
      </vt:variant>
      <vt:variant>
        <vt:lpwstr>0-level-3</vt:lpwstr>
      </vt:variant>
      <vt:variant>
        <vt:i4>2555919</vt:i4>
      </vt:variant>
      <vt:variant>
        <vt:i4>135</vt:i4>
      </vt:variant>
      <vt:variant>
        <vt:i4>0</vt:i4>
      </vt:variant>
      <vt:variant>
        <vt:i4>5</vt:i4>
      </vt:variant>
      <vt:variant>
        <vt:lpwstr>https://ec.europa.eu/eurostat/databrowser/view/hlth_ehis_fv3e__custom_18480344/bookmark/table?lang=en&amp;bookmarkId=417c3894-967a-4c1d-b67c-5be5c22a6bf5&amp;c=1760952223000</vt:lpwstr>
      </vt:variant>
      <vt:variant>
        <vt:lpwstr/>
      </vt:variant>
      <vt:variant>
        <vt:i4>1441892</vt:i4>
      </vt:variant>
      <vt:variant>
        <vt:i4>132</vt:i4>
      </vt:variant>
      <vt:variant>
        <vt:i4>0</vt:i4>
      </vt:variant>
      <vt:variant>
        <vt:i4>5</vt:i4>
      </vt:variant>
      <vt:variant>
        <vt:lpwstr>https://knowledge4policy.ec.europa.eu/health-promotion-knowledge-gateway/sugars-sweeteners_en</vt:lpwstr>
      </vt:variant>
      <vt:variant>
        <vt:lpwstr/>
      </vt:variant>
      <vt:variant>
        <vt:i4>851993</vt:i4>
      </vt:variant>
      <vt:variant>
        <vt:i4>129</vt:i4>
      </vt:variant>
      <vt:variant>
        <vt:i4>0</vt:i4>
      </vt:variant>
      <vt:variant>
        <vt:i4>5</vt:i4>
      </vt:variant>
      <vt:variant>
        <vt:lpwstr>https://doi.org/10.1186/s12937-016-0225-2</vt:lpwstr>
      </vt:variant>
      <vt:variant>
        <vt:lpwstr/>
      </vt:variant>
      <vt:variant>
        <vt:i4>8323169</vt:i4>
      </vt:variant>
      <vt:variant>
        <vt:i4>126</vt:i4>
      </vt:variant>
      <vt:variant>
        <vt:i4>0</vt:i4>
      </vt:variant>
      <vt:variant>
        <vt:i4>5</vt:i4>
      </vt:variant>
      <vt:variant>
        <vt:lpwstr>https://ec.europa.eu/eurostat/databrowser/bookmark/ab518af2-3323-4f46-a563-eac5109666af?lang=en&amp;createdAt=2025-11-17T10:00:04Z</vt:lpwstr>
      </vt:variant>
      <vt:variant>
        <vt:lpwstr/>
      </vt:variant>
      <vt:variant>
        <vt:i4>393217</vt:i4>
      </vt:variant>
      <vt:variant>
        <vt:i4>123</vt:i4>
      </vt:variant>
      <vt:variant>
        <vt:i4>0</vt:i4>
      </vt:variant>
      <vt:variant>
        <vt:i4>5</vt:i4>
      </vt:variant>
      <vt:variant>
        <vt:lpwstr>https://pubmed.ncbi.nlm.nih.gov/32503638/</vt:lpwstr>
      </vt:variant>
      <vt:variant>
        <vt:lpwstr/>
      </vt:variant>
      <vt:variant>
        <vt:i4>3342391</vt:i4>
      </vt:variant>
      <vt:variant>
        <vt:i4>120</vt:i4>
      </vt:variant>
      <vt:variant>
        <vt:i4>0</vt:i4>
      </vt:variant>
      <vt:variant>
        <vt:i4>5</vt:i4>
      </vt:variant>
      <vt:variant>
        <vt:lpwstr>https://www.eea.europa.eu/en/analysis/publications/preventing-cardiovascular-disease-through-a-healthy-environment</vt:lpwstr>
      </vt:variant>
      <vt:variant>
        <vt:lpwstr/>
      </vt:variant>
      <vt:variant>
        <vt:i4>3473528</vt:i4>
      </vt:variant>
      <vt:variant>
        <vt:i4>117</vt:i4>
      </vt:variant>
      <vt:variant>
        <vt:i4>0</vt:i4>
      </vt:variant>
      <vt:variant>
        <vt:i4>5</vt:i4>
      </vt:variant>
      <vt:variant>
        <vt:lpwstr>http://www.euda.europa.eu/</vt:lpwstr>
      </vt:variant>
      <vt:variant>
        <vt:lpwstr/>
      </vt:variant>
      <vt:variant>
        <vt:i4>8192034</vt:i4>
      </vt:variant>
      <vt:variant>
        <vt:i4>114</vt:i4>
      </vt:variant>
      <vt:variant>
        <vt:i4>0</vt:i4>
      </vt:variant>
      <vt:variant>
        <vt:i4>5</vt:i4>
      </vt:variant>
      <vt:variant>
        <vt:lpwstr>https://ec.europa.eu/eurostat/databrowser/view/ilc_hch11__custom_18924314/bookmark/table?lang=en&amp;bookmarkId=707da6f1-1a0d-4ff7-b2f0-ea792c34101d&amp;c=1763372911000</vt:lpwstr>
      </vt:variant>
      <vt:variant>
        <vt:lpwstr/>
      </vt:variant>
      <vt:variant>
        <vt:i4>2621442</vt:i4>
      </vt:variant>
      <vt:variant>
        <vt:i4>111</vt:i4>
      </vt:variant>
      <vt:variant>
        <vt:i4>0</vt:i4>
      </vt:variant>
      <vt:variant>
        <vt:i4>5</vt:i4>
      </vt:variant>
      <vt:variant>
        <vt:lpwstr>https://www.oecd.org/en/publications/the-state-of-cardiovascular-health-in-the-european-union_ea7a1%e2%80%a6.html</vt:lpwstr>
      </vt:variant>
      <vt:variant>
        <vt:lpwstr/>
      </vt:variant>
      <vt:variant>
        <vt:i4>2424894</vt:i4>
      </vt:variant>
      <vt:variant>
        <vt:i4>108</vt:i4>
      </vt:variant>
      <vt:variant>
        <vt:i4>0</vt:i4>
      </vt:variant>
      <vt:variant>
        <vt:i4>5</vt:i4>
      </vt:variant>
      <vt:variant>
        <vt:lpwstr>https://doi.org/10.1186/s40885-024-00276-7</vt:lpwstr>
      </vt:variant>
      <vt:variant>
        <vt:lpwstr/>
      </vt:variant>
      <vt:variant>
        <vt:i4>917519</vt:i4>
      </vt:variant>
      <vt:variant>
        <vt:i4>105</vt:i4>
      </vt:variant>
      <vt:variant>
        <vt:i4>0</vt:i4>
      </vt:variant>
      <vt:variant>
        <vt:i4>5</vt:i4>
      </vt:variant>
      <vt:variant>
        <vt:lpwstr>https://doi.org/10.1093/eurheartj/ehab892</vt:lpwstr>
      </vt:variant>
      <vt:variant>
        <vt:lpwstr/>
      </vt:variant>
      <vt:variant>
        <vt:i4>3014737</vt:i4>
      </vt:variant>
      <vt:variant>
        <vt:i4>99</vt:i4>
      </vt:variant>
      <vt:variant>
        <vt:i4>0</vt:i4>
      </vt:variant>
      <vt:variant>
        <vt:i4>5</vt:i4>
      </vt:variant>
      <vt:variant>
        <vt:lpwstr>https://www.efpia.eu/media/movnhr0y/how-can-we-improve-secondary-cvd-prevention-lse_efpia.pdf</vt:lpwstr>
      </vt:variant>
      <vt:variant>
        <vt:lpwstr/>
      </vt:variant>
      <vt:variant>
        <vt:i4>4128814</vt:i4>
      </vt:variant>
      <vt:variant>
        <vt:i4>96</vt:i4>
      </vt:variant>
      <vt:variant>
        <vt:i4>0</vt:i4>
      </vt:variant>
      <vt:variant>
        <vt:i4>5</vt:i4>
      </vt:variant>
      <vt:variant>
        <vt:lpwstr>https://cancer-inequalities.jrc.ec.europa.eu/sites/default/files/docs/ccp2025/ec-oecd-synthesis-report-250124-1422.pdf</vt:lpwstr>
      </vt:variant>
      <vt:variant>
        <vt:lpwstr/>
      </vt:variant>
      <vt:variant>
        <vt:i4>2</vt:i4>
      </vt:variant>
      <vt:variant>
        <vt:i4>93</vt:i4>
      </vt:variant>
      <vt:variant>
        <vt:i4>0</vt:i4>
      </vt:variant>
      <vt:variant>
        <vt:i4>5</vt:i4>
      </vt:variant>
      <vt:variant>
        <vt:lpwstr>https://doi.org/10.1093/eurheartj/ehae508</vt:lpwstr>
      </vt:variant>
      <vt:variant>
        <vt:lpwstr/>
      </vt:variant>
      <vt:variant>
        <vt:i4>2621442</vt:i4>
      </vt:variant>
      <vt:variant>
        <vt:i4>90</vt:i4>
      </vt:variant>
      <vt:variant>
        <vt:i4>0</vt:i4>
      </vt:variant>
      <vt:variant>
        <vt:i4>5</vt:i4>
      </vt:variant>
      <vt:variant>
        <vt:lpwstr>https://www.oecd.org/en/publications/the-state-of-cardiovascular-health-in-the-european-union_ea7a1%e2%80%a6.html</vt:lpwstr>
      </vt:variant>
      <vt:variant>
        <vt:lpwstr/>
      </vt:variant>
      <vt:variant>
        <vt:i4>1245190</vt:i4>
      </vt:variant>
      <vt:variant>
        <vt:i4>84</vt:i4>
      </vt:variant>
      <vt:variant>
        <vt:i4>0</vt:i4>
      </vt:variant>
      <vt:variant>
        <vt:i4>5</vt:i4>
      </vt:variant>
      <vt:variant>
        <vt:lpwstr>https://world-heart-federation.org/what-we-do/prevention/</vt:lpwstr>
      </vt:variant>
      <vt:variant>
        <vt:lpwstr/>
      </vt:variant>
      <vt:variant>
        <vt:i4>1179771</vt:i4>
      </vt:variant>
      <vt:variant>
        <vt:i4>81</vt:i4>
      </vt:variant>
      <vt:variant>
        <vt:i4>0</vt:i4>
      </vt:variant>
      <vt:variant>
        <vt:i4>5</vt:i4>
      </vt:variant>
      <vt:variant>
        <vt:lpwstr>https://health.ec.europa.eu/state-health-eu_en</vt:lpwstr>
      </vt:variant>
      <vt:variant>
        <vt:lpwstr/>
      </vt:variant>
      <vt:variant>
        <vt:i4>3997757</vt:i4>
      </vt:variant>
      <vt:variant>
        <vt:i4>78</vt:i4>
      </vt:variant>
      <vt:variant>
        <vt:i4>0</vt:i4>
      </vt:variant>
      <vt:variant>
        <vt:i4>5</vt:i4>
      </vt:variant>
      <vt:variant>
        <vt:lpwstr>https://ec.europa.eu/newsroom/sante/items/866453/en</vt:lpwstr>
      </vt:variant>
      <vt:variant>
        <vt:lpwstr/>
      </vt:variant>
      <vt:variant>
        <vt:i4>6422652</vt:i4>
      </vt:variant>
      <vt:variant>
        <vt:i4>75</vt:i4>
      </vt:variant>
      <vt:variant>
        <vt:i4>0</vt:i4>
      </vt:variant>
      <vt:variant>
        <vt:i4>5</vt:i4>
      </vt:variant>
      <vt:variant>
        <vt:lpwstr>https://www.preventncd.eu/</vt:lpwstr>
      </vt:variant>
      <vt:variant>
        <vt:lpwstr/>
      </vt:variant>
      <vt:variant>
        <vt:i4>3014711</vt:i4>
      </vt:variant>
      <vt:variant>
        <vt:i4>72</vt:i4>
      </vt:variant>
      <vt:variant>
        <vt:i4>0</vt:i4>
      </vt:variant>
      <vt:variant>
        <vt:i4>5</vt:i4>
      </vt:variant>
      <vt:variant>
        <vt:lpwstr>https://jacardi.eu/</vt:lpwstr>
      </vt:variant>
      <vt:variant>
        <vt:lpwstr/>
      </vt:variant>
      <vt:variant>
        <vt:i4>5570612</vt:i4>
      </vt:variant>
      <vt:variant>
        <vt:i4>69</vt:i4>
      </vt:variant>
      <vt:variant>
        <vt:i4>0</vt:i4>
      </vt:variant>
      <vt:variant>
        <vt:i4>5</vt:i4>
      </vt:variant>
      <vt:variant>
        <vt:lpwstr>https://ec.europa.eu/info/law/better-regulation/have-your-say/initiatives/14627-Biotech-Act/public-consultation_en</vt:lpwstr>
      </vt:variant>
      <vt:variant>
        <vt:lpwstr/>
      </vt:variant>
      <vt:variant>
        <vt:i4>2031725</vt:i4>
      </vt:variant>
      <vt:variant>
        <vt:i4>66</vt:i4>
      </vt:variant>
      <vt:variant>
        <vt:i4>0</vt:i4>
      </vt:variant>
      <vt:variant>
        <vt:i4>5</vt:i4>
      </vt:variant>
      <vt:variant>
        <vt:lpwstr>https://health.ec.europa.eu/blood-tissues-cells-and-organs/soho-regulation/new-eu-rules-substances-human-origin_en</vt:lpwstr>
      </vt:variant>
      <vt:variant>
        <vt:lpwstr/>
      </vt:variant>
      <vt:variant>
        <vt:i4>5242940</vt:i4>
      </vt:variant>
      <vt:variant>
        <vt:i4>63</vt:i4>
      </vt:variant>
      <vt:variant>
        <vt:i4>0</vt:i4>
      </vt:variant>
      <vt:variant>
        <vt:i4>5</vt:i4>
      </vt:variant>
      <vt:variant>
        <vt:lpwstr>https://health.ec.europa.eu/medicinal-products/legal-framework-governing-medicinal-products-human-use-eu/critical-medicines-act_en</vt:lpwstr>
      </vt:variant>
      <vt:variant>
        <vt:lpwstr/>
      </vt:variant>
      <vt:variant>
        <vt:i4>524392</vt:i4>
      </vt:variant>
      <vt:variant>
        <vt:i4>60</vt:i4>
      </vt:variant>
      <vt:variant>
        <vt:i4>0</vt:i4>
      </vt:variant>
      <vt:variant>
        <vt:i4>5</vt:i4>
      </vt:variant>
      <vt:variant>
        <vt:lpwstr>https://health.ec.europa.eu/medical-devices-sector_en</vt:lpwstr>
      </vt:variant>
      <vt:variant>
        <vt:lpwstr/>
      </vt:variant>
      <vt:variant>
        <vt:i4>786511</vt:i4>
      </vt:variant>
      <vt:variant>
        <vt:i4>54</vt:i4>
      </vt:variant>
      <vt:variant>
        <vt:i4>0</vt:i4>
      </vt:variant>
      <vt:variant>
        <vt:i4>5</vt:i4>
      </vt:variant>
      <vt:variant>
        <vt:lpwstr>https://eur-lex.europa.eu/legal-content/EN/ALL/?uri=COM:2023:190:FIN</vt:lpwstr>
      </vt:variant>
      <vt:variant>
        <vt:lpwstr/>
      </vt:variant>
      <vt:variant>
        <vt:i4>1376347</vt:i4>
      </vt:variant>
      <vt:variant>
        <vt:i4>51</vt:i4>
      </vt:variant>
      <vt:variant>
        <vt:i4>0</vt:i4>
      </vt:variant>
      <vt:variant>
        <vt:i4>5</vt:i4>
      </vt:variant>
      <vt:variant>
        <vt:lpwstr>https://eur-lex.europa.eu/eli/reg/2025/327/oj/eng</vt:lpwstr>
      </vt:variant>
      <vt:variant>
        <vt:lpwstr/>
      </vt:variant>
      <vt:variant>
        <vt:i4>786467</vt:i4>
      </vt:variant>
      <vt:variant>
        <vt:i4>48</vt:i4>
      </vt:variant>
      <vt:variant>
        <vt:i4>0</vt:i4>
      </vt:variant>
      <vt:variant>
        <vt:i4>5</vt:i4>
      </vt:variant>
      <vt:variant>
        <vt:lpwstr>https://research-and-innovation.ec.europa.eu/strategy/strategy-research-and-innovation/jobs-and-economy/strategy-european-life-sciences_en</vt:lpwstr>
      </vt:variant>
      <vt:variant>
        <vt:lpwstr/>
      </vt:variant>
      <vt:variant>
        <vt:i4>6422551</vt:i4>
      </vt:variant>
      <vt:variant>
        <vt:i4>45</vt:i4>
      </vt:variant>
      <vt:variant>
        <vt:i4>0</vt:i4>
      </vt:variant>
      <vt:variant>
        <vt:i4>5</vt:i4>
      </vt:variant>
      <vt:variant>
        <vt:lpwstr>https://environment.ec.europa.eu/strategy/zero-pollution-action-plan_en</vt:lpwstr>
      </vt:variant>
      <vt:variant>
        <vt:lpwstr/>
      </vt:variant>
      <vt:variant>
        <vt:i4>720966</vt:i4>
      </vt:variant>
      <vt:variant>
        <vt:i4>42</vt:i4>
      </vt:variant>
      <vt:variant>
        <vt:i4>0</vt:i4>
      </vt:variant>
      <vt:variant>
        <vt:i4>5</vt:i4>
      </vt:variant>
      <vt:variant>
        <vt:lpwstr>https://eur-lex.europa.eu/legal-content/EN/ALL/?uri=COM:2021:400:FIN</vt:lpwstr>
      </vt:variant>
      <vt:variant>
        <vt:lpwstr/>
      </vt:variant>
      <vt:variant>
        <vt:i4>458831</vt:i4>
      </vt:variant>
      <vt:variant>
        <vt:i4>39</vt:i4>
      </vt:variant>
      <vt:variant>
        <vt:i4>0</vt:i4>
      </vt:variant>
      <vt:variant>
        <vt:i4>5</vt:i4>
      </vt:variant>
      <vt:variant>
        <vt:lpwstr>https://eur-lex.europa.eu/legal-content/EN/ALL/?uri=COM:2023:298:FIN</vt:lpwstr>
      </vt:variant>
      <vt:variant>
        <vt:lpwstr/>
      </vt:variant>
      <vt:variant>
        <vt:i4>2621529</vt:i4>
      </vt:variant>
      <vt:variant>
        <vt:i4>36</vt:i4>
      </vt:variant>
      <vt:variant>
        <vt:i4>0</vt:i4>
      </vt:variant>
      <vt:variant>
        <vt:i4>5</vt:i4>
      </vt:variant>
      <vt:variant>
        <vt:lpwstr>https://research-and-innovation.ec.europa.eu/funding/funding-opportunities/funding-programmes-and-open-calls/horizon-europe/eu-missions-horizon-europe/eu-mission-cancer_en</vt:lpwstr>
      </vt:variant>
      <vt:variant>
        <vt:lpwstr/>
      </vt:variant>
      <vt:variant>
        <vt:i4>262165</vt:i4>
      </vt:variant>
      <vt:variant>
        <vt:i4>30</vt:i4>
      </vt:variant>
      <vt:variant>
        <vt:i4>0</vt:i4>
      </vt:variant>
      <vt:variant>
        <vt:i4>5</vt:i4>
      </vt:variant>
      <vt:variant>
        <vt:lpwstr>https://eur-lex.europa.eu/legal-content/EN/TXT/?uri=CELEX:52021DC0044</vt:lpwstr>
      </vt:variant>
      <vt:variant>
        <vt:lpwstr/>
      </vt:variant>
      <vt:variant>
        <vt:i4>7012420</vt:i4>
      </vt:variant>
      <vt:variant>
        <vt:i4>27</vt:i4>
      </vt:variant>
      <vt:variant>
        <vt:i4>0</vt:i4>
      </vt:variant>
      <vt:variant>
        <vt:i4>5</vt:i4>
      </vt:variant>
      <vt:variant>
        <vt:lpwstr>https://health.ec.europa.eu/non-communicable-diseases/healthier-together-eu-non-communicable-diseases-initiative_en</vt:lpwstr>
      </vt:variant>
      <vt:variant>
        <vt:lpwstr/>
      </vt:variant>
      <vt:variant>
        <vt:i4>4849723</vt:i4>
      </vt:variant>
      <vt:variant>
        <vt:i4>24</vt:i4>
      </vt:variant>
      <vt:variant>
        <vt:i4>0</vt:i4>
      </vt:variant>
      <vt:variant>
        <vt:i4>5</vt:i4>
      </vt:variant>
      <vt:variant>
        <vt:lpwstr>https://commission.europa.eu/topics/public-health/european-health-union_en</vt:lpwstr>
      </vt:variant>
      <vt:variant>
        <vt:lpwstr/>
      </vt:variant>
      <vt:variant>
        <vt:i4>6357006</vt:i4>
      </vt:variant>
      <vt:variant>
        <vt:i4>21</vt:i4>
      </vt:variant>
      <vt:variant>
        <vt:i4>0</vt:i4>
      </vt:variant>
      <vt:variant>
        <vt:i4>5</vt:i4>
      </vt:variant>
      <vt:variant>
        <vt:lpwstr>https://ec.europa.eu/info/law/better-regulation/have-your-say/initiatives/14755-EU-cardiovascular-health-plan_en</vt:lpwstr>
      </vt:variant>
      <vt:variant>
        <vt:lpwstr/>
      </vt:variant>
      <vt:variant>
        <vt:i4>1114155</vt:i4>
      </vt:variant>
      <vt:variant>
        <vt:i4>18</vt:i4>
      </vt:variant>
      <vt:variant>
        <vt:i4>0</vt:i4>
      </vt:variant>
      <vt:variant>
        <vt:i4>5</vt:i4>
      </vt:variant>
      <vt:variant>
        <vt:lpwstr>https://www.europarl.europa.eu/doceo/document/A-9-2023-0366_EN.html</vt:lpwstr>
      </vt:variant>
      <vt:variant>
        <vt:lpwstr/>
      </vt:variant>
      <vt:variant>
        <vt:i4>983055</vt:i4>
      </vt:variant>
      <vt:variant>
        <vt:i4>15</vt:i4>
      </vt:variant>
      <vt:variant>
        <vt:i4>0</vt:i4>
      </vt:variant>
      <vt:variant>
        <vt:i4>5</vt:i4>
      </vt:variant>
      <vt:variant>
        <vt:lpwstr>https://www.cardiovascular-alliance.eu/mep-group/</vt:lpwstr>
      </vt:variant>
      <vt:variant>
        <vt:lpwstr/>
      </vt:variant>
      <vt:variant>
        <vt:i4>2752551</vt:i4>
      </vt:variant>
      <vt:variant>
        <vt:i4>12</vt:i4>
      </vt:variant>
      <vt:variant>
        <vt:i4>0</vt:i4>
      </vt:variant>
      <vt:variant>
        <vt:i4>5</vt:i4>
      </vt:variant>
      <vt:variant>
        <vt:lpwstr>https://www.consilium.europa.eu/en/press/press-releases/2024/12/03/cardiovascular-health-council-calls-for-more-robust-efforts-to-help-prevent-cardiovascular-diseases/</vt:lpwstr>
      </vt:variant>
      <vt:variant>
        <vt:lpwstr/>
      </vt:variant>
      <vt:variant>
        <vt:i4>3866733</vt:i4>
      </vt:variant>
      <vt:variant>
        <vt:i4>9</vt:i4>
      </vt:variant>
      <vt:variant>
        <vt:i4>0</vt:i4>
      </vt:variant>
      <vt:variant>
        <vt:i4>5</vt:i4>
      </vt:variant>
      <vt:variant>
        <vt:lpwstr>https://data.consilium.europa.eu/doc/document/ST-15315-2024-INIT/en/pdf</vt:lpwstr>
      </vt:variant>
      <vt:variant>
        <vt:lpwstr/>
      </vt:variant>
      <vt:variant>
        <vt:i4>655365</vt:i4>
      </vt:variant>
      <vt:variant>
        <vt:i4>6</vt:i4>
      </vt:variant>
      <vt:variant>
        <vt:i4>0</vt:i4>
      </vt:variant>
      <vt:variant>
        <vt:i4>5</vt:i4>
      </vt:variant>
      <vt:variant>
        <vt:lpwstr>https://pubmed.ncbi.nlm.nih.gov/39270739/</vt:lpwstr>
      </vt:variant>
      <vt:variant>
        <vt:lpwstr/>
      </vt:variant>
      <vt:variant>
        <vt:i4>3473468</vt:i4>
      </vt:variant>
      <vt:variant>
        <vt:i4>3</vt:i4>
      </vt:variant>
      <vt:variant>
        <vt:i4>0</vt:i4>
      </vt:variant>
      <vt:variant>
        <vt:i4>5</vt:i4>
      </vt:variant>
      <vt:variant>
        <vt:lpwstr>https://ec.europa.eu/eurostat/statistics-explained/index.php?title=Cardiovascular_diseases_statistics</vt:lpwstr>
      </vt:variant>
      <vt:variant>
        <vt:lpwstr/>
      </vt:variant>
      <vt:variant>
        <vt:i4>2621442</vt:i4>
      </vt:variant>
      <vt:variant>
        <vt:i4>0</vt:i4>
      </vt:variant>
      <vt:variant>
        <vt:i4>0</vt:i4>
      </vt:variant>
      <vt:variant>
        <vt:i4>5</vt:i4>
      </vt:variant>
      <vt:variant>
        <vt:lpwstr>https://www.oecd.org/en/publications/the-state-of-cardiovascular-health-in-the-european-union_ea7a1%e2%80%a6.html</vt:lpwstr>
      </vt:variant>
      <vt:variant>
        <vt:lpwstr/>
      </vt:variant>
      <vt:variant>
        <vt:i4>5505053</vt:i4>
      </vt:variant>
      <vt:variant>
        <vt:i4>0</vt:i4>
      </vt:variant>
      <vt:variant>
        <vt:i4>0</vt:i4>
      </vt:variant>
      <vt:variant>
        <vt:i4>5</vt:i4>
      </vt:variant>
      <vt:variant>
        <vt:lpwstr>https://www.escardio.org/The-ESC/Press-Office/Press-releases/New-systematic-review-and-meta-analysis-shows-an-association-between-shingles-vaccination-and-lower-risk-of-heart-attack-and-stroke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dcterms:created xsi:type="dcterms:W3CDTF">2025-12-16T10:25:00Z</dcterms:created>
  <dcterms:modified xsi:type="dcterms:W3CDTF">2026-02-02T08:37:00Z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2025-12-04T19:02:19Z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479361bd-24f2-4c46-8f3b-59648f3f872b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DocStatus">
    <vt:lpwstr>Green</vt:lpwstr>
  </property>
  <property fmtid="{D5CDD505-2E9C-101B-9397-08002B2CF9AE}" pid="13" name="ContentTypeId">
    <vt:lpwstr>0x01010078D2C354A9B80F4897019BC7E2880A88</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CP-014</vt:lpwstr>
  </property>
</Properties>
</file>