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E3844F-AEE3-4DE7-A045-397EA2C37C1B" style="width:455.25pt;height:47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rPr>
          <w:noProof/>
        </w:rPr>
      </w:pPr>
    </w:p>
    <w:tbl>
      <w:tblPr>
        <w:tblStyle w:val="TableGrid"/>
        <w:tblW w:w="10065" w:type="dxa"/>
        <w:tblInd w:w="-431" w:type="dxa"/>
        <w:tblLook w:val="04A0" w:firstRow="1" w:lastRow="0" w:firstColumn="1" w:lastColumn="0" w:noHBand="0" w:noVBand="1"/>
      </w:tblPr>
      <w:tblGrid>
        <w:gridCol w:w="10065"/>
      </w:tblGrid>
      <w:tr>
        <w:tc>
          <w:tcPr>
            <w:tcW w:w="10065" w:type="dxa"/>
            <w:shd w:val="clear" w:color="auto" w:fill="E8E8E8" w:themeFill="background2"/>
          </w:tcPr>
          <w:p>
            <w:pPr>
              <w:spacing w:line="276" w:lineRule="auto"/>
              <w:jc w:val="center"/>
              <w:rPr>
                <w:rFonts w:ascii="Times New Roman" w:hAnsi="Times New Roman" w:cs="Times New Roman"/>
                <w:b/>
                <w:bCs/>
                <w:noProof/>
              </w:rPr>
            </w:pPr>
            <w:r>
              <w:rPr>
                <w:rFonts w:ascii="Times New Roman" w:hAnsi="Times New Roman"/>
                <w:b/>
                <w:noProof/>
              </w:rPr>
              <w:t>SCHEDA DI SINTESI</w:t>
            </w:r>
          </w:p>
        </w:tc>
      </w:tr>
      <w:tr>
        <w:tc>
          <w:tcPr>
            <w:tcW w:w="10065" w:type="dxa"/>
            <w:shd w:val="clear" w:color="auto" w:fill="4C94D8" w:themeFill="text2" w:themeFillTint="80"/>
          </w:tcPr>
          <w:p>
            <w:pPr>
              <w:spacing w:line="276" w:lineRule="auto"/>
              <w:jc w:val="center"/>
              <w:rPr>
                <w:rFonts w:ascii="Times New Roman" w:hAnsi="Times New Roman" w:cs="Times New Roman"/>
                <w:b/>
                <w:bCs/>
                <w:noProof/>
                <w:color w:val="FFFFFF" w:themeColor="background1"/>
              </w:rPr>
            </w:pPr>
            <w:r>
              <w:rPr>
                <w:rFonts w:ascii="Times New Roman" w:hAnsi="Times New Roman"/>
                <w:b/>
                <w:noProof/>
                <w:color w:val="FFFFFF" w:themeColor="background1"/>
              </w:rPr>
              <w:t>Valutazione d'impatto del regolamento sugli appalti pubblici</w:t>
            </w:r>
          </w:p>
        </w:tc>
      </w:tr>
      <w:tr>
        <w:tc>
          <w:tcPr>
            <w:tcW w:w="10065" w:type="dxa"/>
            <w:shd w:val="clear" w:color="auto" w:fill="E8E8E8" w:themeFill="background2"/>
          </w:tcPr>
          <w:p>
            <w:pPr>
              <w:pStyle w:val="ListParagraph"/>
              <w:numPr>
                <w:ilvl w:val="0"/>
                <w:numId w:val="1"/>
              </w:numPr>
              <w:spacing w:line="276" w:lineRule="auto"/>
              <w:jc w:val="both"/>
              <w:rPr>
                <w:rFonts w:ascii="Times New Roman" w:hAnsi="Times New Roman" w:cs="Times New Roman"/>
                <w:b/>
                <w:bCs/>
                <w:noProof/>
              </w:rPr>
            </w:pPr>
            <w:r>
              <w:rPr>
                <w:rFonts w:ascii="Times New Roman" w:hAnsi="Times New Roman"/>
                <w:b/>
                <w:noProof/>
              </w:rPr>
              <w:t>Necessità di intervenire</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Per quale motivo? Qual è il problema da affrontare?</w:t>
            </w:r>
          </w:p>
        </w:tc>
      </w:tr>
      <w:tr>
        <w:tc>
          <w:tcPr>
            <w:tcW w:w="10065" w:type="dxa"/>
          </w:tcPr>
          <w:p>
            <w:pPr>
              <w:spacing w:before="120" w:after="120" w:line="276" w:lineRule="auto"/>
              <w:jc w:val="both"/>
              <w:rPr>
                <w:rFonts w:ascii="Times New Roman" w:hAnsi="Times New Roman" w:cs="Times New Roman"/>
                <w:noProof/>
              </w:rPr>
            </w:pPr>
            <w:r>
              <w:rPr>
                <w:rFonts w:ascii="Times New Roman" w:hAnsi="Times New Roman"/>
                <w:noProof/>
              </w:rPr>
              <w:t>Le autorità pubbliche dell'UE spendono circa 2 500 miliardi di EUR (il 15 % del PIL) all'anno per gli appalti pubblici. Ciò rende le norme in materia di appalti pubblici fondamentali per garantire che i fondi pubblici siano investiti in modo efficiente ed efficace, prevenendo al contempo le pratiche irregolari e rendendo gli appalti uno strumento al servizio degli obiettivi strategici più ampi dell'Unione.</w:t>
            </w:r>
          </w:p>
          <w:p>
            <w:pPr>
              <w:spacing w:before="120" w:after="120" w:line="276" w:lineRule="auto"/>
              <w:jc w:val="both"/>
              <w:rPr>
                <w:rFonts w:ascii="Times New Roman" w:hAnsi="Times New Roman" w:cs="Times New Roman"/>
                <w:noProof/>
              </w:rPr>
            </w:pPr>
            <w:r>
              <w:rPr>
                <w:rFonts w:ascii="Times New Roman" w:hAnsi="Times New Roman"/>
                <w:noProof/>
              </w:rPr>
              <w:t>Attualmente il fulcro della legislazione europea in materia di appalti pubblici è costituito da tre direttive: una generale (direttiva 2014/24/UE) e due specifiche, relative alle procedure d'appalto di enti erogatori in settori specifici (direttiva 2014/25) e all'aggiudicazione delle concessioni (direttiva 2014/23/UE). Dalla valutazione approfondita della Commissione europea</w:t>
            </w:r>
            <w:r>
              <w:rPr>
                <w:rStyle w:val="FootnoteReference"/>
                <w:rFonts w:ascii="Times New Roman" w:hAnsi="Times New Roman" w:cs="Times New Roman"/>
                <w:noProof/>
              </w:rPr>
              <w:footnoteReference w:id="1"/>
            </w:r>
            <w:r>
              <w:rPr>
                <w:rFonts w:ascii="Times New Roman" w:hAnsi="Times New Roman"/>
                <w:noProof/>
              </w:rPr>
              <w:t xml:space="preserve"> delle direttive del 2014 è emerso che gli acquirenti pubblici fanno fronte a oneri amministrativi elevati e all'incertezza giuridica, prediligendo le opzioni meno rischiose nello svolgimento degli appalti pubblici. Analogamente, le imprese dell'UE, comprese le PMI, fanno fronte a elevati oneri amministrativi e faticano a partecipare agli appalti pubblici, anche a livello transfrontaliero. Infine la frammentazione dei sistemi di appalti elettronici impedisce un'adeguata trasparenza e un monitoraggio e una vigilanza efficienti. </w:t>
            </w:r>
          </w:p>
          <w:p>
            <w:pPr>
              <w:spacing w:before="120" w:after="120" w:line="276" w:lineRule="auto"/>
              <w:jc w:val="both"/>
              <w:rPr>
                <w:rFonts w:ascii="Times New Roman" w:hAnsi="Times New Roman" w:cs="Times New Roman"/>
                <w:noProof/>
              </w:rPr>
            </w:pPr>
            <w:r>
              <w:rPr>
                <w:rFonts w:ascii="Times New Roman" w:hAnsi="Times New Roman"/>
                <w:noProof/>
              </w:rPr>
              <w:t>La revisione delle direttive sugli appalti pubblici è stata annunciata negli orientamenti politici per la Commissione europea 2024-2029.</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Qual è l'obiettivo dell'iniziativa?</w:t>
            </w:r>
          </w:p>
        </w:tc>
      </w:tr>
      <w:tr>
        <w:tc>
          <w:tcPr>
            <w:tcW w:w="10065" w:type="dxa"/>
          </w:tcPr>
          <w:p>
            <w:pPr>
              <w:spacing w:before="120" w:after="120" w:line="276" w:lineRule="auto"/>
              <w:jc w:val="both"/>
              <w:rPr>
                <w:rFonts w:ascii="Times New Roman" w:hAnsi="Times New Roman" w:cs="Times New Roman"/>
                <w:noProof/>
              </w:rPr>
            </w:pPr>
            <w:r>
              <w:rPr>
                <w:rFonts w:ascii="Times New Roman" w:hAnsi="Times New Roman"/>
                <w:noProof/>
              </w:rPr>
              <w:t>L'intervento dell'UE mira a rendere gli appalti pubblici uno strumento di investimento pubblico più efficiente al servizio degli obiettivi politici strategici dell'Unione, tra cui l'integrazione del mercato unico, l'autonomia economica, la sostenibilità sociale ed ecologica e l'innovazione, garantendo l'ottenimento del miglior rapporto qualità/prezzo. Per quanto riguarda gli acquirenti pubblici, esso mira a semplificare le procedure di appalto e a facilitare il perseguimento degli obiettivi strategici. Per quanto riguarda gli operatori economici, esso mira a migliorare l'accesso alle opportunità di appalto, anche a livello transfrontaliero, nel mercato unico e per le PMI. In entrambi i casi l'intervento è inteso a ridurre gli oneri amministrativi, migliorando al contempo la trasparenza al fine di prevenire, individuare e contrastare le pratiche irregolari.</w:t>
            </w:r>
          </w:p>
          <w:p>
            <w:pPr>
              <w:spacing w:before="120" w:after="120" w:line="276" w:lineRule="auto"/>
              <w:jc w:val="both"/>
              <w:rPr>
                <w:rFonts w:ascii="Times New Roman" w:hAnsi="Times New Roman" w:cs="Times New Roman"/>
                <w:noProof/>
              </w:rPr>
            </w:pPr>
            <w:r>
              <w:rPr>
                <w:rFonts w:ascii="Times New Roman" w:hAnsi="Times New Roman"/>
                <w:noProof/>
              </w:rPr>
              <w:t>A tal fine, esso persegue quattro obiettivi specifici (OS): semplificare e promuovere la flessibilità nelle procedure di appalto e favorire una maggiore chiarezza giuridica e coerenza delle norme applicabili, in modo da agevolare le procedure di appalto pubblico e l'accesso alle stesse per gli operatori economici in tutto il mercato unico, comprese le PMI (OS1); aumentare la diffusione degli appalti pubblici ambientali, sociali e per l'innovazione a sostegno degli obiettivi politici strategici dell'Unione e fornire un quadro giuridico più coerente a tale proposito (OS2); migliorare la sicurezza economica e l'autonomia strategica dell'UE nel settore degli appalti pubblici, promuovendo un quadro giuridico coerente in tal senso (OS3); e facilitare l'accesso alle informazioni, ai dati e alle soluzioni informatiche in materia di appalti pubblici in modo da ridurre gli oneri amministrativi e aumentare la trasparenza e il monitoraggio, prevenendo e riducendo così le pratiche irregolari e consentendo scelte intese alla definizione delle politiche (OS4).</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Perché è necessario intervenire a livello di UE? Qual è il valore aggiunto dell'intervento a livello di UE?</w:t>
            </w:r>
          </w:p>
        </w:tc>
      </w:tr>
      <w:tr>
        <w:tc>
          <w:tcPr>
            <w:tcW w:w="10065" w:type="dxa"/>
          </w:tcPr>
          <w:p>
            <w:pPr>
              <w:spacing w:before="120" w:after="120" w:line="276" w:lineRule="auto"/>
              <w:jc w:val="both"/>
              <w:rPr>
                <w:rFonts w:ascii="Times New Roman" w:eastAsia="Times New Roman" w:hAnsi="Times New Roman" w:cs="Times New Roman"/>
                <w:noProof/>
                <w:kern w:val="0"/>
                <w14:ligatures w14:val="none"/>
              </w:rPr>
            </w:pPr>
            <w:r>
              <w:rPr>
                <w:rFonts w:ascii="Times New Roman" w:hAnsi="Times New Roman"/>
                <w:noProof/>
              </w:rPr>
              <w:t>L'iniziativa rivede le direttive dell'UE vigenti in materia di appalti pubblici per conseguire gli obiettivi di cui sopra e rendere gli appalti pubblici uno strumento di investimento pubblico efficiente ed efficace a sostegno degli obiettivi strategici dell'UE. L'iniziativa di revisione della normativa vigente dell'UE e di regolamentazione del mercato degli appalti a livello dell'UE non potrebbe essere realizzata a livello di Stati membri, in particolare tenendo conto della necessità di garantire un approccio armonizzato in tutto il mercato unico.</w:t>
            </w:r>
          </w:p>
        </w:tc>
      </w:tr>
      <w:tr>
        <w:tc>
          <w:tcPr>
            <w:tcW w:w="10065" w:type="dxa"/>
            <w:shd w:val="clear" w:color="auto" w:fill="E8E8E8" w:themeFill="background2"/>
          </w:tcPr>
          <w:p>
            <w:pPr>
              <w:pStyle w:val="ListParagraph"/>
              <w:numPr>
                <w:ilvl w:val="0"/>
                <w:numId w:val="1"/>
              </w:numPr>
              <w:spacing w:line="276" w:lineRule="auto"/>
              <w:jc w:val="both"/>
              <w:rPr>
                <w:rFonts w:ascii="Times New Roman" w:hAnsi="Times New Roman" w:cs="Times New Roman"/>
                <w:b/>
                <w:bCs/>
                <w:noProof/>
              </w:rPr>
            </w:pPr>
            <w:r>
              <w:rPr>
                <w:rFonts w:ascii="Times New Roman" w:hAnsi="Times New Roman"/>
                <w:b/>
                <w:noProof/>
              </w:rPr>
              <w:t>Soluzioni</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Quali opzioni legislative e di altro tipo sono state prese in considerazione? Ne è stata prescelta una? Per quale motivo?</w:t>
            </w:r>
          </w:p>
        </w:tc>
      </w:tr>
      <w:tr>
        <w:tc>
          <w:tcPr>
            <w:tcW w:w="10065" w:type="dxa"/>
          </w:tcPr>
          <w:p>
            <w:pPr>
              <w:spacing w:before="120" w:after="120" w:line="276" w:lineRule="auto"/>
              <w:jc w:val="both"/>
              <w:rPr>
                <w:rFonts w:ascii="Times New Roman" w:eastAsia="Times New Roman" w:hAnsi="Times New Roman" w:cs="Times New Roman"/>
                <w:noProof/>
                <w:kern w:val="0"/>
                <w14:ligatures w14:val="none"/>
              </w:rPr>
            </w:pPr>
            <w:r>
              <w:rPr>
                <w:rFonts w:ascii="Times New Roman" w:hAnsi="Times New Roman"/>
                <w:noProof/>
              </w:rPr>
              <w:t xml:space="preserve">Le opzioni strategiche (OS) sono organizzate in quattro serie principali di misure strategiche, ciascuna delle quali corrisponde a un obiettivo specifico; tutte le misure favoriscono un quadro più coerente in materia di appalti pubblici. Le opzioni volte a introdurre semplificazioni e flessibilità (FLX) riguardano l'OS1, le opzioni relative agli appalti verdi, sociali e per l'innovazione (ESI) riguardano l'OS2, le opzioni sulla preferenza europea (BEU) riguardano l'OS3 e quelle relative al mercato digitale (MPL) riguardano l'OS4. </w:t>
            </w:r>
          </w:p>
          <w:p>
            <w:pPr>
              <w:spacing w:before="120" w:after="120" w:line="276" w:lineRule="auto"/>
              <w:jc w:val="both"/>
              <w:rPr>
                <w:rFonts w:ascii="Times New Roman" w:eastAsia="Times New Roman" w:hAnsi="Times New Roman" w:cs="Times New Roman"/>
                <w:noProof/>
                <w:kern w:val="0"/>
                <w14:ligatures w14:val="none"/>
              </w:rPr>
            </w:pPr>
            <w:r>
              <w:rPr>
                <w:rFonts w:ascii="Times New Roman" w:hAnsi="Times New Roman"/>
                <w:noProof/>
              </w:rPr>
              <w:t xml:space="preserve">L'opzione </w:t>
            </w:r>
            <w:r>
              <w:rPr>
                <w:rFonts w:ascii="Times New Roman" w:hAnsi="Times New Roman"/>
                <w:b/>
                <w:noProof/>
              </w:rPr>
              <w:t>FLX</w:t>
            </w:r>
            <w:r>
              <w:rPr>
                <w:rFonts w:ascii="Times New Roman" w:hAnsi="Times New Roman"/>
                <w:noProof/>
              </w:rPr>
              <w:t xml:space="preserve"> propone, nell'ambito dell'opzione FLX.1, una modifica mirata delle attuali tre direttive sugli appalti pubblici per consentire negoziati, modifiche più agevoli (rettifiche durante le procedure di appalto, ad esempio in caso di errori) e interazione con il mercato. Tale opzione rinvierebbe a tutti i motivi di esclusione previsti dalla legislazione settoriale vigente, introdurrebbe norme più chiare per gli appalti in situazioni di crisi e istituirebbe un modello dinamico di governance dei rischi per le concessioni.</w:t>
            </w:r>
            <w:r>
              <w:rPr>
                <w:rFonts w:ascii="Times New Roman" w:hAnsi="Times New Roman"/>
                <w:b/>
                <w:noProof/>
              </w:rPr>
              <w:t xml:space="preserve"> </w:t>
            </w:r>
            <w:r>
              <w:rPr>
                <w:rFonts w:ascii="Times New Roman" w:hAnsi="Times New Roman"/>
                <w:noProof/>
              </w:rPr>
              <w:t xml:space="preserve">Ai fini di un sistema più coerente, l'opzione FLX.2 riunisce le tre direttive in un unico strumento giuridico, riducendo il numero di procedure a due principali (una procedura aperta con negoziazione facoltativa e una procedura dinamica), cui si aggiungono una nuova procedura di innovazione più operativa e una procedura eccezionale con pubblicazione solo a posteriori, anche per le situazioni di emergenza. L'opzione integra inoltre i motivi di esclusione previsti dalla normativa settoriale vigente e, ove possibile, li elimina. L'opzione </w:t>
            </w:r>
            <w:r>
              <w:rPr>
                <w:rFonts w:ascii="Times New Roman" w:hAnsi="Times New Roman"/>
                <w:b/>
                <w:noProof/>
              </w:rPr>
              <w:t xml:space="preserve">ESI </w:t>
            </w:r>
            <w:r>
              <w:rPr>
                <w:rFonts w:ascii="Times New Roman" w:hAnsi="Times New Roman"/>
                <w:noProof/>
              </w:rPr>
              <w:t>introduce, nell'ambito dell'opzione ESI.1, il miglior rapporto qualità/prezzo come metodo di aggiudicazione standard con un meccanismo di "conformità o spiegazione". Tale opzione chiarisce la definizione di appalti sociali, ambientali e per l'innovazione, l'uso del marchio Ecolabel UE e il legame con l'oggetto dell'appalto, in particolare per quanto riguarda i diritti dei lavoratori. Essa vieta la possibilità di subappaltare la totalità di un appalto e istituisce una nuova procedura di appalto per l'innovazione in cui i diritti di proprietà intellettuale rimangono in capo ai fornitori, salvo diversamente motivato. L'opzione ESI.2 integra e sviluppa l'opzione ESI.1 mediante l'inclusione di disposizioni orizzontali in materia di appalti pubblici ecologici e sociali contenute nella normativa settoriale. Infine l'opzione ESI.3 prevede il criterio obbligatorio del miglior rapporto qualità/prezzo, stabilisce obiettivi vincolanti e l'uso obbligatorio dei criteri del marchio Ecolabel UE; essa vieta il subappalto oltre il secondo livello e il trasferimento di diritti di proprietà intellettuale, tranne in casi giustificati al fine di fornire servizi pubblici. L'opzione integra inoltre requisiti specifici per settore relativi a "cosa acquistare".</w:t>
            </w:r>
          </w:p>
          <w:p>
            <w:pPr>
              <w:spacing w:before="120" w:after="120" w:line="276" w:lineRule="auto"/>
              <w:jc w:val="both"/>
              <w:rPr>
                <w:rFonts w:ascii="Times New Roman" w:eastAsia="Times New Roman" w:hAnsi="Times New Roman" w:cs="Times New Roman"/>
                <w:noProof/>
                <w:kern w:val="0"/>
                <w14:ligatures w14:val="none"/>
              </w:rPr>
            </w:pPr>
            <w:r>
              <w:rPr>
                <w:rFonts w:ascii="Times New Roman" w:hAnsi="Times New Roman"/>
                <w:noProof/>
              </w:rPr>
              <w:t xml:space="preserve">L'opzione </w:t>
            </w:r>
            <w:r>
              <w:rPr>
                <w:rFonts w:ascii="Times New Roman" w:hAnsi="Times New Roman"/>
                <w:b/>
                <w:noProof/>
              </w:rPr>
              <w:t>BEU</w:t>
            </w:r>
            <w:r>
              <w:rPr>
                <w:rFonts w:ascii="Times New Roman" w:hAnsi="Times New Roman"/>
                <w:noProof/>
              </w:rPr>
              <w:t xml:space="preserve"> codifica, nell'ambito dell'opzione BEU.1, la giurisprudenza che stabilisce un quadro volontario che consenta agli acquirenti pubblici di limitare la partecipazione agli appalti pubblici di operatori economici o prodotti provenienti da paesi terzi privi di un accordo recante impegni relativi all'appalto in questione. L'opzione BEU.2 fornirebbe inoltre un quadro coerente per la futura elaborazione di disposizioni in materia di preferenza europea nella normativa settoriale dell'UE, stabilendo meccanismi relativi alle modalità di acquisto di prodotti "Made in Europe" laddove previsto dagli atti settoriali e sostenendone l'attuazione da parte degli acquirenti pubblici.</w:t>
            </w:r>
            <w:r>
              <w:rPr>
                <w:rFonts w:ascii="Times New Roman" w:hAnsi="Times New Roman"/>
                <w:b/>
                <w:noProof/>
              </w:rPr>
              <w:t xml:space="preserve"> </w:t>
            </w:r>
            <w:r>
              <w:rPr>
                <w:rFonts w:ascii="Times New Roman" w:hAnsi="Times New Roman"/>
                <w:noProof/>
              </w:rPr>
              <w:t>Nell'ambito dell'opzione BEU.3, l'acquirente pubblico sarebbe incaricato di limitare la partecipazione esclusivamente all'UE e ai paesi contemplati.</w:t>
            </w:r>
          </w:p>
          <w:p>
            <w:pPr>
              <w:spacing w:before="120" w:after="120" w:line="276" w:lineRule="auto"/>
              <w:jc w:val="both"/>
              <w:rPr>
                <w:rFonts w:ascii="Times New Roman" w:eastAsia="Times New Roman" w:hAnsi="Times New Roman" w:cs="Times New Roman"/>
                <w:noProof/>
                <w:kern w:val="0"/>
                <w14:ligatures w14:val="none"/>
              </w:rPr>
            </w:pPr>
            <w:r>
              <w:rPr>
                <w:rFonts w:ascii="Times New Roman" w:hAnsi="Times New Roman"/>
                <w:noProof/>
              </w:rPr>
              <w:t xml:space="preserve">L'opzione </w:t>
            </w:r>
            <w:r>
              <w:rPr>
                <w:rFonts w:ascii="Times New Roman" w:hAnsi="Times New Roman"/>
                <w:b/>
                <w:noProof/>
              </w:rPr>
              <w:t xml:space="preserve">MPL </w:t>
            </w:r>
            <w:r>
              <w:rPr>
                <w:rFonts w:ascii="Times New Roman" w:hAnsi="Times New Roman"/>
                <w:noProof/>
              </w:rPr>
              <w:t>prevede, nell'ambito dell'opzione MPL.1, l'interconnessione dei sistemi di appalti elettronici degli Stati membri in un unico mercato integrato degli appalti pubblici dell'UE per la pubblicazione dei bandi di gara, la presentazione delle offerte, l'aggiudicazione degli appalti e il successivo monitoraggio dell'attuazione. Tale opzione istituisce inoltre una rete di dati che collega i dati sugli appalti pubblici a livello nazionale e dell'UE. In alternativa, l'opzione MPL.2 istituirebbe un mercato unico centralizzato dell'UE per gli appalti elettronici in sostituzione dei sistemi di appalti elettronici degli Stati membri.</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Ne è stata prescelta una? Per quale motivo?</w:t>
            </w:r>
          </w:p>
        </w:tc>
      </w:tr>
      <w:tr>
        <w:tc>
          <w:tcPr>
            <w:tcW w:w="10065" w:type="dxa"/>
          </w:tcPr>
          <w:p>
            <w:pPr>
              <w:spacing w:before="120" w:after="120" w:line="276" w:lineRule="auto"/>
              <w:jc w:val="both"/>
              <w:rPr>
                <w:rFonts w:ascii="Times New Roman" w:hAnsi="Times New Roman" w:cs="Times New Roman"/>
                <w:noProof/>
              </w:rPr>
            </w:pPr>
            <w:r>
              <w:rPr>
                <w:rFonts w:ascii="Times New Roman" w:hAnsi="Times New Roman"/>
                <w:noProof/>
              </w:rPr>
              <w:t xml:space="preserve">La valutazione d'impatto individua la combinazione delle opzioni strategiche </w:t>
            </w:r>
            <w:r>
              <w:rPr>
                <w:rFonts w:ascii="Times New Roman" w:hAnsi="Times New Roman"/>
                <w:b/>
                <w:noProof/>
              </w:rPr>
              <w:t>FLX.2</w:t>
            </w:r>
            <w:r>
              <w:rPr>
                <w:rFonts w:ascii="Times New Roman" w:hAnsi="Times New Roman"/>
                <w:noProof/>
              </w:rPr>
              <w:t xml:space="preserve">, </w:t>
            </w:r>
            <w:r>
              <w:rPr>
                <w:rFonts w:ascii="Times New Roman" w:hAnsi="Times New Roman"/>
                <w:b/>
                <w:noProof/>
              </w:rPr>
              <w:t>ESI.2</w:t>
            </w:r>
            <w:r>
              <w:rPr>
                <w:rFonts w:ascii="Times New Roman" w:hAnsi="Times New Roman"/>
                <w:noProof/>
              </w:rPr>
              <w:t xml:space="preserve">, </w:t>
            </w:r>
            <w:r>
              <w:rPr>
                <w:rFonts w:ascii="Times New Roman" w:hAnsi="Times New Roman"/>
                <w:b/>
                <w:noProof/>
              </w:rPr>
              <w:t>BEU.2</w:t>
            </w:r>
            <w:r>
              <w:rPr>
                <w:rFonts w:ascii="Times New Roman" w:hAnsi="Times New Roman"/>
                <w:noProof/>
              </w:rPr>
              <w:t xml:space="preserve"> e </w:t>
            </w:r>
            <w:r>
              <w:rPr>
                <w:rFonts w:ascii="Times New Roman" w:hAnsi="Times New Roman"/>
                <w:b/>
                <w:noProof/>
              </w:rPr>
              <w:t>MPL.1</w:t>
            </w:r>
            <w:r>
              <w:rPr>
                <w:rFonts w:ascii="Times New Roman" w:hAnsi="Times New Roman"/>
                <w:noProof/>
              </w:rPr>
              <w:t xml:space="preserve"> come la prescelta.</w:t>
            </w:r>
          </w:p>
        </w:tc>
      </w:tr>
      <w:tr>
        <w:tc>
          <w:tcPr>
            <w:tcW w:w="10065" w:type="dxa"/>
            <w:shd w:val="clear" w:color="auto" w:fill="E8E8E8" w:themeFill="background2"/>
          </w:tcPr>
          <w:p>
            <w:pPr>
              <w:pStyle w:val="ListParagraph"/>
              <w:numPr>
                <w:ilvl w:val="0"/>
                <w:numId w:val="1"/>
              </w:numPr>
              <w:spacing w:line="276" w:lineRule="auto"/>
              <w:jc w:val="both"/>
              <w:rPr>
                <w:rFonts w:ascii="Times New Roman" w:hAnsi="Times New Roman" w:cs="Times New Roman"/>
                <w:b/>
                <w:bCs/>
                <w:noProof/>
              </w:rPr>
            </w:pPr>
            <w:r>
              <w:rPr>
                <w:rFonts w:ascii="Times New Roman" w:hAnsi="Times New Roman"/>
                <w:b/>
                <w:noProof/>
              </w:rPr>
              <w:t>Impatto dell'opzione prescelta</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Quali sono i vantaggi dell'opzione prescelta (o in mancanza di quest'ultima, delle opzioni principali)?</w:t>
            </w:r>
          </w:p>
        </w:tc>
      </w:tr>
      <w:tr>
        <w:tc>
          <w:tcPr>
            <w:tcW w:w="10065" w:type="dxa"/>
          </w:tcPr>
          <w:p>
            <w:pPr>
              <w:spacing w:before="120" w:after="120"/>
              <w:jc w:val="both"/>
              <w:rPr>
                <w:rFonts w:ascii="Times New Roman" w:eastAsia="Times New Roman" w:hAnsi="Times New Roman" w:cs="Times New Roman"/>
                <w:noProof/>
                <w:kern w:val="0"/>
                <w14:ligatures w14:val="none"/>
              </w:rPr>
            </w:pPr>
            <w:r>
              <w:rPr>
                <w:rFonts w:ascii="Times New Roman" w:hAnsi="Times New Roman"/>
                <w:noProof/>
              </w:rPr>
              <w:t>In sostanza, l'opzione prescelta riduce gli oneri amministrativi sia per gli acquirenti pubblici che per gli operatori economici attraverso procedure più semplici e flessibili. Si prevede che l'agevolazione delle consultazioni di mercato, dei negoziati e delle rettifiche faciliterà le gare d'appalto e ridurrà le cessazioni anticipate dovute a errori, che secondo alcune stime interessano fino al 25 % degli appalti</w:t>
            </w:r>
            <w:r>
              <w:rPr>
                <w:rStyle w:val="FootnoteReference"/>
                <w:rFonts w:ascii="Times New Roman" w:eastAsia="Times New Roman" w:hAnsi="Times New Roman" w:cs="Times New Roman"/>
                <w:noProof/>
                <w:kern w:val="0"/>
                <w:lang w:eastAsia="en-IE"/>
              </w:rPr>
              <w:footnoteReference w:id="2"/>
            </w:r>
            <w:r>
              <w:rPr>
                <w:rFonts w:ascii="Times New Roman" w:hAnsi="Times New Roman"/>
                <w:noProof/>
              </w:rPr>
              <w:t>. Inoltre ciò aumenterà la chiarezza e la coerenza delle nuove norme, nonché delle norme settoriali contenenti disposizioni in materia di appalti pubblici (FLX.2/ESI.2).</w:t>
            </w:r>
          </w:p>
          <w:p>
            <w:pPr>
              <w:spacing w:before="120" w:after="120"/>
              <w:jc w:val="both"/>
              <w:rPr>
                <w:rFonts w:ascii="Times New Roman" w:eastAsia="Times New Roman" w:hAnsi="Times New Roman" w:cs="Times New Roman"/>
                <w:noProof/>
                <w:kern w:val="0"/>
                <w14:ligatures w14:val="none"/>
              </w:rPr>
            </w:pPr>
            <w:r>
              <w:rPr>
                <w:rFonts w:ascii="Times New Roman" w:hAnsi="Times New Roman"/>
                <w:noProof/>
              </w:rPr>
              <w:t>Gli appalti per l'innovazione dovrebbero essere agevolati dalla nuova procedura di innovazione. L'opzione prescelta promuoverà inoltre la concorrenza basata sulla qualità, semplificando gli appalti verdi e sociali e agevolando l'uso di norme e marchi di qualità ecologica (ESI.2). Essa fornisce chiarezza giuridica e coerenza, nonché strumenti per consentire l'applicazione efficiente della preferenza europea al fine di migliorare la sicurezza economica e l'autonomia strategica (BEU.2).</w:t>
            </w:r>
          </w:p>
          <w:p>
            <w:pPr>
              <w:spacing w:before="120" w:after="120"/>
              <w:jc w:val="both"/>
              <w:rPr>
                <w:rFonts w:ascii="Times New Roman" w:eastAsia="Times New Roman" w:hAnsi="Times New Roman" w:cs="Times New Roman"/>
                <w:noProof/>
                <w:kern w:val="0"/>
                <w14:ligatures w14:val="none"/>
              </w:rPr>
            </w:pPr>
            <w:r>
              <w:rPr>
                <w:rFonts w:ascii="Times New Roman" w:hAnsi="Times New Roman"/>
                <w:noProof/>
              </w:rPr>
              <w:t>Il nuovo mercato digitale interesserà tutte le fasi delle nuove procedure, dall'annuncio alla fattura elettronica finale. La digitalizzazione, compreso il principio "una tantum" per la presentazione dei documenti, costituirà il principale fattore di riduzione dei costi, ma si prevede che contribuirà anche al monitoraggio e alla prevenzione delle frodi (MPL.1).</w:t>
            </w:r>
          </w:p>
          <w:p>
            <w:pPr>
              <w:spacing w:before="120" w:after="120"/>
              <w:jc w:val="both"/>
              <w:rPr>
                <w:rFonts w:ascii="Times New Roman" w:eastAsia="Times New Roman" w:hAnsi="Times New Roman" w:cs="Times New Roman"/>
                <w:noProof/>
                <w:kern w:val="0"/>
                <w14:ligatures w14:val="none"/>
              </w:rPr>
            </w:pPr>
            <w:r>
              <w:rPr>
                <w:rFonts w:ascii="Times New Roman" w:hAnsi="Times New Roman"/>
                <w:noProof/>
              </w:rPr>
              <w:t>Sebbene non sia stato sempre possibile quantificare tutti i vantaggi sulla base dei dati disponibili, laddove la quantificazione è risultata fattibile, i risparmi stimati ammontano a 1 miliardo di EUR all'anno per gli operatori economici e a 220 milioni di EUR per gli acquirenti pubblici, a parità di tutte le altre condizioni</w:t>
            </w:r>
            <w:r>
              <w:rPr>
                <w:rStyle w:val="FootnoteReference"/>
                <w:rFonts w:ascii="Times New Roman" w:eastAsia="Times New Roman" w:hAnsi="Times New Roman" w:cs="Times New Roman"/>
                <w:noProof/>
                <w:kern w:val="0"/>
                <w:lang w:eastAsia="en-IE"/>
              </w:rPr>
              <w:footnoteReference w:id="3"/>
            </w:r>
            <w:r>
              <w:rPr>
                <w:rFonts w:ascii="Times New Roman" w:hAnsi="Times New Roman"/>
                <w:noProof/>
              </w:rPr>
              <w:t xml:space="preserve">. Nota: le cifre non sono comprensive dei costi (cfr. il riquadro seguente). </w:t>
            </w:r>
          </w:p>
          <w:p>
            <w:pPr>
              <w:spacing w:before="120" w:after="120"/>
              <w:jc w:val="both"/>
              <w:rPr>
                <w:rFonts w:ascii="Times New Roman" w:eastAsia="Times New Roman" w:hAnsi="Times New Roman" w:cs="Times New Roman"/>
                <w:noProof/>
                <w:kern w:val="0"/>
                <w14:ligatures w14:val="none"/>
              </w:rPr>
            </w:pPr>
            <w:r>
              <w:rPr>
                <w:rFonts w:ascii="Times New Roman" w:hAnsi="Times New Roman"/>
                <w:noProof/>
              </w:rPr>
              <w:t>Se si tiene conto dei costi, l'acquirente pubblico medio risparmia circa il 4,4 % per procedura, mentre l'operatore economico medio risparmia circa l'8,9 %. I risparmi totali per procedura che coinvolge 3,3 offerenti ammontano a circa 2 100 EUR, pari a una riduzione dei costi del 4,9 %.</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Quali sono i costi dell'opzione prescelta (o in mancanza di quest'ultima, delle opzioni principali)?</w:t>
            </w:r>
          </w:p>
        </w:tc>
      </w:tr>
      <w:tr>
        <w:tc>
          <w:tcPr>
            <w:tcW w:w="10065" w:type="dxa"/>
          </w:tcPr>
          <w:p>
            <w:pPr>
              <w:spacing w:before="120" w:after="120"/>
              <w:jc w:val="both"/>
              <w:rPr>
                <w:rFonts w:ascii="Times New Roman" w:eastAsia="Times New Roman" w:hAnsi="Times New Roman" w:cs="Times New Roman"/>
                <w:noProof/>
                <w:kern w:val="0"/>
                <w14:ligatures w14:val="none"/>
              </w:rPr>
            </w:pPr>
            <w:r>
              <w:rPr>
                <w:rFonts w:ascii="Times New Roman" w:hAnsi="Times New Roman"/>
                <w:noProof/>
              </w:rPr>
              <w:t xml:space="preserve">I costi principali derivano dall'opzione </w:t>
            </w:r>
            <w:r>
              <w:rPr>
                <w:rFonts w:ascii="Times New Roman" w:hAnsi="Times New Roman"/>
                <w:b/>
                <w:noProof/>
              </w:rPr>
              <w:t>ESI.2</w:t>
            </w:r>
            <w:r>
              <w:rPr>
                <w:rFonts w:ascii="Times New Roman" w:hAnsi="Times New Roman"/>
                <w:noProof/>
              </w:rPr>
              <w:t xml:space="preserve">, con un costo aggiuntivo totale previsto per gli acquirenti pubblici pari a 55 milioni di EUR all'anno a seguito dell'applicazione del miglior rapporto qualità/prezzo e del marchio Ecolabel UE. L'opzione </w:t>
            </w:r>
            <w:r>
              <w:rPr>
                <w:rFonts w:ascii="Times New Roman" w:hAnsi="Times New Roman"/>
                <w:b/>
                <w:noProof/>
              </w:rPr>
              <w:t>FLX.2</w:t>
            </w:r>
            <w:r>
              <w:rPr>
                <w:rFonts w:ascii="Times New Roman" w:hAnsi="Times New Roman"/>
                <w:noProof/>
              </w:rPr>
              <w:t xml:space="preserve"> potrebbe generare circa 78 milioni di EUR di costi aggiuntivi per gli acquirenti pubblici in caso di maggiore ricorso alle negoziazioni. L'opzione </w:t>
            </w:r>
            <w:r>
              <w:rPr>
                <w:rFonts w:ascii="Times New Roman" w:hAnsi="Times New Roman"/>
                <w:b/>
                <w:noProof/>
              </w:rPr>
              <w:t>MPL.1</w:t>
            </w:r>
            <w:r>
              <w:rPr>
                <w:rFonts w:ascii="Times New Roman" w:hAnsi="Times New Roman"/>
                <w:noProof/>
              </w:rPr>
              <w:t xml:space="preserve"> comporterebbe costi pari a 18 milioni di EUR all'anno per la Commissione e a 18 milioni di EUR per gli Stati membri nei prossimi sette anni. Infine il costo aggiuntivo totale dell'adozione della preferenza europea è stimato a 15 milioni di EUR, equamente ripartiti tra acquirenti pubblici e operatori economici. Come per i vantaggi, non è stato possibile quantificare tutti i costi e, per quelli quantificabili, sono state necessarie ulteriori ipotesi (cfr. la valutazione d'impatto).</w:t>
            </w:r>
          </w:p>
        </w:tc>
      </w:tr>
      <w:tr>
        <w:tc>
          <w:tcPr>
            <w:tcW w:w="10065" w:type="dxa"/>
          </w:tcPr>
          <w:p>
            <w:pPr>
              <w:keepNext/>
              <w:spacing w:line="276" w:lineRule="auto"/>
              <w:jc w:val="both"/>
              <w:rPr>
                <w:rFonts w:ascii="Times New Roman" w:hAnsi="Times New Roman" w:cs="Times New Roman"/>
                <w:b/>
                <w:bCs/>
                <w:noProof/>
              </w:rPr>
            </w:pPr>
            <w:r>
              <w:rPr>
                <w:rFonts w:ascii="Times New Roman" w:hAnsi="Times New Roman"/>
                <w:b/>
                <w:noProof/>
              </w:rPr>
              <w:t>Quale sarà l'incidenza su aziende, PMI e microimprese?</w:t>
            </w:r>
          </w:p>
        </w:tc>
      </w:tr>
      <w:tr>
        <w:tc>
          <w:tcPr>
            <w:tcW w:w="10065" w:type="dxa"/>
          </w:tcPr>
          <w:p>
            <w:pPr>
              <w:spacing w:before="120" w:after="120"/>
              <w:jc w:val="both"/>
              <w:rPr>
                <w:rFonts w:ascii="Times New Roman" w:eastAsia="Times New Roman" w:hAnsi="Times New Roman" w:cs="Times New Roman"/>
                <w:noProof/>
                <w:kern w:val="0"/>
                <w14:ligatures w14:val="none"/>
              </w:rPr>
            </w:pPr>
            <w:r>
              <w:rPr>
                <w:rFonts w:ascii="Times New Roman" w:hAnsi="Times New Roman"/>
                <w:noProof/>
              </w:rPr>
              <w:t>Si prevede che le PMI, con circa il 71 % dei contratti di appalto pubblico aggiudicati, beneficeranno in misura significativa dell'opzione strategica prescelta.  È probabile che le procedure semplificate ridurranno i tempi e i costi necessari per le formalità amministrative e gli obblighi di conformità. Il mercato digitale faciliterebbe l'accesso delle PMI agli appalti pubblici, anche a livello transfrontaliero, e ridurrebbe gli oneri amministrativi (ad esempio il principio "una tantum").</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L'impatto sui bilanci e sulle amministrazioni nazionali sarà significativo?</w:t>
            </w:r>
          </w:p>
        </w:tc>
      </w:tr>
      <w:tr>
        <w:tc>
          <w:tcPr>
            <w:tcW w:w="10065" w:type="dxa"/>
          </w:tcPr>
          <w:p>
            <w:pPr>
              <w:spacing w:before="120" w:after="120"/>
              <w:jc w:val="both"/>
              <w:rPr>
                <w:rFonts w:ascii="Times New Roman" w:eastAsia="Times New Roman" w:hAnsi="Times New Roman" w:cs="Times New Roman"/>
                <w:noProof/>
              </w:rPr>
            </w:pPr>
            <w:r>
              <w:rPr>
                <w:rFonts w:ascii="Times New Roman" w:hAnsi="Times New Roman"/>
                <w:noProof/>
              </w:rPr>
              <w:t>L'opzione prescelta dovrebbe comportare costi annuali pari a 18 milioni di EUR, relativi ai sistemi informatici, per tutti gli Stati membri dell'UE (</w:t>
            </w:r>
            <w:r>
              <w:rPr>
                <w:rFonts w:ascii="Times New Roman" w:hAnsi="Times New Roman"/>
                <w:b/>
                <w:noProof/>
              </w:rPr>
              <w:t>MPL.1</w:t>
            </w:r>
            <w:r>
              <w:rPr>
                <w:rFonts w:ascii="Times New Roman" w:hAnsi="Times New Roman"/>
                <w:noProof/>
              </w:rPr>
              <w:t>). Si prevede inoltre un aumento dei costi annuali per circa 46 600 amministrazioni aggiudicatrici pari a 141 milioni di EUR (</w:t>
            </w:r>
            <w:r>
              <w:rPr>
                <w:rFonts w:ascii="Times New Roman" w:hAnsi="Times New Roman"/>
                <w:b/>
                <w:noProof/>
              </w:rPr>
              <w:t>FLX.2, ESI.2</w:t>
            </w:r>
            <w:r>
              <w:rPr>
                <w:rFonts w:ascii="Times New Roman" w:hAnsi="Times New Roman"/>
                <w:noProof/>
              </w:rPr>
              <w:t xml:space="preserve"> e </w:t>
            </w:r>
            <w:r>
              <w:rPr>
                <w:rFonts w:ascii="Times New Roman" w:hAnsi="Times New Roman"/>
                <w:b/>
                <w:noProof/>
              </w:rPr>
              <w:t>BEU.2</w:t>
            </w:r>
            <w:r>
              <w:rPr>
                <w:rFonts w:ascii="Times New Roman" w:hAnsi="Times New Roman"/>
                <w:noProof/>
              </w:rPr>
              <w:t xml:space="preserve">). Si prevede tuttavia che l'opzione </w:t>
            </w:r>
            <w:r>
              <w:rPr>
                <w:rFonts w:ascii="Times New Roman" w:hAnsi="Times New Roman"/>
                <w:b/>
                <w:noProof/>
              </w:rPr>
              <w:t>MPL.1</w:t>
            </w:r>
            <w:r>
              <w:rPr>
                <w:rFonts w:ascii="Times New Roman" w:hAnsi="Times New Roman"/>
                <w:noProof/>
              </w:rPr>
              <w:t xml:space="preserve"> consentirà alle amministrazioni aggiudicatrici un risparmio di circa 220 milioni di EUR all'anno, che determinerà un risparmio netto a livello dell'UE pari a 79 milioni di EUR.</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Sono previsti altri impatti significativi?</w:t>
            </w:r>
          </w:p>
        </w:tc>
      </w:tr>
      <w:tr>
        <w:tc>
          <w:tcPr>
            <w:tcW w:w="10065" w:type="dxa"/>
          </w:tcPr>
          <w:p>
            <w:pPr>
              <w:spacing w:before="120" w:after="120"/>
              <w:jc w:val="both"/>
              <w:rPr>
                <w:rFonts w:ascii="Times New Roman" w:hAnsi="Times New Roman" w:cs="Times New Roman"/>
                <w:noProof/>
              </w:rPr>
            </w:pPr>
            <w:r>
              <w:rPr>
                <w:rFonts w:ascii="Times New Roman" w:hAnsi="Times New Roman"/>
                <w:noProof/>
              </w:rPr>
              <w:t>L'iniziativa avrebbe impatti positivi in termini di progressi verso il conseguimento degli OSS 8, 9 e 12.</w:t>
            </w:r>
          </w:p>
        </w:tc>
      </w:tr>
      <w:tr>
        <w:tc>
          <w:tcPr>
            <w:tcW w:w="10065" w:type="dxa"/>
            <w:shd w:val="clear" w:color="auto" w:fill="E8E8E8" w:themeFill="background2"/>
          </w:tcPr>
          <w:p>
            <w:pPr>
              <w:pStyle w:val="ListParagraph"/>
              <w:numPr>
                <w:ilvl w:val="0"/>
                <w:numId w:val="1"/>
              </w:numPr>
              <w:spacing w:line="276" w:lineRule="auto"/>
              <w:jc w:val="both"/>
              <w:rPr>
                <w:rFonts w:ascii="Times New Roman" w:hAnsi="Times New Roman" w:cs="Times New Roman"/>
                <w:b/>
                <w:bCs/>
                <w:noProof/>
              </w:rPr>
            </w:pPr>
            <w:r>
              <w:rPr>
                <w:rFonts w:ascii="Times New Roman" w:hAnsi="Times New Roman"/>
                <w:b/>
                <w:noProof/>
              </w:rPr>
              <w:t>Tappe successive</w:t>
            </w:r>
          </w:p>
        </w:tc>
      </w:tr>
      <w:tr>
        <w:tc>
          <w:tcPr>
            <w:tcW w:w="10065" w:type="dxa"/>
          </w:tcPr>
          <w:p>
            <w:pPr>
              <w:spacing w:line="276" w:lineRule="auto"/>
              <w:jc w:val="both"/>
              <w:rPr>
                <w:rFonts w:ascii="Times New Roman" w:hAnsi="Times New Roman" w:cs="Times New Roman"/>
                <w:b/>
                <w:bCs/>
                <w:noProof/>
              </w:rPr>
            </w:pPr>
            <w:r>
              <w:rPr>
                <w:rFonts w:ascii="Times New Roman" w:hAnsi="Times New Roman"/>
                <w:b/>
                <w:noProof/>
              </w:rPr>
              <w:t>Quando saranno riesaminate le misure proposte?</w:t>
            </w:r>
          </w:p>
        </w:tc>
      </w:tr>
      <w:tr>
        <w:tc>
          <w:tcPr>
            <w:tcW w:w="10065" w:type="dxa"/>
          </w:tcPr>
          <w:p>
            <w:pPr>
              <w:spacing w:before="120" w:after="120"/>
              <w:jc w:val="both"/>
              <w:rPr>
                <w:rFonts w:ascii="Times New Roman" w:hAnsi="Times New Roman" w:cs="Times New Roman"/>
                <w:noProof/>
              </w:rPr>
            </w:pPr>
            <w:r>
              <w:rPr>
                <w:rFonts w:ascii="Times New Roman" w:hAnsi="Times New Roman"/>
                <w:noProof/>
              </w:rPr>
              <w:t>Ogni sette anni dovrebbe essere effettuata una valutazione che tenga conto di una serie di indicatori di monitoraggio predefiniti. I dati di input utilizzati per le attività di monitoraggio previste (ossia gli indicatori elencati) sono già disponibili o saranno disponibili a seguito dell'introduzione dei nuovi strumenti e sistemi informatici previsti dalla combinazione delle opzioni strategiche prescelte. Al fine di limitare gli oneri amministrativi per gli acquirenti pubblici e gli operatori economici, tali dati saranno raccolti automaticamente durante la gestione delle operazioni di appalto pubblico. La cura e la diffusione dei dati faranno altresì parte del mercato, anche attraverso quadri di controllo e serie di dati strutturati messi a disposizione per essere scaricati dal pubblico. Ciò rafforzerebbe inoltre la trasparenza e la vigilanza, garantendo l'assunzione di responsabilità e contribuendo a prevenire e individuare le irregolarità.</w:t>
            </w:r>
          </w:p>
        </w:tc>
      </w:tr>
    </w:tbl>
    <w:p>
      <w:pPr>
        <w:rPr>
          <w:rFonts w:ascii="Times New Roman" w:hAnsi="Times New Roman" w:cs="Times New Roman"/>
          <w:b/>
          <w:bCs/>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2479164"/>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231637"/>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Documento di lavoro dei servizi della Commissione, Valutazione della direttiva 2014/23/UE sulle concessioni, della direttiva 2014/24/UE sugli appalti pubblici e della direttiva 2014/25/UE sui servizi di pubblica utilità (SWD/2025/0332 final), 14.10.2025, Bruxelles (</w:t>
      </w:r>
      <w:hyperlink r:id="rId1" w:history="1">
        <w:r>
          <w:rPr>
            <w:rStyle w:val="Hyperlink"/>
          </w:rPr>
          <w:t>https://eur-lex.europa.eu/legal-content/EN/TXT/?uri=CELEX:52025SC0332</w:t>
        </w:r>
      </w:hyperlink>
      <w:r>
        <w:t>).</w:t>
      </w:r>
    </w:p>
  </w:footnote>
  <w:footnote w:id="2">
    <w:p>
      <w:pPr>
        <w:pStyle w:val="FootnoteText"/>
        <w:rPr>
          <w:lang w:val="en-IE"/>
        </w:rPr>
      </w:pPr>
      <w:r>
        <w:rPr>
          <w:rStyle w:val="FootnoteReference"/>
        </w:rPr>
        <w:footnoteRef/>
      </w:r>
      <w:r>
        <w:t xml:space="preserve"> Uno studio dell'autorità danese per la concorrenza e i consumatori suggerisce che oltre il 25 % di tutti gli appalti è annullato a causa dell'impossibilità di procedere a modifiche conformi alla normativa. </w:t>
      </w:r>
      <w:r>
        <w:rPr>
          <w:lang w:val="en-IE"/>
        </w:rPr>
        <w:t>Konkurrence og forbrugerstyrelsen(2022), Status for offentlig konkurrence 2022 (https://kfst.dk/media/jtvdhxbu/status-for-offentlig-konkurrence-2022.pdf).</w:t>
      </w:r>
    </w:p>
  </w:footnote>
  <w:footnote w:id="3">
    <w:p>
      <w:pPr>
        <w:pStyle w:val="FootnoteText"/>
      </w:pPr>
      <w:r>
        <w:rPr>
          <w:rStyle w:val="FootnoteReference"/>
        </w:rPr>
        <w:footnoteRef/>
      </w:r>
      <w:r>
        <w:t xml:space="preserve"> Valore attuale dei risparmi annuali nell'arco di un periodo di applicazione di sette anni, applicando un tasso di attualizzazione del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56B01"/>
    <w:multiLevelType w:val="hybridMultilevel"/>
    <w:tmpl w:val="2A288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7C6230"/>
    <w:multiLevelType w:val="hybridMultilevel"/>
    <w:tmpl w:val="2A288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3D337CF"/>
    <w:multiLevelType w:val="hybridMultilevel"/>
    <w:tmpl w:val="C0D42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7513D0A"/>
    <w:multiLevelType w:val="hybridMultilevel"/>
    <w:tmpl w:val="179E7E2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6A4090A"/>
    <w:multiLevelType w:val="hybridMultilevel"/>
    <w:tmpl w:val="C0D421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29334FF"/>
    <w:multiLevelType w:val="hybridMultilevel"/>
    <w:tmpl w:val="D5A0FFE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7CDA139E"/>
    <w:multiLevelType w:val="multilevel"/>
    <w:tmpl w:val="B3AAF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che accompagna il documento"/>
    <w:docVar w:name="LW_CORRIGENDUM" w:val="&lt;UNUSED&gt;"/>
    <w:docVar w:name="LW_COVERPAGE_EXISTS" w:val="True"/>
    <w:docVar w:name="LW_COVERPAGE_GUID" w:val="55E3844F-AEE3-4DE7-A045-397EA2C37C1B"/>
    <w:docVar w:name="LW_COVERPAGE_TYPE" w:val="1"/>
    <w:docVar w:name="LW_CROSSREFERENCE" w:val="{COM(2026) 590 final} - {SEC(2026) 590 final} - {SWD(2026) 590 final} - {SWD(2026) 591 final}"/>
    <w:docVar w:name="LW_DocType" w:val="NORMAL"/>
    <w:docVar w:name="LW_EMISSION" w:val="9.9.2026"/>
    <w:docVar w:name="LW_EMISSION_ISODATE" w:val="2026-09-09"/>
    <w:docVar w:name="LW_EMISSION_LOCATION" w:val="BRX"/>
    <w:docVar w:name="LW_EMISSION_PREFIX" w:val="Bruxelles, "/>
    <w:docVar w:name="LW_EMISSION_SUFFIX" w:val=" "/>
    <w:docVar w:name="LW_ID_DOCTYPE_NONLW" w:val="CP-027"/>
    <w:docVar w:name="LW_LANGUE" w:val="IT"/>
    <w:docVar w:name="LW_LEVEL_OF_SENSITIVITY" w:val="Standard treatment"/>
    <w:docVar w:name="LW_NOM.INST" w:val="COMMISSIONE EUROPEA"/>
    <w:docVar w:name="LW_NOM.INST_JOINTDOC" w:val="&lt;EMPTY&gt;"/>
    <w:docVar w:name="LW_OBJETACTEPRINCIPAL.CP" w:val="relativo agli appalti pubblici e alle concessioni, che abroga le direttive 2014/23/UE, 2014/24/UE e 2014/25/UE e modifica i regolamenti (CE) n. 1370/2007, (UE) 2023/1542, (UE) 2024/1157, (UE) 2024/1252, (UE) 2024/1735, (UE) 2024/1781, (UE) 2024/2847, (UE) 2024/3110 e (UE) 2025/40 e le direttive 2008/98/CE, (UE) 2019/882, (UE) 2022/2381, (UE) 2023/1791 e (UE) 2024/1760 (regolamento sugli appalti pubblici)"/>
    <w:docVar w:name="LW_PART_NBR" w:val="1"/>
    <w:docVar w:name="LW_PART_NBR_TOTAL" w:val="1"/>
    <w:docVar w:name="LW_REF.INST.NEW" w:val="SWD"/>
    <w:docVar w:name="LW_REF.INST.NEW_ADOPTED" w:val="final"/>
    <w:docVar w:name="LW_REF.INST.NEW_TEXT" w:val="(2026) 5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O DI LAVORO DEI SERVIZI DELLA COMMISSIONE_x000b__x000b_SINTESI DELLA RELAZIONE SULLA VALUTAZIONE D'IMPATTO_x000b_"/>
    <w:docVar w:name="LW_TYPEACTEPRINCIPAL.CP" w:val="Proposta di REGOLAMENTO DEL PARLAMENTO EUROPEO E DEL CONSIGLIO"/>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B854AECF-6042-4258-B90E-B016C849A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kern w:val="0"/>
      <w:szCs w:val="22"/>
      <w14:ligatures w14:val="none"/>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kern w:val="0"/>
      <w:szCs w:val="22"/>
      <w14:ligatures w14:val="none"/>
    </w:rPr>
  </w:style>
  <w:style w:type="paragraph" w:customStyle="1" w:styleId="Accompagnant">
    <w:name w:val="Accompagnant"/>
    <w:basedOn w:val="Normal"/>
    <w:next w:val="Normal"/>
    <w:pPr>
      <w:spacing w:after="240" w:line="240" w:lineRule="auto"/>
      <w:jc w:val="center"/>
    </w:pPr>
    <w:rPr>
      <w:rFonts w:ascii="Times New Roman" w:hAnsi="Times New Roman" w:cs="Times New Roman"/>
      <w:b/>
      <w:i/>
      <w:kern w:val="0"/>
      <w:szCs w:val="22"/>
      <w14:ligatures w14:val="none"/>
    </w:rPr>
  </w:style>
  <w:style w:type="paragraph" w:customStyle="1" w:styleId="Typeacteprincipal">
    <w:name w:val="Type acte principal"/>
    <w:basedOn w:val="Normal"/>
    <w:next w:val="Normal"/>
    <w:pPr>
      <w:spacing w:after="240" w:line="240" w:lineRule="auto"/>
      <w:jc w:val="center"/>
    </w:pPr>
    <w:rPr>
      <w:rFonts w:ascii="Times New Roman" w:hAnsi="Times New Roman" w:cs="Times New Roman"/>
      <w:b/>
      <w:kern w:val="0"/>
      <w:szCs w:val="22"/>
      <w14:ligatures w14:val="none"/>
    </w:rPr>
  </w:style>
  <w:style w:type="paragraph" w:customStyle="1" w:styleId="Objetacteprincipal">
    <w:name w:val="Objet acte principal"/>
    <w:basedOn w:val="Normal"/>
    <w:next w:val="Normal"/>
    <w:pPr>
      <w:spacing w:after="360" w:line="240" w:lineRule="auto"/>
      <w:jc w:val="center"/>
    </w:pPr>
    <w:rPr>
      <w:rFonts w:ascii="Times New Roman" w:hAnsi="Times New Roman" w:cs="Times New Roman"/>
      <w:b/>
      <w:kern w:val="0"/>
      <w:szCs w:val="22"/>
      <w14:ligatures w14:val="none"/>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3654">
      <w:bodyDiv w:val="1"/>
      <w:marLeft w:val="0"/>
      <w:marRight w:val="0"/>
      <w:marTop w:val="0"/>
      <w:marBottom w:val="0"/>
      <w:divBdr>
        <w:top w:val="none" w:sz="0" w:space="0" w:color="auto"/>
        <w:left w:val="none" w:sz="0" w:space="0" w:color="auto"/>
        <w:bottom w:val="none" w:sz="0" w:space="0" w:color="auto"/>
        <w:right w:val="none" w:sz="0" w:space="0" w:color="auto"/>
      </w:divBdr>
    </w:div>
    <w:div w:id="165437192">
      <w:bodyDiv w:val="1"/>
      <w:marLeft w:val="0"/>
      <w:marRight w:val="0"/>
      <w:marTop w:val="0"/>
      <w:marBottom w:val="0"/>
      <w:divBdr>
        <w:top w:val="none" w:sz="0" w:space="0" w:color="auto"/>
        <w:left w:val="none" w:sz="0" w:space="0" w:color="auto"/>
        <w:bottom w:val="none" w:sz="0" w:space="0" w:color="auto"/>
        <w:right w:val="none" w:sz="0" w:space="0" w:color="auto"/>
      </w:divBdr>
    </w:div>
    <w:div w:id="320888461">
      <w:bodyDiv w:val="1"/>
      <w:marLeft w:val="0"/>
      <w:marRight w:val="0"/>
      <w:marTop w:val="0"/>
      <w:marBottom w:val="0"/>
      <w:divBdr>
        <w:top w:val="none" w:sz="0" w:space="0" w:color="auto"/>
        <w:left w:val="none" w:sz="0" w:space="0" w:color="auto"/>
        <w:bottom w:val="none" w:sz="0" w:space="0" w:color="auto"/>
        <w:right w:val="none" w:sz="0" w:space="0" w:color="auto"/>
      </w:divBdr>
    </w:div>
    <w:div w:id="327363297">
      <w:bodyDiv w:val="1"/>
      <w:marLeft w:val="0"/>
      <w:marRight w:val="0"/>
      <w:marTop w:val="0"/>
      <w:marBottom w:val="0"/>
      <w:divBdr>
        <w:top w:val="none" w:sz="0" w:space="0" w:color="auto"/>
        <w:left w:val="none" w:sz="0" w:space="0" w:color="auto"/>
        <w:bottom w:val="none" w:sz="0" w:space="0" w:color="auto"/>
        <w:right w:val="none" w:sz="0" w:space="0" w:color="auto"/>
      </w:divBdr>
    </w:div>
    <w:div w:id="433865395">
      <w:bodyDiv w:val="1"/>
      <w:marLeft w:val="0"/>
      <w:marRight w:val="0"/>
      <w:marTop w:val="0"/>
      <w:marBottom w:val="0"/>
      <w:divBdr>
        <w:top w:val="none" w:sz="0" w:space="0" w:color="auto"/>
        <w:left w:val="none" w:sz="0" w:space="0" w:color="auto"/>
        <w:bottom w:val="none" w:sz="0" w:space="0" w:color="auto"/>
        <w:right w:val="none" w:sz="0" w:space="0" w:color="auto"/>
      </w:divBdr>
    </w:div>
    <w:div w:id="579407349">
      <w:bodyDiv w:val="1"/>
      <w:marLeft w:val="0"/>
      <w:marRight w:val="0"/>
      <w:marTop w:val="0"/>
      <w:marBottom w:val="0"/>
      <w:divBdr>
        <w:top w:val="none" w:sz="0" w:space="0" w:color="auto"/>
        <w:left w:val="none" w:sz="0" w:space="0" w:color="auto"/>
        <w:bottom w:val="none" w:sz="0" w:space="0" w:color="auto"/>
        <w:right w:val="none" w:sz="0" w:space="0" w:color="auto"/>
      </w:divBdr>
    </w:div>
    <w:div w:id="971983407">
      <w:bodyDiv w:val="1"/>
      <w:marLeft w:val="0"/>
      <w:marRight w:val="0"/>
      <w:marTop w:val="0"/>
      <w:marBottom w:val="0"/>
      <w:divBdr>
        <w:top w:val="none" w:sz="0" w:space="0" w:color="auto"/>
        <w:left w:val="none" w:sz="0" w:space="0" w:color="auto"/>
        <w:bottom w:val="none" w:sz="0" w:space="0" w:color="auto"/>
        <w:right w:val="none" w:sz="0" w:space="0" w:color="auto"/>
      </w:divBdr>
    </w:div>
    <w:div w:id="1017391482">
      <w:bodyDiv w:val="1"/>
      <w:marLeft w:val="0"/>
      <w:marRight w:val="0"/>
      <w:marTop w:val="0"/>
      <w:marBottom w:val="0"/>
      <w:divBdr>
        <w:top w:val="none" w:sz="0" w:space="0" w:color="auto"/>
        <w:left w:val="none" w:sz="0" w:space="0" w:color="auto"/>
        <w:bottom w:val="none" w:sz="0" w:space="0" w:color="auto"/>
        <w:right w:val="none" w:sz="0" w:space="0" w:color="auto"/>
      </w:divBdr>
    </w:div>
    <w:div w:id="1032683084">
      <w:bodyDiv w:val="1"/>
      <w:marLeft w:val="0"/>
      <w:marRight w:val="0"/>
      <w:marTop w:val="0"/>
      <w:marBottom w:val="0"/>
      <w:divBdr>
        <w:top w:val="none" w:sz="0" w:space="0" w:color="auto"/>
        <w:left w:val="none" w:sz="0" w:space="0" w:color="auto"/>
        <w:bottom w:val="none" w:sz="0" w:space="0" w:color="auto"/>
        <w:right w:val="none" w:sz="0" w:space="0" w:color="auto"/>
      </w:divBdr>
    </w:div>
    <w:div w:id="1062486560">
      <w:bodyDiv w:val="1"/>
      <w:marLeft w:val="0"/>
      <w:marRight w:val="0"/>
      <w:marTop w:val="0"/>
      <w:marBottom w:val="0"/>
      <w:divBdr>
        <w:top w:val="none" w:sz="0" w:space="0" w:color="auto"/>
        <w:left w:val="none" w:sz="0" w:space="0" w:color="auto"/>
        <w:bottom w:val="none" w:sz="0" w:space="0" w:color="auto"/>
        <w:right w:val="none" w:sz="0" w:space="0" w:color="auto"/>
      </w:divBdr>
    </w:div>
    <w:div w:id="1214807123">
      <w:bodyDiv w:val="1"/>
      <w:marLeft w:val="0"/>
      <w:marRight w:val="0"/>
      <w:marTop w:val="0"/>
      <w:marBottom w:val="0"/>
      <w:divBdr>
        <w:top w:val="none" w:sz="0" w:space="0" w:color="auto"/>
        <w:left w:val="none" w:sz="0" w:space="0" w:color="auto"/>
        <w:bottom w:val="none" w:sz="0" w:space="0" w:color="auto"/>
        <w:right w:val="none" w:sz="0" w:space="0" w:color="auto"/>
      </w:divBdr>
    </w:div>
    <w:div w:id="1234581212">
      <w:bodyDiv w:val="1"/>
      <w:marLeft w:val="0"/>
      <w:marRight w:val="0"/>
      <w:marTop w:val="0"/>
      <w:marBottom w:val="0"/>
      <w:divBdr>
        <w:top w:val="none" w:sz="0" w:space="0" w:color="auto"/>
        <w:left w:val="none" w:sz="0" w:space="0" w:color="auto"/>
        <w:bottom w:val="none" w:sz="0" w:space="0" w:color="auto"/>
        <w:right w:val="none" w:sz="0" w:space="0" w:color="auto"/>
      </w:divBdr>
    </w:div>
    <w:div w:id="1369138988">
      <w:bodyDiv w:val="1"/>
      <w:marLeft w:val="0"/>
      <w:marRight w:val="0"/>
      <w:marTop w:val="0"/>
      <w:marBottom w:val="0"/>
      <w:divBdr>
        <w:top w:val="none" w:sz="0" w:space="0" w:color="auto"/>
        <w:left w:val="none" w:sz="0" w:space="0" w:color="auto"/>
        <w:bottom w:val="none" w:sz="0" w:space="0" w:color="auto"/>
        <w:right w:val="none" w:sz="0" w:space="0" w:color="auto"/>
      </w:divBdr>
    </w:div>
    <w:div w:id="1422408194">
      <w:bodyDiv w:val="1"/>
      <w:marLeft w:val="0"/>
      <w:marRight w:val="0"/>
      <w:marTop w:val="0"/>
      <w:marBottom w:val="0"/>
      <w:divBdr>
        <w:top w:val="none" w:sz="0" w:space="0" w:color="auto"/>
        <w:left w:val="none" w:sz="0" w:space="0" w:color="auto"/>
        <w:bottom w:val="none" w:sz="0" w:space="0" w:color="auto"/>
        <w:right w:val="none" w:sz="0" w:space="0" w:color="auto"/>
      </w:divBdr>
    </w:div>
    <w:div w:id="1452018467">
      <w:bodyDiv w:val="1"/>
      <w:marLeft w:val="0"/>
      <w:marRight w:val="0"/>
      <w:marTop w:val="0"/>
      <w:marBottom w:val="0"/>
      <w:divBdr>
        <w:top w:val="none" w:sz="0" w:space="0" w:color="auto"/>
        <w:left w:val="none" w:sz="0" w:space="0" w:color="auto"/>
        <w:bottom w:val="none" w:sz="0" w:space="0" w:color="auto"/>
        <w:right w:val="none" w:sz="0" w:space="0" w:color="auto"/>
      </w:divBdr>
    </w:div>
    <w:div w:id="1646423551">
      <w:bodyDiv w:val="1"/>
      <w:marLeft w:val="0"/>
      <w:marRight w:val="0"/>
      <w:marTop w:val="0"/>
      <w:marBottom w:val="0"/>
      <w:divBdr>
        <w:top w:val="none" w:sz="0" w:space="0" w:color="auto"/>
        <w:left w:val="none" w:sz="0" w:space="0" w:color="auto"/>
        <w:bottom w:val="none" w:sz="0" w:space="0" w:color="auto"/>
        <w:right w:val="none" w:sz="0" w:space="0" w:color="auto"/>
      </w:divBdr>
    </w:div>
    <w:div w:id="1687828414">
      <w:bodyDiv w:val="1"/>
      <w:marLeft w:val="0"/>
      <w:marRight w:val="0"/>
      <w:marTop w:val="0"/>
      <w:marBottom w:val="0"/>
      <w:divBdr>
        <w:top w:val="none" w:sz="0" w:space="0" w:color="auto"/>
        <w:left w:val="none" w:sz="0" w:space="0" w:color="auto"/>
        <w:bottom w:val="none" w:sz="0" w:space="0" w:color="auto"/>
        <w:right w:val="none" w:sz="0" w:space="0" w:color="auto"/>
      </w:divBdr>
    </w:div>
    <w:div w:id="1722904693">
      <w:bodyDiv w:val="1"/>
      <w:marLeft w:val="0"/>
      <w:marRight w:val="0"/>
      <w:marTop w:val="0"/>
      <w:marBottom w:val="0"/>
      <w:divBdr>
        <w:top w:val="none" w:sz="0" w:space="0" w:color="auto"/>
        <w:left w:val="none" w:sz="0" w:space="0" w:color="auto"/>
        <w:bottom w:val="none" w:sz="0" w:space="0" w:color="auto"/>
        <w:right w:val="none" w:sz="0" w:space="0" w:color="auto"/>
      </w:divBdr>
    </w:div>
    <w:div w:id="17994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5SC03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5EE45F8DC0B644B5825DBF4095647B" ma:contentTypeVersion="3" ma:contentTypeDescription="Create a new document." ma:contentTypeScope="" ma:versionID="833e3f3f59f1e7910dde1f6638efe347">
  <xsd:schema xmlns:xsd="http://www.w3.org/2001/XMLSchema" xmlns:xs="http://www.w3.org/2001/XMLSchema" xmlns:p="http://schemas.microsoft.com/office/2006/metadata/properties" xmlns:ns2="49547bc3-3de4-4453-ad16-3741e3d773cc" targetNamespace="http://schemas.microsoft.com/office/2006/metadata/properties" ma:root="true" ma:fieldsID="bcde0c1dfcc8a2c8a4dbd98489207be8" ns2:_="">
    <xsd:import namespace="49547bc3-3de4-4453-ad16-3741e3d773c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7bc3-3de4-4453-ad16-3741e3d77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12A54-295F-463B-891F-73B44FC75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7bc3-3de4-4453-ad16-3741e3d77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63E4DD-528C-4574-B5C5-7FD843D41263}">
  <ds:schemaRefs>
    <ds:schemaRef ds:uri="http://schemas.microsoft.com/sharepoint/v3/contenttype/forms"/>
  </ds:schemaRefs>
</ds:datastoreItem>
</file>

<file path=customXml/itemProps3.xml><?xml version="1.0" encoding="utf-8"?>
<ds:datastoreItem xmlns:ds="http://schemas.openxmlformats.org/officeDocument/2006/customXml" ds:itemID="{ED532973-D589-4A28-BBDC-8006261CD5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02505C-6F43-4571-9C65-864802187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2165</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15</cp:revision>
  <cp:lastPrinted>2026-03-20T09:56:00Z</cp:lastPrinted>
  <dcterms:created xsi:type="dcterms:W3CDTF">2026-09-02T08:27:00Z</dcterms:created>
  <dcterms:modified xsi:type="dcterms:W3CDTF">2026-10-24T09:05:00Z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2026-03-09T10:44:48Z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39b90def-f197-4f41-ad06-c621d1b7c1ee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0x010100545EE45F8DC0B644B5825DBF4095647B</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y fmtid="{D5CDD505-2E9C-101B-9397-08002B2CF9AE}" pid="16" name="Last edited using">
    <vt:lpwstr>LW 9.2, Build 20250828</vt:lpwstr>
  </property>
  <property fmtid="{D5CDD505-2E9C-101B-9397-08002B2CF9AE}" pid="17" name="Created using">
    <vt:lpwstr>LW 9.2, Build 20250828</vt:lpwstr>
  </property>
</Properties>
</file>