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A8561D69D16447DA494CFD76DCBF57D"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ANEXO</w:t>
      </w:r>
    </w:p>
    <w:p>
      <w:pPr>
        <w:pStyle w:val="Accompagnant"/>
        <w:rPr>
          <w:noProof/>
        </w:rPr>
      </w:pPr>
      <w:r>
        <w:rPr>
          <w:noProof/>
        </w:rPr>
        <w:t>de la</w:t>
      </w:r>
    </w:p>
    <w:p>
      <w:pPr>
        <w:pStyle w:val="Typeacteprincipal"/>
        <w:rPr>
          <w:noProof/>
        </w:rPr>
      </w:pPr>
      <w:r>
        <w:rPr>
          <w:noProof/>
        </w:rPr>
        <w:t xml:space="preserve">Propuesta de Decisión del Consejo </w:t>
      </w:r>
    </w:p>
    <w:p>
      <w:pPr>
        <w:pStyle w:val="Objetacteprincipal"/>
        <w:rPr>
          <w:noProof/>
        </w:rPr>
      </w:pPr>
      <w:r>
        <w:rPr>
          <w:noProof/>
        </w:rPr>
        <w:t>relativa a la firma, en nombre de la Unión, y la aplicación provisional del Acuerdo entre la Unión Europea y Santa Lucía sobre exención de visados para estancias de corta duración</w:t>
      </w:r>
    </w:p>
    <w:p>
      <w:pPr>
        <w:jc w:val="center"/>
        <w:rPr>
          <w:b/>
          <w:noProof/>
          <w:sz w:val="32"/>
          <w:szCs w:val="32"/>
        </w:rPr>
      </w:pPr>
      <w:r>
        <w:rPr>
          <w:noProof/>
        </w:rPr>
        <w:br w:type="page"/>
      </w:r>
      <w:r>
        <w:rPr>
          <w:b/>
          <w:noProof/>
          <w:sz w:val="32"/>
        </w:rPr>
        <w:lastRenderedPageBreak/>
        <w:t>ACUERDO</w:t>
      </w:r>
    </w:p>
    <w:p>
      <w:pPr>
        <w:jc w:val="center"/>
        <w:rPr>
          <w:b/>
          <w:noProof/>
          <w:sz w:val="32"/>
          <w:szCs w:val="32"/>
        </w:rPr>
      </w:pPr>
      <w:r>
        <w:rPr>
          <w:b/>
          <w:noProof/>
          <w:sz w:val="32"/>
        </w:rPr>
        <w:t>entre la Unión Europea y Santa Lucía sobre exención de visados para estancias de corta duración</w:t>
      </w:r>
    </w:p>
    <w:p>
      <w:pPr>
        <w:rPr>
          <w:noProof/>
        </w:rPr>
      </w:pPr>
    </w:p>
    <w:p>
      <w:pPr>
        <w:rPr>
          <w:noProof/>
        </w:rPr>
      </w:pPr>
      <w:r>
        <w:rPr>
          <w:noProof/>
        </w:rPr>
        <w:t>LA UNIÓN EUROPEA, en lo sucesivo denominada «la Unión», y</w:t>
      </w:r>
    </w:p>
    <w:p>
      <w:pPr>
        <w:rPr>
          <w:noProof/>
        </w:rPr>
      </w:pPr>
      <w:r>
        <w:rPr>
          <w:noProof/>
        </w:rPr>
        <w:t>SANTA LUCÍA, en lo sucesivo denominadas conjuntamente «las Partes Contratantes»,</w:t>
      </w:r>
    </w:p>
    <w:p>
      <w:pPr>
        <w:rPr>
          <w:noProof/>
        </w:rPr>
      </w:pPr>
      <w:r>
        <w:rPr>
          <w:noProof/>
        </w:rPr>
        <w:t>CON OBJETO DE fomentar el desarrollo de relaciones amistosas entre las Partes Contratantes y de facilitar los viajes de sus ciudadanos mediante la exención de visados de entrada y para estancias de corta duración;</w:t>
      </w:r>
    </w:p>
    <w:p>
      <w:pPr>
        <w:rPr>
          <w:noProof/>
        </w:rPr>
      </w:pPr>
      <w:r>
        <w:rPr>
          <w:noProof/>
        </w:rPr>
        <w:t>VISTO el Reglamento (UE) nº 509/2014 del Parlamento Europeo y del Consejo, de 15 de mayo de 2014, que modifica el Reglamento (CE) nº 539/2001 del Consejo por el que se establecen la lista de terceros países cuyos nacionales están sometidos a la obligación de visado para cruzar las fronteras exteriores y la lista de terceros países cuyos nacionales están exentos de esa obligación mediante, entre otras cosas, la transferencia de 19 terceros países, incluido Santa Lucía, a la lista de terceros países cuyos nacionales están exentos de la obligación de visado para estancias de corta duración en los Estados miembros de la Unión Europea (UE);</w:t>
      </w:r>
    </w:p>
    <w:p>
      <w:pPr>
        <w:rPr>
          <w:noProof/>
        </w:rPr>
      </w:pPr>
      <w:r>
        <w:rPr>
          <w:noProof/>
        </w:rPr>
        <w:t>TENIENDO EN CUENTA que el artículo 1 del Reglamento (UE) nº 509/2014 establece que para estos 19 países se debe aplicar la exención de la obligación de visado solamente a partir de la fecha de entrada en vigor de un acuerdo sobre exención de visados que debe ser celebrado con la Unión Europea;</w:t>
      </w:r>
    </w:p>
    <w:p>
      <w:pPr>
        <w:rPr>
          <w:noProof/>
        </w:rPr>
      </w:pPr>
      <w:r>
        <w:rPr>
          <w:noProof/>
        </w:rPr>
        <w:t>DESEANDO salvaguardar el principio de igualdad de trato de todos los ciudadanos de la UE;</w:t>
      </w:r>
    </w:p>
    <w:p>
      <w:pPr>
        <w:rPr>
          <w:noProof/>
        </w:rPr>
      </w:pPr>
      <w:r>
        <w:rPr>
          <w:noProof/>
        </w:rPr>
        <w:t>TENIENDO EN CUENTA que las personas que viajan con el fin de desarrollar una actividad remunerada durante su estancia de corta duración no están cubiertas por el presente Acuerdo y que, por lo tanto, para esta categoría siguen siendo aplicables las normas pertinentes del Derecho de la Unión y nacional de los Estados miembros, así como del Derecho nacional de Santa Lucía, relativas a la obligación o exención de visado y al acceso al empleo;</w:t>
      </w:r>
    </w:p>
    <w:p>
      <w:pPr>
        <w:rPr>
          <w:noProof/>
        </w:rPr>
      </w:pPr>
      <w:r>
        <w:rPr>
          <w:noProof/>
        </w:rPr>
        <w:t>TENIENDO EN CUENTA el Protocolo sobre la posición del Reino Unido y de Irlanda respecto del espacio de libertad, seguridad y justicia, y el Protocolo sobre el acervo de Schengen integrado en el marco de la Unión Europea, anexos al Tratado de la Unión Europea y al Tratado de Funcionamiento de la Unión Europea, y confirmando que las disposiciones del presente Acuerdo no se aplican al Reino Unido ni a Irlanda,</w:t>
      </w:r>
    </w:p>
    <w:p>
      <w:pPr>
        <w:rPr>
          <w:noProof/>
        </w:rPr>
      </w:pPr>
      <w:r>
        <w:rPr>
          <w:noProof/>
        </w:rPr>
        <w:t>HAN CONVENIDO EN LO SIGUIENTE:</w:t>
      </w:r>
    </w:p>
    <w:p>
      <w:pPr>
        <w:rPr>
          <w:noProof/>
        </w:rPr>
      </w:pPr>
      <w:r>
        <w:rPr>
          <w:noProof/>
        </w:rPr>
        <w:t>Artículo 1</w:t>
      </w:r>
    </w:p>
    <w:p>
      <w:pPr>
        <w:rPr>
          <w:noProof/>
        </w:rPr>
      </w:pPr>
      <w:r>
        <w:rPr>
          <w:noProof/>
        </w:rPr>
        <w:t>Objeto</w:t>
      </w:r>
    </w:p>
    <w:p>
      <w:pPr>
        <w:rPr>
          <w:noProof/>
        </w:rPr>
      </w:pPr>
      <w:r>
        <w:rPr>
          <w:noProof/>
        </w:rPr>
        <w:t>El presente Acuerdo establece la exención de visados para los ciudadanos de la Unión Europea y para los ciudadanos de Santa Lucía que viajen al territorio de la otra Parte Contratante durante un período máximo de 90 días en el plazo de 180 días.</w:t>
      </w:r>
    </w:p>
    <w:p>
      <w:pPr>
        <w:rPr>
          <w:noProof/>
        </w:rPr>
      </w:pPr>
      <w:r>
        <w:rPr>
          <w:noProof/>
        </w:rPr>
        <w:t>Artículo 2</w:t>
      </w:r>
    </w:p>
    <w:p>
      <w:pPr>
        <w:rPr>
          <w:noProof/>
        </w:rPr>
      </w:pPr>
      <w:r>
        <w:rPr>
          <w:noProof/>
        </w:rPr>
        <w:t>Definiciones</w:t>
      </w:r>
    </w:p>
    <w:p>
      <w:pPr>
        <w:rPr>
          <w:noProof/>
        </w:rPr>
      </w:pPr>
      <w:r>
        <w:rPr>
          <w:noProof/>
        </w:rPr>
        <w:t>A los efectos del presente Acuerdo, se entenderá por:</w:t>
      </w:r>
    </w:p>
    <w:p>
      <w:pPr>
        <w:rPr>
          <w:noProof/>
        </w:rPr>
      </w:pPr>
      <w:r>
        <w:rPr>
          <w:noProof/>
        </w:rPr>
        <w:lastRenderedPageBreak/>
        <w:t>a) «Estado miembro»: cualquier Estado miembro de la Unión Europea, salvo el Reino Unido e Irlanda;</w:t>
      </w:r>
    </w:p>
    <w:p>
      <w:pPr>
        <w:rPr>
          <w:noProof/>
        </w:rPr>
      </w:pPr>
      <w:r>
        <w:rPr>
          <w:noProof/>
        </w:rPr>
        <w:t>b) «ciudadano de la Unión Europea»: todo nacional de un Estado miembro según lo dispuesto en la letra a);</w:t>
      </w:r>
    </w:p>
    <w:p>
      <w:pPr>
        <w:rPr>
          <w:noProof/>
        </w:rPr>
      </w:pPr>
      <w:r>
        <w:rPr>
          <w:noProof/>
        </w:rPr>
        <w:t>c) «ciudadano de Santa Lucía»: todo nacional de Santa Lucía;</w:t>
      </w:r>
    </w:p>
    <w:p>
      <w:pPr>
        <w:rPr>
          <w:noProof/>
        </w:rPr>
      </w:pPr>
      <w:r>
        <w:rPr>
          <w:noProof/>
        </w:rPr>
        <w:t>d) «espacio Schengen»: el espacio sin fronteras internas que comprende los territorios de los Estados miembros, según lo definido en la letra a), que aplican íntegramente el acervo de Schengen.</w:t>
      </w:r>
    </w:p>
    <w:p>
      <w:pPr>
        <w:rPr>
          <w:noProof/>
        </w:rPr>
      </w:pPr>
      <w:r>
        <w:rPr>
          <w:noProof/>
        </w:rPr>
        <w:t>Artículo 3</w:t>
      </w:r>
    </w:p>
    <w:p>
      <w:pPr>
        <w:rPr>
          <w:noProof/>
        </w:rPr>
      </w:pPr>
      <w:r>
        <w:rPr>
          <w:noProof/>
        </w:rPr>
        <w:t>Ámbito de aplicación</w:t>
      </w:r>
    </w:p>
    <w:p>
      <w:pPr>
        <w:rPr>
          <w:noProof/>
        </w:rPr>
      </w:pPr>
      <w:r>
        <w:rPr>
          <w:noProof/>
        </w:rPr>
        <w:t>1. Los ciudadanos de la Unión Europea titulares de un pasaporte ordinario, diplomático, de servicio, oficial o especial válido expedido por un Estado miembro podrán entrar y permanecer sin visado en el territorio de Santa Lucía durante el período de estancia mencionado en el artículo 4, apartado 1.</w:t>
      </w:r>
    </w:p>
    <w:p>
      <w:pPr>
        <w:rPr>
          <w:noProof/>
        </w:rPr>
      </w:pPr>
      <w:r>
        <w:rPr>
          <w:noProof/>
        </w:rPr>
        <w:t>Los ciudadanos de Santa Lucía titulares de un pasaporte ordinario, diplomático, de servicio, oficial o especial válido expedido por Santa Lucía podrán entrar y permanecer sin visado en el territorio de los Estados miembros durante el período de estancia mencionado en el artículo 4, apartado 2.</w:t>
      </w:r>
    </w:p>
    <w:p>
      <w:pPr>
        <w:rPr>
          <w:noProof/>
        </w:rPr>
      </w:pPr>
      <w:r>
        <w:rPr>
          <w:noProof/>
        </w:rPr>
        <w:t>2. El apartado 1 no se aplicará a las personas que viajen con intención de ejercer una actividad remunerada.</w:t>
      </w:r>
    </w:p>
    <w:p>
      <w:pPr>
        <w:rPr>
          <w:noProof/>
        </w:rPr>
      </w:pPr>
      <w:r>
        <w:rPr>
          <w:noProof/>
        </w:rPr>
        <w:t>Para esta categoría de personas, cada Estado miembro podrá decidir individualmente imponer la obligación de visado a los ciudadanos de Santa Lucía o eximirles de la misma con arreglo al artículo 4, apartado 3, del Reglamento (CE) nº 539/2001.</w:t>
      </w:r>
    </w:p>
    <w:p>
      <w:pPr>
        <w:rPr>
          <w:noProof/>
        </w:rPr>
      </w:pPr>
      <w:r>
        <w:rPr>
          <w:noProof/>
        </w:rPr>
        <w:t>Para esta categoría de personas, Santa Lucía podrá decidir sobre la obligación de visado o sobre la exención de visado para los ciudadanos de cada Estado miembro individualmente, de conformidad con su Derecho nacional.</w:t>
      </w:r>
    </w:p>
    <w:p>
      <w:pPr>
        <w:rPr>
          <w:noProof/>
        </w:rPr>
      </w:pPr>
      <w:r>
        <w:rPr>
          <w:noProof/>
        </w:rPr>
        <w:t>3. La exención de visado establecida por el presente Acuerdo se aplicará sin perjuicio de la legislación de las Partes Contratantes relativa a las condiciones de entrada y estancia de corta duración. Los Estados miembros y Santa Lucía se reservan el derecho a rechazar la entrada y la estancia de corta duración en sus territorios si no se cumple una o más de estas condiciones.</w:t>
      </w:r>
    </w:p>
    <w:p>
      <w:pPr>
        <w:rPr>
          <w:noProof/>
        </w:rPr>
      </w:pPr>
      <w:r>
        <w:rPr>
          <w:noProof/>
        </w:rPr>
        <w:t>4. La exención de visado se aplicará independientemente del modo de transporte utilizado para cruzar las fronteras de las Partes Contratantes.</w:t>
      </w:r>
    </w:p>
    <w:p>
      <w:pPr>
        <w:rPr>
          <w:noProof/>
        </w:rPr>
      </w:pPr>
      <w:r>
        <w:rPr>
          <w:noProof/>
        </w:rPr>
        <w:t>5. Las materias no reguladas por el presente Acuerdo se regirán por el Derecho de la Unión, el Derecho nacional de los Estados miembros y el Derecho nacional de Santa Lucía.</w:t>
      </w:r>
    </w:p>
    <w:p>
      <w:pPr>
        <w:rPr>
          <w:noProof/>
        </w:rPr>
      </w:pPr>
      <w:r>
        <w:rPr>
          <w:noProof/>
        </w:rPr>
        <w:t>Artículo 4</w:t>
      </w:r>
    </w:p>
    <w:p>
      <w:pPr>
        <w:rPr>
          <w:noProof/>
        </w:rPr>
      </w:pPr>
      <w:r>
        <w:rPr>
          <w:noProof/>
        </w:rPr>
        <w:t>Duración de la estancia</w:t>
      </w:r>
    </w:p>
    <w:p>
      <w:pPr>
        <w:rPr>
          <w:noProof/>
        </w:rPr>
      </w:pPr>
      <w:r>
        <w:rPr>
          <w:noProof/>
        </w:rPr>
        <w:t>1. Los ciudadanos de la Unión Europea podrán permanecer en el territorio de Santa Lucía durante un período máximo de 90 días por período de 180 días.</w:t>
      </w:r>
    </w:p>
    <w:p>
      <w:pPr>
        <w:rPr>
          <w:noProof/>
        </w:rPr>
      </w:pPr>
      <w:r>
        <w:rPr>
          <w:noProof/>
        </w:rPr>
        <w:t>2. Los ciudadanos de Santa Lucía podrán permanecer en el territorio de los Estados miembros que apliquen íntegramente el acervo de Schengen durante un período máximo de 90 días por período de 180 días. Este período se calculará independientemente de cualquier estancia en un Estado miembro que todavía no aplique íntegramente el acervo de Schengen.</w:t>
      </w:r>
    </w:p>
    <w:p>
      <w:pPr>
        <w:rPr>
          <w:noProof/>
        </w:rPr>
      </w:pPr>
      <w:r>
        <w:rPr>
          <w:noProof/>
        </w:rPr>
        <w:lastRenderedPageBreak/>
        <w:t>Los ciudadanos de Santa Lucía podrán permanecer durante un período máximo de 90 días por período de 180 días en el territorio de cada uno de los Estados miembros que todavía no apliquen íntegramente el acervo de Schengen, independientemente del período de estancia calculado para el territorio de los Estados miembros que aplican íntegramente el acervo de Schengen.</w:t>
      </w:r>
    </w:p>
    <w:p>
      <w:pPr>
        <w:rPr>
          <w:noProof/>
        </w:rPr>
      </w:pPr>
      <w:r>
        <w:rPr>
          <w:noProof/>
        </w:rPr>
        <w:t>3. El presente Acuerdo no afecta a la facultad de Santa Lucía y de los Estados miembros para prorrogar más de 90 días el período de estancia, de conformidad con el Derecho nacional y con el Derecho de la Unión.</w:t>
      </w:r>
    </w:p>
    <w:p>
      <w:pPr>
        <w:rPr>
          <w:noProof/>
        </w:rPr>
      </w:pPr>
      <w:r>
        <w:rPr>
          <w:noProof/>
        </w:rPr>
        <w:t>Artículo 5</w:t>
      </w:r>
    </w:p>
    <w:p>
      <w:pPr>
        <w:rPr>
          <w:noProof/>
        </w:rPr>
      </w:pPr>
      <w:r>
        <w:rPr>
          <w:noProof/>
        </w:rPr>
        <w:t>Aplicación territorial</w:t>
      </w:r>
    </w:p>
    <w:p>
      <w:pPr>
        <w:rPr>
          <w:noProof/>
        </w:rPr>
      </w:pPr>
      <w:r>
        <w:rPr>
          <w:noProof/>
        </w:rPr>
        <w:t>1. Por lo que se refiere a la República Francesa, las disposiciones del presente Acuerdo se aplicarán solamente al territorio europeo de la República Francesa.</w:t>
      </w:r>
    </w:p>
    <w:p>
      <w:pPr>
        <w:rPr>
          <w:noProof/>
        </w:rPr>
      </w:pPr>
      <w:r>
        <w:rPr>
          <w:noProof/>
        </w:rPr>
        <w:t>2. Por lo que se refiere al Reino de los Países Bajos, las disposiciones del presente Acuerdo se aplicarán solamente al territorio europeo del Reino de los Países Bajos.</w:t>
      </w:r>
    </w:p>
    <w:p>
      <w:pPr>
        <w:rPr>
          <w:noProof/>
        </w:rPr>
      </w:pPr>
      <w:r>
        <w:rPr>
          <w:noProof/>
        </w:rPr>
        <w:t>Artículo 6</w:t>
      </w:r>
    </w:p>
    <w:p>
      <w:pPr>
        <w:rPr>
          <w:noProof/>
        </w:rPr>
      </w:pPr>
      <w:r>
        <w:rPr>
          <w:noProof/>
        </w:rPr>
        <w:t>Comité Mixto para la gestión del Acuerdo</w:t>
      </w:r>
    </w:p>
    <w:p>
      <w:pPr>
        <w:rPr>
          <w:noProof/>
        </w:rPr>
      </w:pPr>
      <w:r>
        <w:rPr>
          <w:noProof/>
        </w:rPr>
        <w:t>1. Las Partes Contratantes crearán un Comité Mixto de Expertos (en lo sucesivo denominado «el Comité»), integrado por representantes de la Unión Europea y representantes de Santa Lucía. La Unión estará representada por la Comisión Europea.</w:t>
      </w:r>
    </w:p>
    <w:p>
      <w:pPr>
        <w:rPr>
          <w:noProof/>
        </w:rPr>
      </w:pPr>
      <w:r>
        <w:rPr>
          <w:noProof/>
        </w:rPr>
        <w:t>2. Entre otros, el Comité tendrá los siguientes cometidos:</w:t>
      </w:r>
    </w:p>
    <w:p>
      <w:pPr>
        <w:rPr>
          <w:noProof/>
        </w:rPr>
      </w:pPr>
      <w:r>
        <w:rPr>
          <w:noProof/>
        </w:rPr>
        <w:t>a) hacer un seguimiento de la aplicación del presente Acuerdo;</w:t>
      </w:r>
    </w:p>
    <w:p>
      <w:pPr>
        <w:rPr>
          <w:noProof/>
        </w:rPr>
      </w:pPr>
      <w:r>
        <w:rPr>
          <w:noProof/>
        </w:rPr>
        <w:t>b) proponer modificaciones o adiciones al presente Acuerdo;</w:t>
      </w:r>
    </w:p>
    <w:p>
      <w:pPr>
        <w:rPr>
          <w:noProof/>
        </w:rPr>
      </w:pPr>
      <w:r>
        <w:rPr>
          <w:noProof/>
        </w:rPr>
        <w:t>c) formular recomendaciones para resolver las controversias que surjan de la interpretación o aplicación de las disposiciones del presente Acuerdo.</w:t>
      </w:r>
    </w:p>
    <w:p>
      <w:pPr>
        <w:rPr>
          <w:noProof/>
        </w:rPr>
      </w:pPr>
      <w:r>
        <w:rPr>
          <w:noProof/>
        </w:rPr>
        <w:t>3. En caso necesario, el Comité se reunirá a petición de una de las Partes Contratantes.</w:t>
      </w:r>
    </w:p>
    <w:p>
      <w:pPr>
        <w:rPr>
          <w:noProof/>
        </w:rPr>
      </w:pPr>
      <w:r>
        <w:rPr>
          <w:noProof/>
        </w:rPr>
        <w:t>4. El Comité aprobará su reglamento interno.</w:t>
      </w:r>
    </w:p>
    <w:p>
      <w:pPr>
        <w:rPr>
          <w:noProof/>
        </w:rPr>
      </w:pPr>
      <w:r>
        <w:rPr>
          <w:noProof/>
        </w:rPr>
        <w:t>Artículo 7</w:t>
      </w:r>
    </w:p>
    <w:p>
      <w:pPr>
        <w:rPr>
          <w:noProof/>
        </w:rPr>
      </w:pPr>
      <w:r>
        <w:rPr>
          <w:noProof/>
        </w:rPr>
        <w:t>Relación entre el presente Acuerdo y otros acuerdos bilaterales de exención de visados existentes entre los Estados miembros y Santa Lucía</w:t>
      </w:r>
    </w:p>
    <w:p>
      <w:pPr>
        <w:rPr>
          <w:noProof/>
        </w:rPr>
      </w:pPr>
      <w:r>
        <w:rPr>
          <w:noProof/>
        </w:rPr>
        <w:t>El presente Acuerdo tendrá precedencia sobre las disposiciones de cualquier acuerdo o arreglo bilateral celebrado entre Estados miembros individuales y Santa Lucía, siempre que sus disposiciones cubran asuntos contemplados por el presente Acuerdo.</w:t>
      </w:r>
    </w:p>
    <w:p>
      <w:pPr>
        <w:rPr>
          <w:noProof/>
        </w:rPr>
      </w:pPr>
      <w:r>
        <w:rPr>
          <w:noProof/>
        </w:rPr>
        <w:t>Artículo 8</w:t>
      </w:r>
    </w:p>
    <w:p>
      <w:pPr>
        <w:rPr>
          <w:noProof/>
        </w:rPr>
      </w:pPr>
      <w:r>
        <w:rPr>
          <w:noProof/>
        </w:rPr>
        <w:t>Disposiciones finales</w:t>
      </w:r>
    </w:p>
    <w:p>
      <w:pPr>
        <w:rPr>
          <w:noProof/>
        </w:rPr>
      </w:pPr>
      <w:r>
        <w:rPr>
          <w:noProof/>
        </w:rPr>
        <w:t>1. El presente Acuerdo será ratificado o aprobado por las Partes Contratantes de acuerdo con sus respectivos procedimientos internos y entrará en vigor el primer día del segundo mes siguiente a la fecha de la última de las dos notificaciones por las que las Partes Contratantes se notifiquen mutuamente la conclusión de los citados procedimientos.</w:t>
      </w:r>
    </w:p>
    <w:p>
      <w:pPr>
        <w:rPr>
          <w:noProof/>
        </w:rPr>
      </w:pPr>
      <w:r>
        <w:rPr>
          <w:noProof/>
        </w:rPr>
        <w:t>2. El presente Acuerdo se celebra por un plazo indeterminado, salvo que se resuelva de acuerdo con lo establecido en el apartado 5.</w:t>
      </w:r>
    </w:p>
    <w:p>
      <w:pPr>
        <w:rPr>
          <w:noProof/>
        </w:rPr>
      </w:pPr>
      <w:r>
        <w:rPr>
          <w:noProof/>
        </w:rPr>
        <w:lastRenderedPageBreak/>
        <w:t>3. El presente Acuerdo podrá ser modificado por acuerdo escrito de las Partes Contratantes. Tales modificaciones entrarán en vigor una vez que las Partes Contratantes se hayan notificado mutuamente la conclusión de los procedimientos internos necesarios al efecto.</w:t>
      </w:r>
    </w:p>
    <w:p>
      <w:pPr>
        <w:rPr>
          <w:noProof/>
        </w:rPr>
      </w:pPr>
      <w:r>
        <w:rPr>
          <w:noProof/>
        </w:rPr>
        <w:t>4. Cada Parte Contratante podrá suspender total o parcialmente el presente Acuerdo, en especial por razones de orden público, protección de la seguridad nacional o de la salud pública, inmigración clandestina o reintroducción del requisito de visado por parte de cualquier Parte Contratante. La decisión de suspensión deberá notificarse a la otra Parte Contratante como muy tarde dos meses antes de que surta efecto. La Parte Contratante que suspenda la aplicación del presente Acuerdo informará inmediatamente a la otra Parte Contratante cuando los motivos de la suspensión ya no tengan razón de ser.</w:t>
      </w:r>
    </w:p>
    <w:p>
      <w:pPr>
        <w:rPr>
          <w:noProof/>
        </w:rPr>
      </w:pPr>
      <w:r>
        <w:rPr>
          <w:noProof/>
        </w:rPr>
        <w:t>5. Cualquiera de las Partes Contratantes podrá denunciar el presente Acuerdo mediante notificación escrita a la otra Parte. El presente Acuerdo dejará de tener vigencia 90 días después de la fecha de dicha notificación.</w:t>
      </w:r>
    </w:p>
    <w:p>
      <w:pPr>
        <w:rPr>
          <w:noProof/>
        </w:rPr>
      </w:pPr>
      <w:r>
        <w:rPr>
          <w:noProof/>
        </w:rPr>
        <w:t>6. Santa Lucía sólo podrá suspender o denunciar el presente Acuerdo por lo que se refiere a todos los Estados miembros.</w:t>
      </w:r>
    </w:p>
    <w:p>
      <w:pPr>
        <w:rPr>
          <w:noProof/>
        </w:rPr>
      </w:pPr>
      <w:r>
        <w:rPr>
          <w:noProof/>
        </w:rPr>
        <w:t>7. La Unión solo podrá suspender o denunciar el presente Acuerdo por lo que se refiere a todos los Estados miembros.</w:t>
      </w:r>
    </w:p>
    <w:p>
      <w:pPr>
        <w:rPr>
          <w:noProof/>
        </w:rPr>
      </w:pPr>
      <w:r>
        <w:rPr>
          <w:noProof/>
        </w:rPr>
        <w:t>Hecho en Bruselas, en dos ejemplares en lenguas búlgara, española, checa, danesa, alemana, estonia, griega, inglesa, francesa, croata, italiana, letona, lituana, húngara, maltesa, neerlandesa, polaca, portuguesa, rumana, eslovaca, eslovena, finesa y sueca, siendo cada uno de estos textos igualmente auténtico.</w:t>
      </w:r>
    </w:p>
    <w:p>
      <w:pPr>
        <w:rPr>
          <w:noProof/>
        </w:rPr>
      </w:pPr>
      <w:r>
        <w:rPr>
          <w:noProof/>
        </w:rPr>
        <w:br w:type="page"/>
      </w:r>
      <w:r>
        <w:rPr>
          <w:noProof/>
        </w:rPr>
        <w:lastRenderedPageBreak/>
        <w:t xml:space="preserve">DECLARACIÓN CONJUNTA RELATIVA A ISLANDIA, NORUEGA, SUIZA Y LIECHTENSTEIN </w:t>
      </w:r>
    </w:p>
    <w:p>
      <w:pPr>
        <w:rPr>
          <w:noProof/>
        </w:rPr>
      </w:pPr>
      <w:r>
        <w:rPr>
          <w:noProof/>
        </w:rPr>
        <w:t xml:space="preserve">Las Partes Contratantes toman nota de las estrechas relaciones que existen entre la Unión Europea y Noruega, Islandia, Suiza y Liechtenstein, en particular en virtud de los Acuerdos de 18 de mayo de 1999 y de 26 de octubre de 2004, relativos a la asociación de esos países a la aplicación, ejecución y desarrollo del acervo de Schengen. </w:t>
      </w:r>
    </w:p>
    <w:p>
      <w:pPr>
        <w:rPr>
          <w:noProof/>
        </w:rPr>
      </w:pPr>
      <w:r>
        <w:rPr>
          <w:noProof/>
        </w:rPr>
        <w:t xml:space="preserve">En tales circunstancias es deseable que las autoridades de Noruega, Islandia, Suiza y Liechtenstein, por una parte, y Santa Lucía, por otra parte, celebren sin demora acuerdos bilaterales sobre exención de visados para estancias de corta duración en términos similares al presente Acuerdo. </w:t>
      </w:r>
    </w:p>
    <w:p>
      <w:pPr>
        <w:rPr>
          <w:noProof/>
        </w:rPr>
      </w:pPr>
    </w:p>
    <w:p>
      <w:pPr>
        <w:rPr>
          <w:noProof/>
        </w:rPr>
      </w:pPr>
      <w:r>
        <w:rPr>
          <w:noProof/>
        </w:rPr>
        <w:t>DECLARACIÓN CONJUNTA SOBRE LA INTERPRETACIÓN DE LA CATEGORÍA DE PERSONAS QUE VIAJAN CON OBJETO DE DESARROLLAR UNA ACTIVIDAD REMUNERADA TAL COMO ESTÁ PREVISTO EN EL ARTÍCULO 3, APARTADO 2, DEL PRESENTE ACUERDO</w:t>
      </w:r>
    </w:p>
    <w:p>
      <w:pPr>
        <w:rPr>
          <w:noProof/>
        </w:rPr>
      </w:pPr>
      <w:r>
        <w:rPr>
          <w:noProof/>
        </w:rPr>
        <w:t xml:space="preserve">En aras de una interpretación común, las Partes Contratantes acuerdan que, a efectos del presente Acuerdo, la categoría de personas que desarrollan una actividad remunerada cubre a las personas que entran con el fin de cubrir un puesto de trabajo o de desarrollar una actividad remunerada en el territorio de la otra Parte Contratante como trabajador por cuenta ajena o como prestador de servicios. </w:t>
      </w:r>
    </w:p>
    <w:p>
      <w:pPr>
        <w:rPr>
          <w:noProof/>
        </w:rPr>
      </w:pPr>
      <w:r>
        <w:rPr>
          <w:noProof/>
        </w:rPr>
        <w:t xml:space="preserve">Esta categoría no debería cubrir: </w:t>
      </w:r>
    </w:p>
    <w:p>
      <w:pPr>
        <w:rPr>
          <w:noProof/>
        </w:rPr>
      </w:pPr>
      <w:r>
        <w:rPr>
          <w:noProof/>
        </w:rPr>
        <w:t xml:space="preserve">— a las personas de negocios, es decir, a personas que viajen con el fin de efectuar gestiones empresariales y que no estén empleadas en el país de la otra Parte Contratante, </w:t>
      </w:r>
    </w:p>
    <w:p>
      <w:pPr>
        <w:rPr>
          <w:noProof/>
        </w:rPr>
      </w:pPr>
      <w:r>
        <w:rPr>
          <w:noProof/>
        </w:rPr>
        <w:t xml:space="preserve">— a deportistas y artistas que realicen una actividad </w:t>
      </w:r>
      <w:r>
        <w:rPr>
          <w:i/>
          <w:noProof/>
        </w:rPr>
        <w:t>ad hoc</w:t>
      </w:r>
      <w:r>
        <w:rPr>
          <w:noProof/>
        </w:rPr>
        <w:t xml:space="preserve">, </w:t>
      </w:r>
    </w:p>
    <w:p>
      <w:pPr>
        <w:rPr>
          <w:noProof/>
        </w:rPr>
      </w:pPr>
      <w:r>
        <w:rPr>
          <w:noProof/>
        </w:rPr>
        <w:t xml:space="preserve">— a periodistas enviados por medios de comunicación de su país de residencia, y </w:t>
      </w:r>
    </w:p>
    <w:p>
      <w:pPr>
        <w:rPr>
          <w:noProof/>
        </w:rPr>
      </w:pPr>
      <w:r>
        <w:rPr>
          <w:noProof/>
        </w:rPr>
        <w:t xml:space="preserve">— a aprendices en el seno de una misma empresa. </w:t>
      </w:r>
    </w:p>
    <w:p>
      <w:pPr>
        <w:rPr>
          <w:noProof/>
        </w:rPr>
      </w:pPr>
      <w:r>
        <w:rPr>
          <w:noProof/>
        </w:rPr>
        <w:t xml:space="preserve">La aplicación de la presente Declaración será supervisada por el Comité Mixto en el marco de su responsabilidad de conformidad con el artículo 6 del presente Acuerdo. El Comité Mixto podrá proponer modificaciones cuando, sobre la base de la experiencia de las Partes Contratantes, lo considere necesario. </w:t>
      </w:r>
    </w:p>
    <w:p>
      <w:pPr>
        <w:rPr>
          <w:noProof/>
        </w:rPr>
      </w:pPr>
      <w:r>
        <w:rPr>
          <w:noProof/>
        </w:rPr>
        <w:br w:type="page"/>
      </w:r>
      <w:r>
        <w:rPr>
          <w:noProof/>
        </w:rPr>
        <w:lastRenderedPageBreak/>
        <w:t>DECLARACIÓN CONJUNTA SOBRE LA INTERPRETACIÓN DEL PERÍODO MÁXIMO DE 90 DÍAS EN CUALQUIER PERÍODO DE 180 DÍAS SEGÚN LO ENUNCIADO EN EL ARTÍCULO 4 DEL PRESENTE ACUERDO</w:t>
      </w:r>
    </w:p>
    <w:p>
      <w:pPr>
        <w:rPr>
          <w:noProof/>
        </w:rPr>
      </w:pPr>
      <w:r>
        <w:rPr>
          <w:noProof/>
        </w:rPr>
        <w:t>Las Partes Contratantes entienden que el período máximo de 90 días en cualquier período de 180 días, conforme a lo dispuesto en el artículo 4 del presente Acuerdo consiste en, o bien una visita continua o bien varias visitas consecutivas cuya duración no exceda de 90 días en cualquier período de 180 días en total.</w:t>
      </w:r>
    </w:p>
    <w:p>
      <w:pPr>
        <w:rPr>
          <w:noProof/>
        </w:rPr>
      </w:pPr>
      <w:r>
        <w:rPr>
          <w:noProof/>
        </w:rPr>
        <w:t>La noción de «cualquier» supone la aplicación de un período de referencia «móvil» de 180 días, que incluye todos los días de estancia dentro del último período de 180 días, a fin de verificar si el requisito de los 90 días por período de 180 días sigue cumpliéndose. Entre otras cosas, esto significa que una ausencia por un período ininterrumpido de 90 días permite una nueva estancia de hasta 90 días.</w:t>
      </w:r>
    </w:p>
    <w:p>
      <w:pPr>
        <w:rPr>
          <w:noProof/>
        </w:rPr>
      </w:pPr>
    </w:p>
    <w:p>
      <w:pPr>
        <w:rPr>
          <w:noProof/>
        </w:rPr>
      </w:pPr>
      <w:r>
        <w:rPr>
          <w:noProof/>
        </w:rPr>
        <w:t>DECLARACIÓN CONJUNTA RELATIVA A LA INFORMACIÓN DE LOS CIUDADANOS SOBRE EL ACUERDO DE EXENCIÓN DE VISADOS</w:t>
      </w:r>
    </w:p>
    <w:p>
      <w:pPr>
        <w:rPr>
          <w:noProof/>
        </w:rPr>
      </w:pPr>
      <w:r>
        <w:rPr>
          <w:noProof/>
        </w:rPr>
        <w:t>Reconociendo la importancia de la transparencia para los ciudadanos de la Unión Europea y de Santa Lucía, las Partes Contratantes acuerdan asegurar una difusión completa de la información sobre el contenido y las consecuencias del Acuerdo sobre exención de visados y de asuntos correspondientes, tales como las condiciones de entrada.</w:t>
      </w:r>
    </w:p>
    <w:p>
      <w:pPr>
        <w:rPr>
          <w:noProof/>
        </w:rPr>
      </w:pPr>
    </w:p>
    <w:p>
      <w:pPr>
        <w:rPr>
          <w:noProof/>
        </w:rPr>
      </w:pPr>
    </w:p>
    <w:p>
      <w:pPr>
        <w:rPr>
          <w:noProof/>
        </w:rPr>
      </w:pP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DCF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A86C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D243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0447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881D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BE63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A03C9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42FF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3 18:00: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2"/>
    <w:docVar w:name="DQCWithWarnings" w:val="0"/>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BA8561D69D16447DA494CFD76DCBF57D"/>
    <w:docVar w:name="LW_CROSSREFERENCE" w:val="&lt;UNUSED&gt;"/>
    <w:docVar w:name="LW_DocType" w:val="ANNEX"/>
    <w:docVar w:name="LW_EMISSION" w:val="5.3.2015"/>
    <w:docVar w:name="LW_EMISSION_ISODATE" w:val="2015-03-05"/>
    <w:docVar w:name="LW_EMISSION_LOCATION" w:val="BRX"/>
    <w:docVar w:name="LW_EMISSION_PREFIX" w:val="Bruselas, "/>
    <w:docVar w:name="LW_EMISSION_SUFFIX" w:val=" "/>
    <w:docVar w:name="LW_ID_DOCSTRUCTURE" w:val="COM/ANNEX"/>
    <w:docVar w:name="LW_ID_DOCTYPE" w:val="SG-017"/>
    <w:docVar w:name="LW_LANGUE" w:val="ES"/>
    <w:docVar w:name="LW_MARKING" w:val="&lt;UNUSED&gt;"/>
    <w:docVar w:name="LW_NOM.INST" w:val="COMISIÓN EUROPEA"/>
    <w:docVar w:name="LW_NOM.INST_JOINTDOC" w:val="&lt;EMPTY&gt;"/>
    <w:docVar w:name="LW_OBJETACTEPRINCIPAL.CP" w:val="relativa a la firma, en nombre de la Unión, y la aplicación provisional del Acuerdo entre la Unión Europea y Santa Lucía sobre exención de visados para estancias de corta duración"/>
    <w:docVar w:name="LW_PART_NBR" w:val="1"/>
    <w:docVar w:name="LW_PART_NBR_TOTAL" w:val="1"/>
    <w:docVar w:name="LW_REF.INST.NEW" w:val="COM"/>
    <w:docVar w:name="LW_REF.INST.NEW_ADOPTED" w:val="final"/>
    <w:docVar w:name="LW_REF.INST.NEW_TEXT" w:val="(2015) 96"/>
    <w:docVar w:name="LW_REF.INTERNE" w:val="&lt;UNUSED&gt;"/>
    <w:docVar w:name="LW_SUPERTITRE" w:val="&lt;UNUSED&gt;"/>
    <w:docVar w:name="LW_TITRE.OBJ.CP" w:val="&lt;UNUSED&gt;"/>
    <w:docVar w:name="LW_TYPE.DOC.CP" w:val="ANEXO"/>
    <w:docVar w:name="LW_TYPEACTEPRINCIPAL.CP" w:val="Propuesta de Decisión del Consejo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s-ES_tradnl"/>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s-E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8</Pages>
  <Words>2166</Words>
  <Characters>11265</Characters>
  <Application>Microsoft Office Word</Application>
  <DocSecurity>0</DocSecurity>
  <Lines>208</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MARTINEZ Jordi (HOME)</dc:creator>
  <cp:keywords/>
  <cp:lastModifiedBy>DIGIT/A3</cp:lastModifiedBy>
  <cp:revision>7</cp:revision>
  <cp:lastPrinted>2015-02-17T10:48:00Z</cp:lastPrinted>
  <dcterms:created xsi:type="dcterms:W3CDTF">2015-02-18T16:30:00Z</dcterms:created>
  <dcterms:modified xsi:type="dcterms:W3CDTF">2015-03-03T17:00:00Z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