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33391EB952A41F68632F39F8C20447C" style="width:450.5pt;height:366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BEGRUNDELSE</w:t>
      </w:r>
    </w:p>
    <w:p>
      <w:pPr>
        <w:rPr>
          <w:noProof/>
        </w:rPr>
      </w:pPr>
      <w:r>
        <w:rPr>
          <w:noProof/>
        </w:rPr>
        <w:t xml:space="preserve">En række retsakter, som er blevet vedtaget i løbet af de seneste årtier, er ikke længere relevante, men er teknisk set fortsat gældende. De er blevet forældede, fordi de havde midlertidig karakter, eller fordi deres indhold er blevet indarbejdet i efterfølgende retsakter. Europa-Parlamentet, Rådet og Kommissionen blev i deres interinstitutionelle aftale om bedre lovgivning enige om, at EU-lovgivningen bør ajourføres og begrænses i omfang, idet retsakter, som ikke længere anvendes, bør ophæves. Retsakter, som ikke længere er relevante, bør fjernes fra gældende EU-ret, således at denne bliver mere gennemsigtig og klar. </w:t>
      </w:r>
    </w:p>
    <w:p>
      <w:pPr>
        <w:rPr>
          <w:noProof/>
        </w:rPr>
      </w:pPr>
      <w:r>
        <w:rPr>
          <w:noProof/>
        </w:rPr>
        <w:t>Kommissionen har taget en række tiltag til at fjerne forældet lovgivning fra gældende EU-ret, dels gennem den traditionelle ophævelsesprocedure, dels ved at erklære de pågældende kommissionsretsakter for forældede. Kommissionen har udpeget to rådsretsakter om den fælles landbrugspolitik, der er baseret på traktatens artikel 42 og 43 (tidligere artikel 36 og 37), og som ikke længere har nogen praktisk betydning, men formelt set stadig er gældende. Kommissionen har ikke beføjelse til at erklære rådsretsakter for forældede. Af hensyn til retssikkerheden foreslår Kommissionen, at Rådet og Europa-Parlamentet ophæver de retsakter, der er anført i dette forslag.</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2015/0090 (COD)</w:t>
      </w:r>
    </w:p>
    <w:p>
      <w:pPr>
        <w:pStyle w:val="Statut"/>
        <w:rPr>
          <w:noProof/>
        </w:rPr>
      </w:pPr>
      <w:r>
        <w:rPr>
          <w:noProof/>
        </w:rPr>
        <w:t>Forslag til</w:t>
      </w:r>
    </w:p>
    <w:p>
      <w:pPr>
        <w:pStyle w:val="Typedudocument"/>
        <w:rPr>
          <w:noProof/>
        </w:rPr>
      </w:pPr>
      <w:r>
        <w:rPr>
          <w:noProof/>
        </w:rPr>
        <w:t>EUROPA-PARLAMENTETS OG RÅDETS FORORDNING</w:t>
      </w:r>
    </w:p>
    <w:p>
      <w:pPr>
        <w:pStyle w:val="Titreobjet"/>
        <w:rPr>
          <w:noProof/>
        </w:rPr>
      </w:pPr>
      <w:r>
        <w:rPr>
          <w:noProof/>
        </w:rPr>
        <w:t>om ophævelse af Rådets direktiv 76/621/EØF om fastsættelse af det maksimale indhold af erucasyre i olier og fedtstoffer og Rådets forordning (EF) nr. 320/2006 om en midlertidig ordning for omstrukturering af sukkerindustrien</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 særlig artikel 42, første afsnit, og artikel 43, stk. 2,</w:t>
      </w:r>
    </w:p>
    <w:p>
      <w:pPr>
        <w:rPr>
          <w:noProof/>
        </w:rPr>
      </w:pPr>
      <w:r>
        <w:rPr>
          <w:noProof/>
        </w:rPr>
        <w:t>under henvisning til forslag fra Europa-Kommissionen,</w:t>
      </w:r>
    </w:p>
    <w:p>
      <w:pPr>
        <w:rPr>
          <w:noProof/>
        </w:rPr>
      </w:pPr>
      <w:r>
        <w:rPr>
          <w:noProof/>
        </w:rPr>
        <w:t>efter fremsendelse af udkast til lovgivningsmæssig retsakt til de nationale parlamenter,</w:t>
      </w:r>
    </w:p>
    <w:p>
      <w:pPr>
        <w:rPr>
          <w:noProof/>
        </w:rPr>
      </w:pPr>
      <w:r>
        <w:rPr>
          <w:noProof/>
        </w:rPr>
        <w:t>under henvisning til udtalelse fra Det Europæiske Økonomiske og Sociale Udvalg</w:t>
      </w:r>
      <w:r>
        <w:rPr>
          <w:rStyle w:val="FootnoteReference"/>
          <w:noProof/>
        </w:rPr>
        <w:footnoteReference w:id="1"/>
      </w:r>
      <w:r>
        <w:rPr>
          <w:noProof/>
        </w:rPr>
        <w:t>,</w:t>
      </w:r>
    </w:p>
    <w:p>
      <w:pPr>
        <w:rPr>
          <w:noProof/>
        </w:rPr>
      </w:pPr>
      <w:r>
        <w:rPr>
          <w:noProof/>
        </w:rPr>
        <w:t>efter den almindelige lovgivningsprocedure, og</w:t>
      </w:r>
    </w:p>
    <w:p>
      <w:pPr>
        <w:rPr>
          <w:noProof/>
        </w:rPr>
      </w:pPr>
      <w:r>
        <w:rPr>
          <w:noProof/>
        </w:rPr>
        <w:t>ud fra følgende betragtninger:</w:t>
      </w:r>
    </w:p>
    <w:p>
      <w:pPr>
        <w:pStyle w:val="ManualConsidrant"/>
        <w:rPr>
          <w:noProof/>
        </w:rPr>
      </w:pPr>
      <w:r>
        <w:t>(1)</w:t>
      </w:r>
      <w:r>
        <w:tab/>
      </w:r>
      <w:r>
        <w:rPr>
          <w:noProof/>
        </w:rPr>
        <w:t>Større gennemsigtighed i EU-lovgivningen er et væsentligt led i den strategi for bedre lovgivning, som EU-institutionerne er i gang med at gennemføre. I den forbindelse bør retsakter, som ikke længere har nogen reel virkning, fjernes fra gældende lovgivning.</w:t>
      </w:r>
    </w:p>
    <w:p>
      <w:pPr>
        <w:pStyle w:val="ManualConsidrant"/>
        <w:rPr>
          <w:noProof/>
        </w:rPr>
      </w:pPr>
      <w:r>
        <w:t>(2)</w:t>
      </w:r>
      <w:r>
        <w:tab/>
      </w:r>
      <w:r>
        <w:rPr>
          <w:noProof/>
        </w:rPr>
        <w:t>Følgende retsakter om den fælles handelspolitik er blevet forældede, selv om de formelt set fortsat gælder:</w:t>
      </w:r>
    </w:p>
    <w:p>
      <w:pPr>
        <w:pStyle w:val="Point1"/>
        <w:rPr>
          <w:noProof/>
        </w:rPr>
      </w:pPr>
      <w:r>
        <w:rPr>
          <w:noProof/>
        </w:rPr>
        <w:t>–</w:t>
      </w:r>
      <w:r>
        <w:rPr>
          <w:noProof/>
        </w:rPr>
        <w:tab/>
        <w:t>Rådets direktiv 76/621/EØF</w:t>
      </w:r>
      <w:r>
        <w:rPr>
          <w:rStyle w:val="FootnoteReference"/>
          <w:noProof/>
        </w:rPr>
        <w:footnoteReference w:id="2"/>
      </w:r>
      <w:r>
        <w:rPr>
          <w:noProof/>
        </w:rPr>
        <w:t>. Indholdet af dette direktiv er siden indarbejdet i Kommissionens forordning (EF) nr. 1881/2006</w:t>
      </w:r>
      <w:r>
        <w:rPr>
          <w:rStyle w:val="FootnoteReference"/>
          <w:noProof/>
        </w:rPr>
        <w:footnoteReference w:id="3"/>
      </w:r>
      <w:r>
        <w:rPr>
          <w:noProof/>
        </w:rPr>
        <w:t>.</w:t>
      </w:r>
    </w:p>
    <w:p>
      <w:pPr>
        <w:pStyle w:val="Point1"/>
        <w:rPr>
          <w:noProof/>
        </w:rPr>
      </w:pPr>
      <w:r>
        <w:rPr>
          <w:noProof/>
        </w:rPr>
        <w:t>–</w:t>
      </w:r>
      <w:r>
        <w:rPr>
          <w:noProof/>
        </w:rPr>
        <w:tab/>
        <w:t>Rådets forordning (EF) nr. 320/2006</w:t>
      </w:r>
      <w:r>
        <w:rPr>
          <w:rStyle w:val="FootnoteReference"/>
          <w:noProof/>
        </w:rPr>
        <w:footnoteReference w:id="4"/>
      </w:r>
      <w:r>
        <w:rPr>
          <w:noProof/>
        </w:rPr>
        <w:t>. Den midlertidige ordning, som blev indført ved forordningen, gjaldt kun indtil produktionsåret 2009/2010.</w:t>
      </w:r>
    </w:p>
    <w:p>
      <w:pPr>
        <w:pStyle w:val="ManualConsidrant"/>
        <w:rPr>
          <w:noProof/>
        </w:rPr>
      </w:pPr>
      <w:r>
        <w:t>(3)</w:t>
      </w:r>
      <w:r>
        <w:tab/>
      </w:r>
      <w:r>
        <w:rPr>
          <w:noProof/>
        </w:rPr>
        <w:t>Af hensyn til retssikkerheden og klarheden bør disse forældede retsakter ophæves —</w:t>
      </w:r>
    </w:p>
    <w:p>
      <w:pPr>
        <w:pStyle w:val="Formuledadoption"/>
        <w:rPr>
          <w:noProof/>
        </w:rPr>
      </w:pPr>
      <w:r>
        <w:rPr>
          <w:noProof/>
        </w:rPr>
        <w:t>VEDTAGET DENNE FORORDNING:</w:t>
      </w:r>
    </w:p>
    <w:p>
      <w:pPr>
        <w:pStyle w:val="Titrearticle"/>
        <w:rPr>
          <w:noProof/>
        </w:rPr>
      </w:pPr>
      <w:r>
        <w:rPr>
          <w:noProof/>
        </w:rPr>
        <w:t>Artikel 1</w:t>
      </w:r>
    </w:p>
    <w:p>
      <w:pPr>
        <w:rPr>
          <w:noProof/>
        </w:rPr>
      </w:pPr>
      <w:r>
        <w:rPr>
          <w:noProof/>
        </w:rPr>
        <w:t>Direktiv 76/621/EØF og forordning (EF) nr. 320/2006 ophæves.</w:t>
      </w:r>
    </w:p>
    <w:p>
      <w:pPr>
        <w:pStyle w:val="Titrearticle"/>
        <w:rPr>
          <w:noProof/>
        </w:rPr>
      </w:pPr>
      <w:r>
        <w:rPr>
          <w:noProof/>
        </w:rPr>
        <w:lastRenderedPageBreak/>
        <w:t>Artikel 2</w:t>
      </w:r>
    </w:p>
    <w:p>
      <w:pPr>
        <w:rPr>
          <w:noProof/>
        </w:rPr>
      </w:pPr>
      <w:r>
        <w:rPr>
          <w:noProof/>
        </w:rPr>
        <w:t xml:space="preserve">Denne forordning træder i kraft på tredjedagen efter offentliggørelsen i </w:t>
      </w:r>
      <w:r>
        <w:rPr>
          <w:i/>
          <w:noProof/>
        </w:rPr>
        <w:t>Den Europæiske Unions Tidende</w:t>
      </w:r>
      <w:r>
        <w:rPr>
          <w:noProof/>
        </w:rPr>
        <w:t>.</w:t>
      </w:r>
    </w:p>
    <w:p>
      <w:pPr>
        <w:pStyle w:val="Applicationdirecte"/>
        <w:rPr>
          <w:noProof/>
        </w:rPr>
      </w:pPr>
      <w:r>
        <w:rPr>
          <w:noProof/>
        </w:rPr>
        <w:t>Denne forordning er bindende i alle enkeltheder og gælder umiddelbart i hver medlemsstat.</w:t>
      </w:r>
    </w:p>
    <w:p>
      <w:pPr>
        <w:pStyle w:val="Fait"/>
        <w:rPr>
          <w:noProof/>
        </w:rPr>
      </w:pPr>
      <w:r>
        <w:rPr>
          <w:noProof/>
        </w:rPr>
        <w:t>Udfærdiget i Bruxelles, den .</w:t>
      </w:r>
    </w:p>
    <w:p>
      <w:pPr>
        <w:pStyle w:val="Institutionquisigne"/>
        <w:rPr>
          <w:noProof/>
        </w:rPr>
      </w:pPr>
      <w:r>
        <w:rPr>
          <w:noProof/>
        </w:rPr>
        <w:t>På Europa-Parlamentets vegne</w:t>
      </w:r>
      <w:r>
        <w:rPr>
          <w:noProof/>
        </w:rPr>
        <w:tab/>
        <w:t>På Rådets vegne</w:t>
      </w:r>
    </w:p>
    <w:p>
      <w:pPr>
        <w:pStyle w:val="Personnequisigne"/>
        <w:rPr>
          <w:noProof/>
        </w:rPr>
      </w:pPr>
      <w:r>
        <w:rPr>
          <w:noProof/>
        </w:rPr>
        <w:t>Formand</w:t>
      </w: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EUT C ... af ..., s. .</w:t>
      </w:r>
    </w:p>
  </w:footnote>
  <w:footnote w:id="2">
    <w:p>
      <w:pPr>
        <w:pStyle w:val="FootnoteText"/>
      </w:pPr>
      <w:r>
        <w:rPr>
          <w:rStyle w:val="FootnoteReference"/>
        </w:rPr>
        <w:footnoteRef/>
      </w:r>
      <w:r>
        <w:tab/>
        <w:t>Rådets direktiv 76/621/EØF af 20. juli 1976 om fastsættelse af det maksimale indhold af erucasyre i olier og fedtstoffer, der uden yderligere forarbejdning er bestemt til konsum, samt i fødevarer, der tilsættes olier eller fedtstoffer (EFT L 202 af 28.7.1976, s. 35).</w:t>
      </w:r>
    </w:p>
  </w:footnote>
  <w:footnote w:id="3">
    <w:p>
      <w:pPr>
        <w:pStyle w:val="FootnoteText"/>
      </w:pPr>
      <w:r>
        <w:rPr>
          <w:rStyle w:val="FootnoteReference"/>
        </w:rPr>
        <w:footnoteRef/>
      </w:r>
      <w:r>
        <w:tab/>
        <w:t>Kommissionens forordning (EF) nr. 1881/2006 af 19. december 2006 om fastsættelse af grænseværdier for bestemte forurenende stoffer i fødevarer (EUT L 364 af 20.12.2006, s. 5).</w:t>
      </w:r>
    </w:p>
  </w:footnote>
  <w:footnote w:id="4">
    <w:p>
      <w:pPr>
        <w:pStyle w:val="FootnoteText"/>
      </w:pPr>
      <w:r>
        <w:rPr>
          <w:rStyle w:val="FootnoteReference"/>
        </w:rPr>
        <w:footnoteRef/>
      </w:r>
      <w:r>
        <w:tab/>
        <w:t>Rådets forordning (EF) nr. 320/2006 af 20. februar 2006 om en midlertidig ordning for omstrukturering af sukkerindustrien i Fællesskabet og om ændring af forordning (EF) nr. 1290/2005 om finansiering af den fælles landbrugspolitik (EUT L 58 af 28.2.2006, s.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5E800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8701E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001B4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7D881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B2E49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08EB2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B9CFD3C"/>
    <w:lvl w:ilvl="0">
      <w:start w:val="1"/>
      <w:numFmt w:val="decimal"/>
      <w:pStyle w:val="ListNumber"/>
      <w:lvlText w:val="%1."/>
      <w:lvlJc w:val="left"/>
      <w:pPr>
        <w:tabs>
          <w:tab w:val="num" w:pos="360"/>
        </w:tabs>
        <w:ind w:left="360" w:hanging="360"/>
      </w:pPr>
    </w:lvl>
  </w:abstractNum>
  <w:abstractNum w:abstractNumId="7">
    <w:nsid w:val="FFFFFF89"/>
    <w:multiLevelType w:val="singleLevel"/>
    <w:tmpl w:val="D8C4972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3-26 15:45:2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B33391EB952A41F68632F39F8C20447C"/>
    <w:docVar w:name="LW_CROSSREFERENCE" w:val="&lt;UNUSED&gt;"/>
    <w:docVar w:name="LW_DocType" w:val="COM"/>
    <w:docVar w:name="LW_EMISSION" w:val="22.4.2015"/>
    <w:docVar w:name="LW_EMISSION_ISODATE" w:val="2015-04-22"/>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DA"/>
    <w:docVar w:name="LW_MARKING" w:val="&lt;UNUSED&gt;"/>
    <w:docVar w:name="LW_NOM.INST" w:val="EUROPA-KOMMISSIONEN"/>
    <w:docVar w:name="LW_NOM.INST_JOINTDOC" w:val="&lt;EMPTY&gt;"/>
    <w:docVar w:name="LW_PART_NBR" w:val="1"/>
    <w:docVar w:name="LW_PART_NBR_TOTAL" w:val="1"/>
    <w:docVar w:name="LW_REF.II.NEW.CP" w:val="COD"/>
    <w:docVar w:name="LW_REF.II.NEW.CP_NUMBER" w:val="0090"/>
    <w:docVar w:name="LW_REF.II.NEW.CP_YEAR" w:val="2015"/>
    <w:docVar w:name="LW_REF.INST.NEW" w:val="COM"/>
    <w:docVar w:name="LW_REF.INST.NEW_ADOPTED" w:val="final"/>
    <w:docVar w:name="LW_REF.INST.NEW_TEXT" w:val="(2015) 174"/>
    <w:docVar w:name="LW_REF.INTERNE" w:val="&lt;UNUSED&gt;"/>
    <w:docVar w:name="LW_SOUS.TITRE.OBJ.CP" w:val="&lt;UNUSED&gt;"/>
    <w:docVar w:name="LW_STATUT.CP" w:val="Forslag til"/>
    <w:docVar w:name="LW_SUPERTITRE" w:val="&lt;UNUSED&gt;"/>
    <w:docVar w:name="LW_TITRE.OBJ.CP" w:val="om ophævelse af Rådets direktiv 76/621/EØF om fastsættelse af det maksimale indhold af erucasyre i olier og fedtstoffer og Rådets forordning (EF) nr. 320/2006 om en midlertidig ordning for omstrukturering af sukkerindustrien"/>
    <w:docVar w:name="LW_TYPE.DOC.CP" w:val="EUROPA-PARLAMENTETS OG RÅDETS FO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4</Pages>
  <Words>451</Words>
  <Characters>2767</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2015-03-26T14:45:00Z</dcterms:created>
  <dcterms:modified xsi:type="dcterms:W3CDTF">2015-04-22T10:05:00Z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_AdHocReviewCycleID">
    <vt:i4>1524624416</vt:i4>
  </property>
  <property fmtid="{D5CDD505-2E9C-101B-9397-08002B2CF9AE}" pid="11" name="_NewReviewCycle">
    <vt:lpwstr/>
  </property>
  <property fmtid="{D5CDD505-2E9C-101B-9397-08002B2CF9AE}" pid="12" name="_EmailSubject">
    <vt:lpwstr>Emailing: 680536cleanversion 2015 03 16 Reg.docx</vt:lpwstr>
  </property>
  <property fmtid="{D5CDD505-2E9C-101B-9397-08002B2CF9AE}" pid="13" name="_AuthorEmail">
    <vt:lpwstr>Karen.Van-Craenenbroeck@ec.europa.eu</vt:lpwstr>
  </property>
  <property fmtid="{D5CDD505-2E9C-101B-9397-08002B2CF9AE}" pid="14" name="_AuthorEmailDisplayName">
    <vt:lpwstr>VAN CRAENENBROECK Karen (AGRI)</vt:lpwstr>
  </property>
  <property fmtid="{D5CDD505-2E9C-101B-9397-08002B2CF9AE}" pid="15" name="_ReviewingToolsShownOnce">
    <vt:lpwstr/>
  </property>
  <property fmtid="{D5CDD505-2E9C-101B-9397-08002B2CF9AE}" pid="16" name="DQCStatus">
    <vt:lpwstr>Yellow (DQC version 03)</vt:lpwstr>
  </property>
</Properties>
</file>